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1426">
      <w:pPr>
        <w:tabs>
          <w:tab w:val="left" w:pos="5580"/>
        </w:tabs>
        <w:spacing w:line="360" w:lineRule="auto"/>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 xml:space="preserve">                                         </w:t>
      </w:r>
    </w:p>
    <w:p w14:paraId="2A40CEA7">
      <w:pPr>
        <w:snapToGrid w:val="0"/>
        <w:spacing w:line="360" w:lineRule="auto"/>
        <w:jc w:val="center"/>
        <w:rPr>
          <w:rFonts w:asciiTheme="minorEastAsia" w:hAnsiTheme="minorEastAsia" w:eastAsiaTheme="minorEastAsia"/>
          <w:b/>
          <w:color w:val="auto"/>
          <w:sz w:val="40"/>
          <w:szCs w:val="40"/>
          <w:highlight w:val="none"/>
        </w:rPr>
      </w:pPr>
      <w:bookmarkStart w:id="0" w:name="_Hlt162751967"/>
      <w:bookmarkEnd w:id="0"/>
    </w:p>
    <w:p w14:paraId="14246371">
      <w:pPr>
        <w:pStyle w:val="29"/>
        <w:spacing w:line="480" w:lineRule="auto"/>
        <w:jc w:val="center"/>
        <w:rPr>
          <w:rFonts w:hint="eastAsia" w:asciiTheme="minorEastAsia" w:hAnsiTheme="minorEastAsia" w:eastAsiaTheme="minorEastAsia"/>
          <w:b/>
          <w:color w:val="auto"/>
          <w:kern w:val="0"/>
          <w:sz w:val="52"/>
          <w:szCs w:val="52"/>
          <w:highlight w:val="none"/>
          <w:lang w:eastAsia="zh-CN"/>
        </w:rPr>
      </w:pPr>
      <w:r>
        <w:rPr>
          <w:rFonts w:hint="eastAsia" w:asciiTheme="minorEastAsia" w:hAnsiTheme="minorEastAsia" w:eastAsiaTheme="minorEastAsia"/>
          <w:b/>
          <w:color w:val="auto"/>
          <w:kern w:val="0"/>
          <w:sz w:val="52"/>
          <w:szCs w:val="52"/>
          <w:highlight w:val="none"/>
          <w:lang w:eastAsia="zh-CN"/>
        </w:rPr>
        <w:t>新城街道派出所营房内部改造项目</w:t>
      </w:r>
    </w:p>
    <w:p w14:paraId="48C41E59">
      <w:pPr>
        <w:pStyle w:val="29"/>
        <w:spacing w:line="480" w:lineRule="auto"/>
        <w:jc w:val="center"/>
        <w:rPr>
          <w:rFonts w:asciiTheme="minorEastAsia" w:hAnsiTheme="minorEastAsia" w:eastAsiaTheme="minorEastAsia"/>
          <w:color w:val="auto"/>
          <w:sz w:val="52"/>
          <w:szCs w:val="52"/>
          <w:highlight w:val="none"/>
        </w:rPr>
      </w:pPr>
    </w:p>
    <w:p w14:paraId="1EF7EEDC">
      <w:pPr>
        <w:jc w:val="center"/>
        <w:rPr>
          <w:color w:val="auto"/>
          <w:highlight w:val="none"/>
        </w:rPr>
      </w:pPr>
    </w:p>
    <w:p w14:paraId="0BDD5D1F">
      <w:pPr>
        <w:jc w:val="center"/>
        <w:rPr>
          <w:color w:val="auto"/>
          <w:highlight w:val="none"/>
        </w:rPr>
      </w:pPr>
    </w:p>
    <w:p w14:paraId="28098141">
      <w:pPr>
        <w:spacing w:line="360" w:lineRule="auto"/>
        <w:jc w:val="center"/>
        <w:rPr>
          <w:rFonts w:asciiTheme="minorEastAsia" w:hAnsiTheme="minorEastAsia" w:eastAsiaTheme="minorEastAsia"/>
          <w:b/>
          <w:color w:val="auto"/>
          <w:sz w:val="44"/>
          <w:szCs w:val="44"/>
          <w:highlight w:val="none"/>
        </w:rPr>
      </w:pPr>
    </w:p>
    <w:p w14:paraId="51A952D0">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竞 争 性 磋 商</w:t>
      </w:r>
    </w:p>
    <w:p w14:paraId="7DC8E6AC">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77D64CED">
      <w:pPr>
        <w:pStyle w:val="29"/>
        <w:spacing w:line="480" w:lineRule="auto"/>
        <w:jc w:val="center"/>
        <w:rPr>
          <w:rFonts w:asciiTheme="minorEastAsia" w:hAnsiTheme="minorEastAsia" w:eastAsiaTheme="minorEastAsia"/>
          <w:color w:val="auto"/>
          <w:sz w:val="52"/>
          <w:szCs w:val="52"/>
          <w:highlight w:val="none"/>
        </w:rPr>
      </w:pPr>
    </w:p>
    <w:p w14:paraId="1CF52EC8">
      <w:pPr>
        <w:pStyle w:val="29"/>
        <w:spacing w:line="480" w:lineRule="auto"/>
        <w:jc w:val="center"/>
        <w:rPr>
          <w:rFonts w:asciiTheme="minorEastAsia" w:hAnsiTheme="minorEastAsia" w:eastAsiaTheme="minorEastAsia"/>
          <w:color w:val="auto"/>
          <w:sz w:val="52"/>
          <w:szCs w:val="52"/>
          <w:highlight w:val="none"/>
        </w:rPr>
      </w:pPr>
    </w:p>
    <w:p w14:paraId="4B23CB28">
      <w:pPr>
        <w:pStyle w:val="29"/>
        <w:spacing w:line="480" w:lineRule="auto"/>
        <w:jc w:val="center"/>
        <w:rPr>
          <w:rFonts w:asciiTheme="minorEastAsia" w:hAnsiTheme="minorEastAsia" w:eastAsiaTheme="minorEastAsia"/>
          <w:color w:val="auto"/>
          <w:sz w:val="52"/>
          <w:szCs w:val="52"/>
          <w:highlight w:val="none"/>
        </w:rPr>
      </w:pPr>
    </w:p>
    <w:p w14:paraId="5C42E33A">
      <w:pPr>
        <w:pStyle w:val="29"/>
        <w:spacing w:line="480" w:lineRule="auto"/>
        <w:rPr>
          <w:rFonts w:asciiTheme="minorEastAsia" w:hAnsiTheme="minorEastAsia" w:eastAsiaTheme="minorEastAsia"/>
          <w:color w:val="auto"/>
          <w:sz w:val="52"/>
          <w:szCs w:val="52"/>
          <w:highlight w:val="none"/>
        </w:rPr>
      </w:pPr>
    </w:p>
    <w:p w14:paraId="5E2EFA95">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p>
    <w:p w14:paraId="465CB24B">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项目编号：</w:t>
      </w:r>
      <w:r>
        <w:rPr>
          <w:rFonts w:hint="eastAsia" w:asciiTheme="minorEastAsia" w:hAnsiTheme="minorEastAsia" w:eastAsiaTheme="minorEastAsia"/>
          <w:bCs/>
          <w:color w:val="auto"/>
          <w:w w:val="95"/>
          <w:kern w:val="2"/>
          <w:sz w:val="30"/>
          <w:szCs w:val="30"/>
          <w:highlight w:val="none"/>
          <w:lang w:eastAsia="zh-CN"/>
        </w:rPr>
        <w:t>银建-JXYJ（2025）03号</w:t>
      </w:r>
    </w:p>
    <w:p w14:paraId="3D18DDB4">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采购单位：嘉兴市秀洲区人民政府新城街道办事处</w:t>
      </w:r>
    </w:p>
    <w:p w14:paraId="1E06DE9C">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代理机构：嘉兴市银建工程咨询评估有限公司</w:t>
      </w:r>
    </w:p>
    <w:p w14:paraId="23F854AC">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202</w:t>
      </w:r>
      <w:r>
        <w:rPr>
          <w:rFonts w:hint="eastAsia" w:asciiTheme="minorEastAsia" w:hAnsiTheme="minorEastAsia" w:eastAsiaTheme="minorEastAsia"/>
          <w:bCs/>
          <w:color w:val="auto"/>
          <w:w w:val="95"/>
          <w:kern w:val="2"/>
          <w:sz w:val="30"/>
          <w:szCs w:val="30"/>
          <w:highlight w:val="none"/>
          <w:lang w:val="en-US" w:eastAsia="zh-CN"/>
        </w:rPr>
        <w:t>5</w:t>
      </w:r>
      <w:r>
        <w:rPr>
          <w:rFonts w:hint="eastAsia" w:asciiTheme="minorEastAsia" w:hAnsiTheme="minorEastAsia" w:eastAsiaTheme="minorEastAsia"/>
          <w:bCs/>
          <w:color w:val="auto"/>
          <w:w w:val="95"/>
          <w:kern w:val="2"/>
          <w:sz w:val="30"/>
          <w:szCs w:val="30"/>
          <w:highlight w:val="none"/>
        </w:rPr>
        <w:t>年</w:t>
      </w:r>
      <w:r>
        <w:rPr>
          <w:rFonts w:hint="eastAsia" w:asciiTheme="minorEastAsia" w:hAnsiTheme="minorEastAsia" w:eastAsiaTheme="minorEastAsia"/>
          <w:bCs/>
          <w:color w:val="auto"/>
          <w:w w:val="95"/>
          <w:kern w:val="2"/>
          <w:sz w:val="30"/>
          <w:szCs w:val="30"/>
          <w:highlight w:val="none"/>
          <w:lang w:val="en-US" w:eastAsia="zh-CN"/>
        </w:rPr>
        <w:t>3</w:t>
      </w:r>
      <w:r>
        <w:rPr>
          <w:rFonts w:hint="eastAsia" w:asciiTheme="minorEastAsia" w:hAnsiTheme="minorEastAsia" w:eastAsiaTheme="minorEastAsia"/>
          <w:bCs/>
          <w:color w:val="auto"/>
          <w:w w:val="95"/>
          <w:kern w:val="2"/>
          <w:sz w:val="30"/>
          <w:szCs w:val="30"/>
          <w:highlight w:val="none"/>
        </w:rPr>
        <w:t>月</w:t>
      </w:r>
      <w:r>
        <w:rPr>
          <w:rFonts w:hint="eastAsia" w:asciiTheme="minorEastAsia" w:hAnsiTheme="minorEastAsia" w:eastAsiaTheme="minorEastAsia"/>
          <w:bCs/>
          <w:color w:val="auto"/>
          <w:w w:val="95"/>
          <w:kern w:val="2"/>
          <w:sz w:val="30"/>
          <w:szCs w:val="30"/>
          <w:highlight w:val="none"/>
          <w:lang w:val="en-US" w:eastAsia="zh-CN"/>
        </w:rPr>
        <w:t>6</w:t>
      </w:r>
      <w:r>
        <w:rPr>
          <w:rFonts w:hint="eastAsia" w:asciiTheme="minorEastAsia" w:hAnsiTheme="minorEastAsia" w:eastAsiaTheme="minorEastAsia"/>
          <w:bCs/>
          <w:color w:val="auto"/>
          <w:w w:val="95"/>
          <w:kern w:val="2"/>
          <w:sz w:val="30"/>
          <w:szCs w:val="30"/>
          <w:highlight w:val="none"/>
        </w:rPr>
        <w:t>日</w:t>
      </w:r>
    </w:p>
    <w:p w14:paraId="70EB1970">
      <w:pPr>
        <w:spacing w:line="360" w:lineRule="auto"/>
        <w:rPr>
          <w:rFonts w:asciiTheme="minorEastAsia" w:hAnsiTheme="minorEastAsia" w:eastAsiaTheme="minorEastAsia"/>
          <w:b/>
          <w:bCs/>
          <w:color w:val="auto"/>
          <w:w w:val="95"/>
          <w:kern w:val="2"/>
          <w:sz w:val="30"/>
          <w:szCs w:val="30"/>
          <w:highlight w:val="none"/>
        </w:rPr>
      </w:pPr>
      <w:r>
        <w:rPr>
          <w:rFonts w:asciiTheme="minorEastAsia" w:hAnsiTheme="minorEastAsia" w:eastAsiaTheme="minorEastAsia"/>
          <w:b/>
          <w:bCs/>
          <w:color w:val="auto"/>
          <w:w w:val="95"/>
          <w:kern w:val="2"/>
          <w:sz w:val="30"/>
          <w:szCs w:val="30"/>
          <w:highlight w:val="none"/>
        </w:rPr>
        <w:t xml:space="preserve">                                </w:t>
      </w:r>
    </w:p>
    <w:p w14:paraId="5759131F">
      <w:pPr>
        <w:spacing w:line="360" w:lineRule="auto"/>
        <w:rPr>
          <w:rFonts w:asciiTheme="minorEastAsia" w:hAnsiTheme="minorEastAsia" w:eastAsiaTheme="minorEastAsia"/>
          <w:color w:val="auto"/>
          <w:szCs w:val="21"/>
          <w:highlight w:val="none"/>
        </w:rPr>
      </w:pPr>
    </w:p>
    <w:p w14:paraId="0F8450E1">
      <w:pPr>
        <w:rPr>
          <w:rFonts w:hint="eastAsia"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br w:type="page"/>
      </w:r>
    </w:p>
    <w:p w14:paraId="775EA2CD">
      <w:pPr>
        <w:jc w:val="center"/>
        <w:rPr>
          <w:rFonts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t>目  录</w:t>
      </w:r>
    </w:p>
    <w:p w14:paraId="3BC0D675">
      <w:pPr>
        <w:pStyle w:val="29"/>
        <w:spacing w:before="156" w:beforeLines="50" w:line="360" w:lineRule="auto"/>
        <w:rPr>
          <w:rFonts w:asciiTheme="minorEastAsia" w:hAnsiTheme="minorEastAsia" w:eastAsiaTheme="minorEastAsia"/>
          <w:b/>
          <w:color w:val="auto"/>
          <w:sz w:val="32"/>
          <w:szCs w:val="32"/>
          <w:highlight w:val="none"/>
        </w:rPr>
      </w:pPr>
    </w:p>
    <w:p w14:paraId="7B5FCF36">
      <w:pPr>
        <w:pStyle w:val="37"/>
        <w:tabs>
          <w:tab w:val="right" w:leader="dot" w:pos="9638"/>
        </w:tabs>
        <w:rPr>
          <w:color w:val="auto"/>
          <w:highlight w:val="none"/>
        </w:rPr>
      </w:pPr>
      <w:r>
        <w:rPr>
          <w:rFonts w:hint="eastAsia" w:asciiTheme="minorEastAsia" w:hAnsiTheme="minorEastAsia" w:eastAsiaTheme="minorEastAsia"/>
          <w:b w:val="0"/>
          <w:bCs w:val="0"/>
          <w:caps w:val="0"/>
          <w:color w:val="auto"/>
          <w:kern w:val="2"/>
          <w:sz w:val="28"/>
          <w:szCs w:val="28"/>
          <w:highlight w:val="none"/>
        </w:rPr>
        <w:fldChar w:fldCharType="begin"/>
      </w:r>
      <w:r>
        <w:rPr>
          <w:rStyle w:val="65"/>
          <w:rFonts w:hint="eastAsia" w:asciiTheme="minorEastAsia" w:hAnsiTheme="minorEastAsia" w:eastAsiaTheme="minorEastAsia"/>
          <w:b w:val="0"/>
          <w:bCs w:val="0"/>
          <w:caps w:val="0"/>
          <w:color w:val="auto"/>
          <w:kern w:val="2"/>
          <w:sz w:val="28"/>
          <w:szCs w:val="28"/>
          <w:highlight w:val="none"/>
        </w:rPr>
        <w:instrText xml:space="preserve"> TOC \o "1-1" \h \z \u </w:instrText>
      </w:r>
      <w:r>
        <w:rPr>
          <w:rFonts w:hint="eastAsia" w:asciiTheme="minorEastAsia" w:hAnsiTheme="minorEastAsia" w:eastAsiaTheme="minorEastAsia"/>
          <w:b w:val="0"/>
          <w:bCs w:val="0"/>
          <w:caps w:val="0"/>
          <w:color w:val="auto"/>
          <w:kern w:val="2"/>
          <w:sz w:val="28"/>
          <w:szCs w:val="28"/>
          <w:highlight w:val="none"/>
        </w:rPr>
        <w:fldChar w:fldCharType="separate"/>
      </w:r>
      <w:r>
        <w:rPr>
          <w:color w:val="auto"/>
          <w:highlight w:val="none"/>
        </w:rPr>
        <w:fldChar w:fldCharType="begin"/>
      </w:r>
      <w:r>
        <w:rPr>
          <w:color w:val="auto"/>
          <w:highlight w:val="none"/>
        </w:rPr>
        <w:instrText xml:space="preserve"> HYPERLINK \l "_Toc20323" </w:instrText>
      </w:r>
      <w:r>
        <w:rPr>
          <w:color w:val="auto"/>
          <w:highlight w:val="none"/>
        </w:rPr>
        <w:fldChar w:fldCharType="separate"/>
      </w:r>
      <w:r>
        <w:rPr>
          <w:rFonts w:hint="eastAsia" w:asciiTheme="minorEastAsia" w:hAnsiTheme="minorEastAsia" w:eastAsiaTheme="minorEastAsia"/>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_Toc20323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59500EE">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"_Toc29127" </w:instrText>
      </w:r>
      <w:r>
        <w:rPr>
          <w:color w:val="auto"/>
          <w:highlight w:val="none"/>
        </w:rPr>
        <w:fldChar w:fldCharType="separate"/>
      </w:r>
      <w:r>
        <w:rPr>
          <w:rFonts w:hint="eastAsia" w:asciiTheme="minorEastAsia" w:hAnsiTheme="minorEastAsia" w:eastAsiaTheme="minorEastAsia"/>
          <w:color w:val="auto"/>
          <w:szCs w:val="28"/>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_Toc29127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B1A157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"_Toc6290" </w:instrText>
      </w:r>
      <w:r>
        <w:rPr>
          <w:color w:val="auto"/>
          <w:highlight w:val="none"/>
        </w:rPr>
        <w:fldChar w:fldCharType="separate"/>
      </w:r>
      <w:r>
        <w:rPr>
          <w:rFonts w:hint="eastAsia" w:asciiTheme="minorEastAsia" w:hAnsiTheme="minorEastAsia" w:eastAsiaTheme="minorEastAsia"/>
          <w:color w:val="auto"/>
          <w:szCs w:val="28"/>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_Toc6290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8EFC87B">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"_Toc5936" </w:instrText>
      </w:r>
      <w:r>
        <w:rPr>
          <w:color w:val="auto"/>
          <w:highlight w:val="none"/>
        </w:rPr>
        <w:fldChar w:fldCharType="separate"/>
      </w:r>
      <w:r>
        <w:rPr>
          <w:rFonts w:hint="eastAsia" w:asciiTheme="minorEastAsia" w:hAnsiTheme="minorEastAsia" w:eastAsiaTheme="minorEastAsia"/>
          <w:color w:val="auto"/>
          <w:szCs w:val="28"/>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_Toc5936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D7D52E6">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"_Toc32553" </w:instrText>
      </w:r>
      <w:r>
        <w:rPr>
          <w:color w:val="auto"/>
          <w:highlight w:val="none"/>
        </w:rPr>
        <w:fldChar w:fldCharType="separate"/>
      </w:r>
      <w:r>
        <w:rPr>
          <w:rFonts w:hint="eastAsia" w:asciiTheme="minorEastAsia" w:hAnsiTheme="minorEastAsia" w:eastAsiaTheme="minorEastAsia"/>
          <w:color w:val="auto"/>
          <w:szCs w:val="28"/>
          <w:highlight w:val="none"/>
        </w:rPr>
        <w:t>第五章  嘉兴市政府采购合同（指引）</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08CC1F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"_Toc21187" </w:instrText>
      </w:r>
      <w:r>
        <w:rPr>
          <w:color w:val="auto"/>
          <w:highlight w:val="none"/>
        </w:rPr>
        <w:fldChar w:fldCharType="separate"/>
      </w:r>
      <w:r>
        <w:rPr>
          <w:rFonts w:hint="eastAsia" w:asciiTheme="minorEastAsia" w:hAnsiTheme="minorEastAsia" w:eastAsiaTheme="minorEastAsia"/>
          <w:color w:val="auto"/>
          <w:szCs w:val="28"/>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_Toc21187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7F1FAED">
      <w:pPr>
        <w:spacing w:line="360" w:lineRule="auto"/>
        <w:rPr>
          <w:rFonts w:asciiTheme="minorEastAsia" w:hAnsiTheme="minorEastAsia" w:eastAsiaTheme="minorEastAsia"/>
          <w:color w:val="auto"/>
          <w:szCs w:val="21"/>
          <w:highlight w:val="none"/>
        </w:rPr>
        <w:sectPr>
          <w:headerReference r:id="rId3" w:type="default"/>
          <w:footerReference r:id="rId4" w:type="default"/>
          <w:pgSz w:w="11906" w:h="16838"/>
          <w:pgMar w:top="1134" w:right="1134" w:bottom="1134" w:left="1134" w:header="680" w:footer="992" w:gutter="0"/>
          <w:pgNumType w:start="0"/>
          <w:cols w:space="720" w:num="1"/>
          <w:titlePg/>
          <w:docGrid w:type="lines" w:linePitch="312" w:charSpace="0"/>
        </w:sectPr>
      </w:pPr>
      <w:r>
        <w:rPr>
          <w:rFonts w:hint="eastAsia" w:asciiTheme="minorEastAsia" w:hAnsiTheme="minorEastAsia" w:eastAsiaTheme="minorEastAsia"/>
          <w:color w:val="auto"/>
          <w:kern w:val="2"/>
          <w:szCs w:val="28"/>
          <w:highlight w:val="none"/>
        </w:rPr>
        <w:fldChar w:fldCharType="end"/>
      </w:r>
    </w:p>
    <w:p w14:paraId="7235CFCF">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 w:name="_Toc20323"/>
      <w:r>
        <w:rPr>
          <w:rFonts w:hint="eastAsia" w:asciiTheme="minorEastAsia" w:hAnsiTheme="minorEastAsia" w:eastAsiaTheme="minorEastAsia"/>
          <w:b/>
          <w:color w:val="auto"/>
          <w:sz w:val="28"/>
          <w:szCs w:val="28"/>
          <w:highlight w:val="none"/>
        </w:rPr>
        <w:t>第一章 竞争性磋商公告</w:t>
      </w:r>
      <w:bookmarkEnd w:id="1"/>
    </w:p>
    <w:p w14:paraId="2FAC5B47">
      <w:pPr>
        <w:spacing w:line="360" w:lineRule="auto"/>
        <w:ind w:firstLine="420" w:firstLineChars="200"/>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政府采购竞争性磋商采购方式管理暂行办法</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，嘉兴市银建工程咨询评估有限公司受采购人的委托，经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秀洲区财政局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临[2025]129号</w:t>
      </w:r>
      <w:r>
        <w:rPr>
          <w:rFonts w:hint="eastAsia"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color w:val="auto"/>
          <w:kern w:val="2"/>
          <w:szCs w:val="21"/>
          <w:highlight w:val="none"/>
          <w:u w:val="single"/>
        </w:rPr>
        <w:t>竞争性磋商</w:t>
      </w:r>
      <w:r>
        <w:rPr>
          <w:rFonts w:hint="eastAsia" w:asciiTheme="minorEastAsia" w:hAnsiTheme="minorEastAsia" w:eastAsiaTheme="minorEastAsia"/>
          <w:color w:val="auto"/>
          <w:kern w:val="2"/>
          <w:szCs w:val="21"/>
          <w:highlight w:val="none"/>
        </w:rPr>
        <w:t>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14:paraId="074EBB60">
      <w:pPr>
        <w:pStyle w:val="341"/>
        <w:widowControl w:val="0"/>
        <w:spacing w:line="360" w:lineRule="auto"/>
        <w:ind w:firstLine="0" w:firstLineChars="0"/>
        <w:jc w:val="both"/>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项目编号：</w:t>
      </w:r>
      <w:r>
        <w:rPr>
          <w:rFonts w:hint="eastAsia" w:asciiTheme="minorEastAsia" w:hAnsiTheme="minorEastAsia" w:eastAsiaTheme="minorEastAsia"/>
          <w:color w:val="auto"/>
          <w:kern w:val="2"/>
          <w:szCs w:val="21"/>
          <w:highlight w:val="none"/>
          <w:lang w:eastAsia="zh-CN"/>
        </w:rPr>
        <w:t>银建-JXYJ（2025）03号</w:t>
      </w:r>
    </w:p>
    <w:p w14:paraId="2B4CA510">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二、采购组织类型：</w:t>
      </w:r>
      <w:r>
        <w:rPr>
          <w:rFonts w:hint="eastAsia" w:asciiTheme="minorEastAsia" w:hAnsiTheme="minorEastAsia" w:eastAsiaTheme="minorEastAsia"/>
          <w:color w:val="auto"/>
          <w:kern w:val="2"/>
          <w:szCs w:val="21"/>
          <w:highlight w:val="none"/>
        </w:rPr>
        <w:t xml:space="preserve">分散采购委托代理 </w:t>
      </w:r>
    </w:p>
    <w:p w14:paraId="039245FD">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三、采购方式：</w:t>
      </w:r>
      <w:r>
        <w:rPr>
          <w:rFonts w:hint="eastAsia" w:asciiTheme="minorEastAsia" w:hAnsiTheme="minorEastAsia" w:eastAsiaTheme="minorEastAsia"/>
          <w:color w:val="auto"/>
          <w:kern w:val="2"/>
          <w:szCs w:val="21"/>
          <w:highlight w:val="none"/>
        </w:rPr>
        <w:t>竞争性磋商</w:t>
      </w:r>
    </w:p>
    <w:p w14:paraId="5E86D612">
      <w:pPr>
        <w:pStyle w:val="341"/>
        <w:widowControl w:val="0"/>
        <w:spacing w:line="360" w:lineRule="auto"/>
        <w:ind w:firstLine="0" w:firstLineChars="0"/>
        <w:jc w:val="both"/>
        <w:rPr>
          <w:rFonts w:hint="default" w:asciiTheme="minorEastAsia" w:hAnsiTheme="minorEastAsia" w:eastAsiaTheme="minorEastAsia"/>
          <w:b/>
          <w:color w:val="auto"/>
          <w:kern w:val="2"/>
          <w:szCs w:val="21"/>
          <w:highlight w:val="none"/>
          <w:lang w:val="en-US" w:eastAsia="zh-CN"/>
        </w:rPr>
      </w:pPr>
      <w:r>
        <w:rPr>
          <w:rFonts w:hint="eastAsia" w:asciiTheme="minorEastAsia" w:hAnsiTheme="minorEastAsia" w:eastAsiaTheme="minorEastAsia"/>
          <w:b/>
          <w:color w:val="auto"/>
          <w:kern w:val="2"/>
          <w:szCs w:val="21"/>
          <w:highlight w:val="none"/>
        </w:rPr>
        <w:t>四、采购预算：</w:t>
      </w:r>
      <w:r>
        <w:rPr>
          <w:rFonts w:hint="eastAsia" w:asciiTheme="minorEastAsia" w:hAnsiTheme="minorEastAsia" w:eastAsiaTheme="minorEastAsia"/>
          <w:bCs/>
          <w:color w:val="auto"/>
          <w:kern w:val="2"/>
          <w:szCs w:val="21"/>
          <w:highlight w:val="none"/>
          <w:lang w:val="en-US" w:eastAsia="zh-CN"/>
        </w:rPr>
        <w:t>390.0000</w:t>
      </w:r>
      <w:r>
        <w:rPr>
          <w:rFonts w:hint="eastAsia" w:asciiTheme="minorEastAsia" w:hAnsiTheme="minorEastAsia" w:eastAsiaTheme="minorEastAsia"/>
          <w:color w:val="auto"/>
          <w:kern w:val="2"/>
          <w:szCs w:val="21"/>
          <w:highlight w:val="none"/>
        </w:rPr>
        <w:t>万元</w:t>
      </w:r>
      <w:r>
        <w:rPr>
          <w:rFonts w:hint="eastAsia" w:asciiTheme="minorEastAsia" w:hAnsiTheme="minorEastAsia" w:eastAsiaTheme="minorEastAsia"/>
          <w:color w:val="auto"/>
          <w:kern w:val="2"/>
          <w:szCs w:val="21"/>
          <w:highlight w:val="none"/>
          <w:lang w:eastAsia="zh-CN"/>
        </w:rPr>
        <w:t>，</w:t>
      </w:r>
      <w:r>
        <w:rPr>
          <w:rFonts w:hint="eastAsia" w:asciiTheme="minorEastAsia" w:hAnsiTheme="minorEastAsia" w:eastAsiaTheme="minorEastAsia"/>
          <w:color w:val="auto"/>
          <w:kern w:val="2"/>
          <w:szCs w:val="21"/>
          <w:highlight w:val="none"/>
          <w:lang w:val="en-US" w:eastAsia="zh-CN"/>
        </w:rPr>
        <w:t>招标控制价：389.6770万元</w:t>
      </w:r>
    </w:p>
    <w:p w14:paraId="2211684F">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五、项目名称：</w:t>
      </w:r>
      <w:r>
        <w:rPr>
          <w:rFonts w:hint="eastAsia" w:asciiTheme="minorEastAsia" w:hAnsiTheme="minorEastAsia" w:eastAsiaTheme="minorEastAsia"/>
          <w:color w:val="auto"/>
          <w:kern w:val="2"/>
          <w:szCs w:val="21"/>
          <w:highlight w:val="none"/>
          <w:lang w:eastAsia="zh-CN"/>
        </w:rPr>
        <w:t>新城街道派出所营房内部改造项目</w:t>
      </w:r>
    </w:p>
    <w:p w14:paraId="4B6CEECE">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六、采购内容:</w:t>
      </w:r>
    </w:p>
    <w:tbl>
      <w:tblPr>
        <w:tblStyle w:val="54"/>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6"/>
        <w:gridCol w:w="3379"/>
        <w:gridCol w:w="685"/>
        <w:gridCol w:w="876"/>
        <w:gridCol w:w="2697"/>
        <w:gridCol w:w="1468"/>
      </w:tblGrid>
      <w:tr w14:paraId="3D36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trPr>
        <w:tc>
          <w:tcPr>
            <w:tcW w:w="646" w:type="dxa"/>
            <w:tcBorders>
              <w:top w:val="single" w:color="auto" w:sz="4" w:space="0"/>
              <w:left w:val="single" w:color="auto" w:sz="4" w:space="0"/>
              <w:bottom w:val="single" w:color="auto" w:sz="4" w:space="0"/>
              <w:right w:val="single" w:color="auto" w:sz="4" w:space="0"/>
            </w:tcBorders>
            <w:vAlign w:val="center"/>
          </w:tcPr>
          <w:p w14:paraId="3552A9C5">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vAlign w:val="center"/>
          </w:tcPr>
          <w:p w14:paraId="1BC35DF1">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项目名称</w:t>
            </w:r>
          </w:p>
        </w:tc>
        <w:tc>
          <w:tcPr>
            <w:tcW w:w="685" w:type="dxa"/>
            <w:tcBorders>
              <w:top w:val="single" w:color="auto" w:sz="4" w:space="0"/>
              <w:left w:val="single" w:color="auto" w:sz="4" w:space="0"/>
              <w:bottom w:val="single" w:color="auto" w:sz="4" w:space="0"/>
              <w:right w:val="single" w:color="auto" w:sz="4" w:space="0"/>
            </w:tcBorders>
            <w:vAlign w:val="center"/>
          </w:tcPr>
          <w:p w14:paraId="16BD3836">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2E137AB9">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单位</w:t>
            </w:r>
          </w:p>
        </w:tc>
        <w:tc>
          <w:tcPr>
            <w:tcW w:w="2697" w:type="dxa"/>
            <w:tcBorders>
              <w:top w:val="single" w:color="auto" w:sz="4" w:space="0"/>
              <w:left w:val="single" w:color="auto" w:sz="4" w:space="0"/>
              <w:bottom w:val="single" w:color="auto" w:sz="4" w:space="0"/>
              <w:right w:val="single" w:color="auto" w:sz="4" w:space="0"/>
            </w:tcBorders>
            <w:vAlign w:val="center"/>
          </w:tcPr>
          <w:p w14:paraId="5A6A479C">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工期</w:t>
            </w:r>
          </w:p>
        </w:tc>
        <w:tc>
          <w:tcPr>
            <w:tcW w:w="1468" w:type="dxa"/>
            <w:tcBorders>
              <w:top w:val="single" w:color="auto" w:sz="4" w:space="0"/>
              <w:left w:val="single" w:color="auto" w:sz="4" w:space="0"/>
              <w:bottom w:val="single" w:color="auto" w:sz="4" w:space="0"/>
              <w:right w:val="single" w:color="auto" w:sz="4" w:space="0"/>
            </w:tcBorders>
            <w:vAlign w:val="center"/>
          </w:tcPr>
          <w:p w14:paraId="0B82A690">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14:paraId="0EF3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trPr>
        <w:tc>
          <w:tcPr>
            <w:tcW w:w="646" w:type="dxa"/>
            <w:tcBorders>
              <w:top w:val="single" w:color="auto" w:sz="4" w:space="0"/>
              <w:left w:val="single" w:color="auto" w:sz="4" w:space="0"/>
              <w:bottom w:val="single" w:color="auto" w:sz="4" w:space="0"/>
              <w:right w:val="single" w:color="auto" w:sz="4" w:space="0"/>
            </w:tcBorders>
            <w:vAlign w:val="center"/>
          </w:tcPr>
          <w:p w14:paraId="3C82349A">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3379" w:type="dxa"/>
            <w:tcBorders>
              <w:top w:val="single" w:color="auto" w:sz="4" w:space="0"/>
              <w:left w:val="single" w:color="auto" w:sz="4" w:space="0"/>
              <w:bottom w:val="single" w:color="auto" w:sz="4" w:space="0"/>
              <w:right w:val="single" w:color="auto" w:sz="4" w:space="0"/>
            </w:tcBorders>
            <w:vAlign w:val="center"/>
          </w:tcPr>
          <w:p w14:paraId="58B1F483">
            <w:pPr>
              <w:snapToGrid w:val="0"/>
              <w:spacing w:line="360" w:lineRule="auto"/>
              <w:jc w:val="center"/>
              <w:rPr>
                <w:rFonts w:hint="eastAsia"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color w:val="auto"/>
                <w:szCs w:val="21"/>
                <w:highlight w:val="none"/>
                <w:lang w:eastAsia="zh-CN"/>
              </w:rPr>
              <w:t>新城街道派出所营房内部改造项目</w:t>
            </w:r>
          </w:p>
        </w:tc>
        <w:tc>
          <w:tcPr>
            <w:tcW w:w="685" w:type="dxa"/>
            <w:tcBorders>
              <w:top w:val="single" w:color="auto" w:sz="4" w:space="0"/>
              <w:left w:val="single" w:color="auto" w:sz="4" w:space="0"/>
              <w:bottom w:val="single" w:color="auto" w:sz="4" w:space="0"/>
              <w:right w:val="single" w:color="auto" w:sz="4" w:space="0"/>
            </w:tcBorders>
            <w:vAlign w:val="center"/>
          </w:tcPr>
          <w:p w14:paraId="074E1222">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876" w:type="dxa"/>
            <w:tcBorders>
              <w:top w:val="single" w:color="auto" w:sz="4" w:space="0"/>
              <w:left w:val="single" w:color="auto" w:sz="4" w:space="0"/>
              <w:bottom w:val="single" w:color="auto" w:sz="4" w:space="0"/>
              <w:right w:val="single" w:color="auto" w:sz="4" w:space="0"/>
            </w:tcBorders>
            <w:vAlign w:val="center"/>
          </w:tcPr>
          <w:p w14:paraId="5428D861">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项</w:t>
            </w:r>
          </w:p>
        </w:tc>
        <w:tc>
          <w:tcPr>
            <w:tcW w:w="2697" w:type="dxa"/>
            <w:tcBorders>
              <w:top w:val="single" w:color="auto" w:sz="4" w:space="0"/>
              <w:left w:val="single" w:color="auto" w:sz="4" w:space="0"/>
              <w:bottom w:val="single" w:color="auto" w:sz="4" w:space="0"/>
              <w:right w:val="single" w:color="auto" w:sz="4" w:space="0"/>
            </w:tcBorders>
            <w:vAlign w:val="center"/>
          </w:tcPr>
          <w:p w14:paraId="4FDC078F">
            <w:pPr>
              <w:adjustRightInd w:val="0"/>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合同签订后150天内完成</w:t>
            </w:r>
            <w:r>
              <w:rPr>
                <w:rFonts w:hint="eastAsia" w:asciiTheme="minorEastAsia" w:hAnsiTheme="minorEastAsia" w:eastAsiaTheme="minorEastAsia"/>
                <w:color w:val="auto"/>
                <w:szCs w:val="21"/>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5072FCF3">
            <w:pPr>
              <w:adjustRightInd w:val="0"/>
              <w:snapToGrid w:val="0"/>
              <w:spacing w:line="360" w:lineRule="auto"/>
              <w:jc w:val="center"/>
              <w:rPr>
                <w:rFonts w:hint="eastAsia" w:asciiTheme="minorEastAsia" w:hAnsiTheme="minorEastAsia" w:eastAsiaTheme="minorEastAsia"/>
                <w:color w:val="auto"/>
                <w:szCs w:val="21"/>
                <w:highlight w:val="none"/>
                <w:lang w:eastAsia="zh-CN"/>
              </w:rPr>
            </w:pPr>
          </w:p>
        </w:tc>
      </w:tr>
    </w:tbl>
    <w:p w14:paraId="3CF8DCEF">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七、供应商的资格要求:</w:t>
      </w:r>
    </w:p>
    <w:p w14:paraId="074D0531">
      <w:pPr>
        <w:spacing w:before="52" w:after="52" w:line="360" w:lineRule="auto"/>
        <w:ind w:right="52"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（一）符合政府采购法第二十二条规定的供应商资格条件：</w:t>
      </w:r>
    </w:p>
    <w:p w14:paraId="5A6B2F6A">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1.具有独立承担民事责任的能力； </w:t>
      </w:r>
    </w:p>
    <w:p w14:paraId="6A54D08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2.具有良好的商业信誉和健全的财务会计制度； </w:t>
      </w:r>
    </w:p>
    <w:p w14:paraId="509B180C">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3.具有履行合同所必需的设备和专业技术能力； </w:t>
      </w:r>
    </w:p>
    <w:p w14:paraId="381C222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4.有依法缴纳税收和社会保障资金的良好记录； </w:t>
      </w:r>
    </w:p>
    <w:p w14:paraId="467492B1">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5.参加政府采购活动前三年内，在经营活动中没有重大违法记录； </w:t>
      </w:r>
    </w:p>
    <w:p w14:paraId="77371554">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6.符合法律、行政法规规定的其他条件；</w:t>
      </w:r>
    </w:p>
    <w:p w14:paraId="6B39472A">
      <w:pPr>
        <w:snapToGrid w:val="0"/>
        <w:spacing w:line="360" w:lineRule="auto"/>
        <w:ind w:firstLine="211" w:firstLineChars="100"/>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（二）落实政府采购政策需满足的资格要求：</w:t>
      </w:r>
    </w:p>
    <w:p w14:paraId="4825A53C">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 xml:space="preserve">无； </w:t>
      </w:r>
    </w:p>
    <w:p w14:paraId="757790F0">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专门面向中小企业</w:t>
      </w:r>
    </w:p>
    <w:p w14:paraId="705224FD">
      <w:pPr>
        <w:spacing w:before="52" w:after="52" w:line="360" w:lineRule="auto"/>
        <w:ind w:left="239" w:leftChars="114" w:right="52"/>
        <w:rPr>
          <w:rFonts w:hint="eastAsia" w:eastAsia="宋体" w:asciiTheme="minorEastAsia" w:hAnsiTheme="minorEastAsia"/>
          <w:color w:val="auto"/>
          <w:kern w:val="2"/>
          <w:szCs w:val="21"/>
          <w:highlight w:val="none"/>
          <w:lang w:eastAsia="zh-CN"/>
        </w:rPr>
      </w:pPr>
      <w:r>
        <w:rPr>
          <w:rFonts w:hint="eastAsia" w:asciiTheme="minorEastAsia" w:hAnsiTheme="minorEastAsia" w:eastAsiaTheme="minorEastAsia"/>
          <w:b/>
          <w:bCs/>
          <w:color w:val="auto"/>
          <w:kern w:val="2"/>
          <w:szCs w:val="21"/>
          <w:highlight w:val="none"/>
        </w:rPr>
        <w:t>（三）本项目的特定资格要求：企业资质：具有</w:t>
      </w:r>
      <w:r>
        <w:rPr>
          <w:rFonts w:hint="eastAsia" w:asciiTheme="minorEastAsia" w:hAnsiTheme="minorEastAsia" w:eastAsiaTheme="minorEastAsia"/>
          <w:b/>
          <w:bCs/>
          <w:color w:val="auto"/>
          <w:kern w:val="2"/>
          <w:szCs w:val="21"/>
          <w:highlight w:val="none"/>
          <w:lang w:eastAsia="zh-CN"/>
        </w:rPr>
        <w:t>建筑装修装饰工程专业承包贰级</w:t>
      </w:r>
      <w:r>
        <w:rPr>
          <w:rFonts w:hint="eastAsia" w:asciiTheme="minorEastAsia" w:hAnsiTheme="minorEastAsia" w:eastAsiaTheme="minorEastAsia"/>
          <w:b/>
          <w:bCs/>
          <w:color w:val="auto"/>
          <w:kern w:val="2"/>
          <w:szCs w:val="21"/>
          <w:highlight w:val="none"/>
        </w:rPr>
        <w:t>及以上资质和有效的企业安全生产许可证。</w:t>
      </w:r>
      <w:r>
        <w:rPr>
          <w:rFonts w:hint="eastAsia" w:ascii="宋体" w:hAnsi="宋体" w:eastAsia="宋体" w:cs="宋体"/>
          <w:b/>
          <w:color w:val="auto"/>
          <w:szCs w:val="21"/>
          <w:highlight w:val="none"/>
        </w:rPr>
        <w:t>项目负责人：拟派项目负责人具有注册在投标人单位的</w:t>
      </w:r>
      <w:r>
        <w:rPr>
          <w:rFonts w:hint="eastAsia" w:ascii="宋体" w:hAnsi="宋体" w:cs="宋体"/>
          <w:b/>
          <w:color w:val="auto"/>
          <w:szCs w:val="21"/>
          <w:highlight w:val="none"/>
          <w:lang w:eastAsia="zh-CN"/>
        </w:rPr>
        <w:t>房屋建筑工程</w:t>
      </w:r>
      <w:r>
        <w:rPr>
          <w:rFonts w:hint="eastAsia" w:ascii="宋体" w:hAnsi="宋体" w:eastAsia="宋体" w:cs="宋体"/>
          <w:b/>
          <w:color w:val="auto"/>
          <w:szCs w:val="21"/>
          <w:highlight w:val="none"/>
        </w:rPr>
        <w:t>二级及以上注册建造师执业资格， 同时具有有效的专职安全生产管理人员B类证书</w:t>
      </w:r>
      <w:r>
        <w:rPr>
          <w:rFonts w:hint="eastAsia" w:ascii="宋体" w:hAnsi="宋体" w:eastAsia="宋体" w:cs="宋体"/>
          <w:b/>
          <w:color w:val="auto"/>
          <w:szCs w:val="21"/>
          <w:highlight w:val="none"/>
          <w:lang w:eastAsia="zh-CN"/>
        </w:rPr>
        <w:t>。</w:t>
      </w:r>
    </w:p>
    <w:p w14:paraId="34D6927A">
      <w:pPr>
        <w:spacing w:before="52" w:after="52" w:line="360" w:lineRule="auto"/>
        <w:ind w:left="239" w:leftChars="114" w:right="52"/>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（四）承诺：符合浙财采监【2013】24号《关于规范政府采购供应商资格设定及资格审查的通知》第六条规定,且未被“信用中国”（www.creditchina.gov.c</w:t>
      </w:r>
      <w:r>
        <w:rPr>
          <w:rFonts w:hint="eastAsia" w:cs="Arial" w:asciiTheme="minorEastAsia" w:hAnsiTheme="minorEastAsia" w:eastAsiaTheme="minorEastAsia"/>
          <w:color w:val="auto"/>
          <w:szCs w:val="21"/>
          <w:highlight w:val="none"/>
        </w:rPr>
        <w:t>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14:paraId="437A914F">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（五）</w:t>
      </w:r>
      <w:r>
        <w:rPr>
          <w:rFonts w:hint="eastAsia" w:cs="Arial" w:asciiTheme="minorEastAsia" w:hAnsiTheme="minorEastAsia" w:eastAsiaTheme="minorEastAsia"/>
          <w:b/>
          <w:color w:val="auto"/>
          <w:szCs w:val="21"/>
          <w:highlight w:val="none"/>
        </w:rPr>
        <w:t>本项目不接受联合体投标。</w:t>
      </w:r>
    </w:p>
    <w:p w14:paraId="4A5BFEEC">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注：本采购项目，中标单位与采购单位签订的政府采购合同适用于嘉兴市政府采购贷款政策，简称“政采贷”，具体内容可参阅政府采购贷款流程： </w:t>
      </w:r>
      <w:r>
        <w:rPr>
          <w:color w:val="auto"/>
          <w:highlight w:val="none"/>
        </w:rPr>
        <w:fldChar w:fldCharType="begin"/>
      </w:r>
      <w:r>
        <w:rPr>
          <w:color w:val="auto"/>
          <w:highlight w:val="none"/>
        </w:rPr>
        <w:instrText xml:space="preserve"> HYPERLINK "http://www.jxzbtb.cn/zxfw/005012/20181016/7e541bf4-ad29-4286-ace8-d12c1b2c54fc.html?tdsourcetag=s_pcqq_aiomsg" </w:instrText>
      </w:r>
      <w:r>
        <w:rPr>
          <w:color w:val="auto"/>
          <w:highlight w:val="none"/>
        </w:rPr>
        <w:fldChar w:fldCharType="separate"/>
      </w:r>
      <w:r>
        <w:rPr>
          <w:rFonts w:asciiTheme="minorEastAsia" w:hAnsiTheme="minorEastAsia" w:eastAsiaTheme="minorEastAsia"/>
          <w:color w:val="auto"/>
          <w:kern w:val="2"/>
          <w:szCs w:val="21"/>
          <w:highlight w:val="none"/>
        </w:rPr>
        <w:t>http://www.jxzbtb.cn/zxfw/005012/20181016/7e541bf4-ad29-4286-ace8-d12c1b2c54fc.html?tdsourcetag=s_pcqq_aiomsg</w:t>
      </w:r>
      <w:r>
        <w:rPr>
          <w:rFonts w:asciiTheme="minorEastAsia" w:hAnsiTheme="minorEastAsia" w:eastAsiaTheme="minorEastAsia"/>
          <w:color w:val="auto"/>
          <w:kern w:val="2"/>
          <w:szCs w:val="21"/>
          <w:highlight w:val="none"/>
        </w:rPr>
        <w:fldChar w:fldCharType="end"/>
      </w:r>
    </w:p>
    <w:p w14:paraId="42E71397">
      <w:pPr>
        <w:spacing w:line="360" w:lineRule="auto"/>
        <w:rPr>
          <w:rFonts w:cs="宋体"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kern w:val="2"/>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自公告发布之日至投标截止时间止  </w:t>
      </w:r>
    </w:p>
    <w:p w14:paraId="69CB3744">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九、磋商说明：</w:t>
      </w:r>
    </w:p>
    <w:p w14:paraId="782A66F9">
      <w:pPr>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w:t>
      </w:r>
      <w:r>
        <w:rPr>
          <w:rFonts w:hint="eastAsia" w:asciiTheme="minorEastAsia" w:hAnsiTheme="minorEastAsia" w:eastAsiaTheme="minorEastAsia"/>
          <w:b/>
          <w:color w:val="auto"/>
          <w:kern w:val="2"/>
          <w:szCs w:val="21"/>
          <w:highlight w:val="none"/>
        </w:rPr>
        <w:t>400-881-7190。</w:t>
      </w:r>
    </w:p>
    <w:p w14:paraId="17243C9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（二）获取磋商文件（报名）</w:t>
      </w:r>
      <w:r>
        <w:rPr>
          <w:rFonts w:asciiTheme="minorEastAsia" w:hAnsiTheme="minorEastAsia" w:eastAsiaTheme="minorEastAsia"/>
          <w:color w:val="auto"/>
          <w:kern w:val="2"/>
          <w:szCs w:val="21"/>
          <w:highlight w:val="none"/>
        </w:rPr>
        <w:t>：</w:t>
      </w:r>
    </w:p>
    <w:p w14:paraId="5FDD2BF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5A0B2A0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https://login.zcygov.cn/login</w:t>
      </w:r>
      <w:r>
        <w:rPr>
          <w:rFonts w:hint="eastAsia" w:asciiTheme="minorEastAsia" w:hAnsiTheme="minorEastAsia" w:eastAsiaTheme="minorEastAsia"/>
          <w:color w:val="auto"/>
          <w:kern w:val="2"/>
          <w:szCs w:val="21"/>
          <w:highlight w:val="none"/>
        </w:rPr>
        <w:fldChar w:fldCharType="end"/>
      </w:r>
    </w:p>
    <w:p w14:paraId="2BD9B527">
      <w:pPr>
        <w:spacing w:line="360" w:lineRule="auto"/>
        <w:ind w:firstLine="210" w:firstLineChars="100"/>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color w:val="auto"/>
          <w:kern w:val="2"/>
          <w:szCs w:val="21"/>
          <w:highlight w:val="none"/>
        </w:rPr>
        <w:t>3.获取时间：</w:t>
      </w:r>
      <w:r>
        <w:rPr>
          <w:rFonts w:hint="eastAsia" w:asciiTheme="minorEastAsia" w:hAnsiTheme="minorEastAsia" w:eastAsiaTheme="minorEastAsia"/>
          <w:b/>
          <w:color w:val="auto"/>
          <w:szCs w:val="21"/>
          <w:highlight w:val="none"/>
          <w:shd w:val="clear" w:color="auto" w:fill="FFFFFF"/>
          <w:lang w:eastAsia="zh-CN"/>
        </w:rPr>
        <w:t>2025年3月17日14时00分</w:t>
      </w:r>
      <w:r>
        <w:rPr>
          <w:rFonts w:hint="eastAsia" w:cs="宋体" w:asciiTheme="minorEastAsia" w:hAnsiTheme="minorEastAsia" w:eastAsiaTheme="minorEastAsia"/>
          <w:b/>
          <w:bCs/>
          <w:color w:val="auto"/>
          <w:szCs w:val="21"/>
          <w:highlight w:val="none"/>
        </w:rPr>
        <w:t>整</w:t>
      </w:r>
      <w:r>
        <w:rPr>
          <w:rFonts w:hint="eastAsia" w:cs="宋体" w:asciiTheme="minorEastAsia" w:hAnsiTheme="minorEastAsia" w:eastAsiaTheme="minorEastAsia"/>
          <w:bCs/>
          <w:color w:val="auto"/>
          <w:szCs w:val="21"/>
          <w:highlight w:val="none"/>
        </w:rPr>
        <w:t>前在上述时间内供应商均可获取招标文件。</w:t>
      </w:r>
    </w:p>
    <w:p w14:paraId="0E789239">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4.供应商注册网址：</w:t>
      </w:r>
    </w:p>
    <w:p w14:paraId="2B27BC06">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asciiTheme="minorEastAsia" w:hAnsiTheme="minorEastAsia" w:eastAsiaTheme="minorEastAsia"/>
          <w:color w:val="auto"/>
          <w:kern w:val="2"/>
          <w:highlight w:val="none"/>
        </w:rPr>
        <w:t>https://middle.zcygov.cn/settle-front/#/registry</w:t>
      </w:r>
      <w:r>
        <w:rPr>
          <w:rFonts w:hint="eastAsia" w:asciiTheme="minorEastAsia" w:hAnsiTheme="minorEastAsia" w:eastAsiaTheme="minorEastAsia"/>
          <w:color w:val="auto"/>
          <w:kern w:val="2"/>
          <w:highlight w:val="none"/>
        </w:rPr>
        <w:fldChar w:fldCharType="end"/>
      </w:r>
    </w:p>
    <w:p w14:paraId="7BDEB46C">
      <w:pPr>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政采云咨询电话：95763</w:t>
      </w:r>
      <w:r>
        <w:rPr>
          <w:rFonts w:hint="eastAsia" w:asciiTheme="minorEastAsia" w:hAnsiTheme="minorEastAsia" w:eastAsiaTheme="minorEastAsia"/>
          <w:color w:val="auto"/>
          <w:kern w:val="2"/>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https://service.zcygov.cn/#/</w:t>
      </w:r>
      <w:r>
        <w:rPr>
          <w:rFonts w:hint="eastAsia" w:asciiTheme="minorEastAsia" w:hAnsiTheme="minorEastAsia" w:eastAsiaTheme="minorEastAsia"/>
          <w:color w:val="auto"/>
          <w:kern w:val="2"/>
          <w:szCs w:val="21"/>
          <w:highlight w:val="none"/>
        </w:rPr>
        <w:fldChar w:fldCharType="end"/>
      </w:r>
    </w:p>
    <w:p w14:paraId="1E000BEC">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汇信（ＣＡ）客服电话：400-888-4636</w:t>
      </w:r>
    </w:p>
    <w:p w14:paraId="235C2DC6">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5.响应文件</w:t>
      </w:r>
      <w:r>
        <w:rPr>
          <w:rFonts w:cs="Times New Roman" w:asciiTheme="minorEastAsia" w:hAnsiTheme="minorEastAsia" w:eastAsiaTheme="minorEastAsia"/>
          <w:color w:val="auto"/>
          <w:kern w:val="2"/>
          <w:sz w:val="21"/>
          <w:szCs w:val="21"/>
          <w:highlight w:val="none"/>
        </w:rPr>
        <w:t>制作</w:t>
      </w:r>
      <w:r>
        <w:rPr>
          <w:rFonts w:hint="eastAsia" w:cs="Times New Roman" w:asciiTheme="minorEastAsia" w:hAnsiTheme="minorEastAsia" w:eastAsiaTheme="minorEastAsia"/>
          <w:color w:val="auto"/>
          <w:kern w:val="2"/>
          <w:sz w:val="21"/>
          <w:szCs w:val="21"/>
          <w:highlight w:val="none"/>
        </w:rPr>
        <w:t>注意事项：</w:t>
      </w:r>
    </w:p>
    <w:p w14:paraId="076E61AC">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5.1供应商将政采云电子交易客户端下载、安装完成后，可通过账号密码或CA登录客户端进行投标文件制作。</w:t>
      </w:r>
    </w:p>
    <w:p w14:paraId="15F42402">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shd w:val="clear" w:color="auto" w:fill="FFFFFF"/>
        </w:rPr>
        <w:t>　　</w:t>
      </w:r>
      <w:r>
        <w:rPr>
          <w:rFonts w:hint="eastAsia" w:cs="Times New Roman" w:asciiTheme="minorEastAsia" w:hAnsiTheme="minorEastAsia" w:eastAsiaTheme="minorEastAsia"/>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5AAACF5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https://help.zcygov.cn/web/site_2/2018/12-28/2573.html</w:t>
      </w:r>
      <w:r>
        <w:rPr>
          <w:rFonts w:hint="eastAsia" w:cs="Times New Roman" w:asciiTheme="minorEastAsia" w:hAnsiTheme="minorEastAsia" w:eastAsiaTheme="minorEastAsia"/>
          <w:color w:val="auto"/>
          <w:kern w:val="2"/>
          <w:sz w:val="21"/>
          <w:szCs w:val="21"/>
          <w:highlight w:val="none"/>
        </w:rPr>
        <w:fldChar w:fldCharType="end"/>
      </w:r>
    </w:p>
    <w:p w14:paraId="78C7E988">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https://help.zcygov.cn/web/site_2/2018/11-29/2452.html</w:t>
      </w:r>
      <w:r>
        <w:rPr>
          <w:rFonts w:hint="eastAsia" w:cs="Times New Roman" w:asciiTheme="minorEastAsia" w:hAnsiTheme="minorEastAsia" w:eastAsiaTheme="minorEastAsia"/>
          <w:color w:val="auto"/>
          <w:kern w:val="2"/>
          <w:sz w:val="21"/>
          <w:szCs w:val="21"/>
          <w:highlight w:val="none"/>
        </w:rPr>
        <w:fldChar w:fldCharType="end"/>
      </w:r>
    </w:p>
    <w:p w14:paraId="09E1C5F3">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https://help.zcygov.cn/web/site_2/2019/08-20/3405.html</w:t>
      </w:r>
      <w:r>
        <w:rPr>
          <w:rFonts w:hint="eastAsia" w:cs="Times New Roman" w:asciiTheme="minorEastAsia" w:hAnsiTheme="minorEastAsia" w:eastAsiaTheme="minorEastAsia"/>
          <w:color w:val="auto"/>
          <w:kern w:val="2"/>
          <w:sz w:val="21"/>
          <w:szCs w:val="21"/>
          <w:highlight w:val="none"/>
        </w:rPr>
        <w:fldChar w:fldCharType="end"/>
      </w:r>
    </w:p>
    <w:p w14:paraId="39D1901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 xml:space="preserve">《CA驱动和申领流程》 </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http://www.zjzfcg.gov.cn/bidClientTemplate/2019-05-27/12945.html</w:t>
      </w:r>
      <w:r>
        <w:rPr>
          <w:rFonts w:hint="eastAsia" w:cs="Times New Roman" w:asciiTheme="minorEastAsia" w:hAnsiTheme="minorEastAsia" w:eastAsiaTheme="minorEastAsia"/>
          <w:color w:val="auto"/>
          <w:kern w:val="2"/>
          <w:sz w:val="21"/>
          <w:szCs w:val="21"/>
          <w:highlight w:val="none"/>
        </w:rPr>
        <w:fldChar w:fldCharType="end"/>
      </w:r>
    </w:p>
    <w:p w14:paraId="3BA1345B">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注：ＣＡ证书遗失补办、延期、解锁、质保等业务可以在联连客户端上进行操作；使用政采云投标客户端时，建议使用WIN7及以上操作系统。</w:t>
      </w:r>
    </w:p>
    <w:p w14:paraId="19B3836A">
      <w:pPr>
        <w:pStyle w:val="515"/>
        <w:spacing w:line="360" w:lineRule="auto"/>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十、注意事项</w:t>
      </w:r>
    </w:p>
    <w:p w14:paraId="289C3159">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1.供应商进行电子投标应安装客户端软件，并按照招标文件和电子交易平台的要求编制并加密投标文件。供应商未按规定加密的投标文件，代理机构应当拒收。</w:t>
      </w:r>
    </w:p>
    <w:p w14:paraId="5E8A10E0">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14:paraId="5A165CCD">
      <w:pPr>
        <w:spacing w:before="120" w:beforeLines="50" w:after="120" w:afterLines="50"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十一、磋商公告发布于</w:t>
      </w: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5"/>
          <w:rFonts w:asciiTheme="minorEastAsia" w:hAnsiTheme="minorEastAsia" w:eastAsiaTheme="minorEastAsia"/>
          <w:color w:val="auto"/>
          <w:kern w:val="2"/>
          <w:szCs w:val="21"/>
          <w:highlight w:val="none"/>
        </w:rPr>
        <w:t>http://www.zjzfcg.gov.cn/</w:t>
      </w:r>
      <w:r>
        <w:rPr>
          <w:rStyle w:val="65"/>
          <w:rFonts w:asciiTheme="minorEastAsia" w:hAnsiTheme="minorEastAsia" w:eastAsiaTheme="minorEastAsia"/>
          <w:color w:val="auto"/>
          <w:kern w:val="2"/>
          <w:szCs w:val="21"/>
          <w:highlight w:val="none"/>
        </w:rPr>
        <w:fldChar w:fldCharType="end"/>
      </w:r>
      <w:r>
        <w:rPr>
          <w:rFonts w:hint="eastAsia" w:asciiTheme="minorEastAsia" w:hAnsiTheme="minorEastAsia" w:eastAsiaTheme="minorEastAsia"/>
          <w:color w:val="auto"/>
          <w:kern w:val="2"/>
          <w:szCs w:val="21"/>
          <w:highlight w:val="none"/>
        </w:rPr>
        <w:t>)。</w:t>
      </w:r>
    </w:p>
    <w:p w14:paraId="776EB5A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kern w:val="2"/>
          <w:szCs w:val="21"/>
          <w:highlight w:val="none"/>
        </w:rPr>
        <w:t>十二、开标时间及地点：</w:t>
      </w: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2025年3月17日14时00分</w:t>
      </w:r>
      <w:r>
        <w:rPr>
          <w:rFonts w:hint="eastAsia" w:cs="宋体" w:asciiTheme="minorEastAsia" w:hAnsiTheme="minorEastAsia" w:eastAsiaTheme="minorEastAsia"/>
          <w:b/>
          <w:bCs/>
          <w:color w:val="auto"/>
          <w:szCs w:val="21"/>
          <w:highlight w:val="none"/>
        </w:rPr>
        <w:t>整</w:t>
      </w:r>
      <w:r>
        <w:rPr>
          <w:rFonts w:hint="eastAsia" w:asciiTheme="minorEastAsia" w:hAnsiTheme="minorEastAsia" w:eastAsiaTheme="minorEastAsia"/>
          <w:color w:val="auto"/>
          <w:kern w:val="2"/>
          <w:szCs w:val="21"/>
          <w:highlight w:val="none"/>
        </w:rPr>
        <w:t>在浙江省浙江省嘉兴市秀洲区</w:t>
      </w:r>
      <w:r>
        <w:rPr>
          <w:rFonts w:hint="eastAsia" w:asciiTheme="minorEastAsia" w:hAnsiTheme="minorEastAsia" w:eastAsiaTheme="minorEastAsia"/>
          <w:color w:val="auto"/>
          <w:kern w:val="2"/>
          <w:szCs w:val="21"/>
          <w:highlight w:val="none"/>
          <w:lang w:eastAsia="zh-CN"/>
        </w:rPr>
        <w:t>洪兴路</w:t>
      </w:r>
      <w:r>
        <w:rPr>
          <w:rFonts w:hint="eastAsia" w:asciiTheme="minorEastAsia" w:hAnsiTheme="minorEastAsia" w:eastAsiaTheme="minorEastAsia"/>
          <w:color w:val="auto"/>
          <w:kern w:val="2"/>
          <w:szCs w:val="21"/>
          <w:highlight w:val="none"/>
          <w:lang w:val="en-US" w:eastAsia="zh-CN"/>
        </w:rPr>
        <w:t>2399号宝地大厦15楼1506室</w:t>
      </w:r>
      <w:r>
        <w:rPr>
          <w:rFonts w:hint="eastAsia"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14:paraId="53B50D14">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十三、采购人</w:t>
      </w:r>
    </w:p>
    <w:p w14:paraId="1C9E1B37">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采购单位：嘉兴市秀洲区人民政府新城街道办事处</w:t>
      </w:r>
    </w:p>
    <w:p w14:paraId="0C13695A">
      <w:pPr>
        <w:spacing w:line="360" w:lineRule="auto"/>
        <w:rPr>
          <w:rFonts w:asciiTheme="minorEastAsia" w:hAnsiTheme="minorEastAsia" w:eastAsiaTheme="minorEastAsia"/>
          <w:color w:val="auto"/>
          <w:szCs w:val="21"/>
          <w:highlight w:val="none"/>
        </w:rPr>
      </w:pPr>
      <w:bookmarkStart w:id="2" w:name="_Toc5218"/>
      <w:bookmarkStart w:id="3" w:name="_Toc528441152"/>
      <w:bookmarkStart w:id="4" w:name="_Toc31529"/>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唐</w:t>
      </w:r>
      <w:r>
        <w:rPr>
          <w:rFonts w:hint="eastAsia" w:asciiTheme="minorEastAsia" w:hAnsiTheme="minorEastAsia" w:eastAsiaTheme="minorEastAsia"/>
          <w:color w:val="auto"/>
          <w:szCs w:val="21"/>
          <w:highlight w:val="none"/>
        </w:rPr>
        <w:t xml:space="preserve">先生           </w:t>
      </w:r>
    </w:p>
    <w:p w14:paraId="37A1BE3B">
      <w:pPr>
        <w:spacing w:line="360" w:lineRule="auto"/>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地    址：</w:t>
      </w:r>
      <w:r>
        <w:rPr>
          <w:rFonts w:hint="eastAsia" w:ascii="宋体" w:hAnsi="宋体" w:eastAsia="宋体" w:cs="宋体"/>
          <w:color w:val="auto"/>
          <w:sz w:val="21"/>
          <w:szCs w:val="21"/>
          <w:highlight w:val="none"/>
        </w:rPr>
        <w:t>浙江省嘉兴市</w:t>
      </w:r>
      <w:r>
        <w:rPr>
          <w:rFonts w:hint="eastAsia" w:ascii="宋体" w:hAnsi="宋体" w:cs="宋体"/>
          <w:color w:val="auto"/>
          <w:sz w:val="21"/>
          <w:szCs w:val="21"/>
          <w:highlight w:val="none"/>
          <w:lang w:val="en-US" w:eastAsia="zh-CN"/>
        </w:rPr>
        <w:t>聚贤路393号</w:t>
      </w:r>
    </w:p>
    <w:p w14:paraId="5447B715">
      <w:pPr>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val="en-US" w:eastAsia="zh-CN"/>
        </w:rPr>
        <w:t xml:space="preserve">0573-  </w:t>
      </w:r>
    </w:p>
    <w:p w14:paraId="1277BE93">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color w:val="auto"/>
          <w:szCs w:val="21"/>
          <w:highlight w:val="none"/>
        </w:rPr>
        <w:t>十四、代理机构</w:t>
      </w:r>
    </w:p>
    <w:p w14:paraId="351AA0F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名称：嘉兴市银建工程咨询评估有限公司</w:t>
      </w:r>
    </w:p>
    <w:p w14:paraId="1927BC00">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地址：嘉兴市洪兴路2399号宝地大厦1205室</w:t>
      </w:r>
    </w:p>
    <w:p w14:paraId="02C510D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    真：/             </w:t>
      </w:r>
    </w:p>
    <w:p w14:paraId="46009114">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lang w:val="en-US" w:eastAsia="zh-CN"/>
        </w:rPr>
        <w:t>龚翼</w:t>
      </w:r>
      <w:r>
        <w:rPr>
          <w:rFonts w:hint="eastAsia" w:asciiTheme="minorEastAsia" w:hAnsiTheme="minorEastAsia" w:eastAsiaTheme="minorEastAsia"/>
          <w:color w:val="auto"/>
          <w:szCs w:val="21"/>
          <w:highlight w:val="none"/>
        </w:rPr>
        <w:t xml:space="preserve"> </w:t>
      </w:r>
    </w:p>
    <w:p w14:paraId="66014B48">
      <w:pPr>
        <w:spacing w:line="360" w:lineRule="auto"/>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lang w:val="en-US" w:eastAsia="zh-CN"/>
        </w:rPr>
        <w:t>18868339624</w:t>
      </w:r>
    </w:p>
    <w:p w14:paraId="1C57255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李先生</w:t>
      </w:r>
    </w:p>
    <w:p w14:paraId="627F1C6E">
      <w:pPr>
        <w:spacing w:line="360" w:lineRule="auto"/>
        <w:rPr>
          <w:rFonts w:hint="default"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18006615280</w:t>
      </w:r>
    </w:p>
    <w:p w14:paraId="78919AC6">
      <w:pPr>
        <w:numPr>
          <w:ilvl w:val="0"/>
          <w:numId w:val="4"/>
        </w:numPr>
        <w:snapToGrid w:val="0"/>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政府采购监督管理部门：</w:t>
      </w:r>
    </w:p>
    <w:p w14:paraId="6CB2805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名    称：嘉兴市秀洲区财政局</w:t>
      </w:r>
    </w:p>
    <w:p w14:paraId="71F3CC3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联系人 ：宋女士</w:t>
      </w:r>
    </w:p>
    <w:p w14:paraId="21DAB213">
      <w:pPr>
        <w:snapToGrid w:val="0"/>
        <w:spacing w:line="360" w:lineRule="auto"/>
        <w:rPr>
          <w:rFonts w:hint="eastAsia" w:cs="Arial" w:asciiTheme="minorEastAsia" w:hAnsiTheme="minorEastAsia" w:eastAsiaTheme="minorEastAsia"/>
          <w:b/>
          <w:color w:val="auto"/>
          <w:szCs w:val="21"/>
          <w:highlight w:val="none"/>
          <w:lang w:eastAsia="zh-CN"/>
        </w:rPr>
      </w:pPr>
      <w:r>
        <w:rPr>
          <w:rFonts w:hint="eastAsia" w:cs="Arial" w:asciiTheme="minorEastAsia" w:hAnsiTheme="minorEastAsia" w:eastAsiaTheme="minorEastAsia"/>
          <w:bCs/>
          <w:color w:val="auto"/>
          <w:szCs w:val="21"/>
          <w:highlight w:val="none"/>
        </w:rPr>
        <w:t>监督投诉电话：0573-8272008</w:t>
      </w:r>
      <w:r>
        <w:rPr>
          <w:rFonts w:hint="eastAsia" w:cs="Arial" w:asciiTheme="minorEastAsia" w:hAnsiTheme="minorEastAsia" w:eastAsiaTheme="minorEastAsia"/>
          <w:bCs/>
          <w:color w:val="auto"/>
          <w:szCs w:val="21"/>
          <w:highlight w:val="none"/>
          <w:lang w:val="en-US" w:eastAsia="zh-CN"/>
        </w:rPr>
        <w:t>5</w:t>
      </w:r>
    </w:p>
    <w:p w14:paraId="5A8FE63E">
      <w:pPr>
        <w:snapToGrid w:val="0"/>
        <w:spacing w:line="36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十</w:t>
      </w:r>
      <w:r>
        <w:rPr>
          <w:rFonts w:hint="eastAsia" w:cs="Arial" w:asciiTheme="minorEastAsia" w:hAnsiTheme="minorEastAsia" w:eastAsiaTheme="minorEastAsia"/>
          <w:b/>
          <w:bCs/>
          <w:color w:val="auto"/>
          <w:szCs w:val="21"/>
          <w:highlight w:val="none"/>
        </w:rPr>
        <w:t>六</w:t>
      </w:r>
      <w:r>
        <w:rPr>
          <w:rFonts w:cs="Arial" w:asciiTheme="minorEastAsia" w:hAnsiTheme="minorEastAsia" w:eastAsiaTheme="minorEastAsia"/>
          <w:b/>
          <w:bCs/>
          <w:color w:val="auto"/>
          <w:szCs w:val="21"/>
          <w:highlight w:val="none"/>
        </w:rPr>
        <w:t>、其他事项：</w:t>
      </w:r>
    </w:p>
    <w:p w14:paraId="76355668">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本项目公告期限为</w:t>
      </w:r>
      <w:r>
        <w:rPr>
          <w:rFonts w:hint="eastAsia" w:asciiTheme="minorEastAsia" w:hAnsiTheme="minorEastAsia" w:eastAsiaTheme="minorEastAsia"/>
          <w:color w:val="auto"/>
          <w:szCs w:val="21"/>
          <w:highlight w:val="none"/>
        </w:rPr>
        <w:t>自公告发布之日起至投标截止时间</w:t>
      </w:r>
      <w:r>
        <w:rPr>
          <w:rFonts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9F813F">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022C3EDD">
      <w:pPr>
        <w:snapToGrid w:val="0"/>
        <w:spacing w:line="360" w:lineRule="auto"/>
        <w:jc w:val="right"/>
        <w:rPr>
          <w:rFonts w:asciiTheme="minorEastAsia" w:hAnsiTheme="minorEastAsia" w:eastAsiaTheme="minorEastAsia"/>
          <w:color w:val="auto"/>
          <w:szCs w:val="21"/>
          <w:highlight w:val="none"/>
        </w:rPr>
      </w:pPr>
    </w:p>
    <w:p w14:paraId="27E22F95">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rPr>
        <w:t>嘉兴市秀洲区人民政府新城街道办事处</w:t>
      </w:r>
    </w:p>
    <w:p w14:paraId="5AF4958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14:paraId="4D79FF0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202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日</w:t>
      </w:r>
    </w:p>
    <w:p w14:paraId="71AEE3E4">
      <w:pPr>
        <w:pStyle w:val="4"/>
        <w:spacing w:line="360" w:lineRule="auto"/>
        <w:rPr>
          <w:rFonts w:asciiTheme="minorEastAsia" w:hAnsiTheme="minorEastAsia" w:eastAsiaTheme="minorEastAsia"/>
          <w:color w:val="auto"/>
          <w:highlight w:val="none"/>
        </w:rPr>
        <w:sectPr>
          <w:pgSz w:w="11906" w:h="16838"/>
          <w:pgMar w:top="1440" w:right="1440" w:bottom="1440" w:left="1440" w:header="851" w:footer="567" w:gutter="0"/>
          <w:cols w:space="720" w:num="1"/>
          <w:docGrid w:linePitch="312" w:charSpace="0"/>
        </w:sectPr>
      </w:pPr>
    </w:p>
    <w:p w14:paraId="3EF88080">
      <w:pPr>
        <w:snapToGrid w:val="0"/>
        <w:spacing w:before="120" w:beforeLines="50" w:after="120" w:afterLines="50" w:line="360" w:lineRule="auto"/>
        <w:ind w:left="238"/>
        <w:jc w:val="center"/>
        <w:outlineLvl w:val="0"/>
        <w:rPr>
          <w:rFonts w:asciiTheme="minorEastAsia" w:hAnsiTheme="minorEastAsia" w:eastAsiaTheme="minorEastAsia"/>
          <w:b/>
          <w:color w:val="auto"/>
          <w:sz w:val="28"/>
          <w:szCs w:val="28"/>
          <w:highlight w:val="none"/>
        </w:rPr>
      </w:pPr>
      <w:bookmarkStart w:id="5" w:name="_Toc29127"/>
      <w:r>
        <w:rPr>
          <w:rFonts w:hint="eastAsia" w:asciiTheme="minorEastAsia" w:hAnsiTheme="minorEastAsia" w:eastAsiaTheme="minorEastAsia"/>
          <w:b/>
          <w:color w:val="auto"/>
          <w:sz w:val="28"/>
          <w:szCs w:val="28"/>
          <w:highlight w:val="none"/>
        </w:rPr>
        <w:t>第二章  招标需求</w:t>
      </w:r>
      <w:bookmarkEnd w:id="5"/>
    </w:p>
    <w:p w14:paraId="37FAEE18">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银建-JXYJ（2025）03号</w:t>
      </w:r>
    </w:p>
    <w:p w14:paraId="0FCD5272">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新城街道派出所营房内部改造项目</w:t>
      </w:r>
    </w:p>
    <w:p w14:paraId="2EB96F5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采购人名称：嘉兴市秀洲区人民政府新城街道办事处</w:t>
      </w:r>
    </w:p>
    <w:p w14:paraId="6FA2A576">
      <w:pPr>
        <w:rPr>
          <w:rFonts w:ascii="宋体" w:hAnsi="宋体" w:cs="宋体"/>
          <w:color w:val="auto"/>
          <w:szCs w:val="21"/>
          <w:highlight w:val="none"/>
        </w:rPr>
      </w:pPr>
      <w:r>
        <w:rPr>
          <w:rFonts w:hint="eastAsia" w:ascii="宋体" w:hAnsi="宋体" w:cs="宋体"/>
          <w:color w:val="auto"/>
          <w:szCs w:val="21"/>
          <w:highlight w:val="none"/>
        </w:rPr>
        <w:t xml:space="preserve">   项目基本情况：</w:t>
      </w:r>
      <w:r>
        <w:rPr>
          <w:rFonts w:hint="eastAsia" w:ascii="宋体" w:hAnsi="宋体" w:cs="宋体"/>
          <w:color w:val="auto"/>
          <w:szCs w:val="21"/>
          <w:highlight w:val="none"/>
          <w:lang w:eastAsia="zh-CN"/>
        </w:rPr>
        <w:t>新城街道派出所营房内部改造项目</w:t>
      </w:r>
      <w:r>
        <w:rPr>
          <w:rFonts w:hint="eastAsia" w:ascii="宋体" w:hAnsi="宋体" w:cs="宋体"/>
          <w:color w:val="auto"/>
          <w:szCs w:val="21"/>
          <w:highlight w:val="none"/>
        </w:rPr>
        <w:t>，具体详见工程量清单</w:t>
      </w:r>
    </w:p>
    <w:p w14:paraId="3AC3C7FC">
      <w:pPr>
        <w:numPr>
          <w:ilvl w:val="0"/>
          <w:numId w:val="0"/>
        </w:numPr>
        <w:spacing w:line="440" w:lineRule="exact"/>
        <w:ind w:leftChars="200"/>
        <w:jc w:val="left"/>
        <w:outlineLvl w:val="0"/>
        <w:rPr>
          <w:rFonts w:hint="eastAsia" w:ascii="宋体" w:hAnsi="宋体" w:eastAsia="宋体" w:cs="宋体"/>
          <w:b/>
          <w:color w:val="auto"/>
          <w:szCs w:val="21"/>
          <w:highlight w:val="none"/>
        </w:rPr>
      </w:pPr>
      <w:bookmarkStart w:id="6" w:name="_Toc160452775"/>
      <w:bookmarkStart w:id="7" w:name="_Toc95393309"/>
      <w:bookmarkStart w:id="8" w:name="_Toc160454514"/>
      <w:r>
        <w:rPr>
          <w:rFonts w:hint="eastAsia" w:ascii="宋体" w:hAnsi="宋体" w:eastAsia="宋体" w:cs="宋体"/>
          <w:b/>
          <w:color w:val="auto"/>
          <w:szCs w:val="21"/>
          <w:highlight w:val="none"/>
          <w:lang w:eastAsia="zh-CN"/>
        </w:rPr>
        <w:t>实施要求</w:t>
      </w:r>
      <w:bookmarkEnd w:id="6"/>
      <w:bookmarkEnd w:id="7"/>
      <w:bookmarkEnd w:id="8"/>
    </w:p>
    <w:p w14:paraId="6D591AF7">
      <w:pPr>
        <w:spacing w:line="440" w:lineRule="exact"/>
        <w:ind w:firstLine="420" w:firstLineChars="200"/>
        <w:jc w:val="left"/>
        <w:outlineLvl w:val="0"/>
        <w:rPr>
          <w:rFonts w:hint="eastAsia" w:ascii="宋体" w:hAnsi="宋体" w:eastAsia="宋体" w:cs="宋体"/>
          <w:color w:val="auto"/>
          <w:szCs w:val="21"/>
          <w:highlight w:val="none"/>
        </w:rPr>
      </w:pPr>
      <w:bookmarkStart w:id="9" w:name="_Toc160454515"/>
      <w:bookmarkStart w:id="10" w:name="_Toc160452776"/>
      <w:r>
        <w:rPr>
          <w:rFonts w:hint="eastAsia" w:ascii="宋体" w:hAnsi="宋体" w:eastAsia="宋体" w:cs="宋体"/>
          <w:color w:val="auto"/>
          <w:szCs w:val="21"/>
          <w:highlight w:val="none"/>
        </w:rPr>
        <w:t>1.投标报价应是招标文件所确定的招标范围内全部工作内容的价格表现，除非合同中另有规定，投标人在投标总价中的价格均包括完成该工程项目的分部分项工程费、措施项目费、其他项目费、规费、税金及政策性文件规定等所有费用以及合同明示或暗示的所有责任、义务和一切风险。</w:t>
      </w:r>
    </w:p>
    <w:p w14:paraId="03BE3F6D">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清单中列出的工程项目填报单价和合价。每一项目只允许有一个报价。任何有选择的报价不予接受，投标人未填单价或合价的工程项目，在实施后，招标人将不予支付，并视作该项费用已包括在其它有价款的单价或合价内。投标人在填报价格及费用时应充分考虑国家现行工程建设标准、技术规范要求及有关要求，投标报价时投标人认为必须或可能发生的费用应全部考虑在总报价中，未在总报价中体现的视作已综合在单价中或已全部优惠。</w:t>
      </w:r>
      <w:bookmarkEnd w:id="9"/>
      <w:bookmarkEnd w:id="10"/>
    </w:p>
    <w:p w14:paraId="1C33F6DB">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中只描述了分项工程计量范围内完成本分项工程应有的主要工作内容，但投标人填报的综合单价应是包含了分项工程计量范围内的所有工作内容的价格，无论工程量清单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和现场勘察情况进行报价。</w:t>
      </w:r>
    </w:p>
    <w:p w14:paraId="4A43273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4.本工程报价采用</w:t>
      </w:r>
      <w:r>
        <w:rPr>
          <w:rFonts w:hint="eastAsia" w:ascii="宋体" w:hAnsi="宋体" w:eastAsia="宋体" w:cs="宋体"/>
          <w:b/>
          <w:color w:val="auto"/>
          <w:szCs w:val="21"/>
          <w:highlight w:val="none"/>
          <w:u w:val="single"/>
        </w:rPr>
        <w:t xml:space="preserve"> 综合单价固定 </w:t>
      </w:r>
      <w:r>
        <w:rPr>
          <w:rFonts w:hint="eastAsia" w:ascii="宋体" w:hAnsi="宋体" w:eastAsia="宋体" w:cs="宋体"/>
          <w:color w:val="auto"/>
          <w:szCs w:val="21"/>
          <w:highlight w:val="none"/>
        </w:rPr>
        <w:t>方式进行编制。</w:t>
      </w:r>
    </w:p>
    <w:p w14:paraId="6D71C5B4">
      <w:pPr>
        <w:spacing w:line="440" w:lineRule="exact"/>
        <w:ind w:right="-59" w:rightChars="-28"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综合单价是为完成一个规定清单项目（或定额项目）所需的人工费、材料费、机械费、和对应的企业管理费、利润及一定范围内的风险费用。各投标人投标报价时应按招标人统一提供的工程量清单</w:t>
      </w:r>
      <w:r>
        <w:rPr>
          <w:rFonts w:hint="eastAsia" w:ascii="宋体" w:hAnsi="宋体" w:eastAsia="宋体" w:cs="宋体"/>
          <w:b/>
          <w:color w:val="auto"/>
          <w:szCs w:val="21"/>
          <w:highlight w:val="none"/>
          <w:u w:val="single"/>
        </w:rPr>
        <w:t>采用综合单价法</w:t>
      </w:r>
      <w:r>
        <w:rPr>
          <w:rFonts w:hint="eastAsia" w:ascii="宋体" w:hAnsi="宋体" w:eastAsia="宋体" w:cs="宋体"/>
          <w:color w:val="auto"/>
          <w:szCs w:val="21"/>
          <w:highlight w:val="none"/>
        </w:rPr>
        <w:t>进行计价。</w:t>
      </w:r>
      <w:r>
        <w:rPr>
          <w:rFonts w:hint="eastAsia" w:ascii="宋体" w:hAnsi="宋体" w:eastAsia="宋体" w:cs="宋体"/>
          <w:b/>
          <w:bCs/>
          <w:color w:val="auto"/>
          <w:szCs w:val="21"/>
          <w:highlight w:val="none"/>
          <w:u w:val="single"/>
        </w:rPr>
        <w:t>结算时综合单价固定，工程量按实计算（明确一次性包干或结算不作调整的项目和费用除外）。</w:t>
      </w:r>
    </w:p>
    <w:p w14:paraId="3A258A5B">
      <w:pPr>
        <w:spacing w:line="440" w:lineRule="exact"/>
        <w:ind w:right="-59" w:rightChars="-28"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（1）本工程计价方法采用“国标清单计价”，</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报价编制各投标人应根据企业自身实力，按照《建设工程工程量清单计价规范》（GB50500-2013）、《市政工程工程量计算规范》（GB50857-2013）、《浙江省市政工程预算定额》（2018版）、《浙江省建设工程施工机械台班费用定额》（2018版）、《浙江省建设工程计价规则》（2018版）、《浙江省建筑安装材料基期价格》（2018版）等计价依据及省、市相关补充规定进行投标报价。</w:t>
      </w:r>
    </w:p>
    <w:p w14:paraId="0591FB8C">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（2）安全文明施工费为必须计取的措施项目，本工程为</w:t>
      </w:r>
      <w:r>
        <w:rPr>
          <w:rFonts w:hint="eastAsia" w:ascii="宋体" w:hAnsi="宋体" w:eastAsia="宋体" w:cs="宋体"/>
          <w:b/>
          <w:color w:val="auto"/>
          <w:szCs w:val="21"/>
          <w:highlight w:val="none"/>
        </w:rPr>
        <w:t>市区</w:t>
      </w:r>
      <w:r>
        <w:rPr>
          <w:rFonts w:hint="eastAsia" w:ascii="宋体" w:hAnsi="宋体" w:eastAsia="宋体" w:cs="宋体"/>
          <w:color w:val="auto"/>
          <w:szCs w:val="21"/>
          <w:highlight w:val="none"/>
        </w:rPr>
        <w:t>工程，安全文明施工基本费报价按《浙江省建设工程计价规则》（2018版）取费规定（不得低于下限值）和《省建设厅关于调整建筑工程安全文明施工费的通知》（浙建建发〔2022〕37号文）文件的规定。</w:t>
      </w:r>
    </w:p>
    <w:p w14:paraId="346861F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规费按《关于转发省住建厅、省发改委、省财政厅&lt;关于颁发浙江省建设工程计价依据（2018版）的通知&gt;的通知》（嘉建办[2019]34号文）执行，投标人报价时可根据自身项目缴纳规费的实际情况，自主确定其投标费率，但不得低于《浙江省建设工程计价规则》（2018版）规定的标准费率的30%。</w:t>
      </w:r>
    </w:p>
    <w:p w14:paraId="7E77341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税金属不可竞争费用，按《浙江省建设工程计价规则》（2018版）及《关于增值税调整后我省建设工程计价依据增值税税率及有关计价调整的通知》（浙建建发[2019]92号文）规定的一般计税方法的税率计取，税金费率为9%。</w:t>
      </w:r>
    </w:p>
    <w:p w14:paraId="3F5B568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工工日单价可参照《浙江省建筑工程预算定额》（2018版）及近期《嘉兴造价管理》，材料价格可参考近期《嘉兴造价管理》、《浙江造价信息》（正刊）信息价及浙建建发[2019]92号文件规定，机械费按照《浙江省建设工程施工机械台班费用定额》（2018版）及浙建建发[2019]92号文件规定，结算时单价均不作调整。</w:t>
      </w:r>
    </w:p>
    <w:p w14:paraId="6BBD9677">
      <w:pPr>
        <w:spacing w:line="440" w:lineRule="exact"/>
        <w:ind w:firstLine="420" w:firstLineChars="20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5.投标时投标人不得擅自调整工程量清单中的项目编码、项目名称、项目特征描述、计量单位、工程数量，否则按不响应招标文件处理。</w:t>
      </w:r>
    </w:p>
    <w:p w14:paraId="156F5EDA">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.施工期间的用水、用电、电讯线路、材料堆放场地、临时设施搭设、临时便道等由施工单位自行解决，所需费用（包括用水、用电涨价风险因素）投标人报价时自行综合考虑，结算时不增加费用。</w:t>
      </w:r>
    </w:p>
    <w:p w14:paraId="51746E6F">
      <w:pPr>
        <w:spacing w:line="440" w:lineRule="exact"/>
        <w:ind w:firstLine="482"/>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.投标人应自行认真踏勘现场，凡施工范围内和临设区域内需要布置的临时围墙、临时道路、与公共道路连接的临时道路等产生的费用由投标人报价时自行综合考虑，结算时不增加费用。</w:t>
      </w:r>
    </w:p>
    <w:p w14:paraId="7181FD60">
      <w:pPr>
        <w:spacing w:line="440" w:lineRule="exact"/>
        <w:ind w:firstLine="482"/>
        <w:rPr>
          <w:rFonts w:hint="eastAsia" w:ascii="宋体" w:hAnsi="宋体" w:eastAsia="宋体" w:cs="宋体"/>
          <w:color w:val="auto"/>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缩短工期增加费、文明施工费、行车干扰因素所产生的费用均由投标人报价时自行综合考虑，结算时不增加费用。</w:t>
      </w:r>
    </w:p>
    <w:p w14:paraId="3BDD80B5">
      <w:pPr>
        <w:spacing w:line="440" w:lineRule="exact"/>
        <w:ind w:firstLine="482"/>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.承包人应做好施工现场及附近的安全维护措施，由于承包人措施不力，导致事故频发造成重大影响，引起索赔，赔偿、诉讼费用及工程拖延或施工费用增加的，一切责任和费用均由承包人承担。</w:t>
      </w:r>
    </w:p>
    <w:p w14:paraId="54E41CAA">
      <w:pPr>
        <w:spacing w:line="440" w:lineRule="exact"/>
        <w:ind w:firstLine="482"/>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在施工过程中，由于非发包人也非承包人原因造成工程暂停施工，如果有相关行政部门的相关政策，按政策执行；如果没有相关行政部门的相关政策，暂停施工引起的工期延误可以顺延，但暂停施工引起的所有费用和利润损失由承包人承担。投标人在投标时应自行考虑相应的风险。</w:t>
      </w:r>
    </w:p>
    <w:p w14:paraId="6395FEAC">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.投标人务必自行踏勘现场，并充分考虑施工现场条件差、交通不便等因素所产生的费用，报价时自行综合考虑，结算时不增加费用。</w:t>
      </w:r>
    </w:p>
    <w:p w14:paraId="710AB42A">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.项目施工期间或施工后对原有道路或绿化有损坏的，须恢复原样，费用由承包人承担。</w:t>
      </w:r>
    </w:p>
    <w:p w14:paraId="5EF60A53">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rPr>
        <w:t>承包人在施工过程中应注意对原有建筑物、基础设施及各类公用管线、井盖的保护，如有损坏，应由承包人及时修复并承担一切费用，如不及时修复的，招标人将请专业单位进行修复,费用从承包人工程款中直接扣除（管线的保护措施按相关管线部门的要求，费用投标人报价时自行综合考虑，结算时不增加费用）。</w:t>
      </w:r>
    </w:p>
    <w:p w14:paraId="474FD59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.施工过程中及施工结束后注意施工场地的保洁，要满足环卫要求，临时便道、建筑垃圾、废弃物等应及时清运，所需费用投标人报价时自行综合考虑，结算时不增加费用。</w:t>
      </w:r>
    </w:p>
    <w:p w14:paraId="35161776">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投标人应充分考虑市政、环保、排污、交通、治安、绿化、卫生及运输等方面与现场施工有关的情况及处理周边关系等可能发生的费用，其费用投标人报价时自行综合考虑，结算时不增加费用。</w:t>
      </w:r>
    </w:p>
    <w:p w14:paraId="2EF1D01E">
      <w:pPr>
        <w:spacing w:line="440" w:lineRule="exact"/>
        <w:ind w:firstLine="482"/>
        <w:rPr>
          <w:rFonts w:hint="eastAsia" w:ascii="宋体" w:hAnsi="宋体" w:eastAsia="宋体" w:cs="宋体"/>
          <w:color w:val="auto"/>
          <w:highlight w:val="none"/>
        </w:rPr>
      </w:pPr>
      <w:bookmarkStart w:id="11" w:name="_Toc396891428"/>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其他内容：</w:t>
      </w:r>
      <w:bookmarkEnd w:id="11"/>
    </w:p>
    <w:p w14:paraId="3B66CD42">
      <w:pPr>
        <w:spacing w:line="440" w:lineRule="exact"/>
        <w:ind w:firstLine="482"/>
        <w:rPr>
          <w:rFonts w:hint="eastAsia" w:ascii="宋体" w:hAnsi="宋体" w:eastAsia="宋体" w:cs="宋体"/>
          <w:color w:val="auto"/>
          <w:highlight w:val="none"/>
        </w:rPr>
      </w:pPr>
      <w:bookmarkStart w:id="12" w:name="_Toc396891429"/>
      <w:r>
        <w:rPr>
          <w:rFonts w:hint="eastAsia" w:ascii="宋体" w:hAnsi="宋体" w:eastAsia="宋体" w:cs="宋体"/>
          <w:color w:val="auto"/>
          <w:highlight w:val="none"/>
        </w:rPr>
        <w:t>①对于施工附近可能影响的周围建筑物，构筑物的保护所发生的费用，投标人报价时自行综合考虑，结算时不增加费用。</w:t>
      </w:r>
      <w:bookmarkEnd w:id="12"/>
      <w:bookmarkStart w:id="111" w:name="_GoBack"/>
      <w:bookmarkEnd w:id="111"/>
    </w:p>
    <w:p w14:paraId="7017A407">
      <w:pPr>
        <w:spacing w:line="440" w:lineRule="exact"/>
        <w:ind w:firstLine="482"/>
        <w:rPr>
          <w:rFonts w:hint="eastAsia" w:ascii="宋体" w:hAnsi="宋体" w:eastAsia="宋体" w:cs="宋体"/>
          <w:color w:val="auto"/>
          <w:highlight w:val="none"/>
        </w:rPr>
      </w:pPr>
      <w:bookmarkStart w:id="13" w:name="_Toc396891431"/>
      <w:r>
        <w:rPr>
          <w:rFonts w:hint="eastAsia" w:ascii="宋体" w:hAnsi="宋体" w:eastAsia="宋体" w:cs="宋体"/>
          <w:color w:val="auto"/>
          <w:highlight w:val="none"/>
        </w:rPr>
        <w:t>②施工期间引起的扰民（包括：行车、噪音、污染、损坏居民物品等影响民众生活的因素）投标人报价时自行综合考虑，结算时不增加费用。</w:t>
      </w:r>
      <w:bookmarkEnd w:id="13"/>
    </w:p>
    <w:p w14:paraId="3D302EF8">
      <w:pPr>
        <w:spacing w:line="440" w:lineRule="exact"/>
        <w:ind w:firstLine="482"/>
        <w:rPr>
          <w:rFonts w:hint="eastAsia" w:ascii="宋体" w:hAnsi="宋体" w:eastAsia="宋体" w:cs="宋体"/>
          <w:color w:val="auto"/>
          <w:highlight w:val="none"/>
        </w:rPr>
      </w:pPr>
      <w:bookmarkStart w:id="14" w:name="_Toc396891432"/>
      <w:r>
        <w:rPr>
          <w:rFonts w:hint="eastAsia" w:ascii="宋体" w:hAnsi="宋体" w:eastAsia="宋体" w:cs="宋体"/>
          <w:color w:val="auto"/>
          <w:highlight w:val="none"/>
        </w:rPr>
        <w:t>③投标活动中所发生的其他费用则为投标人非投标报价费用而自行另担。</w:t>
      </w:r>
      <w:bookmarkEnd w:id="14"/>
    </w:p>
    <w:p w14:paraId="64F1C3ED">
      <w:pPr>
        <w:pStyle w:val="29"/>
        <w:numPr>
          <w:ilvl w:val="0"/>
          <w:numId w:val="0"/>
        </w:num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投标人在施工过程中发生一切安全事故均</w:t>
      </w:r>
      <w:r>
        <w:rPr>
          <w:rFonts w:hint="eastAsia" w:hAnsi="宋体" w:cs="宋体"/>
          <w:b/>
          <w:color w:val="auto"/>
          <w:szCs w:val="21"/>
          <w:highlight w:val="none"/>
          <w:lang w:val="en-US" w:eastAsia="zh-CN"/>
        </w:rPr>
        <w:t>全部</w:t>
      </w:r>
      <w:r>
        <w:rPr>
          <w:rFonts w:hint="eastAsia" w:ascii="宋体" w:hAnsi="宋体" w:eastAsia="宋体" w:cs="宋体"/>
          <w:b/>
          <w:color w:val="auto"/>
          <w:szCs w:val="21"/>
          <w:highlight w:val="none"/>
        </w:rPr>
        <w:t>由投标人自行解决，若造成不良影响的，须承担法律责任。</w:t>
      </w:r>
    </w:p>
    <w:p w14:paraId="15F43B09">
      <w:pPr>
        <w:pStyle w:val="29"/>
        <w:spacing w:line="440" w:lineRule="exact"/>
        <w:rPr>
          <w:rFonts w:hAnsi="宋体" w:cs="宋体"/>
          <w:color w:val="auto"/>
          <w:kern w:val="0"/>
          <w:sz w:val="22"/>
          <w:szCs w:val="22"/>
          <w:highlight w:val="none"/>
        </w:rPr>
      </w:pPr>
      <w:r>
        <w:rPr>
          <w:rFonts w:hint="eastAsia" w:hAnsi="宋体" w:cs="宋体"/>
          <w:color w:val="auto"/>
          <w:kern w:val="0"/>
          <w:sz w:val="22"/>
          <w:szCs w:val="22"/>
          <w:highlight w:val="none"/>
        </w:rPr>
        <w:t>商务要求表</w:t>
      </w:r>
    </w:p>
    <w:tbl>
      <w:tblPr>
        <w:tblStyle w:val="5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12"/>
      </w:tblGrid>
      <w:tr w14:paraId="622C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4524B7B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施工工期</w:t>
            </w:r>
          </w:p>
        </w:tc>
        <w:tc>
          <w:tcPr>
            <w:tcW w:w="7912" w:type="dxa"/>
            <w:vAlign w:val="center"/>
          </w:tcPr>
          <w:p w14:paraId="04669372">
            <w:pPr>
              <w:spacing w:line="400" w:lineRule="exact"/>
              <w:rPr>
                <w:rFonts w:ascii="宋体" w:hAnsi="宋体" w:cs="宋体"/>
                <w:bCs/>
                <w:color w:val="auto"/>
                <w:szCs w:val="21"/>
                <w:highlight w:val="none"/>
              </w:rPr>
            </w:pPr>
            <w:r>
              <w:rPr>
                <w:rFonts w:hint="eastAsia" w:ascii="宋体" w:hAnsi="宋体" w:cs="宋体"/>
                <w:color w:val="auto"/>
                <w:szCs w:val="21"/>
                <w:highlight w:val="none"/>
                <w:lang w:eastAsia="zh-CN"/>
              </w:rPr>
              <w:t>合同签订后150天内完成</w:t>
            </w:r>
            <w:r>
              <w:rPr>
                <w:rFonts w:hint="eastAsia" w:ascii="宋体" w:hAnsi="宋体" w:cs="宋体"/>
                <w:color w:val="auto"/>
                <w:szCs w:val="21"/>
                <w:highlight w:val="none"/>
              </w:rPr>
              <w:t>。</w:t>
            </w:r>
          </w:p>
        </w:tc>
      </w:tr>
      <w:tr w14:paraId="46F8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230141F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项目实施地点</w:t>
            </w:r>
          </w:p>
        </w:tc>
        <w:tc>
          <w:tcPr>
            <w:tcW w:w="7912" w:type="dxa"/>
            <w:vAlign w:val="center"/>
          </w:tcPr>
          <w:p w14:paraId="1C5D9B41">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新城街道派出所</w:t>
            </w:r>
          </w:p>
        </w:tc>
      </w:tr>
      <w:tr w14:paraId="376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1151B363">
            <w:pPr>
              <w:spacing w:line="3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缺陷责任期</w:t>
            </w:r>
          </w:p>
        </w:tc>
        <w:tc>
          <w:tcPr>
            <w:tcW w:w="7912" w:type="dxa"/>
            <w:vAlign w:val="center"/>
          </w:tcPr>
          <w:p w14:paraId="79AE35AC">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2年</w:t>
            </w:r>
          </w:p>
        </w:tc>
      </w:tr>
      <w:tr w14:paraId="1C0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6" w:type="dxa"/>
            <w:vAlign w:val="center"/>
          </w:tcPr>
          <w:p w14:paraId="78758DE4">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价款</w:t>
            </w:r>
            <w:r>
              <w:rPr>
                <w:rFonts w:hint="eastAsia" w:ascii="宋体" w:hAnsi="宋体" w:cs="宋体"/>
                <w:color w:val="auto"/>
                <w:szCs w:val="21"/>
                <w:highlight w:val="none"/>
              </w:rPr>
              <w:t>支付</w:t>
            </w:r>
          </w:p>
        </w:tc>
        <w:tc>
          <w:tcPr>
            <w:tcW w:w="7912" w:type="dxa"/>
            <w:vAlign w:val="center"/>
          </w:tcPr>
          <w:p w14:paraId="1CFCFB2D">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1.在合同生效以及具备实施条件后7个工作日内支付合同金额的40%预付款；</w:t>
            </w:r>
          </w:p>
          <w:p w14:paraId="3EC630B5">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2.项目完成</w:t>
            </w:r>
            <w:r>
              <w:rPr>
                <w:rFonts w:hint="eastAsia" w:asciiTheme="minorEastAsia" w:hAnsiTheme="minorEastAsia" w:cstheme="minorEastAsia"/>
                <w:color w:val="auto"/>
                <w:szCs w:val="21"/>
                <w:highlight w:val="none"/>
                <w:lang w:eastAsia="zh-CN"/>
              </w:rPr>
              <w:t>且</w:t>
            </w:r>
            <w:r>
              <w:rPr>
                <w:rFonts w:hint="eastAsia" w:asciiTheme="minorEastAsia" w:hAnsiTheme="minorEastAsia" w:cstheme="minorEastAsia"/>
                <w:color w:val="auto"/>
                <w:szCs w:val="21"/>
                <w:highlight w:val="none"/>
              </w:rPr>
              <w:t>验收合格后30个工作日内支付至合同价的85%；</w:t>
            </w:r>
            <w:r>
              <w:rPr>
                <w:rFonts w:hint="eastAsia" w:asciiTheme="minorEastAsia" w:hAnsiTheme="minorEastAsia" w:cstheme="minorEastAsia"/>
                <w:color w:val="auto"/>
                <w:szCs w:val="21"/>
                <w:highlight w:val="none"/>
                <w:lang w:val="en-US" w:eastAsia="zh-CN"/>
              </w:rPr>
              <w:t>余款在结算审计完成后承包人向发包人支付结算价1.5%的质量保证金后支付至结算价的100%</w:t>
            </w:r>
            <w:r>
              <w:rPr>
                <w:rFonts w:hint="eastAsia" w:asciiTheme="minorEastAsia" w:hAnsiTheme="minorEastAsia" w:cstheme="minorEastAsia"/>
                <w:color w:val="auto"/>
                <w:szCs w:val="21"/>
                <w:highlight w:val="none"/>
              </w:rPr>
              <w:t>。</w:t>
            </w:r>
          </w:p>
          <w:p w14:paraId="0A4F90DD">
            <w:pPr>
              <w:spacing w:line="340" w:lineRule="exact"/>
              <w:rPr>
                <w:rFonts w:ascii="宋体" w:hAnsi="宋体" w:cs="宋体"/>
                <w:color w:val="auto"/>
                <w:szCs w:val="21"/>
                <w:highlight w:val="none"/>
              </w:rPr>
            </w:pPr>
            <w:r>
              <w:rPr>
                <w:rFonts w:hint="eastAsia" w:asciiTheme="minorEastAsia" w:hAnsiTheme="minorEastAsia" w:cstheme="minorEastAsia"/>
                <w:color w:val="auto"/>
                <w:szCs w:val="21"/>
                <w:highlight w:val="none"/>
              </w:rPr>
              <w:t>注1.中标人根据采购人的要求提供相关结算资料，及相应税务发票；</w:t>
            </w:r>
          </w:p>
        </w:tc>
      </w:tr>
      <w:tr w14:paraId="630A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6" w:type="dxa"/>
            <w:vAlign w:val="center"/>
          </w:tcPr>
          <w:p w14:paraId="51C7581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912" w:type="dxa"/>
            <w:vAlign w:val="center"/>
          </w:tcPr>
          <w:p w14:paraId="039DA91F">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本项目不设置</w:t>
            </w:r>
          </w:p>
        </w:tc>
      </w:tr>
      <w:tr w14:paraId="4AF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14:paraId="64DBB91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912" w:type="dxa"/>
            <w:vAlign w:val="center"/>
          </w:tcPr>
          <w:p w14:paraId="39ED6B4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zh-CN"/>
              </w:rPr>
              <w:t>有关本项目实施</w:t>
            </w:r>
            <w:r>
              <w:rPr>
                <w:rFonts w:hint="eastAsia" w:ascii="宋体" w:hAnsi="宋体" w:cs="宋体"/>
                <w:color w:val="auto"/>
                <w:szCs w:val="21"/>
                <w:highlight w:val="none"/>
              </w:rPr>
              <w:t>及质保期内</w:t>
            </w:r>
            <w:r>
              <w:rPr>
                <w:rFonts w:hint="eastAsia" w:ascii="宋体" w:hAnsi="宋体" w:cs="宋体"/>
                <w:color w:val="auto"/>
                <w:szCs w:val="21"/>
                <w:highlight w:val="none"/>
                <w:lang w:val="zh-CN"/>
              </w:rPr>
              <w:t>所需的所有费用（含税费）均计入报价，</w:t>
            </w:r>
            <w:r>
              <w:rPr>
                <w:rFonts w:hint="eastAsia" w:ascii="宋体" w:hAnsi="宋体" w:cs="宋体"/>
                <w:color w:val="auto"/>
                <w:szCs w:val="21"/>
                <w:highlight w:val="none"/>
              </w:rPr>
              <w:t>投标报价是履行合同的最终价格。</w:t>
            </w:r>
          </w:p>
        </w:tc>
      </w:tr>
      <w:tr w14:paraId="296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36" w:type="dxa"/>
            <w:vAlign w:val="center"/>
          </w:tcPr>
          <w:p w14:paraId="3EAFF69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安全生产责任</w:t>
            </w:r>
          </w:p>
        </w:tc>
        <w:tc>
          <w:tcPr>
            <w:tcW w:w="7912" w:type="dxa"/>
            <w:vAlign w:val="center"/>
          </w:tcPr>
          <w:p w14:paraId="2AC7AC45">
            <w:pPr>
              <w:spacing w:line="340" w:lineRule="exact"/>
              <w:rPr>
                <w:rFonts w:ascii="宋体" w:hAnsi="宋体" w:cs="宋体"/>
                <w:color w:val="auto"/>
                <w:szCs w:val="21"/>
                <w:highlight w:val="none"/>
              </w:rPr>
            </w:pPr>
            <w:r>
              <w:rPr>
                <w:rFonts w:hint="eastAsia" w:ascii="宋体" w:hAnsi="宋体" w:cs="宋体"/>
                <w:color w:val="auto"/>
                <w:szCs w:val="21"/>
                <w:highlight w:val="none"/>
              </w:rPr>
              <w:t>中标人应自行承担项目实施过程中安全生产责任，采购人任何情况下均不承担因此产生的任何法律责任和经济责任。</w:t>
            </w:r>
          </w:p>
        </w:tc>
      </w:tr>
    </w:tbl>
    <w:p w14:paraId="6088F5B8">
      <w:pPr>
        <w:snapToGrid w:val="0"/>
        <w:spacing w:line="400" w:lineRule="exact"/>
        <w:ind w:firstLine="420"/>
        <w:rPr>
          <w:color w:val="auto"/>
          <w:highlight w:val="none"/>
        </w:rPr>
      </w:pPr>
    </w:p>
    <w:p w14:paraId="70CEA5BC">
      <w:pPr>
        <w:snapToGrid w:val="0"/>
        <w:spacing w:before="120" w:after="120" w:line="360" w:lineRule="auto"/>
        <w:outlineLvl w:val="0"/>
        <w:rPr>
          <w:rFonts w:asciiTheme="minorEastAsia" w:hAnsiTheme="minorEastAsia" w:eastAsiaTheme="minorEastAsia"/>
          <w:b/>
          <w:color w:val="auto"/>
          <w:sz w:val="28"/>
          <w:szCs w:val="28"/>
          <w:highlight w:val="none"/>
        </w:rPr>
      </w:pPr>
    </w:p>
    <w:p w14:paraId="345789AF">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4919558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5" w:name="_Toc6290"/>
      <w:r>
        <w:rPr>
          <w:rFonts w:hint="eastAsia" w:asciiTheme="minorEastAsia" w:hAnsiTheme="minorEastAsia" w:eastAsiaTheme="minorEastAsia"/>
          <w:b/>
          <w:color w:val="auto"/>
          <w:sz w:val="28"/>
          <w:szCs w:val="28"/>
          <w:highlight w:val="none"/>
        </w:rPr>
        <w:t>第三章  供应商须知</w:t>
      </w:r>
      <w:bookmarkEnd w:id="15"/>
    </w:p>
    <w:p w14:paraId="6F125448">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6" w:name="_Toc27073"/>
      <w:r>
        <w:rPr>
          <w:rFonts w:hint="eastAsia" w:asciiTheme="minorEastAsia" w:hAnsiTheme="minorEastAsia" w:eastAsiaTheme="minorEastAsia"/>
          <w:b/>
          <w:color w:val="auto"/>
          <w:sz w:val="28"/>
          <w:szCs w:val="28"/>
          <w:highlight w:val="none"/>
        </w:rPr>
        <w:t>电子交易注意事项</w:t>
      </w:r>
      <w:bookmarkEnd w:id="16"/>
    </w:p>
    <w:p w14:paraId="5E0229DE">
      <w:pPr>
        <w:spacing w:line="360" w:lineRule="auto"/>
        <w:ind w:firstLine="210" w:firstLineChars="100"/>
        <w:rPr>
          <w:rFonts w:cs="宋体" w:asciiTheme="minorEastAsia" w:hAnsiTheme="minorEastAsia" w:eastAsiaTheme="minorEastAsia"/>
          <w:color w:val="auto"/>
          <w:szCs w:val="21"/>
          <w:highlight w:val="none"/>
          <w:shd w:val="clear" w:color="auto" w:fill="FFFFFF"/>
        </w:rPr>
      </w:pPr>
    </w:p>
    <w:p w14:paraId="018FF1D3">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政府采购项目电子交易活动适用《浙江省政府采购项目电子交易管理暂行办法》，现将相关注意事项告知如下：</w:t>
      </w:r>
    </w:p>
    <w:p w14:paraId="6911206C">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1.代理机构按照招标文件规定的时间通过电子交易平台组织开标、开启投标文件，所有供应商均应当准时在线参加，直至评审结束。</w:t>
      </w:r>
    </w:p>
    <w:p w14:paraId="035DD592">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490C7A1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3.采购过程中出现以下情形，导致电子交易平台无法正常运行，或者无法保证电子交易的公平、公正和安全时，代理机构可中止电子交易活动：</w:t>
      </w:r>
    </w:p>
    <w:p w14:paraId="79556BB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（一）电子交易平台发生故障而无法登录访问的； </w:t>
      </w:r>
    </w:p>
    <w:p w14:paraId="646451A1">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（二）电子交易平台应用或数据库出现错误，不能进行正常操作的；</w:t>
      </w:r>
    </w:p>
    <w:p w14:paraId="27AAF570">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（三）电子交易平台发现严重安全漏洞，有潜在泄密危险的；</w:t>
      </w:r>
    </w:p>
    <w:p w14:paraId="650D58AD">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（四）病毒发作导致不能进行正常操作的； </w:t>
      </w:r>
    </w:p>
    <w:p w14:paraId="45705324">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（五）其他无法保证电子交易的公平、公正和安全的情况。</w:t>
      </w:r>
    </w:p>
    <w:p w14:paraId="23DAE15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14:paraId="57FEF28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3D619A2">
      <w:pPr>
        <w:spacing w:line="360" w:lineRule="auto"/>
        <w:jc w:val="center"/>
        <w:rPr>
          <w:rFonts w:asciiTheme="minorEastAsia" w:hAnsiTheme="minorEastAsia" w:eastAsiaTheme="minorEastAsia"/>
          <w:b/>
          <w:bCs/>
          <w:color w:val="auto"/>
          <w:kern w:val="2"/>
          <w:szCs w:val="21"/>
          <w:highlight w:val="none"/>
        </w:rPr>
      </w:pPr>
    </w:p>
    <w:p w14:paraId="63F92D5E">
      <w:pPr>
        <w:spacing w:line="360" w:lineRule="auto"/>
        <w:jc w:val="center"/>
        <w:rPr>
          <w:rFonts w:asciiTheme="minorEastAsia" w:hAnsiTheme="minorEastAsia" w:eastAsiaTheme="minorEastAsia"/>
          <w:b/>
          <w:bCs/>
          <w:color w:val="auto"/>
          <w:kern w:val="2"/>
          <w:szCs w:val="21"/>
          <w:highlight w:val="none"/>
        </w:rPr>
      </w:pPr>
    </w:p>
    <w:p w14:paraId="6788DFE6">
      <w:pPr>
        <w:spacing w:line="360" w:lineRule="auto"/>
        <w:jc w:val="center"/>
        <w:rPr>
          <w:rFonts w:asciiTheme="minorEastAsia" w:hAnsiTheme="minorEastAsia" w:eastAsiaTheme="minorEastAsia"/>
          <w:b/>
          <w:bCs/>
          <w:color w:val="auto"/>
          <w:kern w:val="2"/>
          <w:szCs w:val="21"/>
          <w:highlight w:val="none"/>
        </w:rPr>
      </w:pPr>
    </w:p>
    <w:p w14:paraId="28ACFC1A">
      <w:pPr>
        <w:spacing w:line="360" w:lineRule="auto"/>
        <w:jc w:val="center"/>
        <w:rPr>
          <w:rFonts w:asciiTheme="minorEastAsia" w:hAnsiTheme="minorEastAsia" w:eastAsiaTheme="minorEastAsia"/>
          <w:b/>
          <w:bCs/>
          <w:color w:val="auto"/>
          <w:kern w:val="2"/>
          <w:szCs w:val="21"/>
          <w:highlight w:val="none"/>
        </w:rPr>
      </w:pPr>
    </w:p>
    <w:p w14:paraId="1DC93B1B">
      <w:pPr>
        <w:spacing w:line="360" w:lineRule="auto"/>
        <w:jc w:val="center"/>
        <w:rPr>
          <w:rFonts w:asciiTheme="minorEastAsia" w:hAnsiTheme="minorEastAsia" w:eastAsiaTheme="minorEastAsia"/>
          <w:b/>
          <w:bCs/>
          <w:color w:val="auto"/>
          <w:kern w:val="2"/>
          <w:szCs w:val="21"/>
          <w:highlight w:val="none"/>
        </w:rPr>
      </w:pPr>
    </w:p>
    <w:p w14:paraId="52A220CA">
      <w:pPr>
        <w:spacing w:line="360" w:lineRule="auto"/>
        <w:jc w:val="center"/>
        <w:rPr>
          <w:rFonts w:asciiTheme="minorEastAsia" w:hAnsiTheme="minorEastAsia" w:eastAsiaTheme="minorEastAsia"/>
          <w:b/>
          <w:bCs/>
          <w:color w:val="auto"/>
          <w:kern w:val="2"/>
          <w:szCs w:val="21"/>
          <w:highlight w:val="none"/>
        </w:rPr>
      </w:pPr>
    </w:p>
    <w:p w14:paraId="5CCE6521">
      <w:pPr>
        <w:spacing w:line="360" w:lineRule="auto"/>
        <w:jc w:val="center"/>
        <w:rPr>
          <w:rFonts w:asciiTheme="minorEastAsia" w:hAnsiTheme="minorEastAsia" w:eastAsiaTheme="minorEastAsia"/>
          <w:b/>
          <w:bCs/>
          <w:color w:val="auto"/>
          <w:kern w:val="2"/>
          <w:szCs w:val="21"/>
          <w:highlight w:val="none"/>
        </w:rPr>
      </w:pPr>
    </w:p>
    <w:p w14:paraId="5BCBCC4A">
      <w:pPr>
        <w:spacing w:line="360" w:lineRule="auto"/>
        <w:jc w:val="center"/>
        <w:rPr>
          <w:rFonts w:asciiTheme="minorEastAsia" w:hAnsiTheme="minorEastAsia" w:eastAsiaTheme="minorEastAsia"/>
          <w:b/>
          <w:bCs/>
          <w:color w:val="auto"/>
          <w:kern w:val="2"/>
          <w:szCs w:val="21"/>
          <w:highlight w:val="none"/>
        </w:rPr>
      </w:pPr>
    </w:p>
    <w:p w14:paraId="320E5F3C">
      <w:pPr>
        <w:spacing w:line="360" w:lineRule="auto"/>
        <w:jc w:val="center"/>
        <w:rPr>
          <w:rFonts w:asciiTheme="minorEastAsia" w:hAnsiTheme="minorEastAsia" w:eastAsiaTheme="minorEastAsia"/>
          <w:b/>
          <w:bCs/>
          <w:color w:val="auto"/>
          <w:kern w:val="2"/>
          <w:szCs w:val="21"/>
          <w:highlight w:val="none"/>
        </w:rPr>
      </w:pPr>
    </w:p>
    <w:p w14:paraId="60BDA5C4">
      <w:pPr>
        <w:spacing w:line="360" w:lineRule="auto"/>
        <w:jc w:val="both"/>
        <w:rPr>
          <w:rFonts w:asciiTheme="minorEastAsia" w:hAnsiTheme="minorEastAsia" w:eastAsiaTheme="minorEastAsia"/>
          <w:b/>
          <w:bCs/>
          <w:color w:val="auto"/>
          <w:kern w:val="2"/>
          <w:szCs w:val="21"/>
          <w:highlight w:val="none"/>
        </w:rPr>
      </w:pPr>
    </w:p>
    <w:p w14:paraId="633E04D4">
      <w:pPr>
        <w:spacing w:line="360" w:lineRule="auto"/>
        <w:jc w:val="center"/>
        <w:rPr>
          <w:rFonts w:asciiTheme="minorEastAsia" w:hAnsiTheme="minorEastAsia" w:eastAsiaTheme="minorEastAsia"/>
          <w:b/>
          <w:bCs/>
          <w:color w:val="auto"/>
          <w:kern w:val="2"/>
          <w:szCs w:val="21"/>
          <w:highlight w:val="none"/>
        </w:rPr>
      </w:pPr>
    </w:p>
    <w:p w14:paraId="060FAE36">
      <w:pPr>
        <w:spacing w:line="360" w:lineRule="auto"/>
        <w:jc w:val="center"/>
        <w:rPr>
          <w:rFonts w:asciiTheme="minorEastAsia" w:hAnsiTheme="minorEastAsia" w:eastAsiaTheme="minorEastAsia"/>
          <w:b/>
          <w:bCs/>
          <w:color w:val="auto"/>
          <w:kern w:val="2"/>
          <w:szCs w:val="21"/>
          <w:highlight w:val="none"/>
        </w:rPr>
      </w:pPr>
    </w:p>
    <w:p w14:paraId="0419B4BA">
      <w:pPr>
        <w:spacing w:line="360" w:lineRule="auto"/>
        <w:jc w:val="center"/>
        <w:rPr>
          <w:rFonts w:asciiTheme="minorEastAsia" w:hAnsiTheme="minorEastAsia" w:eastAsiaTheme="minorEastAsia"/>
          <w:b/>
          <w:bCs/>
          <w:color w:val="auto"/>
          <w:kern w:val="2"/>
          <w:szCs w:val="21"/>
          <w:highlight w:val="none"/>
        </w:rPr>
      </w:pPr>
      <w:r>
        <w:rPr>
          <w:rFonts w:hint="eastAsia" w:asciiTheme="minorEastAsia" w:hAnsiTheme="minorEastAsia" w:eastAsiaTheme="minorEastAsia"/>
          <w:b/>
          <w:bCs/>
          <w:color w:val="auto"/>
          <w:kern w:val="2"/>
          <w:szCs w:val="21"/>
          <w:highlight w:val="none"/>
        </w:rPr>
        <w:t>前附表</w:t>
      </w:r>
    </w:p>
    <w:tbl>
      <w:tblPr>
        <w:tblStyle w:val="54"/>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36EFF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bottom"/>
          </w:tcPr>
          <w:p w14:paraId="25A72B46">
            <w:pPr>
              <w:snapToGrid w:val="0"/>
              <w:spacing w:line="360" w:lineRule="auto"/>
              <w:jc w:val="center"/>
              <w:rPr>
                <w:rFonts w:asciiTheme="minorEastAsia" w:hAnsiTheme="minorEastAsia" w:eastAsiaTheme="minorEastAsia"/>
                <w:b/>
                <w:color w:val="auto"/>
                <w:kern w:val="2"/>
                <w:szCs w:val="21"/>
                <w:highlight w:val="none"/>
              </w:rPr>
            </w:pPr>
            <w:bookmarkStart w:id="17" w:name="_Toc177870536"/>
            <w:r>
              <w:rPr>
                <w:rFonts w:hint="eastAsia" w:asciiTheme="minorEastAsia" w:hAnsiTheme="minorEastAsia" w:eastAsiaTheme="minorEastAsia"/>
                <w:b/>
                <w:color w:val="auto"/>
                <w:kern w:val="2"/>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bottom"/>
          </w:tcPr>
          <w:p w14:paraId="44CAC338">
            <w:pPr>
              <w:snapToGrid w:val="0"/>
              <w:spacing w:line="360" w:lineRule="auto"/>
              <w:jc w:val="center"/>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内容、要求</w:t>
            </w:r>
          </w:p>
        </w:tc>
      </w:tr>
      <w:tr w14:paraId="5ED1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14:paraId="4E7D27F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48F48106">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kern w:val="2"/>
                <w:szCs w:val="21"/>
                <w:highlight w:val="none"/>
                <w:lang w:eastAsia="zh-CN"/>
              </w:rPr>
              <w:t>新城街道派出所营房内部改造项目</w:t>
            </w:r>
          </w:p>
        </w:tc>
      </w:tr>
      <w:tr w14:paraId="37B85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14:paraId="7C37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2A980B99">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采购内容：详见第二章磋商需求。</w:t>
            </w:r>
          </w:p>
        </w:tc>
      </w:tr>
      <w:tr w14:paraId="02ED6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14:paraId="518938C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29819C4">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磋商报价及费用：</w:t>
            </w:r>
          </w:p>
          <w:p w14:paraId="15E68232">
            <w:pPr>
              <w:snapToGrid w:val="0"/>
              <w:spacing w:line="360" w:lineRule="auto"/>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、本项目投标应以人民币报价；</w:t>
            </w:r>
          </w:p>
          <w:p w14:paraId="56B0FE28">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、不论投标结果如何，投标人均应自行承担所有与投标有关的全部费用。</w:t>
            </w:r>
          </w:p>
          <w:p w14:paraId="48FE3DFF">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、响应文件只允许有一个报价，有选择的或有条件的报价将不予接受。</w:t>
            </w:r>
          </w:p>
        </w:tc>
      </w:tr>
      <w:tr w14:paraId="72F6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869" w:type="dxa"/>
            <w:tcBorders>
              <w:top w:val="single" w:color="auto" w:sz="4" w:space="0"/>
              <w:left w:val="single" w:color="auto" w:sz="4" w:space="0"/>
              <w:bottom w:val="single" w:color="auto" w:sz="4" w:space="0"/>
              <w:right w:val="single" w:color="auto" w:sz="4" w:space="0"/>
            </w:tcBorders>
            <w:vAlign w:val="center"/>
          </w:tcPr>
          <w:p w14:paraId="2E962DD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2F3787E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投标保证金：无</w:t>
            </w:r>
          </w:p>
        </w:tc>
      </w:tr>
      <w:tr w14:paraId="714AB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32B62BC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77353710">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供应商获取磋商文件后可与采购人联系，沟通相关事宜。 </w:t>
            </w:r>
          </w:p>
        </w:tc>
      </w:tr>
      <w:tr w14:paraId="7DF1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6DB48F3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69B9BA2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现场踏勘：无。</w:t>
            </w:r>
          </w:p>
        </w:tc>
      </w:tr>
      <w:tr w14:paraId="3EF8D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71343E1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7FAC0735">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响应文件组成：由资信技术文件及投标报价文件两部份组成。</w:t>
            </w:r>
          </w:p>
        </w:tc>
      </w:tr>
      <w:tr w14:paraId="24A5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9" w:type="dxa"/>
            <w:tcBorders>
              <w:top w:val="single" w:color="auto" w:sz="4" w:space="0"/>
              <w:left w:val="single" w:color="auto" w:sz="4" w:space="0"/>
              <w:bottom w:val="single" w:color="auto" w:sz="4" w:space="0"/>
              <w:right w:val="single" w:color="auto" w:sz="4" w:space="0"/>
            </w:tcBorders>
            <w:vAlign w:val="center"/>
          </w:tcPr>
          <w:p w14:paraId="33094B1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778C882A">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提交首次响应文件截止时间：</w:t>
            </w:r>
            <w:r>
              <w:rPr>
                <w:rFonts w:hint="eastAsia" w:asciiTheme="minorEastAsia" w:hAnsiTheme="minorEastAsia" w:eastAsiaTheme="minorEastAsia"/>
                <w:b/>
                <w:color w:val="auto"/>
                <w:szCs w:val="21"/>
                <w:highlight w:val="none"/>
                <w:shd w:val="clear" w:color="auto" w:fill="FFFFFF"/>
                <w:lang w:eastAsia="zh-CN"/>
              </w:rPr>
              <w:t>2025年3月17日14时00分</w:t>
            </w:r>
            <w:r>
              <w:rPr>
                <w:rFonts w:hint="eastAsia" w:asciiTheme="minorEastAsia" w:hAnsiTheme="minorEastAsia" w:eastAsiaTheme="minorEastAsia"/>
                <w:b/>
                <w:color w:val="auto"/>
                <w:kern w:val="2"/>
                <w:szCs w:val="21"/>
                <w:highlight w:val="none"/>
              </w:rPr>
              <w:t xml:space="preserve">整。 </w:t>
            </w:r>
          </w:p>
        </w:tc>
      </w:tr>
      <w:tr w14:paraId="11E6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69" w:type="dxa"/>
            <w:tcBorders>
              <w:top w:val="single" w:color="auto" w:sz="4" w:space="0"/>
              <w:left w:val="single" w:color="auto" w:sz="4" w:space="0"/>
              <w:bottom w:val="single" w:color="auto" w:sz="4" w:space="0"/>
              <w:right w:val="single" w:color="auto" w:sz="4" w:space="0"/>
            </w:tcBorders>
            <w:vAlign w:val="center"/>
          </w:tcPr>
          <w:p w14:paraId="5EC11110">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79F2767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磋商时间及地点：</w:t>
            </w:r>
            <w:r>
              <w:rPr>
                <w:rFonts w:hint="eastAsia" w:asciiTheme="minorEastAsia" w:hAnsiTheme="minorEastAsia" w:eastAsiaTheme="minorEastAsia"/>
                <w:b/>
                <w:color w:val="auto"/>
                <w:szCs w:val="21"/>
                <w:highlight w:val="none"/>
                <w:shd w:val="clear" w:color="auto" w:fill="FFFFFF"/>
                <w:lang w:eastAsia="zh-CN"/>
              </w:rPr>
              <w:t>2025年3月17日14时00分</w:t>
            </w:r>
            <w:r>
              <w:rPr>
                <w:rFonts w:hint="eastAsia" w:asciiTheme="minorEastAsia" w:hAnsiTheme="minorEastAsia" w:eastAsiaTheme="minorEastAsia"/>
                <w:b/>
                <w:color w:val="auto"/>
                <w:kern w:val="2"/>
                <w:szCs w:val="21"/>
                <w:highlight w:val="none"/>
              </w:rPr>
              <w:t>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p>
        </w:tc>
      </w:tr>
      <w:tr w14:paraId="5498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 w:type="dxa"/>
            <w:tcBorders>
              <w:top w:val="single" w:color="auto" w:sz="4" w:space="0"/>
              <w:left w:val="single" w:color="auto" w:sz="4" w:space="0"/>
              <w:bottom w:val="single" w:color="auto" w:sz="4" w:space="0"/>
              <w:right w:val="single" w:color="auto" w:sz="4" w:space="0"/>
            </w:tcBorders>
            <w:vAlign w:val="center"/>
          </w:tcPr>
          <w:p w14:paraId="3B10AE0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35E8101A">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磋商办法及评分标准：详见磋商文件第四章。</w:t>
            </w:r>
          </w:p>
        </w:tc>
      </w:tr>
      <w:tr w14:paraId="6ABA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14:paraId="2EEB7C3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07B75B78">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评标结果公告：评标结束后</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个工作日内，评标结果公告于浙江政府采购网(http://www.zjzfcg.gov.cn/new/)。本项目公告期限为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个工作日，各参加政府采购活动的供应商认为该成交结果和采购过程等使自己的权益受到损害的，可以自本公告期限届满之日（本公告发布之日后第</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个工作日）起</w:t>
            </w: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14:paraId="2B21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vAlign w:val="center"/>
          </w:tcPr>
          <w:p w14:paraId="4A48008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14:paraId="3823857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成交公告及成交通知书：成交公告发布于浙江政府采购网(http://www.zjzfcg.gov.cn/new/)，成交公告期限为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个工作日。在公告成交结果的同时，代理机构向成交人发出成交通知书。</w:t>
            </w:r>
          </w:p>
        </w:tc>
      </w:tr>
      <w:tr w14:paraId="0242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00887AE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4D26D2D4">
            <w:pPr>
              <w:pStyle w:val="29"/>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签订合同时间：中标通知书发出后30日内。</w:t>
            </w:r>
          </w:p>
        </w:tc>
      </w:tr>
      <w:tr w14:paraId="43C4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3927C7A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14:paraId="4A13FA8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本项目上限价：</w:t>
            </w:r>
            <w:r>
              <w:rPr>
                <w:rFonts w:hint="eastAsia" w:asciiTheme="minorEastAsia" w:hAnsiTheme="minorEastAsia" w:eastAsiaTheme="minorEastAsia"/>
                <w:color w:val="auto"/>
                <w:kern w:val="2"/>
                <w:szCs w:val="21"/>
                <w:highlight w:val="none"/>
                <w:lang w:val="en-US" w:eastAsia="zh-CN"/>
              </w:rPr>
              <w:t>389.6770</w:t>
            </w:r>
            <w:r>
              <w:rPr>
                <w:rFonts w:hint="eastAsia" w:asciiTheme="minorEastAsia" w:hAnsiTheme="minorEastAsia" w:eastAsiaTheme="minorEastAsia"/>
                <w:color w:val="auto"/>
                <w:kern w:val="2"/>
                <w:szCs w:val="21"/>
                <w:highlight w:val="none"/>
              </w:rPr>
              <w:t>万元；超上限价的响应文件无效。</w:t>
            </w:r>
          </w:p>
        </w:tc>
      </w:tr>
      <w:tr w14:paraId="6A75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973AC50">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10989516">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付款方式：详见第二章磋商需求。</w:t>
            </w:r>
          </w:p>
        </w:tc>
      </w:tr>
      <w:tr w14:paraId="32111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56D0D718">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5E5AA90B">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响应文件有效期：</w:t>
            </w:r>
            <w:r>
              <w:rPr>
                <w:rFonts w:asciiTheme="minorEastAsia" w:hAnsiTheme="minorEastAsia" w:eastAsiaTheme="minorEastAsia"/>
                <w:color w:val="auto"/>
                <w:kern w:val="2"/>
                <w:szCs w:val="21"/>
                <w:highlight w:val="none"/>
              </w:rPr>
              <w:t>90</w:t>
            </w:r>
            <w:r>
              <w:rPr>
                <w:rFonts w:hint="eastAsia" w:asciiTheme="minorEastAsia" w:hAnsiTheme="minorEastAsia" w:eastAsiaTheme="minorEastAsia"/>
                <w:color w:val="auto"/>
                <w:kern w:val="2"/>
                <w:szCs w:val="21"/>
                <w:highlight w:val="none"/>
              </w:rPr>
              <w:t>天</w:t>
            </w:r>
          </w:p>
        </w:tc>
      </w:tr>
      <w:tr w14:paraId="1B52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6B6C6F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4C4FAF4C">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获取磋商文件（报名）</w:t>
            </w:r>
            <w:r>
              <w:rPr>
                <w:rFonts w:asciiTheme="minorEastAsia" w:hAnsiTheme="minorEastAsia" w:eastAsiaTheme="minorEastAsia"/>
                <w:color w:val="auto"/>
                <w:kern w:val="2"/>
                <w:szCs w:val="21"/>
                <w:highlight w:val="none"/>
              </w:rPr>
              <w:t>：</w:t>
            </w:r>
          </w:p>
          <w:p w14:paraId="5677FF5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474C983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获取网址：浙江政府采购网</w:t>
            </w:r>
            <w:r>
              <w:rPr>
                <w:color w:val="auto"/>
                <w:highlight w:val="none"/>
              </w:rPr>
              <w:fldChar w:fldCharType="begin"/>
            </w:r>
            <w:r>
              <w:rPr>
                <w:color w:val="auto"/>
                <w:highlight w:val="none"/>
              </w:rPr>
              <w:instrText xml:space="preserve"> HYPERLINK "https://login.zcygov.cn/login" </w:instrText>
            </w:r>
            <w:r>
              <w:rPr>
                <w:color w:val="auto"/>
                <w:highlight w:val="none"/>
              </w:rPr>
              <w:fldChar w:fldCharType="separate"/>
            </w:r>
            <w:r>
              <w:rPr>
                <w:rStyle w:val="65"/>
                <w:rFonts w:hint="eastAsia" w:asciiTheme="minorEastAsia" w:hAnsiTheme="minorEastAsia" w:eastAsiaTheme="minorEastAsia"/>
                <w:color w:val="auto"/>
                <w:kern w:val="2"/>
                <w:szCs w:val="21"/>
                <w:highlight w:val="none"/>
              </w:rPr>
              <w:t>https://login.zcygov.cn/login</w:t>
            </w:r>
            <w:r>
              <w:rPr>
                <w:rStyle w:val="65"/>
                <w:rFonts w:hint="eastAsia" w:asciiTheme="minorEastAsia" w:hAnsiTheme="minorEastAsia" w:eastAsiaTheme="minorEastAsia"/>
                <w:color w:val="auto"/>
                <w:kern w:val="2"/>
                <w:szCs w:val="21"/>
                <w:highlight w:val="none"/>
              </w:rPr>
              <w:fldChar w:fldCharType="end"/>
            </w:r>
          </w:p>
        </w:tc>
      </w:tr>
      <w:tr w14:paraId="6677D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7B03468B">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426B96DD">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信用记录：符合浙财采监</w:t>
            </w:r>
            <w:r>
              <w:rPr>
                <w:rFonts w:asciiTheme="minorEastAsia" w:hAnsiTheme="minorEastAsia" w:eastAsiaTheme="minorEastAsia"/>
                <w:color w:val="auto"/>
                <w:kern w:val="2"/>
                <w:szCs w:val="21"/>
                <w:highlight w:val="none"/>
              </w:rPr>
              <w:t>【2013】24</w:t>
            </w:r>
            <w:r>
              <w:rPr>
                <w:rFonts w:hint="eastAsia" w:asciiTheme="minorEastAsia" w:hAnsiTheme="minorEastAsia" w:eastAsiaTheme="minorEastAsia"/>
                <w:color w:val="auto"/>
                <w:kern w:val="2"/>
                <w:szCs w:val="21"/>
                <w:highlight w:val="none"/>
              </w:rPr>
              <w:t>号《关于规范政府采购供应商资格设定及资格审查的通知》规定,且未被“信用中国”（www.creditchina.gov.cn）和中国政府采购网（www.ccgp.gov.cn）列入失信被执行人、重大税收违法案件当事人名单、政府采购严重违法失信行为记录名单。提交响应文件时同时提供自招标公告发布之日起至投标截止日内任意时间的“信用中国”网站（www.creditchina.gov.cn）和中国政府采购网（www.ccgp.gov.cn）供应商信用查询网页截图。</w:t>
            </w:r>
          </w:p>
        </w:tc>
      </w:tr>
      <w:tr w14:paraId="388DD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A2B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33BA04BB">
            <w:pPr>
              <w:tabs>
                <w:tab w:val="left" w:pos="3870"/>
                <w:tab w:val="left" w:pos="4085"/>
              </w:tabs>
              <w:snapToGrid w:val="0"/>
              <w:spacing w:before="50" w:after="12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1AC80AF">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监狱企业同视为小型、微型企业，享受小微企业政策扶持。</w:t>
            </w:r>
          </w:p>
        </w:tc>
      </w:tr>
      <w:tr w14:paraId="2F80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C7BA416">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20</w:t>
            </w:r>
          </w:p>
        </w:tc>
        <w:tc>
          <w:tcPr>
            <w:tcW w:w="8371" w:type="dxa"/>
            <w:tcBorders>
              <w:top w:val="single" w:color="auto" w:sz="4" w:space="0"/>
              <w:left w:val="single" w:color="auto" w:sz="4" w:space="0"/>
              <w:bottom w:val="single" w:color="auto" w:sz="4" w:space="0"/>
              <w:right w:val="single" w:color="auto" w:sz="4" w:space="0"/>
            </w:tcBorders>
            <w:vAlign w:val="center"/>
          </w:tcPr>
          <w:p w14:paraId="5AD56A32">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标的： </w:t>
            </w:r>
            <w:r>
              <w:rPr>
                <w:rFonts w:hint="eastAsia" w:asciiTheme="minorEastAsia" w:hAnsiTheme="minorEastAsia" w:eastAsiaTheme="minorEastAsia"/>
                <w:color w:val="auto"/>
                <w:kern w:val="2"/>
                <w:szCs w:val="21"/>
                <w:highlight w:val="none"/>
                <w:u w:val="single"/>
                <w:lang w:eastAsia="zh-CN"/>
              </w:rPr>
              <w:t>新城街道派出所营房内部改造项目</w:t>
            </w:r>
            <w:r>
              <w:rPr>
                <w:rFonts w:hint="eastAsia" w:asciiTheme="minorEastAsia" w:hAnsiTheme="minorEastAsia" w:eastAsiaTheme="minorEastAsia"/>
                <w:color w:val="auto"/>
                <w:kern w:val="2"/>
                <w:szCs w:val="21"/>
                <w:highlight w:val="none"/>
              </w:rPr>
              <w:t xml:space="preserve"> ，属于</w:t>
            </w:r>
            <w:r>
              <w:rPr>
                <w:rFonts w:hint="eastAsia" w:asciiTheme="minorEastAsia" w:hAnsiTheme="minorEastAsia" w:eastAsiaTheme="minorEastAsia"/>
                <w:color w:val="auto"/>
                <w:kern w:val="2"/>
                <w:szCs w:val="21"/>
                <w:highlight w:val="none"/>
                <w:u w:val="single"/>
              </w:rPr>
              <w:t>（三）建筑业</w:t>
            </w:r>
            <w:r>
              <w:rPr>
                <w:rFonts w:hint="eastAsia" w:asciiTheme="minorEastAsia" w:hAnsiTheme="minorEastAsia" w:eastAsiaTheme="minorEastAsia"/>
                <w:color w:val="auto"/>
                <w:kern w:val="2"/>
                <w:szCs w:val="21"/>
                <w:highlight w:val="none"/>
              </w:rPr>
              <w:t>。</w:t>
            </w:r>
          </w:p>
        </w:tc>
      </w:tr>
      <w:tr w14:paraId="549D7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038D9B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21</w:t>
            </w:r>
          </w:p>
        </w:tc>
        <w:tc>
          <w:tcPr>
            <w:tcW w:w="8371" w:type="dxa"/>
            <w:tcBorders>
              <w:top w:val="single" w:color="auto" w:sz="4" w:space="0"/>
              <w:left w:val="single" w:color="auto" w:sz="4" w:space="0"/>
              <w:bottom w:val="single" w:color="auto" w:sz="4" w:space="0"/>
              <w:right w:val="single" w:color="auto" w:sz="4" w:space="0"/>
            </w:tcBorders>
            <w:vAlign w:val="center"/>
          </w:tcPr>
          <w:p w14:paraId="5419DB1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解释：本磋商文件的解释权属于采购单位。</w:t>
            </w:r>
          </w:p>
        </w:tc>
      </w:tr>
      <w:tr w14:paraId="44DB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69" w:type="dxa"/>
            <w:tcBorders>
              <w:top w:val="single" w:color="auto" w:sz="4" w:space="0"/>
              <w:left w:val="single" w:color="auto" w:sz="4" w:space="0"/>
              <w:bottom w:val="single" w:color="auto" w:sz="4" w:space="0"/>
              <w:right w:val="single" w:color="auto" w:sz="4" w:space="0"/>
            </w:tcBorders>
            <w:vAlign w:val="center"/>
          </w:tcPr>
          <w:p w14:paraId="01D5ABE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22</w:t>
            </w:r>
          </w:p>
        </w:tc>
        <w:tc>
          <w:tcPr>
            <w:tcW w:w="8371" w:type="dxa"/>
            <w:tcBorders>
              <w:top w:val="single" w:color="auto" w:sz="4" w:space="0"/>
              <w:left w:val="single" w:color="auto" w:sz="4" w:space="0"/>
              <w:bottom w:val="single" w:color="auto" w:sz="4" w:space="0"/>
              <w:right w:val="single" w:color="auto" w:sz="4" w:space="0"/>
            </w:tcBorders>
            <w:vAlign w:val="center"/>
          </w:tcPr>
          <w:p w14:paraId="65A084CB">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注：根据省财政厅相关规定采用竞争性磋商采购方式采购的政府购买服务项目，在采购过程中符合要求的供应商需要</w:t>
            </w:r>
            <w:r>
              <w:rPr>
                <w:rFonts w:asciiTheme="minorEastAsia" w:hAnsiTheme="minorEastAsia" w:eastAsiaTheme="minorEastAsia"/>
                <w:color w:val="auto"/>
                <w:kern w:val="2"/>
                <w:szCs w:val="21"/>
                <w:highlight w:val="none"/>
              </w:rPr>
              <w:t>3家或3家以上参加磋商，提交最后报价的供应商可以为2</w:t>
            </w:r>
            <w:r>
              <w:rPr>
                <w:rFonts w:hint="eastAsia" w:asciiTheme="minorEastAsia" w:hAnsiTheme="minorEastAsia" w:eastAsiaTheme="minorEastAsia"/>
                <w:color w:val="auto"/>
                <w:kern w:val="2"/>
                <w:szCs w:val="21"/>
                <w:highlight w:val="none"/>
              </w:rPr>
              <w:t>家。</w:t>
            </w:r>
          </w:p>
        </w:tc>
      </w:tr>
      <w:bookmarkEnd w:id="17"/>
    </w:tbl>
    <w:p w14:paraId="2B6F365B">
      <w:pPr>
        <w:pStyle w:val="3"/>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asciiTheme="minorEastAsia" w:hAnsiTheme="minorEastAsia" w:eastAsiaTheme="minorEastAsia"/>
          <w:color w:val="auto"/>
          <w:szCs w:val="21"/>
          <w:highlight w:val="none"/>
        </w:rPr>
        <w:t>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总则</w:t>
      </w:r>
    </w:p>
    <w:p w14:paraId="2A4FB69C">
      <w:pPr>
        <w:snapToGrid w:val="0"/>
        <w:spacing w:line="360" w:lineRule="auto"/>
        <w:rPr>
          <w:rFonts w:asciiTheme="minorEastAsia" w:hAnsiTheme="minorEastAsia" w:eastAsiaTheme="minorEastAsia"/>
          <w:b/>
          <w:color w:val="auto"/>
          <w:kern w:val="2"/>
          <w:szCs w:val="21"/>
          <w:highlight w:val="none"/>
        </w:rPr>
      </w:pPr>
      <w:bookmarkStart w:id="18" w:name="_Toc397670917"/>
      <w:bookmarkStart w:id="19" w:name="_Toc397670946"/>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适用范围</w:t>
      </w:r>
      <w:bookmarkEnd w:id="18"/>
      <w:bookmarkEnd w:id="19"/>
    </w:p>
    <w:p w14:paraId="487D323B">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本磋商文件仅适用于本项目的磋商、响应、评标、定标、验收、合同履约等行为。</w:t>
      </w:r>
    </w:p>
    <w:p w14:paraId="1A9E075C">
      <w:pPr>
        <w:snapToGrid w:val="0"/>
        <w:spacing w:line="360" w:lineRule="auto"/>
        <w:rPr>
          <w:rFonts w:asciiTheme="minorEastAsia" w:hAnsiTheme="minorEastAsia" w:eastAsiaTheme="minorEastAsia"/>
          <w:b/>
          <w:color w:val="auto"/>
          <w:kern w:val="2"/>
          <w:szCs w:val="21"/>
          <w:highlight w:val="none"/>
        </w:rPr>
      </w:pPr>
      <w:bookmarkStart w:id="20" w:name="_Toc397670919"/>
      <w:bookmarkStart w:id="21" w:name="_Toc397670948"/>
      <w:r>
        <w:rPr>
          <w:rFonts w:hint="eastAsia" w:asciiTheme="minorEastAsia" w:hAnsiTheme="minorEastAsia" w:eastAsiaTheme="minorEastAsia"/>
          <w:b/>
          <w:color w:val="auto"/>
          <w:kern w:val="2"/>
          <w:szCs w:val="21"/>
          <w:highlight w:val="none"/>
        </w:rPr>
        <w:t>（二）定义</w:t>
      </w:r>
    </w:p>
    <w:p w14:paraId="469BDBEF">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系指组织本次磋商的</w:t>
      </w:r>
      <w:r>
        <w:rPr>
          <w:rFonts w:hint="eastAsia" w:asciiTheme="minorEastAsia" w:hAnsiTheme="minorEastAsia" w:eastAsiaTheme="minorEastAsia"/>
          <w:color w:val="auto"/>
          <w:kern w:val="2"/>
          <w:szCs w:val="21"/>
          <w:highlight w:val="none"/>
        </w:rPr>
        <w:t>（招标单位）</w:t>
      </w:r>
      <w:r>
        <w:rPr>
          <w:rFonts w:asciiTheme="minorEastAsia" w:hAnsiTheme="minorEastAsia" w:eastAsiaTheme="minorEastAsia"/>
          <w:color w:val="auto"/>
          <w:kern w:val="2"/>
          <w:szCs w:val="21"/>
          <w:highlight w:val="none"/>
        </w:rPr>
        <w:t>。</w:t>
      </w:r>
    </w:p>
    <w:p w14:paraId="26FFE5DE">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、“投标单位”</w:t>
      </w:r>
      <w:r>
        <w:rPr>
          <w:rFonts w:asciiTheme="minorEastAsia" w:hAnsiTheme="minorEastAsia" w:eastAsiaTheme="minorEastAsia"/>
          <w:color w:val="auto"/>
          <w:kern w:val="2"/>
          <w:szCs w:val="21"/>
          <w:highlight w:val="none"/>
        </w:rPr>
        <w:t>系指向</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提交</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的单位。</w:t>
      </w:r>
    </w:p>
    <w:p w14:paraId="5508C6AA">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“产品”系指供方按磋商文件规定，须向采购人提供的一切</w:t>
      </w:r>
      <w:r>
        <w:rPr>
          <w:rFonts w:hint="eastAsia" w:asciiTheme="minorEastAsia" w:hAnsiTheme="minorEastAsia" w:eastAsiaTheme="minorEastAsia"/>
          <w:color w:val="auto"/>
          <w:kern w:val="2"/>
          <w:szCs w:val="21"/>
          <w:highlight w:val="none"/>
        </w:rPr>
        <w:t>服务</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人员、管理费、验收、</w:t>
      </w:r>
      <w:r>
        <w:rPr>
          <w:rFonts w:asciiTheme="minorEastAsia" w:hAnsiTheme="minorEastAsia" w:eastAsiaTheme="minorEastAsia"/>
          <w:color w:val="auto"/>
          <w:kern w:val="2"/>
          <w:szCs w:val="21"/>
          <w:highlight w:val="none"/>
        </w:rPr>
        <w:t>税金及其它有关技术资料和材料。</w:t>
      </w:r>
    </w:p>
    <w:p w14:paraId="126CAD0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“服务”系指</w:t>
      </w:r>
      <w:r>
        <w:rPr>
          <w:rFonts w:hint="eastAsia" w:asciiTheme="minorEastAsia" w:hAnsiTheme="minorEastAsia" w:eastAsiaTheme="minorEastAsia"/>
          <w:color w:val="auto"/>
          <w:kern w:val="2"/>
          <w:szCs w:val="21"/>
          <w:highlight w:val="none"/>
        </w:rPr>
        <w:t>竞争性磋商文件规定供应商须承担的服务以及其他相关的义务。</w:t>
      </w:r>
    </w:p>
    <w:p w14:paraId="3F0375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“项目”系指供应商按</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规定向采购人提供的产品和服务。</w:t>
      </w:r>
    </w:p>
    <w:p w14:paraId="738ECC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“书面形式”包括信函、传真、电报等。</w:t>
      </w:r>
    </w:p>
    <w:p w14:paraId="266B356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“▲”系指实质性要求条款</w:t>
      </w:r>
      <w:r>
        <w:rPr>
          <w:rFonts w:hint="eastAsia" w:asciiTheme="minorEastAsia" w:hAnsiTheme="minorEastAsia" w:eastAsiaTheme="minorEastAsia"/>
          <w:color w:val="auto"/>
          <w:kern w:val="2"/>
          <w:szCs w:val="21"/>
          <w:highlight w:val="none"/>
        </w:rPr>
        <w:t>，不满足</w:t>
      </w:r>
      <w:r>
        <w:rPr>
          <w:rFonts w:asciiTheme="minorEastAsia" w:hAnsiTheme="minorEastAsia" w:eastAsiaTheme="minorEastAsia"/>
          <w:color w:val="auto"/>
          <w:kern w:val="2"/>
          <w:szCs w:val="21"/>
          <w:highlight w:val="none"/>
        </w:rPr>
        <w:t>实质性</w:t>
      </w:r>
      <w:r>
        <w:rPr>
          <w:rFonts w:hint="eastAsia" w:asciiTheme="minorEastAsia" w:hAnsiTheme="minorEastAsia" w:eastAsiaTheme="minorEastAsia"/>
          <w:color w:val="auto"/>
          <w:kern w:val="2"/>
          <w:szCs w:val="21"/>
          <w:highlight w:val="none"/>
        </w:rPr>
        <w:t>要求条款的响应文件无效。</w:t>
      </w:r>
    </w:p>
    <w:p w14:paraId="03899004">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8、“★”系指的条款为核心技术要求。</w:t>
      </w:r>
    </w:p>
    <w:p w14:paraId="622B7E3F">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（三）招标方式</w:t>
      </w:r>
      <w:bookmarkEnd w:id="20"/>
      <w:bookmarkEnd w:id="21"/>
    </w:p>
    <w:p w14:paraId="64D695FF">
      <w:pPr>
        <w:snapToGrid w:val="0"/>
        <w:spacing w:line="360" w:lineRule="auto"/>
        <w:ind w:firstLine="420" w:firstLineChars="200"/>
        <w:rPr>
          <w:rFonts w:asciiTheme="minorEastAsia" w:hAnsiTheme="minorEastAsia" w:eastAsiaTheme="minorEastAsia"/>
          <w:color w:val="auto"/>
          <w:kern w:val="2"/>
          <w:szCs w:val="21"/>
          <w:highlight w:val="none"/>
        </w:rPr>
      </w:pPr>
      <w:bookmarkStart w:id="22" w:name="_Toc397670920"/>
      <w:bookmarkStart w:id="23" w:name="_Toc397670949"/>
      <w:r>
        <w:rPr>
          <w:rFonts w:asciiTheme="minorEastAsia" w:hAnsiTheme="minorEastAsia" w:eastAsiaTheme="minorEastAsia"/>
          <w:color w:val="auto"/>
          <w:kern w:val="2"/>
          <w:szCs w:val="21"/>
          <w:highlight w:val="none"/>
        </w:rPr>
        <w:t>本次招标采用</w:t>
      </w:r>
      <w:r>
        <w:rPr>
          <w:rFonts w:hint="eastAsia" w:asciiTheme="minorEastAsia" w:hAnsiTheme="minorEastAsia" w:eastAsiaTheme="minorEastAsia"/>
          <w:b/>
          <w:color w:val="auto"/>
          <w:kern w:val="2"/>
          <w:szCs w:val="21"/>
          <w:highlight w:val="none"/>
          <w:u w:val="single"/>
        </w:rPr>
        <w:t>竞争性磋商</w:t>
      </w:r>
      <w:r>
        <w:rPr>
          <w:rFonts w:asciiTheme="minorEastAsia" w:hAnsiTheme="minorEastAsia" w:eastAsiaTheme="minorEastAsia"/>
          <w:color w:val="auto"/>
          <w:kern w:val="2"/>
          <w:szCs w:val="21"/>
          <w:highlight w:val="none"/>
        </w:rPr>
        <w:t>方式进行。</w:t>
      </w:r>
    </w:p>
    <w:p w14:paraId="2F9D5711">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（四）投标委托</w:t>
      </w:r>
      <w:bookmarkEnd w:id="22"/>
      <w:bookmarkEnd w:id="23"/>
    </w:p>
    <w:p w14:paraId="4E4B6108">
      <w:pPr>
        <w:pStyle w:val="22"/>
        <w:snapToGrid w:val="0"/>
        <w:spacing w:line="360" w:lineRule="auto"/>
        <w:ind w:left="0" w:leftChars="0"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代表不是法定代表人，须有法定代表人出具的授权采购计划。</w:t>
      </w:r>
    </w:p>
    <w:p w14:paraId="4B06016A">
      <w:pPr>
        <w:snapToGrid w:val="0"/>
        <w:spacing w:line="360" w:lineRule="auto"/>
        <w:rPr>
          <w:rFonts w:asciiTheme="minorEastAsia" w:hAnsiTheme="minorEastAsia" w:eastAsiaTheme="minorEastAsia"/>
          <w:b/>
          <w:color w:val="auto"/>
          <w:kern w:val="2"/>
          <w:szCs w:val="21"/>
          <w:highlight w:val="none"/>
        </w:rPr>
      </w:pPr>
      <w:bookmarkStart w:id="24" w:name="_Toc397670950"/>
      <w:bookmarkStart w:id="25" w:name="_Toc397670921"/>
      <w:r>
        <w:rPr>
          <w:rFonts w:hint="eastAsia" w:asciiTheme="minorEastAsia" w:hAnsiTheme="minorEastAsia" w:eastAsiaTheme="minorEastAsia"/>
          <w:b/>
          <w:color w:val="auto"/>
          <w:kern w:val="2"/>
          <w:szCs w:val="21"/>
          <w:highlight w:val="none"/>
        </w:rPr>
        <w:t>（五）投标费用</w:t>
      </w:r>
      <w:bookmarkEnd w:id="24"/>
      <w:bookmarkEnd w:id="25"/>
    </w:p>
    <w:p w14:paraId="33755C8A">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不论投标结果如何，供应商均应自行承担所有与投标有关的费用（磋商文件有相反规定除外）。</w:t>
      </w:r>
    </w:p>
    <w:p w14:paraId="0617C7CC">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（六）联合体投标</w:t>
      </w:r>
    </w:p>
    <w:p w14:paraId="281A93D5">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本项目不接受联合体投标。</w:t>
      </w:r>
    </w:p>
    <w:p w14:paraId="723899B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（八）是否允许采购进口产品</w:t>
      </w:r>
    </w:p>
    <w:p w14:paraId="2E3386C3">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w:t>
      </w:r>
      <w:r>
        <w:rPr>
          <w:rFonts w:asciiTheme="minorEastAsia" w:hAnsiTheme="minorEastAsia" w:eastAsiaTheme="minorEastAsia"/>
          <w:color w:val="auto"/>
          <w:kern w:val="2"/>
          <w:szCs w:val="21"/>
          <w:highlight w:val="none"/>
        </w:rPr>
        <w:t>允许</w:t>
      </w:r>
      <w:r>
        <w:rPr>
          <w:rFonts w:hint="eastAsia" w:asciiTheme="minorEastAsia" w:hAnsiTheme="minorEastAsia" w:eastAsiaTheme="minorEastAsia"/>
          <w:color w:val="auto"/>
          <w:kern w:val="2"/>
          <w:szCs w:val="21"/>
          <w:highlight w:val="none"/>
        </w:rPr>
        <w:t>采购进口产品。</w:t>
      </w:r>
    </w:p>
    <w:p w14:paraId="31452DDB">
      <w:pPr>
        <w:snapToGrid w:val="0"/>
        <w:spacing w:before="120" w:beforeLines="50" w:line="360" w:lineRule="auto"/>
        <w:rPr>
          <w:rFonts w:asciiTheme="minorEastAsia" w:hAnsiTheme="minorEastAsia" w:eastAsiaTheme="minorEastAsia"/>
          <w:color w:val="auto"/>
          <w:kern w:val="2"/>
          <w:szCs w:val="21"/>
          <w:highlight w:val="none"/>
        </w:rPr>
      </w:pPr>
      <w:bookmarkStart w:id="26" w:name="_Toc405792813"/>
      <w:bookmarkStart w:id="27" w:name="_Toc397670952"/>
      <w:bookmarkStart w:id="28" w:name="_Toc397670923"/>
      <w:bookmarkStart w:id="29" w:name="_Toc444500048"/>
      <w:r>
        <w:rPr>
          <w:rFonts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kern w:val="2"/>
          <w:szCs w:val="21"/>
          <w:highlight w:val="none"/>
        </w:rPr>
        <w:t>（九）特别说明：</w:t>
      </w:r>
    </w:p>
    <w:p w14:paraId="5B8F9230">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供应商投标所使用的资格、信誉、荣誉、业绩与企业认证必须为本法人所拥有。</w:t>
      </w:r>
    </w:p>
    <w:p w14:paraId="781EFFDC">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供应商应仔细阅读</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的所有内容，按照</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，并对所提供的全部资料的真实性承担法律责任。</w:t>
      </w:r>
    </w:p>
    <w:p w14:paraId="2BCB1CED">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供应商在投标活动中提供任何虚假材料,其投标无效，并报监管部门查处；中标后发现的,</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须依照《中华人民共和国消费者权益保护法》第49条之规定双倍赔偿采购人</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且民事赔偿并不免除违法供应商的行政与刑事责任。</w:t>
      </w:r>
    </w:p>
    <w:p w14:paraId="3B465C59">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十</w:t>
      </w:r>
      <w:r>
        <w:rPr>
          <w:rFonts w:asciiTheme="minorEastAsia" w:hAnsiTheme="minorEastAsia" w:eastAsiaTheme="minorEastAsia"/>
          <w:b/>
          <w:color w:val="auto"/>
          <w:szCs w:val="21"/>
          <w:highlight w:val="none"/>
        </w:rPr>
        <w:t>）质疑和投诉</w:t>
      </w:r>
    </w:p>
    <w:p w14:paraId="662B24F4">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代理机构的答复不满意，或者采购人、代理机构未在规定时间内作出答复的，可以在答复期满后15个工作日内向规定的财政部门提起投诉。</w:t>
      </w:r>
    </w:p>
    <w:p w14:paraId="2E70202C">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2.供应商须在法定质疑期内一次性提出针对同一采购程序环节的质疑。</w:t>
      </w:r>
    </w:p>
    <w:p w14:paraId="514DD7AC">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供应商认为代理机构在质疑答复程序中启用的调查和复评等程序，在该程序操作过程未明显违反法律禁止性规定时，不得提出疑义。</w:t>
      </w:r>
    </w:p>
    <w:p w14:paraId="622CE146">
      <w:pPr>
        <w:pStyle w:val="29"/>
        <w:snapToGrid w:val="0"/>
        <w:spacing w:line="360" w:lineRule="auto"/>
        <w:ind w:firstLine="420" w:firstLineChars="200"/>
        <w:rPr>
          <w:rFonts w:asciiTheme="minorEastAsia" w:hAnsiTheme="minorEastAsia" w:eastAsiaTheme="minorEastAsia"/>
          <w:bCs/>
          <w:color w:val="auto"/>
          <w:kern w:val="0"/>
          <w:sz w:val="32"/>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.质疑和投诉应当满足《政府采购质疑和投诉办法》（中华人民共和国财政部令第94号）要求。</w:t>
      </w:r>
    </w:p>
    <w:p w14:paraId="2D759956">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二、磋商文件</w:t>
      </w:r>
      <w:bookmarkEnd w:id="26"/>
      <w:bookmarkEnd w:id="27"/>
      <w:bookmarkEnd w:id="28"/>
      <w:bookmarkEnd w:id="29"/>
    </w:p>
    <w:p w14:paraId="035B1E5A">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（一）磋商文件的构成</w:t>
      </w:r>
    </w:p>
    <w:p w14:paraId="7F31DD0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磋商公告</w:t>
      </w:r>
    </w:p>
    <w:p w14:paraId="5DCEDCB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w:t>
      </w:r>
      <w:r>
        <w:rPr>
          <w:rFonts w:hint="eastAsia" w:asciiTheme="minorEastAsia" w:hAnsiTheme="minorEastAsia" w:eastAsiaTheme="minorEastAsia"/>
          <w:color w:val="auto"/>
          <w:kern w:val="2"/>
          <w:szCs w:val="21"/>
          <w:highlight w:val="none"/>
        </w:rPr>
        <w:t>项目要求</w:t>
      </w:r>
    </w:p>
    <w:p w14:paraId="4BD297D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须知</w:t>
      </w:r>
    </w:p>
    <w:p w14:paraId="683B29F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评标办法及标准</w:t>
      </w:r>
    </w:p>
    <w:p w14:paraId="26DA1647">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合同主要条款</w:t>
      </w:r>
    </w:p>
    <w:p w14:paraId="2A0FFE9B">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格式</w:t>
      </w:r>
    </w:p>
    <w:p w14:paraId="58636ECE">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7.本项目</w:t>
      </w:r>
      <w:r>
        <w:rPr>
          <w:rFonts w:asciiTheme="minorEastAsia" w:hAnsiTheme="minorEastAsia" w:eastAsiaTheme="minorEastAsia"/>
          <w:color w:val="auto"/>
          <w:kern w:val="2"/>
          <w:szCs w:val="21"/>
          <w:highlight w:val="none"/>
        </w:rPr>
        <w:t>磋商文件</w:t>
      </w:r>
      <w:r>
        <w:rPr>
          <w:rFonts w:hint="eastAsia" w:asciiTheme="minorEastAsia" w:hAnsiTheme="minorEastAsia" w:eastAsiaTheme="minorEastAsia"/>
          <w:color w:val="auto"/>
          <w:kern w:val="2"/>
          <w:szCs w:val="21"/>
          <w:highlight w:val="none"/>
        </w:rPr>
        <w:t>的</w:t>
      </w:r>
      <w:r>
        <w:rPr>
          <w:rFonts w:asciiTheme="minorEastAsia" w:hAnsiTheme="minorEastAsia" w:eastAsiaTheme="minorEastAsia"/>
          <w:color w:val="auto"/>
          <w:kern w:val="2"/>
          <w:szCs w:val="21"/>
          <w:highlight w:val="none"/>
        </w:rPr>
        <w:t>澄清、答复、修改、补充的内容</w:t>
      </w:r>
    </w:p>
    <w:p w14:paraId="5523A58F">
      <w:pPr>
        <w:snapToGrid w:val="0"/>
        <w:spacing w:before="120" w:beforeLines="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（二）供应商的风险</w:t>
      </w:r>
    </w:p>
    <w:p w14:paraId="1A5BFA43">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供应商没有按照磋商文件要求提供全部资料，或者供应商没有对磋商文件在各方面做出实质性响应是供应商的风险，并可能导致其投标为无效标。</w:t>
      </w:r>
    </w:p>
    <w:p w14:paraId="137A3F61">
      <w:pPr>
        <w:pStyle w:val="13"/>
        <w:numPr>
          <w:ilvl w:val="0"/>
          <w:numId w:val="0"/>
        </w:numPr>
        <w:tabs>
          <w:tab w:val="left" w:pos="720"/>
          <w:tab w:val="clear" w:pos="360"/>
        </w:tabs>
        <w:snapToGrid w:val="0"/>
        <w:spacing w:before="120" w:beforeLines="50" w:after="12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（三）磋商文件的澄清与修改</w:t>
      </w:r>
    </w:p>
    <w:p w14:paraId="0317A259">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应认真阅读本磋商文件，发现其中有误或有不合理要求的，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必须在规定时间内以书面形式要求磋商</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澄清。</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机构对已发出的磋商文件进行必要澄清、答复、修改或补充的，应当在磋商文件要求提交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rPr>
        <w:t>三</w:t>
      </w:r>
      <w:r>
        <w:rPr>
          <w:rFonts w:asciiTheme="minorEastAsia" w:hAnsiTheme="minorEastAsia" w:eastAsiaTheme="minorEastAsia"/>
          <w:color w:val="auto"/>
          <w:szCs w:val="21"/>
          <w:highlight w:val="none"/>
        </w:rPr>
        <w:t>日前，在财政部门指定的政府采购信息发布媒体上发布更正公告，并以书面形式通知所有磋商文件收受人。</w:t>
      </w:r>
    </w:p>
    <w:p w14:paraId="049DB440">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机构必须以书面形式答复</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要求澄清的问题，并将不包含问题来源的答复书面通知所有购买磋商文件的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；除书面答复以外的其他澄清方式及澄清内容均无效。</w:t>
      </w:r>
    </w:p>
    <w:p w14:paraId="2582C016">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14:paraId="10E86427">
      <w:pPr>
        <w:pStyle w:val="29"/>
        <w:snapToGrid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4.磋商文件的澄清、答复、修改或补充都应该通过本代理机构以法定形式发布，采购人非通过本机构，不得擅自澄清、答复、修改或补充磋商文件。</w:t>
      </w:r>
      <w:bookmarkStart w:id="30" w:name="_Toc397670924"/>
      <w:bookmarkStart w:id="31" w:name="_Toc397670953"/>
    </w:p>
    <w:bookmarkEnd w:id="30"/>
    <w:bookmarkEnd w:id="31"/>
    <w:p w14:paraId="71BBDF70">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三、投标文件的编制</w:t>
      </w:r>
    </w:p>
    <w:p w14:paraId="02C5ADC0">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本项目所涉投标文件格式请详见第六章，未给出的格式请自拟。资信技术文件中不得出现报价，否则投标文件将被视为无效。</w:t>
      </w:r>
    </w:p>
    <w:p w14:paraId="20F858AF">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总体要求</w:t>
      </w:r>
      <w:r>
        <w:rPr>
          <w:rFonts w:asciiTheme="minorEastAsia" w:hAnsiTheme="minorEastAsia" w:eastAsiaTheme="minorEastAsia"/>
          <w:b/>
          <w:color w:val="auto"/>
          <w:szCs w:val="21"/>
          <w:highlight w:val="none"/>
        </w:rPr>
        <w:t>：</w:t>
      </w:r>
    </w:p>
    <w:p w14:paraId="2B5259E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11C8463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14:paraId="3F3A1C7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14:paraId="45AD0D03">
      <w:pPr>
        <w:snapToGrid w:val="0"/>
        <w:spacing w:line="360" w:lineRule="auto"/>
        <w:ind w:firstLine="413" w:firstLineChars="196"/>
        <w:rPr>
          <w:rFonts w:asciiTheme="minorEastAsia" w:hAnsiTheme="minorEastAsia" w:eastAsiaTheme="minorEastAsia"/>
          <w:b/>
          <w:color w:val="auto"/>
          <w:szCs w:val="21"/>
          <w:highlight w:val="none"/>
        </w:rPr>
      </w:pPr>
      <w:bookmarkStart w:id="32" w:name="_Toc406402944"/>
      <w:bookmarkStart w:id="33" w:name="_Toc406402988"/>
      <w:r>
        <w:rPr>
          <w:rFonts w:hint="eastAsia" w:asciiTheme="minorEastAsia" w:hAnsiTheme="minorEastAsia" w:eastAsiaTheme="minorEastAsia"/>
          <w:b/>
          <w:color w:val="auto"/>
          <w:szCs w:val="21"/>
          <w:highlight w:val="none"/>
        </w:rPr>
        <w:t>（一）投标文件的组成</w:t>
      </w:r>
      <w:bookmarkEnd w:id="32"/>
      <w:bookmarkEnd w:id="33"/>
    </w:p>
    <w:p w14:paraId="44CBA04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14:paraId="0A1874B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14:paraId="58569A80">
      <w:pPr>
        <w:spacing w:line="360" w:lineRule="auto"/>
        <w:ind w:firstLine="420" w:firstLineChars="200"/>
        <w:rPr>
          <w:rFonts w:asciiTheme="minorEastAsia" w:hAnsiTheme="minorEastAsia" w:eastAsiaTheme="minorEastAsia"/>
          <w:color w:val="auto"/>
          <w:szCs w:val="21"/>
          <w:highlight w:val="none"/>
        </w:rPr>
      </w:pPr>
      <w:bookmarkStart w:id="34" w:name="_Toc406402945"/>
      <w:bookmarkStart w:id="35" w:name="_Toc406402989"/>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14:paraId="1F5C6C4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14:paraId="0E07422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14:paraId="7C964AA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14:paraId="2F32C2E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）业绩</w:t>
      </w:r>
      <w:r>
        <w:rPr>
          <w:rFonts w:hint="eastAsia" w:asciiTheme="minorEastAsia" w:hAnsiTheme="minorEastAsia" w:eastAsiaTheme="minorEastAsia"/>
          <w:color w:val="auto"/>
          <w:szCs w:val="21"/>
          <w:highlight w:val="none"/>
        </w:rPr>
        <w:t>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14:paraId="6F53F3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w:t>
      </w:r>
      <w:r>
        <w:rPr>
          <w:rFonts w:asciiTheme="minorEastAsia" w:hAnsiTheme="minorEastAsia" w:eastAsiaTheme="minorEastAsia"/>
          <w:color w:val="auto"/>
          <w:szCs w:val="21"/>
          <w:highlight w:val="none"/>
        </w:rPr>
        <w:t>人员配置</w:t>
      </w:r>
      <w:r>
        <w:rPr>
          <w:rFonts w:hint="eastAsia" w:asciiTheme="minorEastAsia" w:hAnsiTheme="minorEastAsia" w:eastAsiaTheme="minorEastAsia"/>
          <w:color w:val="auto"/>
          <w:szCs w:val="21"/>
          <w:highlight w:val="none"/>
        </w:rPr>
        <w:t>情况；（附件6）</w:t>
      </w:r>
    </w:p>
    <w:p w14:paraId="4B195B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（7）投标人符合政府采购法第二十二条资格的相关证明文件；</w:t>
      </w:r>
    </w:p>
    <w:p w14:paraId="7E8EBC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（8）投标人符合特定条件的相关证明文件；</w:t>
      </w:r>
    </w:p>
    <w:p w14:paraId="60E8271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3128672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（10）中小企业声明函、残疾人福利性单位声明函及其他符合政策性加分条件的承诺函或证明材料。（附件7、8）</w:t>
      </w:r>
    </w:p>
    <w:p w14:paraId="195501A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）商务偏离表、技术偏离表、（附件9、10）</w:t>
      </w:r>
    </w:p>
    <w:p w14:paraId="47601E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）未尽事宜请各供应商按评分细则制作技术部份。</w:t>
      </w:r>
    </w:p>
    <w:p w14:paraId="6D73FF7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技术文件</w:t>
      </w:r>
    </w:p>
    <w:p w14:paraId="1054F6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项目理解</w:t>
      </w:r>
      <w:r>
        <w:rPr>
          <w:rFonts w:hint="eastAsia" w:asciiTheme="minorEastAsia" w:hAnsiTheme="minorEastAsia" w:eastAsiaTheme="minorEastAsia"/>
          <w:color w:val="auto"/>
          <w:szCs w:val="21"/>
          <w:highlight w:val="none"/>
        </w:rPr>
        <w:t>、实施方案、编制大纲、进度计划、服务质量；（格式自拟）</w:t>
      </w:r>
    </w:p>
    <w:p w14:paraId="184F8C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3D57781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（3）投标人认为有必要提供的声明及文件资料。</w:t>
      </w:r>
    </w:p>
    <w:p w14:paraId="3405AB2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（4）未尽事宜请各投标人按评分细则制作。</w:t>
      </w:r>
    </w:p>
    <w:p w14:paraId="122B8C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14:paraId="4B31498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14:paraId="4E2CD63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（1）投标函；（附件11）</w:t>
      </w:r>
    </w:p>
    <w:p w14:paraId="2BDF0CA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（附件12）</w:t>
      </w:r>
    </w:p>
    <w:p w14:paraId="2CEE25B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（3）明细报价表；（附件13）</w:t>
      </w:r>
    </w:p>
    <w:p w14:paraId="69C792D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bookmarkEnd w:id="34"/>
      <w:bookmarkEnd w:id="35"/>
    </w:p>
    <w:p w14:paraId="07D6B7AA">
      <w:pPr>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14:paraId="3C2D2C79">
      <w:pPr>
        <w:snapToGrid w:val="0"/>
        <w:spacing w:before="120" w:beforeLines="50" w:after="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color w:val="auto"/>
          <w:kern w:val="2"/>
          <w:szCs w:val="21"/>
          <w:highlight w:val="none"/>
        </w:rPr>
        <w:t>　</w:t>
      </w:r>
      <w:bookmarkStart w:id="36" w:name="_Toc444500050"/>
      <w:bookmarkStart w:id="37" w:name="_Toc405792815"/>
      <w:bookmarkStart w:id="38" w:name="_Toc397670926"/>
      <w:bookmarkStart w:id="39" w:name="_Toc397670955"/>
      <w:r>
        <w:rPr>
          <w:rFonts w:hint="eastAsia" w:asciiTheme="minorEastAsia" w:hAnsiTheme="minorEastAsia" w:eastAsiaTheme="minorEastAsia"/>
          <w:color w:val="auto"/>
          <w:kern w:val="2"/>
          <w:szCs w:val="21"/>
          <w:highlight w:val="none"/>
        </w:rPr>
        <w:t xml:space="preserve">  </w:t>
      </w:r>
      <w:r>
        <w:rPr>
          <w:rFonts w:asciiTheme="minorEastAsia" w:hAnsiTheme="minorEastAsia" w:eastAsiaTheme="minorEastAsia"/>
          <w:b/>
          <w:color w:val="auto"/>
          <w:kern w:val="2"/>
          <w:szCs w:val="21"/>
          <w:highlight w:val="none"/>
        </w:rPr>
        <w:t>法定代表人（负责人）授权委托书、</w:t>
      </w:r>
      <w:r>
        <w:rPr>
          <w:rFonts w:hint="eastAsia" w:asciiTheme="minorEastAsia" w:hAnsiTheme="minorEastAsia" w:eastAsiaTheme="minorEastAsia"/>
          <w:b/>
          <w:color w:val="auto"/>
          <w:kern w:val="2"/>
          <w:szCs w:val="21"/>
          <w:highlight w:val="none"/>
        </w:rPr>
        <w:t>磋商函、</w:t>
      </w:r>
      <w:r>
        <w:rPr>
          <w:rFonts w:asciiTheme="minorEastAsia" w:hAnsiTheme="minorEastAsia" w:eastAsiaTheme="minorEastAsia"/>
          <w:b/>
          <w:color w:val="auto"/>
          <w:kern w:val="2"/>
          <w:szCs w:val="21"/>
          <w:highlight w:val="none"/>
        </w:rPr>
        <w:t>磋商声明书、</w:t>
      </w:r>
      <w:r>
        <w:rPr>
          <w:rFonts w:hint="eastAsia" w:asciiTheme="minorEastAsia" w:hAnsiTheme="minorEastAsia" w:eastAsiaTheme="minorEastAsia"/>
          <w:b/>
          <w:color w:val="auto"/>
          <w:kern w:val="2"/>
          <w:szCs w:val="21"/>
          <w:highlight w:val="none"/>
        </w:rPr>
        <w:t>磋商报价表</w:t>
      </w:r>
      <w:r>
        <w:rPr>
          <w:rFonts w:asciiTheme="minorEastAsia" w:hAnsiTheme="minorEastAsia" w:eastAsiaTheme="minorEastAsia"/>
          <w:b/>
          <w:color w:val="auto"/>
          <w:kern w:val="2"/>
          <w:szCs w:val="21"/>
          <w:highlight w:val="none"/>
        </w:rPr>
        <w:t>须由法定代表人（负责人）</w:t>
      </w:r>
      <w:r>
        <w:rPr>
          <w:rFonts w:hint="eastAsia" w:asciiTheme="minorEastAsia" w:hAnsiTheme="minorEastAsia" w:eastAsiaTheme="minorEastAsia"/>
          <w:b/>
          <w:color w:val="auto"/>
          <w:kern w:val="2"/>
          <w:szCs w:val="21"/>
          <w:highlight w:val="none"/>
        </w:rPr>
        <w:t>或被授权人签字或盖章</w:t>
      </w:r>
      <w:r>
        <w:rPr>
          <w:rFonts w:asciiTheme="minorEastAsia" w:hAnsiTheme="minorEastAsia" w:eastAsiaTheme="minorEastAsia"/>
          <w:b/>
          <w:color w:val="auto"/>
          <w:kern w:val="2"/>
          <w:szCs w:val="21"/>
          <w:highlight w:val="none"/>
        </w:rPr>
        <w:t>并加盖单位公章。</w:t>
      </w:r>
    </w:p>
    <w:p w14:paraId="2457BCE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（二）响应文件的语言及计量</w:t>
      </w:r>
      <w:bookmarkEnd w:id="36"/>
      <w:bookmarkEnd w:id="37"/>
      <w:bookmarkEnd w:id="38"/>
      <w:bookmarkEnd w:id="39"/>
    </w:p>
    <w:p w14:paraId="653BEDEB">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14:paraId="65C84A0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bookmarkStart w:id="40" w:name="_Toc444500051"/>
      <w:bookmarkStart w:id="41" w:name="_Toc405792816"/>
      <w:bookmarkStart w:id="42" w:name="_Toc397670927"/>
      <w:bookmarkStart w:id="43" w:name="_Toc397670956"/>
    </w:p>
    <w:p w14:paraId="06EF41A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3.供应商应按本次磋商项目进行报价，不得缺项和漏项；</w:t>
      </w:r>
    </w:p>
    <w:p w14:paraId="768A0CF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4.供应商应按磋商文件规定的，只允许有一个报价，任何有选择性的报价，将不予接受；</w:t>
      </w:r>
    </w:p>
    <w:p w14:paraId="467D0221">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5.供应商的最终报价由供应商自担全部风险责任；</w:t>
      </w:r>
    </w:p>
    <w:p w14:paraId="3D9A4ED7">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6.各供应商拟采取的竞争措施和提供给采购人的优惠条件应在磋商响应文件中列明；</w:t>
      </w:r>
    </w:p>
    <w:p w14:paraId="4998760A">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7.供应商所有优惠条件和优惠费用不得降低和影响本项目质量；</w:t>
      </w:r>
    </w:p>
    <w:p w14:paraId="64BA4FCF">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8.供应商对磋商文件里有关磋商报价的全部内容应仔细确认，若有个别异议，应在开标前提出修改意见，否则视同全部确认。</w:t>
      </w:r>
    </w:p>
    <w:p w14:paraId="75B7D3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9.供应商按照清单总说明报价要求及其他有关说明进行报价。</w:t>
      </w:r>
    </w:p>
    <w:p w14:paraId="46C53297">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w:t>
      </w:r>
      <w:bookmarkEnd w:id="40"/>
      <w:bookmarkEnd w:id="41"/>
      <w:bookmarkEnd w:id="42"/>
      <w:bookmarkEnd w:id="43"/>
      <w:r>
        <w:rPr>
          <w:rFonts w:hint="eastAsia" w:asciiTheme="minorEastAsia" w:hAnsiTheme="minorEastAsia" w:eastAsiaTheme="minorEastAsia"/>
          <w:b/>
          <w:color w:val="auto"/>
          <w:kern w:val="2"/>
          <w:szCs w:val="21"/>
          <w:highlight w:val="none"/>
        </w:rPr>
        <w:t>磋商报价</w:t>
      </w:r>
    </w:p>
    <w:p w14:paraId="27E309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1.磋商报价应按磋商文件中相关附表格式填写。</w:t>
      </w:r>
    </w:p>
    <w:p w14:paraId="408E854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2.磋商报价是履行合同的最终价格，应包括为完成本项目所需要所有设备费用、投标费用及为完成本项目直至可以正常运行的等所有费用、税金、利润、及政策性文件规定等各项应有费用。</w:t>
      </w:r>
    </w:p>
    <w:p w14:paraId="2B5C02E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3.响应文件只允许有一个报价，有选择的或有条件的报价将不予接受。</w:t>
      </w:r>
    </w:p>
    <w:p w14:paraId="7409D53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（四）响应文件的有效期</w:t>
      </w:r>
    </w:p>
    <w:p w14:paraId="5844795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▲1.自提交首次响应文件截止时间截止日起90天响应文件应保持有效。有效期不足的响应文件将被拒绝。</w:t>
      </w:r>
    </w:p>
    <w:p w14:paraId="0283C9ED">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2.在特殊情况下，采购人可与供应商协商延长投标书的有效期，这种要求和答复均以书面形式进行。</w:t>
      </w:r>
    </w:p>
    <w:p w14:paraId="4B6BE4CD">
      <w:pPr>
        <w:spacing w:line="360" w:lineRule="auto"/>
        <w:ind w:firstLine="420" w:firstLineChars="200"/>
        <w:rPr>
          <w:rFonts w:asciiTheme="minorEastAsia" w:hAnsiTheme="minorEastAsia" w:eastAsiaTheme="minorEastAsia"/>
          <w:color w:val="auto"/>
          <w:kern w:val="2"/>
          <w:szCs w:val="21"/>
          <w:highlight w:val="none"/>
        </w:rPr>
      </w:pPr>
      <w:bookmarkStart w:id="44" w:name="_Toc397670957"/>
      <w:bookmarkStart w:id="45" w:name="_Toc444005837"/>
      <w:bookmarkStart w:id="46" w:name="_Toc444500052"/>
      <w:bookmarkStart w:id="47" w:name="_Toc397670928"/>
      <w:bookmarkStart w:id="48" w:name="_Toc405792817"/>
      <w:r>
        <w:rPr>
          <w:rFonts w:hint="eastAsia" w:asciiTheme="minorEastAsia" w:hAnsiTheme="minorEastAsia" w:eastAsiaTheme="minorEastAsia"/>
          <w:color w:val="auto"/>
          <w:kern w:val="2"/>
          <w:szCs w:val="21"/>
          <w:highlight w:val="none"/>
        </w:rPr>
        <w:t>3.供应商可拒绝接受延期要求。同意延长有效期的供应商不能修改响应文件。</w:t>
      </w:r>
      <w:bookmarkEnd w:id="44"/>
      <w:bookmarkEnd w:id="45"/>
      <w:bookmarkEnd w:id="46"/>
      <w:bookmarkEnd w:id="47"/>
      <w:bookmarkEnd w:id="48"/>
      <w:r>
        <w:rPr>
          <w:rFonts w:hint="eastAsia" w:asciiTheme="minorEastAsia" w:hAnsiTheme="minorEastAsia" w:eastAsiaTheme="minorEastAsia"/>
          <w:color w:val="auto"/>
          <w:kern w:val="2"/>
          <w:szCs w:val="21"/>
          <w:highlight w:val="none"/>
        </w:rPr>
        <w:t xml:space="preserve"> </w:t>
      </w:r>
    </w:p>
    <w:p w14:paraId="65D0DD13">
      <w:pPr>
        <w:spacing w:line="360" w:lineRule="auto"/>
        <w:ind w:firstLine="420" w:firstLineChars="200"/>
        <w:rPr>
          <w:rFonts w:asciiTheme="minorEastAsia" w:hAnsiTheme="minorEastAsia" w:eastAsiaTheme="minorEastAsia"/>
          <w:color w:val="auto"/>
          <w:kern w:val="2"/>
          <w:szCs w:val="21"/>
          <w:highlight w:val="none"/>
        </w:rPr>
      </w:pPr>
      <w:bookmarkStart w:id="49" w:name="_Toc444500053"/>
      <w:bookmarkStart w:id="50" w:name="_Toc397670929"/>
      <w:bookmarkStart w:id="51" w:name="_Toc444005838"/>
      <w:bookmarkStart w:id="52" w:name="_Toc397670958"/>
      <w:bookmarkStart w:id="53" w:name="_Toc405792818"/>
      <w:r>
        <w:rPr>
          <w:rFonts w:hint="eastAsia" w:asciiTheme="minorEastAsia" w:hAnsiTheme="minorEastAsia" w:eastAsiaTheme="minorEastAsia"/>
          <w:color w:val="auto"/>
          <w:kern w:val="2"/>
          <w:szCs w:val="21"/>
          <w:highlight w:val="none"/>
        </w:rPr>
        <w:t>4.成交供应商的响应文件自开标之日起至合同履行完毕止均应保持有效。</w:t>
      </w:r>
      <w:bookmarkEnd w:id="49"/>
      <w:bookmarkEnd w:id="50"/>
      <w:bookmarkEnd w:id="51"/>
      <w:bookmarkEnd w:id="52"/>
      <w:bookmarkEnd w:id="53"/>
    </w:p>
    <w:p w14:paraId="696327D3">
      <w:pPr>
        <w:spacing w:line="360" w:lineRule="auto"/>
        <w:rPr>
          <w:rFonts w:asciiTheme="minorEastAsia" w:hAnsiTheme="minorEastAsia" w:eastAsiaTheme="minorEastAsia"/>
          <w:b/>
          <w:color w:val="auto"/>
          <w:kern w:val="2"/>
          <w:szCs w:val="21"/>
          <w:highlight w:val="none"/>
        </w:rPr>
      </w:pPr>
      <w:bookmarkStart w:id="54" w:name="_Toc444500055"/>
      <w:bookmarkStart w:id="55" w:name="_Toc397670960"/>
      <w:bookmarkStart w:id="56" w:name="_Toc405792820"/>
      <w:bookmarkStart w:id="57" w:name="_Toc397670931"/>
      <w:r>
        <w:rPr>
          <w:rFonts w:hint="eastAsia" w:asciiTheme="minorEastAsia" w:hAnsiTheme="minorEastAsia" w:eastAsiaTheme="minorEastAsia"/>
          <w:b/>
          <w:color w:val="auto"/>
          <w:kern w:val="2"/>
          <w:szCs w:val="21"/>
          <w:highlight w:val="none"/>
        </w:rPr>
        <w:t>（五）响应文件的签署和份数</w:t>
      </w:r>
    </w:p>
    <w:p w14:paraId="327D2780">
      <w:pPr>
        <w:pStyle w:val="136"/>
        <w:ind w:firstLine="42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电子交易文件按政采云平台供应商电子招投标操作指南（网址：https://help.zcygov.cn/web/site_2/2018/12-28/2573.html）及本磋商文件规定的格式和顺序编制电子交易文件并进行关联定位。</w:t>
      </w:r>
    </w:p>
    <w:bookmarkEnd w:id="54"/>
    <w:bookmarkEnd w:id="55"/>
    <w:bookmarkEnd w:id="56"/>
    <w:bookmarkEnd w:id="57"/>
    <w:p w14:paraId="3A0D0490">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（六）响应文件的修改和撤回</w:t>
      </w:r>
    </w:p>
    <w:p w14:paraId="23A01223">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14:paraId="1C29C8C5">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（七）投标无效的情形</w:t>
      </w:r>
    </w:p>
    <w:p w14:paraId="6EE3BC36">
      <w:pPr>
        <w:snapToGrid w:val="0"/>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1.有下列情形之一的，视为供应商串通投标，其投标无效：</w:t>
      </w:r>
    </w:p>
    <w:p w14:paraId="3288B7B0">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1.1不同供应商的响应文件由同一单位或者个人编制；</w:t>
      </w:r>
    </w:p>
    <w:p w14:paraId="439E1777">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1.2不同供应商委托同一单位或者个人办理投标事宜；</w:t>
      </w:r>
    </w:p>
    <w:p w14:paraId="1761171C">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1.3不同供应商的响应文件载明的项目管理成员或者联系人员为同一人；</w:t>
      </w:r>
    </w:p>
    <w:p w14:paraId="3623761E">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1.4不同供应商的响应文件异常一致或者磋商报价呈规律性差异；</w:t>
      </w:r>
    </w:p>
    <w:p w14:paraId="27350278">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1.5不同供应商的响应文件相互混装。</w:t>
      </w:r>
    </w:p>
    <w:p w14:paraId="43BC6C17">
      <w:pPr>
        <w:snapToGrid w:val="0"/>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2.实质上没有响应磋商文件要求的投标将被视为无效投标</w:t>
      </w:r>
      <w:r>
        <w:rPr>
          <w:rFonts w:hint="eastAsia" w:asciiTheme="minorEastAsia" w:hAnsiTheme="minorEastAsia" w:eastAsiaTheme="minorEastAsia"/>
          <w:color w:val="auto"/>
          <w:kern w:val="2"/>
          <w:szCs w:val="21"/>
          <w:highlight w:val="none"/>
        </w:rPr>
        <w:t>。供应商修改、补正投标文件后，不影响磋商小组对其投标文件所作的评价和评分结果。</w:t>
      </w:r>
    </w:p>
    <w:p w14:paraId="0008DDA6">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3.电子交易</w:t>
      </w:r>
      <w:r>
        <w:rPr>
          <w:rFonts w:asciiTheme="minorEastAsia" w:hAnsiTheme="minorEastAsia" w:eastAsiaTheme="minorEastAsia"/>
          <w:b/>
          <w:color w:val="auto"/>
          <w:kern w:val="2"/>
          <w:szCs w:val="21"/>
          <w:highlight w:val="none"/>
        </w:rPr>
        <w:t>文件解密失败的，且未在规定时间内提交</w:t>
      </w:r>
      <w:r>
        <w:rPr>
          <w:rFonts w:hint="eastAsia" w:asciiTheme="minorEastAsia" w:hAnsiTheme="minorEastAsia" w:eastAsiaTheme="minorEastAsia"/>
          <w:b/>
          <w:color w:val="auto"/>
          <w:kern w:val="2"/>
          <w:szCs w:val="21"/>
          <w:highlight w:val="none"/>
        </w:rPr>
        <w:t>有效</w:t>
      </w:r>
      <w:r>
        <w:rPr>
          <w:rFonts w:asciiTheme="minorEastAsia" w:hAnsiTheme="minorEastAsia" w:eastAsiaTheme="minorEastAsia"/>
          <w:b/>
          <w:color w:val="auto"/>
          <w:kern w:val="2"/>
          <w:szCs w:val="21"/>
          <w:highlight w:val="none"/>
        </w:rPr>
        <w:t>备份</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的</w:t>
      </w:r>
      <w:r>
        <w:rPr>
          <w:rFonts w:hint="eastAsia" w:asciiTheme="minorEastAsia" w:hAnsiTheme="minorEastAsia" w:eastAsiaTheme="minorEastAsia"/>
          <w:b/>
          <w:color w:val="auto"/>
          <w:kern w:val="2"/>
          <w:szCs w:val="21"/>
          <w:highlight w:val="none"/>
        </w:rPr>
        <w:t>。</w:t>
      </w:r>
    </w:p>
    <w:p w14:paraId="395C2239">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4.没有通过资格审查的，响应文件</w:t>
      </w:r>
      <w:r>
        <w:rPr>
          <w:rFonts w:asciiTheme="minorEastAsia" w:hAnsiTheme="minorEastAsia" w:eastAsiaTheme="minorEastAsia"/>
          <w:b/>
          <w:color w:val="auto"/>
          <w:kern w:val="2"/>
          <w:szCs w:val="21"/>
          <w:highlight w:val="none"/>
        </w:rPr>
        <w:t>将被视为无效。</w:t>
      </w:r>
    </w:p>
    <w:p w14:paraId="2E1614DD">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5.</w:t>
      </w:r>
      <w:r>
        <w:rPr>
          <w:rFonts w:asciiTheme="minorEastAsia" w:hAnsiTheme="minorEastAsia" w:eastAsiaTheme="minorEastAsia"/>
          <w:b/>
          <w:color w:val="auto"/>
          <w:kern w:val="2"/>
          <w:szCs w:val="21"/>
          <w:highlight w:val="none"/>
        </w:rPr>
        <w:t>在符合性审查和商务评审时，如发现下列情形之一的，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27FAE0E2">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5.1电子响应</w:t>
      </w:r>
      <w:r>
        <w:rPr>
          <w:rFonts w:asciiTheme="minorEastAsia" w:hAnsiTheme="minorEastAsia" w:eastAsiaTheme="minorEastAsia"/>
          <w:color w:val="auto"/>
          <w:kern w:val="2"/>
          <w:szCs w:val="21"/>
          <w:highlight w:val="none"/>
        </w:rPr>
        <w:t>文件未按规定要求提供电子签章的</w:t>
      </w:r>
      <w:r>
        <w:rPr>
          <w:rFonts w:hint="eastAsia" w:asciiTheme="minorEastAsia" w:hAnsiTheme="minorEastAsia" w:eastAsiaTheme="minorEastAsia"/>
          <w:color w:val="auto"/>
          <w:kern w:val="2"/>
          <w:szCs w:val="21"/>
          <w:highlight w:val="none"/>
        </w:rPr>
        <w:t>；</w:t>
      </w:r>
    </w:p>
    <w:p w14:paraId="311A948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5.2在资信技术文件中出现报价的；</w:t>
      </w:r>
    </w:p>
    <w:p w14:paraId="51A3BBA7">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5.3</w:t>
      </w:r>
      <w:r>
        <w:rPr>
          <w:rFonts w:asciiTheme="minorEastAsia" w:hAnsiTheme="minorEastAsia" w:eastAsiaTheme="minorEastAsia"/>
          <w:color w:val="auto"/>
          <w:kern w:val="2"/>
          <w:szCs w:val="21"/>
          <w:highlight w:val="none"/>
        </w:rPr>
        <w:t>资格证明文件不全的，或者不符合</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标明的资格要求的</w:t>
      </w:r>
      <w:r>
        <w:rPr>
          <w:rFonts w:hint="eastAsia" w:asciiTheme="minorEastAsia" w:hAnsiTheme="minorEastAsia" w:eastAsiaTheme="minorEastAsia"/>
          <w:color w:val="auto"/>
          <w:kern w:val="2"/>
          <w:szCs w:val="21"/>
          <w:highlight w:val="none"/>
        </w:rPr>
        <w:t>；</w:t>
      </w:r>
    </w:p>
    <w:p w14:paraId="37EC544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5.4响应文件</w:t>
      </w:r>
      <w:r>
        <w:rPr>
          <w:rFonts w:asciiTheme="minorEastAsia" w:hAnsiTheme="minorEastAsia" w:eastAsiaTheme="minorEastAsia"/>
          <w:color w:val="auto"/>
          <w:kern w:val="2"/>
          <w:szCs w:val="21"/>
          <w:highlight w:val="none"/>
        </w:rPr>
        <w:t>无法定代表人签字</w:t>
      </w:r>
      <w:r>
        <w:rPr>
          <w:rFonts w:hint="eastAsia" w:asciiTheme="minorEastAsia" w:hAnsiTheme="minorEastAsia" w:eastAsiaTheme="minorEastAsia"/>
          <w:color w:val="auto"/>
          <w:kern w:val="2"/>
          <w:szCs w:val="21"/>
          <w:highlight w:val="none"/>
        </w:rPr>
        <w:t>（或盖章）</w:t>
      </w:r>
      <w:r>
        <w:rPr>
          <w:rFonts w:asciiTheme="minorEastAsia" w:hAnsiTheme="minorEastAsia" w:eastAsiaTheme="minorEastAsia"/>
          <w:color w:val="auto"/>
          <w:kern w:val="2"/>
          <w:szCs w:val="21"/>
          <w:highlight w:val="none"/>
        </w:rPr>
        <w:t>,或未</w:t>
      </w:r>
      <w:r>
        <w:rPr>
          <w:rFonts w:hint="eastAsia" w:asciiTheme="minorEastAsia" w:hAnsiTheme="minorEastAsia" w:eastAsiaTheme="minorEastAsia"/>
          <w:color w:val="auto"/>
          <w:kern w:val="2"/>
          <w:szCs w:val="21"/>
          <w:highlight w:val="none"/>
        </w:rPr>
        <w:t>提供法定代表人授权委托书、投标声明书或者填写项目不齐全的；</w:t>
      </w:r>
    </w:p>
    <w:p w14:paraId="1F352E9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5.5投标代表人未能出具身份证明或与法定代表人授权委托人身份不符的；</w:t>
      </w:r>
      <w:r>
        <w:rPr>
          <w:rFonts w:asciiTheme="minorEastAsia" w:hAnsiTheme="minorEastAsia" w:eastAsiaTheme="minorEastAsia"/>
          <w:color w:val="auto"/>
          <w:kern w:val="2"/>
          <w:szCs w:val="21"/>
          <w:highlight w:val="none"/>
        </w:rPr>
        <w:t xml:space="preserve"> </w:t>
      </w:r>
    </w:p>
    <w:p w14:paraId="2F423051">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5.6响应文件格式不规范、项目不齐全或者内容虚假的；</w:t>
      </w:r>
    </w:p>
    <w:p w14:paraId="296CFA0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5.7响应文件的实质性内容未使用中文表述、意思表述不明确、前后矛盾或者使用计量单位不符合磋商文件要求的（经磋商小组认定并允许其当场更正的笔误除外）；</w:t>
      </w:r>
    </w:p>
    <w:p w14:paraId="2EC2322B">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5.8投标有效期、工期、质保期等商务条款不能满足磋商文件要求的；</w:t>
      </w:r>
    </w:p>
    <w:p w14:paraId="2EE3256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5.9未实质性响应磋商文件要求或者响应文件有招标方不能接受的附加条件的；</w:t>
      </w:r>
    </w:p>
    <w:p w14:paraId="19D5A863">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5.10不符合本磋商文件中的实质性要求条款。</w:t>
      </w:r>
    </w:p>
    <w:p w14:paraId="43BE1508">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6.</w:t>
      </w:r>
      <w:r>
        <w:rPr>
          <w:rFonts w:asciiTheme="minorEastAsia" w:hAnsiTheme="minorEastAsia" w:eastAsiaTheme="minorEastAsia"/>
          <w:b/>
          <w:color w:val="auto"/>
          <w:kern w:val="2"/>
          <w:szCs w:val="21"/>
          <w:highlight w:val="none"/>
        </w:rPr>
        <w:t>在技术评审时，如发现下列情形之一的，投标文件将被视为无效：</w:t>
      </w:r>
    </w:p>
    <w:p w14:paraId="1322178D">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6.1</w:t>
      </w:r>
      <w:r>
        <w:rPr>
          <w:rFonts w:asciiTheme="minorEastAsia" w:hAnsiTheme="minorEastAsia" w:eastAsiaTheme="minorEastAsia"/>
          <w:color w:val="auto"/>
          <w:kern w:val="2"/>
          <w:szCs w:val="21"/>
          <w:highlight w:val="none"/>
        </w:rPr>
        <w:t>投标文件标明的响应或偏离与事实不符或虚假投标的；</w:t>
      </w:r>
    </w:p>
    <w:p w14:paraId="5267714E">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6.2</w:t>
      </w:r>
      <w:r>
        <w:rPr>
          <w:rFonts w:asciiTheme="minorEastAsia" w:hAnsiTheme="minorEastAsia" w:eastAsiaTheme="minorEastAsia"/>
          <w:color w:val="auto"/>
          <w:kern w:val="2"/>
          <w:szCs w:val="21"/>
          <w:highlight w:val="none"/>
        </w:rPr>
        <w:t>明显不符合招标文件</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，或者</w:t>
      </w:r>
      <w:r>
        <w:rPr>
          <w:rFonts w:hint="eastAsia" w:asciiTheme="minorEastAsia" w:hAnsiTheme="minorEastAsia" w:eastAsiaTheme="minorEastAsia"/>
          <w:color w:val="auto"/>
          <w:kern w:val="2"/>
          <w:szCs w:val="21"/>
          <w:highlight w:val="none"/>
        </w:rPr>
        <w:t>与</w:t>
      </w:r>
      <w:r>
        <w:rPr>
          <w:rFonts w:asciiTheme="minorEastAsia" w:hAnsiTheme="minorEastAsia" w:eastAsiaTheme="minorEastAsia"/>
          <w:color w:val="auto"/>
          <w:kern w:val="2"/>
          <w:szCs w:val="21"/>
          <w:highlight w:val="none"/>
        </w:rPr>
        <w:t>招标文件中标“▲”的</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发生实质性偏离的；</w:t>
      </w:r>
    </w:p>
    <w:p w14:paraId="286840EB">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6.3</w:t>
      </w:r>
      <w:r>
        <w:rPr>
          <w:rFonts w:hint="eastAsia" w:asciiTheme="minorEastAsia" w:hAnsiTheme="minorEastAsia" w:eastAsiaTheme="minorEastAsia"/>
          <w:color w:val="auto"/>
          <w:szCs w:val="21"/>
          <w:highlight w:val="none"/>
        </w:rPr>
        <w:t>与其他参加本次投标供应商的投标文件（技术文件）的文字表述内容相同连续20行以上或者差错相同2处以上的；</w:t>
      </w:r>
    </w:p>
    <w:p w14:paraId="1ED91B5B">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7.在报价评审时，</w:t>
      </w:r>
      <w:r>
        <w:rPr>
          <w:rFonts w:asciiTheme="minorEastAsia" w:hAnsiTheme="minorEastAsia" w:eastAsiaTheme="minorEastAsia"/>
          <w:b/>
          <w:color w:val="auto"/>
          <w:kern w:val="2"/>
          <w:szCs w:val="21"/>
          <w:highlight w:val="none"/>
        </w:rPr>
        <w:t>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703FFC6C">
      <w:pPr>
        <w:pStyle w:val="22"/>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7.1未采用人民币报价或者未按照招标文件标明的币种报价的；</w:t>
      </w:r>
    </w:p>
    <w:p w14:paraId="41364F91">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.2报价超出最高限价</w:t>
      </w:r>
      <w:r>
        <w:rPr>
          <w:rFonts w:hint="eastAsia" w:asciiTheme="minorEastAsia" w:hAnsiTheme="minorEastAsia" w:eastAsiaTheme="minorEastAsia"/>
          <w:color w:val="auto"/>
          <w:szCs w:val="21"/>
          <w:highlight w:val="none"/>
        </w:rPr>
        <w:t>；</w:t>
      </w:r>
    </w:p>
    <w:p w14:paraId="6D934D8F">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投标报价具有选择性，或者开标价格与投标文件承诺的优惠（折扣）价格不一致的。 </w:t>
      </w:r>
    </w:p>
    <w:p w14:paraId="618F5B61">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投标报价明细表总额与开标一览表总价不一致的。</w:t>
      </w:r>
    </w:p>
    <w:p w14:paraId="01CD017F">
      <w:pPr>
        <w:pStyle w:val="73"/>
        <w:rPr>
          <w:rFonts w:eastAsiaTheme="minorEastAsia"/>
          <w:color w:val="auto"/>
          <w:highlight w:val="none"/>
          <w:lang w:val="en-US"/>
        </w:rPr>
      </w:pPr>
      <w:r>
        <w:rPr>
          <w:rFonts w:hint="eastAsia" w:asciiTheme="minorEastAsia" w:hAnsiTheme="minorEastAsia" w:eastAsiaTheme="minorEastAsia"/>
          <w:color w:val="auto"/>
          <w:szCs w:val="21"/>
          <w:highlight w:val="none"/>
          <w:lang w:val="en-US"/>
        </w:rPr>
        <w:t xml:space="preserve">    </w:t>
      </w:r>
      <w:r>
        <w:rPr>
          <w:rFonts w:hint="eastAsia" w:asciiTheme="minorEastAsia" w:hAnsiTheme="minorEastAsia" w:eastAsiaTheme="minorEastAsia"/>
          <w:color w:val="auto"/>
          <w:sz w:val="21"/>
          <w:szCs w:val="21"/>
          <w:highlight w:val="none"/>
          <w:lang w:val="en-US"/>
        </w:rPr>
        <w:t>7.5投标时未提供工程量报价明细表的。</w:t>
      </w:r>
    </w:p>
    <w:p w14:paraId="5FB86614">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8.被拒绝的响应文件为无效。</w:t>
      </w:r>
    </w:p>
    <w:p w14:paraId="69FE177C">
      <w:pPr>
        <w:adjustRightInd w:val="0"/>
        <w:snapToGrid w:val="0"/>
        <w:spacing w:line="360" w:lineRule="auto"/>
        <w:ind w:firstLine="422" w:firstLineChars="200"/>
        <w:jc w:val="center"/>
        <w:rPr>
          <w:rFonts w:asciiTheme="minorEastAsia" w:hAnsiTheme="minorEastAsia" w:eastAsiaTheme="minorEastAsia"/>
          <w:b/>
          <w:color w:val="auto"/>
          <w:kern w:val="2"/>
          <w:szCs w:val="21"/>
          <w:highlight w:val="none"/>
        </w:rPr>
      </w:pPr>
      <w:bookmarkStart w:id="58" w:name="_Toc381081889"/>
      <w:bookmarkStart w:id="59" w:name="_Toc498261257"/>
    </w:p>
    <w:p w14:paraId="40DB1A3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w:t>
      </w:r>
      <w:bookmarkEnd w:id="58"/>
      <w:bookmarkEnd w:id="59"/>
      <w:bookmarkStart w:id="60" w:name="_Toc498261258"/>
      <w:r>
        <w:rPr>
          <w:rFonts w:hint="eastAsia" w:asciiTheme="minorEastAsia" w:hAnsiTheme="minorEastAsia" w:eastAsiaTheme="minorEastAsia"/>
          <w:b/>
          <w:color w:val="auto"/>
          <w:szCs w:val="21"/>
          <w:highlight w:val="none"/>
        </w:rPr>
        <w:t>磋商准备</w:t>
      </w:r>
    </w:p>
    <w:p w14:paraId="7B68301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1.本项目实行电子开评标，供应商无需到开标现场，但须准时在线参加，直至评审结束。。</w:t>
      </w:r>
    </w:p>
    <w:p w14:paraId="3196C343">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14:paraId="7446FC1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14:paraId="32FABF90">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磋商小组对供应商的资信技术响应文件进行评审；</w:t>
      </w:r>
    </w:p>
    <w:p w14:paraId="14660E7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2.3磋商小组对报价文件进行评审；</w:t>
      </w:r>
    </w:p>
    <w:p w14:paraId="4CABE335">
      <w:pPr>
        <w:pStyle w:val="22"/>
        <w:snapToGrid w:val="0"/>
        <w:spacing w:line="360" w:lineRule="auto"/>
        <w:ind w:firstLine="411" w:firstLineChars="196"/>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磋商小组</w:t>
      </w:r>
      <w:r>
        <w:rPr>
          <w:rFonts w:asciiTheme="minorEastAsia" w:hAnsiTheme="minorEastAsia" w:eastAsiaTheme="minorEastAsia"/>
          <w:color w:val="auto"/>
          <w:szCs w:val="21"/>
          <w:highlight w:val="none"/>
        </w:rPr>
        <w:t>撰写评审报告，推荐中标候选人。</w:t>
      </w:r>
    </w:p>
    <w:p w14:paraId="77B33472">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7D02B386">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asciiTheme="minorEastAsia" w:hAnsiTheme="minorEastAsia" w:eastAsiaTheme="minorEastAsia"/>
          <w:b/>
          <w:color w:val="auto"/>
          <w:szCs w:val="21"/>
          <w:highlight w:val="none"/>
        </w:rPr>
        <w:t>磋商程序</w:t>
      </w:r>
      <w:bookmarkEnd w:id="60"/>
    </w:p>
    <w:p w14:paraId="02316A4F">
      <w:pPr>
        <w:pStyle w:val="29"/>
        <w:snapToGrid w:val="0"/>
        <w:spacing w:line="360" w:lineRule="auto"/>
        <w:ind w:firstLine="422" w:firstLineChars="200"/>
        <w:rPr>
          <w:rFonts w:asciiTheme="minorEastAsia" w:hAnsiTheme="minorEastAsia" w:eastAsiaTheme="minorEastAsia"/>
          <w:b/>
          <w:color w:val="auto"/>
          <w:kern w:val="0"/>
          <w:szCs w:val="21"/>
          <w:highlight w:val="none"/>
        </w:rPr>
      </w:pPr>
      <w:bookmarkStart w:id="61" w:name="_Toc192313120"/>
      <w:r>
        <w:rPr>
          <w:rFonts w:asciiTheme="minorEastAsia" w:hAnsiTheme="minorEastAsia" w:eastAsiaTheme="minorEastAsia"/>
          <w:b/>
          <w:color w:val="auto"/>
          <w:kern w:val="0"/>
          <w:szCs w:val="21"/>
          <w:highlight w:val="none"/>
        </w:rPr>
        <w:t>（一）组建磋商小组</w:t>
      </w:r>
    </w:p>
    <w:p w14:paraId="1A167826">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本项目磋商小组由政府采购评审专家</w:t>
      </w:r>
      <w:r>
        <w:rPr>
          <w:rFonts w:hint="eastAsia" w:asciiTheme="minorEastAsia" w:hAnsiTheme="minorEastAsia" w:eastAsiaTheme="minorEastAsia"/>
          <w:color w:val="auto"/>
          <w:kern w:val="0"/>
          <w:szCs w:val="21"/>
          <w:highlight w:val="none"/>
        </w:rPr>
        <w:t>2</w:t>
      </w:r>
      <w:r>
        <w:rPr>
          <w:rFonts w:asciiTheme="minorEastAsia" w:hAnsiTheme="minorEastAsia" w:eastAsiaTheme="minorEastAsia"/>
          <w:color w:val="auto"/>
          <w:kern w:val="0"/>
          <w:szCs w:val="21"/>
          <w:highlight w:val="none"/>
        </w:rPr>
        <w:t>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采购人代表1人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共</w:t>
      </w:r>
      <w:r>
        <w:rPr>
          <w:rFonts w:hint="eastAsia" w:asciiTheme="minorEastAsia" w:hAnsiTheme="minorEastAsia" w:eastAsiaTheme="minorEastAsia"/>
          <w:color w:val="auto"/>
          <w:kern w:val="0"/>
          <w:szCs w:val="21"/>
          <w:highlight w:val="none"/>
        </w:rPr>
        <w:t>3</w:t>
      </w:r>
      <w:r>
        <w:rPr>
          <w:rFonts w:asciiTheme="minorEastAsia" w:hAnsiTheme="minorEastAsia" w:eastAsiaTheme="minorEastAsia"/>
          <w:color w:val="auto"/>
          <w:kern w:val="0"/>
          <w:szCs w:val="21"/>
          <w:highlight w:val="none"/>
        </w:rPr>
        <w:t>人组成。</w:t>
      </w:r>
    </w:p>
    <w:p w14:paraId="68CA622B">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磋商小组负责具体评标事务，并独立履行下列职责：</w:t>
      </w:r>
    </w:p>
    <w:p w14:paraId="5AACDD4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1、审查、评价磋商文件是否符合磋商文件的商务、技术等实质性要求;</w:t>
      </w:r>
    </w:p>
    <w:p w14:paraId="44352555">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2、磋商过程中要求供应商对磋商文件有关事项作出澄清或者说明;</w:t>
      </w:r>
    </w:p>
    <w:p w14:paraId="68CD4623">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3、对磋商文件进行比较和评价;</w:t>
      </w:r>
    </w:p>
    <w:p w14:paraId="42B15C64">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4、确定成交候选人名单，以及根据采购人委托直接确定成交供应商;</w:t>
      </w:r>
    </w:p>
    <w:p w14:paraId="5525C97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5、向采购人、集中采购机构或者有关部门报告评标中发现的违法行为。</w:t>
      </w:r>
    </w:p>
    <w:p w14:paraId="195F70BE">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除采购人代表、评标现场组织人员外，采购人的其他工作人员以及与评标工作无关的人员不得进入评标现场。</w:t>
      </w:r>
    </w:p>
    <w:p w14:paraId="7FD8B8B5">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w:t>
      </w:r>
      <w:r>
        <w:rPr>
          <w:rFonts w:asciiTheme="minorEastAsia" w:hAnsiTheme="minorEastAsia" w:eastAsiaTheme="minorEastAsia"/>
          <w:b/>
          <w:color w:val="auto"/>
          <w:szCs w:val="21"/>
          <w:highlight w:val="none"/>
        </w:rPr>
        <w:t>的方式</w:t>
      </w:r>
    </w:p>
    <w:p w14:paraId="425E4CAA">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的依据为</w:t>
      </w:r>
      <w:r>
        <w:rPr>
          <w:rFonts w:hint="eastAsia" w:asciiTheme="minorEastAsia" w:hAnsiTheme="minorEastAsia" w:eastAsiaTheme="minorEastAsia"/>
          <w:color w:val="auto"/>
          <w:szCs w:val="21"/>
          <w:highlight w:val="none"/>
        </w:rPr>
        <w:t>竞争性磋商</w:t>
      </w:r>
      <w:r>
        <w:rPr>
          <w:rFonts w:asciiTheme="minorEastAsia" w:hAnsiTheme="minorEastAsia" w:eastAsiaTheme="minorEastAsia"/>
          <w:color w:val="auto"/>
          <w:szCs w:val="21"/>
          <w:highlight w:val="none"/>
        </w:rPr>
        <w:t>文件和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w:t>
      </w:r>
    </w:p>
    <w:p w14:paraId="759F6ED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1.磋商步骤</w:t>
      </w:r>
    </w:p>
    <w:p w14:paraId="211968B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1.1磋商小组讨论、通过磋商工作流程和磋商要点。</w:t>
      </w:r>
    </w:p>
    <w:p w14:paraId="704ADD1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宣布磋商的有关事项；</w:t>
      </w:r>
    </w:p>
    <w:p w14:paraId="4C48B71D">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磋商小组对所提交的响应资信技术文件进行审查，审查结束后，由经办人公布无效响应方名单、响应无效的原因、废标情况；</w:t>
      </w:r>
    </w:p>
    <w:p w14:paraId="29060F0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1.4磋商小组与各</w:t>
      </w:r>
      <w:r>
        <w:rPr>
          <w:rFonts w:hint="eastAsia" w:asciiTheme="minorEastAsia" w:hAnsiTheme="minorEastAsia" w:eastAsiaTheme="minorEastAsia"/>
          <w:color w:val="auto"/>
          <w:szCs w:val="21"/>
          <w:highlight w:val="none"/>
        </w:rPr>
        <w:t>供应商就技术参数要素分别进行磋商。逐家磋商一次为一个轮次，磋商轮次可为二轮。本项目二轮商务报价由政采云系统平台发起。</w:t>
      </w:r>
    </w:p>
    <w:p w14:paraId="6CF10D6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1.5在磋商过程中，采购人和磋商对象可就合同内容进行磋商，技术服务需求如双方都认为有必要的情况可作相应微调，但评分标准不作调整。</w:t>
      </w:r>
    </w:p>
    <w:p w14:paraId="5D2A44A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1.6如磋商过程中有调整的内容，在最后一轮报价前，我中心和采购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将根据磋商内容将调整的部分发给符合参与最后一轮报价的供应商，以便其在最后一轮报价中调整报价。</w:t>
      </w:r>
    </w:p>
    <w:p w14:paraId="1F41182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1.7磋商小组根据本磋商文件的评审方法对各供应商的资信技术服务情况进行评审打分。工作人员按照磋商小组独立评定结果进行算术平均值计算。</w:t>
      </w:r>
    </w:p>
    <w:p w14:paraId="79E3591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磋商结束后，</w:t>
      </w:r>
      <w:r>
        <w:rPr>
          <w:rFonts w:hint="eastAsia" w:asciiTheme="minorEastAsia" w:hAnsiTheme="minorEastAsia" w:eastAsiaTheme="minorEastAsia"/>
          <w:color w:val="auto"/>
          <w:szCs w:val="21"/>
          <w:highlight w:val="none"/>
        </w:rPr>
        <w:t>各供应商在规定时间内通过系统进行第一轮报价并</w:t>
      </w:r>
      <w:r>
        <w:rPr>
          <w:rFonts w:asciiTheme="minorEastAsia" w:hAnsiTheme="minorEastAsia" w:eastAsiaTheme="minorEastAsia"/>
          <w:color w:val="auto"/>
          <w:szCs w:val="21"/>
          <w:highlight w:val="none"/>
        </w:rPr>
        <w:t>CA签章确认</w:t>
      </w:r>
      <w:r>
        <w:rPr>
          <w:rFonts w:hint="eastAsia" w:asciiTheme="minorEastAsia" w:hAnsiTheme="minorEastAsia" w:eastAsiaTheme="minorEastAsia"/>
          <w:color w:val="auto"/>
          <w:szCs w:val="21"/>
          <w:highlight w:val="none"/>
        </w:rPr>
        <w:t>，第一轮报价确认结束后</w:t>
      </w:r>
      <w:r>
        <w:rPr>
          <w:rFonts w:asciiTheme="minorEastAsia" w:hAnsiTheme="minorEastAsia" w:eastAsiaTheme="minorEastAsia"/>
          <w:color w:val="auto"/>
          <w:szCs w:val="21"/>
          <w:highlight w:val="none"/>
        </w:rPr>
        <w:t>各供应商进行</w:t>
      </w:r>
      <w:r>
        <w:rPr>
          <w:rFonts w:hint="eastAsia" w:asciiTheme="minorEastAsia" w:hAnsiTheme="minorEastAsia" w:eastAsiaTheme="minorEastAsia"/>
          <w:color w:val="auto"/>
          <w:szCs w:val="21"/>
          <w:highlight w:val="none"/>
        </w:rPr>
        <w:t>二轮报价，</w:t>
      </w:r>
      <w:r>
        <w:rPr>
          <w:rFonts w:asciiTheme="minorEastAsia" w:hAnsiTheme="minorEastAsia" w:eastAsiaTheme="minorEastAsia"/>
          <w:color w:val="auto"/>
          <w:szCs w:val="21"/>
          <w:highlight w:val="none"/>
        </w:rPr>
        <w:t>在规定时间内没有提交最后报价的供应商，视为退出磋商</w:t>
      </w:r>
      <w:r>
        <w:rPr>
          <w:rFonts w:hint="eastAsia" w:asciiTheme="minorEastAsia" w:hAnsiTheme="minorEastAsia" w:eastAsiaTheme="minorEastAsia"/>
          <w:color w:val="auto"/>
          <w:szCs w:val="21"/>
          <w:highlight w:val="none"/>
        </w:rPr>
        <w:t>。</w:t>
      </w:r>
    </w:p>
    <w:p w14:paraId="6BBC917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1.9.工作人员</w:t>
      </w:r>
      <w:r>
        <w:rPr>
          <w:rFonts w:hint="eastAsia" w:asciiTheme="minorEastAsia" w:hAnsiTheme="minorEastAsia" w:eastAsiaTheme="minorEastAsia"/>
          <w:color w:val="auto"/>
          <w:szCs w:val="21"/>
          <w:highlight w:val="none"/>
        </w:rPr>
        <w:t>经系统</w:t>
      </w:r>
      <w:r>
        <w:rPr>
          <w:rFonts w:asciiTheme="minorEastAsia" w:hAnsiTheme="minorEastAsia" w:eastAsiaTheme="minorEastAsia"/>
          <w:color w:val="auto"/>
          <w:szCs w:val="21"/>
          <w:highlight w:val="none"/>
        </w:rPr>
        <w:t>查验最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报价的情况，</w:t>
      </w:r>
      <w:r>
        <w:rPr>
          <w:rFonts w:hint="eastAsia" w:asciiTheme="minorEastAsia" w:hAnsiTheme="minorEastAsia" w:eastAsiaTheme="minorEastAsia"/>
          <w:color w:val="auto"/>
          <w:szCs w:val="21"/>
          <w:highlight w:val="none"/>
        </w:rPr>
        <w:t>按规定进入价格标评审的磋商最后报价。</w:t>
      </w:r>
    </w:p>
    <w:p w14:paraId="02B0366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1.10.磋商小组对最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报价的合理性进行审核，决定是否结束磋商。若报价合理，磋商小组则根据第</w:t>
      </w:r>
      <w:r>
        <w:rPr>
          <w:rFonts w:hint="eastAsia" w:asciiTheme="minorEastAsia" w:hAnsiTheme="minorEastAsia" w:eastAsiaTheme="minorEastAsia"/>
          <w:color w:val="auto"/>
          <w:szCs w:val="21"/>
          <w:highlight w:val="none"/>
        </w:rPr>
        <w:t>四章评审方法计算出总得分并按照排序由高到低的原则推荐候选供应商；</w:t>
      </w:r>
    </w:p>
    <w:p w14:paraId="53AED17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1.11.磋商结束后，</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公布有效</w:t>
      </w:r>
      <w:r>
        <w:rPr>
          <w:rFonts w:hint="eastAsia" w:asciiTheme="minorEastAsia" w:hAnsiTheme="minorEastAsia" w:eastAsiaTheme="minorEastAsia"/>
          <w:color w:val="auto"/>
          <w:szCs w:val="21"/>
          <w:highlight w:val="none"/>
        </w:rPr>
        <w:t>供应商的总得分结果和推荐排名。</w:t>
      </w:r>
    </w:p>
    <w:p w14:paraId="5EB504B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1.12.磋商原则：磋商小组必须公平、公正、客观，不带任何倾向性和启发性；不得向外界透露任何与磋商有关的内容；任何单位和个人不得干扰、影响磋商的正常进行；磋商小组及有关工作人员不得私下与</w:t>
      </w:r>
      <w:r>
        <w:rPr>
          <w:rFonts w:hint="eastAsia" w:asciiTheme="minorEastAsia" w:hAnsiTheme="minorEastAsia" w:eastAsiaTheme="minorEastAsia"/>
          <w:color w:val="auto"/>
          <w:szCs w:val="21"/>
          <w:highlight w:val="none"/>
        </w:rPr>
        <w:t>响应方接触。</w:t>
      </w:r>
      <w:bookmarkStart w:id="62" w:name="_Toc522609461"/>
    </w:p>
    <w:p w14:paraId="2148895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响应文件的澄清</w:t>
      </w:r>
      <w:bookmarkEnd w:id="62"/>
    </w:p>
    <w:p w14:paraId="07FD2492">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2.l在磋商期间，磋商小组有权要求供应商对其</w:t>
      </w:r>
      <w:r>
        <w:rPr>
          <w:rFonts w:hint="eastAsia" w:asciiTheme="minorEastAsia" w:hAnsiTheme="minorEastAsia" w:eastAsiaTheme="minorEastAsia"/>
          <w:color w:val="auto"/>
          <w:szCs w:val="21"/>
          <w:highlight w:val="none"/>
        </w:rPr>
        <w:t>响应文件含义不明确、同类问题表述不一致或者有明显文字和计算错误的内容进行澄清。</w:t>
      </w:r>
    </w:p>
    <w:p w14:paraId="2DE842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2.2磋商小组认为有必要，可要求供应商对某些问题作出必要的澄清、说明和纠正。</w:t>
      </w:r>
      <w:r>
        <w:rPr>
          <w:rFonts w:hint="eastAsia" w:asciiTheme="minorEastAsia" w:hAnsiTheme="minorEastAsia" w:eastAsiaTheme="minorEastAsia"/>
          <w:color w:val="auto"/>
          <w:szCs w:val="21"/>
          <w:highlight w:val="none"/>
        </w:rPr>
        <w:t>供应商的澄清、说明或者补正应当采用在线形式。</w:t>
      </w:r>
    </w:p>
    <w:p w14:paraId="47F781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2.3供应商不按磋商小组规定的时间作澄清，将视为放弃该权利。</w:t>
      </w:r>
    </w:p>
    <w:p w14:paraId="28EF4A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2.4并非每个供应商都将被询标。</w:t>
      </w:r>
      <w:bookmarkStart w:id="63" w:name="_Toc522609462"/>
    </w:p>
    <w:p w14:paraId="3E99B69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3.确定成交供应商</w:t>
      </w:r>
      <w:bookmarkEnd w:id="63"/>
    </w:p>
    <w:p w14:paraId="0D243E67">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3.1磋商小组将对通过资格性审查和符合性审查的</w:t>
      </w:r>
      <w:r>
        <w:rPr>
          <w:rFonts w:hint="eastAsia" w:asciiTheme="minorEastAsia" w:hAnsiTheme="minorEastAsia" w:eastAsiaTheme="minorEastAsia"/>
          <w:color w:val="auto"/>
          <w:szCs w:val="21"/>
          <w:highlight w:val="none"/>
        </w:rPr>
        <w:t>响应文件进行评价和比较。</w:t>
      </w:r>
    </w:p>
    <w:p w14:paraId="64BBFF0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磋商小组按采购文件公布的评定成交标准对响应文件进行评审，并将最终得分排名提交给采购人，采购人书面授权磋商小组直接确定成交供应商的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磋商小组确认成交供应商。最低报价等任何单项因素的最优不作为成交的保证。</w:t>
      </w:r>
      <w:bookmarkStart w:id="64" w:name="_Toc522609463"/>
    </w:p>
    <w:p w14:paraId="74C285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4.磋商过程保密</w:t>
      </w:r>
      <w:bookmarkEnd w:id="64"/>
    </w:p>
    <w:p w14:paraId="7045E66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4.l在宣布成交结果之前，凡属于审查、澄清、评价、比较磋商文件等有关信息，相关当事人均不得泄露给任何磋商供应商或与磋商工作无关的人员。</w:t>
      </w:r>
    </w:p>
    <w:p w14:paraId="4297555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4.2供应商不得探听上述信息，不得以任何行为影响磋商过程，否则其</w:t>
      </w:r>
      <w:r>
        <w:rPr>
          <w:rFonts w:hint="eastAsia" w:asciiTheme="minorEastAsia" w:hAnsiTheme="minorEastAsia" w:eastAsiaTheme="minorEastAsia"/>
          <w:color w:val="auto"/>
          <w:szCs w:val="21"/>
          <w:highlight w:val="none"/>
        </w:rPr>
        <w:t>响应文件将被作为无效响应文件。</w:t>
      </w:r>
    </w:p>
    <w:p w14:paraId="3DD68AE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4.3在磋商期间，</w:t>
      </w:r>
      <w:r>
        <w:rPr>
          <w:rFonts w:hint="eastAsia" w:asciiTheme="minorEastAsia" w:hAnsiTheme="minorEastAsia" w:eastAsiaTheme="minorEastAsia"/>
          <w:color w:val="auto"/>
          <w:szCs w:val="21"/>
          <w:highlight w:val="none"/>
        </w:rPr>
        <w:t>嘉兴市银建工程咨询评估有限公司将有专门人员与供应商进行联络。</w:t>
      </w:r>
    </w:p>
    <w:p w14:paraId="22F9441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4.4</w:t>
      </w:r>
      <w:r>
        <w:rPr>
          <w:rFonts w:hint="eastAsia" w:asciiTheme="minorEastAsia" w:hAnsiTheme="minorEastAsia" w:eastAsiaTheme="minorEastAsia"/>
          <w:color w:val="auto"/>
          <w:szCs w:val="21"/>
          <w:highlight w:val="none"/>
        </w:rPr>
        <w:t>嘉兴市银建工程咨询评估有限公司和磋商小组不向未成交的供应商解释未成交原因，也不对磋商过程中的细节问题进行公布。</w:t>
      </w:r>
      <w:bookmarkStart w:id="65" w:name="_Toc522609464"/>
      <w:bookmarkStart w:id="66" w:name="_Toc332724044"/>
    </w:p>
    <w:bookmarkEnd w:id="65"/>
    <w:bookmarkEnd w:id="66"/>
    <w:p w14:paraId="4304A987">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.错误修正</w:t>
      </w:r>
    </w:p>
    <w:p w14:paraId="5599A0B8">
      <w:pPr>
        <w:pStyle w:val="29"/>
        <w:snapToGrid w:val="0"/>
        <w:spacing w:line="360" w:lineRule="auto"/>
        <w:ind w:left="689" w:leftChars="228" w:hanging="210" w:hanging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文件如果出现计算或表达上的错误，修正错误的原则如下：</w:t>
      </w:r>
    </w:p>
    <w:p w14:paraId="62A9F21C">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开标一览表总价与磋商报价明细表汇总数不一致的，以开标一览表为准；</w:t>
      </w:r>
    </w:p>
    <w:p w14:paraId="1ADDDE5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文件的大写金额和小写金额不一致的，以大写金额为准；</w:t>
      </w:r>
    </w:p>
    <w:p w14:paraId="5F9ADD0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.3总价金额与按单价汇总金额不一致的，以单价金额计算结果为准；</w:t>
      </w:r>
    </w:p>
    <w:p w14:paraId="31AEB6CD">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.4对不同文字文本</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的解释发生异议的，以中文文本为准。</w:t>
      </w:r>
    </w:p>
    <w:p w14:paraId="7F22DCE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按上述修正错误的原则及方法调整或修正</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的磋商报价，供应商同意</w:t>
      </w:r>
      <w:r>
        <w:rPr>
          <w:rFonts w:hint="eastAsia" w:asciiTheme="minorEastAsia" w:hAnsiTheme="minorEastAsia" w:eastAsiaTheme="minorEastAsia"/>
          <w:color w:val="auto"/>
          <w:kern w:val="0"/>
          <w:szCs w:val="21"/>
          <w:highlight w:val="none"/>
        </w:rPr>
        <w:t>并签字确认</w:t>
      </w:r>
      <w:r>
        <w:rPr>
          <w:rFonts w:asciiTheme="minorEastAsia" w:hAnsiTheme="minorEastAsia" w:eastAsiaTheme="minorEastAsia"/>
          <w:color w:val="auto"/>
          <w:kern w:val="0"/>
          <w:szCs w:val="21"/>
          <w:highlight w:val="none"/>
        </w:rPr>
        <w:t>后，调整后的磋商报价对磋商供应商具有约束作用。如果供应商不接受修正后的报价，则其</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将</w:t>
      </w:r>
      <w:r>
        <w:rPr>
          <w:rFonts w:hint="eastAsia" w:asciiTheme="minorEastAsia" w:hAnsiTheme="minorEastAsia" w:eastAsiaTheme="minorEastAsia"/>
          <w:color w:val="auto"/>
          <w:kern w:val="0"/>
          <w:szCs w:val="21"/>
          <w:highlight w:val="none"/>
        </w:rPr>
        <w:t>作为无效响应处理</w:t>
      </w:r>
      <w:r>
        <w:rPr>
          <w:rFonts w:asciiTheme="minorEastAsia" w:hAnsiTheme="minorEastAsia" w:eastAsiaTheme="minorEastAsia"/>
          <w:color w:val="auto"/>
          <w:kern w:val="0"/>
          <w:szCs w:val="21"/>
          <w:highlight w:val="none"/>
        </w:rPr>
        <w:t>。</w:t>
      </w:r>
    </w:p>
    <w:p w14:paraId="4A91ACE7">
      <w:pPr>
        <w:pStyle w:val="29"/>
        <w:snapToGrid w:val="0"/>
        <w:spacing w:after="120"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w:t>
      </w:r>
      <w:r>
        <w:rPr>
          <w:rFonts w:asciiTheme="minorEastAsia" w:hAnsiTheme="minorEastAsia" w:eastAsiaTheme="minorEastAsia"/>
          <w:color w:val="auto"/>
          <w:kern w:val="0"/>
          <w:szCs w:val="21"/>
          <w:highlight w:val="none"/>
        </w:rPr>
        <w:t>.评标过程的监控</w:t>
      </w:r>
    </w:p>
    <w:p w14:paraId="13CF752D">
      <w:pPr>
        <w:pStyle w:val="29"/>
        <w:snapToGrid w:val="0"/>
        <w:spacing w:after="120"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rPr>
        <w:t>本项目评标过程实行全程录音、录像监控</w:t>
      </w:r>
      <w:r>
        <w:rPr>
          <w:rFonts w:hint="eastAsia" w:asciiTheme="minorEastAsia" w:hAnsiTheme="minorEastAsia" w:eastAsiaTheme="minorEastAsia"/>
          <w:color w:val="auto"/>
          <w:kern w:val="0"/>
          <w:szCs w:val="21"/>
          <w:highlight w:val="none"/>
        </w:rPr>
        <w:t>。</w:t>
      </w:r>
      <w:bookmarkEnd w:id="61"/>
      <w:bookmarkStart w:id="67" w:name="_Toc498261259"/>
    </w:p>
    <w:p w14:paraId="2758E0B3">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5A73E62A">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w:t>
      </w:r>
      <w:r>
        <w:rPr>
          <w:rFonts w:asciiTheme="minorEastAsia" w:hAnsiTheme="minorEastAsia" w:eastAsiaTheme="minorEastAsia"/>
          <w:b/>
          <w:color w:val="auto"/>
          <w:szCs w:val="21"/>
          <w:highlight w:val="none"/>
        </w:rPr>
        <w:t>磋商结果的确定</w:t>
      </w:r>
      <w:bookmarkEnd w:id="67"/>
    </w:p>
    <w:p w14:paraId="6DE9B48E">
      <w:pPr>
        <w:pStyle w:val="14"/>
        <w:spacing w:line="360" w:lineRule="auto"/>
        <w:ind w:firstLine="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w:t>
      </w:r>
      <w:r>
        <w:rPr>
          <w:rFonts w:asciiTheme="minorEastAsia" w:hAnsiTheme="minorEastAsia" w:eastAsiaTheme="minorEastAsia"/>
          <w:color w:val="auto"/>
          <w:kern w:val="2"/>
          <w:szCs w:val="21"/>
          <w:highlight w:val="none"/>
        </w:rPr>
        <w:t>磋商结果确定</w:t>
      </w:r>
      <w:r>
        <w:rPr>
          <w:rFonts w:hint="eastAsia" w:asciiTheme="minorEastAsia" w:hAnsiTheme="minorEastAsia" w:eastAsiaTheme="minorEastAsia"/>
          <w:color w:val="auto"/>
          <w:kern w:val="2"/>
          <w:szCs w:val="21"/>
          <w:highlight w:val="none"/>
        </w:rPr>
        <w:t>：在全部满足磋商文件实质性要求的前提下，按综合得分高低直接确定排名第一的为中标人。综合得分排名第一的中标人放弃中标或者因不可抗力提出不能履行合同，采购人可以确定综合得分排名第二的为中标人，综合得分排名第二的中标人因前款同样的原因不能签订合同，采购人可以确定综合得分排名第三的为中标人。</w:t>
      </w:r>
      <w:bookmarkStart w:id="68" w:name="_Toc107820051"/>
      <w:bookmarkStart w:id="69" w:name="_Toc170792772"/>
    </w:p>
    <w:p w14:paraId="38F6909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w:t>
      </w:r>
      <w:r>
        <w:rPr>
          <w:rFonts w:asciiTheme="minorEastAsia" w:hAnsiTheme="minorEastAsia" w:eastAsiaTheme="minorEastAsia"/>
          <w:color w:val="auto"/>
          <w:kern w:val="2"/>
          <w:szCs w:val="21"/>
          <w:highlight w:val="none"/>
        </w:rPr>
        <w:t>成交公告</w:t>
      </w:r>
      <w:r>
        <w:rPr>
          <w:rFonts w:hint="eastAsia" w:asciiTheme="minorEastAsia" w:hAnsiTheme="minorEastAsia" w:eastAsiaTheme="minorEastAsia"/>
          <w:color w:val="auto"/>
          <w:kern w:val="2"/>
          <w:szCs w:val="21"/>
          <w:highlight w:val="none"/>
        </w:rPr>
        <w:t>：成交公告期限为1个工作日。</w:t>
      </w:r>
    </w:p>
    <w:p w14:paraId="0F329EE4">
      <w:pPr>
        <w:widowControl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（三）</w:t>
      </w:r>
      <w:r>
        <w:rPr>
          <w:rFonts w:asciiTheme="minorEastAsia" w:hAnsiTheme="minorEastAsia" w:eastAsiaTheme="minorEastAsia"/>
          <w:color w:val="auto"/>
          <w:kern w:val="2"/>
          <w:szCs w:val="21"/>
          <w:highlight w:val="none"/>
        </w:rPr>
        <w:t>成交通知书</w:t>
      </w:r>
      <w:r>
        <w:rPr>
          <w:rFonts w:hint="eastAsia" w:asciiTheme="minorEastAsia" w:hAnsiTheme="minorEastAsia" w:eastAsiaTheme="minorEastAsia"/>
          <w:color w:val="auto"/>
          <w:kern w:val="2"/>
          <w:szCs w:val="21"/>
          <w:highlight w:val="none"/>
        </w:rPr>
        <w:t>：在公告成交结果的同时，代理机构向成交供应商发出成交通知书。</w:t>
      </w:r>
      <w:bookmarkEnd w:id="68"/>
      <w:bookmarkEnd w:id="69"/>
    </w:p>
    <w:p w14:paraId="71D39FF9">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07C9E61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七、合同授予</w:t>
      </w:r>
    </w:p>
    <w:p w14:paraId="52561DE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（一）签订合同</w:t>
      </w:r>
    </w:p>
    <w:p w14:paraId="6DB3EE0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.采购人与成交供应商</w:t>
      </w:r>
      <w:r>
        <w:rPr>
          <w:rFonts w:asciiTheme="minorEastAsia" w:hAnsiTheme="minorEastAsia" w:eastAsiaTheme="minorEastAsia"/>
          <w:color w:val="auto"/>
          <w:kern w:val="2"/>
          <w:szCs w:val="21"/>
          <w:highlight w:val="none"/>
        </w:rPr>
        <w:t>应</w:t>
      </w:r>
      <w:r>
        <w:rPr>
          <w:rFonts w:hint="eastAsia" w:asciiTheme="minorEastAsia" w:hAnsiTheme="minorEastAsia" w:eastAsiaTheme="minorEastAsia"/>
          <w:color w:val="auto"/>
          <w:kern w:val="2"/>
          <w:szCs w:val="21"/>
          <w:highlight w:val="none"/>
        </w:rPr>
        <w:t>当在《成交通知书》发出之日起30日内签订政府采购合同。同时，代理机构对合同内容进行审查，如发现与采购结果和投标承诺内容不一致的，将予以纠正。</w:t>
      </w:r>
    </w:p>
    <w:p w14:paraId="2B0BDD7A">
      <w:pPr>
        <w:snapToGrid w:val="0"/>
        <w:spacing w:line="360" w:lineRule="auto"/>
        <w:ind w:firstLine="420" w:firstLineChars="200"/>
        <w:rPr>
          <w:rFonts w:asciiTheme="minorEastAsia" w:hAnsiTheme="minorEastAsia" w:eastAsiaTheme="minorEastAsia"/>
          <w:b/>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.成交供应商</w:t>
      </w:r>
      <w:r>
        <w:rPr>
          <w:rFonts w:asciiTheme="minorEastAsia" w:hAnsiTheme="minorEastAsia" w:eastAsiaTheme="minorEastAsia"/>
          <w:color w:val="auto"/>
          <w:kern w:val="2"/>
          <w:szCs w:val="21"/>
          <w:highlight w:val="none"/>
        </w:rPr>
        <w:t>拖延、拒签合同的,将被取消中标资格</w:t>
      </w:r>
      <w:r>
        <w:rPr>
          <w:rFonts w:hint="eastAsia" w:asciiTheme="minorEastAsia" w:hAnsiTheme="minorEastAsia" w:eastAsiaTheme="minorEastAsia"/>
          <w:color w:val="auto"/>
          <w:kern w:val="2"/>
          <w:szCs w:val="21"/>
          <w:highlight w:val="none"/>
        </w:rPr>
        <w:t>，并报监督管理部门</w:t>
      </w:r>
      <w:r>
        <w:rPr>
          <w:rFonts w:asciiTheme="minorEastAsia" w:hAnsiTheme="minorEastAsia" w:eastAsiaTheme="minorEastAsia"/>
          <w:color w:val="auto"/>
          <w:kern w:val="2"/>
          <w:szCs w:val="21"/>
          <w:highlight w:val="none"/>
        </w:rPr>
        <w:t>。</w:t>
      </w:r>
    </w:p>
    <w:p w14:paraId="63AE0544">
      <w:pPr>
        <w:spacing w:line="360" w:lineRule="auto"/>
        <w:jc w:val="both"/>
        <w:outlineLvl w:val="1"/>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八、招标代理费</w:t>
      </w:r>
    </w:p>
    <w:p w14:paraId="304A28CD">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招标代理机构按标段向中标人收取招标代理服务费及控制价编制费，中标人应在收取《中标通知书》时向采购代理机构交纳招标代理服务费及控制价编制费，招标代理服务费的收费标准按浙价服〔2003〕77号文规定计算</w:t>
      </w:r>
    </w:p>
    <w:tbl>
      <w:tblPr>
        <w:tblStyle w:val="54"/>
        <w:tblW w:w="80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63"/>
        <w:gridCol w:w="1664"/>
        <w:gridCol w:w="1233"/>
        <w:gridCol w:w="1858"/>
      </w:tblGrid>
      <w:tr w14:paraId="575A5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B058B12">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中标金额（万元）</w:t>
            </w:r>
          </w:p>
        </w:tc>
        <w:tc>
          <w:tcPr>
            <w:tcW w:w="1664" w:type="dxa"/>
            <w:tcBorders>
              <w:top w:val="outset" w:color="auto" w:sz="6" w:space="0"/>
              <w:left w:val="outset" w:color="auto" w:sz="6" w:space="0"/>
              <w:bottom w:val="outset" w:color="auto" w:sz="6" w:space="0"/>
              <w:right w:val="outset" w:color="auto" w:sz="6" w:space="0"/>
            </w:tcBorders>
            <w:vAlign w:val="center"/>
          </w:tcPr>
          <w:p w14:paraId="752CBA4B">
            <w:pPr>
              <w:spacing w:before="100" w:beforeAutospacing="1" w:after="100" w:afterAutospacing="1"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货物招标</w:t>
            </w:r>
          </w:p>
        </w:tc>
        <w:tc>
          <w:tcPr>
            <w:tcW w:w="1233" w:type="dxa"/>
            <w:tcBorders>
              <w:top w:val="outset" w:color="auto" w:sz="6" w:space="0"/>
              <w:left w:val="outset" w:color="auto" w:sz="6" w:space="0"/>
              <w:bottom w:val="outset" w:color="auto" w:sz="6" w:space="0"/>
              <w:right w:val="outset" w:color="auto" w:sz="6" w:space="0"/>
            </w:tcBorders>
            <w:vAlign w:val="center"/>
          </w:tcPr>
          <w:p w14:paraId="4A71A31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服务招标</w:t>
            </w:r>
          </w:p>
        </w:tc>
        <w:tc>
          <w:tcPr>
            <w:tcW w:w="1858" w:type="dxa"/>
            <w:tcBorders>
              <w:top w:val="outset" w:color="auto" w:sz="6" w:space="0"/>
              <w:left w:val="outset" w:color="auto" w:sz="6" w:space="0"/>
              <w:bottom w:val="outset" w:color="auto" w:sz="6" w:space="0"/>
              <w:right w:val="outset" w:color="auto" w:sz="6" w:space="0"/>
            </w:tcBorders>
            <w:vAlign w:val="center"/>
          </w:tcPr>
          <w:p w14:paraId="0B0112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工程招标</w:t>
            </w:r>
          </w:p>
        </w:tc>
      </w:tr>
      <w:tr w14:paraId="78FC04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286C4AD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100以下</w:t>
            </w:r>
          </w:p>
        </w:tc>
        <w:tc>
          <w:tcPr>
            <w:tcW w:w="1664" w:type="dxa"/>
            <w:tcBorders>
              <w:top w:val="outset" w:color="auto" w:sz="6" w:space="0"/>
              <w:left w:val="outset" w:color="auto" w:sz="6" w:space="0"/>
              <w:bottom w:val="outset" w:color="auto" w:sz="6" w:space="0"/>
              <w:right w:val="outset" w:color="auto" w:sz="6" w:space="0"/>
            </w:tcBorders>
            <w:vAlign w:val="center"/>
          </w:tcPr>
          <w:p w14:paraId="2F231AD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233" w:type="dxa"/>
            <w:tcBorders>
              <w:top w:val="outset" w:color="auto" w:sz="6" w:space="0"/>
              <w:left w:val="outset" w:color="auto" w:sz="6" w:space="0"/>
              <w:bottom w:val="outset" w:color="auto" w:sz="6" w:space="0"/>
              <w:right w:val="outset" w:color="auto" w:sz="6" w:space="0"/>
            </w:tcBorders>
            <w:vAlign w:val="center"/>
          </w:tcPr>
          <w:p w14:paraId="1BBD0F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858" w:type="dxa"/>
            <w:tcBorders>
              <w:top w:val="outset" w:color="auto" w:sz="6" w:space="0"/>
              <w:left w:val="outset" w:color="auto" w:sz="6" w:space="0"/>
              <w:bottom w:val="outset" w:color="auto" w:sz="6" w:space="0"/>
              <w:right w:val="outset" w:color="auto" w:sz="6" w:space="0"/>
            </w:tcBorders>
            <w:vAlign w:val="center"/>
          </w:tcPr>
          <w:p w14:paraId="4095580F">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p>
        </w:tc>
      </w:tr>
      <w:tr w14:paraId="0F29A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0689F83">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100—500</w:t>
            </w:r>
          </w:p>
        </w:tc>
        <w:tc>
          <w:tcPr>
            <w:tcW w:w="1664" w:type="dxa"/>
            <w:tcBorders>
              <w:top w:val="outset" w:color="auto" w:sz="6" w:space="0"/>
              <w:left w:val="outset" w:color="auto" w:sz="6" w:space="0"/>
              <w:bottom w:val="outset" w:color="auto" w:sz="6" w:space="0"/>
              <w:right w:val="outset" w:color="auto" w:sz="6" w:space="0"/>
            </w:tcBorders>
            <w:vAlign w:val="center"/>
          </w:tcPr>
          <w:p w14:paraId="4A8FB26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1.1％</w:t>
            </w:r>
          </w:p>
        </w:tc>
        <w:tc>
          <w:tcPr>
            <w:tcW w:w="1233" w:type="dxa"/>
            <w:tcBorders>
              <w:top w:val="outset" w:color="auto" w:sz="6" w:space="0"/>
              <w:left w:val="outset" w:color="auto" w:sz="6" w:space="0"/>
              <w:bottom w:val="outset" w:color="auto" w:sz="6" w:space="0"/>
              <w:right w:val="outset" w:color="auto" w:sz="6" w:space="0"/>
            </w:tcBorders>
            <w:vAlign w:val="center"/>
          </w:tcPr>
          <w:p w14:paraId="0A97E3A0">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858" w:type="dxa"/>
            <w:tcBorders>
              <w:top w:val="outset" w:color="auto" w:sz="6" w:space="0"/>
              <w:left w:val="outset" w:color="auto" w:sz="6" w:space="0"/>
              <w:bottom w:val="outset" w:color="auto" w:sz="6" w:space="0"/>
              <w:right w:val="outset" w:color="auto" w:sz="6" w:space="0"/>
            </w:tcBorders>
            <w:vAlign w:val="center"/>
          </w:tcPr>
          <w:p w14:paraId="18C229C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14:paraId="4A8C84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A44C2B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500—1000</w:t>
            </w:r>
          </w:p>
        </w:tc>
        <w:tc>
          <w:tcPr>
            <w:tcW w:w="1664" w:type="dxa"/>
            <w:tcBorders>
              <w:top w:val="outset" w:color="auto" w:sz="6" w:space="0"/>
              <w:left w:val="outset" w:color="auto" w:sz="6" w:space="0"/>
              <w:bottom w:val="outset" w:color="auto" w:sz="6" w:space="0"/>
              <w:right w:val="outset" w:color="auto" w:sz="6" w:space="0"/>
            </w:tcBorders>
            <w:vAlign w:val="center"/>
          </w:tcPr>
          <w:p w14:paraId="53850E8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233" w:type="dxa"/>
            <w:tcBorders>
              <w:top w:val="outset" w:color="auto" w:sz="6" w:space="0"/>
              <w:left w:val="outset" w:color="auto" w:sz="6" w:space="0"/>
              <w:bottom w:val="outset" w:color="auto" w:sz="6" w:space="0"/>
              <w:right w:val="outset" w:color="auto" w:sz="6" w:space="0"/>
            </w:tcBorders>
            <w:vAlign w:val="center"/>
          </w:tcPr>
          <w:p w14:paraId="7D3171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0.45％</w:t>
            </w:r>
          </w:p>
        </w:tc>
        <w:tc>
          <w:tcPr>
            <w:tcW w:w="1858" w:type="dxa"/>
            <w:tcBorders>
              <w:top w:val="outset" w:color="auto" w:sz="6" w:space="0"/>
              <w:left w:val="outset" w:color="auto" w:sz="6" w:space="0"/>
              <w:bottom w:val="outset" w:color="auto" w:sz="6" w:space="0"/>
              <w:right w:val="outset" w:color="auto" w:sz="6" w:space="0"/>
            </w:tcBorders>
            <w:vAlign w:val="center"/>
          </w:tcPr>
          <w:p w14:paraId="5A9C76D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0.55％</w:t>
            </w:r>
          </w:p>
        </w:tc>
      </w:tr>
      <w:tr w14:paraId="5091E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DCEEE94">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1000—5000</w:t>
            </w:r>
          </w:p>
        </w:tc>
        <w:tc>
          <w:tcPr>
            <w:tcW w:w="1664" w:type="dxa"/>
            <w:tcBorders>
              <w:top w:val="outset" w:color="auto" w:sz="6" w:space="0"/>
              <w:left w:val="outset" w:color="auto" w:sz="6" w:space="0"/>
              <w:bottom w:val="outset" w:color="auto" w:sz="6" w:space="0"/>
              <w:right w:val="outset" w:color="auto" w:sz="6" w:space="0"/>
            </w:tcBorders>
            <w:vAlign w:val="center"/>
          </w:tcPr>
          <w:p w14:paraId="65DBB4BA">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w:t>
            </w:r>
          </w:p>
        </w:tc>
        <w:tc>
          <w:tcPr>
            <w:tcW w:w="1233" w:type="dxa"/>
            <w:tcBorders>
              <w:top w:val="outset" w:color="auto" w:sz="6" w:space="0"/>
              <w:left w:val="outset" w:color="auto" w:sz="6" w:space="0"/>
              <w:bottom w:val="outset" w:color="auto" w:sz="6" w:space="0"/>
              <w:right w:val="outset" w:color="auto" w:sz="6" w:space="0"/>
            </w:tcBorders>
            <w:vAlign w:val="center"/>
          </w:tcPr>
          <w:p w14:paraId="1B565163">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0.25％</w:t>
            </w:r>
          </w:p>
        </w:tc>
        <w:tc>
          <w:tcPr>
            <w:tcW w:w="1858" w:type="dxa"/>
            <w:tcBorders>
              <w:top w:val="outset" w:color="auto" w:sz="6" w:space="0"/>
              <w:left w:val="outset" w:color="auto" w:sz="6" w:space="0"/>
              <w:bottom w:val="outset" w:color="auto" w:sz="6" w:space="0"/>
              <w:right w:val="outset" w:color="auto" w:sz="6" w:space="0"/>
            </w:tcBorders>
            <w:vAlign w:val="center"/>
          </w:tcPr>
          <w:p w14:paraId="518586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0.35％</w:t>
            </w:r>
          </w:p>
        </w:tc>
      </w:tr>
    </w:tbl>
    <w:p w14:paraId="617C1A7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招标代理服务收费按差额定率累进法计算。</w:t>
      </w:r>
    </w:p>
    <w:p w14:paraId="36BB343C">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投标单位以工程类招标收费标准支付中标服务费，清单预算编制费按</w:t>
      </w:r>
      <w:r>
        <w:rPr>
          <w:rFonts w:hint="eastAsia" w:ascii="宋体" w:hAnsi="宋体" w:cs="宋体"/>
          <w:color w:val="auto"/>
          <w:highlight w:val="none"/>
        </w:rPr>
        <w:t>（浙价服[2009]84号）规定收费标准收取。招标控制价编制服务费按《浙江省建设工程造价咨询服务项目及收费指引》的通知(浙建价协[2021]13号计算的标准收取，以招标控制价为计算基数。</w:t>
      </w:r>
      <w:r>
        <w:rPr>
          <w:rFonts w:hint="eastAsia" w:asciiTheme="minorEastAsia" w:hAnsiTheme="minorEastAsia" w:eastAsiaTheme="minorEastAsia"/>
          <w:color w:val="auto"/>
          <w:kern w:val="2"/>
          <w:szCs w:val="21"/>
          <w:highlight w:val="none"/>
        </w:rPr>
        <w:t>上述合计金额不足6000元的按6000元计取服务费</w:t>
      </w:r>
    </w:p>
    <w:p w14:paraId="2CB7674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4、服务费的货币为人民币。</w:t>
      </w:r>
    </w:p>
    <w:p w14:paraId="0BDF01C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5、服务费支付方式：一次性以网银、电汇的形式支付。</w:t>
      </w:r>
    </w:p>
    <w:p w14:paraId="6BBA374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6、服务费以银行划账方式按下列要求提交：</w:t>
      </w:r>
    </w:p>
    <w:p w14:paraId="3ED4EA57">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收款人：嘉兴市银建工程咨询评估有限公司</w:t>
      </w:r>
    </w:p>
    <w:p w14:paraId="358C049B">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户名：嘉兴市银建工程咨询评估有限公司</w:t>
      </w:r>
    </w:p>
    <w:p w14:paraId="51C2FD73">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开户银行：建行嘉兴分行营业部</w:t>
      </w:r>
    </w:p>
    <w:p w14:paraId="68284A34">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账号：3300 1638 0470 5000 4370</w:t>
      </w:r>
    </w:p>
    <w:p w14:paraId="16DF5C3F">
      <w:pPr>
        <w:snapToGrid w:val="0"/>
        <w:spacing w:line="360" w:lineRule="auto"/>
        <w:ind w:right="-401" w:rightChars="-191"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招标代理服务费及控制价编制费支付时间：招标代理服务费及控制价编制费必须在中标人领取《中标通知书》时一次性付清，如果中标人未能按时交纳服务费，采购代理机构/采购人保留追究其责任的权利</w:t>
      </w:r>
      <w:r>
        <w:rPr>
          <w:rFonts w:asciiTheme="minorEastAsia" w:hAnsiTheme="minorEastAsia" w:eastAsiaTheme="minorEastAsia"/>
          <w:color w:val="auto"/>
          <w:kern w:val="2"/>
          <w:szCs w:val="21"/>
          <w:highlight w:val="none"/>
        </w:rPr>
        <w:t>。</w:t>
      </w:r>
    </w:p>
    <w:p w14:paraId="3716C79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8、</w:t>
      </w:r>
      <w:r>
        <w:rPr>
          <w:rFonts w:hint="eastAsia" w:asciiTheme="minorEastAsia" w:hAnsiTheme="minorEastAsia" w:eastAsiaTheme="minorEastAsia"/>
          <w:color w:val="auto"/>
          <w:kern w:val="2"/>
          <w:szCs w:val="21"/>
          <w:highlight w:val="none"/>
        </w:rPr>
        <w:t>招标代理服务费及控制价编制费不在投标报价中单列</w:t>
      </w:r>
      <w:r>
        <w:rPr>
          <w:rFonts w:asciiTheme="minorEastAsia" w:hAnsiTheme="minorEastAsia" w:eastAsiaTheme="minorEastAsia"/>
          <w:color w:val="auto"/>
          <w:kern w:val="2"/>
          <w:szCs w:val="21"/>
          <w:highlight w:val="none"/>
        </w:rPr>
        <w:t>。</w:t>
      </w:r>
    </w:p>
    <w:p w14:paraId="11325BBC">
      <w:pPr>
        <w:snapToGrid w:val="0"/>
        <w:spacing w:before="120" w:after="120" w:line="360" w:lineRule="auto"/>
        <w:jc w:val="both"/>
        <w:rPr>
          <w:rFonts w:asciiTheme="minorEastAsia" w:hAnsiTheme="minorEastAsia" w:eastAsiaTheme="minorEastAsia"/>
          <w:b/>
          <w:color w:val="auto"/>
          <w:sz w:val="28"/>
          <w:szCs w:val="28"/>
          <w:highlight w:val="none"/>
        </w:rPr>
      </w:pPr>
    </w:p>
    <w:p w14:paraId="2648BA29">
      <w:pPr>
        <w:snapToGrid w:val="0"/>
        <w:spacing w:before="120" w:after="120" w:line="360" w:lineRule="auto"/>
        <w:jc w:val="center"/>
        <w:rPr>
          <w:rFonts w:asciiTheme="minorEastAsia" w:hAnsiTheme="minorEastAsia" w:eastAsiaTheme="minorEastAsia"/>
          <w:b/>
          <w:color w:val="auto"/>
          <w:sz w:val="28"/>
          <w:szCs w:val="28"/>
          <w:highlight w:val="none"/>
        </w:rPr>
      </w:pPr>
    </w:p>
    <w:p w14:paraId="5BC1A12A">
      <w:pPr>
        <w:snapToGrid w:val="0"/>
        <w:spacing w:before="120" w:after="120" w:line="360" w:lineRule="auto"/>
        <w:jc w:val="center"/>
        <w:rPr>
          <w:rFonts w:asciiTheme="minorEastAsia" w:hAnsiTheme="minorEastAsia" w:eastAsiaTheme="minorEastAsia"/>
          <w:b/>
          <w:color w:val="auto"/>
          <w:sz w:val="28"/>
          <w:szCs w:val="28"/>
          <w:highlight w:val="none"/>
        </w:rPr>
      </w:pPr>
    </w:p>
    <w:p w14:paraId="6CF35EDC">
      <w:pPr>
        <w:snapToGrid w:val="0"/>
        <w:spacing w:before="120" w:after="120" w:line="360" w:lineRule="auto"/>
        <w:jc w:val="center"/>
        <w:rPr>
          <w:rFonts w:asciiTheme="minorEastAsia" w:hAnsiTheme="minorEastAsia" w:eastAsiaTheme="minorEastAsia"/>
          <w:b/>
          <w:color w:val="auto"/>
          <w:sz w:val="28"/>
          <w:szCs w:val="28"/>
          <w:highlight w:val="none"/>
        </w:rPr>
      </w:pPr>
    </w:p>
    <w:p w14:paraId="208A422B">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0F524BC3">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BD4F122">
      <w:pPr>
        <w:rPr>
          <w:rFonts w:asciiTheme="minorEastAsia" w:hAnsiTheme="minorEastAsia" w:eastAsiaTheme="minorEastAsia"/>
          <w:b/>
          <w:color w:val="auto"/>
          <w:sz w:val="28"/>
          <w:szCs w:val="28"/>
          <w:highlight w:val="none"/>
        </w:rPr>
      </w:pPr>
      <w:bookmarkStart w:id="70" w:name="_Toc5936"/>
      <w:r>
        <w:rPr>
          <w:rFonts w:hint="eastAsia" w:asciiTheme="minorEastAsia" w:hAnsiTheme="minorEastAsia" w:eastAsiaTheme="minorEastAsia"/>
          <w:b/>
          <w:color w:val="auto"/>
          <w:sz w:val="28"/>
          <w:szCs w:val="28"/>
          <w:highlight w:val="none"/>
        </w:rPr>
        <w:br w:type="page"/>
      </w:r>
    </w:p>
    <w:p w14:paraId="1EFC2C01">
      <w:pPr>
        <w:snapToGrid w:val="0"/>
        <w:spacing w:before="120" w:after="120" w:line="360" w:lineRule="auto"/>
        <w:jc w:val="center"/>
        <w:outlineLvl w:val="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第四章 评标办法</w:t>
      </w:r>
      <w:bookmarkEnd w:id="70"/>
    </w:p>
    <w:tbl>
      <w:tblPr>
        <w:tblStyle w:val="54"/>
        <w:tblpPr w:leftFromText="180" w:rightFromText="180" w:vertAnchor="text" w:horzAnchor="page" w:tblpX="1621" w:tblpY="614"/>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234"/>
        <w:gridCol w:w="971"/>
      </w:tblGrid>
      <w:tr w14:paraId="1D0D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3" w:type="dxa"/>
            <w:tcBorders>
              <w:top w:val="single" w:color="auto" w:sz="4" w:space="0"/>
              <w:left w:val="single" w:color="auto" w:sz="4" w:space="0"/>
              <w:bottom w:val="single" w:color="auto" w:sz="4" w:space="0"/>
              <w:right w:val="single" w:color="auto" w:sz="4" w:space="0"/>
            </w:tcBorders>
            <w:vAlign w:val="center"/>
          </w:tcPr>
          <w:p w14:paraId="6386E9A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评定项目</w:t>
            </w:r>
          </w:p>
        </w:tc>
        <w:tc>
          <w:tcPr>
            <w:tcW w:w="6234" w:type="dxa"/>
            <w:tcBorders>
              <w:top w:val="single" w:color="auto" w:sz="4" w:space="0"/>
              <w:left w:val="single" w:color="auto" w:sz="4" w:space="0"/>
              <w:bottom w:val="single" w:color="auto" w:sz="4" w:space="0"/>
              <w:right w:val="single" w:color="auto" w:sz="4" w:space="0"/>
            </w:tcBorders>
            <w:vAlign w:val="center"/>
          </w:tcPr>
          <w:p w14:paraId="71E5038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评定内容</w:t>
            </w:r>
          </w:p>
        </w:tc>
        <w:tc>
          <w:tcPr>
            <w:tcW w:w="971" w:type="dxa"/>
            <w:tcBorders>
              <w:top w:val="single" w:color="auto" w:sz="4" w:space="0"/>
              <w:left w:val="single" w:color="auto" w:sz="4" w:space="0"/>
              <w:bottom w:val="single" w:color="auto" w:sz="4" w:space="0"/>
              <w:right w:val="single" w:color="auto" w:sz="4" w:space="0"/>
            </w:tcBorders>
            <w:vAlign w:val="center"/>
          </w:tcPr>
          <w:p w14:paraId="4911D03E">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分值</w:t>
            </w:r>
          </w:p>
          <w:p w14:paraId="440CDC59">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范围</w:t>
            </w:r>
          </w:p>
        </w:tc>
      </w:tr>
      <w:tr w14:paraId="67DB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57" w:type="dxa"/>
            <w:gridSpan w:val="2"/>
            <w:tcBorders>
              <w:top w:val="single" w:color="auto" w:sz="4" w:space="0"/>
              <w:left w:val="single" w:color="auto" w:sz="4" w:space="0"/>
              <w:bottom w:val="single" w:color="auto" w:sz="4" w:space="0"/>
              <w:right w:val="single" w:color="auto" w:sz="4" w:space="0"/>
            </w:tcBorders>
            <w:vAlign w:val="center"/>
          </w:tcPr>
          <w:p w14:paraId="769BAC97">
            <w:pPr>
              <w:autoSpaceDE w:val="0"/>
              <w:autoSpaceDN w:val="0"/>
              <w:spacing w:line="340" w:lineRule="exact"/>
              <w:jc w:val="center"/>
              <w:rPr>
                <w:rFonts w:ascii="宋体" w:hAnsi="宋体" w:cs="宋体"/>
                <w:color w:val="auto"/>
                <w:szCs w:val="21"/>
                <w:highlight w:val="none"/>
              </w:rPr>
            </w:pPr>
            <w:r>
              <w:rPr>
                <w:rFonts w:hint="eastAsia" w:ascii="宋体" w:hAnsi="宋体" w:cs="宋体"/>
                <w:b/>
                <w:bCs/>
                <w:color w:val="auto"/>
                <w:szCs w:val="21"/>
                <w:highlight w:val="none"/>
              </w:rPr>
              <w:t>技术部分</w:t>
            </w:r>
          </w:p>
        </w:tc>
        <w:tc>
          <w:tcPr>
            <w:tcW w:w="971" w:type="dxa"/>
            <w:tcBorders>
              <w:top w:val="single" w:color="auto" w:sz="4" w:space="0"/>
              <w:left w:val="single" w:color="auto" w:sz="4" w:space="0"/>
              <w:bottom w:val="single" w:color="auto" w:sz="4" w:space="0"/>
              <w:right w:val="single" w:color="auto" w:sz="4" w:space="0"/>
            </w:tcBorders>
            <w:vAlign w:val="center"/>
          </w:tcPr>
          <w:p w14:paraId="3BA834B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w:t>
            </w:r>
          </w:p>
        </w:tc>
      </w:tr>
      <w:tr w14:paraId="7639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140B0BF3">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项目整体理解</w:t>
            </w:r>
          </w:p>
        </w:tc>
        <w:tc>
          <w:tcPr>
            <w:tcW w:w="6234" w:type="dxa"/>
            <w:tcBorders>
              <w:top w:val="single" w:color="auto" w:sz="4" w:space="0"/>
              <w:left w:val="single" w:color="auto" w:sz="4" w:space="0"/>
              <w:right w:val="single" w:color="auto" w:sz="4" w:space="0"/>
            </w:tcBorders>
            <w:vAlign w:val="center"/>
          </w:tcPr>
          <w:p w14:paraId="7D6E6530">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项目需求，根据投标人对本项目的项目背景和现状分析，项目内容等相关的理解程度进行综合评分。对本项目需求理解全面准确、分析合理的得9-12分；比较详细、较为合理的得6-9分（不含）；理解不充分、不全面的得3-6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E16A6B">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0-12</w:t>
            </w:r>
          </w:p>
        </w:tc>
      </w:tr>
      <w:tr w14:paraId="41E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71B0441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重难点分析</w:t>
            </w:r>
          </w:p>
        </w:tc>
        <w:tc>
          <w:tcPr>
            <w:tcW w:w="6234" w:type="dxa"/>
            <w:tcBorders>
              <w:top w:val="single" w:color="auto" w:sz="4" w:space="0"/>
              <w:left w:val="single" w:color="auto" w:sz="4" w:space="0"/>
              <w:right w:val="single" w:color="auto" w:sz="4" w:space="0"/>
            </w:tcBorders>
            <w:vAlign w:val="center"/>
          </w:tcPr>
          <w:p w14:paraId="718B01C5">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的技术关键点、难点进行分析，根据其完整性，合理性等进行综合评分。对本项目关键问题重点、难点分析合理、清晰、全面的得7-10分；对本项目关键问题的重点、难点分析较为合理、较为清晰、较为全面的得4-7分（不含）；对本项目关键问题的重点、难点分析不合理、不清晰、不全面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6E9E6BF7">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0-10</w:t>
            </w:r>
          </w:p>
        </w:tc>
      </w:tr>
      <w:tr w14:paraId="437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16BF71A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施工方案</w:t>
            </w:r>
          </w:p>
        </w:tc>
        <w:tc>
          <w:tcPr>
            <w:tcW w:w="6234" w:type="dxa"/>
            <w:tcBorders>
              <w:top w:val="single" w:color="auto" w:sz="4" w:space="0"/>
              <w:left w:val="single" w:color="auto" w:sz="4" w:space="0"/>
              <w:right w:val="single" w:color="auto" w:sz="4" w:space="0"/>
            </w:tcBorders>
            <w:vAlign w:val="center"/>
          </w:tcPr>
          <w:p w14:paraId="60833AA7">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对项目施工方案</w:t>
            </w:r>
            <w:r>
              <w:rPr>
                <w:rFonts w:hint="eastAsia" w:ascii="宋体" w:hAnsi="宋体" w:cs="宋体"/>
                <w:b/>
                <w:bCs/>
                <w:color w:val="auto"/>
                <w:szCs w:val="21"/>
                <w:highlight w:val="none"/>
              </w:rPr>
              <w:t>（包括但不限于实施人员安排、施工质量把控、施工进度安排、安全防护及文明施工等）</w:t>
            </w:r>
            <w:r>
              <w:rPr>
                <w:rFonts w:hint="eastAsia" w:ascii="宋体" w:hAnsi="宋体" w:cs="宋体"/>
                <w:color w:val="auto"/>
                <w:szCs w:val="21"/>
                <w:highlight w:val="none"/>
              </w:rPr>
              <w:t>的完整性、科学性、紧凑性、合理性等进行综合评分。服务方案方案科学合理、完善的得7-10分，服务方案较完善较合理的得4-7分（不含），服务方案不够科学合理，内容不够完善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518AA5">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7ED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4C83188E">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相关管理制度</w:t>
            </w:r>
          </w:p>
        </w:tc>
        <w:tc>
          <w:tcPr>
            <w:tcW w:w="6234" w:type="dxa"/>
            <w:tcBorders>
              <w:top w:val="single" w:color="auto" w:sz="4" w:space="0"/>
              <w:left w:val="single" w:color="auto" w:sz="4" w:space="0"/>
              <w:right w:val="single" w:color="auto" w:sz="4" w:space="0"/>
            </w:tcBorders>
            <w:vAlign w:val="center"/>
          </w:tcPr>
          <w:p w14:paraId="1F418548">
            <w:pPr>
              <w:snapToGrid w:val="0"/>
              <w:spacing w:line="380" w:lineRule="exact"/>
              <w:textAlignment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根据作业质量标准，检查考核办法，作业人员安全教育、劳动保护、安全管理制度，意外事件应急预案等情况酌情评分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0508658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B3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3D96620F">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应急预案</w:t>
            </w:r>
          </w:p>
        </w:tc>
        <w:tc>
          <w:tcPr>
            <w:tcW w:w="6234" w:type="dxa"/>
            <w:tcBorders>
              <w:top w:val="single" w:color="auto" w:sz="4" w:space="0"/>
              <w:left w:val="single" w:color="auto" w:sz="4" w:space="0"/>
              <w:right w:val="single" w:color="auto" w:sz="4" w:space="0"/>
            </w:tcBorders>
            <w:vAlign w:val="center"/>
          </w:tcPr>
          <w:p w14:paraId="48E65DF5">
            <w:pPr>
              <w:snapToGrid w:val="0"/>
              <w:spacing w:line="380" w:lineRule="exac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szCs w:val="21"/>
                <w:highlight w:val="none"/>
                <w:lang w:val="en-US" w:eastAsia="zh-CN"/>
              </w:rPr>
              <w:t>，不提供不得分。</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0，4</w:t>
            </w:r>
            <w:r>
              <w:rPr>
                <w:rFonts w:hint="default" w:ascii="宋体" w:hAnsi="宋体" w:eastAsia="宋体" w:cs="宋体"/>
                <w:color w:val="auto"/>
                <w:szCs w:val="21"/>
                <w:highlight w:val="none"/>
                <w:lang w:val="en-US" w:eastAsia="zh-CN"/>
              </w:rPr>
              <w:t>-8分）</w:t>
            </w:r>
          </w:p>
        </w:tc>
        <w:tc>
          <w:tcPr>
            <w:tcW w:w="971" w:type="dxa"/>
            <w:tcBorders>
              <w:top w:val="single" w:color="auto" w:sz="4" w:space="0"/>
              <w:left w:val="single" w:color="auto" w:sz="4" w:space="0"/>
              <w:bottom w:val="single" w:color="auto" w:sz="4" w:space="0"/>
              <w:right w:val="single" w:color="auto" w:sz="4" w:space="0"/>
            </w:tcBorders>
            <w:vAlign w:val="center"/>
          </w:tcPr>
          <w:p w14:paraId="10D498C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lang w:val="en-US" w:eastAsia="zh-CN"/>
              </w:rPr>
              <w:t>8</w:t>
            </w:r>
          </w:p>
        </w:tc>
      </w:tr>
      <w:tr w14:paraId="7F0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7BB1B61C">
            <w:pPr>
              <w:snapToGrid w:val="0"/>
              <w:spacing w:line="3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进度安排</w:t>
            </w:r>
          </w:p>
        </w:tc>
        <w:tc>
          <w:tcPr>
            <w:tcW w:w="6234" w:type="dxa"/>
            <w:tcBorders>
              <w:top w:val="single" w:color="auto" w:sz="4" w:space="0"/>
              <w:left w:val="single" w:color="auto" w:sz="4" w:space="0"/>
              <w:right w:val="single" w:color="auto" w:sz="4" w:space="0"/>
            </w:tcBorders>
            <w:vAlign w:val="center"/>
          </w:tcPr>
          <w:p w14:paraId="03C1B9D9">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投标人针对本项目实施的项目进度安排，根据进度安排的科学性、合理性、规范性和可操作性，各投标单位比较得分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3B2A15C4">
            <w:pPr>
              <w:snapToGrid w:val="0"/>
              <w:spacing w:line="38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0-</w:t>
            </w:r>
            <w:r>
              <w:rPr>
                <w:rFonts w:hint="eastAsia" w:ascii="宋体" w:hAnsi="宋体" w:cs="宋体"/>
                <w:color w:val="auto"/>
                <w:szCs w:val="21"/>
                <w:highlight w:val="none"/>
                <w:lang w:val="en-US" w:eastAsia="zh-CN"/>
              </w:rPr>
              <w:t>10</w:t>
            </w:r>
          </w:p>
        </w:tc>
      </w:tr>
      <w:tr w14:paraId="266B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18D6E639">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合理化建议</w:t>
            </w:r>
          </w:p>
        </w:tc>
        <w:tc>
          <w:tcPr>
            <w:tcW w:w="6234" w:type="dxa"/>
            <w:tcBorders>
              <w:top w:val="single" w:color="auto" w:sz="4" w:space="0"/>
              <w:left w:val="single" w:color="auto" w:sz="4" w:space="0"/>
              <w:bottom w:val="single" w:color="auto" w:sz="4" w:space="0"/>
              <w:right w:val="single" w:color="auto" w:sz="4" w:space="0"/>
            </w:tcBorders>
            <w:vAlign w:val="center"/>
          </w:tcPr>
          <w:p w14:paraId="42175F02">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针对本项目提出的合理化建议，根据合理化建议的有效性、可行性，由专家一致认定有效可行的，每一条得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仿宋" w:hAnsi="仿宋" w:eastAsia="仿宋" w:cs="仿宋"/>
                <w:color w:val="auto"/>
                <w:szCs w:val="21"/>
                <w:highlight w:val="none"/>
                <w:lang w:val="en-US" w:eastAsia="zh-CN"/>
              </w:rPr>
              <w:t>，不提供不得分</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971" w:type="dxa"/>
            <w:tcBorders>
              <w:left w:val="single" w:color="auto" w:sz="4" w:space="0"/>
              <w:right w:val="single" w:color="auto" w:sz="4" w:space="0"/>
            </w:tcBorders>
            <w:vAlign w:val="center"/>
          </w:tcPr>
          <w:p w14:paraId="54F49F1D">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p>
        </w:tc>
      </w:tr>
      <w:tr w14:paraId="245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57" w:type="dxa"/>
            <w:gridSpan w:val="2"/>
            <w:tcBorders>
              <w:left w:val="single" w:color="auto" w:sz="4" w:space="0"/>
              <w:right w:val="single" w:color="auto" w:sz="4" w:space="0"/>
            </w:tcBorders>
            <w:vAlign w:val="center"/>
          </w:tcPr>
          <w:p w14:paraId="7BB09B17">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商务资信部分</w:t>
            </w:r>
          </w:p>
        </w:tc>
        <w:tc>
          <w:tcPr>
            <w:tcW w:w="971" w:type="dxa"/>
            <w:tcBorders>
              <w:left w:val="single" w:color="auto" w:sz="4" w:space="0"/>
              <w:right w:val="single" w:color="auto" w:sz="4" w:space="0"/>
            </w:tcBorders>
            <w:vAlign w:val="center"/>
          </w:tcPr>
          <w:p w14:paraId="04C51E41">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tc>
      </w:tr>
      <w:tr w14:paraId="7B4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2BFDD6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6234" w:type="dxa"/>
            <w:tcBorders>
              <w:top w:val="single" w:color="auto" w:sz="4" w:space="0"/>
              <w:left w:val="single" w:color="auto" w:sz="4" w:space="0"/>
              <w:bottom w:val="single" w:color="auto" w:sz="4" w:space="0"/>
              <w:right w:val="single" w:color="auto" w:sz="4" w:space="0"/>
            </w:tcBorders>
            <w:vAlign w:val="center"/>
          </w:tcPr>
          <w:p w14:paraId="0647F4A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en-US" w:eastAsia="zh-CN"/>
              </w:rPr>
              <w:t>2019年1月1日</w:t>
            </w:r>
            <w:r>
              <w:rPr>
                <w:rFonts w:hint="eastAsia" w:ascii="宋体" w:hAnsi="宋体" w:cs="宋体"/>
                <w:color w:val="auto"/>
                <w:szCs w:val="21"/>
                <w:highlight w:val="none"/>
              </w:rPr>
              <w:t>以来在承担过同类项目业绩或案例证明。供应商每提供一个同类项目，得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分，最高3分（提供合同，时间以合同签订时间为准，不提供不得分）</w:t>
            </w:r>
          </w:p>
        </w:tc>
        <w:tc>
          <w:tcPr>
            <w:tcW w:w="971" w:type="dxa"/>
            <w:tcBorders>
              <w:left w:val="single" w:color="auto" w:sz="4" w:space="0"/>
              <w:right w:val="single" w:color="auto" w:sz="4" w:space="0"/>
            </w:tcBorders>
            <w:vAlign w:val="center"/>
          </w:tcPr>
          <w:p w14:paraId="2E30DC2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0-3</w:t>
            </w:r>
          </w:p>
        </w:tc>
      </w:tr>
      <w:tr w14:paraId="6C1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FFD965B">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234" w:type="dxa"/>
            <w:tcBorders>
              <w:top w:val="single" w:color="auto" w:sz="4" w:space="0"/>
              <w:left w:val="single" w:color="auto" w:sz="4" w:space="0"/>
              <w:bottom w:val="single" w:color="auto" w:sz="4" w:space="0"/>
              <w:right w:val="single" w:color="auto" w:sz="4" w:space="0"/>
            </w:tcBorders>
            <w:vAlign w:val="center"/>
          </w:tcPr>
          <w:p w14:paraId="03650B76">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分，扣完该项得分为止。</w:t>
            </w:r>
          </w:p>
        </w:tc>
        <w:tc>
          <w:tcPr>
            <w:tcW w:w="971" w:type="dxa"/>
            <w:tcBorders>
              <w:left w:val="single" w:color="auto" w:sz="4" w:space="0"/>
              <w:right w:val="single" w:color="auto" w:sz="4" w:space="0"/>
            </w:tcBorders>
            <w:vAlign w:val="center"/>
          </w:tcPr>
          <w:p w14:paraId="6C9D76C2">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3342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57" w:type="dxa"/>
            <w:gridSpan w:val="2"/>
            <w:tcBorders>
              <w:left w:val="single" w:color="auto" w:sz="4" w:space="0"/>
              <w:right w:val="single" w:color="auto" w:sz="4" w:space="0"/>
            </w:tcBorders>
            <w:vAlign w:val="center"/>
          </w:tcPr>
          <w:p w14:paraId="47E0D3E8">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报价部分</w:t>
            </w:r>
          </w:p>
        </w:tc>
        <w:tc>
          <w:tcPr>
            <w:tcW w:w="971" w:type="dxa"/>
            <w:tcBorders>
              <w:left w:val="single" w:color="auto" w:sz="4" w:space="0"/>
              <w:right w:val="single" w:color="auto" w:sz="4" w:space="0"/>
            </w:tcBorders>
            <w:vAlign w:val="center"/>
          </w:tcPr>
          <w:p w14:paraId="344D802D">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30分</w:t>
            </w:r>
          </w:p>
        </w:tc>
      </w:tr>
      <w:tr w14:paraId="750B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bottom w:val="single" w:color="auto" w:sz="4" w:space="0"/>
              <w:right w:val="single" w:color="auto" w:sz="4" w:space="0"/>
            </w:tcBorders>
            <w:vAlign w:val="center"/>
          </w:tcPr>
          <w:p w14:paraId="0C7FD50B">
            <w:pPr>
              <w:autoSpaceDE w:val="0"/>
              <w:autoSpaceDN w:val="0"/>
              <w:spacing w:line="340" w:lineRule="exact"/>
              <w:jc w:val="center"/>
              <w:rPr>
                <w:rFonts w:ascii="宋体" w:hAnsi="宋体" w:cs="宋体"/>
                <w:b/>
                <w:color w:val="auto"/>
                <w:szCs w:val="21"/>
                <w:highlight w:val="none"/>
              </w:rPr>
            </w:pPr>
            <w:r>
              <w:rPr>
                <w:rFonts w:hint="eastAsia" w:ascii="宋体" w:hAnsi="宋体" w:cs="宋体"/>
                <w:color w:val="auto"/>
                <w:szCs w:val="21"/>
                <w:highlight w:val="none"/>
              </w:rPr>
              <w:t>投标报价</w:t>
            </w:r>
          </w:p>
        </w:tc>
        <w:tc>
          <w:tcPr>
            <w:tcW w:w="6234" w:type="dxa"/>
            <w:tcBorders>
              <w:left w:val="single" w:color="auto" w:sz="4" w:space="0"/>
              <w:bottom w:val="single" w:color="auto" w:sz="4" w:space="0"/>
              <w:right w:val="single" w:color="auto" w:sz="4" w:space="0"/>
            </w:tcBorders>
            <w:vAlign w:val="center"/>
          </w:tcPr>
          <w:p w14:paraId="5D3BA415">
            <w:pPr>
              <w:spacing w:line="360" w:lineRule="exac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326B573C">
            <w:pPr>
              <w:spacing w:line="360" w:lineRule="exac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0A497062">
            <w:pPr>
              <w:autoSpaceDE w:val="0"/>
              <w:autoSpaceDN w:val="0"/>
              <w:spacing w:line="340" w:lineRule="exact"/>
              <w:rPr>
                <w:rFonts w:ascii="宋体" w:hAnsi="宋体" w:cs="宋体"/>
                <w:b/>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971" w:type="dxa"/>
            <w:tcBorders>
              <w:left w:val="single" w:color="auto" w:sz="4" w:space="0"/>
              <w:right w:val="single" w:color="auto" w:sz="4" w:space="0"/>
            </w:tcBorders>
            <w:vAlign w:val="center"/>
          </w:tcPr>
          <w:p w14:paraId="62E5C8BA">
            <w:pPr>
              <w:autoSpaceDE w:val="0"/>
              <w:autoSpaceDN w:val="0"/>
              <w:spacing w:line="340" w:lineRule="exact"/>
              <w:jc w:val="center"/>
              <w:rPr>
                <w:rFonts w:ascii="宋体" w:hAnsi="宋体" w:cs="宋体"/>
                <w:color w:val="auto"/>
                <w:szCs w:val="21"/>
                <w:highlight w:val="none"/>
              </w:rPr>
            </w:pPr>
          </w:p>
        </w:tc>
      </w:tr>
    </w:tbl>
    <w:p w14:paraId="0E83FF2D">
      <w:pPr>
        <w:adjustRightInd w:val="0"/>
        <w:snapToGrid w:val="0"/>
        <w:spacing w:line="360" w:lineRule="auto"/>
        <w:rPr>
          <w:rFonts w:ascii="宋体" w:hAnsi="宋体"/>
          <w:bCs/>
          <w:color w:val="auto"/>
          <w:spacing w:val="-4"/>
          <w:szCs w:val="21"/>
          <w:highlight w:val="none"/>
        </w:rPr>
      </w:pPr>
      <w:r>
        <w:rPr>
          <w:rFonts w:hint="eastAsia" w:ascii="宋体" w:hAnsi="宋体"/>
          <w:bCs/>
          <w:color w:val="auto"/>
          <w:spacing w:val="-4"/>
          <w:szCs w:val="21"/>
          <w:highlight w:val="none"/>
        </w:rPr>
        <w:t>注：建议在制作投标书时，在目录后附一个评分索引表，方便查找。</w:t>
      </w:r>
    </w:p>
    <w:p w14:paraId="32C6154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2330AC32">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1.本项目采用综合评分法。</w:t>
      </w: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177C5405">
      <w:pPr>
        <w:spacing w:line="360" w:lineRule="auto"/>
        <w:rPr>
          <w:rFonts w:ascii="宋体" w:hAnsi="宋体" w:cs="宋体"/>
          <w:color w:val="auto"/>
          <w:szCs w:val="21"/>
          <w:highlight w:val="none"/>
        </w:rPr>
      </w:pPr>
      <w:r>
        <w:rPr>
          <w:rFonts w:hint="eastAsia" w:ascii="宋体" w:hAnsi="宋体" w:cs="宋体"/>
          <w:b/>
          <w:color w:val="auto"/>
          <w:szCs w:val="21"/>
          <w:highlight w:val="none"/>
        </w:rPr>
        <w:t>二、评标标准</w:t>
      </w:r>
    </w:p>
    <w:p w14:paraId="1F21B168">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szCs w:val="21"/>
          <w:highlight w:val="none"/>
        </w:rPr>
        <w:t>见评标办法前附表。</w:t>
      </w:r>
    </w:p>
    <w:p w14:paraId="3ED91943">
      <w:pPr>
        <w:spacing w:line="360" w:lineRule="auto"/>
        <w:outlineLvl w:val="0"/>
        <w:rPr>
          <w:rFonts w:ascii="宋体" w:hAnsi="宋体" w:cs="宋体"/>
          <w:b/>
          <w:color w:val="auto"/>
          <w:szCs w:val="21"/>
          <w:highlight w:val="none"/>
        </w:rPr>
      </w:pPr>
      <w:bookmarkStart w:id="71" w:name="_Toc5850"/>
      <w:r>
        <w:rPr>
          <w:rFonts w:hint="eastAsia" w:ascii="宋体" w:hAnsi="宋体" w:cs="宋体"/>
          <w:b/>
          <w:color w:val="auto"/>
          <w:szCs w:val="21"/>
          <w:highlight w:val="none"/>
        </w:rPr>
        <w:t>三、评标程序</w:t>
      </w:r>
      <w:bookmarkEnd w:id="71"/>
    </w:p>
    <w:p w14:paraId="5768C181">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3.1符合性审查。</w:t>
      </w:r>
      <w:r>
        <w:rPr>
          <w:rFonts w:hint="eastAsia" w:ascii="宋体" w:hAnsi="宋体" w:cs="宋体"/>
          <w:color w:val="auto"/>
          <w:szCs w:val="21"/>
          <w:highlight w:val="none"/>
        </w:rPr>
        <w:t>评标委员会应当对符合资格的投标人的投标文件进行符合性审查，以确定其是否满足招标文件的实质性要求。不满足招标文件的实质性要求的，投标无效。</w:t>
      </w:r>
    </w:p>
    <w:p w14:paraId="4BA47047">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3.2 比较与评价。</w:t>
      </w:r>
      <w:r>
        <w:rPr>
          <w:rFonts w:hint="eastAsia" w:ascii="宋体" w:hAnsi="宋体" w:cs="宋体"/>
          <w:color w:val="auto"/>
          <w:szCs w:val="21"/>
          <w:highlight w:val="none"/>
        </w:rPr>
        <w:t>评标委员会应当按照招标文件中规定的评标方法和标准，对符合性审查合格的投标文件进行商务和技术评估，综合比较与评价。</w:t>
      </w:r>
    </w:p>
    <w:p w14:paraId="30EDBE55">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3.3汇总商务技术得分。</w:t>
      </w:r>
      <w:r>
        <w:rPr>
          <w:rFonts w:hint="eastAsia" w:ascii="宋体" w:hAnsi="宋体" w:cs="宋体"/>
          <w:color w:val="auto"/>
          <w:szCs w:val="21"/>
          <w:highlight w:val="none"/>
        </w:rPr>
        <w:t>评标委员会各成员应当独立对每个投标人的商务和技术文件进行评价，并汇总商务技术得分情况。</w:t>
      </w:r>
    </w:p>
    <w:p w14:paraId="66901B1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3.4报价评审。</w:t>
      </w:r>
    </w:p>
    <w:p w14:paraId="2E80352C">
      <w:pPr>
        <w:pStyle w:val="370"/>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D6A1B8D">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FF6BD4">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6BE5F7D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57B3049">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6FD6F12">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51A32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3.4.2投标文件出现不是唯一的、有选择性投标报价的，投标无效。</w:t>
      </w:r>
    </w:p>
    <w:p w14:paraId="7038FE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3.4.3投标报价超过招标文件中规定的预算金额或者最高限价的，投标无效。</w:t>
      </w:r>
    </w:p>
    <w:p w14:paraId="4FF18C1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8DB3CB">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BA3A8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3.5排序与推荐。</w:t>
      </w:r>
      <w:r>
        <w:rPr>
          <w:rFonts w:hint="eastAsia" w:ascii="宋体" w:hAnsi="宋体" w:cs="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A8267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744A4A">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3.6编写评标报告。</w:t>
      </w:r>
      <w:r>
        <w:rPr>
          <w:rFonts w:hint="eastAsia" w:ascii="宋体" w:hAnsi="宋体" w:cs="宋体"/>
          <w:color w:val="auto"/>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4569C">
      <w:pPr>
        <w:shd w:val="clear" w:color="auto" w:fill="FFFFFF"/>
        <w:spacing w:after="225" w:line="315" w:lineRule="atLeas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5313C056">
      <w:pPr>
        <w:pStyle w:val="370"/>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6D5AC2">
      <w:pPr>
        <w:pStyle w:val="22"/>
        <w:spacing w:line="360" w:lineRule="auto"/>
        <w:ind w:left="954" w:leftChars="226" w:hanging="479"/>
        <w:rPr>
          <w:rFonts w:ascii="宋体" w:hAnsi="宋体" w:cs="宋体"/>
          <w:color w:val="auto"/>
          <w:szCs w:val="21"/>
          <w:highlight w:val="none"/>
        </w:rPr>
      </w:pPr>
      <w:r>
        <w:rPr>
          <w:rFonts w:hint="eastAsia" w:ascii="宋体" w:hAnsi="宋体" w:cs="宋体"/>
          <w:b/>
          <w:color w:val="auto"/>
          <w:szCs w:val="21"/>
          <w:highlight w:val="none"/>
        </w:rPr>
        <w:t>4.2投标无效。</w:t>
      </w:r>
      <w:r>
        <w:rPr>
          <w:rFonts w:hint="eastAsia" w:ascii="宋体" w:hAnsi="宋体" w:cs="宋体"/>
          <w:color w:val="auto"/>
          <w:szCs w:val="21"/>
          <w:highlight w:val="none"/>
        </w:rPr>
        <w:t>有下列情况之一的，投标无效：</w:t>
      </w:r>
    </w:p>
    <w:p w14:paraId="765F6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4.2.1投标人不具备招标文件中规定的资格要求的（投标人未提供有效的资格文件的，视为投标人不具备招标文件中规定的资格要求）；</w:t>
      </w:r>
    </w:p>
    <w:p w14:paraId="1C615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4.2.2投标文件未按照招标文件要求签署、盖章的；</w:t>
      </w:r>
    </w:p>
    <w:p w14:paraId="6C8137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4.2.3采购人拟采购的产品属于政府强制采购的节能产品品目清单范围的，投标人未按招标文件要求提供国家确定的认证机构出具的、处于有效期之内的节能产品认证证书的；</w:t>
      </w:r>
    </w:p>
    <w:p w14:paraId="68D9A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4.2.4投标文件含有采购人不能接受的附加条件的；</w:t>
      </w:r>
    </w:p>
    <w:p w14:paraId="351ACA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4.2.5投标文件中承诺的投标有效期少于招标文件中载明的投标有效期的；</w:t>
      </w:r>
    </w:p>
    <w:p w14:paraId="03B82D12">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4.2.6投标文件出现不是唯一的、有选择性投标报价的;</w:t>
      </w:r>
    </w:p>
    <w:p w14:paraId="7EE81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4.2.7投标报价超过招标文件中规定的预算金额或者最高限价的;</w:t>
      </w:r>
    </w:p>
    <w:p w14:paraId="5EDA7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4.2.8报价明显低于其他通过符合性审查投标人的报价，有可能影响产品质量或者不能诚信履约的，未能按要求提供书面说明或者提交相关证明材料，不能证明其报价合理性的;</w:t>
      </w:r>
    </w:p>
    <w:p w14:paraId="4289C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4.2.9投标人对根据修正原则修正后的报价不确认的；</w:t>
      </w:r>
    </w:p>
    <w:p w14:paraId="26CFA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4.2.10投标人提供虚假材料投标的；</w:t>
      </w:r>
    </w:p>
    <w:p w14:paraId="1A0682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4.2.11投标人有恶意串通、妨碍其他投标人的竞争行为、损害采购人或者其他投标人的合法权益情形的；</w:t>
      </w:r>
    </w:p>
    <w:p w14:paraId="49EF6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4.2.12投标人仅提交备份投标文件，没有在电子交易平台传输递交投标文件的，投标无效；</w:t>
      </w:r>
    </w:p>
    <w:p w14:paraId="34542264">
      <w:pPr>
        <w:pStyle w:val="3"/>
        <w:tabs>
          <w:tab w:val="left" w:pos="432"/>
        </w:tabs>
        <w:ind w:left="430" w:leftChars="205"/>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4.2.13 投标文件不满足招标文件的其它实质性要求的；</w:t>
      </w:r>
    </w:p>
    <w:p w14:paraId="7833D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4.2.14法律、法规、规章（适用本市的）及省级以上规范性文件（适用本市的）规定的其他无效情形。</w:t>
      </w:r>
    </w:p>
    <w:p w14:paraId="20AF865D">
      <w:pPr>
        <w:pStyle w:val="22"/>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5.废标。</w:t>
      </w:r>
      <w:r>
        <w:rPr>
          <w:rFonts w:hint="eastAsia" w:ascii="宋体" w:hAnsi="宋体" w:cs="宋体"/>
          <w:color w:val="auto"/>
          <w:szCs w:val="21"/>
          <w:highlight w:val="none"/>
        </w:rPr>
        <w:t>根据《中华人民共和国政府采购法》第三十六条之规定，在采购中，出现下列情形之一的，应予废标：</w:t>
      </w:r>
    </w:p>
    <w:p w14:paraId="5D5D808E">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5.1符合专业条件的供应商或者对招标文件作实质响应的供应商不足3家的；</w:t>
      </w:r>
    </w:p>
    <w:p w14:paraId="16FD7392">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5.2出现影响采购公正的违法、违规行为的；</w:t>
      </w:r>
    </w:p>
    <w:p w14:paraId="41CDDCF5">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5.3投标人的报价均超过了采购预算，采购人不能支付的；</w:t>
      </w:r>
    </w:p>
    <w:p w14:paraId="7EAA3609">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5.4因重大变故，采购任务取消的。</w:t>
      </w:r>
    </w:p>
    <w:p w14:paraId="0AB2425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废标后，采购机构应当将废标理由通知所有投标人。</w:t>
      </w:r>
    </w:p>
    <w:p w14:paraId="30FA1CAE">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6.修改招标文件，重新组织采购活动。</w:t>
      </w:r>
      <w:r>
        <w:rPr>
          <w:rFonts w:hint="eastAsia" w:ascii="宋体" w:hAnsi="宋体" w:cs="宋体"/>
          <w:color w:val="auto"/>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F2B734">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7.重新开展采购。</w:t>
      </w:r>
      <w:r>
        <w:rPr>
          <w:rFonts w:hint="eastAsia" w:ascii="宋体" w:hAnsi="宋体" w:cs="宋体"/>
          <w:color w:val="auto"/>
          <w:szCs w:val="21"/>
          <w:highlight w:val="none"/>
        </w:rPr>
        <w:t>有政府采购法第七十一条、第七十二条规定的违法行为之一，影响或者可能影响中标、成交结果的，依照下列规定处理：</w:t>
      </w:r>
    </w:p>
    <w:p w14:paraId="21AB1AD0">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7.1未确定中标或者中标人的，终止本次政府采购活动，重新开展政府采购活动。</w:t>
      </w:r>
    </w:p>
    <w:p w14:paraId="04CEAE3B">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49C579">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7.3政府采购合同已签订但尚未履行的，撤销合同，从合格的中标或者成交候选人中另行确定中标或者中标人；没有合格的中标或者成交候选人的，重新开展政府采购活动。</w:t>
      </w:r>
    </w:p>
    <w:p w14:paraId="1CF8CA0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7.4政府采购合同已经履行，给采购人、供应商造成损失的，由责任人承担赔偿责任。</w:t>
      </w:r>
    </w:p>
    <w:p w14:paraId="7E7B9829">
      <w:pPr>
        <w:pStyle w:val="3"/>
        <w:rPr>
          <w:rFonts w:ascii="宋体" w:hAnsi="宋体" w:cs="宋体"/>
          <w:color w:val="auto"/>
          <w:highlight w:val="none"/>
        </w:rPr>
      </w:pPr>
      <w:r>
        <w:rPr>
          <w:rFonts w:hint="eastAsia" w:ascii="宋体" w:hAnsi="宋体"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2"/>
    <w:bookmarkEnd w:id="3"/>
    <w:bookmarkEnd w:id="4"/>
    <w:p w14:paraId="6A33CDB9">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2" w:name="_Toc528441162"/>
    </w:p>
    <w:p w14:paraId="17B23424">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075DFD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357424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1B7D10D">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8C36081">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2DB9EA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48900C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0F003FE">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BB71E3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7B9BC95">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668B6621">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3" w:name="_Toc32553"/>
      <w:r>
        <w:rPr>
          <w:rFonts w:hint="eastAsia" w:asciiTheme="minorEastAsia" w:hAnsiTheme="minorEastAsia" w:eastAsiaTheme="minorEastAsia"/>
          <w:b/>
          <w:color w:val="auto"/>
          <w:sz w:val="28"/>
          <w:szCs w:val="28"/>
          <w:highlight w:val="none"/>
        </w:rPr>
        <w:t>第五章  嘉兴市政府采购合同（指引）</w:t>
      </w:r>
      <w:bookmarkEnd w:id="73"/>
    </w:p>
    <w:p w14:paraId="7C9DC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招标编号：</w:t>
      </w:r>
      <w:r>
        <w:rPr>
          <w:rFonts w:hint="eastAsia" w:cs="Arial" w:asciiTheme="minorEastAsia" w:hAnsiTheme="minorEastAsia" w:eastAsiaTheme="minorEastAsia"/>
          <w:color w:val="auto"/>
          <w:szCs w:val="21"/>
          <w:highlight w:val="none"/>
          <w:lang w:eastAsia="zh-CN"/>
        </w:rPr>
        <w:t>银建-JXYJ（2025）03号</w:t>
      </w:r>
      <w:r>
        <w:rPr>
          <w:rFonts w:hint="eastAsia" w:cs="Arial" w:asciiTheme="minorEastAsia" w:hAnsiTheme="minorEastAsia" w:eastAsiaTheme="minorEastAsia"/>
          <w:color w:val="auto"/>
          <w:szCs w:val="21"/>
          <w:highlight w:val="none"/>
        </w:rPr>
        <w:t xml:space="preserve"> </w:t>
      </w:r>
    </w:p>
    <w:p w14:paraId="681CC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合同编号：</w:t>
      </w:r>
      <w:r>
        <w:rPr>
          <w:rFonts w:hint="eastAsia" w:cs="Arial" w:asciiTheme="minorEastAsia" w:hAnsiTheme="minorEastAsia" w:eastAsiaTheme="minorEastAsia"/>
          <w:color w:val="auto"/>
          <w:szCs w:val="21"/>
          <w:highlight w:val="none"/>
          <w:lang w:eastAsia="zh-CN"/>
        </w:rPr>
        <w:t>银建-JXYJ（2025）03号</w:t>
      </w:r>
    </w:p>
    <w:p w14:paraId="23FC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政府采购计划（预算）确认书号：</w:t>
      </w:r>
      <w:r>
        <w:rPr>
          <w:color w:val="auto"/>
          <w:highlight w:val="none"/>
        </w:rPr>
        <w:fldChar w:fldCharType="begin"/>
      </w:r>
      <w:r>
        <w:rPr>
          <w:color w:val="auto"/>
          <w:highlight w:val="none"/>
        </w:rPr>
        <w:instrText xml:space="preserve"> HYPERLINK "https://pay.zcygov.cn/purchaseplan_front/" \l "/plan/list/detail?id=1000000000002359552&amp;encrypt=3effe6746659071f29377a8fb69ef46c" \t "_blank" \o "JM-00034587"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"/plan/list/detail?id=1000000000002254157&amp;encrypt=bc26d93a1eb531475bc98682ad889359" \t "_blank" </w:instrText>
      </w:r>
      <w:r>
        <w:rPr>
          <w:color w:val="auto"/>
          <w:highlight w:val="none"/>
        </w:rPr>
        <w:fldChar w:fldCharType="separate"/>
      </w:r>
      <w:r>
        <w:rPr>
          <w:color w:val="auto"/>
          <w:highlight w:val="none"/>
        </w:rPr>
        <w:fldChar w:fldCharType="end"/>
      </w:r>
      <w:r>
        <w:rPr>
          <w:rFonts w:cs="Arial" w:asciiTheme="minorEastAsia" w:hAnsiTheme="minorEastAsia" w:eastAsiaTheme="minorEastAsia"/>
          <w:color w:val="auto"/>
          <w:szCs w:val="21"/>
          <w:highlight w:val="none"/>
        </w:rPr>
        <w:t xml:space="preserve"> </w:t>
      </w:r>
      <w:r>
        <w:rPr>
          <w:rFonts w:asciiTheme="minorEastAsia" w:hAnsiTheme="minorEastAsia" w:eastAsiaTheme="minorEastAsia"/>
          <w:b/>
          <w:color w:val="auto"/>
          <w:szCs w:val="21"/>
          <w:highlight w:val="none"/>
          <w:u w:val="single"/>
        </w:rPr>
        <w:t xml:space="preserve"> </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临[2025]129号</w:t>
      </w:r>
      <w:r>
        <w:rPr>
          <w:rFonts w:hint="eastAsia" w:asciiTheme="minorEastAsia" w:hAnsiTheme="minorEastAsia" w:eastAsiaTheme="minorEastAsia"/>
          <w:b/>
          <w:color w:val="auto"/>
          <w:szCs w:val="21"/>
          <w:highlight w:val="none"/>
          <w:u w:val="single"/>
        </w:rPr>
        <w:fldChar w:fldCharType="end"/>
      </w:r>
    </w:p>
    <w:p w14:paraId="7502B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采购人（以下称甲方）：嘉兴市秀洲区人民政府新城街道办事处</w:t>
      </w:r>
    </w:p>
    <w:p w14:paraId="315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供应商（以下称乙方）：</w:t>
      </w:r>
    </w:p>
    <w:p w14:paraId="62E9C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代理机构：嘉兴市银建工程咨询评估有限公司</w:t>
      </w:r>
    </w:p>
    <w:p w14:paraId="4247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采购方式：竞争性磋商</w:t>
      </w:r>
    </w:p>
    <w:p w14:paraId="6EF7B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Arial" w:asciiTheme="minorEastAsia" w:hAnsiTheme="minorEastAsia" w:eastAsiaTheme="minorEastAsia"/>
          <w:color w:val="auto"/>
          <w:szCs w:val="21"/>
          <w:highlight w:val="none"/>
          <w:u w:val="single"/>
          <w:lang w:eastAsia="zh-CN"/>
        </w:rPr>
        <w:t>新城街道派出所营房内部改造项目</w:t>
      </w:r>
      <w:r>
        <w:rPr>
          <w:rFonts w:hint="eastAsia" w:cs="Arial" w:asciiTheme="minorEastAsia" w:hAnsiTheme="minorEastAsia" w:eastAsiaTheme="minorEastAsia"/>
          <w:color w:val="auto"/>
          <w:szCs w:val="21"/>
          <w:highlight w:val="none"/>
        </w:rPr>
        <w:t>采购结果签订本合同。</w:t>
      </w:r>
    </w:p>
    <w:p w14:paraId="1CEE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p>
    <w:p w14:paraId="426F8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合同组成</w:t>
      </w:r>
    </w:p>
    <w:p w14:paraId="0898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本次政府采购活动的相关文件为本合同的组成部分，这些文件包括但不限于：</w:t>
      </w:r>
    </w:p>
    <w:p w14:paraId="77479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（1）本合同文本；</w:t>
      </w:r>
    </w:p>
    <w:p w14:paraId="4FB3E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（2）招标文件与采购投标文件；</w:t>
      </w:r>
    </w:p>
    <w:p w14:paraId="55A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（3）中标或成交通知书；</w:t>
      </w:r>
    </w:p>
    <w:p w14:paraId="759F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4A729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p>
    <w:p w14:paraId="6AD3D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第二条 合同标的</w:t>
      </w:r>
    </w:p>
    <w:p w14:paraId="0E3DC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本次采购的是</w:t>
      </w:r>
    </w:p>
    <w:tbl>
      <w:tblPr>
        <w:tblStyle w:val="5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
        <w:gridCol w:w="3813"/>
        <w:gridCol w:w="1153"/>
        <w:gridCol w:w="769"/>
        <w:gridCol w:w="1729"/>
        <w:gridCol w:w="1729"/>
      </w:tblGrid>
      <w:tr w14:paraId="1CB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4" w:type="dxa"/>
            <w:gridSpan w:val="2"/>
            <w:tcBorders>
              <w:top w:val="single" w:color="auto" w:sz="4" w:space="0"/>
              <w:left w:val="single" w:color="auto" w:sz="4" w:space="0"/>
              <w:bottom w:val="single" w:color="auto" w:sz="4" w:space="0"/>
              <w:right w:val="single" w:color="auto" w:sz="4" w:space="0"/>
            </w:tcBorders>
            <w:vAlign w:val="center"/>
          </w:tcPr>
          <w:p w14:paraId="529C7015">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6B7248F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153" w:type="dxa"/>
            <w:tcBorders>
              <w:top w:val="single" w:color="auto" w:sz="4" w:space="0"/>
              <w:left w:val="single" w:color="auto" w:sz="4" w:space="0"/>
              <w:bottom w:val="single" w:color="auto" w:sz="4" w:space="0"/>
              <w:right w:val="single" w:color="auto" w:sz="4" w:space="0"/>
            </w:tcBorders>
            <w:vAlign w:val="center"/>
          </w:tcPr>
          <w:p w14:paraId="37FC6ED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769" w:type="dxa"/>
            <w:tcBorders>
              <w:top w:val="single" w:color="auto" w:sz="4" w:space="0"/>
              <w:left w:val="single" w:color="auto" w:sz="4" w:space="0"/>
              <w:bottom w:val="single" w:color="auto" w:sz="4" w:space="0"/>
              <w:right w:val="single" w:color="auto" w:sz="4" w:space="0"/>
            </w:tcBorders>
            <w:vAlign w:val="center"/>
          </w:tcPr>
          <w:p w14:paraId="5C173A0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729" w:type="dxa"/>
            <w:tcBorders>
              <w:top w:val="single" w:color="auto" w:sz="4" w:space="0"/>
              <w:left w:val="single" w:color="auto" w:sz="4" w:space="0"/>
              <w:bottom w:val="single" w:color="auto" w:sz="4" w:space="0"/>
              <w:right w:val="single" w:color="auto" w:sz="4" w:space="0"/>
            </w:tcBorders>
            <w:vAlign w:val="center"/>
          </w:tcPr>
          <w:p w14:paraId="5BB4D7C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729" w:type="dxa"/>
            <w:tcBorders>
              <w:top w:val="single" w:color="auto" w:sz="4" w:space="0"/>
              <w:left w:val="single" w:color="auto" w:sz="4" w:space="0"/>
              <w:bottom w:val="single" w:color="auto" w:sz="4" w:space="0"/>
              <w:right w:val="single" w:color="auto" w:sz="4" w:space="0"/>
            </w:tcBorders>
            <w:vAlign w:val="center"/>
          </w:tcPr>
          <w:p w14:paraId="7093DCE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14:paraId="42A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tcBorders>
              <w:top w:val="single" w:color="auto" w:sz="4" w:space="0"/>
              <w:left w:val="single" w:color="auto" w:sz="4" w:space="0"/>
              <w:bottom w:val="single" w:color="auto" w:sz="4" w:space="0"/>
              <w:right w:val="single" w:color="auto" w:sz="4" w:space="0"/>
            </w:tcBorders>
          </w:tcPr>
          <w:p w14:paraId="333978EF">
            <w:pPr>
              <w:spacing w:before="156" w:after="156" w:line="360" w:lineRule="auto"/>
              <w:rPr>
                <w:rFonts w:asciiTheme="minorEastAsia" w:hAnsiTheme="minorEastAsia" w:eastAsiaTheme="minorEastAsia"/>
                <w:color w:val="auto"/>
                <w:szCs w:val="21"/>
                <w:highlight w:val="none"/>
              </w:rPr>
            </w:pPr>
          </w:p>
        </w:tc>
        <w:tc>
          <w:tcPr>
            <w:tcW w:w="3820" w:type="dxa"/>
            <w:gridSpan w:val="2"/>
            <w:tcBorders>
              <w:top w:val="single" w:color="auto" w:sz="4" w:space="0"/>
              <w:left w:val="single" w:color="auto" w:sz="4" w:space="0"/>
              <w:bottom w:val="single" w:color="auto" w:sz="4" w:space="0"/>
              <w:right w:val="single" w:color="auto" w:sz="4" w:space="0"/>
            </w:tcBorders>
          </w:tcPr>
          <w:p w14:paraId="584D141B">
            <w:pPr>
              <w:spacing w:before="156" w:after="156" w:line="360" w:lineRule="auto"/>
              <w:rPr>
                <w:rFonts w:asciiTheme="minorEastAsia" w:hAnsiTheme="minorEastAsia" w:eastAsiaTheme="minorEastAsia"/>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tcPr>
          <w:p w14:paraId="4ECB2DE2">
            <w:pPr>
              <w:spacing w:before="156" w:after="156" w:line="360" w:lineRule="auto"/>
              <w:rPr>
                <w:rFonts w:asciiTheme="minorEastAsia" w:hAnsiTheme="minorEastAsia" w:eastAsiaTheme="minorEastAsia"/>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tcPr>
          <w:p w14:paraId="40136211">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3265C9C0">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6077BA27">
            <w:pPr>
              <w:spacing w:before="156" w:after="156" w:line="360" w:lineRule="auto"/>
              <w:rPr>
                <w:rFonts w:asciiTheme="minorEastAsia" w:hAnsiTheme="minorEastAsia" w:eastAsiaTheme="minorEastAsia"/>
                <w:color w:val="auto"/>
                <w:szCs w:val="21"/>
                <w:highlight w:val="none"/>
              </w:rPr>
            </w:pPr>
          </w:p>
        </w:tc>
      </w:tr>
      <w:tr w14:paraId="784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857" w:type="dxa"/>
            <w:tcBorders>
              <w:top w:val="single" w:color="auto" w:sz="4" w:space="0"/>
              <w:left w:val="single" w:color="auto" w:sz="4" w:space="0"/>
              <w:bottom w:val="single" w:color="auto" w:sz="4" w:space="0"/>
              <w:right w:val="single" w:color="auto" w:sz="4" w:space="0"/>
            </w:tcBorders>
          </w:tcPr>
          <w:p w14:paraId="45A973D0">
            <w:pPr>
              <w:spacing w:before="156" w:after="156" w:line="360" w:lineRule="auto"/>
              <w:jc w:val="center"/>
              <w:rPr>
                <w:rFonts w:asciiTheme="minorEastAsia" w:hAnsiTheme="minorEastAsia" w:eastAsiaTheme="minorEastAsia"/>
                <w:b/>
                <w:color w:val="auto"/>
                <w:szCs w:val="21"/>
                <w:highlight w:val="none"/>
              </w:rPr>
            </w:pPr>
          </w:p>
        </w:tc>
        <w:tc>
          <w:tcPr>
            <w:tcW w:w="4973" w:type="dxa"/>
            <w:gridSpan w:val="3"/>
            <w:tcBorders>
              <w:top w:val="single" w:color="auto" w:sz="4" w:space="0"/>
              <w:left w:val="single" w:color="auto" w:sz="4" w:space="0"/>
              <w:bottom w:val="single" w:color="auto" w:sz="4" w:space="0"/>
              <w:right w:val="single" w:color="auto" w:sz="4" w:space="0"/>
            </w:tcBorders>
          </w:tcPr>
          <w:p w14:paraId="663D97B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769" w:type="dxa"/>
            <w:tcBorders>
              <w:top w:val="single" w:color="auto" w:sz="4" w:space="0"/>
              <w:left w:val="single" w:color="auto" w:sz="4" w:space="0"/>
              <w:bottom w:val="single" w:color="auto" w:sz="4" w:space="0"/>
              <w:right w:val="single" w:color="auto" w:sz="4" w:space="0"/>
            </w:tcBorders>
          </w:tcPr>
          <w:p w14:paraId="488FC997">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0B7A7C28">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208AFFEE">
            <w:pPr>
              <w:spacing w:before="156" w:after="156" w:line="360" w:lineRule="auto"/>
              <w:rPr>
                <w:rFonts w:asciiTheme="minorEastAsia" w:hAnsiTheme="minorEastAsia" w:eastAsiaTheme="minorEastAsia"/>
                <w:color w:val="auto"/>
                <w:szCs w:val="21"/>
                <w:highlight w:val="none"/>
              </w:rPr>
            </w:pPr>
          </w:p>
        </w:tc>
      </w:tr>
    </w:tbl>
    <w:p w14:paraId="0147D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p>
    <w:p w14:paraId="67797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第三条 合同价款及付款方式</w:t>
      </w:r>
    </w:p>
    <w:p w14:paraId="24DD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1、本合同项下总价款为（大写）人民币，分项价款在“投标报价表”中明确。</w:t>
      </w:r>
    </w:p>
    <w:p w14:paraId="0453F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2、本合同总价款包括货物设计、材料、制造、包装、运输、安装、调试、检测、售后服务、税费等全部费用。</w:t>
      </w:r>
    </w:p>
    <w:p w14:paraId="1E90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3、本合同付款方式为以下第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p w14:paraId="3079C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（1）本合同项下的采购资金系甲方自行支付，付款程序为；</w:t>
      </w:r>
    </w:p>
    <w:p w14:paraId="09C1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（2）本合同项下的采购资金须财政直接支付，付款程序为</w:t>
      </w:r>
      <w:r>
        <w:rPr>
          <w:rFonts w:hint="eastAsia" w:ascii="宋体" w:hAnsi="宋体" w:cs="宋体"/>
          <w:b/>
          <w:color w:val="auto"/>
          <w:szCs w:val="21"/>
          <w:highlight w:val="none"/>
          <w:u w:val="single"/>
        </w:rPr>
        <w:t xml:space="preserve">  ；</w:t>
      </w:r>
    </w:p>
    <w:p w14:paraId="4F8C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（3）其他方式：</w:t>
      </w:r>
    </w:p>
    <w:p w14:paraId="0183B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若收取了履约保证金，则不应重复设置尾款支付条件。</w:t>
      </w:r>
    </w:p>
    <w:p w14:paraId="73CBD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78B0F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第四条 履约保证金</w:t>
      </w:r>
    </w:p>
    <w:p w14:paraId="4008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color w:val="auto"/>
          <w:szCs w:val="21"/>
          <w:highlight w:val="none"/>
        </w:rPr>
        <w:t>按以下第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项处理：</w:t>
      </w:r>
    </w:p>
    <w:p w14:paraId="4648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1、本项目设置履约保证金，乙方应于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（时间）向甲方提交履约保证金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元。履约保证金在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（时间）退还乙方。</w:t>
      </w:r>
    </w:p>
    <w:p w14:paraId="2157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2、本项目不设置履约保证金。</w:t>
      </w:r>
    </w:p>
    <w:p w14:paraId="48EE8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第五条 合同的变更和终止</w:t>
      </w:r>
    </w:p>
    <w:p w14:paraId="7E3B4F0F">
      <w:pPr>
        <w:spacing w:line="360" w:lineRule="auto"/>
        <w:rPr>
          <w:rFonts w:ascii="宋体" w:hAnsi="宋体" w:cs="宋体"/>
          <w:color w:val="auto"/>
          <w:szCs w:val="21"/>
          <w:highlight w:val="none"/>
        </w:rPr>
      </w:pPr>
      <w:r>
        <w:rPr>
          <w:rFonts w:hint="eastAsia" w:ascii="宋体" w:hAnsi="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15C7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第六条 合同的转让与分包</w:t>
      </w:r>
    </w:p>
    <w:p w14:paraId="3480B7B0">
      <w:pPr>
        <w:spacing w:line="360" w:lineRule="auto"/>
        <w:rPr>
          <w:rFonts w:ascii="宋体" w:hAnsi="宋体" w:cs="宋体"/>
          <w:color w:val="auto"/>
          <w:szCs w:val="21"/>
          <w:highlight w:val="none"/>
        </w:rPr>
      </w:pPr>
      <w:r>
        <w:rPr>
          <w:rFonts w:hint="eastAsia" w:ascii="宋体" w:hAnsi="宋体" w:cs="宋体"/>
          <w:color w:val="auto"/>
          <w:szCs w:val="21"/>
          <w:highlight w:val="none"/>
        </w:rPr>
        <w:t>乙方不得擅自部分或全部转让其应履行的合同义务。乙方分包的，应经过甲方书面同意。</w:t>
      </w:r>
    </w:p>
    <w:p w14:paraId="29835792">
      <w:pPr>
        <w:spacing w:line="360" w:lineRule="auto"/>
        <w:rPr>
          <w:rFonts w:ascii="宋体" w:hAnsi="宋体" w:cs="宋体"/>
          <w:b/>
          <w:color w:val="auto"/>
          <w:szCs w:val="21"/>
          <w:highlight w:val="none"/>
        </w:rPr>
      </w:pPr>
      <w:r>
        <w:rPr>
          <w:rFonts w:hint="eastAsia" w:ascii="宋体" w:hAnsi="宋体" w:cs="宋体"/>
          <w:b/>
          <w:color w:val="auto"/>
          <w:szCs w:val="21"/>
          <w:highlight w:val="none"/>
        </w:rPr>
        <w:t>第七条 争议的解决</w:t>
      </w:r>
    </w:p>
    <w:p w14:paraId="4118E1E3">
      <w:pPr>
        <w:spacing w:line="360" w:lineRule="auto"/>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1、因履行本合同引起的或与本合同有关的争议，甲、乙双方应首先通过友好协商解决，如果协商不能解决争议，则采取以下第种方式解决争议：</w:t>
      </w:r>
    </w:p>
    <w:p w14:paraId="28A67A09">
      <w:pPr>
        <w:spacing w:line="360" w:lineRule="auto"/>
        <w:rPr>
          <w:rFonts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14:paraId="3B803C55">
      <w:pPr>
        <w:spacing w:line="360" w:lineRule="auto"/>
        <w:rPr>
          <w:rFonts w:ascii="宋体" w:hAnsi="宋体" w:cs="宋体"/>
          <w:color w:val="auto"/>
          <w:szCs w:val="21"/>
          <w:highlight w:val="none"/>
        </w:rPr>
      </w:pPr>
      <w:r>
        <w:rPr>
          <w:rFonts w:hint="eastAsia" w:ascii="宋体" w:hAnsi="宋体" w:cs="宋体"/>
          <w:color w:val="auto"/>
          <w:szCs w:val="21"/>
          <w:highlight w:val="none"/>
        </w:rPr>
        <w:t>（2）向仲裁委员申请仲裁。</w:t>
      </w:r>
    </w:p>
    <w:p w14:paraId="32E647F0">
      <w:pPr>
        <w:spacing w:line="360" w:lineRule="auto"/>
        <w:rPr>
          <w:rFonts w:ascii="宋体" w:hAnsi="宋体" w:cs="宋体"/>
          <w:color w:val="auto"/>
          <w:szCs w:val="21"/>
          <w:highlight w:val="none"/>
        </w:rPr>
      </w:pPr>
      <w:r>
        <w:rPr>
          <w:rFonts w:hint="eastAsia" w:ascii="宋体" w:hAnsi="宋体" w:cs="宋体"/>
          <w:color w:val="auto"/>
          <w:szCs w:val="21"/>
          <w:highlight w:val="none"/>
        </w:rPr>
        <w:t>第八条 合同备案及其他</w:t>
      </w:r>
    </w:p>
    <w:p w14:paraId="4EEF7BD6">
      <w:pPr>
        <w:spacing w:line="360" w:lineRule="auto"/>
        <w:rPr>
          <w:rFonts w:ascii="宋体" w:hAnsi="宋体" w:cs="宋体"/>
          <w:color w:val="auto"/>
          <w:szCs w:val="21"/>
          <w:highlight w:val="none"/>
        </w:rPr>
      </w:pPr>
      <w:r>
        <w:rPr>
          <w:rFonts w:hint="eastAsia" w:ascii="宋体" w:hAnsi="宋体" w:cs="宋体"/>
          <w:color w:val="auto"/>
          <w:szCs w:val="21"/>
          <w:highlight w:val="none"/>
        </w:rPr>
        <w:t>本合同一式五份，甲乙双方各执二份， 一份送招标代理机构存档。</w:t>
      </w:r>
    </w:p>
    <w:p w14:paraId="02498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00EF619C">
      <w:pPr>
        <w:pStyle w:val="2"/>
        <w:keepNext w:val="0"/>
        <w:keepLines w:val="0"/>
        <w:pageBreakBefore w:val="0"/>
        <w:overflowPunct/>
        <w:topLinePunct w:val="0"/>
        <w:bidi w:val="0"/>
        <w:adjustRightInd/>
        <w:spacing w:line="240" w:lineRule="auto"/>
        <w:ind w:left="0"/>
        <w:jc w:val="center"/>
        <w:rPr>
          <w:rFonts w:hint="eastAsia" w:ascii="宋体" w:hAnsi="宋体" w:eastAsia="宋体" w:cs="宋体"/>
          <w:color w:val="auto"/>
          <w:sz w:val="36"/>
          <w:szCs w:val="36"/>
          <w:highlight w:val="none"/>
        </w:rPr>
      </w:pPr>
      <w:r>
        <w:rPr>
          <w:rFonts w:hint="eastAsia" w:asciiTheme="minorEastAsia" w:hAnsiTheme="minorEastAsia" w:eastAsiaTheme="minorEastAsia"/>
          <w:b/>
          <w:color w:val="auto"/>
          <w:kern w:val="2"/>
          <w:sz w:val="32"/>
          <w:szCs w:val="32"/>
          <w:highlight w:val="none"/>
        </w:rPr>
        <w:br w:type="page"/>
      </w:r>
      <w:r>
        <w:rPr>
          <w:rFonts w:hint="eastAsia" w:ascii="宋体" w:hAnsi="宋体" w:eastAsia="宋体" w:cs="宋体"/>
          <w:color w:val="auto"/>
          <w:sz w:val="36"/>
          <w:szCs w:val="36"/>
          <w:highlight w:val="none"/>
        </w:rPr>
        <w:t>合同条款及格式</w:t>
      </w:r>
    </w:p>
    <w:p w14:paraId="6DB0EA7F">
      <w:pPr>
        <w:pStyle w:val="29"/>
        <w:spacing w:line="360" w:lineRule="auto"/>
        <w:ind w:firstLine="420" w:firstLineChars="200"/>
        <w:rPr>
          <w:rFonts w:hint="eastAsia" w:ascii="宋体" w:hAnsi="宋体" w:eastAsia="宋体" w:cs="宋体"/>
          <w:color w:val="auto"/>
          <w:sz w:val="21"/>
          <w:szCs w:val="21"/>
          <w:highlight w:val="none"/>
        </w:rPr>
      </w:pPr>
      <w:bookmarkStart w:id="74" w:name="bookmark180"/>
      <w:bookmarkEnd w:id="74"/>
      <w:r>
        <w:rPr>
          <w:rFonts w:hint="eastAsia" w:ascii="宋体" w:hAnsi="宋体" w:eastAsia="宋体" w:cs="宋体"/>
          <w:color w:val="auto"/>
          <w:sz w:val="21"/>
          <w:szCs w:val="21"/>
          <w:highlight w:val="none"/>
        </w:rPr>
        <w:t>合同条件采用建设工程施工合同示范文本(GF—2017—0201)的《合同条件》。</w:t>
      </w:r>
    </w:p>
    <w:p w14:paraId="522AB87F">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合同协议条款将由招标人(甲方)与中标人(乙方)结合本工程具体情况协商后签订。以下为招标人提出涉及投标人的主要条款，投标人在投标文件中进行承诺。</w:t>
      </w:r>
    </w:p>
    <w:p w14:paraId="213D6FAA">
      <w:pPr>
        <w:pStyle w:val="29"/>
        <w:spacing w:line="360" w:lineRule="auto"/>
        <w:ind w:firstLine="420" w:firstLineChars="200"/>
        <w:rPr>
          <w:rFonts w:hint="eastAsia" w:ascii="宋体" w:hAnsi="宋体" w:eastAsia="宋体" w:cs="宋体"/>
          <w:color w:val="auto"/>
          <w:sz w:val="21"/>
          <w:szCs w:val="21"/>
          <w:highlight w:val="none"/>
        </w:rPr>
      </w:pPr>
    </w:p>
    <w:p w14:paraId="075005D0">
      <w:pPr>
        <w:spacing w:before="120" w:beforeLines="50" w:after="120" w:afterLines="5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《建设工程施工合同》</w:t>
      </w:r>
    </w:p>
    <w:p w14:paraId="64C1B0FB">
      <w:pPr>
        <w:spacing w:before="120" w:beforeLines="50" w:after="120" w:afterLines="50" w:line="360" w:lineRule="auto"/>
        <w:ind w:firstLine="422" w:firstLineChars="200"/>
        <w:jc w:val="center"/>
        <w:outlineLvl w:val="1"/>
        <w:rPr>
          <w:rFonts w:hint="eastAsia" w:ascii="宋体" w:hAnsi="宋体" w:eastAsia="宋体" w:cs="宋体"/>
          <w:b/>
          <w:color w:val="auto"/>
          <w:sz w:val="21"/>
          <w:szCs w:val="21"/>
          <w:highlight w:val="none"/>
        </w:rPr>
      </w:pPr>
      <w:bookmarkStart w:id="75" w:name="_Toc123820508"/>
      <w:bookmarkStart w:id="76" w:name="_Toc96951634"/>
      <w:bookmarkStart w:id="77" w:name="_Toc96951754"/>
      <w:r>
        <w:rPr>
          <w:rFonts w:hint="eastAsia" w:ascii="宋体" w:hAnsi="宋体" w:eastAsia="宋体" w:cs="宋体"/>
          <w:b/>
          <w:color w:val="auto"/>
          <w:sz w:val="21"/>
          <w:szCs w:val="21"/>
          <w:highlight w:val="none"/>
        </w:rPr>
        <w:t>第一部分  合同协议书</w:t>
      </w:r>
      <w:bookmarkEnd w:id="75"/>
      <w:bookmarkEnd w:id="76"/>
      <w:bookmarkEnd w:id="77"/>
    </w:p>
    <w:p w14:paraId="3A6165C0">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lang w:eastAsia="zh-CN"/>
        </w:rPr>
        <w:t>嘉兴市秀洲区人民政府新城街道办事处</w:t>
      </w:r>
    </w:p>
    <w:p w14:paraId="7ECDEAE4">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 </w:t>
      </w:r>
    </w:p>
    <w:p w14:paraId="1C4F36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w:t>
      </w:r>
      <w:r>
        <w:rPr>
          <w:rFonts w:hint="eastAsia" w:ascii="宋体" w:hAnsi="宋体" w:eastAsia="宋体" w:cs="宋体"/>
          <w:color w:val="auto"/>
          <w:sz w:val="21"/>
          <w:szCs w:val="21"/>
          <w:highlight w:val="none"/>
          <w:lang w:val="en-US" w:eastAsia="zh-CN"/>
        </w:rPr>
        <w:t>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cs="宋体"/>
          <w:color w:val="auto"/>
          <w:sz w:val="21"/>
          <w:szCs w:val="21"/>
          <w:highlight w:val="none"/>
          <w:u w:val="single"/>
          <w:lang w:eastAsia="zh-CN"/>
        </w:rPr>
        <w:t>新城街道派出所营房内部改造项目</w:t>
      </w:r>
      <w:r>
        <w:rPr>
          <w:rFonts w:hint="eastAsia" w:ascii="宋体" w:hAnsi="宋体" w:eastAsia="宋体" w:cs="宋体"/>
          <w:color w:val="auto"/>
          <w:sz w:val="21"/>
          <w:szCs w:val="21"/>
          <w:highlight w:val="none"/>
        </w:rPr>
        <w:t>施工及有关事项协商一致，共同达成如下协议：</w:t>
      </w:r>
    </w:p>
    <w:p w14:paraId="166C9EB9">
      <w:pPr>
        <w:spacing w:before="60" w:beforeLines="25" w:after="60" w:afterLines="25"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一、工程概况</w:t>
      </w:r>
    </w:p>
    <w:p w14:paraId="6458F09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新城街道派出所营房内部改造项目</w:t>
      </w:r>
      <w:r>
        <w:rPr>
          <w:rFonts w:hint="eastAsia" w:ascii="宋体" w:hAnsi="宋体" w:eastAsia="宋体" w:cs="宋体"/>
          <w:color w:val="auto"/>
          <w:sz w:val="21"/>
          <w:szCs w:val="21"/>
          <w:highlight w:val="none"/>
          <w:u w:val="single"/>
        </w:rPr>
        <w:t xml:space="preserve"> </w:t>
      </w:r>
    </w:p>
    <w:p w14:paraId="5D56EA5A">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iCs/>
          <w:color w:val="auto"/>
          <w:spacing w:val="4"/>
          <w:sz w:val="21"/>
          <w:szCs w:val="21"/>
          <w:highlight w:val="none"/>
          <w:u w:val="single"/>
          <w:lang w:val="en-US" w:eastAsia="zh-CN"/>
        </w:rPr>
        <w:t xml:space="preserve">         </w:t>
      </w:r>
    </w:p>
    <w:p w14:paraId="44EA91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 </w:t>
      </w:r>
    </w:p>
    <w:p w14:paraId="1744CA2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.工程内容：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rPr>
        <w:t xml:space="preserve"> </w:t>
      </w:r>
    </w:p>
    <w:p w14:paraId="6B244BF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5B64D4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.工程承包范围：</w:t>
      </w:r>
      <w:r>
        <w:rPr>
          <w:rFonts w:hint="eastAsia" w:ascii="宋体" w:hAnsi="宋体" w:eastAsia="宋体" w:cs="宋体"/>
          <w:color w:val="auto"/>
          <w:sz w:val="21"/>
          <w:szCs w:val="21"/>
          <w:highlight w:val="none"/>
          <w:u w:val="single"/>
          <w:lang w:bidi="ar"/>
        </w:rPr>
        <w:t xml:space="preserve">                            </w:t>
      </w:r>
    </w:p>
    <w:p w14:paraId="7C1453D5">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二、合同工期</w:t>
      </w:r>
    </w:p>
    <w:p w14:paraId="352BC7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78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F4A07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0914EFB">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三、质量标准</w:t>
      </w:r>
    </w:p>
    <w:p w14:paraId="006583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b/>
          <w:color w:val="auto"/>
          <w:sz w:val="21"/>
          <w:szCs w:val="21"/>
          <w:highlight w:val="none"/>
          <w:u w:val="single"/>
        </w:rPr>
        <w:t xml:space="preserve"> 合格  </w:t>
      </w:r>
      <w:r>
        <w:rPr>
          <w:rFonts w:hint="eastAsia" w:ascii="宋体" w:hAnsi="宋体" w:eastAsia="宋体" w:cs="宋体"/>
          <w:color w:val="auto"/>
          <w:sz w:val="21"/>
          <w:szCs w:val="21"/>
          <w:highlight w:val="none"/>
        </w:rPr>
        <w:t>标准。</w:t>
      </w:r>
    </w:p>
    <w:p w14:paraId="6ACD180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四、签约合同价与合同价格形式</w:t>
      </w:r>
      <w:r>
        <w:rPr>
          <w:rFonts w:hint="eastAsia" w:ascii="宋体" w:hAnsi="宋体" w:eastAsia="宋体" w:cs="宋体"/>
          <w:b/>
          <w:color w:val="auto"/>
          <w:sz w:val="21"/>
          <w:szCs w:val="21"/>
          <w:highlight w:val="none"/>
        </w:rPr>
        <w:tab/>
      </w:r>
    </w:p>
    <w:p w14:paraId="6794A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013BAF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C2CC7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604D65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F3F24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6CB8A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0EEA8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9F378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6BD127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22967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CE4B1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398DB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D87B1C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五、项目经理</w:t>
      </w:r>
    </w:p>
    <w:p w14:paraId="6B0762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98810F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六、合同文件构成</w:t>
      </w:r>
    </w:p>
    <w:p w14:paraId="68195F8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43CD1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41B1C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 </w:t>
      </w:r>
    </w:p>
    <w:p w14:paraId="480635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016F2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ACD4A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22204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7B60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3D8D7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22AD3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5DD97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CB6600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七、承诺</w:t>
      </w:r>
    </w:p>
    <w:p w14:paraId="3341C41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发包人</w:t>
      </w:r>
      <w:r>
        <w:rPr>
          <w:rFonts w:hint="eastAsia" w:ascii="宋体" w:hAnsi="宋体" w:eastAsia="宋体" w:cs="宋体"/>
          <w:bCs/>
          <w:color w:val="auto"/>
          <w:sz w:val="21"/>
          <w:szCs w:val="21"/>
          <w:highlight w:val="none"/>
        </w:rPr>
        <w:t>承诺按照法律规定履行项目审批手续、筹集工程建设资金并按照合同约定的期限和方式支付合同价款。</w:t>
      </w:r>
    </w:p>
    <w:p w14:paraId="4DA80F3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765E0E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发包人</w:t>
      </w:r>
      <w:r>
        <w:rPr>
          <w:rFonts w:hint="eastAsia" w:ascii="宋体" w:hAnsi="宋体" w:eastAsia="宋体" w:cs="宋体"/>
          <w:bCs/>
          <w:color w:val="auto"/>
          <w:sz w:val="21"/>
          <w:szCs w:val="21"/>
          <w:highlight w:val="none"/>
        </w:rPr>
        <w:t>和承包人通过招投标形式签订合同的，双方理解并承诺不再就同一工程另行签订与合同实质性内容相背离的协议。</w:t>
      </w:r>
    </w:p>
    <w:p w14:paraId="70F55FC9">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八、词语含义</w:t>
      </w:r>
    </w:p>
    <w:p w14:paraId="3FC4F27A">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734100C3">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九、签订时间</w:t>
      </w:r>
    </w:p>
    <w:p w14:paraId="0078FB79">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3C340FE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十、签订地点</w:t>
      </w:r>
    </w:p>
    <w:p w14:paraId="69A303C3">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浙江嘉兴 </w:t>
      </w:r>
      <w:r>
        <w:rPr>
          <w:rFonts w:hint="eastAsia" w:ascii="宋体" w:hAnsi="宋体" w:eastAsia="宋体" w:cs="宋体"/>
          <w:bCs/>
          <w:color w:val="auto"/>
          <w:sz w:val="21"/>
          <w:szCs w:val="21"/>
          <w:highlight w:val="none"/>
        </w:rPr>
        <w:t>签订。</w:t>
      </w:r>
    </w:p>
    <w:p w14:paraId="622ECB7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十一、补充协议</w:t>
      </w:r>
    </w:p>
    <w:p w14:paraId="5873FD4A">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D0BEC5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w:t>
      </w:r>
    </w:p>
    <w:p w14:paraId="27B64E9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合同当事人加盖公章，并由法定代表人或法定代表人的授权代表签字后 </w:t>
      </w:r>
      <w:r>
        <w:rPr>
          <w:rFonts w:hint="eastAsia" w:ascii="宋体" w:hAnsi="宋体" w:eastAsia="宋体" w:cs="宋体"/>
          <w:bCs/>
          <w:color w:val="auto"/>
          <w:sz w:val="21"/>
          <w:szCs w:val="21"/>
          <w:highlight w:val="none"/>
        </w:rPr>
        <w:t>生效。</w:t>
      </w:r>
    </w:p>
    <w:p w14:paraId="0FA338E6">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十三、合同份数</w:t>
      </w:r>
    </w:p>
    <w:p w14:paraId="785AF28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w:t>
      </w:r>
    </w:p>
    <w:p w14:paraId="2EFD41F1">
      <w:pPr>
        <w:spacing w:line="360" w:lineRule="auto"/>
        <w:ind w:firstLine="420" w:firstLineChars="200"/>
        <w:rPr>
          <w:rFonts w:hint="eastAsia" w:ascii="宋体" w:hAnsi="宋体" w:eastAsia="宋体" w:cs="宋体"/>
          <w:bCs/>
          <w:color w:val="auto"/>
          <w:sz w:val="21"/>
          <w:szCs w:val="21"/>
          <w:highlight w:val="none"/>
        </w:rPr>
      </w:pPr>
    </w:p>
    <w:p w14:paraId="66DBA67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发包人：  （公章）                         承包人：  （公章）                             </w:t>
      </w:r>
    </w:p>
    <w:p w14:paraId="4D775C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法定代表人或其委托代理人：                 法定代表人或其委托代理人：</w:t>
      </w:r>
    </w:p>
    <w:p w14:paraId="6D9D03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（签字）                                  （签字）</w:t>
      </w:r>
    </w:p>
    <w:p w14:paraId="59ECFA36">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组织机构代码：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组织机构代码：</w:t>
      </w:r>
      <w:r>
        <w:rPr>
          <w:rFonts w:hint="eastAsia" w:ascii="宋体" w:hAnsi="宋体" w:eastAsia="宋体" w:cs="宋体"/>
          <w:bCs/>
          <w:color w:val="auto"/>
          <w:sz w:val="21"/>
          <w:szCs w:val="21"/>
          <w:highlight w:val="none"/>
          <w:u w:val="single"/>
        </w:rPr>
        <w:t xml:space="preserve">           </w:t>
      </w:r>
    </w:p>
    <w:p w14:paraId="5B9E8B79">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地  址：</w:t>
      </w:r>
      <w:r>
        <w:rPr>
          <w:rFonts w:hint="eastAsia" w:ascii="宋体" w:hAnsi="宋体" w:eastAsia="宋体" w:cs="宋体"/>
          <w:bCs/>
          <w:color w:val="auto"/>
          <w:sz w:val="21"/>
          <w:szCs w:val="21"/>
          <w:highlight w:val="none"/>
          <w:u w:val="single"/>
        </w:rPr>
        <w:t xml:space="preserve">                </w:t>
      </w:r>
    </w:p>
    <w:p w14:paraId="58918EC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邮政编码：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邮政编码：</w:t>
      </w:r>
      <w:r>
        <w:rPr>
          <w:rFonts w:hint="eastAsia" w:ascii="宋体" w:hAnsi="宋体" w:eastAsia="宋体" w:cs="宋体"/>
          <w:bCs/>
          <w:color w:val="auto"/>
          <w:sz w:val="21"/>
          <w:szCs w:val="21"/>
          <w:highlight w:val="none"/>
          <w:u w:val="single"/>
        </w:rPr>
        <w:t xml:space="preserve">              </w:t>
      </w:r>
    </w:p>
    <w:p w14:paraId="1C71855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73BE03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42C97A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AE5B56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  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          传  真：</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 xml:space="preserve">  </w:t>
      </w:r>
    </w:p>
    <w:p w14:paraId="1D0995E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7BB05D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开户银行：</w:t>
      </w:r>
      <w:r>
        <w:rPr>
          <w:rFonts w:hint="eastAsia" w:ascii="宋体" w:hAnsi="宋体" w:eastAsia="宋体" w:cs="宋体"/>
          <w:bCs/>
          <w:color w:val="auto"/>
          <w:sz w:val="21"/>
          <w:szCs w:val="21"/>
          <w:highlight w:val="none"/>
          <w:u w:val="single"/>
        </w:rPr>
        <w:t xml:space="preserve">              </w:t>
      </w:r>
    </w:p>
    <w:p w14:paraId="734616C1">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账  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账  号：</w:t>
      </w:r>
      <w:r>
        <w:rPr>
          <w:rFonts w:hint="eastAsia" w:ascii="宋体" w:hAnsi="宋体" w:eastAsia="宋体" w:cs="宋体"/>
          <w:bCs/>
          <w:color w:val="auto"/>
          <w:sz w:val="21"/>
          <w:szCs w:val="21"/>
          <w:highlight w:val="none"/>
          <w:u w:val="single"/>
        </w:rPr>
        <w:t xml:space="preserve">                </w:t>
      </w:r>
    </w:p>
    <w:p w14:paraId="672A619A">
      <w:pPr>
        <w:spacing w:line="360" w:lineRule="auto"/>
        <w:ind w:left="420" w:leftChars="200"/>
        <w:rPr>
          <w:rFonts w:hint="eastAsia" w:ascii="宋体" w:hAnsi="宋体" w:eastAsia="宋体" w:cs="宋体"/>
          <w:color w:val="auto"/>
          <w:sz w:val="21"/>
          <w:szCs w:val="21"/>
          <w:highlight w:val="none"/>
        </w:rPr>
      </w:pPr>
    </w:p>
    <w:p w14:paraId="20FC424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515D7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通用条款</w:t>
      </w:r>
    </w:p>
    <w:p w14:paraId="167118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略，按住房城乡建设部、国家工商行政管理总局颁发的《建设工程施工合同》示范文本（GF—2017—0201）的合同条款</w:t>
      </w:r>
    </w:p>
    <w:p w14:paraId="2EDE78DF">
      <w:pPr>
        <w:spacing w:before="120" w:beforeLines="50" w:after="12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第三部分  专用条款</w:t>
      </w:r>
    </w:p>
    <w:p w14:paraId="628E5DF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1847A2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FB850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5298EA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招标文件、补充文件以及双方有关工程的洽商、变更等书面协议或文件视为本合同的组成部分</w:t>
      </w:r>
      <w:r>
        <w:rPr>
          <w:rFonts w:hint="eastAsia" w:ascii="宋体" w:hAnsi="宋体" w:eastAsia="宋体" w:cs="宋体"/>
          <w:color w:val="auto"/>
          <w:sz w:val="21"/>
          <w:szCs w:val="21"/>
          <w:highlight w:val="none"/>
        </w:rPr>
        <w:t>。</w:t>
      </w:r>
    </w:p>
    <w:p w14:paraId="0289E3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2D586C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EB7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按监理合同           </w:t>
      </w:r>
      <w:r>
        <w:rPr>
          <w:rFonts w:hint="eastAsia" w:ascii="宋体" w:hAnsi="宋体" w:eastAsia="宋体" w:cs="宋体"/>
          <w:color w:val="auto"/>
          <w:sz w:val="21"/>
          <w:szCs w:val="21"/>
          <w:highlight w:val="none"/>
        </w:rPr>
        <w:t>；</w:t>
      </w:r>
    </w:p>
    <w:p w14:paraId="2BB7E0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6D89F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CE60D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C1E3B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79D0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753EC9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C73D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9003C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B0F17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F4B2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304CC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3372FCE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23A5B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用地红线范围内      </w:t>
      </w:r>
      <w:r>
        <w:rPr>
          <w:rFonts w:hint="eastAsia" w:ascii="宋体" w:hAnsi="宋体" w:eastAsia="宋体" w:cs="宋体"/>
          <w:color w:val="auto"/>
          <w:sz w:val="21"/>
          <w:szCs w:val="21"/>
          <w:highlight w:val="none"/>
        </w:rPr>
        <w:t>。</w:t>
      </w:r>
    </w:p>
    <w:p w14:paraId="381BAF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如需，施工单位应自行向相关部门报批，费用由施工单位自行承担</w:t>
      </w:r>
      <w:r>
        <w:rPr>
          <w:rFonts w:hint="eastAsia" w:ascii="宋体" w:hAnsi="宋体" w:eastAsia="宋体" w:cs="宋体"/>
          <w:color w:val="auto"/>
          <w:sz w:val="21"/>
          <w:szCs w:val="21"/>
          <w:highlight w:val="none"/>
        </w:rPr>
        <w:t>。</w:t>
      </w:r>
    </w:p>
    <w:p w14:paraId="317D14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97D5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《中华人民共和国民法典》、《中华人民共和国建筑法》</w:t>
      </w:r>
      <w:r>
        <w:rPr>
          <w:rFonts w:hint="eastAsia" w:ascii="宋体" w:hAnsi="宋体" w:eastAsia="宋体" w:cs="宋体"/>
          <w:color w:val="auto"/>
          <w:sz w:val="21"/>
          <w:szCs w:val="21"/>
          <w:highlight w:val="none"/>
        </w:rPr>
        <w:t>。</w:t>
      </w:r>
    </w:p>
    <w:p w14:paraId="1F1CAD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328471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采用现行有效的适用于本工程的施工和验收标准、规范，若不同标准和规范之间要求不一致的，以较高标准为优先</w:t>
      </w:r>
      <w:r>
        <w:rPr>
          <w:rFonts w:hint="eastAsia" w:ascii="宋体" w:hAnsi="宋体" w:eastAsia="宋体" w:cs="宋体"/>
          <w:color w:val="auto"/>
          <w:sz w:val="21"/>
          <w:szCs w:val="21"/>
          <w:highlight w:val="none"/>
        </w:rPr>
        <w:t>。</w:t>
      </w:r>
    </w:p>
    <w:p w14:paraId="73715DC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0951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A2FA9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0871C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对工程的技术标准和功能要求的特殊要求：</w:t>
      </w:r>
      <w:r>
        <w:rPr>
          <w:rFonts w:hint="eastAsia" w:ascii="宋体" w:hAnsi="宋体" w:eastAsia="宋体" w:cs="宋体"/>
          <w:color w:val="auto"/>
          <w:sz w:val="21"/>
          <w:szCs w:val="21"/>
          <w:highlight w:val="none"/>
          <w:u w:val="single"/>
        </w:rPr>
        <w:t>招标文件中的技术规范和要求</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B8E98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3C0D3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⑴本合同协议书；⑵中标通知书；⑶询标记录（纪要）；⑷投标书及其附件；⑸本合同专用条款；⑹本合同通用条款；⑺招标补充文件（包括答疑会纪要、澄清等）；⑻招标文件；⑼标准、规范及有关技术文件；⑽图纸；⑾工程量清单；⑿工程报价单或工程预算书、双方有关工程的洽商、变更等书面协议或文件视为本合同的组成部分。</w:t>
      </w:r>
    </w:p>
    <w:p w14:paraId="74E017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6F14F0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C408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向承包人提供图纸的期限：</w:t>
      </w:r>
      <w:r>
        <w:rPr>
          <w:rFonts w:hint="eastAsia" w:ascii="宋体" w:hAnsi="宋体" w:eastAsia="宋体" w:cs="宋体"/>
          <w:color w:val="auto"/>
          <w:sz w:val="21"/>
          <w:szCs w:val="21"/>
          <w:highlight w:val="none"/>
          <w:u w:val="single"/>
        </w:rPr>
        <w:t>签订施工合同后7日内</w:t>
      </w:r>
      <w:r>
        <w:rPr>
          <w:rFonts w:hint="eastAsia" w:ascii="宋体" w:hAnsi="宋体" w:eastAsia="宋体" w:cs="宋体"/>
          <w:color w:val="auto"/>
          <w:sz w:val="21"/>
          <w:szCs w:val="21"/>
          <w:highlight w:val="none"/>
        </w:rPr>
        <w:t>；</w:t>
      </w:r>
    </w:p>
    <w:p w14:paraId="260AA6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向承包人提供图纸的数量：</w:t>
      </w:r>
      <w:r>
        <w:rPr>
          <w:rFonts w:hint="eastAsia" w:ascii="宋体" w:hAnsi="宋体" w:eastAsia="宋体" w:cs="宋体"/>
          <w:color w:val="auto"/>
          <w:sz w:val="21"/>
          <w:szCs w:val="21"/>
          <w:highlight w:val="none"/>
          <w:u w:val="single"/>
        </w:rPr>
        <w:t>施工图7套（含今后需要绘制竣工图的4套）</w:t>
      </w:r>
      <w:r>
        <w:rPr>
          <w:rFonts w:hint="eastAsia" w:ascii="宋体" w:hAnsi="宋体" w:eastAsia="宋体" w:cs="宋体"/>
          <w:color w:val="auto"/>
          <w:sz w:val="21"/>
          <w:szCs w:val="21"/>
          <w:highlight w:val="none"/>
        </w:rPr>
        <w:t>；</w:t>
      </w:r>
    </w:p>
    <w:p w14:paraId="525D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向承包人提供图纸的内容：</w:t>
      </w:r>
      <w:r>
        <w:rPr>
          <w:rFonts w:hint="eastAsia" w:ascii="宋体" w:hAnsi="宋体" w:eastAsia="宋体" w:cs="宋体"/>
          <w:color w:val="auto"/>
          <w:sz w:val="21"/>
          <w:szCs w:val="21"/>
          <w:highlight w:val="none"/>
          <w:u w:val="single"/>
        </w:rPr>
        <w:t>全套施工图</w:t>
      </w:r>
      <w:r>
        <w:rPr>
          <w:rFonts w:hint="eastAsia" w:ascii="宋体" w:hAnsi="宋体" w:eastAsia="宋体" w:cs="宋体"/>
          <w:color w:val="auto"/>
          <w:sz w:val="21"/>
          <w:szCs w:val="21"/>
          <w:highlight w:val="none"/>
        </w:rPr>
        <w:t>。</w:t>
      </w:r>
    </w:p>
    <w:p w14:paraId="7B53B5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A2EF62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修正的施工组织设计、工程进度计划及专项施工方案</w:t>
      </w:r>
      <w:r>
        <w:rPr>
          <w:rFonts w:hint="eastAsia" w:ascii="宋体" w:hAnsi="宋体" w:eastAsia="宋体" w:cs="宋体"/>
          <w:color w:val="auto"/>
          <w:sz w:val="21"/>
          <w:szCs w:val="21"/>
          <w:highlight w:val="none"/>
        </w:rPr>
        <w:t>；</w:t>
      </w:r>
    </w:p>
    <w:p w14:paraId="1CB0BD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签订合同后一周内</w:t>
      </w:r>
      <w:r>
        <w:rPr>
          <w:rFonts w:hint="eastAsia" w:ascii="宋体" w:hAnsi="宋体" w:eastAsia="宋体" w:cs="宋体"/>
          <w:color w:val="auto"/>
          <w:sz w:val="21"/>
          <w:szCs w:val="21"/>
          <w:highlight w:val="none"/>
        </w:rPr>
        <w:t>；</w:t>
      </w:r>
    </w:p>
    <w:p w14:paraId="7FAB6B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4份  </w:t>
      </w:r>
      <w:r>
        <w:rPr>
          <w:rFonts w:hint="eastAsia" w:ascii="宋体" w:hAnsi="宋体" w:eastAsia="宋体" w:cs="宋体"/>
          <w:color w:val="auto"/>
          <w:sz w:val="21"/>
          <w:szCs w:val="21"/>
          <w:highlight w:val="none"/>
        </w:rPr>
        <w:t>；</w:t>
      </w:r>
    </w:p>
    <w:p w14:paraId="6BEB7E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纸质文件3份，电子文件1份</w:t>
      </w:r>
      <w:r>
        <w:rPr>
          <w:rFonts w:hint="eastAsia" w:ascii="宋体" w:hAnsi="宋体" w:eastAsia="宋体" w:cs="宋体"/>
          <w:color w:val="auto"/>
          <w:sz w:val="21"/>
          <w:szCs w:val="21"/>
          <w:highlight w:val="none"/>
        </w:rPr>
        <w:t>；</w:t>
      </w:r>
    </w:p>
    <w:p w14:paraId="48984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审批承包人文件的期限：</w:t>
      </w:r>
      <w:r>
        <w:rPr>
          <w:rFonts w:hint="eastAsia" w:ascii="宋体" w:hAnsi="宋体" w:eastAsia="宋体" w:cs="宋体"/>
          <w:color w:val="auto"/>
          <w:sz w:val="21"/>
          <w:szCs w:val="21"/>
          <w:highlight w:val="none"/>
          <w:u w:val="single"/>
        </w:rPr>
        <w:t>收到文件后10日内</w:t>
      </w:r>
      <w:r>
        <w:rPr>
          <w:rFonts w:hint="eastAsia" w:ascii="宋体" w:hAnsi="宋体" w:eastAsia="宋体" w:cs="宋体"/>
          <w:color w:val="auto"/>
          <w:sz w:val="21"/>
          <w:szCs w:val="21"/>
          <w:highlight w:val="none"/>
        </w:rPr>
        <w:t>。</w:t>
      </w:r>
    </w:p>
    <w:p w14:paraId="4042B4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0B70EC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sz w:val="21"/>
          <w:szCs w:val="21"/>
          <w:highlight w:val="none"/>
        </w:rPr>
        <w:t>。</w:t>
      </w:r>
    </w:p>
    <w:p w14:paraId="0CB61C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2BB60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0BA2EC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接收文件的地点：</w:t>
      </w:r>
      <w:r>
        <w:rPr>
          <w:rFonts w:hint="eastAsia" w:ascii="宋体" w:hAnsi="宋体" w:eastAsia="宋体" w:cs="宋体"/>
          <w:color w:val="auto"/>
          <w:sz w:val="21"/>
          <w:szCs w:val="21"/>
          <w:highlight w:val="none"/>
          <w:u w:val="single"/>
        </w:rPr>
        <w:t>       施工现场       </w:t>
      </w:r>
      <w:r>
        <w:rPr>
          <w:rFonts w:hint="eastAsia" w:ascii="宋体" w:hAnsi="宋体" w:eastAsia="宋体" w:cs="宋体"/>
          <w:color w:val="auto"/>
          <w:sz w:val="21"/>
          <w:szCs w:val="21"/>
          <w:highlight w:val="none"/>
        </w:rPr>
        <w:t>；</w:t>
      </w:r>
    </w:p>
    <w:p w14:paraId="00D6C0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560767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089A31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186562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28E9C9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现场双方协商确定   </w:t>
      </w:r>
      <w:r>
        <w:rPr>
          <w:rFonts w:hint="eastAsia" w:ascii="宋体" w:hAnsi="宋体" w:eastAsia="宋体" w:cs="宋体"/>
          <w:color w:val="auto"/>
          <w:sz w:val="21"/>
          <w:szCs w:val="21"/>
          <w:highlight w:val="none"/>
        </w:rPr>
        <w:t>。</w:t>
      </w:r>
    </w:p>
    <w:p w14:paraId="3FC307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313288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14:paraId="681B93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BFAFC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14:paraId="57B6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本项目的用地红线</w:t>
      </w:r>
      <w:r>
        <w:rPr>
          <w:rFonts w:hint="eastAsia" w:ascii="宋体" w:hAnsi="宋体" w:eastAsia="宋体" w:cs="宋体"/>
          <w:color w:val="auto"/>
          <w:sz w:val="21"/>
          <w:szCs w:val="21"/>
          <w:highlight w:val="none"/>
        </w:rPr>
        <w:t>。</w:t>
      </w:r>
    </w:p>
    <w:p w14:paraId="58BD86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w:t>
      </w:r>
    </w:p>
    <w:p w14:paraId="272E4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FAF4A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166EB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6B510B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提供给承包人的图纸、发包人为实施工程自行编制或委托编制的技术规范以及反映</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63965A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提供的上述文件的使用限制的要求：</w:t>
      </w:r>
      <w:r>
        <w:rPr>
          <w:rFonts w:hint="eastAsia" w:ascii="宋体" w:hAnsi="宋体" w:eastAsia="宋体" w:cs="宋体"/>
          <w:color w:val="auto"/>
          <w:sz w:val="21"/>
          <w:szCs w:val="21"/>
          <w:highlight w:val="none"/>
          <w:u w:val="single"/>
        </w:rPr>
        <w:t xml:space="preserve"> 施工期间 </w:t>
      </w:r>
      <w:r>
        <w:rPr>
          <w:rFonts w:hint="eastAsia" w:ascii="宋体" w:hAnsi="宋体" w:eastAsia="宋体" w:cs="宋体"/>
          <w:color w:val="auto"/>
          <w:sz w:val="21"/>
          <w:szCs w:val="21"/>
          <w:highlight w:val="none"/>
        </w:rPr>
        <w:t>。</w:t>
      </w:r>
    </w:p>
    <w:p w14:paraId="365DA1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714CF1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C9E9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sz w:val="21"/>
          <w:szCs w:val="21"/>
          <w:highlight w:val="none"/>
        </w:rPr>
        <w:t>。</w:t>
      </w:r>
    </w:p>
    <w:p w14:paraId="635D86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FD94A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调整，但施工过程中不予调整 </w:t>
      </w:r>
      <w:r>
        <w:rPr>
          <w:rFonts w:hint="eastAsia" w:ascii="宋体" w:hAnsi="宋体" w:eastAsia="宋体" w:cs="宋体"/>
          <w:color w:val="auto"/>
          <w:sz w:val="21"/>
          <w:szCs w:val="21"/>
          <w:highlight w:val="none"/>
        </w:rPr>
        <w:t>。</w:t>
      </w:r>
    </w:p>
    <w:p w14:paraId="35FF3323">
      <w:pPr>
        <w:spacing w:line="360" w:lineRule="auto"/>
        <w:ind w:firstLine="422" w:firstLineChars="200"/>
        <w:outlineLvl w:val="0"/>
        <w:rPr>
          <w:rFonts w:hint="eastAsia" w:ascii="宋体" w:hAnsi="宋体" w:eastAsia="宋体" w:cs="宋体"/>
          <w:b/>
          <w:color w:val="auto"/>
          <w:sz w:val="21"/>
          <w:szCs w:val="21"/>
          <w:highlight w:val="none"/>
        </w:rPr>
      </w:pPr>
      <w:bookmarkStart w:id="78" w:name="_Toc123820509"/>
      <w:bookmarkStart w:id="79" w:name="_Toc96951635"/>
      <w:bookmarkStart w:id="80" w:name="_Toc96951755"/>
      <w:r>
        <w:rPr>
          <w:rFonts w:hint="eastAsia" w:ascii="宋体" w:hAnsi="宋体" w:eastAsia="宋体" w:cs="宋体"/>
          <w:b/>
          <w:color w:val="auto"/>
          <w:sz w:val="21"/>
          <w:szCs w:val="21"/>
          <w:highlight w:val="none"/>
        </w:rPr>
        <w:t>允许调整合同价格的工程量偏差范围：</w:t>
      </w:r>
      <w:bookmarkEnd w:id="78"/>
      <w:bookmarkEnd w:id="79"/>
      <w:bookmarkEnd w:id="80"/>
      <w:bookmarkStart w:id="81" w:name="_Toc96951756"/>
      <w:bookmarkStart w:id="82" w:name="_Toc123820510"/>
      <w:bookmarkStart w:id="83" w:name="_Toc96951636"/>
      <w:r>
        <w:rPr>
          <w:rFonts w:hint="eastAsia" w:ascii="宋体" w:hAnsi="宋体" w:eastAsia="宋体" w:cs="宋体"/>
          <w:b w:val="0"/>
          <w:bCs/>
          <w:i w:val="0"/>
          <w:iCs w:val="0"/>
          <w:color w:val="auto"/>
          <w:sz w:val="21"/>
          <w:szCs w:val="21"/>
          <w:highlight w:val="none"/>
          <w:u w:val="single"/>
        </w:rPr>
        <w:t>竣工结算时，结算工程量根据《建设工程工程量清单计价规范》（GB50500-2013）、竣工资料（包括竣工图、设计变更图纸、设计变更联系单、</w:t>
      </w:r>
      <w:r>
        <w:rPr>
          <w:rFonts w:hint="eastAsia" w:ascii="宋体" w:hAnsi="宋体" w:eastAsia="宋体" w:cs="宋体"/>
          <w:color w:val="auto"/>
          <w:sz w:val="21"/>
          <w:szCs w:val="21"/>
          <w:highlight w:val="none"/>
          <w:u w:val="single"/>
        </w:rPr>
        <w:t>发包人</w:t>
      </w:r>
      <w:r>
        <w:rPr>
          <w:rFonts w:hint="eastAsia" w:ascii="宋体" w:hAnsi="宋体" w:eastAsia="宋体" w:cs="宋体"/>
          <w:b w:val="0"/>
          <w:bCs/>
          <w:i w:val="0"/>
          <w:iCs w:val="0"/>
          <w:color w:val="auto"/>
          <w:sz w:val="21"/>
          <w:szCs w:val="21"/>
          <w:highlight w:val="none"/>
          <w:u w:val="single"/>
        </w:rPr>
        <w:t>认可的签证单、补充性文件）等按实结算（除明确一次性包干或结算不作调整的项目和费用外）。</w:t>
      </w:r>
    </w:p>
    <w:p w14:paraId="1F83B74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w:t>
      </w:r>
      <w:bookmarkEnd w:id="81"/>
      <w:bookmarkEnd w:id="82"/>
      <w:bookmarkEnd w:id="83"/>
    </w:p>
    <w:p w14:paraId="70C70D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5A3C32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3E0795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    </w:t>
      </w:r>
      <w:r>
        <w:rPr>
          <w:rFonts w:hint="eastAsia" w:ascii="宋体" w:hAnsi="宋体" w:eastAsia="宋体" w:cs="宋体"/>
          <w:color w:val="auto"/>
          <w:sz w:val="21"/>
          <w:szCs w:val="21"/>
          <w:highlight w:val="none"/>
        </w:rPr>
        <w:t>；</w:t>
      </w:r>
    </w:p>
    <w:p w14:paraId="416C67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007B11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39930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22E79A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197915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A994C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代表发包方行使工程现场管理的协调，对任何作为结算价款调整依据的工期、工程变更、签证单进行审核确认等</w:t>
      </w:r>
      <w:r>
        <w:rPr>
          <w:rFonts w:hint="eastAsia" w:ascii="宋体" w:hAnsi="宋体" w:eastAsia="宋体" w:cs="宋体"/>
          <w:color w:val="auto"/>
          <w:sz w:val="21"/>
          <w:szCs w:val="21"/>
          <w:highlight w:val="none"/>
        </w:rPr>
        <w:t>。</w:t>
      </w:r>
    </w:p>
    <w:p w14:paraId="242D6A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39378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B60C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开工日期7天前</w:t>
      </w:r>
      <w:r>
        <w:rPr>
          <w:rFonts w:hint="eastAsia" w:ascii="宋体" w:hAnsi="宋体" w:eastAsia="宋体" w:cs="宋体"/>
          <w:color w:val="auto"/>
          <w:sz w:val="21"/>
          <w:szCs w:val="21"/>
          <w:highlight w:val="none"/>
        </w:rPr>
        <w:t>。</w:t>
      </w:r>
    </w:p>
    <w:p w14:paraId="75307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4B3E5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52F2CE2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（1）施工场地具备施工条件的要求及完成的时间：</w:t>
      </w:r>
      <w:r>
        <w:rPr>
          <w:rFonts w:hint="eastAsia" w:ascii="宋体" w:hAnsi="宋体" w:eastAsia="宋体" w:cs="宋体"/>
          <w:color w:val="auto"/>
          <w:sz w:val="21"/>
          <w:szCs w:val="21"/>
          <w:highlight w:val="none"/>
          <w:u w:val="single"/>
        </w:rPr>
        <w:t>施工现场已具备开工条件，有关进场准备的工作，由承包人根据本工程施工要求在开工前做好此项工程，费用已含在承包人的投标报价中。</w:t>
      </w:r>
    </w:p>
    <w:p w14:paraId="79AE59E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（2）将施工所需的水、电、电讯线路接至施工现场的时间、地点和供应要求：</w:t>
      </w:r>
      <w:r>
        <w:rPr>
          <w:rFonts w:hint="eastAsia" w:ascii="宋体" w:hAnsi="宋体" w:eastAsia="宋体" w:cs="宋体"/>
          <w:b/>
          <w:bCs/>
          <w:color w:val="auto"/>
          <w:sz w:val="21"/>
          <w:szCs w:val="21"/>
          <w:highlight w:val="none"/>
          <w:u w:val="single"/>
          <w:lang w:val="en-US" w:eastAsia="zh-CN"/>
        </w:rPr>
        <w:t>用水、用电由投标人自行解决，相应费用考虑在报价中。投标人应充分考虑停电因素，现场停电因素而投入的自发电设备、发电所需燃料及相关费用应包括在投标报价中，结算时不另增加费用</w:t>
      </w:r>
      <w:r>
        <w:rPr>
          <w:rFonts w:hint="eastAsia" w:ascii="宋体" w:hAnsi="宋体" w:eastAsia="宋体" w:cs="宋体"/>
          <w:b/>
          <w:bCs/>
          <w:color w:val="auto"/>
          <w:sz w:val="21"/>
          <w:szCs w:val="21"/>
          <w:highlight w:val="none"/>
          <w:u w:val="single"/>
        </w:rPr>
        <w:t>。</w:t>
      </w:r>
    </w:p>
    <w:p w14:paraId="0AEE56C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（3）施工现场与公共道路的通道开通时间和要求：</w:t>
      </w:r>
      <w:r>
        <w:rPr>
          <w:rFonts w:hint="eastAsia" w:ascii="宋体" w:hAnsi="宋体" w:eastAsia="宋体" w:cs="宋体"/>
          <w:color w:val="auto"/>
          <w:sz w:val="21"/>
          <w:szCs w:val="21"/>
          <w:highlight w:val="none"/>
          <w:u w:val="single"/>
        </w:rPr>
        <w:t>施工临时道路、与公共道路连接的临时道路的修建、养护、拆除均由承包人自行解决，所发生的一切费用由承包人承担，已包括在投标报价中</w:t>
      </w:r>
      <w:r>
        <w:rPr>
          <w:rFonts w:hint="eastAsia" w:ascii="宋体" w:hAnsi="宋体" w:eastAsia="宋体" w:cs="宋体"/>
          <w:color w:val="auto"/>
          <w:sz w:val="21"/>
          <w:szCs w:val="21"/>
          <w:highlight w:val="none"/>
        </w:rPr>
        <w:t>。</w:t>
      </w:r>
    </w:p>
    <w:p w14:paraId="533BFD2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（4）工程地质和地下管线资料的提供时间：</w:t>
      </w:r>
      <w:r>
        <w:rPr>
          <w:rFonts w:hint="eastAsia" w:ascii="宋体" w:hAnsi="宋体" w:eastAsia="宋体" w:cs="宋体"/>
          <w:color w:val="auto"/>
          <w:sz w:val="21"/>
          <w:szCs w:val="21"/>
          <w:highlight w:val="none"/>
          <w:u w:val="single"/>
        </w:rPr>
        <w:t>开工前由施工单位自行与各相关管线单位协调，及时对各相关管线单位的管线进行调查、摸底，施工单位根据自行协调的内容对相关管线进行核实和保护，所发生的一切费用由承包人承担，已包括在投标报价中。如施工期间地下管线有损坏，承包人将承担由此产生的一切费用。</w:t>
      </w:r>
    </w:p>
    <w:p w14:paraId="6CAA824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（5）由发包人办理的施工所需证件、批件的名称和完成时间：</w:t>
      </w:r>
      <w:r>
        <w:rPr>
          <w:rFonts w:hint="eastAsia" w:ascii="宋体" w:hAnsi="宋体" w:eastAsia="宋体" w:cs="宋体"/>
          <w:color w:val="auto"/>
          <w:sz w:val="21"/>
          <w:szCs w:val="21"/>
          <w:highlight w:val="none"/>
          <w:u w:val="single"/>
        </w:rPr>
        <w:t>按规定由发包人办理的各类证件，发包人应在某项工作需要此类证件时办理完毕，承包人需把有关情况及时提前告知发包人。需要承包人提供办理证件相关资料的，承包人必须协助发包人办理</w:t>
      </w:r>
      <w:r>
        <w:rPr>
          <w:rFonts w:hint="eastAsia" w:ascii="宋体" w:hAnsi="宋体" w:eastAsia="宋体" w:cs="宋体"/>
          <w:color w:val="auto"/>
          <w:sz w:val="21"/>
          <w:szCs w:val="21"/>
          <w:highlight w:val="none"/>
        </w:rPr>
        <w:t>。</w:t>
      </w:r>
    </w:p>
    <w:p w14:paraId="4CA069E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（6）水准点与坐标控制点交验要求：</w:t>
      </w:r>
      <w:r>
        <w:rPr>
          <w:rFonts w:hint="eastAsia" w:ascii="宋体" w:hAnsi="宋体" w:eastAsia="宋体" w:cs="宋体"/>
          <w:color w:val="auto"/>
          <w:sz w:val="21"/>
          <w:szCs w:val="21"/>
          <w:highlight w:val="none"/>
          <w:u w:val="single"/>
        </w:rPr>
        <w:t>开工前确定，由发包人以书面形式提供给承包人，并进行现场交验。</w:t>
      </w:r>
    </w:p>
    <w:p w14:paraId="30DA15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（7）图纸会审和设计交底时间：</w:t>
      </w:r>
      <w:r>
        <w:rPr>
          <w:rFonts w:hint="eastAsia" w:ascii="宋体" w:hAnsi="宋体" w:eastAsia="宋体" w:cs="宋体"/>
          <w:color w:val="auto"/>
          <w:sz w:val="21"/>
          <w:szCs w:val="21"/>
          <w:highlight w:val="none"/>
          <w:u w:val="single"/>
        </w:rPr>
        <w:t>根据需要由双方协商确定时间。</w:t>
      </w:r>
    </w:p>
    <w:p w14:paraId="48A0862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rPr>
        <w:t>如遇上述情况时，承包人应提出具体保护实施方案，由发包人征得有关管理部门同意后，由承包人实施，所需费用，承包人已列入投标报价。</w:t>
      </w:r>
    </w:p>
    <w:p w14:paraId="1822E7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51C7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E0F8C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9DE0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D6744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承包人</w:t>
      </w:r>
    </w:p>
    <w:p w14:paraId="49CD6B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6895AA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（5）承包人提交的竣工资料的内容：</w:t>
      </w:r>
      <w:r>
        <w:rPr>
          <w:rFonts w:hint="eastAsia" w:ascii="宋体" w:hAnsi="宋体" w:eastAsia="宋体" w:cs="宋体"/>
          <w:color w:val="auto"/>
          <w:sz w:val="21"/>
          <w:szCs w:val="21"/>
          <w:highlight w:val="none"/>
          <w:u w:val="single"/>
        </w:rPr>
        <w:t xml:space="preserve">按照法律法规规定的完整内容编制竣工资料，完成竣工资料立卷及归档 </w:t>
      </w:r>
      <w:r>
        <w:rPr>
          <w:rFonts w:hint="eastAsia" w:ascii="宋体" w:hAnsi="宋体" w:eastAsia="宋体" w:cs="宋体"/>
          <w:color w:val="auto"/>
          <w:sz w:val="21"/>
          <w:szCs w:val="21"/>
          <w:highlight w:val="none"/>
        </w:rPr>
        <w:t>。</w:t>
      </w:r>
    </w:p>
    <w:p w14:paraId="66CEC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承包人提供竣工图的约定：</w:t>
      </w:r>
    </w:p>
    <w:p w14:paraId="618A846A">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(1)施工中没有设计变更，施工后由承包人在发包人提供的施工图加盖竣工图章，提交发包人。</w:t>
      </w:r>
    </w:p>
    <w:p w14:paraId="218FB62F">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(2)施工中只有零星的少量变更，承包人在竣工图变更位置注明，并连同经发包人同意的变更签证，于竣工后由承包人加盖竣工图章交发包人。</w:t>
      </w:r>
    </w:p>
    <w:p w14:paraId="43480884">
      <w:pPr>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(3)施工中对原设计变更较多，原施工图难于作为竣工图，应由承包人组织重新绘制竣工图并承担相应费用。</w:t>
      </w:r>
    </w:p>
    <w:p w14:paraId="426976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4套    </w:t>
      </w:r>
      <w:r>
        <w:rPr>
          <w:rFonts w:hint="eastAsia" w:ascii="宋体" w:hAnsi="宋体" w:eastAsia="宋体" w:cs="宋体"/>
          <w:color w:val="auto"/>
          <w:sz w:val="21"/>
          <w:szCs w:val="21"/>
          <w:highlight w:val="none"/>
        </w:rPr>
        <w:t>。</w:t>
      </w:r>
    </w:p>
    <w:p w14:paraId="01B40A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由承包人承担      </w:t>
      </w:r>
      <w:r>
        <w:rPr>
          <w:rFonts w:hint="eastAsia" w:ascii="宋体" w:hAnsi="宋体" w:eastAsia="宋体" w:cs="宋体"/>
          <w:color w:val="auto"/>
          <w:sz w:val="21"/>
          <w:szCs w:val="21"/>
          <w:highlight w:val="none"/>
        </w:rPr>
        <w:t>。</w:t>
      </w:r>
    </w:p>
    <w:p w14:paraId="518880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在提供竣工报告后一个月内   </w:t>
      </w:r>
      <w:r>
        <w:rPr>
          <w:rFonts w:hint="eastAsia" w:ascii="宋体" w:hAnsi="宋体" w:eastAsia="宋体" w:cs="宋体"/>
          <w:color w:val="auto"/>
          <w:sz w:val="21"/>
          <w:szCs w:val="21"/>
          <w:highlight w:val="none"/>
        </w:rPr>
        <w:t>。</w:t>
      </w:r>
    </w:p>
    <w:p w14:paraId="41B9D3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纸质3套，电子文档1套     </w:t>
      </w:r>
      <w:r>
        <w:rPr>
          <w:rFonts w:hint="eastAsia" w:ascii="宋体" w:hAnsi="宋体" w:eastAsia="宋体" w:cs="宋体"/>
          <w:color w:val="auto"/>
          <w:sz w:val="21"/>
          <w:szCs w:val="21"/>
          <w:highlight w:val="none"/>
        </w:rPr>
        <w:t>。</w:t>
      </w:r>
    </w:p>
    <w:p w14:paraId="2E807E1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（6）承包人应履行的其他义务：</w:t>
      </w:r>
    </w:p>
    <w:p w14:paraId="73443AF3">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1、每月25日前提供施工进度计划和相应的工程量报表。除每月提供外，如果监理或发包人要求临时提供某些报表和资料，承包人应无条件按监理和发包人要求提供此类报表和资料。</w:t>
      </w:r>
    </w:p>
    <w:p w14:paraId="4A55932F">
      <w:pPr>
        <w:spacing w:line="360" w:lineRule="auto"/>
        <w:ind w:firstLine="48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2、承包人按当地建筑工地文明施工管理相关规定执行并承担施工安全保卫工作及夜间施工照明。</w:t>
      </w:r>
    </w:p>
    <w:p w14:paraId="69A86515">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3、遵守地方政府和有关部门对施工场地交通、环卫和施工噪音等管理规定。所有手续的费用由承包人承担。承包人应采取有效措施尽量减小尘土和噪音污染，需要进行夜间作业时应经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批准。按监理要求标化管理及环保要求实施施工管理并承担相关费用，发包人给予配合。</w:t>
      </w:r>
    </w:p>
    <w:p w14:paraId="448F2A32">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4、在整个工程竣工验收并移交给发包人之前，承包人应按规定自行保护好承包范围内的已完工程的任何一部份或整体。此类费用由承包人承担。</w:t>
      </w:r>
    </w:p>
    <w:p w14:paraId="6DA8591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594525A1">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3453478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lang w:val="zh-CN"/>
        </w:rPr>
        <w:t>提供施工许可手续办理的必备资料，协助</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办理施工许可证；</w:t>
      </w:r>
      <w:r>
        <w:rPr>
          <w:rFonts w:hint="eastAsia" w:ascii="宋体" w:hAnsi="宋体" w:eastAsia="宋体" w:cs="宋体"/>
          <w:color w:val="auto"/>
          <w:sz w:val="21"/>
          <w:szCs w:val="21"/>
          <w:highlight w:val="none"/>
          <w:u w:val="single"/>
        </w:rPr>
        <w:t>确保安全生产，文明施工，派驻现场的主要施工管理人员必须与投标文件相同。</w:t>
      </w:r>
    </w:p>
    <w:p w14:paraId="684F4A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A5307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22D7E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4D3A5E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00D57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项目负责人执业资格等级：</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56A9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79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项目负责人执业印章号：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D1FFE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307D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B06E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F58C1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3BE2A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授予项目经理在紧急情况下的临时处置权，但应受到以下四个方面的限制：</w:t>
      </w:r>
    </w:p>
    <w:p w14:paraId="149823E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（1）只有在涉及工程及工程有关的人身和财产安全的情况下项目经理才能行使该项权力；</w:t>
      </w:r>
    </w:p>
    <w:p w14:paraId="31F6304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（2）项目经理只有在同时无法联系到发包人代表或总监理工程师的情况下才能行使该项权力；</w:t>
      </w:r>
    </w:p>
    <w:p w14:paraId="4322F4E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（3）项目经理行使该项权力所采取的措施必要合理得当，而不能随意采取不必要的措施；</w:t>
      </w:r>
    </w:p>
    <w:p w14:paraId="231A472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14:paraId="058815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项目经理必须按照发包人要求进行考核，每月到施工现场的时间不少于22天</w:t>
      </w:r>
      <w:r>
        <w:rPr>
          <w:rFonts w:hint="eastAsia" w:ascii="宋体" w:hAnsi="宋体" w:eastAsia="宋体" w:cs="宋体"/>
          <w:color w:val="auto"/>
          <w:sz w:val="21"/>
          <w:szCs w:val="21"/>
          <w:highlight w:val="none"/>
        </w:rPr>
        <w:t>。</w:t>
      </w:r>
    </w:p>
    <w:p w14:paraId="35BC90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承包人不提交上述文件的，项目经理无权履行职责，发包人有权要求更换项目经理，由此增加的费用和（或）延误的工期由承包人承担。</w:t>
      </w:r>
    </w:p>
    <w:p w14:paraId="2EFB1A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项目经理未经批准，离开施工现场的违约责任：</w:t>
      </w:r>
      <w:r>
        <w:rPr>
          <w:rFonts w:hint="eastAsia" w:ascii="宋体" w:hAnsi="宋体" w:eastAsia="宋体" w:cs="宋体"/>
          <w:color w:val="auto"/>
          <w:sz w:val="21"/>
          <w:szCs w:val="21"/>
          <w:highlight w:val="none"/>
          <w:u w:val="single"/>
        </w:rPr>
        <w:t>项目经理每月在本工地上班时间不足22天，以违约论，按每天</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元支付违约金；考勤由监理方负责（项目经理应主动到监理方报到），须由总监理工程师签字确认，每月25日报发包方，发包方代表审核后直接作为扣除违约金的依据。项目经理长期不在岗，时间累计超过1个月，视为严重不履行合同，发包方可要求更换项目经理并对承包方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0000元的罚金，承包方承担由此给发包人造成的损失和（或）延误的工期。 </w:t>
      </w:r>
    </w:p>
    <w:p w14:paraId="5F514D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7D9594C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17D59D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后项目经理变更的条件为：（1）因自身原因导致工程项目发生重大质量、安全事故的；（2）有违法、违规、违纪行为，被暂停或者吊销担任项目经理资格的；（3）不能胜任所承担的工程任务，发包人要求更换的；（4）变更工作单位的；（5）患严重疾病需要治疗或者修养，时间在一个月以上或者超过合同工期二分之一以上的。出现上述情形更换项目经理均视为承包人违约，发包人可对承包人处以人民币5万元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，承包人承担由此增加的费用和（或）延误的工期。</w:t>
      </w:r>
    </w:p>
    <w:p w14:paraId="00A74A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合同约定的职责。</w:t>
      </w:r>
    </w:p>
    <w:p w14:paraId="792B7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项目经理因特殊情况授权其下属人员履行其某项工作职责的，该下属人员应具备履行相应职责的能力，并应提前7天将上述人员的姓名和授权范围书面通知发包人和监理人，并征得发包人书面同意。</w:t>
      </w:r>
    </w:p>
    <w:p w14:paraId="767A15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1CFD92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1BBC2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元的罚金并承担由此增加的费用和（或）延误的工期</w:t>
      </w:r>
      <w:r>
        <w:rPr>
          <w:rFonts w:hint="eastAsia" w:ascii="宋体" w:hAnsi="宋体" w:eastAsia="宋体" w:cs="宋体"/>
          <w:color w:val="auto"/>
          <w:sz w:val="21"/>
          <w:szCs w:val="21"/>
          <w:highlight w:val="none"/>
        </w:rPr>
        <w:t>。</w:t>
      </w:r>
    </w:p>
    <w:p w14:paraId="6FA0E3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37D3A36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3.3.5承包人更换主要施工管理人员的违约责任：</w:t>
      </w:r>
      <w:r>
        <w:rPr>
          <w:rFonts w:hint="eastAsia" w:ascii="宋体" w:hAnsi="宋体" w:eastAsia="宋体" w:cs="宋体"/>
          <w:color w:val="auto"/>
          <w:sz w:val="21"/>
          <w:szCs w:val="21"/>
          <w:highlight w:val="none"/>
          <w:u w:val="single"/>
        </w:rPr>
        <w:t>按每人次人民币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元处以罚金并承担由此增加的费用和（或）延误的工期。</w:t>
      </w:r>
    </w:p>
    <w:p w14:paraId="59E1A9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承包人主要施工管理人员离开施工现场的违约责任：</w:t>
      </w:r>
      <w:r>
        <w:rPr>
          <w:rFonts w:hint="eastAsia" w:ascii="宋体" w:hAnsi="宋体" w:eastAsia="宋体" w:cs="宋体"/>
          <w:color w:val="auto"/>
          <w:sz w:val="21"/>
          <w:szCs w:val="21"/>
          <w:highlight w:val="none"/>
          <w:u w:val="single"/>
        </w:rPr>
        <w:t>施工员、质量员、安全员、材料员、资料员每月在本工地上班时间不足25天，以违约论，按每人每天500元支付违约金。考勤由监理方负责（上述人员应主动到监理方报到），须由总监理工程师签字确认，每月25日报发包人，发包人代表审核后直接作为扣除违约金的依据。</w:t>
      </w:r>
    </w:p>
    <w:p w14:paraId="25DB9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14:paraId="038505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14:paraId="6B281B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5B33A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AF1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3.5.2分包的确定</w:t>
      </w:r>
    </w:p>
    <w:p w14:paraId="01D5AFF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0D962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7E00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13983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6852C7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6A5519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4483F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68C95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w:t>
      </w:r>
      <w:r>
        <w:rPr>
          <w:rFonts w:hint="eastAsia" w:ascii="宋体" w:hAnsi="宋体" w:eastAsia="宋体" w:cs="宋体"/>
          <w:color w:val="auto"/>
          <w:sz w:val="21"/>
          <w:szCs w:val="21"/>
          <w:highlight w:val="none"/>
        </w:rPr>
        <w:t>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922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6D15046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监理人</w:t>
      </w:r>
    </w:p>
    <w:p w14:paraId="46BD8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46A356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w:t>
      </w:r>
    </w:p>
    <w:p w14:paraId="3DE0C0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 xml:space="preserve">。 </w:t>
      </w:r>
    </w:p>
    <w:p w14:paraId="036CA0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按监理合同</w:t>
      </w:r>
      <w:r>
        <w:rPr>
          <w:rFonts w:hint="eastAsia" w:ascii="宋体" w:hAnsi="宋体" w:eastAsia="宋体" w:cs="宋体"/>
          <w:color w:val="auto"/>
          <w:sz w:val="21"/>
          <w:szCs w:val="21"/>
          <w:highlight w:val="none"/>
        </w:rPr>
        <w:t>。</w:t>
      </w:r>
    </w:p>
    <w:p w14:paraId="1903A4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1CAA08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6BE928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按监理合同 </w:t>
      </w:r>
      <w:r>
        <w:rPr>
          <w:rFonts w:hint="eastAsia" w:ascii="宋体" w:hAnsi="宋体" w:eastAsia="宋体" w:cs="宋体"/>
          <w:color w:val="auto"/>
          <w:sz w:val="21"/>
          <w:szCs w:val="21"/>
          <w:highlight w:val="none"/>
        </w:rPr>
        <w:t>；</w:t>
      </w:r>
    </w:p>
    <w:p w14:paraId="383C6B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D3B82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2701F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7ECB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13A4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0C2AB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按监理合同 </w:t>
      </w:r>
      <w:r>
        <w:rPr>
          <w:rFonts w:hint="eastAsia" w:ascii="宋体" w:hAnsi="宋体" w:eastAsia="宋体" w:cs="宋体"/>
          <w:color w:val="auto"/>
          <w:sz w:val="21"/>
          <w:szCs w:val="21"/>
          <w:highlight w:val="none"/>
        </w:rPr>
        <w:t>。</w:t>
      </w:r>
    </w:p>
    <w:p w14:paraId="66C6C9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23F33F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EE91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6398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DD4F9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334CF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工程质量</w:t>
      </w:r>
    </w:p>
    <w:p w14:paraId="69C50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A8994CE">
      <w:pPr>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b/>
          <w:color w:val="auto"/>
          <w:sz w:val="21"/>
          <w:szCs w:val="21"/>
          <w:highlight w:val="none"/>
          <w:u w:val="single"/>
        </w:rPr>
        <w:t xml:space="preserve">        /       </w:t>
      </w:r>
    </w:p>
    <w:p w14:paraId="7513D5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xml:space="preserve">         /        </w:t>
      </w:r>
    </w:p>
    <w:p w14:paraId="2A2C3D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7EF7ED6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CB2A8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1CE0C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7C01353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安全文明施工与环境保护</w:t>
      </w:r>
    </w:p>
    <w:p w14:paraId="4AC89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5F32F8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DE03A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A6A99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23DE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7DA64DC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在实施和完成本合同工程及其工程保修的整个过程中，承包方应遵守国家和浙江、嘉兴等有关安全文明施工的有关规定。如果由于承包人未能对安全文明生产采取必要的措施而导致发生与此有关的人身伤亡、罚款、索赔、损失补偿、诉讼及其他一切责任，由承包人负责。</w:t>
      </w:r>
    </w:p>
    <w:p w14:paraId="7AA1ED2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承包人应当为施工现场从事施工作业和管理的人员，在施工活动过程中发生的人身意外伤亡事故提供保障，办理建筑意外伤害保险、支付保险费。</w:t>
      </w:r>
    </w:p>
    <w:p w14:paraId="20FFAEB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承包人在实施施工和保修期间的任何时候，对本工程周围环境都应采取必要的保护措施，不得随意排放污水和有害物，也不得破坏已建或在建工程的任何部分。</w:t>
      </w:r>
    </w:p>
    <w:p w14:paraId="4D1BC9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承包人的机械设备必须符合国家有关标准，性能良好，应配备专业的操作人员并具有上岗证书，施工车辆应经过公安交通部门检测合格，证照齐全。</w:t>
      </w:r>
    </w:p>
    <w:p w14:paraId="4C4AA89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76DBC70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该做好外来人员和外来车辆到现场的安全管理，承包人应做好各类危险指示牌，指示牌需清晰可辩，如外来人员或外来车辆在施工现场出现事故，是由于承包人责任的，承包人应承担该项赔偿费用和责任。</w:t>
      </w:r>
    </w:p>
    <w:p w14:paraId="68639A5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安全防护措施费由承包人承担。</w:t>
      </w:r>
    </w:p>
    <w:p w14:paraId="24F7DF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与进度款同期支付</w:t>
      </w:r>
      <w:r>
        <w:rPr>
          <w:rFonts w:hint="eastAsia" w:ascii="宋体" w:hAnsi="宋体" w:eastAsia="宋体" w:cs="宋体"/>
          <w:color w:val="auto"/>
          <w:sz w:val="21"/>
          <w:szCs w:val="21"/>
          <w:highlight w:val="none"/>
        </w:rPr>
        <w:t>。</w:t>
      </w:r>
    </w:p>
    <w:p w14:paraId="5BB5FE3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工期和进度</w:t>
      </w:r>
    </w:p>
    <w:p w14:paraId="5B640D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3F1D22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C6A45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273C7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97F6E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14FD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14:paraId="5D2CC9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BE777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23CF6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20307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45AB96F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2C946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700D9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ECC22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1B7D9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天内发出开工通知的，承包人有权提出价格调整要求，或者解除合同。</w:t>
      </w:r>
    </w:p>
    <w:p w14:paraId="2D0731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483BCC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7497B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14:paraId="0EAB58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C6A80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4BE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701CF2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 w:val="21"/>
          <w:szCs w:val="21"/>
          <w:highlight w:val="none"/>
          <w:u w:val="single"/>
        </w:rPr>
        <w:t>每延误一天按</w:t>
      </w:r>
      <w:r>
        <w:rPr>
          <w:rFonts w:hint="eastAsia" w:ascii="宋体" w:hAnsi="宋体" w:eastAsia="宋体" w:cs="宋体"/>
          <w:color w:val="auto"/>
          <w:sz w:val="21"/>
          <w:szCs w:val="21"/>
          <w:highlight w:val="none"/>
          <w:u w:val="single"/>
          <w:lang w:val="en-US" w:eastAsia="zh-CN"/>
        </w:rPr>
        <w:t>2000元</w:t>
      </w:r>
      <w:r>
        <w:rPr>
          <w:rFonts w:hint="eastAsia" w:ascii="宋体" w:hAnsi="宋体" w:eastAsia="宋体" w:cs="宋体"/>
          <w:color w:val="auto"/>
          <w:sz w:val="21"/>
          <w:szCs w:val="21"/>
          <w:highlight w:val="none"/>
          <w:u w:val="single"/>
        </w:rPr>
        <w:t>计取违约金，直到最高赔偿额。</w:t>
      </w:r>
    </w:p>
    <w:p w14:paraId="189CC8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 xml:space="preserve"> 即合同价的5%</w:t>
      </w:r>
      <w:r>
        <w:rPr>
          <w:rFonts w:hint="eastAsia" w:ascii="宋体" w:hAnsi="宋体" w:eastAsia="宋体" w:cs="宋体"/>
          <w:color w:val="auto"/>
          <w:sz w:val="21"/>
          <w:szCs w:val="21"/>
          <w:highlight w:val="none"/>
        </w:rPr>
        <w:t>。</w:t>
      </w:r>
    </w:p>
    <w:p w14:paraId="6390A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14:paraId="6F1E54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F8F74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14:paraId="4E0943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7C060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（1）日最高气温达到40度及以上的天气；</w:t>
      </w:r>
    </w:p>
    <w:p w14:paraId="681C2A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（2）启动台风橙色及以上的预警的天气；</w:t>
      </w:r>
    </w:p>
    <w:p w14:paraId="72C15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（3）造成工程损坏的冰雹和大雪灾害：日降雪量10mm及以上；</w:t>
      </w:r>
    </w:p>
    <w:p w14:paraId="63233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（4）启动防汛预案一级响应的天气，启动防冻预案一级响应的天气。</w:t>
      </w:r>
    </w:p>
    <w:p w14:paraId="191D3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1F48A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64DC8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材料与设备</w:t>
      </w:r>
    </w:p>
    <w:p w14:paraId="1071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8.2.承包人采购材料与工程设备</w:t>
      </w:r>
    </w:p>
    <w:p w14:paraId="06E0391F">
      <w:pPr>
        <w:spacing w:line="360" w:lineRule="auto"/>
        <w:ind w:firstLine="420" w:firstLineChars="200"/>
        <w:outlineLvl w:val="0"/>
        <w:rPr>
          <w:rFonts w:hint="eastAsia" w:ascii="宋体" w:hAnsi="宋体" w:eastAsia="宋体" w:cs="宋体"/>
          <w:color w:val="auto"/>
          <w:sz w:val="21"/>
          <w:szCs w:val="21"/>
          <w:highlight w:val="none"/>
          <w:u w:val="single"/>
        </w:rPr>
      </w:pPr>
      <w:bookmarkStart w:id="84" w:name="_Toc96951757"/>
      <w:bookmarkStart w:id="85" w:name="_Toc123820511"/>
      <w:bookmarkStart w:id="86" w:name="_Toc96951637"/>
      <w:r>
        <w:rPr>
          <w:rFonts w:hint="eastAsia" w:ascii="宋体" w:hAnsi="宋体" w:eastAsia="宋体" w:cs="宋体"/>
          <w:color w:val="auto"/>
          <w:sz w:val="21"/>
          <w:szCs w:val="21"/>
          <w:highlight w:val="none"/>
          <w:u w:val="single"/>
        </w:rPr>
        <w:t>1、本工程的材料、设备、配件由承包人负责采购，其质量必须符合设计和施工规范要求并经监理、建设单位确认。</w:t>
      </w:r>
      <w:bookmarkEnd w:id="84"/>
      <w:bookmarkEnd w:id="85"/>
      <w:bookmarkEnd w:id="86"/>
    </w:p>
    <w:p w14:paraId="74CE9F98">
      <w:pPr>
        <w:spacing w:line="360" w:lineRule="auto"/>
        <w:ind w:firstLine="420" w:firstLineChars="200"/>
        <w:outlineLvl w:val="0"/>
        <w:rPr>
          <w:rFonts w:hint="eastAsia" w:ascii="宋体" w:hAnsi="宋体" w:eastAsia="宋体" w:cs="宋体"/>
          <w:color w:val="auto"/>
          <w:sz w:val="21"/>
          <w:szCs w:val="21"/>
          <w:highlight w:val="none"/>
          <w:u w:val="single"/>
        </w:rPr>
      </w:pPr>
      <w:bookmarkStart w:id="87" w:name="_Toc96951638"/>
      <w:bookmarkStart w:id="88" w:name="_Toc96951758"/>
      <w:bookmarkStart w:id="89" w:name="_Toc123820512"/>
      <w:r>
        <w:rPr>
          <w:rFonts w:hint="eastAsia" w:ascii="宋体" w:hAnsi="宋体" w:eastAsia="宋体" w:cs="宋体"/>
          <w:color w:val="auto"/>
          <w:sz w:val="21"/>
          <w:szCs w:val="21"/>
          <w:highlight w:val="none"/>
          <w:u w:val="single"/>
        </w:rPr>
        <w:t>2、承包人采购成品、半成品、材料、设备在采购前均需征得发包人同意或双方共同采购。否则，发包人有权要求承包人更换或采取其它补救措施。对国家有强制性认证要求的设备与材料，必须具有强制性认证标志。</w:t>
      </w:r>
      <w:bookmarkEnd w:id="87"/>
      <w:bookmarkEnd w:id="88"/>
      <w:bookmarkEnd w:id="89"/>
    </w:p>
    <w:p w14:paraId="6F5311B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采购的材料到货后，要求附有产品合格证、质保单及有关检测报告，并经发包人指定的代表进行验收，按规定需送检测试的，必须测试合格后方可使用，检测所需费用，由承包人承担。否则发包人和监理单位有权制止。</w:t>
      </w:r>
    </w:p>
    <w:p w14:paraId="1490826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4、使用不合格材料和不允许使用的材料，所产生的后果由承包人承担全部责任。</w:t>
      </w:r>
    </w:p>
    <w:p w14:paraId="1E616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14:paraId="56CA18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FE261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01101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60DA5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另行确定 </w:t>
      </w:r>
      <w:r>
        <w:rPr>
          <w:rFonts w:hint="eastAsia" w:ascii="宋体" w:hAnsi="宋体" w:eastAsia="宋体" w:cs="宋体"/>
          <w:color w:val="auto"/>
          <w:sz w:val="21"/>
          <w:szCs w:val="21"/>
          <w:highlight w:val="none"/>
        </w:rPr>
        <w:t>。</w:t>
      </w:r>
    </w:p>
    <w:p w14:paraId="017EF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288246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4A8C18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承包人自行承担 </w:t>
      </w:r>
      <w:r>
        <w:rPr>
          <w:rFonts w:hint="eastAsia" w:ascii="宋体" w:hAnsi="宋体" w:eastAsia="宋体" w:cs="宋体"/>
          <w:color w:val="auto"/>
          <w:sz w:val="21"/>
          <w:szCs w:val="21"/>
          <w:highlight w:val="none"/>
        </w:rPr>
        <w:t>。</w:t>
      </w:r>
    </w:p>
    <w:p w14:paraId="462AA3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试验与检验</w:t>
      </w:r>
    </w:p>
    <w:p w14:paraId="1D3BA7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14:paraId="4E2BB4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62F541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 xml:space="preserve">。 </w:t>
      </w:r>
    </w:p>
    <w:p w14:paraId="1AA09D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4D796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9A543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9F9A2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9BAD97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变更</w:t>
      </w:r>
    </w:p>
    <w:p w14:paraId="674CF7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14:paraId="637E91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p>
    <w:p w14:paraId="38909ACD">
      <w:pPr>
        <w:spacing w:line="360" w:lineRule="auto"/>
        <w:ind w:firstLine="420" w:firstLineChars="200"/>
        <w:rPr>
          <w:rFonts w:hint="eastAsia" w:ascii="宋体" w:hAnsi="宋体" w:eastAsia="宋体" w:cs="宋体"/>
          <w:color w:val="auto"/>
          <w:sz w:val="21"/>
          <w:szCs w:val="21"/>
          <w:highlight w:val="none"/>
          <w:u w:val="single"/>
        </w:rPr>
      </w:pPr>
      <w:bookmarkStart w:id="90" w:name="_Toc31253"/>
      <w:r>
        <w:rPr>
          <w:rFonts w:hint="eastAsia" w:ascii="宋体" w:hAnsi="宋体" w:eastAsia="宋体" w:cs="宋体"/>
          <w:color w:val="auto"/>
          <w:sz w:val="21"/>
          <w:szCs w:val="21"/>
          <w:highlight w:val="none"/>
          <w:u w:val="single"/>
        </w:rPr>
        <w:t>（1）当本工程设计需要变更时，应经设计部门、监理单位及建设单位认可并出具工程设计变更联系单。所有未经建设单位认可的工程变更，将被视为施工单位的擅自变更，施工单位将承担全部责任。施工单位无权单独与设计部门联系工程变更事宜。</w:t>
      </w:r>
      <w:bookmarkEnd w:id="90"/>
    </w:p>
    <w:p w14:paraId="3CB8FAD1">
      <w:pPr>
        <w:spacing w:line="360" w:lineRule="auto"/>
        <w:ind w:firstLine="420" w:firstLineChars="200"/>
        <w:rPr>
          <w:rFonts w:hint="eastAsia" w:ascii="宋体" w:hAnsi="宋体" w:eastAsia="宋体" w:cs="宋体"/>
          <w:color w:val="auto"/>
          <w:sz w:val="21"/>
          <w:szCs w:val="21"/>
          <w:highlight w:val="none"/>
          <w:u w:val="single"/>
        </w:rPr>
      </w:pPr>
      <w:bookmarkStart w:id="91" w:name="_Toc6677"/>
      <w:r>
        <w:rPr>
          <w:rFonts w:hint="eastAsia" w:ascii="宋体" w:hAnsi="宋体" w:eastAsia="宋体" w:cs="宋体"/>
          <w:color w:val="auto"/>
          <w:sz w:val="21"/>
          <w:szCs w:val="21"/>
          <w:highlight w:val="none"/>
          <w:u w:val="single"/>
        </w:rPr>
        <w:t>（2）施工中原设计图纸已有设计但未详尽部分，由甲方委托设计单位补充详细图，乙方</w:t>
      </w:r>
      <w:r>
        <w:rPr>
          <w:rFonts w:hint="eastAsia" w:ascii="宋体" w:hAnsi="宋体" w:eastAsia="宋体" w:cs="宋体"/>
          <w:color w:val="auto"/>
          <w:sz w:val="21"/>
          <w:szCs w:val="21"/>
          <w:highlight w:val="none"/>
          <w:u w:val="single"/>
          <w:lang w:val="en-US" w:eastAsia="zh-CN"/>
        </w:rPr>
        <w:t>可</w:t>
      </w:r>
      <w:r>
        <w:rPr>
          <w:rFonts w:hint="eastAsia" w:ascii="宋体" w:hAnsi="宋体" w:eastAsia="宋体" w:cs="宋体"/>
          <w:color w:val="auto"/>
          <w:sz w:val="21"/>
          <w:szCs w:val="21"/>
          <w:highlight w:val="none"/>
          <w:u w:val="single"/>
        </w:rPr>
        <w:t>视为设计变更及要求增加施工费用。</w:t>
      </w:r>
      <w:bookmarkEnd w:id="91"/>
    </w:p>
    <w:p w14:paraId="75B470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（3）设计变更数量应有相应书面说明，且由甲方代表签证方属有效，否则不得作为结算计价依据。</w:t>
      </w:r>
    </w:p>
    <w:p w14:paraId="1FEBF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006CF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131F8CE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关于变更估价的约定:</w:t>
      </w:r>
    </w:p>
    <w:p w14:paraId="63250C64">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u w:val="single"/>
        </w:rPr>
        <w:t>1、已标价工程量清单有相同项目的，按照相同项目单价认定。</w:t>
      </w:r>
      <w:r>
        <w:rPr>
          <w:rFonts w:hint="eastAsia" w:ascii="宋体" w:hAnsi="宋体" w:eastAsia="宋体" w:cs="宋体"/>
          <w:color w:val="auto"/>
          <w:kern w:val="2"/>
          <w:sz w:val="21"/>
          <w:szCs w:val="21"/>
          <w:highlight w:val="none"/>
          <w:u w:val="single"/>
        </w:rPr>
        <w:t>但合价金额占合同总价2%及以上的分部分项设计变更项目，其工程量增加或减少超过本项目工程数量15%及以上时，或合价金额占合同总价不到2%的分部分项设计变更项目，但其工程量增加或减少超过本项目工程数量25%及以上时，其增加部分工程量或减少后剩余部分工程量的相应单价由承包人参照投标时的报价分析表对原单价重新组价，并按照合理的成本与利润构成的原则提出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审定后，作为结算的依据。</w:t>
      </w:r>
    </w:p>
    <w:p w14:paraId="7D5A48AF">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中有类似工程项目综合单价的，参照该类似项目的综合单价计算确定：</w:t>
      </w:r>
    </w:p>
    <w:p w14:paraId="339FF55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(a)某种材料（或半成品及成品）等级、标准变化的，清单组合子目不变，仅调整不同材料价格；</w:t>
      </w:r>
    </w:p>
    <w:p w14:paraId="7F03C651">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(b)清单项目某一特征或工程内容发生变化，不影响其他特征及工程内容的，其他特征组合标准不变，仅调整发生变化的组合子目价格；</w:t>
      </w:r>
    </w:p>
    <w:p w14:paraId="4AE6BC3D">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中没有类似工程项目综合单价的，由承包人根据合同中约定的组价原则或参考“计价依据”提出适当的综合单价，经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或监理人审定后执行；</w:t>
      </w:r>
    </w:p>
    <w:p w14:paraId="5A72366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组价原则：</w:t>
      </w:r>
    </w:p>
    <w:p w14:paraId="4F91770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根据《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等计价依据及定额标准计算；综合费率（含管理费、利润、风险费用）按投标文件同一口径执行；组价时，人工、材料、机械台班单价按照投标时人工、材料、机械台班单价的报价计算，无投标报价的材料价格，按照合同工期前80％《嘉兴造价管理》材料平均信息价计算，既无投标报价又无信息价的材料价格按</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签证价格，定额不明确的由业主签证确认；计算出该项费用后并换算到《房屋建筑与装饰工程工程量计算规范》（GB50854-2013）、《通用安装工程工程量计算规范》（GB50856-2013）、《市政工程工程量计算规范》（GB50857-2013）以及浙江省有关补充规定的计算规定，格式套用投标书格式</w:t>
      </w:r>
      <w:r>
        <w:rPr>
          <w:rFonts w:hint="eastAsia" w:ascii="宋体" w:hAnsi="宋体" w:eastAsia="宋体" w:cs="宋体"/>
          <w:color w:val="auto"/>
          <w:kern w:val="2"/>
          <w:sz w:val="21"/>
          <w:szCs w:val="21"/>
          <w:highlight w:val="none"/>
        </w:rPr>
        <w:t>。</w:t>
      </w:r>
    </w:p>
    <w:p w14:paraId="6A250A9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4、投标综合单价异常的处理：</w:t>
      </w:r>
    </w:p>
    <w:p w14:paraId="3BC2968E">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（1）投标综合单价遇下列情况，应对其异常性进行判定：</w:t>
      </w:r>
    </w:p>
    <w:p w14:paraId="50507E6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①投标综合单价与按合同约定的计价依据计算的综合单价偏差±25%以上；</w:t>
      </w:r>
    </w:p>
    <w:p w14:paraId="40FCC2C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②其他异常情况。</w:t>
      </w:r>
    </w:p>
    <w:p w14:paraId="249BCEA2">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（2）出现综合单价异常情况，按以下原则处理：</w:t>
      </w:r>
    </w:p>
    <w:p w14:paraId="4A35E10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①工程量增加本项工程量15%以内的，按原综合单价在该项目合价中扣除，增加超过15%以外部分工程量，按本款第3条的组价原则重新确定综合单价，计算合价；</w:t>
      </w:r>
    </w:p>
    <w:p w14:paraId="44F6C52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②工程量减少超过本项工程量15%以内的，按原综合单价在该项目合价中扣除，减少超过15%以外部分工程量，按本款第3条的组价原则重新确定综合单价，计算合价后，在该项目合价中扣除。</w:t>
      </w:r>
    </w:p>
    <w:p w14:paraId="166733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10.4.2承包人应在收到变更指示后14天内，向监理人提交变更估价申请，办理变更签证手续，逾期未上报的或逾期补报的，发包人将均不予签证。</w:t>
      </w:r>
    </w:p>
    <w:p w14:paraId="32F17E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14:paraId="3B25F9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39EF3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462DE67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F311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14:paraId="77C2CD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暂估价材料和工程设备的明细详见附件11：《暂估价一览表》。</w:t>
      </w:r>
    </w:p>
    <w:p w14:paraId="741E9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34D47A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23CC8F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ECFA1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4110F9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654B13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1AE57D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6A3FC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39DEEFE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价格调整</w:t>
      </w:r>
    </w:p>
    <w:p w14:paraId="196C5B44">
      <w:pPr>
        <w:spacing w:line="360" w:lineRule="auto"/>
        <w:ind w:firstLine="420" w:firstLineChars="200"/>
        <w:rPr>
          <w:rFonts w:hint="eastAsia" w:ascii="宋体" w:hAnsi="宋体" w:eastAsia="宋体" w:cs="宋体"/>
          <w:color w:val="auto"/>
          <w:sz w:val="21"/>
          <w:szCs w:val="21"/>
          <w:highlight w:val="none"/>
        </w:rPr>
      </w:pPr>
      <w:bookmarkStart w:id="92" w:name="_Toc304295577"/>
      <w:bookmarkStart w:id="93" w:name="_Toc312678039"/>
      <w:bookmarkStart w:id="94" w:name="_Toc296503201"/>
      <w:bookmarkStart w:id="95" w:name="_Toc297216209"/>
      <w:bookmarkStart w:id="96" w:name="_Toc303539157"/>
      <w:bookmarkStart w:id="97" w:name="_Toc297120501"/>
      <w:bookmarkStart w:id="98" w:name="_Toc292559911"/>
      <w:bookmarkStart w:id="99" w:name="_Toc300935000"/>
      <w:bookmarkStart w:id="100" w:name="_Toc296891241"/>
      <w:bookmarkStart w:id="101" w:name="_Toc296944540"/>
      <w:bookmarkStart w:id="102" w:name="_Toc292559406"/>
      <w:bookmarkStart w:id="103" w:name="_Toc296346702"/>
      <w:bookmarkStart w:id="104" w:name="_Toc296347200"/>
      <w:bookmarkStart w:id="105" w:name="_Toc296891029"/>
      <w:bookmarkStart w:id="106" w:name="_Toc297048387"/>
      <w:bookmarkStart w:id="107" w:name="_Toc297123550"/>
      <w:r>
        <w:rPr>
          <w:rFonts w:hint="eastAsia" w:ascii="宋体" w:hAnsi="宋体" w:eastAsia="宋体" w:cs="宋体"/>
          <w:color w:val="auto"/>
          <w:sz w:val="21"/>
          <w:szCs w:val="21"/>
          <w:highlight w:val="none"/>
        </w:rPr>
        <w:t>11.1 市场价格波动引起的调整</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3EB30F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29FB1A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种方式对合同价格进行调整：</w:t>
      </w:r>
    </w:p>
    <w:p w14:paraId="4CE87A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22FFC5C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6BFDD0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4251C3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AFE9C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EFE76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合同价格、计量与支付</w:t>
      </w:r>
    </w:p>
    <w:p w14:paraId="6F5BF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r>
        <w:rPr>
          <w:rFonts w:hint="eastAsia" w:ascii="宋体" w:hAnsi="宋体" w:eastAsia="宋体" w:cs="宋体"/>
          <w:b/>
          <w:color w:val="auto"/>
          <w:sz w:val="21"/>
          <w:szCs w:val="21"/>
          <w:highlight w:val="none"/>
          <w:u w:val="single"/>
        </w:rPr>
        <w:t>本工程采用单价合同</w:t>
      </w:r>
    </w:p>
    <w:p w14:paraId="39AD6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2DE9445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综合单价包含的风险范围：</w:t>
      </w:r>
    </w:p>
    <w:p w14:paraId="60F5923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编制投标书时，应被认为已察看和核查了现场和其周围环境，并已经充分掌握工程现场的地表周围和地下如地下水等情况，并对该处的气象等因素作了充分的预测以及与之有关的可利用的资料（包括当地有关工程施工的管理规定），并对以下几点内容（考虑到费用和时间实际可能）已经查明：</w:t>
      </w:r>
    </w:p>
    <w:p w14:paraId="78A00A8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现场的地形地貌和特征，包括地表及地下水等情况；</w:t>
      </w:r>
    </w:p>
    <w:p w14:paraId="382E6F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水文和气候条件；</w:t>
      </w:r>
    </w:p>
    <w:p w14:paraId="6EB247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实施和完成本合同工程及其工程保修所需做的工作范围、性质和所需用的材料采购和加工；</w:t>
      </w:r>
    </w:p>
    <w:p w14:paraId="7D92551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进入现场的手段和需要的食宿供应条件；</w:t>
      </w:r>
    </w:p>
    <w:p w14:paraId="6A7666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承包方己取得有关可能对投标或报价有影响或起作用的风险、意外及其所有其他情况的必要资料。</w:t>
      </w:r>
    </w:p>
    <w:p w14:paraId="30EF6D1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（2）：承包人在编制投标书时，应被认为已考虑了以下风险因素：</w:t>
      </w:r>
    </w:p>
    <w:p w14:paraId="205E80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合同执行期间，工程造价管理部门公布的价格变化（第11.1款规定的人工及可调材料除外）；</w:t>
      </w:r>
    </w:p>
    <w:p w14:paraId="1FE875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合同执行期内，人工、材料、机械费价格的市场变化；</w:t>
      </w:r>
    </w:p>
    <w:p w14:paraId="48A01D31">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合同执行期内，施工临时停电、停水造成的停工；</w:t>
      </w:r>
    </w:p>
    <w:p w14:paraId="1A9D95F9">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合同执行期内，因客观原因造成承包人停工、窝工；</w:t>
      </w:r>
    </w:p>
    <w:p w14:paraId="24490D2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合同执行期内可能发生的其他费用，包括市政、市容、环保、交通、治安等。</w:t>
      </w:r>
    </w:p>
    <w:p w14:paraId="603DAE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（3）：承包人在编制投标书时，应被认为已考虑了本合同的其他风险条款。</w:t>
      </w:r>
    </w:p>
    <w:p w14:paraId="667180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投标单位在投标时根据招标要求自行确定，风险因素范围内的风险费用不在合同价外另行计列及调整。</w:t>
      </w:r>
    </w:p>
    <w:p w14:paraId="44C920DF">
      <w:pPr>
        <w:tabs>
          <w:tab w:val="center" w:pos="4723"/>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风险范围以外合同价格的调整方法：</w:t>
      </w:r>
    </w:p>
    <w:p w14:paraId="59162267">
      <w:pPr>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（1）分部分项工程量清单项目工程数量的调整：</w:t>
      </w:r>
      <w:r>
        <w:rPr>
          <w:rFonts w:hint="eastAsia" w:ascii="宋体" w:hAnsi="宋体" w:eastAsia="宋体" w:cs="宋体"/>
          <w:color w:val="auto"/>
          <w:sz w:val="21"/>
          <w:szCs w:val="21"/>
          <w:highlight w:val="none"/>
          <w:u w:val="single"/>
        </w:rPr>
        <w:t>分部分项清单工程量（明确一次性包干或结算不作调整的项目和费用外）按</w:t>
      </w:r>
      <w:r>
        <w:rPr>
          <w:rFonts w:hint="eastAsia" w:ascii="宋体" w:hAnsi="宋体" w:eastAsia="宋体" w:cs="宋体"/>
          <w:b/>
          <w:bCs/>
          <w:color w:val="auto"/>
          <w:sz w:val="21"/>
          <w:szCs w:val="21"/>
          <w:highlight w:val="none"/>
          <w:u w:val="single"/>
        </w:rPr>
        <w:t>《建设工程工程量清单计价规范》（GB50500－2013）、《通用安装工程工程量计算规范》（GB50856- 2013）、《市政工程工程量计算规范》（GB50857-2013）、施工图、会审纪要、联系单等按实计算。</w:t>
      </w:r>
    </w:p>
    <w:p w14:paraId="637CD8C8">
      <w:pPr>
        <w:tabs>
          <w:tab w:val="center" w:pos="4723"/>
        </w:tabs>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（2）措施项目工程量清单项目工程数量的调整：</w:t>
      </w:r>
      <w:r>
        <w:rPr>
          <w:rFonts w:hint="eastAsia" w:ascii="宋体" w:hAnsi="宋体" w:eastAsia="宋体" w:cs="宋体"/>
          <w:b/>
          <w:bCs/>
          <w:color w:val="auto"/>
          <w:sz w:val="21"/>
          <w:szCs w:val="21"/>
          <w:highlight w:val="none"/>
          <w:u w:val="single"/>
        </w:rPr>
        <w:t>施工技术措施费按实结算，其中以“项”、“次”为计量单位的技术措施费为一次性包干费用，结算时不作调整。新增项目（会审纪要、联系单等）引起施工技术措施费调整的，则施工技术措施费按实调整。</w:t>
      </w:r>
    </w:p>
    <w:p w14:paraId="6B10F70B">
      <w:pPr>
        <w:tabs>
          <w:tab w:val="center" w:pos="4723"/>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（3）分部分项工程量清单项目综合单价的调整：</w:t>
      </w:r>
      <w:r>
        <w:rPr>
          <w:rFonts w:hint="eastAsia" w:ascii="宋体" w:hAnsi="宋体" w:eastAsia="宋体" w:cs="宋体"/>
          <w:color w:val="auto"/>
          <w:sz w:val="21"/>
          <w:szCs w:val="21"/>
          <w:highlight w:val="none"/>
          <w:u w:val="single"/>
        </w:rPr>
        <w:t>按合同专用条款10.4.1“ 变更估价原则”执行。</w:t>
      </w:r>
    </w:p>
    <w:p w14:paraId="2F2DA6F1">
      <w:pPr>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（4）市场价格波动引起的调整：</w:t>
      </w:r>
      <w:r>
        <w:rPr>
          <w:rFonts w:hint="eastAsia" w:ascii="宋体" w:hAnsi="宋体" w:eastAsia="宋体" w:cs="宋体"/>
          <w:color w:val="auto"/>
          <w:sz w:val="21"/>
          <w:szCs w:val="21"/>
          <w:highlight w:val="none"/>
          <w:u w:val="single"/>
        </w:rPr>
        <w:t>按合同第11.1款规定执行</w:t>
      </w:r>
      <w:r>
        <w:rPr>
          <w:rFonts w:hint="eastAsia" w:ascii="宋体" w:hAnsi="宋体" w:eastAsia="宋体" w:cs="宋体"/>
          <w:color w:val="auto"/>
          <w:sz w:val="21"/>
          <w:szCs w:val="21"/>
          <w:highlight w:val="none"/>
        </w:rPr>
        <w:t>。</w:t>
      </w:r>
    </w:p>
    <w:p w14:paraId="739BC4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B16F2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14:paraId="340E7A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058251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1、合</w:t>
      </w:r>
      <w:r>
        <w:rPr>
          <w:rFonts w:hint="eastAsia" w:ascii="宋体" w:hAnsi="宋体" w:eastAsia="宋体" w:cs="宋体"/>
          <w:color w:val="auto"/>
          <w:sz w:val="21"/>
          <w:szCs w:val="21"/>
          <w:highlight w:val="none"/>
          <w:u w:val="single"/>
        </w:rPr>
        <w:t>同价的</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w:t>
      </w:r>
      <w:r>
        <w:rPr>
          <w:rFonts w:hint="eastAsia" w:ascii="宋体" w:hAnsi="宋体" w:eastAsia="宋体" w:cs="宋体"/>
          <w:color w:val="auto"/>
          <w:sz w:val="21"/>
          <w:szCs w:val="21"/>
          <w:highlight w:val="none"/>
          <w:u w:val="single"/>
        </w:rPr>
        <w:t>农民工工资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6F32B1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合同签订后7日内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CBA2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BF50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D12AD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4762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1A790C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5EE5EC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7999C4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按照《建设工程工程量清单计价规范》（GB50500-2013）、《房屋建筑与装饰工程工程量计算规范》（GB50854-2013）、《通用安装工程工程量计算规范》（GB50856- 2013）、《市政工程工程量计算规范》（GB50857-2013）浙江省配合贯彻《建设工程工程量清单计价规范》（GB50500-2013版）相关补充和调整管理规定及相关计价依据所规定的工程量计算规则计算</w:t>
      </w:r>
      <w:r>
        <w:rPr>
          <w:rFonts w:hint="eastAsia" w:ascii="宋体" w:hAnsi="宋体" w:eastAsia="宋体" w:cs="宋体"/>
          <w:color w:val="auto"/>
          <w:sz w:val="21"/>
          <w:szCs w:val="21"/>
          <w:highlight w:val="none"/>
          <w:u w:val="single"/>
        </w:rPr>
        <w:t>。</w:t>
      </w:r>
    </w:p>
    <w:p w14:paraId="05FD95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9732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按月进度   </w:t>
      </w:r>
      <w:r>
        <w:rPr>
          <w:rFonts w:hint="eastAsia" w:ascii="宋体" w:hAnsi="宋体" w:eastAsia="宋体" w:cs="宋体"/>
          <w:color w:val="auto"/>
          <w:sz w:val="21"/>
          <w:szCs w:val="21"/>
          <w:highlight w:val="none"/>
        </w:rPr>
        <w:t>。</w:t>
      </w:r>
    </w:p>
    <w:p w14:paraId="16EA95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58E2D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FBBA7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6666D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014A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14E6F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32853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F02FB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67AB9D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5D44AE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关于付款周期的约定： </w:t>
      </w:r>
    </w:p>
    <w:p w14:paraId="3E1383DA">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1.在合同生效以及具备实施条件后7个工作日内支付合同金额的40%预付款；</w:t>
      </w:r>
    </w:p>
    <w:p w14:paraId="1A0C3736">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2.项目完成且验收合格后30个工作日内支付至合同价的85%；余款在结算审计完成后</w:t>
      </w:r>
      <w:r>
        <w:rPr>
          <w:rFonts w:hint="eastAsia" w:ascii="宋体" w:hAnsi="宋体" w:cs="宋体"/>
          <w:b/>
          <w:bCs/>
          <w:color w:val="auto"/>
          <w:sz w:val="21"/>
          <w:szCs w:val="21"/>
          <w:highlight w:val="none"/>
          <w:lang w:val="en-US" w:eastAsia="zh-CN"/>
        </w:rPr>
        <w:t>承包人向发包人支付结算价1.5%的质量保证金后支付至结算价的100%</w:t>
      </w:r>
      <w:r>
        <w:rPr>
          <w:rFonts w:hint="eastAsia" w:ascii="宋体" w:hAnsi="宋体" w:eastAsia="宋体" w:cs="宋体"/>
          <w:b/>
          <w:bCs/>
          <w:color w:val="auto"/>
          <w:sz w:val="21"/>
          <w:szCs w:val="21"/>
          <w:highlight w:val="none"/>
          <w:lang w:val="en-US" w:eastAsia="zh-CN"/>
        </w:rPr>
        <w:t>。</w:t>
      </w:r>
    </w:p>
    <w:p w14:paraId="05C257BD">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注：①本项目严格执行嘉兴市秀洲区人力资源和社会保障局等4部门《秀洲区工程建设领域农民工工资专用账户及工资保证金管理实施细则（试行）》（秀洲人社【2022】18号）及浙江省住房和城乡建设厅等11部门《关于在全省工程建设领域改革保证金制度的通知》（浙建〔2020〕7号），中标人要开设农民工工资预储专用存款账户并为农民工办理银行工资卡，建设单位拨付的工程款将按农民工工资或劳务费所占的合理比例列入存款账户，专项用于支付农民工工资。 </w:t>
      </w:r>
    </w:p>
    <w:p w14:paraId="38097DB4">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②所有工程联系单均送审前一并提交，且工程联系单等增加部分在工程结算审定后一并支付。 </w:t>
      </w:r>
    </w:p>
    <w:p w14:paraId="16F78336">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③对于承包人应承担的审价费用的核增减追加费。 </w:t>
      </w:r>
    </w:p>
    <w:p w14:paraId="7C5CE5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136C57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385C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33DF81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4FE7A7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270081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10E69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00C937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CB8E5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DEC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33831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62A69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63F75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A1C4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E35158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验收和工程试车</w:t>
      </w:r>
    </w:p>
    <w:p w14:paraId="0B3A50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7953C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60C2AB5A">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527A6C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14:paraId="5E8AFD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709335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E5FF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6A890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776E56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应当在颁发工程接收证书后7天内完成工程的移交 </w:t>
      </w:r>
      <w:r>
        <w:rPr>
          <w:rFonts w:hint="eastAsia" w:ascii="宋体" w:hAnsi="宋体" w:eastAsia="宋体" w:cs="宋体"/>
          <w:color w:val="auto"/>
          <w:sz w:val="21"/>
          <w:szCs w:val="21"/>
          <w:highlight w:val="none"/>
        </w:rPr>
        <w:t>。</w:t>
      </w:r>
    </w:p>
    <w:p w14:paraId="7885B7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FB7F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按第7.5.2条款  </w:t>
      </w:r>
      <w:r>
        <w:rPr>
          <w:rFonts w:hint="eastAsia" w:ascii="宋体" w:hAnsi="宋体" w:eastAsia="宋体" w:cs="宋体"/>
          <w:color w:val="auto"/>
          <w:sz w:val="21"/>
          <w:szCs w:val="21"/>
          <w:highlight w:val="none"/>
        </w:rPr>
        <w:t>。</w:t>
      </w:r>
    </w:p>
    <w:p w14:paraId="0E7DD0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14:paraId="5A0B3F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6508DA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30E9E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7C500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3FC303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14A7A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ABE82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37B5C7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0DAF2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颁发工程接收证书后14天内</w:t>
      </w:r>
      <w:r>
        <w:rPr>
          <w:rFonts w:hint="eastAsia" w:ascii="宋体" w:hAnsi="宋体" w:eastAsia="宋体" w:cs="宋体"/>
          <w:color w:val="auto"/>
          <w:sz w:val="21"/>
          <w:szCs w:val="21"/>
          <w:highlight w:val="none"/>
        </w:rPr>
        <w:t>。</w:t>
      </w:r>
    </w:p>
    <w:p w14:paraId="23E64C1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竣工结算</w:t>
      </w:r>
    </w:p>
    <w:p w14:paraId="5F4796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A58D9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C787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6E0C8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41669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D33A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工程结算经发包人委托相关单位审核 </w:t>
      </w:r>
      <w:r>
        <w:rPr>
          <w:rFonts w:hint="eastAsia" w:ascii="宋体" w:hAnsi="宋体" w:eastAsia="宋体" w:cs="宋体"/>
          <w:color w:val="auto"/>
          <w:sz w:val="21"/>
          <w:szCs w:val="21"/>
          <w:highlight w:val="none"/>
        </w:rPr>
        <w:t>。</w:t>
      </w:r>
    </w:p>
    <w:p w14:paraId="4E3F66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请求建设行政主管部门、行业协会或第三方进行调解。有关审核（价）中发生的相关费用：工程结算按规定程序由发包人委托中介机构审核，结算核减（增）率超过5%的，则超过部分的审核费由承包人负责，发包人可以在支付或准备支付给承包人的任何款项中扣除。承包人资料不齐或不符合竣工备案条件的，发包人可拒绝承包人的支付要求。</w:t>
      </w:r>
    </w:p>
    <w:p w14:paraId="71AE80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6509E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329857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1CF160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 xml:space="preserve">。 </w:t>
      </w:r>
    </w:p>
    <w:p w14:paraId="77B501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D3C78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448ED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发包人应在颁发最终结清证书后28天内完成支付</w:t>
      </w:r>
      <w:r>
        <w:rPr>
          <w:rFonts w:hint="eastAsia" w:ascii="宋体" w:hAnsi="宋体" w:eastAsia="宋体" w:cs="宋体"/>
          <w:color w:val="auto"/>
          <w:sz w:val="21"/>
          <w:szCs w:val="21"/>
          <w:highlight w:val="none"/>
        </w:rPr>
        <w:t>。</w:t>
      </w:r>
    </w:p>
    <w:p w14:paraId="2609AF3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缺陷责任期与保修</w:t>
      </w:r>
    </w:p>
    <w:p w14:paraId="3657DD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14:paraId="7D90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详见工程质量保修书   </w:t>
      </w:r>
      <w:r>
        <w:rPr>
          <w:rFonts w:hint="eastAsia" w:ascii="宋体" w:hAnsi="宋体" w:eastAsia="宋体" w:cs="宋体"/>
          <w:color w:val="auto"/>
          <w:sz w:val="21"/>
          <w:szCs w:val="21"/>
          <w:highlight w:val="none"/>
        </w:rPr>
        <w:t>。</w:t>
      </w:r>
    </w:p>
    <w:p w14:paraId="33962D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06E5E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w:t>
      </w:r>
    </w:p>
    <w:p w14:paraId="4CED2F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35403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w:t>
      </w:r>
    </w:p>
    <w:p w14:paraId="1FDFE3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7E04A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%的工程款；</w:t>
      </w:r>
    </w:p>
    <w:p w14:paraId="555D19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审定价的1.5%，采用银行保函或保险公司保函或融资公司担保 </w:t>
      </w:r>
      <w:r>
        <w:rPr>
          <w:rFonts w:hint="eastAsia" w:ascii="宋体" w:hAnsi="宋体" w:eastAsia="宋体" w:cs="宋体"/>
          <w:color w:val="auto"/>
          <w:sz w:val="21"/>
          <w:szCs w:val="21"/>
          <w:highlight w:val="none"/>
        </w:rPr>
        <w:t>。</w:t>
      </w:r>
    </w:p>
    <w:p w14:paraId="4FC568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572520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种方式：</w:t>
      </w:r>
    </w:p>
    <w:p w14:paraId="2ECBB4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ACE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08493B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按合同条款12.4.1 执行 </w:t>
      </w:r>
      <w:r>
        <w:rPr>
          <w:rFonts w:hint="eastAsia" w:ascii="宋体" w:hAnsi="宋体" w:eastAsia="宋体" w:cs="宋体"/>
          <w:color w:val="auto"/>
          <w:sz w:val="21"/>
          <w:szCs w:val="21"/>
          <w:highlight w:val="none"/>
        </w:rPr>
        <w:t>。</w:t>
      </w:r>
    </w:p>
    <w:p w14:paraId="2E1F54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如承包人在发包人签发竣工付款证书后28天内提交质量保证金保函，发包人应退还扣留的作为质量保证金的工程价款；保函金额为工程价款结算总额的1.5% </w:t>
      </w:r>
      <w:r>
        <w:rPr>
          <w:rFonts w:hint="eastAsia" w:ascii="宋体" w:hAnsi="宋体" w:eastAsia="宋体" w:cs="宋体"/>
          <w:color w:val="auto"/>
          <w:sz w:val="21"/>
          <w:szCs w:val="21"/>
          <w:highlight w:val="none"/>
        </w:rPr>
        <w:t>。</w:t>
      </w:r>
    </w:p>
    <w:p w14:paraId="77D6A2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14:paraId="759FEE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E986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详见工程质量保修书 </w:t>
      </w:r>
      <w:r>
        <w:rPr>
          <w:rFonts w:hint="eastAsia" w:ascii="宋体" w:hAnsi="宋体" w:eastAsia="宋体" w:cs="宋体"/>
          <w:color w:val="auto"/>
          <w:sz w:val="21"/>
          <w:szCs w:val="21"/>
          <w:highlight w:val="none"/>
        </w:rPr>
        <w:t>。</w:t>
      </w:r>
    </w:p>
    <w:p w14:paraId="4F8E18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540B70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接到保修通知后48小时内派人保修，承包人不在约定期限内派人保修的，发包人可以委托他人修理，维修费用在质量保证金中扣取  </w:t>
      </w:r>
      <w:r>
        <w:rPr>
          <w:rFonts w:hint="eastAsia" w:ascii="宋体" w:hAnsi="宋体" w:eastAsia="宋体" w:cs="宋体"/>
          <w:color w:val="auto"/>
          <w:sz w:val="21"/>
          <w:szCs w:val="21"/>
          <w:highlight w:val="none"/>
        </w:rPr>
        <w:t>。</w:t>
      </w:r>
    </w:p>
    <w:p w14:paraId="09220CE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违约</w:t>
      </w:r>
    </w:p>
    <w:p w14:paraId="725623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3B71B5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B743F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F5B4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3FA4B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7F2E37E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785E7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827E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B331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C759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A8B0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01987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23C11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6EEB74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35832C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6077E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391252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500B0F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F8DFBE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承包人违约责任的承担方式和计算方法：</w:t>
      </w:r>
    </w:p>
    <w:p w14:paraId="52CFA5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因承包人原因达不到合同中规定的工程质量要求，发包人可采用口头通知的方式要求承包人进行返工；如返工后仍达不到约定条件的，发包人有权向承包人发出整改通知书，并视为承包人违约，承包人应向发包人支付违约金，承包人拒不整改的或整改不到位的，每发生一次，扣除承包人人民币1000元。如累计扣</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额超过合同价的1.5%，同时发包人有权与承包人终止合同，并要求承包人向发包人支付本合同价10%的</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。上述款项由发包人在工程费的支付时予以扣除，承包人已承诺无条件接受。</w:t>
      </w:r>
    </w:p>
    <w:p w14:paraId="2D314CEA">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（2）施工质量管理违约责任：</w:t>
      </w:r>
    </w:p>
    <w:p w14:paraId="31D3985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日常施工质量管理：发包人（或监理人）日常检查过程中发现承包人未按图施工、施工质量达不到相关验收标准或合同中规定的质量要求，发包人（或监理人）可采用口头通知的方式要求承包人进行返工；如返工后仍达不到约定条件的，发包人（或监理人）有权向承包人发出整改通知书，并视为承包人违约，承包人应向发包人支付违约金，以发包人（或监理人）签署的整改通知书为准，每书面通知整改一次，扣除承包人人民币500元，若整改不到位需要再次整改的，违约金按上述金额逐次翻倍，叠加计算。</w:t>
      </w:r>
    </w:p>
    <w:p w14:paraId="0DEAC0D0">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行政主管、督查等部门例行检查：若行政主管、督查等部门在例行检查中发现工程存在质量问题，发出书面通知，视为承包人违约，承包人应向发包人支付违约金，每书面通知整改一次，承包人应向发包人支付违约金500元/次；若整改不到位需要再次整改的，违约金按上述金额逐次翻倍，叠加计算。</w:t>
      </w:r>
    </w:p>
    <w:p w14:paraId="4E38616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有行政主管部门参与的工程验收：因承包人原因造成工程一次验收未通过，视为承包人违约，要求承包人及时整改并向发包人支付违约金1000元/次；若再次验收未通过的，违约金按上述金额逐次翻倍，叠加计算。</w:t>
      </w:r>
    </w:p>
    <w:p w14:paraId="54BA09C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D.因承包人原因造成工程停工整改，每停工整改一次，视为承包人违约，扣除承包人违约金人民币5000元。</w:t>
      </w:r>
    </w:p>
    <w:p w14:paraId="7894BAB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E、未按图施工，但不具备整改条件，在不影响结构、安全及使用功能的情况下，扣除实际与图纸之间差额部分金额并再支付差额部分同等金额的违约金。</w:t>
      </w:r>
    </w:p>
    <w:p w14:paraId="39B51D74">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上述条款如累计扣除金额超过全部质量履约保证金，发包人可从工程款中直接扣除超过部分金额。同时发包人有权与承包人终止合同，并要求承包人向发包人支付本合同价10%的违约金。上述款项由发包人在最近一次工程费的支付时予以扣除，承包人已承诺无条件接受。</w:t>
      </w:r>
    </w:p>
    <w:p w14:paraId="0154463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在实施和完成本合同工程及其工程保修的整个过程中，承包人应遵守国家和嘉兴市政府有关安全生产文明施工的相关规定。如由于承包人未能对安全文明生产采取必要的措施而导致发生与此有关的人身伤亡、罚款、索赔、损失补偿、诉讼及其他一切责任，由承包人负责。承包人必须根据国家和地方有关安全生产、文明施工的规定落实好各项安全措施，如现场施工违反规定，监理工程师有权发出整改通知书，如承包人拒不执行，监理工程师有权要求停工，并报建设行政主管部门及发包人。每书面通知整改一次，扣除承包人人民币1000元；每停工整改一次，处罚承包人人民币2000元，行政主管、督查等部门例行检查发出书面通知时亦执行此项条款。如累计直接损失超过全部文明施工履约保证金，还应赔偿超过部分金额。上述款项由发包人在工程费的支付时予以扣除，承包人已承诺无条件接受。</w:t>
      </w:r>
    </w:p>
    <w:p w14:paraId="1394A467">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投入本工程的施工队伍的素质、能力、力量和机械等必须符合投标书的承诺和满足工程的实际需要。如承包人在接到开工令后15日历天内所投入的机械、施工队伍仍不符合投标书的承诺，发包人可采用口头通知的方式要求承包人进行整改；如整改后仍达不到投标书承诺的，发包人有权向承包人发出整改通知书，并视为承包人违约。承包人应向发包人支付违约金，以发包人签署的整改通知书为准，每书面通知整改一次，处罚承包人1000元人民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终止合同，并追究承包人的经济责任。上述款项由发包人在最近一次工程费的支付时予以扣除，承包人已承诺无条件接受。</w:t>
      </w:r>
    </w:p>
    <w:p w14:paraId="5589AB71">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（5）承包人将本工程非法转包的，发包人可以立即解除本合同并要求承包人向发包人承担本合同价20%的违约金。</w:t>
      </w:r>
    </w:p>
    <w:p w14:paraId="126398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发包人可要求承包人赔偿由此给发包人造成的损失或负面社会影响，每次扣除</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人民币10000元。同时发包人可根据相关文件要求进行处置。</w:t>
      </w:r>
    </w:p>
    <w:p w14:paraId="2C5E3D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E4F78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F2CE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C8510C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17. 不可抗力 </w:t>
      </w:r>
    </w:p>
    <w:p w14:paraId="7F9553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457C7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6122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6A0312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天内完成款项的支付。</w:t>
      </w:r>
    </w:p>
    <w:p w14:paraId="33319E9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保险</w:t>
      </w:r>
    </w:p>
    <w:p w14:paraId="4FCF8F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54126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r>
        <w:rPr>
          <w:rFonts w:hint="eastAsia" w:ascii="宋体" w:hAnsi="宋体" w:eastAsia="宋体" w:cs="宋体"/>
          <w:color w:val="auto"/>
          <w:sz w:val="21"/>
          <w:szCs w:val="21"/>
          <w:highlight w:val="none"/>
        </w:rPr>
        <w:t>。</w:t>
      </w:r>
    </w:p>
    <w:p w14:paraId="4C8F1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756AAC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承包人必须依照法律规定参保 </w:t>
      </w:r>
      <w:r>
        <w:rPr>
          <w:rFonts w:hint="eastAsia" w:ascii="宋体" w:hAnsi="宋体" w:eastAsia="宋体" w:cs="宋体"/>
          <w:color w:val="auto"/>
          <w:sz w:val="21"/>
          <w:szCs w:val="21"/>
          <w:highlight w:val="none"/>
        </w:rPr>
        <w:t>。</w:t>
      </w:r>
    </w:p>
    <w:p w14:paraId="0A5B56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5C33FA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0C4E28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3D9DB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争议解决</w:t>
      </w:r>
    </w:p>
    <w:p w14:paraId="35167B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14:paraId="167F1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 xml:space="preserve">。  </w:t>
      </w:r>
    </w:p>
    <w:p w14:paraId="0A5224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658B9F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D820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ED30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80EE9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6C503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525C1B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E62F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14:paraId="12D32D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种方式解决：</w:t>
      </w:r>
    </w:p>
    <w:p w14:paraId="22A705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嘉兴 </w:t>
      </w:r>
      <w:r>
        <w:rPr>
          <w:rFonts w:hint="eastAsia" w:ascii="宋体" w:hAnsi="宋体" w:eastAsia="宋体" w:cs="宋体"/>
          <w:color w:val="auto"/>
          <w:sz w:val="21"/>
          <w:szCs w:val="21"/>
          <w:highlight w:val="none"/>
        </w:rPr>
        <w:t>仲裁委员会申请仲裁；</w:t>
      </w:r>
    </w:p>
    <w:p w14:paraId="7B9EDC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p>
    <w:p w14:paraId="5DBD4686">
      <w:pPr>
        <w:spacing w:line="240" w:lineRule="auto"/>
        <w:ind w:firstLine="422" w:firstLineChars="200"/>
        <w:rPr>
          <w:rFonts w:hint="eastAsia" w:ascii="宋体" w:hAnsi="宋体" w:eastAsia="宋体" w:cs="宋体"/>
          <w:b/>
          <w:color w:val="auto"/>
          <w:sz w:val="21"/>
          <w:szCs w:val="21"/>
          <w:highlight w:val="none"/>
        </w:rPr>
      </w:pPr>
    </w:p>
    <w:p w14:paraId="6CEFB8F7">
      <w:pPr>
        <w:rPr>
          <w:rFonts w:hint="eastAsia"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br w:type="page"/>
      </w:r>
    </w:p>
    <w:p w14:paraId="175D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Theme="minorEastAsia" w:hAnsiTheme="minorEastAsia" w:eastAsiaTheme="minorEastAsia"/>
          <w:b/>
          <w:color w:val="auto"/>
          <w:kern w:val="2"/>
          <w:sz w:val="32"/>
          <w:szCs w:val="32"/>
          <w:highlight w:val="none"/>
        </w:rPr>
      </w:pPr>
    </w:p>
    <w:tbl>
      <w:tblPr>
        <w:tblStyle w:val="54"/>
        <w:tblW w:w="9767" w:type="dxa"/>
        <w:jc w:val="center"/>
        <w:tblLayout w:type="fixed"/>
        <w:tblCellMar>
          <w:top w:w="0" w:type="dxa"/>
          <w:left w:w="108" w:type="dxa"/>
          <w:bottom w:w="0" w:type="dxa"/>
          <w:right w:w="108" w:type="dxa"/>
        </w:tblCellMar>
      </w:tblPr>
      <w:tblGrid>
        <w:gridCol w:w="2125"/>
        <w:gridCol w:w="2761"/>
        <w:gridCol w:w="1211"/>
        <w:gridCol w:w="1880"/>
        <w:gridCol w:w="1790"/>
      </w:tblGrid>
      <w:tr w14:paraId="5B0A3838">
        <w:tblPrEx>
          <w:tblCellMar>
            <w:top w:w="0" w:type="dxa"/>
            <w:left w:w="108" w:type="dxa"/>
            <w:bottom w:w="0" w:type="dxa"/>
            <w:right w:w="108" w:type="dxa"/>
          </w:tblCellMar>
        </w:tblPrEx>
        <w:trPr>
          <w:trHeight w:val="570" w:hRule="atLeast"/>
          <w:jc w:val="center"/>
        </w:trPr>
        <w:tc>
          <w:tcPr>
            <w:tcW w:w="9767" w:type="dxa"/>
            <w:gridSpan w:val="5"/>
            <w:tcBorders>
              <w:top w:val="nil"/>
              <w:left w:val="nil"/>
              <w:bottom w:val="nil"/>
              <w:right w:val="nil"/>
            </w:tcBorders>
            <w:vAlign w:val="center"/>
          </w:tcPr>
          <w:p w14:paraId="206E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t>政府采购验收单</w:t>
            </w:r>
          </w:p>
          <w:p w14:paraId="69E3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按照嘉兴市秀洲区财政局</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临[2025]129号</w:t>
            </w:r>
            <w:r>
              <w:rPr>
                <w:rFonts w:hint="eastAsia" w:asciiTheme="minorEastAsia" w:hAnsiTheme="minorEastAsia" w:eastAsiaTheme="minorEastAsia"/>
                <w:b/>
                <w:color w:val="auto"/>
                <w:szCs w:val="21"/>
                <w:highlight w:val="none"/>
                <w:u w:val="single"/>
              </w:rPr>
              <w:fldChar w:fldCharType="end"/>
            </w:r>
            <w:r>
              <w:rPr>
                <w:rFonts w:asciiTheme="minorEastAsia" w:hAnsiTheme="minorEastAsia" w:eastAsiaTheme="minorEastAsia"/>
                <w:color w:val="auto"/>
                <w:kern w:val="2"/>
                <w:szCs w:val="21"/>
                <w:highlight w:val="none"/>
              </w:rPr>
              <w:t>采购计划</w:t>
            </w:r>
            <w:r>
              <w:rPr>
                <w:rFonts w:hint="eastAsia" w:asciiTheme="minorEastAsia" w:hAnsiTheme="minorEastAsia" w:eastAsiaTheme="minorEastAsia"/>
                <w:color w:val="auto"/>
                <w:kern w:val="2"/>
                <w:szCs w:val="21"/>
                <w:highlight w:val="none"/>
              </w:rPr>
              <w:t>，采购编号：</w:t>
            </w:r>
            <w:r>
              <w:rPr>
                <w:rFonts w:hint="eastAsia" w:cs="Arial" w:asciiTheme="minorEastAsia" w:hAnsiTheme="minorEastAsia" w:eastAsiaTheme="minorEastAsia"/>
                <w:color w:val="auto"/>
                <w:szCs w:val="21"/>
                <w:highlight w:val="none"/>
                <w:lang w:eastAsia="zh-CN"/>
              </w:rPr>
              <w:t>银建-JXYJ（2025）03号</w:t>
            </w:r>
            <w:r>
              <w:rPr>
                <w:rFonts w:asciiTheme="minorEastAsia" w:hAnsiTheme="minorEastAsia" w:eastAsiaTheme="minorEastAsia"/>
                <w:color w:val="auto"/>
                <w:kern w:val="2"/>
                <w:szCs w:val="21"/>
                <w:highlight w:val="none"/>
              </w:rPr>
              <w:t xml:space="preserve"> </w:t>
            </w:r>
            <w:r>
              <w:rPr>
                <w:rFonts w:hint="eastAsia" w:asciiTheme="minorEastAsia" w:hAnsiTheme="minorEastAsia" w:eastAsiaTheme="minorEastAsia"/>
                <w:color w:val="auto"/>
                <w:kern w:val="2"/>
                <w:szCs w:val="21"/>
                <w:highlight w:val="none"/>
              </w:rPr>
              <w:t>,合同号：</w:t>
            </w:r>
            <w:r>
              <w:rPr>
                <w:rFonts w:hint="eastAsia" w:cs="Arial" w:asciiTheme="minorEastAsia" w:hAnsiTheme="minorEastAsia" w:eastAsiaTheme="minorEastAsia"/>
                <w:color w:val="auto"/>
                <w:szCs w:val="21"/>
                <w:highlight w:val="none"/>
                <w:lang w:eastAsia="zh-CN"/>
              </w:rPr>
              <w:t>银建-JXYJ（2025）03号</w:t>
            </w:r>
            <w:r>
              <w:rPr>
                <w:rFonts w:hint="eastAsia" w:asciiTheme="minorEastAsia" w:hAnsiTheme="minorEastAsia" w:eastAsiaTheme="minorEastAsia"/>
                <w:color w:val="auto"/>
                <w:kern w:val="2"/>
                <w:szCs w:val="21"/>
                <w:highlight w:val="none"/>
              </w:rPr>
              <w:t>。以下项目已采购到位并验收合格。</w:t>
            </w:r>
          </w:p>
        </w:tc>
      </w:tr>
      <w:tr w14:paraId="4542473E">
        <w:tblPrEx>
          <w:tblCellMar>
            <w:top w:w="0" w:type="dxa"/>
            <w:left w:w="108" w:type="dxa"/>
            <w:bottom w:w="0" w:type="dxa"/>
            <w:right w:w="108" w:type="dxa"/>
          </w:tblCellMar>
        </w:tblPrEx>
        <w:trPr>
          <w:trHeight w:val="870" w:hRule="atLeast"/>
          <w:jc w:val="center"/>
        </w:trPr>
        <w:tc>
          <w:tcPr>
            <w:tcW w:w="2125" w:type="dxa"/>
            <w:tcBorders>
              <w:top w:val="single" w:color="auto" w:sz="4" w:space="0"/>
              <w:left w:val="single" w:color="auto" w:sz="4" w:space="0"/>
              <w:bottom w:val="nil"/>
              <w:right w:val="single" w:color="auto" w:sz="4" w:space="0"/>
            </w:tcBorders>
            <w:vAlign w:val="center"/>
          </w:tcPr>
          <w:p w14:paraId="0CC2C7B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服务名称</w:t>
            </w:r>
          </w:p>
        </w:tc>
        <w:tc>
          <w:tcPr>
            <w:tcW w:w="2761" w:type="dxa"/>
            <w:tcBorders>
              <w:top w:val="single" w:color="auto" w:sz="4" w:space="0"/>
              <w:left w:val="nil"/>
              <w:bottom w:val="nil"/>
              <w:right w:val="single" w:color="auto" w:sz="4" w:space="0"/>
            </w:tcBorders>
            <w:vAlign w:val="center"/>
          </w:tcPr>
          <w:p w14:paraId="53B06AF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服务内容</w:t>
            </w:r>
          </w:p>
        </w:tc>
        <w:tc>
          <w:tcPr>
            <w:tcW w:w="1211" w:type="dxa"/>
            <w:tcBorders>
              <w:top w:val="single" w:color="auto" w:sz="4" w:space="0"/>
              <w:left w:val="nil"/>
              <w:bottom w:val="nil"/>
              <w:right w:val="single" w:color="auto" w:sz="4" w:space="0"/>
            </w:tcBorders>
            <w:vAlign w:val="center"/>
          </w:tcPr>
          <w:p w14:paraId="7E883F1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数量</w:t>
            </w:r>
          </w:p>
        </w:tc>
        <w:tc>
          <w:tcPr>
            <w:tcW w:w="1880" w:type="dxa"/>
            <w:tcBorders>
              <w:top w:val="single" w:color="auto" w:sz="4" w:space="0"/>
              <w:left w:val="nil"/>
              <w:bottom w:val="nil"/>
              <w:right w:val="single" w:color="auto" w:sz="4" w:space="0"/>
            </w:tcBorders>
            <w:vAlign w:val="center"/>
          </w:tcPr>
          <w:p w14:paraId="607B1526">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核定总价</w:t>
            </w:r>
          </w:p>
        </w:tc>
        <w:tc>
          <w:tcPr>
            <w:tcW w:w="1790" w:type="dxa"/>
            <w:tcBorders>
              <w:top w:val="single" w:color="auto" w:sz="4" w:space="0"/>
              <w:left w:val="nil"/>
              <w:bottom w:val="single" w:color="auto" w:sz="4" w:space="0"/>
              <w:right w:val="single" w:color="auto" w:sz="4" w:space="0"/>
            </w:tcBorders>
            <w:vAlign w:val="center"/>
          </w:tcPr>
          <w:p w14:paraId="1CCA5A7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采购人</w:t>
            </w:r>
          </w:p>
          <w:p w14:paraId="6AC47614">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验收意见</w:t>
            </w:r>
          </w:p>
        </w:tc>
      </w:tr>
      <w:tr w14:paraId="7EA8BB48">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71F644A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2761" w:type="dxa"/>
            <w:tcBorders>
              <w:top w:val="single" w:color="auto" w:sz="4" w:space="0"/>
              <w:left w:val="nil"/>
              <w:bottom w:val="single" w:color="auto" w:sz="4" w:space="0"/>
              <w:right w:val="single" w:color="auto" w:sz="4" w:space="0"/>
            </w:tcBorders>
            <w:vAlign w:val="center"/>
          </w:tcPr>
          <w:p w14:paraId="6889F1DE">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211" w:type="dxa"/>
            <w:tcBorders>
              <w:top w:val="single" w:color="auto" w:sz="4" w:space="0"/>
              <w:left w:val="nil"/>
              <w:bottom w:val="single" w:color="auto" w:sz="4" w:space="0"/>
              <w:right w:val="single" w:color="auto" w:sz="4" w:space="0"/>
            </w:tcBorders>
            <w:vAlign w:val="center"/>
          </w:tcPr>
          <w:p w14:paraId="08D5B88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880" w:type="dxa"/>
            <w:tcBorders>
              <w:top w:val="single" w:color="auto" w:sz="4" w:space="0"/>
              <w:left w:val="nil"/>
              <w:bottom w:val="single" w:color="auto" w:sz="4" w:space="0"/>
              <w:right w:val="single" w:color="auto" w:sz="4" w:space="0"/>
            </w:tcBorders>
            <w:vAlign w:val="center"/>
          </w:tcPr>
          <w:p w14:paraId="54F78ED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790" w:type="dxa"/>
            <w:tcBorders>
              <w:top w:val="nil"/>
              <w:left w:val="nil"/>
              <w:bottom w:val="single" w:color="auto" w:sz="4" w:space="0"/>
              <w:right w:val="single" w:color="auto" w:sz="4" w:space="0"/>
            </w:tcBorders>
            <w:vAlign w:val="bottom"/>
          </w:tcPr>
          <w:p w14:paraId="3CA48C6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2797E907">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038A288E">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2C23E1FC">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137D694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29395B70">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6C610C56">
            <w:pPr>
              <w:spacing w:line="360" w:lineRule="auto"/>
              <w:rPr>
                <w:rFonts w:asciiTheme="minorEastAsia" w:hAnsiTheme="minorEastAsia" w:eastAsiaTheme="minorEastAsia"/>
                <w:color w:val="auto"/>
                <w:kern w:val="2"/>
                <w:szCs w:val="21"/>
                <w:highlight w:val="none"/>
              </w:rPr>
            </w:pPr>
          </w:p>
        </w:tc>
      </w:tr>
      <w:tr w14:paraId="3425AAB3">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58E6F003">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7C08885F">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733256BD">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0E0A1AE9">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04BB568E">
            <w:pPr>
              <w:spacing w:line="360" w:lineRule="auto"/>
              <w:rPr>
                <w:rFonts w:asciiTheme="minorEastAsia" w:hAnsiTheme="minorEastAsia" w:eastAsiaTheme="minorEastAsia"/>
                <w:color w:val="auto"/>
                <w:kern w:val="2"/>
                <w:szCs w:val="21"/>
                <w:highlight w:val="none"/>
              </w:rPr>
            </w:pPr>
          </w:p>
        </w:tc>
      </w:tr>
      <w:tr w14:paraId="2D2AFA8F">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4A840B46">
            <w:pPr>
              <w:spacing w:line="360" w:lineRule="auto"/>
              <w:jc w:val="center"/>
              <w:rPr>
                <w:rFonts w:asciiTheme="minorEastAsia" w:hAnsiTheme="minorEastAsia" w:eastAsiaTheme="minorEastAsia"/>
                <w:color w:val="auto"/>
                <w:kern w:val="2"/>
                <w:szCs w:val="21"/>
                <w:highlight w:val="none"/>
              </w:rPr>
            </w:pPr>
          </w:p>
          <w:p w14:paraId="5B740942">
            <w:pPr>
              <w:pStyle w:val="3"/>
              <w:spacing w:line="360" w:lineRule="auto"/>
              <w:rPr>
                <w:rFonts w:asciiTheme="minorEastAsia" w:hAnsiTheme="minorEastAsia" w:eastAsiaTheme="minorEastAsia"/>
                <w:b w:val="0"/>
                <w:bCs w:val="0"/>
                <w:color w:val="auto"/>
                <w:kern w:val="2"/>
                <w:sz w:val="21"/>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4D249CD7">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4E663BA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14F35EEC">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41F13DF6">
            <w:pPr>
              <w:spacing w:line="360" w:lineRule="auto"/>
              <w:rPr>
                <w:rFonts w:asciiTheme="minorEastAsia" w:hAnsiTheme="minorEastAsia" w:eastAsiaTheme="minorEastAsia"/>
                <w:color w:val="auto"/>
                <w:kern w:val="2"/>
                <w:szCs w:val="21"/>
                <w:highlight w:val="none"/>
              </w:rPr>
            </w:pPr>
          </w:p>
        </w:tc>
      </w:tr>
      <w:tr w14:paraId="2DCF8790">
        <w:tblPrEx>
          <w:tblCellMar>
            <w:top w:w="0" w:type="dxa"/>
            <w:left w:w="108" w:type="dxa"/>
            <w:bottom w:w="0" w:type="dxa"/>
            <w:right w:w="108" w:type="dxa"/>
          </w:tblCellMar>
        </w:tblPrEx>
        <w:trPr>
          <w:trHeight w:val="750" w:hRule="atLeast"/>
          <w:jc w:val="center"/>
        </w:trPr>
        <w:tc>
          <w:tcPr>
            <w:tcW w:w="2125" w:type="dxa"/>
            <w:tcBorders>
              <w:top w:val="nil"/>
              <w:left w:val="single" w:color="auto" w:sz="4" w:space="0"/>
              <w:bottom w:val="single" w:color="auto" w:sz="4" w:space="0"/>
              <w:right w:val="single" w:color="auto" w:sz="4" w:space="0"/>
            </w:tcBorders>
            <w:vAlign w:val="center"/>
          </w:tcPr>
          <w:p w14:paraId="2FB31A7C">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合计总价款</w:t>
            </w:r>
          </w:p>
          <w:p w14:paraId="75BC67CA">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（人民币）</w:t>
            </w:r>
          </w:p>
        </w:tc>
        <w:tc>
          <w:tcPr>
            <w:tcW w:w="7642" w:type="dxa"/>
            <w:gridSpan w:val="4"/>
            <w:tcBorders>
              <w:top w:val="nil"/>
              <w:left w:val="nil"/>
              <w:bottom w:val="single" w:color="auto" w:sz="4" w:space="0"/>
              <w:right w:val="single" w:color="000000" w:sz="4" w:space="0"/>
            </w:tcBorders>
            <w:vAlign w:val="center"/>
          </w:tcPr>
          <w:p w14:paraId="026F8079">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人民币                 元整。       ￥:              </w:t>
            </w:r>
          </w:p>
        </w:tc>
      </w:tr>
      <w:tr w14:paraId="30D4A1EE">
        <w:tblPrEx>
          <w:tblCellMar>
            <w:top w:w="0" w:type="dxa"/>
            <w:left w:w="108" w:type="dxa"/>
            <w:bottom w:w="0" w:type="dxa"/>
            <w:right w:w="108" w:type="dxa"/>
          </w:tblCellMar>
        </w:tblPrEx>
        <w:trPr>
          <w:trHeight w:val="690" w:hRule="atLeast"/>
          <w:jc w:val="center"/>
        </w:trPr>
        <w:tc>
          <w:tcPr>
            <w:tcW w:w="2125" w:type="dxa"/>
            <w:tcBorders>
              <w:top w:val="nil"/>
              <w:left w:val="single" w:color="auto" w:sz="4" w:space="0"/>
              <w:bottom w:val="nil"/>
              <w:right w:val="nil"/>
            </w:tcBorders>
            <w:vAlign w:val="bottom"/>
          </w:tcPr>
          <w:p w14:paraId="5A16D86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供货单位（盖章）：                     </w:t>
            </w:r>
          </w:p>
        </w:tc>
        <w:tc>
          <w:tcPr>
            <w:tcW w:w="2761" w:type="dxa"/>
            <w:tcBorders>
              <w:top w:val="nil"/>
              <w:left w:val="nil"/>
              <w:bottom w:val="nil"/>
              <w:right w:val="nil"/>
            </w:tcBorders>
            <w:vAlign w:val="center"/>
          </w:tcPr>
          <w:p w14:paraId="0FD6AA70">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  采购人（盖章）:</w:t>
            </w:r>
          </w:p>
        </w:tc>
        <w:tc>
          <w:tcPr>
            <w:tcW w:w="3091" w:type="dxa"/>
            <w:gridSpan w:val="2"/>
            <w:tcBorders>
              <w:top w:val="nil"/>
              <w:left w:val="nil"/>
              <w:bottom w:val="nil"/>
              <w:right w:val="nil"/>
            </w:tcBorders>
            <w:vAlign w:val="bottom"/>
          </w:tcPr>
          <w:p w14:paraId="53C35273">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5854210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75A52819">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25240E64">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经办项目负责人：</w:t>
            </w:r>
          </w:p>
        </w:tc>
        <w:tc>
          <w:tcPr>
            <w:tcW w:w="2761" w:type="dxa"/>
            <w:tcBorders>
              <w:top w:val="nil"/>
              <w:left w:val="nil"/>
              <w:bottom w:val="nil"/>
              <w:right w:val="nil"/>
            </w:tcBorders>
            <w:vAlign w:val="center"/>
          </w:tcPr>
          <w:p w14:paraId="4F472F4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项目验收组组长：</w:t>
            </w:r>
          </w:p>
        </w:tc>
        <w:tc>
          <w:tcPr>
            <w:tcW w:w="3091" w:type="dxa"/>
            <w:gridSpan w:val="2"/>
            <w:tcBorders>
              <w:top w:val="nil"/>
              <w:left w:val="nil"/>
              <w:bottom w:val="nil"/>
              <w:right w:val="nil"/>
            </w:tcBorders>
            <w:vAlign w:val="bottom"/>
          </w:tcPr>
          <w:p w14:paraId="51B8FB87">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290CBCC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5EDD59BE">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05400F1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2761" w:type="dxa"/>
            <w:tcBorders>
              <w:top w:val="nil"/>
              <w:left w:val="nil"/>
              <w:bottom w:val="nil"/>
              <w:right w:val="nil"/>
            </w:tcBorders>
            <w:vAlign w:val="center"/>
          </w:tcPr>
          <w:p w14:paraId="0B8A8C7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1211" w:type="dxa"/>
            <w:tcBorders>
              <w:top w:val="nil"/>
              <w:left w:val="nil"/>
              <w:bottom w:val="nil"/>
              <w:right w:val="nil"/>
            </w:tcBorders>
            <w:vAlign w:val="bottom"/>
          </w:tcPr>
          <w:p w14:paraId="0EC09CBD">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024B48F0">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34FF8E93">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63CCE807">
        <w:tblPrEx>
          <w:tblCellMar>
            <w:top w:w="0" w:type="dxa"/>
            <w:left w:w="108" w:type="dxa"/>
            <w:bottom w:w="0" w:type="dxa"/>
            <w:right w:w="108" w:type="dxa"/>
          </w:tblCellMar>
        </w:tblPrEx>
        <w:trPr>
          <w:trHeight w:val="540" w:hRule="atLeast"/>
          <w:jc w:val="center"/>
        </w:trPr>
        <w:tc>
          <w:tcPr>
            <w:tcW w:w="2125" w:type="dxa"/>
            <w:tcBorders>
              <w:top w:val="nil"/>
              <w:left w:val="single" w:color="auto" w:sz="4" w:space="0"/>
              <w:bottom w:val="nil"/>
              <w:right w:val="nil"/>
            </w:tcBorders>
            <w:vAlign w:val="bottom"/>
          </w:tcPr>
          <w:p w14:paraId="6C27B425">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w:t>
            </w:r>
          </w:p>
        </w:tc>
        <w:tc>
          <w:tcPr>
            <w:tcW w:w="2761" w:type="dxa"/>
            <w:tcBorders>
              <w:top w:val="nil"/>
              <w:left w:val="nil"/>
              <w:bottom w:val="nil"/>
              <w:right w:val="nil"/>
            </w:tcBorders>
            <w:vAlign w:val="center"/>
          </w:tcPr>
          <w:p w14:paraId="5729B7A2">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项目验收组成员（签名）：</w:t>
            </w:r>
          </w:p>
        </w:tc>
        <w:tc>
          <w:tcPr>
            <w:tcW w:w="1211" w:type="dxa"/>
            <w:tcBorders>
              <w:top w:val="nil"/>
              <w:left w:val="nil"/>
              <w:bottom w:val="nil"/>
              <w:right w:val="nil"/>
            </w:tcBorders>
            <w:vAlign w:val="bottom"/>
          </w:tcPr>
          <w:p w14:paraId="6F5FECD4">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52D8DF2E">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103C2D1C">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130D42B3">
        <w:tblPrEx>
          <w:tblCellMar>
            <w:top w:w="0" w:type="dxa"/>
            <w:left w:w="108" w:type="dxa"/>
            <w:bottom w:w="0" w:type="dxa"/>
            <w:right w:w="108" w:type="dxa"/>
          </w:tblCellMar>
        </w:tblPrEx>
        <w:trPr>
          <w:trHeight w:val="675" w:hRule="atLeast"/>
          <w:jc w:val="center"/>
        </w:trPr>
        <w:tc>
          <w:tcPr>
            <w:tcW w:w="2125" w:type="dxa"/>
            <w:tcBorders>
              <w:top w:val="nil"/>
              <w:left w:val="single" w:color="auto" w:sz="4" w:space="0"/>
              <w:bottom w:val="single" w:color="auto" w:sz="4" w:space="0"/>
              <w:right w:val="nil"/>
            </w:tcBorders>
            <w:vAlign w:val="center"/>
          </w:tcPr>
          <w:p w14:paraId="7AA7AF3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银行帐号：</w:t>
            </w:r>
          </w:p>
        </w:tc>
        <w:tc>
          <w:tcPr>
            <w:tcW w:w="2761" w:type="dxa"/>
            <w:tcBorders>
              <w:top w:val="nil"/>
              <w:left w:val="nil"/>
              <w:bottom w:val="single" w:color="auto" w:sz="4" w:space="0"/>
              <w:right w:val="nil"/>
            </w:tcBorders>
            <w:vAlign w:val="bottom"/>
          </w:tcPr>
          <w:p w14:paraId="043E014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4881" w:type="dxa"/>
            <w:gridSpan w:val="3"/>
            <w:tcBorders>
              <w:top w:val="nil"/>
              <w:left w:val="nil"/>
              <w:bottom w:val="single" w:color="auto" w:sz="4" w:space="0"/>
              <w:right w:val="single" w:color="000000" w:sz="4" w:space="0"/>
            </w:tcBorders>
            <w:vAlign w:val="center"/>
          </w:tcPr>
          <w:p w14:paraId="32744A1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验收时间：       年     月     日</w:t>
            </w:r>
          </w:p>
        </w:tc>
      </w:tr>
      <w:tr w14:paraId="1C5B617A">
        <w:tblPrEx>
          <w:tblCellMar>
            <w:top w:w="0" w:type="dxa"/>
            <w:left w:w="108" w:type="dxa"/>
            <w:bottom w:w="0" w:type="dxa"/>
            <w:right w:w="108" w:type="dxa"/>
          </w:tblCellMar>
        </w:tblPrEx>
        <w:trPr>
          <w:trHeight w:val="345" w:hRule="atLeast"/>
          <w:jc w:val="center"/>
        </w:trPr>
        <w:tc>
          <w:tcPr>
            <w:tcW w:w="9767" w:type="dxa"/>
            <w:gridSpan w:val="5"/>
            <w:tcBorders>
              <w:top w:val="single" w:color="auto" w:sz="4" w:space="0"/>
              <w:left w:val="nil"/>
              <w:bottom w:val="nil"/>
              <w:right w:val="nil"/>
            </w:tcBorders>
            <w:vAlign w:val="center"/>
          </w:tcPr>
          <w:p w14:paraId="49C33270">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本单一式三联：第一联采购人留存，第二联作为财政支付凭证，第三联供货单位留存</w:t>
            </w:r>
            <w:r>
              <w:rPr>
                <w:rFonts w:asciiTheme="minorEastAsia" w:hAnsiTheme="minorEastAsia" w:eastAsiaTheme="minorEastAsia"/>
                <w:color w:val="auto"/>
                <w:kern w:val="2"/>
                <w:szCs w:val="21"/>
                <w:highlight w:val="none"/>
              </w:rPr>
              <w:t xml:space="preserve"> </w:t>
            </w:r>
          </w:p>
        </w:tc>
      </w:tr>
    </w:tbl>
    <w:p w14:paraId="0B961563">
      <w:pPr>
        <w:pStyle w:val="436"/>
        <w:snapToGrid w:val="0"/>
        <w:spacing w:line="360" w:lineRule="auto"/>
        <w:jc w:val="center"/>
        <w:rPr>
          <w:rFonts w:asciiTheme="minorEastAsia" w:hAnsiTheme="minorEastAsia" w:eastAsiaTheme="minorEastAsia"/>
          <w:b/>
          <w:color w:val="auto"/>
          <w:sz w:val="21"/>
          <w:szCs w:val="21"/>
          <w:highlight w:val="none"/>
        </w:rPr>
      </w:pPr>
    </w:p>
    <w:p w14:paraId="3809C61C">
      <w:pPr>
        <w:pStyle w:val="436"/>
        <w:snapToGrid w:val="0"/>
        <w:spacing w:line="360" w:lineRule="auto"/>
        <w:jc w:val="center"/>
        <w:rPr>
          <w:rFonts w:asciiTheme="minorEastAsia" w:hAnsiTheme="minorEastAsia" w:eastAsiaTheme="minorEastAsia"/>
          <w:b/>
          <w:color w:val="auto"/>
          <w:sz w:val="21"/>
          <w:szCs w:val="21"/>
          <w:highlight w:val="none"/>
        </w:rPr>
      </w:pPr>
    </w:p>
    <w:p w14:paraId="4A37F638">
      <w:pPr>
        <w:pStyle w:val="436"/>
        <w:snapToGrid w:val="0"/>
        <w:spacing w:line="360" w:lineRule="auto"/>
        <w:jc w:val="center"/>
        <w:rPr>
          <w:rFonts w:asciiTheme="minorEastAsia" w:hAnsiTheme="minorEastAsia" w:eastAsiaTheme="minorEastAsia"/>
          <w:b/>
          <w:color w:val="auto"/>
          <w:sz w:val="21"/>
          <w:szCs w:val="21"/>
          <w:highlight w:val="none"/>
        </w:rPr>
      </w:pPr>
    </w:p>
    <w:p w14:paraId="61BF1A49">
      <w:pPr>
        <w:pStyle w:val="436"/>
        <w:tabs>
          <w:tab w:val="left" w:pos="3858"/>
        </w:tabs>
        <w:snapToGrid w:val="0"/>
        <w:spacing w:line="360" w:lineRule="auto"/>
        <w:jc w:val="left"/>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ab/>
      </w:r>
    </w:p>
    <w:p w14:paraId="3FF18AD2">
      <w:pPr>
        <w:pStyle w:val="436"/>
        <w:snapToGrid w:val="0"/>
        <w:spacing w:line="360" w:lineRule="auto"/>
        <w:jc w:val="center"/>
        <w:rPr>
          <w:rFonts w:asciiTheme="minorEastAsia" w:hAnsiTheme="minorEastAsia" w:eastAsiaTheme="minorEastAsia"/>
          <w:b/>
          <w:color w:val="auto"/>
          <w:sz w:val="21"/>
          <w:szCs w:val="21"/>
          <w:highlight w:val="none"/>
        </w:rPr>
      </w:pPr>
    </w:p>
    <w:p w14:paraId="140D6F35">
      <w:pPr>
        <w:pStyle w:val="436"/>
        <w:snapToGrid w:val="0"/>
        <w:spacing w:line="360" w:lineRule="auto"/>
        <w:jc w:val="center"/>
        <w:rPr>
          <w:rFonts w:asciiTheme="minorEastAsia" w:hAnsiTheme="minorEastAsia" w:eastAsiaTheme="minorEastAsia"/>
          <w:b/>
          <w:color w:val="auto"/>
          <w:sz w:val="21"/>
          <w:szCs w:val="21"/>
          <w:highlight w:val="none"/>
        </w:rPr>
      </w:pPr>
    </w:p>
    <w:p w14:paraId="0B5A7888">
      <w:pPr>
        <w:pStyle w:val="436"/>
        <w:snapToGrid w:val="0"/>
        <w:spacing w:line="360" w:lineRule="auto"/>
        <w:jc w:val="center"/>
        <w:rPr>
          <w:rFonts w:asciiTheme="minorEastAsia" w:hAnsiTheme="minorEastAsia" w:eastAsiaTheme="minorEastAsia"/>
          <w:b/>
          <w:color w:val="auto"/>
          <w:sz w:val="21"/>
          <w:szCs w:val="21"/>
          <w:highlight w:val="none"/>
        </w:rPr>
      </w:pPr>
    </w:p>
    <w:p w14:paraId="1FDD5A0F">
      <w:pPr>
        <w:pStyle w:val="436"/>
        <w:snapToGrid w:val="0"/>
        <w:spacing w:line="360" w:lineRule="auto"/>
        <w:jc w:val="center"/>
        <w:rPr>
          <w:rFonts w:asciiTheme="minorEastAsia" w:hAnsiTheme="minorEastAsia" w:eastAsiaTheme="minorEastAsia"/>
          <w:b/>
          <w:color w:val="auto"/>
          <w:sz w:val="21"/>
          <w:szCs w:val="21"/>
          <w:highlight w:val="none"/>
        </w:rPr>
      </w:pPr>
    </w:p>
    <w:p w14:paraId="59973B86">
      <w:pPr>
        <w:pStyle w:val="436"/>
        <w:snapToGrid w:val="0"/>
        <w:spacing w:line="360" w:lineRule="auto"/>
        <w:jc w:val="center"/>
        <w:rPr>
          <w:rFonts w:asciiTheme="minorEastAsia" w:hAnsiTheme="minorEastAsia" w:eastAsiaTheme="minorEastAsia"/>
          <w:b/>
          <w:color w:val="auto"/>
          <w:sz w:val="21"/>
          <w:szCs w:val="21"/>
          <w:highlight w:val="none"/>
        </w:rPr>
      </w:pPr>
    </w:p>
    <w:bookmarkEnd w:id="72"/>
    <w:p w14:paraId="024A1BD8">
      <w:pPr>
        <w:snapToGrid w:val="0"/>
        <w:spacing w:line="360" w:lineRule="auto"/>
        <w:jc w:val="center"/>
        <w:rPr>
          <w:rFonts w:asciiTheme="minorEastAsia" w:hAnsiTheme="minorEastAsia" w:eastAsiaTheme="minorEastAsia"/>
          <w:b/>
          <w:bCs/>
          <w:color w:val="auto"/>
          <w:sz w:val="28"/>
          <w:szCs w:val="28"/>
          <w:highlight w:val="none"/>
        </w:rPr>
      </w:pPr>
    </w:p>
    <w:p w14:paraId="652CCA2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08" w:name="_Toc21187"/>
      <w:r>
        <w:rPr>
          <w:rFonts w:hint="eastAsia" w:asciiTheme="minorEastAsia" w:hAnsiTheme="minorEastAsia" w:eastAsiaTheme="minorEastAsia"/>
          <w:b/>
          <w:color w:val="auto"/>
          <w:sz w:val="28"/>
          <w:szCs w:val="28"/>
          <w:highlight w:val="none"/>
        </w:rPr>
        <w:t>第六章  投标文件格式</w:t>
      </w:r>
      <w:bookmarkEnd w:id="108"/>
    </w:p>
    <w:p w14:paraId="384642A0">
      <w:pPr>
        <w:snapToGrid w:val="0"/>
        <w:spacing w:line="360" w:lineRule="auto"/>
        <w:jc w:val="center"/>
        <w:rPr>
          <w:rFonts w:asciiTheme="minorEastAsia" w:hAnsiTheme="minorEastAsia" w:eastAsiaTheme="minorEastAsia"/>
          <w:b/>
          <w:bCs/>
          <w:color w:val="auto"/>
          <w:szCs w:val="21"/>
          <w:highlight w:val="none"/>
        </w:rPr>
      </w:pPr>
    </w:p>
    <w:p w14:paraId="496F9F5D">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14:paraId="21840778">
      <w:pPr>
        <w:snapToGrid w:val="0"/>
        <w:spacing w:line="360" w:lineRule="auto"/>
        <w:rPr>
          <w:rFonts w:asciiTheme="minorEastAsia" w:hAnsiTheme="minorEastAsia" w:eastAsiaTheme="minorEastAsia"/>
          <w:b/>
          <w:bCs/>
          <w:color w:val="auto"/>
          <w:szCs w:val="21"/>
          <w:highlight w:val="none"/>
        </w:rPr>
      </w:pPr>
    </w:p>
    <w:p w14:paraId="233B5498">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资信技术文件</w:t>
      </w:r>
    </w:p>
    <w:p w14:paraId="7A460D71">
      <w:pPr>
        <w:snapToGrid w:val="0"/>
        <w:spacing w:line="360" w:lineRule="auto"/>
        <w:ind w:firstLine="840" w:firstLineChars="400"/>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项目名称：</w:t>
      </w:r>
    </w:p>
    <w:p w14:paraId="3F871ED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03F1BCC4">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33D31F8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B81C41D">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22964AB6">
      <w:pPr>
        <w:snapToGrid w:val="0"/>
        <w:spacing w:line="360" w:lineRule="auto"/>
        <w:rPr>
          <w:rFonts w:asciiTheme="minorEastAsia" w:hAnsiTheme="minorEastAsia" w:eastAsiaTheme="minorEastAsia"/>
          <w:b/>
          <w:color w:val="auto"/>
          <w:szCs w:val="21"/>
          <w:highlight w:val="none"/>
        </w:rPr>
      </w:pPr>
    </w:p>
    <w:p w14:paraId="407C5582">
      <w:pPr>
        <w:snapToGrid w:val="0"/>
        <w:spacing w:line="360" w:lineRule="auto"/>
        <w:rPr>
          <w:rFonts w:asciiTheme="minorEastAsia" w:hAnsiTheme="minorEastAsia" w:eastAsiaTheme="minorEastAsia"/>
          <w:b/>
          <w:color w:val="auto"/>
          <w:szCs w:val="21"/>
          <w:highlight w:val="none"/>
        </w:rPr>
      </w:pPr>
    </w:p>
    <w:p w14:paraId="749C4881">
      <w:pPr>
        <w:snapToGrid w:val="0"/>
        <w:spacing w:line="360" w:lineRule="auto"/>
        <w:rPr>
          <w:rFonts w:asciiTheme="minorEastAsia" w:hAnsiTheme="minorEastAsia" w:eastAsiaTheme="minorEastAsia"/>
          <w:b/>
          <w:color w:val="auto"/>
          <w:szCs w:val="21"/>
          <w:highlight w:val="none"/>
        </w:rPr>
      </w:pPr>
    </w:p>
    <w:p w14:paraId="2E58C4A5">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商务报价文件</w:t>
      </w:r>
    </w:p>
    <w:p w14:paraId="64A27A30">
      <w:pPr>
        <w:snapToGrid w:val="0"/>
        <w:spacing w:line="360" w:lineRule="auto"/>
        <w:rPr>
          <w:rFonts w:asciiTheme="minorEastAsia" w:hAnsiTheme="minorEastAsia" w:eastAsiaTheme="minorEastAsia"/>
          <w:bCs/>
          <w:color w:val="auto"/>
          <w:szCs w:val="21"/>
          <w:highlight w:val="none"/>
        </w:rPr>
      </w:pPr>
    </w:p>
    <w:p w14:paraId="7AE8A9C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14:paraId="37BC87C9">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742EF07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46CB6F68">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4265A30">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40272DB8">
      <w:pPr>
        <w:spacing w:line="360" w:lineRule="auto"/>
        <w:rPr>
          <w:rFonts w:asciiTheme="minorEastAsia" w:hAnsiTheme="minorEastAsia" w:eastAsiaTheme="minorEastAsia"/>
          <w:color w:val="auto"/>
          <w:szCs w:val="21"/>
          <w:highlight w:val="none"/>
        </w:rPr>
      </w:pPr>
    </w:p>
    <w:p w14:paraId="1F40357E">
      <w:pPr>
        <w:snapToGrid w:val="0"/>
        <w:spacing w:line="360" w:lineRule="auto"/>
        <w:rPr>
          <w:rFonts w:asciiTheme="minorEastAsia" w:hAnsiTheme="minorEastAsia" w:eastAsiaTheme="minorEastAsia"/>
          <w:b/>
          <w:color w:val="auto"/>
          <w:szCs w:val="21"/>
          <w:highlight w:val="none"/>
        </w:rPr>
      </w:pPr>
    </w:p>
    <w:p w14:paraId="08C3BEA0">
      <w:pPr>
        <w:snapToGrid w:val="0"/>
        <w:spacing w:line="360" w:lineRule="auto"/>
        <w:rPr>
          <w:rFonts w:asciiTheme="minorEastAsia" w:hAnsiTheme="minorEastAsia" w:eastAsiaTheme="minorEastAsia"/>
          <w:b/>
          <w:color w:val="auto"/>
          <w:szCs w:val="21"/>
          <w:highlight w:val="none"/>
        </w:rPr>
      </w:pPr>
    </w:p>
    <w:p w14:paraId="5F484FB7">
      <w:pPr>
        <w:snapToGrid w:val="0"/>
        <w:spacing w:line="360" w:lineRule="auto"/>
        <w:rPr>
          <w:rFonts w:asciiTheme="minorEastAsia" w:hAnsiTheme="minorEastAsia" w:eastAsiaTheme="minorEastAsia"/>
          <w:b/>
          <w:color w:val="auto"/>
          <w:szCs w:val="21"/>
          <w:highlight w:val="none"/>
        </w:rPr>
      </w:pPr>
    </w:p>
    <w:p w14:paraId="0A8F16DA">
      <w:pPr>
        <w:snapToGrid w:val="0"/>
        <w:spacing w:line="360" w:lineRule="auto"/>
        <w:rPr>
          <w:rFonts w:asciiTheme="minorEastAsia" w:hAnsiTheme="minorEastAsia" w:eastAsiaTheme="minorEastAsia"/>
          <w:b/>
          <w:color w:val="auto"/>
          <w:szCs w:val="21"/>
          <w:highlight w:val="none"/>
        </w:rPr>
      </w:pPr>
    </w:p>
    <w:p w14:paraId="442FB7F4">
      <w:pPr>
        <w:snapToGrid w:val="0"/>
        <w:spacing w:line="360" w:lineRule="auto"/>
        <w:rPr>
          <w:rFonts w:asciiTheme="minorEastAsia" w:hAnsiTheme="minorEastAsia" w:eastAsiaTheme="minorEastAsia"/>
          <w:b/>
          <w:color w:val="auto"/>
          <w:szCs w:val="21"/>
          <w:highlight w:val="none"/>
        </w:rPr>
      </w:pPr>
    </w:p>
    <w:p w14:paraId="73B282AF">
      <w:pPr>
        <w:snapToGrid w:val="0"/>
        <w:spacing w:line="360" w:lineRule="auto"/>
        <w:rPr>
          <w:rFonts w:asciiTheme="minorEastAsia" w:hAnsiTheme="minorEastAsia" w:eastAsiaTheme="minorEastAsia"/>
          <w:b/>
          <w:color w:val="auto"/>
          <w:szCs w:val="21"/>
          <w:highlight w:val="none"/>
        </w:rPr>
      </w:pPr>
    </w:p>
    <w:p w14:paraId="7B54E64B">
      <w:pPr>
        <w:snapToGrid w:val="0"/>
        <w:spacing w:line="360" w:lineRule="auto"/>
        <w:rPr>
          <w:rFonts w:asciiTheme="minorEastAsia" w:hAnsiTheme="minorEastAsia" w:eastAsiaTheme="minorEastAsia"/>
          <w:b/>
          <w:color w:val="auto"/>
          <w:szCs w:val="21"/>
          <w:highlight w:val="none"/>
        </w:rPr>
      </w:pPr>
    </w:p>
    <w:p w14:paraId="66224117">
      <w:pPr>
        <w:snapToGrid w:val="0"/>
        <w:spacing w:line="360" w:lineRule="auto"/>
        <w:rPr>
          <w:rFonts w:asciiTheme="minorEastAsia" w:hAnsiTheme="minorEastAsia" w:eastAsiaTheme="minorEastAsia"/>
          <w:b/>
          <w:color w:val="auto"/>
          <w:szCs w:val="21"/>
          <w:highlight w:val="none"/>
        </w:rPr>
      </w:pPr>
    </w:p>
    <w:p w14:paraId="04E403B4">
      <w:pPr>
        <w:snapToGrid w:val="0"/>
        <w:spacing w:line="360" w:lineRule="auto"/>
        <w:rPr>
          <w:rFonts w:asciiTheme="minorEastAsia" w:hAnsiTheme="minorEastAsia" w:eastAsiaTheme="minorEastAsia"/>
          <w:b/>
          <w:color w:val="auto"/>
          <w:szCs w:val="21"/>
          <w:highlight w:val="none"/>
        </w:rPr>
      </w:pPr>
    </w:p>
    <w:p w14:paraId="5D245984">
      <w:pPr>
        <w:snapToGrid w:val="0"/>
        <w:spacing w:line="360" w:lineRule="auto"/>
        <w:rPr>
          <w:rFonts w:asciiTheme="minorEastAsia" w:hAnsiTheme="minorEastAsia" w:eastAsiaTheme="minorEastAsia"/>
          <w:b/>
          <w:color w:val="auto"/>
          <w:szCs w:val="21"/>
          <w:highlight w:val="none"/>
        </w:rPr>
      </w:pPr>
    </w:p>
    <w:p w14:paraId="7B112EC3">
      <w:pPr>
        <w:snapToGrid w:val="0"/>
        <w:spacing w:line="360" w:lineRule="auto"/>
        <w:rPr>
          <w:rFonts w:asciiTheme="minorEastAsia" w:hAnsiTheme="minorEastAsia" w:eastAsiaTheme="minorEastAsia"/>
          <w:b/>
          <w:color w:val="auto"/>
          <w:szCs w:val="21"/>
          <w:highlight w:val="none"/>
        </w:rPr>
      </w:pPr>
    </w:p>
    <w:p w14:paraId="3A9BFBF3">
      <w:pPr>
        <w:snapToGrid w:val="0"/>
        <w:spacing w:line="360" w:lineRule="auto"/>
        <w:rPr>
          <w:rFonts w:asciiTheme="minorEastAsia" w:hAnsiTheme="minorEastAsia" w:eastAsiaTheme="minorEastAsia"/>
          <w:b/>
          <w:color w:val="auto"/>
          <w:szCs w:val="21"/>
          <w:highlight w:val="none"/>
        </w:rPr>
      </w:pPr>
    </w:p>
    <w:p w14:paraId="7BCB3BFC">
      <w:pPr>
        <w:snapToGrid w:val="0"/>
        <w:spacing w:line="360" w:lineRule="auto"/>
        <w:rPr>
          <w:rFonts w:asciiTheme="minorEastAsia" w:hAnsiTheme="minorEastAsia" w:eastAsiaTheme="minorEastAsia"/>
          <w:b/>
          <w:color w:val="auto"/>
          <w:szCs w:val="21"/>
          <w:highlight w:val="none"/>
        </w:rPr>
      </w:pPr>
    </w:p>
    <w:p w14:paraId="5AF60E84">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24F0E435">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39580223">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0AEBF486">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14:paraId="30D28285">
      <w:pPr>
        <w:snapToGrid w:val="0"/>
        <w:spacing w:before="120"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的法定代表人，我方愿意参加贵方组织的的投标，为便于贵方公正、择优地确定中标人及其投标产品和服务，我方就本次投标有关事项郑重声明如下：</w:t>
      </w:r>
    </w:p>
    <w:p w14:paraId="5553F417">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14:paraId="57AD3A1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2.我方承诺具有履行合同所必需的设备和专业技术能力； </w:t>
      </w:r>
    </w:p>
    <w:p w14:paraId="17BFCE89">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highlight w:val="none"/>
        </w:rPr>
        <w:t>我方承诺</w:t>
      </w:r>
      <w:r>
        <w:rPr>
          <w:rFonts w:hint="eastAsia" w:asciiTheme="minorEastAsia" w:hAnsiTheme="minorEastAsia" w:eastAsiaTheme="minorEastAsia"/>
          <w:color w:val="auto"/>
          <w:szCs w:val="21"/>
          <w:highlight w:val="none"/>
        </w:rPr>
        <w:t xml:space="preserve">具有良好的商业信誉和健全的财务会计制度；（附财务报表）（格式自拟） </w:t>
      </w:r>
    </w:p>
    <w:p w14:paraId="489EE09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4.我方承诺有依法缴纳税收和社会保障资金的良好记录；（附依法缴纳税费或依法免缴税费的证明）（格式自拟） </w:t>
      </w:r>
    </w:p>
    <w:p w14:paraId="139A4723">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14:paraId="3E963AC6">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3F5972F6">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14:paraId="17247665">
      <w:pPr>
        <w:spacing w:line="360" w:lineRule="auto"/>
        <w:ind w:firstLine="527" w:firstLineChars="250"/>
        <w:jc w:val="center"/>
        <w:rPr>
          <w:rFonts w:asciiTheme="minorEastAsia" w:hAnsiTheme="minorEastAsia" w:eastAsiaTheme="minorEastAsia"/>
          <w:b/>
          <w:color w:val="auto"/>
          <w:szCs w:val="21"/>
          <w:highlight w:val="none"/>
        </w:rPr>
      </w:pPr>
    </w:p>
    <w:p w14:paraId="65DEF226">
      <w:pPr>
        <w:spacing w:before="120" w:beforeLines="50" w:line="360" w:lineRule="auto"/>
        <w:ind w:firstLine="1500" w:firstLineChars="6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E5E7AAE">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624E2F2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145E891">
      <w:pPr>
        <w:pStyle w:val="29"/>
        <w:snapToGrid w:val="0"/>
        <w:spacing w:line="360" w:lineRule="auto"/>
        <w:rPr>
          <w:rFonts w:asciiTheme="minorEastAsia" w:hAnsiTheme="minorEastAsia" w:eastAsiaTheme="minorEastAsia"/>
          <w:color w:val="auto"/>
          <w:szCs w:val="21"/>
          <w:highlight w:val="none"/>
        </w:rPr>
      </w:pPr>
    </w:p>
    <w:p w14:paraId="054BE013">
      <w:pPr>
        <w:snapToGrid w:val="0"/>
        <w:spacing w:line="360" w:lineRule="auto"/>
        <w:rPr>
          <w:rFonts w:asciiTheme="minorEastAsia" w:hAnsiTheme="minorEastAsia" w:eastAsiaTheme="minorEastAsia"/>
          <w:b/>
          <w:color w:val="auto"/>
          <w:szCs w:val="21"/>
          <w:highlight w:val="none"/>
        </w:rPr>
      </w:pPr>
    </w:p>
    <w:p w14:paraId="32FD37E7">
      <w:pPr>
        <w:snapToGrid w:val="0"/>
        <w:spacing w:line="360" w:lineRule="auto"/>
        <w:rPr>
          <w:rFonts w:asciiTheme="minorEastAsia" w:hAnsiTheme="minorEastAsia" w:eastAsiaTheme="minorEastAsia"/>
          <w:b/>
          <w:color w:val="auto"/>
          <w:szCs w:val="21"/>
          <w:highlight w:val="none"/>
        </w:rPr>
      </w:pPr>
    </w:p>
    <w:p w14:paraId="3E41594E">
      <w:pPr>
        <w:snapToGrid w:val="0"/>
        <w:spacing w:line="360" w:lineRule="auto"/>
        <w:rPr>
          <w:rFonts w:asciiTheme="minorEastAsia" w:hAnsiTheme="minorEastAsia" w:eastAsiaTheme="minorEastAsia"/>
          <w:b/>
          <w:color w:val="auto"/>
          <w:szCs w:val="21"/>
          <w:highlight w:val="none"/>
        </w:rPr>
      </w:pPr>
    </w:p>
    <w:p w14:paraId="1CB46E98">
      <w:pPr>
        <w:snapToGrid w:val="0"/>
        <w:spacing w:line="360" w:lineRule="auto"/>
        <w:rPr>
          <w:rFonts w:asciiTheme="minorEastAsia" w:hAnsiTheme="minorEastAsia" w:eastAsiaTheme="minorEastAsia"/>
          <w:b/>
          <w:color w:val="auto"/>
          <w:szCs w:val="21"/>
          <w:highlight w:val="none"/>
        </w:rPr>
      </w:pPr>
    </w:p>
    <w:p w14:paraId="693EF792">
      <w:pPr>
        <w:snapToGrid w:val="0"/>
        <w:spacing w:line="360" w:lineRule="auto"/>
        <w:rPr>
          <w:rFonts w:asciiTheme="minorEastAsia" w:hAnsiTheme="minorEastAsia" w:eastAsiaTheme="minorEastAsia"/>
          <w:b/>
          <w:color w:val="auto"/>
          <w:szCs w:val="21"/>
          <w:highlight w:val="none"/>
        </w:rPr>
      </w:pPr>
    </w:p>
    <w:p w14:paraId="57A31D38">
      <w:pPr>
        <w:snapToGrid w:val="0"/>
        <w:spacing w:line="360" w:lineRule="auto"/>
        <w:rPr>
          <w:rFonts w:asciiTheme="minorEastAsia" w:hAnsiTheme="minorEastAsia" w:eastAsiaTheme="minorEastAsia"/>
          <w:b/>
          <w:color w:val="auto"/>
          <w:szCs w:val="21"/>
          <w:highlight w:val="none"/>
        </w:rPr>
      </w:pPr>
    </w:p>
    <w:p w14:paraId="66D4586E">
      <w:pPr>
        <w:snapToGrid w:val="0"/>
        <w:spacing w:line="360" w:lineRule="auto"/>
        <w:rPr>
          <w:rFonts w:asciiTheme="minorEastAsia" w:hAnsiTheme="minorEastAsia" w:eastAsiaTheme="minorEastAsia"/>
          <w:b/>
          <w:color w:val="auto"/>
          <w:szCs w:val="21"/>
          <w:highlight w:val="none"/>
        </w:rPr>
      </w:pPr>
    </w:p>
    <w:p w14:paraId="2DCF4FCB">
      <w:pPr>
        <w:snapToGrid w:val="0"/>
        <w:spacing w:line="360" w:lineRule="auto"/>
        <w:rPr>
          <w:rFonts w:asciiTheme="minorEastAsia" w:hAnsiTheme="minorEastAsia" w:eastAsiaTheme="minorEastAsia"/>
          <w:b/>
          <w:color w:val="auto"/>
          <w:szCs w:val="21"/>
          <w:highlight w:val="none"/>
        </w:rPr>
      </w:pPr>
    </w:p>
    <w:p w14:paraId="5E379F18">
      <w:pPr>
        <w:snapToGrid w:val="0"/>
        <w:spacing w:line="360" w:lineRule="auto"/>
        <w:rPr>
          <w:rFonts w:asciiTheme="minorEastAsia" w:hAnsiTheme="minorEastAsia" w:eastAsiaTheme="minorEastAsia"/>
          <w:b/>
          <w:color w:val="auto"/>
          <w:szCs w:val="21"/>
          <w:highlight w:val="none"/>
        </w:rPr>
      </w:pPr>
    </w:p>
    <w:p w14:paraId="5466C49F">
      <w:pPr>
        <w:snapToGrid w:val="0"/>
        <w:spacing w:line="360" w:lineRule="auto"/>
        <w:rPr>
          <w:rFonts w:asciiTheme="minorEastAsia" w:hAnsiTheme="minorEastAsia" w:eastAsiaTheme="minorEastAsia"/>
          <w:b/>
          <w:color w:val="auto"/>
          <w:szCs w:val="21"/>
          <w:highlight w:val="none"/>
        </w:rPr>
      </w:pPr>
    </w:p>
    <w:p w14:paraId="1FF8B442">
      <w:pPr>
        <w:snapToGrid w:val="0"/>
        <w:spacing w:line="360" w:lineRule="auto"/>
        <w:rPr>
          <w:rFonts w:asciiTheme="minorEastAsia" w:hAnsiTheme="minorEastAsia" w:eastAsiaTheme="minorEastAsia"/>
          <w:b/>
          <w:color w:val="auto"/>
          <w:szCs w:val="21"/>
          <w:highlight w:val="none"/>
        </w:rPr>
      </w:pPr>
    </w:p>
    <w:p w14:paraId="65892F4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F2E636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515D7B3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3A5AD38">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新城街道派出所营房内部改造项目</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14:paraId="107998F6">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14:paraId="7E35FB3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14:paraId="040FC89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14:paraId="386F45D3">
      <w:pPr>
        <w:snapToGrid w:val="0"/>
        <w:spacing w:line="360" w:lineRule="auto"/>
        <w:rPr>
          <w:rFonts w:asciiTheme="minorEastAsia" w:hAnsiTheme="minorEastAsia" w:eastAsiaTheme="minorEastAsia"/>
          <w:color w:val="auto"/>
          <w:szCs w:val="21"/>
          <w:highlight w:val="none"/>
        </w:rPr>
      </w:pPr>
    </w:p>
    <w:p w14:paraId="261E34F7">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14:paraId="36937B36">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14:paraId="1BBB7764">
      <w:pPr>
        <w:snapToGrid w:val="0"/>
        <w:spacing w:before="120" w:beforeLines="50" w:after="50" w:line="360" w:lineRule="auto"/>
        <w:rPr>
          <w:rFonts w:asciiTheme="minorEastAsia" w:hAnsiTheme="minorEastAsia" w:eastAsiaTheme="minorEastAsia"/>
          <w:color w:val="auto"/>
          <w:szCs w:val="21"/>
          <w:highlight w:val="none"/>
        </w:rPr>
      </w:pPr>
    </w:p>
    <w:p w14:paraId="6A703D32">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14:paraId="041E2477">
      <w:pPr>
        <w:snapToGrid w:val="0"/>
        <w:spacing w:line="360" w:lineRule="auto"/>
        <w:rPr>
          <w:rFonts w:asciiTheme="minorEastAsia" w:hAnsiTheme="minorEastAsia" w:eastAsiaTheme="minorEastAsia"/>
          <w:color w:val="auto"/>
          <w:szCs w:val="21"/>
          <w:highlight w:val="none"/>
        </w:rPr>
      </w:pPr>
    </w:p>
    <w:p w14:paraId="0F65A90A">
      <w:pPr>
        <w:snapToGrid w:val="0"/>
        <w:spacing w:line="360" w:lineRule="auto"/>
        <w:ind w:firstLine="200"/>
        <w:jc w:val="right"/>
        <w:rPr>
          <w:rFonts w:asciiTheme="minorEastAsia" w:hAnsiTheme="minorEastAsia" w:eastAsiaTheme="minorEastAsia"/>
          <w:color w:val="auto"/>
          <w:szCs w:val="21"/>
          <w:highlight w:val="none"/>
          <w:u w:val="single"/>
        </w:rPr>
      </w:pPr>
    </w:p>
    <w:p w14:paraId="459FDD50">
      <w:pPr>
        <w:spacing w:before="120" w:beforeLines="50" w:line="360" w:lineRule="auto"/>
        <w:jc w:val="right"/>
        <w:rPr>
          <w:rFonts w:asciiTheme="minorEastAsia" w:hAnsiTheme="minorEastAsia" w:eastAsiaTheme="minorEastAsia"/>
          <w:color w:val="auto"/>
          <w:szCs w:val="21"/>
          <w:highlight w:val="none"/>
        </w:rPr>
      </w:pPr>
    </w:p>
    <w:p w14:paraId="1C0098FB">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329374E1">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2DD6D421">
      <w:pPr>
        <w:snapToGrid w:val="0"/>
        <w:spacing w:line="360" w:lineRule="auto"/>
        <w:ind w:firstLine="210" w:firstLineChars="100"/>
        <w:jc w:val="right"/>
        <w:rPr>
          <w:rFonts w:asciiTheme="minorEastAsia" w:hAnsiTheme="minorEastAsia" w:eastAsiaTheme="minorEastAsia"/>
          <w:color w:val="auto"/>
          <w:szCs w:val="21"/>
          <w:highlight w:val="none"/>
        </w:rPr>
      </w:pPr>
    </w:p>
    <w:p w14:paraId="3024DB9E">
      <w:pPr>
        <w:snapToGrid w:val="0"/>
        <w:spacing w:line="360" w:lineRule="auto"/>
        <w:rPr>
          <w:rFonts w:asciiTheme="minorEastAsia" w:hAnsiTheme="minorEastAsia" w:eastAsiaTheme="minorEastAsia"/>
          <w:color w:val="auto"/>
          <w:szCs w:val="21"/>
          <w:highlight w:val="none"/>
        </w:rPr>
      </w:pPr>
    </w:p>
    <w:p w14:paraId="084849BB">
      <w:pPr>
        <w:snapToGrid w:val="0"/>
        <w:spacing w:line="360" w:lineRule="auto"/>
        <w:rPr>
          <w:rFonts w:asciiTheme="minorEastAsia" w:hAnsiTheme="minorEastAsia" w:eastAsiaTheme="minorEastAsia"/>
          <w:color w:val="auto"/>
          <w:szCs w:val="21"/>
          <w:highlight w:val="none"/>
        </w:rPr>
      </w:pPr>
    </w:p>
    <w:p w14:paraId="48A317D2">
      <w:pPr>
        <w:snapToGrid w:val="0"/>
        <w:spacing w:line="360" w:lineRule="auto"/>
        <w:rPr>
          <w:rFonts w:asciiTheme="minorEastAsia" w:hAnsiTheme="minorEastAsia" w:eastAsiaTheme="minorEastAsia"/>
          <w:b/>
          <w:color w:val="auto"/>
          <w:szCs w:val="21"/>
          <w:highlight w:val="none"/>
        </w:rPr>
      </w:pPr>
    </w:p>
    <w:p w14:paraId="28384042">
      <w:pPr>
        <w:snapToGrid w:val="0"/>
        <w:spacing w:line="360" w:lineRule="auto"/>
        <w:rPr>
          <w:rFonts w:asciiTheme="minorEastAsia" w:hAnsiTheme="minorEastAsia" w:eastAsiaTheme="minorEastAsia"/>
          <w:b/>
          <w:color w:val="auto"/>
          <w:szCs w:val="21"/>
          <w:highlight w:val="none"/>
        </w:rPr>
      </w:pPr>
    </w:p>
    <w:p w14:paraId="32CCCC2B">
      <w:pPr>
        <w:snapToGrid w:val="0"/>
        <w:spacing w:line="360" w:lineRule="auto"/>
        <w:rPr>
          <w:rFonts w:asciiTheme="minorEastAsia" w:hAnsiTheme="minorEastAsia" w:eastAsiaTheme="minorEastAsia"/>
          <w:b/>
          <w:color w:val="auto"/>
          <w:szCs w:val="21"/>
          <w:highlight w:val="none"/>
        </w:rPr>
      </w:pPr>
    </w:p>
    <w:p w14:paraId="659C9E9A">
      <w:pPr>
        <w:snapToGrid w:val="0"/>
        <w:spacing w:line="360" w:lineRule="auto"/>
        <w:rPr>
          <w:rFonts w:asciiTheme="minorEastAsia" w:hAnsiTheme="minorEastAsia" w:eastAsiaTheme="minorEastAsia"/>
          <w:b/>
          <w:color w:val="auto"/>
          <w:szCs w:val="21"/>
          <w:highlight w:val="none"/>
        </w:rPr>
      </w:pPr>
    </w:p>
    <w:p w14:paraId="0D6D0255">
      <w:pPr>
        <w:snapToGrid w:val="0"/>
        <w:spacing w:line="360" w:lineRule="auto"/>
        <w:rPr>
          <w:rFonts w:asciiTheme="minorEastAsia" w:hAnsiTheme="minorEastAsia" w:eastAsiaTheme="minorEastAsia"/>
          <w:b/>
          <w:color w:val="auto"/>
          <w:szCs w:val="21"/>
          <w:highlight w:val="none"/>
        </w:rPr>
      </w:pPr>
    </w:p>
    <w:p w14:paraId="7C037074">
      <w:pPr>
        <w:snapToGrid w:val="0"/>
        <w:spacing w:line="360" w:lineRule="auto"/>
        <w:rPr>
          <w:rFonts w:asciiTheme="minorEastAsia" w:hAnsiTheme="minorEastAsia" w:eastAsiaTheme="minorEastAsia"/>
          <w:b/>
          <w:color w:val="auto"/>
          <w:szCs w:val="21"/>
          <w:highlight w:val="none"/>
        </w:rPr>
      </w:pPr>
    </w:p>
    <w:p w14:paraId="61E0042E">
      <w:pPr>
        <w:snapToGrid w:val="0"/>
        <w:spacing w:line="360" w:lineRule="auto"/>
        <w:rPr>
          <w:rFonts w:asciiTheme="minorEastAsia" w:hAnsiTheme="minorEastAsia" w:eastAsiaTheme="minorEastAsia"/>
          <w:b/>
          <w:color w:val="auto"/>
          <w:szCs w:val="21"/>
          <w:highlight w:val="none"/>
        </w:rPr>
      </w:pPr>
    </w:p>
    <w:p w14:paraId="03F63E72">
      <w:pPr>
        <w:snapToGrid w:val="0"/>
        <w:spacing w:line="360" w:lineRule="auto"/>
        <w:rPr>
          <w:rFonts w:asciiTheme="minorEastAsia" w:hAnsiTheme="minorEastAsia" w:eastAsiaTheme="minorEastAsia"/>
          <w:b/>
          <w:color w:val="auto"/>
          <w:szCs w:val="21"/>
          <w:highlight w:val="none"/>
        </w:rPr>
      </w:pPr>
    </w:p>
    <w:p w14:paraId="7B1C48EB">
      <w:pPr>
        <w:snapToGrid w:val="0"/>
        <w:spacing w:line="360" w:lineRule="auto"/>
        <w:rPr>
          <w:rFonts w:asciiTheme="minorEastAsia" w:hAnsiTheme="minorEastAsia" w:eastAsiaTheme="minorEastAsia"/>
          <w:b/>
          <w:color w:val="auto"/>
          <w:szCs w:val="21"/>
          <w:highlight w:val="none"/>
        </w:rPr>
      </w:pPr>
    </w:p>
    <w:p w14:paraId="69A58562">
      <w:pPr>
        <w:snapToGrid w:val="0"/>
        <w:spacing w:line="360" w:lineRule="auto"/>
        <w:rPr>
          <w:rFonts w:asciiTheme="minorEastAsia" w:hAnsiTheme="minorEastAsia" w:eastAsiaTheme="minorEastAsia"/>
          <w:b/>
          <w:color w:val="auto"/>
          <w:szCs w:val="21"/>
          <w:highlight w:val="none"/>
        </w:rPr>
      </w:pPr>
    </w:p>
    <w:p w14:paraId="7144800F">
      <w:pPr>
        <w:snapToGrid w:val="0"/>
        <w:spacing w:line="360" w:lineRule="auto"/>
        <w:rPr>
          <w:rFonts w:asciiTheme="minorEastAsia" w:hAnsiTheme="minorEastAsia" w:eastAsiaTheme="minorEastAsia"/>
          <w:b/>
          <w:color w:val="auto"/>
          <w:szCs w:val="21"/>
          <w:highlight w:val="none"/>
        </w:rPr>
      </w:pPr>
    </w:p>
    <w:p w14:paraId="46284A7D">
      <w:pPr>
        <w:snapToGrid w:val="0"/>
        <w:spacing w:line="360" w:lineRule="auto"/>
        <w:rPr>
          <w:rFonts w:asciiTheme="minorEastAsia" w:hAnsiTheme="minorEastAsia" w:eastAsiaTheme="minorEastAsia"/>
          <w:b/>
          <w:color w:val="auto"/>
          <w:szCs w:val="21"/>
          <w:highlight w:val="none"/>
        </w:rPr>
      </w:pPr>
    </w:p>
    <w:p w14:paraId="59806DB3">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6B14EF5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4FCD3F61">
      <w:pPr>
        <w:spacing w:line="360" w:lineRule="auto"/>
        <w:rPr>
          <w:rFonts w:asciiTheme="minorEastAsia" w:hAnsiTheme="minorEastAsia" w:eastAsiaTheme="minorEastAsia"/>
          <w:color w:val="auto"/>
          <w:szCs w:val="21"/>
          <w:highlight w:val="none"/>
        </w:rPr>
      </w:pPr>
    </w:p>
    <w:p w14:paraId="23EFE1C2">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EDA55A5">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新城街道派出所营房内部改造项目</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14:paraId="6BC98D49">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14:paraId="1F1A9289">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2、有效期内的法人营业执照（或民非登记证书）副本复印件（加盖公章）、</w:t>
      </w:r>
    </w:p>
    <w:p w14:paraId="0FBB1CE0">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14:paraId="242DF86E">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14:paraId="6C4E7D58">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14:paraId="3CF64CDC">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450E68B8">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05CBE22D">
      <w:pPr>
        <w:spacing w:before="120" w:beforeLines="50" w:line="360" w:lineRule="auto"/>
        <w:ind w:firstLine="2750" w:firstLineChars="11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26FA2F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58B64C5F">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18494A6">
      <w:pPr>
        <w:spacing w:line="360" w:lineRule="auto"/>
        <w:jc w:val="center"/>
        <w:rPr>
          <w:rFonts w:asciiTheme="minorEastAsia" w:hAnsiTheme="minorEastAsia" w:eastAsiaTheme="minorEastAsia"/>
          <w:b/>
          <w:color w:val="auto"/>
          <w:szCs w:val="21"/>
          <w:highlight w:val="none"/>
        </w:rPr>
      </w:pPr>
    </w:p>
    <w:p w14:paraId="47EE78D6">
      <w:pPr>
        <w:spacing w:line="360" w:lineRule="auto"/>
        <w:jc w:val="center"/>
        <w:rPr>
          <w:rFonts w:asciiTheme="minorEastAsia" w:hAnsiTheme="minorEastAsia" w:eastAsiaTheme="minorEastAsia"/>
          <w:b/>
          <w:color w:val="auto"/>
          <w:szCs w:val="21"/>
          <w:highlight w:val="none"/>
        </w:rPr>
      </w:pPr>
    </w:p>
    <w:p w14:paraId="53F15C93">
      <w:pPr>
        <w:spacing w:line="360" w:lineRule="auto"/>
        <w:jc w:val="center"/>
        <w:rPr>
          <w:rFonts w:asciiTheme="minorEastAsia" w:hAnsiTheme="minorEastAsia" w:eastAsiaTheme="minorEastAsia"/>
          <w:b/>
          <w:color w:val="auto"/>
          <w:szCs w:val="21"/>
          <w:highlight w:val="none"/>
        </w:rPr>
      </w:pPr>
    </w:p>
    <w:p w14:paraId="2957EA6D">
      <w:pPr>
        <w:spacing w:line="360" w:lineRule="auto"/>
        <w:jc w:val="center"/>
        <w:rPr>
          <w:rFonts w:asciiTheme="minorEastAsia" w:hAnsiTheme="minorEastAsia" w:eastAsiaTheme="minorEastAsia"/>
          <w:b/>
          <w:color w:val="auto"/>
          <w:szCs w:val="21"/>
          <w:highlight w:val="none"/>
        </w:rPr>
      </w:pPr>
    </w:p>
    <w:p w14:paraId="1E21B981">
      <w:pPr>
        <w:spacing w:line="360" w:lineRule="auto"/>
        <w:jc w:val="center"/>
        <w:rPr>
          <w:rFonts w:asciiTheme="minorEastAsia" w:hAnsiTheme="minorEastAsia" w:eastAsiaTheme="minorEastAsia"/>
          <w:b/>
          <w:color w:val="auto"/>
          <w:szCs w:val="21"/>
          <w:highlight w:val="none"/>
        </w:rPr>
      </w:pPr>
    </w:p>
    <w:p w14:paraId="120425A3">
      <w:pPr>
        <w:spacing w:line="360" w:lineRule="auto"/>
        <w:jc w:val="center"/>
        <w:rPr>
          <w:rFonts w:asciiTheme="minorEastAsia" w:hAnsiTheme="minorEastAsia" w:eastAsiaTheme="minorEastAsia"/>
          <w:b/>
          <w:color w:val="auto"/>
          <w:szCs w:val="21"/>
          <w:highlight w:val="none"/>
        </w:rPr>
      </w:pPr>
    </w:p>
    <w:p w14:paraId="446A5A2E">
      <w:pPr>
        <w:spacing w:line="360" w:lineRule="auto"/>
        <w:rPr>
          <w:rFonts w:asciiTheme="minorEastAsia" w:hAnsiTheme="minorEastAsia" w:eastAsiaTheme="minorEastAsia"/>
          <w:b/>
          <w:color w:val="auto"/>
          <w:szCs w:val="21"/>
          <w:highlight w:val="none"/>
        </w:rPr>
      </w:pPr>
    </w:p>
    <w:p w14:paraId="60945DC0">
      <w:pPr>
        <w:spacing w:line="360" w:lineRule="auto"/>
        <w:jc w:val="center"/>
        <w:rPr>
          <w:rFonts w:asciiTheme="minorEastAsia" w:hAnsiTheme="minorEastAsia" w:eastAsiaTheme="minorEastAsia"/>
          <w:b/>
          <w:color w:val="auto"/>
          <w:szCs w:val="21"/>
          <w:highlight w:val="none"/>
        </w:rPr>
      </w:pPr>
    </w:p>
    <w:p w14:paraId="62C75CA4">
      <w:pPr>
        <w:spacing w:line="360" w:lineRule="auto"/>
        <w:jc w:val="center"/>
        <w:rPr>
          <w:rFonts w:asciiTheme="minorEastAsia" w:hAnsiTheme="minorEastAsia" w:eastAsiaTheme="minorEastAsia"/>
          <w:b/>
          <w:color w:val="auto"/>
          <w:szCs w:val="21"/>
          <w:highlight w:val="none"/>
        </w:rPr>
      </w:pPr>
    </w:p>
    <w:p w14:paraId="0DE66DB8">
      <w:pPr>
        <w:spacing w:line="360" w:lineRule="auto"/>
        <w:rPr>
          <w:rFonts w:asciiTheme="minorEastAsia" w:hAnsiTheme="minorEastAsia" w:eastAsiaTheme="minorEastAsia"/>
          <w:b/>
          <w:color w:val="auto"/>
          <w:szCs w:val="21"/>
          <w:highlight w:val="none"/>
        </w:rPr>
      </w:pPr>
    </w:p>
    <w:p w14:paraId="6944F2CB">
      <w:pPr>
        <w:spacing w:line="360" w:lineRule="auto"/>
        <w:rPr>
          <w:rFonts w:asciiTheme="minorEastAsia" w:hAnsiTheme="minorEastAsia" w:eastAsiaTheme="minorEastAsia"/>
          <w:b/>
          <w:color w:val="auto"/>
          <w:szCs w:val="21"/>
          <w:highlight w:val="none"/>
        </w:rPr>
      </w:pPr>
    </w:p>
    <w:p w14:paraId="45A6A009">
      <w:pPr>
        <w:spacing w:line="360" w:lineRule="auto"/>
        <w:rPr>
          <w:rFonts w:asciiTheme="minorEastAsia" w:hAnsiTheme="minorEastAsia" w:eastAsiaTheme="minorEastAsia"/>
          <w:b/>
          <w:color w:val="auto"/>
          <w:szCs w:val="21"/>
          <w:highlight w:val="none"/>
        </w:rPr>
      </w:pPr>
    </w:p>
    <w:p w14:paraId="47B8520E">
      <w:pPr>
        <w:spacing w:line="360" w:lineRule="auto"/>
        <w:rPr>
          <w:rFonts w:asciiTheme="minorEastAsia" w:hAnsiTheme="minorEastAsia" w:eastAsiaTheme="minorEastAsia"/>
          <w:b/>
          <w:color w:val="auto"/>
          <w:szCs w:val="21"/>
          <w:highlight w:val="none"/>
        </w:rPr>
      </w:pPr>
    </w:p>
    <w:p w14:paraId="001BD3DD">
      <w:pPr>
        <w:spacing w:line="360" w:lineRule="auto"/>
        <w:jc w:val="both"/>
        <w:rPr>
          <w:rFonts w:asciiTheme="minorEastAsia" w:hAnsiTheme="minorEastAsia" w:eastAsiaTheme="minorEastAsia"/>
          <w:b/>
          <w:color w:val="auto"/>
          <w:szCs w:val="21"/>
          <w:highlight w:val="none"/>
        </w:rPr>
      </w:pPr>
    </w:p>
    <w:p w14:paraId="574D9C6A">
      <w:pPr>
        <w:spacing w:line="360" w:lineRule="auto"/>
        <w:jc w:val="center"/>
        <w:rPr>
          <w:rFonts w:asciiTheme="minorEastAsia" w:hAnsiTheme="minorEastAsia" w:eastAsiaTheme="minorEastAsia"/>
          <w:b/>
          <w:color w:val="auto"/>
          <w:szCs w:val="21"/>
          <w:highlight w:val="none"/>
        </w:rPr>
      </w:pPr>
    </w:p>
    <w:p w14:paraId="53116953">
      <w:pPr>
        <w:spacing w:line="360" w:lineRule="auto"/>
        <w:rPr>
          <w:rFonts w:asciiTheme="minorEastAsia" w:hAnsiTheme="minorEastAsia" w:eastAsiaTheme="minorEastAsia"/>
          <w:b/>
          <w:color w:val="auto"/>
          <w:szCs w:val="21"/>
          <w:highlight w:val="none"/>
        </w:rPr>
      </w:pPr>
    </w:p>
    <w:p w14:paraId="25242C64">
      <w:pPr>
        <w:spacing w:line="360" w:lineRule="auto"/>
        <w:rPr>
          <w:rFonts w:asciiTheme="minorEastAsia" w:hAnsiTheme="minorEastAsia" w:eastAsiaTheme="minorEastAsia"/>
          <w:b/>
          <w:color w:val="auto"/>
          <w:szCs w:val="21"/>
          <w:highlight w:val="none"/>
        </w:rPr>
      </w:pPr>
    </w:p>
    <w:p w14:paraId="27BD494F">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05707A6A">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5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306C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50" w:type="dxa"/>
            <w:vMerge w:val="restart"/>
            <w:vAlign w:val="center"/>
          </w:tcPr>
          <w:p w14:paraId="014E1CED">
            <w:pPr>
              <w:spacing w:line="360" w:lineRule="auto"/>
              <w:jc w:val="center"/>
              <w:rPr>
                <w:rFonts w:asciiTheme="minorEastAsia" w:hAnsiTheme="minorEastAsia" w:eastAsiaTheme="minorEastAsia"/>
                <w:color w:val="auto"/>
                <w:szCs w:val="21"/>
                <w:highlight w:val="none"/>
              </w:rPr>
            </w:pPr>
          </w:p>
          <w:p w14:paraId="74E83937">
            <w:pPr>
              <w:spacing w:line="360" w:lineRule="auto"/>
              <w:jc w:val="center"/>
              <w:rPr>
                <w:rFonts w:asciiTheme="minorEastAsia" w:hAnsiTheme="minorEastAsia" w:eastAsiaTheme="minorEastAsia"/>
                <w:color w:val="auto"/>
                <w:szCs w:val="21"/>
                <w:highlight w:val="none"/>
              </w:rPr>
            </w:pPr>
          </w:p>
          <w:p w14:paraId="14745A1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14:paraId="20AC3F70">
            <w:pPr>
              <w:spacing w:line="360" w:lineRule="auto"/>
              <w:jc w:val="center"/>
              <w:rPr>
                <w:rFonts w:asciiTheme="minorEastAsia" w:hAnsiTheme="minorEastAsia" w:eastAsiaTheme="minorEastAsia"/>
                <w:color w:val="auto"/>
                <w:szCs w:val="21"/>
                <w:highlight w:val="none"/>
              </w:rPr>
            </w:pPr>
          </w:p>
          <w:p w14:paraId="37E01AC9">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14:paraId="32E18CB9">
            <w:pPr>
              <w:spacing w:line="360" w:lineRule="auto"/>
              <w:jc w:val="center"/>
              <w:rPr>
                <w:rFonts w:asciiTheme="minorEastAsia" w:hAnsiTheme="minorEastAsia" w:eastAsiaTheme="minorEastAsia"/>
                <w:color w:val="auto"/>
                <w:szCs w:val="21"/>
                <w:highlight w:val="none"/>
              </w:rPr>
            </w:pPr>
          </w:p>
          <w:p w14:paraId="6DE9C86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14:paraId="437B5C34">
            <w:pPr>
              <w:spacing w:line="360" w:lineRule="auto"/>
              <w:jc w:val="center"/>
              <w:rPr>
                <w:rFonts w:asciiTheme="minorEastAsia" w:hAnsiTheme="minorEastAsia" w:eastAsiaTheme="minorEastAsia"/>
                <w:color w:val="auto"/>
                <w:szCs w:val="21"/>
                <w:highlight w:val="none"/>
              </w:rPr>
            </w:pPr>
          </w:p>
          <w:p w14:paraId="7A87981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14:paraId="09006683">
            <w:pPr>
              <w:spacing w:line="360" w:lineRule="auto"/>
              <w:jc w:val="center"/>
              <w:rPr>
                <w:rFonts w:asciiTheme="minorEastAsia" w:hAnsiTheme="minorEastAsia" w:eastAsiaTheme="minorEastAsia"/>
                <w:color w:val="auto"/>
                <w:szCs w:val="21"/>
                <w:highlight w:val="none"/>
              </w:rPr>
            </w:pPr>
          </w:p>
          <w:p w14:paraId="4994F80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14:paraId="7C13C58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14:paraId="0A46C1BC">
            <w:pPr>
              <w:spacing w:line="360" w:lineRule="auto"/>
              <w:jc w:val="center"/>
              <w:rPr>
                <w:rFonts w:asciiTheme="minorEastAsia" w:hAnsiTheme="minorEastAsia" w:eastAsiaTheme="minorEastAsia"/>
                <w:color w:val="auto"/>
                <w:szCs w:val="21"/>
                <w:highlight w:val="none"/>
              </w:rPr>
            </w:pPr>
          </w:p>
        </w:tc>
      </w:tr>
      <w:tr w14:paraId="585B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50" w:type="dxa"/>
            <w:vMerge w:val="continue"/>
            <w:vAlign w:val="center"/>
          </w:tcPr>
          <w:p w14:paraId="5D3C7A28">
            <w:pPr>
              <w:spacing w:line="360" w:lineRule="auto"/>
              <w:jc w:val="center"/>
              <w:rPr>
                <w:rFonts w:asciiTheme="minorEastAsia" w:hAnsiTheme="minorEastAsia" w:eastAsiaTheme="minorEastAsia"/>
                <w:color w:val="auto"/>
                <w:szCs w:val="21"/>
                <w:highlight w:val="none"/>
              </w:rPr>
            </w:pPr>
          </w:p>
        </w:tc>
        <w:tc>
          <w:tcPr>
            <w:tcW w:w="1813" w:type="dxa"/>
            <w:vAlign w:val="center"/>
          </w:tcPr>
          <w:p w14:paraId="3A746B27">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14:paraId="6D9AA633">
            <w:pPr>
              <w:spacing w:line="360" w:lineRule="auto"/>
              <w:jc w:val="center"/>
              <w:rPr>
                <w:rFonts w:asciiTheme="minorEastAsia" w:hAnsiTheme="minorEastAsia" w:eastAsiaTheme="minorEastAsia"/>
                <w:color w:val="auto"/>
                <w:szCs w:val="21"/>
                <w:highlight w:val="none"/>
              </w:rPr>
            </w:pPr>
          </w:p>
        </w:tc>
      </w:tr>
      <w:tr w14:paraId="7713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0B9804F">
            <w:pPr>
              <w:spacing w:line="360" w:lineRule="auto"/>
              <w:jc w:val="center"/>
              <w:rPr>
                <w:rFonts w:asciiTheme="minorEastAsia" w:hAnsiTheme="minorEastAsia" w:eastAsiaTheme="minorEastAsia"/>
                <w:color w:val="auto"/>
                <w:szCs w:val="21"/>
                <w:highlight w:val="none"/>
              </w:rPr>
            </w:pPr>
          </w:p>
        </w:tc>
        <w:tc>
          <w:tcPr>
            <w:tcW w:w="1813" w:type="dxa"/>
            <w:vAlign w:val="center"/>
          </w:tcPr>
          <w:p w14:paraId="70D5C36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14:paraId="66B04C27">
            <w:pPr>
              <w:spacing w:line="360" w:lineRule="auto"/>
              <w:ind w:firstLine="420" w:firstLineChars="200"/>
              <w:rPr>
                <w:rFonts w:asciiTheme="minorEastAsia" w:hAnsiTheme="minorEastAsia" w:eastAsiaTheme="minorEastAsia"/>
                <w:color w:val="auto"/>
                <w:szCs w:val="21"/>
                <w:highlight w:val="none"/>
              </w:rPr>
            </w:pPr>
          </w:p>
        </w:tc>
      </w:tr>
      <w:tr w14:paraId="064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14EE549">
            <w:pPr>
              <w:spacing w:line="360" w:lineRule="auto"/>
              <w:jc w:val="center"/>
              <w:rPr>
                <w:rFonts w:asciiTheme="minorEastAsia" w:hAnsiTheme="minorEastAsia" w:eastAsiaTheme="minorEastAsia"/>
                <w:color w:val="auto"/>
                <w:szCs w:val="21"/>
                <w:highlight w:val="none"/>
              </w:rPr>
            </w:pPr>
          </w:p>
        </w:tc>
        <w:tc>
          <w:tcPr>
            <w:tcW w:w="1813" w:type="dxa"/>
            <w:vAlign w:val="center"/>
          </w:tcPr>
          <w:p w14:paraId="72E51FB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14:paraId="175D09B8">
            <w:pPr>
              <w:spacing w:line="360" w:lineRule="auto"/>
              <w:jc w:val="center"/>
              <w:rPr>
                <w:rFonts w:asciiTheme="minorEastAsia" w:hAnsiTheme="minorEastAsia" w:eastAsiaTheme="minorEastAsia"/>
                <w:color w:val="auto"/>
                <w:szCs w:val="21"/>
                <w:highlight w:val="none"/>
              </w:rPr>
            </w:pPr>
          </w:p>
        </w:tc>
        <w:tc>
          <w:tcPr>
            <w:tcW w:w="1530" w:type="dxa"/>
            <w:vAlign w:val="center"/>
          </w:tcPr>
          <w:p w14:paraId="394991B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14:paraId="0918CF8E">
            <w:pPr>
              <w:spacing w:line="360" w:lineRule="auto"/>
              <w:jc w:val="center"/>
              <w:rPr>
                <w:rFonts w:asciiTheme="minorEastAsia" w:hAnsiTheme="minorEastAsia" w:eastAsiaTheme="minorEastAsia"/>
                <w:color w:val="auto"/>
                <w:szCs w:val="21"/>
                <w:highlight w:val="none"/>
              </w:rPr>
            </w:pPr>
          </w:p>
        </w:tc>
      </w:tr>
      <w:tr w14:paraId="7C6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50" w:type="dxa"/>
            <w:vMerge w:val="continue"/>
            <w:vAlign w:val="center"/>
          </w:tcPr>
          <w:p w14:paraId="5D718F8F">
            <w:pPr>
              <w:spacing w:line="360" w:lineRule="auto"/>
              <w:jc w:val="center"/>
              <w:rPr>
                <w:rFonts w:asciiTheme="minorEastAsia" w:hAnsiTheme="minorEastAsia" w:eastAsiaTheme="minorEastAsia"/>
                <w:color w:val="auto"/>
                <w:szCs w:val="21"/>
                <w:highlight w:val="none"/>
              </w:rPr>
            </w:pPr>
          </w:p>
        </w:tc>
        <w:tc>
          <w:tcPr>
            <w:tcW w:w="1813" w:type="dxa"/>
            <w:vAlign w:val="center"/>
          </w:tcPr>
          <w:p w14:paraId="5D683DF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14:paraId="067F897F">
            <w:pPr>
              <w:spacing w:line="360" w:lineRule="auto"/>
              <w:jc w:val="center"/>
              <w:rPr>
                <w:rFonts w:asciiTheme="minorEastAsia" w:hAnsiTheme="minorEastAsia" w:eastAsiaTheme="minorEastAsia"/>
                <w:color w:val="auto"/>
                <w:szCs w:val="21"/>
                <w:highlight w:val="none"/>
              </w:rPr>
            </w:pPr>
          </w:p>
        </w:tc>
        <w:tc>
          <w:tcPr>
            <w:tcW w:w="1530" w:type="dxa"/>
            <w:vAlign w:val="center"/>
          </w:tcPr>
          <w:p w14:paraId="28AF759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14:paraId="0ED67DCE">
            <w:pPr>
              <w:spacing w:line="360" w:lineRule="auto"/>
              <w:jc w:val="center"/>
              <w:rPr>
                <w:rFonts w:asciiTheme="minorEastAsia" w:hAnsiTheme="minorEastAsia" w:eastAsiaTheme="minorEastAsia"/>
                <w:color w:val="auto"/>
                <w:szCs w:val="21"/>
                <w:highlight w:val="none"/>
              </w:rPr>
            </w:pPr>
          </w:p>
        </w:tc>
      </w:tr>
      <w:tr w14:paraId="4D9A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0" w:type="dxa"/>
            <w:vMerge w:val="continue"/>
            <w:vAlign w:val="center"/>
          </w:tcPr>
          <w:p w14:paraId="4759D854">
            <w:pPr>
              <w:spacing w:line="360" w:lineRule="auto"/>
              <w:jc w:val="center"/>
              <w:rPr>
                <w:rFonts w:asciiTheme="minorEastAsia" w:hAnsiTheme="minorEastAsia" w:eastAsiaTheme="minorEastAsia"/>
                <w:color w:val="auto"/>
                <w:szCs w:val="21"/>
                <w:highlight w:val="none"/>
              </w:rPr>
            </w:pPr>
          </w:p>
        </w:tc>
        <w:tc>
          <w:tcPr>
            <w:tcW w:w="1813" w:type="dxa"/>
            <w:vAlign w:val="center"/>
          </w:tcPr>
          <w:p w14:paraId="21E2A7A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14:paraId="630A0B33">
            <w:pPr>
              <w:spacing w:line="360" w:lineRule="auto"/>
              <w:jc w:val="center"/>
              <w:rPr>
                <w:rFonts w:asciiTheme="minorEastAsia" w:hAnsiTheme="minorEastAsia" w:eastAsiaTheme="minorEastAsia"/>
                <w:color w:val="auto"/>
                <w:szCs w:val="21"/>
                <w:highlight w:val="none"/>
              </w:rPr>
            </w:pPr>
          </w:p>
        </w:tc>
        <w:tc>
          <w:tcPr>
            <w:tcW w:w="1530" w:type="dxa"/>
            <w:vAlign w:val="center"/>
          </w:tcPr>
          <w:p w14:paraId="6E53C06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14:paraId="4C482934">
            <w:pPr>
              <w:spacing w:line="360" w:lineRule="auto"/>
              <w:jc w:val="center"/>
              <w:rPr>
                <w:rFonts w:asciiTheme="minorEastAsia" w:hAnsiTheme="minorEastAsia" w:eastAsiaTheme="minorEastAsia"/>
                <w:color w:val="auto"/>
                <w:szCs w:val="21"/>
                <w:highlight w:val="none"/>
              </w:rPr>
            </w:pPr>
          </w:p>
        </w:tc>
      </w:tr>
      <w:tr w14:paraId="7371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50" w:type="dxa"/>
            <w:vMerge w:val="continue"/>
            <w:vAlign w:val="center"/>
          </w:tcPr>
          <w:p w14:paraId="4EA1E32D">
            <w:pPr>
              <w:spacing w:line="360" w:lineRule="auto"/>
              <w:jc w:val="center"/>
              <w:rPr>
                <w:rFonts w:asciiTheme="minorEastAsia" w:hAnsiTheme="minorEastAsia" w:eastAsiaTheme="minorEastAsia"/>
                <w:color w:val="auto"/>
                <w:szCs w:val="21"/>
                <w:highlight w:val="none"/>
              </w:rPr>
            </w:pPr>
          </w:p>
        </w:tc>
        <w:tc>
          <w:tcPr>
            <w:tcW w:w="1813" w:type="dxa"/>
            <w:vAlign w:val="center"/>
          </w:tcPr>
          <w:p w14:paraId="2BCC369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6147" w:type="dxa"/>
            <w:gridSpan w:val="3"/>
            <w:vAlign w:val="center"/>
          </w:tcPr>
          <w:p w14:paraId="4054C6F9">
            <w:pPr>
              <w:spacing w:line="360" w:lineRule="auto"/>
              <w:jc w:val="center"/>
              <w:rPr>
                <w:rFonts w:asciiTheme="minorEastAsia" w:hAnsiTheme="minorEastAsia" w:eastAsiaTheme="minorEastAsia"/>
                <w:color w:val="auto"/>
                <w:szCs w:val="21"/>
                <w:highlight w:val="none"/>
              </w:rPr>
            </w:pPr>
          </w:p>
        </w:tc>
      </w:tr>
      <w:tr w14:paraId="2735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650" w:type="dxa"/>
            <w:vMerge w:val="continue"/>
            <w:vAlign w:val="center"/>
          </w:tcPr>
          <w:p w14:paraId="047668AF">
            <w:pPr>
              <w:spacing w:line="360" w:lineRule="auto"/>
              <w:jc w:val="center"/>
              <w:rPr>
                <w:rFonts w:asciiTheme="minorEastAsia" w:hAnsiTheme="minorEastAsia" w:eastAsiaTheme="minorEastAsia"/>
                <w:color w:val="auto"/>
                <w:szCs w:val="21"/>
                <w:highlight w:val="none"/>
              </w:rPr>
            </w:pPr>
          </w:p>
        </w:tc>
        <w:tc>
          <w:tcPr>
            <w:tcW w:w="7960" w:type="dxa"/>
            <w:gridSpan w:val="4"/>
          </w:tcPr>
          <w:p w14:paraId="7A3631D4">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单位介绍：</w:t>
            </w:r>
          </w:p>
        </w:tc>
      </w:tr>
      <w:tr w14:paraId="23D4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10" w:type="dxa"/>
            <w:gridSpan w:val="5"/>
            <w:vAlign w:val="center"/>
          </w:tcPr>
          <w:p w14:paraId="084D2957">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14:paraId="12EE8204">
      <w:pPr>
        <w:spacing w:before="120"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14:paraId="6D55E0DE">
      <w:pPr>
        <w:snapToGrid w:val="0"/>
        <w:spacing w:line="360" w:lineRule="auto"/>
        <w:rPr>
          <w:rFonts w:asciiTheme="minorEastAsia" w:hAnsiTheme="minorEastAsia" w:eastAsiaTheme="minorEastAsia"/>
          <w:b/>
          <w:bCs/>
          <w:color w:val="auto"/>
          <w:kern w:val="44"/>
          <w:szCs w:val="21"/>
          <w:highlight w:val="none"/>
        </w:rPr>
      </w:pPr>
    </w:p>
    <w:p w14:paraId="3BC3CC2B">
      <w:pPr>
        <w:snapToGrid w:val="0"/>
        <w:spacing w:line="360" w:lineRule="auto"/>
        <w:rPr>
          <w:rFonts w:asciiTheme="minorEastAsia" w:hAnsiTheme="minorEastAsia" w:eastAsiaTheme="minorEastAsia"/>
          <w:b/>
          <w:bCs/>
          <w:color w:val="auto"/>
          <w:kern w:val="44"/>
          <w:szCs w:val="21"/>
          <w:highlight w:val="none"/>
        </w:rPr>
      </w:pPr>
    </w:p>
    <w:p w14:paraId="50BD7357">
      <w:pPr>
        <w:snapToGrid w:val="0"/>
        <w:spacing w:line="360" w:lineRule="auto"/>
        <w:rPr>
          <w:rFonts w:asciiTheme="minorEastAsia" w:hAnsiTheme="minorEastAsia" w:eastAsiaTheme="minorEastAsia"/>
          <w:b/>
          <w:bCs/>
          <w:color w:val="auto"/>
          <w:kern w:val="44"/>
          <w:szCs w:val="21"/>
          <w:highlight w:val="none"/>
        </w:rPr>
      </w:pPr>
    </w:p>
    <w:p w14:paraId="3CF183C8">
      <w:pPr>
        <w:snapToGrid w:val="0"/>
        <w:spacing w:line="360" w:lineRule="auto"/>
        <w:rPr>
          <w:rFonts w:asciiTheme="minorEastAsia" w:hAnsiTheme="minorEastAsia" w:eastAsiaTheme="minorEastAsia"/>
          <w:b/>
          <w:bCs/>
          <w:color w:val="auto"/>
          <w:kern w:val="44"/>
          <w:szCs w:val="21"/>
          <w:highlight w:val="none"/>
        </w:rPr>
      </w:pPr>
    </w:p>
    <w:p w14:paraId="6019E8D2">
      <w:pPr>
        <w:snapToGrid w:val="0"/>
        <w:spacing w:line="360" w:lineRule="auto"/>
        <w:rPr>
          <w:rFonts w:asciiTheme="minorEastAsia" w:hAnsiTheme="minorEastAsia" w:eastAsiaTheme="minorEastAsia"/>
          <w:b/>
          <w:bCs/>
          <w:color w:val="auto"/>
          <w:kern w:val="44"/>
          <w:szCs w:val="21"/>
          <w:highlight w:val="none"/>
        </w:rPr>
      </w:pPr>
    </w:p>
    <w:p w14:paraId="6DD744C5">
      <w:pPr>
        <w:snapToGrid w:val="0"/>
        <w:spacing w:line="360" w:lineRule="auto"/>
        <w:rPr>
          <w:rFonts w:asciiTheme="minorEastAsia" w:hAnsiTheme="minorEastAsia" w:eastAsiaTheme="minorEastAsia"/>
          <w:b/>
          <w:bCs/>
          <w:color w:val="auto"/>
          <w:kern w:val="44"/>
          <w:szCs w:val="21"/>
          <w:highlight w:val="none"/>
        </w:rPr>
      </w:pPr>
    </w:p>
    <w:p w14:paraId="0DF8D4E2">
      <w:pPr>
        <w:snapToGrid w:val="0"/>
        <w:spacing w:line="360" w:lineRule="auto"/>
        <w:rPr>
          <w:rFonts w:asciiTheme="minorEastAsia" w:hAnsiTheme="minorEastAsia" w:eastAsiaTheme="minorEastAsia"/>
          <w:b/>
          <w:bCs/>
          <w:color w:val="auto"/>
          <w:kern w:val="44"/>
          <w:szCs w:val="21"/>
          <w:highlight w:val="none"/>
        </w:rPr>
      </w:pPr>
    </w:p>
    <w:p w14:paraId="42758E1F">
      <w:pPr>
        <w:snapToGrid w:val="0"/>
        <w:spacing w:line="360" w:lineRule="auto"/>
        <w:rPr>
          <w:rFonts w:asciiTheme="minorEastAsia" w:hAnsiTheme="minorEastAsia" w:eastAsiaTheme="minorEastAsia"/>
          <w:b/>
          <w:bCs/>
          <w:color w:val="auto"/>
          <w:kern w:val="44"/>
          <w:szCs w:val="21"/>
          <w:highlight w:val="none"/>
        </w:rPr>
      </w:pPr>
    </w:p>
    <w:p w14:paraId="3F8F3BE7">
      <w:pPr>
        <w:snapToGrid w:val="0"/>
        <w:spacing w:line="360" w:lineRule="auto"/>
        <w:rPr>
          <w:rFonts w:asciiTheme="minorEastAsia" w:hAnsiTheme="minorEastAsia" w:eastAsiaTheme="minorEastAsia"/>
          <w:b/>
          <w:bCs/>
          <w:color w:val="auto"/>
          <w:kern w:val="44"/>
          <w:szCs w:val="21"/>
          <w:highlight w:val="none"/>
        </w:rPr>
      </w:pPr>
    </w:p>
    <w:p w14:paraId="36B914E0">
      <w:pPr>
        <w:snapToGrid w:val="0"/>
        <w:spacing w:line="360" w:lineRule="auto"/>
        <w:rPr>
          <w:rFonts w:asciiTheme="minorEastAsia" w:hAnsiTheme="minorEastAsia" w:eastAsiaTheme="minorEastAsia"/>
          <w:b/>
          <w:bCs/>
          <w:color w:val="auto"/>
          <w:kern w:val="44"/>
          <w:szCs w:val="21"/>
          <w:highlight w:val="none"/>
        </w:rPr>
      </w:pPr>
    </w:p>
    <w:p w14:paraId="5096D781">
      <w:pPr>
        <w:snapToGrid w:val="0"/>
        <w:spacing w:line="360" w:lineRule="auto"/>
        <w:rPr>
          <w:rFonts w:asciiTheme="minorEastAsia" w:hAnsiTheme="minorEastAsia" w:eastAsiaTheme="minorEastAsia"/>
          <w:b/>
          <w:bCs/>
          <w:color w:val="auto"/>
          <w:kern w:val="44"/>
          <w:szCs w:val="21"/>
          <w:highlight w:val="none"/>
        </w:rPr>
      </w:pPr>
    </w:p>
    <w:p w14:paraId="549332D6">
      <w:pPr>
        <w:snapToGrid w:val="0"/>
        <w:spacing w:line="360" w:lineRule="auto"/>
        <w:rPr>
          <w:color w:val="auto"/>
          <w:highlight w:val="none"/>
        </w:rPr>
      </w:pPr>
    </w:p>
    <w:p w14:paraId="78E5FBB9">
      <w:pPr>
        <w:rPr>
          <w:color w:val="auto"/>
          <w:highlight w:val="none"/>
        </w:rPr>
      </w:pPr>
    </w:p>
    <w:p w14:paraId="55C05580">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3DF5D243">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5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3B8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3880CB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14:paraId="4F608C37">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14:paraId="1FEA168C">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14:paraId="3EE2695F">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14:paraId="312CCE1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14:paraId="37D87D0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66D3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24960F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C569EB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D75ED6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7C48AFC">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41206E2">
            <w:pPr>
              <w:spacing w:line="360" w:lineRule="auto"/>
              <w:ind w:firstLine="525" w:firstLineChars="250"/>
              <w:jc w:val="center"/>
              <w:rPr>
                <w:rFonts w:asciiTheme="minorEastAsia" w:hAnsiTheme="minorEastAsia" w:eastAsiaTheme="minorEastAsia"/>
                <w:color w:val="auto"/>
                <w:szCs w:val="21"/>
                <w:highlight w:val="none"/>
              </w:rPr>
            </w:pPr>
          </w:p>
        </w:tc>
      </w:tr>
      <w:tr w14:paraId="0EEB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D85942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9D1C51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4C4D7C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AD2B628">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8ACEEE5">
            <w:pPr>
              <w:spacing w:line="360" w:lineRule="auto"/>
              <w:ind w:firstLine="525" w:firstLineChars="250"/>
              <w:jc w:val="center"/>
              <w:rPr>
                <w:rFonts w:asciiTheme="minorEastAsia" w:hAnsiTheme="minorEastAsia" w:eastAsiaTheme="minorEastAsia"/>
                <w:color w:val="auto"/>
                <w:szCs w:val="21"/>
                <w:highlight w:val="none"/>
              </w:rPr>
            </w:pPr>
          </w:p>
        </w:tc>
      </w:tr>
      <w:tr w14:paraId="01B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69204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6B3878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477E1A">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F055CDD">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7CDEC82">
            <w:pPr>
              <w:spacing w:line="360" w:lineRule="auto"/>
              <w:ind w:firstLine="525" w:firstLineChars="250"/>
              <w:jc w:val="center"/>
              <w:rPr>
                <w:rFonts w:asciiTheme="minorEastAsia" w:hAnsiTheme="minorEastAsia" w:eastAsiaTheme="minorEastAsia"/>
                <w:color w:val="auto"/>
                <w:szCs w:val="21"/>
                <w:highlight w:val="none"/>
              </w:rPr>
            </w:pPr>
          </w:p>
        </w:tc>
      </w:tr>
      <w:tr w14:paraId="599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0730B8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8A9297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B0108B9">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21FED52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16D5EC6">
            <w:pPr>
              <w:spacing w:line="360" w:lineRule="auto"/>
              <w:ind w:firstLine="525" w:firstLineChars="250"/>
              <w:jc w:val="center"/>
              <w:rPr>
                <w:rFonts w:asciiTheme="minorEastAsia" w:hAnsiTheme="minorEastAsia" w:eastAsiaTheme="minorEastAsia"/>
                <w:color w:val="auto"/>
                <w:szCs w:val="21"/>
                <w:highlight w:val="none"/>
              </w:rPr>
            </w:pPr>
          </w:p>
        </w:tc>
      </w:tr>
      <w:tr w14:paraId="626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D50AD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D58C21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B262E0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DADE7EB">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0ECF875">
            <w:pPr>
              <w:spacing w:line="360" w:lineRule="auto"/>
              <w:ind w:firstLine="525" w:firstLineChars="250"/>
              <w:jc w:val="center"/>
              <w:rPr>
                <w:rFonts w:asciiTheme="minorEastAsia" w:hAnsiTheme="minorEastAsia" w:eastAsiaTheme="minorEastAsia"/>
                <w:color w:val="auto"/>
                <w:szCs w:val="21"/>
                <w:highlight w:val="none"/>
              </w:rPr>
            </w:pPr>
          </w:p>
        </w:tc>
      </w:tr>
      <w:tr w14:paraId="344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829D37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1CDB3C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D4B51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A8F2719">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578466A">
            <w:pPr>
              <w:spacing w:line="360" w:lineRule="auto"/>
              <w:ind w:firstLine="525" w:firstLineChars="250"/>
              <w:jc w:val="center"/>
              <w:rPr>
                <w:rFonts w:asciiTheme="minorEastAsia" w:hAnsiTheme="minorEastAsia" w:eastAsiaTheme="minorEastAsia"/>
                <w:color w:val="auto"/>
                <w:szCs w:val="21"/>
                <w:highlight w:val="none"/>
              </w:rPr>
            </w:pPr>
          </w:p>
        </w:tc>
      </w:tr>
      <w:tr w14:paraId="0674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6FAC2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21F0CC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B37435D">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D865BF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C1E817A">
            <w:pPr>
              <w:spacing w:line="360" w:lineRule="auto"/>
              <w:ind w:firstLine="525" w:firstLineChars="250"/>
              <w:jc w:val="center"/>
              <w:rPr>
                <w:rFonts w:asciiTheme="minorEastAsia" w:hAnsiTheme="minorEastAsia" w:eastAsiaTheme="minorEastAsia"/>
                <w:color w:val="auto"/>
                <w:szCs w:val="21"/>
                <w:highlight w:val="none"/>
              </w:rPr>
            </w:pPr>
          </w:p>
        </w:tc>
      </w:tr>
      <w:tr w14:paraId="566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7A8C49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A907F5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44D5E77">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0644F7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7275F95F">
            <w:pPr>
              <w:spacing w:line="360" w:lineRule="auto"/>
              <w:ind w:firstLine="525" w:firstLineChars="250"/>
              <w:jc w:val="center"/>
              <w:rPr>
                <w:rFonts w:asciiTheme="minorEastAsia" w:hAnsiTheme="minorEastAsia" w:eastAsiaTheme="minorEastAsia"/>
                <w:color w:val="auto"/>
                <w:szCs w:val="21"/>
                <w:highlight w:val="none"/>
              </w:rPr>
            </w:pPr>
          </w:p>
        </w:tc>
      </w:tr>
      <w:tr w14:paraId="23B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9E3954E">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A9E694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F9EC4B0">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999A66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776B2DF">
            <w:pPr>
              <w:spacing w:line="360" w:lineRule="auto"/>
              <w:ind w:firstLine="525" w:firstLineChars="250"/>
              <w:jc w:val="center"/>
              <w:rPr>
                <w:rFonts w:asciiTheme="minorEastAsia" w:hAnsiTheme="minorEastAsia" w:eastAsiaTheme="minorEastAsia"/>
                <w:color w:val="auto"/>
                <w:szCs w:val="21"/>
                <w:highlight w:val="none"/>
              </w:rPr>
            </w:pPr>
          </w:p>
        </w:tc>
      </w:tr>
      <w:tr w14:paraId="1383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93239F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6038A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6954214">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8C9D62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BA91296">
            <w:pPr>
              <w:spacing w:line="360" w:lineRule="auto"/>
              <w:ind w:firstLine="525" w:firstLineChars="250"/>
              <w:jc w:val="center"/>
              <w:rPr>
                <w:rFonts w:asciiTheme="minorEastAsia" w:hAnsiTheme="minorEastAsia" w:eastAsiaTheme="minorEastAsia"/>
                <w:color w:val="auto"/>
                <w:szCs w:val="21"/>
                <w:highlight w:val="none"/>
              </w:rPr>
            </w:pPr>
          </w:p>
        </w:tc>
      </w:tr>
      <w:tr w14:paraId="6290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8DC6D0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076E90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0D8FE4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C90089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5263ACB">
            <w:pPr>
              <w:spacing w:line="360" w:lineRule="auto"/>
              <w:ind w:firstLine="525" w:firstLineChars="250"/>
              <w:jc w:val="center"/>
              <w:rPr>
                <w:rFonts w:asciiTheme="minorEastAsia" w:hAnsiTheme="minorEastAsia" w:eastAsiaTheme="minorEastAsia"/>
                <w:color w:val="auto"/>
                <w:szCs w:val="21"/>
                <w:highlight w:val="none"/>
              </w:rPr>
            </w:pPr>
          </w:p>
        </w:tc>
      </w:tr>
      <w:tr w14:paraId="1142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3F82F2">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788E32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6D8BBD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A0716A7">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C3B83C4">
            <w:pPr>
              <w:spacing w:line="360" w:lineRule="auto"/>
              <w:ind w:firstLine="525" w:firstLineChars="250"/>
              <w:jc w:val="center"/>
              <w:rPr>
                <w:rFonts w:asciiTheme="minorEastAsia" w:hAnsiTheme="minorEastAsia" w:eastAsiaTheme="minorEastAsia"/>
                <w:color w:val="auto"/>
                <w:szCs w:val="21"/>
                <w:highlight w:val="none"/>
              </w:rPr>
            </w:pPr>
          </w:p>
        </w:tc>
      </w:tr>
      <w:tr w14:paraId="355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0CA202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975BB3F">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4A6C19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134FFB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C3D6B4C">
            <w:pPr>
              <w:spacing w:line="360" w:lineRule="auto"/>
              <w:ind w:firstLine="525" w:firstLineChars="250"/>
              <w:jc w:val="center"/>
              <w:rPr>
                <w:rFonts w:asciiTheme="minorEastAsia" w:hAnsiTheme="minorEastAsia" w:eastAsiaTheme="minorEastAsia"/>
                <w:color w:val="auto"/>
                <w:szCs w:val="21"/>
                <w:highlight w:val="none"/>
              </w:rPr>
            </w:pPr>
          </w:p>
        </w:tc>
      </w:tr>
      <w:tr w14:paraId="560C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32403B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5E347D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EF7153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726DF12">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F4E69ED">
            <w:pPr>
              <w:spacing w:line="360" w:lineRule="auto"/>
              <w:ind w:firstLine="525" w:firstLineChars="250"/>
              <w:jc w:val="center"/>
              <w:rPr>
                <w:rFonts w:asciiTheme="minorEastAsia" w:hAnsiTheme="minorEastAsia" w:eastAsiaTheme="minorEastAsia"/>
                <w:color w:val="auto"/>
                <w:szCs w:val="21"/>
                <w:highlight w:val="none"/>
              </w:rPr>
            </w:pPr>
          </w:p>
        </w:tc>
      </w:tr>
      <w:tr w14:paraId="480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00AE21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1EE03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57F7BD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5F4BED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ED190EB">
            <w:pPr>
              <w:spacing w:line="360" w:lineRule="auto"/>
              <w:ind w:firstLine="525" w:firstLineChars="250"/>
              <w:jc w:val="center"/>
              <w:rPr>
                <w:rFonts w:asciiTheme="minorEastAsia" w:hAnsiTheme="minorEastAsia" w:eastAsiaTheme="minorEastAsia"/>
                <w:color w:val="auto"/>
                <w:szCs w:val="21"/>
                <w:highlight w:val="none"/>
              </w:rPr>
            </w:pPr>
          </w:p>
        </w:tc>
      </w:tr>
      <w:tr w14:paraId="2088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5BC7BF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1A0CF8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F26982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EA0389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1B39F42">
            <w:pPr>
              <w:spacing w:line="360" w:lineRule="auto"/>
              <w:ind w:firstLine="525" w:firstLineChars="250"/>
              <w:jc w:val="center"/>
              <w:rPr>
                <w:rFonts w:asciiTheme="minorEastAsia" w:hAnsiTheme="minorEastAsia" w:eastAsiaTheme="minorEastAsia"/>
                <w:color w:val="auto"/>
                <w:szCs w:val="21"/>
                <w:highlight w:val="none"/>
              </w:rPr>
            </w:pPr>
          </w:p>
        </w:tc>
      </w:tr>
    </w:tbl>
    <w:p w14:paraId="09DEB21E">
      <w:pPr>
        <w:pStyle w:val="29"/>
        <w:tabs>
          <w:tab w:val="left" w:pos="1200"/>
        </w:tabs>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注：1、以上项目须提供合同复印件加盖单位公章.</w:t>
      </w:r>
    </w:p>
    <w:p w14:paraId="10A1C17D">
      <w:pPr>
        <w:pStyle w:val="29"/>
        <w:tabs>
          <w:tab w:val="left" w:pos="1200"/>
        </w:tabs>
        <w:spacing w:before="120" w:after="12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2、本表可在不改变格式的情况下根据具体需要自行增减。</w:t>
      </w:r>
    </w:p>
    <w:p w14:paraId="4587970D">
      <w:pPr>
        <w:snapToGrid w:val="0"/>
        <w:spacing w:line="360" w:lineRule="auto"/>
        <w:rPr>
          <w:rFonts w:asciiTheme="minorEastAsia" w:hAnsiTheme="minorEastAsia" w:eastAsiaTheme="minorEastAsia"/>
          <w:color w:val="auto"/>
          <w:spacing w:val="20"/>
          <w:szCs w:val="21"/>
          <w:highlight w:val="none"/>
        </w:rPr>
      </w:pPr>
    </w:p>
    <w:p w14:paraId="25613BBF">
      <w:pPr>
        <w:snapToGrid w:val="0"/>
        <w:spacing w:line="360" w:lineRule="auto"/>
        <w:rPr>
          <w:rFonts w:asciiTheme="minorEastAsia" w:hAnsiTheme="minorEastAsia" w:eastAsiaTheme="minorEastAsia"/>
          <w:color w:val="auto"/>
          <w:spacing w:val="20"/>
          <w:szCs w:val="21"/>
          <w:highlight w:val="none"/>
        </w:rPr>
      </w:pPr>
    </w:p>
    <w:p w14:paraId="4F8E87A7">
      <w:pPr>
        <w:snapToGrid w:val="0"/>
        <w:spacing w:line="360" w:lineRule="auto"/>
        <w:rPr>
          <w:rFonts w:asciiTheme="minorEastAsia" w:hAnsiTheme="minorEastAsia" w:eastAsiaTheme="minorEastAsia"/>
          <w:color w:val="auto"/>
          <w:spacing w:val="20"/>
          <w:szCs w:val="21"/>
          <w:highlight w:val="none"/>
        </w:rPr>
      </w:pPr>
    </w:p>
    <w:p w14:paraId="497E815B">
      <w:pPr>
        <w:snapToGrid w:val="0"/>
        <w:spacing w:line="360" w:lineRule="auto"/>
        <w:rPr>
          <w:rFonts w:asciiTheme="minorEastAsia" w:hAnsiTheme="minorEastAsia" w:eastAsiaTheme="minorEastAsia"/>
          <w:color w:val="auto"/>
          <w:spacing w:val="20"/>
          <w:szCs w:val="21"/>
          <w:highlight w:val="none"/>
        </w:rPr>
      </w:pPr>
    </w:p>
    <w:p w14:paraId="7E7E8C0D">
      <w:pPr>
        <w:snapToGrid w:val="0"/>
        <w:spacing w:line="360" w:lineRule="auto"/>
        <w:rPr>
          <w:rFonts w:asciiTheme="minorEastAsia" w:hAnsiTheme="minorEastAsia" w:eastAsiaTheme="minorEastAsia"/>
          <w:color w:val="auto"/>
          <w:szCs w:val="21"/>
          <w:highlight w:val="none"/>
        </w:rPr>
      </w:pPr>
      <w:bookmarkStart w:id="109" w:name="OLE_LINK7"/>
    </w:p>
    <w:p w14:paraId="3585AB01">
      <w:pPr>
        <w:snapToGrid w:val="0"/>
        <w:spacing w:line="360" w:lineRule="auto"/>
        <w:ind w:firstLine="211" w:firstLineChars="100"/>
        <w:rPr>
          <w:rFonts w:asciiTheme="minorEastAsia" w:hAnsiTheme="minorEastAsia" w:eastAsiaTheme="minorEastAsia"/>
          <w:b/>
          <w:bCs/>
          <w:color w:val="auto"/>
          <w:szCs w:val="21"/>
          <w:highlight w:val="none"/>
        </w:rPr>
      </w:pPr>
    </w:p>
    <w:p w14:paraId="07328F80">
      <w:pPr>
        <w:snapToGrid w:val="0"/>
        <w:spacing w:line="360" w:lineRule="auto"/>
        <w:ind w:firstLine="211" w:firstLineChars="1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bookmarkEnd w:id="109"/>
    </w:p>
    <w:p w14:paraId="26149BD9">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项目组人员配置表（附件6）</w:t>
      </w:r>
    </w:p>
    <w:tbl>
      <w:tblPr>
        <w:tblStyle w:val="54"/>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2236"/>
      </w:tblGrid>
      <w:tr w14:paraId="3AF5D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B745E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64433BC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1758" w:type="dxa"/>
            <w:tcBorders>
              <w:top w:val="single" w:color="auto" w:sz="4" w:space="0"/>
              <w:left w:val="single" w:color="auto" w:sz="4" w:space="0"/>
              <w:bottom w:val="single" w:color="auto" w:sz="4" w:space="0"/>
              <w:right w:val="single" w:color="auto" w:sz="4" w:space="0"/>
            </w:tcBorders>
            <w:vAlign w:val="center"/>
          </w:tcPr>
          <w:p w14:paraId="3D5A552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学历</w:t>
            </w:r>
          </w:p>
        </w:tc>
        <w:tc>
          <w:tcPr>
            <w:tcW w:w="2236" w:type="dxa"/>
            <w:tcBorders>
              <w:top w:val="single" w:color="auto" w:sz="4" w:space="0"/>
              <w:left w:val="single" w:color="auto" w:sz="4" w:space="0"/>
              <w:bottom w:val="single" w:color="auto" w:sz="4" w:space="0"/>
              <w:right w:val="single" w:color="auto" w:sz="4" w:space="0"/>
            </w:tcBorders>
          </w:tcPr>
          <w:p w14:paraId="5A01D101">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09EB86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14:paraId="1B95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6A317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5F01FAE3">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4EF6ADF">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7F7D91">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4CEAA7">
            <w:pPr>
              <w:adjustRightInd w:val="0"/>
              <w:spacing w:line="360" w:lineRule="auto"/>
              <w:jc w:val="center"/>
              <w:rPr>
                <w:rFonts w:cs="Arial" w:asciiTheme="minorEastAsia" w:hAnsiTheme="minorEastAsia" w:eastAsiaTheme="minorEastAsia"/>
                <w:color w:val="auto"/>
                <w:szCs w:val="21"/>
                <w:highlight w:val="none"/>
              </w:rPr>
            </w:pPr>
          </w:p>
        </w:tc>
      </w:tr>
      <w:tr w14:paraId="78AE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3B3F9A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0F328917">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4719E6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C13EDF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EACB497">
            <w:pPr>
              <w:adjustRightInd w:val="0"/>
              <w:spacing w:line="360" w:lineRule="auto"/>
              <w:jc w:val="right"/>
              <w:rPr>
                <w:rFonts w:cs="Arial" w:asciiTheme="minorEastAsia" w:hAnsiTheme="minorEastAsia" w:eastAsiaTheme="minorEastAsia"/>
                <w:color w:val="auto"/>
                <w:szCs w:val="21"/>
                <w:highlight w:val="none"/>
              </w:rPr>
            </w:pPr>
          </w:p>
        </w:tc>
      </w:tr>
      <w:tr w14:paraId="4F12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666B5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0FE7D1F0">
            <w:pPr>
              <w:adjustRightInd w:val="0"/>
              <w:spacing w:line="360" w:lineRule="auto"/>
              <w:jc w:val="center"/>
              <w:rPr>
                <w:rFonts w:asciiTheme="minorEastAsia" w:hAnsiTheme="minorEastAsia" w:eastAsiaTheme="minorEastAsia"/>
                <w:b/>
                <w:bCs/>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4444A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AB4A3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AA0B467">
            <w:pPr>
              <w:adjustRightInd w:val="0"/>
              <w:spacing w:line="360" w:lineRule="auto"/>
              <w:jc w:val="right"/>
              <w:rPr>
                <w:rFonts w:cs="Arial" w:asciiTheme="minorEastAsia" w:hAnsiTheme="minorEastAsia" w:eastAsiaTheme="minorEastAsia"/>
                <w:color w:val="auto"/>
                <w:szCs w:val="21"/>
                <w:highlight w:val="none"/>
              </w:rPr>
            </w:pPr>
          </w:p>
        </w:tc>
      </w:tr>
      <w:tr w14:paraId="1E855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ED161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34CEDFD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19CADEB">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9930CF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1FA5136">
            <w:pPr>
              <w:adjustRightInd w:val="0"/>
              <w:spacing w:line="360" w:lineRule="auto"/>
              <w:jc w:val="right"/>
              <w:rPr>
                <w:rFonts w:cs="Arial" w:asciiTheme="minorEastAsia" w:hAnsiTheme="minorEastAsia" w:eastAsiaTheme="minorEastAsia"/>
                <w:color w:val="auto"/>
                <w:szCs w:val="21"/>
                <w:highlight w:val="none"/>
              </w:rPr>
            </w:pPr>
          </w:p>
        </w:tc>
      </w:tr>
      <w:tr w14:paraId="1B502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6625D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30028D6F">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32E635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279E5D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BC506F4">
            <w:pPr>
              <w:adjustRightInd w:val="0"/>
              <w:spacing w:line="360" w:lineRule="auto"/>
              <w:jc w:val="right"/>
              <w:rPr>
                <w:rFonts w:cs="Arial" w:asciiTheme="minorEastAsia" w:hAnsiTheme="minorEastAsia" w:eastAsiaTheme="minorEastAsia"/>
                <w:color w:val="auto"/>
                <w:szCs w:val="21"/>
                <w:highlight w:val="none"/>
              </w:rPr>
            </w:pPr>
          </w:p>
        </w:tc>
      </w:tr>
      <w:tr w14:paraId="329D0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7B3F2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6DCCC0DC">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2B0C29DF">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0D025A6">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085D693">
            <w:pPr>
              <w:adjustRightInd w:val="0"/>
              <w:spacing w:line="360" w:lineRule="auto"/>
              <w:jc w:val="right"/>
              <w:rPr>
                <w:rFonts w:cs="Arial" w:asciiTheme="minorEastAsia" w:hAnsiTheme="minorEastAsia" w:eastAsiaTheme="minorEastAsia"/>
                <w:color w:val="auto"/>
                <w:szCs w:val="21"/>
                <w:highlight w:val="none"/>
              </w:rPr>
            </w:pPr>
          </w:p>
        </w:tc>
      </w:tr>
      <w:tr w14:paraId="660E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D01662">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2812F299">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A43AB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4ED36E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0F9AA3">
            <w:pPr>
              <w:adjustRightInd w:val="0"/>
              <w:spacing w:line="360" w:lineRule="auto"/>
              <w:jc w:val="right"/>
              <w:rPr>
                <w:rFonts w:cs="Arial" w:asciiTheme="minorEastAsia" w:hAnsiTheme="minorEastAsia" w:eastAsiaTheme="minorEastAsia"/>
                <w:color w:val="auto"/>
                <w:szCs w:val="21"/>
                <w:highlight w:val="none"/>
              </w:rPr>
            </w:pPr>
          </w:p>
        </w:tc>
      </w:tr>
      <w:tr w14:paraId="409EA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C0C438C">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0921698E">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842DE84">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31B53">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5E28DFF">
            <w:pPr>
              <w:adjustRightInd w:val="0"/>
              <w:spacing w:line="360" w:lineRule="auto"/>
              <w:jc w:val="right"/>
              <w:rPr>
                <w:rFonts w:cs="Arial" w:asciiTheme="minorEastAsia" w:hAnsiTheme="minorEastAsia" w:eastAsiaTheme="minorEastAsia"/>
                <w:color w:val="auto"/>
                <w:szCs w:val="21"/>
                <w:highlight w:val="none"/>
              </w:rPr>
            </w:pPr>
          </w:p>
        </w:tc>
      </w:tr>
      <w:tr w14:paraId="3B7F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990D5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18C68FB5">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68683F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78EBFF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D0B095">
            <w:pPr>
              <w:adjustRightInd w:val="0"/>
              <w:spacing w:line="360" w:lineRule="auto"/>
              <w:jc w:val="right"/>
              <w:rPr>
                <w:rFonts w:cs="Arial" w:asciiTheme="minorEastAsia" w:hAnsiTheme="minorEastAsia" w:eastAsiaTheme="minorEastAsia"/>
                <w:color w:val="auto"/>
                <w:szCs w:val="21"/>
                <w:highlight w:val="none"/>
              </w:rPr>
            </w:pPr>
          </w:p>
        </w:tc>
      </w:tr>
      <w:tr w14:paraId="6DB0C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AADFE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315D7AB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07A500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D3978A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D4C43">
            <w:pPr>
              <w:adjustRightInd w:val="0"/>
              <w:spacing w:line="360" w:lineRule="auto"/>
              <w:jc w:val="right"/>
              <w:rPr>
                <w:rFonts w:cs="Arial" w:asciiTheme="minorEastAsia" w:hAnsiTheme="minorEastAsia" w:eastAsiaTheme="minorEastAsia"/>
                <w:color w:val="auto"/>
                <w:szCs w:val="21"/>
                <w:highlight w:val="none"/>
              </w:rPr>
            </w:pPr>
          </w:p>
        </w:tc>
      </w:tr>
      <w:tr w14:paraId="0A882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92B4D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p>
        </w:tc>
        <w:tc>
          <w:tcPr>
            <w:tcW w:w="1745" w:type="dxa"/>
            <w:tcBorders>
              <w:top w:val="single" w:color="auto" w:sz="4" w:space="0"/>
              <w:left w:val="single" w:color="auto" w:sz="4" w:space="0"/>
              <w:bottom w:val="single" w:color="auto" w:sz="4" w:space="0"/>
              <w:right w:val="single" w:color="auto" w:sz="4" w:space="0"/>
            </w:tcBorders>
            <w:vAlign w:val="center"/>
          </w:tcPr>
          <w:p w14:paraId="62C21012">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3A3BA39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657661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4467C84">
            <w:pPr>
              <w:adjustRightInd w:val="0"/>
              <w:spacing w:line="360" w:lineRule="auto"/>
              <w:jc w:val="right"/>
              <w:rPr>
                <w:rFonts w:cs="Arial" w:asciiTheme="minorEastAsia" w:hAnsiTheme="minorEastAsia" w:eastAsiaTheme="minorEastAsia"/>
                <w:color w:val="auto"/>
                <w:szCs w:val="21"/>
                <w:highlight w:val="none"/>
              </w:rPr>
            </w:pPr>
          </w:p>
        </w:tc>
      </w:tr>
      <w:tr w14:paraId="3B5A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14:paraId="190789BF">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45546846">
            <w:pPr>
              <w:adjustRightInd w:val="0"/>
              <w:spacing w:line="360" w:lineRule="auto"/>
              <w:jc w:val="center"/>
              <w:rPr>
                <w:rFonts w:cs="Arial" w:asciiTheme="minorEastAsia" w:hAnsiTheme="minorEastAsia" w:eastAsiaTheme="minorEastAsia"/>
                <w:color w:val="auto"/>
                <w:szCs w:val="21"/>
                <w:highlight w:val="none"/>
              </w:rPr>
            </w:pPr>
          </w:p>
        </w:tc>
      </w:tr>
    </w:tbl>
    <w:p w14:paraId="652F306C">
      <w:pPr>
        <w:snapToGrid w:val="0"/>
        <w:spacing w:line="360" w:lineRule="auto"/>
        <w:ind w:firstLine="211" w:firstLineChars="100"/>
        <w:rPr>
          <w:rFonts w:asciiTheme="minorEastAsia" w:hAnsiTheme="minorEastAsia" w:eastAsiaTheme="minorEastAsia"/>
          <w:b/>
          <w:bCs/>
          <w:color w:val="auto"/>
          <w:szCs w:val="21"/>
          <w:highlight w:val="none"/>
        </w:rPr>
      </w:pPr>
    </w:p>
    <w:p w14:paraId="7453DCC8">
      <w:pPr>
        <w:snapToGrid w:val="0"/>
        <w:spacing w:line="360" w:lineRule="auto"/>
        <w:ind w:firstLine="211" w:firstLineChars="100"/>
        <w:rPr>
          <w:rFonts w:asciiTheme="minorEastAsia" w:hAnsiTheme="minorEastAsia" w:eastAsiaTheme="minorEastAsia"/>
          <w:b/>
          <w:bCs/>
          <w:color w:val="auto"/>
          <w:szCs w:val="21"/>
          <w:highlight w:val="none"/>
        </w:rPr>
      </w:pPr>
    </w:p>
    <w:p w14:paraId="74DA0818">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14:paraId="7C05A33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2、身份证、学历证书、职称证书、等资料复印件加盖单位公章附后。</w:t>
      </w:r>
    </w:p>
    <w:p w14:paraId="16842255">
      <w:pPr>
        <w:snapToGrid w:val="0"/>
        <w:spacing w:line="360" w:lineRule="auto"/>
        <w:ind w:firstLine="200"/>
        <w:jc w:val="right"/>
        <w:rPr>
          <w:rFonts w:asciiTheme="minorEastAsia" w:hAnsiTheme="minorEastAsia" w:eastAsiaTheme="minorEastAsia"/>
          <w:color w:val="auto"/>
          <w:szCs w:val="21"/>
          <w:highlight w:val="none"/>
        </w:rPr>
      </w:pPr>
    </w:p>
    <w:p w14:paraId="1B836B30">
      <w:pPr>
        <w:spacing w:before="120" w:beforeLines="50" w:line="360" w:lineRule="auto"/>
        <w:ind w:firstLine="2750" w:firstLineChars="1100"/>
        <w:jc w:val="right"/>
        <w:rPr>
          <w:rFonts w:asciiTheme="minorEastAsia" w:hAnsiTheme="minorEastAsia" w:eastAsiaTheme="minorEastAsia"/>
          <w:color w:val="auto"/>
          <w:szCs w:val="21"/>
          <w:highlight w:val="none"/>
        </w:rPr>
      </w:pPr>
      <w:bookmarkStart w:id="110" w:name="OLE_LINK8"/>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5AF8996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42F0FB72">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A0E0BC1">
      <w:pPr>
        <w:pStyle w:val="29"/>
        <w:spacing w:before="120" w:after="120" w:line="360" w:lineRule="auto"/>
        <w:jc w:val="center"/>
        <w:rPr>
          <w:rFonts w:asciiTheme="minorEastAsia" w:hAnsiTheme="minorEastAsia" w:eastAsiaTheme="minorEastAsia"/>
          <w:b/>
          <w:color w:val="auto"/>
          <w:szCs w:val="21"/>
          <w:highlight w:val="none"/>
        </w:rPr>
      </w:pPr>
    </w:p>
    <w:p w14:paraId="6E60CFE7">
      <w:pPr>
        <w:pStyle w:val="29"/>
        <w:spacing w:before="120" w:after="120" w:line="360" w:lineRule="auto"/>
        <w:jc w:val="center"/>
        <w:rPr>
          <w:rFonts w:asciiTheme="minorEastAsia" w:hAnsiTheme="minorEastAsia" w:eastAsiaTheme="minorEastAsia"/>
          <w:b/>
          <w:color w:val="auto"/>
          <w:szCs w:val="21"/>
          <w:highlight w:val="none"/>
        </w:rPr>
      </w:pPr>
    </w:p>
    <w:p w14:paraId="558EF91C">
      <w:pPr>
        <w:pStyle w:val="29"/>
        <w:spacing w:before="120" w:after="120" w:line="360" w:lineRule="auto"/>
        <w:jc w:val="center"/>
        <w:rPr>
          <w:rFonts w:asciiTheme="minorEastAsia" w:hAnsiTheme="minorEastAsia" w:eastAsiaTheme="minorEastAsia"/>
          <w:b/>
          <w:color w:val="auto"/>
          <w:szCs w:val="21"/>
          <w:highlight w:val="none"/>
        </w:rPr>
      </w:pPr>
    </w:p>
    <w:p w14:paraId="0039F484">
      <w:pPr>
        <w:pStyle w:val="29"/>
        <w:spacing w:before="120" w:after="120" w:line="360" w:lineRule="auto"/>
        <w:jc w:val="center"/>
        <w:rPr>
          <w:rFonts w:asciiTheme="minorEastAsia" w:hAnsiTheme="minorEastAsia" w:eastAsiaTheme="minorEastAsia"/>
          <w:b/>
          <w:color w:val="auto"/>
          <w:szCs w:val="21"/>
          <w:highlight w:val="none"/>
        </w:rPr>
      </w:pPr>
    </w:p>
    <w:p w14:paraId="21BD3465">
      <w:pPr>
        <w:pStyle w:val="29"/>
        <w:spacing w:before="120" w:after="120" w:line="360" w:lineRule="auto"/>
        <w:jc w:val="center"/>
        <w:rPr>
          <w:rFonts w:asciiTheme="minorEastAsia" w:hAnsiTheme="minorEastAsia" w:eastAsiaTheme="minorEastAsia"/>
          <w:b/>
          <w:color w:val="auto"/>
          <w:szCs w:val="21"/>
          <w:highlight w:val="none"/>
        </w:rPr>
      </w:pPr>
    </w:p>
    <w:p w14:paraId="7668952C">
      <w:pPr>
        <w:pStyle w:val="29"/>
        <w:spacing w:before="120" w:after="120" w:line="360" w:lineRule="auto"/>
        <w:jc w:val="center"/>
        <w:rPr>
          <w:rFonts w:asciiTheme="minorEastAsia" w:hAnsiTheme="minorEastAsia" w:eastAsiaTheme="minorEastAsia"/>
          <w:b/>
          <w:color w:val="auto"/>
          <w:szCs w:val="21"/>
          <w:highlight w:val="none"/>
        </w:rPr>
      </w:pPr>
    </w:p>
    <w:p w14:paraId="7A00EBF4">
      <w:pPr>
        <w:pStyle w:val="29"/>
        <w:spacing w:before="120" w:after="120" w:line="360" w:lineRule="auto"/>
        <w:jc w:val="center"/>
        <w:rPr>
          <w:rFonts w:asciiTheme="minorEastAsia" w:hAnsiTheme="minorEastAsia" w:eastAsiaTheme="minorEastAsia"/>
          <w:b/>
          <w:color w:val="auto"/>
          <w:szCs w:val="21"/>
          <w:highlight w:val="none"/>
        </w:rPr>
      </w:pPr>
    </w:p>
    <w:p w14:paraId="4800BA5D">
      <w:pPr>
        <w:pStyle w:val="29"/>
        <w:spacing w:before="120" w:after="120"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8、项目负责人简历表</w:t>
      </w:r>
      <w:bookmarkEnd w:id="110"/>
    </w:p>
    <w:tbl>
      <w:tblPr>
        <w:tblStyle w:val="5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357"/>
        <w:gridCol w:w="1417"/>
        <w:gridCol w:w="1134"/>
      </w:tblGrid>
      <w:tr w14:paraId="749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DE9372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C19375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39F6FB9F">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1357" w:type="dxa"/>
            <w:tcBorders>
              <w:top w:val="single" w:color="auto" w:sz="12" w:space="0"/>
              <w:left w:val="single" w:color="auto" w:sz="6" w:space="0"/>
              <w:bottom w:val="single" w:color="auto" w:sz="6" w:space="0"/>
              <w:right w:val="single" w:color="auto" w:sz="6" w:space="0"/>
            </w:tcBorders>
            <w:vAlign w:val="center"/>
          </w:tcPr>
          <w:p w14:paraId="4BEE05F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12" w:space="0"/>
              <w:left w:val="single" w:color="auto" w:sz="6" w:space="0"/>
              <w:bottom w:val="single" w:color="auto" w:sz="6" w:space="0"/>
              <w:right w:val="single" w:color="auto" w:sz="6" w:space="0"/>
            </w:tcBorders>
            <w:vAlign w:val="center"/>
          </w:tcPr>
          <w:p w14:paraId="289699D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134" w:type="dxa"/>
            <w:tcBorders>
              <w:top w:val="single" w:color="auto" w:sz="12" w:space="0"/>
              <w:left w:val="single" w:color="auto" w:sz="6" w:space="0"/>
              <w:bottom w:val="single" w:color="auto" w:sz="6" w:space="0"/>
              <w:right w:val="single" w:color="auto" w:sz="12" w:space="0"/>
            </w:tcBorders>
            <w:vAlign w:val="center"/>
          </w:tcPr>
          <w:p w14:paraId="092DDE2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5F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E2462F6">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86E1DB2">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4E436587">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357" w:type="dxa"/>
            <w:tcBorders>
              <w:top w:val="single" w:color="auto" w:sz="6" w:space="0"/>
              <w:left w:val="single" w:color="auto" w:sz="6" w:space="0"/>
              <w:bottom w:val="single" w:color="auto" w:sz="6" w:space="0"/>
              <w:right w:val="single" w:color="auto" w:sz="6" w:space="0"/>
            </w:tcBorders>
            <w:vAlign w:val="center"/>
          </w:tcPr>
          <w:p w14:paraId="5C61254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4804CA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134" w:type="dxa"/>
            <w:tcBorders>
              <w:top w:val="single" w:color="auto" w:sz="6" w:space="0"/>
              <w:left w:val="single" w:color="auto" w:sz="6" w:space="0"/>
              <w:bottom w:val="single" w:color="auto" w:sz="6" w:space="0"/>
              <w:right w:val="single" w:color="auto" w:sz="12" w:space="0"/>
            </w:tcBorders>
            <w:vAlign w:val="center"/>
          </w:tcPr>
          <w:p w14:paraId="4C2A60DE">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1597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695730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5500FC8A">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357" w:type="dxa"/>
            <w:tcBorders>
              <w:top w:val="single" w:color="auto" w:sz="6" w:space="0"/>
              <w:left w:val="single" w:color="auto" w:sz="6" w:space="0"/>
              <w:bottom w:val="single" w:color="auto" w:sz="6" w:space="0"/>
              <w:right w:val="single" w:color="auto" w:sz="6" w:space="0"/>
            </w:tcBorders>
            <w:vAlign w:val="center"/>
          </w:tcPr>
          <w:p w14:paraId="045A1D3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 机</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2664545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FAB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827" w:type="dxa"/>
            <w:gridSpan w:val="6"/>
            <w:tcBorders>
              <w:top w:val="single" w:color="auto" w:sz="6" w:space="0"/>
              <w:left w:val="single" w:color="auto" w:sz="12" w:space="0"/>
              <w:bottom w:val="single" w:color="auto" w:sz="12" w:space="0"/>
              <w:right w:val="single" w:color="auto" w:sz="12" w:space="0"/>
            </w:tcBorders>
          </w:tcPr>
          <w:p w14:paraId="46FA2BD2">
            <w:pPr>
              <w:pStyle w:val="29"/>
              <w:spacing w:before="120" w:after="120" w:line="360" w:lineRule="auto"/>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近三年从事相关工作经历及经验：</w:t>
            </w:r>
          </w:p>
        </w:tc>
      </w:tr>
    </w:tbl>
    <w:p w14:paraId="02127FEE">
      <w:pPr>
        <w:pStyle w:val="29"/>
        <w:spacing w:before="120" w:after="120" w:line="360" w:lineRule="auto"/>
        <w:ind w:left="632" w:hanging="632" w:hangingChars="3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注:</w:t>
      </w:r>
      <w:r>
        <w:rPr>
          <w:rFonts w:hint="eastAsia" w:asciiTheme="minorEastAsia" w:hAnsiTheme="minorEastAsia" w:eastAsiaTheme="minorEastAsia"/>
          <w:color w:val="auto"/>
          <w:szCs w:val="21"/>
          <w:highlight w:val="none"/>
        </w:rPr>
        <w:t>附身份证、学历证书、职称证书、经验证明等复印件。</w:t>
      </w:r>
    </w:p>
    <w:p w14:paraId="40AA71F5">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6A4A9E6A">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12B0C9EB">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1E1B005E">
      <w:pPr>
        <w:pStyle w:val="29"/>
        <w:snapToGrid w:val="0"/>
        <w:spacing w:line="360" w:lineRule="auto"/>
        <w:jc w:val="right"/>
        <w:rPr>
          <w:rFonts w:asciiTheme="minorEastAsia" w:hAnsiTheme="minorEastAsia" w:eastAsiaTheme="minorEastAsia"/>
          <w:b/>
          <w:color w:val="auto"/>
          <w:szCs w:val="21"/>
          <w:highlight w:val="none"/>
        </w:rPr>
      </w:pPr>
    </w:p>
    <w:p w14:paraId="1F1A78C3">
      <w:pPr>
        <w:pStyle w:val="29"/>
        <w:spacing w:before="120" w:after="120" w:line="360" w:lineRule="auto"/>
        <w:jc w:val="center"/>
        <w:rPr>
          <w:rFonts w:hAnsi="宋体"/>
          <w:b/>
          <w:color w:val="auto"/>
          <w:szCs w:val="21"/>
          <w:highlight w:val="none"/>
        </w:rPr>
      </w:pPr>
      <w:r>
        <w:rPr>
          <w:rFonts w:hint="eastAsia" w:hAnsi="宋体"/>
          <w:b/>
          <w:color w:val="auto"/>
          <w:szCs w:val="21"/>
          <w:highlight w:val="none"/>
        </w:rPr>
        <w:t>组员简历表</w:t>
      </w:r>
    </w:p>
    <w:tbl>
      <w:tblPr>
        <w:tblStyle w:val="54"/>
        <w:tblW w:w="91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16"/>
        <w:gridCol w:w="1513"/>
        <w:gridCol w:w="1616"/>
        <w:gridCol w:w="1446"/>
        <w:gridCol w:w="1554"/>
      </w:tblGrid>
      <w:tr w14:paraId="16D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12" w:space="0"/>
              <w:left w:val="single" w:color="auto" w:sz="12" w:space="0"/>
              <w:bottom w:val="single" w:color="auto" w:sz="6" w:space="0"/>
              <w:right w:val="single" w:color="auto" w:sz="6" w:space="0"/>
            </w:tcBorders>
            <w:vAlign w:val="center"/>
          </w:tcPr>
          <w:p w14:paraId="7925E20D">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姓 名</w:t>
            </w:r>
          </w:p>
        </w:tc>
        <w:tc>
          <w:tcPr>
            <w:tcW w:w="1516" w:type="dxa"/>
            <w:tcBorders>
              <w:top w:val="single" w:color="auto" w:sz="12" w:space="0"/>
              <w:left w:val="single" w:color="auto" w:sz="6" w:space="0"/>
              <w:bottom w:val="single" w:color="auto" w:sz="6" w:space="0"/>
              <w:right w:val="single" w:color="auto" w:sz="6" w:space="0"/>
            </w:tcBorders>
            <w:vAlign w:val="center"/>
          </w:tcPr>
          <w:p w14:paraId="3BC41745">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12" w:space="0"/>
              <w:left w:val="single" w:color="auto" w:sz="6" w:space="0"/>
              <w:bottom w:val="single" w:color="auto" w:sz="6" w:space="0"/>
              <w:right w:val="single" w:color="auto" w:sz="6" w:space="0"/>
            </w:tcBorders>
            <w:vAlign w:val="center"/>
          </w:tcPr>
          <w:p w14:paraId="08E1F1C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性 别</w:t>
            </w:r>
          </w:p>
        </w:tc>
        <w:tc>
          <w:tcPr>
            <w:tcW w:w="1616" w:type="dxa"/>
            <w:tcBorders>
              <w:top w:val="single" w:color="auto" w:sz="12" w:space="0"/>
              <w:left w:val="single" w:color="auto" w:sz="6" w:space="0"/>
              <w:bottom w:val="single" w:color="auto" w:sz="6" w:space="0"/>
              <w:right w:val="single" w:color="auto" w:sz="6" w:space="0"/>
            </w:tcBorders>
            <w:vAlign w:val="center"/>
          </w:tcPr>
          <w:p w14:paraId="0C6AF5F5">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12" w:space="0"/>
              <w:left w:val="single" w:color="auto" w:sz="6" w:space="0"/>
              <w:bottom w:val="single" w:color="auto" w:sz="6" w:space="0"/>
              <w:right w:val="single" w:color="auto" w:sz="6" w:space="0"/>
            </w:tcBorders>
            <w:vAlign w:val="center"/>
          </w:tcPr>
          <w:p w14:paraId="135F2CA2">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年 龄</w:t>
            </w:r>
          </w:p>
        </w:tc>
        <w:tc>
          <w:tcPr>
            <w:tcW w:w="1554" w:type="dxa"/>
            <w:tcBorders>
              <w:top w:val="single" w:color="auto" w:sz="12" w:space="0"/>
              <w:left w:val="single" w:color="auto" w:sz="6" w:space="0"/>
              <w:bottom w:val="single" w:color="auto" w:sz="6" w:space="0"/>
              <w:right w:val="single" w:color="auto" w:sz="12" w:space="0"/>
            </w:tcBorders>
            <w:vAlign w:val="center"/>
          </w:tcPr>
          <w:p w14:paraId="66262F54">
            <w:pPr>
              <w:pStyle w:val="29"/>
              <w:spacing w:before="120" w:after="120" w:line="360" w:lineRule="auto"/>
              <w:ind w:left="630" w:hanging="630" w:hangingChars="300"/>
              <w:jc w:val="center"/>
              <w:rPr>
                <w:rFonts w:hAnsi="宋体"/>
                <w:color w:val="auto"/>
                <w:szCs w:val="21"/>
                <w:highlight w:val="none"/>
              </w:rPr>
            </w:pPr>
          </w:p>
        </w:tc>
      </w:tr>
      <w:tr w14:paraId="4AF5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45F76199">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学 历</w:t>
            </w:r>
          </w:p>
        </w:tc>
        <w:tc>
          <w:tcPr>
            <w:tcW w:w="1516" w:type="dxa"/>
            <w:tcBorders>
              <w:top w:val="single" w:color="auto" w:sz="6" w:space="0"/>
              <w:left w:val="single" w:color="auto" w:sz="6" w:space="0"/>
              <w:bottom w:val="single" w:color="auto" w:sz="6" w:space="0"/>
              <w:right w:val="single" w:color="auto" w:sz="6" w:space="0"/>
            </w:tcBorders>
            <w:vAlign w:val="center"/>
          </w:tcPr>
          <w:p w14:paraId="5F2C9010">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6" w:space="0"/>
              <w:left w:val="single" w:color="auto" w:sz="6" w:space="0"/>
              <w:bottom w:val="single" w:color="auto" w:sz="6" w:space="0"/>
              <w:right w:val="single" w:color="auto" w:sz="6" w:space="0"/>
            </w:tcBorders>
            <w:vAlign w:val="center"/>
          </w:tcPr>
          <w:p w14:paraId="3519FAE8">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称</w:t>
            </w:r>
          </w:p>
        </w:tc>
        <w:tc>
          <w:tcPr>
            <w:tcW w:w="1616" w:type="dxa"/>
            <w:tcBorders>
              <w:top w:val="single" w:color="auto" w:sz="6" w:space="0"/>
              <w:left w:val="single" w:color="auto" w:sz="6" w:space="0"/>
              <w:bottom w:val="single" w:color="auto" w:sz="6" w:space="0"/>
              <w:right w:val="single" w:color="auto" w:sz="6" w:space="0"/>
            </w:tcBorders>
            <w:vAlign w:val="center"/>
          </w:tcPr>
          <w:p w14:paraId="7920D94D">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6" w:space="0"/>
              <w:left w:val="single" w:color="auto" w:sz="6" w:space="0"/>
              <w:bottom w:val="single" w:color="auto" w:sz="6" w:space="0"/>
              <w:right w:val="single" w:color="auto" w:sz="6" w:space="0"/>
            </w:tcBorders>
            <w:vAlign w:val="center"/>
          </w:tcPr>
          <w:p w14:paraId="023A308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务</w:t>
            </w:r>
          </w:p>
        </w:tc>
        <w:tc>
          <w:tcPr>
            <w:tcW w:w="1554" w:type="dxa"/>
            <w:tcBorders>
              <w:top w:val="single" w:color="auto" w:sz="6" w:space="0"/>
              <w:left w:val="single" w:color="auto" w:sz="6" w:space="0"/>
              <w:bottom w:val="single" w:color="auto" w:sz="6" w:space="0"/>
              <w:right w:val="single" w:color="auto" w:sz="12" w:space="0"/>
            </w:tcBorders>
            <w:vAlign w:val="center"/>
          </w:tcPr>
          <w:p w14:paraId="78FD9432">
            <w:pPr>
              <w:pStyle w:val="29"/>
              <w:spacing w:before="120" w:after="120" w:line="360" w:lineRule="auto"/>
              <w:ind w:left="630" w:hanging="630" w:hangingChars="300"/>
              <w:jc w:val="center"/>
              <w:rPr>
                <w:rFonts w:hAnsi="宋体"/>
                <w:color w:val="auto"/>
                <w:szCs w:val="21"/>
                <w:highlight w:val="none"/>
              </w:rPr>
            </w:pPr>
          </w:p>
        </w:tc>
      </w:tr>
      <w:tr w14:paraId="68D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52CF6831">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联系电话</w:t>
            </w:r>
          </w:p>
        </w:tc>
        <w:tc>
          <w:tcPr>
            <w:tcW w:w="3029" w:type="dxa"/>
            <w:gridSpan w:val="2"/>
            <w:tcBorders>
              <w:top w:val="single" w:color="auto" w:sz="6" w:space="0"/>
              <w:left w:val="single" w:color="auto" w:sz="6" w:space="0"/>
              <w:bottom w:val="single" w:color="auto" w:sz="6" w:space="0"/>
              <w:right w:val="single" w:color="auto" w:sz="6" w:space="0"/>
            </w:tcBorders>
            <w:vAlign w:val="center"/>
          </w:tcPr>
          <w:p w14:paraId="7020C560">
            <w:pPr>
              <w:pStyle w:val="29"/>
              <w:spacing w:before="120" w:after="120" w:line="360" w:lineRule="auto"/>
              <w:ind w:left="630" w:hanging="630" w:hangingChars="300"/>
              <w:jc w:val="center"/>
              <w:rPr>
                <w:rFonts w:hAnsi="宋体"/>
                <w:color w:val="auto"/>
                <w:szCs w:val="21"/>
                <w:highlight w:val="none"/>
              </w:rPr>
            </w:pPr>
          </w:p>
        </w:tc>
        <w:tc>
          <w:tcPr>
            <w:tcW w:w="1616" w:type="dxa"/>
            <w:tcBorders>
              <w:top w:val="single" w:color="auto" w:sz="6" w:space="0"/>
              <w:left w:val="single" w:color="auto" w:sz="6" w:space="0"/>
              <w:bottom w:val="single" w:color="auto" w:sz="6" w:space="0"/>
              <w:right w:val="single" w:color="auto" w:sz="6" w:space="0"/>
            </w:tcBorders>
            <w:vAlign w:val="center"/>
          </w:tcPr>
          <w:p w14:paraId="6315A445">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手 机</w:t>
            </w:r>
          </w:p>
        </w:tc>
        <w:tc>
          <w:tcPr>
            <w:tcW w:w="3000" w:type="dxa"/>
            <w:gridSpan w:val="2"/>
            <w:tcBorders>
              <w:top w:val="single" w:color="auto" w:sz="6" w:space="0"/>
              <w:left w:val="single" w:color="auto" w:sz="6" w:space="0"/>
              <w:bottom w:val="single" w:color="auto" w:sz="6" w:space="0"/>
              <w:right w:val="single" w:color="auto" w:sz="12" w:space="0"/>
            </w:tcBorders>
            <w:vAlign w:val="center"/>
          </w:tcPr>
          <w:p w14:paraId="67AB1403">
            <w:pPr>
              <w:pStyle w:val="29"/>
              <w:spacing w:before="120" w:after="120" w:line="360" w:lineRule="auto"/>
              <w:ind w:left="630" w:hanging="630" w:hangingChars="300"/>
              <w:jc w:val="center"/>
              <w:rPr>
                <w:rFonts w:hAnsi="宋体"/>
                <w:color w:val="auto"/>
                <w:szCs w:val="21"/>
                <w:highlight w:val="none"/>
              </w:rPr>
            </w:pPr>
          </w:p>
        </w:tc>
      </w:tr>
      <w:tr w14:paraId="2150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131" w:type="dxa"/>
            <w:gridSpan w:val="6"/>
            <w:tcBorders>
              <w:top w:val="single" w:color="auto" w:sz="6" w:space="0"/>
              <w:left w:val="single" w:color="auto" w:sz="12" w:space="0"/>
              <w:bottom w:val="single" w:color="auto" w:sz="12" w:space="0"/>
              <w:right w:val="single" w:color="auto" w:sz="12" w:space="0"/>
            </w:tcBorders>
          </w:tcPr>
          <w:p w14:paraId="0E05DE57">
            <w:pPr>
              <w:pStyle w:val="29"/>
              <w:spacing w:before="120" w:after="120" w:line="360" w:lineRule="auto"/>
              <w:ind w:left="630" w:hanging="630" w:hangingChars="300"/>
              <w:rPr>
                <w:rFonts w:hAnsi="宋体"/>
                <w:color w:val="auto"/>
                <w:szCs w:val="21"/>
                <w:highlight w:val="none"/>
              </w:rPr>
            </w:pPr>
            <w:r>
              <w:rPr>
                <w:rFonts w:hint="eastAsia" w:hAnsi="宋体"/>
                <w:color w:val="auto"/>
                <w:szCs w:val="21"/>
                <w:highlight w:val="none"/>
              </w:rPr>
              <w:t>介绍</w:t>
            </w:r>
          </w:p>
        </w:tc>
      </w:tr>
    </w:tbl>
    <w:p w14:paraId="4F036FD1">
      <w:pPr>
        <w:pStyle w:val="29"/>
        <w:spacing w:before="120" w:after="120" w:line="360" w:lineRule="auto"/>
        <w:ind w:left="630" w:hanging="630" w:hangingChars="300"/>
        <w:rPr>
          <w:rFonts w:hAnsi="宋体"/>
          <w:b/>
          <w:bCs/>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注:</w:t>
      </w:r>
      <w:r>
        <w:rPr>
          <w:rFonts w:hint="eastAsia" w:hAnsi="宋体"/>
          <w:color w:val="auto"/>
          <w:szCs w:val="21"/>
          <w:highlight w:val="none"/>
        </w:rPr>
        <w:t>附学历证书、职称证书、身份证、经验证明等复印件。</w:t>
      </w:r>
      <w:r>
        <w:rPr>
          <w:rFonts w:hint="eastAsia" w:hAnsi="宋体"/>
          <w:b/>
          <w:bCs/>
          <w:color w:val="auto"/>
          <w:szCs w:val="21"/>
          <w:highlight w:val="none"/>
        </w:rPr>
        <w:t xml:space="preserve"> </w:t>
      </w:r>
    </w:p>
    <w:p w14:paraId="436C0ACA">
      <w:pPr>
        <w:spacing w:line="360" w:lineRule="auto"/>
        <w:ind w:firstLine="3750" w:firstLineChars="1500"/>
        <w:rPr>
          <w:rFonts w:ascii="宋体" w:hAnsi="宋体"/>
          <w:color w:val="auto"/>
          <w:spacing w:val="20"/>
          <w:szCs w:val="21"/>
          <w:highlight w:val="none"/>
        </w:rPr>
      </w:pPr>
    </w:p>
    <w:p w14:paraId="5F45D78A">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11961E5F">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383885E5">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4E93D93F">
      <w:pPr>
        <w:pStyle w:val="29"/>
        <w:snapToGrid w:val="0"/>
        <w:spacing w:line="360" w:lineRule="auto"/>
        <w:jc w:val="right"/>
        <w:rPr>
          <w:rFonts w:asciiTheme="minorEastAsia" w:hAnsiTheme="minorEastAsia" w:eastAsiaTheme="minorEastAsia"/>
          <w:b/>
          <w:color w:val="auto"/>
          <w:szCs w:val="21"/>
          <w:highlight w:val="none"/>
        </w:rPr>
      </w:pPr>
    </w:p>
    <w:p w14:paraId="603C175A">
      <w:pPr>
        <w:pStyle w:val="29"/>
        <w:snapToGrid w:val="0"/>
        <w:spacing w:line="360" w:lineRule="auto"/>
        <w:rPr>
          <w:rFonts w:asciiTheme="minorEastAsia" w:hAnsiTheme="minorEastAsia" w:eastAsiaTheme="minorEastAsia"/>
          <w:b/>
          <w:color w:val="auto"/>
          <w:szCs w:val="21"/>
          <w:highlight w:val="none"/>
        </w:rPr>
      </w:pPr>
    </w:p>
    <w:p w14:paraId="25E561A8">
      <w:pPr>
        <w:pStyle w:val="29"/>
        <w:snapToGrid w:val="0"/>
        <w:spacing w:line="360" w:lineRule="auto"/>
        <w:rPr>
          <w:rFonts w:asciiTheme="minorEastAsia" w:hAnsiTheme="minorEastAsia" w:eastAsiaTheme="minorEastAsia"/>
          <w:b/>
          <w:color w:val="auto"/>
          <w:szCs w:val="21"/>
          <w:highlight w:val="none"/>
        </w:rPr>
      </w:pPr>
    </w:p>
    <w:p w14:paraId="617947C6">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w:t>
      </w:r>
    </w:p>
    <w:p w14:paraId="212C3913">
      <w:pPr>
        <w:pStyle w:val="29"/>
        <w:snapToGrid w:val="0"/>
        <w:spacing w:line="360" w:lineRule="auto"/>
        <w:ind w:left="1262" w:hanging="422"/>
        <w:jc w:val="center"/>
        <w:rPr>
          <w:rFonts w:hAnsi="宋体"/>
          <w:b/>
          <w:color w:val="auto"/>
          <w:szCs w:val="21"/>
          <w:highlight w:val="none"/>
        </w:rPr>
      </w:pPr>
      <w:r>
        <w:rPr>
          <w:rFonts w:hint="eastAsia" w:asciiTheme="minorEastAsia" w:hAnsiTheme="minorEastAsia" w:eastAsiaTheme="minorEastAsia"/>
          <w:b/>
          <w:color w:val="auto"/>
          <w:szCs w:val="21"/>
          <w:highlight w:val="none"/>
        </w:rPr>
        <w:t>中小企业声明函</w:t>
      </w:r>
      <w:r>
        <w:rPr>
          <w:rFonts w:hint="eastAsia" w:asciiTheme="minorEastAsia" w:hAnsiTheme="minorEastAsia" w:eastAsiaTheme="minorEastAsia"/>
          <w:b/>
          <w:bCs/>
          <w:color w:val="auto"/>
          <w:szCs w:val="21"/>
          <w:highlight w:val="none"/>
        </w:rPr>
        <w:t>（附件7）</w:t>
      </w:r>
      <w:r>
        <w:rPr>
          <w:rFonts w:hint="eastAsia" w:hAnsi="宋体"/>
          <w:b/>
          <w:bCs/>
          <w:color w:val="auto"/>
          <w:szCs w:val="21"/>
          <w:highlight w:val="none"/>
        </w:rPr>
        <w:t>（工程、服务）</w:t>
      </w:r>
    </w:p>
    <w:p w14:paraId="6FE92720">
      <w:pPr>
        <w:spacing w:line="360" w:lineRule="auto"/>
        <w:ind w:firstLine="420" w:firstLineChars="200"/>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14:paraId="4B1EE2F8">
      <w:pPr>
        <w:spacing w:line="360" w:lineRule="auto"/>
        <w:ind w:left="420" w:left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u w:val="single"/>
        </w:rPr>
        <w:t>（标的名称）</w:t>
      </w:r>
      <w:r>
        <w:rPr>
          <w:rFonts w:hint="eastAsia"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3F788D91">
      <w:pPr>
        <w:spacing w:line="360" w:lineRule="auto"/>
        <w:ind w:firstLine="525" w:firstLineChars="25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58E0A5B8">
      <w:pPr>
        <w:spacing w:line="360" w:lineRule="auto"/>
        <w:ind w:firstLine="525" w:firstLineChars="25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0AA2F30A">
      <w:pPr>
        <w:spacing w:line="360" w:lineRule="auto"/>
        <w:ind w:firstLine="525" w:firstLineChars="250"/>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14:paraId="2D12545B">
      <w:pPr>
        <w:spacing w:line="360" w:lineRule="auto"/>
        <w:ind w:firstLine="4515" w:firstLineChars="2150"/>
        <w:jc w:val="right"/>
        <w:rPr>
          <w:rFonts w:ascii="宋体" w:hAnsi="宋体"/>
          <w:color w:val="auto"/>
          <w:szCs w:val="21"/>
          <w:highlight w:val="none"/>
        </w:rPr>
      </w:pPr>
    </w:p>
    <w:p w14:paraId="0833AFD8">
      <w:pPr>
        <w:spacing w:line="360" w:lineRule="auto"/>
        <w:ind w:firstLine="4515" w:firstLineChars="2150"/>
        <w:jc w:val="right"/>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14:paraId="2DA4CFED">
      <w:pPr>
        <w:pStyle w:val="29"/>
        <w:spacing w:before="120" w:after="120" w:line="360" w:lineRule="auto"/>
        <w:ind w:left="1340" w:hanging="500"/>
        <w:jc w:val="right"/>
        <w:rPr>
          <w:rFonts w:hAnsi="宋体"/>
          <w:b/>
          <w:color w:val="auto"/>
          <w:szCs w:val="21"/>
          <w:highlight w:val="none"/>
        </w:rPr>
      </w:pPr>
      <w:r>
        <w:rPr>
          <w:rFonts w:hint="eastAsia" w:hAnsi="宋体"/>
          <w:color w:val="auto"/>
          <w:spacing w:val="20"/>
          <w:szCs w:val="21"/>
          <w:highlight w:val="none"/>
        </w:rPr>
        <w:t xml:space="preserve">             日     期：</w:t>
      </w:r>
    </w:p>
    <w:p w14:paraId="5F95D32B">
      <w:pPr>
        <w:spacing w:line="360" w:lineRule="auto"/>
        <w:ind w:firstLine="422" w:firstLineChars="200"/>
        <w:rPr>
          <w:rFonts w:asciiTheme="minorEastAsia" w:hAnsiTheme="minorEastAsia" w:eastAsiaTheme="minorEastAsia"/>
          <w:b/>
          <w:color w:val="auto"/>
          <w:szCs w:val="21"/>
          <w:highlight w:val="none"/>
        </w:rPr>
      </w:pPr>
    </w:p>
    <w:p w14:paraId="6F1BF3D7">
      <w:pPr>
        <w:spacing w:line="360" w:lineRule="auto"/>
        <w:ind w:firstLine="422" w:firstLineChars="200"/>
        <w:rPr>
          <w:rFonts w:asciiTheme="minorEastAsia" w:hAnsiTheme="minorEastAsia" w:eastAsiaTheme="minorEastAsia"/>
          <w:b/>
          <w:color w:val="auto"/>
          <w:szCs w:val="21"/>
          <w:highlight w:val="none"/>
        </w:rPr>
      </w:pPr>
    </w:p>
    <w:p w14:paraId="3CF0529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w:t>
      </w:r>
    </w:p>
    <w:p w14:paraId="78E79E27">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（附件8）</w:t>
      </w:r>
    </w:p>
    <w:p w14:paraId="1A71F3D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6B2376">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14:paraId="5B5805B4">
      <w:pPr>
        <w:spacing w:line="360" w:lineRule="auto"/>
        <w:ind w:firstLine="420" w:firstLineChars="200"/>
        <w:rPr>
          <w:rFonts w:asciiTheme="minorEastAsia" w:hAnsiTheme="minorEastAsia" w:eastAsiaTheme="minorEastAsia"/>
          <w:color w:val="auto"/>
          <w:szCs w:val="21"/>
          <w:highlight w:val="none"/>
        </w:rPr>
      </w:pPr>
    </w:p>
    <w:p w14:paraId="73DF7497">
      <w:pPr>
        <w:spacing w:before="120" w:beforeLines="50" w:line="360" w:lineRule="auto"/>
        <w:ind w:firstLine="1000" w:firstLineChars="4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071FD175">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CDD80ED">
      <w:pPr>
        <w:pStyle w:val="29"/>
        <w:spacing w:before="120" w:after="120" w:line="360" w:lineRule="auto"/>
        <w:ind w:firstLine="42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1D29E99E">
      <w:pPr>
        <w:snapToGrid w:val="0"/>
        <w:spacing w:line="360" w:lineRule="auto"/>
        <w:rPr>
          <w:rFonts w:asciiTheme="minorEastAsia" w:hAnsiTheme="minorEastAsia" w:eastAsiaTheme="minorEastAsia"/>
          <w:color w:val="auto"/>
          <w:spacing w:val="20"/>
          <w:szCs w:val="21"/>
          <w:highlight w:val="none"/>
        </w:rPr>
      </w:pPr>
    </w:p>
    <w:p w14:paraId="5DED8285">
      <w:pPr>
        <w:snapToGrid w:val="0"/>
        <w:spacing w:line="360" w:lineRule="auto"/>
        <w:rPr>
          <w:rFonts w:asciiTheme="minorEastAsia" w:hAnsiTheme="minorEastAsia" w:eastAsiaTheme="minorEastAsia"/>
          <w:color w:val="auto"/>
          <w:spacing w:val="20"/>
          <w:szCs w:val="21"/>
          <w:highlight w:val="none"/>
        </w:rPr>
      </w:pPr>
    </w:p>
    <w:p w14:paraId="2AF66C1F">
      <w:pPr>
        <w:snapToGrid w:val="0"/>
        <w:spacing w:line="360" w:lineRule="auto"/>
        <w:rPr>
          <w:rFonts w:asciiTheme="minorEastAsia" w:hAnsiTheme="minorEastAsia" w:eastAsiaTheme="minorEastAsia"/>
          <w:color w:val="auto"/>
          <w:spacing w:val="20"/>
          <w:szCs w:val="21"/>
          <w:highlight w:val="none"/>
        </w:rPr>
      </w:pPr>
    </w:p>
    <w:p w14:paraId="232AF027">
      <w:pPr>
        <w:snapToGrid w:val="0"/>
        <w:spacing w:line="360" w:lineRule="auto"/>
        <w:rPr>
          <w:rStyle w:val="748"/>
          <w:rFonts w:asciiTheme="minorEastAsia" w:hAnsiTheme="minorEastAsia" w:eastAsiaTheme="minorEastAsia"/>
          <w:b/>
          <w:color w:val="auto"/>
          <w:szCs w:val="21"/>
          <w:highlight w:val="none"/>
        </w:rPr>
      </w:pPr>
    </w:p>
    <w:p w14:paraId="7BC84C40">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1</w:t>
      </w:r>
      <w:r>
        <w:rPr>
          <w:rStyle w:val="748"/>
          <w:rFonts w:hint="eastAsia" w:asciiTheme="minorEastAsia" w:hAnsiTheme="minorEastAsia" w:eastAsiaTheme="minorEastAsia"/>
          <w:b/>
          <w:color w:val="auto"/>
          <w:szCs w:val="21"/>
          <w:highlight w:val="none"/>
        </w:rPr>
        <w:t>、劳动用工书面承诺</w:t>
      </w:r>
      <w:r>
        <w:rPr>
          <w:rFonts w:hint="eastAsia" w:asciiTheme="minorEastAsia" w:hAnsiTheme="minorEastAsia" w:eastAsiaTheme="minorEastAsia"/>
          <w:b/>
          <w:bCs/>
          <w:color w:val="auto"/>
          <w:szCs w:val="21"/>
          <w:highlight w:val="none"/>
        </w:rPr>
        <w:t>（附件9）</w:t>
      </w:r>
    </w:p>
    <w:p w14:paraId="3D37CF10">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p>
    <w:p w14:paraId="18EBA349">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特此承诺。</w:t>
      </w:r>
    </w:p>
    <w:p w14:paraId="6BD655C0">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p>
    <w:p w14:paraId="0B2179ED">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　　                           投标人（盖章）：</w:t>
      </w:r>
    </w:p>
    <w:p w14:paraId="648AC09B">
      <w:pPr>
        <w:pStyle w:val="3"/>
        <w:rPr>
          <w:color w:val="auto"/>
          <w:highlight w:val="none"/>
        </w:rPr>
      </w:pPr>
    </w:p>
    <w:p w14:paraId="3C529AA2">
      <w:pPr>
        <w:pStyle w:val="755"/>
        <w:spacing w:line="360" w:lineRule="auto"/>
        <w:rPr>
          <w:rStyle w:val="748"/>
          <w:rFonts w:asciiTheme="minorEastAsia" w:hAnsiTheme="minorEastAsia" w:eastAsiaTheme="minorEastAsia"/>
          <w:b/>
          <w:color w:val="auto"/>
          <w:sz w:val="21"/>
          <w:szCs w:val="21"/>
          <w:highlight w:val="none"/>
        </w:rPr>
      </w:pPr>
      <w:r>
        <w:rPr>
          <w:rStyle w:val="748"/>
          <w:rFonts w:hint="eastAsia" w:asciiTheme="minorEastAsia" w:hAnsiTheme="minorEastAsia" w:eastAsiaTheme="minorEastAsia"/>
          <w:b/>
          <w:color w:val="auto"/>
          <w:sz w:val="21"/>
          <w:szCs w:val="21"/>
          <w:highlight w:val="none"/>
        </w:rPr>
        <w:t>1</w:t>
      </w:r>
      <w:r>
        <w:rPr>
          <w:rStyle w:val="748"/>
          <w:rFonts w:asciiTheme="minorEastAsia" w:hAnsiTheme="minorEastAsia" w:eastAsiaTheme="minorEastAsia"/>
          <w:b/>
          <w:color w:val="auto"/>
          <w:sz w:val="21"/>
          <w:szCs w:val="21"/>
          <w:highlight w:val="none"/>
        </w:rPr>
        <w:t>2</w:t>
      </w:r>
      <w:r>
        <w:rPr>
          <w:rStyle w:val="748"/>
          <w:rFonts w:hint="eastAsia" w:asciiTheme="minorEastAsia" w:hAnsiTheme="minorEastAsia" w:eastAsiaTheme="minorEastAsia"/>
          <w:b/>
          <w:color w:val="auto"/>
          <w:sz w:val="21"/>
          <w:szCs w:val="21"/>
          <w:highlight w:val="none"/>
        </w:rPr>
        <w:t>、                               商务响应表（附件10）</w:t>
      </w:r>
    </w:p>
    <w:tbl>
      <w:tblPr>
        <w:tblStyle w:val="54"/>
        <w:tblW w:w="8490" w:type="dxa"/>
        <w:tblInd w:w="2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9"/>
        <w:gridCol w:w="3085"/>
        <w:gridCol w:w="3085"/>
        <w:gridCol w:w="1411"/>
      </w:tblGrid>
      <w:tr w14:paraId="1AD019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12" w:space="0"/>
              <w:left w:val="single" w:color="000000" w:sz="12" w:space="0"/>
              <w:bottom w:val="single" w:color="000000" w:sz="4" w:space="0"/>
              <w:right w:val="single" w:color="000000" w:sz="4" w:space="0"/>
            </w:tcBorders>
          </w:tcPr>
          <w:p w14:paraId="643E93FC">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序号</w:t>
            </w:r>
          </w:p>
        </w:tc>
        <w:tc>
          <w:tcPr>
            <w:tcW w:w="3085" w:type="dxa"/>
            <w:tcBorders>
              <w:top w:val="single" w:color="000000" w:sz="12" w:space="0"/>
              <w:left w:val="single" w:color="000000" w:sz="4" w:space="0"/>
              <w:bottom w:val="single" w:color="000000" w:sz="4" w:space="0"/>
              <w:right w:val="single" w:color="000000" w:sz="4" w:space="0"/>
            </w:tcBorders>
          </w:tcPr>
          <w:p w14:paraId="7B9B8376">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招标文件的规定</w:t>
            </w:r>
          </w:p>
        </w:tc>
        <w:tc>
          <w:tcPr>
            <w:tcW w:w="3085" w:type="dxa"/>
            <w:tcBorders>
              <w:top w:val="single" w:color="000000" w:sz="12" w:space="0"/>
              <w:left w:val="single" w:color="000000" w:sz="4" w:space="0"/>
              <w:bottom w:val="single" w:color="000000" w:sz="4" w:space="0"/>
              <w:right w:val="single" w:color="000000" w:sz="4" w:space="0"/>
            </w:tcBorders>
          </w:tcPr>
          <w:p w14:paraId="58469C29">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投标文件的相应</w:t>
            </w:r>
          </w:p>
        </w:tc>
        <w:tc>
          <w:tcPr>
            <w:tcW w:w="1411" w:type="dxa"/>
            <w:tcBorders>
              <w:top w:val="single" w:color="000000" w:sz="12" w:space="0"/>
              <w:left w:val="single" w:color="000000" w:sz="4" w:space="0"/>
              <w:bottom w:val="single" w:color="000000" w:sz="4" w:space="0"/>
              <w:right w:val="single" w:color="000000" w:sz="12" w:space="0"/>
            </w:tcBorders>
          </w:tcPr>
          <w:p w14:paraId="08DE8830">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偏离说明</w:t>
            </w:r>
          </w:p>
        </w:tc>
      </w:tr>
      <w:tr w14:paraId="58415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2A8E926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154A870F">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70628592">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6E82D56B">
            <w:pPr>
              <w:spacing w:line="360" w:lineRule="auto"/>
              <w:rPr>
                <w:rStyle w:val="748"/>
                <w:rFonts w:asciiTheme="minorEastAsia" w:hAnsiTheme="minorEastAsia" w:eastAsiaTheme="minorEastAsia"/>
                <w:color w:val="auto"/>
                <w:szCs w:val="21"/>
                <w:highlight w:val="none"/>
              </w:rPr>
            </w:pPr>
          </w:p>
        </w:tc>
      </w:tr>
      <w:tr w14:paraId="604DB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79ADE9C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4927EE8A">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66123589">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0EC99B2E">
            <w:pPr>
              <w:spacing w:line="360" w:lineRule="auto"/>
              <w:rPr>
                <w:rStyle w:val="748"/>
                <w:rFonts w:asciiTheme="minorEastAsia" w:hAnsiTheme="minorEastAsia" w:eastAsiaTheme="minorEastAsia"/>
                <w:color w:val="auto"/>
                <w:szCs w:val="21"/>
                <w:highlight w:val="none"/>
              </w:rPr>
            </w:pPr>
          </w:p>
        </w:tc>
      </w:tr>
      <w:tr w14:paraId="601DB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12" w:space="0"/>
              <w:right w:val="single" w:color="000000" w:sz="4" w:space="0"/>
            </w:tcBorders>
          </w:tcPr>
          <w:p w14:paraId="2DE12454">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340ABFD2">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6532BC2B">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12" w:space="0"/>
              <w:right w:val="single" w:color="000000" w:sz="12" w:space="0"/>
            </w:tcBorders>
          </w:tcPr>
          <w:p w14:paraId="1D329348">
            <w:pPr>
              <w:spacing w:line="360" w:lineRule="auto"/>
              <w:rPr>
                <w:rStyle w:val="748"/>
                <w:rFonts w:asciiTheme="minorEastAsia" w:hAnsiTheme="minorEastAsia" w:eastAsiaTheme="minorEastAsia"/>
                <w:color w:val="auto"/>
                <w:szCs w:val="21"/>
                <w:highlight w:val="none"/>
              </w:rPr>
            </w:pPr>
          </w:p>
        </w:tc>
      </w:tr>
    </w:tbl>
    <w:p w14:paraId="41E1034E">
      <w:pPr>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注：供应商的投标文件（除技术规格部分）与招标文件之规定存在偏离的，应在此表中如实说明。未在上表中说明的，将被认为完全响应招标文件的规定。</w:t>
      </w:r>
    </w:p>
    <w:p w14:paraId="603E7FEE">
      <w:pPr>
        <w:snapToGrid w:val="0"/>
        <w:spacing w:line="360" w:lineRule="auto"/>
        <w:rPr>
          <w:rFonts w:asciiTheme="minorEastAsia" w:hAnsiTheme="minorEastAsia" w:eastAsiaTheme="minorEastAsia"/>
          <w:color w:val="auto"/>
          <w:spacing w:val="20"/>
          <w:szCs w:val="21"/>
          <w:highlight w:val="none"/>
        </w:rPr>
      </w:pPr>
    </w:p>
    <w:p w14:paraId="5F1077C7">
      <w:pPr>
        <w:rPr>
          <w:color w:val="auto"/>
          <w:highlight w:val="none"/>
        </w:rPr>
      </w:pPr>
    </w:p>
    <w:p w14:paraId="129E2D51">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3</w:t>
      </w:r>
      <w:r>
        <w:rPr>
          <w:rStyle w:val="748"/>
          <w:rFonts w:hint="eastAsia" w:asciiTheme="minorEastAsia" w:hAnsiTheme="minorEastAsia" w:eastAsiaTheme="minorEastAsia"/>
          <w:b/>
          <w:color w:val="auto"/>
          <w:szCs w:val="21"/>
          <w:highlight w:val="none"/>
        </w:rPr>
        <w:t>、技术响应表格式：</w:t>
      </w:r>
    </w:p>
    <w:p w14:paraId="61DA1D37">
      <w:pPr>
        <w:snapToGrid w:val="0"/>
        <w:spacing w:line="360" w:lineRule="auto"/>
        <w:jc w:val="center"/>
        <w:rPr>
          <w:rStyle w:val="748"/>
          <w:rFonts w:asciiTheme="minorEastAsia" w:hAnsiTheme="minorEastAsia" w:eastAsiaTheme="minorEastAsia"/>
          <w:color w:val="auto"/>
          <w:szCs w:val="21"/>
          <w:highlight w:val="none"/>
          <w:u w:val="single"/>
        </w:rPr>
      </w:pPr>
      <w:r>
        <w:rPr>
          <w:rStyle w:val="748"/>
          <w:rFonts w:hint="eastAsia" w:asciiTheme="minorEastAsia" w:hAnsiTheme="minorEastAsia" w:eastAsiaTheme="minorEastAsia"/>
          <w:b/>
          <w:color w:val="auto"/>
          <w:szCs w:val="21"/>
          <w:highlight w:val="none"/>
        </w:rPr>
        <w:t>技术响应表（附件11）</w:t>
      </w:r>
    </w:p>
    <w:tbl>
      <w:tblPr>
        <w:tblStyle w:val="54"/>
        <w:tblW w:w="87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8"/>
        <w:gridCol w:w="2675"/>
        <w:gridCol w:w="1386"/>
        <w:gridCol w:w="1089"/>
        <w:gridCol w:w="762"/>
        <w:gridCol w:w="1299"/>
      </w:tblGrid>
      <w:tr w14:paraId="0A512D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96" w:hRule="atLeast"/>
        </w:trPr>
        <w:tc>
          <w:tcPr>
            <w:tcW w:w="4253" w:type="dxa"/>
            <w:gridSpan w:val="2"/>
            <w:tcBorders>
              <w:top w:val="single" w:color="000000" w:sz="4" w:space="0"/>
              <w:left w:val="single" w:color="000000" w:sz="4" w:space="0"/>
              <w:bottom w:val="single" w:color="000000" w:sz="4" w:space="0"/>
              <w:right w:val="single" w:color="000000" w:sz="4" w:space="0"/>
            </w:tcBorders>
          </w:tcPr>
          <w:p w14:paraId="45B5A168">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招标文件要求</w:t>
            </w:r>
          </w:p>
        </w:tc>
        <w:tc>
          <w:tcPr>
            <w:tcW w:w="3237" w:type="dxa"/>
            <w:gridSpan w:val="3"/>
            <w:tcBorders>
              <w:top w:val="single" w:color="000000" w:sz="4" w:space="0"/>
              <w:left w:val="single" w:color="000000" w:sz="4" w:space="0"/>
              <w:bottom w:val="single" w:color="000000" w:sz="4" w:space="0"/>
              <w:right w:val="single" w:color="000000" w:sz="4" w:space="0"/>
            </w:tcBorders>
          </w:tcPr>
          <w:p w14:paraId="79BE563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投标文件响应</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14:paraId="76C3BD56">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偏离</w:t>
            </w:r>
          </w:p>
          <w:p w14:paraId="2B4F6C3B">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情况</w:t>
            </w:r>
          </w:p>
        </w:tc>
      </w:tr>
      <w:tr w14:paraId="324BDC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0" w:hRule="atLeast"/>
        </w:trPr>
        <w:tc>
          <w:tcPr>
            <w:tcW w:w="1578" w:type="dxa"/>
            <w:tcBorders>
              <w:top w:val="single" w:color="000000" w:sz="4" w:space="0"/>
              <w:left w:val="single" w:color="000000" w:sz="4" w:space="0"/>
              <w:bottom w:val="single" w:color="000000" w:sz="4" w:space="0"/>
              <w:right w:val="single" w:color="000000" w:sz="4" w:space="0"/>
            </w:tcBorders>
          </w:tcPr>
          <w:p w14:paraId="0E9BDB7D">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tcPr>
          <w:p w14:paraId="7569C3E5">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要求</w:t>
            </w:r>
          </w:p>
        </w:tc>
        <w:tc>
          <w:tcPr>
            <w:tcW w:w="1386" w:type="dxa"/>
            <w:tcBorders>
              <w:top w:val="single" w:color="000000" w:sz="4" w:space="0"/>
              <w:left w:val="single" w:color="000000" w:sz="4" w:space="0"/>
              <w:bottom w:val="single" w:color="000000" w:sz="4" w:space="0"/>
              <w:right w:val="single" w:color="000000" w:sz="4" w:space="0"/>
            </w:tcBorders>
          </w:tcPr>
          <w:p w14:paraId="34E3DBEE">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设备名称</w:t>
            </w:r>
          </w:p>
        </w:tc>
        <w:tc>
          <w:tcPr>
            <w:tcW w:w="1089" w:type="dxa"/>
            <w:tcBorders>
              <w:top w:val="single" w:color="000000" w:sz="4" w:space="0"/>
              <w:left w:val="single" w:color="000000" w:sz="4" w:space="0"/>
              <w:bottom w:val="single" w:color="000000" w:sz="4" w:space="0"/>
              <w:right w:val="single" w:color="auto" w:sz="4" w:space="0"/>
            </w:tcBorders>
          </w:tcPr>
          <w:p w14:paraId="613C4A5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性能及指标</w:t>
            </w:r>
          </w:p>
        </w:tc>
        <w:tc>
          <w:tcPr>
            <w:tcW w:w="762" w:type="dxa"/>
            <w:tcBorders>
              <w:top w:val="single" w:color="000000" w:sz="4" w:space="0"/>
              <w:left w:val="single" w:color="auto" w:sz="4" w:space="0"/>
              <w:bottom w:val="single" w:color="000000" w:sz="4" w:space="0"/>
              <w:right w:val="single" w:color="000000" w:sz="4" w:space="0"/>
            </w:tcBorders>
          </w:tcPr>
          <w:p w14:paraId="737A7AD4">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品牌</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14:paraId="7481144F">
            <w:pPr>
              <w:pStyle w:val="752"/>
              <w:spacing w:line="360" w:lineRule="auto"/>
              <w:rPr>
                <w:rStyle w:val="748"/>
                <w:rFonts w:asciiTheme="minorEastAsia" w:hAnsiTheme="minorEastAsia" w:eastAsiaTheme="minorEastAsia"/>
                <w:color w:val="auto"/>
                <w:szCs w:val="21"/>
                <w:highlight w:val="none"/>
              </w:rPr>
            </w:pPr>
          </w:p>
        </w:tc>
      </w:tr>
      <w:tr w14:paraId="5BB1D9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3D45040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01318E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2B80261A">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41DF6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12C5E2EF">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5CB4A3A1">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4EEF9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1C1627E0">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B47653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427A592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AEE06DE">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671F34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4D3DDDFB">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33A3ED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57829E9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6FBF9CB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625A694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4E58A3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584314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04DD97BA">
            <w:pPr>
              <w:pStyle w:val="752"/>
              <w:snapToGrid w:val="0"/>
              <w:spacing w:before="0" w:after="0" w:line="360" w:lineRule="auto"/>
              <w:rPr>
                <w:rStyle w:val="748"/>
                <w:rFonts w:asciiTheme="minorEastAsia" w:hAnsiTheme="minorEastAsia" w:eastAsiaTheme="minorEastAsia"/>
                <w:color w:val="auto"/>
                <w:sz w:val="21"/>
                <w:szCs w:val="21"/>
                <w:highlight w:val="none"/>
              </w:rPr>
            </w:pPr>
          </w:p>
        </w:tc>
      </w:tr>
    </w:tbl>
    <w:p w14:paraId="181834B4">
      <w:pPr>
        <w:pStyle w:val="754"/>
        <w:spacing w:before="0" w:after="0" w:line="360" w:lineRule="auto"/>
        <w:ind w:left="63" w:right="63"/>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注：供应商应根据投标设备的性能指标、对照招标文件要求在“偏离情况”栏注明“正偏离”、“负偏离”或“无偏离”。货物无品牌可打/。</w:t>
      </w:r>
    </w:p>
    <w:p w14:paraId="4F9A0524">
      <w:pPr>
        <w:pStyle w:val="754"/>
        <w:spacing w:before="0" w:after="0" w:line="360" w:lineRule="auto"/>
        <w:ind w:left="63" w:right="63"/>
        <w:rPr>
          <w:rStyle w:val="748"/>
          <w:rFonts w:asciiTheme="minorEastAsia" w:hAnsiTheme="minorEastAsia" w:eastAsiaTheme="minorEastAsia"/>
          <w:color w:val="auto"/>
          <w:sz w:val="21"/>
          <w:szCs w:val="21"/>
          <w:highlight w:val="none"/>
        </w:rPr>
      </w:pPr>
    </w:p>
    <w:p w14:paraId="4FE077DD">
      <w:pPr>
        <w:pStyle w:val="754"/>
        <w:spacing w:before="0" w:after="0" w:line="360" w:lineRule="auto"/>
        <w:ind w:left="63" w:right="63"/>
        <w:rPr>
          <w:rStyle w:val="748"/>
          <w:rFonts w:asciiTheme="minorEastAsia" w:hAnsiTheme="minorEastAsia" w:eastAsiaTheme="minorEastAsia"/>
          <w:b w:val="0"/>
          <w:bCs w:val="0"/>
          <w:color w:val="auto"/>
          <w:sz w:val="21"/>
          <w:szCs w:val="21"/>
          <w:highlight w:val="none"/>
        </w:rPr>
      </w:pPr>
    </w:p>
    <w:p w14:paraId="1D6F3F75">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w:t>
      </w:r>
    </w:p>
    <w:p w14:paraId="525ADE66">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（附件12）</w:t>
      </w:r>
    </w:p>
    <w:p w14:paraId="3DF9DBE3">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1B355E9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，签字代表________（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14:paraId="4E358A50">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14:paraId="6DD54C2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92C328B">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14:paraId="617021D6">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14:paraId="26A238F5">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14:paraId="4BD0E16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14:paraId="6CD9F57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14:paraId="7E0383AF">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14:paraId="01C69B00">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14:paraId="3B10D2D2">
      <w:pPr>
        <w:adjustRightInd w:val="0"/>
        <w:snapToGrid w:val="0"/>
        <w:spacing w:line="360" w:lineRule="auto"/>
        <w:rPr>
          <w:rFonts w:asciiTheme="minorEastAsia" w:hAnsiTheme="minorEastAsia" w:eastAsiaTheme="minorEastAsia"/>
          <w:color w:val="auto"/>
          <w:szCs w:val="21"/>
          <w:highlight w:val="none"/>
        </w:rPr>
      </w:pPr>
    </w:p>
    <w:p w14:paraId="626FD6A5">
      <w:pPr>
        <w:adjustRightInd w:val="0"/>
        <w:snapToGrid w:val="0"/>
        <w:spacing w:line="360" w:lineRule="auto"/>
        <w:rPr>
          <w:rFonts w:asciiTheme="minorEastAsia" w:hAnsiTheme="minorEastAsia" w:eastAsiaTheme="minorEastAsia"/>
          <w:color w:val="auto"/>
          <w:szCs w:val="21"/>
          <w:highlight w:val="none"/>
        </w:rPr>
      </w:pPr>
    </w:p>
    <w:p w14:paraId="5D90ABB9">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14:paraId="41E0E536">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14:paraId="1FE3941A">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14:paraId="2909CC2A">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760B9E4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10250349">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60F4627F">
      <w:pPr>
        <w:snapToGrid w:val="0"/>
        <w:spacing w:line="360" w:lineRule="auto"/>
        <w:rPr>
          <w:rFonts w:asciiTheme="minorEastAsia" w:hAnsiTheme="minorEastAsia" w:eastAsiaTheme="minorEastAsia"/>
          <w:b/>
          <w:color w:val="auto"/>
          <w:szCs w:val="21"/>
          <w:highlight w:val="none"/>
        </w:rPr>
      </w:pPr>
    </w:p>
    <w:p w14:paraId="25FA0EA3">
      <w:pPr>
        <w:snapToGrid w:val="0"/>
        <w:spacing w:line="360" w:lineRule="auto"/>
        <w:rPr>
          <w:rFonts w:asciiTheme="minorEastAsia" w:hAnsiTheme="minorEastAsia" w:eastAsiaTheme="minorEastAsia"/>
          <w:b/>
          <w:color w:val="auto"/>
          <w:szCs w:val="21"/>
          <w:highlight w:val="none"/>
        </w:rPr>
      </w:pPr>
    </w:p>
    <w:p w14:paraId="0A4DAF6C">
      <w:pPr>
        <w:snapToGrid w:val="0"/>
        <w:spacing w:line="360" w:lineRule="auto"/>
        <w:rPr>
          <w:rFonts w:asciiTheme="minorEastAsia" w:hAnsiTheme="minorEastAsia" w:eastAsiaTheme="minorEastAsia"/>
          <w:b/>
          <w:color w:val="auto"/>
          <w:szCs w:val="21"/>
          <w:highlight w:val="none"/>
        </w:rPr>
      </w:pPr>
    </w:p>
    <w:p w14:paraId="2AB341EF">
      <w:pPr>
        <w:snapToGrid w:val="0"/>
        <w:spacing w:line="360" w:lineRule="auto"/>
        <w:rPr>
          <w:rFonts w:asciiTheme="minorEastAsia" w:hAnsiTheme="minorEastAsia" w:eastAsiaTheme="minorEastAsia"/>
          <w:b/>
          <w:color w:val="auto"/>
          <w:szCs w:val="21"/>
          <w:highlight w:val="none"/>
        </w:rPr>
      </w:pPr>
    </w:p>
    <w:p w14:paraId="042DC72F">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18F172F">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w:t>
      </w:r>
    </w:p>
    <w:p w14:paraId="606846A4">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开标一览表（附件13）</w:t>
      </w:r>
    </w:p>
    <w:p w14:paraId="08FF293F">
      <w:pPr>
        <w:spacing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新城街道派出所营房内部改造项目</w:t>
      </w:r>
    </w:p>
    <w:tbl>
      <w:tblPr>
        <w:tblStyle w:val="5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41"/>
        <w:gridCol w:w="1483"/>
        <w:gridCol w:w="1217"/>
        <w:gridCol w:w="1003"/>
        <w:gridCol w:w="1790"/>
        <w:gridCol w:w="896"/>
      </w:tblGrid>
      <w:tr w14:paraId="5C35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14:paraId="64BC726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序号</w:t>
            </w:r>
          </w:p>
        </w:tc>
        <w:tc>
          <w:tcPr>
            <w:tcW w:w="2541" w:type="dxa"/>
            <w:vAlign w:val="center"/>
          </w:tcPr>
          <w:p w14:paraId="5D6871F1">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1483" w:type="dxa"/>
            <w:vAlign w:val="center"/>
          </w:tcPr>
          <w:p w14:paraId="5F2B642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上限价</w:t>
            </w:r>
          </w:p>
          <w:p w14:paraId="5820FC2C">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217" w:type="dxa"/>
            <w:vAlign w:val="center"/>
          </w:tcPr>
          <w:p w14:paraId="666B339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w:t>
            </w:r>
          </w:p>
          <w:p w14:paraId="22BAB1BD">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003" w:type="dxa"/>
            <w:vAlign w:val="center"/>
          </w:tcPr>
          <w:p w14:paraId="71569C83">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1790" w:type="dxa"/>
            <w:vAlign w:val="center"/>
          </w:tcPr>
          <w:p w14:paraId="4A418AC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工期</w:t>
            </w:r>
          </w:p>
        </w:tc>
        <w:tc>
          <w:tcPr>
            <w:tcW w:w="896" w:type="dxa"/>
            <w:vAlign w:val="center"/>
          </w:tcPr>
          <w:p w14:paraId="6656C79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14:paraId="0A95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14:paraId="43BAF867">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2541" w:type="dxa"/>
            <w:vAlign w:val="center"/>
          </w:tcPr>
          <w:p w14:paraId="20A027E8">
            <w:pPr>
              <w:snapToGri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highlight w:val="none"/>
                <w:lang w:eastAsia="zh-CN"/>
              </w:rPr>
              <w:t>新城街道派出所营房内部改造项目</w:t>
            </w:r>
          </w:p>
        </w:tc>
        <w:tc>
          <w:tcPr>
            <w:tcW w:w="1483" w:type="dxa"/>
            <w:vAlign w:val="center"/>
          </w:tcPr>
          <w:p w14:paraId="2D859247">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389</w:t>
            </w:r>
            <w:r>
              <w:rPr>
                <w:rFonts w:hint="eastAsia" w:cs="宋体" w:asciiTheme="minorEastAsia" w:hAnsiTheme="minorEastAsia" w:eastAsiaTheme="minorEastAsia"/>
                <w:color w:val="auto"/>
                <w:highlight w:val="none"/>
                <w:lang w:val="en-US" w:eastAsia="zh-CN"/>
              </w:rPr>
              <w:t>.</w:t>
            </w:r>
            <w:r>
              <w:rPr>
                <w:rFonts w:hint="eastAsia" w:cs="宋体" w:asciiTheme="minorEastAsia" w:hAnsiTheme="minorEastAsia" w:eastAsiaTheme="minorEastAsia"/>
                <w:color w:val="auto"/>
                <w:highlight w:val="none"/>
              </w:rPr>
              <w:t>6770</w:t>
            </w:r>
          </w:p>
        </w:tc>
        <w:tc>
          <w:tcPr>
            <w:tcW w:w="1217" w:type="dxa"/>
            <w:vAlign w:val="center"/>
          </w:tcPr>
          <w:p w14:paraId="44F772E0">
            <w:pPr>
              <w:adjustRightInd w:val="0"/>
              <w:snapToGrid w:val="0"/>
              <w:spacing w:line="360" w:lineRule="auto"/>
              <w:jc w:val="center"/>
              <w:rPr>
                <w:rFonts w:cs="宋体" w:asciiTheme="minorEastAsia" w:hAnsiTheme="minorEastAsia" w:eastAsiaTheme="minorEastAsia"/>
                <w:color w:val="auto"/>
                <w:highlight w:val="none"/>
              </w:rPr>
            </w:pPr>
          </w:p>
        </w:tc>
        <w:tc>
          <w:tcPr>
            <w:tcW w:w="1003" w:type="dxa"/>
            <w:vAlign w:val="center"/>
          </w:tcPr>
          <w:p w14:paraId="7F10DCCE">
            <w:pPr>
              <w:adjustRightInd w:val="0"/>
              <w:spacing w:line="360" w:lineRule="auto"/>
              <w:jc w:val="center"/>
              <w:rPr>
                <w:rFonts w:cs="Arial" w:asciiTheme="minorEastAsia" w:hAnsiTheme="minorEastAsia" w:eastAsiaTheme="minorEastAsia"/>
                <w:color w:val="auto"/>
                <w:szCs w:val="21"/>
                <w:highlight w:val="none"/>
              </w:rPr>
            </w:pPr>
          </w:p>
        </w:tc>
        <w:tc>
          <w:tcPr>
            <w:tcW w:w="1790" w:type="dxa"/>
            <w:vAlign w:val="center"/>
          </w:tcPr>
          <w:p w14:paraId="42F82510">
            <w:pPr>
              <w:adjustRightInd w:val="0"/>
              <w:spacing w:line="360" w:lineRule="auto"/>
              <w:jc w:val="center"/>
              <w:rPr>
                <w:rFonts w:cs="Arial" w:asciiTheme="minorEastAsia" w:hAnsiTheme="minorEastAsia" w:eastAsiaTheme="minorEastAsia"/>
                <w:color w:val="auto"/>
                <w:szCs w:val="21"/>
                <w:highlight w:val="none"/>
              </w:rPr>
            </w:pPr>
          </w:p>
        </w:tc>
        <w:tc>
          <w:tcPr>
            <w:tcW w:w="896" w:type="dxa"/>
            <w:vAlign w:val="center"/>
          </w:tcPr>
          <w:p w14:paraId="052CC5C7">
            <w:pPr>
              <w:adjustRightInd w:val="0"/>
              <w:spacing w:line="360" w:lineRule="auto"/>
              <w:jc w:val="center"/>
              <w:rPr>
                <w:rFonts w:cs="Arial" w:asciiTheme="minorEastAsia" w:hAnsiTheme="minorEastAsia" w:eastAsiaTheme="minorEastAsia"/>
                <w:color w:val="auto"/>
                <w:szCs w:val="21"/>
                <w:highlight w:val="none"/>
              </w:rPr>
            </w:pPr>
          </w:p>
        </w:tc>
      </w:tr>
      <w:tr w14:paraId="19C0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7"/>
            <w:vAlign w:val="center"/>
          </w:tcPr>
          <w:p w14:paraId="5E3DDBB4">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合计大写（人民币）：                               </w:t>
            </w:r>
          </w:p>
        </w:tc>
      </w:tr>
    </w:tbl>
    <w:p w14:paraId="3AFF4B68">
      <w:pPr>
        <w:spacing w:line="360" w:lineRule="auto"/>
        <w:rPr>
          <w:rFonts w:asciiTheme="minorEastAsia" w:hAnsiTheme="minorEastAsia" w:eastAsiaTheme="minorEastAsia"/>
          <w:b/>
          <w:color w:val="auto"/>
          <w:szCs w:val="21"/>
          <w:highlight w:val="none"/>
        </w:rPr>
      </w:pPr>
    </w:p>
    <w:p w14:paraId="5B0240CA">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Cs/>
          <w:color w:val="auto"/>
          <w:szCs w:val="21"/>
          <w:highlight w:val="none"/>
        </w:rPr>
        <w:t>注</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填写此表时不得改变表格的形式。</w:t>
      </w:r>
    </w:p>
    <w:p w14:paraId="7CD36609">
      <w:pPr>
        <w:adjustRightIn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2、投标报</w:t>
      </w:r>
      <w:r>
        <w:rPr>
          <w:rFonts w:cs="Arial" w:asciiTheme="minorEastAsia" w:hAnsiTheme="minorEastAsia" w:eastAsiaTheme="minorEastAsia"/>
          <w:color w:val="auto"/>
          <w:szCs w:val="21"/>
          <w:highlight w:val="none"/>
        </w:rPr>
        <w:t>价包括</w:t>
      </w:r>
      <w:r>
        <w:rPr>
          <w:rFonts w:hint="eastAsia" w:cs="Arial" w:asciiTheme="minorEastAsia" w:hAnsiTheme="minorEastAsia" w:eastAsiaTheme="minorEastAsia"/>
          <w:color w:val="auto"/>
          <w:szCs w:val="21"/>
          <w:highlight w:val="none"/>
        </w:rPr>
        <w:t>提供服务、人员、交通、税金等本项目所需的</w:t>
      </w:r>
      <w:r>
        <w:rPr>
          <w:rFonts w:cs="Arial" w:asciiTheme="minorEastAsia" w:hAnsiTheme="minorEastAsia" w:eastAsiaTheme="minorEastAsia"/>
          <w:color w:val="auto"/>
          <w:szCs w:val="21"/>
          <w:highlight w:val="none"/>
        </w:rPr>
        <w:t>全部费用。</w:t>
      </w:r>
    </w:p>
    <w:p w14:paraId="7DD57539">
      <w:pPr>
        <w:adjustRightInd w:val="0"/>
        <w:spacing w:line="360" w:lineRule="auto"/>
        <w:ind w:firstLine="420" w:firstLineChars="200"/>
        <w:rPr>
          <w:rFonts w:asciiTheme="minorEastAsia" w:hAnsiTheme="minorEastAsia" w:eastAsiaTheme="minorEastAsia"/>
          <w:color w:val="auto"/>
          <w:szCs w:val="21"/>
          <w:highlight w:val="none"/>
        </w:rPr>
      </w:pPr>
    </w:p>
    <w:p w14:paraId="07E641EC">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2D4ED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BDAAFE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7C951F9">
      <w:pPr>
        <w:spacing w:line="360" w:lineRule="auto"/>
        <w:rPr>
          <w:rFonts w:asciiTheme="minorEastAsia" w:hAnsiTheme="minorEastAsia" w:eastAsiaTheme="minorEastAsia"/>
          <w:b/>
          <w:color w:val="auto"/>
          <w:szCs w:val="21"/>
          <w:highlight w:val="none"/>
        </w:rPr>
      </w:pPr>
    </w:p>
    <w:p w14:paraId="06921E11">
      <w:pPr>
        <w:spacing w:line="360" w:lineRule="auto"/>
        <w:rPr>
          <w:rFonts w:asciiTheme="minorEastAsia" w:hAnsiTheme="minorEastAsia" w:eastAsiaTheme="minorEastAsia"/>
          <w:b/>
          <w:color w:val="auto"/>
          <w:szCs w:val="21"/>
          <w:highlight w:val="none"/>
        </w:rPr>
      </w:pPr>
    </w:p>
    <w:p w14:paraId="47A0E414">
      <w:pPr>
        <w:spacing w:line="360" w:lineRule="auto"/>
        <w:rPr>
          <w:rFonts w:asciiTheme="minorEastAsia" w:hAnsiTheme="minorEastAsia" w:eastAsiaTheme="minorEastAsia"/>
          <w:b/>
          <w:color w:val="auto"/>
          <w:szCs w:val="21"/>
          <w:highlight w:val="none"/>
        </w:rPr>
      </w:pPr>
    </w:p>
    <w:p w14:paraId="78CA6DBC">
      <w:pPr>
        <w:spacing w:line="360" w:lineRule="auto"/>
        <w:rPr>
          <w:rFonts w:asciiTheme="minorEastAsia" w:hAnsiTheme="minorEastAsia" w:eastAsiaTheme="minorEastAsia"/>
          <w:b/>
          <w:color w:val="auto"/>
          <w:szCs w:val="21"/>
          <w:highlight w:val="none"/>
        </w:rPr>
      </w:pPr>
    </w:p>
    <w:p w14:paraId="51732FF6">
      <w:pPr>
        <w:spacing w:line="360" w:lineRule="auto"/>
        <w:rPr>
          <w:rFonts w:asciiTheme="minorEastAsia" w:hAnsiTheme="minorEastAsia" w:eastAsiaTheme="minorEastAsia"/>
          <w:b/>
          <w:color w:val="auto"/>
          <w:szCs w:val="21"/>
          <w:highlight w:val="none"/>
        </w:rPr>
      </w:pPr>
    </w:p>
    <w:p w14:paraId="5A7165DA">
      <w:pPr>
        <w:spacing w:line="360" w:lineRule="auto"/>
        <w:rPr>
          <w:rFonts w:asciiTheme="minorEastAsia" w:hAnsiTheme="minorEastAsia" w:eastAsiaTheme="minorEastAsia"/>
          <w:b/>
          <w:color w:val="auto"/>
          <w:szCs w:val="21"/>
          <w:highlight w:val="none"/>
        </w:rPr>
      </w:pPr>
    </w:p>
    <w:p w14:paraId="37209375">
      <w:pPr>
        <w:spacing w:line="360" w:lineRule="auto"/>
        <w:rPr>
          <w:rFonts w:asciiTheme="minorEastAsia" w:hAnsiTheme="minorEastAsia" w:eastAsiaTheme="minorEastAsia"/>
          <w:b/>
          <w:color w:val="auto"/>
          <w:szCs w:val="21"/>
          <w:highlight w:val="none"/>
        </w:rPr>
      </w:pPr>
    </w:p>
    <w:p w14:paraId="36C74CB2">
      <w:pPr>
        <w:spacing w:line="360" w:lineRule="auto"/>
        <w:rPr>
          <w:rFonts w:asciiTheme="minorEastAsia" w:hAnsiTheme="minorEastAsia" w:eastAsiaTheme="minorEastAsia"/>
          <w:b/>
          <w:color w:val="auto"/>
          <w:szCs w:val="21"/>
          <w:highlight w:val="none"/>
        </w:rPr>
      </w:pPr>
    </w:p>
    <w:p w14:paraId="13238B70">
      <w:pPr>
        <w:spacing w:line="360" w:lineRule="auto"/>
        <w:rPr>
          <w:rFonts w:asciiTheme="minorEastAsia" w:hAnsiTheme="minorEastAsia" w:eastAsiaTheme="minorEastAsia"/>
          <w:b/>
          <w:color w:val="auto"/>
          <w:szCs w:val="21"/>
          <w:highlight w:val="none"/>
        </w:rPr>
      </w:pPr>
    </w:p>
    <w:p w14:paraId="6A18D52A">
      <w:pPr>
        <w:spacing w:line="360" w:lineRule="auto"/>
        <w:rPr>
          <w:rFonts w:asciiTheme="minorEastAsia" w:hAnsiTheme="minorEastAsia" w:eastAsiaTheme="minorEastAsia"/>
          <w:b/>
          <w:color w:val="auto"/>
          <w:szCs w:val="21"/>
          <w:highlight w:val="none"/>
        </w:rPr>
      </w:pPr>
    </w:p>
    <w:p w14:paraId="68D2D053">
      <w:pPr>
        <w:spacing w:line="360" w:lineRule="auto"/>
        <w:rPr>
          <w:rFonts w:asciiTheme="minorEastAsia" w:hAnsiTheme="minorEastAsia" w:eastAsiaTheme="minorEastAsia"/>
          <w:b/>
          <w:color w:val="auto"/>
          <w:szCs w:val="21"/>
          <w:highlight w:val="none"/>
        </w:rPr>
      </w:pPr>
    </w:p>
    <w:p w14:paraId="4608CF76">
      <w:pPr>
        <w:spacing w:line="360" w:lineRule="auto"/>
        <w:rPr>
          <w:rFonts w:asciiTheme="minorEastAsia" w:hAnsiTheme="minorEastAsia" w:eastAsiaTheme="minorEastAsia"/>
          <w:b/>
          <w:color w:val="auto"/>
          <w:szCs w:val="21"/>
          <w:highlight w:val="none"/>
        </w:rPr>
      </w:pPr>
    </w:p>
    <w:p w14:paraId="43AAECF1">
      <w:pPr>
        <w:spacing w:line="360" w:lineRule="auto"/>
        <w:rPr>
          <w:rFonts w:asciiTheme="minorEastAsia" w:hAnsiTheme="minorEastAsia" w:eastAsiaTheme="minorEastAsia"/>
          <w:b/>
          <w:color w:val="auto"/>
          <w:szCs w:val="21"/>
          <w:highlight w:val="none"/>
        </w:rPr>
      </w:pPr>
    </w:p>
    <w:p w14:paraId="60699864">
      <w:pPr>
        <w:spacing w:line="360" w:lineRule="auto"/>
        <w:rPr>
          <w:rFonts w:asciiTheme="minorEastAsia" w:hAnsiTheme="minorEastAsia" w:eastAsiaTheme="minorEastAsia"/>
          <w:b/>
          <w:color w:val="auto"/>
          <w:szCs w:val="21"/>
          <w:highlight w:val="none"/>
        </w:rPr>
      </w:pPr>
    </w:p>
    <w:p w14:paraId="3B35F4A8">
      <w:pPr>
        <w:spacing w:line="360" w:lineRule="auto"/>
        <w:rPr>
          <w:rFonts w:asciiTheme="minorEastAsia" w:hAnsiTheme="minorEastAsia" w:eastAsiaTheme="minorEastAsia"/>
          <w:b/>
          <w:color w:val="auto"/>
          <w:szCs w:val="21"/>
          <w:highlight w:val="none"/>
        </w:rPr>
      </w:pPr>
    </w:p>
    <w:p w14:paraId="15F7B9E8">
      <w:pPr>
        <w:spacing w:line="360" w:lineRule="auto"/>
        <w:rPr>
          <w:rFonts w:asciiTheme="minorEastAsia" w:hAnsiTheme="minorEastAsia" w:eastAsiaTheme="minorEastAsia"/>
          <w:b/>
          <w:color w:val="auto"/>
          <w:szCs w:val="21"/>
          <w:highlight w:val="none"/>
        </w:rPr>
      </w:pPr>
    </w:p>
    <w:p w14:paraId="0FE9BD59">
      <w:pPr>
        <w:spacing w:line="360" w:lineRule="auto"/>
        <w:rPr>
          <w:rFonts w:asciiTheme="minorEastAsia" w:hAnsiTheme="minorEastAsia" w:eastAsiaTheme="minorEastAsia"/>
          <w:b/>
          <w:color w:val="auto"/>
          <w:szCs w:val="21"/>
          <w:highlight w:val="none"/>
        </w:rPr>
      </w:pPr>
    </w:p>
    <w:p w14:paraId="2197B2EB">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分项报价明细表</w:t>
      </w:r>
      <w:r>
        <w:rPr>
          <w:rFonts w:hint="eastAsia" w:asciiTheme="minorEastAsia" w:hAnsiTheme="minorEastAsia" w:eastAsiaTheme="minorEastAsia"/>
          <w:b/>
          <w:color w:val="auto"/>
          <w:szCs w:val="21"/>
          <w:highlight w:val="none"/>
        </w:rPr>
        <w:t>（附件14）</w:t>
      </w:r>
    </w:p>
    <w:p w14:paraId="6EF83EF2">
      <w:pPr>
        <w:pStyle w:val="73"/>
        <w:jc w:val="center"/>
        <w:rPr>
          <w:color w:val="auto"/>
          <w:highlight w:val="none"/>
        </w:rPr>
      </w:pPr>
      <w:r>
        <w:rPr>
          <w:rFonts w:hint="eastAsia"/>
          <w:color w:val="auto"/>
          <w:highlight w:val="none"/>
        </w:rPr>
        <w:t>详见工程量清单表</w:t>
      </w:r>
    </w:p>
    <w:p w14:paraId="1AC99B3F">
      <w:pPr>
        <w:pStyle w:val="29"/>
        <w:snapToGrid w:val="0"/>
        <w:spacing w:line="360" w:lineRule="auto"/>
        <w:rPr>
          <w:rFonts w:asciiTheme="minorEastAsia" w:hAnsiTheme="minorEastAsia" w:eastAsiaTheme="minorEastAsia"/>
          <w:b/>
          <w:color w:val="auto"/>
          <w:szCs w:val="21"/>
          <w:highlight w:val="none"/>
        </w:rPr>
      </w:pPr>
    </w:p>
    <w:p w14:paraId="232889F9">
      <w:pPr>
        <w:spacing w:line="360" w:lineRule="auto"/>
        <w:rPr>
          <w:rFonts w:asciiTheme="minorEastAsia" w:hAnsiTheme="minorEastAsia" w:eastAsiaTheme="minorEastAsia"/>
          <w:color w:val="auto"/>
          <w:highlight w:val="none"/>
        </w:rPr>
      </w:pPr>
    </w:p>
    <w:p w14:paraId="0909254D">
      <w:pPr>
        <w:pStyle w:val="29"/>
        <w:snapToGrid w:val="0"/>
        <w:spacing w:line="360" w:lineRule="auto"/>
        <w:rPr>
          <w:rFonts w:asciiTheme="minorEastAsia" w:hAnsiTheme="minorEastAsia" w:eastAsiaTheme="minorEastAsia"/>
          <w:color w:val="auto"/>
          <w:highlight w:val="none"/>
        </w:rPr>
      </w:pPr>
    </w:p>
    <w:sectPr>
      <w:footerReference r:id="rId5" w:type="default"/>
      <w:pgSz w:w="11906" w:h="16838"/>
      <w:pgMar w:top="1021" w:right="1440" w:bottom="1021" w:left="1440" w:header="851" w:footer="992" w:gutter="0"/>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46095"/>
    </w:sdtPr>
    <w:sdtContent>
      <w:p w14:paraId="300F994E">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p w14:paraId="2A98402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746588"/>
    </w:sdtPr>
    <w:sdtContent>
      <w:p w14:paraId="6B07F62D">
        <w:pPr>
          <w:pStyle w:val="35"/>
          <w:jc w:val="center"/>
        </w:pPr>
        <w:r>
          <w:fldChar w:fldCharType="begin"/>
        </w:r>
        <w:r>
          <w:instrText xml:space="preserve">PAGE   \* MERGEFORMAT</w:instrText>
        </w:r>
        <w:r>
          <w:fldChar w:fldCharType="separate"/>
        </w:r>
        <w:r>
          <w:rPr>
            <w:lang w:val="zh-CN"/>
          </w:rPr>
          <w:t>22</w:t>
        </w:r>
        <w:r>
          <w:fldChar w:fldCharType="end"/>
        </w:r>
      </w:p>
    </w:sdtContent>
  </w:sdt>
  <w:p w14:paraId="32BAA594">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4925">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5A05D"/>
    <w:multiLevelType w:val="singleLevel"/>
    <w:tmpl w:val="2965A05D"/>
    <w:lvl w:ilvl="0" w:tentative="0">
      <w:start w:val="15"/>
      <w:numFmt w:val="chineseCounting"/>
      <w:suff w:val="nothing"/>
      <w:lvlText w:val="%1、"/>
      <w:lvlJc w:val="left"/>
      <w:rPr>
        <w:rFonts w:hint="eastAsia"/>
      </w:rPr>
    </w:lvl>
  </w:abstractNum>
  <w:abstractNum w:abstractNumId="1">
    <w:nsid w:val="3B86313F"/>
    <w:multiLevelType w:val="multilevel"/>
    <w:tmpl w:val="3B86313F"/>
    <w:lvl w:ilvl="0" w:tentative="0">
      <w:start w:val="1"/>
      <w:numFmt w:val="decimal"/>
      <w:pStyle w:val="759"/>
      <w:lvlText w:val="%1."/>
      <w:lvlJc w:val="left"/>
      <w:pPr>
        <w:ind w:left="420" w:hanging="420"/>
      </w:pPr>
    </w:lvl>
    <w:lvl w:ilvl="1" w:tentative="0">
      <w:start w:val="2"/>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5370D9AC"/>
    <w:multiLevelType w:val="singleLevel"/>
    <w:tmpl w:val="5370D9AC"/>
    <w:lvl w:ilvl="0" w:tentative="0">
      <w:start w:val="1"/>
      <w:numFmt w:val="chineseCounting"/>
      <w:pStyle w:val="13"/>
      <w:suff w:val="space"/>
      <w:lvlText w:val="第%1条"/>
      <w:lvlJc w:val="left"/>
    </w:lvl>
  </w:abstractNum>
  <w:abstractNum w:abstractNumId="3">
    <w:nsid w:val="59A901B1"/>
    <w:multiLevelType w:val="multilevel"/>
    <w:tmpl w:val="59A901B1"/>
    <w:lvl w:ilvl="0" w:tentative="0">
      <w:start w:val="1"/>
      <w:numFmt w:val="bullet"/>
      <w:pStyle w:val="76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ODkzNmVkZjA0NzNkZjdlZDQ2MGMwMTI4NmU4ODgifQ=="/>
  </w:docVars>
  <w:rsids>
    <w:rsidRoot w:val="00172A27"/>
    <w:rsid w:val="00000E21"/>
    <w:rsid w:val="00001AAF"/>
    <w:rsid w:val="00001BEE"/>
    <w:rsid w:val="00002AB2"/>
    <w:rsid w:val="00003C5B"/>
    <w:rsid w:val="00003E8F"/>
    <w:rsid w:val="00003F63"/>
    <w:rsid w:val="000043A1"/>
    <w:rsid w:val="00004C4B"/>
    <w:rsid w:val="00004E47"/>
    <w:rsid w:val="000051A0"/>
    <w:rsid w:val="000061DC"/>
    <w:rsid w:val="000077E5"/>
    <w:rsid w:val="000078E0"/>
    <w:rsid w:val="00010F2E"/>
    <w:rsid w:val="00011D31"/>
    <w:rsid w:val="000122D3"/>
    <w:rsid w:val="00012A8A"/>
    <w:rsid w:val="0001376D"/>
    <w:rsid w:val="00020163"/>
    <w:rsid w:val="000201B9"/>
    <w:rsid w:val="0002181C"/>
    <w:rsid w:val="00022513"/>
    <w:rsid w:val="0002314D"/>
    <w:rsid w:val="0002330D"/>
    <w:rsid w:val="000238EA"/>
    <w:rsid w:val="000244D2"/>
    <w:rsid w:val="00024B72"/>
    <w:rsid w:val="000253DF"/>
    <w:rsid w:val="0002574C"/>
    <w:rsid w:val="00025B09"/>
    <w:rsid w:val="0003087B"/>
    <w:rsid w:val="00030D6F"/>
    <w:rsid w:val="000311DF"/>
    <w:rsid w:val="000315AB"/>
    <w:rsid w:val="0003322A"/>
    <w:rsid w:val="0003340B"/>
    <w:rsid w:val="000340C2"/>
    <w:rsid w:val="00034985"/>
    <w:rsid w:val="0003539E"/>
    <w:rsid w:val="00037097"/>
    <w:rsid w:val="00037363"/>
    <w:rsid w:val="000375DB"/>
    <w:rsid w:val="00037A9A"/>
    <w:rsid w:val="00040333"/>
    <w:rsid w:val="00040CB5"/>
    <w:rsid w:val="00041D60"/>
    <w:rsid w:val="0004294A"/>
    <w:rsid w:val="000429AF"/>
    <w:rsid w:val="00043C36"/>
    <w:rsid w:val="000442A1"/>
    <w:rsid w:val="00045155"/>
    <w:rsid w:val="0004519E"/>
    <w:rsid w:val="000458F1"/>
    <w:rsid w:val="00047334"/>
    <w:rsid w:val="00051106"/>
    <w:rsid w:val="00051404"/>
    <w:rsid w:val="00051C82"/>
    <w:rsid w:val="000537D1"/>
    <w:rsid w:val="00053BE5"/>
    <w:rsid w:val="00054D31"/>
    <w:rsid w:val="00054EB3"/>
    <w:rsid w:val="00055AF5"/>
    <w:rsid w:val="00055FBF"/>
    <w:rsid w:val="00061ABD"/>
    <w:rsid w:val="00061B3A"/>
    <w:rsid w:val="00062532"/>
    <w:rsid w:val="00063282"/>
    <w:rsid w:val="00064155"/>
    <w:rsid w:val="000649B0"/>
    <w:rsid w:val="00065059"/>
    <w:rsid w:val="0006518E"/>
    <w:rsid w:val="00065396"/>
    <w:rsid w:val="000653FF"/>
    <w:rsid w:val="000676A9"/>
    <w:rsid w:val="0007109E"/>
    <w:rsid w:val="000714FA"/>
    <w:rsid w:val="00071C7D"/>
    <w:rsid w:val="00072944"/>
    <w:rsid w:val="00073BB5"/>
    <w:rsid w:val="00074104"/>
    <w:rsid w:val="000748A5"/>
    <w:rsid w:val="000751AC"/>
    <w:rsid w:val="00075662"/>
    <w:rsid w:val="00075BA3"/>
    <w:rsid w:val="0007632E"/>
    <w:rsid w:val="00076FFB"/>
    <w:rsid w:val="00077506"/>
    <w:rsid w:val="00077D32"/>
    <w:rsid w:val="00080BEC"/>
    <w:rsid w:val="000813B6"/>
    <w:rsid w:val="00081FCE"/>
    <w:rsid w:val="00082224"/>
    <w:rsid w:val="00082A7D"/>
    <w:rsid w:val="0008306D"/>
    <w:rsid w:val="000832EC"/>
    <w:rsid w:val="00083F27"/>
    <w:rsid w:val="000845E6"/>
    <w:rsid w:val="00084D5D"/>
    <w:rsid w:val="00085B83"/>
    <w:rsid w:val="000861BA"/>
    <w:rsid w:val="0008694E"/>
    <w:rsid w:val="00086DF2"/>
    <w:rsid w:val="00086F21"/>
    <w:rsid w:val="00087024"/>
    <w:rsid w:val="00087CC6"/>
    <w:rsid w:val="00087DFD"/>
    <w:rsid w:val="00087F62"/>
    <w:rsid w:val="000903F3"/>
    <w:rsid w:val="0009156B"/>
    <w:rsid w:val="00092233"/>
    <w:rsid w:val="00092898"/>
    <w:rsid w:val="00093865"/>
    <w:rsid w:val="00093900"/>
    <w:rsid w:val="00094240"/>
    <w:rsid w:val="00095443"/>
    <w:rsid w:val="00095479"/>
    <w:rsid w:val="000958EB"/>
    <w:rsid w:val="00095C71"/>
    <w:rsid w:val="00096198"/>
    <w:rsid w:val="00096503"/>
    <w:rsid w:val="00096EAA"/>
    <w:rsid w:val="000A06C0"/>
    <w:rsid w:val="000A0F80"/>
    <w:rsid w:val="000A2011"/>
    <w:rsid w:val="000A238D"/>
    <w:rsid w:val="000A48C1"/>
    <w:rsid w:val="000A50C6"/>
    <w:rsid w:val="000A510A"/>
    <w:rsid w:val="000A5379"/>
    <w:rsid w:val="000A53F0"/>
    <w:rsid w:val="000A575B"/>
    <w:rsid w:val="000A5898"/>
    <w:rsid w:val="000A6C4B"/>
    <w:rsid w:val="000A7338"/>
    <w:rsid w:val="000A774D"/>
    <w:rsid w:val="000A7A29"/>
    <w:rsid w:val="000B08C6"/>
    <w:rsid w:val="000B0F5B"/>
    <w:rsid w:val="000B148F"/>
    <w:rsid w:val="000B2967"/>
    <w:rsid w:val="000B2C33"/>
    <w:rsid w:val="000B2ECF"/>
    <w:rsid w:val="000B429C"/>
    <w:rsid w:val="000B464A"/>
    <w:rsid w:val="000B4F8C"/>
    <w:rsid w:val="000B50BE"/>
    <w:rsid w:val="000B51A9"/>
    <w:rsid w:val="000B5744"/>
    <w:rsid w:val="000B5D2E"/>
    <w:rsid w:val="000B60BC"/>
    <w:rsid w:val="000B6E6E"/>
    <w:rsid w:val="000B6EA7"/>
    <w:rsid w:val="000B7093"/>
    <w:rsid w:val="000B70AA"/>
    <w:rsid w:val="000B7310"/>
    <w:rsid w:val="000B7488"/>
    <w:rsid w:val="000C02DD"/>
    <w:rsid w:val="000C0E2C"/>
    <w:rsid w:val="000C1488"/>
    <w:rsid w:val="000C2FE6"/>
    <w:rsid w:val="000C320D"/>
    <w:rsid w:val="000C3803"/>
    <w:rsid w:val="000C3E69"/>
    <w:rsid w:val="000C4C13"/>
    <w:rsid w:val="000C586C"/>
    <w:rsid w:val="000C6176"/>
    <w:rsid w:val="000C6204"/>
    <w:rsid w:val="000C630D"/>
    <w:rsid w:val="000C77DB"/>
    <w:rsid w:val="000C7C79"/>
    <w:rsid w:val="000D029D"/>
    <w:rsid w:val="000D128A"/>
    <w:rsid w:val="000D28BA"/>
    <w:rsid w:val="000D29CE"/>
    <w:rsid w:val="000D34F7"/>
    <w:rsid w:val="000D3CF2"/>
    <w:rsid w:val="000D54DB"/>
    <w:rsid w:val="000D599A"/>
    <w:rsid w:val="000D6956"/>
    <w:rsid w:val="000D76CF"/>
    <w:rsid w:val="000D7869"/>
    <w:rsid w:val="000E1D5A"/>
    <w:rsid w:val="000E1EB4"/>
    <w:rsid w:val="000E2614"/>
    <w:rsid w:val="000E2FE7"/>
    <w:rsid w:val="000E3C17"/>
    <w:rsid w:val="000E4407"/>
    <w:rsid w:val="000E48C5"/>
    <w:rsid w:val="000E4CEF"/>
    <w:rsid w:val="000E50CF"/>
    <w:rsid w:val="000E5A5B"/>
    <w:rsid w:val="000E5DB9"/>
    <w:rsid w:val="000E6A02"/>
    <w:rsid w:val="000E77A6"/>
    <w:rsid w:val="000F04C0"/>
    <w:rsid w:val="000F05A7"/>
    <w:rsid w:val="000F2113"/>
    <w:rsid w:val="000F254C"/>
    <w:rsid w:val="000F28AD"/>
    <w:rsid w:val="000F2E59"/>
    <w:rsid w:val="000F386A"/>
    <w:rsid w:val="000F39EE"/>
    <w:rsid w:val="000F3FFF"/>
    <w:rsid w:val="000F448B"/>
    <w:rsid w:val="000F46E9"/>
    <w:rsid w:val="000F47AE"/>
    <w:rsid w:val="000F4BF6"/>
    <w:rsid w:val="000F4E78"/>
    <w:rsid w:val="000F516E"/>
    <w:rsid w:val="000F5183"/>
    <w:rsid w:val="000F5312"/>
    <w:rsid w:val="000F5980"/>
    <w:rsid w:val="000F5ACF"/>
    <w:rsid w:val="000F5FA7"/>
    <w:rsid w:val="000F6319"/>
    <w:rsid w:val="000F67AB"/>
    <w:rsid w:val="000F6BEB"/>
    <w:rsid w:val="000F752C"/>
    <w:rsid w:val="000F759E"/>
    <w:rsid w:val="00100070"/>
    <w:rsid w:val="00100180"/>
    <w:rsid w:val="001007E9"/>
    <w:rsid w:val="00101749"/>
    <w:rsid w:val="00102843"/>
    <w:rsid w:val="00102B92"/>
    <w:rsid w:val="00102EC8"/>
    <w:rsid w:val="00102F86"/>
    <w:rsid w:val="001032F4"/>
    <w:rsid w:val="00107A41"/>
    <w:rsid w:val="00111CBE"/>
    <w:rsid w:val="0011225A"/>
    <w:rsid w:val="00112E94"/>
    <w:rsid w:val="001135DC"/>
    <w:rsid w:val="001147BC"/>
    <w:rsid w:val="00114C25"/>
    <w:rsid w:val="001154AC"/>
    <w:rsid w:val="00117D67"/>
    <w:rsid w:val="00117ED6"/>
    <w:rsid w:val="001207CB"/>
    <w:rsid w:val="001210CA"/>
    <w:rsid w:val="00121154"/>
    <w:rsid w:val="00121AA3"/>
    <w:rsid w:val="00121FBF"/>
    <w:rsid w:val="00122A50"/>
    <w:rsid w:val="00122AAA"/>
    <w:rsid w:val="00123EC2"/>
    <w:rsid w:val="00124849"/>
    <w:rsid w:val="00124A6D"/>
    <w:rsid w:val="00125AA1"/>
    <w:rsid w:val="00125C42"/>
    <w:rsid w:val="00127C07"/>
    <w:rsid w:val="001306D1"/>
    <w:rsid w:val="00130E8D"/>
    <w:rsid w:val="001327B4"/>
    <w:rsid w:val="001330F3"/>
    <w:rsid w:val="001354DC"/>
    <w:rsid w:val="001355F9"/>
    <w:rsid w:val="00135B94"/>
    <w:rsid w:val="0013682F"/>
    <w:rsid w:val="001402D2"/>
    <w:rsid w:val="00140389"/>
    <w:rsid w:val="00140E88"/>
    <w:rsid w:val="00143501"/>
    <w:rsid w:val="00143C4F"/>
    <w:rsid w:val="0014455D"/>
    <w:rsid w:val="00144A2C"/>
    <w:rsid w:val="00144D83"/>
    <w:rsid w:val="001453E9"/>
    <w:rsid w:val="00145A70"/>
    <w:rsid w:val="00145E01"/>
    <w:rsid w:val="00146013"/>
    <w:rsid w:val="00146F3E"/>
    <w:rsid w:val="00147176"/>
    <w:rsid w:val="001476EC"/>
    <w:rsid w:val="00147C49"/>
    <w:rsid w:val="00147CFB"/>
    <w:rsid w:val="00150258"/>
    <w:rsid w:val="001504B3"/>
    <w:rsid w:val="001504DD"/>
    <w:rsid w:val="0015067F"/>
    <w:rsid w:val="00150EEA"/>
    <w:rsid w:val="00151020"/>
    <w:rsid w:val="00151AA5"/>
    <w:rsid w:val="00151EE8"/>
    <w:rsid w:val="00152122"/>
    <w:rsid w:val="00152514"/>
    <w:rsid w:val="0015259D"/>
    <w:rsid w:val="001528D7"/>
    <w:rsid w:val="00153CDD"/>
    <w:rsid w:val="00155B2B"/>
    <w:rsid w:val="00156248"/>
    <w:rsid w:val="0015658D"/>
    <w:rsid w:val="0016002A"/>
    <w:rsid w:val="0016083B"/>
    <w:rsid w:val="00160AA5"/>
    <w:rsid w:val="00161AAA"/>
    <w:rsid w:val="00163781"/>
    <w:rsid w:val="001639EC"/>
    <w:rsid w:val="00164ABE"/>
    <w:rsid w:val="00164C51"/>
    <w:rsid w:val="00166915"/>
    <w:rsid w:val="0016717A"/>
    <w:rsid w:val="00167614"/>
    <w:rsid w:val="00167AA3"/>
    <w:rsid w:val="00167F79"/>
    <w:rsid w:val="00171462"/>
    <w:rsid w:val="00171EE0"/>
    <w:rsid w:val="00172A27"/>
    <w:rsid w:val="00173D80"/>
    <w:rsid w:val="0017424E"/>
    <w:rsid w:val="001756D3"/>
    <w:rsid w:val="001765CA"/>
    <w:rsid w:val="00176E6C"/>
    <w:rsid w:val="00176EAF"/>
    <w:rsid w:val="00177452"/>
    <w:rsid w:val="0017764A"/>
    <w:rsid w:val="00180D48"/>
    <w:rsid w:val="00181BEF"/>
    <w:rsid w:val="00182AB9"/>
    <w:rsid w:val="00183197"/>
    <w:rsid w:val="001833FA"/>
    <w:rsid w:val="00183B07"/>
    <w:rsid w:val="00183D32"/>
    <w:rsid w:val="00184243"/>
    <w:rsid w:val="001847D3"/>
    <w:rsid w:val="00184EC7"/>
    <w:rsid w:val="00184FB3"/>
    <w:rsid w:val="001850A3"/>
    <w:rsid w:val="00185BE3"/>
    <w:rsid w:val="001865EF"/>
    <w:rsid w:val="001875BC"/>
    <w:rsid w:val="0019044D"/>
    <w:rsid w:val="001905A2"/>
    <w:rsid w:val="00190CA3"/>
    <w:rsid w:val="00191B5C"/>
    <w:rsid w:val="00191E55"/>
    <w:rsid w:val="00192320"/>
    <w:rsid w:val="00192C43"/>
    <w:rsid w:val="0019312F"/>
    <w:rsid w:val="0019338C"/>
    <w:rsid w:val="001939CA"/>
    <w:rsid w:val="00194545"/>
    <w:rsid w:val="00194906"/>
    <w:rsid w:val="00194EFD"/>
    <w:rsid w:val="001950CF"/>
    <w:rsid w:val="00195151"/>
    <w:rsid w:val="00197331"/>
    <w:rsid w:val="001976D4"/>
    <w:rsid w:val="00197C48"/>
    <w:rsid w:val="001A0F42"/>
    <w:rsid w:val="001A12E6"/>
    <w:rsid w:val="001A1D88"/>
    <w:rsid w:val="001A1F5E"/>
    <w:rsid w:val="001A2F38"/>
    <w:rsid w:val="001A3427"/>
    <w:rsid w:val="001A35EC"/>
    <w:rsid w:val="001A3E32"/>
    <w:rsid w:val="001A40C1"/>
    <w:rsid w:val="001A4757"/>
    <w:rsid w:val="001A4A53"/>
    <w:rsid w:val="001A4E64"/>
    <w:rsid w:val="001A56DE"/>
    <w:rsid w:val="001A65B8"/>
    <w:rsid w:val="001A6AC4"/>
    <w:rsid w:val="001A713E"/>
    <w:rsid w:val="001B0454"/>
    <w:rsid w:val="001B0BD9"/>
    <w:rsid w:val="001B0D89"/>
    <w:rsid w:val="001B15F1"/>
    <w:rsid w:val="001B2EC1"/>
    <w:rsid w:val="001B5D4C"/>
    <w:rsid w:val="001B70E0"/>
    <w:rsid w:val="001B7E28"/>
    <w:rsid w:val="001C07EA"/>
    <w:rsid w:val="001C0E99"/>
    <w:rsid w:val="001C11E5"/>
    <w:rsid w:val="001C1FED"/>
    <w:rsid w:val="001C30B5"/>
    <w:rsid w:val="001C351C"/>
    <w:rsid w:val="001C450C"/>
    <w:rsid w:val="001C46C1"/>
    <w:rsid w:val="001C4A2C"/>
    <w:rsid w:val="001C5199"/>
    <w:rsid w:val="001C5AF2"/>
    <w:rsid w:val="001C5E31"/>
    <w:rsid w:val="001C60B2"/>
    <w:rsid w:val="001C6530"/>
    <w:rsid w:val="001C719B"/>
    <w:rsid w:val="001D05F5"/>
    <w:rsid w:val="001D0B8D"/>
    <w:rsid w:val="001D0E89"/>
    <w:rsid w:val="001D12AE"/>
    <w:rsid w:val="001D13C7"/>
    <w:rsid w:val="001D284A"/>
    <w:rsid w:val="001D2A7F"/>
    <w:rsid w:val="001D3BAF"/>
    <w:rsid w:val="001D42DA"/>
    <w:rsid w:val="001D42FE"/>
    <w:rsid w:val="001D4E26"/>
    <w:rsid w:val="001D5574"/>
    <w:rsid w:val="001D5885"/>
    <w:rsid w:val="001E0B91"/>
    <w:rsid w:val="001E1A4E"/>
    <w:rsid w:val="001E1E4D"/>
    <w:rsid w:val="001E2819"/>
    <w:rsid w:val="001E2B2B"/>
    <w:rsid w:val="001E2DE5"/>
    <w:rsid w:val="001E2FD7"/>
    <w:rsid w:val="001E37CB"/>
    <w:rsid w:val="001E3916"/>
    <w:rsid w:val="001E4107"/>
    <w:rsid w:val="001E44FC"/>
    <w:rsid w:val="001E51DB"/>
    <w:rsid w:val="001E551B"/>
    <w:rsid w:val="001E5D74"/>
    <w:rsid w:val="001E68E0"/>
    <w:rsid w:val="001E68FF"/>
    <w:rsid w:val="001E720F"/>
    <w:rsid w:val="001F019F"/>
    <w:rsid w:val="001F12C6"/>
    <w:rsid w:val="001F1AF2"/>
    <w:rsid w:val="001F2113"/>
    <w:rsid w:val="001F38B6"/>
    <w:rsid w:val="001F39DE"/>
    <w:rsid w:val="001F3DC9"/>
    <w:rsid w:val="001F6340"/>
    <w:rsid w:val="001F64EE"/>
    <w:rsid w:val="001F695A"/>
    <w:rsid w:val="001F771D"/>
    <w:rsid w:val="00200937"/>
    <w:rsid w:val="002018EB"/>
    <w:rsid w:val="00201959"/>
    <w:rsid w:val="0020384D"/>
    <w:rsid w:val="00203CE8"/>
    <w:rsid w:val="002059F1"/>
    <w:rsid w:val="00205A60"/>
    <w:rsid w:val="00205ABD"/>
    <w:rsid w:val="00205B51"/>
    <w:rsid w:val="00205D6D"/>
    <w:rsid w:val="00205E24"/>
    <w:rsid w:val="002063B0"/>
    <w:rsid w:val="0020722A"/>
    <w:rsid w:val="0020733A"/>
    <w:rsid w:val="00207EBC"/>
    <w:rsid w:val="002100BB"/>
    <w:rsid w:val="002102A9"/>
    <w:rsid w:val="00210427"/>
    <w:rsid w:val="00210670"/>
    <w:rsid w:val="002107F3"/>
    <w:rsid w:val="002108A2"/>
    <w:rsid w:val="00211744"/>
    <w:rsid w:val="00211D9A"/>
    <w:rsid w:val="00212118"/>
    <w:rsid w:val="00212333"/>
    <w:rsid w:val="00212779"/>
    <w:rsid w:val="002133A5"/>
    <w:rsid w:val="00213670"/>
    <w:rsid w:val="00213A17"/>
    <w:rsid w:val="00213A34"/>
    <w:rsid w:val="00213B4E"/>
    <w:rsid w:val="00214342"/>
    <w:rsid w:val="002146B8"/>
    <w:rsid w:val="00216195"/>
    <w:rsid w:val="002161F5"/>
    <w:rsid w:val="002163A9"/>
    <w:rsid w:val="0021702A"/>
    <w:rsid w:val="0022196E"/>
    <w:rsid w:val="00221974"/>
    <w:rsid w:val="00221CF0"/>
    <w:rsid w:val="002221BA"/>
    <w:rsid w:val="00222338"/>
    <w:rsid w:val="002228FC"/>
    <w:rsid w:val="00222B08"/>
    <w:rsid w:val="00222EA2"/>
    <w:rsid w:val="00223B89"/>
    <w:rsid w:val="002245C6"/>
    <w:rsid w:val="002250FE"/>
    <w:rsid w:val="002259FB"/>
    <w:rsid w:val="0022603B"/>
    <w:rsid w:val="002275A0"/>
    <w:rsid w:val="00230182"/>
    <w:rsid w:val="00230B9B"/>
    <w:rsid w:val="00230F7F"/>
    <w:rsid w:val="002315C8"/>
    <w:rsid w:val="0023188F"/>
    <w:rsid w:val="0023191B"/>
    <w:rsid w:val="00231928"/>
    <w:rsid w:val="00232ABC"/>
    <w:rsid w:val="00232E97"/>
    <w:rsid w:val="00233F7A"/>
    <w:rsid w:val="00235206"/>
    <w:rsid w:val="00235B1C"/>
    <w:rsid w:val="00236A2C"/>
    <w:rsid w:val="00236A6F"/>
    <w:rsid w:val="0023724E"/>
    <w:rsid w:val="00240C77"/>
    <w:rsid w:val="00240C87"/>
    <w:rsid w:val="00240CFF"/>
    <w:rsid w:val="00241CDD"/>
    <w:rsid w:val="00242328"/>
    <w:rsid w:val="00242B32"/>
    <w:rsid w:val="00242CCB"/>
    <w:rsid w:val="00242CEB"/>
    <w:rsid w:val="00242F99"/>
    <w:rsid w:val="00242FF0"/>
    <w:rsid w:val="00243861"/>
    <w:rsid w:val="00243C88"/>
    <w:rsid w:val="002449E3"/>
    <w:rsid w:val="0024553A"/>
    <w:rsid w:val="00245C62"/>
    <w:rsid w:val="00245C8B"/>
    <w:rsid w:val="00246406"/>
    <w:rsid w:val="002500F9"/>
    <w:rsid w:val="00250106"/>
    <w:rsid w:val="00251E2A"/>
    <w:rsid w:val="0025343C"/>
    <w:rsid w:val="00253E80"/>
    <w:rsid w:val="00254053"/>
    <w:rsid w:val="002544FF"/>
    <w:rsid w:val="002545E0"/>
    <w:rsid w:val="002547BB"/>
    <w:rsid w:val="00254DD5"/>
    <w:rsid w:val="002552BE"/>
    <w:rsid w:val="0025551A"/>
    <w:rsid w:val="002558C3"/>
    <w:rsid w:val="00255920"/>
    <w:rsid w:val="002559DB"/>
    <w:rsid w:val="00255B9C"/>
    <w:rsid w:val="00255D18"/>
    <w:rsid w:val="002561DF"/>
    <w:rsid w:val="002564CB"/>
    <w:rsid w:val="0026011F"/>
    <w:rsid w:val="002604C5"/>
    <w:rsid w:val="002607F8"/>
    <w:rsid w:val="00261663"/>
    <w:rsid w:val="00261A60"/>
    <w:rsid w:val="00261E78"/>
    <w:rsid w:val="00262AAC"/>
    <w:rsid w:val="00263A46"/>
    <w:rsid w:val="00264EE2"/>
    <w:rsid w:val="00265245"/>
    <w:rsid w:val="00265A1F"/>
    <w:rsid w:val="00265B36"/>
    <w:rsid w:val="00266A51"/>
    <w:rsid w:val="0026716A"/>
    <w:rsid w:val="0026755C"/>
    <w:rsid w:val="00270003"/>
    <w:rsid w:val="00270A86"/>
    <w:rsid w:val="00270C0D"/>
    <w:rsid w:val="00270DC7"/>
    <w:rsid w:val="00270E9A"/>
    <w:rsid w:val="00270F58"/>
    <w:rsid w:val="0027187F"/>
    <w:rsid w:val="002722CB"/>
    <w:rsid w:val="00272E6A"/>
    <w:rsid w:val="00273366"/>
    <w:rsid w:val="00273C69"/>
    <w:rsid w:val="0027458B"/>
    <w:rsid w:val="00274E77"/>
    <w:rsid w:val="00275127"/>
    <w:rsid w:val="00275160"/>
    <w:rsid w:val="00275168"/>
    <w:rsid w:val="00276138"/>
    <w:rsid w:val="002772D0"/>
    <w:rsid w:val="00277AC6"/>
    <w:rsid w:val="00277C7E"/>
    <w:rsid w:val="00280EDF"/>
    <w:rsid w:val="00280F67"/>
    <w:rsid w:val="002812DE"/>
    <w:rsid w:val="002825D6"/>
    <w:rsid w:val="00282F2F"/>
    <w:rsid w:val="0028344E"/>
    <w:rsid w:val="00284861"/>
    <w:rsid w:val="00284B83"/>
    <w:rsid w:val="002856BA"/>
    <w:rsid w:val="00285959"/>
    <w:rsid w:val="00285C96"/>
    <w:rsid w:val="0028657F"/>
    <w:rsid w:val="00286641"/>
    <w:rsid w:val="00286E3E"/>
    <w:rsid w:val="0029007A"/>
    <w:rsid w:val="002903C4"/>
    <w:rsid w:val="00290928"/>
    <w:rsid w:val="002911FA"/>
    <w:rsid w:val="00292328"/>
    <w:rsid w:val="00294885"/>
    <w:rsid w:val="00294A2C"/>
    <w:rsid w:val="00294AF7"/>
    <w:rsid w:val="00294DAD"/>
    <w:rsid w:val="00295CCF"/>
    <w:rsid w:val="0029676E"/>
    <w:rsid w:val="00296B57"/>
    <w:rsid w:val="00296BF9"/>
    <w:rsid w:val="00296D05"/>
    <w:rsid w:val="00297013"/>
    <w:rsid w:val="00297297"/>
    <w:rsid w:val="00297438"/>
    <w:rsid w:val="0029743C"/>
    <w:rsid w:val="002A1259"/>
    <w:rsid w:val="002A1FA9"/>
    <w:rsid w:val="002A27CB"/>
    <w:rsid w:val="002A2A71"/>
    <w:rsid w:val="002A2B16"/>
    <w:rsid w:val="002A4DB5"/>
    <w:rsid w:val="002A5F2F"/>
    <w:rsid w:val="002A616C"/>
    <w:rsid w:val="002A668D"/>
    <w:rsid w:val="002A6B95"/>
    <w:rsid w:val="002A6DF7"/>
    <w:rsid w:val="002A760A"/>
    <w:rsid w:val="002A7750"/>
    <w:rsid w:val="002A79B9"/>
    <w:rsid w:val="002B038D"/>
    <w:rsid w:val="002B0AB5"/>
    <w:rsid w:val="002B1A8C"/>
    <w:rsid w:val="002B1B8C"/>
    <w:rsid w:val="002B1BD8"/>
    <w:rsid w:val="002B24C3"/>
    <w:rsid w:val="002B2608"/>
    <w:rsid w:val="002B3875"/>
    <w:rsid w:val="002B3CF8"/>
    <w:rsid w:val="002B4171"/>
    <w:rsid w:val="002B4196"/>
    <w:rsid w:val="002B52F8"/>
    <w:rsid w:val="002B578A"/>
    <w:rsid w:val="002B63A2"/>
    <w:rsid w:val="002B63AB"/>
    <w:rsid w:val="002B6907"/>
    <w:rsid w:val="002B7BC2"/>
    <w:rsid w:val="002C1310"/>
    <w:rsid w:val="002C1B7A"/>
    <w:rsid w:val="002C333B"/>
    <w:rsid w:val="002C3A23"/>
    <w:rsid w:val="002C3CC2"/>
    <w:rsid w:val="002C45EC"/>
    <w:rsid w:val="002C51BB"/>
    <w:rsid w:val="002C630C"/>
    <w:rsid w:val="002C65BB"/>
    <w:rsid w:val="002C6601"/>
    <w:rsid w:val="002C6C5A"/>
    <w:rsid w:val="002C6E59"/>
    <w:rsid w:val="002C7577"/>
    <w:rsid w:val="002C7A7A"/>
    <w:rsid w:val="002C7EEE"/>
    <w:rsid w:val="002D097C"/>
    <w:rsid w:val="002D18BD"/>
    <w:rsid w:val="002D1A64"/>
    <w:rsid w:val="002D1AB1"/>
    <w:rsid w:val="002D1E90"/>
    <w:rsid w:val="002D22BF"/>
    <w:rsid w:val="002D2464"/>
    <w:rsid w:val="002D24E1"/>
    <w:rsid w:val="002D2EF4"/>
    <w:rsid w:val="002D4330"/>
    <w:rsid w:val="002D43BA"/>
    <w:rsid w:val="002D4607"/>
    <w:rsid w:val="002D5C29"/>
    <w:rsid w:val="002D62C0"/>
    <w:rsid w:val="002D646C"/>
    <w:rsid w:val="002D64F0"/>
    <w:rsid w:val="002D6642"/>
    <w:rsid w:val="002E0DB6"/>
    <w:rsid w:val="002E1272"/>
    <w:rsid w:val="002E12DC"/>
    <w:rsid w:val="002E192A"/>
    <w:rsid w:val="002E1C72"/>
    <w:rsid w:val="002E258B"/>
    <w:rsid w:val="002E2807"/>
    <w:rsid w:val="002E3C36"/>
    <w:rsid w:val="002E4248"/>
    <w:rsid w:val="002E537B"/>
    <w:rsid w:val="002E593D"/>
    <w:rsid w:val="002E6831"/>
    <w:rsid w:val="002E68B4"/>
    <w:rsid w:val="002E7867"/>
    <w:rsid w:val="002E7C3B"/>
    <w:rsid w:val="002F1A6A"/>
    <w:rsid w:val="002F28D1"/>
    <w:rsid w:val="002F2BFC"/>
    <w:rsid w:val="002F2DB6"/>
    <w:rsid w:val="002F34C2"/>
    <w:rsid w:val="002F551E"/>
    <w:rsid w:val="002F5A7B"/>
    <w:rsid w:val="002F5AA7"/>
    <w:rsid w:val="002F630E"/>
    <w:rsid w:val="002F643C"/>
    <w:rsid w:val="002F70A8"/>
    <w:rsid w:val="0030028A"/>
    <w:rsid w:val="00300B61"/>
    <w:rsid w:val="00300F48"/>
    <w:rsid w:val="00301660"/>
    <w:rsid w:val="0030166D"/>
    <w:rsid w:val="0030242A"/>
    <w:rsid w:val="00303641"/>
    <w:rsid w:val="00303D2C"/>
    <w:rsid w:val="0030510E"/>
    <w:rsid w:val="0030513C"/>
    <w:rsid w:val="003075E8"/>
    <w:rsid w:val="003101E3"/>
    <w:rsid w:val="003103FD"/>
    <w:rsid w:val="003110B4"/>
    <w:rsid w:val="00311588"/>
    <w:rsid w:val="00311793"/>
    <w:rsid w:val="00311863"/>
    <w:rsid w:val="00312D47"/>
    <w:rsid w:val="00312D50"/>
    <w:rsid w:val="00313022"/>
    <w:rsid w:val="0031324B"/>
    <w:rsid w:val="00313401"/>
    <w:rsid w:val="00314C4E"/>
    <w:rsid w:val="003169C2"/>
    <w:rsid w:val="00316C3B"/>
    <w:rsid w:val="00316E3F"/>
    <w:rsid w:val="003170B5"/>
    <w:rsid w:val="0031790F"/>
    <w:rsid w:val="00317FE2"/>
    <w:rsid w:val="00320488"/>
    <w:rsid w:val="00320FBB"/>
    <w:rsid w:val="003213F1"/>
    <w:rsid w:val="00321453"/>
    <w:rsid w:val="003215EF"/>
    <w:rsid w:val="00321945"/>
    <w:rsid w:val="003221EA"/>
    <w:rsid w:val="00322310"/>
    <w:rsid w:val="00322461"/>
    <w:rsid w:val="00322639"/>
    <w:rsid w:val="00322B1C"/>
    <w:rsid w:val="003231E7"/>
    <w:rsid w:val="00323457"/>
    <w:rsid w:val="00323B54"/>
    <w:rsid w:val="003252CE"/>
    <w:rsid w:val="00325B39"/>
    <w:rsid w:val="00325DB0"/>
    <w:rsid w:val="0032656C"/>
    <w:rsid w:val="00326BCC"/>
    <w:rsid w:val="00326EEF"/>
    <w:rsid w:val="003271C4"/>
    <w:rsid w:val="00330B8C"/>
    <w:rsid w:val="00332620"/>
    <w:rsid w:val="00332776"/>
    <w:rsid w:val="003329E4"/>
    <w:rsid w:val="00332A23"/>
    <w:rsid w:val="00333E41"/>
    <w:rsid w:val="00334199"/>
    <w:rsid w:val="003360AE"/>
    <w:rsid w:val="0033733C"/>
    <w:rsid w:val="00340599"/>
    <w:rsid w:val="00343D1F"/>
    <w:rsid w:val="00345968"/>
    <w:rsid w:val="00345C09"/>
    <w:rsid w:val="0034602C"/>
    <w:rsid w:val="0034640B"/>
    <w:rsid w:val="0034699A"/>
    <w:rsid w:val="003477EF"/>
    <w:rsid w:val="00347969"/>
    <w:rsid w:val="0034797B"/>
    <w:rsid w:val="00350735"/>
    <w:rsid w:val="0035174D"/>
    <w:rsid w:val="00351DA1"/>
    <w:rsid w:val="00351FD9"/>
    <w:rsid w:val="003528FD"/>
    <w:rsid w:val="00353AF8"/>
    <w:rsid w:val="00353C02"/>
    <w:rsid w:val="00353EA7"/>
    <w:rsid w:val="00353F76"/>
    <w:rsid w:val="003558C9"/>
    <w:rsid w:val="00356036"/>
    <w:rsid w:val="003570DD"/>
    <w:rsid w:val="00357292"/>
    <w:rsid w:val="00357459"/>
    <w:rsid w:val="00361632"/>
    <w:rsid w:val="003619B7"/>
    <w:rsid w:val="0036321D"/>
    <w:rsid w:val="00363F80"/>
    <w:rsid w:val="00364937"/>
    <w:rsid w:val="00364BC8"/>
    <w:rsid w:val="00365956"/>
    <w:rsid w:val="00367205"/>
    <w:rsid w:val="00367406"/>
    <w:rsid w:val="003674A4"/>
    <w:rsid w:val="00367A8F"/>
    <w:rsid w:val="00367B18"/>
    <w:rsid w:val="0037179D"/>
    <w:rsid w:val="003727E0"/>
    <w:rsid w:val="0037308A"/>
    <w:rsid w:val="00373409"/>
    <w:rsid w:val="00373839"/>
    <w:rsid w:val="00373B5A"/>
    <w:rsid w:val="0037418D"/>
    <w:rsid w:val="00374ABE"/>
    <w:rsid w:val="00374E03"/>
    <w:rsid w:val="0037538D"/>
    <w:rsid w:val="003757EC"/>
    <w:rsid w:val="003767BD"/>
    <w:rsid w:val="003774DD"/>
    <w:rsid w:val="00377829"/>
    <w:rsid w:val="0037793E"/>
    <w:rsid w:val="00380A3B"/>
    <w:rsid w:val="003811D3"/>
    <w:rsid w:val="003827ED"/>
    <w:rsid w:val="003833A9"/>
    <w:rsid w:val="003838F6"/>
    <w:rsid w:val="00384532"/>
    <w:rsid w:val="00384BE3"/>
    <w:rsid w:val="00384E1F"/>
    <w:rsid w:val="0038524E"/>
    <w:rsid w:val="00385594"/>
    <w:rsid w:val="00385CA1"/>
    <w:rsid w:val="00385ED5"/>
    <w:rsid w:val="00385ED9"/>
    <w:rsid w:val="00392853"/>
    <w:rsid w:val="00392A38"/>
    <w:rsid w:val="0039368A"/>
    <w:rsid w:val="00393AE2"/>
    <w:rsid w:val="00394CD6"/>
    <w:rsid w:val="00394EEE"/>
    <w:rsid w:val="003956B8"/>
    <w:rsid w:val="00395718"/>
    <w:rsid w:val="00396B06"/>
    <w:rsid w:val="003975A9"/>
    <w:rsid w:val="00397B41"/>
    <w:rsid w:val="003A0A57"/>
    <w:rsid w:val="003A1A9B"/>
    <w:rsid w:val="003A1B9A"/>
    <w:rsid w:val="003A2305"/>
    <w:rsid w:val="003A244D"/>
    <w:rsid w:val="003A2CD3"/>
    <w:rsid w:val="003A303A"/>
    <w:rsid w:val="003A35F6"/>
    <w:rsid w:val="003A4187"/>
    <w:rsid w:val="003A4676"/>
    <w:rsid w:val="003A4A17"/>
    <w:rsid w:val="003A4E43"/>
    <w:rsid w:val="003A5B93"/>
    <w:rsid w:val="003A61E7"/>
    <w:rsid w:val="003A6C25"/>
    <w:rsid w:val="003A6D46"/>
    <w:rsid w:val="003B000D"/>
    <w:rsid w:val="003B0419"/>
    <w:rsid w:val="003B06C0"/>
    <w:rsid w:val="003B1900"/>
    <w:rsid w:val="003B2124"/>
    <w:rsid w:val="003B27AF"/>
    <w:rsid w:val="003B2D17"/>
    <w:rsid w:val="003B3265"/>
    <w:rsid w:val="003B4CCF"/>
    <w:rsid w:val="003B4DC1"/>
    <w:rsid w:val="003B6A95"/>
    <w:rsid w:val="003B6B8C"/>
    <w:rsid w:val="003B7C59"/>
    <w:rsid w:val="003B7DD5"/>
    <w:rsid w:val="003C0668"/>
    <w:rsid w:val="003C0F4D"/>
    <w:rsid w:val="003C12CF"/>
    <w:rsid w:val="003C2BC1"/>
    <w:rsid w:val="003C416B"/>
    <w:rsid w:val="003C482C"/>
    <w:rsid w:val="003C5A98"/>
    <w:rsid w:val="003C702A"/>
    <w:rsid w:val="003C719D"/>
    <w:rsid w:val="003C72C5"/>
    <w:rsid w:val="003C736C"/>
    <w:rsid w:val="003D03A5"/>
    <w:rsid w:val="003D0F8F"/>
    <w:rsid w:val="003D1396"/>
    <w:rsid w:val="003D1EAD"/>
    <w:rsid w:val="003D2023"/>
    <w:rsid w:val="003D2A66"/>
    <w:rsid w:val="003D2F0B"/>
    <w:rsid w:val="003D306F"/>
    <w:rsid w:val="003D3451"/>
    <w:rsid w:val="003D38A7"/>
    <w:rsid w:val="003D3DCF"/>
    <w:rsid w:val="003D427C"/>
    <w:rsid w:val="003D4731"/>
    <w:rsid w:val="003D4F5E"/>
    <w:rsid w:val="003D5098"/>
    <w:rsid w:val="003D5269"/>
    <w:rsid w:val="003D5547"/>
    <w:rsid w:val="003D5853"/>
    <w:rsid w:val="003D6582"/>
    <w:rsid w:val="003D711C"/>
    <w:rsid w:val="003D7AC0"/>
    <w:rsid w:val="003E0050"/>
    <w:rsid w:val="003E02C8"/>
    <w:rsid w:val="003E125C"/>
    <w:rsid w:val="003E2891"/>
    <w:rsid w:val="003E2911"/>
    <w:rsid w:val="003E4259"/>
    <w:rsid w:val="003E451D"/>
    <w:rsid w:val="003E4704"/>
    <w:rsid w:val="003E4756"/>
    <w:rsid w:val="003E485F"/>
    <w:rsid w:val="003E53D6"/>
    <w:rsid w:val="003E6C40"/>
    <w:rsid w:val="003E7315"/>
    <w:rsid w:val="003F034F"/>
    <w:rsid w:val="003F0D16"/>
    <w:rsid w:val="003F0E66"/>
    <w:rsid w:val="003F12E0"/>
    <w:rsid w:val="003F1E33"/>
    <w:rsid w:val="003F1FC0"/>
    <w:rsid w:val="003F2556"/>
    <w:rsid w:val="003F2DA1"/>
    <w:rsid w:val="003F2FBE"/>
    <w:rsid w:val="003F3448"/>
    <w:rsid w:val="003F3F87"/>
    <w:rsid w:val="003F4060"/>
    <w:rsid w:val="003F4FBF"/>
    <w:rsid w:val="003F52B6"/>
    <w:rsid w:val="003F557E"/>
    <w:rsid w:val="003F5B22"/>
    <w:rsid w:val="003F5B35"/>
    <w:rsid w:val="003F66E7"/>
    <w:rsid w:val="003F71DA"/>
    <w:rsid w:val="004026BB"/>
    <w:rsid w:val="0040278B"/>
    <w:rsid w:val="00402B3B"/>
    <w:rsid w:val="00402FC2"/>
    <w:rsid w:val="00403421"/>
    <w:rsid w:val="00405292"/>
    <w:rsid w:val="004065CB"/>
    <w:rsid w:val="004068BF"/>
    <w:rsid w:val="00406E72"/>
    <w:rsid w:val="00407217"/>
    <w:rsid w:val="00407594"/>
    <w:rsid w:val="00407599"/>
    <w:rsid w:val="0041079E"/>
    <w:rsid w:val="00410F65"/>
    <w:rsid w:val="0041117B"/>
    <w:rsid w:val="00411EBD"/>
    <w:rsid w:val="00412964"/>
    <w:rsid w:val="00413091"/>
    <w:rsid w:val="0041466D"/>
    <w:rsid w:val="00414697"/>
    <w:rsid w:val="0041575F"/>
    <w:rsid w:val="0041637E"/>
    <w:rsid w:val="004165E6"/>
    <w:rsid w:val="00416B25"/>
    <w:rsid w:val="004170E1"/>
    <w:rsid w:val="004173A2"/>
    <w:rsid w:val="00417EEA"/>
    <w:rsid w:val="004201E4"/>
    <w:rsid w:val="00420323"/>
    <w:rsid w:val="00420971"/>
    <w:rsid w:val="0042100C"/>
    <w:rsid w:val="0042238B"/>
    <w:rsid w:val="00422952"/>
    <w:rsid w:val="00422ACA"/>
    <w:rsid w:val="00422B59"/>
    <w:rsid w:val="0042416C"/>
    <w:rsid w:val="004243A7"/>
    <w:rsid w:val="004249E3"/>
    <w:rsid w:val="00425CED"/>
    <w:rsid w:val="004260F6"/>
    <w:rsid w:val="00426147"/>
    <w:rsid w:val="004307EB"/>
    <w:rsid w:val="004311A1"/>
    <w:rsid w:val="0043232C"/>
    <w:rsid w:val="0043244E"/>
    <w:rsid w:val="00433A97"/>
    <w:rsid w:val="00433CE2"/>
    <w:rsid w:val="0043416C"/>
    <w:rsid w:val="00434406"/>
    <w:rsid w:val="00435093"/>
    <w:rsid w:val="004357E2"/>
    <w:rsid w:val="00436972"/>
    <w:rsid w:val="00436A70"/>
    <w:rsid w:val="00437319"/>
    <w:rsid w:val="00440E97"/>
    <w:rsid w:val="004413F7"/>
    <w:rsid w:val="00442327"/>
    <w:rsid w:val="00442A81"/>
    <w:rsid w:val="00442DB8"/>
    <w:rsid w:val="00443690"/>
    <w:rsid w:val="00443D26"/>
    <w:rsid w:val="00444646"/>
    <w:rsid w:val="00444958"/>
    <w:rsid w:val="00445397"/>
    <w:rsid w:val="004457EB"/>
    <w:rsid w:val="00445B42"/>
    <w:rsid w:val="00445CB8"/>
    <w:rsid w:val="0044619F"/>
    <w:rsid w:val="004466F6"/>
    <w:rsid w:val="00446EAD"/>
    <w:rsid w:val="00447029"/>
    <w:rsid w:val="00450712"/>
    <w:rsid w:val="00450A68"/>
    <w:rsid w:val="00450F69"/>
    <w:rsid w:val="0045109D"/>
    <w:rsid w:val="00451525"/>
    <w:rsid w:val="004527E0"/>
    <w:rsid w:val="00452956"/>
    <w:rsid w:val="00452DE3"/>
    <w:rsid w:val="00452F0F"/>
    <w:rsid w:val="004530C4"/>
    <w:rsid w:val="0045314E"/>
    <w:rsid w:val="004531AC"/>
    <w:rsid w:val="00453765"/>
    <w:rsid w:val="00453B98"/>
    <w:rsid w:val="0045445B"/>
    <w:rsid w:val="0045573C"/>
    <w:rsid w:val="00455FAE"/>
    <w:rsid w:val="00455FB6"/>
    <w:rsid w:val="00456355"/>
    <w:rsid w:val="004572C4"/>
    <w:rsid w:val="0045737D"/>
    <w:rsid w:val="004575A1"/>
    <w:rsid w:val="004575DE"/>
    <w:rsid w:val="004577A9"/>
    <w:rsid w:val="004600E8"/>
    <w:rsid w:val="004608DC"/>
    <w:rsid w:val="00460FD3"/>
    <w:rsid w:val="004634EE"/>
    <w:rsid w:val="00463F74"/>
    <w:rsid w:val="00464401"/>
    <w:rsid w:val="0046458F"/>
    <w:rsid w:val="0046566D"/>
    <w:rsid w:val="00465A27"/>
    <w:rsid w:val="00465D47"/>
    <w:rsid w:val="004672B5"/>
    <w:rsid w:val="004674C4"/>
    <w:rsid w:val="0046781D"/>
    <w:rsid w:val="00467D55"/>
    <w:rsid w:val="00467E29"/>
    <w:rsid w:val="00471252"/>
    <w:rsid w:val="004712BF"/>
    <w:rsid w:val="00471398"/>
    <w:rsid w:val="004715DE"/>
    <w:rsid w:val="00471736"/>
    <w:rsid w:val="004719EE"/>
    <w:rsid w:val="00472082"/>
    <w:rsid w:val="004729F5"/>
    <w:rsid w:val="00472A45"/>
    <w:rsid w:val="00472AE3"/>
    <w:rsid w:val="00472D4F"/>
    <w:rsid w:val="0047321F"/>
    <w:rsid w:val="004736A3"/>
    <w:rsid w:val="00473831"/>
    <w:rsid w:val="00473E6D"/>
    <w:rsid w:val="004745C7"/>
    <w:rsid w:val="00474A16"/>
    <w:rsid w:val="00474C04"/>
    <w:rsid w:val="00474FE4"/>
    <w:rsid w:val="00475979"/>
    <w:rsid w:val="004763F9"/>
    <w:rsid w:val="0047665C"/>
    <w:rsid w:val="004769F7"/>
    <w:rsid w:val="00476A74"/>
    <w:rsid w:val="00476AD7"/>
    <w:rsid w:val="00476E42"/>
    <w:rsid w:val="00476EA1"/>
    <w:rsid w:val="00477623"/>
    <w:rsid w:val="00477864"/>
    <w:rsid w:val="00477958"/>
    <w:rsid w:val="00477FC7"/>
    <w:rsid w:val="00480AB3"/>
    <w:rsid w:val="00481270"/>
    <w:rsid w:val="004816EA"/>
    <w:rsid w:val="004817E9"/>
    <w:rsid w:val="00481DDD"/>
    <w:rsid w:val="0048211F"/>
    <w:rsid w:val="00482B5A"/>
    <w:rsid w:val="00482B82"/>
    <w:rsid w:val="00482BEE"/>
    <w:rsid w:val="004845E0"/>
    <w:rsid w:val="004855C7"/>
    <w:rsid w:val="00486154"/>
    <w:rsid w:val="00486259"/>
    <w:rsid w:val="00486575"/>
    <w:rsid w:val="0048749A"/>
    <w:rsid w:val="004924C0"/>
    <w:rsid w:val="00492ED9"/>
    <w:rsid w:val="0049300D"/>
    <w:rsid w:val="0049307F"/>
    <w:rsid w:val="00493D12"/>
    <w:rsid w:val="00493D45"/>
    <w:rsid w:val="0049426D"/>
    <w:rsid w:val="00494385"/>
    <w:rsid w:val="00494AF5"/>
    <w:rsid w:val="004958E4"/>
    <w:rsid w:val="0049626A"/>
    <w:rsid w:val="004972D2"/>
    <w:rsid w:val="00497956"/>
    <w:rsid w:val="004A02D9"/>
    <w:rsid w:val="004A1912"/>
    <w:rsid w:val="004A247D"/>
    <w:rsid w:val="004A24C3"/>
    <w:rsid w:val="004A30B3"/>
    <w:rsid w:val="004A3836"/>
    <w:rsid w:val="004A39CC"/>
    <w:rsid w:val="004A4B90"/>
    <w:rsid w:val="004A5403"/>
    <w:rsid w:val="004A5511"/>
    <w:rsid w:val="004A7497"/>
    <w:rsid w:val="004B0721"/>
    <w:rsid w:val="004B0C7E"/>
    <w:rsid w:val="004B1A3A"/>
    <w:rsid w:val="004B20A4"/>
    <w:rsid w:val="004B2240"/>
    <w:rsid w:val="004B2742"/>
    <w:rsid w:val="004B2C70"/>
    <w:rsid w:val="004B3BA5"/>
    <w:rsid w:val="004B453F"/>
    <w:rsid w:val="004B5961"/>
    <w:rsid w:val="004B6C73"/>
    <w:rsid w:val="004B7042"/>
    <w:rsid w:val="004B7818"/>
    <w:rsid w:val="004B7C08"/>
    <w:rsid w:val="004C0475"/>
    <w:rsid w:val="004C1AD2"/>
    <w:rsid w:val="004C2A1F"/>
    <w:rsid w:val="004C33D1"/>
    <w:rsid w:val="004C43AC"/>
    <w:rsid w:val="004C45FE"/>
    <w:rsid w:val="004C4F2B"/>
    <w:rsid w:val="004C5052"/>
    <w:rsid w:val="004C63EE"/>
    <w:rsid w:val="004C679F"/>
    <w:rsid w:val="004C6F9A"/>
    <w:rsid w:val="004C70B6"/>
    <w:rsid w:val="004C7905"/>
    <w:rsid w:val="004D00E6"/>
    <w:rsid w:val="004D149C"/>
    <w:rsid w:val="004D1CBC"/>
    <w:rsid w:val="004D1DC3"/>
    <w:rsid w:val="004D2144"/>
    <w:rsid w:val="004D3325"/>
    <w:rsid w:val="004D3DBA"/>
    <w:rsid w:val="004D3EC7"/>
    <w:rsid w:val="004D50B2"/>
    <w:rsid w:val="004D56BF"/>
    <w:rsid w:val="004D5C41"/>
    <w:rsid w:val="004D6A28"/>
    <w:rsid w:val="004D6C1A"/>
    <w:rsid w:val="004E0089"/>
    <w:rsid w:val="004E139D"/>
    <w:rsid w:val="004E30B2"/>
    <w:rsid w:val="004E382E"/>
    <w:rsid w:val="004E6090"/>
    <w:rsid w:val="004E6639"/>
    <w:rsid w:val="004E6B71"/>
    <w:rsid w:val="004E6B73"/>
    <w:rsid w:val="004E6B7F"/>
    <w:rsid w:val="004E7853"/>
    <w:rsid w:val="004E7FBA"/>
    <w:rsid w:val="004F042C"/>
    <w:rsid w:val="004F05B9"/>
    <w:rsid w:val="004F06C9"/>
    <w:rsid w:val="004F0768"/>
    <w:rsid w:val="004F0FD4"/>
    <w:rsid w:val="004F1F02"/>
    <w:rsid w:val="004F333A"/>
    <w:rsid w:val="004F341E"/>
    <w:rsid w:val="004F34FE"/>
    <w:rsid w:val="004F4B31"/>
    <w:rsid w:val="004F50C5"/>
    <w:rsid w:val="004F569E"/>
    <w:rsid w:val="004F6570"/>
    <w:rsid w:val="004F6DF2"/>
    <w:rsid w:val="005006D6"/>
    <w:rsid w:val="0050073C"/>
    <w:rsid w:val="00500A97"/>
    <w:rsid w:val="005022E5"/>
    <w:rsid w:val="005026AF"/>
    <w:rsid w:val="00503408"/>
    <w:rsid w:val="00503C71"/>
    <w:rsid w:val="00504C7B"/>
    <w:rsid w:val="00504C9F"/>
    <w:rsid w:val="005053DE"/>
    <w:rsid w:val="00505441"/>
    <w:rsid w:val="00505968"/>
    <w:rsid w:val="0050610E"/>
    <w:rsid w:val="00507597"/>
    <w:rsid w:val="00512CD5"/>
    <w:rsid w:val="00514131"/>
    <w:rsid w:val="00514220"/>
    <w:rsid w:val="00514720"/>
    <w:rsid w:val="00514EF3"/>
    <w:rsid w:val="005168E7"/>
    <w:rsid w:val="005171C3"/>
    <w:rsid w:val="00517669"/>
    <w:rsid w:val="00517A87"/>
    <w:rsid w:val="005209FD"/>
    <w:rsid w:val="00520C13"/>
    <w:rsid w:val="00521EC3"/>
    <w:rsid w:val="0052229F"/>
    <w:rsid w:val="005222DF"/>
    <w:rsid w:val="00522B25"/>
    <w:rsid w:val="00522D6C"/>
    <w:rsid w:val="00522EC1"/>
    <w:rsid w:val="00523950"/>
    <w:rsid w:val="00523E6C"/>
    <w:rsid w:val="005246FA"/>
    <w:rsid w:val="00525BC7"/>
    <w:rsid w:val="00525D99"/>
    <w:rsid w:val="00526A21"/>
    <w:rsid w:val="00526BD1"/>
    <w:rsid w:val="00527BB4"/>
    <w:rsid w:val="00530359"/>
    <w:rsid w:val="005307E7"/>
    <w:rsid w:val="00530A4D"/>
    <w:rsid w:val="0053118F"/>
    <w:rsid w:val="00531C84"/>
    <w:rsid w:val="00532600"/>
    <w:rsid w:val="0053268F"/>
    <w:rsid w:val="00532954"/>
    <w:rsid w:val="00532A60"/>
    <w:rsid w:val="00532EE4"/>
    <w:rsid w:val="005332EC"/>
    <w:rsid w:val="005338A7"/>
    <w:rsid w:val="00535212"/>
    <w:rsid w:val="00535502"/>
    <w:rsid w:val="00535B27"/>
    <w:rsid w:val="00535CB2"/>
    <w:rsid w:val="00536A59"/>
    <w:rsid w:val="005416E9"/>
    <w:rsid w:val="0054190C"/>
    <w:rsid w:val="005422AA"/>
    <w:rsid w:val="00542F1A"/>
    <w:rsid w:val="005435B5"/>
    <w:rsid w:val="00544768"/>
    <w:rsid w:val="00544849"/>
    <w:rsid w:val="00544B3E"/>
    <w:rsid w:val="00545436"/>
    <w:rsid w:val="00545EE1"/>
    <w:rsid w:val="00546190"/>
    <w:rsid w:val="005463A6"/>
    <w:rsid w:val="005465A1"/>
    <w:rsid w:val="00546755"/>
    <w:rsid w:val="00546A2F"/>
    <w:rsid w:val="00546B33"/>
    <w:rsid w:val="005475C7"/>
    <w:rsid w:val="0054795B"/>
    <w:rsid w:val="00550102"/>
    <w:rsid w:val="00550CD7"/>
    <w:rsid w:val="0055197B"/>
    <w:rsid w:val="00553168"/>
    <w:rsid w:val="00553956"/>
    <w:rsid w:val="0055423D"/>
    <w:rsid w:val="0055459B"/>
    <w:rsid w:val="0055474D"/>
    <w:rsid w:val="00554D83"/>
    <w:rsid w:val="00554F78"/>
    <w:rsid w:val="00555226"/>
    <w:rsid w:val="005553D4"/>
    <w:rsid w:val="00555C78"/>
    <w:rsid w:val="00555FA5"/>
    <w:rsid w:val="00556452"/>
    <w:rsid w:val="00556AB9"/>
    <w:rsid w:val="00557172"/>
    <w:rsid w:val="00557378"/>
    <w:rsid w:val="00557F6D"/>
    <w:rsid w:val="00560046"/>
    <w:rsid w:val="00560A0C"/>
    <w:rsid w:val="005611C6"/>
    <w:rsid w:val="00561976"/>
    <w:rsid w:val="0056259D"/>
    <w:rsid w:val="00564FDC"/>
    <w:rsid w:val="00565864"/>
    <w:rsid w:val="00566AE7"/>
    <w:rsid w:val="00566B16"/>
    <w:rsid w:val="0056774F"/>
    <w:rsid w:val="00567CB4"/>
    <w:rsid w:val="005700B8"/>
    <w:rsid w:val="00570726"/>
    <w:rsid w:val="00570E57"/>
    <w:rsid w:val="00571013"/>
    <w:rsid w:val="005717EC"/>
    <w:rsid w:val="00571C4D"/>
    <w:rsid w:val="00571C51"/>
    <w:rsid w:val="005732C4"/>
    <w:rsid w:val="00573370"/>
    <w:rsid w:val="00573B05"/>
    <w:rsid w:val="00573B0E"/>
    <w:rsid w:val="005743CA"/>
    <w:rsid w:val="005745D1"/>
    <w:rsid w:val="00574672"/>
    <w:rsid w:val="005755C5"/>
    <w:rsid w:val="00575CAB"/>
    <w:rsid w:val="00576850"/>
    <w:rsid w:val="005775FC"/>
    <w:rsid w:val="005778D7"/>
    <w:rsid w:val="00577E45"/>
    <w:rsid w:val="00580854"/>
    <w:rsid w:val="00583D0F"/>
    <w:rsid w:val="0058475D"/>
    <w:rsid w:val="00584E48"/>
    <w:rsid w:val="00586817"/>
    <w:rsid w:val="00587476"/>
    <w:rsid w:val="00587C50"/>
    <w:rsid w:val="00590A8E"/>
    <w:rsid w:val="00591299"/>
    <w:rsid w:val="00591616"/>
    <w:rsid w:val="00591654"/>
    <w:rsid w:val="00591F3E"/>
    <w:rsid w:val="00592071"/>
    <w:rsid w:val="00592985"/>
    <w:rsid w:val="00593BAA"/>
    <w:rsid w:val="00595B1E"/>
    <w:rsid w:val="00596DC8"/>
    <w:rsid w:val="00597749"/>
    <w:rsid w:val="00597BF2"/>
    <w:rsid w:val="00597C6C"/>
    <w:rsid w:val="00597F38"/>
    <w:rsid w:val="005A07CE"/>
    <w:rsid w:val="005A19FE"/>
    <w:rsid w:val="005A1DF8"/>
    <w:rsid w:val="005A2C55"/>
    <w:rsid w:val="005A2F09"/>
    <w:rsid w:val="005A336F"/>
    <w:rsid w:val="005A33B6"/>
    <w:rsid w:val="005A3581"/>
    <w:rsid w:val="005A3ADA"/>
    <w:rsid w:val="005A3FF7"/>
    <w:rsid w:val="005A4B16"/>
    <w:rsid w:val="005A4D74"/>
    <w:rsid w:val="005A6350"/>
    <w:rsid w:val="005A6BE0"/>
    <w:rsid w:val="005B0878"/>
    <w:rsid w:val="005B091F"/>
    <w:rsid w:val="005B0D4C"/>
    <w:rsid w:val="005B1236"/>
    <w:rsid w:val="005B16F5"/>
    <w:rsid w:val="005B2425"/>
    <w:rsid w:val="005B2D2C"/>
    <w:rsid w:val="005B2FD5"/>
    <w:rsid w:val="005B41C4"/>
    <w:rsid w:val="005B49C6"/>
    <w:rsid w:val="005B5659"/>
    <w:rsid w:val="005B6F09"/>
    <w:rsid w:val="005C0BDB"/>
    <w:rsid w:val="005C0D4D"/>
    <w:rsid w:val="005C1473"/>
    <w:rsid w:val="005C1B99"/>
    <w:rsid w:val="005C1DB5"/>
    <w:rsid w:val="005C2EE5"/>
    <w:rsid w:val="005C32DD"/>
    <w:rsid w:val="005C3CBA"/>
    <w:rsid w:val="005C44A3"/>
    <w:rsid w:val="005C4C93"/>
    <w:rsid w:val="005C4F7E"/>
    <w:rsid w:val="005C51FD"/>
    <w:rsid w:val="005C52AA"/>
    <w:rsid w:val="005C543E"/>
    <w:rsid w:val="005C6249"/>
    <w:rsid w:val="005C7C13"/>
    <w:rsid w:val="005C7F99"/>
    <w:rsid w:val="005D054D"/>
    <w:rsid w:val="005D198A"/>
    <w:rsid w:val="005D1DDF"/>
    <w:rsid w:val="005D2A4A"/>
    <w:rsid w:val="005D38EE"/>
    <w:rsid w:val="005D46B1"/>
    <w:rsid w:val="005D48D0"/>
    <w:rsid w:val="005D4AD8"/>
    <w:rsid w:val="005D4C76"/>
    <w:rsid w:val="005D57CC"/>
    <w:rsid w:val="005D58B9"/>
    <w:rsid w:val="005D58D7"/>
    <w:rsid w:val="005D5B2C"/>
    <w:rsid w:val="005D5CAA"/>
    <w:rsid w:val="005D6956"/>
    <w:rsid w:val="005E1CF8"/>
    <w:rsid w:val="005E254B"/>
    <w:rsid w:val="005E2659"/>
    <w:rsid w:val="005E2722"/>
    <w:rsid w:val="005E38D8"/>
    <w:rsid w:val="005E410F"/>
    <w:rsid w:val="005E41EF"/>
    <w:rsid w:val="005E5CFD"/>
    <w:rsid w:val="005E6512"/>
    <w:rsid w:val="005E75BE"/>
    <w:rsid w:val="005E7D4E"/>
    <w:rsid w:val="005F085D"/>
    <w:rsid w:val="005F1CD0"/>
    <w:rsid w:val="005F2FE7"/>
    <w:rsid w:val="005F39D5"/>
    <w:rsid w:val="005F3AF5"/>
    <w:rsid w:val="005F4D9E"/>
    <w:rsid w:val="005F52A6"/>
    <w:rsid w:val="005F5B52"/>
    <w:rsid w:val="005F5CFA"/>
    <w:rsid w:val="005F6242"/>
    <w:rsid w:val="005F7AF6"/>
    <w:rsid w:val="005F7C35"/>
    <w:rsid w:val="005F7F69"/>
    <w:rsid w:val="00600589"/>
    <w:rsid w:val="00600BC7"/>
    <w:rsid w:val="00601705"/>
    <w:rsid w:val="0060330C"/>
    <w:rsid w:val="006040BF"/>
    <w:rsid w:val="0060507A"/>
    <w:rsid w:val="00605BBC"/>
    <w:rsid w:val="00606E6F"/>
    <w:rsid w:val="00607373"/>
    <w:rsid w:val="0060760F"/>
    <w:rsid w:val="00611576"/>
    <w:rsid w:val="00611FD9"/>
    <w:rsid w:val="00614D31"/>
    <w:rsid w:val="00616F83"/>
    <w:rsid w:val="00620216"/>
    <w:rsid w:val="00620C54"/>
    <w:rsid w:val="00621317"/>
    <w:rsid w:val="0062165B"/>
    <w:rsid w:val="0062221F"/>
    <w:rsid w:val="00622523"/>
    <w:rsid w:val="00623A65"/>
    <w:rsid w:val="00624264"/>
    <w:rsid w:val="0062467E"/>
    <w:rsid w:val="00625A4F"/>
    <w:rsid w:val="0062683B"/>
    <w:rsid w:val="00626E7A"/>
    <w:rsid w:val="0063022D"/>
    <w:rsid w:val="00630915"/>
    <w:rsid w:val="00631045"/>
    <w:rsid w:val="00631657"/>
    <w:rsid w:val="006328D4"/>
    <w:rsid w:val="00632D26"/>
    <w:rsid w:val="0063313F"/>
    <w:rsid w:val="00633399"/>
    <w:rsid w:val="006338BC"/>
    <w:rsid w:val="0063467E"/>
    <w:rsid w:val="00634CEF"/>
    <w:rsid w:val="00634F7A"/>
    <w:rsid w:val="00634FDF"/>
    <w:rsid w:val="00636529"/>
    <w:rsid w:val="00636CAB"/>
    <w:rsid w:val="00637A57"/>
    <w:rsid w:val="006408A8"/>
    <w:rsid w:val="00640F37"/>
    <w:rsid w:val="00641567"/>
    <w:rsid w:val="0064195D"/>
    <w:rsid w:val="00643E7A"/>
    <w:rsid w:val="006448AF"/>
    <w:rsid w:val="006449F8"/>
    <w:rsid w:val="0064666E"/>
    <w:rsid w:val="006473AF"/>
    <w:rsid w:val="00647403"/>
    <w:rsid w:val="00647426"/>
    <w:rsid w:val="006474CE"/>
    <w:rsid w:val="00647666"/>
    <w:rsid w:val="006504D2"/>
    <w:rsid w:val="00650B73"/>
    <w:rsid w:val="00650E81"/>
    <w:rsid w:val="006510B4"/>
    <w:rsid w:val="006530E8"/>
    <w:rsid w:val="006547D8"/>
    <w:rsid w:val="00654E65"/>
    <w:rsid w:val="006555A0"/>
    <w:rsid w:val="0065562C"/>
    <w:rsid w:val="0065572C"/>
    <w:rsid w:val="00655B16"/>
    <w:rsid w:val="00656869"/>
    <w:rsid w:val="00656F58"/>
    <w:rsid w:val="006572CF"/>
    <w:rsid w:val="0065768C"/>
    <w:rsid w:val="006579D3"/>
    <w:rsid w:val="00657DA1"/>
    <w:rsid w:val="00660187"/>
    <w:rsid w:val="00660282"/>
    <w:rsid w:val="006613FA"/>
    <w:rsid w:val="0066179A"/>
    <w:rsid w:val="00661C69"/>
    <w:rsid w:val="00661DAD"/>
    <w:rsid w:val="006622E3"/>
    <w:rsid w:val="00662334"/>
    <w:rsid w:val="00662CB1"/>
    <w:rsid w:val="0066379D"/>
    <w:rsid w:val="00663C82"/>
    <w:rsid w:val="0066555D"/>
    <w:rsid w:val="006665A4"/>
    <w:rsid w:val="00667723"/>
    <w:rsid w:val="006711C3"/>
    <w:rsid w:val="0067134B"/>
    <w:rsid w:val="00671D7B"/>
    <w:rsid w:val="006730C0"/>
    <w:rsid w:val="00673C17"/>
    <w:rsid w:val="00673F6F"/>
    <w:rsid w:val="00673F76"/>
    <w:rsid w:val="0067451E"/>
    <w:rsid w:val="00674882"/>
    <w:rsid w:val="00674BBD"/>
    <w:rsid w:val="00675075"/>
    <w:rsid w:val="00675E85"/>
    <w:rsid w:val="0067639C"/>
    <w:rsid w:val="00676528"/>
    <w:rsid w:val="00676E95"/>
    <w:rsid w:val="006804E0"/>
    <w:rsid w:val="00680A94"/>
    <w:rsid w:val="00680C5C"/>
    <w:rsid w:val="00680E82"/>
    <w:rsid w:val="00682427"/>
    <w:rsid w:val="00682480"/>
    <w:rsid w:val="0068294D"/>
    <w:rsid w:val="00683E77"/>
    <w:rsid w:val="006863A6"/>
    <w:rsid w:val="006866E9"/>
    <w:rsid w:val="00686ED5"/>
    <w:rsid w:val="00687FB4"/>
    <w:rsid w:val="006901D3"/>
    <w:rsid w:val="00690433"/>
    <w:rsid w:val="00690DF5"/>
    <w:rsid w:val="006911AD"/>
    <w:rsid w:val="006911EC"/>
    <w:rsid w:val="00693C14"/>
    <w:rsid w:val="00695404"/>
    <w:rsid w:val="00696412"/>
    <w:rsid w:val="006965F7"/>
    <w:rsid w:val="00696BBE"/>
    <w:rsid w:val="006977EC"/>
    <w:rsid w:val="00697F8E"/>
    <w:rsid w:val="00697FE8"/>
    <w:rsid w:val="006A0CF9"/>
    <w:rsid w:val="006A0E03"/>
    <w:rsid w:val="006A0EF8"/>
    <w:rsid w:val="006A1645"/>
    <w:rsid w:val="006A1A89"/>
    <w:rsid w:val="006A2269"/>
    <w:rsid w:val="006A3338"/>
    <w:rsid w:val="006A3932"/>
    <w:rsid w:val="006A3A5D"/>
    <w:rsid w:val="006A412D"/>
    <w:rsid w:val="006A4590"/>
    <w:rsid w:val="006A4854"/>
    <w:rsid w:val="006A49A3"/>
    <w:rsid w:val="006A5872"/>
    <w:rsid w:val="006A5CE3"/>
    <w:rsid w:val="006A66A6"/>
    <w:rsid w:val="006A71E9"/>
    <w:rsid w:val="006A762E"/>
    <w:rsid w:val="006A7833"/>
    <w:rsid w:val="006B1B3F"/>
    <w:rsid w:val="006B2680"/>
    <w:rsid w:val="006B27F4"/>
    <w:rsid w:val="006B5CB2"/>
    <w:rsid w:val="006B62EF"/>
    <w:rsid w:val="006B6C18"/>
    <w:rsid w:val="006B6C93"/>
    <w:rsid w:val="006B6D4C"/>
    <w:rsid w:val="006B7A01"/>
    <w:rsid w:val="006B7CF5"/>
    <w:rsid w:val="006C0B4D"/>
    <w:rsid w:val="006C1094"/>
    <w:rsid w:val="006C13D4"/>
    <w:rsid w:val="006C1C39"/>
    <w:rsid w:val="006C1F93"/>
    <w:rsid w:val="006C303E"/>
    <w:rsid w:val="006C3390"/>
    <w:rsid w:val="006C3F44"/>
    <w:rsid w:val="006C4183"/>
    <w:rsid w:val="006C4537"/>
    <w:rsid w:val="006C4B7E"/>
    <w:rsid w:val="006C5150"/>
    <w:rsid w:val="006C5737"/>
    <w:rsid w:val="006C6570"/>
    <w:rsid w:val="006C6733"/>
    <w:rsid w:val="006C750C"/>
    <w:rsid w:val="006C75E3"/>
    <w:rsid w:val="006D06CF"/>
    <w:rsid w:val="006D078B"/>
    <w:rsid w:val="006D0857"/>
    <w:rsid w:val="006D08FE"/>
    <w:rsid w:val="006D0BCF"/>
    <w:rsid w:val="006D22B8"/>
    <w:rsid w:val="006D2B66"/>
    <w:rsid w:val="006D2B67"/>
    <w:rsid w:val="006D2B6E"/>
    <w:rsid w:val="006D348A"/>
    <w:rsid w:val="006D4CB2"/>
    <w:rsid w:val="006D5A30"/>
    <w:rsid w:val="006D5B3B"/>
    <w:rsid w:val="006D5D9F"/>
    <w:rsid w:val="006D6BA1"/>
    <w:rsid w:val="006D7AB4"/>
    <w:rsid w:val="006E070F"/>
    <w:rsid w:val="006E12D7"/>
    <w:rsid w:val="006E1E5B"/>
    <w:rsid w:val="006E21B5"/>
    <w:rsid w:val="006E470A"/>
    <w:rsid w:val="006E5515"/>
    <w:rsid w:val="006E5A70"/>
    <w:rsid w:val="006E7633"/>
    <w:rsid w:val="006E7FB5"/>
    <w:rsid w:val="006F03F3"/>
    <w:rsid w:val="006F1606"/>
    <w:rsid w:val="006F42F4"/>
    <w:rsid w:val="006F57AD"/>
    <w:rsid w:val="006F62F7"/>
    <w:rsid w:val="006F6BA7"/>
    <w:rsid w:val="007004F1"/>
    <w:rsid w:val="007009BE"/>
    <w:rsid w:val="007018F1"/>
    <w:rsid w:val="00701A86"/>
    <w:rsid w:val="00702708"/>
    <w:rsid w:val="007032F3"/>
    <w:rsid w:val="00703871"/>
    <w:rsid w:val="0070415D"/>
    <w:rsid w:val="00705F35"/>
    <w:rsid w:val="00706BD0"/>
    <w:rsid w:val="00706E73"/>
    <w:rsid w:val="007070EB"/>
    <w:rsid w:val="007100E3"/>
    <w:rsid w:val="00711002"/>
    <w:rsid w:val="007118FF"/>
    <w:rsid w:val="00711E16"/>
    <w:rsid w:val="00711F7F"/>
    <w:rsid w:val="00712223"/>
    <w:rsid w:val="00713562"/>
    <w:rsid w:val="00713D0A"/>
    <w:rsid w:val="00714B0D"/>
    <w:rsid w:val="007150B7"/>
    <w:rsid w:val="00715BB0"/>
    <w:rsid w:val="00716926"/>
    <w:rsid w:val="00717DED"/>
    <w:rsid w:val="0072043E"/>
    <w:rsid w:val="007204E8"/>
    <w:rsid w:val="00720A5F"/>
    <w:rsid w:val="00720CB1"/>
    <w:rsid w:val="007212FB"/>
    <w:rsid w:val="00721A76"/>
    <w:rsid w:val="00722E5C"/>
    <w:rsid w:val="007230E1"/>
    <w:rsid w:val="00723BF4"/>
    <w:rsid w:val="007240F2"/>
    <w:rsid w:val="0072448C"/>
    <w:rsid w:val="00724E80"/>
    <w:rsid w:val="00724F2B"/>
    <w:rsid w:val="00725229"/>
    <w:rsid w:val="0072538C"/>
    <w:rsid w:val="007255A8"/>
    <w:rsid w:val="007256C5"/>
    <w:rsid w:val="00725A9B"/>
    <w:rsid w:val="00726717"/>
    <w:rsid w:val="00726C34"/>
    <w:rsid w:val="00727AAD"/>
    <w:rsid w:val="00727C31"/>
    <w:rsid w:val="00727CD4"/>
    <w:rsid w:val="00727FE7"/>
    <w:rsid w:val="007306DE"/>
    <w:rsid w:val="00731C42"/>
    <w:rsid w:val="00731DD6"/>
    <w:rsid w:val="0073208D"/>
    <w:rsid w:val="00732F8B"/>
    <w:rsid w:val="007355E6"/>
    <w:rsid w:val="00735BCD"/>
    <w:rsid w:val="00735E83"/>
    <w:rsid w:val="00737138"/>
    <w:rsid w:val="00737E3F"/>
    <w:rsid w:val="00741006"/>
    <w:rsid w:val="00741D32"/>
    <w:rsid w:val="00741ED0"/>
    <w:rsid w:val="00742EA0"/>
    <w:rsid w:val="007438EE"/>
    <w:rsid w:val="00743FD0"/>
    <w:rsid w:val="00744721"/>
    <w:rsid w:val="007450B5"/>
    <w:rsid w:val="0074593C"/>
    <w:rsid w:val="00745A9F"/>
    <w:rsid w:val="0074638A"/>
    <w:rsid w:val="0074641D"/>
    <w:rsid w:val="00746B17"/>
    <w:rsid w:val="00746C08"/>
    <w:rsid w:val="00747A19"/>
    <w:rsid w:val="00750C47"/>
    <w:rsid w:val="00750CDB"/>
    <w:rsid w:val="00751132"/>
    <w:rsid w:val="00751CB0"/>
    <w:rsid w:val="007522E8"/>
    <w:rsid w:val="007527A3"/>
    <w:rsid w:val="007527E4"/>
    <w:rsid w:val="0075302A"/>
    <w:rsid w:val="007534B9"/>
    <w:rsid w:val="007537C9"/>
    <w:rsid w:val="00753D16"/>
    <w:rsid w:val="00754D99"/>
    <w:rsid w:val="00755F87"/>
    <w:rsid w:val="00757580"/>
    <w:rsid w:val="00760002"/>
    <w:rsid w:val="00760305"/>
    <w:rsid w:val="007606C0"/>
    <w:rsid w:val="00760FAB"/>
    <w:rsid w:val="00761884"/>
    <w:rsid w:val="00762290"/>
    <w:rsid w:val="007649D8"/>
    <w:rsid w:val="007651BA"/>
    <w:rsid w:val="00766559"/>
    <w:rsid w:val="00766D63"/>
    <w:rsid w:val="0076734B"/>
    <w:rsid w:val="00767722"/>
    <w:rsid w:val="0077028B"/>
    <w:rsid w:val="00770772"/>
    <w:rsid w:val="0077091F"/>
    <w:rsid w:val="00770DEF"/>
    <w:rsid w:val="00771EC8"/>
    <w:rsid w:val="00771FE1"/>
    <w:rsid w:val="00772E69"/>
    <w:rsid w:val="00773105"/>
    <w:rsid w:val="00773DC2"/>
    <w:rsid w:val="00774908"/>
    <w:rsid w:val="00774BCE"/>
    <w:rsid w:val="00775E5F"/>
    <w:rsid w:val="00776635"/>
    <w:rsid w:val="00776AC0"/>
    <w:rsid w:val="0077792F"/>
    <w:rsid w:val="00777A95"/>
    <w:rsid w:val="00777DF5"/>
    <w:rsid w:val="00777EF4"/>
    <w:rsid w:val="00780CB1"/>
    <w:rsid w:val="007811D1"/>
    <w:rsid w:val="00782DE3"/>
    <w:rsid w:val="0078346D"/>
    <w:rsid w:val="00783556"/>
    <w:rsid w:val="00783B41"/>
    <w:rsid w:val="00783F01"/>
    <w:rsid w:val="00784121"/>
    <w:rsid w:val="007845A1"/>
    <w:rsid w:val="00784EBB"/>
    <w:rsid w:val="00785027"/>
    <w:rsid w:val="007853E9"/>
    <w:rsid w:val="007859EB"/>
    <w:rsid w:val="00785B47"/>
    <w:rsid w:val="007862AF"/>
    <w:rsid w:val="00786C67"/>
    <w:rsid w:val="00787408"/>
    <w:rsid w:val="00787C67"/>
    <w:rsid w:val="0079098E"/>
    <w:rsid w:val="00790F15"/>
    <w:rsid w:val="00791163"/>
    <w:rsid w:val="007915DF"/>
    <w:rsid w:val="007934BE"/>
    <w:rsid w:val="00793D4E"/>
    <w:rsid w:val="00793EC0"/>
    <w:rsid w:val="00796A23"/>
    <w:rsid w:val="00797234"/>
    <w:rsid w:val="007977EA"/>
    <w:rsid w:val="00797B06"/>
    <w:rsid w:val="007A0B02"/>
    <w:rsid w:val="007A166F"/>
    <w:rsid w:val="007A18A2"/>
    <w:rsid w:val="007A2C38"/>
    <w:rsid w:val="007A2E3E"/>
    <w:rsid w:val="007A33FC"/>
    <w:rsid w:val="007A3468"/>
    <w:rsid w:val="007A398C"/>
    <w:rsid w:val="007A3A4B"/>
    <w:rsid w:val="007A3D05"/>
    <w:rsid w:val="007A4070"/>
    <w:rsid w:val="007A45EE"/>
    <w:rsid w:val="007A4B5D"/>
    <w:rsid w:val="007A5BC5"/>
    <w:rsid w:val="007A6136"/>
    <w:rsid w:val="007A6F56"/>
    <w:rsid w:val="007A6F6F"/>
    <w:rsid w:val="007B066E"/>
    <w:rsid w:val="007B0D31"/>
    <w:rsid w:val="007B17EA"/>
    <w:rsid w:val="007B1C54"/>
    <w:rsid w:val="007B1C9B"/>
    <w:rsid w:val="007B251F"/>
    <w:rsid w:val="007B2B71"/>
    <w:rsid w:val="007B2EF1"/>
    <w:rsid w:val="007B3737"/>
    <w:rsid w:val="007B3792"/>
    <w:rsid w:val="007B396B"/>
    <w:rsid w:val="007B3B50"/>
    <w:rsid w:val="007B4DC3"/>
    <w:rsid w:val="007B4FF9"/>
    <w:rsid w:val="007B5221"/>
    <w:rsid w:val="007B5A47"/>
    <w:rsid w:val="007B75CD"/>
    <w:rsid w:val="007C0071"/>
    <w:rsid w:val="007C013C"/>
    <w:rsid w:val="007C0977"/>
    <w:rsid w:val="007C188A"/>
    <w:rsid w:val="007C1BE4"/>
    <w:rsid w:val="007C2255"/>
    <w:rsid w:val="007C2616"/>
    <w:rsid w:val="007C2E64"/>
    <w:rsid w:val="007C3A40"/>
    <w:rsid w:val="007C3A5F"/>
    <w:rsid w:val="007C4099"/>
    <w:rsid w:val="007C4A79"/>
    <w:rsid w:val="007C4AFE"/>
    <w:rsid w:val="007C4E47"/>
    <w:rsid w:val="007C5460"/>
    <w:rsid w:val="007C5A22"/>
    <w:rsid w:val="007C64E8"/>
    <w:rsid w:val="007D0446"/>
    <w:rsid w:val="007D1076"/>
    <w:rsid w:val="007D1441"/>
    <w:rsid w:val="007D166E"/>
    <w:rsid w:val="007D1B0B"/>
    <w:rsid w:val="007D1C6D"/>
    <w:rsid w:val="007D1D1A"/>
    <w:rsid w:val="007D20DE"/>
    <w:rsid w:val="007D21BB"/>
    <w:rsid w:val="007D2385"/>
    <w:rsid w:val="007D2934"/>
    <w:rsid w:val="007D29B5"/>
    <w:rsid w:val="007D33FB"/>
    <w:rsid w:val="007D3E0B"/>
    <w:rsid w:val="007D41E8"/>
    <w:rsid w:val="007D4371"/>
    <w:rsid w:val="007D46B8"/>
    <w:rsid w:val="007D4D4D"/>
    <w:rsid w:val="007D5895"/>
    <w:rsid w:val="007D5C88"/>
    <w:rsid w:val="007D5E32"/>
    <w:rsid w:val="007D5F94"/>
    <w:rsid w:val="007D6A46"/>
    <w:rsid w:val="007D6DD0"/>
    <w:rsid w:val="007D700B"/>
    <w:rsid w:val="007D7632"/>
    <w:rsid w:val="007D7812"/>
    <w:rsid w:val="007E029C"/>
    <w:rsid w:val="007E11E0"/>
    <w:rsid w:val="007E14C7"/>
    <w:rsid w:val="007E27D9"/>
    <w:rsid w:val="007E2E8C"/>
    <w:rsid w:val="007E333E"/>
    <w:rsid w:val="007E3492"/>
    <w:rsid w:val="007E3C53"/>
    <w:rsid w:val="007E3E4D"/>
    <w:rsid w:val="007E4084"/>
    <w:rsid w:val="007E4442"/>
    <w:rsid w:val="007E4C1B"/>
    <w:rsid w:val="007E4DA7"/>
    <w:rsid w:val="007E5319"/>
    <w:rsid w:val="007E5C2C"/>
    <w:rsid w:val="007E5CCB"/>
    <w:rsid w:val="007E7112"/>
    <w:rsid w:val="007F0058"/>
    <w:rsid w:val="007F1751"/>
    <w:rsid w:val="007F1C2B"/>
    <w:rsid w:val="007F1D88"/>
    <w:rsid w:val="007F24CE"/>
    <w:rsid w:val="007F2A0C"/>
    <w:rsid w:val="007F2C7F"/>
    <w:rsid w:val="007F2D27"/>
    <w:rsid w:val="007F3599"/>
    <w:rsid w:val="007F3834"/>
    <w:rsid w:val="007F3DED"/>
    <w:rsid w:val="007F409B"/>
    <w:rsid w:val="007F4172"/>
    <w:rsid w:val="007F442A"/>
    <w:rsid w:val="007F45CC"/>
    <w:rsid w:val="007F4793"/>
    <w:rsid w:val="007F58C2"/>
    <w:rsid w:val="007F6040"/>
    <w:rsid w:val="007F65A8"/>
    <w:rsid w:val="007F6871"/>
    <w:rsid w:val="007F69E3"/>
    <w:rsid w:val="007F69F7"/>
    <w:rsid w:val="007F7132"/>
    <w:rsid w:val="007F724B"/>
    <w:rsid w:val="00800CB3"/>
    <w:rsid w:val="00800E50"/>
    <w:rsid w:val="008014B1"/>
    <w:rsid w:val="00801830"/>
    <w:rsid w:val="0080204B"/>
    <w:rsid w:val="0080251E"/>
    <w:rsid w:val="00802BF4"/>
    <w:rsid w:val="00802D3C"/>
    <w:rsid w:val="0080324D"/>
    <w:rsid w:val="008037E9"/>
    <w:rsid w:val="00803C5F"/>
    <w:rsid w:val="00803CFE"/>
    <w:rsid w:val="00804661"/>
    <w:rsid w:val="008051B7"/>
    <w:rsid w:val="0080570D"/>
    <w:rsid w:val="00805C3E"/>
    <w:rsid w:val="00806483"/>
    <w:rsid w:val="00807DE2"/>
    <w:rsid w:val="0081006E"/>
    <w:rsid w:val="00811A5E"/>
    <w:rsid w:val="0081245C"/>
    <w:rsid w:val="00812A14"/>
    <w:rsid w:val="00812ED6"/>
    <w:rsid w:val="00813837"/>
    <w:rsid w:val="0081452D"/>
    <w:rsid w:val="00814A31"/>
    <w:rsid w:val="00815227"/>
    <w:rsid w:val="0081726A"/>
    <w:rsid w:val="00817C8A"/>
    <w:rsid w:val="00820633"/>
    <w:rsid w:val="0082086B"/>
    <w:rsid w:val="00820A5B"/>
    <w:rsid w:val="00820FFD"/>
    <w:rsid w:val="008230EB"/>
    <w:rsid w:val="00823D2D"/>
    <w:rsid w:val="0082455A"/>
    <w:rsid w:val="0082472E"/>
    <w:rsid w:val="00824790"/>
    <w:rsid w:val="00824970"/>
    <w:rsid w:val="00824EC1"/>
    <w:rsid w:val="00825941"/>
    <w:rsid w:val="00825E50"/>
    <w:rsid w:val="00826E62"/>
    <w:rsid w:val="00827303"/>
    <w:rsid w:val="0082772F"/>
    <w:rsid w:val="00827F09"/>
    <w:rsid w:val="00830A85"/>
    <w:rsid w:val="00830FFB"/>
    <w:rsid w:val="00831E17"/>
    <w:rsid w:val="00832062"/>
    <w:rsid w:val="008321DE"/>
    <w:rsid w:val="00832A5E"/>
    <w:rsid w:val="00833377"/>
    <w:rsid w:val="008339B3"/>
    <w:rsid w:val="00833CC3"/>
    <w:rsid w:val="008356FB"/>
    <w:rsid w:val="0083580A"/>
    <w:rsid w:val="00835C46"/>
    <w:rsid w:val="008363F8"/>
    <w:rsid w:val="00837244"/>
    <w:rsid w:val="00837289"/>
    <w:rsid w:val="0083742F"/>
    <w:rsid w:val="008374BA"/>
    <w:rsid w:val="00837610"/>
    <w:rsid w:val="00837DE9"/>
    <w:rsid w:val="00841CD5"/>
    <w:rsid w:val="0084248F"/>
    <w:rsid w:val="00843110"/>
    <w:rsid w:val="00843981"/>
    <w:rsid w:val="00844709"/>
    <w:rsid w:val="008448B5"/>
    <w:rsid w:val="00844C99"/>
    <w:rsid w:val="0084521A"/>
    <w:rsid w:val="0084544D"/>
    <w:rsid w:val="00845A57"/>
    <w:rsid w:val="00846E2F"/>
    <w:rsid w:val="00847F57"/>
    <w:rsid w:val="00850E1E"/>
    <w:rsid w:val="0085140F"/>
    <w:rsid w:val="008516C1"/>
    <w:rsid w:val="00851DD3"/>
    <w:rsid w:val="00851ED4"/>
    <w:rsid w:val="00852060"/>
    <w:rsid w:val="00852337"/>
    <w:rsid w:val="008525CC"/>
    <w:rsid w:val="00852AF6"/>
    <w:rsid w:val="0085321A"/>
    <w:rsid w:val="0085323A"/>
    <w:rsid w:val="00853DDA"/>
    <w:rsid w:val="00855100"/>
    <w:rsid w:val="0085537D"/>
    <w:rsid w:val="008555A4"/>
    <w:rsid w:val="008565B6"/>
    <w:rsid w:val="00857A03"/>
    <w:rsid w:val="00857C96"/>
    <w:rsid w:val="0086087C"/>
    <w:rsid w:val="00860DAE"/>
    <w:rsid w:val="00860EED"/>
    <w:rsid w:val="00861121"/>
    <w:rsid w:val="00861A2B"/>
    <w:rsid w:val="00861CC1"/>
    <w:rsid w:val="00861D2E"/>
    <w:rsid w:val="00862B59"/>
    <w:rsid w:val="00864BA3"/>
    <w:rsid w:val="0086560D"/>
    <w:rsid w:val="00866369"/>
    <w:rsid w:val="00866C1E"/>
    <w:rsid w:val="00866E87"/>
    <w:rsid w:val="0086749A"/>
    <w:rsid w:val="008702B8"/>
    <w:rsid w:val="008709FE"/>
    <w:rsid w:val="0087121E"/>
    <w:rsid w:val="008715B7"/>
    <w:rsid w:val="00871D41"/>
    <w:rsid w:val="00872F8C"/>
    <w:rsid w:val="00873D52"/>
    <w:rsid w:val="00874313"/>
    <w:rsid w:val="00874577"/>
    <w:rsid w:val="008745E4"/>
    <w:rsid w:val="00874970"/>
    <w:rsid w:val="00874A22"/>
    <w:rsid w:val="008750BB"/>
    <w:rsid w:val="00875749"/>
    <w:rsid w:val="00876424"/>
    <w:rsid w:val="008777E0"/>
    <w:rsid w:val="00880B91"/>
    <w:rsid w:val="00880F2D"/>
    <w:rsid w:val="008815AF"/>
    <w:rsid w:val="00881D25"/>
    <w:rsid w:val="00882D2E"/>
    <w:rsid w:val="00882E27"/>
    <w:rsid w:val="00882EFC"/>
    <w:rsid w:val="008830B3"/>
    <w:rsid w:val="00883252"/>
    <w:rsid w:val="00883483"/>
    <w:rsid w:val="008840FE"/>
    <w:rsid w:val="00884497"/>
    <w:rsid w:val="00884523"/>
    <w:rsid w:val="00884DA3"/>
    <w:rsid w:val="008873A4"/>
    <w:rsid w:val="008876D0"/>
    <w:rsid w:val="008876F8"/>
    <w:rsid w:val="00887EC5"/>
    <w:rsid w:val="00887F72"/>
    <w:rsid w:val="008909DC"/>
    <w:rsid w:val="00892099"/>
    <w:rsid w:val="00892789"/>
    <w:rsid w:val="00892B74"/>
    <w:rsid w:val="00894354"/>
    <w:rsid w:val="00895792"/>
    <w:rsid w:val="0089655E"/>
    <w:rsid w:val="008977D1"/>
    <w:rsid w:val="008A056C"/>
    <w:rsid w:val="008A0E07"/>
    <w:rsid w:val="008A201E"/>
    <w:rsid w:val="008A2A4D"/>
    <w:rsid w:val="008A2ABD"/>
    <w:rsid w:val="008A3E0E"/>
    <w:rsid w:val="008A4A2B"/>
    <w:rsid w:val="008A506F"/>
    <w:rsid w:val="008A5132"/>
    <w:rsid w:val="008A520A"/>
    <w:rsid w:val="008A5D0B"/>
    <w:rsid w:val="008A7511"/>
    <w:rsid w:val="008A7D1F"/>
    <w:rsid w:val="008A7D38"/>
    <w:rsid w:val="008A7DBA"/>
    <w:rsid w:val="008B043D"/>
    <w:rsid w:val="008B2123"/>
    <w:rsid w:val="008B24C2"/>
    <w:rsid w:val="008B2B59"/>
    <w:rsid w:val="008B2E65"/>
    <w:rsid w:val="008B312D"/>
    <w:rsid w:val="008B3F24"/>
    <w:rsid w:val="008B4EEE"/>
    <w:rsid w:val="008B5960"/>
    <w:rsid w:val="008B5B84"/>
    <w:rsid w:val="008B5CF5"/>
    <w:rsid w:val="008B7B8A"/>
    <w:rsid w:val="008C0489"/>
    <w:rsid w:val="008C0F96"/>
    <w:rsid w:val="008C155D"/>
    <w:rsid w:val="008C25B3"/>
    <w:rsid w:val="008C25D1"/>
    <w:rsid w:val="008C2617"/>
    <w:rsid w:val="008C2D3C"/>
    <w:rsid w:val="008C3185"/>
    <w:rsid w:val="008C42BD"/>
    <w:rsid w:val="008C4DF8"/>
    <w:rsid w:val="008C4E18"/>
    <w:rsid w:val="008C543B"/>
    <w:rsid w:val="008C568D"/>
    <w:rsid w:val="008C5E8D"/>
    <w:rsid w:val="008C695E"/>
    <w:rsid w:val="008C6B8D"/>
    <w:rsid w:val="008C7CCE"/>
    <w:rsid w:val="008C7DF6"/>
    <w:rsid w:val="008C7F7D"/>
    <w:rsid w:val="008D0B3B"/>
    <w:rsid w:val="008D1550"/>
    <w:rsid w:val="008D22BD"/>
    <w:rsid w:val="008D28FD"/>
    <w:rsid w:val="008D4079"/>
    <w:rsid w:val="008D4ADF"/>
    <w:rsid w:val="008D4ED5"/>
    <w:rsid w:val="008D4F00"/>
    <w:rsid w:val="008D5164"/>
    <w:rsid w:val="008D533E"/>
    <w:rsid w:val="008D5DB3"/>
    <w:rsid w:val="008D7878"/>
    <w:rsid w:val="008E0E6B"/>
    <w:rsid w:val="008E21B7"/>
    <w:rsid w:val="008E2597"/>
    <w:rsid w:val="008E3157"/>
    <w:rsid w:val="008E33B4"/>
    <w:rsid w:val="008E45F1"/>
    <w:rsid w:val="008E483D"/>
    <w:rsid w:val="008E4C45"/>
    <w:rsid w:val="008E4DBC"/>
    <w:rsid w:val="008E54BF"/>
    <w:rsid w:val="008E5790"/>
    <w:rsid w:val="008E57B3"/>
    <w:rsid w:val="008E58B9"/>
    <w:rsid w:val="008E5C5E"/>
    <w:rsid w:val="008E5E45"/>
    <w:rsid w:val="008E5F79"/>
    <w:rsid w:val="008E6D35"/>
    <w:rsid w:val="008E6E67"/>
    <w:rsid w:val="008E76D3"/>
    <w:rsid w:val="008E7C7E"/>
    <w:rsid w:val="008F09E0"/>
    <w:rsid w:val="008F0D5C"/>
    <w:rsid w:val="008F17D0"/>
    <w:rsid w:val="008F23AC"/>
    <w:rsid w:val="008F33BC"/>
    <w:rsid w:val="008F3600"/>
    <w:rsid w:val="008F4143"/>
    <w:rsid w:val="008F477B"/>
    <w:rsid w:val="008F498F"/>
    <w:rsid w:val="008F49FC"/>
    <w:rsid w:val="008F4DDB"/>
    <w:rsid w:val="008F54E8"/>
    <w:rsid w:val="008F55BF"/>
    <w:rsid w:val="008F587F"/>
    <w:rsid w:val="008F5A80"/>
    <w:rsid w:val="008F6AF3"/>
    <w:rsid w:val="008F6BF4"/>
    <w:rsid w:val="008F6CDF"/>
    <w:rsid w:val="009002ED"/>
    <w:rsid w:val="009004C7"/>
    <w:rsid w:val="00900DC5"/>
    <w:rsid w:val="00901588"/>
    <w:rsid w:val="009020CC"/>
    <w:rsid w:val="009024BA"/>
    <w:rsid w:val="0090265F"/>
    <w:rsid w:val="00904CAA"/>
    <w:rsid w:val="00905392"/>
    <w:rsid w:val="009060F9"/>
    <w:rsid w:val="00906B39"/>
    <w:rsid w:val="00906DA3"/>
    <w:rsid w:val="00906F85"/>
    <w:rsid w:val="009072D3"/>
    <w:rsid w:val="00907AA9"/>
    <w:rsid w:val="00910547"/>
    <w:rsid w:val="00910612"/>
    <w:rsid w:val="0091253E"/>
    <w:rsid w:val="00912C67"/>
    <w:rsid w:val="00913B05"/>
    <w:rsid w:val="00914260"/>
    <w:rsid w:val="00914805"/>
    <w:rsid w:val="00915464"/>
    <w:rsid w:val="00915795"/>
    <w:rsid w:val="0091637C"/>
    <w:rsid w:val="0091698A"/>
    <w:rsid w:val="00917548"/>
    <w:rsid w:val="00917645"/>
    <w:rsid w:val="009177C8"/>
    <w:rsid w:val="00917F15"/>
    <w:rsid w:val="0092020A"/>
    <w:rsid w:val="009203A9"/>
    <w:rsid w:val="00921196"/>
    <w:rsid w:val="0092182B"/>
    <w:rsid w:val="009220D4"/>
    <w:rsid w:val="00922794"/>
    <w:rsid w:val="00922B56"/>
    <w:rsid w:val="009231FD"/>
    <w:rsid w:val="009234D1"/>
    <w:rsid w:val="0092355C"/>
    <w:rsid w:val="00923673"/>
    <w:rsid w:val="00923DDD"/>
    <w:rsid w:val="00923F2D"/>
    <w:rsid w:val="00924F8D"/>
    <w:rsid w:val="00925164"/>
    <w:rsid w:val="0092524D"/>
    <w:rsid w:val="0092535A"/>
    <w:rsid w:val="00925622"/>
    <w:rsid w:val="00926777"/>
    <w:rsid w:val="00926DE5"/>
    <w:rsid w:val="00930850"/>
    <w:rsid w:val="0093092E"/>
    <w:rsid w:val="00930E53"/>
    <w:rsid w:val="009314B3"/>
    <w:rsid w:val="00932455"/>
    <w:rsid w:val="009328A7"/>
    <w:rsid w:val="00932A81"/>
    <w:rsid w:val="00932AC5"/>
    <w:rsid w:val="00933BB9"/>
    <w:rsid w:val="009341E6"/>
    <w:rsid w:val="00934A48"/>
    <w:rsid w:val="0093534F"/>
    <w:rsid w:val="009360F3"/>
    <w:rsid w:val="009361AD"/>
    <w:rsid w:val="00936E4D"/>
    <w:rsid w:val="00937B1D"/>
    <w:rsid w:val="00940C2A"/>
    <w:rsid w:val="009420DF"/>
    <w:rsid w:val="009421D4"/>
    <w:rsid w:val="0094270E"/>
    <w:rsid w:val="0094278C"/>
    <w:rsid w:val="00942C5E"/>
    <w:rsid w:val="00942E89"/>
    <w:rsid w:val="00946651"/>
    <w:rsid w:val="00947825"/>
    <w:rsid w:val="00947CD1"/>
    <w:rsid w:val="00950691"/>
    <w:rsid w:val="00950DC1"/>
    <w:rsid w:val="009510D1"/>
    <w:rsid w:val="0095111C"/>
    <w:rsid w:val="00951A74"/>
    <w:rsid w:val="00951DDB"/>
    <w:rsid w:val="0095213F"/>
    <w:rsid w:val="009529A8"/>
    <w:rsid w:val="00952ABF"/>
    <w:rsid w:val="00952EA9"/>
    <w:rsid w:val="0095323B"/>
    <w:rsid w:val="00953427"/>
    <w:rsid w:val="009551A7"/>
    <w:rsid w:val="00955A30"/>
    <w:rsid w:val="00955D69"/>
    <w:rsid w:val="0095669D"/>
    <w:rsid w:val="00956D64"/>
    <w:rsid w:val="0095748F"/>
    <w:rsid w:val="00957BD7"/>
    <w:rsid w:val="00960AA0"/>
    <w:rsid w:val="00960BA8"/>
    <w:rsid w:val="00961AC9"/>
    <w:rsid w:val="00961C33"/>
    <w:rsid w:val="00961D71"/>
    <w:rsid w:val="00962070"/>
    <w:rsid w:val="009622F8"/>
    <w:rsid w:val="0096236B"/>
    <w:rsid w:val="00962EF7"/>
    <w:rsid w:val="00963035"/>
    <w:rsid w:val="00963067"/>
    <w:rsid w:val="0096324C"/>
    <w:rsid w:val="009632B2"/>
    <w:rsid w:val="0096349B"/>
    <w:rsid w:val="00964157"/>
    <w:rsid w:val="009644A2"/>
    <w:rsid w:val="00965667"/>
    <w:rsid w:val="00965D42"/>
    <w:rsid w:val="009670DC"/>
    <w:rsid w:val="00967226"/>
    <w:rsid w:val="0096777F"/>
    <w:rsid w:val="0096797E"/>
    <w:rsid w:val="00967A8C"/>
    <w:rsid w:val="00970ABE"/>
    <w:rsid w:val="00970B33"/>
    <w:rsid w:val="00972EEA"/>
    <w:rsid w:val="00973F85"/>
    <w:rsid w:val="009748BC"/>
    <w:rsid w:val="00974CCA"/>
    <w:rsid w:val="00974D7D"/>
    <w:rsid w:val="00974E8B"/>
    <w:rsid w:val="00975108"/>
    <w:rsid w:val="009761A0"/>
    <w:rsid w:val="009761CB"/>
    <w:rsid w:val="00976257"/>
    <w:rsid w:val="0097675A"/>
    <w:rsid w:val="00976B56"/>
    <w:rsid w:val="00977970"/>
    <w:rsid w:val="00977CBA"/>
    <w:rsid w:val="00977DF5"/>
    <w:rsid w:val="00977FF2"/>
    <w:rsid w:val="00980540"/>
    <w:rsid w:val="00980C06"/>
    <w:rsid w:val="009827A9"/>
    <w:rsid w:val="009839D2"/>
    <w:rsid w:val="00983EE1"/>
    <w:rsid w:val="009847E1"/>
    <w:rsid w:val="009849AC"/>
    <w:rsid w:val="00984FF9"/>
    <w:rsid w:val="00985184"/>
    <w:rsid w:val="009853B3"/>
    <w:rsid w:val="00985438"/>
    <w:rsid w:val="009854E3"/>
    <w:rsid w:val="00986EC3"/>
    <w:rsid w:val="009871E3"/>
    <w:rsid w:val="00990332"/>
    <w:rsid w:val="0099035E"/>
    <w:rsid w:val="00990524"/>
    <w:rsid w:val="009908D0"/>
    <w:rsid w:val="00990F56"/>
    <w:rsid w:val="009928F6"/>
    <w:rsid w:val="009935FE"/>
    <w:rsid w:val="0099360C"/>
    <w:rsid w:val="0099363F"/>
    <w:rsid w:val="00993E82"/>
    <w:rsid w:val="00994195"/>
    <w:rsid w:val="0099488D"/>
    <w:rsid w:val="00994987"/>
    <w:rsid w:val="00994F51"/>
    <w:rsid w:val="009970A0"/>
    <w:rsid w:val="00997F87"/>
    <w:rsid w:val="009A004E"/>
    <w:rsid w:val="009A0386"/>
    <w:rsid w:val="009A30D2"/>
    <w:rsid w:val="009A344C"/>
    <w:rsid w:val="009A34F3"/>
    <w:rsid w:val="009A3A9B"/>
    <w:rsid w:val="009A4A85"/>
    <w:rsid w:val="009A548D"/>
    <w:rsid w:val="009A5C34"/>
    <w:rsid w:val="009A6840"/>
    <w:rsid w:val="009A68F7"/>
    <w:rsid w:val="009A7323"/>
    <w:rsid w:val="009A7C47"/>
    <w:rsid w:val="009B02E5"/>
    <w:rsid w:val="009B0927"/>
    <w:rsid w:val="009B1C7A"/>
    <w:rsid w:val="009B2125"/>
    <w:rsid w:val="009B4058"/>
    <w:rsid w:val="009B4EB3"/>
    <w:rsid w:val="009B58B2"/>
    <w:rsid w:val="009B596B"/>
    <w:rsid w:val="009B66E3"/>
    <w:rsid w:val="009B75E5"/>
    <w:rsid w:val="009B7960"/>
    <w:rsid w:val="009C0E05"/>
    <w:rsid w:val="009C24D7"/>
    <w:rsid w:val="009C28D0"/>
    <w:rsid w:val="009C51B7"/>
    <w:rsid w:val="009C51C3"/>
    <w:rsid w:val="009C5243"/>
    <w:rsid w:val="009C5749"/>
    <w:rsid w:val="009C59B8"/>
    <w:rsid w:val="009C6395"/>
    <w:rsid w:val="009C71B4"/>
    <w:rsid w:val="009C7485"/>
    <w:rsid w:val="009C78FD"/>
    <w:rsid w:val="009D07D8"/>
    <w:rsid w:val="009D0E2C"/>
    <w:rsid w:val="009D1898"/>
    <w:rsid w:val="009D1CE5"/>
    <w:rsid w:val="009D2118"/>
    <w:rsid w:val="009D21AF"/>
    <w:rsid w:val="009D2A07"/>
    <w:rsid w:val="009D2B56"/>
    <w:rsid w:val="009D35EF"/>
    <w:rsid w:val="009D5235"/>
    <w:rsid w:val="009D5656"/>
    <w:rsid w:val="009D5861"/>
    <w:rsid w:val="009D5B51"/>
    <w:rsid w:val="009D5EAD"/>
    <w:rsid w:val="009D63DB"/>
    <w:rsid w:val="009D68D2"/>
    <w:rsid w:val="009D7DEE"/>
    <w:rsid w:val="009E1125"/>
    <w:rsid w:val="009E142A"/>
    <w:rsid w:val="009E14AE"/>
    <w:rsid w:val="009E164A"/>
    <w:rsid w:val="009E1921"/>
    <w:rsid w:val="009E1C56"/>
    <w:rsid w:val="009E2369"/>
    <w:rsid w:val="009E49E6"/>
    <w:rsid w:val="009E5763"/>
    <w:rsid w:val="009E7270"/>
    <w:rsid w:val="009E76AF"/>
    <w:rsid w:val="009F0034"/>
    <w:rsid w:val="009F0852"/>
    <w:rsid w:val="009F0FEB"/>
    <w:rsid w:val="009F25F0"/>
    <w:rsid w:val="009F3485"/>
    <w:rsid w:val="009F38E7"/>
    <w:rsid w:val="009F400C"/>
    <w:rsid w:val="009F4A14"/>
    <w:rsid w:val="009F503D"/>
    <w:rsid w:val="00A01F7C"/>
    <w:rsid w:val="00A01FDE"/>
    <w:rsid w:val="00A02A28"/>
    <w:rsid w:val="00A03369"/>
    <w:rsid w:val="00A04457"/>
    <w:rsid w:val="00A044B3"/>
    <w:rsid w:val="00A046CB"/>
    <w:rsid w:val="00A05128"/>
    <w:rsid w:val="00A05809"/>
    <w:rsid w:val="00A05AF6"/>
    <w:rsid w:val="00A06057"/>
    <w:rsid w:val="00A063C3"/>
    <w:rsid w:val="00A06AF8"/>
    <w:rsid w:val="00A06FDC"/>
    <w:rsid w:val="00A10A6E"/>
    <w:rsid w:val="00A12F69"/>
    <w:rsid w:val="00A1361B"/>
    <w:rsid w:val="00A13814"/>
    <w:rsid w:val="00A13D27"/>
    <w:rsid w:val="00A145F5"/>
    <w:rsid w:val="00A1468F"/>
    <w:rsid w:val="00A15626"/>
    <w:rsid w:val="00A1656B"/>
    <w:rsid w:val="00A167CD"/>
    <w:rsid w:val="00A173A6"/>
    <w:rsid w:val="00A17413"/>
    <w:rsid w:val="00A20223"/>
    <w:rsid w:val="00A20AF8"/>
    <w:rsid w:val="00A21377"/>
    <w:rsid w:val="00A227EA"/>
    <w:rsid w:val="00A23495"/>
    <w:rsid w:val="00A23BFF"/>
    <w:rsid w:val="00A250AB"/>
    <w:rsid w:val="00A25E0B"/>
    <w:rsid w:val="00A26053"/>
    <w:rsid w:val="00A2610F"/>
    <w:rsid w:val="00A26211"/>
    <w:rsid w:val="00A26A0B"/>
    <w:rsid w:val="00A26AC5"/>
    <w:rsid w:val="00A26EEF"/>
    <w:rsid w:val="00A271CC"/>
    <w:rsid w:val="00A278C0"/>
    <w:rsid w:val="00A27FA0"/>
    <w:rsid w:val="00A3092B"/>
    <w:rsid w:val="00A31B4E"/>
    <w:rsid w:val="00A31DE5"/>
    <w:rsid w:val="00A31EB8"/>
    <w:rsid w:val="00A32768"/>
    <w:rsid w:val="00A332E7"/>
    <w:rsid w:val="00A342C8"/>
    <w:rsid w:val="00A35565"/>
    <w:rsid w:val="00A355B6"/>
    <w:rsid w:val="00A358FD"/>
    <w:rsid w:val="00A3648C"/>
    <w:rsid w:val="00A4077D"/>
    <w:rsid w:val="00A40C50"/>
    <w:rsid w:val="00A40E01"/>
    <w:rsid w:val="00A4159D"/>
    <w:rsid w:val="00A41B1C"/>
    <w:rsid w:val="00A41F8D"/>
    <w:rsid w:val="00A41FCC"/>
    <w:rsid w:val="00A4272C"/>
    <w:rsid w:val="00A42AF2"/>
    <w:rsid w:val="00A42F05"/>
    <w:rsid w:val="00A43158"/>
    <w:rsid w:val="00A433BA"/>
    <w:rsid w:val="00A43422"/>
    <w:rsid w:val="00A43AE7"/>
    <w:rsid w:val="00A43B1A"/>
    <w:rsid w:val="00A44905"/>
    <w:rsid w:val="00A44CB9"/>
    <w:rsid w:val="00A458CD"/>
    <w:rsid w:val="00A46E9D"/>
    <w:rsid w:val="00A47519"/>
    <w:rsid w:val="00A47BB4"/>
    <w:rsid w:val="00A50627"/>
    <w:rsid w:val="00A50B01"/>
    <w:rsid w:val="00A51E2A"/>
    <w:rsid w:val="00A5590D"/>
    <w:rsid w:val="00A56656"/>
    <w:rsid w:val="00A5680B"/>
    <w:rsid w:val="00A571D1"/>
    <w:rsid w:val="00A57BA9"/>
    <w:rsid w:val="00A57E98"/>
    <w:rsid w:val="00A60522"/>
    <w:rsid w:val="00A60A9B"/>
    <w:rsid w:val="00A612AF"/>
    <w:rsid w:val="00A617B6"/>
    <w:rsid w:val="00A623BF"/>
    <w:rsid w:val="00A630F5"/>
    <w:rsid w:val="00A6327F"/>
    <w:rsid w:val="00A63D08"/>
    <w:rsid w:val="00A65507"/>
    <w:rsid w:val="00A65CAB"/>
    <w:rsid w:val="00A65EDB"/>
    <w:rsid w:val="00A66322"/>
    <w:rsid w:val="00A70E76"/>
    <w:rsid w:val="00A71E3D"/>
    <w:rsid w:val="00A72089"/>
    <w:rsid w:val="00A72512"/>
    <w:rsid w:val="00A72B50"/>
    <w:rsid w:val="00A73762"/>
    <w:rsid w:val="00A73B67"/>
    <w:rsid w:val="00A740D3"/>
    <w:rsid w:val="00A745CD"/>
    <w:rsid w:val="00A748DC"/>
    <w:rsid w:val="00A74996"/>
    <w:rsid w:val="00A74BE5"/>
    <w:rsid w:val="00A74C8E"/>
    <w:rsid w:val="00A7559E"/>
    <w:rsid w:val="00A7592A"/>
    <w:rsid w:val="00A75AB9"/>
    <w:rsid w:val="00A76BA6"/>
    <w:rsid w:val="00A77095"/>
    <w:rsid w:val="00A7784A"/>
    <w:rsid w:val="00A77ECA"/>
    <w:rsid w:val="00A80683"/>
    <w:rsid w:val="00A80705"/>
    <w:rsid w:val="00A80AB9"/>
    <w:rsid w:val="00A80AC9"/>
    <w:rsid w:val="00A81479"/>
    <w:rsid w:val="00A82911"/>
    <w:rsid w:val="00A82AA6"/>
    <w:rsid w:val="00A832B0"/>
    <w:rsid w:val="00A8375F"/>
    <w:rsid w:val="00A838DC"/>
    <w:rsid w:val="00A8392C"/>
    <w:rsid w:val="00A8402F"/>
    <w:rsid w:val="00A85133"/>
    <w:rsid w:val="00A85632"/>
    <w:rsid w:val="00A9019E"/>
    <w:rsid w:val="00A90E54"/>
    <w:rsid w:val="00A91218"/>
    <w:rsid w:val="00A912FD"/>
    <w:rsid w:val="00A92F0F"/>
    <w:rsid w:val="00A94A33"/>
    <w:rsid w:val="00A95692"/>
    <w:rsid w:val="00A95A55"/>
    <w:rsid w:val="00A96043"/>
    <w:rsid w:val="00A96438"/>
    <w:rsid w:val="00A96642"/>
    <w:rsid w:val="00AA05B7"/>
    <w:rsid w:val="00AA0985"/>
    <w:rsid w:val="00AA09E2"/>
    <w:rsid w:val="00AA10ED"/>
    <w:rsid w:val="00AA1309"/>
    <w:rsid w:val="00AA31CC"/>
    <w:rsid w:val="00AA35CB"/>
    <w:rsid w:val="00AA478D"/>
    <w:rsid w:val="00AA4BAC"/>
    <w:rsid w:val="00AA5699"/>
    <w:rsid w:val="00AA5944"/>
    <w:rsid w:val="00AA63FF"/>
    <w:rsid w:val="00AA673F"/>
    <w:rsid w:val="00AA6EDD"/>
    <w:rsid w:val="00AA77F1"/>
    <w:rsid w:val="00AA79CD"/>
    <w:rsid w:val="00AA7C17"/>
    <w:rsid w:val="00AB0479"/>
    <w:rsid w:val="00AB05D3"/>
    <w:rsid w:val="00AB06F6"/>
    <w:rsid w:val="00AB0FF7"/>
    <w:rsid w:val="00AB10DD"/>
    <w:rsid w:val="00AB1AB6"/>
    <w:rsid w:val="00AB1B8F"/>
    <w:rsid w:val="00AB1B96"/>
    <w:rsid w:val="00AB1C13"/>
    <w:rsid w:val="00AB2DC0"/>
    <w:rsid w:val="00AB4D12"/>
    <w:rsid w:val="00AB5533"/>
    <w:rsid w:val="00AB682E"/>
    <w:rsid w:val="00AB7609"/>
    <w:rsid w:val="00AB7AD0"/>
    <w:rsid w:val="00AC0164"/>
    <w:rsid w:val="00AC066B"/>
    <w:rsid w:val="00AC1F92"/>
    <w:rsid w:val="00AC28A8"/>
    <w:rsid w:val="00AC2AB1"/>
    <w:rsid w:val="00AC530A"/>
    <w:rsid w:val="00AC5BF0"/>
    <w:rsid w:val="00AC729B"/>
    <w:rsid w:val="00AC7734"/>
    <w:rsid w:val="00AC7EDA"/>
    <w:rsid w:val="00AD018F"/>
    <w:rsid w:val="00AD09B2"/>
    <w:rsid w:val="00AD309B"/>
    <w:rsid w:val="00AD3343"/>
    <w:rsid w:val="00AD3A39"/>
    <w:rsid w:val="00AD44DA"/>
    <w:rsid w:val="00AD4B9B"/>
    <w:rsid w:val="00AD58D6"/>
    <w:rsid w:val="00AD5C0A"/>
    <w:rsid w:val="00AE0D89"/>
    <w:rsid w:val="00AE23CB"/>
    <w:rsid w:val="00AE37A0"/>
    <w:rsid w:val="00AE37C3"/>
    <w:rsid w:val="00AE4032"/>
    <w:rsid w:val="00AE523C"/>
    <w:rsid w:val="00AE53EB"/>
    <w:rsid w:val="00AE5C63"/>
    <w:rsid w:val="00AE6E07"/>
    <w:rsid w:val="00AE7F9A"/>
    <w:rsid w:val="00AF0321"/>
    <w:rsid w:val="00AF062C"/>
    <w:rsid w:val="00AF0ECA"/>
    <w:rsid w:val="00AF1C37"/>
    <w:rsid w:val="00AF1EA6"/>
    <w:rsid w:val="00AF301D"/>
    <w:rsid w:val="00AF33FE"/>
    <w:rsid w:val="00AF356A"/>
    <w:rsid w:val="00AF3791"/>
    <w:rsid w:val="00AF491E"/>
    <w:rsid w:val="00AF5277"/>
    <w:rsid w:val="00AF57D6"/>
    <w:rsid w:val="00AF64D4"/>
    <w:rsid w:val="00AF796E"/>
    <w:rsid w:val="00AF7CE4"/>
    <w:rsid w:val="00B002AF"/>
    <w:rsid w:val="00B0082C"/>
    <w:rsid w:val="00B00FB9"/>
    <w:rsid w:val="00B017A7"/>
    <w:rsid w:val="00B02927"/>
    <w:rsid w:val="00B034D0"/>
    <w:rsid w:val="00B035A8"/>
    <w:rsid w:val="00B04A8E"/>
    <w:rsid w:val="00B04C71"/>
    <w:rsid w:val="00B04EB7"/>
    <w:rsid w:val="00B04F85"/>
    <w:rsid w:val="00B05119"/>
    <w:rsid w:val="00B0546C"/>
    <w:rsid w:val="00B0651A"/>
    <w:rsid w:val="00B06B40"/>
    <w:rsid w:val="00B0727A"/>
    <w:rsid w:val="00B0754F"/>
    <w:rsid w:val="00B07FD7"/>
    <w:rsid w:val="00B10105"/>
    <w:rsid w:val="00B10823"/>
    <w:rsid w:val="00B12B4E"/>
    <w:rsid w:val="00B1303A"/>
    <w:rsid w:val="00B13207"/>
    <w:rsid w:val="00B132F7"/>
    <w:rsid w:val="00B1371B"/>
    <w:rsid w:val="00B13EB3"/>
    <w:rsid w:val="00B13F11"/>
    <w:rsid w:val="00B1407A"/>
    <w:rsid w:val="00B147A5"/>
    <w:rsid w:val="00B14C86"/>
    <w:rsid w:val="00B14FD1"/>
    <w:rsid w:val="00B16292"/>
    <w:rsid w:val="00B16F65"/>
    <w:rsid w:val="00B17742"/>
    <w:rsid w:val="00B20292"/>
    <w:rsid w:val="00B20E06"/>
    <w:rsid w:val="00B20E86"/>
    <w:rsid w:val="00B213E2"/>
    <w:rsid w:val="00B21686"/>
    <w:rsid w:val="00B21C60"/>
    <w:rsid w:val="00B21C68"/>
    <w:rsid w:val="00B25049"/>
    <w:rsid w:val="00B252BF"/>
    <w:rsid w:val="00B25784"/>
    <w:rsid w:val="00B25D88"/>
    <w:rsid w:val="00B26269"/>
    <w:rsid w:val="00B2718C"/>
    <w:rsid w:val="00B27BC8"/>
    <w:rsid w:val="00B300AB"/>
    <w:rsid w:val="00B3014B"/>
    <w:rsid w:val="00B332B5"/>
    <w:rsid w:val="00B334C0"/>
    <w:rsid w:val="00B3355A"/>
    <w:rsid w:val="00B33A53"/>
    <w:rsid w:val="00B350D0"/>
    <w:rsid w:val="00B350F8"/>
    <w:rsid w:val="00B3533B"/>
    <w:rsid w:val="00B40128"/>
    <w:rsid w:val="00B40416"/>
    <w:rsid w:val="00B40FDC"/>
    <w:rsid w:val="00B4106B"/>
    <w:rsid w:val="00B4379F"/>
    <w:rsid w:val="00B43920"/>
    <w:rsid w:val="00B43A59"/>
    <w:rsid w:val="00B43A7C"/>
    <w:rsid w:val="00B441FC"/>
    <w:rsid w:val="00B44991"/>
    <w:rsid w:val="00B466E9"/>
    <w:rsid w:val="00B46EC1"/>
    <w:rsid w:val="00B476B6"/>
    <w:rsid w:val="00B47D7D"/>
    <w:rsid w:val="00B50081"/>
    <w:rsid w:val="00B5058A"/>
    <w:rsid w:val="00B505D6"/>
    <w:rsid w:val="00B50674"/>
    <w:rsid w:val="00B50B5D"/>
    <w:rsid w:val="00B512FE"/>
    <w:rsid w:val="00B52057"/>
    <w:rsid w:val="00B523E4"/>
    <w:rsid w:val="00B528BA"/>
    <w:rsid w:val="00B530AE"/>
    <w:rsid w:val="00B53697"/>
    <w:rsid w:val="00B54879"/>
    <w:rsid w:val="00B5507A"/>
    <w:rsid w:val="00B553DF"/>
    <w:rsid w:val="00B55DC5"/>
    <w:rsid w:val="00B5630F"/>
    <w:rsid w:val="00B57C36"/>
    <w:rsid w:val="00B57EAE"/>
    <w:rsid w:val="00B60186"/>
    <w:rsid w:val="00B603CF"/>
    <w:rsid w:val="00B606FF"/>
    <w:rsid w:val="00B6102A"/>
    <w:rsid w:val="00B61A80"/>
    <w:rsid w:val="00B61E8E"/>
    <w:rsid w:val="00B63374"/>
    <w:rsid w:val="00B63576"/>
    <w:rsid w:val="00B650B6"/>
    <w:rsid w:val="00B65AEB"/>
    <w:rsid w:val="00B669F0"/>
    <w:rsid w:val="00B66A66"/>
    <w:rsid w:val="00B67928"/>
    <w:rsid w:val="00B67B64"/>
    <w:rsid w:val="00B70144"/>
    <w:rsid w:val="00B717A3"/>
    <w:rsid w:val="00B724D9"/>
    <w:rsid w:val="00B729A3"/>
    <w:rsid w:val="00B74BD5"/>
    <w:rsid w:val="00B74EBB"/>
    <w:rsid w:val="00B758DD"/>
    <w:rsid w:val="00B761E1"/>
    <w:rsid w:val="00B761FA"/>
    <w:rsid w:val="00B80295"/>
    <w:rsid w:val="00B803ED"/>
    <w:rsid w:val="00B80943"/>
    <w:rsid w:val="00B80A77"/>
    <w:rsid w:val="00B8149F"/>
    <w:rsid w:val="00B82A45"/>
    <w:rsid w:val="00B82E59"/>
    <w:rsid w:val="00B83F53"/>
    <w:rsid w:val="00B85536"/>
    <w:rsid w:val="00B85B0F"/>
    <w:rsid w:val="00B86678"/>
    <w:rsid w:val="00B8695E"/>
    <w:rsid w:val="00B86E09"/>
    <w:rsid w:val="00B915FB"/>
    <w:rsid w:val="00B91970"/>
    <w:rsid w:val="00B91C3C"/>
    <w:rsid w:val="00B9294D"/>
    <w:rsid w:val="00B93080"/>
    <w:rsid w:val="00B93517"/>
    <w:rsid w:val="00B94957"/>
    <w:rsid w:val="00B94E2B"/>
    <w:rsid w:val="00B95238"/>
    <w:rsid w:val="00B96126"/>
    <w:rsid w:val="00B9627A"/>
    <w:rsid w:val="00B963BB"/>
    <w:rsid w:val="00B96696"/>
    <w:rsid w:val="00B967B3"/>
    <w:rsid w:val="00BA1D09"/>
    <w:rsid w:val="00BA2322"/>
    <w:rsid w:val="00BA2407"/>
    <w:rsid w:val="00BA3034"/>
    <w:rsid w:val="00BA326F"/>
    <w:rsid w:val="00BA4049"/>
    <w:rsid w:val="00BA4278"/>
    <w:rsid w:val="00BA43A9"/>
    <w:rsid w:val="00BA44C3"/>
    <w:rsid w:val="00BA4A40"/>
    <w:rsid w:val="00BA4B81"/>
    <w:rsid w:val="00BA54CF"/>
    <w:rsid w:val="00BA551F"/>
    <w:rsid w:val="00BA5684"/>
    <w:rsid w:val="00BA6883"/>
    <w:rsid w:val="00BA6AAC"/>
    <w:rsid w:val="00BA6C93"/>
    <w:rsid w:val="00BA75B8"/>
    <w:rsid w:val="00BB045D"/>
    <w:rsid w:val="00BB0541"/>
    <w:rsid w:val="00BB0F53"/>
    <w:rsid w:val="00BB1A99"/>
    <w:rsid w:val="00BB2008"/>
    <w:rsid w:val="00BB296F"/>
    <w:rsid w:val="00BB2BCD"/>
    <w:rsid w:val="00BB326B"/>
    <w:rsid w:val="00BB36F5"/>
    <w:rsid w:val="00BB3CF3"/>
    <w:rsid w:val="00BB5A34"/>
    <w:rsid w:val="00BB672F"/>
    <w:rsid w:val="00BB6E1C"/>
    <w:rsid w:val="00BB7481"/>
    <w:rsid w:val="00BB7BCD"/>
    <w:rsid w:val="00BB7DFE"/>
    <w:rsid w:val="00BC057B"/>
    <w:rsid w:val="00BC0632"/>
    <w:rsid w:val="00BC0BF9"/>
    <w:rsid w:val="00BC1830"/>
    <w:rsid w:val="00BC1CAD"/>
    <w:rsid w:val="00BC25F8"/>
    <w:rsid w:val="00BC2E94"/>
    <w:rsid w:val="00BC55C1"/>
    <w:rsid w:val="00BC5F55"/>
    <w:rsid w:val="00BC759D"/>
    <w:rsid w:val="00BC77C1"/>
    <w:rsid w:val="00BD0FF6"/>
    <w:rsid w:val="00BD1A9E"/>
    <w:rsid w:val="00BD1F57"/>
    <w:rsid w:val="00BD2144"/>
    <w:rsid w:val="00BD2428"/>
    <w:rsid w:val="00BD2456"/>
    <w:rsid w:val="00BD312E"/>
    <w:rsid w:val="00BD3239"/>
    <w:rsid w:val="00BD4442"/>
    <w:rsid w:val="00BD4817"/>
    <w:rsid w:val="00BD49DE"/>
    <w:rsid w:val="00BD4BC7"/>
    <w:rsid w:val="00BD5A77"/>
    <w:rsid w:val="00BD5B0E"/>
    <w:rsid w:val="00BD5BCC"/>
    <w:rsid w:val="00BD637A"/>
    <w:rsid w:val="00BD6607"/>
    <w:rsid w:val="00BD6F80"/>
    <w:rsid w:val="00BD753F"/>
    <w:rsid w:val="00BD79CF"/>
    <w:rsid w:val="00BE01EF"/>
    <w:rsid w:val="00BE0B8B"/>
    <w:rsid w:val="00BE0BAE"/>
    <w:rsid w:val="00BE0BBF"/>
    <w:rsid w:val="00BE115A"/>
    <w:rsid w:val="00BE172F"/>
    <w:rsid w:val="00BE175C"/>
    <w:rsid w:val="00BE1856"/>
    <w:rsid w:val="00BE22E0"/>
    <w:rsid w:val="00BE2323"/>
    <w:rsid w:val="00BE2A66"/>
    <w:rsid w:val="00BE3286"/>
    <w:rsid w:val="00BE3389"/>
    <w:rsid w:val="00BE356F"/>
    <w:rsid w:val="00BE35CF"/>
    <w:rsid w:val="00BE3F97"/>
    <w:rsid w:val="00BE4230"/>
    <w:rsid w:val="00BE463B"/>
    <w:rsid w:val="00BE488C"/>
    <w:rsid w:val="00BE524B"/>
    <w:rsid w:val="00BE71F5"/>
    <w:rsid w:val="00BF1813"/>
    <w:rsid w:val="00BF2C9D"/>
    <w:rsid w:val="00BF3CF0"/>
    <w:rsid w:val="00BF422A"/>
    <w:rsid w:val="00BF4340"/>
    <w:rsid w:val="00BF4A53"/>
    <w:rsid w:val="00BF55F3"/>
    <w:rsid w:val="00BF5A1A"/>
    <w:rsid w:val="00BF6346"/>
    <w:rsid w:val="00BF74C2"/>
    <w:rsid w:val="00BF77F3"/>
    <w:rsid w:val="00C0099A"/>
    <w:rsid w:val="00C0109A"/>
    <w:rsid w:val="00C0167A"/>
    <w:rsid w:val="00C01787"/>
    <w:rsid w:val="00C02515"/>
    <w:rsid w:val="00C02C83"/>
    <w:rsid w:val="00C032D1"/>
    <w:rsid w:val="00C043A6"/>
    <w:rsid w:val="00C048B0"/>
    <w:rsid w:val="00C0582E"/>
    <w:rsid w:val="00C05D55"/>
    <w:rsid w:val="00C06047"/>
    <w:rsid w:val="00C06AC8"/>
    <w:rsid w:val="00C06DD7"/>
    <w:rsid w:val="00C0772C"/>
    <w:rsid w:val="00C07AB7"/>
    <w:rsid w:val="00C07B9C"/>
    <w:rsid w:val="00C07C19"/>
    <w:rsid w:val="00C1098B"/>
    <w:rsid w:val="00C109FB"/>
    <w:rsid w:val="00C10A34"/>
    <w:rsid w:val="00C10D0C"/>
    <w:rsid w:val="00C118F1"/>
    <w:rsid w:val="00C123B8"/>
    <w:rsid w:val="00C1326B"/>
    <w:rsid w:val="00C136F0"/>
    <w:rsid w:val="00C13CB0"/>
    <w:rsid w:val="00C14539"/>
    <w:rsid w:val="00C14692"/>
    <w:rsid w:val="00C14892"/>
    <w:rsid w:val="00C149EF"/>
    <w:rsid w:val="00C15F77"/>
    <w:rsid w:val="00C1602D"/>
    <w:rsid w:val="00C16CF7"/>
    <w:rsid w:val="00C17926"/>
    <w:rsid w:val="00C2016E"/>
    <w:rsid w:val="00C20969"/>
    <w:rsid w:val="00C2121C"/>
    <w:rsid w:val="00C2153B"/>
    <w:rsid w:val="00C21F05"/>
    <w:rsid w:val="00C2208F"/>
    <w:rsid w:val="00C23D80"/>
    <w:rsid w:val="00C24251"/>
    <w:rsid w:val="00C25D95"/>
    <w:rsid w:val="00C26DF2"/>
    <w:rsid w:val="00C30A75"/>
    <w:rsid w:val="00C32402"/>
    <w:rsid w:val="00C32E4C"/>
    <w:rsid w:val="00C32EF9"/>
    <w:rsid w:val="00C331FD"/>
    <w:rsid w:val="00C34AE2"/>
    <w:rsid w:val="00C36185"/>
    <w:rsid w:val="00C36792"/>
    <w:rsid w:val="00C36942"/>
    <w:rsid w:val="00C37170"/>
    <w:rsid w:val="00C376D5"/>
    <w:rsid w:val="00C40B3A"/>
    <w:rsid w:val="00C40B4D"/>
    <w:rsid w:val="00C40C7E"/>
    <w:rsid w:val="00C40CA9"/>
    <w:rsid w:val="00C40F3E"/>
    <w:rsid w:val="00C420AC"/>
    <w:rsid w:val="00C4253D"/>
    <w:rsid w:val="00C426DF"/>
    <w:rsid w:val="00C427E9"/>
    <w:rsid w:val="00C428EC"/>
    <w:rsid w:val="00C4330F"/>
    <w:rsid w:val="00C436D1"/>
    <w:rsid w:val="00C44EA8"/>
    <w:rsid w:val="00C467A6"/>
    <w:rsid w:val="00C467CD"/>
    <w:rsid w:val="00C47561"/>
    <w:rsid w:val="00C5053E"/>
    <w:rsid w:val="00C50B99"/>
    <w:rsid w:val="00C50C0E"/>
    <w:rsid w:val="00C512FC"/>
    <w:rsid w:val="00C515B8"/>
    <w:rsid w:val="00C51994"/>
    <w:rsid w:val="00C52717"/>
    <w:rsid w:val="00C5298D"/>
    <w:rsid w:val="00C531C3"/>
    <w:rsid w:val="00C5343A"/>
    <w:rsid w:val="00C537A4"/>
    <w:rsid w:val="00C538E9"/>
    <w:rsid w:val="00C53B54"/>
    <w:rsid w:val="00C53DBA"/>
    <w:rsid w:val="00C54C44"/>
    <w:rsid w:val="00C56297"/>
    <w:rsid w:val="00C60469"/>
    <w:rsid w:val="00C607A9"/>
    <w:rsid w:val="00C60B32"/>
    <w:rsid w:val="00C63CAA"/>
    <w:rsid w:val="00C65C15"/>
    <w:rsid w:val="00C66F28"/>
    <w:rsid w:val="00C67825"/>
    <w:rsid w:val="00C70103"/>
    <w:rsid w:val="00C70177"/>
    <w:rsid w:val="00C706AE"/>
    <w:rsid w:val="00C7088D"/>
    <w:rsid w:val="00C71BE5"/>
    <w:rsid w:val="00C72171"/>
    <w:rsid w:val="00C724E8"/>
    <w:rsid w:val="00C72832"/>
    <w:rsid w:val="00C72A32"/>
    <w:rsid w:val="00C72B3E"/>
    <w:rsid w:val="00C73D30"/>
    <w:rsid w:val="00C7440B"/>
    <w:rsid w:val="00C74514"/>
    <w:rsid w:val="00C74F50"/>
    <w:rsid w:val="00C7717E"/>
    <w:rsid w:val="00C800FA"/>
    <w:rsid w:val="00C80130"/>
    <w:rsid w:val="00C80595"/>
    <w:rsid w:val="00C80768"/>
    <w:rsid w:val="00C817A7"/>
    <w:rsid w:val="00C82FBB"/>
    <w:rsid w:val="00C849C7"/>
    <w:rsid w:val="00C84C25"/>
    <w:rsid w:val="00C84EEB"/>
    <w:rsid w:val="00C85010"/>
    <w:rsid w:val="00C85273"/>
    <w:rsid w:val="00C85371"/>
    <w:rsid w:val="00C85D79"/>
    <w:rsid w:val="00C85F94"/>
    <w:rsid w:val="00C86012"/>
    <w:rsid w:val="00C86330"/>
    <w:rsid w:val="00C8641F"/>
    <w:rsid w:val="00C868F6"/>
    <w:rsid w:val="00C87641"/>
    <w:rsid w:val="00C87CB8"/>
    <w:rsid w:val="00C87CEF"/>
    <w:rsid w:val="00C90379"/>
    <w:rsid w:val="00C90416"/>
    <w:rsid w:val="00C912C9"/>
    <w:rsid w:val="00C92125"/>
    <w:rsid w:val="00C922BA"/>
    <w:rsid w:val="00C92850"/>
    <w:rsid w:val="00C92BFD"/>
    <w:rsid w:val="00C93CD5"/>
    <w:rsid w:val="00C93FAC"/>
    <w:rsid w:val="00C95117"/>
    <w:rsid w:val="00C95B4D"/>
    <w:rsid w:val="00C96569"/>
    <w:rsid w:val="00C96570"/>
    <w:rsid w:val="00C96D9B"/>
    <w:rsid w:val="00C96DB8"/>
    <w:rsid w:val="00CA0453"/>
    <w:rsid w:val="00CA0823"/>
    <w:rsid w:val="00CA1981"/>
    <w:rsid w:val="00CA1EC3"/>
    <w:rsid w:val="00CA1F8C"/>
    <w:rsid w:val="00CA1FDC"/>
    <w:rsid w:val="00CA2140"/>
    <w:rsid w:val="00CA253A"/>
    <w:rsid w:val="00CA3207"/>
    <w:rsid w:val="00CA395B"/>
    <w:rsid w:val="00CA5406"/>
    <w:rsid w:val="00CA7D9C"/>
    <w:rsid w:val="00CA7F1F"/>
    <w:rsid w:val="00CB090A"/>
    <w:rsid w:val="00CB0D51"/>
    <w:rsid w:val="00CB1B37"/>
    <w:rsid w:val="00CB1D82"/>
    <w:rsid w:val="00CB3709"/>
    <w:rsid w:val="00CB50E9"/>
    <w:rsid w:val="00CB56B9"/>
    <w:rsid w:val="00CB5902"/>
    <w:rsid w:val="00CB5A9D"/>
    <w:rsid w:val="00CB5DF3"/>
    <w:rsid w:val="00CB670F"/>
    <w:rsid w:val="00CB7B96"/>
    <w:rsid w:val="00CC02CE"/>
    <w:rsid w:val="00CC0BC7"/>
    <w:rsid w:val="00CC0E0C"/>
    <w:rsid w:val="00CC1BE3"/>
    <w:rsid w:val="00CC28D1"/>
    <w:rsid w:val="00CC2DB3"/>
    <w:rsid w:val="00CC314E"/>
    <w:rsid w:val="00CC3623"/>
    <w:rsid w:val="00CC36A8"/>
    <w:rsid w:val="00CC3BD2"/>
    <w:rsid w:val="00CC51B9"/>
    <w:rsid w:val="00CC5612"/>
    <w:rsid w:val="00CC5915"/>
    <w:rsid w:val="00CC6297"/>
    <w:rsid w:val="00CC64AA"/>
    <w:rsid w:val="00CD0429"/>
    <w:rsid w:val="00CD22F1"/>
    <w:rsid w:val="00CD29FC"/>
    <w:rsid w:val="00CD2A26"/>
    <w:rsid w:val="00CD2B32"/>
    <w:rsid w:val="00CD3693"/>
    <w:rsid w:val="00CD5745"/>
    <w:rsid w:val="00CD5D7D"/>
    <w:rsid w:val="00CD5F5C"/>
    <w:rsid w:val="00CD63CC"/>
    <w:rsid w:val="00CD70EB"/>
    <w:rsid w:val="00CD787C"/>
    <w:rsid w:val="00CD7ACC"/>
    <w:rsid w:val="00CE03CB"/>
    <w:rsid w:val="00CE13F2"/>
    <w:rsid w:val="00CE2988"/>
    <w:rsid w:val="00CE2E0A"/>
    <w:rsid w:val="00CE31FC"/>
    <w:rsid w:val="00CE423D"/>
    <w:rsid w:val="00CE54FF"/>
    <w:rsid w:val="00CE567D"/>
    <w:rsid w:val="00CE657A"/>
    <w:rsid w:val="00CE6F2C"/>
    <w:rsid w:val="00CE737E"/>
    <w:rsid w:val="00CF0371"/>
    <w:rsid w:val="00CF04DA"/>
    <w:rsid w:val="00CF0E99"/>
    <w:rsid w:val="00CF0F30"/>
    <w:rsid w:val="00CF0FAE"/>
    <w:rsid w:val="00CF169F"/>
    <w:rsid w:val="00CF2259"/>
    <w:rsid w:val="00CF2CB2"/>
    <w:rsid w:val="00CF2D81"/>
    <w:rsid w:val="00CF2DEE"/>
    <w:rsid w:val="00CF40FA"/>
    <w:rsid w:val="00CF46BF"/>
    <w:rsid w:val="00CF4BA9"/>
    <w:rsid w:val="00CF5275"/>
    <w:rsid w:val="00CF5A61"/>
    <w:rsid w:val="00CF6463"/>
    <w:rsid w:val="00CF6A9B"/>
    <w:rsid w:val="00CF7285"/>
    <w:rsid w:val="00CF7463"/>
    <w:rsid w:val="00CF79EB"/>
    <w:rsid w:val="00CF7BE8"/>
    <w:rsid w:val="00D000CA"/>
    <w:rsid w:val="00D0065F"/>
    <w:rsid w:val="00D00A99"/>
    <w:rsid w:val="00D024E6"/>
    <w:rsid w:val="00D0388E"/>
    <w:rsid w:val="00D03D16"/>
    <w:rsid w:val="00D03FD4"/>
    <w:rsid w:val="00D04288"/>
    <w:rsid w:val="00D0517F"/>
    <w:rsid w:val="00D05534"/>
    <w:rsid w:val="00D058F8"/>
    <w:rsid w:val="00D05CEE"/>
    <w:rsid w:val="00D05E1F"/>
    <w:rsid w:val="00D06090"/>
    <w:rsid w:val="00D11A22"/>
    <w:rsid w:val="00D120AC"/>
    <w:rsid w:val="00D1262B"/>
    <w:rsid w:val="00D129ED"/>
    <w:rsid w:val="00D12F17"/>
    <w:rsid w:val="00D13235"/>
    <w:rsid w:val="00D132D8"/>
    <w:rsid w:val="00D13CB7"/>
    <w:rsid w:val="00D141F3"/>
    <w:rsid w:val="00D14319"/>
    <w:rsid w:val="00D14672"/>
    <w:rsid w:val="00D14B93"/>
    <w:rsid w:val="00D14C90"/>
    <w:rsid w:val="00D15A20"/>
    <w:rsid w:val="00D15C28"/>
    <w:rsid w:val="00D15D6B"/>
    <w:rsid w:val="00D166DB"/>
    <w:rsid w:val="00D16C3D"/>
    <w:rsid w:val="00D17323"/>
    <w:rsid w:val="00D17AB5"/>
    <w:rsid w:val="00D20046"/>
    <w:rsid w:val="00D21054"/>
    <w:rsid w:val="00D21A70"/>
    <w:rsid w:val="00D235CE"/>
    <w:rsid w:val="00D24208"/>
    <w:rsid w:val="00D24967"/>
    <w:rsid w:val="00D24C5C"/>
    <w:rsid w:val="00D25697"/>
    <w:rsid w:val="00D25932"/>
    <w:rsid w:val="00D25A12"/>
    <w:rsid w:val="00D26C24"/>
    <w:rsid w:val="00D275C5"/>
    <w:rsid w:val="00D27C40"/>
    <w:rsid w:val="00D302E8"/>
    <w:rsid w:val="00D30800"/>
    <w:rsid w:val="00D3139B"/>
    <w:rsid w:val="00D31927"/>
    <w:rsid w:val="00D32A3F"/>
    <w:rsid w:val="00D32C3D"/>
    <w:rsid w:val="00D33CB0"/>
    <w:rsid w:val="00D3426C"/>
    <w:rsid w:val="00D34769"/>
    <w:rsid w:val="00D364DD"/>
    <w:rsid w:val="00D37383"/>
    <w:rsid w:val="00D37616"/>
    <w:rsid w:val="00D37AFA"/>
    <w:rsid w:val="00D40306"/>
    <w:rsid w:val="00D40E1B"/>
    <w:rsid w:val="00D41630"/>
    <w:rsid w:val="00D41AC7"/>
    <w:rsid w:val="00D42A9E"/>
    <w:rsid w:val="00D43253"/>
    <w:rsid w:val="00D4355A"/>
    <w:rsid w:val="00D43571"/>
    <w:rsid w:val="00D436B2"/>
    <w:rsid w:val="00D43F5B"/>
    <w:rsid w:val="00D45F82"/>
    <w:rsid w:val="00D461EC"/>
    <w:rsid w:val="00D46C5C"/>
    <w:rsid w:val="00D46FD8"/>
    <w:rsid w:val="00D479E1"/>
    <w:rsid w:val="00D47DC4"/>
    <w:rsid w:val="00D50C9F"/>
    <w:rsid w:val="00D50E28"/>
    <w:rsid w:val="00D51599"/>
    <w:rsid w:val="00D520CE"/>
    <w:rsid w:val="00D52EE4"/>
    <w:rsid w:val="00D54360"/>
    <w:rsid w:val="00D54718"/>
    <w:rsid w:val="00D54AF5"/>
    <w:rsid w:val="00D55E70"/>
    <w:rsid w:val="00D56012"/>
    <w:rsid w:val="00D56DF1"/>
    <w:rsid w:val="00D56E4F"/>
    <w:rsid w:val="00D5730D"/>
    <w:rsid w:val="00D57B18"/>
    <w:rsid w:val="00D57EC2"/>
    <w:rsid w:val="00D618B7"/>
    <w:rsid w:val="00D61B88"/>
    <w:rsid w:val="00D62313"/>
    <w:rsid w:val="00D637D1"/>
    <w:rsid w:val="00D63813"/>
    <w:rsid w:val="00D63AE3"/>
    <w:rsid w:val="00D63AEA"/>
    <w:rsid w:val="00D63EE5"/>
    <w:rsid w:val="00D641CB"/>
    <w:rsid w:val="00D64972"/>
    <w:rsid w:val="00D6537F"/>
    <w:rsid w:val="00D6685F"/>
    <w:rsid w:val="00D7048F"/>
    <w:rsid w:val="00D7087C"/>
    <w:rsid w:val="00D70A6C"/>
    <w:rsid w:val="00D7136A"/>
    <w:rsid w:val="00D71451"/>
    <w:rsid w:val="00D71EE8"/>
    <w:rsid w:val="00D72AE8"/>
    <w:rsid w:val="00D7331F"/>
    <w:rsid w:val="00D73BE2"/>
    <w:rsid w:val="00D73F79"/>
    <w:rsid w:val="00D74736"/>
    <w:rsid w:val="00D74ACD"/>
    <w:rsid w:val="00D74C91"/>
    <w:rsid w:val="00D74ED0"/>
    <w:rsid w:val="00D7544F"/>
    <w:rsid w:val="00D75688"/>
    <w:rsid w:val="00D75B79"/>
    <w:rsid w:val="00D763BC"/>
    <w:rsid w:val="00D76657"/>
    <w:rsid w:val="00D76920"/>
    <w:rsid w:val="00D80A7A"/>
    <w:rsid w:val="00D80ECD"/>
    <w:rsid w:val="00D81C8F"/>
    <w:rsid w:val="00D8216D"/>
    <w:rsid w:val="00D8345C"/>
    <w:rsid w:val="00D84301"/>
    <w:rsid w:val="00D843A9"/>
    <w:rsid w:val="00D84444"/>
    <w:rsid w:val="00D85390"/>
    <w:rsid w:val="00D86125"/>
    <w:rsid w:val="00D876FE"/>
    <w:rsid w:val="00D90B86"/>
    <w:rsid w:val="00D92CAE"/>
    <w:rsid w:val="00D93EEF"/>
    <w:rsid w:val="00D9424D"/>
    <w:rsid w:val="00D94520"/>
    <w:rsid w:val="00D94E5F"/>
    <w:rsid w:val="00D950F0"/>
    <w:rsid w:val="00D9574D"/>
    <w:rsid w:val="00D9691E"/>
    <w:rsid w:val="00D9772A"/>
    <w:rsid w:val="00DA00ED"/>
    <w:rsid w:val="00DA042C"/>
    <w:rsid w:val="00DA094A"/>
    <w:rsid w:val="00DA114B"/>
    <w:rsid w:val="00DA1319"/>
    <w:rsid w:val="00DA381C"/>
    <w:rsid w:val="00DA3B43"/>
    <w:rsid w:val="00DA423D"/>
    <w:rsid w:val="00DA4A4C"/>
    <w:rsid w:val="00DA4F5B"/>
    <w:rsid w:val="00DA51D3"/>
    <w:rsid w:val="00DA57BE"/>
    <w:rsid w:val="00DA583F"/>
    <w:rsid w:val="00DA6007"/>
    <w:rsid w:val="00DA7331"/>
    <w:rsid w:val="00DA74C3"/>
    <w:rsid w:val="00DB0628"/>
    <w:rsid w:val="00DB0FBE"/>
    <w:rsid w:val="00DB114B"/>
    <w:rsid w:val="00DB14C9"/>
    <w:rsid w:val="00DB1A2F"/>
    <w:rsid w:val="00DB223B"/>
    <w:rsid w:val="00DB24B2"/>
    <w:rsid w:val="00DB32A6"/>
    <w:rsid w:val="00DB370D"/>
    <w:rsid w:val="00DB4C40"/>
    <w:rsid w:val="00DB6201"/>
    <w:rsid w:val="00DB6FD8"/>
    <w:rsid w:val="00DB7104"/>
    <w:rsid w:val="00DB7BC7"/>
    <w:rsid w:val="00DC02F5"/>
    <w:rsid w:val="00DC058E"/>
    <w:rsid w:val="00DC1086"/>
    <w:rsid w:val="00DC1F4F"/>
    <w:rsid w:val="00DC244F"/>
    <w:rsid w:val="00DC2F1D"/>
    <w:rsid w:val="00DC2FDE"/>
    <w:rsid w:val="00DC3048"/>
    <w:rsid w:val="00DC39B4"/>
    <w:rsid w:val="00DC3A7C"/>
    <w:rsid w:val="00DC3F28"/>
    <w:rsid w:val="00DC43CA"/>
    <w:rsid w:val="00DC4531"/>
    <w:rsid w:val="00DC4CD2"/>
    <w:rsid w:val="00DC5808"/>
    <w:rsid w:val="00DC5F89"/>
    <w:rsid w:val="00DC68F3"/>
    <w:rsid w:val="00DC6AC7"/>
    <w:rsid w:val="00DC6C3E"/>
    <w:rsid w:val="00DC72A4"/>
    <w:rsid w:val="00DC745B"/>
    <w:rsid w:val="00DC7693"/>
    <w:rsid w:val="00DC7849"/>
    <w:rsid w:val="00DC7B3D"/>
    <w:rsid w:val="00DD03BF"/>
    <w:rsid w:val="00DD0DB9"/>
    <w:rsid w:val="00DD12B1"/>
    <w:rsid w:val="00DD1C8A"/>
    <w:rsid w:val="00DD3BFE"/>
    <w:rsid w:val="00DD3FDD"/>
    <w:rsid w:val="00DD54BC"/>
    <w:rsid w:val="00DD5907"/>
    <w:rsid w:val="00DD59CE"/>
    <w:rsid w:val="00DD60F3"/>
    <w:rsid w:val="00DD6968"/>
    <w:rsid w:val="00DD69C1"/>
    <w:rsid w:val="00DD75EF"/>
    <w:rsid w:val="00DE012D"/>
    <w:rsid w:val="00DE02C4"/>
    <w:rsid w:val="00DE055D"/>
    <w:rsid w:val="00DE0606"/>
    <w:rsid w:val="00DE09F8"/>
    <w:rsid w:val="00DE1128"/>
    <w:rsid w:val="00DE12F9"/>
    <w:rsid w:val="00DE13B9"/>
    <w:rsid w:val="00DE186D"/>
    <w:rsid w:val="00DE1D22"/>
    <w:rsid w:val="00DE1F31"/>
    <w:rsid w:val="00DE1F41"/>
    <w:rsid w:val="00DE31C5"/>
    <w:rsid w:val="00DE3AA2"/>
    <w:rsid w:val="00DE57A7"/>
    <w:rsid w:val="00DE5EF4"/>
    <w:rsid w:val="00DE648A"/>
    <w:rsid w:val="00DE664B"/>
    <w:rsid w:val="00DE7C54"/>
    <w:rsid w:val="00DF0915"/>
    <w:rsid w:val="00DF0C2F"/>
    <w:rsid w:val="00DF2A67"/>
    <w:rsid w:val="00DF36B9"/>
    <w:rsid w:val="00DF3E13"/>
    <w:rsid w:val="00DF3E20"/>
    <w:rsid w:val="00DF421A"/>
    <w:rsid w:val="00DF4C5A"/>
    <w:rsid w:val="00DF4C9C"/>
    <w:rsid w:val="00DF54D8"/>
    <w:rsid w:val="00DF557A"/>
    <w:rsid w:val="00DF7865"/>
    <w:rsid w:val="00DF7A96"/>
    <w:rsid w:val="00E00592"/>
    <w:rsid w:val="00E00E1C"/>
    <w:rsid w:val="00E01325"/>
    <w:rsid w:val="00E015F9"/>
    <w:rsid w:val="00E0252E"/>
    <w:rsid w:val="00E03920"/>
    <w:rsid w:val="00E03C58"/>
    <w:rsid w:val="00E0679F"/>
    <w:rsid w:val="00E06AB7"/>
    <w:rsid w:val="00E06B10"/>
    <w:rsid w:val="00E06FF8"/>
    <w:rsid w:val="00E07B1C"/>
    <w:rsid w:val="00E10172"/>
    <w:rsid w:val="00E10EC8"/>
    <w:rsid w:val="00E1196B"/>
    <w:rsid w:val="00E14C12"/>
    <w:rsid w:val="00E16075"/>
    <w:rsid w:val="00E16998"/>
    <w:rsid w:val="00E1700F"/>
    <w:rsid w:val="00E17178"/>
    <w:rsid w:val="00E173E0"/>
    <w:rsid w:val="00E17877"/>
    <w:rsid w:val="00E20705"/>
    <w:rsid w:val="00E20724"/>
    <w:rsid w:val="00E20D66"/>
    <w:rsid w:val="00E20FF0"/>
    <w:rsid w:val="00E21A09"/>
    <w:rsid w:val="00E22352"/>
    <w:rsid w:val="00E227B0"/>
    <w:rsid w:val="00E22984"/>
    <w:rsid w:val="00E22E8F"/>
    <w:rsid w:val="00E23049"/>
    <w:rsid w:val="00E23772"/>
    <w:rsid w:val="00E239B5"/>
    <w:rsid w:val="00E23D3C"/>
    <w:rsid w:val="00E24434"/>
    <w:rsid w:val="00E24CAB"/>
    <w:rsid w:val="00E25204"/>
    <w:rsid w:val="00E25599"/>
    <w:rsid w:val="00E27154"/>
    <w:rsid w:val="00E27A24"/>
    <w:rsid w:val="00E27EAE"/>
    <w:rsid w:val="00E30D95"/>
    <w:rsid w:val="00E31183"/>
    <w:rsid w:val="00E31403"/>
    <w:rsid w:val="00E31A59"/>
    <w:rsid w:val="00E32303"/>
    <w:rsid w:val="00E32596"/>
    <w:rsid w:val="00E332C5"/>
    <w:rsid w:val="00E33CD8"/>
    <w:rsid w:val="00E33D3A"/>
    <w:rsid w:val="00E33EFF"/>
    <w:rsid w:val="00E34CC2"/>
    <w:rsid w:val="00E34D72"/>
    <w:rsid w:val="00E359BB"/>
    <w:rsid w:val="00E35C64"/>
    <w:rsid w:val="00E35C91"/>
    <w:rsid w:val="00E362B2"/>
    <w:rsid w:val="00E367F7"/>
    <w:rsid w:val="00E36CE0"/>
    <w:rsid w:val="00E36FC5"/>
    <w:rsid w:val="00E37B1F"/>
    <w:rsid w:val="00E40451"/>
    <w:rsid w:val="00E4050F"/>
    <w:rsid w:val="00E40683"/>
    <w:rsid w:val="00E407AC"/>
    <w:rsid w:val="00E40977"/>
    <w:rsid w:val="00E41252"/>
    <w:rsid w:val="00E413E7"/>
    <w:rsid w:val="00E41CB0"/>
    <w:rsid w:val="00E441E4"/>
    <w:rsid w:val="00E441E5"/>
    <w:rsid w:val="00E4440F"/>
    <w:rsid w:val="00E44512"/>
    <w:rsid w:val="00E44D66"/>
    <w:rsid w:val="00E462C0"/>
    <w:rsid w:val="00E4784B"/>
    <w:rsid w:val="00E50C8C"/>
    <w:rsid w:val="00E50E3C"/>
    <w:rsid w:val="00E517DB"/>
    <w:rsid w:val="00E51D37"/>
    <w:rsid w:val="00E51EB6"/>
    <w:rsid w:val="00E52122"/>
    <w:rsid w:val="00E5245C"/>
    <w:rsid w:val="00E529B4"/>
    <w:rsid w:val="00E52BE9"/>
    <w:rsid w:val="00E52D5C"/>
    <w:rsid w:val="00E53EBE"/>
    <w:rsid w:val="00E54B8B"/>
    <w:rsid w:val="00E54FD1"/>
    <w:rsid w:val="00E558B8"/>
    <w:rsid w:val="00E55A9F"/>
    <w:rsid w:val="00E56626"/>
    <w:rsid w:val="00E57914"/>
    <w:rsid w:val="00E60510"/>
    <w:rsid w:val="00E60903"/>
    <w:rsid w:val="00E60FA3"/>
    <w:rsid w:val="00E61E3A"/>
    <w:rsid w:val="00E61E9F"/>
    <w:rsid w:val="00E62300"/>
    <w:rsid w:val="00E627C7"/>
    <w:rsid w:val="00E6367F"/>
    <w:rsid w:val="00E64BEC"/>
    <w:rsid w:val="00E64D3E"/>
    <w:rsid w:val="00E64DB4"/>
    <w:rsid w:val="00E652BF"/>
    <w:rsid w:val="00E65547"/>
    <w:rsid w:val="00E65850"/>
    <w:rsid w:val="00E65E45"/>
    <w:rsid w:val="00E6754D"/>
    <w:rsid w:val="00E70D5D"/>
    <w:rsid w:val="00E70E84"/>
    <w:rsid w:val="00E73FCC"/>
    <w:rsid w:val="00E74049"/>
    <w:rsid w:val="00E740E0"/>
    <w:rsid w:val="00E74D11"/>
    <w:rsid w:val="00E75055"/>
    <w:rsid w:val="00E756BC"/>
    <w:rsid w:val="00E76608"/>
    <w:rsid w:val="00E7665D"/>
    <w:rsid w:val="00E76903"/>
    <w:rsid w:val="00E77B18"/>
    <w:rsid w:val="00E77DF2"/>
    <w:rsid w:val="00E806BE"/>
    <w:rsid w:val="00E8111B"/>
    <w:rsid w:val="00E8113F"/>
    <w:rsid w:val="00E81D83"/>
    <w:rsid w:val="00E82D4B"/>
    <w:rsid w:val="00E82DFD"/>
    <w:rsid w:val="00E83047"/>
    <w:rsid w:val="00E83168"/>
    <w:rsid w:val="00E84DDC"/>
    <w:rsid w:val="00E84E88"/>
    <w:rsid w:val="00E85573"/>
    <w:rsid w:val="00E87498"/>
    <w:rsid w:val="00E878E9"/>
    <w:rsid w:val="00E87A91"/>
    <w:rsid w:val="00E87C4F"/>
    <w:rsid w:val="00E90A98"/>
    <w:rsid w:val="00E90D72"/>
    <w:rsid w:val="00E913A6"/>
    <w:rsid w:val="00E9156F"/>
    <w:rsid w:val="00E91CE1"/>
    <w:rsid w:val="00E91D5E"/>
    <w:rsid w:val="00E91D9F"/>
    <w:rsid w:val="00E9223A"/>
    <w:rsid w:val="00E93496"/>
    <w:rsid w:val="00E93694"/>
    <w:rsid w:val="00E93B42"/>
    <w:rsid w:val="00E94C4A"/>
    <w:rsid w:val="00E94F16"/>
    <w:rsid w:val="00E951F8"/>
    <w:rsid w:val="00E953F0"/>
    <w:rsid w:val="00E95C66"/>
    <w:rsid w:val="00E95DA8"/>
    <w:rsid w:val="00E95F8C"/>
    <w:rsid w:val="00E96BDC"/>
    <w:rsid w:val="00E97615"/>
    <w:rsid w:val="00E97CBC"/>
    <w:rsid w:val="00EA0456"/>
    <w:rsid w:val="00EA1F8F"/>
    <w:rsid w:val="00EA222C"/>
    <w:rsid w:val="00EA25B0"/>
    <w:rsid w:val="00EA26BD"/>
    <w:rsid w:val="00EA2A07"/>
    <w:rsid w:val="00EA2A9D"/>
    <w:rsid w:val="00EA2B27"/>
    <w:rsid w:val="00EA3C89"/>
    <w:rsid w:val="00EA3FAF"/>
    <w:rsid w:val="00EA5098"/>
    <w:rsid w:val="00EA518F"/>
    <w:rsid w:val="00EA5654"/>
    <w:rsid w:val="00EA59DB"/>
    <w:rsid w:val="00EA617F"/>
    <w:rsid w:val="00EA7EDE"/>
    <w:rsid w:val="00EB07C2"/>
    <w:rsid w:val="00EB111A"/>
    <w:rsid w:val="00EB1467"/>
    <w:rsid w:val="00EB1614"/>
    <w:rsid w:val="00EB326E"/>
    <w:rsid w:val="00EB376F"/>
    <w:rsid w:val="00EB487C"/>
    <w:rsid w:val="00EB48E6"/>
    <w:rsid w:val="00EB4C93"/>
    <w:rsid w:val="00EB53CE"/>
    <w:rsid w:val="00EB5746"/>
    <w:rsid w:val="00EB5E80"/>
    <w:rsid w:val="00EB6F7A"/>
    <w:rsid w:val="00EC06CA"/>
    <w:rsid w:val="00EC0A3C"/>
    <w:rsid w:val="00EC0CF7"/>
    <w:rsid w:val="00EC2829"/>
    <w:rsid w:val="00EC2D86"/>
    <w:rsid w:val="00EC3FFB"/>
    <w:rsid w:val="00EC4570"/>
    <w:rsid w:val="00EC4F8A"/>
    <w:rsid w:val="00ED003A"/>
    <w:rsid w:val="00ED05CA"/>
    <w:rsid w:val="00ED093A"/>
    <w:rsid w:val="00ED1E48"/>
    <w:rsid w:val="00ED2749"/>
    <w:rsid w:val="00ED2A92"/>
    <w:rsid w:val="00ED2B77"/>
    <w:rsid w:val="00ED306E"/>
    <w:rsid w:val="00ED314F"/>
    <w:rsid w:val="00ED391B"/>
    <w:rsid w:val="00ED3D79"/>
    <w:rsid w:val="00ED5BA8"/>
    <w:rsid w:val="00ED62B5"/>
    <w:rsid w:val="00ED7C54"/>
    <w:rsid w:val="00EE115A"/>
    <w:rsid w:val="00EE16F1"/>
    <w:rsid w:val="00EE1885"/>
    <w:rsid w:val="00EE2A67"/>
    <w:rsid w:val="00EE304C"/>
    <w:rsid w:val="00EE3CEA"/>
    <w:rsid w:val="00EE459F"/>
    <w:rsid w:val="00EE4CBF"/>
    <w:rsid w:val="00EE504E"/>
    <w:rsid w:val="00EE623F"/>
    <w:rsid w:val="00EE6A05"/>
    <w:rsid w:val="00EE6D63"/>
    <w:rsid w:val="00EE6DD9"/>
    <w:rsid w:val="00EE744E"/>
    <w:rsid w:val="00EE7E05"/>
    <w:rsid w:val="00EF0525"/>
    <w:rsid w:val="00EF086B"/>
    <w:rsid w:val="00EF2651"/>
    <w:rsid w:val="00EF2946"/>
    <w:rsid w:val="00EF31F7"/>
    <w:rsid w:val="00EF3314"/>
    <w:rsid w:val="00EF33CE"/>
    <w:rsid w:val="00EF379C"/>
    <w:rsid w:val="00EF41E8"/>
    <w:rsid w:val="00EF4813"/>
    <w:rsid w:val="00EF5170"/>
    <w:rsid w:val="00EF6148"/>
    <w:rsid w:val="00EF6449"/>
    <w:rsid w:val="00EF6E27"/>
    <w:rsid w:val="00EF788F"/>
    <w:rsid w:val="00EF7AF2"/>
    <w:rsid w:val="00EF7C81"/>
    <w:rsid w:val="00EF7EB0"/>
    <w:rsid w:val="00EF7F0E"/>
    <w:rsid w:val="00F00037"/>
    <w:rsid w:val="00F002BA"/>
    <w:rsid w:val="00F00CA3"/>
    <w:rsid w:val="00F019CC"/>
    <w:rsid w:val="00F0389D"/>
    <w:rsid w:val="00F04157"/>
    <w:rsid w:val="00F047DF"/>
    <w:rsid w:val="00F05211"/>
    <w:rsid w:val="00F05D41"/>
    <w:rsid w:val="00F05DB1"/>
    <w:rsid w:val="00F05ECE"/>
    <w:rsid w:val="00F0602E"/>
    <w:rsid w:val="00F06086"/>
    <w:rsid w:val="00F06BCB"/>
    <w:rsid w:val="00F07654"/>
    <w:rsid w:val="00F07D87"/>
    <w:rsid w:val="00F1096C"/>
    <w:rsid w:val="00F11506"/>
    <w:rsid w:val="00F12FF2"/>
    <w:rsid w:val="00F1310A"/>
    <w:rsid w:val="00F14FD0"/>
    <w:rsid w:val="00F154DF"/>
    <w:rsid w:val="00F156FD"/>
    <w:rsid w:val="00F15B7B"/>
    <w:rsid w:val="00F15DB9"/>
    <w:rsid w:val="00F166C9"/>
    <w:rsid w:val="00F16DE1"/>
    <w:rsid w:val="00F171AE"/>
    <w:rsid w:val="00F171D1"/>
    <w:rsid w:val="00F17706"/>
    <w:rsid w:val="00F17A7C"/>
    <w:rsid w:val="00F17B83"/>
    <w:rsid w:val="00F20699"/>
    <w:rsid w:val="00F214E9"/>
    <w:rsid w:val="00F216E5"/>
    <w:rsid w:val="00F217AD"/>
    <w:rsid w:val="00F21A58"/>
    <w:rsid w:val="00F229F8"/>
    <w:rsid w:val="00F25891"/>
    <w:rsid w:val="00F27157"/>
    <w:rsid w:val="00F27207"/>
    <w:rsid w:val="00F2754E"/>
    <w:rsid w:val="00F276DC"/>
    <w:rsid w:val="00F27DD7"/>
    <w:rsid w:val="00F27EC0"/>
    <w:rsid w:val="00F30486"/>
    <w:rsid w:val="00F30BB1"/>
    <w:rsid w:val="00F31B61"/>
    <w:rsid w:val="00F31F9A"/>
    <w:rsid w:val="00F3225E"/>
    <w:rsid w:val="00F3234E"/>
    <w:rsid w:val="00F325F7"/>
    <w:rsid w:val="00F32A4D"/>
    <w:rsid w:val="00F33225"/>
    <w:rsid w:val="00F334DA"/>
    <w:rsid w:val="00F33705"/>
    <w:rsid w:val="00F35472"/>
    <w:rsid w:val="00F3564E"/>
    <w:rsid w:val="00F35FE5"/>
    <w:rsid w:val="00F36432"/>
    <w:rsid w:val="00F36CDC"/>
    <w:rsid w:val="00F37375"/>
    <w:rsid w:val="00F37CA1"/>
    <w:rsid w:val="00F37DA6"/>
    <w:rsid w:val="00F400C8"/>
    <w:rsid w:val="00F4058B"/>
    <w:rsid w:val="00F40D37"/>
    <w:rsid w:val="00F41690"/>
    <w:rsid w:val="00F41F4D"/>
    <w:rsid w:val="00F42FC5"/>
    <w:rsid w:val="00F44F4B"/>
    <w:rsid w:val="00F4586F"/>
    <w:rsid w:val="00F45A23"/>
    <w:rsid w:val="00F46373"/>
    <w:rsid w:val="00F4680C"/>
    <w:rsid w:val="00F469DA"/>
    <w:rsid w:val="00F47161"/>
    <w:rsid w:val="00F478DE"/>
    <w:rsid w:val="00F50180"/>
    <w:rsid w:val="00F51976"/>
    <w:rsid w:val="00F5198A"/>
    <w:rsid w:val="00F51B53"/>
    <w:rsid w:val="00F523D7"/>
    <w:rsid w:val="00F52536"/>
    <w:rsid w:val="00F526F3"/>
    <w:rsid w:val="00F52F25"/>
    <w:rsid w:val="00F536EE"/>
    <w:rsid w:val="00F54D8B"/>
    <w:rsid w:val="00F557D2"/>
    <w:rsid w:val="00F55923"/>
    <w:rsid w:val="00F55C1E"/>
    <w:rsid w:val="00F574A7"/>
    <w:rsid w:val="00F57F49"/>
    <w:rsid w:val="00F6035C"/>
    <w:rsid w:val="00F60D9E"/>
    <w:rsid w:val="00F60E5F"/>
    <w:rsid w:val="00F61B6F"/>
    <w:rsid w:val="00F62704"/>
    <w:rsid w:val="00F62BCA"/>
    <w:rsid w:val="00F62FE1"/>
    <w:rsid w:val="00F63618"/>
    <w:rsid w:val="00F638C8"/>
    <w:rsid w:val="00F63C2A"/>
    <w:rsid w:val="00F64276"/>
    <w:rsid w:val="00F648C9"/>
    <w:rsid w:val="00F65103"/>
    <w:rsid w:val="00F656AD"/>
    <w:rsid w:val="00F668B4"/>
    <w:rsid w:val="00F67C88"/>
    <w:rsid w:val="00F70818"/>
    <w:rsid w:val="00F710C7"/>
    <w:rsid w:val="00F711C5"/>
    <w:rsid w:val="00F71E28"/>
    <w:rsid w:val="00F73EC4"/>
    <w:rsid w:val="00F74ADE"/>
    <w:rsid w:val="00F75EBB"/>
    <w:rsid w:val="00F765A8"/>
    <w:rsid w:val="00F77A68"/>
    <w:rsid w:val="00F82A28"/>
    <w:rsid w:val="00F833B2"/>
    <w:rsid w:val="00F83501"/>
    <w:rsid w:val="00F83955"/>
    <w:rsid w:val="00F83DC3"/>
    <w:rsid w:val="00F84420"/>
    <w:rsid w:val="00F844EB"/>
    <w:rsid w:val="00F8452E"/>
    <w:rsid w:val="00F8466E"/>
    <w:rsid w:val="00F8469E"/>
    <w:rsid w:val="00F8550F"/>
    <w:rsid w:val="00F86C44"/>
    <w:rsid w:val="00F87B85"/>
    <w:rsid w:val="00F87D05"/>
    <w:rsid w:val="00F901CC"/>
    <w:rsid w:val="00F91F8C"/>
    <w:rsid w:val="00F920C7"/>
    <w:rsid w:val="00F93157"/>
    <w:rsid w:val="00F93A5C"/>
    <w:rsid w:val="00F93B66"/>
    <w:rsid w:val="00F93C9E"/>
    <w:rsid w:val="00F95658"/>
    <w:rsid w:val="00F969C8"/>
    <w:rsid w:val="00F97605"/>
    <w:rsid w:val="00F976D6"/>
    <w:rsid w:val="00FA02DB"/>
    <w:rsid w:val="00FA0C13"/>
    <w:rsid w:val="00FA1059"/>
    <w:rsid w:val="00FA1505"/>
    <w:rsid w:val="00FA1873"/>
    <w:rsid w:val="00FA195C"/>
    <w:rsid w:val="00FA1B9A"/>
    <w:rsid w:val="00FA2606"/>
    <w:rsid w:val="00FA342E"/>
    <w:rsid w:val="00FA3625"/>
    <w:rsid w:val="00FA3688"/>
    <w:rsid w:val="00FA4534"/>
    <w:rsid w:val="00FA4E67"/>
    <w:rsid w:val="00FA501E"/>
    <w:rsid w:val="00FA56F1"/>
    <w:rsid w:val="00FA5B48"/>
    <w:rsid w:val="00FA681D"/>
    <w:rsid w:val="00FA7A2B"/>
    <w:rsid w:val="00FB1520"/>
    <w:rsid w:val="00FB35A4"/>
    <w:rsid w:val="00FB42A5"/>
    <w:rsid w:val="00FB4777"/>
    <w:rsid w:val="00FB549D"/>
    <w:rsid w:val="00FB5563"/>
    <w:rsid w:val="00FB5869"/>
    <w:rsid w:val="00FB5B84"/>
    <w:rsid w:val="00FB6641"/>
    <w:rsid w:val="00FB6703"/>
    <w:rsid w:val="00FB6738"/>
    <w:rsid w:val="00FB71E2"/>
    <w:rsid w:val="00FB7276"/>
    <w:rsid w:val="00FC0048"/>
    <w:rsid w:val="00FC0522"/>
    <w:rsid w:val="00FC1AA9"/>
    <w:rsid w:val="00FC25E6"/>
    <w:rsid w:val="00FC2F54"/>
    <w:rsid w:val="00FC4135"/>
    <w:rsid w:val="00FC54C8"/>
    <w:rsid w:val="00FC56A6"/>
    <w:rsid w:val="00FC5811"/>
    <w:rsid w:val="00FC635C"/>
    <w:rsid w:val="00FC75D3"/>
    <w:rsid w:val="00FC75E5"/>
    <w:rsid w:val="00FC7873"/>
    <w:rsid w:val="00FD0253"/>
    <w:rsid w:val="00FD050A"/>
    <w:rsid w:val="00FD0B94"/>
    <w:rsid w:val="00FD1A82"/>
    <w:rsid w:val="00FD2911"/>
    <w:rsid w:val="00FD2D65"/>
    <w:rsid w:val="00FD326A"/>
    <w:rsid w:val="00FD46D0"/>
    <w:rsid w:val="00FD4D3C"/>
    <w:rsid w:val="00FD5E3A"/>
    <w:rsid w:val="00FD698E"/>
    <w:rsid w:val="00FD6A84"/>
    <w:rsid w:val="00FE074C"/>
    <w:rsid w:val="00FE0B03"/>
    <w:rsid w:val="00FE164B"/>
    <w:rsid w:val="00FE1D12"/>
    <w:rsid w:val="00FE1EDA"/>
    <w:rsid w:val="00FE205C"/>
    <w:rsid w:val="00FE20C9"/>
    <w:rsid w:val="00FE22D0"/>
    <w:rsid w:val="00FE31DF"/>
    <w:rsid w:val="00FE3262"/>
    <w:rsid w:val="00FE32EE"/>
    <w:rsid w:val="00FE33B2"/>
    <w:rsid w:val="00FE3A6F"/>
    <w:rsid w:val="00FE3E4E"/>
    <w:rsid w:val="00FE42CE"/>
    <w:rsid w:val="00FE4C92"/>
    <w:rsid w:val="00FE522D"/>
    <w:rsid w:val="00FE52C2"/>
    <w:rsid w:val="00FE534E"/>
    <w:rsid w:val="00FE5A57"/>
    <w:rsid w:val="00FE60CF"/>
    <w:rsid w:val="00FE620D"/>
    <w:rsid w:val="00FF084D"/>
    <w:rsid w:val="00FF0925"/>
    <w:rsid w:val="00FF0B69"/>
    <w:rsid w:val="00FF1190"/>
    <w:rsid w:val="00FF1726"/>
    <w:rsid w:val="00FF17AC"/>
    <w:rsid w:val="00FF18B1"/>
    <w:rsid w:val="00FF190D"/>
    <w:rsid w:val="00FF2A55"/>
    <w:rsid w:val="00FF2D8E"/>
    <w:rsid w:val="00FF2E90"/>
    <w:rsid w:val="00FF317E"/>
    <w:rsid w:val="00FF4BDE"/>
    <w:rsid w:val="00FF63B1"/>
    <w:rsid w:val="00FF6C99"/>
    <w:rsid w:val="00FF7243"/>
    <w:rsid w:val="00FF756C"/>
    <w:rsid w:val="010B22BF"/>
    <w:rsid w:val="01477DF6"/>
    <w:rsid w:val="01585D83"/>
    <w:rsid w:val="01675C00"/>
    <w:rsid w:val="017F2F66"/>
    <w:rsid w:val="019236FF"/>
    <w:rsid w:val="01B21506"/>
    <w:rsid w:val="01C12788"/>
    <w:rsid w:val="01C3078A"/>
    <w:rsid w:val="01D910C1"/>
    <w:rsid w:val="02172B02"/>
    <w:rsid w:val="026D2185"/>
    <w:rsid w:val="027E6549"/>
    <w:rsid w:val="029D6428"/>
    <w:rsid w:val="03042E1F"/>
    <w:rsid w:val="036B581E"/>
    <w:rsid w:val="03951A9C"/>
    <w:rsid w:val="03B07793"/>
    <w:rsid w:val="03DA45DB"/>
    <w:rsid w:val="04061801"/>
    <w:rsid w:val="044A436A"/>
    <w:rsid w:val="04591674"/>
    <w:rsid w:val="045E3D03"/>
    <w:rsid w:val="04960CC1"/>
    <w:rsid w:val="04B636B0"/>
    <w:rsid w:val="05021CF5"/>
    <w:rsid w:val="0554767A"/>
    <w:rsid w:val="05553238"/>
    <w:rsid w:val="055C5361"/>
    <w:rsid w:val="057F78AE"/>
    <w:rsid w:val="05BC55FF"/>
    <w:rsid w:val="05F344C5"/>
    <w:rsid w:val="0647577E"/>
    <w:rsid w:val="071E3D6E"/>
    <w:rsid w:val="072401B6"/>
    <w:rsid w:val="07244F87"/>
    <w:rsid w:val="074579D3"/>
    <w:rsid w:val="07524999"/>
    <w:rsid w:val="07715302"/>
    <w:rsid w:val="077205C0"/>
    <w:rsid w:val="077B4525"/>
    <w:rsid w:val="07E9636F"/>
    <w:rsid w:val="080E623C"/>
    <w:rsid w:val="08195EF3"/>
    <w:rsid w:val="08235A4A"/>
    <w:rsid w:val="085B33C8"/>
    <w:rsid w:val="085C46C4"/>
    <w:rsid w:val="086F58A2"/>
    <w:rsid w:val="089502CD"/>
    <w:rsid w:val="08B95416"/>
    <w:rsid w:val="08E55977"/>
    <w:rsid w:val="096526B6"/>
    <w:rsid w:val="09E84799"/>
    <w:rsid w:val="0A363AF0"/>
    <w:rsid w:val="0AFC7DFC"/>
    <w:rsid w:val="0B3533C3"/>
    <w:rsid w:val="0B582A62"/>
    <w:rsid w:val="0B86796D"/>
    <w:rsid w:val="0BBF52B2"/>
    <w:rsid w:val="0BD82C3F"/>
    <w:rsid w:val="0BDA0738"/>
    <w:rsid w:val="0C1A0510"/>
    <w:rsid w:val="0C6B185E"/>
    <w:rsid w:val="0CA6063E"/>
    <w:rsid w:val="0CD30C2B"/>
    <w:rsid w:val="0D1B5F95"/>
    <w:rsid w:val="0D410293"/>
    <w:rsid w:val="0D5B58CD"/>
    <w:rsid w:val="0D6931DE"/>
    <w:rsid w:val="0DE20272"/>
    <w:rsid w:val="0DFC2C13"/>
    <w:rsid w:val="0E4B045A"/>
    <w:rsid w:val="0E5D0249"/>
    <w:rsid w:val="0E7773AF"/>
    <w:rsid w:val="0EE17FD7"/>
    <w:rsid w:val="0EFA6F28"/>
    <w:rsid w:val="0F3A2AC9"/>
    <w:rsid w:val="0FF0485B"/>
    <w:rsid w:val="1033268E"/>
    <w:rsid w:val="10346C76"/>
    <w:rsid w:val="10574896"/>
    <w:rsid w:val="108913C8"/>
    <w:rsid w:val="108D45A8"/>
    <w:rsid w:val="109D1177"/>
    <w:rsid w:val="11280B30"/>
    <w:rsid w:val="11561218"/>
    <w:rsid w:val="115936E3"/>
    <w:rsid w:val="11A70258"/>
    <w:rsid w:val="120F7599"/>
    <w:rsid w:val="12415B32"/>
    <w:rsid w:val="12432335"/>
    <w:rsid w:val="12F1290D"/>
    <w:rsid w:val="130E0BED"/>
    <w:rsid w:val="1340104E"/>
    <w:rsid w:val="13653A41"/>
    <w:rsid w:val="140C3397"/>
    <w:rsid w:val="143809F8"/>
    <w:rsid w:val="144A2DEF"/>
    <w:rsid w:val="145D22C7"/>
    <w:rsid w:val="149D7253"/>
    <w:rsid w:val="14A9014B"/>
    <w:rsid w:val="14BA1BCC"/>
    <w:rsid w:val="14BE0A79"/>
    <w:rsid w:val="14C17E72"/>
    <w:rsid w:val="14C37442"/>
    <w:rsid w:val="1500003E"/>
    <w:rsid w:val="15930665"/>
    <w:rsid w:val="15B74C13"/>
    <w:rsid w:val="15BE22FF"/>
    <w:rsid w:val="15D85FE2"/>
    <w:rsid w:val="15EB4E45"/>
    <w:rsid w:val="16047358"/>
    <w:rsid w:val="1626496D"/>
    <w:rsid w:val="16B37B07"/>
    <w:rsid w:val="16B8317A"/>
    <w:rsid w:val="16C43553"/>
    <w:rsid w:val="16EF7BA5"/>
    <w:rsid w:val="16FD008D"/>
    <w:rsid w:val="17893D02"/>
    <w:rsid w:val="178C784F"/>
    <w:rsid w:val="17B46EBC"/>
    <w:rsid w:val="17CD594A"/>
    <w:rsid w:val="17EB3DD8"/>
    <w:rsid w:val="18111F8B"/>
    <w:rsid w:val="1837794E"/>
    <w:rsid w:val="183B4C5D"/>
    <w:rsid w:val="184D0C7A"/>
    <w:rsid w:val="18524BAC"/>
    <w:rsid w:val="18592B10"/>
    <w:rsid w:val="185968F5"/>
    <w:rsid w:val="18782CC4"/>
    <w:rsid w:val="18BC7A5E"/>
    <w:rsid w:val="19033734"/>
    <w:rsid w:val="1932689D"/>
    <w:rsid w:val="19536E25"/>
    <w:rsid w:val="198733AD"/>
    <w:rsid w:val="19991EEC"/>
    <w:rsid w:val="19EA6197"/>
    <w:rsid w:val="19F54BAF"/>
    <w:rsid w:val="1A125EDC"/>
    <w:rsid w:val="1A1B6321"/>
    <w:rsid w:val="1A3D316E"/>
    <w:rsid w:val="1A617F9D"/>
    <w:rsid w:val="1A917E62"/>
    <w:rsid w:val="1AAB41FD"/>
    <w:rsid w:val="1B4825F1"/>
    <w:rsid w:val="1B4B17D0"/>
    <w:rsid w:val="1B52084A"/>
    <w:rsid w:val="1B6B19AF"/>
    <w:rsid w:val="1B7B4D26"/>
    <w:rsid w:val="1B7E3CB0"/>
    <w:rsid w:val="1BEE4193"/>
    <w:rsid w:val="1BF64F4F"/>
    <w:rsid w:val="1C84376D"/>
    <w:rsid w:val="1C8A6593"/>
    <w:rsid w:val="1D282EFD"/>
    <w:rsid w:val="1D5D0D7A"/>
    <w:rsid w:val="1D63771D"/>
    <w:rsid w:val="1DFFD9BF"/>
    <w:rsid w:val="1E1932E1"/>
    <w:rsid w:val="1E674FC9"/>
    <w:rsid w:val="1E8E691C"/>
    <w:rsid w:val="1E98103E"/>
    <w:rsid w:val="1EBF09D7"/>
    <w:rsid w:val="1F2209E9"/>
    <w:rsid w:val="1F51520F"/>
    <w:rsid w:val="1F851444"/>
    <w:rsid w:val="1FB802F2"/>
    <w:rsid w:val="1FCB119D"/>
    <w:rsid w:val="1FD63FF1"/>
    <w:rsid w:val="1FE86B3C"/>
    <w:rsid w:val="20571479"/>
    <w:rsid w:val="20BE0AEB"/>
    <w:rsid w:val="211D3931"/>
    <w:rsid w:val="2125229D"/>
    <w:rsid w:val="212B30B6"/>
    <w:rsid w:val="214231F9"/>
    <w:rsid w:val="21604FB1"/>
    <w:rsid w:val="21905375"/>
    <w:rsid w:val="21936E30"/>
    <w:rsid w:val="21A0524B"/>
    <w:rsid w:val="21CD54CF"/>
    <w:rsid w:val="21E0768C"/>
    <w:rsid w:val="21F86024"/>
    <w:rsid w:val="22175620"/>
    <w:rsid w:val="22212092"/>
    <w:rsid w:val="224E750C"/>
    <w:rsid w:val="228F4DE2"/>
    <w:rsid w:val="22C90207"/>
    <w:rsid w:val="23444129"/>
    <w:rsid w:val="23A53168"/>
    <w:rsid w:val="23DD61F9"/>
    <w:rsid w:val="241365FC"/>
    <w:rsid w:val="24843698"/>
    <w:rsid w:val="24AE4580"/>
    <w:rsid w:val="24CE5D6E"/>
    <w:rsid w:val="24DD2E9C"/>
    <w:rsid w:val="24E0523F"/>
    <w:rsid w:val="24FC0C90"/>
    <w:rsid w:val="25116156"/>
    <w:rsid w:val="25272A37"/>
    <w:rsid w:val="252A0AD7"/>
    <w:rsid w:val="254F2F0D"/>
    <w:rsid w:val="257E1F49"/>
    <w:rsid w:val="259D71CD"/>
    <w:rsid w:val="25BF1F60"/>
    <w:rsid w:val="25F468ED"/>
    <w:rsid w:val="26013F03"/>
    <w:rsid w:val="26056E8A"/>
    <w:rsid w:val="26274B5A"/>
    <w:rsid w:val="267E5ADA"/>
    <w:rsid w:val="268C7753"/>
    <w:rsid w:val="26961CF6"/>
    <w:rsid w:val="26EA575C"/>
    <w:rsid w:val="26FC2724"/>
    <w:rsid w:val="2705677C"/>
    <w:rsid w:val="272376E9"/>
    <w:rsid w:val="2753664C"/>
    <w:rsid w:val="27991A32"/>
    <w:rsid w:val="27AA1E24"/>
    <w:rsid w:val="27E51E09"/>
    <w:rsid w:val="281D1919"/>
    <w:rsid w:val="28450329"/>
    <w:rsid w:val="284E121B"/>
    <w:rsid w:val="28557F50"/>
    <w:rsid w:val="288C38D8"/>
    <w:rsid w:val="289F35E5"/>
    <w:rsid w:val="28A06623"/>
    <w:rsid w:val="28E54A9E"/>
    <w:rsid w:val="29995B0D"/>
    <w:rsid w:val="29B21742"/>
    <w:rsid w:val="29CD4867"/>
    <w:rsid w:val="2A0E6D39"/>
    <w:rsid w:val="2A37136A"/>
    <w:rsid w:val="2A816277"/>
    <w:rsid w:val="2A966EAE"/>
    <w:rsid w:val="2AE610ED"/>
    <w:rsid w:val="2B3C660D"/>
    <w:rsid w:val="2B5A6805"/>
    <w:rsid w:val="2BB26C42"/>
    <w:rsid w:val="2BE86DD4"/>
    <w:rsid w:val="2C7E3F14"/>
    <w:rsid w:val="2C9373B1"/>
    <w:rsid w:val="2CBD3A81"/>
    <w:rsid w:val="2D0D0F6C"/>
    <w:rsid w:val="2D31190F"/>
    <w:rsid w:val="2D447E0E"/>
    <w:rsid w:val="2D5474A6"/>
    <w:rsid w:val="2D5F2018"/>
    <w:rsid w:val="2D5FC0E4"/>
    <w:rsid w:val="2D9E2BDC"/>
    <w:rsid w:val="2DFB71A2"/>
    <w:rsid w:val="2E1E5C40"/>
    <w:rsid w:val="2E2154A7"/>
    <w:rsid w:val="2E42139C"/>
    <w:rsid w:val="2E656FD2"/>
    <w:rsid w:val="2E670CC4"/>
    <w:rsid w:val="2E9C205A"/>
    <w:rsid w:val="2EB4353D"/>
    <w:rsid w:val="2F4847BE"/>
    <w:rsid w:val="2F7C58A4"/>
    <w:rsid w:val="2FE17DD7"/>
    <w:rsid w:val="2FF63A3A"/>
    <w:rsid w:val="30066D3C"/>
    <w:rsid w:val="30244A7B"/>
    <w:rsid w:val="30500350"/>
    <w:rsid w:val="309C6923"/>
    <w:rsid w:val="30AC4667"/>
    <w:rsid w:val="30BE5C11"/>
    <w:rsid w:val="30C61205"/>
    <w:rsid w:val="30F84F44"/>
    <w:rsid w:val="311B4858"/>
    <w:rsid w:val="31B34F5B"/>
    <w:rsid w:val="31C76103"/>
    <w:rsid w:val="31DA682F"/>
    <w:rsid w:val="31E06798"/>
    <w:rsid w:val="31F75CA1"/>
    <w:rsid w:val="320F6140"/>
    <w:rsid w:val="32184C4A"/>
    <w:rsid w:val="322F1B9D"/>
    <w:rsid w:val="327947E1"/>
    <w:rsid w:val="32EC3A7E"/>
    <w:rsid w:val="33133A2B"/>
    <w:rsid w:val="331A6D5B"/>
    <w:rsid w:val="3354739B"/>
    <w:rsid w:val="336B250C"/>
    <w:rsid w:val="339D29DC"/>
    <w:rsid w:val="33C618D6"/>
    <w:rsid w:val="33FF2D73"/>
    <w:rsid w:val="342844FA"/>
    <w:rsid w:val="343839CB"/>
    <w:rsid w:val="345A6307"/>
    <w:rsid w:val="346A286F"/>
    <w:rsid w:val="347F190D"/>
    <w:rsid w:val="34B271AA"/>
    <w:rsid w:val="354923F0"/>
    <w:rsid w:val="35556A0F"/>
    <w:rsid w:val="3565764E"/>
    <w:rsid w:val="35684401"/>
    <w:rsid w:val="356B543D"/>
    <w:rsid w:val="35841412"/>
    <w:rsid w:val="3645589B"/>
    <w:rsid w:val="36813F90"/>
    <w:rsid w:val="36DA5A01"/>
    <w:rsid w:val="37080424"/>
    <w:rsid w:val="373B711F"/>
    <w:rsid w:val="37525A26"/>
    <w:rsid w:val="37927700"/>
    <w:rsid w:val="379F1CCC"/>
    <w:rsid w:val="37DA56D8"/>
    <w:rsid w:val="37DD1F80"/>
    <w:rsid w:val="37EA02D3"/>
    <w:rsid w:val="38283F0F"/>
    <w:rsid w:val="382A06A9"/>
    <w:rsid w:val="38690C21"/>
    <w:rsid w:val="38736D6A"/>
    <w:rsid w:val="38C10001"/>
    <w:rsid w:val="38C602AF"/>
    <w:rsid w:val="391D3829"/>
    <w:rsid w:val="39285304"/>
    <w:rsid w:val="397F2F54"/>
    <w:rsid w:val="398F0FFC"/>
    <w:rsid w:val="398F3CA1"/>
    <w:rsid w:val="39AF6E87"/>
    <w:rsid w:val="39E065C6"/>
    <w:rsid w:val="39E24237"/>
    <w:rsid w:val="39E3652C"/>
    <w:rsid w:val="3A38094C"/>
    <w:rsid w:val="3A4B6C9E"/>
    <w:rsid w:val="3A7E47CB"/>
    <w:rsid w:val="3B053B39"/>
    <w:rsid w:val="3B3D36AA"/>
    <w:rsid w:val="3B536376"/>
    <w:rsid w:val="3B8576B0"/>
    <w:rsid w:val="3B944BE1"/>
    <w:rsid w:val="3BC4103C"/>
    <w:rsid w:val="3BF6086A"/>
    <w:rsid w:val="3C5373A2"/>
    <w:rsid w:val="3C6C127E"/>
    <w:rsid w:val="3CAD3B9A"/>
    <w:rsid w:val="3CDB69FF"/>
    <w:rsid w:val="3CEC4000"/>
    <w:rsid w:val="3D9E2B22"/>
    <w:rsid w:val="3DE02F55"/>
    <w:rsid w:val="3DE05719"/>
    <w:rsid w:val="3DFF5FCD"/>
    <w:rsid w:val="3E4623E6"/>
    <w:rsid w:val="3E492C5C"/>
    <w:rsid w:val="3EA35764"/>
    <w:rsid w:val="3ECC67EA"/>
    <w:rsid w:val="3EE13EE9"/>
    <w:rsid w:val="3EF44577"/>
    <w:rsid w:val="3F0F0BE2"/>
    <w:rsid w:val="3F3C2B8E"/>
    <w:rsid w:val="3F694895"/>
    <w:rsid w:val="3F9E7CF1"/>
    <w:rsid w:val="3FB472AD"/>
    <w:rsid w:val="3FDA3976"/>
    <w:rsid w:val="3FEEAA64"/>
    <w:rsid w:val="3FEF3FC9"/>
    <w:rsid w:val="3FF52E19"/>
    <w:rsid w:val="403E1960"/>
    <w:rsid w:val="40496A40"/>
    <w:rsid w:val="407C318D"/>
    <w:rsid w:val="40B651B6"/>
    <w:rsid w:val="40C22711"/>
    <w:rsid w:val="40D65D0B"/>
    <w:rsid w:val="410B50C8"/>
    <w:rsid w:val="41122101"/>
    <w:rsid w:val="415E6AEF"/>
    <w:rsid w:val="41821120"/>
    <w:rsid w:val="41A85855"/>
    <w:rsid w:val="41B056FD"/>
    <w:rsid w:val="41B45A71"/>
    <w:rsid w:val="41B829FD"/>
    <w:rsid w:val="41BD104F"/>
    <w:rsid w:val="41D946F0"/>
    <w:rsid w:val="42DA5A94"/>
    <w:rsid w:val="430950B9"/>
    <w:rsid w:val="431A3F12"/>
    <w:rsid w:val="43352D37"/>
    <w:rsid w:val="440D33ED"/>
    <w:rsid w:val="446318F4"/>
    <w:rsid w:val="44DF29F6"/>
    <w:rsid w:val="452F446F"/>
    <w:rsid w:val="453829F6"/>
    <w:rsid w:val="453D481B"/>
    <w:rsid w:val="4561560D"/>
    <w:rsid w:val="458C3719"/>
    <w:rsid w:val="45EC73BA"/>
    <w:rsid w:val="45EE1AFF"/>
    <w:rsid w:val="46223E12"/>
    <w:rsid w:val="462B1DDD"/>
    <w:rsid w:val="46307D05"/>
    <w:rsid w:val="463E118C"/>
    <w:rsid w:val="46491B6F"/>
    <w:rsid w:val="465B2D8B"/>
    <w:rsid w:val="46776605"/>
    <w:rsid w:val="469B3313"/>
    <w:rsid w:val="46D17B65"/>
    <w:rsid w:val="46D93CF1"/>
    <w:rsid w:val="470A538B"/>
    <w:rsid w:val="475A41A2"/>
    <w:rsid w:val="478D229A"/>
    <w:rsid w:val="47B543C7"/>
    <w:rsid w:val="47F71EB6"/>
    <w:rsid w:val="483D2B0E"/>
    <w:rsid w:val="48800D4D"/>
    <w:rsid w:val="48BE3356"/>
    <w:rsid w:val="48D573B2"/>
    <w:rsid w:val="48EF0B1C"/>
    <w:rsid w:val="48EF6644"/>
    <w:rsid w:val="4901632C"/>
    <w:rsid w:val="49367DCB"/>
    <w:rsid w:val="493E6225"/>
    <w:rsid w:val="49AC5302"/>
    <w:rsid w:val="49B204CE"/>
    <w:rsid w:val="4A014102"/>
    <w:rsid w:val="4ADF0021"/>
    <w:rsid w:val="4B6B2624"/>
    <w:rsid w:val="4B7163E4"/>
    <w:rsid w:val="4B814C16"/>
    <w:rsid w:val="4BCF5A03"/>
    <w:rsid w:val="4BD051C6"/>
    <w:rsid w:val="4BFA28DF"/>
    <w:rsid w:val="4C096C91"/>
    <w:rsid w:val="4C1F4426"/>
    <w:rsid w:val="4C2F52B9"/>
    <w:rsid w:val="4C5E40D5"/>
    <w:rsid w:val="4C8062FB"/>
    <w:rsid w:val="4CA448D9"/>
    <w:rsid w:val="4CB03E07"/>
    <w:rsid w:val="4CCA578B"/>
    <w:rsid w:val="4CE12FF4"/>
    <w:rsid w:val="4CE6624D"/>
    <w:rsid w:val="4D022AC8"/>
    <w:rsid w:val="4D136991"/>
    <w:rsid w:val="4D224F15"/>
    <w:rsid w:val="4D2EF403"/>
    <w:rsid w:val="4D514C87"/>
    <w:rsid w:val="4D560C1D"/>
    <w:rsid w:val="4D654DCD"/>
    <w:rsid w:val="4DBC0010"/>
    <w:rsid w:val="4DD642A7"/>
    <w:rsid w:val="4DFB1F60"/>
    <w:rsid w:val="4E2E6792"/>
    <w:rsid w:val="4E9776CC"/>
    <w:rsid w:val="4EA24854"/>
    <w:rsid w:val="4EE71FFE"/>
    <w:rsid w:val="4EE96F7A"/>
    <w:rsid w:val="4F341B4C"/>
    <w:rsid w:val="4F967008"/>
    <w:rsid w:val="4F9A2C4A"/>
    <w:rsid w:val="4FEA2CB9"/>
    <w:rsid w:val="50673179"/>
    <w:rsid w:val="51024103"/>
    <w:rsid w:val="510E79A5"/>
    <w:rsid w:val="51674809"/>
    <w:rsid w:val="51F65161"/>
    <w:rsid w:val="51F66AA6"/>
    <w:rsid w:val="51F71ED3"/>
    <w:rsid w:val="520B4AAB"/>
    <w:rsid w:val="52117B0C"/>
    <w:rsid w:val="52450ED8"/>
    <w:rsid w:val="52506A76"/>
    <w:rsid w:val="52757B0E"/>
    <w:rsid w:val="5276311A"/>
    <w:rsid w:val="52ED1546"/>
    <w:rsid w:val="530E2528"/>
    <w:rsid w:val="5336216F"/>
    <w:rsid w:val="536476E1"/>
    <w:rsid w:val="537D695B"/>
    <w:rsid w:val="538637CC"/>
    <w:rsid w:val="53863D11"/>
    <w:rsid w:val="538C545F"/>
    <w:rsid w:val="53947B06"/>
    <w:rsid w:val="53C96B19"/>
    <w:rsid w:val="53D05CE3"/>
    <w:rsid w:val="53EB1A58"/>
    <w:rsid w:val="53FE2BC8"/>
    <w:rsid w:val="541E0424"/>
    <w:rsid w:val="54366A1C"/>
    <w:rsid w:val="546E205D"/>
    <w:rsid w:val="547A5B6F"/>
    <w:rsid w:val="549F52E8"/>
    <w:rsid w:val="54D6605C"/>
    <w:rsid w:val="54DD64C8"/>
    <w:rsid w:val="55264138"/>
    <w:rsid w:val="55613240"/>
    <w:rsid w:val="55773420"/>
    <w:rsid w:val="558C68FC"/>
    <w:rsid w:val="559E5A11"/>
    <w:rsid w:val="55A5347D"/>
    <w:rsid w:val="564121B6"/>
    <w:rsid w:val="57142670"/>
    <w:rsid w:val="574D57E6"/>
    <w:rsid w:val="57CA0115"/>
    <w:rsid w:val="57D0743E"/>
    <w:rsid w:val="57F20686"/>
    <w:rsid w:val="58091BB9"/>
    <w:rsid w:val="583C03D8"/>
    <w:rsid w:val="586755A8"/>
    <w:rsid w:val="58C77C4C"/>
    <w:rsid w:val="58CE431A"/>
    <w:rsid w:val="58F16A74"/>
    <w:rsid w:val="58F214AF"/>
    <w:rsid w:val="58FF210C"/>
    <w:rsid w:val="59090384"/>
    <w:rsid w:val="59125105"/>
    <w:rsid w:val="59406718"/>
    <w:rsid w:val="59790DC9"/>
    <w:rsid w:val="597B61E4"/>
    <w:rsid w:val="599649A8"/>
    <w:rsid w:val="59A55470"/>
    <w:rsid w:val="59AA44AC"/>
    <w:rsid w:val="59EB516A"/>
    <w:rsid w:val="5A114393"/>
    <w:rsid w:val="5A2D5403"/>
    <w:rsid w:val="5A582575"/>
    <w:rsid w:val="5A726D75"/>
    <w:rsid w:val="5A72701C"/>
    <w:rsid w:val="5B274488"/>
    <w:rsid w:val="5B532A3F"/>
    <w:rsid w:val="5B7D5C8B"/>
    <w:rsid w:val="5B9A61E2"/>
    <w:rsid w:val="5BBA672B"/>
    <w:rsid w:val="5BC92996"/>
    <w:rsid w:val="5BCE3868"/>
    <w:rsid w:val="5BDE1DC2"/>
    <w:rsid w:val="5CA07A90"/>
    <w:rsid w:val="5CB30787"/>
    <w:rsid w:val="5CDD378B"/>
    <w:rsid w:val="5D4C62B0"/>
    <w:rsid w:val="5D5338AC"/>
    <w:rsid w:val="5D7173C7"/>
    <w:rsid w:val="5D790044"/>
    <w:rsid w:val="5D8D340D"/>
    <w:rsid w:val="5D94619C"/>
    <w:rsid w:val="5DD2076A"/>
    <w:rsid w:val="5E882E35"/>
    <w:rsid w:val="5EA60235"/>
    <w:rsid w:val="5EB159A8"/>
    <w:rsid w:val="5F160263"/>
    <w:rsid w:val="5F580586"/>
    <w:rsid w:val="5F792E95"/>
    <w:rsid w:val="5F952C4F"/>
    <w:rsid w:val="5FA36AB1"/>
    <w:rsid w:val="5FAD40F5"/>
    <w:rsid w:val="5FB02792"/>
    <w:rsid w:val="5FB32D21"/>
    <w:rsid w:val="5FB5513D"/>
    <w:rsid w:val="5FC91F92"/>
    <w:rsid w:val="5FCA43B9"/>
    <w:rsid w:val="5FD20458"/>
    <w:rsid w:val="5FDA1AB5"/>
    <w:rsid w:val="5FDC6A46"/>
    <w:rsid w:val="5FF27F8E"/>
    <w:rsid w:val="602225C6"/>
    <w:rsid w:val="60351019"/>
    <w:rsid w:val="60517652"/>
    <w:rsid w:val="60671D01"/>
    <w:rsid w:val="60A82F9D"/>
    <w:rsid w:val="60C154BA"/>
    <w:rsid w:val="60D763FE"/>
    <w:rsid w:val="614208AF"/>
    <w:rsid w:val="61FD1633"/>
    <w:rsid w:val="6206374F"/>
    <w:rsid w:val="620D5F4E"/>
    <w:rsid w:val="62574B9F"/>
    <w:rsid w:val="62672FAF"/>
    <w:rsid w:val="626F6054"/>
    <w:rsid w:val="62750B1A"/>
    <w:rsid w:val="62BA1672"/>
    <w:rsid w:val="62E61C76"/>
    <w:rsid w:val="62FB74EE"/>
    <w:rsid w:val="63127E64"/>
    <w:rsid w:val="633D3934"/>
    <w:rsid w:val="63656FAE"/>
    <w:rsid w:val="63827AFC"/>
    <w:rsid w:val="639D0D3D"/>
    <w:rsid w:val="63A70D24"/>
    <w:rsid w:val="63BA50B5"/>
    <w:rsid w:val="63D20880"/>
    <w:rsid w:val="64380F8E"/>
    <w:rsid w:val="644902DF"/>
    <w:rsid w:val="64670A4D"/>
    <w:rsid w:val="647369F2"/>
    <w:rsid w:val="648010BA"/>
    <w:rsid w:val="64825AEF"/>
    <w:rsid w:val="64BC449E"/>
    <w:rsid w:val="64E161B1"/>
    <w:rsid w:val="6518256A"/>
    <w:rsid w:val="653B397C"/>
    <w:rsid w:val="65446C6D"/>
    <w:rsid w:val="65560944"/>
    <w:rsid w:val="6582167A"/>
    <w:rsid w:val="65903CFB"/>
    <w:rsid w:val="65E22B7D"/>
    <w:rsid w:val="65E358E4"/>
    <w:rsid w:val="660974CA"/>
    <w:rsid w:val="66144B02"/>
    <w:rsid w:val="661F1DE7"/>
    <w:rsid w:val="663A5C37"/>
    <w:rsid w:val="66B80FD4"/>
    <w:rsid w:val="672E4EBD"/>
    <w:rsid w:val="674939D6"/>
    <w:rsid w:val="675E59B4"/>
    <w:rsid w:val="67827ABF"/>
    <w:rsid w:val="67B67DBB"/>
    <w:rsid w:val="67CC2F67"/>
    <w:rsid w:val="67CC543C"/>
    <w:rsid w:val="67F16764"/>
    <w:rsid w:val="67F9B2EC"/>
    <w:rsid w:val="67FF273B"/>
    <w:rsid w:val="681A4FC4"/>
    <w:rsid w:val="686C48BF"/>
    <w:rsid w:val="68917019"/>
    <w:rsid w:val="68C726A5"/>
    <w:rsid w:val="6948378F"/>
    <w:rsid w:val="698352E7"/>
    <w:rsid w:val="6984327E"/>
    <w:rsid w:val="69873C4D"/>
    <w:rsid w:val="698D7F90"/>
    <w:rsid w:val="69971CDC"/>
    <w:rsid w:val="69C015CA"/>
    <w:rsid w:val="6A223EA6"/>
    <w:rsid w:val="6A48588C"/>
    <w:rsid w:val="6A575A70"/>
    <w:rsid w:val="6A5C01F5"/>
    <w:rsid w:val="6A620056"/>
    <w:rsid w:val="6A7B356D"/>
    <w:rsid w:val="6AC31DB0"/>
    <w:rsid w:val="6B452BBB"/>
    <w:rsid w:val="6B454B57"/>
    <w:rsid w:val="6BD82612"/>
    <w:rsid w:val="6BE20FB1"/>
    <w:rsid w:val="6C6C68CE"/>
    <w:rsid w:val="6CA134AA"/>
    <w:rsid w:val="6CD85494"/>
    <w:rsid w:val="6D5761CF"/>
    <w:rsid w:val="6DB406A7"/>
    <w:rsid w:val="6DEE25FE"/>
    <w:rsid w:val="6DF53E4D"/>
    <w:rsid w:val="6E310F21"/>
    <w:rsid w:val="6E6E27A6"/>
    <w:rsid w:val="6E753F28"/>
    <w:rsid w:val="6E83368B"/>
    <w:rsid w:val="6EA52E4E"/>
    <w:rsid w:val="6EA97457"/>
    <w:rsid w:val="6ECE0C85"/>
    <w:rsid w:val="6F6018A4"/>
    <w:rsid w:val="6F693189"/>
    <w:rsid w:val="6F9DC60E"/>
    <w:rsid w:val="7007308C"/>
    <w:rsid w:val="704E41A8"/>
    <w:rsid w:val="70BB75A3"/>
    <w:rsid w:val="70C578A2"/>
    <w:rsid w:val="70E50A34"/>
    <w:rsid w:val="70F63668"/>
    <w:rsid w:val="71526B69"/>
    <w:rsid w:val="7160281F"/>
    <w:rsid w:val="719A6BE7"/>
    <w:rsid w:val="71C923CC"/>
    <w:rsid w:val="71EB5739"/>
    <w:rsid w:val="720D5060"/>
    <w:rsid w:val="72306B38"/>
    <w:rsid w:val="72373D93"/>
    <w:rsid w:val="727A5985"/>
    <w:rsid w:val="727C6D52"/>
    <w:rsid w:val="731B3719"/>
    <w:rsid w:val="739B4217"/>
    <w:rsid w:val="74530C41"/>
    <w:rsid w:val="74670BD3"/>
    <w:rsid w:val="746A18D5"/>
    <w:rsid w:val="748F72A5"/>
    <w:rsid w:val="749C79C6"/>
    <w:rsid w:val="74B15D62"/>
    <w:rsid w:val="74E1677B"/>
    <w:rsid w:val="75050C6E"/>
    <w:rsid w:val="75521329"/>
    <w:rsid w:val="75603FA8"/>
    <w:rsid w:val="75F72AAB"/>
    <w:rsid w:val="76212B09"/>
    <w:rsid w:val="76366FA8"/>
    <w:rsid w:val="767E9AD9"/>
    <w:rsid w:val="76BC2E9C"/>
    <w:rsid w:val="7715018B"/>
    <w:rsid w:val="775A2047"/>
    <w:rsid w:val="778174BF"/>
    <w:rsid w:val="779A53B2"/>
    <w:rsid w:val="77A812CC"/>
    <w:rsid w:val="77D537C7"/>
    <w:rsid w:val="785A6E89"/>
    <w:rsid w:val="78786AE6"/>
    <w:rsid w:val="78B53B73"/>
    <w:rsid w:val="78BF11F1"/>
    <w:rsid w:val="7916585A"/>
    <w:rsid w:val="791F6B25"/>
    <w:rsid w:val="79257414"/>
    <w:rsid w:val="799B60AC"/>
    <w:rsid w:val="79A24AE0"/>
    <w:rsid w:val="79E8413F"/>
    <w:rsid w:val="7A140EFA"/>
    <w:rsid w:val="7A3054FE"/>
    <w:rsid w:val="7A3754CF"/>
    <w:rsid w:val="7A8667B3"/>
    <w:rsid w:val="7A8F3AAE"/>
    <w:rsid w:val="7AA1406E"/>
    <w:rsid w:val="7AB41161"/>
    <w:rsid w:val="7B1A0118"/>
    <w:rsid w:val="7B486EC0"/>
    <w:rsid w:val="7BBD4F47"/>
    <w:rsid w:val="7BDECB6F"/>
    <w:rsid w:val="7C2050E3"/>
    <w:rsid w:val="7C6C33AC"/>
    <w:rsid w:val="7C9977CC"/>
    <w:rsid w:val="7CBA7768"/>
    <w:rsid w:val="7CCA289C"/>
    <w:rsid w:val="7CFEB1EA"/>
    <w:rsid w:val="7D0668E7"/>
    <w:rsid w:val="7D86695B"/>
    <w:rsid w:val="7DA95022"/>
    <w:rsid w:val="7DBE536A"/>
    <w:rsid w:val="7DD54C56"/>
    <w:rsid w:val="7DEA07E4"/>
    <w:rsid w:val="7DEF3717"/>
    <w:rsid w:val="7E006375"/>
    <w:rsid w:val="7E317C24"/>
    <w:rsid w:val="7E48019B"/>
    <w:rsid w:val="7E5029B5"/>
    <w:rsid w:val="7E514C6E"/>
    <w:rsid w:val="7E682726"/>
    <w:rsid w:val="7E811580"/>
    <w:rsid w:val="7EEC4A8A"/>
    <w:rsid w:val="7F325C7E"/>
    <w:rsid w:val="7F52516C"/>
    <w:rsid w:val="7F6F242B"/>
    <w:rsid w:val="7F7736ED"/>
    <w:rsid w:val="7F7B02A3"/>
    <w:rsid w:val="7F7C1CF8"/>
    <w:rsid w:val="7F8B3675"/>
    <w:rsid w:val="7F980CE9"/>
    <w:rsid w:val="7FA11504"/>
    <w:rsid w:val="7FE7D689"/>
    <w:rsid w:val="7FFC2B80"/>
    <w:rsid w:val="9FD7D4DF"/>
    <w:rsid w:val="A6EFBB00"/>
    <w:rsid w:val="ADF913DC"/>
    <w:rsid w:val="BCDFDF96"/>
    <w:rsid w:val="BECEE61A"/>
    <w:rsid w:val="BFFC3EF0"/>
    <w:rsid w:val="D7D7DAFC"/>
    <w:rsid w:val="DBFFD457"/>
    <w:rsid w:val="DEFFE100"/>
    <w:rsid w:val="DFFE7479"/>
    <w:rsid w:val="EFB1A551"/>
    <w:rsid w:val="EFBFCDC1"/>
    <w:rsid w:val="EFFB46B6"/>
    <w:rsid w:val="F3BE2247"/>
    <w:rsid w:val="F3FF673F"/>
    <w:rsid w:val="F7F5B293"/>
    <w:rsid w:val="FF7752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75"/>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7"/>
    <w:qFormat/>
    <w:uiPriority w:val="99"/>
    <w:pPr>
      <w:keepNext/>
      <w:keepLines/>
      <w:widowControl w:val="0"/>
      <w:tabs>
        <w:tab w:val="left" w:pos="864"/>
      </w:tabs>
      <w:spacing w:before="280" w:after="290" w:line="376" w:lineRule="auto"/>
      <w:jc w:val="both"/>
      <w:outlineLvl w:val="3"/>
    </w:pPr>
    <w:rPr>
      <w:rFonts w:ascii="Arial" w:hAnsi="Arial" w:eastAsia="黑体"/>
      <w:b/>
      <w:bCs/>
      <w:kern w:val="2"/>
      <w:sz w:val="28"/>
      <w:szCs w:val="28"/>
      <w:lang w:val="zh-CN"/>
    </w:rPr>
  </w:style>
  <w:style w:type="paragraph" w:styleId="6">
    <w:name w:val="heading 5"/>
    <w:basedOn w:val="1"/>
    <w:next w:val="1"/>
    <w:link w:val="78"/>
    <w:qFormat/>
    <w:uiPriority w:val="0"/>
    <w:pPr>
      <w:keepNext/>
      <w:keepLines/>
      <w:widowControl w:val="0"/>
      <w:tabs>
        <w:tab w:val="left" w:pos="1008"/>
      </w:tabs>
      <w:spacing w:before="280" w:after="290" w:line="376" w:lineRule="auto"/>
      <w:jc w:val="both"/>
      <w:outlineLvl w:val="4"/>
    </w:pPr>
    <w:rPr>
      <w:rFonts w:ascii="Calibri" w:hAnsi="Calibri"/>
      <w:b/>
      <w:bCs/>
      <w:kern w:val="2"/>
      <w:sz w:val="28"/>
      <w:szCs w:val="28"/>
    </w:rPr>
  </w:style>
  <w:style w:type="paragraph" w:styleId="7">
    <w:name w:val="heading 6"/>
    <w:basedOn w:val="1"/>
    <w:next w:val="1"/>
    <w:link w:val="79"/>
    <w:qFormat/>
    <w:uiPriority w:val="0"/>
    <w:pPr>
      <w:keepNext/>
      <w:keepLines/>
      <w:widowControl w:val="0"/>
      <w:tabs>
        <w:tab w:val="left" w:pos="1152"/>
      </w:tabs>
      <w:spacing w:before="240" w:after="64" w:line="320" w:lineRule="auto"/>
      <w:jc w:val="both"/>
      <w:outlineLvl w:val="5"/>
    </w:pPr>
    <w:rPr>
      <w:rFonts w:ascii="Arial" w:hAnsi="Arial" w:eastAsia="黑体"/>
      <w:b/>
      <w:bCs/>
      <w:kern w:val="2"/>
      <w:sz w:val="24"/>
      <w:szCs w:val="24"/>
    </w:rPr>
  </w:style>
  <w:style w:type="paragraph" w:styleId="8">
    <w:name w:val="heading 7"/>
    <w:basedOn w:val="1"/>
    <w:next w:val="1"/>
    <w:link w:val="80"/>
    <w:qFormat/>
    <w:uiPriority w:val="0"/>
    <w:pPr>
      <w:keepNext/>
      <w:keepLines/>
      <w:widowControl w:val="0"/>
      <w:tabs>
        <w:tab w:val="left" w:pos="1296"/>
      </w:tabs>
      <w:spacing w:before="240" w:after="64" w:line="320" w:lineRule="auto"/>
      <w:jc w:val="both"/>
      <w:outlineLvl w:val="6"/>
    </w:pPr>
    <w:rPr>
      <w:rFonts w:ascii="Calibri" w:hAnsi="Calibri"/>
      <w:b/>
      <w:bCs/>
      <w:kern w:val="2"/>
      <w:sz w:val="24"/>
      <w:szCs w:val="24"/>
    </w:rPr>
  </w:style>
  <w:style w:type="paragraph" w:styleId="9">
    <w:name w:val="heading 8"/>
    <w:basedOn w:val="1"/>
    <w:next w:val="1"/>
    <w:link w:val="81"/>
    <w:qFormat/>
    <w:uiPriority w:val="0"/>
    <w:pPr>
      <w:keepNext/>
      <w:keepLines/>
      <w:widowControl w:val="0"/>
      <w:tabs>
        <w:tab w:val="left" w:pos="1440"/>
      </w:tabs>
      <w:spacing w:before="240" w:after="64" w:line="320" w:lineRule="auto"/>
      <w:jc w:val="both"/>
      <w:outlineLvl w:val="7"/>
    </w:pPr>
    <w:rPr>
      <w:rFonts w:ascii="Arial" w:hAnsi="Arial" w:eastAsia="黑体"/>
      <w:kern w:val="2"/>
      <w:sz w:val="24"/>
      <w:szCs w:val="24"/>
    </w:rPr>
  </w:style>
  <w:style w:type="paragraph" w:styleId="10">
    <w:name w:val="heading 9"/>
    <w:basedOn w:val="1"/>
    <w:next w:val="1"/>
    <w:link w:val="82"/>
    <w:qFormat/>
    <w:uiPriority w:val="0"/>
    <w:pPr>
      <w:keepNext/>
      <w:keepLines/>
      <w:widowControl w:val="0"/>
      <w:tabs>
        <w:tab w:val="left" w:pos="1584"/>
      </w:tabs>
      <w:spacing w:before="240" w:after="64" w:line="320" w:lineRule="auto"/>
      <w:jc w:val="both"/>
      <w:outlineLvl w:val="8"/>
    </w:pPr>
    <w:rPr>
      <w:rFonts w:ascii="Arial" w:hAnsi="Arial" w:eastAsia="黑体"/>
      <w:kern w:val="2"/>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ind w:left="100" w:leftChars="400" w:hanging="200" w:hangingChars="200"/>
      <w:jc w:val="both"/>
    </w:pPr>
    <w:rPr>
      <w:kern w:val="2"/>
      <w:szCs w:val="24"/>
    </w:rPr>
  </w:style>
  <w:style w:type="paragraph" w:styleId="12">
    <w:name w:val="toc 7"/>
    <w:basedOn w:val="1"/>
    <w:next w:val="1"/>
    <w:qFormat/>
    <w:uiPriority w:val="99"/>
    <w:pPr>
      <w:ind w:left="1260"/>
    </w:pPr>
    <w:rPr>
      <w:rFonts w:ascii="Calibri" w:hAnsi="Calibri"/>
      <w:sz w:val="18"/>
      <w:szCs w:val="18"/>
    </w:rPr>
  </w:style>
  <w:style w:type="paragraph" w:styleId="13">
    <w:name w:val="List Number"/>
    <w:basedOn w:val="1"/>
    <w:qFormat/>
    <w:uiPriority w:val="99"/>
    <w:pPr>
      <w:widowControl w:val="0"/>
      <w:numPr>
        <w:ilvl w:val="0"/>
        <w:numId w:val="1"/>
      </w:numPr>
      <w:tabs>
        <w:tab w:val="left" w:pos="360"/>
      </w:tabs>
      <w:jc w:val="both"/>
    </w:pPr>
    <w:rPr>
      <w:rFonts w:ascii="Calibri" w:hAnsi="Calibri"/>
      <w:kern w:val="2"/>
      <w:szCs w:val="24"/>
    </w:rPr>
  </w:style>
  <w:style w:type="paragraph" w:styleId="14">
    <w:name w:val="Normal Indent"/>
    <w:basedOn w:val="1"/>
    <w:link w:val="83"/>
    <w:qFormat/>
    <w:uiPriority w:val="0"/>
    <w:pPr>
      <w:ind w:firstLine="420"/>
    </w:pPr>
  </w:style>
  <w:style w:type="paragraph" w:styleId="15">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6">
    <w:name w:val="Document Map"/>
    <w:basedOn w:val="1"/>
    <w:link w:val="84"/>
    <w:qFormat/>
    <w:uiPriority w:val="0"/>
    <w:rPr>
      <w:rFonts w:ascii="宋体"/>
      <w:sz w:val="18"/>
      <w:szCs w:val="18"/>
    </w:rPr>
  </w:style>
  <w:style w:type="paragraph" w:styleId="17">
    <w:name w:val="annotation text"/>
    <w:basedOn w:val="1"/>
    <w:link w:val="85"/>
    <w:qFormat/>
    <w:uiPriority w:val="0"/>
  </w:style>
  <w:style w:type="paragraph" w:styleId="18">
    <w:name w:val="Body Text 3"/>
    <w:basedOn w:val="1"/>
    <w:link w:val="86"/>
    <w:qFormat/>
    <w:uiPriority w:val="0"/>
    <w:pPr>
      <w:widowControl w:val="0"/>
      <w:jc w:val="both"/>
    </w:pPr>
    <w:rPr>
      <w:rFonts w:ascii="宋体"/>
      <w:kern w:val="2"/>
      <w:sz w:val="24"/>
    </w:rPr>
  </w:style>
  <w:style w:type="paragraph" w:styleId="19">
    <w:name w:val="Body Text"/>
    <w:basedOn w:val="1"/>
    <w:next w:val="20"/>
    <w:link w:val="87"/>
    <w:qFormat/>
    <w:uiPriority w:val="0"/>
    <w:pPr>
      <w:widowControl w:val="0"/>
      <w:spacing w:line="360" w:lineRule="auto"/>
      <w:jc w:val="both"/>
    </w:pPr>
    <w:rPr>
      <w:rFonts w:ascii="楷体_GB2312" w:eastAsia="楷体_GB2312"/>
      <w:kern w:val="2"/>
      <w:sz w:val="32"/>
    </w:rPr>
  </w:style>
  <w:style w:type="paragraph" w:styleId="20">
    <w:name w:val="Body Text First Indent"/>
    <w:basedOn w:val="19"/>
    <w:next w:val="21"/>
    <w:link w:val="104"/>
    <w:qFormat/>
    <w:uiPriority w:val="0"/>
    <w:pPr>
      <w:spacing w:after="120" w:line="240" w:lineRule="auto"/>
      <w:ind w:firstLine="420" w:firstLineChars="100"/>
    </w:pPr>
    <w:rPr>
      <w:rFonts w:ascii="Times New Roman" w:eastAsia="宋体"/>
      <w:sz w:val="21"/>
      <w:szCs w:val="24"/>
    </w:rPr>
  </w:style>
  <w:style w:type="paragraph" w:styleId="21">
    <w:name w:val="toc 6"/>
    <w:basedOn w:val="1"/>
    <w:next w:val="1"/>
    <w:qFormat/>
    <w:uiPriority w:val="99"/>
    <w:pPr>
      <w:ind w:left="1050"/>
    </w:pPr>
    <w:rPr>
      <w:rFonts w:ascii="Calibri" w:hAnsi="Calibri"/>
      <w:sz w:val="18"/>
      <w:szCs w:val="18"/>
    </w:rPr>
  </w:style>
  <w:style w:type="paragraph" w:styleId="22">
    <w:name w:val="Body Text Indent"/>
    <w:basedOn w:val="1"/>
    <w:link w:val="88"/>
    <w:qFormat/>
    <w:uiPriority w:val="0"/>
    <w:pPr>
      <w:spacing w:after="120"/>
      <w:ind w:left="420" w:leftChars="200"/>
    </w:pPr>
  </w:style>
  <w:style w:type="paragraph" w:styleId="23">
    <w:name w:val="List 2"/>
    <w:basedOn w:val="1"/>
    <w:qFormat/>
    <w:uiPriority w:val="99"/>
    <w:pPr>
      <w:ind w:left="100" w:leftChars="200" w:hanging="200" w:hangingChars="200"/>
      <w:contextualSpacing/>
    </w:pPr>
  </w:style>
  <w:style w:type="paragraph" w:styleId="24">
    <w:name w:val="Block Text"/>
    <w:basedOn w:val="1"/>
    <w:qFormat/>
    <w:uiPriority w:val="0"/>
    <w:pPr>
      <w:widowControl w:val="0"/>
      <w:adjustRightInd w:val="0"/>
      <w:ind w:left="420" w:right="33"/>
      <w:textAlignment w:val="baseline"/>
    </w:pPr>
    <w:rPr>
      <w:rFonts w:ascii="Calibri" w:hAnsi="Calibri"/>
      <w:sz w:val="24"/>
    </w:rPr>
  </w:style>
  <w:style w:type="paragraph" w:styleId="25">
    <w:name w:val="List Bullet 2"/>
    <w:basedOn w:val="1"/>
    <w:qFormat/>
    <w:uiPriority w:val="0"/>
    <w:pPr>
      <w:widowControl w:val="0"/>
      <w:tabs>
        <w:tab w:val="left" w:pos="1200"/>
      </w:tabs>
      <w:spacing w:line="460" w:lineRule="exact"/>
      <w:ind w:left="1200" w:hanging="720"/>
      <w:jc w:val="both"/>
    </w:pPr>
    <w:rPr>
      <w:rFonts w:ascii="Calibri" w:hAnsi="Calibri"/>
      <w:spacing w:val="6"/>
      <w:kern w:val="2"/>
      <w:sz w:val="24"/>
    </w:rPr>
  </w:style>
  <w:style w:type="paragraph" w:styleId="26">
    <w:name w:val="index 4"/>
    <w:basedOn w:val="1"/>
    <w:next w:val="1"/>
    <w:qFormat/>
    <w:uiPriority w:val="0"/>
    <w:pPr>
      <w:widowControl w:val="0"/>
      <w:ind w:left="600" w:leftChars="600"/>
      <w:jc w:val="both"/>
    </w:pPr>
    <w:rPr>
      <w:rFonts w:ascii="Calibri" w:hAnsi="Calibri"/>
      <w:kern w:val="2"/>
      <w:szCs w:val="24"/>
    </w:rPr>
  </w:style>
  <w:style w:type="paragraph" w:styleId="27">
    <w:name w:val="toc 5"/>
    <w:basedOn w:val="1"/>
    <w:next w:val="1"/>
    <w:qFormat/>
    <w:uiPriority w:val="99"/>
    <w:pPr>
      <w:ind w:left="840"/>
    </w:pPr>
    <w:rPr>
      <w:rFonts w:ascii="Calibri" w:hAnsi="Calibri"/>
      <w:sz w:val="18"/>
      <w:szCs w:val="18"/>
    </w:rPr>
  </w:style>
  <w:style w:type="paragraph" w:styleId="28">
    <w:name w:val="toc 3"/>
    <w:basedOn w:val="1"/>
    <w:next w:val="1"/>
    <w:qFormat/>
    <w:uiPriority w:val="99"/>
    <w:pPr>
      <w:ind w:left="420"/>
    </w:pPr>
    <w:rPr>
      <w:rFonts w:ascii="Calibri" w:hAnsi="Calibri"/>
      <w:i/>
      <w:iCs/>
      <w:sz w:val="20"/>
    </w:rPr>
  </w:style>
  <w:style w:type="paragraph" w:styleId="29">
    <w:name w:val="Plain Text"/>
    <w:basedOn w:val="1"/>
    <w:link w:val="89"/>
    <w:qFormat/>
    <w:uiPriority w:val="0"/>
    <w:pPr>
      <w:widowControl w:val="0"/>
      <w:jc w:val="both"/>
    </w:pPr>
    <w:rPr>
      <w:rFonts w:ascii="宋体" w:hAnsi="Courier New"/>
      <w:kern w:val="2"/>
    </w:rPr>
  </w:style>
  <w:style w:type="paragraph" w:styleId="30">
    <w:name w:val="toc 8"/>
    <w:basedOn w:val="1"/>
    <w:next w:val="1"/>
    <w:qFormat/>
    <w:uiPriority w:val="99"/>
    <w:pPr>
      <w:ind w:left="1470"/>
    </w:pPr>
    <w:rPr>
      <w:rFonts w:ascii="Calibri" w:hAnsi="Calibri"/>
      <w:sz w:val="18"/>
      <w:szCs w:val="18"/>
    </w:rPr>
  </w:style>
  <w:style w:type="paragraph" w:styleId="31">
    <w:name w:val="Date"/>
    <w:basedOn w:val="1"/>
    <w:next w:val="1"/>
    <w:link w:val="90"/>
    <w:qFormat/>
    <w:uiPriority w:val="99"/>
    <w:pPr>
      <w:widowControl w:val="0"/>
      <w:jc w:val="both"/>
    </w:pPr>
    <w:rPr>
      <w:rFonts w:ascii="宋体"/>
      <w:sz w:val="24"/>
    </w:rPr>
  </w:style>
  <w:style w:type="paragraph" w:styleId="32">
    <w:name w:val="Body Text Indent 2"/>
    <w:basedOn w:val="1"/>
    <w:link w:val="91"/>
    <w:qFormat/>
    <w:uiPriority w:val="0"/>
    <w:pPr>
      <w:widowControl w:val="0"/>
      <w:spacing w:after="120" w:line="480" w:lineRule="auto"/>
      <w:ind w:left="420" w:leftChars="200"/>
      <w:jc w:val="both"/>
    </w:pPr>
    <w:rPr>
      <w:kern w:val="2"/>
      <w:szCs w:val="24"/>
    </w:rPr>
  </w:style>
  <w:style w:type="paragraph" w:styleId="33">
    <w:name w:val="endnote text"/>
    <w:basedOn w:val="1"/>
    <w:link w:val="92"/>
    <w:qFormat/>
    <w:uiPriority w:val="0"/>
    <w:pPr>
      <w:widowControl w:val="0"/>
      <w:snapToGrid w:val="0"/>
    </w:pPr>
    <w:rPr>
      <w:kern w:val="2"/>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pPr>
    <w:rPr>
      <w:rFonts w:ascii="Calibri" w:hAnsi="Calibri"/>
      <w:b/>
      <w:bCs/>
      <w:caps/>
      <w:sz w:val="20"/>
    </w:rPr>
  </w:style>
  <w:style w:type="paragraph" w:styleId="38">
    <w:name w:val="toc 4"/>
    <w:basedOn w:val="1"/>
    <w:next w:val="1"/>
    <w:qFormat/>
    <w:uiPriority w:val="99"/>
    <w:pPr>
      <w:ind w:left="630"/>
    </w:pPr>
    <w:rPr>
      <w:rFonts w:ascii="Calibri" w:hAnsi="Calibri"/>
      <w:sz w:val="18"/>
      <w:szCs w:val="18"/>
    </w:rPr>
  </w:style>
  <w:style w:type="paragraph" w:styleId="39">
    <w:name w:val="Subtitle"/>
    <w:basedOn w:val="1"/>
    <w:next w:val="1"/>
    <w:link w:val="96"/>
    <w:qFormat/>
    <w:uiPriority w:val="0"/>
    <w:pPr>
      <w:widowControl w:val="0"/>
      <w:spacing w:before="240" w:after="60" w:line="312" w:lineRule="auto"/>
      <w:jc w:val="center"/>
      <w:outlineLvl w:val="1"/>
    </w:pPr>
    <w:rPr>
      <w:rFonts w:ascii="Cambria" w:hAnsi="Cambria"/>
      <w:b/>
      <w:kern w:val="28"/>
      <w:sz w:val="32"/>
    </w:rPr>
  </w:style>
  <w:style w:type="paragraph" w:styleId="40">
    <w:name w:val="List"/>
    <w:basedOn w:val="1"/>
    <w:qFormat/>
    <w:uiPriority w:val="0"/>
    <w:pPr>
      <w:widowControl w:val="0"/>
      <w:ind w:left="200" w:hanging="200" w:hangingChars="200"/>
      <w:jc w:val="both"/>
    </w:pPr>
    <w:rPr>
      <w:rFonts w:ascii="Calibri" w:hAnsi="Calibri"/>
      <w:kern w:val="2"/>
      <w:szCs w:val="22"/>
    </w:rPr>
  </w:style>
  <w:style w:type="paragraph" w:styleId="41">
    <w:name w:val="footnote text"/>
    <w:basedOn w:val="1"/>
    <w:link w:val="97"/>
    <w:qFormat/>
    <w:uiPriority w:val="0"/>
    <w:pPr>
      <w:widowControl w:val="0"/>
      <w:jc w:val="both"/>
    </w:pPr>
    <w:rPr>
      <w:kern w:val="2"/>
      <w:sz w:val="20"/>
    </w:rPr>
  </w:style>
  <w:style w:type="paragraph" w:styleId="42">
    <w:name w:val="Body Text Indent 3"/>
    <w:basedOn w:val="1"/>
    <w:link w:val="98"/>
    <w:qFormat/>
    <w:uiPriority w:val="0"/>
    <w:pPr>
      <w:spacing w:after="120"/>
      <w:ind w:left="420" w:leftChars="200"/>
    </w:pPr>
    <w:rPr>
      <w:sz w:val="16"/>
      <w:szCs w:val="16"/>
    </w:rPr>
  </w:style>
  <w:style w:type="paragraph" w:styleId="43">
    <w:name w:val="index 7"/>
    <w:basedOn w:val="1"/>
    <w:next w:val="1"/>
    <w:qFormat/>
    <w:uiPriority w:val="0"/>
    <w:pPr>
      <w:tabs>
        <w:tab w:val="left" w:pos="0"/>
        <w:tab w:val="left" w:pos="390"/>
      </w:tabs>
      <w:autoSpaceDE w:val="0"/>
      <w:autoSpaceDN w:val="0"/>
      <w:snapToGrid w:val="0"/>
      <w:spacing w:line="360" w:lineRule="auto"/>
      <w:ind w:left="1470" w:hanging="210" w:firstLineChars="177"/>
    </w:pPr>
    <w:rPr>
      <w:rFonts w:hAnsi="宋体"/>
      <w:color w:val="000000"/>
      <w:sz w:val="20"/>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39"/>
    <w:pPr>
      <w:ind w:left="210"/>
    </w:pPr>
    <w:rPr>
      <w:rFonts w:ascii="Calibri" w:hAnsi="Calibri"/>
      <w:smallCaps/>
      <w:sz w:val="20"/>
    </w:rPr>
  </w:style>
  <w:style w:type="paragraph" w:styleId="46">
    <w:name w:val="toc 9"/>
    <w:basedOn w:val="1"/>
    <w:next w:val="1"/>
    <w:qFormat/>
    <w:uiPriority w:val="99"/>
    <w:pPr>
      <w:ind w:left="1680"/>
    </w:pPr>
    <w:rPr>
      <w:rFonts w:ascii="Calibri" w:hAnsi="Calibri"/>
      <w:sz w:val="18"/>
      <w:szCs w:val="18"/>
    </w:rPr>
  </w:style>
  <w:style w:type="paragraph" w:styleId="47">
    <w:name w:val="Body Text 2"/>
    <w:basedOn w:val="1"/>
    <w:link w:val="99"/>
    <w:qFormat/>
    <w:uiPriority w:val="0"/>
    <w:pPr>
      <w:widowControl w:val="0"/>
      <w:spacing w:line="500" w:lineRule="exact"/>
      <w:jc w:val="both"/>
    </w:pPr>
    <w:rPr>
      <w:rFonts w:ascii="宋体" w:hAnsi="宋体"/>
      <w:color w:val="000000"/>
      <w:kern w:val="2"/>
      <w:sz w:val="24"/>
      <w:szCs w:val="24"/>
    </w:rPr>
  </w:style>
  <w:style w:type="paragraph" w:styleId="48">
    <w:name w:val="HTML Preformatted"/>
    <w:basedOn w:val="1"/>
    <w:link w:val="10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Times New Roman"/>
      <w:sz w:val="20"/>
    </w:rPr>
  </w:style>
  <w:style w:type="paragraph" w:styleId="49">
    <w:name w:val="Normal (Web)"/>
    <w:basedOn w:val="1"/>
    <w:link w:val="101"/>
    <w:qFormat/>
    <w:uiPriority w:val="0"/>
    <w:pPr>
      <w:spacing w:before="100" w:beforeAutospacing="1" w:after="100" w:afterAutospacing="1"/>
    </w:pPr>
    <w:rPr>
      <w:rFonts w:ascii="Arial Unicode MS" w:hAnsi="Arial Unicode MS" w:eastAsia="Times New Roman"/>
      <w:color w:val="000000"/>
      <w:sz w:val="24"/>
      <w:szCs w:val="24"/>
    </w:rPr>
  </w:style>
  <w:style w:type="paragraph" w:styleId="50">
    <w:name w:val="index 1"/>
    <w:basedOn w:val="1"/>
    <w:next w:val="1"/>
    <w:qFormat/>
    <w:uiPriority w:val="0"/>
    <w:pPr>
      <w:widowControl w:val="0"/>
      <w:spacing w:line="220" w:lineRule="exact"/>
      <w:jc w:val="center"/>
    </w:pPr>
    <w:rPr>
      <w:rFonts w:ascii="仿宋_GB2312" w:hAnsi="Calibri" w:eastAsia="仿宋_GB2312"/>
      <w:kern w:val="2"/>
      <w:szCs w:val="21"/>
    </w:rPr>
  </w:style>
  <w:style w:type="paragraph" w:styleId="51">
    <w:name w:val="Title"/>
    <w:basedOn w:val="1"/>
    <w:link w:val="102"/>
    <w:qFormat/>
    <w:uiPriority w:val="0"/>
    <w:pPr>
      <w:widowControl w:val="0"/>
      <w:adjustRightInd w:val="0"/>
      <w:spacing w:before="240" w:after="60" w:line="420" w:lineRule="atLeast"/>
      <w:jc w:val="center"/>
      <w:textAlignment w:val="baseline"/>
      <w:outlineLvl w:val="0"/>
    </w:pPr>
    <w:rPr>
      <w:rFonts w:ascii="Arial" w:hAnsi="Arial"/>
      <w:b/>
      <w:sz w:val="32"/>
    </w:rPr>
  </w:style>
  <w:style w:type="paragraph" w:styleId="52">
    <w:name w:val="annotation subject"/>
    <w:basedOn w:val="17"/>
    <w:next w:val="17"/>
    <w:link w:val="103"/>
    <w:qFormat/>
    <w:uiPriority w:val="0"/>
    <w:rPr>
      <w:b/>
      <w:bCs/>
    </w:rPr>
  </w:style>
  <w:style w:type="paragraph" w:styleId="53">
    <w:name w:val="Body Text First Indent 2"/>
    <w:basedOn w:val="22"/>
    <w:link w:val="767"/>
    <w:qFormat/>
    <w:uiPriority w:val="99"/>
    <w:pPr>
      <w:ind w:firstLine="420"/>
    </w:pPr>
    <w:rPr>
      <w:rFonts w:cs="宋体"/>
      <w:szCs w:val="21"/>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b/>
      <w:bCs/>
    </w:rPr>
  </w:style>
  <w:style w:type="character" w:styleId="58">
    <w:name w:val="endnote reference"/>
    <w:qFormat/>
    <w:uiPriority w:val="0"/>
    <w:rPr>
      <w:rFonts w:cs="Times New Roman"/>
      <w:vertAlign w:val="superscript"/>
    </w:rPr>
  </w:style>
  <w:style w:type="character" w:styleId="59">
    <w:name w:val="page number"/>
    <w:basedOn w:val="56"/>
    <w:qFormat/>
    <w:uiPriority w:val="99"/>
  </w:style>
  <w:style w:type="character" w:styleId="60">
    <w:name w:val="FollowedHyperlink"/>
    <w:qFormat/>
    <w:uiPriority w:val="99"/>
    <w:rPr>
      <w:color w:val="800080"/>
      <w:u w:val="single"/>
    </w:rPr>
  </w:style>
  <w:style w:type="character" w:styleId="61">
    <w:name w:val="Emphasis"/>
    <w:qFormat/>
    <w:uiPriority w:val="99"/>
    <w:rPr>
      <w:i/>
    </w:rPr>
  </w:style>
  <w:style w:type="character" w:styleId="62">
    <w:name w:val="HTML Definition"/>
    <w:qFormat/>
    <w:uiPriority w:val="99"/>
    <w:rPr>
      <w:i/>
    </w:rPr>
  </w:style>
  <w:style w:type="character" w:styleId="63">
    <w:name w:val="HTML Typewriter"/>
    <w:qFormat/>
    <w:uiPriority w:val="99"/>
    <w:rPr>
      <w:rFonts w:ascii="微软雅黑" w:hAnsi="微软雅黑" w:eastAsia="微软雅黑" w:cs="Times New Roman"/>
      <w:sz w:val="20"/>
    </w:rPr>
  </w:style>
  <w:style w:type="character" w:styleId="64">
    <w:name w:val="HTML Variable"/>
    <w:qFormat/>
    <w:uiPriority w:val="99"/>
    <w:rPr>
      <w:rFonts w:cs="Times New Roman"/>
    </w:rPr>
  </w:style>
  <w:style w:type="character" w:styleId="65">
    <w:name w:val="Hyperlink"/>
    <w:qFormat/>
    <w:uiPriority w:val="99"/>
    <w:rPr>
      <w:color w:val="0000FF"/>
      <w:u w:val="single"/>
    </w:rPr>
  </w:style>
  <w:style w:type="character" w:styleId="66">
    <w:name w:val="HTML Code"/>
    <w:qFormat/>
    <w:uiPriority w:val="99"/>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HTML Cite"/>
    <w:qFormat/>
    <w:uiPriority w:val="99"/>
    <w:rPr>
      <w:rFonts w:cs="Times New Roman"/>
    </w:rPr>
  </w:style>
  <w:style w:type="character" w:styleId="69">
    <w:name w:val="footnote reference"/>
    <w:qFormat/>
    <w:uiPriority w:val="0"/>
    <w:rPr>
      <w:rFonts w:cs="Times New Roman"/>
      <w:vertAlign w:val="superscript"/>
    </w:rPr>
  </w:style>
  <w:style w:type="character" w:styleId="70">
    <w:name w:val="HTML Keyboard"/>
    <w:qFormat/>
    <w:uiPriority w:val="0"/>
    <w:rPr>
      <w:rFonts w:hint="default" w:ascii="Segoe UI" w:hAnsi="Segoe UI" w:eastAsia="Segoe UI" w:cs="Segoe UI"/>
      <w:sz w:val="21"/>
      <w:szCs w:val="21"/>
    </w:rPr>
  </w:style>
  <w:style w:type="character" w:styleId="71">
    <w:name w:val="HTML Sample"/>
    <w:qFormat/>
    <w:uiPriority w:val="0"/>
    <w:rPr>
      <w:rFonts w:ascii="Segoe UI" w:hAnsi="Segoe UI" w:eastAsia="Segoe UI" w:cs="Segoe UI"/>
      <w:sz w:val="21"/>
      <w:szCs w:val="21"/>
    </w:rPr>
  </w:style>
  <w:style w:type="paragraph" w:customStyle="1" w:styleId="7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73">
    <w:name w:val="[Normal]"/>
    <w:qFormat/>
    <w:uiPriority w:val="0"/>
    <w:rPr>
      <w:rFonts w:ascii="宋体" w:hAnsi="宋体" w:eastAsia="宋体" w:cs="Times New Roman"/>
      <w:sz w:val="24"/>
      <w:szCs w:val="22"/>
      <w:lang w:val="zh-CN" w:eastAsia="zh-CN" w:bidi="ar-SA"/>
    </w:rPr>
  </w:style>
  <w:style w:type="character" w:customStyle="1" w:styleId="74">
    <w:name w:val="标题 3 字符"/>
    <w:link w:val="4"/>
    <w:qFormat/>
    <w:uiPriority w:val="9"/>
    <w:rPr>
      <w:rFonts w:ascii="Times New Roman" w:hAnsi="Times New Roman"/>
      <w:b/>
      <w:bCs/>
      <w:sz w:val="32"/>
      <w:szCs w:val="32"/>
    </w:rPr>
  </w:style>
  <w:style w:type="character" w:customStyle="1" w:styleId="75">
    <w:name w:val="标题 1 字符"/>
    <w:link w:val="2"/>
    <w:qFormat/>
    <w:uiPriority w:val="9"/>
    <w:rPr>
      <w:rFonts w:ascii="宋体" w:hAnsi="Times New Roman" w:eastAsia="宋体" w:cs="Times New Roman"/>
      <w:b/>
      <w:kern w:val="44"/>
      <w:sz w:val="24"/>
      <w:szCs w:val="20"/>
    </w:rPr>
  </w:style>
  <w:style w:type="character" w:customStyle="1" w:styleId="76">
    <w:name w:val="标题 2 字符1"/>
    <w:link w:val="3"/>
    <w:qFormat/>
    <w:uiPriority w:val="0"/>
    <w:rPr>
      <w:rFonts w:ascii="Cambria" w:hAnsi="Cambria" w:eastAsia="宋体" w:cs="Times New Roman"/>
      <w:b/>
      <w:bCs/>
      <w:sz w:val="32"/>
      <w:szCs w:val="32"/>
    </w:rPr>
  </w:style>
  <w:style w:type="character" w:customStyle="1" w:styleId="77">
    <w:name w:val="标题 4 字符"/>
    <w:link w:val="5"/>
    <w:qFormat/>
    <w:uiPriority w:val="99"/>
    <w:rPr>
      <w:rFonts w:ascii="Arial" w:hAnsi="Arial" w:eastAsia="黑体"/>
      <w:b/>
      <w:bCs/>
      <w:kern w:val="2"/>
      <w:sz w:val="28"/>
      <w:szCs w:val="28"/>
      <w:lang w:val="zh-CN"/>
    </w:rPr>
  </w:style>
  <w:style w:type="character" w:customStyle="1" w:styleId="78">
    <w:name w:val="标题 5 字符"/>
    <w:link w:val="6"/>
    <w:qFormat/>
    <w:uiPriority w:val="0"/>
    <w:rPr>
      <w:rFonts w:ascii="Calibri" w:hAnsi="Calibri"/>
      <w:b/>
      <w:bCs/>
      <w:kern w:val="2"/>
      <w:sz w:val="28"/>
      <w:szCs w:val="28"/>
    </w:rPr>
  </w:style>
  <w:style w:type="character" w:customStyle="1" w:styleId="79">
    <w:name w:val="标题 6 字符"/>
    <w:link w:val="7"/>
    <w:qFormat/>
    <w:uiPriority w:val="0"/>
    <w:rPr>
      <w:rFonts w:ascii="Arial" w:hAnsi="Arial" w:eastAsia="黑体"/>
      <w:b/>
      <w:bCs/>
      <w:kern w:val="2"/>
      <w:sz w:val="24"/>
      <w:szCs w:val="24"/>
    </w:rPr>
  </w:style>
  <w:style w:type="character" w:customStyle="1" w:styleId="80">
    <w:name w:val="标题 7 字符"/>
    <w:link w:val="8"/>
    <w:qFormat/>
    <w:uiPriority w:val="0"/>
    <w:rPr>
      <w:rFonts w:ascii="Calibri" w:hAnsi="Calibri"/>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character" w:customStyle="1" w:styleId="82">
    <w:name w:val="标题 9 字符"/>
    <w:link w:val="10"/>
    <w:qFormat/>
    <w:uiPriority w:val="0"/>
    <w:rPr>
      <w:rFonts w:ascii="Arial" w:hAnsi="Arial" w:eastAsia="黑体"/>
      <w:kern w:val="2"/>
      <w:sz w:val="21"/>
      <w:szCs w:val="21"/>
    </w:rPr>
  </w:style>
  <w:style w:type="character" w:customStyle="1" w:styleId="83">
    <w:name w:val="正文缩进 字符"/>
    <w:link w:val="14"/>
    <w:qFormat/>
    <w:uiPriority w:val="0"/>
    <w:rPr>
      <w:rFonts w:ascii="Times New Roman" w:hAnsi="Times New Roman"/>
      <w:sz w:val="21"/>
    </w:rPr>
  </w:style>
  <w:style w:type="character" w:customStyle="1" w:styleId="84">
    <w:name w:val="文档结构图 字符"/>
    <w:link w:val="16"/>
    <w:qFormat/>
    <w:uiPriority w:val="0"/>
    <w:rPr>
      <w:rFonts w:ascii="宋体" w:hAnsi="Times New Roman"/>
      <w:sz w:val="18"/>
      <w:szCs w:val="18"/>
    </w:rPr>
  </w:style>
  <w:style w:type="character" w:customStyle="1" w:styleId="85">
    <w:name w:val="批注文字 字符"/>
    <w:link w:val="17"/>
    <w:qFormat/>
    <w:uiPriority w:val="0"/>
    <w:rPr>
      <w:rFonts w:ascii="Times New Roman" w:hAnsi="Times New Roman"/>
      <w:sz w:val="21"/>
    </w:rPr>
  </w:style>
  <w:style w:type="character" w:customStyle="1" w:styleId="86">
    <w:name w:val="正文文本 3 字符"/>
    <w:link w:val="18"/>
    <w:qFormat/>
    <w:locked/>
    <w:uiPriority w:val="0"/>
    <w:rPr>
      <w:rFonts w:ascii="宋体"/>
      <w:kern w:val="2"/>
      <w:sz w:val="24"/>
    </w:rPr>
  </w:style>
  <w:style w:type="character" w:customStyle="1" w:styleId="87">
    <w:name w:val="正文文本 字符"/>
    <w:link w:val="19"/>
    <w:qFormat/>
    <w:uiPriority w:val="0"/>
    <w:rPr>
      <w:rFonts w:ascii="楷体_GB2312" w:hAnsi="Times New Roman" w:eastAsia="楷体_GB2312"/>
      <w:kern w:val="2"/>
      <w:sz w:val="32"/>
    </w:rPr>
  </w:style>
  <w:style w:type="character" w:customStyle="1" w:styleId="88">
    <w:name w:val="正文文本缩进 字符1"/>
    <w:link w:val="22"/>
    <w:qFormat/>
    <w:uiPriority w:val="99"/>
    <w:rPr>
      <w:sz w:val="21"/>
    </w:rPr>
  </w:style>
  <w:style w:type="character" w:customStyle="1" w:styleId="89">
    <w:name w:val="纯文本 字符3"/>
    <w:link w:val="29"/>
    <w:qFormat/>
    <w:uiPriority w:val="0"/>
    <w:rPr>
      <w:rFonts w:ascii="宋体" w:hAnsi="Courier New" w:eastAsia="宋体"/>
      <w:kern w:val="2"/>
      <w:sz w:val="21"/>
      <w:lang w:val="en-US" w:eastAsia="zh-CN" w:bidi="ar-SA"/>
    </w:rPr>
  </w:style>
  <w:style w:type="character" w:customStyle="1" w:styleId="90">
    <w:name w:val="日期 字符"/>
    <w:link w:val="31"/>
    <w:qFormat/>
    <w:locked/>
    <w:uiPriority w:val="99"/>
    <w:rPr>
      <w:rFonts w:ascii="宋体"/>
      <w:sz w:val="24"/>
    </w:rPr>
  </w:style>
  <w:style w:type="character" w:customStyle="1" w:styleId="91">
    <w:name w:val="正文文本缩进 2 字符"/>
    <w:link w:val="32"/>
    <w:qFormat/>
    <w:locked/>
    <w:uiPriority w:val="0"/>
    <w:rPr>
      <w:kern w:val="2"/>
      <w:sz w:val="21"/>
      <w:szCs w:val="24"/>
    </w:rPr>
  </w:style>
  <w:style w:type="character" w:customStyle="1" w:styleId="92">
    <w:name w:val="尾注文本 字符"/>
    <w:link w:val="33"/>
    <w:qFormat/>
    <w:locked/>
    <w:uiPriority w:val="0"/>
    <w:rPr>
      <w:kern w:val="2"/>
      <w:sz w:val="21"/>
    </w:rPr>
  </w:style>
  <w:style w:type="character" w:customStyle="1" w:styleId="93">
    <w:name w:val="批注框文本 字符"/>
    <w:link w:val="34"/>
    <w:qFormat/>
    <w:uiPriority w:val="99"/>
    <w:rPr>
      <w:rFonts w:ascii="Times New Roman" w:hAnsi="Times New Roman"/>
      <w:sz w:val="18"/>
      <w:szCs w:val="18"/>
    </w:rPr>
  </w:style>
  <w:style w:type="character" w:customStyle="1" w:styleId="94">
    <w:name w:val="页脚 字符"/>
    <w:link w:val="35"/>
    <w:qFormat/>
    <w:uiPriority w:val="99"/>
    <w:rPr>
      <w:rFonts w:ascii="Times New Roman" w:hAnsi="Times New Roman" w:eastAsia="宋体" w:cs="Times New Roman"/>
      <w:kern w:val="0"/>
      <w:sz w:val="18"/>
      <w:szCs w:val="20"/>
    </w:rPr>
  </w:style>
  <w:style w:type="character" w:customStyle="1" w:styleId="95">
    <w:name w:val="页眉 字符"/>
    <w:link w:val="36"/>
    <w:qFormat/>
    <w:uiPriority w:val="99"/>
    <w:rPr>
      <w:rFonts w:ascii="Times New Roman" w:hAnsi="Times New Roman" w:eastAsia="宋体" w:cs="Times New Roman"/>
      <w:kern w:val="0"/>
      <w:sz w:val="18"/>
      <w:szCs w:val="18"/>
    </w:rPr>
  </w:style>
  <w:style w:type="character" w:customStyle="1" w:styleId="96">
    <w:name w:val="副标题 字符"/>
    <w:link w:val="39"/>
    <w:qFormat/>
    <w:locked/>
    <w:uiPriority w:val="0"/>
    <w:rPr>
      <w:rFonts w:ascii="Cambria" w:hAnsi="Cambria"/>
      <w:b/>
      <w:kern w:val="28"/>
      <w:sz w:val="32"/>
    </w:rPr>
  </w:style>
  <w:style w:type="character" w:customStyle="1" w:styleId="97">
    <w:name w:val="脚注文本 字符"/>
    <w:link w:val="41"/>
    <w:qFormat/>
    <w:locked/>
    <w:uiPriority w:val="0"/>
    <w:rPr>
      <w:kern w:val="2"/>
    </w:rPr>
  </w:style>
  <w:style w:type="character" w:customStyle="1" w:styleId="98">
    <w:name w:val="正文文本缩进 3 字符"/>
    <w:link w:val="42"/>
    <w:qFormat/>
    <w:locked/>
    <w:uiPriority w:val="0"/>
    <w:rPr>
      <w:sz w:val="16"/>
      <w:szCs w:val="16"/>
    </w:rPr>
  </w:style>
  <w:style w:type="character" w:customStyle="1" w:styleId="99">
    <w:name w:val="正文文本 2 字符"/>
    <w:link w:val="47"/>
    <w:qFormat/>
    <w:uiPriority w:val="0"/>
    <w:rPr>
      <w:rFonts w:ascii="宋体" w:hAnsi="宋体"/>
      <w:color w:val="000000"/>
      <w:kern w:val="2"/>
      <w:sz w:val="24"/>
      <w:szCs w:val="24"/>
    </w:rPr>
  </w:style>
  <w:style w:type="character" w:customStyle="1" w:styleId="100">
    <w:name w:val="HTML 预设格式 字符"/>
    <w:link w:val="48"/>
    <w:qFormat/>
    <w:uiPriority w:val="99"/>
    <w:rPr>
      <w:rFonts w:ascii="Arial Unicode MS" w:hAnsi="Arial Unicode MS" w:eastAsia="Times New Roman"/>
    </w:rPr>
  </w:style>
  <w:style w:type="character" w:customStyle="1" w:styleId="101">
    <w:name w:val="普通(网站) 字符"/>
    <w:link w:val="49"/>
    <w:qFormat/>
    <w:uiPriority w:val="0"/>
    <w:rPr>
      <w:rFonts w:ascii="Arial Unicode MS" w:hAnsi="Arial Unicode MS" w:eastAsia="Times New Roman"/>
      <w:color w:val="000000"/>
      <w:sz w:val="24"/>
      <w:szCs w:val="24"/>
    </w:rPr>
  </w:style>
  <w:style w:type="character" w:customStyle="1" w:styleId="102">
    <w:name w:val="标题 字符"/>
    <w:link w:val="51"/>
    <w:qFormat/>
    <w:locked/>
    <w:uiPriority w:val="0"/>
    <w:rPr>
      <w:rFonts w:ascii="Arial" w:hAnsi="Arial"/>
      <w:b/>
      <w:sz w:val="32"/>
    </w:rPr>
  </w:style>
  <w:style w:type="character" w:customStyle="1" w:styleId="103">
    <w:name w:val="批注主题 字符"/>
    <w:link w:val="52"/>
    <w:qFormat/>
    <w:uiPriority w:val="0"/>
    <w:rPr>
      <w:rFonts w:ascii="Times New Roman" w:hAnsi="Times New Roman"/>
      <w:b/>
      <w:bCs/>
      <w:sz w:val="21"/>
    </w:rPr>
  </w:style>
  <w:style w:type="character" w:customStyle="1" w:styleId="104">
    <w:name w:val="正文首行缩进 字符"/>
    <w:link w:val="20"/>
    <w:qFormat/>
    <w:locked/>
    <w:uiPriority w:val="0"/>
    <w:rPr>
      <w:kern w:val="2"/>
      <w:sz w:val="21"/>
      <w:szCs w:val="24"/>
    </w:rPr>
  </w:style>
  <w:style w:type="paragraph" w:customStyle="1" w:styleId="105">
    <w:name w:val="pa-142"/>
    <w:basedOn w:val="1"/>
    <w:qFormat/>
    <w:uiPriority w:val="0"/>
    <w:pPr>
      <w:spacing w:line="320" w:lineRule="atLeast"/>
      <w:ind w:firstLine="280"/>
      <w:jc w:val="right"/>
    </w:pPr>
    <w:rPr>
      <w:rFonts w:ascii="宋体" w:hAnsi="宋体" w:cs="宋体"/>
      <w:sz w:val="24"/>
      <w:szCs w:val="24"/>
    </w:rPr>
  </w:style>
  <w:style w:type="paragraph" w:customStyle="1" w:styleId="106">
    <w:name w:val="pa-16"/>
    <w:basedOn w:val="1"/>
    <w:qFormat/>
    <w:uiPriority w:val="0"/>
    <w:pPr>
      <w:spacing w:line="240" w:lineRule="atLeast"/>
      <w:jc w:val="both"/>
    </w:pPr>
    <w:rPr>
      <w:rFonts w:ascii="宋体" w:hAnsi="宋体" w:cs="宋体"/>
      <w:sz w:val="24"/>
      <w:szCs w:val="24"/>
    </w:rPr>
  </w:style>
  <w:style w:type="paragraph" w:customStyle="1" w:styleId="107">
    <w:name w:val="ca-12"/>
    <w:basedOn w:val="1"/>
    <w:qFormat/>
    <w:uiPriority w:val="0"/>
    <w:rPr>
      <w:rFonts w:ascii="Calibri" w:hAnsi="Calibri"/>
      <w:color w:val="000000"/>
      <w:sz w:val="32"/>
      <w:szCs w:val="32"/>
    </w:rPr>
  </w:style>
  <w:style w:type="paragraph" w:customStyle="1" w:styleId="108">
    <w:name w:val="Char12"/>
    <w:basedOn w:val="1"/>
    <w:qFormat/>
    <w:uiPriority w:val="0"/>
    <w:pPr>
      <w:widowControl w:val="0"/>
      <w:jc w:val="both"/>
    </w:pPr>
    <w:rPr>
      <w:rFonts w:ascii="仿宋_GB2312" w:hAnsi="Calibri" w:eastAsia="仿宋_GB2312"/>
      <w:b/>
      <w:kern w:val="2"/>
      <w:sz w:val="32"/>
      <w:szCs w:val="32"/>
    </w:rPr>
  </w:style>
  <w:style w:type="paragraph" w:customStyle="1" w:styleId="10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110">
    <w:name w:val="pa-86"/>
    <w:basedOn w:val="1"/>
    <w:qFormat/>
    <w:uiPriority w:val="0"/>
    <w:pPr>
      <w:spacing w:line="320" w:lineRule="atLeast"/>
      <w:ind w:firstLine="560"/>
      <w:jc w:val="both"/>
    </w:pPr>
    <w:rPr>
      <w:rFonts w:ascii="宋体" w:hAnsi="宋体" w:cs="宋体"/>
      <w:sz w:val="24"/>
      <w:szCs w:val="24"/>
    </w:rPr>
  </w:style>
  <w:style w:type="paragraph" w:customStyle="1" w:styleId="111">
    <w:name w:val="标题5"/>
    <w:basedOn w:val="4"/>
    <w:link w:val="112"/>
    <w:qFormat/>
    <w:uiPriority w:val="0"/>
    <w:pPr>
      <w:widowControl w:val="0"/>
      <w:spacing w:line="413" w:lineRule="auto"/>
      <w:ind w:left="720" w:hanging="720"/>
      <w:jc w:val="both"/>
    </w:pPr>
    <w:rPr>
      <w:rFonts w:ascii="Arial" w:hAnsi="Arial"/>
      <w:bCs w:val="0"/>
      <w:szCs w:val="20"/>
    </w:rPr>
  </w:style>
  <w:style w:type="character" w:customStyle="1" w:styleId="112">
    <w:name w:val="标题5 Char Char"/>
    <w:link w:val="111"/>
    <w:qFormat/>
    <w:locked/>
    <w:uiPriority w:val="0"/>
    <w:rPr>
      <w:rFonts w:ascii="Arial" w:hAnsi="Arial"/>
      <w:b/>
      <w:sz w:val="32"/>
    </w:rPr>
  </w:style>
  <w:style w:type="paragraph" w:customStyle="1" w:styleId="113">
    <w:name w:val="pa-98"/>
    <w:basedOn w:val="1"/>
    <w:qFormat/>
    <w:uiPriority w:val="0"/>
    <w:pPr>
      <w:spacing w:line="720" w:lineRule="atLeast"/>
      <w:ind w:firstLine="480"/>
      <w:jc w:val="both"/>
    </w:pPr>
    <w:rPr>
      <w:rFonts w:ascii="宋体" w:hAnsi="宋体" w:cs="宋体"/>
      <w:sz w:val="24"/>
      <w:szCs w:val="24"/>
    </w:rPr>
  </w:style>
  <w:style w:type="paragraph" w:customStyle="1" w:styleId="114">
    <w:name w:val="pa-67"/>
    <w:basedOn w:val="1"/>
    <w:qFormat/>
    <w:uiPriority w:val="0"/>
    <w:pPr>
      <w:spacing w:line="240" w:lineRule="atLeast"/>
      <w:ind w:firstLine="420"/>
    </w:pPr>
    <w:rPr>
      <w:rFonts w:ascii="宋体" w:hAnsi="宋体" w:cs="宋体"/>
      <w:sz w:val="24"/>
      <w:szCs w:val="24"/>
    </w:rPr>
  </w:style>
  <w:style w:type="paragraph" w:customStyle="1" w:styleId="115">
    <w:name w:val="样式1"/>
    <w:basedOn w:val="2"/>
    <w:qFormat/>
    <w:uiPriority w:val="0"/>
    <w:pPr>
      <w:tabs>
        <w:tab w:val="clear" w:pos="840"/>
      </w:tabs>
      <w:adjustRightInd/>
      <w:snapToGrid/>
      <w:spacing w:before="340" w:after="330" w:line="576" w:lineRule="auto"/>
      <w:jc w:val="center"/>
    </w:pPr>
    <w:rPr>
      <w:rFonts w:ascii="Calibri" w:hAnsi="Calibri" w:eastAsia="黑体"/>
      <w:bCs/>
      <w:sz w:val="44"/>
      <w:szCs w:val="44"/>
    </w:rPr>
  </w:style>
  <w:style w:type="paragraph" w:customStyle="1" w:styleId="116">
    <w:name w:val="td-4"/>
    <w:basedOn w:val="1"/>
    <w:qFormat/>
    <w:uiPriority w:val="0"/>
    <w:pPr>
      <w:pBdr>
        <w:top w:val="single" w:color="000000" w:sz="12"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117">
    <w:name w:val="ca-24"/>
    <w:basedOn w:val="1"/>
    <w:qFormat/>
    <w:uiPriority w:val="0"/>
    <w:rPr>
      <w:rFonts w:ascii="宋体" w:hAnsi="宋体" w:cs="宋体"/>
      <w:sz w:val="24"/>
      <w:szCs w:val="24"/>
    </w:rPr>
  </w:style>
  <w:style w:type="paragraph" w:customStyle="1" w:styleId="118">
    <w:name w:val="pa-100"/>
    <w:basedOn w:val="1"/>
    <w:qFormat/>
    <w:uiPriority w:val="0"/>
    <w:pPr>
      <w:spacing w:line="300" w:lineRule="atLeast"/>
      <w:jc w:val="both"/>
    </w:pPr>
    <w:rPr>
      <w:rFonts w:ascii="宋体" w:hAnsi="宋体" w:cs="宋体"/>
      <w:sz w:val="24"/>
      <w:szCs w:val="24"/>
    </w:rPr>
  </w:style>
  <w:style w:type="paragraph" w:customStyle="1" w:styleId="119">
    <w:name w:val="ca-38"/>
    <w:basedOn w:val="1"/>
    <w:qFormat/>
    <w:uiPriority w:val="0"/>
    <w:rPr>
      <w:rFonts w:ascii="Calibri" w:hAnsi="Calibri"/>
      <w:b/>
      <w:bCs/>
      <w:spacing w:val="-20"/>
      <w:szCs w:val="21"/>
    </w:rPr>
  </w:style>
  <w:style w:type="paragraph" w:customStyle="1" w:styleId="120">
    <w:name w:val="引用2"/>
    <w:basedOn w:val="1"/>
    <w:next w:val="1"/>
    <w:qFormat/>
    <w:uiPriority w:val="0"/>
    <w:pPr>
      <w:widowControl w:val="0"/>
      <w:jc w:val="both"/>
    </w:pPr>
    <w:rPr>
      <w:rFonts w:ascii="Calibri" w:hAnsi="Calibri"/>
      <w:i/>
      <w:color w:val="000000"/>
      <w:kern w:val="2"/>
      <w:sz w:val="22"/>
    </w:rPr>
  </w:style>
  <w:style w:type="paragraph" w:customStyle="1" w:styleId="121">
    <w:name w:val="样式 标题 3 + (中文) 黑体 小四 非加粗 段前: 7.8 磅 段后: 0 磅 行距: 固定值 20 磅"/>
    <w:basedOn w:val="4"/>
    <w:qFormat/>
    <w:uiPriority w:val="0"/>
    <w:pPr>
      <w:widowControl w:val="0"/>
      <w:spacing w:before="0" w:after="0" w:line="400" w:lineRule="exact"/>
      <w:ind w:left="720" w:hanging="720"/>
      <w:jc w:val="both"/>
    </w:pPr>
    <w:rPr>
      <w:rFonts w:ascii="Calibri" w:hAnsi="Calibri" w:eastAsia="黑体" w:cs="宋体"/>
      <w:b w:val="0"/>
      <w:bCs w:val="0"/>
      <w:kern w:val="2"/>
      <w:sz w:val="24"/>
      <w:szCs w:val="20"/>
    </w:rPr>
  </w:style>
  <w:style w:type="paragraph" w:customStyle="1" w:styleId="122">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kern w:val="2"/>
      <w:sz w:val="28"/>
      <w:szCs w:val="28"/>
    </w:rPr>
  </w:style>
  <w:style w:type="paragraph" w:customStyle="1" w:styleId="123">
    <w:name w:val="pa-51"/>
    <w:basedOn w:val="1"/>
    <w:qFormat/>
    <w:uiPriority w:val="0"/>
    <w:pPr>
      <w:spacing w:line="276" w:lineRule="atLeast"/>
      <w:jc w:val="center"/>
    </w:pPr>
    <w:rPr>
      <w:rFonts w:ascii="宋体" w:hAnsi="宋体" w:cs="宋体"/>
      <w:sz w:val="24"/>
      <w:szCs w:val="24"/>
    </w:rPr>
  </w:style>
  <w:style w:type="paragraph" w:customStyle="1" w:styleId="124">
    <w:name w:val="pa-14"/>
    <w:basedOn w:val="1"/>
    <w:qFormat/>
    <w:uiPriority w:val="0"/>
    <w:pPr>
      <w:spacing w:line="360" w:lineRule="atLeast"/>
    </w:pPr>
    <w:rPr>
      <w:rFonts w:ascii="宋体" w:hAnsi="宋体" w:cs="宋体"/>
      <w:sz w:val="24"/>
      <w:szCs w:val="24"/>
    </w:rPr>
  </w:style>
  <w:style w:type="paragraph" w:customStyle="1" w:styleId="125">
    <w:name w:val="pa-110"/>
    <w:basedOn w:val="1"/>
    <w:qFormat/>
    <w:uiPriority w:val="0"/>
    <w:pPr>
      <w:spacing w:line="360" w:lineRule="atLeast"/>
      <w:jc w:val="center"/>
    </w:pPr>
    <w:rPr>
      <w:rFonts w:ascii="宋体" w:hAnsi="宋体" w:cs="宋体"/>
      <w:sz w:val="24"/>
      <w:szCs w:val="24"/>
    </w:rPr>
  </w:style>
  <w:style w:type="paragraph" w:styleId="126">
    <w:name w:val="List Paragraph"/>
    <w:basedOn w:val="1"/>
    <w:link w:val="127"/>
    <w:qFormat/>
    <w:uiPriority w:val="34"/>
    <w:pPr>
      <w:ind w:firstLine="420" w:firstLineChars="200"/>
    </w:pPr>
  </w:style>
  <w:style w:type="character" w:customStyle="1" w:styleId="127">
    <w:name w:val="列出段落 字符"/>
    <w:link w:val="126"/>
    <w:qFormat/>
    <w:uiPriority w:val="99"/>
    <w:rPr>
      <w:sz w:val="21"/>
    </w:rPr>
  </w:style>
  <w:style w:type="paragraph" w:customStyle="1" w:styleId="128">
    <w:name w:val="Char Char1 Char1"/>
    <w:basedOn w:val="1"/>
    <w:qFormat/>
    <w:uiPriority w:val="0"/>
    <w:pPr>
      <w:widowControl w:val="0"/>
      <w:jc w:val="both"/>
    </w:pPr>
    <w:rPr>
      <w:rFonts w:ascii="Calibri" w:hAnsi="Calibri"/>
      <w:kern w:val="2"/>
      <w:szCs w:val="24"/>
    </w:rPr>
  </w:style>
  <w:style w:type="paragraph" w:customStyle="1" w:styleId="129">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30">
    <w:name w:val="引用1"/>
    <w:basedOn w:val="1"/>
    <w:next w:val="1"/>
    <w:link w:val="131"/>
    <w:qFormat/>
    <w:uiPriority w:val="0"/>
    <w:pPr>
      <w:widowControl w:val="0"/>
      <w:jc w:val="both"/>
    </w:pPr>
    <w:rPr>
      <w:i/>
      <w:color w:val="000000"/>
      <w:kern w:val="2"/>
      <w:sz w:val="22"/>
    </w:rPr>
  </w:style>
  <w:style w:type="character" w:customStyle="1" w:styleId="131">
    <w:name w:val="Quote Char"/>
    <w:link w:val="130"/>
    <w:qFormat/>
    <w:locked/>
    <w:uiPriority w:val="0"/>
    <w:rPr>
      <w:i/>
      <w:color w:val="000000"/>
      <w:kern w:val="2"/>
      <w:sz w:val="22"/>
    </w:rPr>
  </w:style>
  <w:style w:type="paragraph" w:customStyle="1" w:styleId="132">
    <w:name w:val="标题4"/>
    <w:basedOn w:val="3"/>
    <w:next w:val="26"/>
    <w:link w:val="133"/>
    <w:qFormat/>
    <w:uiPriority w:val="0"/>
    <w:pPr>
      <w:widowControl w:val="0"/>
      <w:spacing w:line="413" w:lineRule="auto"/>
      <w:jc w:val="both"/>
    </w:pPr>
    <w:rPr>
      <w:rFonts w:ascii="Arial" w:hAnsi="Arial"/>
      <w:bCs w:val="0"/>
      <w:szCs w:val="20"/>
    </w:rPr>
  </w:style>
  <w:style w:type="character" w:customStyle="1" w:styleId="133">
    <w:name w:val="标题4 Char Char"/>
    <w:link w:val="132"/>
    <w:qFormat/>
    <w:locked/>
    <w:uiPriority w:val="0"/>
    <w:rPr>
      <w:rFonts w:ascii="Arial" w:hAnsi="Arial"/>
      <w:b/>
      <w:sz w:val="32"/>
    </w:rPr>
  </w:style>
  <w:style w:type="paragraph" w:customStyle="1" w:styleId="134">
    <w:name w:val="pa-78"/>
    <w:basedOn w:val="1"/>
    <w:qFormat/>
    <w:uiPriority w:val="0"/>
    <w:pPr>
      <w:spacing w:line="340" w:lineRule="atLeast"/>
      <w:jc w:val="both"/>
    </w:pPr>
    <w:rPr>
      <w:rFonts w:ascii="宋体" w:hAnsi="宋体" w:cs="宋体"/>
      <w:sz w:val="24"/>
      <w:szCs w:val="24"/>
    </w:rPr>
  </w:style>
  <w:style w:type="paragraph" w:customStyle="1" w:styleId="135">
    <w:name w:val="xl114"/>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136">
    <w:name w:val="*正文"/>
    <w:basedOn w:val="1"/>
    <w:qFormat/>
    <w:uiPriority w:val="0"/>
    <w:pPr>
      <w:spacing w:line="360" w:lineRule="auto"/>
      <w:ind w:firstLine="480" w:firstLineChars="200"/>
    </w:pPr>
    <w:rPr>
      <w:rFonts w:ascii="Calibri" w:hAnsi="Calibri" w:cs="仿宋_GB2312"/>
      <w:sz w:val="24"/>
    </w:rPr>
  </w:style>
  <w:style w:type="paragraph" w:customStyle="1" w:styleId="137">
    <w:name w:val="默认段落字体 Para Char Char Char Char Char Char Char"/>
    <w:basedOn w:val="1"/>
    <w:qFormat/>
    <w:uiPriority w:val="0"/>
    <w:pPr>
      <w:widowControl w:val="0"/>
      <w:jc w:val="both"/>
    </w:pPr>
    <w:rPr>
      <w:rFonts w:ascii="Tahoma" w:hAnsi="Tahoma"/>
      <w:kern w:val="2"/>
      <w:sz w:val="24"/>
    </w:rPr>
  </w:style>
  <w:style w:type="paragraph" w:customStyle="1" w:styleId="138">
    <w:name w:val="样式 标题 3h3标题 3(节)H3l3CTsect1.2.3Heading 3 - old一level_3..."/>
    <w:basedOn w:val="4"/>
    <w:qFormat/>
    <w:uiPriority w:val="0"/>
    <w:pPr>
      <w:widowControl w:val="0"/>
      <w:adjustRightInd w:val="0"/>
      <w:spacing w:line="360" w:lineRule="auto"/>
      <w:ind w:left="720" w:hanging="720"/>
    </w:pPr>
    <w:rPr>
      <w:rFonts w:ascii="宋体" w:hAnsi="Arial"/>
      <w:kern w:val="24"/>
      <w:sz w:val="24"/>
      <w:szCs w:val="20"/>
    </w:rPr>
  </w:style>
  <w:style w:type="paragraph" w:customStyle="1" w:styleId="139">
    <w:name w:val="Char Char Char Char Char Char1 Char Char Char Char Char Char Char Char Char Char Char Char Char1 Char Char Char1"/>
    <w:basedOn w:val="1"/>
    <w:qFormat/>
    <w:uiPriority w:val="0"/>
    <w:pPr>
      <w:widowControl w:val="0"/>
      <w:jc w:val="both"/>
    </w:pPr>
    <w:rPr>
      <w:rFonts w:ascii="Calibri" w:hAnsi="Calibri"/>
      <w:b/>
      <w:bCs/>
      <w:kern w:val="2"/>
      <w:sz w:val="36"/>
      <w:szCs w:val="32"/>
    </w:rPr>
  </w:style>
  <w:style w:type="paragraph" w:customStyle="1" w:styleId="140">
    <w:name w:val="pa-84"/>
    <w:basedOn w:val="1"/>
    <w:qFormat/>
    <w:uiPriority w:val="0"/>
    <w:pPr>
      <w:spacing w:line="480" w:lineRule="atLeast"/>
      <w:jc w:val="center"/>
    </w:pPr>
    <w:rPr>
      <w:rFonts w:ascii="宋体" w:hAnsi="宋体" w:cs="宋体"/>
      <w:sz w:val="24"/>
      <w:szCs w:val="24"/>
    </w:rPr>
  </w:style>
  <w:style w:type="paragraph" w:customStyle="1" w:styleId="141">
    <w:name w:val="pa-91"/>
    <w:basedOn w:val="1"/>
    <w:qFormat/>
    <w:uiPriority w:val="0"/>
    <w:pPr>
      <w:spacing w:line="360" w:lineRule="atLeast"/>
      <w:ind w:firstLine="4000"/>
    </w:pPr>
    <w:rPr>
      <w:rFonts w:ascii="宋体" w:hAnsi="宋体" w:cs="宋体"/>
      <w:sz w:val="24"/>
      <w:szCs w:val="24"/>
    </w:rPr>
  </w:style>
  <w:style w:type="paragraph" w:customStyle="1" w:styleId="142">
    <w:name w:val="标书标题2"/>
    <w:basedOn w:val="3"/>
    <w:qFormat/>
    <w:uiPriority w:val="0"/>
    <w:pPr>
      <w:keepLines w:val="0"/>
      <w:tabs>
        <w:tab w:val="left" w:pos="1140"/>
      </w:tabs>
      <w:adjustRightInd w:val="0"/>
      <w:snapToGrid w:val="0"/>
      <w:spacing w:beforeLines="50" w:after="60" w:line="300" w:lineRule="auto"/>
      <w:ind w:left="1140" w:hanging="720"/>
    </w:pPr>
    <w:rPr>
      <w:rFonts w:ascii="Arial Narrow" w:hAnsi="Arial Narrow" w:eastAsia="仿宋_GB2312"/>
      <w:bCs w:val="0"/>
      <w:sz w:val="28"/>
      <w:szCs w:val="20"/>
    </w:rPr>
  </w:style>
  <w:style w:type="paragraph" w:customStyle="1" w:styleId="143">
    <w:name w:val="表格格式"/>
    <w:basedOn w:val="1"/>
    <w:qFormat/>
    <w:uiPriority w:val="0"/>
    <w:pPr>
      <w:widowControl w:val="0"/>
      <w:spacing w:line="360" w:lineRule="exact"/>
      <w:ind w:left="-91"/>
    </w:pPr>
    <w:rPr>
      <w:rFonts w:ascii="宋体" w:hAnsi="Calibri"/>
      <w:sz w:val="24"/>
      <w:szCs w:val="11"/>
    </w:rPr>
  </w:style>
  <w:style w:type="paragraph" w:customStyle="1" w:styleId="144">
    <w:name w:val="pa-127"/>
    <w:basedOn w:val="1"/>
    <w:qFormat/>
    <w:uiPriority w:val="0"/>
    <w:pPr>
      <w:spacing w:line="480" w:lineRule="atLeast"/>
      <w:ind w:firstLine="960"/>
      <w:jc w:val="both"/>
    </w:pPr>
    <w:rPr>
      <w:rFonts w:ascii="宋体" w:hAnsi="宋体" w:cs="宋体"/>
      <w:sz w:val="24"/>
      <w:szCs w:val="24"/>
    </w:rPr>
  </w:style>
  <w:style w:type="paragraph" w:customStyle="1" w:styleId="145">
    <w:name w:val="pa-20"/>
    <w:basedOn w:val="1"/>
    <w:qFormat/>
    <w:uiPriority w:val="0"/>
    <w:pPr>
      <w:spacing w:line="360" w:lineRule="atLeast"/>
    </w:pPr>
    <w:rPr>
      <w:rFonts w:ascii="宋体" w:hAnsi="宋体" w:cs="宋体"/>
      <w:sz w:val="24"/>
      <w:szCs w:val="24"/>
    </w:rPr>
  </w:style>
  <w:style w:type="paragraph" w:customStyle="1" w:styleId="146">
    <w:name w:val="样式 标题 3 + 段前: 7.8 磅"/>
    <w:basedOn w:val="4"/>
    <w:qFormat/>
    <w:uiPriority w:val="0"/>
    <w:pPr>
      <w:keepNext w:val="0"/>
      <w:keepLines w:val="0"/>
      <w:widowControl w:val="0"/>
      <w:tabs>
        <w:tab w:val="left" w:pos="432"/>
      </w:tabs>
      <w:spacing w:before="156" w:after="0" w:line="360" w:lineRule="auto"/>
      <w:ind w:left="432" w:hanging="432"/>
      <w:jc w:val="both"/>
    </w:pPr>
    <w:rPr>
      <w:rFonts w:ascii="Calibri" w:hAnsi="Calibri" w:cs="宋体"/>
      <w:b w:val="0"/>
      <w:bCs w:val="0"/>
      <w:kern w:val="2"/>
      <w:sz w:val="24"/>
      <w:szCs w:val="20"/>
    </w:rPr>
  </w:style>
  <w:style w:type="paragraph" w:customStyle="1" w:styleId="147">
    <w:name w:val="内文"/>
    <w:link w:val="148"/>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48">
    <w:name w:val="内文 Char Char"/>
    <w:link w:val="147"/>
    <w:qFormat/>
    <w:locked/>
    <w:uiPriority w:val="0"/>
    <w:rPr>
      <w:rFonts w:ascii="Arial" w:hAnsi="Arial" w:eastAsia="Times New Roman"/>
      <w:kern w:val="2"/>
      <w:sz w:val="21"/>
      <w:lang w:val="en-US" w:eastAsia="zh-CN" w:bidi="ar-SA"/>
    </w:rPr>
  </w:style>
  <w:style w:type="paragraph" w:customStyle="1" w:styleId="149">
    <w:name w:val="ca-21"/>
    <w:basedOn w:val="1"/>
    <w:qFormat/>
    <w:uiPriority w:val="0"/>
    <w:rPr>
      <w:rFonts w:ascii="宋体" w:hAnsi="宋体" w:cs="宋体"/>
      <w:color w:val="000000"/>
      <w:szCs w:val="21"/>
    </w:rPr>
  </w:style>
  <w:style w:type="paragraph" w:customStyle="1" w:styleId="150">
    <w:name w:val="pa-37"/>
    <w:basedOn w:val="1"/>
    <w:qFormat/>
    <w:uiPriority w:val="0"/>
    <w:pPr>
      <w:spacing w:line="360" w:lineRule="atLeast"/>
      <w:ind w:firstLine="300"/>
      <w:jc w:val="both"/>
    </w:pPr>
    <w:rPr>
      <w:rFonts w:ascii="宋体" w:hAnsi="宋体" w:cs="宋体"/>
      <w:sz w:val="24"/>
      <w:szCs w:val="24"/>
    </w:rPr>
  </w:style>
  <w:style w:type="paragraph" w:customStyle="1" w:styleId="151">
    <w:name w:val="Revision1"/>
    <w:qFormat/>
    <w:uiPriority w:val="0"/>
    <w:rPr>
      <w:rFonts w:ascii="Calibri" w:hAnsi="Calibri" w:eastAsia="宋体" w:cs="Times New Roman"/>
      <w:kern w:val="2"/>
      <w:sz w:val="21"/>
      <w:szCs w:val="24"/>
      <w:lang w:val="en-US" w:eastAsia="zh-CN" w:bidi="ar-SA"/>
    </w:rPr>
  </w:style>
  <w:style w:type="paragraph" w:customStyle="1" w:styleId="152">
    <w:name w:val="ca-33"/>
    <w:basedOn w:val="1"/>
    <w:qFormat/>
    <w:uiPriority w:val="0"/>
    <w:rPr>
      <w:rFonts w:ascii="宋体" w:hAnsi="宋体" w:cs="宋体"/>
      <w:b/>
      <w:bCs/>
      <w:color w:val="002060"/>
      <w:spacing w:val="-20"/>
      <w:sz w:val="20"/>
    </w:rPr>
  </w:style>
  <w:style w:type="paragraph" w:customStyle="1" w:styleId="153">
    <w:name w:val="ca-48"/>
    <w:basedOn w:val="1"/>
    <w:qFormat/>
    <w:uiPriority w:val="0"/>
    <w:rPr>
      <w:rFonts w:ascii="宋体" w:hAnsi="宋体" w:cs="宋体"/>
      <w:color w:val="000000"/>
      <w:sz w:val="26"/>
      <w:szCs w:val="26"/>
    </w:rPr>
  </w:style>
  <w:style w:type="paragraph" w:customStyle="1" w:styleId="154">
    <w:name w:val="pa-133"/>
    <w:basedOn w:val="1"/>
    <w:qFormat/>
    <w:uiPriority w:val="0"/>
    <w:pPr>
      <w:spacing w:line="280" w:lineRule="atLeast"/>
    </w:pPr>
    <w:rPr>
      <w:rFonts w:ascii="宋体" w:hAnsi="宋体" w:cs="宋体"/>
      <w:sz w:val="24"/>
      <w:szCs w:val="24"/>
    </w:rPr>
  </w:style>
  <w:style w:type="paragraph" w:customStyle="1" w:styleId="155">
    <w:name w:val="ca-3"/>
    <w:basedOn w:val="1"/>
    <w:qFormat/>
    <w:uiPriority w:val="0"/>
    <w:rPr>
      <w:rFonts w:ascii="Calibri" w:hAnsi="Calibri"/>
      <w:b/>
      <w:bCs/>
      <w:color w:val="000000"/>
      <w:spacing w:val="-20"/>
      <w:sz w:val="48"/>
      <w:szCs w:val="48"/>
    </w:rPr>
  </w:style>
  <w:style w:type="paragraph" w:customStyle="1" w:styleId="156">
    <w:name w:val="pa-73"/>
    <w:basedOn w:val="1"/>
    <w:qFormat/>
    <w:uiPriority w:val="0"/>
    <w:pPr>
      <w:spacing w:line="360" w:lineRule="atLeast"/>
      <w:ind w:firstLine="640"/>
      <w:jc w:val="both"/>
    </w:pPr>
    <w:rPr>
      <w:rFonts w:ascii="宋体" w:hAnsi="宋体" w:cs="宋体"/>
      <w:sz w:val="24"/>
      <w:szCs w:val="24"/>
    </w:rPr>
  </w:style>
  <w:style w:type="paragraph" w:customStyle="1" w:styleId="157">
    <w:name w:val="pa-81"/>
    <w:basedOn w:val="1"/>
    <w:qFormat/>
    <w:uiPriority w:val="0"/>
    <w:pPr>
      <w:spacing w:line="360" w:lineRule="atLeast"/>
      <w:jc w:val="center"/>
    </w:pPr>
    <w:rPr>
      <w:rFonts w:ascii="宋体" w:hAnsi="宋体" w:cs="宋体"/>
      <w:sz w:val="24"/>
      <w:szCs w:val="24"/>
    </w:rPr>
  </w:style>
  <w:style w:type="paragraph" w:customStyle="1" w:styleId="158">
    <w:name w:val="pa-93"/>
    <w:basedOn w:val="1"/>
    <w:qFormat/>
    <w:uiPriority w:val="0"/>
    <w:pPr>
      <w:spacing w:line="480" w:lineRule="atLeast"/>
      <w:ind w:firstLine="480"/>
    </w:pPr>
    <w:rPr>
      <w:rFonts w:ascii="宋体" w:hAnsi="宋体" w:cs="宋体"/>
      <w:sz w:val="24"/>
      <w:szCs w:val="24"/>
    </w:rPr>
  </w:style>
  <w:style w:type="paragraph" w:customStyle="1" w:styleId="159">
    <w:name w:val="默认段落字体 Para Char Char Char Char Char Char Char Char Char Char"/>
    <w:basedOn w:val="1"/>
    <w:qFormat/>
    <w:uiPriority w:val="0"/>
    <w:pPr>
      <w:widowControl w:val="0"/>
      <w:jc w:val="both"/>
    </w:pPr>
    <w:rPr>
      <w:rFonts w:ascii="Calibri" w:hAnsi="Calibri"/>
      <w:kern w:val="2"/>
    </w:rPr>
  </w:style>
  <w:style w:type="paragraph" w:customStyle="1" w:styleId="160">
    <w:name w:val="pa-89"/>
    <w:basedOn w:val="1"/>
    <w:qFormat/>
    <w:uiPriority w:val="0"/>
    <w:pPr>
      <w:spacing w:line="320" w:lineRule="atLeast"/>
      <w:jc w:val="both"/>
    </w:pPr>
    <w:rPr>
      <w:rFonts w:ascii="宋体" w:hAnsi="宋体" w:cs="宋体"/>
      <w:sz w:val="24"/>
      <w:szCs w:val="24"/>
    </w:rPr>
  </w:style>
  <w:style w:type="paragraph" w:customStyle="1" w:styleId="161">
    <w:name w:val="投标书正文"/>
    <w:link w:val="162"/>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62">
    <w:name w:val="投标书正文 Char Char"/>
    <w:link w:val="161"/>
    <w:qFormat/>
    <w:uiPriority w:val="0"/>
    <w:rPr>
      <w:rFonts w:eastAsia="Times New Roman"/>
      <w:kern w:val="2"/>
      <w:sz w:val="24"/>
      <w:szCs w:val="24"/>
    </w:rPr>
  </w:style>
  <w:style w:type="paragraph" w:customStyle="1" w:styleId="163">
    <w:name w:val="xl63"/>
    <w:basedOn w:val="1"/>
    <w:qFormat/>
    <w:uiPriority w:val="0"/>
    <w:pPr>
      <w:spacing w:before="100" w:beforeAutospacing="1" w:after="100" w:afterAutospacing="1"/>
      <w:jc w:val="center"/>
    </w:pPr>
    <w:rPr>
      <w:rFonts w:ascii="宋体" w:hAnsi="宋体" w:cs="宋体"/>
      <w:b/>
      <w:bCs/>
      <w:sz w:val="20"/>
    </w:rPr>
  </w:style>
  <w:style w:type="paragraph" w:customStyle="1" w:styleId="164">
    <w:name w:val="纯文本1"/>
    <w:basedOn w:val="1"/>
    <w:qFormat/>
    <w:uiPriority w:val="99"/>
    <w:pPr>
      <w:widowControl w:val="0"/>
      <w:spacing w:afterLines="50"/>
      <w:jc w:val="both"/>
    </w:pPr>
    <w:rPr>
      <w:rFonts w:ascii="宋体" w:hAnsi="Courier New"/>
      <w:kern w:val="2"/>
      <w:sz w:val="24"/>
    </w:rPr>
  </w:style>
  <w:style w:type="paragraph" w:customStyle="1" w:styleId="165">
    <w:name w:val="ca-25"/>
    <w:basedOn w:val="1"/>
    <w:qFormat/>
    <w:uiPriority w:val="0"/>
    <w:rPr>
      <w:rFonts w:ascii="Calibri" w:hAnsi="Calibri"/>
      <w:szCs w:val="21"/>
    </w:rPr>
  </w:style>
  <w:style w:type="paragraph" w:customStyle="1" w:styleId="166">
    <w:name w:val="ca-6"/>
    <w:basedOn w:val="1"/>
    <w:qFormat/>
    <w:uiPriority w:val="0"/>
    <w:rPr>
      <w:rFonts w:ascii="宋体" w:hAnsi="宋体" w:cs="宋体"/>
      <w:color w:val="000000"/>
      <w:sz w:val="30"/>
      <w:szCs w:val="30"/>
    </w:rPr>
  </w:style>
  <w:style w:type="paragraph" w:customStyle="1" w:styleId="167">
    <w:name w:val="pa-19"/>
    <w:basedOn w:val="1"/>
    <w:qFormat/>
    <w:uiPriority w:val="0"/>
    <w:pPr>
      <w:spacing w:line="240" w:lineRule="atLeast"/>
      <w:ind w:firstLine="20"/>
    </w:pPr>
    <w:rPr>
      <w:rFonts w:ascii="宋体" w:hAnsi="宋体" w:cs="宋体"/>
      <w:sz w:val="24"/>
      <w:szCs w:val="24"/>
    </w:rPr>
  </w:style>
  <w:style w:type="paragraph" w:customStyle="1" w:styleId="168">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9">
    <w:name w:val="xl65"/>
    <w:basedOn w:val="1"/>
    <w:qFormat/>
    <w:uiPriority w:val="0"/>
    <w:pPr>
      <w:spacing w:before="100" w:beforeAutospacing="1" w:after="100" w:afterAutospacing="1"/>
    </w:pPr>
    <w:rPr>
      <w:rFonts w:ascii="宋体" w:hAnsi="宋体" w:cs="宋体"/>
      <w:b/>
      <w:bCs/>
      <w:sz w:val="24"/>
      <w:szCs w:val="24"/>
    </w:rPr>
  </w:style>
  <w:style w:type="paragraph" w:customStyle="1" w:styleId="170">
    <w:name w:val="TOC Heading1"/>
    <w:basedOn w:val="2"/>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171">
    <w:name w:val="ca-49"/>
    <w:basedOn w:val="1"/>
    <w:qFormat/>
    <w:uiPriority w:val="0"/>
    <w:rPr>
      <w:rFonts w:ascii="宋体" w:hAnsi="宋体" w:cs="宋体"/>
      <w:sz w:val="32"/>
      <w:szCs w:val="32"/>
    </w:rPr>
  </w:style>
  <w:style w:type="paragraph" w:customStyle="1" w:styleId="172">
    <w:name w:val="菲页2"/>
    <w:basedOn w:val="4"/>
    <w:qFormat/>
    <w:uiPriority w:val="0"/>
    <w:pPr>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173">
    <w:name w:val="正文文本缩进1"/>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174">
    <w:name w:val="td-0"/>
    <w:basedOn w:val="1"/>
    <w:qFormat/>
    <w:uiPriority w:val="0"/>
    <w:pPr>
      <w:pBdr>
        <w:top w:val="single" w:color="000000" w:sz="4"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175">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sz w:val="18"/>
      <w:szCs w:val="18"/>
    </w:rPr>
  </w:style>
  <w:style w:type="paragraph" w:customStyle="1" w:styleId="176">
    <w:name w:val="pa-34"/>
    <w:basedOn w:val="1"/>
    <w:qFormat/>
    <w:uiPriority w:val="0"/>
    <w:pPr>
      <w:spacing w:line="360" w:lineRule="atLeast"/>
      <w:ind w:firstLine="460"/>
      <w:jc w:val="both"/>
    </w:pPr>
    <w:rPr>
      <w:rFonts w:ascii="宋体" w:hAnsi="宋体" w:cs="宋体"/>
      <w:sz w:val="24"/>
      <w:szCs w:val="24"/>
    </w:rPr>
  </w:style>
  <w:style w:type="paragraph" w:customStyle="1" w:styleId="177">
    <w:name w:val="样式 标题 4 + 段后: 8.15 磅 行距: 1.5 倍行距"/>
    <w:basedOn w:val="5"/>
    <w:qFormat/>
    <w:uiPriority w:val="0"/>
    <w:pPr>
      <w:tabs>
        <w:tab w:val="clear" w:pos="864"/>
      </w:tabs>
      <w:spacing w:after="163" w:line="360" w:lineRule="auto"/>
    </w:pPr>
    <w:rPr>
      <w:rFonts w:eastAsia="宋体" w:cs="宋体"/>
      <w:sz w:val="24"/>
      <w:szCs w:val="20"/>
      <w:lang w:val="en-US"/>
    </w:rPr>
  </w:style>
  <w:style w:type="paragraph" w:customStyle="1" w:styleId="178">
    <w:name w:val="pa-28"/>
    <w:basedOn w:val="1"/>
    <w:qFormat/>
    <w:uiPriority w:val="0"/>
    <w:pPr>
      <w:spacing w:line="360" w:lineRule="atLeast"/>
      <w:ind w:firstLine="420"/>
    </w:pPr>
    <w:rPr>
      <w:rFonts w:ascii="宋体" w:hAnsi="宋体" w:cs="宋体"/>
      <w:sz w:val="24"/>
      <w:szCs w:val="24"/>
    </w:rPr>
  </w:style>
  <w:style w:type="paragraph" w:customStyle="1" w:styleId="179">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180">
    <w:name w:val="p17"/>
    <w:basedOn w:val="1"/>
    <w:qFormat/>
    <w:uiPriority w:val="0"/>
    <w:pPr>
      <w:jc w:val="both"/>
    </w:pPr>
    <w:rPr>
      <w:szCs w:val="21"/>
    </w:rPr>
  </w:style>
  <w:style w:type="paragraph" w:customStyle="1" w:styleId="181">
    <w:name w:val="ca-37"/>
    <w:basedOn w:val="1"/>
    <w:qFormat/>
    <w:uiPriority w:val="0"/>
    <w:rPr>
      <w:rFonts w:ascii="宋体" w:hAnsi="宋体" w:cs="宋体"/>
      <w:color w:val="000000"/>
      <w:szCs w:val="21"/>
    </w:rPr>
  </w:style>
  <w:style w:type="paragraph" w:customStyle="1" w:styleId="182">
    <w:name w:val="pa-42"/>
    <w:basedOn w:val="1"/>
    <w:qFormat/>
    <w:uiPriority w:val="0"/>
    <w:pPr>
      <w:spacing w:line="280" w:lineRule="atLeast"/>
      <w:ind w:firstLine="420"/>
    </w:pPr>
    <w:rPr>
      <w:rFonts w:ascii="宋体" w:hAnsi="宋体" w:cs="宋体"/>
      <w:sz w:val="24"/>
      <w:szCs w:val="24"/>
    </w:rPr>
  </w:style>
  <w:style w:type="paragraph" w:customStyle="1" w:styleId="183">
    <w:name w:val="明显引用2"/>
    <w:basedOn w:val="1"/>
    <w:next w:val="1"/>
    <w:qFormat/>
    <w:uiPriority w:val="0"/>
    <w:pPr>
      <w:widowControl w:val="0"/>
      <w:pBdr>
        <w:bottom w:val="single" w:color="4F81BD" w:sz="4" w:space="4"/>
      </w:pBdr>
      <w:spacing w:before="200" w:after="280"/>
      <w:ind w:left="936" w:right="936"/>
      <w:jc w:val="both"/>
    </w:pPr>
    <w:rPr>
      <w:rFonts w:ascii="Calibri" w:hAnsi="Calibri"/>
      <w:b/>
      <w:i/>
      <w:color w:val="4F81BD"/>
      <w:kern w:val="2"/>
      <w:sz w:val="22"/>
    </w:rPr>
  </w:style>
  <w:style w:type="paragraph" w:customStyle="1" w:styleId="184">
    <w:name w:val="样式 纯文本普通文字 Char纯文本 Char Char普通文字纯文本 Char Char Char Char Char...6"/>
    <w:basedOn w:val="29"/>
    <w:link w:val="185"/>
    <w:qFormat/>
    <w:uiPriority w:val="0"/>
    <w:rPr>
      <w:color w:val="000000"/>
    </w:rPr>
  </w:style>
  <w:style w:type="character" w:customStyle="1" w:styleId="185">
    <w:name w:val="样式 纯文本普通文字 Char纯文本 Char Char普通文字纯文本 Char Char Char Char Char...6 Char Char"/>
    <w:link w:val="184"/>
    <w:qFormat/>
    <w:locked/>
    <w:uiPriority w:val="0"/>
    <w:rPr>
      <w:rFonts w:ascii="宋体" w:hAnsi="Courier New"/>
      <w:color w:val="000000"/>
      <w:kern w:val="2"/>
      <w:sz w:val="21"/>
    </w:rPr>
  </w:style>
  <w:style w:type="paragraph" w:customStyle="1" w:styleId="186">
    <w:name w:val="pa-140"/>
    <w:basedOn w:val="1"/>
    <w:qFormat/>
    <w:uiPriority w:val="0"/>
    <w:pPr>
      <w:spacing w:line="320" w:lineRule="atLeast"/>
      <w:ind w:firstLine="560"/>
      <w:jc w:val="both"/>
    </w:pPr>
    <w:rPr>
      <w:rFonts w:ascii="宋体" w:hAnsi="宋体" w:cs="宋体"/>
      <w:sz w:val="24"/>
      <w:szCs w:val="24"/>
    </w:rPr>
  </w:style>
  <w:style w:type="paragraph" w:customStyle="1" w:styleId="187">
    <w:name w:val="pa-137"/>
    <w:basedOn w:val="1"/>
    <w:qFormat/>
    <w:uiPriority w:val="0"/>
    <w:pPr>
      <w:spacing w:line="480" w:lineRule="atLeast"/>
      <w:jc w:val="center"/>
    </w:pPr>
    <w:rPr>
      <w:rFonts w:ascii="宋体" w:hAnsi="宋体" w:cs="宋体"/>
      <w:sz w:val="24"/>
      <w:szCs w:val="24"/>
    </w:rPr>
  </w:style>
  <w:style w:type="paragraph" w:customStyle="1" w:styleId="188">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6"/>
      <w:szCs w:val="16"/>
    </w:rPr>
  </w:style>
  <w:style w:type="paragraph" w:customStyle="1" w:styleId="189">
    <w:name w:val="pa-75"/>
    <w:basedOn w:val="1"/>
    <w:qFormat/>
    <w:uiPriority w:val="0"/>
    <w:pPr>
      <w:spacing w:line="300" w:lineRule="atLeast"/>
      <w:jc w:val="center"/>
    </w:pPr>
    <w:rPr>
      <w:rFonts w:ascii="宋体" w:hAnsi="宋体" w:cs="宋体"/>
      <w:sz w:val="24"/>
      <w:szCs w:val="24"/>
    </w:rPr>
  </w:style>
  <w:style w:type="paragraph" w:customStyle="1" w:styleId="190">
    <w:name w:val="pa-96"/>
    <w:basedOn w:val="1"/>
    <w:qFormat/>
    <w:uiPriority w:val="0"/>
    <w:pPr>
      <w:spacing w:line="480" w:lineRule="atLeast"/>
      <w:jc w:val="both"/>
    </w:pPr>
    <w:rPr>
      <w:rFonts w:ascii="宋体" w:hAnsi="宋体" w:cs="宋体"/>
      <w:sz w:val="24"/>
      <w:szCs w:val="24"/>
    </w:rPr>
  </w:style>
  <w:style w:type="paragraph" w:customStyle="1" w:styleId="191">
    <w:name w:val="pa-90"/>
    <w:basedOn w:val="1"/>
    <w:qFormat/>
    <w:uiPriority w:val="0"/>
    <w:pPr>
      <w:spacing w:line="280" w:lineRule="atLeast"/>
      <w:jc w:val="both"/>
    </w:pPr>
    <w:rPr>
      <w:rFonts w:ascii="宋体" w:hAnsi="宋体" w:cs="宋体"/>
      <w:sz w:val="24"/>
      <w:szCs w:val="24"/>
    </w:rPr>
  </w:style>
  <w:style w:type="paragraph" w:customStyle="1" w:styleId="192">
    <w:name w:val="表头"/>
    <w:basedOn w:val="1"/>
    <w:qFormat/>
    <w:uiPriority w:val="0"/>
    <w:pPr>
      <w:widowControl w:val="0"/>
      <w:spacing w:line="360" w:lineRule="auto"/>
      <w:jc w:val="center"/>
    </w:pPr>
    <w:rPr>
      <w:rFonts w:ascii="黑体" w:hAnsi="Calibri" w:eastAsia="黑体"/>
      <w:sz w:val="24"/>
    </w:rPr>
  </w:style>
  <w:style w:type="paragraph" w:customStyle="1" w:styleId="193">
    <w:name w:val="pa-23"/>
    <w:basedOn w:val="1"/>
    <w:qFormat/>
    <w:uiPriority w:val="0"/>
    <w:pPr>
      <w:spacing w:line="360" w:lineRule="atLeast"/>
      <w:ind w:firstLine="420"/>
      <w:jc w:val="both"/>
    </w:pPr>
    <w:rPr>
      <w:rFonts w:ascii="宋体" w:hAnsi="宋体" w:cs="宋体"/>
      <w:sz w:val="24"/>
      <w:szCs w:val="24"/>
    </w:rPr>
  </w:style>
  <w:style w:type="paragraph" w:customStyle="1" w:styleId="194">
    <w:name w:val="附件"/>
    <w:basedOn w:val="2"/>
    <w:qFormat/>
    <w:uiPriority w:val="0"/>
    <w:pPr>
      <w:keepNext w:val="0"/>
      <w:keepLines w:val="0"/>
      <w:pageBreakBefore/>
      <w:spacing w:beforeLines="100" w:afterLines="100" w:line="240" w:lineRule="auto"/>
      <w:jc w:val="center"/>
    </w:pPr>
    <w:rPr>
      <w:rFonts w:hAnsi="宋体"/>
      <w:sz w:val="28"/>
      <w:szCs w:val="36"/>
    </w:rPr>
  </w:style>
  <w:style w:type="paragraph" w:customStyle="1" w:styleId="195">
    <w:name w:val="ca-19"/>
    <w:basedOn w:val="1"/>
    <w:qFormat/>
    <w:uiPriority w:val="0"/>
    <w:rPr>
      <w:rFonts w:ascii="Calibri" w:hAnsi="Calibri"/>
      <w:sz w:val="18"/>
      <w:szCs w:val="18"/>
    </w:rPr>
  </w:style>
  <w:style w:type="paragraph" w:customStyle="1" w:styleId="196">
    <w:name w:val="样式 样式 标题 3section:33l3Level 3 HeadH3heading 3h3Bold Headbh... + ... Char"/>
    <w:basedOn w:val="1"/>
    <w:qFormat/>
    <w:uiPriority w:val="0"/>
    <w:pPr>
      <w:keepNext/>
      <w:keepLines/>
      <w:widowControl w:val="0"/>
      <w:spacing w:beforeLines="50" w:afterLines="50" w:line="360" w:lineRule="auto"/>
      <w:ind w:left="800" w:leftChars="400"/>
      <w:jc w:val="both"/>
      <w:outlineLvl w:val="2"/>
    </w:pPr>
    <w:rPr>
      <w:rFonts w:ascii="宋体" w:hAnsi="宋体" w:cs="宋体"/>
      <w:b/>
      <w:bCs/>
      <w:color w:val="FF0000"/>
      <w:kern w:val="2"/>
      <w:sz w:val="24"/>
      <w:szCs w:val="24"/>
    </w:rPr>
  </w:style>
  <w:style w:type="paragraph" w:customStyle="1" w:styleId="197">
    <w:name w:val="ca-27"/>
    <w:basedOn w:val="1"/>
    <w:qFormat/>
    <w:uiPriority w:val="0"/>
    <w:rPr>
      <w:rFonts w:ascii="宋体" w:hAnsi="宋体" w:cs="宋体"/>
      <w:b/>
      <w:bCs/>
      <w:color w:val="002060"/>
      <w:spacing w:val="-20"/>
      <w:szCs w:val="21"/>
    </w:rPr>
  </w:style>
  <w:style w:type="paragraph" w:customStyle="1" w:styleId="198">
    <w:name w:val="pa-113"/>
    <w:basedOn w:val="1"/>
    <w:qFormat/>
    <w:uiPriority w:val="0"/>
    <w:pPr>
      <w:spacing w:line="360" w:lineRule="atLeast"/>
      <w:ind w:firstLine="2960"/>
      <w:jc w:val="both"/>
    </w:pPr>
    <w:rPr>
      <w:rFonts w:ascii="宋体" w:hAnsi="宋体" w:cs="宋体"/>
      <w:sz w:val="24"/>
      <w:szCs w:val="24"/>
    </w:rPr>
  </w:style>
  <w:style w:type="paragraph" w:customStyle="1" w:styleId="199">
    <w:name w:val="pa-12"/>
    <w:basedOn w:val="1"/>
    <w:qFormat/>
    <w:uiPriority w:val="0"/>
    <w:pPr>
      <w:spacing w:line="360" w:lineRule="atLeast"/>
      <w:jc w:val="both"/>
    </w:pPr>
    <w:rPr>
      <w:rFonts w:ascii="宋体" w:hAnsi="宋体" w:cs="宋体"/>
      <w:sz w:val="24"/>
      <w:szCs w:val="24"/>
    </w:rPr>
  </w:style>
  <w:style w:type="paragraph" w:customStyle="1" w:styleId="20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sz w:val="20"/>
    </w:rPr>
  </w:style>
  <w:style w:type="paragraph" w:customStyle="1" w:styleId="201">
    <w:name w:val="pa-47"/>
    <w:basedOn w:val="1"/>
    <w:qFormat/>
    <w:uiPriority w:val="0"/>
    <w:pPr>
      <w:spacing w:line="280" w:lineRule="atLeast"/>
      <w:ind w:firstLine="280"/>
      <w:jc w:val="center"/>
    </w:pPr>
    <w:rPr>
      <w:rFonts w:ascii="宋体" w:hAnsi="宋体" w:cs="宋体"/>
      <w:sz w:val="24"/>
      <w:szCs w:val="24"/>
    </w:rPr>
  </w:style>
  <w:style w:type="paragraph" w:customStyle="1" w:styleId="202">
    <w:name w:val="ca-1"/>
    <w:basedOn w:val="1"/>
    <w:qFormat/>
    <w:uiPriority w:val="0"/>
    <w:rPr>
      <w:rFonts w:ascii="宋体" w:hAnsi="宋体" w:cs="宋体"/>
      <w:color w:val="000000"/>
      <w:spacing w:val="40"/>
      <w:sz w:val="44"/>
      <w:szCs w:val="44"/>
    </w:rPr>
  </w:style>
  <w:style w:type="paragraph" w:customStyle="1" w:styleId="20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204">
    <w:name w:val="样式 正文缩进正文（首行缩进两字）特点ALT+Z表正文正文非缩进四号段1Normal Indent Char2...2"/>
    <w:basedOn w:val="4"/>
    <w:qFormat/>
    <w:uiPriority w:val="0"/>
    <w:pPr>
      <w:widowControl w:val="0"/>
      <w:spacing w:before="360" w:after="120" w:line="360" w:lineRule="auto"/>
      <w:jc w:val="center"/>
    </w:pPr>
    <w:rPr>
      <w:rFonts w:ascii="宋体" w:hAnsi="宋体"/>
      <w:bCs w:val="0"/>
      <w:kern w:val="2"/>
      <w:sz w:val="28"/>
      <w:szCs w:val="20"/>
    </w:rPr>
  </w:style>
  <w:style w:type="paragraph" w:customStyle="1" w:styleId="205">
    <w:name w:val="Quote1"/>
    <w:basedOn w:val="1"/>
    <w:next w:val="1"/>
    <w:link w:val="206"/>
    <w:qFormat/>
    <w:uiPriority w:val="0"/>
    <w:pPr>
      <w:widowControl w:val="0"/>
      <w:jc w:val="both"/>
    </w:pPr>
    <w:rPr>
      <w:i/>
      <w:color w:val="000000"/>
      <w:kern w:val="2"/>
      <w:sz w:val="22"/>
    </w:rPr>
  </w:style>
  <w:style w:type="character" w:customStyle="1" w:styleId="206">
    <w:name w:val="引用 Char"/>
    <w:link w:val="205"/>
    <w:qFormat/>
    <w:locked/>
    <w:uiPriority w:val="0"/>
    <w:rPr>
      <w:i/>
      <w:color w:val="000000"/>
      <w:kern w:val="2"/>
      <w:sz w:val="22"/>
    </w:rPr>
  </w:style>
  <w:style w:type="paragraph" w:customStyle="1" w:styleId="207">
    <w:name w:val="样式 正文缩进正文（首行缩进两字）特点ALT+Z表正文正文非缩进四号段1Normal Indent Char2...1"/>
    <w:basedOn w:val="3"/>
    <w:qFormat/>
    <w:uiPriority w:val="0"/>
    <w:pPr>
      <w:widowControl w:val="0"/>
      <w:spacing w:before="1320" w:after="240" w:line="300" w:lineRule="auto"/>
      <w:jc w:val="center"/>
    </w:pPr>
    <w:rPr>
      <w:rFonts w:ascii="Arial" w:hAnsi="Arial" w:eastAsia="黑体"/>
      <w:bCs w:val="0"/>
      <w:kern w:val="2"/>
      <w:szCs w:val="20"/>
    </w:rPr>
  </w:style>
  <w:style w:type="paragraph" w:customStyle="1" w:styleId="208">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209">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10">
    <w:name w:val="xl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211">
    <w:name w:val="pa-120"/>
    <w:basedOn w:val="1"/>
    <w:qFormat/>
    <w:uiPriority w:val="0"/>
    <w:pPr>
      <w:spacing w:line="280" w:lineRule="atLeast"/>
      <w:jc w:val="right"/>
    </w:pPr>
    <w:rPr>
      <w:rFonts w:ascii="宋体" w:hAnsi="宋体" w:cs="宋体"/>
      <w:sz w:val="24"/>
      <w:szCs w:val="24"/>
    </w:rPr>
  </w:style>
  <w:style w:type="paragraph" w:customStyle="1" w:styleId="212">
    <w:name w:val="Char1"/>
    <w:basedOn w:val="1"/>
    <w:qFormat/>
    <w:uiPriority w:val="0"/>
  </w:style>
  <w:style w:type="paragraph" w:customStyle="1" w:styleId="213">
    <w:name w:val="pa-85"/>
    <w:basedOn w:val="1"/>
    <w:qFormat/>
    <w:uiPriority w:val="0"/>
    <w:pPr>
      <w:spacing w:line="760" w:lineRule="atLeast"/>
      <w:jc w:val="center"/>
    </w:pPr>
    <w:rPr>
      <w:rFonts w:ascii="宋体" w:hAnsi="宋体" w:cs="宋体"/>
      <w:sz w:val="24"/>
      <w:szCs w:val="24"/>
    </w:rPr>
  </w:style>
  <w:style w:type="paragraph" w:customStyle="1" w:styleId="214">
    <w:name w:val="ca-22"/>
    <w:basedOn w:val="1"/>
    <w:qFormat/>
    <w:uiPriority w:val="0"/>
    <w:rPr>
      <w:rFonts w:ascii="宋体" w:hAnsi="宋体" w:cs="宋体"/>
      <w:szCs w:val="21"/>
    </w:rPr>
  </w:style>
  <w:style w:type="paragraph" w:customStyle="1" w:styleId="215">
    <w:name w:val="列出段落1"/>
    <w:basedOn w:val="1"/>
    <w:link w:val="216"/>
    <w:qFormat/>
    <w:uiPriority w:val="0"/>
    <w:pPr>
      <w:ind w:left="720"/>
      <w:contextualSpacing/>
    </w:pPr>
    <w:rPr>
      <w:rFonts w:ascii="Arial" w:hAnsi="Arial" w:eastAsia="黑体"/>
      <w:sz w:val="24"/>
      <w:szCs w:val="24"/>
      <w:lang w:eastAsia="en-US" w:bidi="en-US"/>
    </w:rPr>
  </w:style>
  <w:style w:type="character" w:customStyle="1" w:styleId="216">
    <w:name w:val="List Paragraph Char"/>
    <w:link w:val="215"/>
    <w:qFormat/>
    <w:uiPriority w:val="0"/>
    <w:rPr>
      <w:rFonts w:ascii="Arial" w:hAnsi="Arial" w:eastAsia="黑体"/>
      <w:sz w:val="24"/>
      <w:szCs w:val="24"/>
      <w:lang w:eastAsia="en-US" w:bidi="en-US"/>
    </w:rPr>
  </w:style>
  <w:style w:type="paragraph" w:customStyle="1" w:styleId="217">
    <w:name w:val="font6"/>
    <w:basedOn w:val="1"/>
    <w:qFormat/>
    <w:uiPriority w:val="0"/>
    <w:pPr>
      <w:spacing w:before="100" w:beforeAutospacing="1" w:after="100" w:afterAutospacing="1"/>
    </w:pPr>
    <w:rPr>
      <w:rFonts w:ascii="宋体" w:hAnsi="宋体" w:cs="宋体"/>
      <w:color w:val="FF0000"/>
      <w:sz w:val="16"/>
      <w:szCs w:val="16"/>
    </w:rPr>
  </w:style>
  <w:style w:type="paragraph" w:customStyle="1" w:styleId="218">
    <w:name w:val="pa-87"/>
    <w:basedOn w:val="1"/>
    <w:qFormat/>
    <w:uiPriority w:val="0"/>
    <w:pPr>
      <w:spacing w:line="320" w:lineRule="atLeast"/>
      <w:ind w:firstLine="560"/>
    </w:pPr>
    <w:rPr>
      <w:rFonts w:ascii="宋体" w:hAnsi="宋体" w:cs="宋体"/>
      <w:sz w:val="24"/>
      <w:szCs w:val="24"/>
    </w:rPr>
  </w:style>
  <w:style w:type="paragraph" w:customStyle="1" w:styleId="219">
    <w:name w:val="ca-47"/>
    <w:basedOn w:val="1"/>
    <w:qFormat/>
    <w:uiPriority w:val="0"/>
    <w:rPr>
      <w:rFonts w:ascii="宋体" w:hAnsi="宋体" w:cs="宋体"/>
      <w:b/>
      <w:bCs/>
      <w:color w:val="000000"/>
      <w:spacing w:val="-20"/>
      <w:sz w:val="24"/>
      <w:szCs w:val="24"/>
    </w:rPr>
  </w:style>
  <w:style w:type="paragraph" w:customStyle="1" w:styleId="220">
    <w:name w:val="xl113"/>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21">
    <w:name w:val="ca-15"/>
    <w:basedOn w:val="1"/>
    <w:qFormat/>
    <w:uiPriority w:val="0"/>
    <w:rPr>
      <w:rFonts w:ascii="宋体" w:hAnsi="宋体" w:cs="宋体"/>
      <w:caps/>
      <w:color w:val="000000"/>
      <w:sz w:val="24"/>
      <w:szCs w:val="24"/>
    </w:rPr>
  </w:style>
  <w:style w:type="paragraph" w:customStyle="1" w:styleId="222">
    <w:name w:val="正文缩进1"/>
    <w:basedOn w:val="1"/>
    <w:qFormat/>
    <w:uiPriority w:val="0"/>
    <w:pPr>
      <w:widowControl w:val="0"/>
      <w:ind w:firstLine="420" w:firstLineChars="200"/>
      <w:jc w:val="both"/>
    </w:pPr>
    <w:rPr>
      <w:rFonts w:ascii="Calibri" w:hAnsi="Calibri"/>
      <w:kern w:val="2"/>
      <w:sz w:val="24"/>
      <w:szCs w:val="24"/>
    </w:rPr>
  </w:style>
  <w:style w:type="paragraph" w:customStyle="1" w:styleId="22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24">
    <w:name w:val="pa-13"/>
    <w:basedOn w:val="1"/>
    <w:qFormat/>
    <w:uiPriority w:val="0"/>
    <w:pPr>
      <w:spacing w:line="360" w:lineRule="atLeast"/>
      <w:jc w:val="both"/>
    </w:pPr>
    <w:rPr>
      <w:rFonts w:ascii="宋体" w:hAnsi="宋体" w:cs="宋体"/>
      <w:sz w:val="24"/>
      <w:szCs w:val="24"/>
    </w:rPr>
  </w:style>
  <w:style w:type="paragraph" w:customStyle="1" w:styleId="225">
    <w:name w:val="pa-101"/>
    <w:basedOn w:val="1"/>
    <w:qFormat/>
    <w:uiPriority w:val="0"/>
    <w:pPr>
      <w:spacing w:line="360" w:lineRule="atLeast"/>
      <w:jc w:val="center"/>
    </w:pPr>
    <w:rPr>
      <w:rFonts w:ascii="宋体" w:hAnsi="宋体" w:cs="宋体"/>
      <w:sz w:val="24"/>
      <w:szCs w:val="24"/>
    </w:rPr>
  </w:style>
  <w:style w:type="paragraph" w:customStyle="1" w:styleId="226">
    <w:name w:val="ca-53"/>
    <w:basedOn w:val="1"/>
    <w:qFormat/>
    <w:uiPriority w:val="0"/>
    <w:rPr>
      <w:rFonts w:ascii="Calibri" w:hAnsi="Calibri"/>
      <w:b/>
      <w:bCs/>
      <w:spacing w:val="-20"/>
      <w:sz w:val="36"/>
      <w:szCs w:val="36"/>
    </w:rPr>
  </w:style>
  <w:style w:type="paragraph" w:customStyle="1" w:styleId="227">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229">
    <w:name w:val="标题6"/>
    <w:basedOn w:val="1"/>
    <w:next w:val="2"/>
    <w:qFormat/>
    <w:uiPriority w:val="0"/>
    <w:pPr>
      <w:snapToGrid w:val="0"/>
      <w:spacing w:beforeLines="50" w:afterLines="50" w:line="520" w:lineRule="atLeast"/>
      <w:ind w:firstLine="200" w:firstLineChars="200"/>
      <w:jc w:val="both"/>
    </w:pPr>
    <w:rPr>
      <w:rFonts w:ascii="Calibri" w:hAnsi="Calibri" w:cs="Arial"/>
      <w:b/>
      <w:kern w:val="2"/>
      <w:sz w:val="24"/>
      <w:szCs w:val="24"/>
    </w:rPr>
  </w:style>
  <w:style w:type="paragraph" w:customStyle="1" w:styleId="230">
    <w:name w:val="pa-129"/>
    <w:basedOn w:val="1"/>
    <w:qFormat/>
    <w:uiPriority w:val="0"/>
    <w:pPr>
      <w:spacing w:line="300" w:lineRule="atLeast"/>
      <w:jc w:val="both"/>
    </w:pPr>
    <w:rPr>
      <w:rFonts w:ascii="宋体" w:hAnsi="宋体" w:cs="宋体"/>
      <w:sz w:val="24"/>
      <w:szCs w:val="24"/>
    </w:rPr>
  </w:style>
  <w:style w:type="paragraph" w:customStyle="1" w:styleId="231">
    <w:name w:val="pa-30"/>
    <w:basedOn w:val="1"/>
    <w:qFormat/>
    <w:uiPriority w:val="0"/>
    <w:pPr>
      <w:spacing w:line="360" w:lineRule="atLeast"/>
      <w:ind w:firstLine="4100"/>
      <w:jc w:val="both"/>
    </w:pPr>
    <w:rPr>
      <w:rFonts w:ascii="宋体" w:hAnsi="宋体" w:cs="宋体"/>
      <w:sz w:val="24"/>
      <w:szCs w:val="24"/>
    </w:rPr>
  </w:style>
  <w:style w:type="paragraph" w:customStyle="1" w:styleId="232">
    <w:name w:val="样式 标题 3 + (符号) 宋体 四号 加粗 黑色 段前: 0 磅 段后: 0 磅 行距: 固定值 22 磅"/>
    <w:basedOn w:val="4"/>
    <w:qFormat/>
    <w:uiPriority w:val="0"/>
    <w:pPr>
      <w:widowControl w:val="0"/>
      <w:spacing w:beforeLines="50" w:afterLines="50" w:line="460" w:lineRule="exact"/>
    </w:pPr>
    <w:rPr>
      <w:rFonts w:ascii="宋体" w:hAnsi="宋体"/>
      <w:color w:val="000000"/>
      <w:kern w:val="24"/>
      <w:sz w:val="28"/>
      <w:szCs w:val="20"/>
    </w:rPr>
  </w:style>
  <w:style w:type="paragraph" w:customStyle="1" w:styleId="23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35">
    <w:name w:val="pa-33"/>
    <w:basedOn w:val="1"/>
    <w:qFormat/>
    <w:uiPriority w:val="0"/>
    <w:pPr>
      <w:spacing w:line="360" w:lineRule="atLeast"/>
      <w:ind w:firstLine="440"/>
      <w:jc w:val="both"/>
    </w:pPr>
    <w:rPr>
      <w:rFonts w:ascii="宋体" w:hAnsi="宋体" w:cs="宋体"/>
      <w:sz w:val="24"/>
      <w:szCs w:val="24"/>
    </w:rPr>
  </w:style>
  <w:style w:type="paragraph" w:customStyle="1" w:styleId="236">
    <w:name w:val="pa-134"/>
    <w:basedOn w:val="1"/>
    <w:qFormat/>
    <w:uiPriority w:val="0"/>
    <w:pPr>
      <w:spacing w:line="360" w:lineRule="atLeast"/>
      <w:jc w:val="both"/>
    </w:pPr>
    <w:rPr>
      <w:rFonts w:ascii="宋体" w:hAnsi="宋体" w:cs="宋体"/>
      <w:sz w:val="24"/>
      <w:szCs w:val="24"/>
    </w:rPr>
  </w:style>
  <w:style w:type="paragraph" w:customStyle="1" w:styleId="237">
    <w:name w:val="td-3"/>
    <w:basedOn w:val="1"/>
    <w:qFormat/>
    <w:uiPriority w:val="0"/>
    <w:pPr>
      <w:pBdr>
        <w:top w:val="single" w:color="000000" w:sz="6" w:space="0"/>
        <w:left w:val="single" w:color="000000" w:sz="6" w:space="4"/>
        <w:right w:val="single" w:color="000000" w:sz="6" w:space="0"/>
      </w:pBdr>
    </w:pPr>
    <w:rPr>
      <w:rFonts w:ascii="宋体" w:hAnsi="宋体" w:cs="宋体"/>
      <w:sz w:val="24"/>
      <w:szCs w:val="24"/>
    </w:rPr>
  </w:style>
  <w:style w:type="paragraph" w:customStyle="1" w:styleId="238">
    <w:name w:val="xl64"/>
    <w:basedOn w:val="1"/>
    <w:qFormat/>
    <w:uiPriority w:val="0"/>
    <w:pPr>
      <w:shd w:val="clear" w:color="000000" w:fill="00FFFF"/>
      <w:spacing w:before="100" w:beforeAutospacing="1" w:after="100" w:afterAutospacing="1"/>
    </w:pPr>
    <w:rPr>
      <w:rFonts w:ascii="宋体" w:hAnsi="宋体" w:cs="宋体"/>
      <w:sz w:val="24"/>
      <w:szCs w:val="24"/>
    </w:rPr>
  </w:style>
  <w:style w:type="paragraph" w:customStyle="1" w:styleId="239">
    <w:name w:val="xl67"/>
    <w:basedOn w:val="1"/>
    <w:qFormat/>
    <w:uiPriority w:val="0"/>
    <w:pPr>
      <w:spacing w:before="100" w:beforeAutospacing="1" w:after="100" w:afterAutospacing="1"/>
      <w:jc w:val="center"/>
    </w:pPr>
    <w:rPr>
      <w:rFonts w:ascii="宋体" w:hAnsi="宋体" w:cs="宋体"/>
      <w:sz w:val="20"/>
    </w:rPr>
  </w:style>
  <w:style w:type="paragraph" w:customStyle="1" w:styleId="240">
    <w:name w:val="表格"/>
    <w:basedOn w:val="1"/>
    <w:qFormat/>
    <w:uiPriority w:val="0"/>
    <w:pPr>
      <w:widowControl w:val="0"/>
      <w:jc w:val="center"/>
      <w:textAlignment w:val="center"/>
    </w:pPr>
    <w:rPr>
      <w:rFonts w:ascii="华文细黑" w:hAnsi="华文细黑"/>
    </w:rPr>
  </w:style>
  <w:style w:type="paragraph" w:customStyle="1" w:styleId="241">
    <w:name w:val="ca-13"/>
    <w:basedOn w:val="1"/>
    <w:qFormat/>
    <w:uiPriority w:val="0"/>
    <w:rPr>
      <w:rFonts w:ascii="宋体" w:hAnsi="宋体" w:cs="宋体"/>
      <w:color w:val="000000"/>
      <w:sz w:val="32"/>
      <w:szCs w:val="32"/>
    </w:rPr>
  </w:style>
  <w:style w:type="paragraph" w:customStyle="1" w:styleId="242">
    <w:name w:val="投标书正文无序编号"/>
    <w:basedOn w:val="161"/>
    <w:link w:val="243"/>
    <w:qFormat/>
    <w:uiPriority w:val="0"/>
    <w:pPr>
      <w:tabs>
        <w:tab w:val="left" w:pos="780"/>
        <w:tab w:val="left" w:pos="902"/>
      </w:tabs>
      <w:adjustRightInd w:val="0"/>
      <w:ind w:firstLine="0" w:firstLineChars="0"/>
    </w:pPr>
    <w:rPr>
      <w:rFonts w:eastAsia="宋体"/>
    </w:rPr>
  </w:style>
  <w:style w:type="character" w:customStyle="1" w:styleId="243">
    <w:name w:val="投标书正文无序编号 Char Char"/>
    <w:link w:val="242"/>
    <w:qFormat/>
    <w:uiPriority w:val="0"/>
    <w:rPr>
      <w:kern w:val="2"/>
      <w:sz w:val="24"/>
      <w:szCs w:val="24"/>
    </w:rPr>
  </w:style>
  <w:style w:type="paragraph" w:customStyle="1" w:styleId="244">
    <w:name w:val="样式 正文（首行缩进两字） + 宋体 首行缩进:  2 字符"/>
    <w:basedOn w:val="14"/>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245">
    <w:name w:val="pa-112"/>
    <w:basedOn w:val="1"/>
    <w:qFormat/>
    <w:uiPriority w:val="0"/>
    <w:pPr>
      <w:spacing w:line="280" w:lineRule="atLeast"/>
      <w:jc w:val="both"/>
    </w:pPr>
    <w:rPr>
      <w:rFonts w:ascii="宋体" w:hAnsi="宋体" w:cs="宋体"/>
      <w:sz w:val="24"/>
      <w:szCs w:val="24"/>
    </w:rPr>
  </w:style>
  <w:style w:type="paragraph" w:customStyle="1" w:styleId="246">
    <w:name w:val="ca-28"/>
    <w:basedOn w:val="1"/>
    <w:qFormat/>
    <w:uiPriority w:val="0"/>
    <w:rPr>
      <w:rFonts w:ascii="宋体" w:hAnsi="宋体" w:cs="宋体"/>
      <w:color w:val="FF0000"/>
      <w:szCs w:val="21"/>
    </w:rPr>
  </w:style>
  <w:style w:type="paragraph" w:customStyle="1" w:styleId="247">
    <w:name w:val="小节"/>
    <w:basedOn w:val="4"/>
    <w:qFormat/>
    <w:uiPriority w:val="0"/>
    <w:pPr>
      <w:widowControl w:val="0"/>
      <w:spacing w:before="200" w:after="200" w:line="560" w:lineRule="exact"/>
    </w:pPr>
    <w:rPr>
      <w:rFonts w:ascii="宋体" w:hAnsi="宋体"/>
      <w:bCs w:val="0"/>
      <w:color w:val="000000"/>
      <w:spacing w:val="10"/>
      <w:kern w:val="24"/>
      <w:sz w:val="28"/>
    </w:rPr>
  </w:style>
  <w:style w:type="paragraph" w:customStyle="1" w:styleId="248">
    <w:name w:val="ca-44"/>
    <w:basedOn w:val="1"/>
    <w:qFormat/>
    <w:uiPriority w:val="0"/>
    <w:rPr>
      <w:rFonts w:ascii="宋体" w:hAnsi="宋体" w:cs="宋体"/>
      <w:color w:val="000000"/>
      <w:sz w:val="52"/>
      <w:szCs w:val="52"/>
    </w:rPr>
  </w:style>
  <w:style w:type="paragraph" w:customStyle="1" w:styleId="249">
    <w:name w:val="td-6"/>
    <w:basedOn w:val="1"/>
    <w:qFormat/>
    <w:uiPriority w:val="0"/>
    <w:pPr>
      <w:pBdr>
        <w:top w:val="single" w:color="000000" w:sz="12"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250">
    <w:name w:val="xl9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51">
    <w:name w:val="ca-2"/>
    <w:basedOn w:val="1"/>
    <w:qFormat/>
    <w:uiPriority w:val="0"/>
    <w:rPr>
      <w:rFonts w:ascii="Calibri" w:hAnsi="Calibri"/>
      <w:color w:val="000000"/>
      <w:sz w:val="36"/>
      <w:szCs w:val="36"/>
    </w:rPr>
  </w:style>
  <w:style w:type="paragraph" w:customStyle="1" w:styleId="252">
    <w:name w:val="pa-82"/>
    <w:basedOn w:val="1"/>
    <w:qFormat/>
    <w:uiPriority w:val="0"/>
    <w:pPr>
      <w:spacing w:line="480" w:lineRule="atLeast"/>
      <w:jc w:val="center"/>
    </w:pPr>
    <w:rPr>
      <w:rFonts w:ascii="宋体" w:hAnsi="宋体" w:cs="宋体"/>
      <w:sz w:val="24"/>
      <w:szCs w:val="24"/>
    </w:rPr>
  </w:style>
  <w:style w:type="paragraph" w:customStyle="1" w:styleId="253">
    <w:name w:val="Char Char Char Char Char Char Char1"/>
    <w:basedOn w:val="1"/>
    <w:qFormat/>
    <w:uiPriority w:val="0"/>
    <w:pPr>
      <w:widowControl w:val="0"/>
      <w:jc w:val="both"/>
    </w:pPr>
    <w:rPr>
      <w:rFonts w:ascii="Calibri" w:hAnsi="Calibri"/>
      <w:kern w:val="2"/>
      <w:szCs w:val="24"/>
    </w:rPr>
  </w:style>
  <w:style w:type="paragraph" w:customStyle="1" w:styleId="254">
    <w:name w:val="pa-45"/>
    <w:basedOn w:val="1"/>
    <w:qFormat/>
    <w:uiPriority w:val="0"/>
    <w:pPr>
      <w:spacing w:line="280" w:lineRule="atLeast"/>
      <w:ind w:firstLine="420"/>
      <w:jc w:val="both"/>
    </w:pPr>
    <w:rPr>
      <w:rFonts w:ascii="宋体" w:hAnsi="宋体" w:cs="宋体"/>
      <w:sz w:val="24"/>
      <w:szCs w:val="24"/>
    </w:rPr>
  </w:style>
  <w:style w:type="paragraph" w:customStyle="1" w:styleId="255">
    <w:name w:val="pa-99"/>
    <w:basedOn w:val="1"/>
    <w:qFormat/>
    <w:uiPriority w:val="0"/>
    <w:pPr>
      <w:spacing w:line="300" w:lineRule="atLeast"/>
      <w:ind w:firstLine="520"/>
      <w:jc w:val="both"/>
    </w:pPr>
    <w:rPr>
      <w:rFonts w:ascii="宋体" w:hAnsi="宋体" w:cs="宋体"/>
      <w:sz w:val="24"/>
      <w:szCs w:val="24"/>
    </w:rPr>
  </w:style>
  <w:style w:type="paragraph" w:customStyle="1" w:styleId="256">
    <w:name w:val="ca-40"/>
    <w:basedOn w:val="1"/>
    <w:qFormat/>
    <w:uiPriority w:val="0"/>
    <w:rPr>
      <w:rFonts w:ascii="Calibri" w:hAnsi="Calibri"/>
      <w:sz w:val="20"/>
    </w:rPr>
  </w:style>
  <w:style w:type="paragraph" w:customStyle="1" w:styleId="257">
    <w:name w:val="样式4"/>
    <w:basedOn w:val="4"/>
    <w:qFormat/>
    <w:uiPriority w:val="0"/>
    <w:pPr>
      <w:widowControl w:val="0"/>
      <w:spacing w:line="415" w:lineRule="auto"/>
      <w:ind w:left="720" w:hanging="720"/>
      <w:jc w:val="both"/>
    </w:pPr>
    <w:rPr>
      <w:rFonts w:ascii="Calibri" w:hAnsi="Calibri" w:eastAsia="Times New Roman"/>
      <w:kern w:val="2"/>
    </w:rPr>
  </w:style>
  <w:style w:type="paragraph" w:customStyle="1" w:styleId="258">
    <w:name w:val="pa-107"/>
    <w:basedOn w:val="1"/>
    <w:qFormat/>
    <w:uiPriority w:val="0"/>
    <w:pPr>
      <w:spacing w:line="720" w:lineRule="atLeast"/>
      <w:ind w:firstLine="3000"/>
      <w:jc w:val="both"/>
    </w:pPr>
    <w:rPr>
      <w:rFonts w:ascii="宋体" w:hAnsi="宋体" w:cs="宋体"/>
      <w:sz w:val="24"/>
      <w:szCs w:val="24"/>
    </w:rPr>
  </w:style>
  <w:style w:type="paragraph" w:customStyle="1" w:styleId="259">
    <w:name w:val="ca-46"/>
    <w:basedOn w:val="1"/>
    <w:qFormat/>
    <w:uiPriority w:val="0"/>
    <w:rPr>
      <w:rFonts w:ascii="宋体" w:hAnsi="宋体" w:cs="宋体"/>
      <w:color w:val="000000"/>
      <w:spacing w:val="-20"/>
      <w:sz w:val="28"/>
      <w:szCs w:val="28"/>
    </w:rPr>
  </w:style>
  <w:style w:type="paragraph" w:customStyle="1" w:styleId="260">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61">
    <w:name w:val="pa-68"/>
    <w:basedOn w:val="1"/>
    <w:qFormat/>
    <w:uiPriority w:val="0"/>
    <w:pPr>
      <w:spacing w:line="240" w:lineRule="atLeast"/>
      <w:ind w:firstLine="520"/>
      <w:jc w:val="both"/>
    </w:pPr>
    <w:rPr>
      <w:rFonts w:ascii="宋体" w:hAnsi="宋体" w:cs="宋体"/>
      <w:sz w:val="24"/>
      <w:szCs w:val="24"/>
    </w:rPr>
  </w:style>
  <w:style w:type="paragraph" w:customStyle="1" w:styleId="262">
    <w:name w:val="样式 样式 标题 4 + 非加粗 + (中文) 黑体 段前: 0 磅 段后: 0 磅 行距: 固定值 22 磅"/>
    <w:basedOn w:val="1"/>
    <w:qFormat/>
    <w:uiPriority w:val="0"/>
    <w:pPr>
      <w:keepNext/>
      <w:keepLines/>
      <w:widowControl w:val="0"/>
      <w:spacing w:beforeLines="50" w:afterLines="50" w:line="500" w:lineRule="exact"/>
      <w:jc w:val="both"/>
      <w:outlineLvl w:val="3"/>
    </w:pPr>
    <w:rPr>
      <w:rFonts w:ascii="Arial" w:hAnsi="Arial" w:cs="宋体"/>
      <w:b/>
      <w:bCs/>
      <w:kern w:val="2"/>
      <w:sz w:val="24"/>
      <w:szCs w:val="24"/>
    </w:rPr>
  </w:style>
  <w:style w:type="paragraph" w:customStyle="1" w:styleId="263">
    <w:name w:val="样式2"/>
    <w:basedOn w:val="4"/>
    <w:qFormat/>
    <w:uiPriority w:val="0"/>
    <w:pPr>
      <w:widowControl w:val="0"/>
      <w:spacing w:line="415" w:lineRule="auto"/>
      <w:ind w:left="720" w:hanging="720"/>
      <w:jc w:val="both"/>
    </w:pPr>
    <w:rPr>
      <w:rFonts w:ascii="Calibri" w:hAnsi="Calibri"/>
      <w:kern w:val="2"/>
    </w:rPr>
  </w:style>
  <w:style w:type="paragraph" w:customStyle="1" w:styleId="264">
    <w:name w:val="pa-50"/>
    <w:basedOn w:val="1"/>
    <w:qFormat/>
    <w:uiPriority w:val="0"/>
    <w:pPr>
      <w:spacing w:line="280" w:lineRule="atLeast"/>
      <w:ind w:hanging="200"/>
      <w:jc w:val="center"/>
    </w:pPr>
    <w:rPr>
      <w:rFonts w:ascii="宋体" w:hAnsi="宋体" w:cs="宋体"/>
      <w:sz w:val="24"/>
      <w:szCs w:val="24"/>
    </w:rPr>
  </w:style>
  <w:style w:type="paragraph" w:customStyle="1" w:styleId="265">
    <w:name w:val="标书标题4"/>
    <w:basedOn w:val="5"/>
    <w:qFormat/>
    <w:uiPriority w:val="0"/>
    <w:pPr>
      <w:keepLines w:val="0"/>
      <w:tabs>
        <w:tab w:val="clear" w:pos="864"/>
      </w:tabs>
      <w:adjustRightInd w:val="0"/>
      <w:snapToGrid w:val="0"/>
      <w:spacing w:before="0" w:after="0" w:line="300" w:lineRule="auto"/>
    </w:pPr>
    <w:rPr>
      <w:rFonts w:ascii="Arial Narrow" w:hAnsi="Arial Narrow" w:eastAsia="仿宋_GB2312"/>
      <w:bCs w:val="0"/>
      <w:color w:val="000000"/>
      <w:kern w:val="0"/>
      <w:sz w:val="24"/>
      <w:szCs w:val="32"/>
      <w:lang w:val="en-US"/>
    </w:rPr>
  </w:style>
  <w:style w:type="paragraph" w:customStyle="1" w:styleId="26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rPr>
  </w:style>
  <w:style w:type="paragraph" w:customStyle="1" w:styleId="267">
    <w:name w:val="t1"/>
    <w:basedOn w:val="1"/>
    <w:qFormat/>
    <w:uiPriority w:val="0"/>
    <w:pPr>
      <w:spacing w:line="280" w:lineRule="atLeast"/>
    </w:pPr>
    <w:rPr>
      <w:rFonts w:ascii="Calibri" w:hAnsi="Calibri"/>
      <w:sz w:val="24"/>
      <w:lang w:val="de-DE" w:eastAsia="de-DE"/>
    </w:rPr>
  </w:style>
  <w:style w:type="paragraph" w:customStyle="1" w:styleId="268">
    <w:name w:val="样式 标题 3 + 段后: 0 磅"/>
    <w:basedOn w:val="4"/>
    <w:qFormat/>
    <w:uiPriority w:val="0"/>
    <w:pPr>
      <w:widowControl w:val="0"/>
      <w:spacing w:after="0" w:line="360" w:lineRule="auto"/>
    </w:pPr>
    <w:rPr>
      <w:rFonts w:ascii="宋体" w:hAnsi="Arial" w:cs="宋体"/>
      <w:bCs w:val="0"/>
      <w:spacing w:val="14"/>
      <w:kern w:val="24"/>
      <w:sz w:val="28"/>
      <w:szCs w:val="20"/>
    </w:rPr>
  </w:style>
  <w:style w:type="paragraph" w:customStyle="1" w:styleId="269">
    <w:name w:val="Char Char Char Char Char Char Char Char 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70">
    <w:name w:val="ca-16"/>
    <w:basedOn w:val="1"/>
    <w:qFormat/>
    <w:uiPriority w:val="0"/>
    <w:rPr>
      <w:rFonts w:ascii="宋体" w:hAnsi="宋体" w:cs="宋体"/>
      <w:sz w:val="24"/>
      <w:szCs w:val="24"/>
    </w:rPr>
  </w:style>
  <w:style w:type="paragraph" w:customStyle="1" w:styleId="271">
    <w:name w:val="Char Char4"/>
    <w:basedOn w:val="1"/>
    <w:qFormat/>
    <w:uiPriority w:val="0"/>
    <w:pPr>
      <w:widowControl w:val="0"/>
      <w:jc w:val="both"/>
    </w:pPr>
    <w:rPr>
      <w:rFonts w:ascii="Tahoma" w:hAnsi="Tahoma"/>
      <w:kern w:val="2"/>
      <w:sz w:val="24"/>
    </w:rPr>
  </w:style>
  <w:style w:type="paragraph" w:customStyle="1" w:styleId="272">
    <w:name w:val="pa-139"/>
    <w:basedOn w:val="1"/>
    <w:qFormat/>
    <w:uiPriority w:val="0"/>
    <w:pPr>
      <w:spacing w:line="320" w:lineRule="atLeast"/>
      <w:ind w:firstLine="280"/>
      <w:jc w:val="both"/>
    </w:pPr>
    <w:rPr>
      <w:rFonts w:ascii="宋体" w:hAnsi="宋体" w:cs="宋体"/>
      <w:sz w:val="24"/>
      <w:szCs w:val="24"/>
    </w:rPr>
  </w:style>
  <w:style w:type="paragraph" w:customStyle="1" w:styleId="273">
    <w:name w:val="xl66"/>
    <w:basedOn w:val="1"/>
    <w:qFormat/>
    <w:uiPriority w:val="0"/>
    <w:pPr>
      <w:spacing w:before="100" w:beforeAutospacing="1" w:after="100" w:afterAutospacing="1"/>
      <w:jc w:val="center"/>
      <w:textAlignment w:val="top"/>
    </w:pPr>
    <w:rPr>
      <w:rFonts w:ascii="宋体" w:hAnsi="宋体" w:cs="宋体"/>
      <w:sz w:val="20"/>
    </w:rPr>
  </w:style>
  <w:style w:type="paragraph" w:customStyle="1" w:styleId="274">
    <w:name w:val="节"/>
    <w:basedOn w:val="3"/>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75">
    <w:name w:val="pa-119"/>
    <w:basedOn w:val="1"/>
    <w:qFormat/>
    <w:uiPriority w:val="0"/>
    <w:pPr>
      <w:spacing w:line="420" w:lineRule="atLeast"/>
      <w:jc w:val="center"/>
    </w:pPr>
    <w:rPr>
      <w:rFonts w:ascii="宋体" w:hAnsi="宋体" w:cs="宋体"/>
      <w:sz w:val="24"/>
      <w:szCs w:val="24"/>
    </w:rPr>
  </w:style>
  <w:style w:type="paragraph" w:customStyle="1" w:styleId="276">
    <w:name w:val="pa-124"/>
    <w:basedOn w:val="1"/>
    <w:qFormat/>
    <w:uiPriority w:val="0"/>
    <w:pPr>
      <w:spacing w:line="760" w:lineRule="atLeast"/>
      <w:jc w:val="both"/>
    </w:pPr>
    <w:rPr>
      <w:rFonts w:ascii="宋体" w:hAnsi="宋体" w:cs="宋体"/>
      <w:sz w:val="24"/>
      <w:szCs w:val="24"/>
    </w:rPr>
  </w:style>
  <w:style w:type="paragraph" w:customStyle="1" w:styleId="27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78">
    <w:name w:val="pa-38"/>
    <w:basedOn w:val="1"/>
    <w:qFormat/>
    <w:uiPriority w:val="0"/>
    <w:pPr>
      <w:spacing w:line="360" w:lineRule="atLeast"/>
      <w:ind w:firstLine="520"/>
      <w:jc w:val="both"/>
    </w:pPr>
    <w:rPr>
      <w:rFonts w:ascii="宋体" w:hAnsi="宋体" w:cs="宋体"/>
      <w:sz w:val="24"/>
      <w:szCs w:val="24"/>
    </w:rPr>
  </w:style>
  <w:style w:type="paragraph" w:customStyle="1" w:styleId="279">
    <w:name w:val="ca-18"/>
    <w:basedOn w:val="1"/>
    <w:qFormat/>
    <w:uiPriority w:val="0"/>
    <w:rPr>
      <w:rFonts w:ascii="宋体" w:hAnsi="宋体" w:cs="宋体"/>
      <w:color w:val="000000"/>
      <w:sz w:val="18"/>
      <w:szCs w:val="18"/>
    </w:rPr>
  </w:style>
  <w:style w:type="paragraph" w:customStyle="1" w:styleId="280">
    <w:name w:val="xl25"/>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81">
    <w:name w:val="pa-17"/>
    <w:basedOn w:val="1"/>
    <w:qFormat/>
    <w:uiPriority w:val="0"/>
    <w:pPr>
      <w:spacing w:line="240" w:lineRule="atLeast"/>
      <w:jc w:val="center"/>
    </w:pPr>
    <w:rPr>
      <w:rFonts w:ascii="宋体" w:hAnsi="宋体" w:cs="宋体"/>
      <w:sz w:val="24"/>
      <w:szCs w:val="24"/>
    </w:rPr>
  </w:style>
  <w:style w:type="paragraph" w:customStyle="1" w:styleId="282">
    <w:name w:val="bt1bt1"/>
    <w:basedOn w:val="2"/>
    <w:qFormat/>
    <w:uiPriority w:val="0"/>
    <w:pPr>
      <w:tabs>
        <w:tab w:val="clear" w:pos="840"/>
      </w:tabs>
      <w:adjustRightInd/>
      <w:snapToGrid/>
      <w:spacing w:before="340" w:after="330" w:line="240" w:lineRule="auto"/>
      <w:jc w:val="center"/>
    </w:pPr>
    <w:rPr>
      <w:rFonts w:ascii="黑体" w:hAnsi="Calibri" w:eastAsia="黑体"/>
      <w:b w:val="0"/>
      <w:bCs/>
      <w:sz w:val="36"/>
      <w:szCs w:val="36"/>
    </w:rPr>
  </w:style>
  <w:style w:type="paragraph" w:customStyle="1" w:styleId="283">
    <w:name w:val="pa-59"/>
    <w:basedOn w:val="1"/>
    <w:qFormat/>
    <w:uiPriority w:val="0"/>
    <w:pPr>
      <w:spacing w:line="360" w:lineRule="atLeast"/>
      <w:ind w:firstLine="200"/>
      <w:jc w:val="both"/>
    </w:pPr>
    <w:rPr>
      <w:rFonts w:ascii="宋体" w:hAnsi="宋体" w:cs="宋体"/>
      <w:sz w:val="24"/>
      <w:szCs w:val="24"/>
    </w:rPr>
  </w:style>
  <w:style w:type="paragraph" w:customStyle="1" w:styleId="284">
    <w:name w:val="flNote"/>
    <w:basedOn w:val="1"/>
    <w:qFormat/>
    <w:uiPriority w:val="0"/>
    <w:pPr>
      <w:widowControl w:val="0"/>
      <w:adjustRightInd w:val="0"/>
      <w:spacing w:before="320" w:after="160" w:line="360" w:lineRule="atLeast"/>
      <w:jc w:val="center"/>
      <w:textAlignment w:val="baseline"/>
    </w:pPr>
    <w:rPr>
      <w:rFonts w:ascii="Arial" w:hAnsi="Calibri" w:eastAsia="黑体"/>
      <w:sz w:val="30"/>
    </w:rPr>
  </w:style>
  <w:style w:type="paragraph" w:customStyle="1" w:styleId="285">
    <w:name w:val="pa-48"/>
    <w:basedOn w:val="1"/>
    <w:qFormat/>
    <w:uiPriority w:val="0"/>
    <w:pPr>
      <w:spacing w:line="280" w:lineRule="atLeast"/>
      <w:ind w:firstLine="440"/>
      <w:jc w:val="both"/>
    </w:pPr>
    <w:rPr>
      <w:rFonts w:ascii="宋体" w:hAnsi="宋体" w:cs="宋体"/>
      <w:sz w:val="24"/>
      <w:szCs w:val="24"/>
    </w:rPr>
  </w:style>
  <w:style w:type="paragraph" w:customStyle="1" w:styleId="286">
    <w:name w:val="样式 仿宋_GB2312 四号 首行缩进:  0.74 厘米"/>
    <w:basedOn w:val="1"/>
    <w:qFormat/>
    <w:uiPriority w:val="0"/>
    <w:pPr>
      <w:widowControl w:val="0"/>
      <w:ind w:firstLine="420"/>
      <w:jc w:val="both"/>
    </w:pPr>
    <w:rPr>
      <w:rFonts w:ascii="仿宋_GB2312" w:hAnsi="Calibri" w:eastAsia="仿宋_GB2312" w:cs="宋体"/>
      <w:kern w:val="2"/>
      <w:sz w:val="28"/>
    </w:rPr>
  </w:style>
  <w:style w:type="paragraph" w:customStyle="1" w:styleId="287">
    <w:name w:val="Intense Quote1"/>
    <w:basedOn w:val="1"/>
    <w:next w:val="1"/>
    <w:link w:val="288"/>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288">
    <w:name w:val="明显引用 Char"/>
    <w:link w:val="287"/>
    <w:qFormat/>
    <w:locked/>
    <w:uiPriority w:val="0"/>
    <w:rPr>
      <w:b/>
      <w:i/>
      <w:color w:val="4F81BD"/>
      <w:kern w:val="2"/>
      <w:sz w:val="22"/>
    </w:rPr>
  </w:style>
  <w:style w:type="paragraph" w:customStyle="1" w:styleId="289">
    <w:name w:val="缺省文本"/>
    <w:basedOn w:val="1"/>
    <w:qFormat/>
    <w:uiPriority w:val="0"/>
    <w:pPr>
      <w:widowControl w:val="0"/>
      <w:autoSpaceDE w:val="0"/>
      <w:autoSpaceDN w:val="0"/>
      <w:adjustRightInd w:val="0"/>
    </w:pPr>
    <w:rPr>
      <w:rFonts w:ascii="Calibri" w:hAnsi="Calibri"/>
      <w:sz w:val="24"/>
      <w:szCs w:val="24"/>
    </w:rPr>
  </w:style>
  <w:style w:type="paragraph" w:customStyle="1" w:styleId="290">
    <w:name w:val="pa-24"/>
    <w:basedOn w:val="1"/>
    <w:qFormat/>
    <w:uiPriority w:val="0"/>
    <w:pPr>
      <w:spacing w:line="360" w:lineRule="atLeast"/>
      <w:ind w:firstLine="480"/>
      <w:jc w:val="both"/>
    </w:pPr>
    <w:rPr>
      <w:rFonts w:ascii="宋体" w:hAnsi="宋体" w:cs="宋体"/>
      <w:sz w:val="24"/>
      <w:szCs w:val="24"/>
    </w:rPr>
  </w:style>
  <w:style w:type="paragraph" w:customStyle="1" w:styleId="29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292">
    <w:name w:val="Char Char Char Char Char Char Char Char Char Char Char Char Char Char Char Char Char Char Char Char Char Char Char Char Char Char Char Char Char Char Char Char Char2"/>
    <w:basedOn w:val="1"/>
    <w:qFormat/>
    <w:uiPriority w:val="0"/>
    <w:pPr>
      <w:spacing w:after="160" w:line="240" w:lineRule="exact"/>
    </w:pPr>
    <w:rPr>
      <w:rFonts w:ascii="Verdana" w:hAnsi="Verdana" w:eastAsia="仿宋_GB2312"/>
      <w:sz w:val="24"/>
      <w:lang w:eastAsia="en-US"/>
    </w:rPr>
  </w:style>
  <w:style w:type="paragraph" w:customStyle="1" w:styleId="293">
    <w:name w:val="pa-71"/>
    <w:basedOn w:val="1"/>
    <w:qFormat/>
    <w:uiPriority w:val="0"/>
    <w:pPr>
      <w:spacing w:line="240" w:lineRule="atLeast"/>
      <w:ind w:firstLine="320"/>
      <w:jc w:val="both"/>
    </w:pPr>
    <w:rPr>
      <w:rFonts w:ascii="宋体" w:hAnsi="宋体" w:cs="宋体"/>
      <w:sz w:val="24"/>
      <w:szCs w:val="24"/>
    </w:rPr>
  </w:style>
  <w:style w:type="paragraph" w:customStyle="1" w:styleId="294">
    <w:name w:val="ca-39"/>
    <w:basedOn w:val="1"/>
    <w:qFormat/>
    <w:uiPriority w:val="0"/>
    <w:rPr>
      <w:rFonts w:ascii="宋体" w:hAnsi="宋体" w:cs="宋体"/>
      <w:b/>
      <w:bCs/>
      <w:color w:val="000000"/>
      <w:spacing w:val="-20"/>
      <w:sz w:val="28"/>
      <w:szCs w:val="28"/>
    </w:rPr>
  </w:style>
  <w:style w:type="paragraph" w:customStyle="1" w:styleId="295">
    <w:name w:val="样式 标题 3 + 红色"/>
    <w:basedOn w:val="4"/>
    <w:qFormat/>
    <w:uiPriority w:val="0"/>
    <w:pPr>
      <w:widowControl w:val="0"/>
      <w:spacing w:before="120" w:after="120" w:line="700" w:lineRule="exact"/>
    </w:pPr>
    <w:rPr>
      <w:rFonts w:ascii="宋体" w:hAnsi="宋体"/>
      <w:color w:val="FF0000"/>
      <w:spacing w:val="10"/>
      <w:kern w:val="24"/>
      <w:sz w:val="28"/>
    </w:rPr>
  </w:style>
  <w:style w:type="paragraph" w:customStyle="1" w:styleId="296">
    <w:name w:val="xl112"/>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97">
    <w:name w:val="pa-116"/>
    <w:basedOn w:val="1"/>
    <w:qFormat/>
    <w:uiPriority w:val="0"/>
    <w:pPr>
      <w:spacing w:line="480" w:lineRule="atLeast"/>
      <w:ind w:firstLine="200"/>
      <w:jc w:val="both"/>
    </w:pPr>
    <w:rPr>
      <w:rFonts w:ascii="宋体" w:hAnsi="宋体" w:cs="宋体"/>
      <w:sz w:val="24"/>
      <w:szCs w:val="24"/>
    </w:rPr>
  </w:style>
  <w:style w:type="paragraph" w:customStyle="1" w:styleId="298">
    <w:name w:val="pa-102"/>
    <w:basedOn w:val="1"/>
    <w:qFormat/>
    <w:uiPriority w:val="0"/>
    <w:pPr>
      <w:spacing w:line="300" w:lineRule="atLeast"/>
      <w:jc w:val="center"/>
    </w:pPr>
    <w:rPr>
      <w:rFonts w:ascii="宋体" w:hAnsi="宋体" w:cs="宋体"/>
      <w:sz w:val="24"/>
      <w:szCs w:val="24"/>
    </w:rPr>
  </w:style>
  <w:style w:type="paragraph" w:customStyle="1" w:styleId="299">
    <w:name w:val="样式3"/>
    <w:basedOn w:val="4"/>
    <w:qFormat/>
    <w:uiPriority w:val="0"/>
    <w:pPr>
      <w:widowControl w:val="0"/>
      <w:spacing w:line="415" w:lineRule="auto"/>
      <w:jc w:val="both"/>
    </w:pPr>
    <w:rPr>
      <w:rFonts w:ascii="Calibri" w:hAnsi="Calibri" w:eastAsia="Times New Roman"/>
      <w:kern w:val="2"/>
    </w:rPr>
  </w:style>
  <w:style w:type="paragraph" w:customStyle="1" w:styleId="300">
    <w:name w:val="ca-51"/>
    <w:basedOn w:val="1"/>
    <w:qFormat/>
    <w:uiPriority w:val="0"/>
    <w:rPr>
      <w:rFonts w:ascii="Calibri" w:hAnsi="Calibri"/>
      <w:b/>
      <w:bCs/>
      <w:color w:val="000000"/>
      <w:spacing w:val="-20"/>
      <w:sz w:val="32"/>
      <w:szCs w:val="32"/>
    </w:rPr>
  </w:style>
  <w:style w:type="paragraph" w:customStyle="1" w:styleId="301">
    <w:name w:val="Char Char Char Char1"/>
    <w:basedOn w:val="1"/>
    <w:qFormat/>
    <w:uiPriority w:val="0"/>
    <w:pPr>
      <w:widowControl w:val="0"/>
      <w:jc w:val="both"/>
    </w:pPr>
    <w:rPr>
      <w:rFonts w:ascii="Calibri" w:hAnsi="Calibri"/>
      <w:kern w:val="2"/>
      <w:szCs w:val="24"/>
    </w:rPr>
  </w:style>
  <w:style w:type="paragraph" w:customStyle="1" w:styleId="302">
    <w:name w:val="ca-36"/>
    <w:basedOn w:val="1"/>
    <w:qFormat/>
    <w:uiPriority w:val="0"/>
    <w:rPr>
      <w:rFonts w:ascii="宋体" w:hAnsi="宋体" w:cs="宋体"/>
      <w:b/>
      <w:bCs/>
      <w:spacing w:val="-20"/>
      <w:szCs w:val="21"/>
    </w:rPr>
  </w:style>
  <w:style w:type="paragraph" w:customStyle="1" w:styleId="303">
    <w:name w:val="ca-8"/>
    <w:basedOn w:val="1"/>
    <w:qFormat/>
    <w:uiPriority w:val="0"/>
    <w:rPr>
      <w:rFonts w:ascii="宋体" w:hAnsi="宋体" w:cs="宋体"/>
      <w:color w:val="000000"/>
      <w:sz w:val="28"/>
      <w:szCs w:val="28"/>
    </w:rPr>
  </w:style>
  <w:style w:type="paragraph" w:customStyle="1" w:styleId="304">
    <w:name w:val="pa-32"/>
    <w:basedOn w:val="1"/>
    <w:qFormat/>
    <w:uiPriority w:val="0"/>
    <w:pPr>
      <w:spacing w:line="360" w:lineRule="atLeast"/>
      <w:ind w:firstLine="520"/>
      <w:jc w:val="both"/>
    </w:pPr>
    <w:rPr>
      <w:rFonts w:ascii="宋体" w:hAnsi="宋体" w:cs="宋体"/>
      <w:sz w:val="24"/>
      <w:szCs w:val="24"/>
    </w:rPr>
  </w:style>
  <w:style w:type="paragraph" w:customStyle="1" w:styleId="305">
    <w:name w:val="pa-27"/>
    <w:basedOn w:val="1"/>
    <w:qFormat/>
    <w:uiPriority w:val="0"/>
    <w:pPr>
      <w:spacing w:line="276" w:lineRule="atLeast"/>
      <w:ind w:firstLine="300"/>
      <w:jc w:val="both"/>
    </w:pPr>
    <w:rPr>
      <w:rFonts w:ascii="宋体" w:hAnsi="宋体" w:cs="宋体"/>
      <w:sz w:val="24"/>
      <w:szCs w:val="24"/>
    </w:rPr>
  </w:style>
  <w:style w:type="paragraph" w:customStyle="1" w:styleId="306">
    <w:name w:val="pa-6"/>
    <w:basedOn w:val="1"/>
    <w:qFormat/>
    <w:uiPriority w:val="0"/>
    <w:pPr>
      <w:spacing w:line="560" w:lineRule="atLeast"/>
      <w:jc w:val="both"/>
    </w:pPr>
    <w:rPr>
      <w:rFonts w:ascii="宋体" w:hAnsi="宋体" w:cs="宋体"/>
      <w:sz w:val="24"/>
      <w:szCs w:val="24"/>
    </w:rPr>
  </w:style>
  <w:style w:type="paragraph" w:customStyle="1" w:styleId="307">
    <w:name w:val="pa-44"/>
    <w:basedOn w:val="1"/>
    <w:qFormat/>
    <w:uiPriority w:val="0"/>
    <w:pPr>
      <w:spacing w:line="360" w:lineRule="atLeast"/>
      <w:ind w:firstLine="420"/>
    </w:pPr>
    <w:rPr>
      <w:rFonts w:ascii="宋体" w:hAnsi="宋体" w:cs="宋体"/>
      <w:sz w:val="24"/>
      <w:szCs w:val="24"/>
    </w:rPr>
  </w:style>
  <w:style w:type="paragraph" w:customStyle="1" w:styleId="308">
    <w:name w:val="Char Char1 Char"/>
    <w:basedOn w:val="1"/>
    <w:qFormat/>
    <w:uiPriority w:val="0"/>
    <w:pPr>
      <w:widowControl w:val="0"/>
      <w:jc w:val="both"/>
    </w:pPr>
    <w:rPr>
      <w:rFonts w:ascii="Calibri" w:hAnsi="Calibri"/>
      <w:kern w:val="2"/>
      <w:szCs w:val="24"/>
    </w:rPr>
  </w:style>
  <w:style w:type="paragraph" w:customStyle="1" w:styleId="309">
    <w:name w:val="pa-118"/>
    <w:basedOn w:val="1"/>
    <w:qFormat/>
    <w:uiPriority w:val="0"/>
    <w:pPr>
      <w:spacing w:line="480" w:lineRule="atLeast"/>
      <w:ind w:firstLine="1440"/>
      <w:jc w:val="both"/>
    </w:pPr>
    <w:rPr>
      <w:rFonts w:ascii="宋体" w:hAnsi="宋体" w:cs="宋体"/>
      <w:sz w:val="24"/>
      <w:szCs w:val="24"/>
    </w:rPr>
  </w:style>
  <w:style w:type="paragraph" w:customStyle="1" w:styleId="310">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11">
    <w:name w:val="pa-25"/>
    <w:basedOn w:val="1"/>
    <w:qFormat/>
    <w:uiPriority w:val="0"/>
    <w:pPr>
      <w:spacing w:line="360" w:lineRule="atLeast"/>
      <w:ind w:firstLine="480"/>
      <w:jc w:val="center"/>
    </w:pPr>
    <w:rPr>
      <w:rFonts w:ascii="宋体" w:hAnsi="宋体" w:cs="宋体"/>
      <w:sz w:val="24"/>
      <w:szCs w:val="24"/>
    </w:rPr>
  </w:style>
  <w:style w:type="paragraph" w:customStyle="1" w:styleId="312">
    <w:name w:val="样式 标题 1 + 宋体 居中 段前: 48 磅 段后: 12 磅 行距: 1.5 倍行距"/>
    <w:basedOn w:val="2"/>
    <w:qFormat/>
    <w:uiPriority w:val="0"/>
    <w:pPr>
      <w:tabs>
        <w:tab w:val="clear" w:pos="840"/>
      </w:tabs>
      <w:adjustRightInd/>
      <w:snapToGrid/>
      <w:spacing w:before="1560" w:after="240"/>
      <w:jc w:val="center"/>
    </w:pPr>
    <w:rPr>
      <w:rFonts w:hAnsi="宋体"/>
      <w:b w:val="0"/>
      <w:kern w:val="2"/>
      <w:sz w:val="36"/>
    </w:rPr>
  </w:style>
  <w:style w:type="paragraph" w:customStyle="1" w:styleId="313">
    <w:name w:val="pa-77"/>
    <w:basedOn w:val="1"/>
    <w:qFormat/>
    <w:uiPriority w:val="0"/>
    <w:pPr>
      <w:spacing w:line="360" w:lineRule="atLeast"/>
      <w:jc w:val="both"/>
    </w:pPr>
    <w:rPr>
      <w:rFonts w:ascii="宋体" w:hAnsi="宋体" w:cs="宋体"/>
      <w:sz w:val="24"/>
      <w:szCs w:val="24"/>
    </w:rPr>
  </w:style>
  <w:style w:type="paragraph" w:customStyle="1" w:styleId="314">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5">
    <w:name w:val="pa-105"/>
    <w:basedOn w:val="1"/>
    <w:qFormat/>
    <w:uiPriority w:val="0"/>
    <w:pPr>
      <w:spacing w:line="960" w:lineRule="atLeast"/>
      <w:jc w:val="both"/>
    </w:pPr>
    <w:rPr>
      <w:rFonts w:ascii="宋体" w:hAnsi="宋体" w:cs="宋体"/>
      <w:sz w:val="24"/>
      <w:szCs w:val="24"/>
    </w:rPr>
  </w:style>
  <w:style w:type="paragraph" w:customStyle="1" w:styleId="316">
    <w:name w:val="pa-104"/>
    <w:basedOn w:val="1"/>
    <w:qFormat/>
    <w:uiPriority w:val="0"/>
    <w:pPr>
      <w:spacing w:line="280" w:lineRule="atLeast"/>
      <w:ind w:firstLine="500"/>
    </w:pPr>
    <w:rPr>
      <w:rFonts w:ascii="宋体" w:hAnsi="宋体" w:cs="宋体"/>
      <w:sz w:val="24"/>
      <w:szCs w:val="24"/>
    </w:rPr>
  </w:style>
  <w:style w:type="paragraph" w:customStyle="1" w:styleId="317">
    <w:name w:val="部分1"/>
    <w:basedOn w:val="1"/>
    <w:qFormat/>
    <w:uiPriority w:val="0"/>
    <w:pPr>
      <w:keepNext/>
      <w:pageBreakBefore/>
      <w:widowControl w:val="0"/>
      <w:tabs>
        <w:tab w:val="left" w:pos="720"/>
      </w:tabs>
      <w:spacing w:line="360" w:lineRule="auto"/>
      <w:jc w:val="center"/>
      <w:outlineLvl w:val="0"/>
    </w:pPr>
    <w:rPr>
      <w:rFonts w:ascii="Calibri" w:hAnsi="Calibri" w:eastAsia="黑体"/>
      <w:b/>
      <w:kern w:val="44"/>
      <w:sz w:val="36"/>
    </w:rPr>
  </w:style>
  <w:style w:type="paragraph" w:customStyle="1" w:styleId="318">
    <w:name w:val="pa-3"/>
    <w:basedOn w:val="1"/>
    <w:qFormat/>
    <w:uiPriority w:val="0"/>
    <w:pPr>
      <w:spacing w:line="520" w:lineRule="atLeast"/>
      <w:jc w:val="center"/>
    </w:pPr>
    <w:rPr>
      <w:rFonts w:ascii="宋体" w:hAnsi="宋体" w:cs="宋体"/>
      <w:sz w:val="24"/>
      <w:szCs w:val="24"/>
    </w:rPr>
  </w:style>
  <w:style w:type="paragraph" w:customStyle="1" w:styleId="319">
    <w:name w:val="pa-103"/>
    <w:basedOn w:val="1"/>
    <w:qFormat/>
    <w:uiPriority w:val="0"/>
    <w:pPr>
      <w:spacing w:line="480" w:lineRule="atLeast"/>
      <w:ind w:firstLine="500"/>
    </w:pPr>
    <w:rPr>
      <w:rFonts w:ascii="宋体" w:hAnsi="宋体" w:cs="宋体"/>
      <w:sz w:val="24"/>
      <w:szCs w:val="24"/>
    </w:rPr>
  </w:style>
  <w:style w:type="paragraph" w:customStyle="1" w:styleId="320">
    <w:name w:val="pa-9"/>
    <w:basedOn w:val="1"/>
    <w:qFormat/>
    <w:uiPriority w:val="0"/>
    <w:pPr>
      <w:spacing w:line="360" w:lineRule="atLeast"/>
      <w:ind w:firstLine="900"/>
      <w:jc w:val="both"/>
    </w:pPr>
    <w:rPr>
      <w:rFonts w:ascii="宋体" w:hAnsi="宋体" w:cs="宋体"/>
      <w:sz w:val="24"/>
      <w:szCs w:val="24"/>
    </w:rPr>
  </w:style>
  <w:style w:type="paragraph" w:customStyle="1" w:styleId="321">
    <w:name w:val="td-5"/>
    <w:basedOn w:val="1"/>
    <w:qFormat/>
    <w:uiPriority w:val="0"/>
    <w:pPr>
      <w:pBdr>
        <w:top w:val="single" w:color="000000" w:sz="12"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322">
    <w:name w:val="pa-109"/>
    <w:basedOn w:val="1"/>
    <w:qFormat/>
    <w:uiPriority w:val="0"/>
    <w:pPr>
      <w:spacing w:line="280" w:lineRule="atLeast"/>
      <w:jc w:val="both"/>
    </w:pPr>
    <w:rPr>
      <w:rFonts w:ascii="宋体" w:hAnsi="宋体" w:cs="宋体"/>
      <w:sz w:val="24"/>
      <w:szCs w:val="24"/>
    </w:rPr>
  </w:style>
  <w:style w:type="paragraph" w:customStyle="1" w:styleId="323">
    <w:name w:val="pa-95"/>
    <w:basedOn w:val="1"/>
    <w:qFormat/>
    <w:uiPriority w:val="0"/>
    <w:pPr>
      <w:spacing w:line="440" w:lineRule="atLeast"/>
      <w:jc w:val="center"/>
    </w:pPr>
    <w:rPr>
      <w:rFonts w:ascii="宋体" w:hAnsi="宋体" w:cs="宋体"/>
      <w:sz w:val="24"/>
      <w:szCs w:val="24"/>
    </w:rPr>
  </w:style>
  <w:style w:type="paragraph" w:customStyle="1" w:styleId="324">
    <w:name w:val="样式 标题 4 + 非加粗"/>
    <w:basedOn w:val="5"/>
    <w:qFormat/>
    <w:uiPriority w:val="0"/>
    <w:pPr>
      <w:tabs>
        <w:tab w:val="clear" w:pos="864"/>
      </w:tabs>
      <w:spacing w:before="120" w:after="120" w:line="377" w:lineRule="auto"/>
    </w:pPr>
    <w:rPr>
      <w:rFonts w:eastAsia="宋体"/>
      <w:bCs w:val="0"/>
      <w:spacing w:val="4"/>
      <w:sz w:val="24"/>
      <w:szCs w:val="24"/>
      <w:lang w:val="en-US"/>
    </w:rPr>
  </w:style>
  <w:style w:type="paragraph" w:customStyle="1" w:styleId="32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326">
    <w:name w:val="List Paragraph1"/>
    <w:basedOn w:val="1"/>
    <w:qFormat/>
    <w:uiPriority w:val="99"/>
    <w:pPr>
      <w:ind w:left="720"/>
      <w:contextualSpacing/>
    </w:pPr>
    <w:rPr>
      <w:rFonts w:ascii="Arial" w:hAnsi="Arial" w:eastAsia="黑体"/>
      <w:sz w:val="24"/>
      <w:szCs w:val="24"/>
      <w:lang w:eastAsia="en-US"/>
    </w:rPr>
  </w:style>
  <w:style w:type="paragraph" w:customStyle="1" w:styleId="327">
    <w:name w:val="pa-21"/>
    <w:basedOn w:val="1"/>
    <w:qFormat/>
    <w:uiPriority w:val="0"/>
    <w:pPr>
      <w:spacing w:line="240" w:lineRule="atLeast"/>
      <w:ind w:firstLine="420"/>
      <w:jc w:val="both"/>
    </w:pPr>
    <w:rPr>
      <w:rFonts w:ascii="宋体" w:hAnsi="宋体" w:cs="宋体"/>
      <w:sz w:val="24"/>
      <w:szCs w:val="24"/>
    </w:rPr>
  </w:style>
  <w:style w:type="paragraph" w:customStyle="1" w:styleId="328">
    <w:name w:val="pa-131"/>
    <w:basedOn w:val="1"/>
    <w:qFormat/>
    <w:uiPriority w:val="0"/>
    <w:pPr>
      <w:spacing w:line="280" w:lineRule="atLeast"/>
    </w:pPr>
    <w:rPr>
      <w:rFonts w:ascii="宋体" w:hAnsi="宋体" w:cs="宋体"/>
      <w:sz w:val="24"/>
      <w:szCs w:val="24"/>
    </w:rPr>
  </w:style>
  <w:style w:type="paragraph" w:customStyle="1" w:styleId="329">
    <w:name w:val="pa-61"/>
    <w:basedOn w:val="1"/>
    <w:qFormat/>
    <w:uiPriority w:val="0"/>
    <w:pPr>
      <w:spacing w:line="240" w:lineRule="atLeast"/>
      <w:jc w:val="both"/>
    </w:pPr>
    <w:rPr>
      <w:rFonts w:ascii="宋体" w:hAnsi="宋体" w:cs="宋体"/>
      <w:sz w:val="24"/>
      <w:szCs w:val="24"/>
    </w:rPr>
  </w:style>
  <w:style w:type="paragraph" w:customStyle="1" w:styleId="330">
    <w:name w:val="pa-15"/>
    <w:basedOn w:val="1"/>
    <w:qFormat/>
    <w:uiPriority w:val="0"/>
    <w:pPr>
      <w:spacing w:line="240" w:lineRule="atLeast"/>
    </w:pPr>
    <w:rPr>
      <w:rFonts w:ascii="宋体" w:hAnsi="宋体" w:cs="宋体"/>
      <w:sz w:val="24"/>
      <w:szCs w:val="24"/>
    </w:rPr>
  </w:style>
  <w:style w:type="paragraph" w:customStyle="1" w:styleId="331">
    <w:name w:val="td-11"/>
    <w:basedOn w:val="1"/>
    <w:qFormat/>
    <w:uiPriority w:val="0"/>
    <w:pPr>
      <w:pBdr>
        <w:top w:val="single" w:color="000000" w:sz="4" w:space="0"/>
        <w:left w:val="single" w:color="000000" w:sz="4" w:space="4"/>
        <w:bottom w:val="single" w:color="000000" w:sz="12" w:space="0"/>
        <w:right w:val="single" w:color="000000" w:sz="12" w:space="0"/>
      </w:pBdr>
    </w:pPr>
    <w:rPr>
      <w:rFonts w:ascii="宋体" w:hAnsi="宋体" w:cs="宋体"/>
      <w:sz w:val="24"/>
      <w:szCs w:val="24"/>
    </w:rPr>
  </w:style>
  <w:style w:type="paragraph" w:customStyle="1" w:styleId="332">
    <w:name w:val="pa-80"/>
    <w:basedOn w:val="1"/>
    <w:qFormat/>
    <w:uiPriority w:val="0"/>
    <w:pPr>
      <w:spacing w:line="360" w:lineRule="atLeast"/>
      <w:jc w:val="both"/>
    </w:pPr>
    <w:rPr>
      <w:rFonts w:ascii="宋体" w:hAnsi="宋体" w:cs="宋体"/>
      <w:sz w:val="24"/>
      <w:szCs w:val="24"/>
    </w:rPr>
  </w:style>
  <w:style w:type="paragraph" w:customStyle="1" w:styleId="333">
    <w:name w:val="td-2"/>
    <w:basedOn w:val="1"/>
    <w:qFormat/>
    <w:uiPriority w:val="0"/>
    <w:pPr>
      <w:pBdr>
        <w:left w:val="single" w:color="000000" w:sz="6" w:space="4"/>
        <w:bottom w:val="single" w:color="000000" w:sz="6" w:space="0"/>
        <w:right w:val="single" w:color="000000" w:sz="6" w:space="0"/>
      </w:pBdr>
    </w:pPr>
    <w:rPr>
      <w:rFonts w:ascii="宋体" w:hAnsi="宋体" w:cs="宋体"/>
      <w:sz w:val="24"/>
      <w:szCs w:val="24"/>
    </w:rPr>
  </w:style>
  <w:style w:type="paragraph" w:customStyle="1" w:styleId="334">
    <w:name w:val="ca-11"/>
    <w:basedOn w:val="1"/>
    <w:qFormat/>
    <w:uiPriority w:val="0"/>
    <w:rPr>
      <w:rFonts w:ascii="Calibri" w:hAnsi="Calibri"/>
      <w:color w:val="000000"/>
      <w:sz w:val="30"/>
      <w:szCs w:val="30"/>
    </w:rPr>
  </w:style>
  <w:style w:type="paragraph" w:customStyle="1" w:styleId="335">
    <w:name w:val="ca-10"/>
    <w:basedOn w:val="1"/>
    <w:qFormat/>
    <w:uiPriority w:val="0"/>
    <w:rPr>
      <w:rFonts w:ascii="Calibri" w:hAnsi="Calibri"/>
      <w:color w:val="000000"/>
      <w:sz w:val="52"/>
      <w:szCs w:val="52"/>
    </w:rPr>
  </w:style>
  <w:style w:type="paragraph" w:customStyle="1" w:styleId="336">
    <w:name w:val="Char1 Char Char Char Char Char Char"/>
    <w:basedOn w:val="1"/>
    <w:qFormat/>
    <w:uiPriority w:val="0"/>
    <w:pPr>
      <w:widowControl w:val="0"/>
      <w:jc w:val="both"/>
    </w:pPr>
    <w:rPr>
      <w:rFonts w:ascii="Tahoma" w:hAnsi="Tahoma"/>
      <w:kern w:val="2"/>
      <w:sz w:val="24"/>
    </w:rPr>
  </w:style>
  <w:style w:type="paragraph" w:customStyle="1" w:styleId="337">
    <w:name w:val="Char2"/>
    <w:basedOn w:val="1"/>
    <w:qFormat/>
    <w:uiPriority w:val="0"/>
    <w:pPr>
      <w:widowControl w:val="0"/>
      <w:jc w:val="both"/>
    </w:pPr>
    <w:rPr>
      <w:rFonts w:ascii="宋体" w:hAnsi="Calibri"/>
      <w:kern w:val="2"/>
      <w:sz w:val="28"/>
    </w:rPr>
  </w:style>
  <w:style w:type="paragraph" w:customStyle="1" w:styleId="338">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339">
    <w:name w:val="pa-43"/>
    <w:basedOn w:val="1"/>
    <w:qFormat/>
    <w:uiPriority w:val="0"/>
    <w:pPr>
      <w:spacing w:line="280" w:lineRule="atLeast"/>
      <w:jc w:val="center"/>
    </w:pPr>
    <w:rPr>
      <w:rFonts w:ascii="宋体" w:hAnsi="宋体" w:cs="宋体"/>
      <w:sz w:val="24"/>
      <w:szCs w:val="24"/>
    </w:rPr>
  </w:style>
  <w:style w:type="paragraph" w:customStyle="1" w:styleId="340">
    <w:name w:val="pa-0"/>
    <w:basedOn w:val="1"/>
    <w:qFormat/>
    <w:uiPriority w:val="0"/>
    <w:pPr>
      <w:spacing w:line="520" w:lineRule="atLeast"/>
      <w:jc w:val="center"/>
    </w:pPr>
    <w:rPr>
      <w:rFonts w:ascii="宋体" w:hAnsi="宋体" w:cs="宋体"/>
      <w:sz w:val="24"/>
      <w:szCs w:val="24"/>
    </w:rPr>
  </w:style>
  <w:style w:type="paragraph" w:customStyle="1" w:styleId="341">
    <w:name w:val="中等深浅网格 1 - 强调文字颜色 21"/>
    <w:basedOn w:val="1"/>
    <w:qFormat/>
    <w:uiPriority w:val="34"/>
    <w:pPr>
      <w:ind w:firstLine="420" w:firstLineChars="200"/>
    </w:pPr>
  </w:style>
  <w:style w:type="paragraph" w:customStyle="1" w:styleId="342">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3">
    <w:name w:val="pa-88"/>
    <w:basedOn w:val="1"/>
    <w:qFormat/>
    <w:uiPriority w:val="0"/>
    <w:pPr>
      <w:spacing w:line="320" w:lineRule="atLeast"/>
      <w:ind w:firstLine="480"/>
      <w:jc w:val="both"/>
    </w:pPr>
    <w:rPr>
      <w:rFonts w:ascii="宋体" w:hAnsi="宋体" w:cs="宋体"/>
      <w:sz w:val="24"/>
      <w:szCs w:val="24"/>
    </w:rPr>
  </w:style>
  <w:style w:type="paragraph" w:customStyle="1" w:styleId="344">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345">
    <w:name w:val="pa-141"/>
    <w:basedOn w:val="1"/>
    <w:qFormat/>
    <w:uiPriority w:val="0"/>
    <w:pPr>
      <w:spacing w:line="320" w:lineRule="atLeast"/>
      <w:jc w:val="right"/>
    </w:pPr>
    <w:rPr>
      <w:rFonts w:ascii="宋体" w:hAnsi="宋体" w:cs="宋体"/>
      <w:sz w:val="24"/>
      <w:szCs w:val="24"/>
    </w:rPr>
  </w:style>
  <w:style w:type="paragraph" w:customStyle="1" w:styleId="346">
    <w:name w:val="pa-39"/>
    <w:basedOn w:val="1"/>
    <w:qFormat/>
    <w:uiPriority w:val="0"/>
    <w:pPr>
      <w:spacing w:line="360" w:lineRule="atLeast"/>
      <w:jc w:val="center"/>
    </w:pPr>
    <w:rPr>
      <w:rFonts w:ascii="宋体" w:hAnsi="宋体" w:cs="宋体"/>
      <w:sz w:val="24"/>
      <w:szCs w:val="24"/>
    </w:rPr>
  </w:style>
  <w:style w:type="paragraph" w:customStyle="1" w:styleId="347">
    <w:name w:val="Date1"/>
    <w:basedOn w:val="1"/>
    <w:next w:val="1"/>
    <w:qFormat/>
    <w:uiPriority w:val="0"/>
    <w:pPr>
      <w:widowControl w:val="0"/>
      <w:adjustRightInd w:val="0"/>
      <w:spacing w:line="360" w:lineRule="auto"/>
      <w:jc w:val="right"/>
      <w:textAlignment w:val="baseline"/>
    </w:pPr>
    <w:rPr>
      <w:rFonts w:ascii="Calibri" w:hAnsi="Calibri"/>
      <w:sz w:val="24"/>
    </w:rPr>
  </w:style>
  <w:style w:type="paragraph" w:customStyle="1" w:styleId="348">
    <w:name w:val="td-1"/>
    <w:basedOn w:val="1"/>
    <w:qFormat/>
    <w:uiPriority w:val="0"/>
    <w:pPr>
      <w:pBdr>
        <w:top w:val="single" w:color="000000" w:sz="6" w:space="0"/>
        <w:left w:val="single" w:color="000000" w:sz="6" w:space="4"/>
        <w:bottom w:val="single" w:color="000000" w:sz="6" w:space="0"/>
        <w:right w:val="single" w:color="000000" w:sz="6" w:space="0"/>
      </w:pBdr>
    </w:pPr>
    <w:rPr>
      <w:rFonts w:ascii="宋体" w:hAnsi="宋体" w:cs="宋体"/>
      <w:sz w:val="24"/>
      <w:szCs w:val="24"/>
    </w:rPr>
  </w:style>
  <w:style w:type="paragraph" w:customStyle="1" w:styleId="349">
    <w:name w:val="正文，首行缩进:"/>
    <w:basedOn w:val="1"/>
    <w:qFormat/>
    <w:uiPriority w:val="0"/>
    <w:pPr>
      <w:widowControl w:val="0"/>
      <w:tabs>
        <w:tab w:val="left" w:pos="3376"/>
      </w:tabs>
      <w:spacing w:line="460" w:lineRule="exact"/>
      <w:ind w:firstLine="480" w:firstLineChars="200"/>
    </w:pPr>
    <w:rPr>
      <w:rFonts w:ascii="宋体" w:hAnsi="宋体" w:cs="宋体"/>
      <w:kern w:val="2"/>
      <w:sz w:val="24"/>
    </w:rPr>
  </w:style>
  <w:style w:type="paragraph" w:customStyle="1" w:styleId="350">
    <w:name w:val="ca-50"/>
    <w:basedOn w:val="1"/>
    <w:qFormat/>
    <w:uiPriority w:val="0"/>
    <w:rPr>
      <w:rFonts w:ascii="宋体" w:hAnsi="宋体" w:cs="宋体"/>
      <w:sz w:val="24"/>
      <w:szCs w:val="24"/>
    </w:rPr>
  </w:style>
  <w:style w:type="paragraph" w:customStyle="1" w:styleId="351">
    <w:name w:val="pa-31"/>
    <w:basedOn w:val="1"/>
    <w:qFormat/>
    <w:uiPriority w:val="0"/>
    <w:pPr>
      <w:spacing w:line="240" w:lineRule="atLeast"/>
      <w:ind w:firstLine="420"/>
    </w:pPr>
    <w:rPr>
      <w:rFonts w:ascii="宋体" w:hAnsi="宋体" w:cs="宋体"/>
      <w:sz w:val="24"/>
      <w:szCs w:val="24"/>
    </w:rPr>
  </w:style>
  <w:style w:type="paragraph" w:customStyle="1" w:styleId="352">
    <w:name w:val="0"/>
    <w:basedOn w:val="1"/>
    <w:qFormat/>
    <w:uiPriority w:val="0"/>
    <w:pPr>
      <w:snapToGrid w:val="0"/>
      <w:jc w:val="both"/>
    </w:pPr>
    <w:rPr>
      <w:rFonts w:ascii="Calibri" w:hAnsi="Calibri"/>
      <w:sz w:val="20"/>
    </w:rPr>
  </w:style>
  <w:style w:type="paragraph" w:customStyle="1" w:styleId="353">
    <w:name w:val="xl88"/>
    <w:basedOn w:val="1"/>
    <w:qFormat/>
    <w:uiPriority w:val="0"/>
    <w:pPr>
      <w:pBdr>
        <w:bottom w:val="single" w:color="auto" w:sz="4" w:space="0"/>
      </w:pBdr>
      <w:spacing w:before="100" w:beforeAutospacing="1" w:after="100" w:afterAutospacing="1"/>
      <w:jc w:val="center"/>
    </w:pPr>
    <w:rPr>
      <w:rFonts w:ascii="黑体" w:hAnsi="黑体" w:eastAsia="黑体" w:cs="宋体"/>
      <w:sz w:val="32"/>
      <w:szCs w:val="32"/>
    </w:rPr>
  </w:style>
  <w:style w:type="paragraph" w:customStyle="1" w:styleId="354">
    <w:name w:val="pa-40"/>
    <w:basedOn w:val="1"/>
    <w:qFormat/>
    <w:uiPriority w:val="0"/>
    <w:pPr>
      <w:spacing w:line="280" w:lineRule="atLeast"/>
      <w:jc w:val="both"/>
    </w:pPr>
    <w:rPr>
      <w:rFonts w:ascii="宋体" w:hAnsi="宋体" w:cs="宋体"/>
      <w:sz w:val="24"/>
      <w:szCs w:val="24"/>
    </w:rPr>
  </w:style>
  <w:style w:type="paragraph" w:customStyle="1" w:styleId="355">
    <w:name w:val="pa-130"/>
    <w:basedOn w:val="1"/>
    <w:qFormat/>
    <w:uiPriority w:val="0"/>
    <w:pPr>
      <w:spacing w:line="300" w:lineRule="atLeast"/>
    </w:pPr>
    <w:rPr>
      <w:rFonts w:ascii="宋体" w:hAnsi="宋体" w:cs="宋体"/>
      <w:sz w:val="24"/>
      <w:szCs w:val="24"/>
    </w:rPr>
  </w:style>
  <w:style w:type="paragraph" w:customStyle="1" w:styleId="356">
    <w:name w:val="Char Char Char Char"/>
    <w:basedOn w:val="1"/>
    <w:qFormat/>
    <w:uiPriority w:val="0"/>
    <w:pPr>
      <w:spacing w:after="160" w:line="240" w:lineRule="exact"/>
    </w:pPr>
    <w:rPr>
      <w:rFonts w:ascii="Verdana" w:hAnsi="Verdana" w:eastAsia="仿宋_GB2312"/>
      <w:sz w:val="24"/>
      <w:lang w:eastAsia="en-US"/>
    </w:rPr>
  </w:style>
  <w:style w:type="paragraph" w:customStyle="1" w:styleId="357">
    <w:name w:val="pa-64"/>
    <w:basedOn w:val="1"/>
    <w:qFormat/>
    <w:uiPriority w:val="0"/>
    <w:pPr>
      <w:spacing w:line="360" w:lineRule="atLeast"/>
      <w:ind w:firstLine="560"/>
    </w:pPr>
    <w:rPr>
      <w:rFonts w:ascii="宋体" w:hAnsi="宋体" w:cs="宋体"/>
      <w:sz w:val="24"/>
      <w:szCs w:val="24"/>
    </w:rPr>
  </w:style>
  <w:style w:type="paragraph" w:customStyle="1" w:styleId="358">
    <w:name w:val="Char Char Char Char Char Char"/>
    <w:basedOn w:val="1"/>
    <w:qFormat/>
    <w:uiPriority w:val="0"/>
    <w:pPr>
      <w:widowControl w:val="0"/>
      <w:jc w:val="both"/>
    </w:pPr>
    <w:rPr>
      <w:rFonts w:ascii="Calibri" w:hAnsi="Calibri"/>
      <w:kern w:val="2"/>
      <w:szCs w:val="24"/>
    </w:rPr>
  </w:style>
  <w:style w:type="paragraph" w:customStyle="1" w:styleId="359">
    <w:name w:val="样式 正文（首行缩进两字） + 宋体 左侧:  0 厘米 悬挂缩进: 1.43 字符"/>
    <w:basedOn w:val="14"/>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360">
    <w:name w:val="表格正文"/>
    <w:basedOn w:val="1"/>
    <w:link w:val="361"/>
    <w:qFormat/>
    <w:uiPriority w:val="0"/>
    <w:pPr>
      <w:widowControl w:val="0"/>
      <w:jc w:val="both"/>
    </w:pPr>
    <w:rPr>
      <w:kern w:val="2"/>
      <w:szCs w:val="24"/>
    </w:rPr>
  </w:style>
  <w:style w:type="character" w:customStyle="1" w:styleId="361">
    <w:name w:val="表格正文 Char"/>
    <w:link w:val="360"/>
    <w:qFormat/>
    <w:uiPriority w:val="0"/>
    <w:rPr>
      <w:kern w:val="2"/>
      <w:sz w:val="21"/>
      <w:szCs w:val="24"/>
    </w:rPr>
  </w:style>
  <w:style w:type="paragraph" w:customStyle="1" w:styleId="362">
    <w:name w:val="ca-34"/>
    <w:basedOn w:val="1"/>
    <w:qFormat/>
    <w:uiPriority w:val="0"/>
    <w:rPr>
      <w:rFonts w:ascii="宋体" w:hAnsi="宋体" w:cs="宋体"/>
      <w:color w:val="000000"/>
      <w:sz w:val="20"/>
    </w:rPr>
  </w:style>
  <w:style w:type="paragraph" w:customStyle="1" w:styleId="363">
    <w:name w:val="xl3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sz w:val="20"/>
    </w:rPr>
  </w:style>
  <w:style w:type="paragraph" w:customStyle="1" w:styleId="364">
    <w:name w:val="pa-63"/>
    <w:basedOn w:val="1"/>
    <w:qFormat/>
    <w:uiPriority w:val="0"/>
    <w:pPr>
      <w:spacing w:line="360" w:lineRule="atLeast"/>
      <w:ind w:firstLine="300"/>
    </w:pPr>
    <w:rPr>
      <w:rFonts w:ascii="宋体" w:hAnsi="宋体" w:cs="宋体"/>
      <w:sz w:val="24"/>
      <w:szCs w:val="24"/>
    </w:rPr>
  </w:style>
  <w:style w:type="paragraph" w:customStyle="1" w:styleId="365">
    <w:name w:val="Char Char Char Char Char Char1"/>
    <w:basedOn w:val="1"/>
    <w:qFormat/>
    <w:uiPriority w:val="0"/>
    <w:pPr>
      <w:spacing w:after="160" w:line="240" w:lineRule="exact"/>
    </w:pPr>
    <w:rPr>
      <w:rFonts w:ascii="Verdana" w:hAnsi="Verdana" w:eastAsia="仿宋_GB2312"/>
      <w:sz w:val="24"/>
      <w:lang w:eastAsia="en-US"/>
    </w:rPr>
  </w:style>
  <w:style w:type="paragraph" w:customStyle="1" w:styleId="366">
    <w:name w:val="pa-56"/>
    <w:basedOn w:val="1"/>
    <w:qFormat/>
    <w:uiPriority w:val="0"/>
    <w:pPr>
      <w:spacing w:line="300" w:lineRule="atLeast"/>
      <w:ind w:firstLine="420"/>
      <w:jc w:val="both"/>
    </w:pPr>
    <w:rPr>
      <w:rFonts w:ascii="宋体" w:hAnsi="宋体" w:cs="宋体"/>
      <w:sz w:val="24"/>
      <w:szCs w:val="24"/>
    </w:rPr>
  </w:style>
  <w:style w:type="paragraph" w:customStyle="1" w:styleId="367">
    <w:name w:val="样式 样式 首行缩进:  2.25 字符 + 首行缩进:  2.25 字符"/>
    <w:basedOn w:val="1"/>
    <w:link w:val="368"/>
    <w:qFormat/>
    <w:uiPriority w:val="0"/>
    <w:pPr>
      <w:widowControl w:val="0"/>
      <w:spacing w:line="360" w:lineRule="auto"/>
      <w:ind w:firstLine="420" w:firstLineChars="200"/>
      <w:jc w:val="both"/>
    </w:pPr>
    <w:rPr>
      <w:rFonts w:ascii="宋体" w:hAnsi="宋体"/>
      <w:kern w:val="2"/>
      <w:szCs w:val="21"/>
    </w:rPr>
  </w:style>
  <w:style w:type="character" w:customStyle="1" w:styleId="368">
    <w:name w:val="样式 样式 首行缩进:  2.25 字符 + 首行缩进:  2.25 字符 Char"/>
    <w:link w:val="367"/>
    <w:qFormat/>
    <w:uiPriority w:val="0"/>
    <w:rPr>
      <w:rFonts w:ascii="宋体" w:hAnsi="宋体" w:cs="宋体"/>
      <w:kern w:val="2"/>
      <w:sz w:val="21"/>
      <w:szCs w:val="21"/>
    </w:rPr>
  </w:style>
  <w:style w:type="paragraph" w:customStyle="1" w:styleId="3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正文2"/>
    <w:basedOn w:val="1"/>
    <w:link w:val="371"/>
    <w:qFormat/>
    <w:uiPriority w:val="99"/>
    <w:pPr>
      <w:widowControl w:val="0"/>
      <w:spacing w:before="156" w:line="360" w:lineRule="auto"/>
      <w:ind w:firstLine="510" w:firstLineChars="200"/>
      <w:jc w:val="both"/>
    </w:pPr>
    <w:rPr>
      <w:kern w:val="2"/>
      <w:sz w:val="24"/>
    </w:rPr>
  </w:style>
  <w:style w:type="character" w:customStyle="1" w:styleId="371">
    <w:name w:val="正文2 Char Char"/>
    <w:link w:val="370"/>
    <w:qFormat/>
    <w:uiPriority w:val="0"/>
    <w:rPr>
      <w:kern w:val="2"/>
      <w:sz w:val="24"/>
    </w:rPr>
  </w:style>
  <w:style w:type="paragraph" w:customStyle="1" w:styleId="372">
    <w:name w:val="文档正文"/>
    <w:basedOn w:val="1"/>
    <w:qFormat/>
    <w:uiPriority w:val="0"/>
    <w:pPr>
      <w:widowControl w:val="0"/>
      <w:adjustRightInd w:val="0"/>
      <w:spacing w:line="480" w:lineRule="atLeast"/>
      <w:ind w:firstLine="567"/>
      <w:jc w:val="both"/>
      <w:textAlignment w:val="baseline"/>
    </w:pPr>
    <w:rPr>
      <w:rFonts w:ascii="仿宋_GB2312" w:hAnsi="Calibri" w:eastAsia="仿宋_GB2312"/>
      <w:sz w:val="28"/>
    </w:rPr>
  </w:style>
  <w:style w:type="paragraph" w:customStyle="1" w:styleId="373">
    <w:name w:val="pa-10"/>
    <w:basedOn w:val="1"/>
    <w:qFormat/>
    <w:uiPriority w:val="0"/>
    <w:pPr>
      <w:spacing w:line="360" w:lineRule="atLeast"/>
      <w:ind w:firstLine="3220"/>
      <w:jc w:val="both"/>
    </w:pPr>
    <w:rPr>
      <w:rFonts w:ascii="宋体" w:hAnsi="宋体" w:cs="宋体"/>
      <w:sz w:val="24"/>
      <w:szCs w:val="24"/>
    </w:rPr>
  </w:style>
  <w:style w:type="paragraph" w:customStyle="1" w:styleId="374">
    <w:name w:val="菲页1"/>
    <w:basedOn w:val="3"/>
    <w:qFormat/>
    <w:uiPriority w:val="0"/>
    <w:pPr>
      <w:spacing w:line="413" w:lineRule="auto"/>
      <w:jc w:val="center"/>
    </w:pPr>
    <w:rPr>
      <w:rFonts w:ascii="黑体" w:hAnsi="宋体" w:eastAsia="黑体"/>
      <w:b w:val="0"/>
      <w:bCs w:val="0"/>
      <w:sz w:val="52"/>
      <w:szCs w:val="20"/>
    </w:rPr>
  </w:style>
  <w:style w:type="paragraph" w:customStyle="1" w:styleId="375">
    <w:name w:val="pa-114"/>
    <w:basedOn w:val="1"/>
    <w:qFormat/>
    <w:uiPriority w:val="0"/>
    <w:pPr>
      <w:spacing w:line="280" w:lineRule="atLeast"/>
      <w:ind w:firstLine="2220"/>
      <w:jc w:val="both"/>
    </w:pPr>
    <w:rPr>
      <w:rFonts w:ascii="宋体" w:hAnsi="宋体" w:cs="宋体"/>
      <w:sz w:val="24"/>
      <w:szCs w:val="24"/>
    </w:rPr>
  </w:style>
  <w:style w:type="paragraph" w:customStyle="1" w:styleId="376">
    <w:name w:val="zbggmain"/>
    <w:basedOn w:val="1"/>
    <w:qFormat/>
    <w:uiPriority w:val="0"/>
    <w:pPr>
      <w:spacing w:before="100" w:beforeAutospacing="1" w:after="100" w:afterAutospacing="1" w:line="360" w:lineRule="auto"/>
    </w:pPr>
    <w:rPr>
      <w:rFonts w:ascii="Calibri" w:hAnsi="Calibri"/>
      <w:color w:val="000000"/>
      <w:sz w:val="24"/>
      <w:szCs w:val="24"/>
    </w:rPr>
  </w:style>
  <w:style w:type="paragraph" w:customStyle="1" w:styleId="377">
    <w:name w:val="标书标题3"/>
    <w:basedOn w:val="4"/>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378">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79">
    <w:name w:val="xl9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rPr>
  </w:style>
  <w:style w:type="paragraph" w:customStyle="1" w:styleId="380">
    <w:name w:val="pa-69"/>
    <w:basedOn w:val="1"/>
    <w:qFormat/>
    <w:uiPriority w:val="0"/>
    <w:pPr>
      <w:spacing w:line="240" w:lineRule="atLeast"/>
      <w:ind w:firstLine="1140"/>
      <w:jc w:val="both"/>
    </w:pPr>
    <w:rPr>
      <w:rFonts w:ascii="宋体" w:hAnsi="宋体" w:cs="宋体"/>
      <w:sz w:val="24"/>
      <w:szCs w:val="24"/>
    </w:rPr>
  </w:style>
  <w:style w:type="paragraph" w:customStyle="1" w:styleId="381">
    <w:name w:val="pa-76"/>
    <w:basedOn w:val="1"/>
    <w:qFormat/>
    <w:uiPriority w:val="0"/>
    <w:pPr>
      <w:spacing w:line="400" w:lineRule="atLeast"/>
    </w:pPr>
    <w:rPr>
      <w:rFonts w:ascii="宋体" w:hAnsi="宋体" w:cs="宋体"/>
      <w:sz w:val="24"/>
      <w:szCs w:val="24"/>
    </w:rPr>
  </w:style>
  <w:style w:type="paragraph" w:customStyle="1" w:styleId="382">
    <w:name w:val="pa-46"/>
    <w:basedOn w:val="1"/>
    <w:qFormat/>
    <w:uiPriority w:val="0"/>
    <w:pPr>
      <w:spacing w:line="280" w:lineRule="atLeast"/>
      <w:ind w:firstLine="420"/>
    </w:pPr>
    <w:rPr>
      <w:rFonts w:ascii="宋体" w:hAnsi="宋体" w:cs="宋体"/>
      <w:sz w:val="24"/>
      <w:szCs w:val="24"/>
    </w:rPr>
  </w:style>
  <w:style w:type="paragraph" w:customStyle="1" w:styleId="383">
    <w:name w:val="标准正文"/>
    <w:basedOn w:val="1"/>
    <w:qFormat/>
    <w:uiPriority w:val="0"/>
    <w:pPr>
      <w:spacing w:line="360" w:lineRule="auto"/>
      <w:ind w:firstLine="200" w:firstLineChars="200"/>
    </w:pPr>
    <w:rPr>
      <w:sz w:val="24"/>
    </w:rPr>
  </w:style>
  <w:style w:type="paragraph" w:customStyle="1" w:styleId="384">
    <w:name w:val="pa-49"/>
    <w:basedOn w:val="1"/>
    <w:qFormat/>
    <w:uiPriority w:val="0"/>
    <w:pPr>
      <w:spacing w:line="280" w:lineRule="atLeast"/>
      <w:ind w:firstLine="440"/>
    </w:pPr>
    <w:rPr>
      <w:rFonts w:ascii="宋体" w:hAnsi="宋体" w:cs="宋体"/>
      <w:sz w:val="24"/>
      <w:szCs w:val="24"/>
    </w:rPr>
  </w:style>
  <w:style w:type="paragraph" w:customStyle="1" w:styleId="385">
    <w:name w:val="目录"/>
    <w:basedOn w:val="1"/>
    <w:qFormat/>
    <w:uiPriority w:val="0"/>
    <w:pPr>
      <w:jc w:val="center"/>
    </w:pPr>
    <w:rPr>
      <w:rFonts w:ascii="宋体" w:hAnsi="Calibri"/>
      <w:b/>
      <w:sz w:val="36"/>
    </w:rPr>
  </w:style>
  <w:style w:type="paragraph" w:customStyle="1" w:styleId="386">
    <w:name w:val="pa-94"/>
    <w:basedOn w:val="1"/>
    <w:qFormat/>
    <w:uiPriority w:val="0"/>
    <w:pPr>
      <w:spacing w:line="480" w:lineRule="atLeast"/>
    </w:pPr>
    <w:rPr>
      <w:rFonts w:ascii="宋体" w:hAnsi="宋体" w:cs="宋体"/>
      <w:sz w:val="24"/>
      <w:szCs w:val="24"/>
    </w:rPr>
  </w:style>
  <w:style w:type="paragraph" w:customStyle="1" w:styleId="387">
    <w:name w:val="pa-83"/>
    <w:basedOn w:val="1"/>
    <w:qFormat/>
    <w:uiPriority w:val="0"/>
    <w:pPr>
      <w:spacing w:line="560" w:lineRule="atLeast"/>
      <w:jc w:val="center"/>
    </w:pPr>
    <w:rPr>
      <w:rFonts w:ascii="宋体" w:hAnsi="宋体" w:cs="宋体"/>
      <w:sz w:val="24"/>
      <w:szCs w:val="24"/>
    </w:rPr>
  </w:style>
  <w:style w:type="paragraph" w:customStyle="1" w:styleId="388">
    <w:name w:val="Char Char Char Char21"/>
    <w:basedOn w:val="1"/>
    <w:qFormat/>
    <w:uiPriority w:val="0"/>
    <w:pPr>
      <w:widowControl w:val="0"/>
      <w:jc w:val="both"/>
    </w:pPr>
    <w:rPr>
      <w:rFonts w:ascii="Calibri" w:hAnsi="Calibri"/>
      <w:kern w:val="2"/>
    </w:rPr>
  </w:style>
  <w:style w:type="paragraph" w:customStyle="1" w:styleId="389">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390">
    <w:name w:val="pa-65"/>
    <w:basedOn w:val="1"/>
    <w:qFormat/>
    <w:uiPriority w:val="0"/>
    <w:pPr>
      <w:spacing w:line="360" w:lineRule="atLeast"/>
      <w:jc w:val="both"/>
    </w:pPr>
    <w:rPr>
      <w:rFonts w:ascii="宋体" w:hAnsi="宋体" w:cs="宋体"/>
      <w:sz w:val="24"/>
      <w:szCs w:val="24"/>
    </w:rPr>
  </w:style>
  <w:style w:type="paragraph" w:customStyle="1" w:styleId="391">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392">
    <w:name w:val="pa-4"/>
    <w:basedOn w:val="1"/>
    <w:qFormat/>
    <w:uiPriority w:val="0"/>
    <w:pPr>
      <w:spacing w:line="360" w:lineRule="atLeast"/>
      <w:jc w:val="center"/>
    </w:pPr>
    <w:rPr>
      <w:rFonts w:ascii="宋体" w:hAnsi="宋体" w:cs="宋体"/>
      <w:sz w:val="24"/>
      <w:szCs w:val="24"/>
    </w:rPr>
  </w:style>
  <w:style w:type="paragraph" w:customStyle="1" w:styleId="393">
    <w:name w:val="pa-5"/>
    <w:basedOn w:val="1"/>
    <w:qFormat/>
    <w:uiPriority w:val="0"/>
    <w:pPr>
      <w:spacing w:line="1000" w:lineRule="atLeast"/>
      <w:jc w:val="center"/>
    </w:pPr>
    <w:rPr>
      <w:rFonts w:ascii="宋体" w:hAnsi="宋体" w:cs="宋体"/>
      <w:sz w:val="24"/>
      <w:szCs w:val="24"/>
    </w:rPr>
  </w:style>
  <w:style w:type="paragraph" w:customStyle="1" w:styleId="394">
    <w:name w:val="样式 正文（首行缩进两字） + 首行缩进:  2 字符"/>
    <w:basedOn w:val="14"/>
    <w:qFormat/>
    <w:uiPriority w:val="0"/>
    <w:pPr>
      <w:widowControl w:val="0"/>
      <w:spacing w:line="460" w:lineRule="exact"/>
      <w:ind w:firstLine="536" w:firstLineChars="200"/>
      <w:jc w:val="both"/>
    </w:pPr>
    <w:rPr>
      <w:rFonts w:hAnsi="Calibri"/>
      <w:spacing w:val="6"/>
      <w:kern w:val="24"/>
      <w:sz w:val="24"/>
    </w:rPr>
  </w:style>
  <w:style w:type="paragraph" w:customStyle="1" w:styleId="395">
    <w:name w:val="pa-70"/>
    <w:basedOn w:val="1"/>
    <w:qFormat/>
    <w:uiPriority w:val="0"/>
    <w:pPr>
      <w:spacing w:line="360" w:lineRule="atLeast"/>
      <w:ind w:firstLine="420"/>
    </w:pPr>
    <w:rPr>
      <w:rFonts w:ascii="宋体" w:hAnsi="宋体" w:cs="宋体"/>
      <w:sz w:val="24"/>
      <w:szCs w:val="24"/>
    </w:rPr>
  </w:style>
  <w:style w:type="paragraph" w:customStyle="1" w:styleId="396">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97">
    <w:name w:val="投标标题 2"/>
    <w:basedOn w:val="15"/>
    <w:qFormat/>
    <w:uiPriority w:val="0"/>
    <w:pPr>
      <w:framePr w:w="0" w:hRule="auto" w:hSpace="0" w:vAnchor="margin" w:hAnchor="text" w:xAlign="left" w:yAlign="inline"/>
      <w:shd w:val="clear" w:color="auto" w:fill="auto"/>
      <w:tabs>
        <w:tab w:val="clear" w:pos="9000"/>
      </w:tabs>
      <w:ind w:firstLine="6290" w:firstLineChars="2282"/>
    </w:pPr>
    <w:rPr>
      <w:rFonts w:ascii="Times New Roman" w:hAnsi="Times New Roman" w:eastAsia="黑体"/>
      <w:bCs/>
      <w:color w:val="auto"/>
      <w:sz w:val="28"/>
    </w:rPr>
  </w:style>
  <w:style w:type="paragraph" w:customStyle="1" w:styleId="39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399">
    <w:name w:val="样式 样式 标题 3 + (符号) 宋体 四号 加粗 黑色 段前: 0 磅 段后: 0 磅 行距: 固定值 22 磅 + 段前:..."/>
    <w:basedOn w:val="1"/>
    <w:qFormat/>
    <w:uiPriority w:val="0"/>
    <w:pPr>
      <w:keepNext/>
      <w:keepLines/>
      <w:widowControl w:val="0"/>
      <w:tabs>
        <w:tab w:val="left" w:pos="1275"/>
      </w:tabs>
      <w:spacing w:beforeLines="50" w:afterLines="50" w:line="580" w:lineRule="exact"/>
      <w:outlineLvl w:val="2"/>
    </w:pPr>
    <w:rPr>
      <w:rFonts w:ascii="宋体" w:hAnsi="宋体"/>
      <w:b/>
      <w:bCs/>
      <w:color w:val="000000"/>
      <w:kern w:val="24"/>
      <w:sz w:val="28"/>
    </w:rPr>
  </w:style>
  <w:style w:type="paragraph" w:customStyle="1" w:styleId="400">
    <w:name w:val="xl115"/>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401">
    <w:name w:val="正文文字2"/>
    <w:basedOn w:val="19"/>
    <w:qFormat/>
    <w:uiPriority w:val="0"/>
    <w:pPr>
      <w:adjustRightInd w:val="0"/>
      <w:spacing w:after="60" w:line="360" w:lineRule="atLeast"/>
      <w:ind w:left="72" w:leftChars="30" w:right="72" w:rightChars="30"/>
      <w:jc w:val="center"/>
    </w:pPr>
    <w:rPr>
      <w:rFonts w:ascii="Arial" w:eastAsia="黑体"/>
      <w:kern w:val="0"/>
      <w:sz w:val="21"/>
    </w:rPr>
  </w:style>
  <w:style w:type="paragraph" w:customStyle="1" w:styleId="402">
    <w:name w:val="pa-72"/>
    <w:basedOn w:val="1"/>
    <w:qFormat/>
    <w:uiPriority w:val="0"/>
    <w:pPr>
      <w:spacing w:line="240" w:lineRule="atLeast"/>
      <w:ind w:firstLine="560"/>
      <w:jc w:val="both"/>
    </w:pPr>
    <w:rPr>
      <w:rFonts w:ascii="宋体" w:hAnsi="宋体" w:cs="宋体"/>
      <w:sz w:val="24"/>
      <w:szCs w:val="24"/>
    </w:rPr>
  </w:style>
  <w:style w:type="paragraph" w:customStyle="1" w:styleId="403">
    <w:name w:val="pa-108"/>
    <w:basedOn w:val="1"/>
    <w:qFormat/>
    <w:uiPriority w:val="0"/>
    <w:pPr>
      <w:spacing w:line="280" w:lineRule="atLeast"/>
      <w:jc w:val="center"/>
    </w:pPr>
    <w:rPr>
      <w:rFonts w:ascii="宋体" w:hAnsi="宋体" w:cs="宋体"/>
      <w:sz w:val="24"/>
      <w:szCs w:val="24"/>
    </w:rPr>
  </w:style>
  <w:style w:type="paragraph" w:customStyle="1" w:styleId="404">
    <w:name w:val="xl8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05">
    <w:name w:val="_Style 357"/>
    <w:basedOn w:val="2"/>
    <w:next w:val="1"/>
    <w:qFormat/>
    <w:uiPriority w:val="0"/>
    <w:pPr>
      <w:widowControl/>
      <w:tabs>
        <w:tab w:val="clear" w:pos="840"/>
      </w:tabs>
      <w:adjustRightInd/>
      <w:snapToGrid/>
      <w:spacing w:before="480" w:line="276" w:lineRule="auto"/>
      <w:jc w:val="left"/>
      <w:outlineLvl w:val="9"/>
    </w:pPr>
    <w:rPr>
      <w:rFonts w:ascii="Cambria" w:hAnsi="Cambria"/>
      <w:bCs/>
      <w:color w:val="365F91"/>
      <w:kern w:val="0"/>
      <w:sz w:val="28"/>
      <w:szCs w:val="28"/>
    </w:rPr>
  </w:style>
  <w:style w:type="paragraph" w:customStyle="1" w:styleId="406">
    <w:name w:val="pa-123"/>
    <w:basedOn w:val="1"/>
    <w:qFormat/>
    <w:uiPriority w:val="0"/>
    <w:pPr>
      <w:spacing w:line="360" w:lineRule="atLeast"/>
      <w:jc w:val="both"/>
    </w:pPr>
    <w:rPr>
      <w:rFonts w:ascii="宋体" w:hAnsi="宋体" w:cs="宋体"/>
      <w:sz w:val="24"/>
      <w:szCs w:val="24"/>
    </w:rPr>
  </w:style>
  <w:style w:type="paragraph" w:customStyle="1" w:styleId="407">
    <w:name w:val="font7"/>
    <w:basedOn w:val="1"/>
    <w:qFormat/>
    <w:uiPriority w:val="0"/>
    <w:pPr>
      <w:spacing w:before="100" w:beforeAutospacing="1" w:after="100" w:afterAutospacing="1"/>
    </w:pPr>
    <w:rPr>
      <w:rFonts w:ascii="宋体" w:hAnsi="宋体" w:cs="宋体"/>
      <w:sz w:val="18"/>
      <w:szCs w:val="18"/>
    </w:rPr>
  </w:style>
  <w:style w:type="paragraph" w:customStyle="1" w:styleId="408">
    <w:name w:val="ca-35"/>
    <w:basedOn w:val="1"/>
    <w:qFormat/>
    <w:uiPriority w:val="0"/>
    <w:rPr>
      <w:rFonts w:ascii="Calibri" w:hAnsi="Calibri"/>
      <w:sz w:val="10"/>
      <w:szCs w:val="10"/>
    </w:rPr>
  </w:style>
  <w:style w:type="paragraph" w:customStyle="1" w:styleId="409">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410">
    <w:name w:val="样式 正文缩进正文（首行缩进两字）特点ALT+Z表正文正文非缩进四号段1Normal Indent Char2...4"/>
    <w:basedOn w:val="22"/>
    <w:qFormat/>
    <w:uiPriority w:val="0"/>
    <w:pPr>
      <w:widowControl w:val="0"/>
      <w:spacing w:after="0"/>
      <w:ind w:left="0" w:leftChars="0" w:firstLine="570"/>
      <w:jc w:val="both"/>
    </w:pPr>
    <w:rPr>
      <w:kern w:val="2"/>
      <w:sz w:val="28"/>
    </w:rPr>
  </w:style>
  <w:style w:type="paragraph" w:customStyle="1" w:styleId="411">
    <w:name w:val="样式 标题 1 + 黑体 三号 非加粗 居中 段前: 6 磅 段后: 6 磅 行距: 固定值 20 磅"/>
    <w:basedOn w:val="2"/>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12">
    <w:name w:val="xl98"/>
    <w:basedOn w:val="1"/>
    <w:qFormat/>
    <w:uiPriority w:val="0"/>
    <w:pPr>
      <w:pBdr>
        <w:top w:val="single" w:color="auto" w:sz="4" w:space="0"/>
        <w:left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13">
    <w:name w:val="ca-20"/>
    <w:basedOn w:val="1"/>
    <w:qFormat/>
    <w:uiPriority w:val="0"/>
    <w:rPr>
      <w:rFonts w:ascii="??" w:hAnsi="??" w:cs="宋体"/>
      <w:color w:val="000000"/>
      <w:sz w:val="18"/>
      <w:szCs w:val="18"/>
    </w:rPr>
  </w:style>
  <w:style w:type="paragraph" w:customStyle="1" w:styleId="414">
    <w:name w:val="ca-30"/>
    <w:basedOn w:val="1"/>
    <w:qFormat/>
    <w:uiPriority w:val="0"/>
    <w:rPr>
      <w:rFonts w:ascii="??" w:hAnsi="??" w:cs="宋体"/>
      <w:color w:val="002060"/>
      <w:szCs w:val="21"/>
    </w:rPr>
  </w:style>
  <w:style w:type="paragraph" w:customStyle="1" w:styleId="415">
    <w:name w:val="pa-128"/>
    <w:basedOn w:val="1"/>
    <w:qFormat/>
    <w:uiPriority w:val="0"/>
    <w:pPr>
      <w:spacing w:line="360" w:lineRule="atLeast"/>
      <w:jc w:val="center"/>
    </w:pPr>
    <w:rPr>
      <w:rFonts w:ascii="宋体" w:hAnsi="宋体" w:cs="宋体"/>
      <w:sz w:val="24"/>
      <w:szCs w:val="24"/>
    </w:rPr>
  </w:style>
  <w:style w:type="paragraph" w:customStyle="1" w:styleId="416">
    <w:name w:val="pa-97"/>
    <w:basedOn w:val="1"/>
    <w:qFormat/>
    <w:uiPriority w:val="0"/>
    <w:pPr>
      <w:spacing w:line="720" w:lineRule="atLeast"/>
      <w:jc w:val="both"/>
    </w:pPr>
    <w:rPr>
      <w:rFonts w:ascii="宋体" w:hAnsi="宋体" w:cs="宋体"/>
      <w:sz w:val="24"/>
      <w:szCs w:val="24"/>
    </w:rPr>
  </w:style>
  <w:style w:type="paragraph" w:customStyle="1" w:styleId="417">
    <w:name w:val="Char Char Char Char Char Char Char Char"/>
    <w:basedOn w:val="16"/>
    <w:qFormat/>
    <w:uiPriority w:val="0"/>
    <w:pPr>
      <w:widowControl w:val="0"/>
      <w:shd w:val="clear" w:color="auto" w:fill="000080"/>
      <w:jc w:val="both"/>
    </w:pPr>
    <w:rPr>
      <w:rFonts w:ascii="Tahoma" w:hAnsi="Tahoma" w:cs="Tahoma"/>
      <w:kern w:val="2"/>
      <w:sz w:val="24"/>
      <w:szCs w:val="24"/>
    </w:rPr>
  </w:style>
  <w:style w:type="paragraph" w:customStyle="1" w:styleId="418">
    <w:name w:val="pa-122"/>
    <w:basedOn w:val="1"/>
    <w:qFormat/>
    <w:uiPriority w:val="0"/>
    <w:pPr>
      <w:spacing w:line="360" w:lineRule="atLeast"/>
      <w:jc w:val="center"/>
    </w:pPr>
    <w:rPr>
      <w:rFonts w:ascii="宋体" w:hAnsi="宋体" w:cs="宋体"/>
      <w:sz w:val="24"/>
      <w:szCs w:val="24"/>
    </w:rPr>
  </w:style>
  <w:style w:type="paragraph" w:customStyle="1" w:styleId="419">
    <w:name w:val="pa-121"/>
    <w:basedOn w:val="1"/>
    <w:qFormat/>
    <w:uiPriority w:val="0"/>
    <w:pPr>
      <w:spacing w:line="360" w:lineRule="atLeast"/>
      <w:jc w:val="center"/>
    </w:pPr>
    <w:rPr>
      <w:rFonts w:ascii="宋体" w:hAnsi="宋体" w:cs="宋体"/>
      <w:sz w:val="24"/>
      <w:szCs w:val="24"/>
    </w:rPr>
  </w:style>
  <w:style w:type="paragraph" w:customStyle="1" w:styleId="420">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421">
    <w:name w:val="表格文字"/>
    <w:basedOn w:val="1"/>
    <w:qFormat/>
    <w:uiPriority w:val="0"/>
    <w:pPr>
      <w:widowControl w:val="0"/>
      <w:adjustRightInd w:val="0"/>
      <w:spacing w:line="420" w:lineRule="atLeast"/>
      <w:textAlignment w:val="baseline"/>
    </w:pPr>
    <w:rPr>
      <w:rFonts w:ascii="Calibri" w:hAnsi="Calibri"/>
    </w:rPr>
  </w:style>
  <w:style w:type="paragraph" w:customStyle="1" w:styleId="422">
    <w:name w:val="样式 正文缩进正文（首行缩进两字）特点ALT+Z表正文正文非缩进四号段1Normal Indent Char2..."/>
    <w:basedOn w:val="3"/>
    <w:next w:val="4"/>
    <w:qFormat/>
    <w:uiPriority w:val="0"/>
    <w:pPr>
      <w:widowControl w:val="0"/>
      <w:spacing w:before="240" w:after="120" w:line="400" w:lineRule="exact"/>
      <w:ind w:left="1140" w:hanging="630"/>
      <w:jc w:val="center"/>
    </w:pPr>
    <w:rPr>
      <w:rFonts w:ascii="宋体" w:hAnsi="宋体" w:eastAsia="黑体"/>
      <w:bCs w:val="0"/>
      <w:kern w:val="2"/>
      <w:szCs w:val="20"/>
    </w:rPr>
  </w:style>
  <w:style w:type="paragraph" w:customStyle="1" w:styleId="423">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424">
    <w:name w:val="空半行"/>
    <w:basedOn w:val="1"/>
    <w:qFormat/>
    <w:uiPriority w:val="0"/>
    <w:pPr>
      <w:widowControl w:val="0"/>
      <w:adjustRightInd w:val="0"/>
      <w:spacing w:line="120" w:lineRule="exact"/>
      <w:jc w:val="both"/>
      <w:textAlignment w:val="baseline"/>
    </w:pPr>
    <w:rPr>
      <w:rFonts w:ascii="Calibri" w:hAnsi="Calibri" w:eastAsia="仿宋_GB2312"/>
      <w:color w:val="FFFFFF"/>
      <w:sz w:val="30"/>
    </w:rPr>
  </w:style>
  <w:style w:type="paragraph" w:customStyle="1" w:styleId="425">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26">
    <w:name w:val="pa-8"/>
    <w:basedOn w:val="1"/>
    <w:qFormat/>
    <w:uiPriority w:val="0"/>
    <w:pPr>
      <w:spacing w:line="360" w:lineRule="atLeast"/>
      <w:jc w:val="both"/>
    </w:pPr>
    <w:rPr>
      <w:rFonts w:ascii="宋体" w:hAnsi="宋体" w:cs="宋体"/>
      <w:sz w:val="24"/>
      <w:szCs w:val="24"/>
    </w:rPr>
  </w:style>
  <w:style w:type="paragraph" w:customStyle="1" w:styleId="427">
    <w:name w:val="pa-53"/>
    <w:basedOn w:val="1"/>
    <w:qFormat/>
    <w:uiPriority w:val="0"/>
    <w:pPr>
      <w:spacing w:line="280" w:lineRule="atLeast"/>
      <w:ind w:firstLine="100"/>
      <w:jc w:val="both"/>
    </w:pPr>
    <w:rPr>
      <w:rFonts w:ascii="宋体" w:hAnsi="宋体" w:cs="宋体"/>
      <w:sz w:val="24"/>
      <w:szCs w:val="24"/>
    </w:rPr>
  </w:style>
  <w:style w:type="paragraph" w:customStyle="1" w:styleId="428">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429">
    <w:name w:val="pa-18"/>
    <w:basedOn w:val="1"/>
    <w:qFormat/>
    <w:uiPriority w:val="0"/>
    <w:pPr>
      <w:spacing w:line="240" w:lineRule="atLeast"/>
      <w:ind w:firstLine="20"/>
      <w:jc w:val="both"/>
    </w:pPr>
    <w:rPr>
      <w:rFonts w:ascii="宋体" w:hAnsi="宋体" w:cs="宋体"/>
      <w:sz w:val="24"/>
      <w:szCs w:val="24"/>
    </w:rPr>
  </w:style>
  <w:style w:type="paragraph" w:customStyle="1" w:styleId="430">
    <w:name w:val="pa-11"/>
    <w:basedOn w:val="1"/>
    <w:qFormat/>
    <w:uiPriority w:val="0"/>
    <w:pPr>
      <w:spacing w:line="280" w:lineRule="atLeast"/>
      <w:jc w:val="both"/>
    </w:pPr>
    <w:rPr>
      <w:rFonts w:ascii="宋体" w:hAnsi="宋体" w:cs="宋体"/>
      <w:sz w:val="24"/>
      <w:szCs w:val="24"/>
    </w:rPr>
  </w:style>
  <w:style w:type="paragraph" w:customStyle="1" w:styleId="431">
    <w:name w:val="Char Char Char Char Char Char Char2"/>
    <w:basedOn w:val="1"/>
    <w:qFormat/>
    <w:uiPriority w:val="0"/>
    <w:pPr>
      <w:widowControl w:val="0"/>
      <w:jc w:val="both"/>
    </w:pPr>
    <w:rPr>
      <w:rFonts w:ascii="Calibri" w:hAnsi="Calibri"/>
      <w:kern w:val="2"/>
      <w:szCs w:val="24"/>
    </w:rPr>
  </w:style>
  <w:style w:type="paragraph" w:customStyle="1" w:styleId="432">
    <w:name w:val="pa-66"/>
    <w:basedOn w:val="1"/>
    <w:qFormat/>
    <w:uiPriority w:val="0"/>
    <w:pPr>
      <w:spacing w:line="240" w:lineRule="atLeast"/>
      <w:ind w:firstLine="200"/>
      <w:jc w:val="both"/>
    </w:pPr>
    <w:rPr>
      <w:rFonts w:ascii="宋体" w:hAnsi="宋体" w:cs="宋体"/>
      <w:sz w:val="24"/>
      <w:szCs w:val="24"/>
    </w:rPr>
  </w:style>
  <w:style w:type="paragraph" w:customStyle="1" w:styleId="43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34">
    <w:name w:val="pa-41"/>
    <w:basedOn w:val="1"/>
    <w:qFormat/>
    <w:uiPriority w:val="0"/>
    <w:pPr>
      <w:spacing w:line="280" w:lineRule="atLeast"/>
      <w:ind w:firstLine="420"/>
      <w:jc w:val="both"/>
    </w:pPr>
    <w:rPr>
      <w:rFonts w:ascii="宋体" w:hAnsi="宋体" w:cs="宋体"/>
      <w:sz w:val="24"/>
      <w:szCs w:val="24"/>
    </w:rPr>
  </w:style>
  <w:style w:type="paragraph" w:customStyle="1" w:styleId="435">
    <w:name w:val="ca-52"/>
    <w:basedOn w:val="1"/>
    <w:qFormat/>
    <w:uiPriority w:val="0"/>
    <w:rPr>
      <w:rFonts w:ascii="宋体" w:hAnsi="宋体" w:cs="宋体"/>
      <w:b/>
      <w:bCs/>
      <w:spacing w:val="-20"/>
      <w:sz w:val="36"/>
      <w:szCs w:val="36"/>
    </w:rPr>
  </w:style>
  <w:style w:type="paragraph" w:customStyle="1" w:styleId="436">
    <w:name w:val="纯文本11"/>
    <w:basedOn w:val="1"/>
    <w:qFormat/>
    <w:uiPriority w:val="0"/>
    <w:pPr>
      <w:widowControl w:val="0"/>
      <w:adjustRightInd w:val="0"/>
      <w:jc w:val="both"/>
      <w:textAlignment w:val="baseline"/>
    </w:pPr>
    <w:rPr>
      <w:rFonts w:ascii="宋体" w:hAnsi="Courier New" w:eastAsia="楷体_GB2312"/>
      <w:kern w:val="2"/>
      <w:sz w:val="26"/>
    </w:rPr>
  </w:style>
  <w:style w:type="paragraph" w:styleId="437">
    <w:name w:val="No Spacing"/>
    <w:link w:val="438"/>
    <w:qFormat/>
    <w:uiPriority w:val="1"/>
    <w:rPr>
      <w:rFonts w:ascii="Times New Roman" w:hAnsi="Times New Roman" w:eastAsia="Times New Roman" w:cs="Times New Roman"/>
      <w:sz w:val="22"/>
      <w:szCs w:val="22"/>
      <w:lang w:val="en-US" w:eastAsia="zh-CN" w:bidi="ar-SA"/>
    </w:rPr>
  </w:style>
  <w:style w:type="character" w:customStyle="1" w:styleId="438">
    <w:name w:val="无间隔 字符"/>
    <w:link w:val="437"/>
    <w:qFormat/>
    <w:uiPriority w:val="0"/>
    <w:rPr>
      <w:rFonts w:eastAsia="Times New Roman"/>
      <w:sz w:val="22"/>
      <w:szCs w:val="22"/>
      <w:lang w:val="en-US" w:eastAsia="zh-CN" w:bidi="ar-SA"/>
    </w:rPr>
  </w:style>
  <w:style w:type="paragraph" w:customStyle="1" w:styleId="439">
    <w:name w:val="pa-55"/>
    <w:basedOn w:val="1"/>
    <w:qFormat/>
    <w:uiPriority w:val="0"/>
    <w:pPr>
      <w:spacing w:line="300" w:lineRule="atLeast"/>
      <w:ind w:firstLine="480"/>
      <w:jc w:val="center"/>
    </w:pPr>
    <w:rPr>
      <w:rFonts w:ascii="宋体" w:hAnsi="宋体" w:cs="宋体"/>
      <w:sz w:val="24"/>
      <w:szCs w:val="24"/>
    </w:rPr>
  </w:style>
  <w:style w:type="paragraph" w:customStyle="1" w:styleId="440">
    <w:name w:val="ca-17"/>
    <w:basedOn w:val="1"/>
    <w:qFormat/>
    <w:uiPriority w:val="0"/>
    <w:rPr>
      <w:rFonts w:ascii="Calibri" w:hAnsi="Calibri"/>
      <w:b/>
      <w:bCs/>
      <w:spacing w:val="-20"/>
      <w:sz w:val="24"/>
      <w:szCs w:val="24"/>
    </w:rPr>
  </w:style>
  <w:style w:type="paragraph" w:customStyle="1" w:styleId="441">
    <w:name w:val="ca-31"/>
    <w:basedOn w:val="1"/>
    <w:qFormat/>
    <w:uiPriority w:val="0"/>
    <w:rPr>
      <w:rFonts w:ascii="??" w:hAnsi="??" w:cs="宋体"/>
      <w:color w:val="000000"/>
      <w:szCs w:val="21"/>
    </w:rPr>
  </w:style>
  <w:style w:type="paragraph" w:customStyle="1" w:styleId="442">
    <w:name w:val="默认段落字体 Para Char Char Char Char Char Char Char Char Char1 Char"/>
    <w:basedOn w:val="1"/>
    <w:qFormat/>
    <w:uiPriority w:val="0"/>
    <w:pPr>
      <w:widowControl w:val="0"/>
      <w:tabs>
        <w:tab w:val="left" w:pos="1260"/>
      </w:tabs>
      <w:spacing w:line="360" w:lineRule="auto"/>
      <w:ind w:left="1260" w:firstLine="480" w:firstLineChars="200"/>
      <w:jc w:val="both"/>
    </w:pPr>
    <w:rPr>
      <w:rFonts w:ascii="Tahoma" w:hAnsi="Tahoma"/>
      <w:kern w:val="2"/>
      <w:sz w:val="24"/>
    </w:rPr>
  </w:style>
  <w:style w:type="paragraph" w:customStyle="1" w:styleId="443">
    <w:name w:val="pa-57"/>
    <w:basedOn w:val="1"/>
    <w:qFormat/>
    <w:uiPriority w:val="0"/>
    <w:pPr>
      <w:spacing w:line="300" w:lineRule="atLeast"/>
      <w:ind w:firstLine="560"/>
      <w:jc w:val="both"/>
    </w:pPr>
    <w:rPr>
      <w:rFonts w:ascii="宋体" w:hAnsi="宋体" w:cs="宋体"/>
      <w:sz w:val="24"/>
      <w:szCs w:val="24"/>
    </w:rPr>
  </w:style>
  <w:style w:type="paragraph" w:customStyle="1" w:styleId="44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445">
    <w:name w:val="正文段"/>
    <w:basedOn w:val="1"/>
    <w:qFormat/>
    <w:uiPriority w:val="99"/>
    <w:pPr>
      <w:snapToGrid w:val="0"/>
      <w:spacing w:afterLines="50"/>
      <w:ind w:firstLine="200" w:firstLineChars="200"/>
      <w:jc w:val="both"/>
    </w:pPr>
    <w:rPr>
      <w:rFonts w:ascii="Calibri" w:hAnsi="Calibri"/>
      <w:sz w:val="24"/>
    </w:rPr>
  </w:style>
  <w:style w:type="paragraph" w:customStyle="1" w:styleId="4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7">
    <w:name w:val="pa-7"/>
    <w:basedOn w:val="1"/>
    <w:qFormat/>
    <w:uiPriority w:val="0"/>
    <w:pPr>
      <w:spacing w:line="400" w:lineRule="atLeast"/>
      <w:jc w:val="both"/>
    </w:pPr>
    <w:rPr>
      <w:rFonts w:ascii="宋体" w:hAnsi="宋体" w:cs="宋体"/>
      <w:sz w:val="24"/>
      <w:szCs w:val="24"/>
    </w:rPr>
  </w:style>
  <w:style w:type="paragraph" w:customStyle="1" w:styleId="448">
    <w:name w:val="Blockquote"/>
    <w:basedOn w:val="1"/>
    <w:link w:val="449"/>
    <w:qFormat/>
    <w:uiPriority w:val="0"/>
    <w:pPr>
      <w:widowControl w:val="0"/>
      <w:autoSpaceDE w:val="0"/>
      <w:autoSpaceDN w:val="0"/>
      <w:adjustRightInd w:val="0"/>
      <w:spacing w:before="100" w:after="100"/>
      <w:ind w:left="360" w:right="360"/>
    </w:pPr>
    <w:rPr>
      <w:sz w:val="24"/>
    </w:rPr>
  </w:style>
  <w:style w:type="character" w:customStyle="1" w:styleId="449">
    <w:name w:val="Blockquote Char"/>
    <w:link w:val="448"/>
    <w:qFormat/>
    <w:locked/>
    <w:uiPriority w:val="0"/>
    <w:rPr>
      <w:sz w:val="24"/>
    </w:rPr>
  </w:style>
  <w:style w:type="paragraph" w:customStyle="1" w:styleId="450">
    <w:name w:val="ca-32"/>
    <w:basedOn w:val="1"/>
    <w:qFormat/>
    <w:uiPriority w:val="0"/>
    <w:rPr>
      <w:rFonts w:ascii="宋体" w:hAnsi="宋体" w:cs="宋体"/>
      <w:b/>
      <w:bCs/>
      <w:color w:val="C00000"/>
      <w:spacing w:val="-20"/>
      <w:szCs w:val="21"/>
    </w:rPr>
  </w:style>
  <w:style w:type="paragraph" w:customStyle="1" w:styleId="451">
    <w:name w:val="style1"/>
    <w:basedOn w:val="1"/>
    <w:qFormat/>
    <w:uiPriority w:val="0"/>
    <w:pPr>
      <w:spacing w:before="100" w:beforeAutospacing="1" w:after="100" w:afterAutospacing="1" w:line="432" w:lineRule="auto"/>
    </w:pPr>
    <w:rPr>
      <w:rFonts w:ascii="宋体" w:hAnsi="宋体" w:cs="宋体"/>
      <w:sz w:val="27"/>
      <w:szCs w:val="27"/>
    </w:rPr>
  </w:style>
  <w:style w:type="paragraph" w:customStyle="1" w:styleId="452">
    <w:name w:val="ca-29"/>
    <w:basedOn w:val="1"/>
    <w:qFormat/>
    <w:uiPriority w:val="0"/>
    <w:rPr>
      <w:rFonts w:ascii="宋体" w:hAnsi="宋体" w:cs="宋体"/>
      <w:color w:val="7030A0"/>
      <w:szCs w:val="21"/>
    </w:rPr>
  </w:style>
  <w:style w:type="paragraph" w:customStyle="1" w:styleId="453">
    <w:name w:val="xl106"/>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454">
    <w:name w:val="样式 宋体 首行缩进:  0.87 厘米"/>
    <w:basedOn w:val="1"/>
    <w:qFormat/>
    <w:uiPriority w:val="0"/>
    <w:pPr>
      <w:widowControl w:val="0"/>
      <w:spacing w:line="480" w:lineRule="exact"/>
      <w:ind w:firstLine="493"/>
      <w:jc w:val="both"/>
    </w:pPr>
    <w:rPr>
      <w:rFonts w:ascii="宋体" w:hAnsi="宋体" w:cs="宋体"/>
      <w:spacing w:val="6"/>
      <w:kern w:val="2"/>
      <w:sz w:val="24"/>
      <w:szCs w:val="24"/>
    </w:rPr>
  </w:style>
  <w:style w:type="paragraph" w:customStyle="1" w:styleId="455">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sz w:val="16"/>
      <w:szCs w:val="16"/>
    </w:rPr>
  </w:style>
  <w:style w:type="paragraph" w:customStyle="1" w:styleId="457">
    <w:name w:val="ca-43"/>
    <w:basedOn w:val="1"/>
    <w:qFormat/>
    <w:uiPriority w:val="0"/>
    <w:rPr>
      <w:rFonts w:ascii="宋体" w:hAnsi="宋体" w:cs="宋体"/>
      <w:color w:val="000000"/>
      <w:sz w:val="44"/>
      <w:szCs w:val="44"/>
    </w:rPr>
  </w:style>
  <w:style w:type="paragraph" w:customStyle="1" w:styleId="458">
    <w:name w:val="pa-92"/>
    <w:basedOn w:val="1"/>
    <w:qFormat/>
    <w:uiPriority w:val="0"/>
    <w:pPr>
      <w:spacing w:line="480" w:lineRule="atLeast"/>
      <w:ind w:firstLine="480"/>
      <w:jc w:val="both"/>
    </w:pPr>
    <w:rPr>
      <w:rFonts w:ascii="宋体" w:hAnsi="宋体" w:cs="宋体"/>
      <w:sz w:val="24"/>
      <w:szCs w:val="24"/>
    </w:rPr>
  </w:style>
  <w:style w:type="paragraph" w:customStyle="1" w:styleId="459">
    <w:name w:val="pa-54"/>
    <w:basedOn w:val="1"/>
    <w:qFormat/>
    <w:uiPriority w:val="0"/>
    <w:pPr>
      <w:spacing w:line="280" w:lineRule="atLeast"/>
    </w:pPr>
    <w:rPr>
      <w:rFonts w:ascii="宋体" w:hAnsi="宋体" w:cs="宋体"/>
      <w:sz w:val="24"/>
      <w:szCs w:val="24"/>
    </w:rPr>
  </w:style>
  <w:style w:type="paragraph" w:customStyle="1" w:styleId="460">
    <w:name w:val="Char Char Char Char3"/>
    <w:basedOn w:val="1"/>
    <w:qFormat/>
    <w:uiPriority w:val="0"/>
    <w:pPr>
      <w:spacing w:after="160" w:line="240" w:lineRule="exact"/>
    </w:pPr>
    <w:rPr>
      <w:rFonts w:ascii="Arial" w:hAnsi="Arial" w:cs="Verdana"/>
      <w:b/>
      <w:sz w:val="24"/>
      <w:lang w:eastAsia="en-US"/>
    </w:rPr>
  </w:style>
  <w:style w:type="paragraph" w:customStyle="1" w:styleId="461">
    <w:name w:val="ca-5"/>
    <w:basedOn w:val="1"/>
    <w:qFormat/>
    <w:uiPriority w:val="0"/>
    <w:rPr>
      <w:rFonts w:ascii="宋体" w:hAnsi="宋体" w:cs="宋体"/>
      <w:b/>
      <w:bCs/>
      <w:color w:val="000000"/>
      <w:spacing w:val="40"/>
      <w:sz w:val="48"/>
      <w:szCs w:val="48"/>
    </w:rPr>
  </w:style>
  <w:style w:type="paragraph" w:customStyle="1" w:styleId="462">
    <w:name w:val="xl86"/>
    <w:basedOn w:val="1"/>
    <w:qFormat/>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63">
    <w:name w:val="pa-79"/>
    <w:basedOn w:val="1"/>
    <w:qFormat/>
    <w:uiPriority w:val="0"/>
    <w:pPr>
      <w:spacing w:line="360" w:lineRule="atLeast"/>
      <w:ind w:firstLine="3040"/>
    </w:pPr>
    <w:rPr>
      <w:rFonts w:ascii="宋体" w:hAnsi="宋体" w:cs="宋体"/>
      <w:sz w:val="24"/>
      <w:szCs w:val="24"/>
    </w:rPr>
  </w:style>
  <w:style w:type="paragraph" w:customStyle="1" w:styleId="464">
    <w:name w:val="xl100"/>
    <w:basedOn w:val="1"/>
    <w:qFormat/>
    <w:uiPriority w:val="0"/>
    <w:pPr>
      <w:spacing w:before="100" w:beforeAutospacing="1" w:after="100" w:afterAutospacing="1"/>
      <w:textAlignment w:val="center"/>
    </w:pPr>
    <w:rPr>
      <w:rFonts w:ascii="宋体" w:hAnsi="宋体" w:cs="宋体"/>
      <w:sz w:val="16"/>
      <w:szCs w:val="16"/>
    </w:rPr>
  </w:style>
  <w:style w:type="paragraph" w:customStyle="1" w:styleId="465">
    <w:name w:val="td-7"/>
    <w:basedOn w:val="1"/>
    <w:qFormat/>
    <w:uiPriority w:val="0"/>
    <w:pPr>
      <w:pBdr>
        <w:top w:val="single" w:color="000000" w:sz="4"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466">
    <w:name w:val="xl109"/>
    <w:basedOn w:val="1"/>
    <w:qFormat/>
    <w:uiPriority w:val="0"/>
    <w:pPr>
      <w:pBdr>
        <w:top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67">
    <w:name w:val="样式 节 + 行距: 固定值 37 磅"/>
    <w:basedOn w:val="274"/>
    <w:qFormat/>
    <w:uiPriority w:val="0"/>
    <w:pPr>
      <w:spacing w:before="120" w:after="120" w:line="660" w:lineRule="exact"/>
    </w:pPr>
    <w:rPr>
      <w:rFonts w:cs="宋体"/>
    </w:rPr>
  </w:style>
  <w:style w:type="paragraph" w:customStyle="1" w:styleId="468">
    <w:name w:val="pa-29"/>
    <w:basedOn w:val="1"/>
    <w:qFormat/>
    <w:uiPriority w:val="0"/>
    <w:pPr>
      <w:spacing w:line="360" w:lineRule="atLeast"/>
      <w:ind w:firstLine="2820"/>
      <w:jc w:val="both"/>
    </w:pPr>
    <w:rPr>
      <w:rFonts w:ascii="宋体" w:hAnsi="宋体" w:cs="宋体"/>
      <w:sz w:val="24"/>
      <w:szCs w:val="24"/>
    </w:rPr>
  </w:style>
  <w:style w:type="paragraph" w:customStyle="1" w:styleId="469">
    <w:name w:val="样式 正文文本"/>
    <w:basedOn w:val="1"/>
    <w:qFormat/>
    <w:uiPriority w:val="0"/>
    <w:pPr>
      <w:widowControl w:val="0"/>
      <w:adjustRightInd w:val="0"/>
      <w:snapToGrid w:val="0"/>
      <w:spacing w:line="400" w:lineRule="exact"/>
      <w:ind w:firstLine="200" w:firstLineChars="200"/>
      <w:jc w:val="both"/>
    </w:pPr>
    <w:rPr>
      <w:rFonts w:ascii="Arial" w:hAnsi="Arial" w:cs="宋体"/>
      <w:color w:val="000000"/>
      <w:kern w:val="2"/>
    </w:rPr>
  </w:style>
  <w:style w:type="paragraph" w:customStyle="1" w:styleId="470">
    <w:name w:val="ca-14"/>
    <w:basedOn w:val="1"/>
    <w:qFormat/>
    <w:uiPriority w:val="0"/>
    <w:rPr>
      <w:rFonts w:ascii="Calibri" w:hAnsi="Calibri"/>
      <w:color w:val="000000"/>
      <w:sz w:val="24"/>
      <w:szCs w:val="24"/>
    </w:rPr>
  </w:style>
  <w:style w:type="paragraph" w:customStyle="1" w:styleId="471">
    <w:name w:val="pa-136"/>
    <w:basedOn w:val="1"/>
    <w:qFormat/>
    <w:uiPriority w:val="0"/>
    <w:pPr>
      <w:spacing w:line="360" w:lineRule="atLeast"/>
      <w:ind w:firstLine="5640"/>
      <w:jc w:val="both"/>
    </w:pPr>
    <w:rPr>
      <w:rFonts w:ascii="宋体" w:hAnsi="宋体" w:cs="宋体"/>
      <w:sz w:val="24"/>
      <w:szCs w:val="24"/>
    </w:rPr>
  </w:style>
  <w:style w:type="paragraph" w:customStyle="1" w:styleId="472">
    <w:name w:val="ca-42"/>
    <w:basedOn w:val="1"/>
    <w:qFormat/>
    <w:uiPriority w:val="0"/>
    <w:rPr>
      <w:rFonts w:ascii="宋体" w:hAnsi="宋体" w:cs="宋体"/>
      <w:color w:val="000000"/>
      <w:sz w:val="36"/>
      <w:szCs w:val="36"/>
    </w:rPr>
  </w:style>
  <w:style w:type="paragraph" w:customStyle="1" w:styleId="47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74">
    <w:name w:val="ca-23"/>
    <w:basedOn w:val="1"/>
    <w:qFormat/>
    <w:uiPriority w:val="0"/>
    <w:rPr>
      <w:rFonts w:ascii="Calibri" w:hAnsi="Calibri"/>
      <w:szCs w:val="21"/>
    </w:rPr>
  </w:style>
  <w:style w:type="paragraph" w:customStyle="1" w:styleId="475">
    <w:name w:val="样式 正文（首行缩进两字） + 宋体"/>
    <w:basedOn w:val="14"/>
    <w:qFormat/>
    <w:uiPriority w:val="0"/>
    <w:pPr>
      <w:widowControl w:val="0"/>
      <w:spacing w:line="460" w:lineRule="exact"/>
      <w:ind w:firstLine="200" w:firstLineChars="200"/>
      <w:jc w:val="both"/>
    </w:pPr>
    <w:rPr>
      <w:rFonts w:ascii="宋体" w:hAnsi="宋体"/>
      <w:spacing w:val="6"/>
      <w:kern w:val="24"/>
      <w:sz w:val="24"/>
    </w:rPr>
  </w:style>
  <w:style w:type="paragraph" w:customStyle="1" w:styleId="476">
    <w:name w:val="_Style 123"/>
    <w:basedOn w:val="1"/>
    <w:next w:val="126"/>
    <w:qFormat/>
    <w:uiPriority w:val="34"/>
    <w:pPr>
      <w:widowControl w:val="0"/>
      <w:ind w:firstLine="420" w:firstLineChars="200"/>
      <w:jc w:val="both"/>
    </w:pPr>
    <w:rPr>
      <w:rFonts w:ascii="Calibri" w:hAnsi="Calibri"/>
      <w:kern w:val="2"/>
      <w:szCs w:val="24"/>
    </w:rPr>
  </w:style>
  <w:style w:type="paragraph" w:customStyle="1" w:styleId="477">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478">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479">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8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4"/>
      <w:szCs w:val="24"/>
    </w:rPr>
  </w:style>
  <w:style w:type="paragraph" w:customStyle="1" w:styleId="482">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bCs/>
      <w:sz w:val="24"/>
      <w:szCs w:val="24"/>
    </w:rPr>
  </w:style>
  <w:style w:type="paragraph" w:customStyle="1" w:styleId="483">
    <w:name w:val="样式 正文（首行缩进两字） + 宋体 首行缩进:  0 字符"/>
    <w:basedOn w:val="14"/>
    <w:qFormat/>
    <w:uiPriority w:val="0"/>
    <w:pPr>
      <w:widowControl w:val="0"/>
      <w:spacing w:line="460" w:lineRule="exact"/>
      <w:ind w:firstLine="0"/>
      <w:jc w:val="both"/>
    </w:pPr>
    <w:rPr>
      <w:rFonts w:ascii="宋体" w:hAnsi="宋体" w:cs="宋体"/>
      <w:spacing w:val="6"/>
      <w:kern w:val="24"/>
      <w:sz w:val="24"/>
    </w:rPr>
  </w:style>
  <w:style w:type="paragraph" w:customStyle="1" w:styleId="484">
    <w:name w:val="默认段落字体 Para Char"/>
    <w:basedOn w:val="1"/>
    <w:qFormat/>
    <w:uiPriority w:val="0"/>
    <w:pPr>
      <w:widowControl w:val="0"/>
      <w:tabs>
        <w:tab w:val="left" w:pos="432"/>
      </w:tabs>
      <w:ind w:left="840" w:hanging="420"/>
      <w:jc w:val="both"/>
    </w:pPr>
    <w:rPr>
      <w:rFonts w:ascii="Calibri" w:hAnsi="Calibri"/>
      <w:kern w:val="2"/>
      <w:szCs w:val="24"/>
    </w:rPr>
  </w:style>
  <w:style w:type="paragraph" w:customStyle="1" w:styleId="485">
    <w:name w:val="pa-1"/>
    <w:basedOn w:val="1"/>
    <w:qFormat/>
    <w:uiPriority w:val="0"/>
    <w:pPr>
      <w:spacing w:line="480" w:lineRule="atLeast"/>
      <w:jc w:val="center"/>
    </w:pPr>
    <w:rPr>
      <w:rFonts w:ascii="宋体" w:hAnsi="宋体" w:cs="宋体"/>
      <w:sz w:val="24"/>
      <w:szCs w:val="24"/>
    </w:rPr>
  </w:style>
  <w:style w:type="paragraph" w:customStyle="1" w:styleId="4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Char"/>
    <w:basedOn w:val="1"/>
    <w:qFormat/>
    <w:uiPriority w:val="0"/>
    <w:pPr>
      <w:widowControl w:val="0"/>
      <w:jc w:val="both"/>
    </w:pPr>
    <w:rPr>
      <w:rFonts w:ascii="Calibri" w:hAnsi="Calibri"/>
      <w:kern w:val="2"/>
      <w:szCs w:val="24"/>
    </w:rPr>
  </w:style>
  <w:style w:type="paragraph" w:customStyle="1" w:styleId="488">
    <w:name w:val="正文文本缩进2"/>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489">
    <w:name w:val="Char3"/>
    <w:basedOn w:val="1"/>
    <w:link w:val="490"/>
    <w:qFormat/>
    <w:uiPriority w:val="0"/>
    <w:pPr>
      <w:widowControl w:val="0"/>
      <w:jc w:val="both"/>
    </w:pPr>
    <w:rPr>
      <w:rFonts w:ascii="Tahoma" w:hAnsi="Tahoma"/>
      <w:kern w:val="2"/>
      <w:sz w:val="24"/>
    </w:rPr>
  </w:style>
  <w:style w:type="character" w:customStyle="1" w:styleId="490">
    <w:name w:val="Char Char25"/>
    <w:link w:val="489"/>
    <w:qFormat/>
    <w:locked/>
    <w:uiPriority w:val="0"/>
    <w:rPr>
      <w:rFonts w:ascii="Tahoma" w:hAnsi="Tahoma"/>
      <w:kern w:val="2"/>
      <w:sz w:val="24"/>
    </w:rPr>
  </w:style>
  <w:style w:type="paragraph" w:customStyle="1" w:styleId="491">
    <w:name w:val="msonormalcxspmiddle"/>
    <w:basedOn w:val="1"/>
    <w:qFormat/>
    <w:uiPriority w:val="0"/>
    <w:pPr>
      <w:spacing w:before="100" w:beforeAutospacing="1" w:after="100" w:afterAutospacing="1"/>
    </w:pPr>
    <w:rPr>
      <w:rFonts w:ascii="宋体" w:hAnsi="宋体" w:cs="宋体"/>
      <w:sz w:val="24"/>
      <w:szCs w:val="24"/>
    </w:rPr>
  </w:style>
  <w:style w:type="paragraph" w:customStyle="1" w:styleId="492">
    <w:name w:val="ca-0"/>
    <w:basedOn w:val="1"/>
    <w:qFormat/>
    <w:uiPriority w:val="0"/>
    <w:rPr>
      <w:rFonts w:ascii="宋体" w:hAnsi="宋体" w:cs="宋体"/>
      <w:color w:val="000000"/>
      <w:sz w:val="48"/>
      <w:szCs w:val="48"/>
    </w:rPr>
  </w:style>
  <w:style w:type="paragraph" w:customStyle="1" w:styleId="493">
    <w:name w:val="pa-22"/>
    <w:basedOn w:val="1"/>
    <w:qFormat/>
    <w:uiPriority w:val="0"/>
    <w:pPr>
      <w:spacing w:line="280" w:lineRule="atLeast"/>
      <w:ind w:firstLine="480"/>
      <w:jc w:val="both"/>
    </w:pPr>
    <w:rPr>
      <w:rFonts w:ascii="宋体" w:hAnsi="宋体" w:cs="宋体"/>
      <w:sz w:val="24"/>
      <w:szCs w:val="24"/>
    </w:rPr>
  </w:style>
  <w:style w:type="paragraph" w:customStyle="1" w:styleId="494">
    <w:name w:val="明显引用1"/>
    <w:basedOn w:val="1"/>
    <w:next w:val="1"/>
    <w:link w:val="495"/>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495">
    <w:name w:val="Intense Quote Char"/>
    <w:link w:val="494"/>
    <w:qFormat/>
    <w:locked/>
    <w:uiPriority w:val="0"/>
    <w:rPr>
      <w:b/>
      <w:i/>
      <w:color w:val="4F81BD"/>
      <w:kern w:val="2"/>
      <w:sz w:val="22"/>
    </w:rPr>
  </w:style>
  <w:style w:type="paragraph" w:customStyle="1" w:styleId="496">
    <w:name w:val="目录文字"/>
    <w:basedOn w:val="1"/>
    <w:qFormat/>
    <w:uiPriority w:val="0"/>
    <w:pPr>
      <w:spacing w:line="480" w:lineRule="auto"/>
    </w:pPr>
    <w:rPr>
      <w:rFonts w:ascii="宋体" w:hAnsi="宋体"/>
      <w:sz w:val="24"/>
    </w:rPr>
  </w:style>
  <w:style w:type="paragraph" w:customStyle="1" w:styleId="497">
    <w:name w:val="pa-58"/>
    <w:basedOn w:val="1"/>
    <w:qFormat/>
    <w:uiPriority w:val="0"/>
    <w:pPr>
      <w:spacing w:line="300" w:lineRule="atLeast"/>
      <w:ind w:firstLine="300"/>
      <w:jc w:val="both"/>
    </w:pPr>
    <w:rPr>
      <w:rFonts w:ascii="宋体" w:hAnsi="宋体" w:cs="宋体"/>
      <w:sz w:val="24"/>
      <w:szCs w:val="24"/>
    </w:rPr>
  </w:style>
  <w:style w:type="paragraph" w:customStyle="1" w:styleId="498">
    <w:name w:val="Char11"/>
    <w:basedOn w:val="1"/>
    <w:qFormat/>
    <w:uiPriority w:val="0"/>
    <w:pPr>
      <w:widowControl w:val="0"/>
      <w:jc w:val="both"/>
    </w:pPr>
    <w:rPr>
      <w:rFonts w:ascii="Calibri" w:hAnsi="Calibri"/>
      <w:kern w:val="2"/>
    </w:rPr>
  </w:style>
  <w:style w:type="paragraph" w:customStyle="1" w:styleId="499">
    <w:name w:val="方案正文-样式 小四 行距: 1.5 倍行距"/>
    <w:basedOn w:val="1"/>
    <w:link w:val="500"/>
    <w:qFormat/>
    <w:uiPriority w:val="0"/>
    <w:pPr>
      <w:widowControl w:val="0"/>
      <w:spacing w:line="360" w:lineRule="auto"/>
      <w:ind w:firstLine="480" w:firstLineChars="200"/>
      <w:jc w:val="both"/>
    </w:pPr>
    <w:rPr>
      <w:kern w:val="2"/>
      <w:sz w:val="24"/>
    </w:rPr>
  </w:style>
  <w:style w:type="character" w:customStyle="1" w:styleId="500">
    <w:name w:val="方案正文-样式 小四 行距: 1.5 倍行距 Char Char"/>
    <w:link w:val="499"/>
    <w:qFormat/>
    <w:uiPriority w:val="0"/>
    <w:rPr>
      <w:kern w:val="2"/>
      <w:sz w:val="24"/>
    </w:rPr>
  </w:style>
  <w:style w:type="paragraph" w:customStyle="1" w:styleId="501">
    <w:name w:val="样式 标题 2 + (中文) 黑体 四号 黑色"/>
    <w:basedOn w:val="3"/>
    <w:qFormat/>
    <w:uiPriority w:val="0"/>
    <w:pPr>
      <w:widowControl w:val="0"/>
      <w:spacing w:line="520" w:lineRule="exact"/>
    </w:pPr>
    <w:rPr>
      <w:rFonts w:ascii="Arial" w:hAnsi="Arial" w:eastAsia="黑体"/>
      <w:color w:val="000000"/>
      <w:kern w:val="24"/>
      <w:sz w:val="28"/>
      <w:szCs w:val="20"/>
    </w:rPr>
  </w:style>
  <w:style w:type="paragraph" w:customStyle="1" w:styleId="502">
    <w:name w:val="样式 标题 3h33rd level3l3CTLevel 3 Topic Headingsect1.2.3Hea..."/>
    <w:basedOn w:val="4"/>
    <w:qFormat/>
    <w:uiPriority w:val="0"/>
    <w:pPr>
      <w:widowControl w:val="0"/>
      <w:adjustRightInd w:val="0"/>
      <w:spacing w:beforeLines="50" w:afterLines="50" w:line="240" w:lineRule="atLeast"/>
      <w:ind w:left="180" w:hanging="720"/>
      <w:textAlignment w:val="baseline"/>
    </w:pPr>
    <w:rPr>
      <w:rFonts w:ascii="宋体" w:hAnsi="宋体" w:cs="宋体"/>
      <w:sz w:val="24"/>
      <w:szCs w:val="20"/>
    </w:rPr>
  </w:style>
  <w:style w:type="paragraph" w:customStyle="1" w:styleId="503">
    <w:name w:val="pa-2"/>
    <w:basedOn w:val="1"/>
    <w:qFormat/>
    <w:uiPriority w:val="0"/>
    <w:pPr>
      <w:spacing w:line="400" w:lineRule="atLeast"/>
      <w:jc w:val="center"/>
    </w:pPr>
    <w:rPr>
      <w:rFonts w:ascii="宋体" w:hAnsi="宋体" w:cs="宋体"/>
      <w:sz w:val="24"/>
      <w:szCs w:val="24"/>
    </w:rPr>
  </w:style>
  <w:style w:type="paragraph" w:customStyle="1" w:styleId="504">
    <w:name w:val="pa-135"/>
    <w:basedOn w:val="1"/>
    <w:qFormat/>
    <w:uiPriority w:val="0"/>
    <w:pPr>
      <w:spacing w:line="480" w:lineRule="atLeast"/>
      <w:ind w:firstLine="520"/>
      <w:jc w:val="both"/>
    </w:pPr>
    <w:rPr>
      <w:rFonts w:ascii="宋体" w:hAnsi="宋体" w:cs="宋体"/>
      <w:sz w:val="24"/>
      <w:szCs w:val="24"/>
    </w:rPr>
  </w:style>
  <w:style w:type="paragraph" w:customStyle="1" w:styleId="505">
    <w:name w:val="pa-36"/>
    <w:basedOn w:val="1"/>
    <w:qFormat/>
    <w:uiPriority w:val="0"/>
    <w:pPr>
      <w:spacing w:line="360" w:lineRule="atLeast"/>
      <w:ind w:firstLine="3100"/>
    </w:pPr>
    <w:rPr>
      <w:rFonts w:ascii="宋体" w:hAnsi="宋体" w:cs="宋体"/>
      <w:sz w:val="24"/>
      <w:szCs w:val="24"/>
    </w:rPr>
  </w:style>
  <w:style w:type="paragraph" w:customStyle="1" w:styleId="506">
    <w:name w:val="ca-9"/>
    <w:basedOn w:val="1"/>
    <w:qFormat/>
    <w:uiPriority w:val="0"/>
    <w:rPr>
      <w:rFonts w:ascii="楷体_GB2312" w:hAnsi="宋体" w:eastAsia="楷体_GB2312" w:cs="宋体"/>
      <w:color w:val="000000"/>
      <w:spacing w:val="20"/>
      <w:sz w:val="96"/>
      <w:szCs w:val="96"/>
    </w:rPr>
  </w:style>
  <w:style w:type="paragraph" w:customStyle="1" w:styleId="507">
    <w:name w:val="pa-138"/>
    <w:basedOn w:val="1"/>
    <w:qFormat/>
    <w:uiPriority w:val="0"/>
    <w:pPr>
      <w:spacing w:line="480" w:lineRule="atLeast"/>
      <w:ind w:firstLine="960"/>
      <w:jc w:val="center"/>
    </w:pPr>
    <w:rPr>
      <w:rFonts w:ascii="宋体" w:hAnsi="宋体" w:cs="宋体"/>
      <w:sz w:val="24"/>
      <w:szCs w:val="24"/>
    </w:rPr>
  </w:style>
  <w:style w:type="paragraph" w:customStyle="1" w:styleId="508">
    <w:name w:val="pa-132"/>
    <w:basedOn w:val="1"/>
    <w:qFormat/>
    <w:uiPriority w:val="0"/>
    <w:pPr>
      <w:spacing w:line="360" w:lineRule="atLeast"/>
      <w:jc w:val="both"/>
    </w:pPr>
    <w:rPr>
      <w:rFonts w:ascii="宋体" w:hAnsi="宋体" w:cs="宋体"/>
      <w:sz w:val="24"/>
      <w:szCs w:val="24"/>
    </w:rPr>
  </w:style>
  <w:style w:type="paragraph" w:customStyle="1" w:styleId="509">
    <w:name w:val="pa-126"/>
    <w:basedOn w:val="1"/>
    <w:qFormat/>
    <w:uiPriority w:val="0"/>
    <w:pPr>
      <w:spacing w:line="480" w:lineRule="atLeast"/>
      <w:ind w:firstLine="480"/>
      <w:jc w:val="both"/>
    </w:pPr>
    <w:rPr>
      <w:rFonts w:ascii="宋体" w:hAnsi="宋体" w:cs="宋体"/>
      <w:sz w:val="24"/>
      <w:szCs w:val="24"/>
    </w:rPr>
  </w:style>
  <w:style w:type="paragraph" w:customStyle="1" w:styleId="510">
    <w:name w:val="pa-26"/>
    <w:basedOn w:val="1"/>
    <w:qFormat/>
    <w:uiPriority w:val="0"/>
    <w:pPr>
      <w:spacing w:line="276" w:lineRule="atLeast"/>
      <w:ind w:firstLine="720"/>
      <w:jc w:val="both"/>
    </w:pPr>
    <w:rPr>
      <w:rFonts w:ascii="宋体" w:hAnsi="宋体" w:cs="宋体"/>
      <w:sz w:val="24"/>
      <w:szCs w:val="24"/>
    </w:rPr>
  </w:style>
  <w:style w:type="paragraph" w:customStyle="1" w:styleId="511">
    <w:name w:val="1"/>
    <w:basedOn w:val="1"/>
    <w:next w:val="29"/>
    <w:qFormat/>
    <w:uiPriority w:val="0"/>
    <w:pPr>
      <w:widowControl w:val="0"/>
      <w:jc w:val="both"/>
    </w:pPr>
    <w:rPr>
      <w:rFonts w:ascii="宋体" w:hAnsi="Courier New" w:cs="Courier New"/>
      <w:kern w:val="2"/>
      <w:szCs w:val="21"/>
    </w:rPr>
  </w:style>
  <w:style w:type="paragraph" w:customStyle="1" w:styleId="512">
    <w:name w:val="Char13"/>
    <w:basedOn w:val="1"/>
    <w:qFormat/>
    <w:uiPriority w:val="0"/>
    <w:pPr>
      <w:widowControl w:val="0"/>
      <w:jc w:val="both"/>
    </w:pPr>
    <w:rPr>
      <w:rFonts w:ascii="Calibri" w:hAnsi="Calibri"/>
      <w:kern w:val="2"/>
      <w:szCs w:val="24"/>
    </w:rPr>
  </w:style>
  <w:style w:type="paragraph" w:customStyle="1" w:styleId="513">
    <w:name w:val="font5"/>
    <w:basedOn w:val="1"/>
    <w:qFormat/>
    <w:uiPriority w:val="0"/>
    <w:pPr>
      <w:spacing w:before="100" w:beforeAutospacing="1" w:after="100" w:afterAutospacing="1"/>
    </w:pPr>
    <w:rPr>
      <w:rFonts w:ascii="宋体" w:hAnsi="宋体" w:cs="宋体"/>
      <w:sz w:val="18"/>
      <w:szCs w:val="18"/>
    </w:rPr>
  </w:style>
  <w:style w:type="paragraph" w:customStyle="1" w:styleId="51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5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6">
    <w:name w:val="pa-125"/>
    <w:basedOn w:val="1"/>
    <w:qFormat/>
    <w:uiPriority w:val="0"/>
    <w:pPr>
      <w:spacing w:line="480" w:lineRule="atLeast"/>
      <w:ind w:firstLine="1080"/>
      <w:jc w:val="both"/>
    </w:pPr>
    <w:rPr>
      <w:rFonts w:ascii="宋体" w:hAnsi="宋体" w:cs="宋体"/>
      <w:sz w:val="24"/>
      <w:szCs w:val="24"/>
    </w:rPr>
  </w:style>
  <w:style w:type="paragraph" w:customStyle="1" w:styleId="517">
    <w:name w:val="pa-62"/>
    <w:basedOn w:val="1"/>
    <w:qFormat/>
    <w:uiPriority w:val="0"/>
    <w:pPr>
      <w:spacing w:line="360" w:lineRule="atLeast"/>
      <w:ind w:firstLine="420"/>
      <w:jc w:val="both"/>
    </w:pPr>
    <w:rPr>
      <w:rFonts w:ascii="宋体" w:hAnsi="宋体" w:cs="宋体"/>
      <w:sz w:val="24"/>
      <w:szCs w:val="24"/>
    </w:rPr>
  </w:style>
  <w:style w:type="paragraph" w:customStyle="1" w:styleId="518">
    <w:name w:val="Char Char Char Char Char Char Char Char Char Char Char"/>
    <w:basedOn w:val="16"/>
    <w:qFormat/>
    <w:uiPriority w:val="0"/>
    <w:pPr>
      <w:widowControl w:val="0"/>
      <w:shd w:val="clear" w:color="auto" w:fill="000080"/>
      <w:jc w:val="both"/>
    </w:pPr>
    <w:rPr>
      <w:rFonts w:ascii="Tahoma" w:hAnsi="Tahoma"/>
      <w:kern w:val="2"/>
      <w:sz w:val="24"/>
      <w:szCs w:val="24"/>
    </w:rPr>
  </w:style>
  <w:style w:type="paragraph" w:customStyle="1" w:styleId="519">
    <w:name w:val="表格(五号)"/>
    <w:basedOn w:val="1"/>
    <w:qFormat/>
    <w:uiPriority w:val="0"/>
    <w:pPr>
      <w:widowControl w:val="0"/>
      <w:adjustRightInd w:val="0"/>
      <w:snapToGrid w:val="0"/>
      <w:spacing w:before="60" w:after="60"/>
      <w:ind w:left="11"/>
      <w:jc w:val="center"/>
    </w:pPr>
    <w:rPr>
      <w:rFonts w:ascii="Calibri" w:hAnsi="Calibri"/>
    </w:rPr>
  </w:style>
  <w:style w:type="paragraph" w:customStyle="1" w:styleId="520">
    <w:name w:val="正文文字格式"/>
    <w:basedOn w:val="1"/>
    <w:qFormat/>
    <w:uiPriority w:val="0"/>
    <w:pPr>
      <w:widowControl w:val="0"/>
      <w:spacing w:line="460" w:lineRule="exact"/>
      <w:ind w:firstLine="505"/>
    </w:pPr>
    <w:rPr>
      <w:rFonts w:ascii="宋体" w:hAnsi="Calibri"/>
      <w:kern w:val="24"/>
      <w:sz w:val="24"/>
    </w:rPr>
  </w:style>
  <w:style w:type="paragraph" w:customStyle="1" w:styleId="521">
    <w:name w:val="菲页(卷)"/>
    <w:basedOn w:val="2"/>
    <w:next w:val="168"/>
    <w:qFormat/>
    <w:uiPriority w:val="0"/>
    <w:pPr>
      <w:keepLines w:val="0"/>
      <w:widowControl/>
      <w:adjustRightInd/>
      <w:snapToGrid/>
      <w:spacing w:line="240" w:lineRule="auto"/>
      <w:ind w:left="840" w:hanging="420"/>
      <w:jc w:val="center"/>
      <w:outlineLvl w:val="1"/>
    </w:pPr>
    <w:rPr>
      <w:rFonts w:ascii="黑体" w:hAnsi="Calibri" w:eastAsia="黑体"/>
      <w:b w:val="0"/>
      <w:kern w:val="0"/>
      <w:sz w:val="52"/>
    </w:rPr>
  </w:style>
  <w:style w:type="paragraph" w:customStyle="1" w:styleId="5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3">
    <w:name w:val="xl107"/>
    <w:basedOn w:val="1"/>
    <w:qFormat/>
    <w:uiPriority w:val="0"/>
    <w:pPr>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524">
    <w:name w:val="pa-52"/>
    <w:basedOn w:val="1"/>
    <w:qFormat/>
    <w:uiPriority w:val="0"/>
    <w:pPr>
      <w:spacing w:line="276" w:lineRule="atLeast"/>
    </w:pPr>
    <w:rPr>
      <w:rFonts w:ascii="宋体" w:hAnsi="宋体" w:cs="宋体"/>
      <w:sz w:val="24"/>
      <w:szCs w:val="24"/>
    </w:rPr>
  </w:style>
  <w:style w:type="paragraph" w:customStyle="1" w:styleId="525">
    <w:name w:val="ca-26"/>
    <w:basedOn w:val="1"/>
    <w:qFormat/>
    <w:uiPriority w:val="0"/>
    <w:rPr>
      <w:rFonts w:ascii="宋体" w:hAnsi="宋体" w:cs="宋体"/>
      <w:color w:val="00206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7">
    <w:name w:val="pa-60"/>
    <w:basedOn w:val="1"/>
    <w:qFormat/>
    <w:uiPriority w:val="0"/>
    <w:pPr>
      <w:spacing w:line="360" w:lineRule="atLeast"/>
      <w:ind w:firstLine="560"/>
      <w:jc w:val="both"/>
    </w:pPr>
    <w:rPr>
      <w:rFonts w:ascii="宋体" w:hAnsi="宋体" w:cs="宋体"/>
      <w:sz w:val="24"/>
      <w:szCs w:val="24"/>
    </w:rPr>
  </w:style>
  <w:style w:type="paragraph" w:customStyle="1" w:styleId="528">
    <w:name w:val="td-9"/>
    <w:basedOn w:val="1"/>
    <w:qFormat/>
    <w:uiPriority w:val="0"/>
    <w:pPr>
      <w:pBdr>
        <w:top w:val="single" w:color="000000" w:sz="4" w:space="0"/>
        <w:left w:val="single" w:color="000000" w:sz="12" w:space="4"/>
        <w:bottom w:val="single" w:color="000000" w:sz="12" w:space="0"/>
        <w:right w:val="single" w:color="000000" w:sz="4" w:space="0"/>
      </w:pBdr>
    </w:pPr>
    <w:rPr>
      <w:rFonts w:ascii="宋体" w:hAnsi="宋体" w:cs="宋体"/>
      <w:sz w:val="24"/>
      <w:szCs w:val="24"/>
    </w:rPr>
  </w:style>
  <w:style w:type="paragraph" w:customStyle="1" w:styleId="529">
    <w:name w:val="td-10"/>
    <w:basedOn w:val="1"/>
    <w:qFormat/>
    <w:uiPriority w:val="0"/>
    <w:pPr>
      <w:pBdr>
        <w:top w:val="single" w:color="000000" w:sz="4" w:space="0"/>
        <w:left w:val="single" w:color="000000" w:sz="4" w:space="4"/>
        <w:bottom w:val="single" w:color="000000" w:sz="12" w:space="0"/>
        <w:right w:val="single" w:color="000000" w:sz="4" w:space="0"/>
      </w:pBdr>
    </w:pPr>
    <w:rPr>
      <w:rFonts w:ascii="宋体" w:hAnsi="宋体" w:cs="宋体"/>
      <w:sz w:val="24"/>
      <w:szCs w:val="24"/>
    </w:rPr>
  </w:style>
  <w:style w:type="paragraph" w:customStyle="1" w:styleId="530">
    <w:name w:val="pa-111"/>
    <w:basedOn w:val="1"/>
    <w:qFormat/>
    <w:uiPriority w:val="0"/>
    <w:pPr>
      <w:spacing w:line="280" w:lineRule="atLeast"/>
      <w:ind w:firstLine="480"/>
      <w:jc w:val="both"/>
    </w:pPr>
    <w:rPr>
      <w:rFonts w:ascii="宋体" w:hAnsi="宋体" w:cs="宋体"/>
      <w:sz w:val="24"/>
      <w:szCs w:val="24"/>
    </w:rPr>
  </w:style>
  <w:style w:type="paragraph" w:customStyle="1" w:styleId="531">
    <w:name w:val="Char Char Char"/>
    <w:basedOn w:val="1"/>
    <w:qFormat/>
    <w:uiPriority w:val="0"/>
    <w:pPr>
      <w:widowControl w:val="0"/>
      <w:jc w:val="both"/>
    </w:pPr>
    <w:rPr>
      <w:kern w:val="2"/>
    </w:rPr>
  </w:style>
  <w:style w:type="paragraph" w:customStyle="1" w:styleId="532">
    <w:name w:val="pa-35"/>
    <w:basedOn w:val="1"/>
    <w:qFormat/>
    <w:uiPriority w:val="0"/>
    <w:pPr>
      <w:spacing w:line="360" w:lineRule="atLeast"/>
    </w:pPr>
    <w:rPr>
      <w:rFonts w:ascii="宋体" w:hAnsi="宋体" w:cs="宋体"/>
      <w:sz w:val="24"/>
      <w:szCs w:val="24"/>
    </w:rPr>
  </w:style>
  <w:style w:type="paragraph" w:customStyle="1" w:styleId="533">
    <w:name w:val="ca-45"/>
    <w:basedOn w:val="1"/>
    <w:qFormat/>
    <w:uiPriority w:val="0"/>
    <w:rPr>
      <w:rFonts w:ascii="宋体" w:hAnsi="宋体" w:cs="宋体"/>
      <w:color w:val="000000"/>
      <w:sz w:val="72"/>
      <w:szCs w:val="72"/>
    </w:rPr>
  </w:style>
  <w:style w:type="paragraph" w:customStyle="1" w:styleId="534">
    <w:name w:val="pa-74"/>
    <w:basedOn w:val="1"/>
    <w:qFormat/>
    <w:uiPriority w:val="0"/>
    <w:pPr>
      <w:spacing w:line="360" w:lineRule="atLeast"/>
      <w:ind w:firstLine="640"/>
      <w:jc w:val="center"/>
    </w:pPr>
    <w:rPr>
      <w:rFonts w:ascii="宋体" w:hAnsi="宋体" w:cs="宋体"/>
      <w:sz w:val="24"/>
      <w:szCs w:val="24"/>
    </w:rPr>
  </w:style>
  <w:style w:type="paragraph" w:customStyle="1" w:styleId="535">
    <w:name w:val="ca-7"/>
    <w:basedOn w:val="1"/>
    <w:qFormat/>
    <w:uiPriority w:val="0"/>
    <w:rPr>
      <w:rFonts w:ascii="Calibri" w:hAnsi="Calibri"/>
      <w:color w:val="000000"/>
      <w:sz w:val="28"/>
      <w:szCs w:val="28"/>
    </w:rPr>
  </w:style>
  <w:style w:type="paragraph" w:customStyle="1" w:styleId="536">
    <w:name w:val="列出段落2"/>
    <w:basedOn w:val="1"/>
    <w:qFormat/>
    <w:uiPriority w:val="0"/>
    <w:pPr>
      <w:widowControl w:val="0"/>
      <w:spacing w:before="100" w:beforeAutospacing="1" w:after="100" w:afterAutospacing="1"/>
      <w:ind w:left="720"/>
      <w:jc w:val="both"/>
    </w:pPr>
    <w:rPr>
      <w:rFonts w:ascii="Calibri" w:hAnsi="Calibri"/>
      <w:color w:val="000000"/>
      <w:kern w:val="2"/>
      <w:szCs w:val="21"/>
    </w:rPr>
  </w:style>
  <w:style w:type="paragraph" w:customStyle="1" w:styleId="537">
    <w:name w:val="pa-106"/>
    <w:basedOn w:val="1"/>
    <w:qFormat/>
    <w:uiPriority w:val="0"/>
    <w:pPr>
      <w:spacing w:line="720" w:lineRule="atLeast"/>
      <w:jc w:val="both"/>
    </w:pPr>
    <w:rPr>
      <w:rFonts w:ascii="宋体" w:hAnsi="宋体" w:cs="宋体"/>
      <w:sz w:val="24"/>
      <w:szCs w:val="24"/>
    </w:rPr>
  </w:style>
  <w:style w:type="paragraph" w:customStyle="1" w:styleId="538">
    <w:name w:val="ca-41"/>
    <w:basedOn w:val="1"/>
    <w:qFormat/>
    <w:uiPriority w:val="0"/>
    <w:rPr>
      <w:rFonts w:ascii="宋体" w:hAnsi="宋体" w:cs="宋体"/>
      <w:b/>
      <w:bCs/>
      <w:color w:val="000000"/>
      <w:spacing w:val="-20"/>
      <w:sz w:val="32"/>
      <w:szCs w:val="32"/>
    </w:rPr>
  </w:style>
  <w:style w:type="paragraph" w:customStyle="1" w:styleId="539">
    <w:name w:val="xl110"/>
    <w:basedOn w:val="1"/>
    <w:qFormat/>
    <w:uiPriority w:val="0"/>
    <w:pPr>
      <w:pBdr>
        <w:top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0">
    <w:name w:val="ca-4"/>
    <w:basedOn w:val="1"/>
    <w:qFormat/>
    <w:uiPriority w:val="0"/>
    <w:rPr>
      <w:rFonts w:ascii="宋体" w:hAnsi="宋体" w:cs="宋体"/>
      <w:b/>
      <w:bCs/>
      <w:color w:val="000000"/>
      <w:spacing w:val="-20"/>
      <w:sz w:val="48"/>
      <w:szCs w:val="48"/>
    </w:rPr>
  </w:style>
  <w:style w:type="paragraph" w:customStyle="1" w:styleId="541">
    <w:name w:val="图"/>
    <w:basedOn w:val="1"/>
    <w:qFormat/>
    <w:uiPriority w:val="0"/>
    <w:pPr>
      <w:keepNext/>
      <w:widowControl w:val="0"/>
      <w:adjustRightInd w:val="0"/>
      <w:snapToGrid w:val="0"/>
      <w:spacing w:before="60" w:after="60" w:line="300" w:lineRule="auto"/>
      <w:jc w:val="center"/>
    </w:pPr>
    <w:rPr>
      <w:rFonts w:hint="eastAsia" w:ascii="Calibri" w:hAnsi="Calibri"/>
      <w:spacing w:val="20"/>
      <w:sz w:val="24"/>
    </w:rPr>
  </w:style>
  <w:style w:type="paragraph" w:customStyle="1" w:styleId="54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 w:val="20"/>
    </w:rPr>
  </w:style>
  <w:style w:type="paragraph" w:customStyle="1" w:styleId="543">
    <w:name w:val="Char Char Char Char2"/>
    <w:basedOn w:val="1"/>
    <w:qFormat/>
    <w:uiPriority w:val="0"/>
    <w:pPr>
      <w:spacing w:after="160" w:line="240" w:lineRule="exact"/>
    </w:pPr>
    <w:rPr>
      <w:rFonts w:ascii="Verdana" w:hAnsi="Verdana" w:eastAsia="仿宋_GB2312"/>
      <w:sz w:val="24"/>
      <w:lang w:eastAsia="en-US"/>
    </w:rPr>
  </w:style>
  <w:style w:type="paragraph" w:customStyle="1" w:styleId="544">
    <w:name w:val="pa-117"/>
    <w:basedOn w:val="1"/>
    <w:qFormat/>
    <w:uiPriority w:val="0"/>
    <w:pPr>
      <w:spacing w:line="360" w:lineRule="atLeast"/>
      <w:ind w:firstLine="3840"/>
      <w:jc w:val="both"/>
    </w:pPr>
    <w:rPr>
      <w:rFonts w:ascii="宋体" w:hAnsi="宋体" w:cs="宋体"/>
      <w:sz w:val="24"/>
      <w:szCs w:val="24"/>
    </w:rPr>
  </w:style>
  <w:style w:type="paragraph" w:customStyle="1" w:styleId="545">
    <w:name w:val="p0"/>
    <w:basedOn w:val="1"/>
    <w:qFormat/>
    <w:uiPriority w:val="99"/>
    <w:pPr>
      <w:jc w:val="both"/>
    </w:pPr>
    <w:rPr>
      <w:rFonts w:ascii="Calibri" w:hAnsi="Calibri" w:cs="宋体"/>
      <w:szCs w:val="21"/>
    </w:rPr>
  </w:style>
  <w:style w:type="paragraph" w:customStyle="1" w:styleId="546">
    <w:name w:val="p16"/>
    <w:basedOn w:val="1"/>
    <w:qFormat/>
    <w:uiPriority w:val="0"/>
    <w:pPr>
      <w:jc w:val="both"/>
    </w:pPr>
    <w:rPr>
      <w:szCs w:val="21"/>
    </w:rPr>
  </w:style>
  <w:style w:type="paragraph" w:customStyle="1" w:styleId="547">
    <w:name w:val="xl108"/>
    <w:basedOn w:val="1"/>
    <w:qFormat/>
    <w:uiPriority w:val="0"/>
    <w:pPr>
      <w:pBdr>
        <w:top w:val="single" w:color="auto" w:sz="4" w:space="0"/>
        <w:left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8">
    <w:name w:val="pa-115"/>
    <w:basedOn w:val="1"/>
    <w:qFormat/>
    <w:uiPriority w:val="0"/>
    <w:pPr>
      <w:spacing w:line="480" w:lineRule="atLeast"/>
      <w:jc w:val="both"/>
    </w:pPr>
    <w:rPr>
      <w:rFonts w:ascii="宋体" w:hAnsi="宋体" w:cs="宋体"/>
      <w:sz w:val="24"/>
      <w:szCs w:val="24"/>
    </w:rPr>
  </w:style>
  <w:style w:type="paragraph" w:customStyle="1" w:styleId="549">
    <w:name w:val="td-8"/>
    <w:basedOn w:val="1"/>
    <w:qFormat/>
    <w:uiPriority w:val="0"/>
    <w:pPr>
      <w:pBdr>
        <w:top w:val="single" w:color="000000" w:sz="4"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550">
    <w:name w:val="默认段落字体 Para Char Char Char Char"/>
    <w:basedOn w:val="1"/>
    <w:qFormat/>
    <w:uiPriority w:val="99"/>
    <w:pPr>
      <w:widowControl w:val="0"/>
      <w:spacing w:line="360" w:lineRule="auto"/>
      <w:ind w:firstLine="200" w:firstLineChars="200"/>
      <w:jc w:val="both"/>
    </w:pPr>
    <w:rPr>
      <w:kern w:val="2"/>
      <w:szCs w:val="24"/>
    </w:rPr>
  </w:style>
  <w:style w:type="paragraph" w:customStyle="1" w:styleId="551">
    <w:name w:val="简单回函地址"/>
    <w:basedOn w:val="1"/>
    <w:qFormat/>
    <w:uiPriority w:val="99"/>
    <w:pPr>
      <w:widowControl w:val="0"/>
      <w:jc w:val="both"/>
    </w:pPr>
    <w:rPr>
      <w:kern w:val="2"/>
    </w:rPr>
  </w:style>
  <w:style w:type="paragraph" w:customStyle="1" w:styleId="552">
    <w:name w:val="纯文本2"/>
    <w:basedOn w:val="1"/>
    <w:qFormat/>
    <w:uiPriority w:val="99"/>
    <w:pPr>
      <w:adjustRightInd w:val="0"/>
      <w:spacing w:line="300" w:lineRule="exact"/>
      <w:ind w:firstLine="200" w:firstLineChars="200"/>
      <w:textAlignment w:val="baseline"/>
    </w:pPr>
    <w:rPr>
      <w:rFonts w:ascii="宋体" w:hAnsi="Courier New" w:eastAsia="楷体_GB2312"/>
      <w:kern w:val="2"/>
      <w:sz w:val="26"/>
    </w:rPr>
  </w:style>
  <w:style w:type="paragraph" w:customStyle="1" w:styleId="553">
    <w:name w:val="默认段落字体 Para Char Char Char Char Char Char Char Char Char1 Char Char Char Char"/>
    <w:basedOn w:val="1"/>
    <w:qFormat/>
    <w:uiPriority w:val="99"/>
    <w:pPr>
      <w:widowControl w:val="0"/>
      <w:jc w:val="both"/>
    </w:pPr>
    <w:rPr>
      <w:rFonts w:ascii="Tahoma" w:hAnsi="Tahoma"/>
      <w:kern w:val="2"/>
      <w:sz w:val="24"/>
    </w:rPr>
  </w:style>
  <w:style w:type="paragraph" w:customStyle="1" w:styleId="554">
    <w:name w:val="纯文本3"/>
    <w:basedOn w:val="1"/>
    <w:qFormat/>
    <w:uiPriority w:val="0"/>
    <w:pPr>
      <w:widowControl w:val="0"/>
      <w:spacing w:line="400" w:lineRule="exact"/>
      <w:jc w:val="both"/>
    </w:pPr>
    <w:rPr>
      <w:rFonts w:ascii="宋体" w:hAnsi="宋体"/>
      <w:kern w:val="2"/>
      <w:sz w:val="24"/>
      <w:szCs w:val="24"/>
    </w:rPr>
  </w:style>
  <w:style w:type="paragraph" w:customStyle="1" w:styleId="555">
    <w:name w:val="msonormal"/>
    <w:basedOn w:val="1"/>
    <w:qFormat/>
    <w:uiPriority w:val="0"/>
    <w:pPr>
      <w:spacing w:before="100" w:beforeAutospacing="1" w:after="100" w:afterAutospacing="1"/>
    </w:pPr>
    <w:rPr>
      <w:rFonts w:ascii="宋体" w:hAnsi="宋体" w:cs="宋体"/>
      <w:sz w:val="24"/>
      <w:szCs w:val="24"/>
    </w:rPr>
  </w:style>
  <w:style w:type="character" w:customStyle="1" w:styleId="556">
    <w:name w:val="批注主题 Char3"/>
    <w:qFormat/>
    <w:uiPriority w:val="0"/>
    <w:rPr>
      <w:rFonts w:eastAsia="宋体" w:cs="Times New Roman"/>
      <w:b/>
      <w:bCs/>
      <w:kern w:val="2"/>
      <w:sz w:val="24"/>
      <w:szCs w:val="24"/>
      <w:lang w:val="en-US" w:eastAsia="zh-CN" w:bidi="ar-SA"/>
    </w:rPr>
  </w:style>
  <w:style w:type="character" w:customStyle="1" w:styleId="557">
    <w:name w:val="zbggtop11 style5"/>
    <w:qFormat/>
    <w:uiPriority w:val="0"/>
    <w:rPr>
      <w:rFonts w:cs="Times New Roman"/>
    </w:rPr>
  </w:style>
  <w:style w:type="character" w:customStyle="1" w:styleId="558">
    <w:name w:val="ca-511"/>
    <w:qFormat/>
    <w:uiPriority w:val="0"/>
    <w:rPr>
      <w:rFonts w:ascii="Times New Roman" w:hAnsi="Times New Roman" w:cs="Times New Roman"/>
      <w:b/>
      <w:bCs/>
      <w:color w:val="000000"/>
      <w:spacing w:val="-20"/>
      <w:sz w:val="32"/>
      <w:szCs w:val="32"/>
    </w:rPr>
  </w:style>
  <w:style w:type="character" w:customStyle="1" w:styleId="559">
    <w:name w:val="脚注文本 Char1"/>
    <w:qFormat/>
    <w:uiPriority w:val="0"/>
    <w:rPr>
      <w:sz w:val="18"/>
      <w:szCs w:val="18"/>
    </w:rPr>
  </w:style>
  <w:style w:type="character" w:customStyle="1" w:styleId="560">
    <w:name w:val="ca-191"/>
    <w:qFormat/>
    <w:uiPriority w:val="0"/>
    <w:rPr>
      <w:rFonts w:ascii="Times New Roman" w:hAnsi="Times New Roman" w:cs="Times New Roman"/>
      <w:sz w:val="18"/>
      <w:szCs w:val="18"/>
    </w:rPr>
  </w:style>
  <w:style w:type="character" w:customStyle="1" w:styleId="561">
    <w:name w:val="Title Char"/>
    <w:qFormat/>
    <w:locked/>
    <w:uiPriority w:val="0"/>
    <w:rPr>
      <w:rFonts w:ascii="Arial" w:hAnsi="Arial" w:eastAsia="宋体"/>
      <w:b/>
      <w:sz w:val="32"/>
      <w:lang w:val="en-US" w:eastAsia="zh-CN"/>
    </w:rPr>
  </w:style>
  <w:style w:type="character" w:customStyle="1" w:styleId="562">
    <w:name w:val="ca-361"/>
    <w:qFormat/>
    <w:uiPriority w:val="0"/>
    <w:rPr>
      <w:rFonts w:ascii="宋体" w:hAnsi="宋体" w:eastAsia="宋体" w:cs="Times New Roman"/>
      <w:b/>
      <w:bCs/>
      <w:spacing w:val="-20"/>
      <w:sz w:val="21"/>
      <w:szCs w:val="21"/>
    </w:rPr>
  </w:style>
  <w:style w:type="character" w:customStyle="1" w:styleId="563">
    <w:name w:val="2nd level Char"/>
    <w:qFormat/>
    <w:uiPriority w:val="0"/>
    <w:rPr>
      <w:rFonts w:ascii="Arial" w:hAnsi="Arial" w:eastAsia="宋体" w:cs="Times New Roman"/>
      <w:b/>
      <w:bCs/>
      <w:kern w:val="2"/>
      <w:sz w:val="32"/>
      <w:szCs w:val="32"/>
      <w:lang w:val="en-US" w:eastAsia="zh-CN" w:bidi="ar-SA"/>
    </w:rPr>
  </w:style>
  <w:style w:type="character" w:customStyle="1" w:styleId="564">
    <w:name w:val="ca-211"/>
    <w:qFormat/>
    <w:uiPriority w:val="0"/>
    <w:rPr>
      <w:rFonts w:ascii="宋体" w:hAnsi="宋体" w:eastAsia="宋体" w:cs="Times New Roman"/>
      <w:color w:val="000000"/>
      <w:sz w:val="21"/>
      <w:szCs w:val="21"/>
    </w:rPr>
  </w:style>
  <w:style w:type="character" w:customStyle="1" w:styleId="565">
    <w:name w:val="页脚 Char1"/>
    <w:qFormat/>
    <w:uiPriority w:val="0"/>
    <w:rPr>
      <w:rFonts w:eastAsia="宋体" w:cs="Times New Roman"/>
      <w:kern w:val="2"/>
      <w:sz w:val="18"/>
      <w:szCs w:val="18"/>
      <w:lang w:val="en-US" w:eastAsia="zh-CN" w:bidi="ar-SA"/>
    </w:rPr>
  </w:style>
  <w:style w:type="character" w:customStyle="1" w:styleId="566">
    <w:name w:val="Body Text Indent 2 Char"/>
    <w:qFormat/>
    <w:locked/>
    <w:uiPriority w:val="0"/>
    <w:rPr>
      <w:rFonts w:eastAsia="宋体"/>
      <w:kern w:val="2"/>
      <w:sz w:val="21"/>
      <w:szCs w:val="24"/>
      <w:lang w:val="en-US" w:eastAsia="zh-CN" w:bidi="ar-SA"/>
    </w:rPr>
  </w:style>
  <w:style w:type="character" w:customStyle="1" w:styleId="567">
    <w:name w:val="ca-321"/>
    <w:qFormat/>
    <w:uiPriority w:val="0"/>
    <w:rPr>
      <w:rFonts w:ascii="宋体" w:hAnsi="宋体" w:eastAsia="宋体" w:cs="Times New Roman"/>
      <w:b/>
      <w:bCs/>
      <w:color w:val="C00000"/>
      <w:spacing w:val="-20"/>
      <w:sz w:val="21"/>
      <w:szCs w:val="21"/>
    </w:rPr>
  </w:style>
  <w:style w:type="character" w:customStyle="1" w:styleId="568">
    <w:name w:val="副标题 Char1"/>
    <w:qFormat/>
    <w:uiPriority w:val="0"/>
    <w:rPr>
      <w:rFonts w:ascii="Cambria" w:hAnsi="Cambria"/>
      <w:b/>
      <w:kern w:val="28"/>
      <w:sz w:val="32"/>
    </w:rPr>
  </w:style>
  <w:style w:type="character" w:customStyle="1" w:styleId="569">
    <w:name w:val="ca-161"/>
    <w:qFormat/>
    <w:uiPriority w:val="0"/>
    <w:rPr>
      <w:rFonts w:ascii="宋体" w:hAnsi="宋体" w:eastAsia="宋体" w:cs="Times New Roman"/>
      <w:sz w:val="24"/>
      <w:szCs w:val="24"/>
    </w:rPr>
  </w:style>
  <w:style w:type="character" w:customStyle="1" w:styleId="570">
    <w:name w:val="htd01"/>
    <w:qFormat/>
    <w:uiPriority w:val="0"/>
    <w:rPr>
      <w:rFonts w:cs="Times New Roman"/>
    </w:rPr>
  </w:style>
  <w:style w:type="character" w:customStyle="1" w:styleId="571">
    <w:name w:val="zbggmain style9"/>
    <w:qFormat/>
    <w:uiPriority w:val="0"/>
    <w:rPr>
      <w:rFonts w:cs="Times New Roman"/>
    </w:rPr>
  </w:style>
  <w:style w:type="character" w:customStyle="1" w:styleId="572">
    <w:name w:val="纯文本 Char"/>
    <w:qFormat/>
    <w:uiPriority w:val="0"/>
    <w:rPr>
      <w:rFonts w:ascii="宋体" w:cs="Courier New"/>
      <w:szCs w:val="21"/>
      <w:lang w:bidi="ar-SA"/>
    </w:rPr>
  </w:style>
  <w:style w:type="character" w:customStyle="1" w:styleId="573">
    <w:name w:val="ca-210"/>
    <w:qFormat/>
    <w:uiPriority w:val="0"/>
    <w:rPr>
      <w:rFonts w:ascii="Times New Roman" w:hAnsi="Times New Roman" w:cs="Times New Roman"/>
      <w:color w:val="000000"/>
      <w:sz w:val="36"/>
      <w:szCs w:val="36"/>
    </w:rPr>
  </w:style>
  <w:style w:type="character" w:customStyle="1" w:styleId="574">
    <w:name w:val="Heading 5 Char"/>
    <w:qFormat/>
    <w:locked/>
    <w:uiPriority w:val="0"/>
    <w:rPr>
      <w:rFonts w:eastAsia="宋体"/>
      <w:b/>
      <w:kern w:val="2"/>
      <w:sz w:val="28"/>
      <w:lang w:val="en-US" w:eastAsia="zh-CN"/>
    </w:rPr>
  </w:style>
  <w:style w:type="character" w:customStyle="1" w:styleId="575">
    <w:name w:val="正文2 Char"/>
    <w:qFormat/>
    <w:uiPriority w:val="0"/>
    <w:rPr>
      <w:rFonts w:eastAsia="宋体"/>
      <w:kern w:val="2"/>
      <w:sz w:val="24"/>
      <w:lang w:val="en-US" w:eastAsia="zh-CN" w:bidi="ar-SA"/>
    </w:rPr>
  </w:style>
  <w:style w:type="character" w:customStyle="1" w:styleId="576">
    <w:name w:val="Char Char Char Char Char Char Char Char Char"/>
    <w:qFormat/>
    <w:uiPriority w:val="0"/>
    <w:rPr>
      <w:rFonts w:eastAsia="宋体" w:cs="Times New Roman"/>
      <w:kern w:val="2"/>
      <w:sz w:val="24"/>
      <w:szCs w:val="24"/>
      <w:lang w:val="en-US" w:eastAsia="zh-CN" w:bidi="ar-SA"/>
    </w:rPr>
  </w:style>
  <w:style w:type="character" w:customStyle="1" w:styleId="577">
    <w:name w:val="Header Char"/>
    <w:qFormat/>
    <w:locked/>
    <w:uiPriority w:val="0"/>
    <w:rPr>
      <w:rFonts w:eastAsia="宋体"/>
      <w:kern w:val="2"/>
      <w:sz w:val="18"/>
      <w:lang w:val="en-US" w:eastAsia="zh-CN"/>
    </w:rPr>
  </w:style>
  <w:style w:type="character" w:customStyle="1" w:styleId="578">
    <w:name w:val="ca-381"/>
    <w:qFormat/>
    <w:uiPriority w:val="0"/>
    <w:rPr>
      <w:rFonts w:ascii="Times New Roman" w:hAnsi="Times New Roman" w:cs="Times New Roman"/>
      <w:b/>
      <w:bCs/>
      <w:spacing w:val="-20"/>
      <w:sz w:val="21"/>
      <w:szCs w:val="21"/>
    </w:rPr>
  </w:style>
  <w:style w:type="character" w:customStyle="1" w:styleId="579">
    <w:name w:val="text"/>
    <w:qFormat/>
    <w:uiPriority w:val="0"/>
    <w:rPr>
      <w:rFonts w:cs="Times New Roman"/>
    </w:rPr>
  </w:style>
  <w:style w:type="character" w:customStyle="1" w:styleId="580">
    <w:name w:val="Heading 3 Char1"/>
    <w:qFormat/>
    <w:locked/>
    <w:uiPriority w:val="0"/>
    <w:rPr>
      <w:rFonts w:cs="Times New Roman"/>
      <w:b/>
      <w:bCs/>
      <w:kern w:val="2"/>
      <w:sz w:val="32"/>
      <w:szCs w:val="32"/>
    </w:rPr>
  </w:style>
  <w:style w:type="character" w:customStyle="1" w:styleId="581">
    <w:name w:val="ca-421"/>
    <w:qFormat/>
    <w:uiPriority w:val="0"/>
    <w:rPr>
      <w:rFonts w:ascii="宋体" w:hAnsi="宋体" w:eastAsia="宋体" w:cs="Times New Roman"/>
      <w:color w:val="000000"/>
      <w:sz w:val="36"/>
      <w:szCs w:val="36"/>
    </w:rPr>
  </w:style>
  <w:style w:type="character" w:customStyle="1" w:styleId="582">
    <w:name w:val="by jerry Char1"/>
    <w:qFormat/>
    <w:uiPriority w:val="0"/>
    <w:rPr>
      <w:rFonts w:cs="Times New Roman"/>
      <w:b/>
      <w:bCs/>
      <w:kern w:val="44"/>
      <w:sz w:val="44"/>
      <w:szCs w:val="44"/>
    </w:rPr>
  </w:style>
  <w:style w:type="character" w:customStyle="1" w:styleId="583">
    <w:name w:val="Para head"/>
    <w:qFormat/>
    <w:uiPriority w:val="0"/>
    <w:rPr>
      <w:rFonts w:ascii="Arial" w:hAnsi="Arial" w:cs="Times New Roman"/>
      <w:sz w:val="20"/>
    </w:rPr>
  </w:style>
  <w:style w:type="character" w:customStyle="1" w:styleId="584">
    <w:name w:val="Comment Subject Char"/>
    <w:qFormat/>
    <w:locked/>
    <w:uiPriority w:val="0"/>
    <w:rPr>
      <w:rFonts w:eastAsia="宋体"/>
      <w:b/>
      <w:kern w:val="2"/>
      <w:sz w:val="24"/>
      <w:lang w:val="en-US" w:eastAsia="zh-CN"/>
    </w:rPr>
  </w:style>
  <w:style w:type="character" w:customStyle="1" w:styleId="585">
    <w:name w:val="批注文字 Char1"/>
    <w:qFormat/>
    <w:uiPriority w:val="0"/>
    <w:rPr>
      <w:rFonts w:eastAsia="宋体" w:cs="Times New Roman"/>
      <w:kern w:val="2"/>
      <w:sz w:val="24"/>
      <w:szCs w:val="24"/>
      <w:lang w:val="en-US" w:eastAsia="zh-CN" w:bidi="ar-SA"/>
    </w:rPr>
  </w:style>
  <w:style w:type="character" w:customStyle="1" w:styleId="586">
    <w:name w:val="正文首行缩进 Char2"/>
    <w:qFormat/>
    <w:uiPriority w:val="0"/>
    <w:rPr>
      <w:rFonts w:ascii="楷体_GB2312" w:hAnsi="Times New Roman" w:eastAsia="楷体_GB2312"/>
      <w:kern w:val="2"/>
      <w:sz w:val="21"/>
    </w:rPr>
  </w:style>
  <w:style w:type="character" w:customStyle="1" w:styleId="587">
    <w:name w:val="Date Char1"/>
    <w:qFormat/>
    <w:locked/>
    <w:uiPriority w:val="0"/>
    <w:rPr>
      <w:rFonts w:ascii="仿宋_GB2312" w:eastAsia="仿宋_GB2312"/>
      <w:sz w:val="28"/>
      <w:lang w:val="en-US" w:eastAsia="zh-CN" w:bidi="ar-SA"/>
    </w:rPr>
  </w:style>
  <w:style w:type="character" w:customStyle="1" w:styleId="588">
    <w:name w:val="尾注文本 Char1"/>
    <w:qFormat/>
    <w:uiPriority w:val="0"/>
    <w:rPr>
      <w:sz w:val="21"/>
    </w:rPr>
  </w:style>
  <w:style w:type="character" w:customStyle="1" w:styleId="589">
    <w:name w:val="ca-181"/>
    <w:qFormat/>
    <w:uiPriority w:val="0"/>
    <w:rPr>
      <w:rFonts w:ascii="宋体" w:hAnsi="宋体" w:eastAsia="宋体" w:cs="Times New Roman"/>
      <w:color w:val="000000"/>
      <w:sz w:val="18"/>
      <w:szCs w:val="18"/>
    </w:rPr>
  </w:style>
  <w:style w:type="character" w:customStyle="1" w:styleId="590">
    <w:name w:val="Char Char1"/>
    <w:qFormat/>
    <w:uiPriority w:val="0"/>
    <w:rPr>
      <w:rFonts w:ascii="宋体" w:hAnsi="Courier New" w:eastAsia="宋体" w:cs="Courier New"/>
      <w:kern w:val="2"/>
      <w:sz w:val="21"/>
      <w:szCs w:val="21"/>
      <w:lang w:val="en-US" w:eastAsia="zh-CN" w:bidi="ar-SA"/>
    </w:rPr>
  </w:style>
  <w:style w:type="character" w:customStyle="1" w:styleId="591">
    <w:name w:val="Char Char2"/>
    <w:qFormat/>
    <w:uiPriority w:val="0"/>
    <w:rPr>
      <w:rFonts w:eastAsia="宋体" w:cs="Times New Roman"/>
      <w:kern w:val="2"/>
      <w:sz w:val="24"/>
      <w:szCs w:val="24"/>
      <w:lang w:val="en-US" w:eastAsia="zh-CN" w:bidi="ar-SA"/>
    </w:rPr>
  </w:style>
  <w:style w:type="character" w:customStyle="1" w:styleId="592">
    <w:name w:val="style13"/>
    <w:basedOn w:val="56"/>
    <w:qFormat/>
    <w:uiPriority w:val="0"/>
  </w:style>
  <w:style w:type="character" w:customStyle="1" w:styleId="593">
    <w:name w:val="Body Text Indent Char"/>
    <w:qFormat/>
    <w:locked/>
    <w:uiPriority w:val="0"/>
    <w:rPr>
      <w:rFonts w:ascii="宋体" w:hAnsi="宋体" w:eastAsia="宋体" w:cs="Times New Roman"/>
      <w:kern w:val="2"/>
      <w:sz w:val="24"/>
      <w:szCs w:val="24"/>
      <w:lang w:val="en-US" w:eastAsia="zh-CN" w:bidi="ar-SA"/>
    </w:rPr>
  </w:style>
  <w:style w:type="character" w:customStyle="1" w:styleId="594">
    <w:name w:val="ca-81"/>
    <w:qFormat/>
    <w:uiPriority w:val="0"/>
    <w:rPr>
      <w:rFonts w:ascii="宋体" w:hAnsi="宋体" w:eastAsia="宋体" w:cs="Times New Roman"/>
      <w:color w:val="000000"/>
      <w:sz w:val="28"/>
      <w:szCs w:val="28"/>
    </w:rPr>
  </w:style>
  <w:style w:type="character" w:customStyle="1" w:styleId="595">
    <w:name w:val="Heading 1 Char"/>
    <w:qFormat/>
    <w:locked/>
    <w:uiPriority w:val="0"/>
    <w:rPr>
      <w:rFonts w:cs="Times New Roman"/>
      <w:b/>
      <w:bCs/>
      <w:kern w:val="44"/>
      <w:sz w:val="44"/>
      <w:szCs w:val="44"/>
    </w:rPr>
  </w:style>
  <w:style w:type="character" w:customStyle="1" w:styleId="596">
    <w:name w:val="图表标题 Char"/>
    <w:qFormat/>
    <w:uiPriority w:val="0"/>
    <w:rPr>
      <w:rFonts w:ascii="宋体" w:eastAsia="宋体"/>
      <w:snapToGrid w:val="0"/>
      <w:color w:val="000000"/>
      <w:kern w:val="28"/>
      <w:sz w:val="28"/>
      <w:lang w:val="en-US" w:eastAsia="zh-CN" w:bidi="ar-SA"/>
    </w:rPr>
  </w:style>
  <w:style w:type="character" w:customStyle="1" w:styleId="597">
    <w:name w:val="标题 3 Char Char Char Char Char Char Char Char Char Char Char"/>
    <w:qFormat/>
    <w:uiPriority w:val="0"/>
    <w:rPr>
      <w:rFonts w:cs="Times New Roman"/>
      <w:b/>
      <w:bCs/>
      <w:sz w:val="32"/>
      <w:szCs w:val="32"/>
    </w:rPr>
  </w:style>
  <w:style w:type="character" w:customStyle="1" w:styleId="598">
    <w:name w:val="hover10"/>
    <w:qFormat/>
    <w:uiPriority w:val="0"/>
    <w:rPr>
      <w:shd w:val="clear" w:color="auto" w:fill="EEEEEE"/>
    </w:rPr>
  </w:style>
  <w:style w:type="character" w:customStyle="1" w:styleId="599">
    <w:name w:val="正文文字4 Char Char"/>
    <w:qFormat/>
    <w:uiPriority w:val="0"/>
    <w:rPr>
      <w:rFonts w:eastAsia="宋体" w:cs="Times New Roman"/>
      <w:kern w:val="2"/>
      <w:sz w:val="24"/>
      <w:szCs w:val="24"/>
      <w:lang w:val="en-US" w:eastAsia="zh-CN" w:bidi="ar-SA"/>
    </w:rPr>
  </w:style>
  <w:style w:type="character" w:customStyle="1" w:styleId="600">
    <w:name w:val="Footer Char1"/>
    <w:qFormat/>
    <w:locked/>
    <w:uiPriority w:val="0"/>
    <w:rPr>
      <w:rFonts w:eastAsia="宋体" w:cs="Times New Roman"/>
      <w:kern w:val="2"/>
      <w:sz w:val="18"/>
      <w:szCs w:val="18"/>
      <w:lang w:val="en-US" w:eastAsia="zh-CN" w:bidi="ar-SA"/>
    </w:rPr>
  </w:style>
  <w:style w:type="character" w:customStyle="1" w:styleId="601">
    <w:name w:val="Char Char9"/>
    <w:qFormat/>
    <w:uiPriority w:val="0"/>
    <w:rPr>
      <w:rFonts w:ascii="Times New Roman" w:hAnsi="Times New Roman"/>
      <w:b/>
      <w:bCs/>
      <w:sz w:val="32"/>
      <w:szCs w:val="32"/>
    </w:rPr>
  </w:style>
  <w:style w:type="character" w:customStyle="1" w:styleId="602">
    <w:name w:val="批注文字 Char2"/>
    <w:qFormat/>
    <w:uiPriority w:val="0"/>
    <w:rPr>
      <w:rFonts w:eastAsia="宋体" w:cs="Times New Roman"/>
      <w:kern w:val="2"/>
      <w:sz w:val="24"/>
      <w:szCs w:val="24"/>
      <w:lang w:val="en-US" w:eastAsia="zh-CN" w:bidi="ar-SA"/>
    </w:rPr>
  </w:style>
  <w:style w:type="character" w:customStyle="1" w:styleId="603">
    <w:name w:val="grame"/>
    <w:qFormat/>
    <w:uiPriority w:val="0"/>
  </w:style>
  <w:style w:type="character" w:customStyle="1" w:styleId="604">
    <w:name w:val="ca-531"/>
    <w:qFormat/>
    <w:uiPriority w:val="0"/>
    <w:rPr>
      <w:rFonts w:ascii="Times New Roman" w:hAnsi="Times New Roman" w:cs="Times New Roman"/>
      <w:b/>
      <w:bCs/>
      <w:spacing w:val="-20"/>
      <w:sz w:val="36"/>
      <w:szCs w:val="36"/>
    </w:rPr>
  </w:style>
  <w:style w:type="character" w:customStyle="1" w:styleId="605">
    <w:name w:val="font11"/>
    <w:qFormat/>
    <w:uiPriority w:val="0"/>
    <w:rPr>
      <w:rFonts w:hint="default" w:ascii="Calibri" w:hAnsi="Calibri" w:cs="Calibri"/>
      <w:color w:val="000000"/>
      <w:sz w:val="21"/>
      <w:szCs w:val="21"/>
      <w:u w:val="none"/>
    </w:rPr>
  </w:style>
  <w:style w:type="character" w:customStyle="1" w:styleId="606">
    <w:name w:val="ca-491"/>
    <w:qFormat/>
    <w:uiPriority w:val="0"/>
    <w:rPr>
      <w:rFonts w:ascii="宋体" w:hAnsi="宋体" w:eastAsia="宋体" w:cs="Times New Roman"/>
      <w:spacing w:val="0"/>
      <w:sz w:val="32"/>
      <w:szCs w:val="32"/>
    </w:rPr>
  </w:style>
  <w:style w:type="character" w:customStyle="1" w:styleId="607">
    <w:name w:val="Heading 9 Char"/>
    <w:qFormat/>
    <w:locked/>
    <w:uiPriority w:val="0"/>
    <w:rPr>
      <w:rFonts w:ascii="Arial" w:hAnsi="Arial" w:eastAsia="黑体"/>
      <w:sz w:val="21"/>
      <w:lang w:val="en-US" w:eastAsia="zh-CN"/>
    </w:rPr>
  </w:style>
  <w:style w:type="character" w:customStyle="1" w:styleId="608">
    <w:name w:val="Char Char7"/>
    <w:qFormat/>
    <w:uiPriority w:val="0"/>
    <w:rPr>
      <w:rFonts w:ascii="Arial" w:hAnsi="Arial" w:eastAsia="黑体" w:cs="Times New Roman"/>
      <w:b/>
      <w:bCs/>
      <w:kern w:val="2"/>
      <w:sz w:val="32"/>
      <w:szCs w:val="32"/>
      <w:lang w:val="en-US" w:eastAsia="zh-CN" w:bidi="ar-SA"/>
    </w:rPr>
  </w:style>
  <w:style w:type="character" w:customStyle="1" w:styleId="609">
    <w:name w:val="批注主题 Char Char Char"/>
    <w:qFormat/>
    <w:uiPriority w:val="0"/>
    <w:rPr>
      <w:b/>
      <w:bCs/>
      <w:kern w:val="2"/>
      <w:sz w:val="21"/>
      <w:szCs w:val="24"/>
    </w:rPr>
  </w:style>
  <w:style w:type="character" w:customStyle="1" w:styleId="610">
    <w:name w:val="Heading 4 Char"/>
    <w:qFormat/>
    <w:locked/>
    <w:uiPriority w:val="0"/>
    <w:rPr>
      <w:rFonts w:ascii="Arial" w:hAnsi="Arial" w:eastAsia="黑体"/>
      <w:b/>
      <w:kern w:val="2"/>
      <w:sz w:val="28"/>
      <w:lang w:val="en-US" w:eastAsia="zh-CN"/>
    </w:rPr>
  </w:style>
  <w:style w:type="character" w:customStyle="1" w:styleId="611">
    <w:name w:val="ca-111"/>
    <w:qFormat/>
    <w:uiPriority w:val="0"/>
    <w:rPr>
      <w:rFonts w:ascii="Times New Roman" w:hAnsi="Times New Roman" w:cs="Times New Roman"/>
      <w:color w:val="000000"/>
      <w:sz w:val="30"/>
      <w:szCs w:val="30"/>
    </w:rPr>
  </w:style>
  <w:style w:type="character" w:customStyle="1" w:styleId="612">
    <w:name w:val="ca-301"/>
    <w:qFormat/>
    <w:uiPriority w:val="0"/>
    <w:rPr>
      <w:rFonts w:ascii="??" w:hAnsi="??" w:cs="Times New Roman"/>
      <w:color w:val="002060"/>
      <w:sz w:val="21"/>
      <w:szCs w:val="21"/>
    </w:rPr>
  </w:style>
  <w:style w:type="character" w:customStyle="1" w:styleId="613">
    <w:name w:val="op-map-singlepoint-info-right"/>
    <w:qFormat/>
    <w:uiPriority w:val="0"/>
    <w:rPr>
      <w:rFonts w:cs="Times New Roman"/>
    </w:rPr>
  </w:style>
  <w:style w:type="character" w:customStyle="1" w:styleId="614">
    <w:name w:val="ca-501"/>
    <w:qFormat/>
    <w:uiPriority w:val="0"/>
    <w:rPr>
      <w:rFonts w:ascii="宋体" w:hAnsi="宋体" w:eastAsia="宋体" w:cs="Times New Roman"/>
      <w:spacing w:val="0"/>
      <w:sz w:val="24"/>
      <w:szCs w:val="24"/>
    </w:rPr>
  </w:style>
  <w:style w:type="character" w:customStyle="1" w:styleId="615">
    <w:name w:val="普通文字 Char1"/>
    <w:qFormat/>
    <w:uiPriority w:val="0"/>
    <w:rPr>
      <w:rFonts w:ascii="宋体" w:hAnsi="Courier New" w:eastAsia="宋体"/>
      <w:kern w:val="2"/>
      <w:sz w:val="21"/>
      <w:lang w:val="en-US" w:eastAsia="zh-CN" w:bidi="ar-SA"/>
    </w:rPr>
  </w:style>
  <w:style w:type="character" w:customStyle="1" w:styleId="616">
    <w:name w:val="Subtle Emphasis1"/>
    <w:qFormat/>
    <w:uiPriority w:val="0"/>
    <w:rPr>
      <w:i/>
      <w:color w:val="808080"/>
    </w:rPr>
  </w:style>
  <w:style w:type="character" w:customStyle="1" w:styleId="617">
    <w:name w:val="批注主题 Char1"/>
    <w:qFormat/>
    <w:uiPriority w:val="0"/>
    <w:rPr>
      <w:b/>
      <w:kern w:val="2"/>
      <w:sz w:val="22"/>
    </w:rPr>
  </w:style>
  <w:style w:type="character" w:customStyle="1" w:styleId="618">
    <w:name w:val="标题 1 Char1"/>
    <w:qFormat/>
    <w:uiPriority w:val="0"/>
    <w:rPr>
      <w:rFonts w:eastAsia="宋体" w:cs="Times New Roman"/>
      <w:b/>
      <w:bCs/>
      <w:kern w:val="44"/>
      <w:sz w:val="44"/>
      <w:szCs w:val="44"/>
      <w:lang w:val="en-US" w:eastAsia="zh-CN" w:bidi="ar-SA"/>
    </w:rPr>
  </w:style>
  <w:style w:type="character" w:customStyle="1" w:styleId="619">
    <w:name w:val="Intense Emphasis1"/>
    <w:qFormat/>
    <w:uiPriority w:val="0"/>
    <w:rPr>
      <w:b/>
      <w:i/>
      <w:color w:val="4F81BD"/>
    </w:rPr>
  </w:style>
  <w:style w:type="character" w:customStyle="1" w:styleId="620">
    <w:name w:val="正文文本 3 Char1"/>
    <w:qFormat/>
    <w:uiPriority w:val="0"/>
    <w:rPr>
      <w:sz w:val="16"/>
      <w:szCs w:val="16"/>
    </w:rPr>
  </w:style>
  <w:style w:type="character" w:customStyle="1" w:styleId="621">
    <w:name w:val="textcontents"/>
    <w:qFormat/>
    <w:uiPriority w:val="0"/>
  </w:style>
  <w:style w:type="character" w:customStyle="1" w:styleId="622">
    <w:name w:val="style11"/>
    <w:qFormat/>
    <w:uiPriority w:val="0"/>
    <w:rPr>
      <w:rFonts w:cs="Times New Roman"/>
      <w:sz w:val="27"/>
      <w:szCs w:val="27"/>
    </w:rPr>
  </w:style>
  <w:style w:type="character" w:customStyle="1" w:styleId="623">
    <w:name w:val="ca-371"/>
    <w:qFormat/>
    <w:uiPriority w:val="0"/>
    <w:rPr>
      <w:rFonts w:ascii="宋体" w:hAnsi="宋体" w:eastAsia="宋体" w:cs="Times New Roman"/>
      <w:color w:val="000000"/>
      <w:spacing w:val="0"/>
      <w:sz w:val="21"/>
      <w:szCs w:val="21"/>
    </w:rPr>
  </w:style>
  <w:style w:type="character" w:customStyle="1" w:styleId="624">
    <w:name w:val="正文（首行缩进两字） Char"/>
    <w:qFormat/>
    <w:uiPriority w:val="0"/>
    <w:rPr>
      <w:rFonts w:eastAsia="宋体" w:cs="Times New Roman"/>
      <w:spacing w:val="14"/>
      <w:kern w:val="24"/>
      <w:sz w:val="24"/>
      <w:lang w:val="en-US" w:eastAsia="zh-CN" w:bidi="ar-SA"/>
    </w:rPr>
  </w:style>
  <w:style w:type="character" w:customStyle="1" w:styleId="625">
    <w:name w:val="ca-291"/>
    <w:qFormat/>
    <w:uiPriority w:val="0"/>
    <w:rPr>
      <w:rFonts w:ascii="宋体" w:hAnsi="宋体" w:eastAsia="宋体" w:cs="Times New Roman"/>
      <w:color w:val="7030A0"/>
      <w:sz w:val="21"/>
      <w:szCs w:val="21"/>
    </w:rPr>
  </w:style>
  <w:style w:type="character" w:customStyle="1" w:styleId="626">
    <w:name w:val="hover9"/>
    <w:qFormat/>
    <w:uiPriority w:val="0"/>
    <w:rPr>
      <w:shd w:val="clear" w:color="auto" w:fill="EEEEEE"/>
    </w:rPr>
  </w:style>
  <w:style w:type="character" w:customStyle="1" w:styleId="627">
    <w:name w:val="ca-311"/>
    <w:qFormat/>
    <w:uiPriority w:val="0"/>
    <w:rPr>
      <w:rFonts w:ascii="??" w:hAnsi="??" w:cs="Times New Roman"/>
      <w:color w:val="000000"/>
      <w:sz w:val="21"/>
      <w:szCs w:val="21"/>
    </w:rPr>
  </w:style>
  <w:style w:type="character" w:customStyle="1" w:styleId="628">
    <w:name w:val="Heading 8 Char"/>
    <w:qFormat/>
    <w:locked/>
    <w:uiPriority w:val="0"/>
    <w:rPr>
      <w:rFonts w:ascii="Arial" w:hAnsi="Arial" w:eastAsia="黑体"/>
      <w:sz w:val="24"/>
      <w:lang w:val="en-US" w:eastAsia="zh-CN"/>
    </w:rPr>
  </w:style>
  <w:style w:type="character" w:customStyle="1" w:styleId="629">
    <w:name w:val="Char Char91"/>
    <w:qFormat/>
    <w:uiPriority w:val="0"/>
    <w:rPr>
      <w:rFonts w:eastAsia="宋体" w:cs="Times New Roman"/>
      <w:color w:val="000000"/>
      <w:kern w:val="2"/>
      <w:sz w:val="24"/>
      <w:lang w:val="en-US" w:eastAsia="zh-CN" w:bidi="ar-SA"/>
    </w:rPr>
  </w:style>
  <w:style w:type="character" w:customStyle="1" w:styleId="630">
    <w:name w:val="ca-261"/>
    <w:qFormat/>
    <w:uiPriority w:val="0"/>
    <w:rPr>
      <w:rFonts w:ascii="宋体" w:hAnsi="宋体" w:eastAsia="宋体" w:cs="Times New Roman"/>
      <w:color w:val="002060"/>
      <w:sz w:val="21"/>
      <w:szCs w:val="21"/>
    </w:rPr>
  </w:style>
  <w:style w:type="character" w:customStyle="1" w:styleId="631">
    <w:name w:val="font21"/>
    <w:qFormat/>
    <w:uiPriority w:val="0"/>
    <w:rPr>
      <w:rFonts w:hint="eastAsia" w:ascii="宋体" w:hAnsi="宋体" w:eastAsia="宋体" w:cs="宋体"/>
      <w:color w:val="000000"/>
      <w:sz w:val="16"/>
      <w:szCs w:val="16"/>
      <w:u w:val="none"/>
    </w:rPr>
  </w:style>
  <w:style w:type="character" w:customStyle="1" w:styleId="632">
    <w:name w:val="ca-141"/>
    <w:qFormat/>
    <w:uiPriority w:val="0"/>
    <w:rPr>
      <w:rFonts w:ascii="Times New Roman" w:hAnsi="Times New Roman" w:cs="Times New Roman"/>
      <w:color w:val="000000"/>
      <w:sz w:val="24"/>
      <w:szCs w:val="24"/>
    </w:rPr>
  </w:style>
  <w:style w:type="character" w:customStyle="1" w:styleId="633">
    <w:name w:val="font01"/>
    <w:qFormat/>
    <w:uiPriority w:val="0"/>
    <w:rPr>
      <w:rFonts w:ascii="Calibri" w:hAnsi="Calibri" w:cs="Calibri"/>
      <w:color w:val="000000"/>
      <w:sz w:val="22"/>
      <w:szCs w:val="22"/>
      <w:u w:val="none"/>
    </w:rPr>
  </w:style>
  <w:style w:type="character" w:customStyle="1" w:styleId="634">
    <w:name w:val="日期 Char3"/>
    <w:qFormat/>
    <w:uiPriority w:val="0"/>
    <w:rPr>
      <w:rFonts w:eastAsia="仿宋_GB2312" w:cs="Times New Roman"/>
      <w:kern w:val="2"/>
      <w:sz w:val="28"/>
      <w:lang w:val="en-US" w:eastAsia="zh-CN" w:bidi="ar-SA"/>
    </w:rPr>
  </w:style>
  <w:style w:type="character" w:customStyle="1" w:styleId="635">
    <w:name w:val="DeltaView Insertion"/>
    <w:qFormat/>
    <w:uiPriority w:val="0"/>
  </w:style>
  <w:style w:type="character" w:customStyle="1" w:styleId="636">
    <w:name w:val="标题 Char2"/>
    <w:qFormat/>
    <w:uiPriority w:val="0"/>
    <w:rPr>
      <w:rFonts w:ascii="Arial" w:hAnsi="Arial" w:eastAsia="宋体" w:cs="Times New Roman"/>
      <w:b/>
      <w:sz w:val="32"/>
      <w:lang w:val="en-US" w:eastAsia="zh-CN" w:bidi="ar-SA"/>
    </w:rPr>
  </w:style>
  <w:style w:type="character" w:customStyle="1" w:styleId="637">
    <w:name w:val="font41"/>
    <w:qFormat/>
    <w:uiPriority w:val="0"/>
    <w:rPr>
      <w:rFonts w:hint="eastAsia" w:ascii="宋体" w:hAnsi="宋体" w:eastAsia="宋体" w:cs="宋体"/>
      <w:color w:val="000000"/>
      <w:sz w:val="21"/>
      <w:szCs w:val="21"/>
      <w:u w:val="none"/>
    </w:rPr>
  </w:style>
  <w:style w:type="character" w:customStyle="1" w:styleId="638">
    <w:name w:val="ca-271"/>
    <w:qFormat/>
    <w:uiPriority w:val="0"/>
    <w:rPr>
      <w:rFonts w:ascii="宋体" w:hAnsi="宋体" w:eastAsia="宋体" w:cs="Times New Roman"/>
      <w:b/>
      <w:bCs/>
      <w:color w:val="002060"/>
      <w:spacing w:val="-20"/>
      <w:sz w:val="21"/>
      <w:szCs w:val="21"/>
    </w:rPr>
  </w:style>
  <w:style w:type="character" w:customStyle="1" w:styleId="639">
    <w:name w:val="locality"/>
    <w:qFormat/>
    <w:uiPriority w:val="0"/>
    <w:rPr>
      <w:rFonts w:cs="Times New Roman"/>
    </w:rPr>
  </w:style>
  <w:style w:type="character" w:customStyle="1" w:styleId="640">
    <w:name w:val="Char Char12"/>
    <w:qFormat/>
    <w:uiPriority w:val="0"/>
    <w:rPr>
      <w:rFonts w:ascii="Courier New" w:hAnsi="Courier New" w:eastAsia="宋体" w:cs="Times New Roman"/>
      <w:kern w:val="2"/>
      <w:sz w:val="21"/>
      <w:lang w:val="en-US" w:eastAsia="zh-CN" w:bidi="ar-SA"/>
    </w:rPr>
  </w:style>
  <w:style w:type="character" w:customStyle="1" w:styleId="641">
    <w:name w:val="ca-451"/>
    <w:qFormat/>
    <w:uiPriority w:val="0"/>
    <w:rPr>
      <w:rFonts w:ascii="宋体" w:hAnsi="宋体" w:eastAsia="宋体" w:cs="Times New Roman"/>
      <w:color w:val="000000"/>
      <w:sz w:val="72"/>
      <w:szCs w:val="72"/>
    </w:rPr>
  </w:style>
  <w:style w:type="character" w:customStyle="1" w:styleId="642">
    <w:name w:val="chs1"/>
    <w:qFormat/>
    <w:uiPriority w:val="0"/>
    <w:rPr>
      <w:rFonts w:hint="default" w:ascii="_x000B__x000C_" w:hAnsi="_x000B__x000C_"/>
      <w:sz w:val="18"/>
      <w:szCs w:val="18"/>
    </w:rPr>
  </w:style>
  <w:style w:type="character" w:customStyle="1" w:styleId="643">
    <w:name w:val="Heading 7 Char"/>
    <w:qFormat/>
    <w:locked/>
    <w:uiPriority w:val="0"/>
    <w:rPr>
      <w:rFonts w:eastAsia="宋体"/>
      <w:b/>
      <w:sz w:val="24"/>
      <w:lang w:val="en-US" w:eastAsia="zh-CN"/>
    </w:rPr>
  </w:style>
  <w:style w:type="character" w:customStyle="1" w:styleId="644">
    <w:name w:val="font161"/>
    <w:qFormat/>
    <w:uiPriority w:val="0"/>
    <w:rPr>
      <w:rFonts w:cs="Times New Roman"/>
      <w:b/>
      <w:bCs/>
      <w:sz w:val="32"/>
      <w:szCs w:val="32"/>
    </w:rPr>
  </w:style>
  <w:style w:type="character" w:customStyle="1" w:styleId="645">
    <w:name w:val="ca-391"/>
    <w:qFormat/>
    <w:uiPriority w:val="0"/>
    <w:rPr>
      <w:rFonts w:ascii="宋体" w:hAnsi="宋体" w:eastAsia="宋体" w:cs="Times New Roman"/>
      <w:b/>
      <w:bCs/>
      <w:color w:val="000000"/>
      <w:spacing w:val="-20"/>
      <w:sz w:val="28"/>
      <w:szCs w:val="28"/>
    </w:rPr>
  </w:style>
  <w:style w:type="character" w:customStyle="1" w:styleId="646">
    <w:name w:val="日期 Char2"/>
    <w:qFormat/>
    <w:uiPriority w:val="0"/>
    <w:rPr>
      <w:rFonts w:ascii="宋体"/>
      <w:kern w:val="2"/>
      <w:sz w:val="28"/>
    </w:rPr>
  </w:style>
  <w:style w:type="character" w:customStyle="1" w:styleId="647">
    <w:name w:val="副标题 Char2"/>
    <w:qFormat/>
    <w:uiPriority w:val="0"/>
    <w:rPr>
      <w:rFonts w:ascii="Cambria" w:hAnsi="Cambria" w:cs="Times New Roman"/>
      <w:b/>
      <w:bCs/>
      <w:kern w:val="28"/>
      <w:sz w:val="32"/>
      <w:szCs w:val="32"/>
    </w:rPr>
  </w:style>
  <w:style w:type="character" w:customStyle="1" w:styleId="648">
    <w:name w:val="ca-310"/>
    <w:qFormat/>
    <w:uiPriority w:val="0"/>
    <w:rPr>
      <w:rFonts w:ascii="Times New Roman" w:hAnsi="Times New Roman" w:cs="Times New Roman"/>
      <w:b/>
      <w:bCs/>
      <w:color w:val="000000"/>
      <w:spacing w:val="-20"/>
      <w:sz w:val="48"/>
      <w:szCs w:val="48"/>
    </w:rPr>
  </w:style>
  <w:style w:type="character" w:customStyle="1" w:styleId="649">
    <w:name w:val="ca-481"/>
    <w:qFormat/>
    <w:uiPriority w:val="0"/>
    <w:rPr>
      <w:rFonts w:ascii="宋体" w:hAnsi="宋体" w:eastAsia="宋体" w:cs="Times New Roman"/>
      <w:color w:val="000000"/>
      <w:sz w:val="26"/>
      <w:szCs w:val="26"/>
    </w:rPr>
  </w:style>
  <w:style w:type="character" w:customStyle="1" w:styleId="650">
    <w:name w:val="页眉 Char2"/>
    <w:qFormat/>
    <w:uiPriority w:val="0"/>
    <w:rPr>
      <w:rFonts w:eastAsia="宋体" w:cs="Times New Roman"/>
      <w:kern w:val="2"/>
      <w:sz w:val="18"/>
      <w:szCs w:val="18"/>
      <w:lang w:val="en-US" w:eastAsia="zh-CN" w:bidi="ar-SA"/>
    </w:rPr>
  </w:style>
  <w:style w:type="character" w:customStyle="1" w:styleId="651">
    <w:name w:val="文档结构图 Char1"/>
    <w:qFormat/>
    <w:uiPriority w:val="0"/>
    <w:rPr>
      <w:rFonts w:ascii="宋体"/>
      <w:kern w:val="2"/>
      <w:sz w:val="18"/>
    </w:rPr>
  </w:style>
  <w:style w:type="character" w:customStyle="1" w:styleId="652">
    <w:name w:val="正文文本 Char1"/>
    <w:qFormat/>
    <w:uiPriority w:val="0"/>
    <w:rPr>
      <w:kern w:val="2"/>
      <w:sz w:val="22"/>
    </w:rPr>
  </w:style>
  <w:style w:type="character" w:customStyle="1" w:styleId="653">
    <w:name w:val="个人答复风格"/>
    <w:qFormat/>
    <w:uiPriority w:val="0"/>
    <w:rPr>
      <w:rFonts w:ascii="Arial" w:hAnsi="Arial" w:eastAsia="宋体" w:cs="Arial"/>
      <w:color w:val="auto"/>
      <w:sz w:val="20"/>
    </w:rPr>
  </w:style>
  <w:style w:type="character" w:customStyle="1" w:styleId="654">
    <w:name w:val="ca-401"/>
    <w:qFormat/>
    <w:uiPriority w:val="0"/>
    <w:rPr>
      <w:rFonts w:ascii="Times New Roman" w:hAnsi="Times New Roman" w:cs="Times New Roman"/>
      <w:sz w:val="20"/>
      <w:szCs w:val="20"/>
    </w:rPr>
  </w:style>
  <w:style w:type="character" w:customStyle="1" w:styleId="655">
    <w:name w:val="ca-341"/>
    <w:qFormat/>
    <w:uiPriority w:val="0"/>
    <w:rPr>
      <w:rFonts w:ascii="宋体" w:hAnsi="宋体" w:eastAsia="宋体" w:cs="Times New Roman"/>
      <w:color w:val="000000"/>
      <w:sz w:val="20"/>
      <w:szCs w:val="20"/>
    </w:rPr>
  </w:style>
  <w:style w:type="character" w:customStyle="1" w:styleId="656">
    <w:name w:val="普通文字 Char Char1"/>
    <w:qFormat/>
    <w:uiPriority w:val="0"/>
    <w:rPr>
      <w:rFonts w:ascii="宋体" w:hAnsi="Courier New" w:eastAsia="宋体" w:cs="Times New Roman"/>
      <w:kern w:val="2"/>
      <w:sz w:val="21"/>
      <w:lang w:val="en-US" w:eastAsia="zh-CN" w:bidi="ar-SA"/>
    </w:rPr>
  </w:style>
  <w:style w:type="character" w:customStyle="1" w:styleId="657">
    <w:name w:val="ca-91"/>
    <w:qFormat/>
    <w:uiPriority w:val="0"/>
    <w:rPr>
      <w:rFonts w:ascii="楷体_GB2312" w:eastAsia="楷体_GB2312" w:cs="Times New Roman"/>
      <w:color w:val="000000"/>
      <w:spacing w:val="20"/>
      <w:sz w:val="96"/>
      <w:szCs w:val="96"/>
    </w:rPr>
  </w:style>
  <w:style w:type="character" w:customStyle="1" w:styleId="658">
    <w:name w:val="ca-231"/>
    <w:qFormat/>
    <w:uiPriority w:val="0"/>
    <w:rPr>
      <w:rFonts w:ascii="Times New Roman" w:hAnsi="Times New Roman" w:cs="Times New Roman"/>
      <w:sz w:val="21"/>
      <w:szCs w:val="21"/>
    </w:rPr>
  </w:style>
  <w:style w:type="character" w:customStyle="1" w:styleId="659">
    <w:name w:val="by jerry Char Char"/>
    <w:qFormat/>
    <w:uiPriority w:val="0"/>
    <w:rPr>
      <w:rFonts w:eastAsia="宋体" w:cs="Times New Roman"/>
      <w:b/>
      <w:bCs/>
      <w:kern w:val="44"/>
      <w:sz w:val="44"/>
      <w:szCs w:val="44"/>
      <w:lang w:val="en-US" w:eastAsia="zh-CN" w:bidi="ar-SA"/>
    </w:rPr>
  </w:style>
  <w:style w:type="character" w:customStyle="1" w:styleId="660">
    <w:name w:val="批注主题 Char2"/>
    <w:qFormat/>
    <w:uiPriority w:val="0"/>
    <w:rPr>
      <w:rFonts w:ascii="宋体" w:hAnsi="宋体" w:eastAsia="宋体"/>
      <w:b/>
      <w:kern w:val="2"/>
      <w:sz w:val="24"/>
      <w:lang w:val="en-US" w:eastAsia="zh-CN"/>
    </w:rPr>
  </w:style>
  <w:style w:type="character" w:customStyle="1" w:styleId="661">
    <w:name w:val="hour_pm"/>
    <w:basedOn w:val="56"/>
    <w:qFormat/>
    <w:uiPriority w:val="0"/>
  </w:style>
  <w:style w:type="character" w:customStyle="1" w:styleId="662">
    <w:name w:val="ca-71"/>
    <w:qFormat/>
    <w:uiPriority w:val="0"/>
    <w:rPr>
      <w:rFonts w:ascii="Times New Roman" w:hAnsi="Times New Roman" w:cs="Times New Roman"/>
      <w:color w:val="000000"/>
      <w:sz w:val="28"/>
      <w:szCs w:val="28"/>
    </w:rPr>
  </w:style>
  <w:style w:type="character" w:customStyle="1" w:styleId="663">
    <w:name w:val="Char Char8"/>
    <w:qFormat/>
    <w:uiPriority w:val="0"/>
    <w:rPr>
      <w:rFonts w:ascii="Arial" w:hAnsi="Arial" w:eastAsia="黑体" w:cs="Times New Roman"/>
      <w:b/>
      <w:bCs/>
      <w:kern w:val="2"/>
      <w:sz w:val="32"/>
      <w:szCs w:val="32"/>
      <w:lang w:val="en-US" w:eastAsia="zh-CN" w:bidi="ar-SA"/>
    </w:rPr>
  </w:style>
  <w:style w:type="character" w:customStyle="1" w:styleId="664">
    <w:name w:val="Heading 3 Char"/>
    <w:qFormat/>
    <w:locked/>
    <w:uiPriority w:val="0"/>
    <w:rPr>
      <w:rFonts w:eastAsia="宋体"/>
      <w:b/>
      <w:kern w:val="2"/>
      <w:sz w:val="32"/>
      <w:lang w:val="en-US" w:eastAsia="zh-CN"/>
    </w:rPr>
  </w:style>
  <w:style w:type="character" w:customStyle="1" w:styleId="665">
    <w:name w:val="ca-131"/>
    <w:qFormat/>
    <w:uiPriority w:val="0"/>
    <w:rPr>
      <w:rFonts w:ascii="宋体" w:hAnsi="宋体" w:eastAsia="宋体" w:cs="Times New Roman"/>
      <w:color w:val="000000"/>
      <w:sz w:val="32"/>
      <w:szCs w:val="32"/>
    </w:rPr>
  </w:style>
  <w:style w:type="character" w:customStyle="1" w:styleId="666">
    <w:name w:val="Char Char121"/>
    <w:qFormat/>
    <w:uiPriority w:val="0"/>
    <w:rPr>
      <w:rFonts w:ascii="Arial" w:hAnsi="Arial" w:eastAsia="宋体" w:cs="Times New Roman"/>
      <w:b/>
      <w:sz w:val="32"/>
      <w:lang w:val="en-US" w:eastAsia="zh-CN" w:bidi="ar-SA"/>
    </w:rPr>
  </w:style>
  <w:style w:type="character" w:customStyle="1" w:styleId="667">
    <w:name w:val="ca-61"/>
    <w:qFormat/>
    <w:uiPriority w:val="0"/>
    <w:rPr>
      <w:rFonts w:ascii="宋体" w:hAnsi="宋体" w:eastAsia="宋体" w:cs="Times New Roman"/>
      <w:color w:val="000000"/>
      <w:sz w:val="30"/>
      <w:szCs w:val="30"/>
    </w:rPr>
  </w:style>
  <w:style w:type="character" w:customStyle="1" w:styleId="668">
    <w:name w:val="ca-241"/>
    <w:qFormat/>
    <w:uiPriority w:val="0"/>
    <w:rPr>
      <w:rFonts w:ascii="宋体" w:hAnsi="宋体" w:eastAsia="宋体" w:cs="Times New Roman"/>
      <w:sz w:val="24"/>
      <w:szCs w:val="24"/>
    </w:rPr>
  </w:style>
  <w:style w:type="character" w:customStyle="1" w:styleId="669">
    <w:name w:val="Heading 6 Char"/>
    <w:qFormat/>
    <w:locked/>
    <w:uiPriority w:val="0"/>
    <w:rPr>
      <w:rFonts w:ascii="Arial" w:hAnsi="Arial" w:eastAsia="黑体"/>
      <w:b/>
      <w:sz w:val="24"/>
      <w:lang w:val="en-US" w:eastAsia="zh-CN"/>
    </w:rPr>
  </w:style>
  <w:style w:type="character" w:customStyle="1" w:styleId="670">
    <w:name w:val="ca-351"/>
    <w:qFormat/>
    <w:uiPriority w:val="0"/>
    <w:rPr>
      <w:rFonts w:ascii="Times New Roman" w:hAnsi="Times New Roman" w:cs="Times New Roman"/>
      <w:sz w:val="10"/>
      <w:szCs w:val="10"/>
    </w:rPr>
  </w:style>
  <w:style w:type="character" w:customStyle="1" w:styleId="671">
    <w:name w:val="ca-251"/>
    <w:qFormat/>
    <w:uiPriority w:val="0"/>
    <w:rPr>
      <w:rFonts w:ascii="Times New Roman" w:hAnsi="Times New Roman" w:cs="Times New Roman"/>
      <w:sz w:val="21"/>
      <w:szCs w:val="21"/>
    </w:rPr>
  </w:style>
  <w:style w:type="character" w:customStyle="1" w:styleId="672">
    <w:name w:val="hour_am"/>
    <w:basedOn w:val="56"/>
    <w:qFormat/>
    <w:uiPriority w:val="0"/>
  </w:style>
  <w:style w:type="character" w:customStyle="1" w:styleId="673">
    <w:name w:val="标题 Char1"/>
    <w:qFormat/>
    <w:uiPriority w:val="0"/>
    <w:rPr>
      <w:rFonts w:ascii="Arial" w:hAnsi="Arial" w:eastAsia="宋体" w:cs="Times New Roman"/>
      <w:b/>
      <w:sz w:val="32"/>
      <w:lang w:val="en-US" w:eastAsia="zh-CN" w:bidi="ar-SA"/>
    </w:rPr>
  </w:style>
  <w:style w:type="character" w:customStyle="1" w:styleId="674">
    <w:name w:val="署名 Char"/>
    <w:qFormat/>
    <w:uiPriority w:val="0"/>
    <w:rPr>
      <w:rFonts w:ascii="宋体" w:eastAsia="宋体" w:cs="Times New Roman"/>
      <w:snapToGrid w:val="0"/>
      <w:color w:val="000000"/>
      <w:kern w:val="28"/>
      <w:sz w:val="28"/>
      <w:lang w:val="en-US" w:eastAsia="zh-CN" w:bidi="ar-SA"/>
    </w:rPr>
  </w:style>
  <w:style w:type="character" w:customStyle="1" w:styleId="675">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676">
    <w:name w:val="明显引用 Char1"/>
    <w:qFormat/>
    <w:uiPriority w:val="0"/>
    <w:rPr>
      <w:rFonts w:cs="Times New Roman"/>
      <w:b/>
      <w:bCs/>
      <w:i/>
      <w:iCs/>
      <w:color w:val="4F81BD"/>
      <w:kern w:val="2"/>
      <w:sz w:val="24"/>
      <w:szCs w:val="24"/>
    </w:rPr>
  </w:style>
  <w:style w:type="character" w:customStyle="1" w:styleId="677">
    <w:name w:val="apple-style-span"/>
    <w:qFormat/>
    <w:uiPriority w:val="0"/>
    <w:rPr>
      <w:rFonts w:cs="Times New Roman"/>
    </w:rPr>
  </w:style>
  <w:style w:type="character" w:customStyle="1" w:styleId="678">
    <w:name w:val="标书1 Char"/>
    <w:qFormat/>
    <w:uiPriority w:val="0"/>
    <w:rPr>
      <w:rFonts w:ascii="宋体" w:hAnsi="Times New Roman" w:eastAsia="宋体" w:cs="Times New Roman"/>
      <w:b/>
      <w:kern w:val="44"/>
      <w:sz w:val="24"/>
      <w:szCs w:val="20"/>
    </w:rPr>
  </w:style>
  <w:style w:type="character" w:customStyle="1" w:styleId="679">
    <w:name w:val="ca-171"/>
    <w:qFormat/>
    <w:uiPriority w:val="0"/>
    <w:rPr>
      <w:rFonts w:ascii="Times New Roman" w:hAnsi="Times New Roman" w:cs="Times New Roman"/>
      <w:b/>
      <w:bCs/>
      <w:spacing w:val="-20"/>
      <w:sz w:val="24"/>
      <w:szCs w:val="24"/>
    </w:rPr>
  </w:style>
  <w:style w:type="character" w:customStyle="1" w:styleId="680">
    <w:name w:val="手改 Char Char"/>
    <w:qFormat/>
    <w:uiPriority w:val="0"/>
    <w:rPr>
      <w:rFonts w:eastAsia="宋体" w:cs="Times New Roman"/>
      <w:kern w:val="2"/>
      <w:sz w:val="24"/>
      <w:szCs w:val="24"/>
      <w:lang w:val="en-US" w:eastAsia="zh-CN" w:bidi="ar-SA"/>
    </w:rPr>
  </w:style>
  <w:style w:type="character" w:customStyle="1" w:styleId="681">
    <w:name w:val="Footer-Even Char"/>
    <w:qFormat/>
    <w:uiPriority w:val="0"/>
    <w:rPr>
      <w:rFonts w:eastAsia="宋体" w:cs="Times New Roman"/>
      <w:kern w:val="2"/>
      <w:sz w:val="18"/>
      <w:szCs w:val="18"/>
      <w:lang w:val="en-US" w:eastAsia="zh-CN" w:bidi="ar-SA"/>
    </w:rPr>
  </w:style>
  <w:style w:type="character" w:customStyle="1" w:styleId="682">
    <w:name w:val="ca-151"/>
    <w:qFormat/>
    <w:uiPriority w:val="0"/>
    <w:rPr>
      <w:rFonts w:ascii="宋体" w:hAnsi="宋体" w:eastAsia="宋体" w:cs="Times New Roman"/>
      <w:caps/>
      <w:color w:val="000000"/>
      <w:sz w:val="24"/>
      <w:szCs w:val="24"/>
    </w:rPr>
  </w:style>
  <w:style w:type="character" w:customStyle="1" w:styleId="683">
    <w:name w:val="Char Char"/>
    <w:qFormat/>
    <w:uiPriority w:val="0"/>
    <w:rPr>
      <w:rFonts w:ascii="楷体_GB2312" w:hAnsi="Times New Roman" w:eastAsia="楷体_GB2312"/>
      <w:kern w:val="2"/>
      <w:sz w:val="32"/>
    </w:rPr>
  </w:style>
  <w:style w:type="character" w:customStyle="1" w:styleId="684">
    <w:name w:val="标题 Char3"/>
    <w:qFormat/>
    <w:uiPriority w:val="0"/>
    <w:rPr>
      <w:rFonts w:ascii="Cambria" w:hAnsi="Cambria" w:cs="Times New Roman"/>
      <w:b/>
      <w:bCs/>
      <w:sz w:val="32"/>
      <w:szCs w:val="32"/>
    </w:rPr>
  </w:style>
  <w:style w:type="character" w:customStyle="1" w:styleId="685">
    <w:name w:val="Book Title1"/>
    <w:qFormat/>
    <w:uiPriority w:val="0"/>
    <w:rPr>
      <w:b/>
      <w:smallCaps/>
      <w:spacing w:val="5"/>
    </w:rPr>
  </w:style>
  <w:style w:type="character" w:customStyle="1" w:styleId="686">
    <w:name w:val="ca-101"/>
    <w:qFormat/>
    <w:uiPriority w:val="0"/>
    <w:rPr>
      <w:rFonts w:ascii="Times New Roman" w:hAnsi="Times New Roman" w:cs="Times New Roman"/>
      <w:color w:val="000000"/>
      <w:sz w:val="52"/>
      <w:szCs w:val="52"/>
    </w:rPr>
  </w:style>
  <w:style w:type="character" w:customStyle="1" w:styleId="687">
    <w:name w:val="Header Char1"/>
    <w:qFormat/>
    <w:locked/>
    <w:uiPriority w:val="0"/>
    <w:rPr>
      <w:rFonts w:eastAsia="宋体" w:cs="Times New Roman"/>
      <w:kern w:val="2"/>
      <w:sz w:val="18"/>
      <w:szCs w:val="18"/>
      <w:lang w:val="en-US" w:eastAsia="zh-CN" w:bidi="ar-SA"/>
    </w:rPr>
  </w:style>
  <w:style w:type="character" w:customStyle="1" w:styleId="688">
    <w:name w:val="正文文本缩进 2 Char"/>
    <w:qFormat/>
    <w:uiPriority w:val="0"/>
    <w:rPr>
      <w:sz w:val="21"/>
    </w:rPr>
  </w:style>
  <w:style w:type="character" w:customStyle="1" w:styleId="689">
    <w:name w:val="ca-54"/>
    <w:qFormat/>
    <w:uiPriority w:val="0"/>
    <w:rPr>
      <w:rFonts w:ascii="宋体" w:hAnsi="宋体" w:eastAsia="宋体" w:cs="Times New Roman"/>
      <w:b/>
      <w:bCs/>
      <w:color w:val="000000"/>
      <w:spacing w:val="40"/>
      <w:sz w:val="48"/>
      <w:szCs w:val="48"/>
    </w:rPr>
  </w:style>
  <w:style w:type="character" w:customStyle="1" w:styleId="690">
    <w:name w:val="h Char Char"/>
    <w:qFormat/>
    <w:uiPriority w:val="0"/>
    <w:rPr>
      <w:rFonts w:eastAsia="宋体"/>
      <w:kern w:val="2"/>
      <w:sz w:val="18"/>
      <w:szCs w:val="18"/>
      <w:lang w:val="en-US" w:eastAsia="zh-CN" w:bidi="ar-SA"/>
    </w:rPr>
  </w:style>
  <w:style w:type="character" w:customStyle="1" w:styleId="691">
    <w:name w:val="ca-121"/>
    <w:qFormat/>
    <w:uiPriority w:val="0"/>
    <w:rPr>
      <w:rFonts w:ascii="Times New Roman" w:hAnsi="Times New Roman" w:cs="Times New Roman"/>
      <w:color w:val="000000"/>
      <w:sz w:val="32"/>
      <w:szCs w:val="32"/>
    </w:rPr>
  </w:style>
  <w:style w:type="character" w:customStyle="1" w:styleId="692">
    <w:name w:val="font51"/>
    <w:qFormat/>
    <w:uiPriority w:val="0"/>
    <w:rPr>
      <w:rFonts w:hint="eastAsia" w:ascii="宋体" w:hAnsi="宋体" w:eastAsia="宋体" w:cs="宋体"/>
      <w:color w:val="000000"/>
      <w:sz w:val="22"/>
      <w:szCs w:val="22"/>
      <w:u w:val="none"/>
    </w:rPr>
  </w:style>
  <w:style w:type="character" w:customStyle="1" w:styleId="693">
    <w:name w:val="Heading 7 Char1"/>
    <w:qFormat/>
    <w:locked/>
    <w:uiPriority w:val="0"/>
    <w:rPr>
      <w:rFonts w:cs="Times New Roman"/>
      <w:b/>
      <w:bCs/>
      <w:kern w:val="2"/>
      <w:sz w:val="24"/>
      <w:szCs w:val="24"/>
    </w:rPr>
  </w:style>
  <w:style w:type="character" w:customStyle="1" w:styleId="694">
    <w:name w:val="批注文字 Char Char"/>
    <w:qFormat/>
    <w:uiPriority w:val="0"/>
    <w:rPr>
      <w:rFonts w:ascii="宋体" w:hAnsi="Times New Roman" w:eastAsia="宋体"/>
      <w:sz w:val="20"/>
    </w:rPr>
  </w:style>
  <w:style w:type="character" w:customStyle="1" w:styleId="695">
    <w:name w:val="Balloon Text Char"/>
    <w:qFormat/>
    <w:locked/>
    <w:uiPriority w:val="0"/>
    <w:rPr>
      <w:rFonts w:eastAsia="宋体"/>
      <w:kern w:val="2"/>
      <w:sz w:val="18"/>
      <w:lang w:val="en-US" w:eastAsia="zh-CN"/>
    </w:rPr>
  </w:style>
  <w:style w:type="character" w:customStyle="1" w:styleId="696">
    <w:name w:val="Document Map Char"/>
    <w:qFormat/>
    <w:locked/>
    <w:uiPriority w:val="0"/>
    <w:rPr>
      <w:rFonts w:eastAsia="宋体"/>
      <w:kern w:val="2"/>
      <w:sz w:val="24"/>
      <w:lang w:val="en-US" w:eastAsia="zh-CN"/>
    </w:rPr>
  </w:style>
  <w:style w:type="character" w:customStyle="1" w:styleId="697">
    <w:name w:val="ca-471"/>
    <w:qFormat/>
    <w:uiPriority w:val="0"/>
    <w:rPr>
      <w:rFonts w:ascii="宋体" w:hAnsi="宋体" w:eastAsia="宋体" w:cs="Times New Roman"/>
      <w:b/>
      <w:bCs/>
      <w:color w:val="000000"/>
      <w:spacing w:val="-20"/>
      <w:sz w:val="24"/>
      <w:szCs w:val="24"/>
    </w:rPr>
  </w:style>
  <w:style w:type="character" w:customStyle="1" w:styleId="698">
    <w:name w:val="ca-410"/>
    <w:qFormat/>
    <w:uiPriority w:val="0"/>
    <w:rPr>
      <w:rFonts w:ascii="宋体" w:hAnsi="宋体" w:eastAsia="宋体" w:cs="Times New Roman"/>
      <w:b/>
      <w:bCs/>
      <w:color w:val="000000"/>
      <w:spacing w:val="-20"/>
      <w:sz w:val="48"/>
      <w:szCs w:val="48"/>
    </w:rPr>
  </w:style>
  <w:style w:type="character" w:customStyle="1" w:styleId="699">
    <w:name w:val="ca-441"/>
    <w:qFormat/>
    <w:uiPriority w:val="0"/>
    <w:rPr>
      <w:rFonts w:ascii="宋体" w:hAnsi="宋体" w:eastAsia="宋体" w:cs="Times New Roman"/>
      <w:color w:val="000000"/>
      <w:sz w:val="52"/>
      <w:szCs w:val="52"/>
    </w:rPr>
  </w:style>
  <w:style w:type="character" w:customStyle="1" w:styleId="700">
    <w:name w:val="个人撰写风格"/>
    <w:qFormat/>
    <w:uiPriority w:val="0"/>
    <w:rPr>
      <w:rFonts w:ascii="Arial" w:hAnsi="Arial" w:eastAsia="宋体" w:cs="Arial"/>
      <w:color w:val="auto"/>
      <w:sz w:val="20"/>
    </w:rPr>
  </w:style>
  <w:style w:type="character" w:customStyle="1" w:styleId="701">
    <w:name w:val="ca-281"/>
    <w:qFormat/>
    <w:uiPriority w:val="0"/>
    <w:rPr>
      <w:rFonts w:ascii="宋体" w:hAnsi="宋体" w:eastAsia="宋体" w:cs="Times New Roman"/>
      <w:color w:val="FF0000"/>
      <w:sz w:val="21"/>
      <w:szCs w:val="21"/>
    </w:rPr>
  </w:style>
  <w:style w:type="character" w:customStyle="1" w:styleId="702">
    <w:name w:val="Plain Text Char"/>
    <w:qFormat/>
    <w:locked/>
    <w:uiPriority w:val="0"/>
    <w:rPr>
      <w:rFonts w:ascii="宋体" w:hAnsi="Courier New" w:eastAsia="宋体" w:cs="Times New Roman"/>
      <w:kern w:val="2"/>
      <w:sz w:val="21"/>
      <w:lang w:val="en-US" w:eastAsia="zh-CN" w:bidi="ar-SA"/>
    </w:rPr>
  </w:style>
  <w:style w:type="character" w:customStyle="1" w:styleId="703">
    <w:name w:val="Body Text Char"/>
    <w:qFormat/>
    <w:locked/>
    <w:uiPriority w:val="0"/>
    <w:rPr>
      <w:rFonts w:eastAsia="宋体"/>
      <w:kern w:val="2"/>
      <w:sz w:val="24"/>
      <w:lang w:val="en-US" w:eastAsia="zh-CN"/>
    </w:rPr>
  </w:style>
  <w:style w:type="character" w:customStyle="1" w:styleId="704">
    <w:name w:val="Date Char"/>
    <w:qFormat/>
    <w:locked/>
    <w:uiPriority w:val="0"/>
    <w:rPr>
      <w:rFonts w:eastAsia="宋体"/>
      <w:kern w:val="2"/>
      <w:sz w:val="24"/>
      <w:lang w:val="en-US" w:eastAsia="zh-CN"/>
    </w:rPr>
  </w:style>
  <w:style w:type="character" w:customStyle="1" w:styleId="705">
    <w:name w:val="Footer Char"/>
    <w:qFormat/>
    <w:locked/>
    <w:uiPriority w:val="0"/>
    <w:rPr>
      <w:rFonts w:eastAsia="宋体"/>
      <w:kern w:val="2"/>
      <w:sz w:val="18"/>
      <w:lang w:val="en-US" w:eastAsia="zh-CN"/>
    </w:rPr>
  </w:style>
  <w:style w:type="character" w:customStyle="1" w:styleId="706">
    <w:name w:val="ca-331"/>
    <w:qFormat/>
    <w:uiPriority w:val="0"/>
    <w:rPr>
      <w:rFonts w:ascii="宋体" w:hAnsi="宋体" w:eastAsia="宋体" w:cs="Times New Roman"/>
      <w:b/>
      <w:bCs/>
      <w:color w:val="002060"/>
      <w:spacing w:val="-20"/>
      <w:sz w:val="20"/>
      <w:szCs w:val="20"/>
    </w:rPr>
  </w:style>
  <w:style w:type="character" w:customStyle="1" w:styleId="707">
    <w:name w:val="Char Char3"/>
    <w:qFormat/>
    <w:uiPriority w:val="0"/>
    <w:rPr>
      <w:rFonts w:ascii="Arial" w:hAnsi="Arial" w:eastAsia="黑体" w:cs="Times New Roman"/>
      <w:b/>
      <w:bCs/>
      <w:kern w:val="2"/>
      <w:sz w:val="32"/>
      <w:szCs w:val="32"/>
      <w:lang w:val="en-US" w:eastAsia="zh-CN" w:bidi="ar-SA"/>
    </w:rPr>
  </w:style>
  <w:style w:type="character" w:customStyle="1" w:styleId="708">
    <w:name w:val="Subtle Reference1"/>
    <w:qFormat/>
    <w:uiPriority w:val="0"/>
    <w:rPr>
      <w:smallCaps/>
      <w:color w:val="C0504D"/>
      <w:u w:val="single"/>
    </w:rPr>
  </w:style>
  <w:style w:type="character" w:customStyle="1" w:styleId="709">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710">
    <w:name w:val="ca-221"/>
    <w:qFormat/>
    <w:uiPriority w:val="0"/>
    <w:rPr>
      <w:rFonts w:ascii="宋体" w:hAnsi="宋体" w:eastAsia="宋体" w:cs="Times New Roman"/>
      <w:sz w:val="21"/>
      <w:szCs w:val="21"/>
    </w:rPr>
  </w:style>
  <w:style w:type="character" w:customStyle="1" w:styleId="711">
    <w:name w:val="Heading 3 - old Char"/>
    <w:qFormat/>
    <w:uiPriority w:val="0"/>
    <w:rPr>
      <w:rFonts w:eastAsia="宋体" w:cs="Times New Roman"/>
      <w:b/>
      <w:bCs/>
      <w:kern w:val="2"/>
      <w:sz w:val="32"/>
      <w:szCs w:val="32"/>
      <w:lang w:val="en-US" w:eastAsia="zh-CN" w:bidi="ar-SA"/>
    </w:rPr>
  </w:style>
  <w:style w:type="character" w:customStyle="1" w:styleId="712">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713">
    <w:name w:val="country-name"/>
    <w:qFormat/>
    <w:uiPriority w:val="0"/>
    <w:rPr>
      <w:rFonts w:cs="Times New Roman"/>
    </w:rPr>
  </w:style>
  <w:style w:type="character" w:customStyle="1" w:styleId="714">
    <w:name w:val="street-address"/>
    <w:qFormat/>
    <w:uiPriority w:val="0"/>
    <w:rPr>
      <w:rFonts w:cs="Times New Roman"/>
    </w:rPr>
  </w:style>
  <w:style w:type="character" w:customStyle="1" w:styleId="715">
    <w:name w:val="批注框文本 Char1"/>
    <w:qFormat/>
    <w:uiPriority w:val="0"/>
    <w:rPr>
      <w:kern w:val="2"/>
      <w:sz w:val="18"/>
    </w:rPr>
  </w:style>
  <w:style w:type="character" w:customStyle="1" w:styleId="716">
    <w:name w:val="表正文 Char1"/>
    <w:qFormat/>
    <w:uiPriority w:val="0"/>
    <w:rPr>
      <w:rFonts w:eastAsia="宋体" w:cs="Times New Roman"/>
      <w:kern w:val="2"/>
      <w:sz w:val="24"/>
      <w:szCs w:val="24"/>
      <w:lang w:val="en-US" w:eastAsia="zh-CN" w:bidi="ar-SA"/>
    </w:rPr>
  </w:style>
  <w:style w:type="character" w:customStyle="1" w:styleId="717">
    <w:name w:val="ca-411"/>
    <w:qFormat/>
    <w:uiPriority w:val="0"/>
    <w:rPr>
      <w:rFonts w:ascii="宋体" w:hAnsi="宋体" w:eastAsia="宋体" w:cs="Times New Roman"/>
      <w:b/>
      <w:bCs/>
      <w:color w:val="000000"/>
      <w:spacing w:val="-20"/>
      <w:sz w:val="32"/>
      <w:szCs w:val="32"/>
    </w:rPr>
  </w:style>
  <w:style w:type="character" w:customStyle="1" w:styleId="718">
    <w:name w:val="ca-461"/>
    <w:qFormat/>
    <w:uiPriority w:val="0"/>
    <w:rPr>
      <w:rFonts w:ascii="宋体" w:hAnsi="宋体" w:eastAsia="宋体" w:cs="Times New Roman"/>
      <w:color w:val="000000"/>
      <w:spacing w:val="-20"/>
      <w:sz w:val="28"/>
      <w:szCs w:val="28"/>
    </w:rPr>
  </w:style>
  <w:style w:type="character" w:customStyle="1" w:styleId="719">
    <w:name w:val="font31"/>
    <w:qFormat/>
    <w:uiPriority w:val="0"/>
    <w:rPr>
      <w:rFonts w:hint="default" w:ascii="Times New Roman" w:hAnsi="Times New Roman" w:cs="Times New Roman"/>
      <w:color w:val="000000"/>
      <w:sz w:val="21"/>
      <w:szCs w:val="21"/>
      <w:u w:val="none"/>
    </w:rPr>
  </w:style>
  <w:style w:type="character" w:customStyle="1" w:styleId="720">
    <w:name w:val="ca-521"/>
    <w:qFormat/>
    <w:uiPriority w:val="0"/>
    <w:rPr>
      <w:rFonts w:ascii="宋体" w:hAnsi="宋体" w:eastAsia="宋体" w:cs="Times New Roman"/>
      <w:b/>
      <w:bCs/>
      <w:spacing w:val="-20"/>
      <w:sz w:val="36"/>
      <w:szCs w:val="36"/>
    </w:rPr>
  </w:style>
  <w:style w:type="character" w:customStyle="1" w:styleId="721">
    <w:name w:val="正文首行缩进 Char"/>
    <w:qFormat/>
    <w:uiPriority w:val="0"/>
    <w:rPr>
      <w:rFonts w:ascii="宋体" w:eastAsia="宋体" w:cs="Times New Roman"/>
      <w:kern w:val="2"/>
      <w:sz w:val="24"/>
      <w:szCs w:val="24"/>
      <w:lang w:val="zh-CN" w:eastAsia="zh-CN" w:bidi="ar-SA"/>
    </w:rPr>
  </w:style>
  <w:style w:type="character" w:customStyle="1" w:styleId="722">
    <w:name w:val="Intense Reference1"/>
    <w:qFormat/>
    <w:uiPriority w:val="0"/>
    <w:rPr>
      <w:b/>
      <w:smallCaps/>
      <w:color w:val="C0504D"/>
      <w:spacing w:val="5"/>
      <w:u w:val="single"/>
    </w:rPr>
  </w:style>
  <w:style w:type="character" w:customStyle="1" w:styleId="723">
    <w:name w:val="old"/>
    <w:qFormat/>
    <w:uiPriority w:val="0"/>
    <w:rPr>
      <w:color w:val="999999"/>
    </w:rPr>
  </w:style>
  <w:style w:type="character" w:customStyle="1" w:styleId="724">
    <w:name w:val="批注框文本 Char2"/>
    <w:qFormat/>
    <w:uiPriority w:val="0"/>
    <w:rPr>
      <w:rFonts w:ascii="宋体"/>
      <w:kern w:val="2"/>
      <w:sz w:val="18"/>
    </w:rPr>
  </w:style>
  <w:style w:type="character" w:customStyle="1" w:styleId="725">
    <w:name w:val="页眉 Char1"/>
    <w:qFormat/>
    <w:uiPriority w:val="0"/>
    <w:rPr>
      <w:rFonts w:eastAsia="宋体" w:cs="Times New Roman"/>
      <w:kern w:val="2"/>
      <w:sz w:val="18"/>
      <w:szCs w:val="18"/>
      <w:lang w:val="en-US" w:eastAsia="zh-CN" w:bidi="ar-SA"/>
    </w:rPr>
  </w:style>
  <w:style w:type="character" w:customStyle="1" w:styleId="726">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727">
    <w:name w:val="ca-431"/>
    <w:qFormat/>
    <w:uiPriority w:val="0"/>
    <w:rPr>
      <w:rFonts w:ascii="宋体" w:hAnsi="宋体" w:eastAsia="宋体" w:cs="Times New Roman"/>
      <w:color w:val="000000"/>
      <w:sz w:val="44"/>
      <w:szCs w:val="44"/>
    </w:rPr>
  </w:style>
  <w:style w:type="character" w:customStyle="1" w:styleId="728">
    <w:name w:val="日期 Char1"/>
    <w:qFormat/>
    <w:uiPriority w:val="0"/>
    <w:rPr>
      <w:kern w:val="2"/>
      <w:sz w:val="22"/>
    </w:rPr>
  </w:style>
  <w:style w:type="character" w:customStyle="1" w:styleId="729">
    <w:name w:val="ca-201"/>
    <w:qFormat/>
    <w:uiPriority w:val="0"/>
    <w:rPr>
      <w:rFonts w:ascii="??" w:hAnsi="??" w:cs="Times New Roman"/>
      <w:color w:val="000000"/>
      <w:sz w:val="18"/>
      <w:szCs w:val="18"/>
    </w:rPr>
  </w:style>
  <w:style w:type="character" w:customStyle="1" w:styleId="730">
    <w:name w:val="引用 Char1"/>
    <w:qFormat/>
    <w:uiPriority w:val="0"/>
    <w:rPr>
      <w:rFonts w:cs="Times New Roman"/>
      <w:i/>
      <w:iCs/>
      <w:color w:val="000000"/>
      <w:kern w:val="2"/>
      <w:sz w:val="24"/>
      <w:szCs w:val="24"/>
    </w:rPr>
  </w:style>
  <w:style w:type="character" w:customStyle="1" w:styleId="731">
    <w:name w:val="纯文本 字符1"/>
    <w:qFormat/>
    <w:uiPriority w:val="99"/>
    <w:rPr>
      <w:rFonts w:ascii="宋体" w:hAnsi="Courier New" w:eastAsia="宋体"/>
      <w:kern w:val="2"/>
      <w:sz w:val="24"/>
      <w:szCs w:val="24"/>
      <w:lang w:val="en-US" w:eastAsia="zh-CN" w:bidi="ar-SA"/>
    </w:rPr>
  </w:style>
  <w:style w:type="character" w:customStyle="1" w:styleId="732">
    <w:name w:val="标题 2 Char1"/>
    <w:qFormat/>
    <w:uiPriority w:val="0"/>
    <w:rPr>
      <w:rFonts w:ascii="仿宋_GB2312" w:eastAsia="仿宋_GB2312"/>
      <w:b/>
      <w:sz w:val="36"/>
      <w:lang w:val="en-US" w:eastAsia="zh-CN" w:bidi="ar-SA"/>
    </w:rPr>
  </w:style>
  <w:style w:type="character" w:customStyle="1" w:styleId="733">
    <w:name w:val="正文文本缩进 Char1"/>
    <w:qFormat/>
    <w:uiPriority w:val="0"/>
    <w:rPr>
      <w:rFonts w:ascii="宋体" w:hAnsi="Courier New" w:eastAsia="宋体"/>
      <w:spacing w:val="-4"/>
      <w:kern w:val="2"/>
      <w:sz w:val="18"/>
      <w:lang w:val="en-US" w:eastAsia="zh-CN" w:bidi="ar-SA"/>
    </w:rPr>
  </w:style>
  <w:style w:type="character" w:customStyle="1" w:styleId="734">
    <w:name w:val="正文缩进 Char1"/>
    <w:qFormat/>
    <w:uiPriority w:val="0"/>
    <w:rPr>
      <w:rFonts w:eastAsia="宋体"/>
      <w:kern w:val="2"/>
      <w:sz w:val="21"/>
      <w:lang w:val="en-US" w:eastAsia="zh-CN" w:bidi="ar-SA"/>
    </w:rPr>
  </w:style>
  <w:style w:type="character" w:customStyle="1" w:styleId="735">
    <w:name w:val="正文文本缩进 字符"/>
    <w:qFormat/>
    <w:uiPriority w:val="0"/>
    <w:rPr>
      <w:rFonts w:ascii="宋体" w:hAnsi="Courier New" w:eastAsia="宋体"/>
      <w:spacing w:val="-4"/>
      <w:kern w:val="2"/>
      <w:sz w:val="18"/>
      <w:lang w:val="en-US" w:eastAsia="zh-CN" w:bidi="ar-SA"/>
    </w:rPr>
  </w:style>
  <w:style w:type="character" w:customStyle="1" w:styleId="736">
    <w:name w:val="纯文本 字符2"/>
    <w:qFormat/>
    <w:uiPriority w:val="0"/>
    <w:rPr>
      <w:rFonts w:ascii="宋体" w:hAnsi="Courier New" w:eastAsia="宋体"/>
      <w:kern w:val="2"/>
      <w:sz w:val="24"/>
      <w:szCs w:val="24"/>
      <w:lang w:val="en-US" w:eastAsia="zh-CN" w:bidi="ar-SA"/>
    </w:rPr>
  </w:style>
  <w:style w:type="character" w:customStyle="1" w:styleId="737">
    <w:name w:val="纯文本 字符"/>
    <w:qFormat/>
    <w:uiPriority w:val="0"/>
    <w:rPr>
      <w:rFonts w:ascii="宋体" w:hAnsi="Courier New" w:eastAsia="宋体"/>
      <w:kern w:val="2"/>
      <w:sz w:val="21"/>
      <w:lang w:val="en-US" w:eastAsia="zh-CN" w:bidi="ar-SA"/>
    </w:rPr>
  </w:style>
  <w:style w:type="character" w:customStyle="1" w:styleId="738">
    <w:name w:val="标题 2 Char"/>
    <w:qFormat/>
    <w:uiPriority w:val="9"/>
    <w:rPr>
      <w:rFonts w:ascii="Cambria" w:hAnsi="Cambria" w:eastAsia="宋体" w:cs="Times New Roman"/>
      <w:b/>
      <w:bCs/>
      <w:sz w:val="32"/>
      <w:szCs w:val="32"/>
    </w:rPr>
  </w:style>
  <w:style w:type="character" w:customStyle="1" w:styleId="739">
    <w:name w:val="批注文字 Char"/>
    <w:qFormat/>
    <w:uiPriority w:val="0"/>
    <w:rPr>
      <w:rFonts w:ascii="Calibri" w:hAnsi="Calibri"/>
      <w:kern w:val="2"/>
      <w:sz w:val="21"/>
      <w:szCs w:val="22"/>
    </w:rPr>
  </w:style>
  <w:style w:type="character" w:customStyle="1" w:styleId="740">
    <w:name w:val="slider_ctrl_con"/>
    <w:qFormat/>
    <w:uiPriority w:val="99"/>
    <w:rPr>
      <w:shd w:val="clear" w:color="auto" w:fill="666666"/>
    </w:rPr>
  </w:style>
  <w:style w:type="character" w:customStyle="1" w:styleId="741">
    <w:name w:val="current"/>
    <w:qFormat/>
    <w:uiPriority w:val="99"/>
    <w:rPr>
      <w:shd w:val="clear" w:color="auto" w:fill="A00303"/>
    </w:rPr>
  </w:style>
  <w:style w:type="character" w:customStyle="1" w:styleId="742">
    <w:name w:val="textcolor1"/>
    <w:qFormat/>
    <w:uiPriority w:val="99"/>
    <w:rPr>
      <w:color w:val="FF6600"/>
    </w:rPr>
  </w:style>
  <w:style w:type="character" w:customStyle="1" w:styleId="743">
    <w:name w:val="纯文本 Char2"/>
    <w:qFormat/>
    <w:uiPriority w:val="99"/>
    <w:rPr>
      <w:rFonts w:ascii="宋体" w:hAnsi="Courier New" w:eastAsia="宋体"/>
      <w:kern w:val="2"/>
      <w:sz w:val="20"/>
      <w:lang w:val="en-US" w:eastAsia="zh-CN"/>
    </w:rPr>
  </w:style>
  <w:style w:type="character" w:customStyle="1" w:styleId="744">
    <w:name w:val="标题 2 字符"/>
    <w:semiHidden/>
    <w:qFormat/>
    <w:uiPriority w:val="9"/>
    <w:rPr>
      <w:rFonts w:ascii="等线 Light" w:hAnsi="等线 Light" w:eastAsia="等线 Light" w:cs="Times New Roman"/>
      <w:b/>
      <w:bCs/>
      <w:sz w:val="32"/>
      <w:szCs w:val="32"/>
    </w:rPr>
  </w:style>
  <w:style w:type="character" w:customStyle="1" w:styleId="745">
    <w:name w:val="列出段落 Char1"/>
    <w:qFormat/>
    <w:uiPriority w:val="34"/>
    <w:rPr>
      <w:rFonts w:ascii="Calibri" w:hAnsi="Calibri"/>
      <w:kern w:val="2"/>
      <w:sz w:val="24"/>
      <w:szCs w:val="22"/>
    </w:rPr>
  </w:style>
  <w:style w:type="character" w:customStyle="1" w:styleId="746">
    <w:name w:val="纯文本 Char4"/>
    <w:qFormat/>
    <w:uiPriority w:val="0"/>
    <w:rPr>
      <w:rFonts w:ascii="宋体" w:hAnsi="Courier New" w:eastAsia="宋体"/>
      <w:kern w:val="2"/>
      <w:sz w:val="24"/>
      <w:szCs w:val="24"/>
      <w:lang w:val="en-US" w:eastAsia="zh-CN" w:bidi="ar-SA"/>
    </w:rPr>
  </w:style>
  <w:style w:type="paragraph" w:customStyle="1" w:styleId="747">
    <w:name w:val="修订1"/>
    <w:hidden/>
    <w:semiHidden/>
    <w:qFormat/>
    <w:uiPriority w:val="99"/>
    <w:rPr>
      <w:rFonts w:ascii="Times New Roman" w:hAnsi="Times New Roman" w:eastAsia="宋体" w:cs="Times New Roman"/>
      <w:sz w:val="21"/>
      <w:lang w:val="en-US" w:eastAsia="zh-CN" w:bidi="ar-SA"/>
    </w:rPr>
  </w:style>
  <w:style w:type="character" w:customStyle="1" w:styleId="748">
    <w:name w:val="NormalCharacter"/>
    <w:qFormat/>
    <w:uiPriority w:val="0"/>
  </w:style>
  <w:style w:type="character" w:customStyle="1" w:styleId="749">
    <w:name w:val="纯文本 Char5"/>
    <w:qFormat/>
    <w:uiPriority w:val="0"/>
    <w:rPr>
      <w:rFonts w:ascii="宋体" w:hAnsi="Courier New" w:eastAsia="宋体"/>
      <w:sz w:val="24"/>
      <w:szCs w:val="24"/>
    </w:rPr>
  </w:style>
  <w:style w:type="paragraph" w:customStyle="1" w:styleId="750">
    <w:name w:val="表格文字2"/>
    <w:basedOn w:val="1"/>
    <w:qFormat/>
    <w:uiPriority w:val="0"/>
    <w:pPr>
      <w:widowControl w:val="0"/>
      <w:spacing w:beforeLines="50" w:afterLines="50" w:line="360" w:lineRule="auto"/>
      <w:jc w:val="both"/>
    </w:pPr>
    <w:rPr>
      <w:rFonts w:ascii="宋体" w:hAnsi="宋体"/>
      <w:kern w:val="2"/>
      <w:sz w:val="24"/>
      <w:szCs w:val="21"/>
    </w:rPr>
  </w:style>
  <w:style w:type="character" w:customStyle="1" w:styleId="751">
    <w:name w:val="UserStyle_117"/>
    <w:link w:val="752"/>
    <w:qFormat/>
    <w:locked/>
    <w:uiPriority w:val="0"/>
    <w:rPr>
      <w:rFonts w:ascii="宋体" w:hAnsi="Courier New"/>
      <w:sz w:val="24"/>
      <w:szCs w:val="24"/>
    </w:rPr>
  </w:style>
  <w:style w:type="paragraph" w:customStyle="1" w:styleId="752">
    <w:name w:val="PlainText"/>
    <w:basedOn w:val="1"/>
    <w:link w:val="751"/>
    <w:qFormat/>
    <w:uiPriority w:val="0"/>
    <w:pPr>
      <w:spacing w:before="156" w:after="156" w:line="400" w:lineRule="exact"/>
      <w:jc w:val="both"/>
    </w:pPr>
    <w:rPr>
      <w:rFonts w:ascii="宋体" w:hAnsi="Courier New"/>
      <w:sz w:val="24"/>
      <w:szCs w:val="24"/>
    </w:rPr>
  </w:style>
  <w:style w:type="character" w:customStyle="1" w:styleId="753">
    <w:name w:val="UserStyle_20"/>
    <w:link w:val="754"/>
    <w:qFormat/>
    <w:locked/>
    <w:uiPriority w:val="0"/>
    <w:rPr>
      <w:rFonts w:ascii="宋体" w:hAnsi="宋体" w:eastAsia="仿宋_GB2312"/>
      <w:b/>
      <w:bCs/>
      <w:sz w:val="24"/>
    </w:rPr>
  </w:style>
  <w:style w:type="paragraph" w:customStyle="1" w:styleId="754">
    <w:name w:val="BodyText3"/>
    <w:basedOn w:val="1"/>
    <w:link w:val="753"/>
    <w:qFormat/>
    <w:uiPriority w:val="0"/>
    <w:pPr>
      <w:snapToGrid w:val="0"/>
      <w:spacing w:before="50" w:after="50"/>
      <w:jc w:val="both"/>
    </w:pPr>
    <w:rPr>
      <w:rFonts w:ascii="宋体" w:hAnsi="宋体" w:eastAsia="仿宋_GB2312"/>
      <w:b/>
      <w:bCs/>
      <w:sz w:val="24"/>
    </w:rPr>
  </w:style>
  <w:style w:type="paragraph" w:customStyle="1" w:styleId="755">
    <w:name w:val="UserStyle_260"/>
    <w:basedOn w:val="1"/>
    <w:qFormat/>
    <w:uiPriority w:val="0"/>
    <w:pPr>
      <w:jc w:val="both"/>
    </w:pPr>
    <w:rPr>
      <w:rFonts w:ascii="宋体" w:hAnsi="Courier New" w:eastAsia="楷体_GB2312"/>
      <w:kern w:val="2"/>
      <w:sz w:val="26"/>
    </w:rPr>
  </w:style>
  <w:style w:type="paragraph" w:customStyle="1" w:styleId="756">
    <w:name w:val="列出段落3"/>
    <w:basedOn w:val="1"/>
    <w:qFormat/>
    <w:uiPriority w:val="0"/>
    <w:pPr>
      <w:ind w:firstLine="420" w:firstLineChars="200"/>
    </w:pPr>
    <w:rPr>
      <w:sz w:val="24"/>
    </w:rPr>
  </w:style>
  <w:style w:type="paragraph" w:customStyle="1" w:styleId="757">
    <w:name w:val="列表段落2"/>
    <w:basedOn w:val="1"/>
    <w:qFormat/>
    <w:uiPriority w:val="99"/>
    <w:pPr>
      <w:widowControl w:val="0"/>
      <w:spacing w:beforeLines="50" w:afterLines="50" w:line="288" w:lineRule="auto"/>
      <w:ind w:firstLine="420" w:firstLineChars="200"/>
      <w:jc w:val="both"/>
    </w:pPr>
    <w:rPr>
      <w:rFonts w:eastAsia="方正兰亭黑简体" w:cstheme="minorBidi"/>
      <w:kern w:val="2"/>
      <w:szCs w:val="24"/>
    </w:rPr>
  </w:style>
  <w:style w:type="paragraph" w:customStyle="1" w:styleId="758">
    <w:name w:val="正文缩近"/>
    <w:basedOn w:val="1"/>
    <w:qFormat/>
    <w:uiPriority w:val="0"/>
    <w:pPr>
      <w:widowControl w:val="0"/>
      <w:spacing w:line="360" w:lineRule="auto"/>
      <w:ind w:firstLine="200" w:firstLineChars="200"/>
      <w:jc w:val="both"/>
    </w:pPr>
    <w:rPr>
      <w:rFonts w:ascii="Calibri" w:hAnsi="Calibri"/>
      <w:kern w:val="2"/>
      <w:sz w:val="24"/>
      <w:szCs w:val="24"/>
    </w:rPr>
  </w:style>
  <w:style w:type="paragraph" w:customStyle="1" w:styleId="759">
    <w:name w:val="列表内容"/>
    <w:basedOn w:val="1"/>
    <w:next w:val="1"/>
    <w:qFormat/>
    <w:uiPriority w:val="0"/>
    <w:pPr>
      <w:numPr>
        <w:ilvl w:val="0"/>
        <w:numId w:val="2"/>
      </w:numPr>
      <w:tabs>
        <w:tab w:val="left" w:pos="840"/>
      </w:tabs>
    </w:pPr>
    <w:rPr>
      <w:sz w:val="18"/>
    </w:rPr>
  </w:style>
  <w:style w:type="paragraph" w:customStyle="1" w:styleId="760">
    <w:name w:val="正文360首行缩进"/>
    <w:basedOn w:val="1"/>
    <w:link w:val="761"/>
    <w:qFormat/>
    <w:uiPriority w:val="0"/>
    <w:pPr>
      <w:spacing w:before="120" w:line="300" w:lineRule="auto"/>
      <w:ind w:firstLine="200" w:firstLineChars="200"/>
    </w:pPr>
    <w:rPr>
      <w:kern w:val="2"/>
      <w:sz w:val="24"/>
    </w:rPr>
  </w:style>
  <w:style w:type="character" w:customStyle="1" w:styleId="761">
    <w:name w:val="正文360首行缩进 Char"/>
    <w:basedOn w:val="56"/>
    <w:link w:val="760"/>
    <w:qFormat/>
    <w:uiPriority w:val="0"/>
    <w:rPr>
      <w:rFonts w:ascii="Times New Roman" w:hAnsi="Times New Roman"/>
      <w:kern w:val="2"/>
      <w:sz w:val="24"/>
    </w:rPr>
  </w:style>
  <w:style w:type="paragraph" w:customStyle="1" w:styleId="762">
    <w:name w:val="强调文字"/>
    <w:basedOn w:val="126"/>
    <w:link w:val="763"/>
    <w:qFormat/>
    <w:uiPriority w:val="0"/>
    <w:pPr>
      <w:numPr>
        <w:ilvl w:val="0"/>
        <w:numId w:val="3"/>
      </w:numPr>
      <w:spacing w:before="120" w:line="300" w:lineRule="auto"/>
      <w:ind w:firstLine="0" w:firstLineChars="0"/>
    </w:pPr>
    <w:rPr>
      <w:kern w:val="2"/>
      <w:sz w:val="24"/>
    </w:rPr>
  </w:style>
  <w:style w:type="character" w:customStyle="1" w:styleId="763">
    <w:name w:val="强调文字 Char"/>
    <w:basedOn w:val="56"/>
    <w:link w:val="762"/>
    <w:qFormat/>
    <w:uiPriority w:val="0"/>
    <w:rPr>
      <w:rFonts w:ascii="Times New Roman" w:hAnsi="Times New Roman"/>
      <w:kern w:val="2"/>
      <w:sz w:val="24"/>
    </w:rPr>
  </w:style>
  <w:style w:type="character" w:customStyle="1" w:styleId="764">
    <w:name w:val="UserStyle_2"/>
    <w:qFormat/>
    <w:uiPriority w:val="0"/>
    <w:rPr>
      <w:rFonts w:ascii="宋体" w:hAnsi="宋体" w:eastAsia="宋体" w:cs="Times New Roman"/>
      <w:b/>
      <w:bCs/>
      <w:color w:val="000000"/>
      <w:spacing w:val="-20"/>
      <w:sz w:val="24"/>
      <w:szCs w:val="24"/>
    </w:rPr>
  </w:style>
  <w:style w:type="character" w:customStyle="1" w:styleId="765">
    <w:name w:val="纯文本 Char6"/>
    <w:qFormat/>
    <w:uiPriority w:val="0"/>
    <w:rPr>
      <w:rFonts w:ascii="宋体" w:hAnsi="Courier New" w:eastAsia="宋体"/>
      <w:sz w:val="24"/>
      <w:szCs w:val="24"/>
    </w:rPr>
  </w:style>
  <w:style w:type="character" w:customStyle="1" w:styleId="766">
    <w:name w:val="正文文本缩进 Char3"/>
    <w:basedOn w:val="56"/>
    <w:qFormat/>
    <w:uiPriority w:val="0"/>
    <w:rPr>
      <w:rFonts w:ascii="Calibri" w:hAnsi="Calibri" w:eastAsia="宋体" w:cs="Times New Roman"/>
      <w:szCs w:val="24"/>
    </w:rPr>
  </w:style>
  <w:style w:type="character" w:customStyle="1" w:styleId="767">
    <w:name w:val="正文首行缩进 2 字符"/>
    <w:basedOn w:val="88"/>
    <w:link w:val="53"/>
    <w:qFormat/>
    <w:uiPriority w:val="99"/>
    <w:rPr>
      <w:rFonts w:ascii="Times New Roman" w:hAnsi="Times New Roman" w:cs="宋体"/>
      <w:sz w:val="21"/>
      <w:szCs w:val="21"/>
    </w:rPr>
  </w:style>
  <w:style w:type="table" w:customStyle="1" w:styleId="7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65</Pages>
  <Words>32838</Words>
  <Characters>35282</Characters>
  <Lines>197</Lines>
  <Paragraphs>55</Paragraphs>
  <TotalTime>13</TotalTime>
  <ScaleCrop>false</ScaleCrop>
  <LinksUpToDate>false</LinksUpToDate>
  <CharactersWithSpaces>37750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2024-02-04T06:21:00Z</dcterms:created>
  <dc:creator>zgcc</dc:creator>
  <cp:lastModifiedBy>Administrator</cp:lastModifiedBy>
  <cp:lastPrinted>2020-12-11T06:05:00Z</cp:lastPrinted>
  <dcterms:modified xsi:type="dcterms:W3CDTF">2025-03-06T03:18:59Z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2052-12.1.0.20305</vt:lpwstr>
  </property>
  <property fmtid="{D5CDD505-2E9C-101B-9397-08002B2CF9AE}" pid="4" name="ICV">
    <vt:lpwstr>CA3C4B53A75649F1B3D176E201B6A29F</vt:lpwstr>
  </property>
  <property fmtid="{D5CDD505-2E9C-101B-9397-08002B2CF9AE}" pid="5" name="KSOTemplateDocerSaveRecord">
    <vt:lpwstr>eyJoZGlkIjoiMTEwODkzNmVkZjA0NzNkZjdlZDQ2MGMwMTI4NmU4ODgiLCJ1c2VySWQiOiI2MDUwODE0MjYifQ==</vt:lpwstr>
  </property>
</Properties>
</file>