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9E45B">
      <w:pPr>
        <w:tabs>
          <w:tab w:val="left" w:pos="5580"/>
        </w:tabs>
        <w:spacing w:line="360" w:lineRule="auto"/>
        <w:jc w:val="center"/>
        <w:rPr>
          <w:rFonts w:asciiTheme="minorEastAsia" w:hAnsiTheme="minorEastAsia" w:eastAsiaTheme="minorEastAsia"/>
          <w:color w:val="auto"/>
          <w:sz w:val="36"/>
          <w:szCs w:val="36"/>
          <w:highlight w:val="none"/>
        </w:rPr>
      </w:pPr>
      <w:r>
        <w:rPr>
          <w:rFonts w:hint="eastAsia" w:asciiTheme="minorEastAsia" w:hAnsiTheme="minorEastAsia" w:eastAsiaTheme="minorEastAsia"/>
          <w:color w:val="auto"/>
          <w:sz w:val="36"/>
          <w:szCs w:val="36"/>
          <w:highlight w:val="none"/>
        </w:rPr>
        <w:t xml:space="preserve">                                         </w:t>
      </w:r>
    </w:p>
    <w:p w14:paraId="2007B5A7">
      <w:pPr>
        <w:snapToGrid w:val="0"/>
        <w:spacing w:line="360" w:lineRule="auto"/>
        <w:jc w:val="center"/>
        <w:rPr>
          <w:rFonts w:asciiTheme="minorEastAsia" w:hAnsiTheme="minorEastAsia" w:eastAsiaTheme="minorEastAsia"/>
          <w:b/>
          <w:color w:val="auto"/>
          <w:sz w:val="40"/>
          <w:szCs w:val="40"/>
          <w:highlight w:val="none"/>
        </w:rPr>
      </w:pPr>
      <w:bookmarkStart w:id="0" w:name="_Hlt162751967"/>
      <w:bookmarkEnd w:id="0"/>
    </w:p>
    <w:p w14:paraId="09F144AD">
      <w:pPr>
        <w:pStyle w:val="28"/>
        <w:spacing w:line="480" w:lineRule="auto"/>
        <w:jc w:val="center"/>
        <w:rPr>
          <w:rFonts w:hint="eastAsia" w:asciiTheme="minorEastAsia" w:hAnsiTheme="minorEastAsia" w:eastAsiaTheme="minorEastAsia"/>
          <w:b/>
          <w:color w:val="auto"/>
          <w:kern w:val="0"/>
          <w:sz w:val="52"/>
          <w:szCs w:val="52"/>
          <w:highlight w:val="none"/>
          <w:lang w:eastAsia="zh-CN"/>
        </w:rPr>
      </w:pPr>
      <w:r>
        <w:rPr>
          <w:rFonts w:hint="eastAsia" w:asciiTheme="minorEastAsia" w:hAnsiTheme="minorEastAsia" w:eastAsiaTheme="minorEastAsia"/>
          <w:b/>
          <w:color w:val="auto"/>
          <w:kern w:val="0"/>
          <w:sz w:val="52"/>
          <w:szCs w:val="52"/>
          <w:highlight w:val="none"/>
          <w:lang w:eastAsia="zh-CN"/>
        </w:rPr>
        <w:t>交通执法基层站所修缮维护项目</w:t>
      </w:r>
    </w:p>
    <w:p w14:paraId="6E09F3D6">
      <w:pPr>
        <w:pStyle w:val="28"/>
        <w:spacing w:line="480" w:lineRule="auto"/>
        <w:jc w:val="center"/>
        <w:rPr>
          <w:rFonts w:asciiTheme="minorEastAsia" w:hAnsiTheme="minorEastAsia" w:eastAsiaTheme="minorEastAsia"/>
          <w:color w:val="auto"/>
          <w:sz w:val="52"/>
          <w:szCs w:val="52"/>
          <w:highlight w:val="none"/>
        </w:rPr>
      </w:pPr>
    </w:p>
    <w:p w14:paraId="10CF4276">
      <w:pPr>
        <w:jc w:val="center"/>
        <w:rPr>
          <w:color w:val="auto"/>
          <w:highlight w:val="none"/>
        </w:rPr>
      </w:pPr>
    </w:p>
    <w:p w14:paraId="5731866E">
      <w:pPr>
        <w:jc w:val="center"/>
        <w:rPr>
          <w:color w:val="auto"/>
          <w:highlight w:val="none"/>
        </w:rPr>
      </w:pPr>
    </w:p>
    <w:p w14:paraId="51080B8D">
      <w:pPr>
        <w:spacing w:line="360" w:lineRule="auto"/>
        <w:jc w:val="center"/>
        <w:rPr>
          <w:rFonts w:asciiTheme="minorEastAsia" w:hAnsiTheme="minorEastAsia" w:eastAsiaTheme="minorEastAsia"/>
          <w:b/>
          <w:color w:val="auto"/>
          <w:sz w:val="44"/>
          <w:szCs w:val="44"/>
          <w:highlight w:val="none"/>
        </w:rPr>
      </w:pPr>
    </w:p>
    <w:p w14:paraId="23176BF3">
      <w:pPr>
        <w:spacing w:line="360" w:lineRule="auto"/>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竞 争 性 磋 商</w:t>
      </w:r>
    </w:p>
    <w:p w14:paraId="33A30567">
      <w:pPr>
        <w:spacing w:line="360" w:lineRule="auto"/>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（电子招投标）</w:t>
      </w:r>
    </w:p>
    <w:p w14:paraId="27B8E76F">
      <w:pPr>
        <w:pStyle w:val="28"/>
        <w:spacing w:line="480" w:lineRule="auto"/>
        <w:jc w:val="center"/>
        <w:rPr>
          <w:rFonts w:asciiTheme="minorEastAsia" w:hAnsiTheme="minorEastAsia" w:eastAsiaTheme="minorEastAsia"/>
          <w:color w:val="auto"/>
          <w:sz w:val="52"/>
          <w:szCs w:val="52"/>
          <w:highlight w:val="none"/>
        </w:rPr>
      </w:pPr>
    </w:p>
    <w:p w14:paraId="7F00593F">
      <w:pPr>
        <w:pStyle w:val="28"/>
        <w:spacing w:line="480" w:lineRule="auto"/>
        <w:jc w:val="center"/>
        <w:rPr>
          <w:rFonts w:asciiTheme="minorEastAsia" w:hAnsiTheme="minorEastAsia" w:eastAsiaTheme="minorEastAsia"/>
          <w:color w:val="auto"/>
          <w:sz w:val="52"/>
          <w:szCs w:val="52"/>
          <w:highlight w:val="none"/>
        </w:rPr>
      </w:pPr>
    </w:p>
    <w:p w14:paraId="55926893">
      <w:pPr>
        <w:pStyle w:val="28"/>
        <w:spacing w:line="480" w:lineRule="auto"/>
        <w:jc w:val="center"/>
        <w:rPr>
          <w:rFonts w:asciiTheme="minorEastAsia" w:hAnsiTheme="minorEastAsia" w:eastAsiaTheme="minorEastAsia"/>
          <w:color w:val="auto"/>
          <w:sz w:val="52"/>
          <w:szCs w:val="52"/>
          <w:highlight w:val="none"/>
        </w:rPr>
      </w:pPr>
    </w:p>
    <w:p w14:paraId="486FE954">
      <w:pPr>
        <w:pStyle w:val="28"/>
        <w:spacing w:line="480" w:lineRule="auto"/>
        <w:rPr>
          <w:rFonts w:asciiTheme="minorEastAsia" w:hAnsiTheme="minorEastAsia" w:eastAsiaTheme="minorEastAsia"/>
          <w:color w:val="auto"/>
          <w:sz w:val="52"/>
          <w:szCs w:val="52"/>
          <w:highlight w:val="none"/>
        </w:rPr>
      </w:pPr>
    </w:p>
    <w:p w14:paraId="5A1028EF">
      <w:pPr>
        <w:spacing w:line="360" w:lineRule="auto"/>
        <w:ind w:firstLine="855" w:firstLineChars="300"/>
        <w:jc w:val="center"/>
        <w:rPr>
          <w:rFonts w:asciiTheme="minorEastAsia" w:hAnsiTheme="minorEastAsia" w:eastAsiaTheme="minorEastAsia"/>
          <w:bCs/>
          <w:color w:val="auto"/>
          <w:w w:val="95"/>
          <w:kern w:val="2"/>
          <w:sz w:val="30"/>
          <w:szCs w:val="30"/>
          <w:highlight w:val="none"/>
        </w:rPr>
      </w:pPr>
    </w:p>
    <w:p w14:paraId="1204F5CD">
      <w:pPr>
        <w:spacing w:line="360" w:lineRule="auto"/>
        <w:ind w:firstLine="855" w:firstLineChars="300"/>
        <w:rPr>
          <w:rFonts w:hint="eastAsia" w:asciiTheme="minorEastAsia" w:hAnsiTheme="minorEastAsia" w:eastAsiaTheme="minorEastAsia"/>
          <w:bCs/>
          <w:color w:val="auto"/>
          <w:w w:val="95"/>
          <w:kern w:val="2"/>
          <w:sz w:val="30"/>
          <w:szCs w:val="30"/>
          <w:highlight w:val="none"/>
          <w:lang w:eastAsia="zh-CN"/>
        </w:rPr>
      </w:pPr>
      <w:r>
        <w:rPr>
          <w:rFonts w:hint="eastAsia" w:asciiTheme="minorEastAsia" w:hAnsiTheme="minorEastAsia" w:eastAsiaTheme="minorEastAsia"/>
          <w:bCs/>
          <w:color w:val="auto"/>
          <w:w w:val="95"/>
          <w:kern w:val="2"/>
          <w:sz w:val="30"/>
          <w:szCs w:val="30"/>
          <w:highlight w:val="none"/>
        </w:rPr>
        <w:t>项目编号：</w:t>
      </w:r>
      <w:r>
        <w:rPr>
          <w:rFonts w:hint="eastAsia" w:asciiTheme="minorEastAsia" w:hAnsiTheme="minorEastAsia" w:eastAsiaTheme="minorEastAsia"/>
          <w:bCs/>
          <w:color w:val="auto"/>
          <w:w w:val="95"/>
          <w:kern w:val="2"/>
          <w:sz w:val="30"/>
          <w:szCs w:val="30"/>
          <w:highlight w:val="none"/>
          <w:lang w:eastAsia="zh-CN"/>
        </w:rPr>
        <w:t>CG2024034</w:t>
      </w:r>
    </w:p>
    <w:p w14:paraId="79B62929">
      <w:pPr>
        <w:spacing w:line="360" w:lineRule="auto"/>
        <w:ind w:firstLine="855" w:firstLineChars="300"/>
        <w:rPr>
          <w:rFonts w:hint="eastAsia" w:asciiTheme="minorEastAsia" w:hAnsiTheme="minorEastAsia" w:eastAsiaTheme="minorEastAsia"/>
          <w:bCs/>
          <w:color w:val="auto"/>
          <w:w w:val="95"/>
          <w:kern w:val="2"/>
          <w:sz w:val="30"/>
          <w:szCs w:val="30"/>
          <w:highlight w:val="none"/>
          <w:lang w:eastAsia="zh-CN"/>
        </w:rPr>
      </w:pPr>
      <w:r>
        <w:rPr>
          <w:rFonts w:hint="eastAsia" w:asciiTheme="minorEastAsia" w:hAnsiTheme="minorEastAsia" w:eastAsiaTheme="minorEastAsia"/>
          <w:bCs/>
          <w:color w:val="auto"/>
          <w:w w:val="95"/>
          <w:kern w:val="2"/>
          <w:sz w:val="30"/>
          <w:szCs w:val="30"/>
          <w:highlight w:val="none"/>
        </w:rPr>
        <w:t>采购单位：</w:t>
      </w:r>
      <w:r>
        <w:rPr>
          <w:rFonts w:hint="eastAsia" w:asciiTheme="minorEastAsia" w:hAnsiTheme="minorEastAsia" w:eastAsiaTheme="minorEastAsia"/>
          <w:bCs/>
          <w:color w:val="auto"/>
          <w:w w:val="95"/>
          <w:kern w:val="2"/>
          <w:sz w:val="30"/>
          <w:szCs w:val="30"/>
          <w:highlight w:val="none"/>
          <w:lang w:eastAsia="zh-CN"/>
        </w:rPr>
        <w:t>嘉兴市交通运输行政执法队</w:t>
      </w:r>
    </w:p>
    <w:p w14:paraId="46410B72">
      <w:pPr>
        <w:spacing w:line="360" w:lineRule="auto"/>
        <w:ind w:firstLine="855" w:firstLineChars="300"/>
        <w:rPr>
          <w:rFonts w:asciiTheme="minorEastAsia" w:hAnsiTheme="minorEastAsia" w:eastAsiaTheme="minorEastAsia"/>
          <w:bCs/>
          <w:color w:val="auto"/>
          <w:w w:val="95"/>
          <w:kern w:val="2"/>
          <w:sz w:val="30"/>
          <w:szCs w:val="30"/>
          <w:highlight w:val="none"/>
        </w:rPr>
      </w:pPr>
      <w:r>
        <w:rPr>
          <w:rFonts w:hint="eastAsia" w:asciiTheme="minorEastAsia" w:hAnsiTheme="minorEastAsia" w:eastAsiaTheme="minorEastAsia"/>
          <w:bCs/>
          <w:color w:val="auto"/>
          <w:w w:val="95"/>
          <w:kern w:val="2"/>
          <w:sz w:val="30"/>
          <w:szCs w:val="30"/>
          <w:highlight w:val="none"/>
        </w:rPr>
        <w:t>代理机构：嘉兴市银建工程咨询评估有限公司</w:t>
      </w:r>
    </w:p>
    <w:p w14:paraId="34271550">
      <w:pPr>
        <w:spacing w:line="360" w:lineRule="auto"/>
        <w:ind w:firstLine="855" w:firstLineChars="300"/>
        <w:jc w:val="center"/>
        <w:rPr>
          <w:rFonts w:asciiTheme="minorEastAsia" w:hAnsiTheme="minorEastAsia" w:eastAsiaTheme="minorEastAsia"/>
          <w:bCs/>
          <w:color w:val="auto"/>
          <w:w w:val="95"/>
          <w:kern w:val="2"/>
          <w:sz w:val="30"/>
          <w:szCs w:val="30"/>
          <w:highlight w:val="none"/>
        </w:rPr>
      </w:pPr>
      <w:r>
        <w:rPr>
          <w:rFonts w:hint="eastAsia" w:asciiTheme="minorEastAsia" w:hAnsiTheme="minorEastAsia" w:eastAsiaTheme="minorEastAsia"/>
          <w:bCs/>
          <w:color w:val="auto"/>
          <w:w w:val="95"/>
          <w:kern w:val="2"/>
          <w:sz w:val="30"/>
          <w:szCs w:val="30"/>
          <w:highlight w:val="none"/>
        </w:rPr>
        <w:t>2024年</w:t>
      </w:r>
      <w:r>
        <w:rPr>
          <w:rFonts w:hint="eastAsia" w:asciiTheme="minorEastAsia" w:hAnsiTheme="minorEastAsia" w:eastAsiaTheme="minorEastAsia"/>
          <w:bCs/>
          <w:color w:val="auto"/>
          <w:w w:val="95"/>
          <w:kern w:val="2"/>
          <w:sz w:val="30"/>
          <w:szCs w:val="30"/>
          <w:highlight w:val="none"/>
          <w:lang w:val="en-US" w:eastAsia="zh-CN"/>
        </w:rPr>
        <w:t>08</w:t>
      </w:r>
      <w:r>
        <w:rPr>
          <w:rFonts w:hint="eastAsia" w:asciiTheme="minorEastAsia" w:hAnsiTheme="minorEastAsia" w:eastAsiaTheme="minorEastAsia"/>
          <w:bCs/>
          <w:color w:val="auto"/>
          <w:w w:val="95"/>
          <w:kern w:val="2"/>
          <w:sz w:val="30"/>
          <w:szCs w:val="30"/>
          <w:highlight w:val="none"/>
        </w:rPr>
        <w:t>月</w:t>
      </w:r>
      <w:r>
        <w:rPr>
          <w:rFonts w:hint="eastAsia" w:asciiTheme="minorEastAsia" w:hAnsiTheme="minorEastAsia" w:eastAsiaTheme="minorEastAsia"/>
          <w:bCs/>
          <w:color w:val="auto"/>
          <w:w w:val="95"/>
          <w:kern w:val="2"/>
          <w:sz w:val="30"/>
          <w:szCs w:val="30"/>
          <w:highlight w:val="none"/>
          <w:lang w:val="en-US" w:eastAsia="zh-CN"/>
        </w:rPr>
        <w:t>07</w:t>
      </w:r>
      <w:r>
        <w:rPr>
          <w:rFonts w:hint="eastAsia" w:asciiTheme="minorEastAsia" w:hAnsiTheme="minorEastAsia" w:eastAsiaTheme="minorEastAsia"/>
          <w:bCs/>
          <w:color w:val="auto"/>
          <w:w w:val="95"/>
          <w:kern w:val="2"/>
          <w:sz w:val="30"/>
          <w:szCs w:val="30"/>
          <w:highlight w:val="none"/>
        </w:rPr>
        <w:t>日</w:t>
      </w:r>
    </w:p>
    <w:p w14:paraId="4AA340A7">
      <w:pPr>
        <w:spacing w:line="360" w:lineRule="auto"/>
        <w:rPr>
          <w:rFonts w:asciiTheme="minorEastAsia" w:hAnsiTheme="minorEastAsia" w:eastAsiaTheme="minorEastAsia"/>
          <w:b/>
          <w:bCs/>
          <w:color w:val="auto"/>
          <w:w w:val="95"/>
          <w:kern w:val="2"/>
          <w:sz w:val="30"/>
          <w:szCs w:val="30"/>
          <w:highlight w:val="none"/>
        </w:rPr>
      </w:pPr>
      <w:r>
        <w:rPr>
          <w:rFonts w:asciiTheme="minorEastAsia" w:hAnsiTheme="minorEastAsia" w:eastAsiaTheme="minorEastAsia"/>
          <w:b/>
          <w:bCs/>
          <w:color w:val="auto"/>
          <w:w w:val="95"/>
          <w:kern w:val="2"/>
          <w:sz w:val="30"/>
          <w:szCs w:val="30"/>
          <w:highlight w:val="none"/>
        </w:rPr>
        <w:t xml:space="preserve">                                </w:t>
      </w:r>
    </w:p>
    <w:p w14:paraId="03078CF0">
      <w:pPr>
        <w:rPr>
          <w:rFonts w:hint="eastAsia" w:asciiTheme="minorEastAsia" w:hAnsiTheme="minorEastAsia" w:eastAsiaTheme="minorEastAsia"/>
          <w:b/>
          <w:bCs/>
          <w:color w:val="auto"/>
          <w:kern w:val="44"/>
          <w:sz w:val="44"/>
          <w:szCs w:val="44"/>
          <w:highlight w:val="none"/>
          <w:lang w:val="zh-CN"/>
        </w:rPr>
      </w:pPr>
      <w:r>
        <w:rPr>
          <w:rFonts w:hint="eastAsia" w:asciiTheme="minorEastAsia" w:hAnsiTheme="minorEastAsia" w:eastAsiaTheme="minorEastAsia"/>
          <w:b/>
          <w:bCs/>
          <w:color w:val="auto"/>
          <w:kern w:val="44"/>
          <w:sz w:val="44"/>
          <w:szCs w:val="44"/>
          <w:highlight w:val="none"/>
          <w:lang w:val="zh-CN"/>
        </w:rPr>
        <w:br w:type="page"/>
      </w:r>
    </w:p>
    <w:p w14:paraId="5042E0C6">
      <w:pPr>
        <w:jc w:val="center"/>
        <w:rPr>
          <w:rFonts w:asciiTheme="minorEastAsia" w:hAnsiTheme="minorEastAsia" w:eastAsiaTheme="minorEastAsia"/>
          <w:b/>
          <w:bCs/>
          <w:color w:val="auto"/>
          <w:kern w:val="44"/>
          <w:sz w:val="44"/>
          <w:szCs w:val="44"/>
          <w:highlight w:val="none"/>
          <w:lang w:val="zh-CN"/>
        </w:rPr>
      </w:pPr>
      <w:r>
        <w:rPr>
          <w:rFonts w:hint="eastAsia" w:asciiTheme="minorEastAsia" w:hAnsiTheme="minorEastAsia" w:eastAsiaTheme="minorEastAsia"/>
          <w:b/>
          <w:bCs/>
          <w:color w:val="auto"/>
          <w:kern w:val="44"/>
          <w:sz w:val="44"/>
          <w:szCs w:val="44"/>
          <w:highlight w:val="none"/>
          <w:lang w:val="zh-CN"/>
        </w:rPr>
        <w:t>目  录</w:t>
      </w:r>
    </w:p>
    <w:p w14:paraId="3DEA0867">
      <w:pPr>
        <w:pStyle w:val="28"/>
        <w:spacing w:before="156" w:beforeLines="50" w:line="360" w:lineRule="auto"/>
        <w:rPr>
          <w:rFonts w:asciiTheme="minorEastAsia" w:hAnsiTheme="minorEastAsia" w:eastAsiaTheme="minorEastAsia"/>
          <w:b/>
          <w:color w:val="auto"/>
          <w:sz w:val="32"/>
          <w:szCs w:val="32"/>
          <w:highlight w:val="none"/>
        </w:rPr>
      </w:pPr>
    </w:p>
    <w:p w14:paraId="162FE0D3">
      <w:pPr>
        <w:pStyle w:val="36"/>
        <w:tabs>
          <w:tab w:val="right" w:leader="dot" w:pos="9638"/>
        </w:tabs>
        <w:rPr>
          <w:color w:val="auto"/>
          <w:highlight w:val="none"/>
        </w:rPr>
      </w:pPr>
      <w:r>
        <w:rPr>
          <w:rFonts w:hint="eastAsia" w:asciiTheme="minorEastAsia" w:hAnsiTheme="minorEastAsia" w:eastAsiaTheme="minorEastAsia"/>
          <w:b w:val="0"/>
          <w:bCs w:val="0"/>
          <w:caps w:val="0"/>
          <w:color w:val="auto"/>
          <w:kern w:val="2"/>
          <w:sz w:val="28"/>
          <w:szCs w:val="28"/>
          <w:highlight w:val="none"/>
        </w:rPr>
        <w:fldChar w:fldCharType="begin"/>
      </w:r>
      <w:r>
        <w:rPr>
          <w:rStyle w:val="66"/>
          <w:rFonts w:hint="eastAsia" w:asciiTheme="minorEastAsia" w:hAnsiTheme="minorEastAsia" w:eastAsiaTheme="minorEastAsia"/>
          <w:b w:val="0"/>
          <w:bCs w:val="0"/>
          <w:caps w:val="0"/>
          <w:color w:val="auto"/>
          <w:kern w:val="2"/>
          <w:sz w:val="28"/>
          <w:szCs w:val="28"/>
          <w:highlight w:val="none"/>
        </w:rPr>
        <w:instrText xml:space="preserve"> TOC \o "1-1" \h \z \u </w:instrText>
      </w:r>
      <w:r>
        <w:rPr>
          <w:rFonts w:hint="eastAsia" w:asciiTheme="minorEastAsia" w:hAnsiTheme="minorEastAsia" w:eastAsiaTheme="minorEastAsia"/>
          <w:b w:val="0"/>
          <w:bCs w:val="0"/>
          <w:caps w:val="0"/>
          <w:color w:val="auto"/>
          <w:kern w:val="2"/>
          <w:sz w:val="28"/>
          <w:szCs w:val="28"/>
          <w:highlight w:val="none"/>
        </w:rPr>
        <w:fldChar w:fldCharType="separate"/>
      </w:r>
      <w:r>
        <w:rPr>
          <w:color w:val="auto"/>
          <w:highlight w:val="none"/>
        </w:rPr>
        <w:fldChar w:fldCharType="begin"/>
      </w:r>
      <w:r>
        <w:rPr>
          <w:color w:val="auto"/>
          <w:highlight w:val="none"/>
        </w:rPr>
        <w:instrText xml:space="preserve"> HYPERLINK \l "_Toc20323" </w:instrText>
      </w:r>
      <w:r>
        <w:rPr>
          <w:color w:val="auto"/>
          <w:highlight w:val="none"/>
        </w:rPr>
        <w:fldChar w:fldCharType="separate"/>
      </w:r>
      <w:r>
        <w:rPr>
          <w:rFonts w:hint="eastAsia" w:asciiTheme="minorEastAsia" w:hAnsiTheme="minorEastAsia" w:eastAsiaTheme="minorEastAsia"/>
          <w:color w:val="auto"/>
          <w:szCs w:val="28"/>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_Toc20323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2F7D78E6">
      <w:pPr>
        <w:pStyle w:val="36"/>
        <w:tabs>
          <w:tab w:val="right" w:leader="dot" w:pos="9638"/>
        </w:tabs>
        <w:rPr>
          <w:color w:val="auto"/>
          <w:highlight w:val="none"/>
        </w:rPr>
      </w:pPr>
      <w:r>
        <w:rPr>
          <w:color w:val="auto"/>
          <w:highlight w:val="none"/>
        </w:rPr>
        <w:fldChar w:fldCharType="begin"/>
      </w:r>
      <w:r>
        <w:rPr>
          <w:color w:val="auto"/>
          <w:highlight w:val="none"/>
        </w:rPr>
        <w:instrText xml:space="preserve"> HYPERLINK \l "_Toc29127" </w:instrText>
      </w:r>
      <w:r>
        <w:rPr>
          <w:color w:val="auto"/>
          <w:highlight w:val="none"/>
        </w:rPr>
        <w:fldChar w:fldCharType="separate"/>
      </w:r>
      <w:r>
        <w:rPr>
          <w:rFonts w:hint="eastAsia" w:asciiTheme="minorEastAsia" w:hAnsiTheme="minorEastAsia" w:eastAsiaTheme="minorEastAsia"/>
          <w:color w:val="auto"/>
          <w:szCs w:val="28"/>
          <w:highlight w:val="none"/>
        </w:rPr>
        <w:t>第二章  招标需求</w:t>
      </w:r>
      <w:r>
        <w:rPr>
          <w:color w:val="auto"/>
          <w:highlight w:val="none"/>
        </w:rPr>
        <w:tab/>
      </w:r>
      <w:r>
        <w:rPr>
          <w:color w:val="auto"/>
          <w:highlight w:val="none"/>
        </w:rPr>
        <w:fldChar w:fldCharType="begin"/>
      </w:r>
      <w:r>
        <w:rPr>
          <w:color w:val="auto"/>
          <w:highlight w:val="none"/>
        </w:rPr>
        <w:instrText xml:space="preserve"> PAGEREF _Toc29127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17F3858A">
      <w:pPr>
        <w:pStyle w:val="36"/>
        <w:tabs>
          <w:tab w:val="right" w:leader="dot" w:pos="9638"/>
        </w:tabs>
        <w:rPr>
          <w:color w:val="auto"/>
          <w:highlight w:val="none"/>
        </w:rPr>
      </w:pPr>
      <w:r>
        <w:rPr>
          <w:color w:val="auto"/>
          <w:highlight w:val="none"/>
        </w:rPr>
        <w:fldChar w:fldCharType="begin"/>
      </w:r>
      <w:r>
        <w:rPr>
          <w:color w:val="auto"/>
          <w:highlight w:val="none"/>
        </w:rPr>
        <w:instrText xml:space="preserve"> HYPERLINK \l "_Toc6290" </w:instrText>
      </w:r>
      <w:r>
        <w:rPr>
          <w:color w:val="auto"/>
          <w:highlight w:val="none"/>
        </w:rPr>
        <w:fldChar w:fldCharType="separate"/>
      </w:r>
      <w:r>
        <w:rPr>
          <w:rFonts w:hint="eastAsia" w:asciiTheme="minorEastAsia" w:hAnsiTheme="minorEastAsia" w:eastAsiaTheme="minorEastAsia"/>
          <w:color w:val="auto"/>
          <w:szCs w:val="28"/>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_Toc6290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0336D447">
      <w:pPr>
        <w:pStyle w:val="36"/>
        <w:tabs>
          <w:tab w:val="right" w:leader="dot" w:pos="9638"/>
        </w:tabs>
        <w:rPr>
          <w:color w:val="auto"/>
          <w:highlight w:val="none"/>
        </w:rPr>
      </w:pPr>
      <w:r>
        <w:rPr>
          <w:color w:val="auto"/>
          <w:highlight w:val="none"/>
        </w:rPr>
        <w:fldChar w:fldCharType="begin"/>
      </w:r>
      <w:r>
        <w:rPr>
          <w:color w:val="auto"/>
          <w:highlight w:val="none"/>
        </w:rPr>
        <w:instrText xml:space="preserve"> HYPERLINK \l "_Toc5936" </w:instrText>
      </w:r>
      <w:r>
        <w:rPr>
          <w:color w:val="auto"/>
          <w:highlight w:val="none"/>
        </w:rPr>
        <w:fldChar w:fldCharType="separate"/>
      </w:r>
      <w:r>
        <w:rPr>
          <w:rFonts w:hint="eastAsia" w:asciiTheme="minorEastAsia" w:hAnsiTheme="minorEastAsia" w:eastAsiaTheme="minorEastAsia"/>
          <w:color w:val="auto"/>
          <w:szCs w:val="28"/>
          <w:highlight w:val="none"/>
        </w:rPr>
        <w:t>第四章 评标办法</w:t>
      </w:r>
      <w:r>
        <w:rPr>
          <w:color w:val="auto"/>
          <w:highlight w:val="none"/>
        </w:rPr>
        <w:tab/>
      </w:r>
      <w:r>
        <w:rPr>
          <w:color w:val="auto"/>
          <w:highlight w:val="none"/>
        </w:rPr>
        <w:fldChar w:fldCharType="begin"/>
      </w:r>
      <w:r>
        <w:rPr>
          <w:color w:val="auto"/>
          <w:highlight w:val="none"/>
        </w:rPr>
        <w:instrText xml:space="preserve"> PAGEREF _Toc5936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2BFC1C39">
      <w:pPr>
        <w:pStyle w:val="36"/>
        <w:tabs>
          <w:tab w:val="right" w:leader="dot" w:pos="9638"/>
        </w:tabs>
        <w:rPr>
          <w:color w:val="auto"/>
          <w:highlight w:val="none"/>
        </w:rPr>
      </w:pPr>
      <w:r>
        <w:rPr>
          <w:color w:val="auto"/>
          <w:highlight w:val="none"/>
        </w:rPr>
        <w:fldChar w:fldCharType="begin"/>
      </w:r>
      <w:r>
        <w:rPr>
          <w:color w:val="auto"/>
          <w:highlight w:val="none"/>
        </w:rPr>
        <w:instrText xml:space="preserve"> HYPERLINK \l "_Toc32553" </w:instrText>
      </w:r>
      <w:r>
        <w:rPr>
          <w:color w:val="auto"/>
          <w:highlight w:val="none"/>
        </w:rPr>
        <w:fldChar w:fldCharType="separate"/>
      </w:r>
      <w:r>
        <w:rPr>
          <w:rFonts w:hint="eastAsia" w:asciiTheme="minorEastAsia" w:hAnsiTheme="minorEastAsia" w:eastAsiaTheme="minorEastAsia"/>
          <w:color w:val="auto"/>
          <w:szCs w:val="28"/>
          <w:highlight w:val="none"/>
        </w:rPr>
        <w:t>第五章  采购合同（指引）</w:t>
      </w:r>
      <w:r>
        <w:rPr>
          <w:color w:val="auto"/>
          <w:highlight w:val="none"/>
        </w:rPr>
        <w:tab/>
      </w:r>
      <w:r>
        <w:rPr>
          <w:color w:val="auto"/>
          <w:highlight w:val="none"/>
        </w:rPr>
        <w:fldChar w:fldCharType="begin"/>
      </w:r>
      <w:r>
        <w:rPr>
          <w:color w:val="auto"/>
          <w:highlight w:val="none"/>
        </w:rPr>
        <w:instrText xml:space="preserve"> PAGEREF _Toc32553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6C2381A2">
      <w:pPr>
        <w:pStyle w:val="36"/>
        <w:tabs>
          <w:tab w:val="right" w:leader="dot" w:pos="9638"/>
        </w:tabs>
        <w:rPr>
          <w:color w:val="auto"/>
          <w:highlight w:val="none"/>
        </w:rPr>
      </w:pPr>
      <w:r>
        <w:rPr>
          <w:color w:val="auto"/>
          <w:highlight w:val="none"/>
        </w:rPr>
        <w:fldChar w:fldCharType="begin"/>
      </w:r>
      <w:r>
        <w:rPr>
          <w:color w:val="auto"/>
          <w:highlight w:val="none"/>
        </w:rPr>
        <w:instrText xml:space="preserve"> HYPERLINK \l "_Toc21187" </w:instrText>
      </w:r>
      <w:r>
        <w:rPr>
          <w:color w:val="auto"/>
          <w:highlight w:val="none"/>
        </w:rPr>
        <w:fldChar w:fldCharType="separate"/>
      </w:r>
      <w:r>
        <w:rPr>
          <w:rFonts w:hint="eastAsia" w:asciiTheme="minorEastAsia" w:hAnsiTheme="minorEastAsia" w:eastAsiaTheme="minorEastAsia"/>
          <w:color w:val="auto"/>
          <w:szCs w:val="28"/>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_Toc21187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1C80902B">
      <w:pPr>
        <w:spacing w:line="360" w:lineRule="auto"/>
        <w:rPr>
          <w:rFonts w:asciiTheme="minorEastAsia" w:hAnsiTheme="minorEastAsia" w:eastAsiaTheme="minorEastAsia"/>
          <w:color w:val="auto"/>
          <w:szCs w:val="21"/>
          <w:highlight w:val="none"/>
        </w:rPr>
        <w:sectPr>
          <w:headerReference r:id="rId3" w:type="default"/>
          <w:footerReference r:id="rId4" w:type="default"/>
          <w:pgSz w:w="11906" w:h="16838"/>
          <w:pgMar w:top="1134" w:right="1134" w:bottom="1134" w:left="1134" w:header="680" w:footer="992" w:gutter="0"/>
          <w:pgNumType w:start="0"/>
          <w:cols w:space="720" w:num="1"/>
          <w:titlePg/>
          <w:docGrid w:type="lines" w:linePitch="312" w:charSpace="0"/>
        </w:sectPr>
      </w:pPr>
      <w:r>
        <w:rPr>
          <w:rFonts w:hint="eastAsia" w:asciiTheme="minorEastAsia" w:hAnsiTheme="minorEastAsia" w:eastAsiaTheme="minorEastAsia"/>
          <w:color w:val="auto"/>
          <w:kern w:val="2"/>
          <w:szCs w:val="28"/>
          <w:highlight w:val="none"/>
        </w:rPr>
        <w:fldChar w:fldCharType="end"/>
      </w:r>
    </w:p>
    <w:p w14:paraId="10089FA9">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1" w:name="_Toc20323"/>
      <w:r>
        <w:rPr>
          <w:rFonts w:hint="eastAsia" w:asciiTheme="minorEastAsia" w:hAnsiTheme="minorEastAsia" w:eastAsiaTheme="minorEastAsia"/>
          <w:b/>
          <w:color w:val="auto"/>
          <w:sz w:val="28"/>
          <w:szCs w:val="28"/>
          <w:highlight w:val="none"/>
        </w:rPr>
        <w:t>第一章 竞争性磋商公告</w:t>
      </w:r>
      <w:bookmarkEnd w:id="1"/>
    </w:p>
    <w:p w14:paraId="1AB20594">
      <w:pPr>
        <w:spacing w:line="360" w:lineRule="auto"/>
        <w:ind w:firstLine="420" w:firstLineChars="200"/>
        <w:jc w:val="both"/>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根据《中华人民共和国政府采购法》</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中华人民共和国政府采购法实施条例</w:t>
      </w:r>
      <w:r>
        <w:rPr>
          <w:rFonts w:hint="eastAsia" w:asciiTheme="minorEastAsia" w:hAnsiTheme="minorEastAsia" w:eastAsiaTheme="minorEastAsia"/>
          <w:color w:val="auto"/>
          <w:kern w:val="2"/>
          <w:szCs w:val="21"/>
          <w:highlight w:val="none"/>
        </w:rPr>
        <w:t>》和</w:t>
      </w:r>
      <w:r>
        <w:rPr>
          <w:rFonts w:asciiTheme="minorEastAsia" w:hAnsiTheme="minorEastAsia" w:eastAsiaTheme="minorEastAsia"/>
          <w:color w:val="auto"/>
          <w:kern w:val="2"/>
          <w:szCs w:val="21"/>
          <w:highlight w:val="none"/>
        </w:rPr>
        <w:t>《</w:t>
      </w:r>
      <w:r>
        <w:rPr>
          <w:rFonts w:hint="eastAsia" w:asciiTheme="minorEastAsia" w:hAnsiTheme="minorEastAsia" w:eastAsiaTheme="minorEastAsia"/>
          <w:color w:val="auto"/>
          <w:kern w:val="2"/>
          <w:szCs w:val="21"/>
          <w:highlight w:val="none"/>
        </w:rPr>
        <w:t>政府采购竞争性磋商采购方式管理暂行办法</w:t>
      </w:r>
      <w:r>
        <w:rPr>
          <w:rFonts w:asciiTheme="minorEastAsia" w:hAnsiTheme="minorEastAsia" w:eastAsiaTheme="minorEastAsia"/>
          <w:color w:val="auto"/>
          <w:kern w:val="2"/>
          <w:szCs w:val="21"/>
          <w:highlight w:val="none"/>
        </w:rPr>
        <w:t>》</w:t>
      </w:r>
      <w:r>
        <w:rPr>
          <w:rFonts w:hint="eastAsia" w:asciiTheme="minorEastAsia" w:hAnsiTheme="minorEastAsia" w:eastAsiaTheme="minorEastAsia"/>
          <w:color w:val="auto"/>
          <w:kern w:val="2"/>
          <w:szCs w:val="21"/>
          <w:highlight w:val="none"/>
        </w:rPr>
        <w:t>、《浙江省</w:t>
      </w:r>
      <w:r>
        <w:rPr>
          <w:rFonts w:asciiTheme="minorEastAsia" w:hAnsiTheme="minorEastAsia" w:eastAsiaTheme="minorEastAsia"/>
          <w:color w:val="auto"/>
          <w:kern w:val="2"/>
          <w:szCs w:val="21"/>
          <w:highlight w:val="none"/>
        </w:rPr>
        <w:t>政府采购项目电子交易管理暂行办法</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等规定</w:t>
      </w:r>
      <w:r>
        <w:rPr>
          <w:rFonts w:hint="eastAsia" w:asciiTheme="minorEastAsia" w:hAnsiTheme="minorEastAsia" w:eastAsiaTheme="minorEastAsia"/>
          <w:color w:val="auto"/>
          <w:kern w:val="2"/>
          <w:szCs w:val="21"/>
          <w:highlight w:val="none"/>
        </w:rPr>
        <w:t>，嘉兴市银建工程咨询评估有限公司受采购人的委托，经</w:t>
      </w:r>
      <w:r>
        <w:rPr>
          <w:color w:val="auto"/>
          <w:highlight w:val="none"/>
        </w:rPr>
        <w:fldChar w:fldCharType="begin"/>
      </w:r>
      <w:r>
        <w:rPr>
          <w:color w:val="auto"/>
          <w:highlight w:val="none"/>
        </w:rPr>
        <w:instrText xml:space="preserve"> HYPERLINK "https://pay.zcygov.cn/purchaseplan_front/" \l "/plan/list/detail?id=1000000000002282602&amp;encrypt=1e5477abfa673c79e3081f0aaad08698" \t "_blank" </w:instrText>
      </w:r>
      <w:r>
        <w:rPr>
          <w:color w:val="auto"/>
          <w:highlight w:val="none"/>
        </w:rPr>
        <w:fldChar w:fldCharType="separate"/>
      </w:r>
      <w:r>
        <w:rPr>
          <w:rFonts w:hint="eastAsia" w:asciiTheme="minorEastAsia" w:hAnsiTheme="minorEastAsia" w:eastAsiaTheme="minorEastAsia"/>
          <w:color w:val="auto"/>
          <w:kern w:val="2"/>
          <w:szCs w:val="21"/>
          <w:highlight w:val="none"/>
          <w:lang w:eastAsia="zh-CN"/>
        </w:rPr>
        <w:t>嘉兴市财政局</w:t>
      </w:r>
      <w:r>
        <w:rPr>
          <w:rFonts w:hint="eastAsia" w:asciiTheme="minorEastAsia" w:hAnsiTheme="minorEastAsia" w:eastAsiaTheme="minorEastAsia"/>
          <w:color w:val="auto"/>
          <w:kern w:val="2"/>
          <w:szCs w:val="21"/>
          <w:highlight w:val="none"/>
        </w:rPr>
        <w:fldChar w:fldCharType="end"/>
      </w:r>
      <w:r>
        <w:rPr>
          <w:color w:val="auto"/>
          <w:highlight w:val="none"/>
        </w:rPr>
        <w:fldChar w:fldCharType="begin"/>
      </w:r>
      <w:r>
        <w:rPr>
          <w:color w:val="auto"/>
          <w:highlight w:val="none"/>
        </w:rPr>
        <w:instrText xml:space="preserve"> HYPERLINK "https://pay.zcygov.cn/purchaseplan_front/" \l "/plan/list/detail?id=1000000000009800608&amp;encrypt=7d9401d2d09842e8441b4f9d7d888649" \t "_blank" </w:instrText>
      </w:r>
      <w:r>
        <w:rPr>
          <w:color w:val="auto"/>
          <w:highlight w:val="none"/>
        </w:rPr>
        <w:fldChar w:fldCharType="separate"/>
      </w:r>
      <w:r>
        <w:rPr>
          <w:rFonts w:hint="eastAsia" w:asciiTheme="minorEastAsia" w:hAnsiTheme="minorEastAsia" w:eastAsiaTheme="minorEastAsia"/>
          <w:b/>
          <w:color w:val="auto"/>
          <w:kern w:val="2"/>
          <w:szCs w:val="21"/>
          <w:highlight w:val="none"/>
          <w:u w:val="single"/>
          <w:lang w:eastAsia="zh-CN"/>
        </w:rPr>
        <w:t>临[2024]5740号</w:t>
      </w:r>
      <w:r>
        <w:rPr>
          <w:rFonts w:hint="eastAsia" w:asciiTheme="minorEastAsia" w:hAnsiTheme="minorEastAsia" w:eastAsiaTheme="minorEastAsia"/>
          <w:b/>
          <w:color w:val="auto"/>
          <w:kern w:val="2"/>
          <w:szCs w:val="21"/>
          <w:highlight w:val="none"/>
          <w:u w:val="single"/>
        </w:rPr>
        <w:fldChar w:fldCharType="end"/>
      </w:r>
      <w:r>
        <w:rPr>
          <w:rFonts w:hint="eastAsia" w:asciiTheme="minorEastAsia" w:hAnsiTheme="minorEastAsia" w:eastAsiaTheme="minorEastAsia"/>
          <w:color w:val="auto"/>
          <w:kern w:val="2"/>
          <w:szCs w:val="21"/>
          <w:highlight w:val="none"/>
        </w:rPr>
        <w:t>确认书批准，现就以下项目</w:t>
      </w:r>
      <w:r>
        <w:rPr>
          <w:rFonts w:asciiTheme="minorEastAsia" w:hAnsiTheme="minorEastAsia" w:eastAsiaTheme="minorEastAsia"/>
          <w:color w:val="auto"/>
          <w:kern w:val="2"/>
          <w:szCs w:val="21"/>
          <w:highlight w:val="none"/>
        </w:rPr>
        <w:t>进行</w:t>
      </w:r>
      <w:r>
        <w:rPr>
          <w:rFonts w:hint="eastAsia" w:asciiTheme="minorEastAsia" w:hAnsiTheme="minorEastAsia" w:eastAsiaTheme="minorEastAsia"/>
          <w:b/>
          <w:color w:val="auto"/>
          <w:kern w:val="2"/>
          <w:szCs w:val="21"/>
          <w:highlight w:val="none"/>
          <w:u w:val="single"/>
        </w:rPr>
        <w:t>竞争性磋商</w:t>
      </w:r>
      <w:r>
        <w:rPr>
          <w:rFonts w:hint="eastAsia" w:asciiTheme="minorEastAsia" w:hAnsiTheme="minorEastAsia" w:eastAsiaTheme="minorEastAsia"/>
          <w:color w:val="auto"/>
          <w:kern w:val="2"/>
          <w:szCs w:val="21"/>
          <w:highlight w:val="none"/>
        </w:rPr>
        <w:t>招标</w:t>
      </w:r>
      <w:r>
        <w:rPr>
          <w:rFonts w:asciiTheme="minorEastAsia" w:hAnsiTheme="minorEastAsia" w:eastAsiaTheme="minorEastAsia"/>
          <w:color w:val="auto"/>
          <w:kern w:val="2"/>
          <w:szCs w:val="21"/>
          <w:highlight w:val="none"/>
        </w:rPr>
        <w:t>，</w:t>
      </w:r>
      <w:r>
        <w:rPr>
          <w:rFonts w:hint="eastAsia" w:asciiTheme="minorEastAsia" w:hAnsiTheme="minorEastAsia" w:eastAsiaTheme="minorEastAsia"/>
          <w:color w:val="auto"/>
          <w:kern w:val="2"/>
          <w:szCs w:val="21"/>
          <w:highlight w:val="none"/>
        </w:rPr>
        <w:t>欢迎合格供应商前来投标，现将有关事项公告如下：</w:t>
      </w:r>
    </w:p>
    <w:p w14:paraId="755FEE2B">
      <w:pPr>
        <w:pStyle w:val="342"/>
        <w:widowControl w:val="0"/>
        <w:spacing w:line="360" w:lineRule="auto"/>
        <w:ind w:firstLine="0" w:firstLineChars="0"/>
        <w:jc w:val="both"/>
        <w:rPr>
          <w:rFonts w:hint="eastAsia" w:asciiTheme="minorEastAsia" w:hAnsiTheme="minorEastAsia" w:eastAsiaTheme="minorEastAsia"/>
          <w:color w:val="auto"/>
          <w:kern w:val="2"/>
          <w:szCs w:val="21"/>
          <w:highlight w:val="none"/>
          <w:lang w:eastAsia="zh-CN"/>
        </w:rPr>
      </w:pPr>
      <w:r>
        <w:rPr>
          <w:rFonts w:hint="eastAsia" w:asciiTheme="minorEastAsia" w:hAnsiTheme="minorEastAsia" w:eastAsiaTheme="minorEastAsia"/>
          <w:b/>
          <w:color w:val="auto"/>
          <w:kern w:val="2"/>
          <w:szCs w:val="21"/>
          <w:highlight w:val="none"/>
        </w:rPr>
        <w:t>一、</w:t>
      </w:r>
      <w:r>
        <w:rPr>
          <w:rFonts w:asciiTheme="minorEastAsia" w:hAnsiTheme="minorEastAsia" w:eastAsiaTheme="minorEastAsia"/>
          <w:b/>
          <w:color w:val="auto"/>
          <w:kern w:val="2"/>
          <w:szCs w:val="21"/>
          <w:highlight w:val="none"/>
        </w:rPr>
        <w:t>项目编号：</w:t>
      </w:r>
      <w:r>
        <w:rPr>
          <w:rFonts w:hint="eastAsia" w:asciiTheme="minorEastAsia" w:hAnsiTheme="minorEastAsia" w:eastAsiaTheme="minorEastAsia"/>
          <w:color w:val="auto"/>
          <w:kern w:val="2"/>
          <w:szCs w:val="21"/>
          <w:highlight w:val="none"/>
          <w:lang w:eastAsia="zh-CN"/>
        </w:rPr>
        <w:t>CG2024034</w:t>
      </w:r>
    </w:p>
    <w:p w14:paraId="3EB8E349">
      <w:pPr>
        <w:pStyle w:val="342"/>
        <w:widowControl w:val="0"/>
        <w:spacing w:line="360" w:lineRule="auto"/>
        <w:ind w:firstLine="0" w:firstLineChars="0"/>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b/>
          <w:color w:val="auto"/>
          <w:kern w:val="2"/>
          <w:szCs w:val="21"/>
          <w:highlight w:val="none"/>
        </w:rPr>
        <w:t>二、采购组织类型：</w:t>
      </w:r>
      <w:r>
        <w:rPr>
          <w:rFonts w:hint="eastAsia" w:asciiTheme="minorEastAsia" w:hAnsiTheme="minorEastAsia" w:eastAsiaTheme="minorEastAsia"/>
          <w:color w:val="auto"/>
          <w:kern w:val="2"/>
          <w:szCs w:val="21"/>
          <w:highlight w:val="none"/>
        </w:rPr>
        <w:t xml:space="preserve">分散采购委托代理 </w:t>
      </w:r>
    </w:p>
    <w:p w14:paraId="7F8F0FB3">
      <w:pPr>
        <w:pStyle w:val="342"/>
        <w:widowControl w:val="0"/>
        <w:spacing w:line="360" w:lineRule="auto"/>
        <w:ind w:firstLine="0" w:firstLineChars="0"/>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b/>
          <w:color w:val="auto"/>
          <w:kern w:val="2"/>
          <w:szCs w:val="21"/>
          <w:highlight w:val="none"/>
        </w:rPr>
        <w:t>三、采购方式：</w:t>
      </w:r>
      <w:r>
        <w:rPr>
          <w:rFonts w:hint="eastAsia" w:asciiTheme="minorEastAsia" w:hAnsiTheme="minorEastAsia" w:eastAsiaTheme="minorEastAsia"/>
          <w:color w:val="auto"/>
          <w:kern w:val="2"/>
          <w:szCs w:val="21"/>
          <w:highlight w:val="none"/>
        </w:rPr>
        <w:t>竞争性磋商</w:t>
      </w:r>
    </w:p>
    <w:p w14:paraId="3687DA28">
      <w:pPr>
        <w:pStyle w:val="342"/>
        <w:widowControl w:val="0"/>
        <w:spacing w:line="360" w:lineRule="auto"/>
        <w:ind w:firstLine="0" w:firstLineChars="0"/>
        <w:jc w:val="both"/>
        <w:rPr>
          <w:rFonts w:hint="default" w:asciiTheme="minorEastAsia" w:hAnsiTheme="minorEastAsia" w:eastAsiaTheme="minorEastAsia"/>
          <w:b/>
          <w:color w:val="auto"/>
          <w:kern w:val="2"/>
          <w:szCs w:val="21"/>
          <w:highlight w:val="none"/>
          <w:lang w:val="en-US" w:eastAsia="zh-CN"/>
        </w:rPr>
      </w:pPr>
      <w:r>
        <w:rPr>
          <w:rFonts w:hint="eastAsia" w:asciiTheme="minorEastAsia" w:hAnsiTheme="minorEastAsia" w:eastAsiaTheme="minorEastAsia"/>
          <w:b/>
          <w:color w:val="auto"/>
          <w:kern w:val="2"/>
          <w:szCs w:val="21"/>
          <w:highlight w:val="none"/>
        </w:rPr>
        <w:t>四、</w:t>
      </w:r>
      <w:r>
        <w:rPr>
          <w:rFonts w:hint="eastAsia" w:asciiTheme="minorEastAsia" w:hAnsiTheme="minorEastAsia" w:eastAsiaTheme="minorEastAsia"/>
          <w:b/>
          <w:color w:val="auto"/>
          <w:kern w:val="2"/>
          <w:szCs w:val="21"/>
          <w:highlight w:val="none"/>
        </w:rPr>
        <w:t>采购预算：</w:t>
      </w:r>
      <w:r>
        <w:rPr>
          <w:rFonts w:hint="eastAsia" w:asciiTheme="minorEastAsia" w:hAnsiTheme="minorEastAsia" w:eastAsiaTheme="minorEastAsia"/>
          <w:bCs/>
          <w:color w:val="auto"/>
          <w:kern w:val="2"/>
          <w:szCs w:val="21"/>
          <w:highlight w:val="none"/>
          <w:lang w:val="en-US" w:eastAsia="zh-CN"/>
        </w:rPr>
        <w:t>370.000</w:t>
      </w:r>
      <w:r>
        <w:rPr>
          <w:rFonts w:hint="eastAsia" w:asciiTheme="minorEastAsia" w:hAnsiTheme="minorEastAsia" w:eastAsiaTheme="minorEastAsia"/>
          <w:color w:val="auto"/>
          <w:kern w:val="2"/>
          <w:szCs w:val="21"/>
          <w:highlight w:val="none"/>
        </w:rPr>
        <w:t>万元</w:t>
      </w:r>
      <w:r>
        <w:rPr>
          <w:rFonts w:hint="eastAsia" w:asciiTheme="minorEastAsia" w:hAnsiTheme="minorEastAsia" w:eastAsiaTheme="minorEastAsia"/>
          <w:color w:val="auto"/>
          <w:kern w:val="2"/>
          <w:szCs w:val="21"/>
          <w:highlight w:val="none"/>
          <w:lang w:eastAsia="zh-CN"/>
        </w:rPr>
        <w:t>，</w:t>
      </w:r>
      <w:r>
        <w:rPr>
          <w:rFonts w:hint="eastAsia" w:asciiTheme="minorEastAsia" w:hAnsiTheme="minorEastAsia" w:eastAsiaTheme="minorEastAsia"/>
          <w:color w:val="auto"/>
          <w:kern w:val="2"/>
          <w:szCs w:val="21"/>
          <w:highlight w:val="none"/>
          <w:lang w:val="en-US" w:eastAsia="zh-CN"/>
        </w:rPr>
        <w:t>招标控制价：367.3484万元</w:t>
      </w:r>
    </w:p>
    <w:p w14:paraId="2B7B0602">
      <w:pPr>
        <w:pStyle w:val="342"/>
        <w:widowControl w:val="0"/>
        <w:spacing w:line="360" w:lineRule="auto"/>
        <w:ind w:firstLine="0" w:firstLineChars="0"/>
        <w:jc w:val="both"/>
        <w:rPr>
          <w:rFonts w:hint="eastAsia" w:asciiTheme="minorEastAsia" w:hAnsiTheme="minorEastAsia" w:eastAsiaTheme="minorEastAsia"/>
          <w:b/>
          <w:color w:val="auto"/>
          <w:kern w:val="2"/>
          <w:szCs w:val="21"/>
          <w:highlight w:val="none"/>
          <w:lang w:eastAsia="zh-CN"/>
        </w:rPr>
      </w:pPr>
      <w:r>
        <w:rPr>
          <w:rFonts w:hint="eastAsia" w:asciiTheme="minorEastAsia" w:hAnsiTheme="minorEastAsia" w:eastAsiaTheme="minorEastAsia"/>
          <w:b/>
          <w:color w:val="auto"/>
          <w:kern w:val="2"/>
          <w:szCs w:val="21"/>
          <w:highlight w:val="none"/>
        </w:rPr>
        <w:t>五、项目名称：</w:t>
      </w:r>
      <w:r>
        <w:rPr>
          <w:rFonts w:hint="eastAsia" w:asciiTheme="minorEastAsia" w:hAnsiTheme="minorEastAsia" w:eastAsiaTheme="minorEastAsia"/>
          <w:color w:val="auto"/>
          <w:kern w:val="2"/>
          <w:szCs w:val="21"/>
          <w:highlight w:val="none"/>
          <w:lang w:eastAsia="zh-CN"/>
        </w:rPr>
        <w:t>交通执法基层站所修缮维护项目</w:t>
      </w:r>
    </w:p>
    <w:p w14:paraId="1426C53F">
      <w:pPr>
        <w:pStyle w:val="342"/>
        <w:widowControl w:val="0"/>
        <w:spacing w:line="360" w:lineRule="auto"/>
        <w:ind w:firstLine="0" w:firstLineChars="0"/>
        <w:jc w:val="both"/>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六、采购内容:</w:t>
      </w:r>
    </w:p>
    <w:tbl>
      <w:tblPr>
        <w:tblStyle w:val="55"/>
        <w:tblW w:w="9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46"/>
        <w:gridCol w:w="3379"/>
        <w:gridCol w:w="685"/>
        <w:gridCol w:w="876"/>
        <w:gridCol w:w="2697"/>
        <w:gridCol w:w="1468"/>
      </w:tblGrid>
      <w:tr w14:paraId="07DB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1" w:hRule="atLeast"/>
        </w:trPr>
        <w:tc>
          <w:tcPr>
            <w:tcW w:w="646" w:type="dxa"/>
            <w:tcBorders>
              <w:top w:val="single" w:color="auto" w:sz="4" w:space="0"/>
              <w:left w:val="single" w:color="auto" w:sz="4" w:space="0"/>
              <w:bottom w:val="single" w:color="auto" w:sz="4" w:space="0"/>
              <w:right w:val="single" w:color="auto" w:sz="4" w:space="0"/>
            </w:tcBorders>
            <w:vAlign w:val="center"/>
          </w:tcPr>
          <w:p w14:paraId="476F9CC4">
            <w:pPr>
              <w:snapToGrid w:val="0"/>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序号</w:t>
            </w:r>
          </w:p>
        </w:tc>
        <w:tc>
          <w:tcPr>
            <w:tcW w:w="3379" w:type="dxa"/>
            <w:tcBorders>
              <w:top w:val="single" w:color="auto" w:sz="4" w:space="0"/>
              <w:left w:val="single" w:color="auto" w:sz="4" w:space="0"/>
              <w:bottom w:val="single" w:color="auto" w:sz="4" w:space="0"/>
              <w:right w:val="single" w:color="auto" w:sz="4" w:space="0"/>
            </w:tcBorders>
            <w:vAlign w:val="center"/>
          </w:tcPr>
          <w:p w14:paraId="4E77114E">
            <w:pPr>
              <w:snapToGrid w:val="0"/>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项目名称</w:t>
            </w:r>
          </w:p>
        </w:tc>
        <w:tc>
          <w:tcPr>
            <w:tcW w:w="685" w:type="dxa"/>
            <w:tcBorders>
              <w:top w:val="single" w:color="auto" w:sz="4" w:space="0"/>
              <w:left w:val="single" w:color="auto" w:sz="4" w:space="0"/>
              <w:bottom w:val="single" w:color="auto" w:sz="4" w:space="0"/>
              <w:right w:val="single" w:color="auto" w:sz="4" w:space="0"/>
            </w:tcBorders>
            <w:vAlign w:val="center"/>
          </w:tcPr>
          <w:p w14:paraId="7D2281FC">
            <w:pPr>
              <w:snapToGrid w:val="0"/>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数量</w:t>
            </w:r>
          </w:p>
        </w:tc>
        <w:tc>
          <w:tcPr>
            <w:tcW w:w="876" w:type="dxa"/>
            <w:tcBorders>
              <w:top w:val="single" w:color="auto" w:sz="4" w:space="0"/>
              <w:left w:val="single" w:color="auto" w:sz="4" w:space="0"/>
              <w:bottom w:val="single" w:color="auto" w:sz="4" w:space="0"/>
              <w:right w:val="single" w:color="auto" w:sz="4" w:space="0"/>
            </w:tcBorders>
            <w:vAlign w:val="center"/>
          </w:tcPr>
          <w:p w14:paraId="167A88CE">
            <w:pPr>
              <w:snapToGrid w:val="0"/>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单位</w:t>
            </w:r>
          </w:p>
        </w:tc>
        <w:tc>
          <w:tcPr>
            <w:tcW w:w="2697" w:type="dxa"/>
            <w:tcBorders>
              <w:top w:val="single" w:color="auto" w:sz="4" w:space="0"/>
              <w:left w:val="single" w:color="auto" w:sz="4" w:space="0"/>
              <w:bottom w:val="single" w:color="auto" w:sz="4" w:space="0"/>
              <w:right w:val="single" w:color="auto" w:sz="4" w:space="0"/>
            </w:tcBorders>
            <w:vAlign w:val="center"/>
          </w:tcPr>
          <w:p w14:paraId="4CC919A1">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工期</w:t>
            </w:r>
          </w:p>
        </w:tc>
        <w:tc>
          <w:tcPr>
            <w:tcW w:w="1468" w:type="dxa"/>
            <w:tcBorders>
              <w:top w:val="single" w:color="auto" w:sz="4" w:space="0"/>
              <w:left w:val="single" w:color="auto" w:sz="4" w:space="0"/>
              <w:bottom w:val="single" w:color="auto" w:sz="4" w:space="0"/>
              <w:right w:val="single" w:color="auto" w:sz="4" w:space="0"/>
            </w:tcBorders>
            <w:vAlign w:val="center"/>
          </w:tcPr>
          <w:p w14:paraId="7D840988">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备注</w:t>
            </w:r>
          </w:p>
        </w:tc>
      </w:tr>
      <w:tr w14:paraId="4DE4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2" w:hRule="atLeast"/>
        </w:trPr>
        <w:tc>
          <w:tcPr>
            <w:tcW w:w="646" w:type="dxa"/>
            <w:tcBorders>
              <w:top w:val="single" w:color="auto" w:sz="4" w:space="0"/>
              <w:left w:val="single" w:color="auto" w:sz="4" w:space="0"/>
              <w:bottom w:val="single" w:color="auto" w:sz="4" w:space="0"/>
              <w:right w:val="single" w:color="auto" w:sz="4" w:space="0"/>
            </w:tcBorders>
            <w:vAlign w:val="center"/>
          </w:tcPr>
          <w:p w14:paraId="0C7B82FB">
            <w:pPr>
              <w:snapToGrid w:val="0"/>
              <w:spacing w:line="360" w:lineRule="auto"/>
              <w:jc w:val="center"/>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1</w:t>
            </w:r>
          </w:p>
        </w:tc>
        <w:tc>
          <w:tcPr>
            <w:tcW w:w="3379" w:type="dxa"/>
            <w:tcBorders>
              <w:top w:val="single" w:color="auto" w:sz="4" w:space="0"/>
              <w:left w:val="single" w:color="auto" w:sz="4" w:space="0"/>
              <w:bottom w:val="single" w:color="auto" w:sz="4" w:space="0"/>
              <w:right w:val="single" w:color="auto" w:sz="4" w:space="0"/>
            </w:tcBorders>
            <w:vAlign w:val="center"/>
          </w:tcPr>
          <w:p w14:paraId="6B1A6BE6">
            <w:pPr>
              <w:snapToGrid w:val="0"/>
              <w:spacing w:line="360" w:lineRule="auto"/>
              <w:jc w:val="center"/>
              <w:rPr>
                <w:rFonts w:hint="eastAsia" w:asciiTheme="minorEastAsia" w:hAnsiTheme="minorEastAsia" w:eastAsiaTheme="minorEastAsia"/>
                <w:bCs/>
                <w:color w:val="auto"/>
                <w:szCs w:val="21"/>
                <w:highlight w:val="none"/>
                <w:lang w:eastAsia="zh-CN"/>
              </w:rPr>
            </w:pPr>
            <w:r>
              <w:rPr>
                <w:rFonts w:hint="eastAsia" w:cs="Arial" w:asciiTheme="minorEastAsia" w:hAnsiTheme="minorEastAsia" w:eastAsiaTheme="minorEastAsia"/>
                <w:color w:val="auto"/>
                <w:szCs w:val="21"/>
                <w:highlight w:val="none"/>
                <w:lang w:eastAsia="zh-CN"/>
              </w:rPr>
              <w:t>交通执法基层站所修缮维护项目</w:t>
            </w:r>
          </w:p>
        </w:tc>
        <w:tc>
          <w:tcPr>
            <w:tcW w:w="685" w:type="dxa"/>
            <w:tcBorders>
              <w:top w:val="single" w:color="auto" w:sz="4" w:space="0"/>
              <w:left w:val="single" w:color="auto" w:sz="4" w:space="0"/>
              <w:bottom w:val="single" w:color="auto" w:sz="4" w:space="0"/>
              <w:right w:val="single" w:color="auto" w:sz="4" w:space="0"/>
            </w:tcBorders>
            <w:vAlign w:val="center"/>
          </w:tcPr>
          <w:p w14:paraId="3CA4833B">
            <w:pPr>
              <w:snapToGrid w:val="0"/>
              <w:spacing w:line="360" w:lineRule="auto"/>
              <w:jc w:val="center"/>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1</w:t>
            </w:r>
          </w:p>
        </w:tc>
        <w:tc>
          <w:tcPr>
            <w:tcW w:w="876" w:type="dxa"/>
            <w:tcBorders>
              <w:top w:val="single" w:color="auto" w:sz="4" w:space="0"/>
              <w:left w:val="single" w:color="auto" w:sz="4" w:space="0"/>
              <w:bottom w:val="single" w:color="auto" w:sz="4" w:space="0"/>
              <w:right w:val="single" w:color="auto" w:sz="4" w:space="0"/>
            </w:tcBorders>
            <w:vAlign w:val="center"/>
          </w:tcPr>
          <w:p w14:paraId="4B70EB68">
            <w:pPr>
              <w:snapToGrid w:val="0"/>
              <w:spacing w:line="360" w:lineRule="auto"/>
              <w:jc w:val="center"/>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项</w:t>
            </w:r>
          </w:p>
        </w:tc>
        <w:tc>
          <w:tcPr>
            <w:tcW w:w="2697" w:type="dxa"/>
            <w:tcBorders>
              <w:top w:val="single" w:color="auto" w:sz="4" w:space="0"/>
              <w:left w:val="single" w:color="auto" w:sz="4" w:space="0"/>
              <w:bottom w:val="single" w:color="auto" w:sz="4" w:space="0"/>
              <w:right w:val="single" w:color="auto" w:sz="4" w:space="0"/>
            </w:tcBorders>
            <w:vAlign w:val="center"/>
          </w:tcPr>
          <w:p w14:paraId="157722DB">
            <w:pPr>
              <w:adjustRightInd w:val="0"/>
              <w:snapToGrid w:val="0"/>
              <w:spacing w:line="360" w:lineRule="auto"/>
              <w:jc w:val="center"/>
              <w:rPr>
                <w:rFonts w:asciiTheme="minorEastAsia" w:hAnsiTheme="minorEastAsia" w:eastAsiaTheme="minorEastAsia"/>
                <w:color w:val="auto"/>
                <w:szCs w:val="21"/>
                <w:highlight w:val="none"/>
              </w:rPr>
            </w:pPr>
            <w:r>
              <w:rPr>
                <w:rFonts w:hint="eastAsia" w:ascii="宋体" w:hAnsi="宋体" w:cs="宋体"/>
                <w:color w:val="auto"/>
                <w:szCs w:val="21"/>
                <w:highlight w:val="none"/>
                <w:lang w:eastAsia="zh-CN"/>
              </w:rPr>
              <w:t>合同签订后</w:t>
            </w:r>
            <w:r>
              <w:rPr>
                <w:rFonts w:hint="eastAsia" w:ascii="宋体" w:hAnsi="宋体" w:cs="宋体"/>
                <w:color w:val="auto"/>
                <w:szCs w:val="21"/>
                <w:highlight w:val="none"/>
                <w:lang w:val="en-US" w:eastAsia="zh-CN"/>
              </w:rPr>
              <w:t>90日历天</w:t>
            </w:r>
            <w:r>
              <w:rPr>
                <w:rFonts w:hint="eastAsia" w:ascii="宋体" w:hAnsi="宋体" w:cs="宋体"/>
                <w:color w:val="auto"/>
                <w:szCs w:val="21"/>
                <w:highlight w:val="none"/>
                <w:lang w:eastAsia="zh-CN"/>
              </w:rPr>
              <w:t>内完成</w:t>
            </w:r>
          </w:p>
        </w:tc>
        <w:tc>
          <w:tcPr>
            <w:tcW w:w="1468" w:type="dxa"/>
            <w:tcBorders>
              <w:top w:val="single" w:color="auto" w:sz="4" w:space="0"/>
              <w:left w:val="single" w:color="auto" w:sz="4" w:space="0"/>
              <w:bottom w:val="single" w:color="auto" w:sz="4" w:space="0"/>
              <w:right w:val="single" w:color="auto" w:sz="4" w:space="0"/>
            </w:tcBorders>
            <w:vAlign w:val="center"/>
          </w:tcPr>
          <w:p w14:paraId="1A5647B8">
            <w:pPr>
              <w:adjustRightInd w:val="0"/>
              <w:snapToGrid w:val="0"/>
              <w:spacing w:line="360" w:lineRule="auto"/>
              <w:jc w:val="center"/>
              <w:rPr>
                <w:rFonts w:hint="eastAsia" w:asciiTheme="minorEastAsia" w:hAnsiTheme="minorEastAsia" w:eastAsiaTheme="minorEastAsia"/>
                <w:color w:val="auto"/>
                <w:szCs w:val="21"/>
                <w:highlight w:val="none"/>
                <w:lang w:eastAsia="zh-CN"/>
              </w:rPr>
            </w:pPr>
          </w:p>
        </w:tc>
      </w:tr>
    </w:tbl>
    <w:p w14:paraId="3A9CF580">
      <w:pPr>
        <w:pStyle w:val="342"/>
        <w:widowControl w:val="0"/>
        <w:spacing w:line="360" w:lineRule="auto"/>
        <w:ind w:firstLine="0" w:firstLineChars="0"/>
        <w:jc w:val="both"/>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七、供应商的资格要求:</w:t>
      </w:r>
    </w:p>
    <w:p w14:paraId="53ED4745">
      <w:pPr>
        <w:spacing w:before="52" w:after="52" w:line="360" w:lineRule="auto"/>
        <w:ind w:right="52" w:firstLine="210" w:firstLineChars="1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（一）符合政府采购法第二十二条规定的供应商资格条件：</w:t>
      </w:r>
    </w:p>
    <w:p w14:paraId="5626A269">
      <w:pPr>
        <w:spacing w:before="52" w:after="52" w:line="360" w:lineRule="auto"/>
        <w:ind w:left="239" w:leftChars="114" w:right="52"/>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1.具有独立承担民事责任的能力； </w:t>
      </w:r>
    </w:p>
    <w:p w14:paraId="3B003530">
      <w:pPr>
        <w:spacing w:before="52" w:after="52" w:line="360" w:lineRule="auto"/>
        <w:ind w:left="239" w:leftChars="114" w:right="52"/>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2.具有良好的商业信誉和健全的财务会计制度； </w:t>
      </w:r>
    </w:p>
    <w:p w14:paraId="0BA9274B">
      <w:pPr>
        <w:spacing w:before="52" w:after="52" w:line="360" w:lineRule="auto"/>
        <w:ind w:left="239" w:leftChars="114" w:right="52"/>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3.具有履行合同所必需的设备和专业技术能力； </w:t>
      </w:r>
    </w:p>
    <w:p w14:paraId="52AF24AC">
      <w:pPr>
        <w:spacing w:before="52" w:after="52" w:line="360" w:lineRule="auto"/>
        <w:ind w:left="239" w:leftChars="114" w:right="52"/>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4.有依法缴纳税收和社会保障资金的良好记录； </w:t>
      </w:r>
    </w:p>
    <w:p w14:paraId="23AECA9F">
      <w:pPr>
        <w:spacing w:before="52" w:after="52" w:line="360" w:lineRule="auto"/>
        <w:ind w:left="239" w:leftChars="114" w:right="52"/>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5.参加政府采购活动前三年内，在经营活动中没有重大违法记录； </w:t>
      </w:r>
    </w:p>
    <w:p w14:paraId="2E511A5E">
      <w:pPr>
        <w:spacing w:before="52" w:after="52" w:line="360" w:lineRule="auto"/>
        <w:ind w:left="239" w:leftChars="114" w:right="52"/>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6.符合法律、行政法规规定的其他条件；</w:t>
      </w:r>
    </w:p>
    <w:p w14:paraId="70E5944E">
      <w:pPr>
        <w:snapToGrid w:val="0"/>
        <w:spacing w:line="360" w:lineRule="auto"/>
        <w:ind w:firstLine="211" w:firstLineChars="100"/>
        <w:rPr>
          <w:rFonts w:cs="Arial" w:asciiTheme="minorEastAsia" w:hAnsiTheme="minorEastAsia" w:eastAsiaTheme="minorEastAsia"/>
          <w:b/>
          <w:color w:val="auto"/>
          <w:szCs w:val="21"/>
          <w:highlight w:val="none"/>
          <w:u w:val="single"/>
        </w:rPr>
      </w:pPr>
      <w:r>
        <w:rPr>
          <w:rFonts w:hint="eastAsia" w:cs="Arial" w:asciiTheme="minorEastAsia" w:hAnsiTheme="minorEastAsia" w:eastAsiaTheme="minorEastAsia"/>
          <w:b/>
          <w:color w:val="auto"/>
          <w:szCs w:val="21"/>
          <w:highlight w:val="none"/>
          <w:u w:val="single"/>
        </w:rPr>
        <w:t>（二）落实政府采购政策需满足的资格要求：</w:t>
      </w:r>
    </w:p>
    <w:p w14:paraId="3ACE18BE">
      <w:pPr>
        <w:snapToGrid w:val="0"/>
        <w:spacing w:line="360" w:lineRule="auto"/>
        <w:rPr>
          <w:rFonts w:cs="Arial" w:asciiTheme="minorEastAsia" w:hAnsiTheme="minorEastAsia" w:eastAsiaTheme="minorEastAsia"/>
          <w:b/>
          <w:color w:val="auto"/>
          <w:szCs w:val="21"/>
          <w:highlight w:val="none"/>
          <w:u w:val="single"/>
        </w:rPr>
      </w:pPr>
      <w:r>
        <w:rPr>
          <w:rFonts w:hint="eastAsia" w:cs="Arial" w:asciiTheme="minorEastAsia" w:hAnsiTheme="minorEastAsia" w:eastAsiaTheme="minorEastAsia"/>
          <w:b/>
          <w:color w:val="auto"/>
          <w:szCs w:val="21"/>
          <w:highlight w:val="none"/>
          <w:u w:val="single"/>
        </w:rPr>
        <w:sym w:font="Wingdings" w:char="00A8"/>
      </w:r>
      <w:r>
        <w:rPr>
          <w:rFonts w:hint="eastAsia" w:cs="Arial" w:asciiTheme="minorEastAsia" w:hAnsiTheme="minorEastAsia" w:eastAsiaTheme="minorEastAsia"/>
          <w:b/>
          <w:color w:val="auto"/>
          <w:szCs w:val="21"/>
          <w:highlight w:val="none"/>
          <w:u w:val="single"/>
        </w:rPr>
        <w:t xml:space="preserve">无； </w:t>
      </w:r>
    </w:p>
    <w:p w14:paraId="28DF0DBC">
      <w:pPr>
        <w:snapToGrid w:val="0"/>
        <w:spacing w:line="360" w:lineRule="auto"/>
        <w:rPr>
          <w:rFonts w:cs="Arial" w:asciiTheme="minorEastAsia" w:hAnsiTheme="minorEastAsia" w:eastAsiaTheme="minorEastAsia"/>
          <w:b/>
          <w:color w:val="auto"/>
          <w:szCs w:val="21"/>
          <w:highlight w:val="none"/>
          <w:u w:val="single"/>
        </w:rPr>
      </w:pPr>
      <w:r>
        <w:rPr>
          <w:rFonts w:hint="eastAsia" w:cs="Arial" w:asciiTheme="minorEastAsia" w:hAnsiTheme="minorEastAsia" w:eastAsiaTheme="minorEastAsia"/>
          <w:b/>
          <w:color w:val="auto"/>
          <w:szCs w:val="21"/>
          <w:highlight w:val="none"/>
          <w:u w:val="single"/>
        </w:rPr>
        <w:sym w:font="Wingdings" w:char="00FE"/>
      </w:r>
      <w:r>
        <w:rPr>
          <w:rFonts w:hint="eastAsia" w:cs="Arial" w:asciiTheme="minorEastAsia" w:hAnsiTheme="minorEastAsia" w:eastAsiaTheme="minorEastAsia"/>
          <w:b/>
          <w:color w:val="auto"/>
          <w:szCs w:val="21"/>
          <w:highlight w:val="none"/>
          <w:u w:val="single"/>
        </w:rPr>
        <w:t>专门面向中小企业</w:t>
      </w:r>
    </w:p>
    <w:p w14:paraId="5E769789">
      <w:pPr>
        <w:spacing w:before="52" w:after="52" w:line="360" w:lineRule="auto"/>
        <w:ind w:left="239" w:leftChars="114" w:right="52"/>
        <w:rPr>
          <w:rFonts w:hint="eastAsia" w:eastAsia="宋体" w:asciiTheme="minorEastAsia" w:hAnsiTheme="minorEastAsia"/>
          <w:color w:val="auto"/>
          <w:kern w:val="2"/>
          <w:szCs w:val="21"/>
          <w:highlight w:val="none"/>
          <w:lang w:eastAsia="zh-CN"/>
        </w:rPr>
      </w:pPr>
      <w:r>
        <w:rPr>
          <w:rFonts w:hint="eastAsia" w:asciiTheme="minorEastAsia" w:hAnsiTheme="minorEastAsia" w:eastAsiaTheme="minorEastAsia"/>
          <w:b/>
          <w:bCs/>
          <w:color w:val="auto"/>
          <w:kern w:val="2"/>
          <w:szCs w:val="21"/>
          <w:highlight w:val="none"/>
        </w:rPr>
        <w:t>（三）</w:t>
      </w:r>
      <w:r>
        <w:rPr>
          <w:rFonts w:hint="eastAsia" w:asciiTheme="minorEastAsia" w:hAnsiTheme="minorEastAsia" w:eastAsiaTheme="minorEastAsia"/>
          <w:b/>
          <w:bCs/>
          <w:color w:val="auto"/>
          <w:kern w:val="2"/>
          <w:szCs w:val="21"/>
          <w:highlight w:val="none"/>
        </w:rPr>
        <w:t>本项目的特定资格要求：企业资质：具有</w:t>
      </w:r>
      <w:r>
        <w:rPr>
          <w:rFonts w:hint="eastAsia" w:asciiTheme="minorEastAsia" w:hAnsiTheme="minorEastAsia" w:eastAsiaTheme="minorEastAsia"/>
          <w:b/>
          <w:bCs/>
          <w:color w:val="auto"/>
          <w:kern w:val="2"/>
          <w:szCs w:val="21"/>
          <w:highlight w:val="none"/>
          <w:lang w:val="en-US" w:eastAsia="zh-CN"/>
        </w:rPr>
        <w:t>房屋建筑工程</w:t>
      </w:r>
      <w:r>
        <w:rPr>
          <w:rFonts w:hint="eastAsia" w:asciiTheme="minorEastAsia" w:hAnsiTheme="minorEastAsia" w:eastAsiaTheme="minorEastAsia"/>
          <w:b/>
          <w:bCs/>
          <w:color w:val="auto"/>
          <w:kern w:val="2"/>
          <w:szCs w:val="21"/>
          <w:highlight w:val="none"/>
        </w:rPr>
        <w:t>施工总承包三级及以上资质和有效的企业安全生产许可证。（注：投标时，浙江省外企业需提供进浙备案证明（相关手续按嘉建（2015）1号文件规定执行）或提供信息公开网页打印件（在“浙江省建筑市场监管公共服务系统”信息公开），同时提供资格条件中要求的资质等级应在“浙江省建筑市场监管公共服务系统”上资质动态核查结果处于“合格”状态。（提供在招标公告发布后打印的核查证明）</w:t>
      </w:r>
      <w:r>
        <w:rPr>
          <w:rFonts w:hint="eastAsia" w:ascii="宋体" w:hAnsi="宋体" w:eastAsia="宋体" w:cs="宋体"/>
          <w:b/>
          <w:color w:val="auto"/>
          <w:szCs w:val="21"/>
          <w:highlight w:val="none"/>
        </w:rPr>
        <w:t>项目负责人：拟派项目负责人具有注册在投标人单位的</w:t>
      </w:r>
      <w:r>
        <w:rPr>
          <w:rFonts w:hint="eastAsia" w:ascii="宋体" w:hAnsi="宋体" w:cs="宋体"/>
          <w:b/>
          <w:color w:val="auto"/>
          <w:szCs w:val="21"/>
          <w:highlight w:val="none"/>
          <w:lang w:val="en-US" w:eastAsia="zh-CN"/>
        </w:rPr>
        <w:t>建筑</w:t>
      </w:r>
      <w:r>
        <w:rPr>
          <w:rFonts w:hint="eastAsia" w:ascii="宋体" w:hAnsi="宋体" w:eastAsia="宋体" w:cs="宋体"/>
          <w:b/>
          <w:color w:val="auto"/>
          <w:szCs w:val="21"/>
          <w:highlight w:val="none"/>
        </w:rPr>
        <w:t>工程二级及以上注册建造师执业资格， 同时具有有效的专职安全生产管理人员B类证书</w:t>
      </w:r>
      <w:r>
        <w:rPr>
          <w:rFonts w:hint="eastAsia" w:ascii="宋体" w:hAnsi="宋体" w:eastAsia="宋体" w:cs="宋体"/>
          <w:b/>
          <w:color w:val="auto"/>
          <w:szCs w:val="21"/>
          <w:highlight w:val="none"/>
          <w:lang w:eastAsia="zh-CN"/>
        </w:rPr>
        <w:t>。</w:t>
      </w:r>
    </w:p>
    <w:p w14:paraId="3B64064F">
      <w:pPr>
        <w:spacing w:before="52" w:after="52" w:line="360" w:lineRule="auto"/>
        <w:ind w:left="239" w:leftChars="114" w:right="52"/>
        <w:rPr>
          <w:rFonts w:cs="Arial" w:asciiTheme="minorEastAsia" w:hAnsiTheme="minorEastAsia" w:eastAsiaTheme="minorEastAsia"/>
          <w:color w:val="auto"/>
          <w:szCs w:val="21"/>
          <w:highlight w:val="none"/>
        </w:rPr>
      </w:pPr>
      <w:r>
        <w:rPr>
          <w:rFonts w:hint="eastAsia" w:asciiTheme="minorEastAsia" w:hAnsiTheme="minorEastAsia" w:eastAsiaTheme="minorEastAsia"/>
          <w:color w:val="auto"/>
          <w:kern w:val="2"/>
          <w:szCs w:val="21"/>
          <w:highlight w:val="none"/>
        </w:rPr>
        <w:t>（四）承诺：符合浙财采监【2013】24号《关于规范政府采购供应商资格设定及资格审查的通知》第六条规定,且未被“信用中国”（www.creditchina.gov.c</w:t>
      </w:r>
      <w:r>
        <w:rPr>
          <w:rFonts w:hint="eastAsia" w:cs="Arial" w:asciiTheme="minorEastAsia" w:hAnsiTheme="minorEastAsia" w:eastAsiaTheme="minorEastAsia"/>
          <w:color w:val="auto"/>
          <w:szCs w:val="21"/>
          <w:highlight w:val="none"/>
        </w:rPr>
        <w:t>n）和中国政府采购网（www.ccgp.gov.cn）列入失信被执行人、重大税收违法案件当事人名单、政府采购严重违法失信行为记录名单。（供应商提交投标文件时可提供自招标公告发布之日起至投标截止日内任意时间的“信用中国”网站（www.creditchina.gov.cn）和中国政府采购网（www.ccgp.gov.cn）供应商信用查询网页截图。）</w:t>
      </w:r>
    </w:p>
    <w:p w14:paraId="626E4AE5">
      <w:pPr>
        <w:snapToGrid w:val="0"/>
        <w:spacing w:line="360" w:lineRule="auto"/>
        <w:rPr>
          <w:rFonts w:cs="Arial" w:asciiTheme="minorEastAsia" w:hAnsiTheme="minorEastAsia" w:eastAsiaTheme="minorEastAsia"/>
          <w:b/>
          <w:color w:val="auto"/>
          <w:szCs w:val="21"/>
          <w:highlight w:val="none"/>
        </w:rPr>
      </w:pPr>
      <w:r>
        <w:rPr>
          <w:rFonts w:hint="eastAsia" w:asciiTheme="minorEastAsia" w:hAnsiTheme="minorEastAsia" w:eastAsiaTheme="minorEastAsia"/>
          <w:b/>
          <w:color w:val="auto"/>
          <w:highlight w:val="none"/>
        </w:rPr>
        <w:t>（五）</w:t>
      </w:r>
      <w:r>
        <w:rPr>
          <w:rFonts w:hint="eastAsia" w:cs="Arial" w:asciiTheme="minorEastAsia" w:hAnsiTheme="minorEastAsia" w:eastAsiaTheme="minorEastAsia"/>
          <w:b/>
          <w:color w:val="auto"/>
          <w:szCs w:val="21"/>
          <w:highlight w:val="none"/>
        </w:rPr>
        <w:t>本项目不接受联合体投标。</w:t>
      </w:r>
    </w:p>
    <w:p w14:paraId="6AC700A1">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注：本采购项目，中标单位与采购单位签订的政府采购合同适用于嘉兴市政府采购贷款政策，简称“政采贷”，具体内容可参阅政府采购贷款流程： </w:t>
      </w:r>
      <w:r>
        <w:rPr>
          <w:color w:val="auto"/>
          <w:highlight w:val="none"/>
        </w:rPr>
        <w:fldChar w:fldCharType="begin"/>
      </w:r>
      <w:r>
        <w:rPr>
          <w:color w:val="auto"/>
          <w:highlight w:val="none"/>
        </w:rPr>
        <w:instrText xml:space="preserve"> HYPERLINK "http://www.jxzbtb.cn/zxfw/005012/20181016/7e541bf4-ad29-4286-ace8-d12c1b2c54fc.html?tdsourcetag=s_pcqq_aiomsg" </w:instrText>
      </w:r>
      <w:r>
        <w:rPr>
          <w:color w:val="auto"/>
          <w:highlight w:val="none"/>
        </w:rPr>
        <w:fldChar w:fldCharType="separate"/>
      </w:r>
      <w:r>
        <w:rPr>
          <w:rFonts w:asciiTheme="minorEastAsia" w:hAnsiTheme="minorEastAsia" w:eastAsiaTheme="minorEastAsia"/>
          <w:color w:val="auto"/>
          <w:kern w:val="2"/>
          <w:szCs w:val="21"/>
          <w:highlight w:val="none"/>
        </w:rPr>
        <w:t>http://www.jxzbtb.cn/zxfw/005012/20181016/7e541bf4-ad29-4286-ace8-d12c1b2c54fc.html?tdsourcetag=s_pcqq_aiomsg</w:t>
      </w:r>
      <w:r>
        <w:rPr>
          <w:rFonts w:asciiTheme="minorEastAsia" w:hAnsiTheme="minorEastAsia" w:eastAsiaTheme="minorEastAsia"/>
          <w:color w:val="auto"/>
          <w:kern w:val="2"/>
          <w:szCs w:val="21"/>
          <w:highlight w:val="none"/>
        </w:rPr>
        <w:fldChar w:fldCharType="end"/>
      </w:r>
    </w:p>
    <w:p w14:paraId="667AAC73">
      <w:pPr>
        <w:spacing w:line="360" w:lineRule="auto"/>
        <w:rPr>
          <w:rFonts w:cs="宋体" w:asciiTheme="minorEastAsia" w:hAnsiTheme="minorEastAsia" w:eastAsiaTheme="minorEastAsia"/>
          <w:b/>
          <w:color w:val="auto"/>
          <w:szCs w:val="21"/>
          <w:highlight w:val="none"/>
          <w:u w:val="single"/>
        </w:rPr>
      </w:pPr>
      <w:r>
        <w:rPr>
          <w:rFonts w:hint="eastAsia" w:asciiTheme="minorEastAsia" w:hAnsiTheme="minorEastAsia" w:eastAsiaTheme="minorEastAsia"/>
          <w:b/>
          <w:color w:val="auto"/>
          <w:kern w:val="2"/>
          <w:szCs w:val="21"/>
          <w:highlight w:val="none"/>
        </w:rPr>
        <w:t>八、公告期限：</w:t>
      </w:r>
      <w:r>
        <w:rPr>
          <w:rFonts w:hint="eastAsia" w:cs="宋体" w:asciiTheme="minorEastAsia" w:hAnsiTheme="minorEastAsia" w:eastAsiaTheme="minorEastAsia"/>
          <w:b/>
          <w:color w:val="auto"/>
          <w:szCs w:val="21"/>
          <w:highlight w:val="none"/>
          <w:u w:val="single"/>
        </w:rPr>
        <w:t xml:space="preserve">   自公告发布之日至投标截止时间止  </w:t>
      </w:r>
    </w:p>
    <w:p w14:paraId="760AFA3C">
      <w:pPr>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九、磋商说明：</w:t>
      </w:r>
    </w:p>
    <w:p w14:paraId="5A1845D3">
      <w:pPr>
        <w:snapToGrid w:val="0"/>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一）本项目按照《浙江省财政厅关于印发浙江省政府采购项电子交易管理暂行办法的通知》实行电子交易。供应商在使用系统过程中遇到涉及平台使用的任何问题，可致电政采云平台技术支持热线咨询，联系方式：</w:t>
      </w:r>
      <w:r>
        <w:rPr>
          <w:rFonts w:hint="eastAsia" w:asciiTheme="minorEastAsia" w:hAnsiTheme="minorEastAsia" w:eastAsiaTheme="minorEastAsia"/>
          <w:b/>
          <w:color w:val="auto"/>
          <w:kern w:val="2"/>
          <w:szCs w:val="21"/>
          <w:highlight w:val="none"/>
        </w:rPr>
        <w:t>400-881-7190。</w:t>
      </w:r>
    </w:p>
    <w:p w14:paraId="5CF9F3FB">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（二）获取磋商文件（报名）</w:t>
      </w:r>
      <w:r>
        <w:rPr>
          <w:rFonts w:asciiTheme="minorEastAsia" w:hAnsiTheme="minorEastAsia" w:eastAsiaTheme="minorEastAsia"/>
          <w:color w:val="auto"/>
          <w:kern w:val="2"/>
          <w:szCs w:val="21"/>
          <w:highlight w:val="none"/>
        </w:rPr>
        <w:t>：</w:t>
      </w:r>
    </w:p>
    <w:p w14:paraId="5B747ACB">
      <w:pPr>
        <w:snapToGrid w:val="0"/>
        <w:spacing w:line="360" w:lineRule="auto"/>
        <w:ind w:firstLine="210" w:firstLineChars="1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获取方式：磋商公告发布后，在政采云平台已完成注册的供应商登陆系统，申请获取磋商文件，待审核通过后，可下载磋商文件。如果“已申请”标签页显示状态为“审核通过”即为报名成功。路径：用户中心——项目采购——获取磋商文件管理。在“已获取”的状态下，供应商可下载查看磋商文件。</w:t>
      </w:r>
    </w:p>
    <w:p w14:paraId="2EE089F2">
      <w:pPr>
        <w:snapToGrid w:val="0"/>
        <w:spacing w:line="360" w:lineRule="auto"/>
        <w:ind w:firstLine="210" w:firstLineChars="1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2.获取网址：浙江政府采购网</w:t>
      </w:r>
      <w:r>
        <w:rPr>
          <w:color w:val="auto"/>
          <w:highlight w:val="none"/>
        </w:rPr>
        <w:fldChar w:fldCharType="begin"/>
      </w:r>
      <w:r>
        <w:rPr>
          <w:color w:val="auto"/>
          <w:highlight w:val="none"/>
        </w:rPr>
        <w:instrText xml:space="preserve"> HYPERLINK "https://login.zcygov.cn/login" \t "_blank" </w:instrText>
      </w:r>
      <w:r>
        <w:rPr>
          <w:color w:val="auto"/>
          <w:highlight w:val="none"/>
        </w:rPr>
        <w:fldChar w:fldCharType="separate"/>
      </w:r>
      <w:r>
        <w:rPr>
          <w:rFonts w:hint="eastAsia" w:asciiTheme="minorEastAsia" w:hAnsiTheme="minorEastAsia" w:eastAsiaTheme="minorEastAsia"/>
          <w:color w:val="auto"/>
          <w:kern w:val="2"/>
          <w:szCs w:val="21"/>
          <w:highlight w:val="none"/>
        </w:rPr>
        <w:t>https://login.zcygov.cn/login</w:t>
      </w:r>
      <w:r>
        <w:rPr>
          <w:rFonts w:hint="eastAsia" w:asciiTheme="minorEastAsia" w:hAnsiTheme="minorEastAsia" w:eastAsiaTheme="minorEastAsia"/>
          <w:color w:val="auto"/>
          <w:kern w:val="2"/>
          <w:szCs w:val="21"/>
          <w:highlight w:val="none"/>
        </w:rPr>
        <w:fldChar w:fldCharType="end"/>
      </w:r>
    </w:p>
    <w:p w14:paraId="136CEE18">
      <w:pPr>
        <w:spacing w:line="360" w:lineRule="auto"/>
        <w:ind w:firstLine="210" w:firstLineChars="100"/>
        <w:rPr>
          <w:rFonts w:asciiTheme="minorEastAsia" w:hAnsiTheme="minorEastAsia" w:eastAsiaTheme="minorEastAsia"/>
          <w:b/>
          <w:color w:val="auto"/>
          <w:szCs w:val="21"/>
          <w:highlight w:val="none"/>
          <w:shd w:val="clear" w:color="auto" w:fill="FFFFFF"/>
        </w:rPr>
      </w:pPr>
      <w:r>
        <w:rPr>
          <w:rFonts w:hint="eastAsia" w:asciiTheme="minorEastAsia" w:hAnsiTheme="minorEastAsia" w:eastAsiaTheme="minorEastAsia"/>
          <w:color w:val="auto"/>
          <w:kern w:val="2"/>
          <w:szCs w:val="21"/>
          <w:highlight w:val="none"/>
        </w:rPr>
        <w:t>3.获取时间：</w:t>
      </w:r>
      <w:r>
        <w:rPr>
          <w:rFonts w:hint="eastAsia" w:asciiTheme="minorEastAsia" w:hAnsiTheme="minorEastAsia" w:eastAsiaTheme="minorEastAsia"/>
          <w:b/>
          <w:color w:val="auto"/>
          <w:szCs w:val="21"/>
          <w:highlight w:val="none"/>
          <w:shd w:val="clear" w:color="auto" w:fill="FFFFFF"/>
          <w:lang w:eastAsia="zh-CN"/>
        </w:rPr>
        <w:t>2024年8月20日</w:t>
      </w:r>
      <w:r>
        <w:rPr>
          <w:rFonts w:hint="eastAsia" w:asciiTheme="minorEastAsia" w:hAnsiTheme="minorEastAsia" w:eastAsiaTheme="minorEastAsia"/>
          <w:b/>
          <w:color w:val="auto"/>
          <w:szCs w:val="21"/>
          <w:highlight w:val="none"/>
          <w:shd w:val="clear" w:color="auto" w:fill="FFFFFF"/>
          <w:lang w:val="en-US" w:eastAsia="zh-CN"/>
        </w:rPr>
        <w:t>09</w:t>
      </w:r>
      <w:r>
        <w:rPr>
          <w:rFonts w:hint="eastAsia" w:asciiTheme="minorEastAsia" w:hAnsiTheme="minorEastAsia" w:eastAsiaTheme="minorEastAsia"/>
          <w:b/>
          <w:color w:val="auto"/>
          <w:szCs w:val="21"/>
          <w:highlight w:val="none"/>
          <w:shd w:val="clear" w:color="auto" w:fill="FFFFFF"/>
        </w:rPr>
        <w:t>时</w:t>
      </w:r>
      <w:r>
        <w:rPr>
          <w:rFonts w:hint="eastAsia" w:asciiTheme="minorEastAsia" w:hAnsiTheme="minorEastAsia" w:eastAsiaTheme="minorEastAsia"/>
          <w:b/>
          <w:color w:val="auto"/>
          <w:szCs w:val="21"/>
          <w:highlight w:val="none"/>
          <w:shd w:val="clear" w:color="auto" w:fill="FFFFFF"/>
          <w:lang w:val="en-US" w:eastAsia="zh-CN"/>
        </w:rPr>
        <w:t>3</w:t>
      </w:r>
      <w:r>
        <w:rPr>
          <w:rFonts w:hint="eastAsia" w:asciiTheme="minorEastAsia" w:hAnsiTheme="minorEastAsia" w:eastAsiaTheme="minorEastAsia"/>
          <w:b/>
          <w:color w:val="auto"/>
          <w:szCs w:val="21"/>
          <w:highlight w:val="none"/>
          <w:shd w:val="clear" w:color="auto" w:fill="FFFFFF"/>
        </w:rPr>
        <w:t>0分</w:t>
      </w:r>
      <w:r>
        <w:rPr>
          <w:rFonts w:hint="eastAsia" w:cs="宋体" w:asciiTheme="minorEastAsia" w:hAnsiTheme="minorEastAsia" w:eastAsiaTheme="minorEastAsia"/>
          <w:b/>
          <w:bCs/>
          <w:color w:val="auto"/>
          <w:szCs w:val="21"/>
          <w:highlight w:val="none"/>
        </w:rPr>
        <w:t>整</w:t>
      </w:r>
      <w:r>
        <w:rPr>
          <w:rFonts w:hint="eastAsia" w:cs="宋体" w:asciiTheme="minorEastAsia" w:hAnsiTheme="minorEastAsia" w:eastAsiaTheme="minorEastAsia"/>
          <w:bCs/>
          <w:color w:val="auto"/>
          <w:szCs w:val="21"/>
          <w:highlight w:val="none"/>
        </w:rPr>
        <w:t>前在上述时间内供应商均可获取招标文件。</w:t>
      </w:r>
    </w:p>
    <w:p w14:paraId="046A8643">
      <w:pPr>
        <w:snapToGrid w:val="0"/>
        <w:spacing w:line="360" w:lineRule="auto"/>
        <w:ind w:firstLine="210" w:firstLineChars="1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4.供应商注册网址：</w:t>
      </w:r>
    </w:p>
    <w:p w14:paraId="6DA8A050">
      <w:pPr>
        <w:snapToGrid w:val="0"/>
        <w:spacing w:line="360" w:lineRule="auto"/>
        <w:ind w:firstLine="210" w:firstLineChars="1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浙江政府采购网：</w:t>
      </w:r>
      <w:r>
        <w:rPr>
          <w:color w:val="auto"/>
          <w:highlight w:val="none"/>
        </w:rPr>
        <w:fldChar w:fldCharType="begin"/>
      </w:r>
      <w:r>
        <w:rPr>
          <w:color w:val="auto"/>
          <w:highlight w:val="none"/>
        </w:rPr>
        <w:instrText xml:space="preserve"> HYPERLINK "https://middle.zcygov.cn/settle-front/" \l "/registry" </w:instrText>
      </w:r>
      <w:r>
        <w:rPr>
          <w:color w:val="auto"/>
          <w:highlight w:val="none"/>
        </w:rPr>
        <w:fldChar w:fldCharType="separate"/>
      </w:r>
      <w:r>
        <w:rPr>
          <w:rFonts w:hint="eastAsia" w:asciiTheme="minorEastAsia" w:hAnsiTheme="minorEastAsia" w:eastAsiaTheme="minorEastAsia"/>
          <w:color w:val="auto"/>
          <w:kern w:val="2"/>
          <w:highlight w:val="none"/>
        </w:rPr>
        <w:t>https://middle.zcygov.cn/settle-front/#/registry</w:t>
      </w:r>
      <w:r>
        <w:rPr>
          <w:rFonts w:hint="eastAsia" w:asciiTheme="minorEastAsia" w:hAnsiTheme="minorEastAsia" w:eastAsiaTheme="minorEastAsia"/>
          <w:color w:val="auto"/>
          <w:kern w:val="2"/>
          <w:highlight w:val="none"/>
        </w:rPr>
        <w:fldChar w:fldCharType="end"/>
      </w:r>
    </w:p>
    <w:p w14:paraId="5B57EC7A">
      <w:pPr>
        <w:spacing w:line="360" w:lineRule="auto"/>
        <w:ind w:firstLine="422"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b/>
          <w:color w:val="auto"/>
          <w:kern w:val="2"/>
          <w:szCs w:val="21"/>
          <w:highlight w:val="none"/>
        </w:rPr>
        <w:t>政采云咨询电话：95763</w:t>
      </w:r>
      <w:r>
        <w:rPr>
          <w:rFonts w:hint="eastAsia" w:asciiTheme="minorEastAsia" w:hAnsiTheme="minorEastAsia" w:eastAsiaTheme="minorEastAsia"/>
          <w:color w:val="auto"/>
          <w:kern w:val="2"/>
          <w:szCs w:val="21"/>
          <w:highlight w:val="none"/>
        </w:rPr>
        <w:t>，政采云平台服务中心：</w:t>
      </w:r>
      <w:r>
        <w:rPr>
          <w:color w:val="auto"/>
          <w:highlight w:val="none"/>
        </w:rPr>
        <w:fldChar w:fldCharType="begin"/>
      </w:r>
      <w:r>
        <w:rPr>
          <w:color w:val="auto"/>
          <w:highlight w:val="none"/>
        </w:rPr>
        <w:instrText xml:space="preserve"> HYPERLINK "https://service.zcygov.cn/" \l "/" \t "_blank" </w:instrText>
      </w:r>
      <w:r>
        <w:rPr>
          <w:color w:val="auto"/>
          <w:highlight w:val="none"/>
        </w:rPr>
        <w:fldChar w:fldCharType="separate"/>
      </w:r>
      <w:r>
        <w:rPr>
          <w:rFonts w:hint="eastAsia" w:asciiTheme="minorEastAsia" w:hAnsiTheme="minorEastAsia" w:eastAsiaTheme="minorEastAsia"/>
          <w:color w:val="auto"/>
          <w:kern w:val="2"/>
          <w:szCs w:val="21"/>
          <w:highlight w:val="none"/>
        </w:rPr>
        <w:t>https://service.zcygov.cn/#/</w:t>
      </w:r>
      <w:r>
        <w:rPr>
          <w:rFonts w:hint="eastAsia" w:asciiTheme="minorEastAsia" w:hAnsiTheme="minorEastAsia" w:eastAsiaTheme="minorEastAsia"/>
          <w:color w:val="auto"/>
          <w:kern w:val="2"/>
          <w:szCs w:val="21"/>
          <w:highlight w:val="none"/>
        </w:rPr>
        <w:fldChar w:fldCharType="end"/>
      </w:r>
    </w:p>
    <w:p w14:paraId="51531F0C">
      <w:pPr>
        <w:spacing w:line="360" w:lineRule="auto"/>
        <w:ind w:firstLine="422" w:firstLineChars="200"/>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汇信（ＣＡ）客服电话：400-888-4636</w:t>
      </w:r>
    </w:p>
    <w:p w14:paraId="4C324255">
      <w:pPr>
        <w:pStyle w:val="516"/>
        <w:spacing w:line="360" w:lineRule="auto"/>
        <w:ind w:firstLine="210" w:firstLineChars="10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5.响应文件</w:t>
      </w:r>
      <w:r>
        <w:rPr>
          <w:rFonts w:cs="Times New Roman" w:asciiTheme="minorEastAsia" w:hAnsiTheme="minorEastAsia" w:eastAsiaTheme="minorEastAsia"/>
          <w:color w:val="auto"/>
          <w:kern w:val="2"/>
          <w:sz w:val="21"/>
          <w:szCs w:val="21"/>
          <w:highlight w:val="none"/>
        </w:rPr>
        <w:t>制作</w:t>
      </w:r>
      <w:r>
        <w:rPr>
          <w:rFonts w:hint="eastAsia" w:cs="Times New Roman" w:asciiTheme="minorEastAsia" w:hAnsiTheme="minorEastAsia" w:eastAsiaTheme="minorEastAsia"/>
          <w:color w:val="auto"/>
          <w:kern w:val="2"/>
          <w:sz w:val="21"/>
          <w:szCs w:val="21"/>
          <w:highlight w:val="none"/>
        </w:rPr>
        <w:t>注意事项：</w:t>
      </w:r>
    </w:p>
    <w:p w14:paraId="4B071FEA">
      <w:pPr>
        <w:pStyle w:val="516"/>
        <w:spacing w:line="360" w:lineRule="auto"/>
        <w:ind w:firstLine="210" w:firstLineChars="10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5.1供应商将政采云电子交易客户端下载、安装完成后，可通过账号密码或CA登录客户端进行投标文件制作。</w:t>
      </w:r>
    </w:p>
    <w:p w14:paraId="14212897">
      <w:pPr>
        <w:pStyle w:val="516"/>
        <w:spacing w:line="360" w:lineRule="auto"/>
        <w:ind w:firstLine="210" w:firstLineChars="100"/>
        <w:rPr>
          <w:rFonts w:cs="Times New Roman"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sz w:val="21"/>
          <w:szCs w:val="21"/>
          <w:highlight w:val="none"/>
          <w:shd w:val="clear" w:color="auto" w:fill="FFFFFF"/>
        </w:rPr>
        <w:t>　　</w:t>
      </w:r>
      <w:r>
        <w:rPr>
          <w:rFonts w:hint="eastAsia" w:cs="Times New Roman" w:asciiTheme="minorEastAsia" w:hAnsiTheme="minorEastAsia" w:eastAsiaTheme="minorEastAsia"/>
          <w:color w:val="auto"/>
          <w:kern w:val="2"/>
          <w:sz w:val="21"/>
          <w:szCs w:val="21"/>
          <w:highlight w:val="none"/>
        </w:rPr>
        <w:t>注：供应商先要申领CA，拿到CA后需要在政采云平台进行绑定，CA相关操作可参考《CA申领操作指南》和《CA管理操作指南》。完成CA数字证书办理在资料齐全的情况下预计7个工作日左右，建议供应商获取招标文件后立即办理。　　　</w:t>
      </w:r>
    </w:p>
    <w:p w14:paraId="2DD4E405">
      <w:pPr>
        <w:pStyle w:val="516"/>
        <w:spacing w:line="360" w:lineRule="auto"/>
        <w:ind w:left="210" w:leftChars="100" w:firstLine="105" w:firstLineChars="5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5.2电子交易操作指南：</w:t>
      </w:r>
      <w:r>
        <w:rPr>
          <w:color w:val="auto"/>
          <w:highlight w:val="none"/>
        </w:rPr>
        <w:fldChar w:fldCharType="begin"/>
      </w:r>
      <w:r>
        <w:rPr>
          <w:color w:val="auto"/>
          <w:highlight w:val="none"/>
        </w:rPr>
        <w:instrText xml:space="preserve"> HYPERLINK "https://help.zcygov.cn/web/site_2/2018/12-28/2573.html" \t "_blank" </w:instrText>
      </w:r>
      <w:r>
        <w:rPr>
          <w:color w:val="auto"/>
          <w:highlight w:val="none"/>
        </w:rPr>
        <w:fldChar w:fldCharType="separate"/>
      </w:r>
      <w:r>
        <w:rPr>
          <w:rFonts w:hint="eastAsia" w:cs="Times New Roman" w:asciiTheme="minorEastAsia" w:hAnsiTheme="minorEastAsia" w:eastAsiaTheme="minorEastAsia"/>
          <w:color w:val="auto"/>
          <w:kern w:val="2"/>
          <w:sz w:val="21"/>
          <w:szCs w:val="21"/>
          <w:highlight w:val="none"/>
        </w:rPr>
        <w:t>https://help.zcygov.cn/web/site_2/2018/12-28/2573.html</w:t>
      </w:r>
      <w:r>
        <w:rPr>
          <w:rFonts w:hint="eastAsia" w:cs="Times New Roman" w:asciiTheme="minorEastAsia" w:hAnsiTheme="minorEastAsia" w:eastAsiaTheme="minorEastAsia"/>
          <w:color w:val="auto"/>
          <w:kern w:val="2"/>
          <w:sz w:val="21"/>
          <w:szCs w:val="21"/>
          <w:highlight w:val="none"/>
        </w:rPr>
        <w:fldChar w:fldCharType="end"/>
      </w:r>
    </w:p>
    <w:p w14:paraId="79BABFB3">
      <w:pPr>
        <w:pStyle w:val="516"/>
        <w:spacing w:line="360" w:lineRule="auto"/>
        <w:ind w:left="210" w:leftChars="100" w:firstLine="105" w:firstLineChars="5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《CA申领操作指南》：</w:t>
      </w:r>
      <w:r>
        <w:rPr>
          <w:color w:val="auto"/>
          <w:highlight w:val="none"/>
        </w:rPr>
        <w:fldChar w:fldCharType="begin"/>
      </w:r>
      <w:r>
        <w:rPr>
          <w:color w:val="auto"/>
          <w:highlight w:val="none"/>
        </w:rPr>
        <w:instrText xml:space="preserve"> HYPERLINK "https://help.zcygov.cn/web/site_2/2018/11-29/2452.html" \t "_blank" </w:instrText>
      </w:r>
      <w:r>
        <w:rPr>
          <w:color w:val="auto"/>
          <w:highlight w:val="none"/>
        </w:rPr>
        <w:fldChar w:fldCharType="separate"/>
      </w:r>
      <w:r>
        <w:rPr>
          <w:rFonts w:hint="eastAsia" w:cs="Times New Roman" w:asciiTheme="minorEastAsia" w:hAnsiTheme="minorEastAsia" w:eastAsiaTheme="minorEastAsia"/>
          <w:color w:val="auto"/>
          <w:kern w:val="2"/>
          <w:sz w:val="21"/>
          <w:szCs w:val="21"/>
          <w:highlight w:val="none"/>
        </w:rPr>
        <w:t>https://help.zcygov.cn/web/site_2/2018/11-29/2452.html</w:t>
      </w:r>
      <w:r>
        <w:rPr>
          <w:rFonts w:hint="eastAsia" w:cs="Times New Roman" w:asciiTheme="minorEastAsia" w:hAnsiTheme="minorEastAsia" w:eastAsiaTheme="minorEastAsia"/>
          <w:color w:val="auto"/>
          <w:kern w:val="2"/>
          <w:sz w:val="21"/>
          <w:szCs w:val="21"/>
          <w:highlight w:val="none"/>
        </w:rPr>
        <w:fldChar w:fldCharType="end"/>
      </w:r>
    </w:p>
    <w:p w14:paraId="2CA6891D">
      <w:pPr>
        <w:pStyle w:val="516"/>
        <w:spacing w:line="360" w:lineRule="auto"/>
        <w:ind w:left="210" w:leftChars="100" w:firstLine="105" w:firstLineChars="5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《CA管理操作指南》：</w:t>
      </w:r>
      <w:r>
        <w:rPr>
          <w:color w:val="auto"/>
          <w:highlight w:val="none"/>
        </w:rPr>
        <w:fldChar w:fldCharType="begin"/>
      </w:r>
      <w:r>
        <w:rPr>
          <w:color w:val="auto"/>
          <w:highlight w:val="none"/>
        </w:rPr>
        <w:instrText xml:space="preserve"> HYPERLINK "https://help.zcygov.cn/web/site_2/2019/08-20/3405.html" \t "_blank" </w:instrText>
      </w:r>
      <w:r>
        <w:rPr>
          <w:color w:val="auto"/>
          <w:highlight w:val="none"/>
        </w:rPr>
        <w:fldChar w:fldCharType="separate"/>
      </w:r>
      <w:r>
        <w:rPr>
          <w:rFonts w:hint="eastAsia" w:cs="Times New Roman" w:asciiTheme="minorEastAsia" w:hAnsiTheme="minorEastAsia" w:eastAsiaTheme="minorEastAsia"/>
          <w:color w:val="auto"/>
          <w:kern w:val="2"/>
          <w:sz w:val="21"/>
          <w:szCs w:val="21"/>
          <w:highlight w:val="none"/>
        </w:rPr>
        <w:t>https://help.zcygov.cn/web/site_2/2019/08-20/3405.html</w:t>
      </w:r>
      <w:r>
        <w:rPr>
          <w:rFonts w:hint="eastAsia" w:cs="Times New Roman" w:asciiTheme="minorEastAsia" w:hAnsiTheme="minorEastAsia" w:eastAsiaTheme="minorEastAsia"/>
          <w:color w:val="auto"/>
          <w:kern w:val="2"/>
          <w:sz w:val="21"/>
          <w:szCs w:val="21"/>
          <w:highlight w:val="none"/>
        </w:rPr>
        <w:fldChar w:fldCharType="end"/>
      </w:r>
    </w:p>
    <w:p w14:paraId="62DE73E6">
      <w:pPr>
        <w:pStyle w:val="516"/>
        <w:spacing w:line="360" w:lineRule="auto"/>
        <w:ind w:left="210" w:leftChars="100" w:firstLine="105" w:firstLineChars="5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 xml:space="preserve">《CA驱动和申领流程》 </w:t>
      </w:r>
      <w:r>
        <w:rPr>
          <w:color w:val="auto"/>
          <w:highlight w:val="none"/>
        </w:rPr>
        <w:fldChar w:fldCharType="begin"/>
      </w:r>
      <w:r>
        <w:rPr>
          <w:color w:val="auto"/>
          <w:highlight w:val="none"/>
        </w:rPr>
        <w:instrText xml:space="preserve"> HYPERLINK "http://www.zjzfcg.gov.cn/bidClientTemplate/2019-05-27/12945.html" \t "_blank" </w:instrText>
      </w:r>
      <w:r>
        <w:rPr>
          <w:color w:val="auto"/>
          <w:highlight w:val="none"/>
        </w:rPr>
        <w:fldChar w:fldCharType="separate"/>
      </w:r>
      <w:r>
        <w:rPr>
          <w:rFonts w:hint="eastAsia" w:cs="Times New Roman" w:asciiTheme="minorEastAsia" w:hAnsiTheme="minorEastAsia" w:eastAsiaTheme="minorEastAsia"/>
          <w:color w:val="auto"/>
          <w:kern w:val="2"/>
          <w:sz w:val="21"/>
          <w:szCs w:val="21"/>
          <w:highlight w:val="none"/>
        </w:rPr>
        <w:t>http://www.zjzfcg.gov.cn/bidClientTemplate/2019-05-27/12945.html</w:t>
      </w:r>
      <w:r>
        <w:rPr>
          <w:rFonts w:hint="eastAsia" w:cs="Times New Roman" w:asciiTheme="minorEastAsia" w:hAnsiTheme="minorEastAsia" w:eastAsiaTheme="minorEastAsia"/>
          <w:color w:val="auto"/>
          <w:kern w:val="2"/>
          <w:sz w:val="21"/>
          <w:szCs w:val="21"/>
          <w:highlight w:val="none"/>
        </w:rPr>
        <w:fldChar w:fldCharType="end"/>
      </w:r>
    </w:p>
    <w:p w14:paraId="0E72C833">
      <w:pPr>
        <w:pStyle w:val="516"/>
        <w:spacing w:line="360" w:lineRule="auto"/>
        <w:ind w:left="210" w:leftChars="100" w:firstLine="105" w:firstLineChars="5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注：ＣＡ证书遗失补办、延期、解锁、质保等业务可以在联连客户端上进行操作；使用政采云投标客户端时，建议使用WIN7及以上操作系统。</w:t>
      </w:r>
    </w:p>
    <w:p w14:paraId="3B3A9225">
      <w:pPr>
        <w:pStyle w:val="516"/>
        <w:spacing w:line="360" w:lineRule="auto"/>
        <w:rPr>
          <w:rFonts w:cs="Times New Roman" w:asciiTheme="minorEastAsia" w:hAnsiTheme="minorEastAsia" w:eastAsiaTheme="minorEastAsia"/>
          <w:b/>
          <w:color w:val="auto"/>
          <w:kern w:val="2"/>
          <w:sz w:val="21"/>
          <w:szCs w:val="21"/>
          <w:highlight w:val="none"/>
        </w:rPr>
      </w:pPr>
      <w:r>
        <w:rPr>
          <w:rFonts w:hint="eastAsia" w:cs="Times New Roman" w:asciiTheme="minorEastAsia" w:hAnsiTheme="minorEastAsia" w:eastAsiaTheme="minorEastAsia"/>
          <w:b/>
          <w:color w:val="auto"/>
          <w:kern w:val="2"/>
          <w:sz w:val="21"/>
          <w:szCs w:val="21"/>
          <w:highlight w:val="none"/>
        </w:rPr>
        <w:t>十、注意事项</w:t>
      </w:r>
    </w:p>
    <w:p w14:paraId="3B251F3F">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1.供应商进行电子投标应安装客户端软件，并按照招标文件和电子交易平台的要求编制并加密投标文件。供应商未按规定加密的投标文件，代理机构应当拒收。</w:t>
      </w:r>
    </w:p>
    <w:p w14:paraId="22FE96BE">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供应商应当在提交首次响应文件截止时间前完成电子响应文件的传输，提交首次响应文件截止时间前可以补充、修改或者撤回电子响应文件。补充或者修改电子响应文件的，应当先行撤回原文件，补充、修改后重新传输递交。提交首次响应文件截止时间前未完成传输的，视为撤回响应文件。投标截止时间后提交的响应文件，视为无效。</w:t>
      </w:r>
    </w:p>
    <w:p w14:paraId="45495EA3">
      <w:pPr>
        <w:spacing w:before="120" w:beforeLines="50" w:after="120" w:afterLines="50"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b/>
          <w:color w:val="auto"/>
          <w:kern w:val="2"/>
          <w:szCs w:val="21"/>
          <w:highlight w:val="none"/>
        </w:rPr>
        <w:t>十一、磋商公告发布于</w:t>
      </w:r>
      <w:r>
        <w:rPr>
          <w:rFonts w:hint="eastAsia" w:asciiTheme="minorEastAsia" w:hAnsiTheme="minorEastAsia" w:eastAsiaTheme="minorEastAsia"/>
          <w:color w:val="auto"/>
          <w:kern w:val="2"/>
          <w:szCs w:val="21"/>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66"/>
          <w:rFonts w:asciiTheme="minorEastAsia" w:hAnsiTheme="minorEastAsia" w:eastAsiaTheme="minorEastAsia"/>
          <w:color w:val="auto"/>
          <w:kern w:val="2"/>
          <w:szCs w:val="21"/>
          <w:highlight w:val="none"/>
        </w:rPr>
        <w:t>http://www.zjzfcg.gov.cn/</w:t>
      </w:r>
      <w:r>
        <w:rPr>
          <w:rStyle w:val="66"/>
          <w:rFonts w:asciiTheme="minorEastAsia" w:hAnsiTheme="minorEastAsia" w:eastAsiaTheme="minorEastAsia"/>
          <w:color w:val="auto"/>
          <w:kern w:val="2"/>
          <w:szCs w:val="21"/>
          <w:highlight w:val="none"/>
        </w:rPr>
        <w:fldChar w:fldCharType="end"/>
      </w:r>
      <w:r>
        <w:rPr>
          <w:rFonts w:hint="eastAsia" w:asciiTheme="minorEastAsia" w:hAnsiTheme="minorEastAsia" w:eastAsiaTheme="minorEastAsia"/>
          <w:color w:val="auto"/>
          <w:kern w:val="2"/>
          <w:szCs w:val="21"/>
          <w:highlight w:val="none"/>
        </w:rPr>
        <w:t>)。</w:t>
      </w:r>
    </w:p>
    <w:p w14:paraId="57332F0B">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kern w:val="2"/>
          <w:szCs w:val="21"/>
          <w:highlight w:val="none"/>
        </w:rPr>
        <w:t>十二、开标时间及地点：</w:t>
      </w:r>
      <w:r>
        <w:rPr>
          <w:rFonts w:hint="eastAsia" w:cs="Arial" w:asciiTheme="minorEastAsia" w:hAnsiTheme="minorEastAsia" w:eastAsiaTheme="minorEastAsia"/>
          <w:color w:val="auto"/>
          <w:szCs w:val="21"/>
          <w:highlight w:val="none"/>
        </w:rPr>
        <w:t>本次招标将于</w:t>
      </w:r>
      <w:r>
        <w:rPr>
          <w:rFonts w:hint="eastAsia" w:asciiTheme="minorEastAsia" w:hAnsiTheme="minorEastAsia" w:eastAsiaTheme="minorEastAsia"/>
          <w:b/>
          <w:color w:val="auto"/>
          <w:szCs w:val="21"/>
          <w:highlight w:val="none"/>
          <w:shd w:val="clear" w:color="auto" w:fill="FFFFFF"/>
          <w:lang w:eastAsia="zh-CN"/>
        </w:rPr>
        <w:t>2024年8月20日</w:t>
      </w:r>
      <w:r>
        <w:rPr>
          <w:rFonts w:hint="eastAsia" w:asciiTheme="minorEastAsia" w:hAnsiTheme="minorEastAsia" w:eastAsiaTheme="minorEastAsia"/>
          <w:b/>
          <w:color w:val="auto"/>
          <w:szCs w:val="21"/>
          <w:highlight w:val="none"/>
          <w:shd w:val="clear" w:color="auto" w:fill="FFFFFF"/>
          <w:lang w:val="en-US" w:eastAsia="zh-CN"/>
        </w:rPr>
        <w:t>09</w:t>
      </w:r>
      <w:r>
        <w:rPr>
          <w:rFonts w:hint="eastAsia" w:asciiTheme="minorEastAsia" w:hAnsiTheme="minorEastAsia" w:eastAsiaTheme="minorEastAsia"/>
          <w:b/>
          <w:color w:val="auto"/>
          <w:szCs w:val="21"/>
          <w:highlight w:val="none"/>
          <w:shd w:val="clear" w:color="auto" w:fill="FFFFFF"/>
        </w:rPr>
        <w:t>时</w:t>
      </w:r>
      <w:r>
        <w:rPr>
          <w:rFonts w:hint="eastAsia" w:asciiTheme="minorEastAsia" w:hAnsiTheme="minorEastAsia" w:eastAsiaTheme="minorEastAsia"/>
          <w:b/>
          <w:color w:val="auto"/>
          <w:szCs w:val="21"/>
          <w:highlight w:val="none"/>
          <w:shd w:val="clear" w:color="auto" w:fill="FFFFFF"/>
          <w:lang w:val="en-US" w:eastAsia="zh-CN"/>
        </w:rPr>
        <w:t>3</w:t>
      </w:r>
      <w:r>
        <w:rPr>
          <w:rFonts w:hint="eastAsia" w:asciiTheme="minorEastAsia" w:hAnsiTheme="minorEastAsia" w:eastAsiaTheme="minorEastAsia"/>
          <w:b/>
          <w:color w:val="auto"/>
          <w:szCs w:val="21"/>
          <w:highlight w:val="none"/>
          <w:shd w:val="clear" w:color="auto" w:fill="FFFFFF"/>
        </w:rPr>
        <w:t>0分</w:t>
      </w:r>
      <w:r>
        <w:rPr>
          <w:rFonts w:hint="eastAsia" w:cs="宋体" w:asciiTheme="minorEastAsia" w:hAnsiTheme="minorEastAsia" w:eastAsiaTheme="minorEastAsia"/>
          <w:b/>
          <w:bCs/>
          <w:color w:val="auto"/>
          <w:szCs w:val="21"/>
          <w:highlight w:val="none"/>
        </w:rPr>
        <w:t>整</w:t>
      </w:r>
      <w:r>
        <w:rPr>
          <w:rFonts w:hint="eastAsia" w:asciiTheme="minorEastAsia" w:hAnsiTheme="minorEastAsia" w:eastAsiaTheme="minorEastAsia"/>
          <w:color w:val="auto"/>
          <w:kern w:val="2"/>
          <w:szCs w:val="21"/>
          <w:highlight w:val="none"/>
        </w:rPr>
        <w:t>在浙江省浙江省嘉兴市秀洲区</w:t>
      </w:r>
      <w:r>
        <w:rPr>
          <w:rFonts w:hint="eastAsia" w:asciiTheme="minorEastAsia" w:hAnsiTheme="minorEastAsia" w:eastAsiaTheme="minorEastAsia"/>
          <w:color w:val="auto"/>
          <w:kern w:val="2"/>
          <w:szCs w:val="21"/>
          <w:highlight w:val="none"/>
          <w:lang w:eastAsia="zh-CN"/>
        </w:rPr>
        <w:t>洪兴路</w:t>
      </w:r>
      <w:r>
        <w:rPr>
          <w:rFonts w:hint="eastAsia" w:asciiTheme="minorEastAsia" w:hAnsiTheme="minorEastAsia" w:eastAsiaTheme="minorEastAsia"/>
          <w:color w:val="auto"/>
          <w:kern w:val="2"/>
          <w:szCs w:val="21"/>
          <w:highlight w:val="none"/>
          <w:lang w:val="en-US" w:eastAsia="zh-CN"/>
        </w:rPr>
        <w:t>2399号宝地大厦15楼1506室</w:t>
      </w:r>
      <w:r>
        <w:rPr>
          <w:rFonts w:hint="eastAsia" w:asciiTheme="minorEastAsia" w:hAnsiTheme="minorEastAsia" w:eastAsiaTheme="minorEastAsia"/>
          <w:color w:val="auto"/>
          <w:kern w:val="2"/>
          <w:szCs w:val="21"/>
          <w:highlight w:val="none"/>
        </w:rPr>
        <w:t>。</w:t>
      </w:r>
      <w:r>
        <w:rPr>
          <w:rFonts w:hint="eastAsia" w:asciiTheme="minorEastAsia" w:hAnsiTheme="minorEastAsia" w:eastAsiaTheme="minorEastAsia"/>
          <w:b/>
          <w:color w:val="auto"/>
          <w:szCs w:val="21"/>
          <w:highlight w:val="none"/>
          <w:u w:val="single"/>
        </w:rPr>
        <w:t>供应商无需到开标现场，但须准时在线参加，直至评审结束</w:t>
      </w:r>
      <w:r>
        <w:rPr>
          <w:rFonts w:hint="eastAsia" w:asciiTheme="minorEastAsia" w:hAnsiTheme="minorEastAsia" w:eastAsiaTheme="minorEastAsia"/>
          <w:b/>
          <w:color w:val="auto"/>
          <w:szCs w:val="21"/>
          <w:highlight w:val="none"/>
        </w:rPr>
        <w:t>。</w:t>
      </w:r>
      <w:r>
        <w:rPr>
          <w:rFonts w:hint="eastAsia" w:cs="Arial" w:asciiTheme="minorEastAsia" w:hAnsiTheme="minorEastAsia" w:eastAsiaTheme="minorEastAsia"/>
          <w:color w:val="auto"/>
          <w:szCs w:val="21"/>
          <w:highlight w:val="none"/>
        </w:rPr>
        <w:t>开标时间后半小时内（</w:t>
      </w:r>
      <w:r>
        <w:rPr>
          <w:rFonts w:hint="eastAsia" w:asciiTheme="minorEastAsia" w:hAnsiTheme="minorEastAsia" w:eastAsiaTheme="minorEastAsia"/>
          <w:b/>
          <w:color w:val="auto"/>
          <w:szCs w:val="21"/>
          <w:highlight w:val="none"/>
          <w:shd w:val="clear" w:color="auto" w:fill="FFFFFF"/>
          <w:lang w:eastAsia="zh-CN"/>
        </w:rPr>
        <w:t>2024年8月20日</w:t>
      </w:r>
      <w:r>
        <w:rPr>
          <w:rFonts w:hint="eastAsia" w:asciiTheme="minorEastAsia" w:hAnsiTheme="minorEastAsia" w:eastAsiaTheme="minorEastAsia"/>
          <w:b/>
          <w:color w:val="auto"/>
          <w:szCs w:val="21"/>
          <w:highlight w:val="none"/>
          <w:shd w:val="clear" w:color="auto" w:fill="FFFFFF"/>
          <w:lang w:val="en-US" w:eastAsia="zh-CN"/>
        </w:rPr>
        <w:t>10</w:t>
      </w:r>
      <w:r>
        <w:rPr>
          <w:rFonts w:hint="eastAsia" w:asciiTheme="minorEastAsia" w:hAnsiTheme="minorEastAsia" w:eastAsiaTheme="minorEastAsia"/>
          <w:b/>
          <w:color w:val="auto"/>
          <w:szCs w:val="21"/>
          <w:highlight w:val="none"/>
          <w:shd w:val="clear" w:color="auto" w:fill="FFFFFF"/>
        </w:rPr>
        <w:t>时</w:t>
      </w:r>
      <w:r>
        <w:rPr>
          <w:rFonts w:hint="eastAsia" w:asciiTheme="minorEastAsia" w:hAnsiTheme="minorEastAsia" w:eastAsiaTheme="minorEastAsia"/>
          <w:b/>
          <w:color w:val="auto"/>
          <w:szCs w:val="21"/>
          <w:highlight w:val="none"/>
          <w:shd w:val="clear" w:color="auto" w:fill="FFFFFF"/>
          <w:lang w:val="en-US" w:eastAsia="zh-CN"/>
        </w:rPr>
        <w:t>0</w:t>
      </w:r>
      <w:r>
        <w:rPr>
          <w:rFonts w:hint="eastAsia" w:asciiTheme="minorEastAsia" w:hAnsiTheme="minorEastAsia" w:eastAsiaTheme="minorEastAsia"/>
          <w:b/>
          <w:color w:val="auto"/>
          <w:szCs w:val="21"/>
          <w:highlight w:val="none"/>
          <w:shd w:val="clear" w:color="auto" w:fill="FFFFFF"/>
        </w:rPr>
        <w:t>0分</w:t>
      </w:r>
      <w:r>
        <w:rPr>
          <w:rFonts w:hint="eastAsia" w:cs="Arial" w:asciiTheme="minorEastAsia" w:hAnsiTheme="minorEastAsia" w:eastAsiaTheme="minorEastAsia"/>
          <w:b/>
          <w:color w:val="auto"/>
          <w:szCs w:val="21"/>
          <w:highlight w:val="none"/>
        </w:rPr>
        <w:t>前</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供应商可以登录“</w:t>
      </w:r>
      <w:r>
        <w:rPr>
          <w:rFonts w:hint="eastAsia" w:cs="Arial" w:asciiTheme="minorEastAsia" w:hAnsiTheme="minorEastAsia" w:eastAsiaTheme="minorEastAsia"/>
          <w:color w:val="auto"/>
          <w:szCs w:val="21"/>
          <w:highlight w:val="none"/>
        </w:rPr>
        <w:t>政采云</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平台</w:t>
      </w:r>
      <w:r>
        <w:rPr>
          <w:rFonts w:cs="Arial" w:asciiTheme="minorEastAsia" w:hAnsiTheme="minorEastAsia" w:eastAsiaTheme="minorEastAsia"/>
          <w:color w:val="auto"/>
          <w:szCs w:val="21"/>
          <w:highlight w:val="none"/>
        </w:rPr>
        <w:t>，用“</w:t>
      </w:r>
      <w:r>
        <w:rPr>
          <w:rFonts w:hint="eastAsia" w:cs="Arial" w:asciiTheme="minorEastAsia" w:hAnsiTheme="minorEastAsia" w:eastAsiaTheme="minorEastAsia"/>
          <w:color w:val="auto"/>
          <w:szCs w:val="21"/>
          <w:highlight w:val="none"/>
        </w:rPr>
        <w:t>项目采购-开标评标</w:t>
      </w:r>
      <w:r>
        <w:rPr>
          <w:rFonts w:cs="Arial" w:asciiTheme="minorEastAsia" w:hAnsiTheme="minorEastAsia" w:eastAsiaTheme="minorEastAsia"/>
          <w:color w:val="auto"/>
          <w:szCs w:val="21"/>
          <w:highlight w:val="none"/>
        </w:rPr>
        <w:t>”功能</w:t>
      </w:r>
      <w:r>
        <w:rPr>
          <w:rFonts w:hint="eastAsia" w:cs="Arial" w:asciiTheme="minorEastAsia" w:hAnsiTheme="minorEastAsia" w:eastAsiaTheme="minorEastAsia"/>
          <w:color w:val="auto"/>
          <w:szCs w:val="21"/>
          <w:highlight w:val="none"/>
        </w:rPr>
        <w:t>进行解密投标文件</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若供应商在规定时间内（</w:t>
      </w:r>
      <w:r>
        <w:rPr>
          <w:rFonts w:hint="eastAsia" w:asciiTheme="minorEastAsia" w:hAnsiTheme="minorEastAsia" w:eastAsiaTheme="minorEastAsia"/>
          <w:b/>
          <w:color w:val="auto"/>
          <w:szCs w:val="21"/>
          <w:highlight w:val="none"/>
          <w:shd w:val="clear" w:color="auto" w:fill="FFFFFF"/>
          <w:lang w:eastAsia="zh-CN"/>
        </w:rPr>
        <w:t>2024年8月20日</w:t>
      </w:r>
      <w:r>
        <w:rPr>
          <w:rFonts w:hint="eastAsia" w:asciiTheme="minorEastAsia" w:hAnsiTheme="minorEastAsia" w:eastAsiaTheme="minorEastAsia"/>
          <w:b/>
          <w:color w:val="auto"/>
          <w:szCs w:val="21"/>
          <w:highlight w:val="none"/>
          <w:shd w:val="clear" w:color="auto" w:fill="FFFFFF"/>
          <w:lang w:val="en-US" w:eastAsia="zh-CN"/>
        </w:rPr>
        <w:t>15</w:t>
      </w:r>
      <w:r>
        <w:rPr>
          <w:rFonts w:hint="eastAsia" w:asciiTheme="minorEastAsia" w:hAnsiTheme="minorEastAsia" w:eastAsiaTheme="minorEastAsia"/>
          <w:b/>
          <w:color w:val="auto"/>
          <w:szCs w:val="21"/>
          <w:highlight w:val="none"/>
          <w:shd w:val="clear" w:color="auto" w:fill="FFFFFF"/>
        </w:rPr>
        <w:t>时</w:t>
      </w:r>
      <w:r>
        <w:rPr>
          <w:rFonts w:hint="eastAsia" w:asciiTheme="minorEastAsia" w:hAnsiTheme="minorEastAsia" w:eastAsiaTheme="minorEastAsia"/>
          <w:b/>
          <w:color w:val="auto"/>
          <w:szCs w:val="21"/>
          <w:highlight w:val="none"/>
          <w:shd w:val="clear" w:color="auto" w:fill="FFFFFF"/>
          <w:lang w:val="en-US" w:eastAsia="zh-CN"/>
        </w:rPr>
        <w:t>0</w:t>
      </w:r>
      <w:r>
        <w:rPr>
          <w:rFonts w:hint="eastAsia" w:asciiTheme="minorEastAsia" w:hAnsiTheme="minorEastAsia" w:eastAsiaTheme="minorEastAsia"/>
          <w:b/>
          <w:color w:val="auto"/>
          <w:szCs w:val="21"/>
          <w:highlight w:val="none"/>
          <w:shd w:val="clear" w:color="auto" w:fill="FFFFFF"/>
        </w:rPr>
        <w:t>0分</w:t>
      </w:r>
      <w:r>
        <w:rPr>
          <w:rFonts w:hint="eastAsia" w:cs="Arial" w:asciiTheme="minorEastAsia" w:hAnsiTheme="minorEastAsia" w:eastAsiaTheme="minorEastAsia"/>
          <w:b/>
          <w:color w:val="auto"/>
          <w:szCs w:val="21"/>
          <w:highlight w:val="none"/>
        </w:rPr>
        <w:t>前</w:t>
      </w:r>
      <w:r>
        <w:rPr>
          <w:rFonts w:hint="eastAsia" w:cs="Arial" w:asciiTheme="minorEastAsia" w:hAnsiTheme="minorEastAsia" w:eastAsiaTheme="minorEastAsia"/>
          <w:color w:val="auto"/>
          <w:szCs w:val="21"/>
          <w:highlight w:val="none"/>
        </w:rPr>
        <w:t>）投</w:t>
      </w:r>
      <w:r>
        <w:rPr>
          <w:rFonts w:cs="Arial" w:asciiTheme="minorEastAsia" w:hAnsiTheme="minorEastAsia" w:eastAsiaTheme="minorEastAsia"/>
          <w:color w:val="auto"/>
          <w:szCs w:val="21"/>
          <w:highlight w:val="none"/>
        </w:rPr>
        <w:t>标文件</w:t>
      </w:r>
      <w:r>
        <w:rPr>
          <w:rFonts w:hint="eastAsia" w:cs="Arial" w:asciiTheme="minorEastAsia" w:hAnsiTheme="minorEastAsia" w:eastAsiaTheme="minorEastAsia"/>
          <w:color w:val="auto"/>
          <w:szCs w:val="21"/>
          <w:highlight w:val="none"/>
        </w:rPr>
        <w:t>无法解密或解密失败</w:t>
      </w:r>
      <w:r>
        <w:rPr>
          <w:rFonts w:cs="Arial" w:asciiTheme="minorEastAsia" w:hAnsiTheme="minorEastAsia" w:eastAsiaTheme="minorEastAsia"/>
          <w:color w:val="auto"/>
          <w:szCs w:val="21"/>
          <w:highlight w:val="none"/>
        </w:rPr>
        <w:t>（含未</w:t>
      </w:r>
      <w:r>
        <w:rPr>
          <w:rFonts w:hint="eastAsia" w:cs="Arial" w:asciiTheme="minorEastAsia" w:hAnsiTheme="minorEastAsia" w:eastAsiaTheme="minorEastAsia"/>
          <w:color w:val="auto"/>
          <w:szCs w:val="21"/>
          <w:highlight w:val="none"/>
        </w:rPr>
        <w:t>提交</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则投标无效。</w:t>
      </w:r>
    </w:p>
    <w:p w14:paraId="40DA4013">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十三、采购人</w:t>
      </w:r>
    </w:p>
    <w:p w14:paraId="75937BF6">
      <w:pPr>
        <w:snapToGrid w:val="0"/>
        <w:spacing w:line="360" w:lineRule="auto"/>
        <w:rPr>
          <w:rFonts w:hint="eastAsia" w:asciiTheme="minorEastAsia" w:hAnsiTheme="minorEastAsia" w:eastAsiaTheme="minorEastAsia"/>
          <w:b/>
          <w:color w:val="auto"/>
          <w:kern w:val="2"/>
          <w:szCs w:val="21"/>
          <w:highlight w:val="none"/>
          <w:lang w:eastAsia="zh-CN"/>
        </w:rPr>
      </w:pPr>
      <w:r>
        <w:rPr>
          <w:rFonts w:hint="eastAsia" w:asciiTheme="minorEastAsia" w:hAnsiTheme="minorEastAsia" w:eastAsiaTheme="minorEastAsia"/>
          <w:b/>
          <w:color w:val="auto"/>
          <w:kern w:val="2"/>
          <w:szCs w:val="21"/>
          <w:highlight w:val="none"/>
        </w:rPr>
        <w:t>采购单位：</w:t>
      </w:r>
      <w:r>
        <w:rPr>
          <w:rFonts w:hint="eastAsia" w:asciiTheme="minorEastAsia" w:hAnsiTheme="minorEastAsia" w:eastAsiaTheme="minorEastAsia"/>
          <w:b/>
          <w:color w:val="auto"/>
          <w:kern w:val="2"/>
          <w:szCs w:val="21"/>
          <w:highlight w:val="none"/>
          <w:lang w:eastAsia="zh-CN"/>
        </w:rPr>
        <w:t>嘉兴市交通运输行政执法队</w:t>
      </w:r>
    </w:p>
    <w:p w14:paraId="3A435F12">
      <w:pPr>
        <w:spacing w:line="360" w:lineRule="auto"/>
        <w:rPr>
          <w:rFonts w:asciiTheme="minorEastAsia" w:hAnsiTheme="minorEastAsia" w:eastAsiaTheme="minorEastAsia"/>
          <w:color w:val="auto"/>
          <w:szCs w:val="21"/>
          <w:highlight w:val="none"/>
        </w:rPr>
      </w:pPr>
      <w:bookmarkStart w:id="2" w:name="_Toc5218"/>
      <w:bookmarkStart w:id="3" w:name="_Toc31529"/>
      <w:bookmarkStart w:id="4" w:name="_Toc528441152"/>
      <w:r>
        <w:rPr>
          <w:rFonts w:hint="eastAsia" w:asciiTheme="minorEastAsia" w:hAnsiTheme="minorEastAsia" w:eastAsiaTheme="minorEastAsia"/>
          <w:color w:val="auto"/>
          <w:szCs w:val="21"/>
          <w:highlight w:val="none"/>
        </w:rPr>
        <w:t>联系人：</w:t>
      </w:r>
      <w:r>
        <w:rPr>
          <w:rFonts w:hint="eastAsia" w:asciiTheme="minorEastAsia" w:hAnsiTheme="minorEastAsia" w:eastAsiaTheme="minorEastAsia"/>
          <w:color w:val="auto"/>
          <w:szCs w:val="21"/>
          <w:highlight w:val="none"/>
          <w:lang w:val="en-US" w:eastAsia="zh-CN"/>
        </w:rPr>
        <w:t>吴</w:t>
      </w:r>
      <w:r>
        <w:rPr>
          <w:rFonts w:hint="eastAsia" w:asciiTheme="minorEastAsia" w:hAnsiTheme="minorEastAsia" w:eastAsiaTheme="minorEastAsia"/>
          <w:color w:val="auto"/>
          <w:szCs w:val="21"/>
          <w:highlight w:val="none"/>
        </w:rPr>
        <w:t xml:space="preserve">先生           </w:t>
      </w:r>
    </w:p>
    <w:p w14:paraId="45AF5EA5">
      <w:pPr>
        <w:spacing w:line="360" w:lineRule="auto"/>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地    址：</w:t>
      </w:r>
      <w:r>
        <w:rPr>
          <w:rFonts w:hint="eastAsia" w:ascii="宋体" w:hAnsi="宋体" w:cs="宋体"/>
          <w:color w:val="auto"/>
          <w:sz w:val="21"/>
          <w:szCs w:val="21"/>
          <w:highlight w:val="none"/>
          <w:lang w:val="en-US" w:eastAsia="zh-CN"/>
        </w:rPr>
        <w:t>嘉兴市中环西路709号</w:t>
      </w:r>
    </w:p>
    <w:p w14:paraId="362B6728">
      <w:pPr>
        <w:spacing w:line="360" w:lineRule="auto"/>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联系电话：</w:t>
      </w:r>
      <w:r>
        <w:rPr>
          <w:rFonts w:hint="eastAsia" w:asciiTheme="minorEastAsia" w:hAnsiTheme="minorEastAsia" w:eastAsiaTheme="minorEastAsia"/>
          <w:color w:val="auto"/>
          <w:szCs w:val="21"/>
          <w:highlight w:val="none"/>
          <w:lang w:val="en-US" w:eastAsia="zh-CN"/>
        </w:rPr>
        <w:t xml:space="preserve">0573-82627217 </w:t>
      </w:r>
    </w:p>
    <w:p w14:paraId="7E01E4C9">
      <w:pPr>
        <w:spacing w:line="360" w:lineRule="auto"/>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color w:val="auto"/>
          <w:szCs w:val="21"/>
          <w:highlight w:val="none"/>
        </w:rPr>
        <w:t>十四、代理机构</w:t>
      </w:r>
    </w:p>
    <w:p w14:paraId="32B9A6DC">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名称：嘉兴市银建工程咨询评估有限公司</w:t>
      </w:r>
    </w:p>
    <w:p w14:paraId="3E8929BF">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地址：嘉兴市洪兴路2399号宝地大厦1205室</w:t>
      </w:r>
    </w:p>
    <w:p w14:paraId="0FF3E418">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传    真：/             </w:t>
      </w:r>
    </w:p>
    <w:p w14:paraId="1C20FC31">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项目联系人（询问）：</w:t>
      </w:r>
      <w:r>
        <w:rPr>
          <w:rFonts w:hint="eastAsia" w:asciiTheme="minorEastAsia" w:hAnsiTheme="minorEastAsia" w:eastAsiaTheme="minorEastAsia"/>
          <w:color w:val="auto"/>
          <w:szCs w:val="21"/>
          <w:highlight w:val="none"/>
          <w:lang w:val="en-US" w:eastAsia="zh-CN"/>
        </w:rPr>
        <w:t>谢烨晖</w:t>
      </w:r>
      <w:r>
        <w:rPr>
          <w:rFonts w:hint="eastAsia" w:asciiTheme="minorEastAsia" w:hAnsiTheme="minorEastAsia" w:eastAsiaTheme="minorEastAsia"/>
          <w:color w:val="auto"/>
          <w:szCs w:val="21"/>
          <w:highlight w:val="none"/>
        </w:rPr>
        <w:t xml:space="preserve"> </w:t>
      </w:r>
    </w:p>
    <w:p w14:paraId="6D489E96">
      <w:pPr>
        <w:spacing w:line="360" w:lineRule="auto"/>
        <w:rPr>
          <w:rFonts w:hint="default" w:asciiTheme="minorEastAsia" w:hAnsiTheme="minorEastAsia" w:eastAsiaTheme="minorEastAsia"/>
          <w:color w:val="auto"/>
          <w:szCs w:val="21"/>
          <w:highlight w:val="none"/>
          <w:lang w:val="en-US" w:eastAsia="zh-CN"/>
        </w:rPr>
      </w:pPr>
      <w:r>
        <w:rPr>
          <w:rFonts w:asciiTheme="minorEastAsia" w:hAnsiTheme="minorEastAsia" w:eastAsiaTheme="minorEastAsia"/>
          <w:color w:val="auto"/>
          <w:szCs w:val="21"/>
          <w:highlight w:val="none"/>
        </w:rPr>
        <w:t>项目联系方式（询问）：</w:t>
      </w:r>
      <w:r>
        <w:rPr>
          <w:rFonts w:hint="eastAsia" w:asciiTheme="minorEastAsia" w:hAnsiTheme="minorEastAsia" w:eastAsiaTheme="minorEastAsia"/>
          <w:color w:val="auto"/>
          <w:szCs w:val="21"/>
          <w:highlight w:val="none"/>
          <w:lang w:val="en-US" w:eastAsia="zh-CN"/>
        </w:rPr>
        <w:t>15869399512</w:t>
      </w:r>
    </w:p>
    <w:p w14:paraId="5501BF98">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质疑联系人：</w:t>
      </w:r>
      <w:r>
        <w:rPr>
          <w:rFonts w:hint="eastAsia" w:asciiTheme="minorEastAsia" w:hAnsiTheme="minorEastAsia" w:eastAsiaTheme="minorEastAsia"/>
          <w:color w:val="auto"/>
          <w:szCs w:val="21"/>
          <w:highlight w:val="none"/>
        </w:rPr>
        <w:t xml:space="preserve"> 李祺琛</w:t>
      </w:r>
    </w:p>
    <w:p w14:paraId="17D2E460">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质疑联系方式：</w:t>
      </w:r>
      <w:r>
        <w:rPr>
          <w:rFonts w:hint="eastAsia" w:asciiTheme="minorEastAsia" w:hAnsiTheme="minorEastAsia" w:eastAsiaTheme="minorEastAsia"/>
          <w:color w:val="auto"/>
          <w:szCs w:val="21"/>
          <w:highlight w:val="none"/>
        </w:rPr>
        <w:t xml:space="preserve"> 18006615280</w:t>
      </w:r>
    </w:p>
    <w:p w14:paraId="42DEBDBD">
      <w:pPr>
        <w:numPr>
          <w:ilvl w:val="0"/>
          <w:numId w:val="4"/>
        </w:numPr>
        <w:snapToGrid w:val="0"/>
        <w:spacing w:line="360" w:lineRule="auto"/>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bCs/>
          <w:color w:val="auto"/>
          <w:szCs w:val="21"/>
          <w:highlight w:val="none"/>
        </w:rPr>
        <w:t>政府采购监督管理部门：</w:t>
      </w:r>
    </w:p>
    <w:p w14:paraId="4B71F064">
      <w:pPr>
        <w:snapToGrid w:val="0"/>
        <w:spacing w:line="360" w:lineRule="auto"/>
        <w:rPr>
          <w:rFonts w:hint="eastAsia" w:cs="Arial" w:asciiTheme="minorEastAsia" w:hAnsiTheme="minorEastAsia" w:eastAsiaTheme="minorEastAsia"/>
          <w:bCs/>
          <w:color w:val="auto"/>
          <w:szCs w:val="21"/>
          <w:highlight w:val="none"/>
          <w:lang w:eastAsia="zh-CN"/>
        </w:rPr>
      </w:pPr>
      <w:r>
        <w:rPr>
          <w:rFonts w:hint="eastAsia" w:cs="Arial" w:asciiTheme="minorEastAsia" w:hAnsiTheme="minorEastAsia" w:eastAsiaTheme="minorEastAsia"/>
          <w:bCs/>
          <w:color w:val="auto"/>
          <w:szCs w:val="21"/>
          <w:highlight w:val="none"/>
        </w:rPr>
        <w:t>名    称：</w:t>
      </w:r>
      <w:r>
        <w:rPr>
          <w:rFonts w:hint="eastAsia" w:cs="Arial" w:asciiTheme="minorEastAsia" w:hAnsiTheme="minorEastAsia" w:eastAsiaTheme="minorEastAsia"/>
          <w:bCs/>
          <w:color w:val="auto"/>
          <w:szCs w:val="21"/>
          <w:highlight w:val="none"/>
          <w:lang w:eastAsia="zh-CN"/>
        </w:rPr>
        <w:t>嘉兴市财政局</w:t>
      </w:r>
    </w:p>
    <w:p w14:paraId="4132B153">
      <w:pPr>
        <w:snapToGrid w:val="0"/>
        <w:spacing w:line="360" w:lineRule="auto"/>
        <w:rPr>
          <w:rFonts w:hint="default" w:cs="Arial" w:asciiTheme="minorEastAsia" w:hAnsiTheme="minorEastAsia" w:eastAsiaTheme="minorEastAsia"/>
          <w:bCs/>
          <w:color w:val="auto"/>
          <w:szCs w:val="21"/>
          <w:highlight w:val="none"/>
          <w:lang w:val="en-US" w:eastAsia="zh-CN"/>
        </w:rPr>
      </w:pPr>
      <w:r>
        <w:rPr>
          <w:rFonts w:hint="eastAsia" w:cs="Arial" w:asciiTheme="minorEastAsia" w:hAnsiTheme="minorEastAsia" w:eastAsiaTheme="minorEastAsia"/>
          <w:bCs/>
          <w:color w:val="auto"/>
          <w:szCs w:val="21"/>
          <w:highlight w:val="none"/>
        </w:rPr>
        <w:t>联系人 ：</w:t>
      </w:r>
      <w:r>
        <w:rPr>
          <w:rFonts w:hint="eastAsia" w:cs="Arial" w:asciiTheme="minorEastAsia" w:hAnsiTheme="minorEastAsia" w:eastAsiaTheme="minorEastAsia"/>
          <w:bCs/>
          <w:color w:val="auto"/>
          <w:szCs w:val="21"/>
          <w:highlight w:val="none"/>
          <w:lang w:val="en-US" w:eastAsia="zh-CN"/>
        </w:rPr>
        <w:t>姚先生</w:t>
      </w:r>
    </w:p>
    <w:p w14:paraId="567A86D1">
      <w:pPr>
        <w:snapToGrid w:val="0"/>
        <w:spacing w:line="360" w:lineRule="auto"/>
        <w:rPr>
          <w:rFonts w:hint="eastAsia" w:cs="Arial" w:asciiTheme="minorEastAsia" w:hAnsiTheme="minorEastAsia" w:eastAsiaTheme="minorEastAsia"/>
          <w:b/>
          <w:color w:val="auto"/>
          <w:szCs w:val="21"/>
          <w:highlight w:val="none"/>
          <w:lang w:eastAsia="zh-CN"/>
        </w:rPr>
      </w:pPr>
      <w:r>
        <w:rPr>
          <w:rFonts w:hint="eastAsia" w:cs="Arial" w:asciiTheme="minorEastAsia" w:hAnsiTheme="minorEastAsia" w:eastAsiaTheme="minorEastAsia"/>
          <w:bCs/>
          <w:color w:val="auto"/>
          <w:szCs w:val="21"/>
          <w:highlight w:val="none"/>
        </w:rPr>
        <w:t>监督投诉电话：0573-82031217</w:t>
      </w:r>
    </w:p>
    <w:p w14:paraId="7EA6C210">
      <w:pPr>
        <w:snapToGrid w:val="0"/>
        <w:spacing w:line="360" w:lineRule="auto"/>
        <w:rPr>
          <w:rFonts w:cs="Arial" w:asciiTheme="minorEastAsia" w:hAnsiTheme="minorEastAsia" w:eastAsiaTheme="minorEastAsia"/>
          <w:b/>
          <w:bCs/>
          <w:color w:val="auto"/>
          <w:szCs w:val="21"/>
          <w:highlight w:val="none"/>
        </w:rPr>
      </w:pPr>
      <w:r>
        <w:rPr>
          <w:rFonts w:cs="Arial" w:asciiTheme="minorEastAsia" w:hAnsiTheme="minorEastAsia" w:eastAsiaTheme="minorEastAsia"/>
          <w:b/>
          <w:bCs/>
          <w:color w:val="auto"/>
          <w:szCs w:val="21"/>
          <w:highlight w:val="none"/>
        </w:rPr>
        <w:t>十</w:t>
      </w:r>
      <w:r>
        <w:rPr>
          <w:rFonts w:hint="eastAsia" w:cs="Arial" w:asciiTheme="minorEastAsia" w:hAnsiTheme="minorEastAsia" w:eastAsiaTheme="minorEastAsia"/>
          <w:b/>
          <w:bCs/>
          <w:color w:val="auto"/>
          <w:szCs w:val="21"/>
          <w:highlight w:val="none"/>
        </w:rPr>
        <w:t>六</w:t>
      </w:r>
      <w:r>
        <w:rPr>
          <w:rFonts w:cs="Arial" w:asciiTheme="minorEastAsia" w:hAnsiTheme="minorEastAsia" w:eastAsiaTheme="minorEastAsia"/>
          <w:b/>
          <w:bCs/>
          <w:color w:val="auto"/>
          <w:szCs w:val="21"/>
          <w:highlight w:val="none"/>
        </w:rPr>
        <w:t>、其他事项：</w:t>
      </w:r>
    </w:p>
    <w:p w14:paraId="07E806FC">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本项目公告期限为</w:t>
      </w:r>
      <w:r>
        <w:rPr>
          <w:rFonts w:hint="eastAsia" w:asciiTheme="minorEastAsia" w:hAnsiTheme="minorEastAsia" w:eastAsiaTheme="minorEastAsia"/>
          <w:color w:val="auto"/>
          <w:szCs w:val="21"/>
          <w:highlight w:val="none"/>
        </w:rPr>
        <w:t>自公告发布之日起至投标截止时间</w:t>
      </w:r>
      <w:r>
        <w:rPr>
          <w:rFonts w:asciiTheme="minorEastAsia" w:hAnsiTheme="minorEastAsia" w:eastAsiaTheme="minorEastAsia"/>
          <w:color w:val="auto"/>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534B2BA">
      <w:pPr>
        <w:snapToGrid w:val="0"/>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w:t>
      </w:r>
    </w:p>
    <w:p w14:paraId="540EC218">
      <w:pPr>
        <w:snapToGrid w:val="0"/>
        <w:spacing w:line="360" w:lineRule="auto"/>
        <w:jc w:val="right"/>
        <w:rPr>
          <w:rFonts w:asciiTheme="minorEastAsia" w:hAnsiTheme="minorEastAsia" w:eastAsiaTheme="minorEastAsia"/>
          <w:color w:val="auto"/>
          <w:szCs w:val="21"/>
          <w:highlight w:val="none"/>
        </w:rPr>
      </w:pPr>
    </w:p>
    <w:p w14:paraId="23CB4285">
      <w:pPr>
        <w:snapToGrid w:val="0"/>
        <w:spacing w:line="360" w:lineRule="auto"/>
        <w:jc w:val="righ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　采购</w:t>
      </w:r>
      <w:r>
        <w:rPr>
          <w:rFonts w:asciiTheme="minorEastAsia" w:hAnsiTheme="minorEastAsia" w:eastAsiaTheme="minorEastAsia"/>
          <w:color w:val="auto"/>
          <w:szCs w:val="21"/>
          <w:highlight w:val="none"/>
        </w:rPr>
        <w:t>单位：</w:t>
      </w:r>
      <w:r>
        <w:rPr>
          <w:rFonts w:hint="eastAsia" w:asciiTheme="minorEastAsia" w:hAnsiTheme="minorEastAsia" w:eastAsiaTheme="minorEastAsia"/>
          <w:color w:val="auto"/>
          <w:szCs w:val="21"/>
          <w:highlight w:val="none"/>
          <w:lang w:eastAsia="zh-CN"/>
        </w:rPr>
        <w:t>嘉兴市交通运输行政执法队</w:t>
      </w:r>
    </w:p>
    <w:p w14:paraId="271C5E63">
      <w:pPr>
        <w:snapToGrid w:val="0"/>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代理机构：嘉兴市银建工程咨询评估有限公司</w:t>
      </w:r>
    </w:p>
    <w:p w14:paraId="019FEDA9">
      <w:pPr>
        <w:snapToGrid w:val="0"/>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2024年</w:t>
      </w: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7</w:t>
      </w:r>
      <w:r>
        <w:rPr>
          <w:rFonts w:asciiTheme="minorEastAsia" w:hAnsiTheme="minorEastAsia" w:eastAsiaTheme="minorEastAsia"/>
          <w:color w:val="auto"/>
          <w:szCs w:val="21"/>
          <w:highlight w:val="none"/>
        </w:rPr>
        <w:t>日</w:t>
      </w:r>
    </w:p>
    <w:p w14:paraId="4BBD4C89">
      <w:pPr>
        <w:pStyle w:val="5"/>
        <w:spacing w:line="360" w:lineRule="auto"/>
        <w:rPr>
          <w:rFonts w:asciiTheme="minorEastAsia" w:hAnsiTheme="minorEastAsia" w:eastAsiaTheme="minorEastAsia"/>
          <w:color w:val="auto"/>
          <w:highlight w:val="none"/>
        </w:rPr>
        <w:sectPr>
          <w:pgSz w:w="11906" w:h="16838"/>
          <w:pgMar w:top="1440" w:right="1440" w:bottom="1440" w:left="1440" w:header="851" w:footer="567" w:gutter="0"/>
          <w:cols w:space="720" w:num="1"/>
          <w:docGrid w:linePitch="312" w:charSpace="0"/>
        </w:sectPr>
      </w:pPr>
    </w:p>
    <w:p w14:paraId="6DEE3DD5">
      <w:pPr>
        <w:snapToGrid w:val="0"/>
        <w:spacing w:before="120" w:beforeLines="50" w:after="120" w:afterLines="50" w:line="360" w:lineRule="auto"/>
        <w:ind w:left="238"/>
        <w:jc w:val="center"/>
        <w:outlineLvl w:val="0"/>
        <w:rPr>
          <w:rFonts w:asciiTheme="minorEastAsia" w:hAnsiTheme="minorEastAsia" w:eastAsiaTheme="minorEastAsia"/>
          <w:b/>
          <w:color w:val="auto"/>
          <w:sz w:val="28"/>
          <w:szCs w:val="28"/>
          <w:highlight w:val="none"/>
        </w:rPr>
      </w:pPr>
      <w:bookmarkStart w:id="5" w:name="_Toc29127"/>
      <w:r>
        <w:rPr>
          <w:rFonts w:hint="eastAsia" w:asciiTheme="minorEastAsia" w:hAnsiTheme="minorEastAsia" w:eastAsiaTheme="minorEastAsia"/>
          <w:b/>
          <w:color w:val="auto"/>
          <w:sz w:val="28"/>
          <w:szCs w:val="28"/>
          <w:highlight w:val="none"/>
        </w:rPr>
        <w:t>第二章  招标需求</w:t>
      </w:r>
      <w:bookmarkEnd w:id="5"/>
    </w:p>
    <w:p w14:paraId="50BCCDDE">
      <w:pPr>
        <w:spacing w:line="360" w:lineRule="auto"/>
        <w:ind w:firstLine="420" w:firstLineChars="200"/>
        <w:contextualSpacing/>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CG2024034</w:t>
      </w:r>
    </w:p>
    <w:p w14:paraId="0AF65E28">
      <w:pPr>
        <w:spacing w:line="360" w:lineRule="auto"/>
        <w:ind w:firstLine="420" w:firstLineChars="200"/>
        <w:contextualSpacing/>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交通执法基层站所修缮维护项目</w:t>
      </w:r>
    </w:p>
    <w:p w14:paraId="438F9D2F">
      <w:pPr>
        <w:spacing w:line="360" w:lineRule="auto"/>
        <w:ind w:firstLine="420" w:firstLineChars="200"/>
        <w:contextualSpacing/>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采购人名称：</w:t>
      </w:r>
      <w:r>
        <w:rPr>
          <w:rFonts w:hint="eastAsia" w:ascii="宋体" w:hAnsi="宋体" w:cs="宋体"/>
          <w:color w:val="auto"/>
          <w:szCs w:val="21"/>
          <w:highlight w:val="none"/>
          <w:lang w:eastAsia="zh-CN"/>
        </w:rPr>
        <w:t>嘉兴市交通运输行政执法队</w:t>
      </w:r>
    </w:p>
    <w:p w14:paraId="5670576B">
      <w:pPr>
        <w:rPr>
          <w:rFonts w:ascii="宋体" w:hAnsi="宋体" w:cs="宋体"/>
          <w:color w:val="auto"/>
          <w:szCs w:val="21"/>
          <w:highlight w:val="none"/>
        </w:rPr>
      </w:pPr>
      <w:r>
        <w:rPr>
          <w:rFonts w:hint="eastAsia" w:ascii="宋体" w:hAnsi="宋体" w:cs="宋体"/>
          <w:color w:val="auto"/>
          <w:szCs w:val="21"/>
          <w:highlight w:val="none"/>
        </w:rPr>
        <w:t xml:space="preserve">   项目基本情况：</w:t>
      </w:r>
      <w:r>
        <w:rPr>
          <w:rFonts w:hint="eastAsia" w:ascii="宋体" w:hAnsi="宋体" w:cs="宋体"/>
          <w:color w:val="auto"/>
          <w:szCs w:val="21"/>
          <w:highlight w:val="none"/>
          <w:lang w:eastAsia="zh-CN"/>
        </w:rPr>
        <w:t>交通执法基层站所修缮维护项目</w:t>
      </w:r>
      <w:r>
        <w:rPr>
          <w:rFonts w:hint="eastAsia" w:ascii="宋体" w:hAnsi="宋体" w:cs="宋体"/>
          <w:color w:val="auto"/>
          <w:szCs w:val="21"/>
          <w:highlight w:val="none"/>
        </w:rPr>
        <w:t>，具体详见工程量清单</w:t>
      </w:r>
    </w:p>
    <w:p w14:paraId="25E1385C">
      <w:pPr>
        <w:numPr>
          <w:ilvl w:val="0"/>
          <w:numId w:val="0"/>
        </w:numPr>
        <w:spacing w:line="440" w:lineRule="exact"/>
        <w:ind w:leftChars="200"/>
        <w:jc w:val="left"/>
        <w:outlineLvl w:val="0"/>
        <w:rPr>
          <w:rFonts w:hint="eastAsia" w:ascii="宋体" w:hAnsi="宋体" w:eastAsia="宋体" w:cs="宋体"/>
          <w:b/>
          <w:color w:val="auto"/>
          <w:szCs w:val="21"/>
          <w:highlight w:val="none"/>
        </w:rPr>
      </w:pPr>
      <w:bookmarkStart w:id="6" w:name="_Toc160454514"/>
      <w:bookmarkStart w:id="7" w:name="_Toc160452775"/>
      <w:bookmarkStart w:id="8" w:name="_Toc95393309"/>
      <w:r>
        <w:rPr>
          <w:rFonts w:hint="eastAsia" w:ascii="宋体" w:hAnsi="宋体" w:eastAsia="宋体" w:cs="宋体"/>
          <w:b/>
          <w:color w:val="auto"/>
          <w:szCs w:val="21"/>
          <w:highlight w:val="none"/>
          <w:lang w:eastAsia="zh-CN"/>
        </w:rPr>
        <w:t>实施要求</w:t>
      </w:r>
      <w:bookmarkEnd w:id="6"/>
      <w:bookmarkEnd w:id="7"/>
      <w:bookmarkEnd w:id="8"/>
    </w:p>
    <w:p w14:paraId="23F05D5D">
      <w:pPr>
        <w:spacing w:line="440" w:lineRule="exact"/>
        <w:ind w:firstLine="420" w:firstLineChars="200"/>
        <w:jc w:val="left"/>
        <w:outlineLvl w:val="0"/>
        <w:rPr>
          <w:rFonts w:hint="eastAsia" w:ascii="宋体" w:hAnsi="宋体" w:eastAsia="宋体" w:cs="宋体"/>
          <w:color w:val="auto"/>
          <w:szCs w:val="21"/>
          <w:highlight w:val="none"/>
        </w:rPr>
      </w:pPr>
      <w:bookmarkStart w:id="9" w:name="_Toc160454515"/>
      <w:bookmarkStart w:id="10" w:name="_Toc160452776"/>
      <w:r>
        <w:rPr>
          <w:rFonts w:hint="eastAsia" w:ascii="宋体" w:hAnsi="宋体" w:eastAsia="宋体" w:cs="宋体"/>
          <w:color w:val="auto"/>
          <w:szCs w:val="21"/>
          <w:highlight w:val="none"/>
        </w:rPr>
        <w:t>1.投标报价应是招标文件所确定的招标范围内全部工作内容的价格表现，除非合同中另有规定，投标人在投标总价中的价格均包括完成该工程项目的分部分项工程费、措施项目费、其他项目费、规费、税金及政策性文件规定等所有费用以及合同明示或暗示的所有责任、义务和一切风险。</w:t>
      </w:r>
    </w:p>
    <w:p w14:paraId="273E6914">
      <w:pPr>
        <w:spacing w:line="44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应按清单中列出的工程项目填报单价和合价。每一项目只允许有一个报价。任何有选择的报价不予接受，投标人未填单价或合价的工程项目，在实施后，招标人将不予支付，并视作该项费用已包括在其它有价款的单价或合价内。投标人在填报价格及费用时应充分考虑国家现行工程建设标准、技术规范要求及有关要求，投标报价时投标人认为必须或可能发生的费用应全部考虑在总报价中，未在总报价中体现的视作已综合在单价中或已全部优惠。</w:t>
      </w:r>
      <w:bookmarkEnd w:id="9"/>
      <w:bookmarkEnd w:id="10"/>
    </w:p>
    <w:p w14:paraId="4AA7D633">
      <w:pPr>
        <w:spacing w:line="44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量清单中只描述了分项工程计量范围内完成本分项工程应有的主要工作内容，但投标人填报的综合单价应是包含了分项工程计量范围内的所有工作内容的价格，无论工程量清单有无明确列项或表示，只要是为完成该分项工程所需要做的工作和为了满足该分项工程的完整性所需要做的工作，均视为该分项工程所包含的内容。投标人在填写工程量清单的每一项的综合单价和合价时应结合投标须知及构成招标文件的施工合同、技术规范和现场勘察情况进行报价。</w:t>
      </w:r>
    </w:p>
    <w:p w14:paraId="374F4CA5">
      <w:pPr>
        <w:spacing w:line="44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4.本工程报价采用</w:t>
      </w:r>
      <w:r>
        <w:rPr>
          <w:rFonts w:hint="eastAsia" w:ascii="宋体" w:hAnsi="宋体" w:eastAsia="宋体" w:cs="宋体"/>
          <w:b/>
          <w:color w:val="auto"/>
          <w:szCs w:val="21"/>
          <w:highlight w:val="none"/>
          <w:u w:val="single"/>
        </w:rPr>
        <w:t xml:space="preserve"> 综合单价固定 </w:t>
      </w:r>
      <w:r>
        <w:rPr>
          <w:rFonts w:hint="eastAsia" w:ascii="宋体" w:hAnsi="宋体" w:eastAsia="宋体" w:cs="宋体"/>
          <w:color w:val="auto"/>
          <w:szCs w:val="21"/>
          <w:highlight w:val="none"/>
        </w:rPr>
        <w:t>方式进行编制。</w:t>
      </w:r>
    </w:p>
    <w:p w14:paraId="09C4DA78">
      <w:pPr>
        <w:spacing w:line="440" w:lineRule="exact"/>
        <w:ind w:right="-59" w:rightChars="-28" w:firstLine="420" w:firstLineChars="200"/>
        <w:jc w:val="left"/>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综合单价是为完成一个规定清单项目（或定额项目）所需的人工费、材料费、机械费、和对应的企业管理费、利润及一定范围内的风险费用。各投标人投标报价时应按招标人统一提供的工程量清单</w:t>
      </w:r>
      <w:r>
        <w:rPr>
          <w:rFonts w:hint="eastAsia" w:ascii="宋体" w:hAnsi="宋体" w:eastAsia="宋体" w:cs="宋体"/>
          <w:b/>
          <w:color w:val="auto"/>
          <w:szCs w:val="21"/>
          <w:highlight w:val="none"/>
          <w:u w:val="single"/>
        </w:rPr>
        <w:t>采用综合单价法</w:t>
      </w:r>
      <w:r>
        <w:rPr>
          <w:rFonts w:hint="eastAsia" w:ascii="宋体" w:hAnsi="宋体" w:eastAsia="宋体" w:cs="宋体"/>
          <w:color w:val="auto"/>
          <w:szCs w:val="21"/>
          <w:highlight w:val="none"/>
        </w:rPr>
        <w:t>进行计价。</w:t>
      </w:r>
      <w:r>
        <w:rPr>
          <w:rFonts w:hint="eastAsia" w:ascii="宋体" w:hAnsi="宋体" w:eastAsia="宋体" w:cs="宋体"/>
          <w:b/>
          <w:bCs/>
          <w:color w:val="auto"/>
          <w:szCs w:val="21"/>
          <w:highlight w:val="none"/>
          <w:u w:val="single"/>
        </w:rPr>
        <w:t>结算时综合单价固定，工程量按实计算（明确一次性包干或结算不作调整的项目和费用除外）。</w:t>
      </w:r>
    </w:p>
    <w:p w14:paraId="4AD176B0">
      <w:pPr>
        <w:spacing w:line="440" w:lineRule="exact"/>
        <w:ind w:right="-59" w:rightChars="-28"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（1）本工程计价方法采用“国标清单计价”，</w:t>
      </w: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rPr>
        <w:t>报价编制各投标人应根据企业自身实力，按照《建设工程工程量清单计价规范》（GB50500-2013）、《市政工程工程量计算规范》（GB50857-2013）、《浙江省市政工程预算定额》（2018版）、《浙江省建设工程施工机械台班费用定额》（2018版）、《浙江省建设工程计价规则》（2018版）、《浙江省建筑安装材料基期价格》（2018版）等计价依据及省、市相关补充规定进行投标报价。</w:t>
      </w:r>
    </w:p>
    <w:p w14:paraId="4F2397E6">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（2）安全文明施工费为必须计取的措施项目，本工程为</w:t>
      </w:r>
      <w:r>
        <w:rPr>
          <w:rFonts w:hint="eastAsia" w:ascii="宋体" w:hAnsi="宋体" w:eastAsia="宋体" w:cs="宋体"/>
          <w:b/>
          <w:color w:val="auto"/>
          <w:szCs w:val="21"/>
          <w:highlight w:val="none"/>
        </w:rPr>
        <w:t>市区</w:t>
      </w:r>
      <w:r>
        <w:rPr>
          <w:rFonts w:hint="eastAsia" w:ascii="宋体" w:hAnsi="宋体" w:eastAsia="宋体" w:cs="宋体"/>
          <w:color w:val="auto"/>
          <w:szCs w:val="21"/>
          <w:highlight w:val="none"/>
        </w:rPr>
        <w:t>工程，安全文明施工基本费报价按《浙江省建设工程计价规则》（2018版）取费规定（不得低于下限值）和《省建设厅关于调整建筑工程安全文明施工费的通知》（浙建建发〔2022〕37号文）文件的规定。</w:t>
      </w:r>
    </w:p>
    <w:p w14:paraId="6B9025A2">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规费按《关于转发省住建厅、省发改委、省财政厅&lt;关于颁发浙江省建设工程计价依据（2018版）的通知&gt;的通知》（嘉建办[2019]34号文）执行，投标人报价时可根据自身项目缴纳规费的实际情况，自主确定其投标费率，但不得低于《浙江省建设工程计价规则》（2018版）规定的标准费率的30%。</w:t>
      </w:r>
    </w:p>
    <w:p w14:paraId="6276B24C">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税金属不可竞争费用，按《浙江省建设工程计价规则》（2018版）及《关于增值税调整后我省建设工程计价依据增值税税率及有关计价调整的通知》（浙建建发[2019]92号文）规定的一般计税方法的税率计取，税金费率为9%。</w:t>
      </w:r>
    </w:p>
    <w:p w14:paraId="01AEBE45">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人工工日单价可参照《浙江省建筑工程预算定额》（2018版）及近期《嘉兴造价管理》，材料价格可参考近期《嘉兴造价管理》、《浙江造价信息》（正刊）信息价及浙建建发[2019]92号文件规定，机械费按照《浙江省建设工程施工机械台班费用定额》（2018版）及浙建建发[2019]92号文件规定，结算时单价均不作调整。</w:t>
      </w:r>
    </w:p>
    <w:p w14:paraId="6D8D6E0A">
      <w:pPr>
        <w:spacing w:line="440" w:lineRule="exact"/>
        <w:ind w:firstLine="420" w:firstLineChars="200"/>
        <w:jc w:val="left"/>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5.投标时投标人不得擅自调整工程量清单中的项目编码、项目名称、项目特征描述、计量单位、工程数量，否则按不响应招标文件处理。</w:t>
      </w:r>
    </w:p>
    <w:p w14:paraId="1CB7B61E">
      <w:pPr>
        <w:spacing w:line="44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w:t>
      </w:r>
      <w:r>
        <w:rPr>
          <w:rFonts w:hint="eastAsia"/>
          <w:b/>
          <w:color w:val="auto"/>
          <w:kern w:val="0"/>
          <w:sz w:val="21"/>
          <w:szCs w:val="21"/>
          <w:highlight w:val="none"/>
          <w:lang w:val="en-US" w:eastAsia="zh-CN"/>
        </w:rPr>
        <w:t>投标人应自行到施工现场实地踏勘以充分了解工地位置、道路、存储空间、装卸限制及任何其它足以影响投标报价的不可预见情况，任何因忽视或误解工地情况而导致的索赔或工期延长申请将不获批准。</w:t>
      </w:r>
    </w:p>
    <w:p w14:paraId="3FC47129">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人应根据测量报告、投标须知、工程量清单、招标补充文件（答疑）、技术规范、合同条款及本省2018版计价依据自行确定并计算施工技术措施费（工程量清单中列明的技术措施项目必须报价，不可漏项，投标人可根据本单位施工方案自行扩展技术措施项目计入此次报价），技术措施费一次性包干，结算时不作调整。设计变更或新增项目引起施工技术措施费变动时，施工技术措施费不作调整，作为双方的风险，施工单位应自行考虑。</w:t>
      </w:r>
    </w:p>
    <w:p w14:paraId="31E23D5D">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8.施工期间的用水、用电、电讯线路、材料堆放场地、临时设施搭设、临时便道等由施工单位自行解决，所需费用（包括用水、用电涨价风险因素）投标人报价时自行综合考虑，结算时不增加费用。</w:t>
      </w:r>
    </w:p>
    <w:p w14:paraId="502B21D8">
      <w:pPr>
        <w:spacing w:line="440" w:lineRule="exact"/>
        <w:ind w:firstLine="482"/>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9.投标人应自行认真踏勘现场，凡施工范围内和临设区域内需要布置的临时围墙、临时道路、与公共道路连接的临时道路等产生的费用由投标人报价时自行综合考虑，结算时不增加费用。</w:t>
      </w:r>
    </w:p>
    <w:p w14:paraId="5F429B7B">
      <w:pPr>
        <w:spacing w:line="440" w:lineRule="exact"/>
        <w:ind w:firstLine="482"/>
        <w:rPr>
          <w:rFonts w:hint="eastAsia" w:ascii="宋体" w:hAnsi="宋体" w:eastAsia="宋体" w:cs="宋体"/>
          <w:color w:val="auto"/>
          <w:highlight w:val="none"/>
        </w:rPr>
      </w:pPr>
      <w:r>
        <w:rPr>
          <w:rFonts w:hint="eastAsia" w:ascii="宋体" w:hAnsi="宋体" w:eastAsia="宋体" w:cs="宋体"/>
          <w:color w:val="auto"/>
          <w:szCs w:val="21"/>
          <w:highlight w:val="none"/>
        </w:rPr>
        <w:t>10.</w:t>
      </w:r>
      <w:r>
        <w:rPr>
          <w:rFonts w:hint="eastAsia" w:ascii="宋体" w:hAnsi="宋体" w:eastAsia="宋体" w:cs="宋体"/>
          <w:color w:val="auto"/>
          <w:highlight w:val="none"/>
        </w:rPr>
        <w:t>缩短工期增加费、文明施工费、行车干扰因素所产生的费用均由投标人报价时自行综合考虑，结算时不增加费用。</w:t>
      </w:r>
    </w:p>
    <w:p w14:paraId="4E358841">
      <w:pPr>
        <w:spacing w:line="440" w:lineRule="exact"/>
        <w:ind w:firstLine="482"/>
        <w:jc w:val="left"/>
        <w:rPr>
          <w:rFonts w:hint="eastAsia" w:ascii="宋体" w:hAnsi="宋体" w:eastAsia="宋体" w:cs="宋体"/>
          <w:color w:val="auto"/>
          <w:highlight w:val="none"/>
        </w:rPr>
      </w:pPr>
      <w:r>
        <w:rPr>
          <w:rFonts w:hint="eastAsia" w:ascii="宋体" w:hAnsi="宋体" w:eastAsia="宋体" w:cs="宋体"/>
          <w:color w:val="auto"/>
          <w:highlight w:val="none"/>
        </w:rPr>
        <w:t>11.承包人应做好施工现场及附近的安全维护措施，由于承包人措施不力，导致事故频发造成重大影响，引起索赔，赔偿、诉讼费用及工程拖延或施工费用增加的，一切责任和费用均由承包人承担。</w:t>
      </w:r>
    </w:p>
    <w:p w14:paraId="71C3A292">
      <w:pPr>
        <w:spacing w:line="440" w:lineRule="exact"/>
        <w:ind w:firstLine="482"/>
        <w:jc w:val="left"/>
        <w:rPr>
          <w:rFonts w:hint="eastAsia" w:ascii="宋体" w:hAnsi="宋体" w:eastAsia="宋体" w:cs="宋体"/>
          <w:color w:val="auto"/>
          <w:highlight w:val="none"/>
        </w:rPr>
      </w:pPr>
      <w:r>
        <w:rPr>
          <w:rFonts w:hint="eastAsia" w:ascii="宋体" w:hAnsi="宋体" w:eastAsia="宋体" w:cs="宋体"/>
          <w:color w:val="auto"/>
          <w:highlight w:val="none"/>
        </w:rPr>
        <w:t>12.在施工过程中，由于非发包人也非承包人原因造成工程暂停施工，如果有相关行政部门的相关政策，按政策执行；如果没有相关行政部门的相关政策，暂停施工引起的工期延误可以顺延，但暂停施工引起的所有费用和利润损失由承包人承担。投标人在投标时应自行考虑相应的风险。</w:t>
      </w:r>
    </w:p>
    <w:p w14:paraId="42F61EE9">
      <w:pPr>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13.投标人务必自行踏勘现场，并充分考虑施工现场条件差、交通不便等因素所产生的费用，报价时自行综合考虑，结算时不增加费用。</w:t>
      </w:r>
    </w:p>
    <w:p w14:paraId="319C3230">
      <w:pPr>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14.项目施工期间或施工后对原有道路或绿化有损坏的，须恢复原样，费用由承包人承担。</w:t>
      </w:r>
    </w:p>
    <w:p w14:paraId="5FA0B049">
      <w:pPr>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15.</w:t>
      </w:r>
      <w:r>
        <w:rPr>
          <w:rFonts w:hint="eastAsia" w:ascii="宋体" w:hAnsi="宋体" w:eastAsia="宋体" w:cs="宋体"/>
          <w:color w:val="auto"/>
          <w:szCs w:val="21"/>
          <w:highlight w:val="none"/>
        </w:rPr>
        <w:t>承包人在施工过程中应注意对原有建筑物、基础设施及各类公用管线、井盖的保护，如有损坏，应由承包人及时修复并承担一切费用，如不及时修复的，招标人将请专业单位进行修复,费用从承包人工程款中直接扣除（管线的保护措施按相关管线部门的要求，费用投标人报价时自行综合考虑，结算时不增加费用）。</w:t>
      </w:r>
    </w:p>
    <w:p w14:paraId="7C05B019">
      <w:pPr>
        <w:spacing w:line="440" w:lineRule="exact"/>
        <w:ind w:firstLine="482"/>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16.施工过程中及施工结束后注意施工场地的保洁，要满足环卫要求，临时便道、建筑垃圾、废弃物等应及时清运，所需费用投标人报价时自行综合考虑，结算时不增加费用。</w:t>
      </w:r>
    </w:p>
    <w:p w14:paraId="6093E206">
      <w:pPr>
        <w:spacing w:line="440" w:lineRule="exact"/>
        <w:ind w:firstLine="482"/>
        <w:rPr>
          <w:rFonts w:hint="eastAsia" w:ascii="宋体" w:hAnsi="宋体" w:eastAsia="宋体" w:cs="宋体"/>
          <w:color w:val="auto"/>
          <w:highlight w:val="none"/>
        </w:rPr>
      </w:pPr>
      <w:r>
        <w:rPr>
          <w:rFonts w:hint="eastAsia" w:ascii="宋体" w:hAnsi="宋体" w:eastAsia="宋体" w:cs="宋体"/>
          <w:color w:val="auto"/>
          <w:szCs w:val="21"/>
          <w:highlight w:val="none"/>
        </w:rPr>
        <w:t>17.</w:t>
      </w:r>
      <w:r>
        <w:rPr>
          <w:rFonts w:hint="eastAsia" w:ascii="宋体" w:hAnsi="宋体" w:eastAsia="宋体" w:cs="宋体"/>
          <w:color w:val="auto"/>
          <w:highlight w:val="none"/>
        </w:rPr>
        <w:t>投标人应充分考虑市政、环保、排污、交通、治安、绿化、卫生及运输等方面与现场施工有关的情况及处理周边关系等可能发生的费用，其费用投标人报价时自行综合考虑，结算时不增加费用。</w:t>
      </w:r>
    </w:p>
    <w:p w14:paraId="2F5AFC21">
      <w:pPr>
        <w:spacing w:line="440" w:lineRule="exact"/>
        <w:ind w:firstLine="482"/>
        <w:rPr>
          <w:rFonts w:hint="eastAsia" w:ascii="宋体" w:hAnsi="宋体" w:eastAsia="宋体" w:cs="宋体"/>
          <w:color w:val="auto"/>
          <w:highlight w:val="none"/>
        </w:rPr>
      </w:pPr>
      <w:bookmarkStart w:id="11" w:name="_Toc396891428"/>
      <w:r>
        <w:rPr>
          <w:rFonts w:hint="eastAsia" w:ascii="宋体" w:hAnsi="宋体" w:eastAsia="宋体" w:cs="宋体"/>
          <w:color w:val="auto"/>
          <w:szCs w:val="21"/>
          <w:highlight w:val="none"/>
        </w:rPr>
        <w:t>18.</w:t>
      </w:r>
      <w:r>
        <w:rPr>
          <w:rFonts w:hint="eastAsia" w:ascii="宋体" w:hAnsi="宋体" w:eastAsia="宋体" w:cs="宋体"/>
          <w:color w:val="auto"/>
          <w:highlight w:val="none"/>
        </w:rPr>
        <w:t>其他内容：</w:t>
      </w:r>
      <w:bookmarkEnd w:id="11"/>
    </w:p>
    <w:p w14:paraId="471DEAF8">
      <w:pPr>
        <w:spacing w:line="440" w:lineRule="exact"/>
        <w:ind w:firstLine="482"/>
        <w:rPr>
          <w:rFonts w:hint="eastAsia" w:ascii="宋体" w:hAnsi="宋体" w:eastAsia="宋体" w:cs="宋体"/>
          <w:color w:val="auto"/>
          <w:highlight w:val="none"/>
        </w:rPr>
      </w:pPr>
      <w:bookmarkStart w:id="12" w:name="_Toc396891429"/>
      <w:r>
        <w:rPr>
          <w:rFonts w:hint="eastAsia" w:ascii="宋体" w:hAnsi="宋体" w:eastAsia="宋体" w:cs="宋体"/>
          <w:color w:val="auto"/>
          <w:highlight w:val="none"/>
        </w:rPr>
        <w:t>①对于施工附近可能影响的周围建筑物，构筑物的保护所发生的费用，投标人报价时自行综合考虑，结算时不增加费用。</w:t>
      </w:r>
      <w:bookmarkEnd w:id="12"/>
    </w:p>
    <w:p w14:paraId="50E974E5">
      <w:pPr>
        <w:spacing w:line="440" w:lineRule="exact"/>
        <w:ind w:firstLine="482"/>
        <w:rPr>
          <w:rFonts w:hint="eastAsia" w:ascii="宋体" w:hAnsi="宋体" w:eastAsia="宋体" w:cs="宋体"/>
          <w:color w:val="auto"/>
          <w:highlight w:val="none"/>
        </w:rPr>
      </w:pPr>
      <w:bookmarkStart w:id="13" w:name="_Toc396891431"/>
      <w:r>
        <w:rPr>
          <w:rFonts w:hint="eastAsia" w:ascii="宋体" w:hAnsi="宋体" w:eastAsia="宋体" w:cs="宋体"/>
          <w:color w:val="auto"/>
          <w:highlight w:val="none"/>
        </w:rPr>
        <w:t>②施工期间引起的扰民（包括：行车、噪音、污染、损坏居民物品等影响民众生活的因素）投标人报价时自行综合考虑，结算时不增加费用。</w:t>
      </w:r>
      <w:bookmarkEnd w:id="13"/>
    </w:p>
    <w:p w14:paraId="0B107C96">
      <w:pPr>
        <w:spacing w:line="440" w:lineRule="exact"/>
        <w:ind w:firstLine="482"/>
        <w:rPr>
          <w:rFonts w:hint="eastAsia" w:ascii="宋体" w:hAnsi="宋体" w:eastAsia="宋体" w:cs="宋体"/>
          <w:color w:val="auto"/>
          <w:highlight w:val="none"/>
        </w:rPr>
      </w:pPr>
      <w:bookmarkStart w:id="14" w:name="_Toc396891432"/>
      <w:r>
        <w:rPr>
          <w:rFonts w:hint="eastAsia" w:ascii="宋体" w:hAnsi="宋体" w:eastAsia="宋体" w:cs="宋体"/>
          <w:color w:val="auto"/>
          <w:highlight w:val="none"/>
        </w:rPr>
        <w:t>③投标活动中所发生的其他费用则为投标人非投标报价费用而自行另担。</w:t>
      </w:r>
      <w:bookmarkEnd w:id="14"/>
    </w:p>
    <w:p w14:paraId="00A383E1">
      <w:pPr>
        <w:pStyle w:val="28"/>
        <w:numPr>
          <w:ilvl w:val="0"/>
          <w:numId w:val="0"/>
        </w:numPr>
        <w:spacing w:line="440" w:lineRule="exact"/>
        <w:ind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19.</w:t>
      </w:r>
      <w:r>
        <w:rPr>
          <w:rFonts w:hint="eastAsia" w:ascii="宋体" w:hAnsi="宋体" w:eastAsia="宋体" w:cs="宋体"/>
          <w:b/>
          <w:color w:val="auto"/>
          <w:szCs w:val="21"/>
          <w:highlight w:val="none"/>
        </w:rPr>
        <w:t>投标人在施工过程中发生一切安全事故均</w:t>
      </w:r>
      <w:r>
        <w:rPr>
          <w:rFonts w:hint="eastAsia" w:hAnsi="宋体" w:cs="宋体"/>
          <w:b/>
          <w:color w:val="auto"/>
          <w:szCs w:val="21"/>
          <w:highlight w:val="none"/>
          <w:lang w:val="en-US" w:eastAsia="zh-CN"/>
        </w:rPr>
        <w:t>全部</w:t>
      </w:r>
      <w:r>
        <w:rPr>
          <w:rFonts w:hint="eastAsia" w:ascii="宋体" w:hAnsi="宋体" w:eastAsia="宋体" w:cs="宋体"/>
          <w:b/>
          <w:color w:val="auto"/>
          <w:szCs w:val="21"/>
          <w:highlight w:val="none"/>
        </w:rPr>
        <w:t>由投标人自行解决，若造成不良影响的，须承担法律责任。</w:t>
      </w:r>
    </w:p>
    <w:p w14:paraId="084DAD28">
      <w:pPr>
        <w:pStyle w:val="28"/>
        <w:spacing w:line="360" w:lineRule="auto"/>
        <w:ind w:firstLine="211" w:firstLineChars="100"/>
        <w:rPr>
          <w:rFonts w:hint="eastAsia" w:hAnsi="宋体"/>
          <w:color w:val="auto"/>
          <w:sz w:val="21"/>
          <w:szCs w:val="21"/>
          <w:highlight w:val="none"/>
        </w:rPr>
      </w:pPr>
      <w:r>
        <w:rPr>
          <w:rFonts w:hint="eastAsia"/>
          <w:b/>
          <w:color w:val="auto"/>
          <w:sz w:val="21"/>
          <w:szCs w:val="21"/>
          <w:highlight w:val="none"/>
          <w:lang w:val="en-US" w:eastAsia="zh-CN"/>
        </w:rPr>
        <w:t>20.</w:t>
      </w:r>
      <w:r>
        <w:rPr>
          <w:rFonts w:hint="eastAsia"/>
          <w:b/>
          <w:color w:val="auto"/>
          <w:sz w:val="21"/>
          <w:szCs w:val="21"/>
          <w:highlight w:val="none"/>
        </w:rPr>
        <w:t>施工时应注意施工场地和运输道路的保洁，要满足环卫要求，拆除时产生的垃圾、废弃物等应及时清运，做到当天拆,当天清,清运后堆放场地由施工单位自行考虑</w:t>
      </w:r>
      <w:r>
        <w:rPr>
          <w:rFonts w:hint="eastAsia" w:hAnsi="宋体"/>
          <w:color w:val="auto"/>
          <w:sz w:val="21"/>
          <w:szCs w:val="21"/>
          <w:highlight w:val="none"/>
        </w:rPr>
        <w:t>。</w:t>
      </w:r>
    </w:p>
    <w:p w14:paraId="2BFE29F7">
      <w:pPr>
        <w:pStyle w:val="28"/>
        <w:spacing w:line="360" w:lineRule="auto"/>
        <w:ind w:firstLine="211" w:firstLineChars="100"/>
        <w:rPr>
          <w:rFonts w:hint="eastAsia" w:hAnsi="宋体"/>
          <w:b/>
          <w:color w:val="auto"/>
          <w:sz w:val="21"/>
          <w:szCs w:val="21"/>
          <w:highlight w:val="none"/>
        </w:rPr>
      </w:pPr>
      <w:r>
        <w:rPr>
          <w:rFonts w:hint="eastAsia" w:hAnsi="宋体"/>
          <w:b/>
          <w:color w:val="auto"/>
          <w:sz w:val="21"/>
          <w:szCs w:val="21"/>
          <w:highlight w:val="none"/>
          <w:lang w:val="en-US" w:eastAsia="zh-CN"/>
        </w:rPr>
        <w:t>21.</w:t>
      </w:r>
      <w:r>
        <w:rPr>
          <w:rFonts w:hint="eastAsia" w:hAnsi="宋体"/>
          <w:b/>
          <w:color w:val="auto"/>
          <w:sz w:val="21"/>
          <w:szCs w:val="21"/>
          <w:highlight w:val="none"/>
        </w:rPr>
        <w:t>本工程要求做到文明施工、安全施工，做好安全防范措施,确保</w:t>
      </w:r>
      <w:r>
        <w:rPr>
          <w:rFonts w:hint="eastAsia" w:hAnsi="宋体"/>
          <w:b/>
          <w:color w:val="auto"/>
          <w:sz w:val="21"/>
          <w:szCs w:val="21"/>
          <w:highlight w:val="none"/>
          <w:lang w:eastAsia="zh-CN"/>
        </w:rPr>
        <w:t>周围人员</w:t>
      </w:r>
      <w:r>
        <w:rPr>
          <w:rFonts w:hint="eastAsia" w:hAnsi="宋体"/>
          <w:b/>
          <w:color w:val="auto"/>
          <w:sz w:val="21"/>
          <w:szCs w:val="21"/>
          <w:highlight w:val="none"/>
        </w:rPr>
        <w:t>及施工人员安全，由此产生的费用在投标报价时综合考虑，计入报价，今后结算时不另增加费用。基本要求如下：</w:t>
      </w:r>
    </w:p>
    <w:p w14:paraId="477E3C2C">
      <w:pPr>
        <w:pStyle w:val="28"/>
        <w:spacing w:line="360" w:lineRule="auto"/>
        <w:ind w:firstLine="422" w:firstLineChars="200"/>
        <w:rPr>
          <w:rFonts w:hint="eastAsia" w:hAnsi="宋体"/>
          <w:b/>
          <w:color w:val="auto"/>
          <w:sz w:val="21"/>
          <w:szCs w:val="21"/>
          <w:highlight w:val="none"/>
        </w:rPr>
      </w:pPr>
      <w:r>
        <w:rPr>
          <w:rFonts w:hint="eastAsia" w:hAnsi="宋体"/>
          <w:b/>
          <w:color w:val="auto"/>
          <w:sz w:val="21"/>
          <w:szCs w:val="21"/>
          <w:highlight w:val="none"/>
        </w:rPr>
        <w:t>①施工时必须确保</w:t>
      </w:r>
      <w:r>
        <w:rPr>
          <w:rFonts w:hint="eastAsia" w:hAnsi="宋体"/>
          <w:b/>
          <w:color w:val="auto"/>
          <w:sz w:val="21"/>
          <w:szCs w:val="21"/>
          <w:highlight w:val="none"/>
          <w:lang w:eastAsia="zh-CN"/>
        </w:rPr>
        <w:t>周围人员</w:t>
      </w:r>
      <w:r>
        <w:rPr>
          <w:rFonts w:hint="eastAsia" w:hAnsi="宋体"/>
          <w:b/>
          <w:color w:val="auto"/>
          <w:sz w:val="21"/>
          <w:szCs w:val="21"/>
          <w:highlight w:val="none"/>
        </w:rPr>
        <w:t>的正常通行；</w:t>
      </w:r>
    </w:p>
    <w:p w14:paraId="2C891D9B">
      <w:pPr>
        <w:pStyle w:val="28"/>
        <w:spacing w:line="360" w:lineRule="auto"/>
        <w:ind w:firstLine="422" w:firstLineChars="200"/>
        <w:rPr>
          <w:rFonts w:hint="eastAsia" w:hAnsi="宋体"/>
          <w:b/>
          <w:color w:val="auto"/>
          <w:sz w:val="21"/>
          <w:szCs w:val="21"/>
          <w:highlight w:val="none"/>
        </w:rPr>
      </w:pPr>
      <w:r>
        <w:rPr>
          <w:rFonts w:hint="eastAsia" w:hAnsi="宋体"/>
          <w:b/>
          <w:color w:val="auto"/>
          <w:sz w:val="21"/>
          <w:szCs w:val="21"/>
          <w:highlight w:val="none"/>
        </w:rPr>
        <w:t>②做好施工区域与其它区域的隔离围护（防护）、设置必要的安全警示标识（交通导向标志、警示标志标牌、夜间警示灯等）</w:t>
      </w:r>
      <w:r>
        <w:rPr>
          <w:rFonts w:hint="eastAsia" w:hAnsi="宋体"/>
          <w:b/>
          <w:color w:val="auto"/>
          <w:sz w:val="21"/>
          <w:szCs w:val="21"/>
          <w:highlight w:val="none"/>
          <w:lang w:eastAsia="zh-CN"/>
        </w:rPr>
        <w:t>，涉及的所有包含在投标报价中，不再另行支付</w:t>
      </w:r>
      <w:r>
        <w:rPr>
          <w:rFonts w:hint="eastAsia" w:hAnsi="宋体"/>
          <w:b/>
          <w:color w:val="auto"/>
          <w:sz w:val="21"/>
          <w:szCs w:val="21"/>
          <w:highlight w:val="none"/>
        </w:rPr>
        <w:t>；</w:t>
      </w:r>
    </w:p>
    <w:p w14:paraId="2438D2DC">
      <w:pPr>
        <w:pStyle w:val="28"/>
        <w:spacing w:line="360" w:lineRule="auto"/>
        <w:ind w:firstLine="422" w:firstLineChars="200"/>
        <w:rPr>
          <w:rFonts w:hint="eastAsia" w:hAnsi="宋体"/>
          <w:b/>
          <w:color w:val="auto"/>
          <w:sz w:val="21"/>
          <w:szCs w:val="21"/>
          <w:highlight w:val="none"/>
        </w:rPr>
      </w:pPr>
      <w:r>
        <w:rPr>
          <w:rFonts w:hint="eastAsia" w:hAnsi="宋体"/>
          <w:b/>
          <w:color w:val="auto"/>
          <w:sz w:val="21"/>
          <w:szCs w:val="21"/>
          <w:highlight w:val="none"/>
        </w:rPr>
        <w:t>③为保证</w:t>
      </w:r>
      <w:r>
        <w:rPr>
          <w:rFonts w:hint="eastAsia" w:hAnsi="宋体"/>
          <w:b/>
          <w:color w:val="auto"/>
          <w:sz w:val="21"/>
          <w:szCs w:val="21"/>
          <w:highlight w:val="none"/>
          <w:lang w:eastAsia="zh-CN"/>
        </w:rPr>
        <w:t>周围居民</w:t>
      </w:r>
      <w:r>
        <w:rPr>
          <w:rFonts w:hint="eastAsia" w:hAnsi="宋体"/>
          <w:b/>
          <w:color w:val="auto"/>
          <w:sz w:val="21"/>
          <w:szCs w:val="21"/>
          <w:highlight w:val="none"/>
        </w:rPr>
        <w:t>的正常生活和休息，禁止夜间施工；施工期间需采取有效的降噪、降尘措施，以减轻、避免对周围居民造成环境噪声、空气污染；</w:t>
      </w:r>
    </w:p>
    <w:p w14:paraId="368DDF81">
      <w:pPr>
        <w:pStyle w:val="28"/>
        <w:spacing w:line="360" w:lineRule="auto"/>
        <w:ind w:firstLine="422" w:firstLineChars="200"/>
        <w:rPr>
          <w:rFonts w:hint="eastAsia" w:hAnsi="宋体"/>
          <w:b/>
          <w:color w:val="auto"/>
          <w:sz w:val="21"/>
          <w:szCs w:val="21"/>
          <w:highlight w:val="none"/>
        </w:rPr>
      </w:pPr>
      <w:r>
        <w:rPr>
          <w:rFonts w:hint="eastAsia" w:hAnsi="宋体"/>
          <w:b/>
          <w:color w:val="auto"/>
          <w:sz w:val="21"/>
          <w:szCs w:val="21"/>
          <w:highlight w:val="none"/>
        </w:rPr>
        <w:t>④施工单位必须加强内部管理，所有施工人员必须服从相关部门管理，并遵守其管理规定，不得发生扰民事件；</w:t>
      </w:r>
    </w:p>
    <w:p w14:paraId="27A1C2C1">
      <w:pPr>
        <w:pStyle w:val="28"/>
        <w:spacing w:line="360" w:lineRule="auto"/>
        <w:ind w:firstLine="413" w:firstLineChars="196"/>
        <w:rPr>
          <w:rFonts w:hint="eastAsia"/>
          <w:b/>
          <w:color w:val="auto"/>
          <w:sz w:val="21"/>
          <w:szCs w:val="21"/>
          <w:highlight w:val="none"/>
        </w:rPr>
      </w:pPr>
      <w:r>
        <w:rPr>
          <w:rFonts w:hint="eastAsia" w:hAnsi="宋体"/>
          <w:b/>
          <w:color w:val="auto"/>
          <w:sz w:val="21"/>
          <w:szCs w:val="21"/>
          <w:highlight w:val="none"/>
          <w:lang w:val="en-US" w:eastAsia="zh-CN"/>
        </w:rPr>
        <w:t>22.</w:t>
      </w:r>
      <w:r>
        <w:rPr>
          <w:rFonts w:hint="eastAsia"/>
          <w:b/>
          <w:color w:val="auto"/>
          <w:sz w:val="21"/>
          <w:szCs w:val="21"/>
          <w:highlight w:val="none"/>
        </w:rPr>
        <w:t>施工过程中应注意对原来已有设施的保护，如有损坏，应负责恢复原样，风险包干。</w:t>
      </w:r>
    </w:p>
    <w:p w14:paraId="6B81AB5F">
      <w:pPr>
        <w:pStyle w:val="28"/>
        <w:spacing w:line="360" w:lineRule="auto"/>
        <w:ind w:firstLine="413" w:firstLineChars="196"/>
        <w:rPr>
          <w:rFonts w:hint="eastAsia"/>
          <w:b/>
          <w:color w:val="auto"/>
          <w:sz w:val="21"/>
          <w:szCs w:val="21"/>
          <w:highlight w:val="none"/>
        </w:rPr>
      </w:pPr>
      <w:r>
        <w:rPr>
          <w:rFonts w:hint="eastAsia"/>
          <w:b/>
          <w:color w:val="auto"/>
          <w:sz w:val="21"/>
          <w:szCs w:val="21"/>
          <w:highlight w:val="none"/>
          <w:lang w:val="en-US" w:eastAsia="zh-CN"/>
        </w:rPr>
        <w:t>23.</w:t>
      </w:r>
      <w:r>
        <w:rPr>
          <w:rFonts w:hint="eastAsia"/>
          <w:b/>
          <w:color w:val="auto"/>
          <w:sz w:val="21"/>
          <w:szCs w:val="21"/>
          <w:highlight w:val="none"/>
        </w:rPr>
        <w:t>材料中涉及招标人明确品牌范围的，</w:t>
      </w:r>
      <w:r>
        <w:rPr>
          <w:rFonts w:hint="eastAsia"/>
          <w:b/>
          <w:color w:val="auto"/>
          <w:sz w:val="21"/>
          <w:szCs w:val="21"/>
          <w:highlight w:val="none"/>
          <w:lang w:eastAsia="zh-CN"/>
        </w:rPr>
        <w:t>建议</w:t>
      </w:r>
      <w:r>
        <w:rPr>
          <w:rFonts w:hint="eastAsia"/>
          <w:b/>
          <w:color w:val="auto"/>
          <w:sz w:val="21"/>
          <w:szCs w:val="21"/>
          <w:highlight w:val="none"/>
        </w:rPr>
        <w:t>中标单位在明确的品牌范围内采购。</w:t>
      </w:r>
    </w:p>
    <w:p w14:paraId="2E2E21B6">
      <w:pPr>
        <w:pStyle w:val="28"/>
        <w:spacing w:line="360" w:lineRule="auto"/>
        <w:ind w:firstLine="413" w:firstLineChars="196"/>
        <w:rPr>
          <w:rFonts w:hint="eastAsia"/>
          <w:b/>
          <w:color w:val="auto"/>
          <w:sz w:val="21"/>
          <w:szCs w:val="21"/>
          <w:highlight w:val="none"/>
          <w:lang w:val="en-US" w:eastAsia="zh-CN"/>
        </w:rPr>
      </w:pPr>
      <w:r>
        <w:rPr>
          <w:rFonts w:hint="eastAsia"/>
          <w:b/>
          <w:color w:val="auto"/>
          <w:sz w:val="21"/>
          <w:szCs w:val="21"/>
          <w:highlight w:val="none"/>
          <w:lang w:val="en-US" w:eastAsia="zh-CN"/>
        </w:rPr>
        <w:t>24.</w:t>
      </w:r>
      <w:r>
        <w:rPr>
          <w:rFonts w:hint="eastAsia"/>
          <w:b/>
          <w:color w:val="auto"/>
          <w:sz w:val="21"/>
          <w:szCs w:val="21"/>
          <w:highlight w:val="none"/>
          <w:lang w:val="en-US" w:eastAsia="zh-CN"/>
        </w:rPr>
        <w:t xml:space="preserve">本工程招标人提供材料（设备）品牌表，投标人应结合提供的材料（设备）品牌综合进行投标报价。建议投标人在投标文件中确定相关品牌，否则中标后，中标人需根据材料（设备）的使用时间提前两周向发包人提交品牌选择方案。若中标人不在招标人提供的品牌范围内选择的，则需提交所选品牌相当于或高于招标人提供品牌品质和档次的证明材料，报招标人审核同意后。上述因素由投标人在投标报价时综合考虑。 </w:t>
      </w:r>
    </w:p>
    <w:p w14:paraId="09F55B7A">
      <w:pPr>
        <w:pStyle w:val="28"/>
        <w:spacing w:line="360" w:lineRule="auto"/>
        <w:rPr>
          <w:rFonts w:hint="eastAsia"/>
          <w:b/>
          <w:color w:val="auto"/>
          <w:sz w:val="21"/>
          <w:szCs w:val="21"/>
          <w:highlight w:val="none"/>
          <w:lang w:val="en-US" w:eastAsia="zh-CN"/>
        </w:rPr>
      </w:pPr>
      <w:r>
        <w:rPr>
          <w:rFonts w:hint="eastAsia"/>
          <w:b/>
          <w:color w:val="auto"/>
          <w:sz w:val="21"/>
          <w:szCs w:val="21"/>
          <w:highlight w:val="none"/>
          <w:lang w:val="en-US" w:eastAsia="zh-CN"/>
        </w:rPr>
        <w:t xml:space="preserve">①考虑到今后维保要求，同一类材料（设备）产品必须采用同一品牌（且同一品牌材料（设备）的主材（主设备）和辅材（附件）品牌必须一致），今后招标人有权统一品牌； </w:t>
      </w:r>
    </w:p>
    <w:p w14:paraId="0EF450D2">
      <w:pPr>
        <w:pStyle w:val="28"/>
        <w:spacing w:line="360" w:lineRule="auto"/>
        <w:rPr>
          <w:rFonts w:hint="eastAsia"/>
          <w:b/>
          <w:color w:val="auto"/>
          <w:sz w:val="21"/>
          <w:szCs w:val="21"/>
          <w:highlight w:val="none"/>
          <w:lang w:val="en-US" w:eastAsia="zh-CN"/>
        </w:rPr>
      </w:pPr>
      <w:r>
        <w:rPr>
          <w:rFonts w:hint="eastAsia"/>
          <w:b/>
          <w:color w:val="auto"/>
          <w:sz w:val="21"/>
          <w:szCs w:val="21"/>
          <w:highlight w:val="none"/>
          <w:lang w:val="en-US" w:eastAsia="zh-CN"/>
        </w:rPr>
        <w:t xml:space="preserve">②根据施工组织设计进度计划，未提供品牌的材料（设备）进场前，施工单位需提前两周向招标人提供与材料供应商签订的供货合同和材料（设备）品牌、材料的小样，否则招标人将拒绝材料进场，并视为违约，将进行处罚。情况严重的将直接上报建设管理部门。  </w:t>
      </w:r>
    </w:p>
    <w:p w14:paraId="2B68BC50">
      <w:pPr>
        <w:pStyle w:val="28"/>
        <w:spacing w:line="360" w:lineRule="auto"/>
        <w:rPr>
          <w:rFonts w:hint="eastAsia"/>
          <w:b/>
          <w:color w:val="auto"/>
          <w:sz w:val="21"/>
          <w:szCs w:val="21"/>
          <w:highlight w:val="none"/>
          <w:lang w:val="en-US" w:eastAsia="zh-CN"/>
        </w:rPr>
      </w:pPr>
      <w:r>
        <w:rPr>
          <w:rFonts w:hint="eastAsia"/>
          <w:b/>
          <w:color w:val="auto"/>
          <w:sz w:val="21"/>
          <w:szCs w:val="21"/>
          <w:highlight w:val="none"/>
          <w:lang w:val="en-US" w:eastAsia="zh-CN"/>
        </w:rPr>
        <w:t xml:space="preserve">③项目实施过程中如遇有关产品（材料、设备）换代、不生产，则替代产品（材料、设备）性能（包括规格、型号等）不得低于招标时招标人提供品牌的产品（材料、设备）性能（包括规格、型号等），并在招标人提供的品牌范围内选定，替代产品（材料、设备）价格按原投标价格、不得调整。 </w:t>
      </w:r>
    </w:p>
    <w:p w14:paraId="5A85C548">
      <w:pPr>
        <w:pStyle w:val="28"/>
        <w:spacing w:line="360" w:lineRule="auto"/>
        <w:rPr>
          <w:rFonts w:hint="eastAsia"/>
          <w:b/>
          <w:color w:val="auto"/>
          <w:sz w:val="21"/>
          <w:szCs w:val="21"/>
          <w:highlight w:val="none"/>
          <w:lang w:val="en-US" w:eastAsia="zh-CN"/>
        </w:rPr>
      </w:pPr>
      <w:r>
        <w:rPr>
          <w:rFonts w:hint="eastAsia"/>
          <w:b/>
          <w:color w:val="auto"/>
          <w:sz w:val="21"/>
          <w:szCs w:val="21"/>
          <w:highlight w:val="none"/>
          <w:lang w:val="en-US" w:eastAsia="zh-CN"/>
        </w:rPr>
        <w:t xml:space="preserve">④项目实施过程中，有关材料（如地砖、玻璃、石材、铝型材、铝板等）由招标人确定颜色，价格按原投标价格、不得调整。 </w:t>
      </w:r>
    </w:p>
    <w:p w14:paraId="08B0AFA8">
      <w:pPr>
        <w:pStyle w:val="28"/>
        <w:spacing w:line="360" w:lineRule="auto"/>
        <w:rPr>
          <w:rFonts w:hint="eastAsia"/>
          <w:b/>
          <w:color w:val="auto"/>
          <w:sz w:val="21"/>
          <w:szCs w:val="21"/>
          <w:highlight w:val="none"/>
          <w:lang w:val="en-US" w:eastAsia="zh-CN"/>
        </w:rPr>
      </w:pPr>
      <w:r>
        <w:rPr>
          <w:rFonts w:hint="eastAsia"/>
          <w:b/>
          <w:color w:val="auto"/>
          <w:sz w:val="21"/>
          <w:szCs w:val="21"/>
          <w:highlight w:val="none"/>
          <w:lang w:val="en-US" w:eastAsia="zh-CN"/>
        </w:rPr>
        <w:t>上述风险因素由投标人在投标报价时综合考虑，今后结算时价格按投标报价不作调整。</w:t>
      </w:r>
    </w:p>
    <w:tbl>
      <w:tblPr>
        <w:tblStyle w:val="55"/>
        <w:tblW w:w="8946" w:type="dxa"/>
        <w:tblInd w:w="0" w:type="dxa"/>
        <w:tblLayout w:type="fixed"/>
        <w:tblCellMar>
          <w:top w:w="15" w:type="dxa"/>
          <w:left w:w="15" w:type="dxa"/>
          <w:bottom w:w="15" w:type="dxa"/>
          <w:right w:w="15" w:type="dxa"/>
        </w:tblCellMar>
      </w:tblPr>
      <w:tblGrid>
        <w:gridCol w:w="627"/>
        <w:gridCol w:w="4007"/>
        <w:gridCol w:w="3395"/>
        <w:gridCol w:w="917"/>
      </w:tblGrid>
      <w:tr w14:paraId="15097B4B">
        <w:tblPrEx>
          <w:tblCellMar>
            <w:top w:w="15" w:type="dxa"/>
            <w:left w:w="15" w:type="dxa"/>
            <w:bottom w:w="15" w:type="dxa"/>
            <w:right w:w="15" w:type="dxa"/>
          </w:tblCellMar>
        </w:tblPrEx>
        <w:trPr>
          <w:trHeight w:val="505" w:hRule="atLeast"/>
        </w:trPr>
        <w:tc>
          <w:tcPr>
            <w:tcW w:w="8946" w:type="dxa"/>
            <w:gridSpan w:val="4"/>
            <w:noWrap w:val="0"/>
            <w:vAlign w:val="center"/>
          </w:tcPr>
          <w:p w14:paraId="4534C330">
            <w:pPr>
              <w:pStyle w:val="28"/>
              <w:spacing w:line="360" w:lineRule="auto"/>
              <w:ind w:firstLine="413" w:firstLineChars="196"/>
              <w:jc w:val="center"/>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材料名牌选用表</w:t>
            </w:r>
          </w:p>
        </w:tc>
      </w:tr>
      <w:tr w14:paraId="7A2279E2">
        <w:tblPrEx>
          <w:tblCellMar>
            <w:top w:w="15" w:type="dxa"/>
            <w:left w:w="15" w:type="dxa"/>
            <w:bottom w:w="15" w:type="dxa"/>
            <w:right w:w="15" w:type="dxa"/>
          </w:tblCellMar>
        </w:tblPrEx>
        <w:trPr>
          <w:trHeight w:val="455" w:hRule="atLeast"/>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BC2373D">
            <w:pPr>
              <w:pStyle w:val="28"/>
              <w:spacing w:line="360" w:lineRule="auto"/>
              <w:jc w:val="center"/>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序号</w:t>
            </w:r>
          </w:p>
        </w:tc>
        <w:tc>
          <w:tcPr>
            <w:tcW w:w="4007" w:type="dxa"/>
            <w:tcBorders>
              <w:top w:val="single" w:color="000000" w:sz="4" w:space="0"/>
              <w:left w:val="single" w:color="000000" w:sz="4" w:space="0"/>
              <w:bottom w:val="single" w:color="000000" w:sz="4" w:space="0"/>
              <w:right w:val="single" w:color="000000" w:sz="4" w:space="0"/>
            </w:tcBorders>
            <w:noWrap w:val="0"/>
            <w:vAlign w:val="center"/>
          </w:tcPr>
          <w:p w14:paraId="3E5F5F22">
            <w:pPr>
              <w:pStyle w:val="28"/>
              <w:spacing w:line="360" w:lineRule="auto"/>
              <w:ind w:firstLine="413" w:firstLineChars="196"/>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材料品牌</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14:paraId="49A96E97">
            <w:pPr>
              <w:pStyle w:val="28"/>
              <w:spacing w:line="360" w:lineRule="auto"/>
              <w:ind w:firstLine="413" w:firstLineChars="196"/>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选用品牌</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AF575BE">
            <w:pPr>
              <w:pStyle w:val="28"/>
              <w:spacing w:line="360" w:lineRule="auto"/>
              <w:jc w:val="center"/>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备注</w:t>
            </w:r>
          </w:p>
        </w:tc>
      </w:tr>
      <w:tr w14:paraId="09996C3E">
        <w:tblPrEx>
          <w:tblCellMar>
            <w:top w:w="15" w:type="dxa"/>
            <w:left w:w="15" w:type="dxa"/>
            <w:bottom w:w="15" w:type="dxa"/>
            <w:right w:w="15" w:type="dxa"/>
          </w:tblCellMar>
        </w:tblPrEx>
        <w:trPr>
          <w:trHeight w:val="475" w:hRule="exact"/>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FFF2C5D">
            <w:pPr>
              <w:pStyle w:val="28"/>
              <w:spacing w:line="360" w:lineRule="auto"/>
              <w:jc w:val="center"/>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1</w:t>
            </w:r>
          </w:p>
        </w:tc>
        <w:tc>
          <w:tcPr>
            <w:tcW w:w="4007" w:type="dxa"/>
            <w:tcBorders>
              <w:top w:val="single" w:color="000000" w:sz="4" w:space="0"/>
              <w:left w:val="single" w:color="000000" w:sz="4" w:space="0"/>
              <w:bottom w:val="single" w:color="000000" w:sz="4" w:space="0"/>
              <w:right w:val="single" w:color="000000" w:sz="4" w:space="0"/>
            </w:tcBorders>
            <w:noWrap w:val="0"/>
            <w:vAlign w:val="center"/>
          </w:tcPr>
          <w:p w14:paraId="40E13C93">
            <w:pPr>
              <w:pStyle w:val="28"/>
              <w:spacing w:line="360" w:lineRule="auto"/>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涂料、外墙弹性涂料、乳胶漆、防霉涂料</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14:paraId="4265D4B9">
            <w:pPr>
              <w:pStyle w:val="28"/>
              <w:spacing w:line="360" w:lineRule="auto"/>
              <w:rPr>
                <w:rFonts w:hint="eastAsia" w:ascii="宋体" w:hAnsi="Courier New" w:eastAsia="宋体" w:cs="Courier New"/>
                <w:b/>
                <w:color w:val="auto"/>
                <w:sz w:val="21"/>
                <w:szCs w:val="21"/>
                <w:highlight w:val="none"/>
                <w:lang w:eastAsia="zh-CN"/>
              </w:rPr>
            </w:pPr>
            <w:r>
              <w:rPr>
                <w:rFonts w:hint="eastAsia" w:ascii="宋体" w:hAnsi="Courier New" w:eastAsia="宋体" w:cs="Courier New"/>
                <w:b/>
                <w:color w:val="auto"/>
                <w:sz w:val="21"/>
                <w:szCs w:val="21"/>
                <w:highlight w:val="none"/>
              </w:rPr>
              <w:t>德尔福</w:t>
            </w:r>
            <w:r>
              <w:rPr>
                <w:rFonts w:hint="eastAsia" w:cs="Courier New"/>
                <w:b/>
                <w:color w:val="auto"/>
                <w:sz w:val="21"/>
                <w:szCs w:val="21"/>
                <w:highlight w:val="none"/>
                <w:lang w:eastAsia="zh-CN"/>
              </w:rPr>
              <w:t>、</w:t>
            </w:r>
            <w:r>
              <w:rPr>
                <w:rFonts w:hint="eastAsia" w:ascii="宋体" w:hAnsi="Courier New" w:eastAsia="宋体" w:cs="Courier New"/>
                <w:b/>
                <w:color w:val="auto"/>
                <w:sz w:val="21"/>
                <w:szCs w:val="21"/>
                <w:highlight w:val="none"/>
              </w:rPr>
              <w:t>多乐士</w:t>
            </w:r>
            <w:r>
              <w:rPr>
                <w:rFonts w:hint="eastAsia" w:cs="Courier New"/>
                <w:b/>
                <w:color w:val="auto"/>
                <w:sz w:val="21"/>
                <w:szCs w:val="21"/>
                <w:highlight w:val="none"/>
                <w:lang w:eastAsia="zh-CN"/>
              </w:rPr>
              <w:t>、</w:t>
            </w:r>
            <w:r>
              <w:rPr>
                <w:rFonts w:hint="eastAsia" w:ascii="宋体" w:hAnsi="Courier New" w:eastAsia="宋体" w:cs="Courier New"/>
                <w:b/>
                <w:color w:val="auto"/>
                <w:sz w:val="21"/>
                <w:szCs w:val="21"/>
                <w:highlight w:val="none"/>
              </w:rPr>
              <w:t>铃鹿</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AD9AA7A">
            <w:pPr>
              <w:pStyle w:val="28"/>
              <w:spacing w:line="360" w:lineRule="auto"/>
              <w:ind w:firstLine="413" w:firstLineChars="196"/>
              <w:rPr>
                <w:rFonts w:hint="eastAsia" w:ascii="宋体" w:hAnsi="Courier New" w:eastAsia="宋体" w:cs="Courier New"/>
                <w:b/>
                <w:color w:val="auto"/>
                <w:sz w:val="21"/>
                <w:szCs w:val="21"/>
                <w:highlight w:val="none"/>
              </w:rPr>
            </w:pPr>
          </w:p>
        </w:tc>
      </w:tr>
      <w:tr w14:paraId="58C417E0">
        <w:tblPrEx>
          <w:tblCellMar>
            <w:top w:w="15" w:type="dxa"/>
            <w:left w:w="15" w:type="dxa"/>
            <w:bottom w:w="15" w:type="dxa"/>
            <w:right w:w="15" w:type="dxa"/>
          </w:tblCellMar>
        </w:tblPrEx>
        <w:trPr>
          <w:trHeight w:val="502" w:hRule="exact"/>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950EF39">
            <w:pPr>
              <w:pStyle w:val="28"/>
              <w:spacing w:line="360" w:lineRule="auto"/>
              <w:jc w:val="center"/>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2</w:t>
            </w:r>
          </w:p>
        </w:tc>
        <w:tc>
          <w:tcPr>
            <w:tcW w:w="4007" w:type="dxa"/>
            <w:tcBorders>
              <w:top w:val="single" w:color="000000" w:sz="4" w:space="0"/>
              <w:left w:val="single" w:color="000000" w:sz="4" w:space="0"/>
              <w:bottom w:val="single" w:color="000000" w:sz="4" w:space="0"/>
              <w:right w:val="single" w:color="000000" w:sz="4" w:space="0"/>
            </w:tcBorders>
            <w:noWrap w:val="0"/>
            <w:vAlign w:val="center"/>
          </w:tcPr>
          <w:p w14:paraId="4D8B31D8">
            <w:pPr>
              <w:pStyle w:val="28"/>
              <w:spacing w:line="360" w:lineRule="auto"/>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成品套装门</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14:paraId="57C08084">
            <w:pPr>
              <w:pStyle w:val="28"/>
              <w:spacing w:line="360" w:lineRule="auto"/>
              <w:rPr>
                <w:rFonts w:hint="eastAsia" w:ascii="宋体" w:hAnsi="Courier New" w:eastAsia="宋体" w:cs="Courier New"/>
                <w:b/>
                <w:color w:val="auto"/>
                <w:sz w:val="21"/>
                <w:szCs w:val="21"/>
                <w:highlight w:val="none"/>
                <w:lang w:eastAsia="zh-CN"/>
              </w:rPr>
            </w:pPr>
            <w:r>
              <w:rPr>
                <w:rFonts w:hint="eastAsia" w:ascii="宋体" w:hAnsi="Courier New" w:eastAsia="宋体" w:cs="Courier New"/>
                <w:b/>
                <w:color w:val="auto"/>
                <w:sz w:val="21"/>
                <w:szCs w:val="21"/>
                <w:highlight w:val="none"/>
              </w:rPr>
              <w:t>美心、鑫迪、金迪</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8208523">
            <w:pPr>
              <w:pStyle w:val="28"/>
              <w:spacing w:line="360" w:lineRule="auto"/>
              <w:ind w:firstLine="413" w:firstLineChars="196"/>
              <w:rPr>
                <w:rFonts w:hint="eastAsia" w:ascii="宋体" w:hAnsi="Courier New" w:eastAsia="宋体" w:cs="Courier New"/>
                <w:b/>
                <w:color w:val="auto"/>
                <w:sz w:val="21"/>
                <w:szCs w:val="21"/>
                <w:highlight w:val="none"/>
              </w:rPr>
            </w:pPr>
          </w:p>
        </w:tc>
      </w:tr>
      <w:tr w14:paraId="5A78D4B9">
        <w:tblPrEx>
          <w:tblCellMar>
            <w:top w:w="15" w:type="dxa"/>
            <w:left w:w="15" w:type="dxa"/>
            <w:bottom w:w="15" w:type="dxa"/>
            <w:right w:w="15" w:type="dxa"/>
          </w:tblCellMar>
        </w:tblPrEx>
        <w:trPr>
          <w:trHeight w:val="549" w:hRule="exact"/>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5A10D5F0">
            <w:pPr>
              <w:pStyle w:val="28"/>
              <w:spacing w:line="360" w:lineRule="auto"/>
              <w:jc w:val="center"/>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3</w:t>
            </w:r>
          </w:p>
        </w:tc>
        <w:tc>
          <w:tcPr>
            <w:tcW w:w="4007" w:type="dxa"/>
            <w:tcBorders>
              <w:top w:val="single" w:color="000000" w:sz="4" w:space="0"/>
              <w:left w:val="single" w:color="000000" w:sz="4" w:space="0"/>
              <w:bottom w:val="single" w:color="000000" w:sz="4" w:space="0"/>
              <w:right w:val="single" w:color="000000" w:sz="4" w:space="0"/>
            </w:tcBorders>
            <w:noWrap w:val="0"/>
            <w:vAlign w:val="center"/>
          </w:tcPr>
          <w:p w14:paraId="45906A4D">
            <w:pPr>
              <w:pStyle w:val="28"/>
              <w:spacing w:line="360" w:lineRule="auto"/>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铝合金门窗型材、幕墙铝合金型材</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14:paraId="68426422">
            <w:pPr>
              <w:pStyle w:val="28"/>
              <w:spacing w:line="360" w:lineRule="auto"/>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栋梁、凤铝、兴发、富丽华</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791ED95">
            <w:pPr>
              <w:pStyle w:val="28"/>
              <w:spacing w:line="360" w:lineRule="auto"/>
              <w:ind w:firstLine="413" w:firstLineChars="196"/>
              <w:rPr>
                <w:rFonts w:hint="eastAsia" w:ascii="宋体" w:hAnsi="Courier New" w:eastAsia="宋体" w:cs="Courier New"/>
                <w:b/>
                <w:color w:val="auto"/>
                <w:sz w:val="21"/>
                <w:szCs w:val="21"/>
                <w:highlight w:val="none"/>
              </w:rPr>
            </w:pPr>
          </w:p>
        </w:tc>
      </w:tr>
      <w:tr w14:paraId="37494802">
        <w:tblPrEx>
          <w:tblCellMar>
            <w:top w:w="15" w:type="dxa"/>
            <w:left w:w="15" w:type="dxa"/>
            <w:bottom w:w="15" w:type="dxa"/>
            <w:right w:w="15" w:type="dxa"/>
          </w:tblCellMar>
        </w:tblPrEx>
        <w:trPr>
          <w:trHeight w:val="580" w:hRule="exact"/>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1520E34">
            <w:pPr>
              <w:pStyle w:val="28"/>
              <w:spacing w:line="360" w:lineRule="auto"/>
              <w:jc w:val="center"/>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4</w:t>
            </w:r>
          </w:p>
        </w:tc>
        <w:tc>
          <w:tcPr>
            <w:tcW w:w="4007" w:type="dxa"/>
            <w:tcBorders>
              <w:top w:val="single" w:color="000000" w:sz="4" w:space="0"/>
              <w:left w:val="single" w:color="000000" w:sz="4" w:space="0"/>
              <w:bottom w:val="single" w:color="000000" w:sz="4" w:space="0"/>
              <w:right w:val="single" w:color="000000" w:sz="4" w:space="0"/>
            </w:tcBorders>
            <w:noWrap w:val="0"/>
            <w:vAlign w:val="center"/>
          </w:tcPr>
          <w:p w14:paraId="397E5D98">
            <w:pPr>
              <w:pStyle w:val="28"/>
              <w:spacing w:line="360" w:lineRule="auto"/>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木饰面板及细木工板</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14:paraId="23B8A829">
            <w:pPr>
              <w:pStyle w:val="28"/>
              <w:spacing w:line="360" w:lineRule="auto"/>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兔宝宝、千年舟、莫干山</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4B79C58">
            <w:pPr>
              <w:pStyle w:val="28"/>
              <w:spacing w:line="360" w:lineRule="auto"/>
              <w:ind w:firstLine="413" w:firstLineChars="196"/>
              <w:rPr>
                <w:rFonts w:hint="eastAsia" w:ascii="宋体" w:hAnsi="Courier New" w:eastAsia="宋体" w:cs="Courier New"/>
                <w:b/>
                <w:color w:val="auto"/>
                <w:sz w:val="21"/>
                <w:szCs w:val="21"/>
                <w:highlight w:val="none"/>
              </w:rPr>
            </w:pPr>
          </w:p>
        </w:tc>
      </w:tr>
      <w:tr w14:paraId="3421943F">
        <w:tblPrEx>
          <w:tblCellMar>
            <w:top w:w="15" w:type="dxa"/>
            <w:left w:w="15" w:type="dxa"/>
            <w:bottom w:w="15" w:type="dxa"/>
            <w:right w:w="15" w:type="dxa"/>
          </w:tblCellMar>
        </w:tblPrEx>
        <w:trPr>
          <w:trHeight w:val="610" w:hRule="exact"/>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CCDD5A5">
            <w:pPr>
              <w:pStyle w:val="28"/>
              <w:spacing w:line="360" w:lineRule="auto"/>
              <w:jc w:val="center"/>
              <w:rPr>
                <w:rFonts w:hint="default" w:ascii="宋体" w:hAnsi="Courier New" w:eastAsia="宋体" w:cs="Courier New"/>
                <w:b/>
                <w:color w:val="auto"/>
                <w:sz w:val="21"/>
                <w:szCs w:val="21"/>
                <w:highlight w:val="none"/>
                <w:lang w:val="en-US" w:eastAsia="zh-CN"/>
              </w:rPr>
            </w:pPr>
            <w:r>
              <w:rPr>
                <w:rFonts w:hint="eastAsia" w:cs="Courier New"/>
                <w:b/>
                <w:color w:val="auto"/>
                <w:sz w:val="21"/>
                <w:szCs w:val="21"/>
                <w:highlight w:val="none"/>
                <w:lang w:val="en-US" w:eastAsia="zh-CN"/>
              </w:rPr>
              <w:t>5</w:t>
            </w:r>
          </w:p>
        </w:tc>
        <w:tc>
          <w:tcPr>
            <w:tcW w:w="4007" w:type="dxa"/>
            <w:tcBorders>
              <w:top w:val="single" w:color="000000" w:sz="4" w:space="0"/>
              <w:left w:val="single" w:color="000000" w:sz="4" w:space="0"/>
              <w:bottom w:val="single" w:color="000000" w:sz="4" w:space="0"/>
              <w:right w:val="single" w:color="000000" w:sz="4" w:space="0"/>
            </w:tcBorders>
            <w:noWrap w:val="0"/>
            <w:vAlign w:val="center"/>
          </w:tcPr>
          <w:p w14:paraId="3D5470E4">
            <w:pPr>
              <w:pStyle w:val="28"/>
              <w:spacing w:line="360" w:lineRule="auto"/>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矿棉板、纸面石膏板及吊顶龙骨</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14:paraId="704BF729">
            <w:pPr>
              <w:pStyle w:val="28"/>
              <w:spacing w:line="360" w:lineRule="auto"/>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拉法基、可耐福、杰科、龙牌</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7F349FC">
            <w:pPr>
              <w:pStyle w:val="28"/>
              <w:spacing w:line="360" w:lineRule="auto"/>
              <w:ind w:firstLine="413" w:firstLineChars="196"/>
              <w:rPr>
                <w:rFonts w:hint="eastAsia" w:ascii="宋体" w:hAnsi="Courier New" w:eastAsia="宋体" w:cs="Courier New"/>
                <w:b/>
                <w:color w:val="auto"/>
                <w:sz w:val="21"/>
                <w:szCs w:val="21"/>
                <w:highlight w:val="none"/>
              </w:rPr>
            </w:pPr>
          </w:p>
        </w:tc>
      </w:tr>
      <w:tr w14:paraId="48F9798E">
        <w:tblPrEx>
          <w:tblCellMar>
            <w:top w:w="15" w:type="dxa"/>
            <w:left w:w="15" w:type="dxa"/>
            <w:bottom w:w="15" w:type="dxa"/>
            <w:right w:w="15" w:type="dxa"/>
          </w:tblCellMar>
        </w:tblPrEx>
        <w:trPr>
          <w:trHeight w:val="1081" w:hRule="exact"/>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DD99A2B">
            <w:pPr>
              <w:pStyle w:val="28"/>
              <w:spacing w:line="360" w:lineRule="auto"/>
              <w:jc w:val="center"/>
              <w:rPr>
                <w:rFonts w:hint="default" w:ascii="宋体" w:hAnsi="Courier New" w:eastAsia="宋体" w:cs="Courier New"/>
                <w:b/>
                <w:color w:val="auto"/>
                <w:sz w:val="21"/>
                <w:szCs w:val="21"/>
                <w:highlight w:val="none"/>
                <w:lang w:val="en-US" w:eastAsia="zh-CN"/>
              </w:rPr>
            </w:pPr>
            <w:r>
              <w:rPr>
                <w:rFonts w:hint="eastAsia" w:cs="Courier New"/>
                <w:b/>
                <w:color w:val="auto"/>
                <w:sz w:val="21"/>
                <w:szCs w:val="21"/>
                <w:highlight w:val="none"/>
                <w:lang w:val="en-US" w:eastAsia="zh-CN"/>
              </w:rPr>
              <w:t>6</w:t>
            </w:r>
          </w:p>
        </w:tc>
        <w:tc>
          <w:tcPr>
            <w:tcW w:w="4007" w:type="dxa"/>
            <w:tcBorders>
              <w:top w:val="single" w:color="000000" w:sz="4" w:space="0"/>
              <w:left w:val="single" w:color="000000" w:sz="4" w:space="0"/>
              <w:bottom w:val="single" w:color="000000" w:sz="4" w:space="0"/>
              <w:right w:val="single" w:color="000000" w:sz="4" w:space="0"/>
            </w:tcBorders>
            <w:noWrap w:val="0"/>
            <w:vAlign w:val="center"/>
          </w:tcPr>
          <w:p w14:paraId="731AA3DC">
            <w:pPr>
              <w:pStyle w:val="28"/>
              <w:spacing w:line="360" w:lineRule="auto"/>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配电箱</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14:paraId="559B268E">
            <w:pPr>
              <w:pStyle w:val="28"/>
              <w:spacing w:line="360" w:lineRule="auto"/>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正原、恒创、嘉控（箱内元器件选用 ：正泰、德力西、施耐德）</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A9D5B30">
            <w:pPr>
              <w:pStyle w:val="28"/>
              <w:spacing w:line="360" w:lineRule="auto"/>
              <w:ind w:firstLine="413" w:firstLineChars="196"/>
              <w:rPr>
                <w:rFonts w:hint="eastAsia" w:ascii="宋体" w:hAnsi="Courier New" w:eastAsia="宋体" w:cs="Courier New"/>
                <w:b/>
                <w:color w:val="auto"/>
                <w:sz w:val="21"/>
                <w:szCs w:val="21"/>
                <w:highlight w:val="none"/>
              </w:rPr>
            </w:pPr>
          </w:p>
        </w:tc>
      </w:tr>
      <w:tr w14:paraId="5F0241C0">
        <w:tblPrEx>
          <w:tblCellMar>
            <w:top w:w="15" w:type="dxa"/>
            <w:left w:w="15" w:type="dxa"/>
            <w:bottom w:w="15" w:type="dxa"/>
            <w:right w:w="15" w:type="dxa"/>
          </w:tblCellMar>
        </w:tblPrEx>
        <w:trPr>
          <w:trHeight w:val="480" w:hRule="exact"/>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5F52D945">
            <w:pPr>
              <w:pStyle w:val="28"/>
              <w:spacing w:line="360" w:lineRule="auto"/>
              <w:jc w:val="center"/>
              <w:rPr>
                <w:rFonts w:hint="default" w:ascii="宋体" w:hAnsi="Courier New" w:eastAsia="宋体" w:cs="Courier New"/>
                <w:b/>
                <w:color w:val="auto"/>
                <w:sz w:val="21"/>
                <w:szCs w:val="21"/>
                <w:highlight w:val="none"/>
                <w:lang w:val="en-US" w:eastAsia="zh-CN"/>
              </w:rPr>
            </w:pPr>
            <w:r>
              <w:rPr>
                <w:rFonts w:hint="eastAsia" w:cs="Courier New"/>
                <w:b/>
                <w:color w:val="auto"/>
                <w:sz w:val="21"/>
                <w:szCs w:val="21"/>
                <w:highlight w:val="none"/>
                <w:lang w:val="en-US" w:eastAsia="zh-CN"/>
              </w:rPr>
              <w:t>7</w:t>
            </w:r>
          </w:p>
        </w:tc>
        <w:tc>
          <w:tcPr>
            <w:tcW w:w="4007" w:type="dxa"/>
            <w:tcBorders>
              <w:top w:val="single" w:color="000000" w:sz="4" w:space="0"/>
              <w:left w:val="single" w:color="000000" w:sz="4" w:space="0"/>
              <w:bottom w:val="single" w:color="000000" w:sz="4" w:space="0"/>
              <w:right w:val="single" w:color="000000" w:sz="4" w:space="0"/>
            </w:tcBorders>
            <w:noWrap w:val="0"/>
            <w:vAlign w:val="center"/>
          </w:tcPr>
          <w:p w14:paraId="5F555337">
            <w:pPr>
              <w:pStyle w:val="28"/>
              <w:spacing w:line="360" w:lineRule="auto"/>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电线管</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14:paraId="03ED0C1D">
            <w:pPr>
              <w:pStyle w:val="28"/>
              <w:spacing w:line="360" w:lineRule="auto"/>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武陵源、天一、泰瑞安</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AC560E7">
            <w:pPr>
              <w:pStyle w:val="28"/>
              <w:spacing w:line="360" w:lineRule="auto"/>
              <w:ind w:firstLine="413" w:firstLineChars="196"/>
              <w:rPr>
                <w:rFonts w:hint="eastAsia" w:ascii="宋体" w:hAnsi="Courier New" w:eastAsia="宋体" w:cs="Courier New"/>
                <w:b/>
                <w:color w:val="auto"/>
                <w:sz w:val="21"/>
                <w:szCs w:val="21"/>
                <w:highlight w:val="none"/>
              </w:rPr>
            </w:pPr>
          </w:p>
        </w:tc>
      </w:tr>
      <w:tr w14:paraId="13CD6289">
        <w:tblPrEx>
          <w:tblCellMar>
            <w:top w:w="15" w:type="dxa"/>
            <w:left w:w="15" w:type="dxa"/>
            <w:bottom w:w="15" w:type="dxa"/>
            <w:right w:w="15" w:type="dxa"/>
          </w:tblCellMar>
        </w:tblPrEx>
        <w:trPr>
          <w:trHeight w:val="501" w:hRule="exact"/>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3028B9F">
            <w:pPr>
              <w:pStyle w:val="28"/>
              <w:spacing w:line="360" w:lineRule="auto"/>
              <w:jc w:val="center"/>
              <w:rPr>
                <w:rFonts w:hint="default" w:ascii="宋体" w:hAnsi="Courier New" w:eastAsia="宋体" w:cs="Courier New"/>
                <w:b/>
                <w:color w:val="auto"/>
                <w:sz w:val="21"/>
                <w:szCs w:val="21"/>
                <w:highlight w:val="none"/>
                <w:lang w:val="en-US" w:eastAsia="zh-CN"/>
              </w:rPr>
            </w:pPr>
            <w:r>
              <w:rPr>
                <w:rFonts w:hint="eastAsia" w:cs="Courier New"/>
                <w:b/>
                <w:color w:val="auto"/>
                <w:sz w:val="21"/>
                <w:szCs w:val="21"/>
                <w:highlight w:val="none"/>
                <w:lang w:val="en-US" w:eastAsia="zh-CN"/>
              </w:rPr>
              <w:t>8</w:t>
            </w:r>
          </w:p>
        </w:tc>
        <w:tc>
          <w:tcPr>
            <w:tcW w:w="4007" w:type="dxa"/>
            <w:tcBorders>
              <w:top w:val="single" w:color="000000" w:sz="4" w:space="0"/>
              <w:left w:val="single" w:color="000000" w:sz="4" w:space="0"/>
              <w:bottom w:val="single" w:color="000000" w:sz="4" w:space="0"/>
              <w:right w:val="single" w:color="000000" w:sz="4" w:space="0"/>
            </w:tcBorders>
            <w:noWrap w:val="0"/>
            <w:vAlign w:val="center"/>
          </w:tcPr>
          <w:p w14:paraId="5789E04E">
            <w:pPr>
              <w:pStyle w:val="28"/>
              <w:spacing w:line="360" w:lineRule="auto"/>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电线、电缆</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14:paraId="5BC5C394">
            <w:pPr>
              <w:pStyle w:val="28"/>
              <w:spacing w:line="360" w:lineRule="auto"/>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立洲、正泰、晨光</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7CCF783">
            <w:pPr>
              <w:pStyle w:val="28"/>
              <w:spacing w:line="360" w:lineRule="auto"/>
              <w:ind w:firstLine="413" w:firstLineChars="196"/>
              <w:rPr>
                <w:rFonts w:hint="eastAsia" w:ascii="宋体" w:hAnsi="Courier New" w:eastAsia="宋体" w:cs="Courier New"/>
                <w:b/>
                <w:color w:val="auto"/>
                <w:sz w:val="21"/>
                <w:szCs w:val="21"/>
                <w:highlight w:val="none"/>
              </w:rPr>
            </w:pPr>
          </w:p>
        </w:tc>
      </w:tr>
      <w:tr w14:paraId="75459CE4">
        <w:tblPrEx>
          <w:tblCellMar>
            <w:top w:w="15" w:type="dxa"/>
            <w:left w:w="15" w:type="dxa"/>
            <w:bottom w:w="15" w:type="dxa"/>
            <w:right w:w="15" w:type="dxa"/>
          </w:tblCellMar>
        </w:tblPrEx>
        <w:trPr>
          <w:trHeight w:val="540" w:hRule="exact"/>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C1E5E02">
            <w:pPr>
              <w:pStyle w:val="28"/>
              <w:spacing w:line="360" w:lineRule="auto"/>
              <w:jc w:val="center"/>
              <w:rPr>
                <w:rFonts w:hint="default" w:ascii="宋体" w:hAnsi="Courier New" w:eastAsia="宋体" w:cs="Courier New"/>
                <w:b/>
                <w:color w:val="auto"/>
                <w:sz w:val="21"/>
                <w:szCs w:val="21"/>
                <w:highlight w:val="none"/>
                <w:lang w:val="en-US" w:eastAsia="zh-CN"/>
              </w:rPr>
            </w:pPr>
            <w:r>
              <w:rPr>
                <w:rFonts w:hint="eastAsia" w:cs="Courier New"/>
                <w:b/>
                <w:color w:val="auto"/>
                <w:sz w:val="21"/>
                <w:szCs w:val="21"/>
                <w:highlight w:val="none"/>
                <w:lang w:val="en-US" w:eastAsia="zh-CN"/>
              </w:rPr>
              <w:t>9</w:t>
            </w:r>
          </w:p>
        </w:tc>
        <w:tc>
          <w:tcPr>
            <w:tcW w:w="4007" w:type="dxa"/>
            <w:tcBorders>
              <w:top w:val="single" w:color="000000" w:sz="4" w:space="0"/>
              <w:left w:val="single" w:color="000000" w:sz="4" w:space="0"/>
              <w:bottom w:val="single" w:color="000000" w:sz="4" w:space="0"/>
              <w:right w:val="single" w:color="000000" w:sz="4" w:space="0"/>
            </w:tcBorders>
            <w:noWrap w:val="0"/>
            <w:vAlign w:val="center"/>
          </w:tcPr>
          <w:p w14:paraId="48BB1435">
            <w:pPr>
              <w:pStyle w:val="28"/>
              <w:spacing w:line="360" w:lineRule="auto"/>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开关、插座</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14:paraId="4AA7DA0B">
            <w:pPr>
              <w:pStyle w:val="28"/>
              <w:spacing w:line="360" w:lineRule="auto"/>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lang w:eastAsia="zh-CN"/>
              </w:rPr>
              <w:t>罗格朗、西门子、</w:t>
            </w:r>
            <w:r>
              <w:rPr>
                <w:rFonts w:hint="eastAsia" w:ascii="宋体" w:hAnsi="Courier New" w:eastAsia="宋体" w:cs="Courier New"/>
                <w:b/>
                <w:color w:val="auto"/>
                <w:sz w:val="21"/>
                <w:szCs w:val="21"/>
                <w:highlight w:val="none"/>
              </w:rPr>
              <w:t>松下</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2665CE8">
            <w:pPr>
              <w:pStyle w:val="28"/>
              <w:spacing w:line="360" w:lineRule="auto"/>
              <w:ind w:firstLine="413" w:firstLineChars="196"/>
              <w:rPr>
                <w:rFonts w:hint="eastAsia" w:ascii="宋体" w:hAnsi="Courier New" w:eastAsia="宋体" w:cs="Courier New"/>
                <w:b/>
                <w:color w:val="auto"/>
                <w:sz w:val="21"/>
                <w:szCs w:val="21"/>
                <w:highlight w:val="none"/>
              </w:rPr>
            </w:pPr>
          </w:p>
        </w:tc>
      </w:tr>
      <w:tr w14:paraId="3BD7C30A">
        <w:tblPrEx>
          <w:tblCellMar>
            <w:top w:w="15" w:type="dxa"/>
            <w:left w:w="15" w:type="dxa"/>
            <w:bottom w:w="15" w:type="dxa"/>
            <w:right w:w="15" w:type="dxa"/>
          </w:tblCellMar>
        </w:tblPrEx>
        <w:trPr>
          <w:trHeight w:val="462" w:hRule="exact"/>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18212DA6">
            <w:pPr>
              <w:pStyle w:val="28"/>
              <w:spacing w:line="360" w:lineRule="auto"/>
              <w:jc w:val="center"/>
              <w:rPr>
                <w:rFonts w:hint="default" w:ascii="宋体" w:hAnsi="Courier New" w:eastAsia="宋体" w:cs="Courier New"/>
                <w:b/>
                <w:color w:val="auto"/>
                <w:sz w:val="21"/>
                <w:szCs w:val="21"/>
                <w:highlight w:val="none"/>
                <w:lang w:val="en-US" w:eastAsia="zh-CN"/>
              </w:rPr>
            </w:pPr>
            <w:r>
              <w:rPr>
                <w:rFonts w:hint="eastAsia" w:cs="Courier New"/>
                <w:b/>
                <w:color w:val="auto"/>
                <w:sz w:val="21"/>
                <w:szCs w:val="21"/>
                <w:highlight w:val="none"/>
                <w:lang w:val="en-US" w:eastAsia="zh-CN"/>
              </w:rPr>
              <w:t>10</w:t>
            </w:r>
          </w:p>
        </w:tc>
        <w:tc>
          <w:tcPr>
            <w:tcW w:w="4007" w:type="dxa"/>
            <w:tcBorders>
              <w:top w:val="single" w:color="000000" w:sz="4" w:space="0"/>
              <w:left w:val="single" w:color="000000" w:sz="4" w:space="0"/>
              <w:bottom w:val="single" w:color="000000" w:sz="4" w:space="0"/>
              <w:right w:val="single" w:color="000000" w:sz="4" w:space="0"/>
            </w:tcBorders>
            <w:noWrap w:val="0"/>
            <w:vAlign w:val="center"/>
          </w:tcPr>
          <w:p w14:paraId="0C2F3075">
            <w:pPr>
              <w:pStyle w:val="28"/>
              <w:spacing w:line="360" w:lineRule="auto"/>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PVC管材</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14:paraId="1076C181">
            <w:pPr>
              <w:pStyle w:val="28"/>
              <w:spacing w:line="360" w:lineRule="auto"/>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中财、伟星、公元</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65FADAA">
            <w:pPr>
              <w:pStyle w:val="28"/>
              <w:spacing w:line="360" w:lineRule="auto"/>
              <w:ind w:firstLine="413" w:firstLineChars="196"/>
              <w:rPr>
                <w:rFonts w:hint="eastAsia" w:ascii="宋体" w:hAnsi="Courier New" w:eastAsia="宋体" w:cs="Courier New"/>
                <w:b/>
                <w:color w:val="auto"/>
                <w:sz w:val="21"/>
                <w:szCs w:val="21"/>
                <w:highlight w:val="none"/>
              </w:rPr>
            </w:pPr>
          </w:p>
        </w:tc>
      </w:tr>
      <w:tr w14:paraId="069461FB">
        <w:tblPrEx>
          <w:tblCellMar>
            <w:top w:w="15" w:type="dxa"/>
            <w:left w:w="15" w:type="dxa"/>
            <w:bottom w:w="15" w:type="dxa"/>
            <w:right w:w="15" w:type="dxa"/>
          </w:tblCellMar>
        </w:tblPrEx>
        <w:trPr>
          <w:trHeight w:val="472" w:hRule="exact"/>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A25A2ED">
            <w:pPr>
              <w:pStyle w:val="28"/>
              <w:spacing w:line="360" w:lineRule="auto"/>
              <w:jc w:val="center"/>
              <w:rPr>
                <w:rFonts w:hint="default" w:ascii="宋体" w:hAnsi="Courier New" w:eastAsia="宋体" w:cs="Courier New"/>
                <w:b/>
                <w:color w:val="auto"/>
                <w:sz w:val="21"/>
                <w:szCs w:val="21"/>
                <w:highlight w:val="none"/>
                <w:lang w:val="en-US" w:eastAsia="zh-CN"/>
              </w:rPr>
            </w:pPr>
            <w:r>
              <w:rPr>
                <w:rFonts w:hint="eastAsia" w:cs="Courier New"/>
                <w:b/>
                <w:color w:val="auto"/>
                <w:sz w:val="21"/>
                <w:szCs w:val="21"/>
                <w:highlight w:val="none"/>
                <w:lang w:val="en-US" w:eastAsia="zh-CN"/>
              </w:rPr>
              <w:t>11</w:t>
            </w:r>
          </w:p>
        </w:tc>
        <w:tc>
          <w:tcPr>
            <w:tcW w:w="4007" w:type="dxa"/>
            <w:tcBorders>
              <w:top w:val="single" w:color="000000" w:sz="4" w:space="0"/>
              <w:left w:val="single" w:color="000000" w:sz="4" w:space="0"/>
              <w:bottom w:val="single" w:color="000000" w:sz="4" w:space="0"/>
              <w:right w:val="single" w:color="000000" w:sz="4" w:space="0"/>
            </w:tcBorders>
            <w:noWrap w:val="0"/>
            <w:vAlign w:val="center"/>
          </w:tcPr>
          <w:p w14:paraId="1E0A3F6E">
            <w:pPr>
              <w:pStyle w:val="28"/>
              <w:spacing w:line="360" w:lineRule="auto"/>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PP-R管</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14:paraId="5C450429">
            <w:pPr>
              <w:pStyle w:val="28"/>
              <w:spacing w:line="360" w:lineRule="auto"/>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波尔、伟星、公元</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75BFB37">
            <w:pPr>
              <w:pStyle w:val="28"/>
              <w:spacing w:line="360" w:lineRule="auto"/>
              <w:ind w:firstLine="413" w:firstLineChars="196"/>
              <w:rPr>
                <w:rFonts w:hint="eastAsia" w:ascii="宋体" w:hAnsi="Courier New" w:eastAsia="宋体" w:cs="Courier New"/>
                <w:b/>
                <w:color w:val="auto"/>
                <w:sz w:val="21"/>
                <w:szCs w:val="21"/>
                <w:highlight w:val="none"/>
              </w:rPr>
            </w:pPr>
          </w:p>
        </w:tc>
      </w:tr>
      <w:tr w14:paraId="0F3E4800">
        <w:tblPrEx>
          <w:tblCellMar>
            <w:top w:w="15" w:type="dxa"/>
            <w:left w:w="15" w:type="dxa"/>
            <w:bottom w:w="15" w:type="dxa"/>
            <w:right w:w="15" w:type="dxa"/>
          </w:tblCellMar>
        </w:tblPrEx>
        <w:trPr>
          <w:trHeight w:val="543" w:hRule="exact"/>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4B2131B">
            <w:pPr>
              <w:pStyle w:val="28"/>
              <w:spacing w:line="360" w:lineRule="auto"/>
              <w:jc w:val="center"/>
              <w:rPr>
                <w:rFonts w:hint="default" w:ascii="宋体" w:hAnsi="Courier New" w:eastAsia="宋体" w:cs="Courier New"/>
                <w:b/>
                <w:color w:val="auto"/>
                <w:sz w:val="21"/>
                <w:szCs w:val="21"/>
                <w:highlight w:val="none"/>
                <w:lang w:val="en-US" w:eastAsia="zh-CN"/>
              </w:rPr>
            </w:pPr>
            <w:r>
              <w:rPr>
                <w:rFonts w:hint="eastAsia" w:cs="Courier New"/>
                <w:b/>
                <w:color w:val="auto"/>
                <w:sz w:val="21"/>
                <w:szCs w:val="21"/>
                <w:highlight w:val="none"/>
                <w:lang w:val="en-US" w:eastAsia="zh-CN"/>
              </w:rPr>
              <w:t>12</w:t>
            </w:r>
          </w:p>
        </w:tc>
        <w:tc>
          <w:tcPr>
            <w:tcW w:w="4007" w:type="dxa"/>
            <w:tcBorders>
              <w:top w:val="single" w:color="000000" w:sz="4" w:space="0"/>
              <w:left w:val="single" w:color="000000" w:sz="4" w:space="0"/>
              <w:bottom w:val="single" w:color="000000" w:sz="4" w:space="0"/>
              <w:right w:val="single" w:color="000000" w:sz="4" w:space="0"/>
            </w:tcBorders>
            <w:noWrap w:val="0"/>
            <w:vAlign w:val="center"/>
          </w:tcPr>
          <w:p w14:paraId="5B361E15">
            <w:pPr>
              <w:pStyle w:val="28"/>
              <w:spacing w:line="360" w:lineRule="auto"/>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rPr>
              <w:t>灯具</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14:paraId="3B19ED9B">
            <w:pPr>
              <w:pStyle w:val="28"/>
              <w:spacing w:line="360" w:lineRule="auto"/>
              <w:rPr>
                <w:rFonts w:hint="eastAsia" w:ascii="宋体" w:hAnsi="Courier New" w:eastAsia="宋体" w:cs="Courier New"/>
                <w:b/>
                <w:color w:val="auto"/>
                <w:sz w:val="21"/>
                <w:szCs w:val="21"/>
                <w:highlight w:val="none"/>
                <w:lang w:eastAsia="zh-CN"/>
              </w:rPr>
            </w:pPr>
            <w:r>
              <w:rPr>
                <w:rFonts w:hint="eastAsia" w:ascii="宋体" w:hAnsi="Courier New" w:eastAsia="宋体" w:cs="Courier New"/>
                <w:b/>
                <w:color w:val="auto"/>
                <w:sz w:val="21"/>
                <w:szCs w:val="21"/>
                <w:highlight w:val="none"/>
                <w:lang w:eastAsia="zh-CN"/>
              </w:rPr>
              <w:t>雷士、佛山照明、三雄极光</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2F45821">
            <w:pPr>
              <w:pStyle w:val="28"/>
              <w:spacing w:line="360" w:lineRule="auto"/>
              <w:ind w:firstLine="413" w:firstLineChars="196"/>
              <w:rPr>
                <w:rFonts w:hint="eastAsia" w:ascii="宋体" w:hAnsi="Courier New" w:eastAsia="宋体" w:cs="Courier New"/>
                <w:b/>
                <w:color w:val="auto"/>
                <w:sz w:val="21"/>
                <w:szCs w:val="21"/>
                <w:highlight w:val="none"/>
              </w:rPr>
            </w:pPr>
          </w:p>
        </w:tc>
      </w:tr>
      <w:tr w14:paraId="5602593B">
        <w:tblPrEx>
          <w:tblCellMar>
            <w:top w:w="15" w:type="dxa"/>
            <w:left w:w="15" w:type="dxa"/>
            <w:bottom w:w="15" w:type="dxa"/>
            <w:right w:w="15" w:type="dxa"/>
          </w:tblCellMar>
        </w:tblPrEx>
        <w:trPr>
          <w:trHeight w:val="543" w:hRule="exact"/>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4B0110C">
            <w:pPr>
              <w:pStyle w:val="28"/>
              <w:spacing w:line="360" w:lineRule="auto"/>
              <w:jc w:val="center"/>
              <w:rPr>
                <w:rFonts w:hint="default" w:ascii="宋体" w:hAnsi="Courier New" w:eastAsia="宋体" w:cs="Courier New"/>
                <w:b/>
                <w:color w:val="auto"/>
                <w:sz w:val="21"/>
                <w:szCs w:val="21"/>
                <w:highlight w:val="none"/>
                <w:lang w:val="en-US" w:eastAsia="zh-CN"/>
              </w:rPr>
            </w:pPr>
            <w:r>
              <w:rPr>
                <w:rFonts w:hint="eastAsia" w:cs="Courier New"/>
                <w:b/>
                <w:color w:val="auto"/>
                <w:sz w:val="21"/>
                <w:szCs w:val="21"/>
                <w:highlight w:val="none"/>
                <w:lang w:val="en-US" w:eastAsia="zh-CN"/>
              </w:rPr>
              <w:t>13</w:t>
            </w:r>
          </w:p>
        </w:tc>
        <w:tc>
          <w:tcPr>
            <w:tcW w:w="4007" w:type="dxa"/>
            <w:tcBorders>
              <w:top w:val="single" w:color="000000" w:sz="4" w:space="0"/>
              <w:left w:val="single" w:color="000000" w:sz="4" w:space="0"/>
              <w:bottom w:val="single" w:color="000000" w:sz="4" w:space="0"/>
              <w:right w:val="single" w:color="000000" w:sz="4" w:space="0"/>
            </w:tcBorders>
            <w:noWrap w:val="0"/>
            <w:vAlign w:val="center"/>
          </w:tcPr>
          <w:p w14:paraId="575AD022">
            <w:pPr>
              <w:pStyle w:val="28"/>
              <w:spacing w:line="360" w:lineRule="auto"/>
              <w:rPr>
                <w:rFonts w:hint="eastAsia" w:ascii="宋体" w:hAnsi="Courier New" w:eastAsia="宋体" w:cs="Courier New"/>
                <w:b/>
                <w:color w:val="auto"/>
                <w:sz w:val="21"/>
                <w:szCs w:val="21"/>
                <w:highlight w:val="none"/>
              </w:rPr>
            </w:pPr>
            <w:r>
              <w:rPr>
                <w:rFonts w:hint="eastAsia" w:ascii="宋体" w:hAnsi="Courier New" w:eastAsia="宋体" w:cs="Courier New"/>
                <w:b/>
                <w:color w:val="auto"/>
                <w:sz w:val="21"/>
                <w:szCs w:val="21"/>
                <w:highlight w:val="none"/>
                <w:lang w:eastAsia="zh-CN"/>
              </w:rPr>
              <w:t>地砖</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14:paraId="1630354A">
            <w:pPr>
              <w:pStyle w:val="28"/>
              <w:spacing w:line="360" w:lineRule="auto"/>
              <w:rPr>
                <w:rFonts w:hint="eastAsia" w:ascii="宋体" w:hAnsi="Courier New" w:eastAsia="宋体" w:cs="Courier New"/>
                <w:b/>
                <w:color w:val="auto"/>
                <w:sz w:val="21"/>
                <w:szCs w:val="21"/>
                <w:highlight w:val="none"/>
                <w:lang w:eastAsia="zh-CN"/>
              </w:rPr>
            </w:pPr>
            <w:r>
              <w:rPr>
                <w:rFonts w:hint="eastAsia" w:cs="Courier New"/>
                <w:b/>
                <w:color w:val="auto"/>
                <w:sz w:val="21"/>
                <w:szCs w:val="21"/>
                <w:highlight w:val="none"/>
                <w:lang w:eastAsia="zh-CN"/>
              </w:rPr>
              <w:t>诺贝尔</w:t>
            </w:r>
            <w:r>
              <w:rPr>
                <w:rFonts w:hint="eastAsia" w:ascii="宋体" w:hAnsi="Courier New" w:eastAsia="宋体" w:cs="Courier New"/>
                <w:b/>
                <w:color w:val="auto"/>
                <w:sz w:val="21"/>
                <w:szCs w:val="21"/>
                <w:highlight w:val="none"/>
              </w:rPr>
              <w:t>、</w:t>
            </w:r>
            <w:r>
              <w:rPr>
                <w:rFonts w:hint="eastAsia" w:cs="Courier New"/>
                <w:b/>
                <w:color w:val="auto"/>
                <w:sz w:val="21"/>
                <w:szCs w:val="21"/>
                <w:highlight w:val="none"/>
                <w:lang w:eastAsia="zh-CN"/>
              </w:rPr>
              <w:t>马可波罗</w:t>
            </w:r>
            <w:r>
              <w:rPr>
                <w:rFonts w:hint="eastAsia" w:ascii="宋体" w:hAnsi="Courier New" w:eastAsia="宋体" w:cs="Courier New"/>
                <w:b/>
                <w:color w:val="auto"/>
                <w:sz w:val="21"/>
                <w:szCs w:val="21"/>
                <w:highlight w:val="none"/>
              </w:rPr>
              <w:t>、</w:t>
            </w:r>
            <w:r>
              <w:rPr>
                <w:rFonts w:hint="eastAsia" w:cs="Courier New"/>
                <w:b/>
                <w:color w:val="auto"/>
                <w:sz w:val="21"/>
                <w:szCs w:val="21"/>
                <w:highlight w:val="none"/>
                <w:lang w:eastAsia="zh-CN"/>
              </w:rPr>
              <w:t>冠珠</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D40E460">
            <w:pPr>
              <w:pStyle w:val="28"/>
              <w:spacing w:line="360" w:lineRule="auto"/>
              <w:ind w:firstLine="413" w:firstLineChars="196"/>
              <w:rPr>
                <w:rFonts w:hint="eastAsia" w:ascii="宋体" w:hAnsi="Courier New" w:eastAsia="宋体" w:cs="Courier New"/>
                <w:b/>
                <w:color w:val="auto"/>
                <w:sz w:val="21"/>
                <w:szCs w:val="21"/>
                <w:highlight w:val="none"/>
              </w:rPr>
            </w:pPr>
          </w:p>
        </w:tc>
      </w:tr>
    </w:tbl>
    <w:p w14:paraId="43D2BCCA">
      <w:pPr>
        <w:pStyle w:val="28"/>
        <w:spacing w:line="360" w:lineRule="auto"/>
        <w:ind w:firstLine="422" w:firstLineChars="200"/>
        <w:rPr>
          <w:rFonts w:hint="eastAsia" w:hAnsi="宋体"/>
          <w:b/>
          <w:color w:val="auto"/>
          <w:sz w:val="21"/>
          <w:szCs w:val="21"/>
          <w:highlight w:val="none"/>
        </w:rPr>
      </w:pPr>
      <w:r>
        <w:rPr>
          <w:rFonts w:hint="eastAsia" w:hAnsi="宋体"/>
          <w:b/>
          <w:color w:val="auto"/>
          <w:sz w:val="21"/>
          <w:szCs w:val="21"/>
          <w:highlight w:val="none"/>
          <w:lang w:val="en-US" w:eastAsia="zh-CN"/>
        </w:rPr>
        <w:t>25.</w:t>
      </w:r>
      <w:r>
        <w:rPr>
          <w:rFonts w:hint="eastAsia" w:hAnsi="宋体"/>
          <w:b/>
          <w:color w:val="auto"/>
          <w:sz w:val="21"/>
          <w:szCs w:val="21"/>
          <w:highlight w:val="none"/>
          <w:lang w:eastAsia="zh-CN"/>
        </w:rPr>
        <w:t>脚手架搭建等临时措施均包含在投标报价中，不再另行支付</w:t>
      </w:r>
      <w:r>
        <w:rPr>
          <w:rFonts w:hint="eastAsia" w:hAnsi="宋体"/>
          <w:b/>
          <w:color w:val="auto"/>
          <w:sz w:val="21"/>
          <w:szCs w:val="21"/>
          <w:highlight w:val="none"/>
        </w:rPr>
        <w:t>。</w:t>
      </w:r>
    </w:p>
    <w:p w14:paraId="1A9C008B">
      <w:pPr>
        <w:pStyle w:val="28"/>
        <w:spacing w:line="360" w:lineRule="auto"/>
        <w:ind w:firstLine="422" w:firstLineChars="200"/>
        <w:rPr>
          <w:rFonts w:hint="default" w:hAnsi="宋体" w:eastAsia="宋体"/>
          <w:b/>
          <w:color w:val="auto"/>
          <w:sz w:val="21"/>
          <w:szCs w:val="21"/>
          <w:highlight w:val="none"/>
          <w:lang w:val="en-US" w:eastAsia="zh-CN"/>
        </w:rPr>
      </w:pPr>
      <w:r>
        <w:rPr>
          <w:rFonts w:hint="eastAsia" w:hAnsi="宋体"/>
          <w:b/>
          <w:color w:val="auto"/>
          <w:sz w:val="21"/>
          <w:szCs w:val="21"/>
          <w:highlight w:val="none"/>
          <w:lang w:val="en-US" w:eastAsia="zh-CN"/>
        </w:rPr>
        <w:t>26.投标时应考虑各类风险，包括人员安全、临时设施安全等一切可能发生或存在的风险问题，该部分涉及的所有费用均包含在投标总价中，不再另行支付。</w:t>
      </w:r>
    </w:p>
    <w:p w14:paraId="6C943769">
      <w:pPr>
        <w:pStyle w:val="28"/>
        <w:spacing w:line="360" w:lineRule="auto"/>
        <w:ind w:firstLine="422" w:firstLineChars="200"/>
        <w:rPr>
          <w:rFonts w:hint="eastAsia" w:hAnsi="宋体"/>
          <w:b/>
          <w:color w:val="auto"/>
          <w:sz w:val="21"/>
          <w:szCs w:val="21"/>
          <w:highlight w:val="none"/>
        </w:rPr>
      </w:pPr>
      <w:r>
        <w:rPr>
          <w:rFonts w:hint="eastAsia" w:hAnsi="宋体"/>
          <w:b/>
          <w:color w:val="auto"/>
          <w:sz w:val="21"/>
          <w:szCs w:val="21"/>
          <w:highlight w:val="none"/>
          <w:lang w:val="en-US" w:eastAsia="zh-CN"/>
        </w:rPr>
        <w:t>27.</w:t>
      </w:r>
      <w:r>
        <w:rPr>
          <w:rFonts w:hint="eastAsia" w:hAnsi="宋体"/>
          <w:b/>
          <w:color w:val="auto"/>
          <w:sz w:val="21"/>
          <w:szCs w:val="21"/>
          <w:highlight w:val="none"/>
        </w:rPr>
        <w:t>本工程的施工方案（包括材料堆放、垃圾堆放方式和地点、机械设备、围护措施等），必须提前报市场物业审批，审批通过后方可施工。</w:t>
      </w:r>
    </w:p>
    <w:p w14:paraId="4EA63890">
      <w:pPr>
        <w:pStyle w:val="28"/>
        <w:spacing w:line="360" w:lineRule="auto"/>
        <w:ind w:firstLine="413" w:firstLineChars="196"/>
        <w:rPr>
          <w:b/>
          <w:color w:val="auto"/>
          <w:kern w:val="0"/>
          <w:sz w:val="21"/>
          <w:szCs w:val="21"/>
          <w:highlight w:val="none"/>
        </w:rPr>
      </w:pPr>
      <w:r>
        <w:rPr>
          <w:rFonts w:hint="eastAsia"/>
          <w:b/>
          <w:color w:val="auto"/>
          <w:kern w:val="0"/>
          <w:sz w:val="21"/>
          <w:szCs w:val="21"/>
          <w:highlight w:val="none"/>
          <w:lang w:val="en-US" w:eastAsia="zh-CN"/>
        </w:rPr>
        <w:t>28.</w:t>
      </w:r>
      <w:r>
        <w:rPr>
          <w:b/>
          <w:color w:val="auto"/>
          <w:kern w:val="0"/>
          <w:sz w:val="21"/>
          <w:szCs w:val="21"/>
          <w:highlight w:val="none"/>
        </w:rPr>
        <w:t>施工车辆必须按</w:t>
      </w:r>
      <w:r>
        <w:rPr>
          <w:rFonts w:hint="eastAsia"/>
          <w:b/>
          <w:color w:val="auto"/>
          <w:kern w:val="0"/>
          <w:sz w:val="21"/>
          <w:szCs w:val="21"/>
          <w:highlight w:val="none"/>
        </w:rPr>
        <w:t>南湖区城市管理局和交警队的</w:t>
      </w:r>
      <w:r>
        <w:rPr>
          <w:b/>
          <w:color w:val="auto"/>
          <w:kern w:val="0"/>
          <w:sz w:val="21"/>
          <w:szCs w:val="21"/>
          <w:highlight w:val="none"/>
        </w:rPr>
        <w:t>规定办理通行证，在规定时间</w:t>
      </w:r>
      <w:r>
        <w:rPr>
          <w:rFonts w:hint="eastAsia"/>
          <w:b/>
          <w:color w:val="auto"/>
          <w:kern w:val="0"/>
          <w:sz w:val="21"/>
          <w:szCs w:val="21"/>
          <w:highlight w:val="none"/>
        </w:rPr>
        <w:t>规定线路</w:t>
      </w:r>
      <w:r>
        <w:rPr>
          <w:b/>
          <w:color w:val="auto"/>
          <w:kern w:val="0"/>
          <w:sz w:val="21"/>
          <w:szCs w:val="21"/>
          <w:highlight w:val="none"/>
        </w:rPr>
        <w:t>内通行，</w:t>
      </w:r>
      <w:r>
        <w:rPr>
          <w:rFonts w:hint="eastAsia"/>
          <w:b/>
          <w:color w:val="auto"/>
          <w:kern w:val="0"/>
          <w:sz w:val="21"/>
          <w:szCs w:val="21"/>
          <w:highlight w:val="none"/>
        </w:rPr>
        <w:t>缴纳相关保证金，</w:t>
      </w:r>
      <w:r>
        <w:rPr>
          <w:b/>
          <w:color w:val="auto"/>
          <w:kern w:val="0"/>
          <w:sz w:val="21"/>
          <w:szCs w:val="21"/>
          <w:highlight w:val="none"/>
        </w:rPr>
        <w:t>投标单位在报价中考虑相关的费用。</w:t>
      </w:r>
    </w:p>
    <w:p w14:paraId="0D198A7B">
      <w:pPr>
        <w:pStyle w:val="28"/>
        <w:spacing w:line="360" w:lineRule="auto"/>
        <w:ind w:firstLine="413" w:firstLineChars="196"/>
        <w:rPr>
          <w:rFonts w:hint="eastAsia"/>
          <w:b/>
          <w:color w:val="auto"/>
          <w:kern w:val="0"/>
          <w:sz w:val="21"/>
          <w:szCs w:val="21"/>
          <w:highlight w:val="none"/>
          <w:lang w:val="en-US" w:eastAsia="zh-CN"/>
        </w:rPr>
      </w:pPr>
      <w:r>
        <w:rPr>
          <w:rFonts w:hint="eastAsia"/>
          <w:b/>
          <w:color w:val="auto"/>
          <w:kern w:val="0"/>
          <w:sz w:val="21"/>
          <w:szCs w:val="21"/>
          <w:highlight w:val="none"/>
          <w:lang w:val="en-US" w:eastAsia="zh-CN"/>
        </w:rPr>
        <w:t>29.本工程施工时应做好防尘措施，由此产生的费用，各单位投标时应在施工现场踏勘的基础上，结合环保等要求，在投标报价时综合考虑，计入报价。今后结算时此项费用固定包干，不作调整。同时，具体施工扬尘监管将按照《关于进一步加强嘉兴市区建筑工地施工扬尘监管工作的通知》（嘉生态示范市创【2020】23号）文件、《关于设立工程项目生态员并进一步加强建筑施工扬尘防治工作的通知》（南建〔2021〕23号）文件规定执行，并在中标人确定后与其另行签订管理协议。</w:t>
      </w:r>
    </w:p>
    <w:p w14:paraId="5D01A118">
      <w:pPr>
        <w:pStyle w:val="28"/>
        <w:spacing w:line="360" w:lineRule="auto"/>
        <w:ind w:firstLine="413" w:firstLineChars="196"/>
        <w:rPr>
          <w:rFonts w:hint="eastAsia"/>
          <w:b/>
          <w:color w:val="auto"/>
          <w:kern w:val="0"/>
          <w:sz w:val="21"/>
          <w:szCs w:val="21"/>
          <w:highlight w:val="none"/>
          <w:lang w:val="en-US" w:eastAsia="zh-CN"/>
        </w:rPr>
      </w:pPr>
      <w:r>
        <w:rPr>
          <w:rFonts w:hint="eastAsia"/>
          <w:b/>
          <w:color w:val="auto"/>
          <w:kern w:val="0"/>
          <w:sz w:val="21"/>
          <w:szCs w:val="21"/>
          <w:highlight w:val="none"/>
          <w:lang w:val="en-US" w:eastAsia="zh-CN"/>
        </w:rPr>
        <w:t>30.所有卫生间需做蓄水试验，试验合格后方可施工，由此发生的费用各单位投标时在投标报价中综合考虑，今后结算时不另增加费用。</w:t>
      </w:r>
    </w:p>
    <w:p w14:paraId="0C8CEE06">
      <w:pPr>
        <w:pStyle w:val="28"/>
        <w:spacing w:line="360" w:lineRule="auto"/>
        <w:ind w:firstLine="413" w:firstLineChars="196"/>
        <w:rPr>
          <w:rFonts w:hint="eastAsia"/>
          <w:b/>
          <w:color w:val="auto"/>
          <w:kern w:val="0"/>
          <w:sz w:val="21"/>
          <w:szCs w:val="21"/>
          <w:highlight w:val="none"/>
          <w:lang w:val="en-US" w:eastAsia="zh-CN"/>
        </w:rPr>
      </w:pPr>
      <w:r>
        <w:rPr>
          <w:rFonts w:hint="eastAsia"/>
          <w:b/>
          <w:color w:val="auto"/>
          <w:kern w:val="0"/>
          <w:sz w:val="21"/>
          <w:szCs w:val="21"/>
          <w:highlight w:val="none"/>
          <w:lang w:val="en-US" w:eastAsia="zh-CN"/>
        </w:rPr>
        <w:t>31.配电箱应满足电力等部门的验收要求和3C等认证要求，相关元器件也应满足电力、气象等部门的验收要求。</w:t>
      </w:r>
    </w:p>
    <w:p w14:paraId="74DFE3F8">
      <w:pPr>
        <w:pStyle w:val="28"/>
        <w:spacing w:line="360" w:lineRule="auto"/>
        <w:ind w:firstLine="413" w:firstLineChars="196"/>
        <w:rPr>
          <w:rFonts w:hint="eastAsia" w:cs="Times New Roman"/>
          <w:b/>
          <w:color w:val="auto"/>
          <w:kern w:val="0"/>
          <w:sz w:val="21"/>
          <w:szCs w:val="21"/>
          <w:highlight w:val="none"/>
          <w:lang w:val="en-US" w:eastAsia="zh-CN"/>
        </w:rPr>
      </w:pPr>
      <w:r>
        <w:rPr>
          <w:rFonts w:hint="eastAsia"/>
          <w:b/>
          <w:color w:val="auto"/>
          <w:kern w:val="0"/>
          <w:sz w:val="21"/>
          <w:szCs w:val="21"/>
          <w:highlight w:val="none"/>
          <w:lang w:val="en-US" w:eastAsia="zh-CN"/>
        </w:rPr>
        <w:t>32.投标人应自</w:t>
      </w:r>
      <w:r>
        <w:rPr>
          <w:rFonts w:hint="eastAsia" w:cs="Times New Roman"/>
          <w:b/>
          <w:color w:val="auto"/>
          <w:kern w:val="0"/>
          <w:sz w:val="21"/>
          <w:szCs w:val="21"/>
          <w:highlight w:val="none"/>
          <w:lang w:val="en-US" w:eastAsia="zh-CN"/>
        </w:rPr>
        <w:t>行到施工现场实地踏勘以充分了解工地位置、道路、存储空间、装卸限制及任何其它足以影响投标报价的不可预见情况，任何因忽视或误解工地情况而导致的索赔或工期延长申请将不获批准。</w:t>
      </w:r>
    </w:p>
    <w:p w14:paraId="05DA1131">
      <w:pPr>
        <w:pStyle w:val="28"/>
        <w:spacing w:line="360" w:lineRule="auto"/>
        <w:ind w:firstLine="413" w:firstLineChars="196"/>
        <w:rPr>
          <w:rFonts w:hint="default" w:cs="Times New Roman"/>
          <w:b/>
          <w:color w:val="auto"/>
          <w:kern w:val="0"/>
          <w:sz w:val="21"/>
          <w:szCs w:val="21"/>
          <w:highlight w:val="none"/>
          <w:lang w:val="en-US" w:eastAsia="zh-CN"/>
        </w:rPr>
      </w:pPr>
      <w:r>
        <w:rPr>
          <w:rFonts w:hint="eastAsia" w:cs="Times New Roman"/>
          <w:b/>
          <w:color w:val="auto"/>
          <w:kern w:val="0"/>
          <w:sz w:val="21"/>
          <w:szCs w:val="21"/>
          <w:highlight w:val="none"/>
          <w:lang w:val="en-US" w:eastAsia="zh-CN"/>
        </w:rPr>
        <w:t>33.本项目对农民工工资支付管理将严格按浙人社发（2022）13 号关于印发《浙江省工程建设领域农民工工资保证金管理实施细则》的通知、浙人社发（2022）14 号关于印发《浙江省工程建设领域农民工工资专用账户管理实施细则》的通知、浙建〔2020〕7 号关于在全省工程建设领域改革保证金制度的通知；上述因素已由供应商在磋商报价时综合考虑，结算时费用不作调整。</w:t>
      </w:r>
    </w:p>
    <w:p w14:paraId="510F07FC">
      <w:pPr>
        <w:pStyle w:val="28"/>
        <w:spacing w:line="440" w:lineRule="exact"/>
        <w:rPr>
          <w:rFonts w:hAnsi="宋体" w:cs="宋体"/>
          <w:color w:val="auto"/>
          <w:kern w:val="0"/>
          <w:sz w:val="22"/>
          <w:szCs w:val="22"/>
          <w:highlight w:val="none"/>
        </w:rPr>
      </w:pPr>
      <w:r>
        <w:rPr>
          <w:rFonts w:hint="eastAsia" w:hAnsi="宋体" w:cs="宋体"/>
          <w:color w:val="auto"/>
          <w:kern w:val="0"/>
          <w:sz w:val="22"/>
          <w:szCs w:val="22"/>
          <w:highlight w:val="none"/>
        </w:rPr>
        <w:t>商务要求表</w:t>
      </w:r>
    </w:p>
    <w:tbl>
      <w:tblPr>
        <w:tblStyle w:val="5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912"/>
      </w:tblGrid>
      <w:tr w14:paraId="7835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36" w:type="dxa"/>
            <w:vAlign w:val="center"/>
          </w:tcPr>
          <w:p w14:paraId="69ECAAC3">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施工工期</w:t>
            </w:r>
          </w:p>
        </w:tc>
        <w:tc>
          <w:tcPr>
            <w:tcW w:w="7912" w:type="dxa"/>
            <w:vAlign w:val="center"/>
          </w:tcPr>
          <w:p w14:paraId="455B15C8">
            <w:pPr>
              <w:spacing w:line="400" w:lineRule="exact"/>
              <w:rPr>
                <w:rFonts w:ascii="宋体" w:hAnsi="宋体" w:cs="宋体"/>
                <w:bCs/>
                <w:color w:val="auto"/>
                <w:szCs w:val="21"/>
                <w:highlight w:val="none"/>
              </w:rPr>
            </w:pPr>
            <w:r>
              <w:rPr>
                <w:rFonts w:hint="eastAsia" w:ascii="宋体" w:hAnsi="宋体" w:cs="宋体"/>
                <w:color w:val="auto"/>
                <w:szCs w:val="21"/>
                <w:highlight w:val="none"/>
                <w:lang w:eastAsia="zh-CN"/>
              </w:rPr>
              <w:t>合同签订后</w:t>
            </w:r>
            <w:r>
              <w:rPr>
                <w:rFonts w:hint="eastAsia" w:ascii="宋体" w:hAnsi="宋体" w:cs="宋体"/>
                <w:color w:val="auto"/>
                <w:szCs w:val="21"/>
                <w:highlight w:val="none"/>
                <w:lang w:val="en-US" w:eastAsia="zh-CN"/>
              </w:rPr>
              <w:t>90日历天</w:t>
            </w:r>
            <w:r>
              <w:rPr>
                <w:rFonts w:hint="eastAsia" w:ascii="宋体" w:hAnsi="宋体" w:cs="宋体"/>
                <w:color w:val="auto"/>
                <w:szCs w:val="21"/>
                <w:highlight w:val="none"/>
                <w:lang w:eastAsia="zh-CN"/>
              </w:rPr>
              <w:t>内完成</w:t>
            </w:r>
            <w:r>
              <w:rPr>
                <w:rFonts w:hint="eastAsia" w:ascii="宋体" w:hAnsi="宋体" w:cs="宋体"/>
                <w:color w:val="auto"/>
                <w:szCs w:val="21"/>
                <w:highlight w:val="none"/>
              </w:rPr>
              <w:t>。</w:t>
            </w:r>
          </w:p>
        </w:tc>
      </w:tr>
      <w:tr w14:paraId="149D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36" w:type="dxa"/>
            <w:vAlign w:val="center"/>
          </w:tcPr>
          <w:p w14:paraId="035071BB">
            <w:pPr>
              <w:spacing w:line="340" w:lineRule="exact"/>
              <w:jc w:val="center"/>
              <w:rPr>
                <w:rFonts w:ascii="宋体" w:hAnsi="宋体" w:cs="宋体"/>
                <w:color w:val="auto"/>
                <w:szCs w:val="21"/>
                <w:highlight w:val="none"/>
              </w:rPr>
            </w:pPr>
            <w:r>
              <w:rPr>
                <w:rFonts w:hint="eastAsia" w:ascii="宋体" w:hAnsi="宋体" w:cs="宋体"/>
                <w:color w:val="auto"/>
                <w:szCs w:val="21"/>
                <w:highlight w:val="none"/>
                <w:lang w:eastAsia="zh-CN"/>
              </w:rPr>
              <w:t>价款</w:t>
            </w:r>
            <w:r>
              <w:rPr>
                <w:rFonts w:hint="eastAsia" w:ascii="宋体" w:hAnsi="宋体" w:cs="宋体"/>
                <w:color w:val="auto"/>
                <w:szCs w:val="21"/>
                <w:highlight w:val="none"/>
              </w:rPr>
              <w:t>支付</w:t>
            </w:r>
          </w:p>
        </w:tc>
        <w:tc>
          <w:tcPr>
            <w:tcW w:w="7912" w:type="dxa"/>
            <w:vAlign w:val="center"/>
          </w:tcPr>
          <w:p w14:paraId="29F38A20">
            <w:pPr>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1.在合同生效以及具备实施条件后7个工作日内支付合同金额的40%预付款；</w:t>
            </w:r>
          </w:p>
          <w:p w14:paraId="4D09820B">
            <w:pPr>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2.项目完成</w:t>
            </w:r>
            <w:r>
              <w:rPr>
                <w:rFonts w:hint="eastAsia" w:asciiTheme="minorEastAsia" w:hAnsiTheme="minorEastAsia" w:cstheme="minorEastAsia"/>
                <w:color w:val="auto"/>
                <w:szCs w:val="21"/>
                <w:highlight w:val="none"/>
                <w:lang w:eastAsia="zh-CN"/>
              </w:rPr>
              <w:t>且</w:t>
            </w:r>
            <w:r>
              <w:rPr>
                <w:rFonts w:hint="eastAsia" w:asciiTheme="minorEastAsia" w:hAnsiTheme="minorEastAsia" w:cstheme="minorEastAsia"/>
                <w:color w:val="auto"/>
                <w:szCs w:val="21"/>
                <w:highlight w:val="none"/>
              </w:rPr>
              <w:t>验收合格后30个工作日内支付至合同价的85%；余款在结算审计完成并按要求提交质量保证金后付清</w:t>
            </w:r>
            <w:r>
              <w:rPr>
                <w:rFonts w:hint="eastAsia" w:asciiTheme="minorEastAsia" w:hAnsiTheme="minorEastAsia" w:cstheme="minorEastAsia"/>
                <w:b/>
                <w:bCs/>
                <w:color w:val="auto"/>
                <w:szCs w:val="21"/>
                <w:highlight w:val="none"/>
              </w:rPr>
              <w:t>（质量保证金为1%的结算总价，可采用银行转账或银行保函或保险保函）</w:t>
            </w:r>
            <w:r>
              <w:rPr>
                <w:rFonts w:hint="eastAsia" w:asciiTheme="minorEastAsia" w:hAnsiTheme="minorEastAsia" w:cstheme="minorEastAsia"/>
                <w:color w:val="auto"/>
                <w:szCs w:val="21"/>
                <w:highlight w:val="none"/>
              </w:rPr>
              <w:t>，质量保证金在竣工验收合格满</w:t>
            </w:r>
            <w:r>
              <w:rPr>
                <w:rFonts w:hint="eastAsia" w:asciiTheme="minorEastAsia" w:hAnsiTheme="minorEastAsia" w:cstheme="minorEastAsia"/>
                <w:color w:val="auto"/>
                <w:szCs w:val="21"/>
                <w:highlight w:val="none"/>
                <w:lang w:val="en-US" w:eastAsia="zh-CN"/>
              </w:rPr>
              <w:t>1</w:t>
            </w:r>
            <w:r>
              <w:rPr>
                <w:rFonts w:hint="eastAsia" w:asciiTheme="minorEastAsia" w:hAnsiTheme="minorEastAsia" w:cstheme="minorEastAsia"/>
                <w:color w:val="auto"/>
                <w:szCs w:val="21"/>
                <w:highlight w:val="none"/>
              </w:rPr>
              <w:t>年</w:t>
            </w:r>
            <w:r>
              <w:rPr>
                <w:rFonts w:hint="eastAsia" w:asciiTheme="minorEastAsia" w:hAnsiTheme="minorEastAsia" w:cstheme="minorEastAsia"/>
                <w:color w:val="auto"/>
                <w:szCs w:val="21"/>
                <w:highlight w:val="none"/>
                <w:lang w:eastAsia="zh-CN"/>
              </w:rPr>
              <w:t>后无息</w:t>
            </w:r>
            <w:r>
              <w:rPr>
                <w:rFonts w:hint="eastAsia" w:asciiTheme="minorEastAsia" w:hAnsiTheme="minorEastAsia" w:cstheme="minorEastAsia"/>
                <w:color w:val="auto"/>
                <w:szCs w:val="21"/>
                <w:highlight w:val="none"/>
              </w:rPr>
              <w:t>退还。</w:t>
            </w:r>
          </w:p>
          <w:p w14:paraId="3842DFE0">
            <w:pPr>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注1.中标人应保证其质量保证金保函在质保期内一直有效。</w:t>
            </w:r>
          </w:p>
          <w:p w14:paraId="438AB7B6">
            <w:pPr>
              <w:spacing w:line="340" w:lineRule="exact"/>
              <w:rPr>
                <w:rFonts w:ascii="宋体" w:hAnsi="宋体" w:cs="宋体"/>
                <w:color w:val="auto"/>
                <w:szCs w:val="21"/>
                <w:highlight w:val="none"/>
              </w:rPr>
            </w:pPr>
            <w:r>
              <w:rPr>
                <w:rFonts w:hint="eastAsia" w:asciiTheme="minorEastAsia" w:hAnsiTheme="minorEastAsia" w:cstheme="minorEastAsia"/>
                <w:color w:val="auto"/>
                <w:szCs w:val="21"/>
                <w:highlight w:val="none"/>
              </w:rPr>
              <w:t>2.中标人根据采购人的要求提供相关结算资料，及相应税务发票；</w:t>
            </w:r>
          </w:p>
        </w:tc>
      </w:tr>
      <w:tr w14:paraId="55D1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36" w:type="dxa"/>
            <w:vAlign w:val="center"/>
          </w:tcPr>
          <w:p w14:paraId="356E0DB0">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912" w:type="dxa"/>
            <w:vAlign w:val="center"/>
          </w:tcPr>
          <w:p w14:paraId="44086428">
            <w:pPr>
              <w:snapToGrid w:val="0"/>
              <w:spacing w:line="340" w:lineRule="exact"/>
              <w:rPr>
                <w:rFonts w:ascii="宋体" w:hAnsi="宋体" w:cs="宋体"/>
                <w:color w:val="auto"/>
                <w:szCs w:val="21"/>
                <w:highlight w:val="none"/>
              </w:rPr>
            </w:pPr>
            <w:r>
              <w:rPr>
                <w:rFonts w:hint="eastAsia" w:ascii="宋体" w:hAnsi="宋体" w:cs="宋体"/>
                <w:color w:val="auto"/>
                <w:szCs w:val="21"/>
                <w:highlight w:val="none"/>
              </w:rPr>
              <w:t>本项目不设置</w:t>
            </w:r>
          </w:p>
        </w:tc>
      </w:tr>
      <w:tr w14:paraId="6364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6" w:type="dxa"/>
            <w:vAlign w:val="center"/>
          </w:tcPr>
          <w:p w14:paraId="697B150D">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投标报价</w:t>
            </w:r>
          </w:p>
        </w:tc>
        <w:tc>
          <w:tcPr>
            <w:tcW w:w="7912" w:type="dxa"/>
            <w:vAlign w:val="center"/>
          </w:tcPr>
          <w:p w14:paraId="48540D06">
            <w:pPr>
              <w:autoSpaceDE w:val="0"/>
              <w:autoSpaceDN w:val="0"/>
              <w:spacing w:line="340" w:lineRule="exact"/>
              <w:rPr>
                <w:rFonts w:ascii="宋体" w:hAnsi="宋体" w:cs="宋体"/>
                <w:color w:val="auto"/>
                <w:szCs w:val="21"/>
                <w:highlight w:val="none"/>
              </w:rPr>
            </w:pPr>
            <w:r>
              <w:rPr>
                <w:rFonts w:hint="eastAsia" w:ascii="宋体" w:hAnsi="宋体" w:cs="宋体"/>
                <w:color w:val="auto"/>
                <w:szCs w:val="21"/>
                <w:highlight w:val="none"/>
                <w:lang w:val="zh-CN"/>
              </w:rPr>
              <w:t>有关本项目实施</w:t>
            </w:r>
            <w:r>
              <w:rPr>
                <w:rFonts w:hint="eastAsia" w:ascii="宋体" w:hAnsi="宋体" w:cs="宋体"/>
                <w:color w:val="auto"/>
                <w:szCs w:val="21"/>
                <w:highlight w:val="none"/>
              </w:rPr>
              <w:t>及质保期内</w:t>
            </w:r>
            <w:r>
              <w:rPr>
                <w:rFonts w:hint="eastAsia" w:ascii="宋体" w:hAnsi="宋体" w:cs="宋体"/>
                <w:color w:val="auto"/>
                <w:szCs w:val="21"/>
                <w:highlight w:val="none"/>
                <w:lang w:val="zh-CN"/>
              </w:rPr>
              <w:t>所需的所有费用（含税费）均计入报价，</w:t>
            </w:r>
            <w:r>
              <w:rPr>
                <w:rFonts w:hint="eastAsia" w:ascii="宋体" w:hAnsi="宋体" w:cs="宋体"/>
                <w:color w:val="auto"/>
                <w:szCs w:val="21"/>
                <w:highlight w:val="none"/>
              </w:rPr>
              <w:t>投标报价是履行合同的最终价格。</w:t>
            </w:r>
          </w:p>
        </w:tc>
      </w:tr>
      <w:tr w14:paraId="5BC5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736" w:type="dxa"/>
            <w:vAlign w:val="center"/>
          </w:tcPr>
          <w:p w14:paraId="28A50AE6">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安全生产责任</w:t>
            </w:r>
          </w:p>
        </w:tc>
        <w:tc>
          <w:tcPr>
            <w:tcW w:w="7912" w:type="dxa"/>
            <w:vAlign w:val="center"/>
          </w:tcPr>
          <w:p w14:paraId="19479E5D">
            <w:pPr>
              <w:spacing w:line="340" w:lineRule="exact"/>
              <w:rPr>
                <w:rFonts w:ascii="宋体" w:hAnsi="宋体" w:cs="宋体"/>
                <w:color w:val="auto"/>
                <w:szCs w:val="21"/>
                <w:highlight w:val="none"/>
              </w:rPr>
            </w:pPr>
            <w:r>
              <w:rPr>
                <w:rFonts w:hint="eastAsia" w:ascii="宋体" w:hAnsi="宋体" w:cs="宋体"/>
                <w:color w:val="auto"/>
                <w:szCs w:val="21"/>
                <w:highlight w:val="none"/>
              </w:rPr>
              <w:t>中标人应自行承担项目实施过程中安全生产责任，采购人任何情况下均不承担因此产生的任何法律责任和经济责任。</w:t>
            </w:r>
          </w:p>
        </w:tc>
      </w:tr>
    </w:tbl>
    <w:p w14:paraId="6E357D97">
      <w:pPr>
        <w:snapToGrid w:val="0"/>
        <w:spacing w:line="400" w:lineRule="exact"/>
        <w:ind w:firstLine="420"/>
        <w:rPr>
          <w:color w:val="auto"/>
          <w:highlight w:val="none"/>
        </w:rPr>
      </w:pPr>
    </w:p>
    <w:p w14:paraId="525C3073">
      <w:pPr>
        <w:snapToGrid w:val="0"/>
        <w:spacing w:before="120" w:after="120" w:line="360" w:lineRule="auto"/>
        <w:outlineLvl w:val="0"/>
        <w:rPr>
          <w:rFonts w:asciiTheme="minorEastAsia" w:hAnsiTheme="minorEastAsia" w:eastAsiaTheme="minorEastAsia"/>
          <w:b/>
          <w:color w:val="auto"/>
          <w:sz w:val="28"/>
          <w:szCs w:val="28"/>
          <w:highlight w:val="none"/>
        </w:rPr>
      </w:pPr>
    </w:p>
    <w:p w14:paraId="40B073CC">
      <w:pP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br w:type="page"/>
      </w:r>
    </w:p>
    <w:p w14:paraId="70288F92">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15" w:name="_Toc6290"/>
      <w:r>
        <w:rPr>
          <w:rFonts w:hint="eastAsia" w:asciiTheme="minorEastAsia" w:hAnsiTheme="minorEastAsia" w:eastAsiaTheme="minorEastAsia"/>
          <w:b/>
          <w:color w:val="auto"/>
          <w:sz w:val="28"/>
          <w:szCs w:val="28"/>
          <w:highlight w:val="none"/>
        </w:rPr>
        <w:t>第三章  供应商须知</w:t>
      </w:r>
      <w:bookmarkEnd w:id="15"/>
    </w:p>
    <w:p w14:paraId="1B666A5B">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16" w:name="_Toc27073"/>
      <w:r>
        <w:rPr>
          <w:rFonts w:hint="eastAsia" w:asciiTheme="minorEastAsia" w:hAnsiTheme="minorEastAsia" w:eastAsiaTheme="minorEastAsia"/>
          <w:b/>
          <w:color w:val="auto"/>
          <w:sz w:val="28"/>
          <w:szCs w:val="28"/>
          <w:highlight w:val="none"/>
        </w:rPr>
        <w:t>电子交易注意事项</w:t>
      </w:r>
      <w:bookmarkEnd w:id="16"/>
    </w:p>
    <w:p w14:paraId="5B5BBA1A">
      <w:pPr>
        <w:spacing w:line="360" w:lineRule="auto"/>
        <w:ind w:firstLine="210" w:firstLineChars="100"/>
        <w:rPr>
          <w:rFonts w:cs="宋体" w:asciiTheme="minorEastAsia" w:hAnsiTheme="minorEastAsia" w:eastAsiaTheme="minorEastAsia"/>
          <w:color w:val="auto"/>
          <w:szCs w:val="21"/>
          <w:highlight w:val="none"/>
          <w:shd w:val="clear" w:color="auto" w:fill="FFFFFF"/>
        </w:rPr>
      </w:pPr>
    </w:p>
    <w:p w14:paraId="737AB5AE">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政府采购项目电子交易活动适用《浙江省政府采购项目电子交易管理暂行办法》，现将相关注意事项告知如下：</w:t>
      </w:r>
    </w:p>
    <w:p w14:paraId="0977E542">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　1.代理机构按照招标文件规定的时间通过电子交易平台组织开标、开启投标文件，所有供应商均应当准时在线参加，直至评审结束。</w:t>
      </w:r>
    </w:p>
    <w:p w14:paraId="0B60B316">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　2.投标文件未按时解密，供应商如提供备份投标文件的，以符合要求的备份投标文件作为依据，否则视为投标文件撤回。投标文件已按时解密的，备份投标文件自动失效。</w:t>
      </w:r>
    </w:p>
    <w:p w14:paraId="69AE9E3F">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　3.采购过程中出现以下情形，导致电子交易平台无法正常运行，或者无法保证电子交易的公平、公正和安全时，代理机构可中止电子交易活动：</w:t>
      </w:r>
    </w:p>
    <w:p w14:paraId="475C39DF">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（一）电子交易平台发生故障而无法登录访问的； </w:t>
      </w:r>
    </w:p>
    <w:p w14:paraId="112E1E9A">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（二）电子交易平台应用或数据库出现错误，不能进行正常操作的；</w:t>
      </w:r>
    </w:p>
    <w:p w14:paraId="439DDA7A">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（三）电子交易平台发现严重安全漏洞，有潜在泄密危险的；</w:t>
      </w:r>
    </w:p>
    <w:p w14:paraId="2F1E7E04">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（四）病毒发作导致不能进行正常操作的； </w:t>
      </w:r>
    </w:p>
    <w:p w14:paraId="2361CEEF">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（五）其他无法保证电子交易的公平、公正和安全的情况。</w:t>
      </w:r>
    </w:p>
    <w:p w14:paraId="6295E5A5">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出现前款规定情形，不影响采购公平、公正性的，代理机构可以待上述情形消除后继续组织电子交易活动，也可以决定某些环节以纸质形式进行；影响或可能影响采购公平、公正性的，应当重新采购。</w:t>
      </w:r>
    </w:p>
    <w:p w14:paraId="5AA83672">
      <w:pPr>
        <w:spacing w:line="360" w:lineRule="auto"/>
        <w:ind w:firstLine="210" w:firstLineChars="100"/>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0773E5AB">
      <w:pPr>
        <w:spacing w:line="360" w:lineRule="auto"/>
        <w:jc w:val="center"/>
        <w:rPr>
          <w:rFonts w:asciiTheme="minorEastAsia" w:hAnsiTheme="minorEastAsia" w:eastAsiaTheme="minorEastAsia"/>
          <w:b/>
          <w:bCs/>
          <w:color w:val="auto"/>
          <w:kern w:val="2"/>
          <w:szCs w:val="21"/>
          <w:highlight w:val="none"/>
        </w:rPr>
      </w:pPr>
    </w:p>
    <w:p w14:paraId="2F428252">
      <w:pPr>
        <w:spacing w:line="360" w:lineRule="auto"/>
        <w:jc w:val="center"/>
        <w:rPr>
          <w:rFonts w:asciiTheme="minorEastAsia" w:hAnsiTheme="minorEastAsia" w:eastAsiaTheme="minorEastAsia"/>
          <w:b/>
          <w:bCs/>
          <w:color w:val="auto"/>
          <w:kern w:val="2"/>
          <w:szCs w:val="21"/>
          <w:highlight w:val="none"/>
        </w:rPr>
      </w:pPr>
    </w:p>
    <w:p w14:paraId="5718BED2">
      <w:pPr>
        <w:spacing w:line="360" w:lineRule="auto"/>
        <w:jc w:val="center"/>
        <w:rPr>
          <w:rFonts w:asciiTheme="minorEastAsia" w:hAnsiTheme="minorEastAsia" w:eastAsiaTheme="minorEastAsia"/>
          <w:b/>
          <w:bCs/>
          <w:color w:val="auto"/>
          <w:kern w:val="2"/>
          <w:szCs w:val="21"/>
          <w:highlight w:val="none"/>
        </w:rPr>
      </w:pPr>
    </w:p>
    <w:p w14:paraId="56A4B9D8">
      <w:pPr>
        <w:spacing w:line="360" w:lineRule="auto"/>
        <w:jc w:val="center"/>
        <w:rPr>
          <w:rFonts w:asciiTheme="minorEastAsia" w:hAnsiTheme="minorEastAsia" w:eastAsiaTheme="minorEastAsia"/>
          <w:b/>
          <w:bCs/>
          <w:color w:val="auto"/>
          <w:kern w:val="2"/>
          <w:szCs w:val="21"/>
          <w:highlight w:val="none"/>
        </w:rPr>
      </w:pPr>
    </w:p>
    <w:p w14:paraId="419E27C4">
      <w:pPr>
        <w:spacing w:line="360" w:lineRule="auto"/>
        <w:jc w:val="center"/>
        <w:rPr>
          <w:rFonts w:asciiTheme="minorEastAsia" w:hAnsiTheme="minorEastAsia" w:eastAsiaTheme="minorEastAsia"/>
          <w:b/>
          <w:bCs/>
          <w:color w:val="auto"/>
          <w:kern w:val="2"/>
          <w:szCs w:val="21"/>
          <w:highlight w:val="none"/>
        </w:rPr>
      </w:pPr>
    </w:p>
    <w:p w14:paraId="0D6C697D">
      <w:pPr>
        <w:spacing w:line="360" w:lineRule="auto"/>
        <w:jc w:val="center"/>
        <w:rPr>
          <w:rFonts w:asciiTheme="minorEastAsia" w:hAnsiTheme="minorEastAsia" w:eastAsiaTheme="minorEastAsia"/>
          <w:b/>
          <w:bCs/>
          <w:color w:val="auto"/>
          <w:kern w:val="2"/>
          <w:szCs w:val="21"/>
          <w:highlight w:val="none"/>
        </w:rPr>
      </w:pPr>
    </w:p>
    <w:p w14:paraId="220FB21B">
      <w:pPr>
        <w:spacing w:line="360" w:lineRule="auto"/>
        <w:jc w:val="center"/>
        <w:rPr>
          <w:rFonts w:asciiTheme="minorEastAsia" w:hAnsiTheme="minorEastAsia" w:eastAsiaTheme="minorEastAsia"/>
          <w:b/>
          <w:bCs/>
          <w:color w:val="auto"/>
          <w:kern w:val="2"/>
          <w:szCs w:val="21"/>
          <w:highlight w:val="none"/>
        </w:rPr>
      </w:pPr>
    </w:p>
    <w:p w14:paraId="00C3166B">
      <w:pPr>
        <w:spacing w:line="360" w:lineRule="auto"/>
        <w:jc w:val="center"/>
        <w:rPr>
          <w:rFonts w:asciiTheme="minorEastAsia" w:hAnsiTheme="minorEastAsia" w:eastAsiaTheme="minorEastAsia"/>
          <w:b/>
          <w:bCs/>
          <w:color w:val="auto"/>
          <w:kern w:val="2"/>
          <w:szCs w:val="21"/>
          <w:highlight w:val="none"/>
        </w:rPr>
      </w:pPr>
    </w:p>
    <w:p w14:paraId="25364CFF">
      <w:pPr>
        <w:spacing w:line="360" w:lineRule="auto"/>
        <w:jc w:val="center"/>
        <w:rPr>
          <w:rFonts w:asciiTheme="minorEastAsia" w:hAnsiTheme="minorEastAsia" w:eastAsiaTheme="minorEastAsia"/>
          <w:b/>
          <w:bCs/>
          <w:color w:val="auto"/>
          <w:kern w:val="2"/>
          <w:szCs w:val="21"/>
          <w:highlight w:val="none"/>
        </w:rPr>
      </w:pPr>
    </w:p>
    <w:p w14:paraId="76CDB7DD">
      <w:pPr>
        <w:spacing w:line="360" w:lineRule="auto"/>
        <w:jc w:val="both"/>
        <w:rPr>
          <w:rFonts w:asciiTheme="minorEastAsia" w:hAnsiTheme="minorEastAsia" w:eastAsiaTheme="minorEastAsia"/>
          <w:b/>
          <w:bCs/>
          <w:color w:val="auto"/>
          <w:kern w:val="2"/>
          <w:szCs w:val="21"/>
          <w:highlight w:val="none"/>
        </w:rPr>
      </w:pPr>
    </w:p>
    <w:p w14:paraId="7E264A5A">
      <w:pPr>
        <w:spacing w:line="360" w:lineRule="auto"/>
        <w:jc w:val="center"/>
        <w:rPr>
          <w:rFonts w:asciiTheme="minorEastAsia" w:hAnsiTheme="minorEastAsia" w:eastAsiaTheme="minorEastAsia"/>
          <w:b/>
          <w:bCs/>
          <w:color w:val="auto"/>
          <w:kern w:val="2"/>
          <w:szCs w:val="21"/>
          <w:highlight w:val="none"/>
        </w:rPr>
      </w:pPr>
    </w:p>
    <w:p w14:paraId="2C7AA720">
      <w:pPr>
        <w:spacing w:line="360" w:lineRule="auto"/>
        <w:jc w:val="center"/>
        <w:rPr>
          <w:rFonts w:asciiTheme="minorEastAsia" w:hAnsiTheme="minorEastAsia" w:eastAsiaTheme="minorEastAsia"/>
          <w:b/>
          <w:bCs/>
          <w:color w:val="auto"/>
          <w:kern w:val="2"/>
          <w:szCs w:val="21"/>
          <w:highlight w:val="none"/>
        </w:rPr>
      </w:pPr>
    </w:p>
    <w:p w14:paraId="5A2615DC">
      <w:pPr>
        <w:spacing w:line="360" w:lineRule="auto"/>
        <w:jc w:val="center"/>
        <w:rPr>
          <w:rFonts w:asciiTheme="minorEastAsia" w:hAnsiTheme="minorEastAsia" w:eastAsiaTheme="minorEastAsia"/>
          <w:b/>
          <w:bCs/>
          <w:color w:val="auto"/>
          <w:kern w:val="2"/>
          <w:szCs w:val="21"/>
          <w:highlight w:val="none"/>
        </w:rPr>
      </w:pPr>
      <w:r>
        <w:rPr>
          <w:rFonts w:hint="eastAsia" w:asciiTheme="minorEastAsia" w:hAnsiTheme="minorEastAsia" w:eastAsiaTheme="minorEastAsia"/>
          <w:b/>
          <w:bCs/>
          <w:color w:val="auto"/>
          <w:kern w:val="2"/>
          <w:szCs w:val="21"/>
          <w:highlight w:val="none"/>
        </w:rPr>
        <w:t>前附表</w:t>
      </w:r>
    </w:p>
    <w:tbl>
      <w:tblPr>
        <w:tblStyle w:val="55"/>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0F241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bottom"/>
          </w:tcPr>
          <w:p w14:paraId="518799D3">
            <w:pPr>
              <w:snapToGrid w:val="0"/>
              <w:spacing w:line="360" w:lineRule="auto"/>
              <w:jc w:val="center"/>
              <w:rPr>
                <w:rFonts w:asciiTheme="minorEastAsia" w:hAnsiTheme="minorEastAsia" w:eastAsiaTheme="minorEastAsia"/>
                <w:b/>
                <w:color w:val="auto"/>
                <w:kern w:val="2"/>
                <w:szCs w:val="21"/>
                <w:highlight w:val="none"/>
              </w:rPr>
            </w:pPr>
            <w:bookmarkStart w:id="17" w:name="_Toc177870536"/>
            <w:r>
              <w:rPr>
                <w:rFonts w:hint="eastAsia" w:asciiTheme="minorEastAsia" w:hAnsiTheme="minorEastAsia" w:eastAsiaTheme="minorEastAsia"/>
                <w:b/>
                <w:color w:val="auto"/>
                <w:kern w:val="2"/>
                <w:szCs w:val="21"/>
                <w:highlight w:val="none"/>
              </w:rPr>
              <w:t>序号</w:t>
            </w:r>
          </w:p>
        </w:tc>
        <w:tc>
          <w:tcPr>
            <w:tcW w:w="8371" w:type="dxa"/>
            <w:tcBorders>
              <w:top w:val="single" w:color="auto" w:sz="4" w:space="0"/>
              <w:left w:val="single" w:color="auto" w:sz="4" w:space="0"/>
              <w:bottom w:val="single" w:color="auto" w:sz="4" w:space="0"/>
              <w:right w:val="single" w:color="auto" w:sz="4" w:space="0"/>
            </w:tcBorders>
            <w:vAlign w:val="bottom"/>
          </w:tcPr>
          <w:p w14:paraId="555A5B5B">
            <w:pPr>
              <w:snapToGrid w:val="0"/>
              <w:spacing w:line="360" w:lineRule="auto"/>
              <w:jc w:val="center"/>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内容、要求</w:t>
            </w:r>
          </w:p>
        </w:tc>
      </w:tr>
      <w:tr w14:paraId="2E09F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14:paraId="3769C009">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p>
        </w:tc>
        <w:tc>
          <w:tcPr>
            <w:tcW w:w="8371" w:type="dxa"/>
            <w:tcBorders>
              <w:top w:val="single" w:color="auto" w:sz="4" w:space="0"/>
              <w:left w:val="single" w:color="auto" w:sz="4" w:space="0"/>
              <w:bottom w:val="single" w:color="auto" w:sz="4" w:space="0"/>
              <w:right w:val="single" w:color="auto" w:sz="4" w:space="0"/>
            </w:tcBorders>
            <w:vAlign w:val="center"/>
          </w:tcPr>
          <w:p w14:paraId="48533F4E">
            <w:pPr>
              <w:pStyle w:val="342"/>
              <w:widowControl w:val="0"/>
              <w:spacing w:line="360" w:lineRule="auto"/>
              <w:ind w:firstLine="0" w:firstLineChars="0"/>
              <w:jc w:val="both"/>
              <w:rPr>
                <w:rFonts w:hint="eastAsia" w:asciiTheme="minorEastAsia" w:hAnsiTheme="minorEastAsia" w:eastAsiaTheme="minorEastAsia"/>
                <w:b/>
                <w:color w:val="auto"/>
                <w:kern w:val="2"/>
                <w:szCs w:val="21"/>
                <w:highlight w:val="none"/>
                <w:lang w:eastAsia="zh-CN"/>
              </w:rPr>
            </w:pP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color w:val="auto"/>
                <w:kern w:val="2"/>
                <w:szCs w:val="21"/>
                <w:highlight w:val="none"/>
                <w:lang w:eastAsia="zh-CN"/>
              </w:rPr>
              <w:t>交通执法基层站所修缮维护项目</w:t>
            </w:r>
          </w:p>
        </w:tc>
      </w:tr>
      <w:tr w14:paraId="36F2E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vAlign w:val="center"/>
          </w:tcPr>
          <w:p w14:paraId="70DBA5BD">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2</w:t>
            </w:r>
          </w:p>
        </w:tc>
        <w:tc>
          <w:tcPr>
            <w:tcW w:w="8371" w:type="dxa"/>
            <w:tcBorders>
              <w:top w:val="single" w:color="auto" w:sz="4" w:space="0"/>
              <w:left w:val="single" w:color="auto" w:sz="4" w:space="0"/>
              <w:bottom w:val="single" w:color="auto" w:sz="4" w:space="0"/>
              <w:right w:val="single" w:color="auto" w:sz="4" w:space="0"/>
            </w:tcBorders>
            <w:vAlign w:val="center"/>
          </w:tcPr>
          <w:p w14:paraId="67E8DD66">
            <w:pPr>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采购内容：详见第二章磋商需求。</w:t>
            </w:r>
          </w:p>
        </w:tc>
      </w:tr>
      <w:tr w14:paraId="45279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14:paraId="34177881">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3</w:t>
            </w:r>
          </w:p>
        </w:tc>
        <w:tc>
          <w:tcPr>
            <w:tcW w:w="8371" w:type="dxa"/>
            <w:tcBorders>
              <w:top w:val="single" w:color="auto" w:sz="4" w:space="0"/>
              <w:left w:val="single" w:color="auto" w:sz="4" w:space="0"/>
              <w:bottom w:val="single" w:color="auto" w:sz="4" w:space="0"/>
              <w:right w:val="single" w:color="auto" w:sz="4" w:space="0"/>
            </w:tcBorders>
            <w:vAlign w:val="center"/>
          </w:tcPr>
          <w:p w14:paraId="3E1E22E3">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磋商报价及费用：</w:t>
            </w:r>
          </w:p>
          <w:p w14:paraId="1EE19FE2">
            <w:pPr>
              <w:snapToGrid w:val="0"/>
              <w:spacing w:line="360" w:lineRule="auto"/>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、本项目投标应以人民币报价；</w:t>
            </w:r>
          </w:p>
          <w:p w14:paraId="06EDAFA4">
            <w:pPr>
              <w:snapToGrid w:val="0"/>
              <w:spacing w:line="360" w:lineRule="auto"/>
              <w:jc w:val="both"/>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、不论投标结果如何，投标人均应自行承担所有与投标有关的全部费用。</w:t>
            </w:r>
          </w:p>
          <w:p w14:paraId="16BCD14B">
            <w:pPr>
              <w:snapToGrid w:val="0"/>
              <w:spacing w:line="360" w:lineRule="auto"/>
              <w:jc w:val="both"/>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3</w:t>
            </w:r>
            <w:r>
              <w:rPr>
                <w:rFonts w:hint="eastAsia" w:asciiTheme="minorEastAsia" w:hAnsiTheme="minorEastAsia" w:eastAsiaTheme="minorEastAsia"/>
                <w:color w:val="auto"/>
                <w:kern w:val="2"/>
                <w:szCs w:val="21"/>
                <w:highlight w:val="none"/>
              </w:rPr>
              <w:t>、响应文件只允许有一个报价，有选择的或有条件的报价将不予接受。</w:t>
            </w:r>
          </w:p>
        </w:tc>
      </w:tr>
      <w:tr w14:paraId="4CADD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869" w:type="dxa"/>
            <w:tcBorders>
              <w:top w:val="single" w:color="auto" w:sz="4" w:space="0"/>
              <w:left w:val="single" w:color="auto" w:sz="4" w:space="0"/>
              <w:bottom w:val="single" w:color="auto" w:sz="4" w:space="0"/>
              <w:right w:val="single" w:color="auto" w:sz="4" w:space="0"/>
            </w:tcBorders>
            <w:vAlign w:val="center"/>
          </w:tcPr>
          <w:p w14:paraId="056AFA89">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4</w:t>
            </w:r>
          </w:p>
        </w:tc>
        <w:tc>
          <w:tcPr>
            <w:tcW w:w="8371" w:type="dxa"/>
            <w:tcBorders>
              <w:top w:val="single" w:color="auto" w:sz="4" w:space="0"/>
              <w:left w:val="single" w:color="auto" w:sz="4" w:space="0"/>
              <w:bottom w:val="single" w:color="auto" w:sz="4" w:space="0"/>
              <w:right w:val="single" w:color="auto" w:sz="4" w:space="0"/>
            </w:tcBorders>
            <w:vAlign w:val="center"/>
          </w:tcPr>
          <w:p w14:paraId="355022B5">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投标保证金：无</w:t>
            </w:r>
          </w:p>
        </w:tc>
      </w:tr>
      <w:tr w14:paraId="74029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left w:val="single" w:color="auto" w:sz="4" w:space="0"/>
              <w:bottom w:val="single" w:color="auto" w:sz="4" w:space="0"/>
              <w:right w:val="single" w:color="auto" w:sz="4" w:space="0"/>
            </w:tcBorders>
            <w:vAlign w:val="center"/>
          </w:tcPr>
          <w:p w14:paraId="24230B99">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5</w:t>
            </w:r>
          </w:p>
        </w:tc>
        <w:tc>
          <w:tcPr>
            <w:tcW w:w="8371" w:type="dxa"/>
            <w:tcBorders>
              <w:top w:val="single" w:color="auto" w:sz="4" w:space="0"/>
              <w:left w:val="single" w:color="auto" w:sz="4" w:space="0"/>
              <w:bottom w:val="single" w:color="auto" w:sz="4" w:space="0"/>
              <w:right w:val="single" w:color="auto" w:sz="4" w:space="0"/>
            </w:tcBorders>
            <w:vAlign w:val="center"/>
          </w:tcPr>
          <w:p w14:paraId="53878636">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供应商获取磋商文件后可与采购人联系，沟通相关事宜。 </w:t>
            </w:r>
          </w:p>
        </w:tc>
      </w:tr>
      <w:tr w14:paraId="66592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left w:val="single" w:color="auto" w:sz="4" w:space="0"/>
              <w:bottom w:val="single" w:color="auto" w:sz="4" w:space="0"/>
              <w:right w:val="single" w:color="auto" w:sz="4" w:space="0"/>
            </w:tcBorders>
            <w:vAlign w:val="center"/>
          </w:tcPr>
          <w:p w14:paraId="4E51EC61">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6</w:t>
            </w:r>
          </w:p>
        </w:tc>
        <w:tc>
          <w:tcPr>
            <w:tcW w:w="8371" w:type="dxa"/>
            <w:tcBorders>
              <w:top w:val="single" w:color="auto" w:sz="4" w:space="0"/>
              <w:left w:val="single" w:color="auto" w:sz="4" w:space="0"/>
              <w:bottom w:val="single" w:color="auto" w:sz="4" w:space="0"/>
              <w:right w:val="single" w:color="auto" w:sz="4" w:space="0"/>
            </w:tcBorders>
            <w:vAlign w:val="center"/>
          </w:tcPr>
          <w:p w14:paraId="7A4AC4BB">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现场踏勘：无。</w:t>
            </w:r>
          </w:p>
        </w:tc>
      </w:tr>
      <w:tr w14:paraId="7BB9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14:paraId="61CCC2E8">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7</w:t>
            </w:r>
          </w:p>
        </w:tc>
        <w:tc>
          <w:tcPr>
            <w:tcW w:w="8371" w:type="dxa"/>
            <w:tcBorders>
              <w:top w:val="single" w:color="auto" w:sz="4" w:space="0"/>
              <w:left w:val="single" w:color="auto" w:sz="4" w:space="0"/>
              <w:bottom w:val="single" w:color="auto" w:sz="4" w:space="0"/>
              <w:right w:val="single" w:color="auto" w:sz="4" w:space="0"/>
            </w:tcBorders>
            <w:vAlign w:val="center"/>
          </w:tcPr>
          <w:p w14:paraId="7A6923B4">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响应文件组成：由资信技术文件及投标报价文件两部份组成。</w:t>
            </w:r>
          </w:p>
        </w:tc>
      </w:tr>
      <w:tr w14:paraId="645FC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69" w:type="dxa"/>
            <w:tcBorders>
              <w:top w:val="single" w:color="auto" w:sz="4" w:space="0"/>
              <w:left w:val="single" w:color="auto" w:sz="4" w:space="0"/>
              <w:bottom w:val="single" w:color="auto" w:sz="4" w:space="0"/>
              <w:right w:val="single" w:color="auto" w:sz="4" w:space="0"/>
            </w:tcBorders>
            <w:vAlign w:val="center"/>
          </w:tcPr>
          <w:p w14:paraId="0C049D4D">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8</w:t>
            </w:r>
          </w:p>
        </w:tc>
        <w:tc>
          <w:tcPr>
            <w:tcW w:w="8371" w:type="dxa"/>
            <w:tcBorders>
              <w:top w:val="single" w:color="auto" w:sz="4" w:space="0"/>
              <w:left w:val="single" w:color="auto" w:sz="4" w:space="0"/>
              <w:bottom w:val="single" w:color="auto" w:sz="4" w:space="0"/>
              <w:right w:val="single" w:color="auto" w:sz="4" w:space="0"/>
            </w:tcBorders>
            <w:vAlign w:val="center"/>
          </w:tcPr>
          <w:p w14:paraId="093DB446">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提交首次响应文件截止时间：</w:t>
            </w:r>
            <w:r>
              <w:rPr>
                <w:rFonts w:hint="eastAsia" w:asciiTheme="minorEastAsia" w:hAnsiTheme="minorEastAsia" w:eastAsiaTheme="minorEastAsia"/>
                <w:b/>
                <w:color w:val="auto"/>
                <w:szCs w:val="21"/>
                <w:highlight w:val="none"/>
                <w:shd w:val="clear" w:color="auto" w:fill="FFFFFF"/>
                <w:lang w:eastAsia="zh-CN"/>
              </w:rPr>
              <w:t>2024年8月20日</w:t>
            </w:r>
            <w:r>
              <w:rPr>
                <w:rFonts w:hint="eastAsia" w:asciiTheme="minorEastAsia" w:hAnsiTheme="minorEastAsia" w:eastAsiaTheme="minorEastAsia"/>
                <w:b/>
                <w:color w:val="auto"/>
                <w:szCs w:val="21"/>
                <w:highlight w:val="none"/>
                <w:shd w:val="clear" w:color="auto" w:fill="FFFFFF"/>
                <w:lang w:val="en-US" w:eastAsia="zh-CN"/>
              </w:rPr>
              <w:t>09</w:t>
            </w:r>
            <w:r>
              <w:rPr>
                <w:rFonts w:hint="eastAsia" w:asciiTheme="minorEastAsia" w:hAnsiTheme="minorEastAsia" w:eastAsiaTheme="minorEastAsia"/>
                <w:b/>
                <w:color w:val="auto"/>
                <w:szCs w:val="21"/>
                <w:highlight w:val="none"/>
                <w:shd w:val="clear" w:color="auto" w:fill="FFFFFF"/>
              </w:rPr>
              <w:t>时</w:t>
            </w:r>
            <w:r>
              <w:rPr>
                <w:rFonts w:hint="eastAsia" w:asciiTheme="minorEastAsia" w:hAnsiTheme="minorEastAsia" w:eastAsiaTheme="minorEastAsia"/>
                <w:b/>
                <w:color w:val="auto"/>
                <w:szCs w:val="21"/>
                <w:highlight w:val="none"/>
                <w:shd w:val="clear" w:color="auto" w:fill="FFFFFF"/>
                <w:lang w:val="en-US" w:eastAsia="zh-CN"/>
              </w:rPr>
              <w:t>3</w:t>
            </w:r>
            <w:r>
              <w:rPr>
                <w:rFonts w:hint="eastAsia" w:asciiTheme="minorEastAsia" w:hAnsiTheme="minorEastAsia" w:eastAsiaTheme="minorEastAsia"/>
                <w:b/>
                <w:color w:val="auto"/>
                <w:szCs w:val="21"/>
                <w:highlight w:val="none"/>
                <w:shd w:val="clear" w:color="auto" w:fill="FFFFFF"/>
              </w:rPr>
              <w:t>0分</w:t>
            </w:r>
            <w:r>
              <w:rPr>
                <w:rFonts w:hint="eastAsia" w:asciiTheme="minorEastAsia" w:hAnsiTheme="minorEastAsia" w:eastAsiaTheme="minorEastAsia"/>
                <w:b/>
                <w:color w:val="auto"/>
                <w:kern w:val="2"/>
                <w:szCs w:val="21"/>
                <w:highlight w:val="none"/>
              </w:rPr>
              <w:t xml:space="preserve">整。 </w:t>
            </w:r>
          </w:p>
        </w:tc>
      </w:tr>
      <w:tr w14:paraId="6B838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7" w:hRule="atLeast"/>
        </w:trPr>
        <w:tc>
          <w:tcPr>
            <w:tcW w:w="869" w:type="dxa"/>
            <w:tcBorders>
              <w:top w:val="single" w:color="auto" w:sz="4" w:space="0"/>
              <w:left w:val="single" w:color="auto" w:sz="4" w:space="0"/>
              <w:bottom w:val="single" w:color="auto" w:sz="4" w:space="0"/>
              <w:right w:val="single" w:color="auto" w:sz="4" w:space="0"/>
            </w:tcBorders>
            <w:vAlign w:val="center"/>
          </w:tcPr>
          <w:p w14:paraId="38A77679">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9</w:t>
            </w:r>
          </w:p>
        </w:tc>
        <w:tc>
          <w:tcPr>
            <w:tcW w:w="8371" w:type="dxa"/>
            <w:tcBorders>
              <w:top w:val="single" w:color="auto" w:sz="4" w:space="0"/>
              <w:left w:val="single" w:color="auto" w:sz="4" w:space="0"/>
              <w:bottom w:val="single" w:color="auto" w:sz="4" w:space="0"/>
              <w:right w:val="single" w:color="auto" w:sz="4" w:space="0"/>
            </w:tcBorders>
            <w:vAlign w:val="center"/>
          </w:tcPr>
          <w:p w14:paraId="7D849422">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磋商时间及地点：</w:t>
            </w:r>
            <w:r>
              <w:rPr>
                <w:rFonts w:hint="eastAsia" w:asciiTheme="minorEastAsia" w:hAnsiTheme="minorEastAsia" w:eastAsiaTheme="minorEastAsia"/>
                <w:b/>
                <w:color w:val="auto"/>
                <w:szCs w:val="21"/>
                <w:highlight w:val="none"/>
                <w:shd w:val="clear" w:color="auto" w:fill="FFFFFF"/>
                <w:lang w:eastAsia="zh-CN"/>
              </w:rPr>
              <w:t>2024年8月20日</w:t>
            </w:r>
            <w:r>
              <w:rPr>
                <w:rFonts w:hint="eastAsia" w:asciiTheme="minorEastAsia" w:hAnsiTheme="minorEastAsia" w:eastAsiaTheme="minorEastAsia"/>
                <w:b/>
                <w:color w:val="auto"/>
                <w:szCs w:val="21"/>
                <w:highlight w:val="none"/>
                <w:shd w:val="clear" w:color="auto" w:fill="FFFFFF"/>
                <w:lang w:val="en-US" w:eastAsia="zh-CN"/>
              </w:rPr>
              <w:t>09</w:t>
            </w:r>
            <w:r>
              <w:rPr>
                <w:rFonts w:hint="eastAsia" w:asciiTheme="minorEastAsia" w:hAnsiTheme="minorEastAsia" w:eastAsiaTheme="minorEastAsia"/>
                <w:b/>
                <w:color w:val="auto"/>
                <w:szCs w:val="21"/>
                <w:highlight w:val="none"/>
                <w:shd w:val="clear" w:color="auto" w:fill="FFFFFF"/>
              </w:rPr>
              <w:t>时</w:t>
            </w:r>
            <w:r>
              <w:rPr>
                <w:rFonts w:hint="eastAsia" w:asciiTheme="minorEastAsia" w:hAnsiTheme="minorEastAsia" w:eastAsiaTheme="minorEastAsia"/>
                <w:b/>
                <w:color w:val="auto"/>
                <w:szCs w:val="21"/>
                <w:highlight w:val="none"/>
                <w:shd w:val="clear" w:color="auto" w:fill="FFFFFF"/>
                <w:lang w:val="en-US" w:eastAsia="zh-CN"/>
              </w:rPr>
              <w:t>3</w:t>
            </w:r>
            <w:r>
              <w:rPr>
                <w:rFonts w:hint="eastAsia" w:asciiTheme="minorEastAsia" w:hAnsiTheme="minorEastAsia" w:eastAsiaTheme="minorEastAsia"/>
                <w:b/>
                <w:color w:val="auto"/>
                <w:szCs w:val="21"/>
                <w:highlight w:val="none"/>
                <w:shd w:val="clear" w:color="auto" w:fill="FFFFFF"/>
              </w:rPr>
              <w:t>0分</w:t>
            </w:r>
            <w:r>
              <w:rPr>
                <w:rFonts w:hint="eastAsia" w:asciiTheme="minorEastAsia" w:hAnsiTheme="minorEastAsia" w:eastAsiaTheme="minorEastAsia"/>
                <w:b/>
                <w:color w:val="auto"/>
                <w:kern w:val="2"/>
                <w:szCs w:val="21"/>
                <w:highlight w:val="none"/>
              </w:rPr>
              <w:t>整</w:t>
            </w:r>
            <w:r>
              <w:rPr>
                <w:rFonts w:hint="eastAsia" w:cs="Arial" w:asciiTheme="minorEastAsia" w:hAnsiTheme="minorEastAsia" w:eastAsiaTheme="minorEastAsia"/>
                <w:color w:val="auto"/>
                <w:szCs w:val="21"/>
                <w:highlight w:val="none"/>
              </w:rPr>
              <w:t>在</w:t>
            </w:r>
            <w:r>
              <w:rPr>
                <w:rFonts w:hint="eastAsia" w:asciiTheme="minorEastAsia" w:hAnsiTheme="minorEastAsia" w:eastAsiaTheme="minorEastAsia"/>
                <w:color w:val="auto"/>
                <w:szCs w:val="21"/>
                <w:highlight w:val="none"/>
              </w:rPr>
              <w:t>嘉兴市银建工程咨询评估有限公司洪兴路2399号宝地大厦15楼1506室</w:t>
            </w:r>
            <w:r>
              <w:rPr>
                <w:rFonts w:hint="eastAsia" w:cs="Arial"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u w:val="single"/>
              </w:rPr>
              <w:t>供应商无需到开标现场，但须准时在线参加，直至评审结束</w:t>
            </w:r>
            <w:r>
              <w:rPr>
                <w:rFonts w:hint="eastAsia" w:asciiTheme="minorEastAsia" w:hAnsiTheme="minorEastAsia" w:eastAsiaTheme="minorEastAsia"/>
                <w:b/>
                <w:color w:val="auto"/>
                <w:szCs w:val="21"/>
                <w:highlight w:val="none"/>
              </w:rPr>
              <w:t>。</w:t>
            </w:r>
          </w:p>
        </w:tc>
      </w:tr>
      <w:tr w14:paraId="30896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69" w:type="dxa"/>
            <w:tcBorders>
              <w:top w:val="single" w:color="auto" w:sz="4" w:space="0"/>
              <w:left w:val="single" w:color="auto" w:sz="4" w:space="0"/>
              <w:bottom w:val="single" w:color="auto" w:sz="4" w:space="0"/>
              <w:right w:val="single" w:color="auto" w:sz="4" w:space="0"/>
            </w:tcBorders>
            <w:vAlign w:val="center"/>
          </w:tcPr>
          <w:p w14:paraId="18B6BC51">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10</w:t>
            </w:r>
          </w:p>
        </w:tc>
        <w:tc>
          <w:tcPr>
            <w:tcW w:w="8371" w:type="dxa"/>
            <w:tcBorders>
              <w:top w:val="single" w:color="auto" w:sz="4" w:space="0"/>
              <w:left w:val="single" w:color="auto" w:sz="4" w:space="0"/>
              <w:bottom w:val="single" w:color="auto" w:sz="4" w:space="0"/>
              <w:right w:val="single" w:color="auto" w:sz="4" w:space="0"/>
            </w:tcBorders>
            <w:vAlign w:val="center"/>
          </w:tcPr>
          <w:p w14:paraId="56B65A79">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磋商办法及评分标准：详见磋商文件第四章。</w:t>
            </w:r>
          </w:p>
        </w:tc>
      </w:tr>
      <w:tr w14:paraId="5D035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69" w:type="dxa"/>
            <w:tcBorders>
              <w:top w:val="single" w:color="auto" w:sz="4" w:space="0"/>
              <w:left w:val="single" w:color="auto" w:sz="4" w:space="0"/>
              <w:bottom w:val="single" w:color="auto" w:sz="4" w:space="0"/>
              <w:right w:val="single" w:color="auto" w:sz="4" w:space="0"/>
            </w:tcBorders>
            <w:vAlign w:val="center"/>
          </w:tcPr>
          <w:p w14:paraId="701B0B92">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11</w:t>
            </w:r>
          </w:p>
        </w:tc>
        <w:tc>
          <w:tcPr>
            <w:tcW w:w="8371" w:type="dxa"/>
            <w:tcBorders>
              <w:top w:val="single" w:color="auto" w:sz="4" w:space="0"/>
              <w:left w:val="single" w:color="auto" w:sz="4" w:space="0"/>
              <w:bottom w:val="single" w:color="auto" w:sz="4" w:space="0"/>
              <w:right w:val="single" w:color="auto" w:sz="4" w:space="0"/>
            </w:tcBorders>
            <w:vAlign w:val="center"/>
          </w:tcPr>
          <w:p w14:paraId="2EEFC690">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评标结果公告：评标结束后</w:t>
            </w: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个工作日内，评标结果公告于浙江政府采购网(http://www.zjzfcg.gov.cn/new/)。本项目公告期限为</w:t>
            </w: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个工作日，各参加政府采购活动的供应商认为该成交结果和采购过程等使自己的权益受到损害的，可以自本公告期限届满之日（本公告发布之日后第</w:t>
            </w: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个工作日）起</w:t>
            </w:r>
            <w:r>
              <w:rPr>
                <w:rFonts w:asciiTheme="minorEastAsia" w:hAnsiTheme="minorEastAsia" w:eastAsiaTheme="minorEastAsia"/>
                <w:color w:val="auto"/>
                <w:kern w:val="2"/>
                <w:szCs w:val="21"/>
                <w:highlight w:val="none"/>
              </w:rPr>
              <w:t>7</w:t>
            </w:r>
            <w:r>
              <w:rPr>
                <w:rFonts w:hint="eastAsia" w:asciiTheme="minorEastAsia" w:hAnsiTheme="minorEastAsia" w:eastAsiaTheme="minorEastAsia"/>
                <w:color w:val="auto"/>
                <w:kern w:val="2"/>
                <w:szCs w:val="21"/>
                <w:highlight w:val="none"/>
              </w:rPr>
              <w:t>个工作日内，以书面形式向采购人或受其委托的代理机构提出质疑。质疑供应商对采购人、代理机构的答复不满意或者采购人、代理机构未在规定的时间内作出答复的，可以在答复期满后十五个工作日内向同级政府采购监督管理部门投诉。质疑函范本、投诉书范本请到浙江政府采购网下载专区下载。</w:t>
            </w:r>
          </w:p>
        </w:tc>
      </w:tr>
      <w:tr w14:paraId="6B59E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69" w:type="dxa"/>
            <w:tcBorders>
              <w:top w:val="single" w:color="auto" w:sz="4" w:space="0"/>
              <w:left w:val="single" w:color="auto" w:sz="4" w:space="0"/>
              <w:bottom w:val="single" w:color="auto" w:sz="4" w:space="0"/>
              <w:right w:val="single" w:color="auto" w:sz="4" w:space="0"/>
            </w:tcBorders>
            <w:vAlign w:val="center"/>
          </w:tcPr>
          <w:p w14:paraId="71EB23F6">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12</w:t>
            </w:r>
          </w:p>
        </w:tc>
        <w:tc>
          <w:tcPr>
            <w:tcW w:w="8371" w:type="dxa"/>
            <w:tcBorders>
              <w:top w:val="single" w:color="auto" w:sz="4" w:space="0"/>
              <w:left w:val="single" w:color="auto" w:sz="4" w:space="0"/>
              <w:bottom w:val="single" w:color="auto" w:sz="4" w:space="0"/>
              <w:right w:val="single" w:color="auto" w:sz="4" w:space="0"/>
            </w:tcBorders>
            <w:vAlign w:val="center"/>
          </w:tcPr>
          <w:p w14:paraId="13F864AE">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成交公告及成交通知书：成交公告发布于浙江政府采购网(http://www.zjzfcg.gov.cn/new/)，成交公告期限为</w:t>
            </w: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个工作日。在公告成交结果的同时，代理机构向成交人发出成交通知书。</w:t>
            </w:r>
          </w:p>
        </w:tc>
      </w:tr>
      <w:tr w14:paraId="33078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left w:val="single" w:color="auto" w:sz="4" w:space="0"/>
              <w:bottom w:val="single" w:color="auto" w:sz="4" w:space="0"/>
              <w:right w:val="single" w:color="auto" w:sz="4" w:space="0"/>
            </w:tcBorders>
            <w:vAlign w:val="center"/>
          </w:tcPr>
          <w:p w14:paraId="0D8674F3">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13</w:t>
            </w:r>
          </w:p>
        </w:tc>
        <w:tc>
          <w:tcPr>
            <w:tcW w:w="8371" w:type="dxa"/>
            <w:tcBorders>
              <w:top w:val="single" w:color="auto" w:sz="4" w:space="0"/>
              <w:left w:val="single" w:color="auto" w:sz="4" w:space="0"/>
              <w:bottom w:val="single" w:color="auto" w:sz="4" w:space="0"/>
              <w:right w:val="single" w:color="auto" w:sz="4" w:space="0"/>
            </w:tcBorders>
            <w:vAlign w:val="center"/>
          </w:tcPr>
          <w:p w14:paraId="71E0B174">
            <w:pPr>
              <w:pStyle w:val="28"/>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签订合同时间：中标通知书发出后30日内。</w:t>
            </w:r>
          </w:p>
        </w:tc>
      </w:tr>
      <w:tr w14:paraId="1F179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left w:val="single" w:color="auto" w:sz="4" w:space="0"/>
              <w:bottom w:val="single" w:color="auto" w:sz="4" w:space="0"/>
              <w:right w:val="single" w:color="auto" w:sz="4" w:space="0"/>
            </w:tcBorders>
            <w:vAlign w:val="center"/>
          </w:tcPr>
          <w:p w14:paraId="22484519">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14</w:t>
            </w:r>
          </w:p>
        </w:tc>
        <w:tc>
          <w:tcPr>
            <w:tcW w:w="8371" w:type="dxa"/>
            <w:tcBorders>
              <w:top w:val="single" w:color="auto" w:sz="4" w:space="0"/>
              <w:left w:val="single" w:color="auto" w:sz="4" w:space="0"/>
              <w:bottom w:val="single" w:color="auto" w:sz="4" w:space="0"/>
              <w:right w:val="single" w:color="auto" w:sz="4" w:space="0"/>
            </w:tcBorders>
            <w:vAlign w:val="center"/>
          </w:tcPr>
          <w:p w14:paraId="5C214F0D">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本项目上限价：</w:t>
            </w:r>
            <w:r>
              <w:rPr>
                <w:rFonts w:hint="eastAsia" w:asciiTheme="minorEastAsia" w:hAnsiTheme="minorEastAsia" w:eastAsiaTheme="minorEastAsia"/>
                <w:color w:val="auto"/>
                <w:kern w:val="2"/>
                <w:szCs w:val="21"/>
                <w:highlight w:val="none"/>
                <w:lang w:val="en-US" w:eastAsia="zh-CN"/>
              </w:rPr>
              <w:t>367.3484</w:t>
            </w:r>
            <w:r>
              <w:rPr>
                <w:rFonts w:hint="eastAsia" w:asciiTheme="minorEastAsia" w:hAnsiTheme="minorEastAsia" w:eastAsiaTheme="minorEastAsia"/>
                <w:color w:val="auto"/>
                <w:kern w:val="2"/>
                <w:szCs w:val="21"/>
                <w:highlight w:val="none"/>
              </w:rPr>
              <w:t>万元；超上限价的响应文件无效。</w:t>
            </w:r>
          </w:p>
        </w:tc>
      </w:tr>
      <w:tr w14:paraId="0890E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left w:val="single" w:color="auto" w:sz="4" w:space="0"/>
              <w:bottom w:val="single" w:color="auto" w:sz="4" w:space="0"/>
              <w:right w:val="single" w:color="auto" w:sz="4" w:space="0"/>
            </w:tcBorders>
            <w:vAlign w:val="center"/>
          </w:tcPr>
          <w:p w14:paraId="64F51E88">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5</w:t>
            </w:r>
          </w:p>
        </w:tc>
        <w:tc>
          <w:tcPr>
            <w:tcW w:w="8371" w:type="dxa"/>
            <w:tcBorders>
              <w:top w:val="single" w:color="auto" w:sz="4" w:space="0"/>
              <w:left w:val="single" w:color="auto" w:sz="4" w:space="0"/>
              <w:bottom w:val="single" w:color="auto" w:sz="4" w:space="0"/>
              <w:right w:val="single" w:color="auto" w:sz="4" w:space="0"/>
            </w:tcBorders>
            <w:vAlign w:val="center"/>
          </w:tcPr>
          <w:p w14:paraId="4BC36FC9">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付款方式：详见第二章磋商需求。</w:t>
            </w:r>
          </w:p>
        </w:tc>
      </w:tr>
      <w:tr w14:paraId="50EB6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left w:val="single" w:color="auto" w:sz="4" w:space="0"/>
              <w:bottom w:val="single" w:color="auto" w:sz="4" w:space="0"/>
              <w:right w:val="single" w:color="auto" w:sz="4" w:space="0"/>
            </w:tcBorders>
            <w:vAlign w:val="center"/>
          </w:tcPr>
          <w:p w14:paraId="03951B35">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6</w:t>
            </w:r>
          </w:p>
        </w:tc>
        <w:tc>
          <w:tcPr>
            <w:tcW w:w="8371" w:type="dxa"/>
            <w:tcBorders>
              <w:top w:val="single" w:color="auto" w:sz="4" w:space="0"/>
              <w:left w:val="single" w:color="auto" w:sz="4" w:space="0"/>
              <w:bottom w:val="single" w:color="auto" w:sz="4" w:space="0"/>
              <w:right w:val="single" w:color="auto" w:sz="4" w:space="0"/>
            </w:tcBorders>
            <w:vAlign w:val="center"/>
          </w:tcPr>
          <w:p w14:paraId="40AA2986">
            <w:pPr>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响应文件有效期：</w:t>
            </w:r>
            <w:r>
              <w:rPr>
                <w:rFonts w:asciiTheme="minorEastAsia" w:hAnsiTheme="minorEastAsia" w:eastAsiaTheme="minorEastAsia"/>
                <w:color w:val="auto"/>
                <w:kern w:val="2"/>
                <w:szCs w:val="21"/>
                <w:highlight w:val="none"/>
              </w:rPr>
              <w:t>90</w:t>
            </w:r>
            <w:r>
              <w:rPr>
                <w:rFonts w:hint="eastAsia" w:asciiTheme="minorEastAsia" w:hAnsiTheme="minorEastAsia" w:eastAsiaTheme="minorEastAsia"/>
                <w:color w:val="auto"/>
                <w:kern w:val="2"/>
                <w:szCs w:val="21"/>
                <w:highlight w:val="none"/>
              </w:rPr>
              <w:t>天</w:t>
            </w:r>
          </w:p>
        </w:tc>
      </w:tr>
      <w:tr w14:paraId="646EE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left w:val="single" w:color="auto" w:sz="4" w:space="0"/>
              <w:bottom w:val="single" w:color="auto" w:sz="4" w:space="0"/>
              <w:right w:val="single" w:color="auto" w:sz="4" w:space="0"/>
            </w:tcBorders>
            <w:vAlign w:val="center"/>
          </w:tcPr>
          <w:p w14:paraId="4ED123F5">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7</w:t>
            </w:r>
          </w:p>
        </w:tc>
        <w:tc>
          <w:tcPr>
            <w:tcW w:w="8371" w:type="dxa"/>
            <w:tcBorders>
              <w:top w:val="single" w:color="auto" w:sz="4" w:space="0"/>
              <w:left w:val="single" w:color="auto" w:sz="4" w:space="0"/>
              <w:bottom w:val="single" w:color="auto" w:sz="4" w:space="0"/>
              <w:right w:val="single" w:color="auto" w:sz="4" w:space="0"/>
            </w:tcBorders>
            <w:vAlign w:val="center"/>
          </w:tcPr>
          <w:p w14:paraId="7EDFC2AE">
            <w:pPr>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获取磋商文件（报名）</w:t>
            </w:r>
            <w:r>
              <w:rPr>
                <w:rFonts w:asciiTheme="minorEastAsia" w:hAnsiTheme="minorEastAsia" w:eastAsiaTheme="minorEastAsia"/>
                <w:color w:val="auto"/>
                <w:kern w:val="2"/>
                <w:szCs w:val="21"/>
                <w:highlight w:val="none"/>
              </w:rPr>
              <w:t>：</w:t>
            </w:r>
          </w:p>
          <w:p w14:paraId="39ABF280">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获取方式：磋商公告发布后，在政采云平台已完成注册的供应商登陆系统，申请获取磋商文件，待审核通过后，可下载磋商文件。如果“已申请”标签页显示状态为“审核通过”即为报名成功。路径：用户中心——项目采购——获取磋商文件管理。在“已获取”的状态下，供应商可下载查看磋商文件。</w:t>
            </w:r>
          </w:p>
          <w:p w14:paraId="7261139D">
            <w:pPr>
              <w:snapToGrid w:val="0"/>
              <w:spacing w:line="360" w:lineRule="auto"/>
              <w:jc w:val="both"/>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获取网址：浙江政府采购网</w:t>
            </w:r>
            <w:r>
              <w:rPr>
                <w:color w:val="auto"/>
                <w:highlight w:val="none"/>
              </w:rPr>
              <w:fldChar w:fldCharType="begin"/>
            </w:r>
            <w:r>
              <w:rPr>
                <w:color w:val="auto"/>
                <w:highlight w:val="none"/>
              </w:rPr>
              <w:instrText xml:space="preserve"> HYPERLINK "https://login.zcygov.cn/login" </w:instrText>
            </w:r>
            <w:r>
              <w:rPr>
                <w:color w:val="auto"/>
                <w:highlight w:val="none"/>
              </w:rPr>
              <w:fldChar w:fldCharType="separate"/>
            </w:r>
            <w:r>
              <w:rPr>
                <w:rStyle w:val="66"/>
                <w:rFonts w:hint="eastAsia" w:asciiTheme="minorEastAsia" w:hAnsiTheme="minorEastAsia" w:eastAsiaTheme="minorEastAsia"/>
                <w:color w:val="auto"/>
                <w:kern w:val="2"/>
                <w:szCs w:val="21"/>
                <w:highlight w:val="none"/>
              </w:rPr>
              <w:t>https://login.zcygov.cn/login</w:t>
            </w:r>
            <w:r>
              <w:rPr>
                <w:rStyle w:val="66"/>
                <w:rFonts w:hint="eastAsia" w:asciiTheme="minorEastAsia" w:hAnsiTheme="minorEastAsia" w:eastAsiaTheme="minorEastAsia"/>
                <w:color w:val="auto"/>
                <w:kern w:val="2"/>
                <w:szCs w:val="21"/>
                <w:highlight w:val="none"/>
              </w:rPr>
              <w:fldChar w:fldCharType="end"/>
            </w:r>
          </w:p>
        </w:tc>
      </w:tr>
      <w:tr w14:paraId="68BBC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left w:val="single" w:color="auto" w:sz="4" w:space="0"/>
              <w:bottom w:val="single" w:color="auto" w:sz="4" w:space="0"/>
              <w:right w:val="single" w:color="auto" w:sz="4" w:space="0"/>
            </w:tcBorders>
            <w:vAlign w:val="center"/>
          </w:tcPr>
          <w:p w14:paraId="2058356D">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8</w:t>
            </w:r>
          </w:p>
        </w:tc>
        <w:tc>
          <w:tcPr>
            <w:tcW w:w="8371" w:type="dxa"/>
            <w:tcBorders>
              <w:top w:val="single" w:color="auto" w:sz="4" w:space="0"/>
              <w:left w:val="single" w:color="auto" w:sz="4" w:space="0"/>
              <w:bottom w:val="single" w:color="auto" w:sz="4" w:space="0"/>
              <w:right w:val="single" w:color="auto" w:sz="4" w:space="0"/>
            </w:tcBorders>
            <w:vAlign w:val="center"/>
          </w:tcPr>
          <w:p w14:paraId="24197AA3">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信用记录：符合浙财采监</w:t>
            </w:r>
            <w:r>
              <w:rPr>
                <w:rFonts w:asciiTheme="minorEastAsia" w:hAnsiTheme="minorEastAsia" w:eastAsiaTheme="minorEastAsia"/>
                <w:color w:val="auto"/>
                <w:kern w:val="2"/>
                <w:szCs w:val="21"/>
                <w:highlight w:val="none"/>
              </w:rPr>
              <w:t>【2013】24</w:t>
            </w:r>
            <w:r>
              <w:rPr>
                <w:rFonts w:hint="eastAsia" w:asciiTheme="minorEastAsia" w:hAnsiTheme="minorEastAsia" w:eastAsiaTheme="minorEastAsia"/>
                <w:color w:val="auto"/>
                <w:kern w:val="2"/>
                <w:szCs w:val="21"/>
                <w:highlight w:val="none"/>
              </w:rPr>
              <w:t>号《关于规范政府采购供应商资格设定及资格审查的通知》规定,且未被“信用中国”（www.creditchina.gov.cn）和中国政府采购网（www.ccgp.gov.cn）列入失信被执行人、重大税收违法案件当事人名单、政府采购严重违法失信行为记录名单。提交响应文件时同时提供自招标公告发布之日起至投标截止日内任意时间的“信用中国”网站（www.creditchina.gov.cn）和中国政府采购网（www.ccgp.gov.cn）供应商信用查询网页截图。</w:t>
            </w:r>
          </w:p>
        </w:tc>
      </w:tr>
      <w:tr w14:paraId="572CA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left w:val="single" w:color="auto" w:sz="4" w:space="0"/>
              <w:bottom w:val="single" w:color="auto" w:sz="4" w:space="0"/>
              <w:right w:val="single" w:color="auto" w:sz="4" w:space="0"/>
            </w:tcBorders>
            <w:vAlign w:val="center"/>
          </w:tcPr>
          <w:p w14:paraId="1DE9BDE7">
            <w:pPr>
              <w:snapToGrid w:val="0"/>
              <w:spacing w:line="360" w:lineRule="auto"/>
              <w:jc w:val="center"/>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9</w:t>
            </w:r>
          </w:p>
        </w:tc>
        <w:tc>
          <w:tcPr>
            <w:tcW w:w="8371" w:type="dxa"/>
            <w:tcBorders>
              <w:top w:val="single" w:color="auto" w:sz="4" w:space="0"/>
              <w:left w:val="single" w:color="auto" w:sz="4" w:space="0"/>
              <w:bottom w:val="single" w:color="auto" w:sz="4" w:space="0"/>
              <w:right w:val="single" w:color="auto" w:sz="4" w:space="0"/>
            </w:tcBorders>
            <w:vAlign w:val="center"/>
          </w:tcPr>
          <w:p w14:paraId="567C7960">
            <w:pPr>
              <w:tabs>
                <w:tab w:val="left" w:pos="3870"/>
                <w:tab w:val="left" w:pos="4085"/>
              </w:tabs>
              <w:snapToGrid w:val="0"/>
              <w:spacing w:before="50" w:after="120" w:afterLines="50"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1.根</w:t>
            </w:r>
            <w:r>
              <w:rPr>
                <w:rFonts w:hint="eastAsia" w:asciiTheme="minorEastAsia" w:hAnsiTheme="minorEastAsia" w:eastAsiaTheme="minorEastAsia"/>
                <w:bCs/>
                <w:color w:val="auto"/>
                <w:szCs w:val="21"/>
                <w:highlight w:val="none"/>
              </w:rPr>
              <w:t>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0F635260">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bCs/>
                <w:color w:val="auto"/>
                <w:szCs w:val="21"/>
                <w:highlight w:val="none"/>
              </w:rPr>
              <w:t>2.</w:t>
            </w:r>
            <w:r>
              <w:rPr>
                <w:rFonts w:hint="eastAsia" w:asciiTheme="minorEastAsia" w:hAnsiTheme="minorEastAsia" w:eastAsiaTheme="minorEastAsia"/>
                <w:color w:val="auto"/>
                <w:szCs w:val="21"/>
                <w:highlight w:val="none"/>
              </w:rPr>
              <w:t>监狱企业同视为小型、微型企业，享受小微企业政策扶持。</w:t>
            </w:r>
          </w:p>
        </w:tc>
      </w:tr>
      <w:tr w14:paraId="0C464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69" w:type="dxa"/>
            <w:tcBorders>
              <w:top w:val="single" w:color="auto" w:sz="4" w:space="0"/>
              <w:left w:val="single" w:color="auto" w:sz="4" w:space="0"/>
              <w:bottom w:val="single" w:color="auto" w:sz="4" w:space="0"/>
              <w:right w:val="single" w:color="auto" w:sz="4" w:space="0"/>
            </w:tcBorders>
            <w:vAlign w:val="center"/>
          </w:tcPr>
          <w:p w14:paraId="0D371C87">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20</w:t>
            </w:r>
          </w:p>
        </w:tc>
        <w:tc>
          <w:tcPr>
            <w:tcW w:w="8371" w:type="dxa"/>
            <w:tcBorders>
              <w:top w:val="single" w:color="auto" w:sz="4" w:space="0"/>
              <w:left w:val="single" w:color="auto" w:sz="4" w:space="0"/>
              <w:bottom w:val="single" w:color="auto" w:sz="4" w:space="0"/>
              <w:right w:val="single" w:color="auto" w:sz="4" w:space="0"/>
            </w:tcBorders>
            <w:vAlign w:val="center"/>
          </w:tcPr>
          <w:p w14:paraId="48794FC9">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 xml:space="preserve">标的： </w:t>
            </w:r>
            <w:r>
              <w:rPr>
                <w:rFonts w:hint="eastAsia" w:asciiTheme="minorEastAsia" w:hAnsiTheme="minorEastAsia" w:eastAsiaTheme="minorEastAsia"/>
                <w:color w:val="auto"/>
                <w:kern w:val="2"/>
                <w:szCs w:val="21"/>
                <w:highlight w:val="none"/>
                <w:u w:val="single"/>
                <w:lang w:eastAsia="zh-CN"/>
              </w:rPr>
              <w:t>交通执法基层站所修缮维护项目</w:t>
            </w:r>
            <w:r>
              <w:rPr>
                <w:rFonts w:hint="eastAsia" w:asciiTheme="minorEastAsia" w:hAnsiTheme="minorEastAsia" w:eastAsiaTheme="minorEastAsia"/>
                <w:color w:val="auto"/>
                <w:kern w:val="2"/>
                <w:szCs w:val="21"/>
                <w:highlight w:val="none"/>
              </w:rPr>
              <w:t xml:space="preserve"> ，属于</w:t>
            </w:r>
            <w:r>
              <w:rPr>
                <w:rFonts w:hint="eastAsia" w:asciiTheme="minorEastAsia" w:hAnsiTheme="minorEastAsia" w:eastAsiaTheme="minorEastAsia"/>
                <w:color w:val="auto"/>
                <w:kern w:val="2"/>
                <w:szCs w:val="21"/>
                <w:highlight w:val="none"/>
                <w:u w:val="single"/>
              </w:rPr>
              <w:t>（三）建筑业</w:t>
            </w:r>
            <w:r>
              <w:rPr>
                <w:rFonts w:hint="eastAsia" w:asciiTheme="minorEastAsia" w:hAnsiTheme="minorEastAsia" w:eastAsiaTheme="minorEastAsia"/>
                <w:color w:val="auto"/>
                <w:kern w:val="2"/>
                <w:szCs w:val="21"/>
                <w:highlight w:val="none"/>
              </w:rPr>
              <w:t>。</w:t>
            </w:r>
          </w:p>
        </w:tc>
      </w:tr>
      <w:tr w14:paraId="1880B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69" w:type="dxa"/>
            <w:tcBorders>
              <w:top w:val="single" w:color="auto" w:sz="4" w:space="0"/>
              <w:left w:val="single" w:color="auto" w:sz="4" w:space="0"/>
              <w:bottom w:val="single" w:color="auto" w:sz="4" w:space="0"/>
              <w:right w:val="single" w:color="auto" w:sz="4" w:space="0"/>
            </w:tcBorders>
            <w:vAlign w:val="center"/>
          </w:tcPr>
          <w:p w14:paraId="1F4FDC45">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21</w:t>
            </w:r>
          </w:p>
        </w:tc>
        <w:tc>
          <w:tcPr>
            <w:tcW w:w="8371" w:type="dxa"/>
            <w:tcBorders>
              <w:top w:val="single" w:color="auto" w:sz="4" w:space="0"/>
              <w:left w:val="single" w:color="auto" w:sz="4" w:space="0"/>
              <w:bottom w:val="single" w:color="auto" w:sz="4" w:space="0"/>
              <w:right w:val="single" w:color="auto" w:sz="4" w:space="0"/>
            </w:tcBorders>
            <w:vAlign w:val="center"/>
          </w:tcPr>
          <w:p w14:paraId="189612F2">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解释：本磋商文件的解释权属于采购单位。</w:t>
            </w:r>
          </w:p>
        </w:tc>
      </w:tr>
      <w:tr w14:paraId="03C7E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869" w:type="dxa"/>
            <w:tcBorders>
              <w:top w:val="single" w:color="auto" w:sz="4" w:space="0"/>
              <w:left w:val="single" w:color="auto" w:sz="4" w:space="0"/>
              <w:bottom w:val="single" w:color="auto" w:sz="4" w:space="0"/>
              <w:right w:val="single" w:color="auto" w:sz="4" w:space="0"/>
            </w:tcBorders>
            <w:vAlign w:val="center"/>
          </w:tcPr>
          <w:p w14:paraId="38FE33BD">
            <w:pPr>
              <w:snapToGrid w:val="0"/>
              <w:spacing w:line="360" w:lineRule="auto"/>
              <w:jc w:val="cente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22</w:t>
            </w:r>
          </w:p>
        </w:tc>
        <w:tc>
          <w:tcPr>
            <w:tcW w:w="8371" w:type="dxa"/>
            <w:tcBorders>
              <w:top w:val="single" w:color="auto" w:sz="4" w:space="0"/>
              <w:left w:val="single" w:color="auto" w:sz="4" w:space="0"/>
              <w:bottom w:val="single" w:color="auto" w:sz="4" w:space="0"/>
              <w:right w:val="single" w:color="auto" w:sz="4" w:space="0"/>
            </w:tcBorders>
            <w:vAlign w:val="center"/>
          </w:tcPr>
          <w:p w14:paraId="0BFD2C8A">
            <w:pPr>
              <w:autoSpaceDE w:val="0"/>
              <w:autoSpaceDN w:val="0"/>
              <w:snapToGrid w:val="0"/>
              <w:spacing w:line="360" w:lineRule="auto"/>
              <w:jc w:val="both"/>
              <w:textAlignment w:val="bottom"/>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注：根据省财政厅相关规定采用竞争性磋商采购方式采购的政府购买服务项目，在采购过程中符合要求的供应商需要</w:t>
            </w:r>
            <w:r>
              <w:rPr>
                <w:rFonts w:asciiTheme="minorEastAsia" w:hAnsiTheme="minorEastAsia" w:eastAsiaTheme="minorEastAsia"/>
                <w:color w:val="auto"/>
                <w:kern w:val="2"/>
                <w:szCs w:val="21"/>
                <w:highlight w:val="none"/>
              </w:rPr>
              <w:t>3家或3家以上参加磋商，提交最后报价的供应商可以为2</w:t>
            </w:r>
            <w:r>
              <w:rPr>
                <w:rFonts w:hint="eastAsia" w:asciiTheme="minorEastAsia" w:hAnsiTheme="minorEastAsia" w:eastAsiaTheme="minorEastAsia"/>
                <w:color w:val="auto"/>
                <w:kern w:val="2"/>
                <w:szCs w:val="21"/>
                <w:highlight w:val="none"/>
              </w:rPr>
              <w:t>家。</w:t>
            </w:r>
          </w:p>
        </w:tc>
      </w:tr>
      <w:bookmarkEnd w:id="17"/>
    </w:tbl>
    <w:p w14:paraId="53751562">
      <w:pPr>
        <w:pStyle w:val="4"/>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highlight w:val="none"/>
        </w:rPr>
        <w:br w:type="page"/>
      </w:r>
      <w:r>
        <w:rPr>
          <w:rFonts w:asciiTheme="minorEastAsia" w:hAnsiTheme="minorEastAsia" w:eastAsiaTheme="minorEastAsia"/>
          <w:color w:val="auto"/>
          <w:szCs w:val="21"/>
          <w:highlight w:val="none"/>
        </w:rPr>
        <w:t>一</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总则</w:t>
      </w:r>
    </w:p>
    <w:p w14:paraId="61CEE20F">
      <w:pPr>
        <w:snapToGrid w:val="0"/>
        <w:spacing w:line="360" w:lineRule="auto"/>
        <w:rPr>
          <w:rFonts w:asciiTheme="minorEastAsia" w:hAnsiTheme="minorEastAsia" w:eastAsiaTheme="minorEastAsia"/>
          <w:b/>
          <w:color w:val="auto"/>
          <w:kern w:val="2"/>
          <w:szCs w:val="21"/>
          <w:highlight w:val="none"/>
        </w:rPr>
      </w:pPr>
      <w:bookmarkStart w:id="18" w:name="_Toc397670946"/>
      <w:bookmarkStart w:id="19" w:name="_Toc397670917"/>
      <w:r>
        <w:rPr>
          <w:rFonts w:hint="eastAsia" w:asciiTheme="minorEastAsia" w:hAnsiTheme="minorEastAsia" w:eastAsiaTheme="minorEastAsia"/>
          <w:b/>
          <w:color w:val="auto"/>
          <w:kern w:val="2"/>
          <w:szCs w:val="21"/>
          <w:highlight w:val="none"/>
        </w:rPr>
        <w:t>（一）</w:t>
      </w:r>
      <w:r>
        <w:rPr>
          <w:rFonts w:asciiTheme="minorEastAsia" w:hAnsiTheme="minorEastAsia" w:eastAsiaTheme="minorEastAsia"/>
          <w:b/>
          <w:color w:val="auto"/>
          <w:kern w:val="2"/>
          <w:szCs w:val="21"/>
          <w:highlight w:val="none"/>
        </w:rPr>
        <w:t>适用范围</w:t>
      </w:r>
      <w:bookmarkEnd w:id="18"/>
      <w:bookmarkEnd w:id="19"/>
    </w:p>
    <w:p w14:paraId="32B8F459">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本磋商文件仅适用于本项目的磋商、响应、评标、定标、验收、合同履约等行为。</w:t>
      </w:r>
    </w:p>
    <w:p w14:paraId="455981DF">
      <w:pPr>
        <w:snapToGrid w:val="0"/>
        <w:spacing w:line="360" w:lineRule="auto"/>
        <w:rPr>
          <w:rFonts w:asciiTheme="minorEastAsia" w:hAnsiTheme="minorEastAsia" w:eastAsiaTheme="minorEastAsia"/>
          <w:b/>
          <w:color w:val="auto"/>
          <w:kern w:val="2"/>
          <w:szCs w:val="21"/>
          <w:highlight w:val="none"/>
        </w:rPr>
      </w:pPr>
      <w:bookmarkStart w:id="20" w:name="_Toc397670948"/>
      <w:bookmarkStart w:id="21" w:name="_Toc397670919"/>
      <w:r>
        <w:rPr>
          <w:rFonts w:hint="eastAsia" w:asciiTheme="minorEastAsia" w:hAnsiTheme="minorEastAsia" w:eastAsiaTheme="minorEastAsia"/>
          <w:b/>
          <w:color w:val="auto"/>
          <w:kern w:val="2"/>
          <w:szCs w:val="21"/>
          <w:highlight w:val="none"/>
        </w:rPr>
        <w:t>（二）定义</w:t>
      </w:r>
    </w:p>
    <w:p w14:paraId="59D5F154">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.“采购人”</w:t>
      </w:r>
      <w:r>
        <w:rPr>
          <w:rFonts w:asciiTheme="minorEastAsia" w:hAnsiTheme="minorEastAsia" w:eastAsiaTheme="minorEastAsia"/>
          <w:color w:val="auto"/>
          <w:kern w:val="2"/>
          <w:szCs w:val="21"/>
          <w:highlight w:val="none"/>
        </w:rPr>
        <w:t>系指组织本次磋商的</w:t>
      </w:r>
      <w:r>
        <w:rPr>
          <w:rFonts w:hint="eastAsia" w:asciiTheme="minorEastAsia" w:hAnsiTheme="minorEastAsia" w:eastAsiaTheme="minorEastAsia"/>
          <w:color w:val="auto"/>
          <w:kern w:val="2"/>
          <w:szCs w:val="21"/>
          <w:highlight w:val="none"/>
        </w:rPr>
        <w:t>（招标单位）</w:t>
      </w:r>
      <w:r>
        <w:rPr>
          <w:rFonts w:asciiTheme="minorEastAsia" w:hAnsiTheme="minorEastAsia" w:eastAsiaTheme="minorEastAsia"/>
          <w:color w:val="auto"/>
          <w:kern w:val="2"/>
          <w:szCs w:val="21"/>
          <w:highlight w:val="none"/>
        </w:rPr>
        <w:t>。</w:t>
      </w:r>
    </w:p>
    <w:p w14:paraId="716838E3">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.“供应商</w:t>
      </w:r>
      <w:r>
        <w:rPr>
          <w:rFonts w:asciiTheme="minorEastAsia" w:hAnsiTheme="minorEastAsia" w:eastAsiaTheme="minorEastAsia"/>
          <w:color w:val="auto"/>
          <w:kern w:val="2"/>
          <w:szCs w:val="21"/>
          <w:highlight w:val="none"/>
        </w:rPr>
        <w:t>”</w:t>
      </w:r>
      <w:r>
        <w:rPr>
          <w:rFonts w:hint="eastAsia" w:asciiTheme="minorEastAsia" w:hAnsiTheme="minorEastAsia" w:eastAsiaTheme="minorEastAsia"/>
          <w:color w:val="auto"/>
          <w:kern w:val="2"/>
          <w:szCs w:val="21"/>
          <w:highlight w:val="none"/>
        </w:rPr>
        <w:t>、“投标单位”</w:t>
      </w:r>
      <w:r>
        <w:rPr>
          <w:rFonts w:asciiTheme="minorEastAsia" w:hAnsiTheme="minorEastAsia" w:eastAsiaTheme="minorEastAsia"/>
          <w:color w:val="auto"/>
          <w:kern w:val="2"/>
          <w:szCs w:val="21"/>
          <w:highlight w:val="none"/>
        </w:rPr>
        <w:t>系指向</w:t>
      </w:r>
      <w:r>
        <w:rPr>
          <w:rFonts w:hint="eastAsia" w:asciiTheme="minorEastAsia" w:hAnsiTheme="minorEastAsia" w:eastAsiaTheme="minorEastAsia"/>
          <w:color w:val="auto"/>
          <w:kern w:val="2"/>
          <w:szCs w:val="21"/>
          <w:highlight w:val="none"/>
        </w:rPr>
        <w:t>采购人</w:t>
      </w:r>
      <w:r>
        <w:rPr>
          <w:rFonts w:asciiTheme="minorEastAsia" w:hAnsiTheme="minorEastAsia" w:eastAsiaTheme="minorEastAsia"/>
          <w:color w:val="auto"/>
          <w:kern w:val="2"/>
          <w:szCs w:val="21"/>
          <w:highlight w:val="none"/>
        </w:rPr>
        <w:t>提交</w:t>
      </w:r>
      <w:r>
        <w:rPr>
          <w:rFonts w:hint="eastAsia" w:asciiTheme="minorEastAsia" w:hAnsiTheme="minorEastAsia" w:eastAsiaTheme="minorEastAsia"/>
          <w:color w:val="auto"/>
          <w:kern w:val="2"/>
          <w:szCs w:val="21"/>
          <w:highlight w:val="none"/>
        </w:rPr>
        <w:t>响应文件</w:t>
      </w:r>
      <w:r>
        <w:rPr>
          <w:rFonts w:asciiTheme="minorEastAsia" w:hAnsiTheme="minorEastAsia" w:eastAsiaTheme="minorEastAsia"/>
          <w:color w:val="auto"/>
          <w:kern w:val="2"/>
          <w:szCs w:val="21"/>
          <w:highlight w:val="none"/>
        </w:rPr>
        <w:t>的单位。</w:t>
      </w:r>
    </w:p>
    <w:p w14:paraId="06309487">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3</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“产品”系指供方按磋商文件规定，须向采购人提供的一切</w:t>
      </w:r>
      <w:r>
        <w:rPr>
          <w:rFonts w:hint="eastAsia" w:asciiTheme="minorEastAsia" w:hAnsiTheme="minorEastAsia" w:eastAsiaTheme="minorEastAsia"/>
          <w:color w:val="auto"/>
          <w:kern w:val="2"/>
          <w:szCs w:val="21"/>
          <w:highlight w:val="none"/>
        </w:rPr>
        <w:t>服务</w:t>
      </w:r>
      <w:r>
        <w:rPr>
          <w:rFonts w:asciiTheme="minorEastAsia" w:hAnsiTheme="minorEastAsia" w:eastAsiaTheme="minorEastAsia"/>
          <w:color w:val="auto"/>
          <w:kern w:val="2"/>
          <w:szCs w:val="21"/>
          <w:highlight w:val="none"/>
        </w:rPr>
        <w:t>、</w:t>
      </w:r>
      <w:r>
        <w:rPr>
          <w:rFonts w:hint="eastAsia" w:asciiTheme="minorEastAsia" w:hAnsiTheme="minorEastAsia" w:eastAsiaTheme="minorEastAsia"/>
          <w:color w:val="auto"/>
          <w:kern w:val="2"/>
          <w:szCs w:val="21"/>
          <w:highlight w:val="none"/>
        </w:rPr>
        <w:t>人员、管理费、验收、</w:t>
      </w:r>
      <w:r>
        <w:rPr>
          <w:rFonts w:asciiTheme="minorEastAsia" w:hAnsiTheme="minorEastAsia" w:eastAsiaTheme="minorEastAsia"/>
          <w:color w:val="auto"/>
          <w:kern w:val="2"/>
          <w:szCs w:val="21"/>
          <w:highlight w:val="none"/>
        </w:rPr>
        <w:t>税金及其它有关技术资料和材料。</w:t>
      </w:r>
    </w:p>
    <w:p w14:paraId="7AF3E874">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4</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“服务”系指</w:t>
      </w:r>
      <w:r>
        <w:rPr>
          <w:rFonts w:hint="eastAsia" w:asciiTheme="minorEastAsia" w:hAnsiTheme="minorEastAsia" w:eastAsiaTheme="minorEastAsia"/>
          <w:color w:val="auto"/>
          <w:kern w:val="2"/>
          <w:szCs w:val="21"/>
          <w:highlight w:val="none"/>
        </w:rPr>
        <w:t>竞争性磋商文件规定供应商须承担的服务以及其他相关的义务。</w:t>
      </w:r>
    </w:p>
    <w:p w14:paraId="3D63450F">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5</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“项目”系指供应商按</w:t>
      </w:r>
      <w:r>
        <w:rPr>
          <w:rFonts w:hint="eastAsia" w:asciiTheme="minorEastAsia" w:hAnsiTheme="minorEastAsia" w:eastAsiaTheme="minorEastAsia"/>
          <w:color w:val="auto"/>
          <w:kern w:val="2"/>
          <w:szCs w:val="21"/>
          <w:highlight w:val="none"/>
        </w:rPr>
        <w:t>磋商文件</w:t>
      </w:r>
      <w:r>
        <w:rPr>
          <w:rFonts w:asciiTheme="minorEastAsia" w:hAnsiTheme="minorEastAsia" w:eastAsiaTheme="minorEastAsia"/>
          <w:color w:val="auto"/>
          <w:kern w:val="2"/>
          <w:szCs w:val="21"/>
          <w:highlight w:val="none"/>
        </w:rPr>
        <w:t>规定向采购人提供的产品和服务。</w:t>
      </w:r>
    </w:p>
    <w:p w14:paraId="2C313A7A">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6</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“书面形式”包括信函、传真、电报等。</w:t>
      </w:r>
    </w:p>
    <w:p w14:paraId="426B744D">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7</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“▲”系指实质性要求条款</w:t>
      </w:r>
      <w:r>
        <w:rPr>
          <w:rFonts w:hint="eastAsia" w:asciiTheme="minorEastAsia" w:hAnsiTheme="minorEastAsia" w:eastAsiaTheme="minorEastAsia"/>
          <w:color w:val="auto"/>
          <w:kern w:val="2"/>
          <w:szCs w:val="21"/>
          <w:highlight w:val="none"/>
        </w:rPr>
        <w:t>，不满足</w:t>
      </w:r>
      <w:r>
        <w:rPr>
          <w:rFonts w:asciiTheme="minorEastAsia" w:hAnsiTheme="minorEastAsia" w:eastAsiaTheme="minorEastAsia"/>
          <w:color w:val="auto"/>
          <w:kern w:val="2"/>
          <w:szCs w:val="21"/>
          <w:highlight w:val="none"/>
        </w:rPr>
        <w:t>实质性</w:t>
      </w:r>
      <w:r>
        <w:rPr>
          <w:rFonts w:hint="eastAsia" w:asciiTheme="minorEastAsia" w:hAnsiTheme="minorEastAsia" w:eastAsiaTheme="minorEastAsia"/>
          <w:color w:val="auto"/>
          <w:kern w:val="2"/>
          <w:szCs w:val="21"/>
          <w:highlight w:val="none"/>
        </w:rPr>
        <w:t>要求条款的响应文件无效。</w:t>
      </w:r>
    </w:p>
    <w:p w14:paraId="5BD72B0F">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8、“★”系指的条款为核心技术要求。</w:t>
      </w:r>
    </w:p>
    <w:p w14:paraId="06C69EE4">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（三）招标方式</w:t>
      </w:r>
      <w:bookmarkEnd w:id="20"/>
      <w:bookmarkEnd w:id="21"/>
    </w:p>
    <w:p w14:paraId="038584E7">
      <w:pPr>
        <w:snapToGrid w:val="0"/>
        <w:spacing w:line="360" w:lineRule="auto"/>
        <w:ind w:firstLine="420" w:firstLineChars="200"/>
        <w:rPr>
          <w:rFonts w:asciiTheme="minorEastAsia" w:hAnsiTheme="minorEastAsia" w:eastAsiaTheme="minorEastAsia"/>
          <w:color w:val="auto"/>
          <w:kern w:val="2"/>
          <w:szCs w:val="21"/>
          <w:highlight w:val="none"/>
        </w:rPr>
      </w:pPr>
      <w:bookmarkStart w:id="22" w:name="_Toc397670920"/>
      <w:bookmarkStart w:id="23" w:name="_Toc397670949"/>
      <w:r>
        <w:rPr>
          <w:rFonts w:asciiTheme="minorEastAsia" w:hAnsiTheme="minorEastAsia" w:eastAsiaTheme="minorEastAsia"/>
          <w:color w:val="auto"/>
          <w:kern w:val="2"/>
          <w:szCs w:val="21"/>
          <w:highlight w:val="none"/>
        </w:rPr>
        <w:t>本次招标采用</w:t>
      </w:r>
      <w:r>
        <w:rPr>
          <w:rFonts w:hint="eastAsia" w:asciiTheme="minorEastAsia" w:hAnsiTheme="minorEastAsia" w:eastAsiaTheme="minorEastAsia"/>
          <w:b/>
          <w:color w:val="auto"/>
          <w:kern w:val="2"/>
          <w:szCs w:val="21"/>
          <w:highlight w:val="none"/>
          <w:u w:val="single"/>
        </w:rPr>
        <w:t>竞争性磋商</w:t>
      </w:r>
      <w:r>
        <w:rPr>
          <w:rFonts w:asciiTheme="minorEastAsia" w:hAnsiTheme="minorEastAsia" w:eastAsiaTheme="minorEastAsia"/>
          <w:color w:val="auto"/>
          <w:kern w:val="2"/>
          <w:szCs w:val="21"/>
          <w:highlight w:val="none"/>
        </w:rPr>
        <w:t>方式进行。</w:t>
      </w:r>
    </w:p>
    <w:p w14:paraId="62E1943B">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（四）投标委托</w:t>
      </w:r>
      <w:bookmarkEnd w:id="22"/>
      <w:bookmarkEnd w:id="23"/>
    </w:p>
    <w:p w14:paraId="47DEF44A">
      <w:pPr>
        <w:pStyle w:val="21"/>
        <w:snapToGrid w:val="0"/>
        <w:spacing w:line="360" w:lineRule="auto"/>
        <w:ind w:left="0" w:leftChars="0"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供应商</w:t>
      </w:r>
      <w:r>
        <w:rPr>
          <w:rFonts w:asciiTheme="minorEastAsia" w:hAnsiTheme="minorEastAsia" w:eastAsiaTheme="minorEastAsia"/>
          <w:color w:val="auto"/>
          <w:kern w:val="2"/>
          <w:szCs w:val="21"/>
          <w:highlight w:val="none"/>
        </w:rPr>
        <w:t>代表不是法定代表人，须有法定代表人出具的授权采购计划。</w:t>
      </w:r>
    </w:p>
    <w:p w14:paraId="38DCD74F">
      <w:pPr>
        <w:snapToGrid w:val="0"/>
        <w:spacing w:line="360" w:lineRule="auto"/>
        <w:rPr>
          <w:rFonts w:asciiTheme="minorEastAsia" w:hAnsiTheme="minorEastAsia" w:eastAsiaTheme="minorEastAsia"/>
          <w:b/>
          <w:color w:val="auto"/>
          <w:kern w:val="2"/>
          <w:szCs w:val="21"/>
          <w:highlight w:val="none"/>
        </w:rPr>
      </w:pPr>
      <w:bookmarkStart w:id="24" w:name="_Toc397670921"/>
      <w:bookmarkStart w:id="25" w:name="_Toc397670950"/>
      <w:r>
        <w:rPr>
          <w:rFonts w:hint="eastAsia" w:asciiTheme="minorEastAsia" w:hAnsiTheme="minorEastAsia" w:eastAsiaTheme="minorEastAsia"/>
          <w:b/>
          <w:color w:val="auto"/>
          <w:kern w:val="2"/>
          <w:szCs w:val="21"/>
          <w:highlight w:val="none"/>
        </w:rPr>
        <w:t>（五）投标费用</w:t>
      </w:r>
      <w:bookmarkEnd w:id="24"/>
      <w:bookmarkEnd w:id="25"/>
    </w:p>
    <w:p w14:paraId="0C6D8CB5">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不论投标结果如何，供应商均应自行承担所有与投标有关的费用（磋商文件有相反规定除外）。</w:t>
      </w:r>
    </w:p>
    <w:p w14:paraId="6864F323">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（六）联合体投标</w:t>
      </w:r>
    </w:p>
    <w:p w14:paraId="00F7556C">
      <w:pPr>
        <w:snapToGrid w:val="0"/>
        <w:spacing w:before="120" w:beforeLines="50"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本项目不接受联合体投标。</w:t>
      </w:r>
    </w:p>
    <w:p w14:paraId="0389DE1E">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（八）是否允许采购进口产品</w:t>
      </w:r>
    </w:p>
    <w:p w14:paraId="06540847">
      <w:pPr>
        <w:snapToGrid w:val="0"/>
        <w:spacing w:before="120" w:beforeLines="50"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不</w:t>
      </w:r>
      <w:r>
        <w:rPr>
          <w:rFonts w:asciiTheme="minorEastAsia" w:hAnsiTheme="minorEastAsia" w:eastAsiaTheme="minorEastAsia"/>
          <w:color w:val="auto"/>
          <w:kern w:val="2"/>
          <w:szCs w:val="21"/>
          <w:highlight w:val="none"/>
        </w:rPr>
        <w:t>允许</w:t>
      </w:r>
      <w:r>
        <w:rPr>
          <w:rFonts w:hint="eastAsia" w:asciiTheme="minorEastAsia" w:hAnsiTheme="minorEastAsia" w:eastAsiaTheme="minorEastAsia"/>
          <w:color w:val="auto"/>
          <w:kern w:val="2"/>
          <w:szCs w:val="21"/>
          <w:highlight w:val="none"/>
        </w:rPr>
        <w:t>采购进口产品。</w:t>
      </w:r>
    </w:p>
    <w:p w14:paraId="14573548">
      <w:pPr>
        <w:snapToGrid w:val="0"/>
        <w:spacing w:before="120" w:beforeLines="50" w:line="360" w:lineRule="auto"/>
        <w:rPr>
          <w:rFonts w:asciiTheme="minorEastAsia" w:hAnsiTheme="minorEastAsia" w:eastAsiaTheme="minorEastAsia"/>
          <w:color w:val="auto"/>
          <w:kern w:val="2"/>
          <w:szCs w:val="21"/>
          <w:highlight w:val="none"/>
        </w:rPr>
      </w:pPr>
      <w:bookmarkStart w:id="26" w:name="_Toc397670923"/>
      <w:bookmarkStart w:id="27" w:name="_Toc405792813"/>
      <w:bookmarkStart w:id="28" w:name="_Toc444500048"/>
      <w:bookmarkStart w:id="29" w:name="_Toc397670952"/>
      <w:r>
        <w:rPr>
          <w:rFonts w:asciiTheme="minorEastAsia" w:hAnsiTheme="minorEastAsia" w:eastAsiaTheme="minorEastAsia"/>
          <w:color w:val="auto"/>
          <w:kern w:val="2"/>
          <w:szCs w:val="21"/>
          <w:highlight w:val="none"/>
        </w:rPr>
        <w:t>▲</w:t>
      </w:r>
      <w:r>
        <w:rPr>
          <w:rFonts w:hint="eastAsia" w:asciiTheme="minorEastAsia" w:hAnsiTheme="minorEastAsia" w:eastAsiaTheme="minorEastAsia"/>
          <w:b/>
          <w:color w:val="auto"/>
          <w:kern w:val="2"/>
          <w:szCs w:val="21"/>
          <w:highlight w:val="none"/>
        </w:rPr>
        <w:t>（九）特别说明：</w:t>
      </w:r>
    </w:p>
    <w:p w14:paraId="261AC35F">
      <w:pPr>
        <w:pStyle w:val="28"/>
        <w:snapToGrid w:val="0"/>
        <w:spacing w:line="360" w:lineRule="auto"/>
        <w:ind w:left="2" w:leftChars="1"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供应商投标所使用的资格、信誉、荣誉、业绩与企业认证必须为本法人所拥有。</w:t>
      </w:r>
    </w:p>
    <w:p w14:paraId="1E6896F9">
      <w:pPr>
        <w:pStyle w:val="28"/>
        <w:snapToGrid w:val="0"/>
        <w:spacing w:line="360" w:lineRule="auto"/>
        <w:ind w:left="2" w:leftChars="1"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供应商应仔细阅读</w:t>
      </w:r>
      <w:r>
        <w:rPr>
          <w:rFonts w:hint="eastAsia" w:asciiTheme="minorEastAsia" w:hAnsiTheme="minorEastAsia" w:eastAsiaTheme="minorEastAsia"/>
          <w:color w:val="auto"/>
          <w:szCs w:val="21"/>
          <w:highlight w:val="none"/>
        </w:rPr>
        <w:t>磋商文件</w:t>
      </w:r>
      <w:r>
        <w:rPr>
          <w:rFonts w:asciiTheme="minorEastAsia" w:hAnsiTheme="minorEastAsia" w:eastAsiaTheme="minorEastAsia"/>
          <w:color w:val="auto"/>
          <w:szCs w:val="21"/>
          <w:highlight w:val="none"/>
        </w:rPr>
        <w:t>的所有内容，按照</w:t>
      </w:r>
      <w:r>
        <w:rPr>
          <w:rFonts w:hint="eastAsia" w:asciiTheme="minorEastAsia" w:hAnsiTheme="minorEastAsia" w:eastAsiaTheme="minorEastAsia"/>
          <w:color w:val="auto"/>
          <w:szCs w:val="21"/>
          <w:highlight w:val="none"/>
        </w:rPr>
        <w:t>磋商文件</w:t>
      </w:r>
      <w:r>
        <w:rPr>
          <w:rFonts w:asciiTheme="minorEastAsia" w:hAnsiTheme="minorEastAsia" w:eastAsiaTheme="minorEastAsia"/>
          <w:color w:val="auto"/>
          <w:szCs w:val="21"/>
          <w:highlight w:val="none"/>
        </w:rPr>
        <w:t>的要求提交</w:t>
      </w:r>
      <w:r>
        <w:rPr>
          <w:rFonts w:hint="eastAsia" w:asciiTheme="minorEastAsia" w:hAnsiTheme="minorEastAsia" w:eastAsiaTheme="minorEastAsia"/>
          <w:color w:val="auto"/>
          <w:szCs w:val="21"/>
          <w:highlight w:val="none"/>
        </w:rPr>
        <w:t>响应文件</w:t>
      </w:r>
      <w:r>
        <w:rPr>
          <w:rFonts w:asciiTheme="minorEastAsia" w:hAnsiTheme="minorEastAsia" w:eastAsiaTheme="minorEastAsia"/>
          <w:color w:val="auto"/>
          <w:szCs w:val="21"/>
          <w:highlight w:val="none"/>
        </w:rPr>
        <w:t>，并对所提供的全部资料的真实性承担法律责任。</w:t>
      </w:r>
    </w:p>
    <w:p w14:paraId="3B775136">
      <w:pPr>
        <w:pStyle w:val="28"/>
        <w:snapToGrid w:val="0"/>
        <w:spacing w:line="360" w:lineRule="auto"/>
        <w:ind w:left="2" w:leftChars="1"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供应商在投标活动中提供任何虚假材料,其投标无效，并报监管部门查处；中标后发现的,</w:t>
      </w:r>
      <w:r>
        <w:rPr>
          <w:rFonts w:hint="eastAsia" w:asciiTheme="minorEastAsia" w:hAnsiTheme="minorEastAsia" w:eastAsiaTheme="minorEastAsia"/>
          <w:color w:val="auto"/>
          <w:szCs w:val="21"/>
          <w:highlight w:val="none"/>
        </w:rPr>
        <w:t>成交供应商</w:t>
      </w:r>
      <w:r>
        <w:rPr>
          <w:rFonts w:asciiTheme="minorEastAsia" w:hAnsiTheme="minorEastAsia" w:eastAsiaTheme="minorEastAsia"/>
          <w:color w:val="auto"/>
          <w:szCs w:val="21"/>
          <w:highlight w:val="none"/>
        </w:rPr>
        <w:t>须依照《中华人民共和国消费者权益保护法》第49条之规定双倍赔偿采购人</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且民事赔偿并不免除违法供应商的行政与刑事责任。</w:t>
      </w:r>
    </w:p>
    <w:p w14:paraId="201EDDD0">
      <w:pPr>
        <w:pStyle w:val="28"/>
        <w:snapToGrid w:val="0"/>
        <w:spacing w:line="360" w:lineRule="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十</w:t>
      </w:r>
      <w:r>
        <w:rPr>
          <w:rFonts w:asciiTheme="minorEastAsia" w:hAnsiTheme="minorEastAsia" w:eastAsiaTheme="minorEastAsia"/>
          <w:b/>
          <w:color w:val="auto"/>
          <w:szCs w:val="21"/>
          <w:highlight w:val="none"/>
        </w:rPr>
        <w:t>）质疑和投诉</w:t>
      </w:r>
    </w:p>
    <w:p w14:paraId="4124148C">
      <w:pPr>
        <w:pStyle w:val="28"/>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供应商认为采购文件、采购过程、中标或者成交结果使自己的权益受到损害的，可以在知道或者应知其权益受到损害之日起7个工作日内，以书面形式一次性向采购人、集中采购机构提出针对同一采购程序环节的质疑。质疑供应商对采购人、代理机构的答复不满意，或者采购人、代理机构未在规定时间内作出答复的，可以在答复期满后15个工作日内向规定的财政部门提起投诉。</w:t>
      </w:r>
    </w:p>
    <w:p w14:paraId="2E77C2BB">
      <w:pPr>
        <w:pStyle w:val="28"/>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2.供应商须在法定质疑期内一次性提出针对同一采购程序环节的质疑。</w:t>
      </w:r>
    </w:p>
    <w:p w14:paraId="78855BB3">
      <w:pPr>
        <w:pStyle w:val="28"/>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供应商认为代理机构在质疑答复程序中启用的调查和复评等程序，在该程序操作过程未明显违反法律禁止性规定时，不得提出疑义。</w:t>
      </w:r>
    </w:p>
    <w:p w14:paraId="294F7533">
      <w:pPr>
        <w:pStyle w:val="28"/>
        <w:snapToGrid w:val="0"/>
        <w:spacing w:line="360" w:lineRule="auto"/>
        <w:ind w:firstLine="420" w:firstLineChars="200"/>
        <w:rPr>
          <w:rFonts w:asciiTheme="minorEastAsia" w:hAnsiTheme="minorEastAsia" w:eastAsiaTheme="minorEastAsia"/>
          <w:bCs/>
          <w:color w:val="auto"/>
          <w:kern w:val="0"/>
          <w:sz w:val="32"/>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.质疑和投诉应当满足《政府采购质疑和投诉办法》（中华人民共和国财政部令第94号）要求。</w:t>
      </w:r>
    </w:p>
    <w:p w14:paraId="36E5A0DC">
      <w:pPr>
        <w:pStyle w:val="28"/>
        <w:snapToGrid w:val="0"/>
        <w:spacing w:before="120" w:after="120" w:line="360" w:lineRule="auto"/>
        <w:ind w:firstLine="413" w:firstLineChars="196"/>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二、磋商文件</w:t>
      </w:r>
      <w:bookmarkEnd w:id="26"/>
      <w:bookmarkEnd w:id="27"/>
      <w:bookmarkEnd w:id="28"/>
      <w:bookmarkEnd w:id="29"/>
    </w:p>
    <w:p w14:paraId="36E504FF">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（一）磋商文件的构成</w:t>
      </w:r>
    </w:p>
    <w:p w14:paraId="6F441489">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磋商公告</w:t>
      </w:r>
    </w:p>
    <w:p w14:paraId="31430EE7">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磋商</w:t>
      </w:r>
      <w:r>
        <w:rPr>
          <w:rFonts w:hint="eastAsia" w:asciiTheme="minorEastAsia" w:hAnsiTheme="minorEastAsia" w:eastAsiaTheme="minorEastAsia"/>
          <w:color w:val="auto"/>
          <w:kern w:val="2"/>
          <w:szCs w:val="21"/>
          <w:highlight w:val="none"/>
        </w:rPr>
        <w:t>项目要求</w:t>
      </w:r>
    </w:p>
    <w:p w14:paraId="775B0CE4">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3</w:t>
      </w:r>
      <w:r>
        <w:rPr>
          <w:rFonts w:hint="eastAsia" w:asciiTheme="minorEastAsia" w:hAnsiTheme="minorEastAsia" w:eastAsiaTheme="minorEastAsia"/>
          <w:color w:val="auto"/>
          <w:kern w:val="2"/>
          <w:szCs w:val="21"/>
          <w:highlight w:val="none"/>
        </w:rPr>
        <w:t>.供应商</w:t>
      </w:r>
      <w:r>
        <w:rPr>
          <w:rFonts w:asciiTheme="minorEastAsia" w:hAnsiTheme="minorEastAsia" w:eastAsiaTheme="minorEastAsia"/>
          <w:color w:val="auto"/>
          <w:kern w:val="2"/>
          <w:szCs w:val="21"/>
          <w:highlight w:val="none"/>
        </w:rPr>
        <w:t>须知</w:t>
      </w:r>
    </w:p>
    <w:p w14:paraId="5ED6FCA3">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4</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评标办法及标准</w:t>
      </w:r>
    </w:p>
    <w:p w14:paraId="39CABCD3">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5</w:t>
      </w:r>
      <w:r>
        <w:rPr>
          <w:rFonts w:hint="eastAsia" w:asciiTheme="minorEastAsia" w:hAnsiTheme="minorEastAsia" w:eastAsiaTheme="minorEastAsia"/>
          <w:color w:val="auto"/>
          <w:kern w:val="2"/>
          <w:szCs w:val="21"/>
          <w:highlight w:val="none"/>
        </w:rPr>
        <w:t>.</w:t>
      </w:r>
      <w:r>
        <w:rPr>
          <w:rFonts w:asciiTheme="minorEastAsia" w:hAnsiTheme="minorEastAsia" w:eastAsiaTheme="minorEastAsia"/>
          <w:color w:val="auto"/>
          <w:kern w:val="2"/>
          <w:szCs w:val="21"/>
          <w:highlight w:val="none"/>
        </w:rPr>
        <w:t>合同主要条款</w:t>
      </w:r>
    </w:p>
    <w:p w14:paraId="0532F300">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6</w:t>
      </w:r>
      <w:r>
        <w:rPr>
          <w:rFonts w:hint="eastAsia" w:asciiTheme="minorEastAsia" w:hAnsiTheme="minorEastAsia" w:eastAsiaTheme="minorEastAsia"/>
          <w:color w:val="auto"/>
          <w:kern w:val="2"/>
          <w:szCs w:val="21"/>
          <w:highlight w:val="none"/>
        </w:rPr>
        <w:t>.响应文件</w:t>
      </w:r>
      <w:r>
        <w:rPr>
          <w:rFonts w:asciiTheme="minorEastAsia" w:hAnsiTheme="minorEastAsia" w:eastAsiaTheme="minorEastAsia"/>
          <w:color w:val="auto"/>
          <w:kern w:val="2"/>
          <w:szCs w:val="21"/>
          <w:highlight w:val="none"/>
        </w:rPr>
        <w:t>格式</w:t>
      </w:r>
    </w:p>
    <w:p w14:paraId="3565032E">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7.本项目</w:t>
      </w:r>
      <w:r>
        <w:rPr>
          <w:rFonts w:asciiTheme="minorEastAsia" w:hAnsiTheme="minorEastAsia" w:eastAsiaTheme="minorEastAsia"/>
          <w:color w:val="auto"/>
          <w:kern w:val="2"/>
          <w:szCs w:val="21"/>
          <w:highlight w:val="none"/>
        </w:rPr>
        <w:t>磋商文件</w:t>
      </w:r>
      <w:r>
        <w:rPr>
          <w:rFonts w:hint="eastAsia" w:asciiTheme="minorEastAsia" w:hAnsiTheme="minorEastAsia" w:eastAsiaTheme="minorEastAsia"/>
          <w:color w:val="auto"/>
          <w:kern w:val="2"/>
          <w:szCs w:val="21"/>
          <w:highlight w:val="none"/>
        </w:rPr>
        <w:t>的</w:t>
      </w:r>
      <w:r>
        <w:rPr>
          <w:rFonts w:asciiTheme="minorEastAsia" w:hAnsiTheme="minorEastAsia" w:eastAsiaTheme="minorEastAsia"/>
          <w:color w:val="auto"/>
          <w:kern w:val="2"/>
          <w:szCs w:val="21"/>
          <w:highlight w:val="none"/>
        </w:rPr>
        <w:t>澄清、答复、修改、补充的内容</w:t>
      </w:r>
    </w:p>
    <w:p w14:paraId="57D03B59">
      <w:pPr>
        <w:snapToGrid w:val="0"/>
        <w:spacing w:before="120" w:beforeLines="50"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（二）供应商的风险</w:t>
      </w:r>
    </w:p>
    <w:p w14:paraId="33AF4A0A">
      <w:pPr>
        <w:snapToGrid w:val="0"/>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供应商没有按照磋商文件要求提供全部资料，或者供应商没有对磋商文件在各方面做出实质性响应是供应商的风险，并可能导致其投标为无效标。</w:t>
      </w:r>
    </w:p>
    <w:p w14:paraId="3A5C8078">
      <w:pPr>
        <w:pStyle w:val="14"/>
        <w:numPr>
          <w:ilvl w:val="0"/>
          <w:numId w:val="0"/>
        </w:numPr>
        <w:tabs>
          <w:tab w:val="left" w:pos="720"/>
          <w:tab w:val="clear" w:pos="360"/>
        </w:tabs>
        <w:snapToGrid w:val="0"/>
        <w:spacing w:before="120" w:beforeLines="50" w:after="120"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（三）磋商文件的澄清与修改</w:t>
      </w:r>
    </w:p>
    <w:p w14:paraId="04B97FCD">
      <w:pPr>
        <w:pStyle w:val="28"/>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应认真阅读本磋商文件，发现其中有误或有不合理要求的，</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必须在规定时间内以书面形式要求磋商</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澄清。</w:t>
      </w:r>
      <w:r>
        <w:rPr>
          <w:rFonts w:hint="eastAsia" w:asciiTheme="minorEastAsia" w:hAnsiTheme="minorEastAsia" w:eastAsiaTheme="minorEastAsia"/>
          <w:color w:val="auto"/>
          <w:szCs w:val="21"/>
          <w:highlight w:val="none"/>
        </w:rPr>
        <w:t>代理</w:t>
      </w:r>
      <w:r>
        <w:rPr>
          <w:rFonts w:asciiTheme="minorEastAsia" w:hAnsiTheme="minorEastAsia" w:eastAsiaTheme="minorEastAsia"/>
          <w:color w:val="auto"/>
          <w:szCs w:val="21"/>
          <w:highlight w:val="none"/>
        </w:rPr>
        <w:t>机构对已发出的磋商文件进行必要澄清、答复、修改或补充的，应当在磋商文件要求提交</w:t>
      </w:r>
      <w:r>
        <w:rPr>
          <w:rFonts w:hint="eastAsia" w:asciiTheme="minorEastAsia" w:hAnsiTheme="minorEastAsia" w:eastAsiaTheme="minorEastAsia"/>
          <w:color w:val="auto"/>
          <w:szCs w:val="21"/>
          <w:highlight w:val="none"/>
        </w:rPr>
        <w:t>响应文件</w:t>
      </w:r>
      <w:r>
        <w:rPr>
          <w:rFonts w:asciiTheme="minorEastAsia" w:hAnsiTheme="minorEastAsia" w:eastAsiaTheme="minorEastAsia"/>
          <w:color w:val="auto"/>
          <w:szCs w:val="21"/>
          <w:highlight w:val="none"/>
        </w:rPr>
        <w:t>截止时间</w:t>
      </w:r>
      <w:r>
        <w:rPr>
          <w:rFonts w:hint="eastAsia" w:asciiTheme="minorEastAsia" w:hAnsiTheme="minorEastAsia" w:eastAsiaTheme="minorEastAsia"/>
          <w:color w:val="auto"/>
          <w:szCs w:val="21"/>
          <w:highlight w:val="none"/>
        </w:rPr>
        <w:t>三</w:t>
      </w:r>
      <w:r>
        <w:rPr>
          <w:rFonts w:asciiTheme="minorEastAsia" w:hAnsiTheme="minorEastAsia" w:eastAsiaTheme="minorEastAsia"/>
          <w:color w:val="auto"/>
          <w:szCs w:val="21"/>
          <w:highlight w:val="none"/>
        </w:rPr>
        <w:t>日前，在财政部门指定的政府采购信息发布媒体上发布更正公告，并以书面形式通知所有磋商文件收受人。</w:t>
      </w:r>
    </w:p>
    <w:p w14:paraId="024A1D43">
      <w:pPr>
        <w:pStyle w:val="28"/>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代理</w:t>
      </w:r>
      <w:r>
        <w:rPr>
          <w:rFonts w:asciiTheme="minorEastAsia" w:hAnsiTheme="minorEastAsia" w:eastAsiaTheme="minorEastAsia"/>
          <w:color w:val="auto"/>
          <w:szCs w:val="21"/>
          <w:highlight w:val="none"/>
        </w:rPr>
        <w:t>机构必须以书面形式答复</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要求澄清的问题，并将不包含问题来源的答复书面通知所有购买磋商文件的</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；除书面答复以外的其他澄清方式及澄清内容均无效。</w:t>
      </w:r>
    </w:p>
    <w:p w14:paraId="1635B137">
      <w:pPr>
        <w:pStyle w:val="28"/>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3.磋商文件澄清、答复、修改、补充的内容为磋商文件的组成部分。当磋商文件与磋商文件的答复、澄清、修改、补充通知就同一内容的表述不一致时，以最后发出的书面文件为准。</w:t>
      </w:r>
    </w:p>
    <w:p w14:paraId="1E98A7D5">
      <w:pPr>
        <w:pStyle w:val="28"/>
        <w:snapToGrid w:val="0"/>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rPr>
        <w:t>4.磋商文件的澄清、答复、修改或补充都应该通过本代理机构以法定形式发布，采购人非通过本机构，不得擅自澄清、答复、修改或补充磋商文件。</w:t>
      </w:r>
      <w:bookmarkStart w:id="30" w:name="_Toc397670924"/>
      <w:bookmarkStart w:id="31" w:name="_Toc397670953"/>
    </w:p>
    <w:bookmarkEnd w:id="30"/>
    <w:bookmarkEnd w:id="31"/>
    <w:p w14:paraId="36FF8C4B">
      <w:pPr>
        <w:pStyle w:val="28"/>
        <w:snapToGrid w:val="0"/>
        <w:spacing w:before="120" w:after="120" w:line="360" w:lineRule="auto"/>
        <w:ind w:firstLine="413" w:firstLineChars="196"/>
        <w:jc w:val="center"/>
        <w:outlineLvl w:val="1"/>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三、投标文件的编制</w:t>
      </w:r>
    </w:p>
    <w:p w14:paraId="00DCDD4D">
      <w:pPr>
        <w:pStyle w:val="28"/>
        <w:snapToGrid w:val="0"/>
        <w:spacing w:before="120" w:after="120" w:line="360" w:lineRule="auto"/>
        <w:ind w:firstLine="413" w:firstLineChars="196"/>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本项目所涉投标文件格式请详见第六章，未给出的格式请自拟。资信技术文件中不得出现报价，否则投标文件将被视为无效。</w:t>
      </w:r>
    </w:p>
    <w:p w14:paraId="49241755">
      <w:pPr>
        <w:pStyle w:val="28"/>
        <w:snapToGrid w:val="0"/>
        <w:spacing w:before="120" w:after="120" w:line="360" w:lineRule="auto"/>
        <w:ind w:firstLine="413" w:firstLineChars="196"/>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总体要求</w:t>
      </w:r>
      <w:r>
        <w:rPr>
          <w:rFonts w:asciiTheme="minorEastAsia" w:hAnsiTheme="minorEastAsia" w:eastAsiaTheme="minorEastAsia"/>
          <w:b/>
          <w:color w:val="auto"/>
          <w:szCs w:val="21"/>
          <w:highlight w:val="none"/>
        </w:rPr>
        <w:t>：</w:t>
      </w:r>
    </w:p>
    <w:p w14:paraId="18142CC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 xml:space="preserve">供应商应仔细阅读招标文件的所有内容，按本文件的要求提供投标文件，并保证所提供的全部资料的真实性，以使其投标文件对招标文件作出实质性响应，否则，投标文件可能视为无效投标文件。 </w:t>
      </w:r>
    </w:p>
    <w:p w14:paraId="4ADC763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 投标文件及供应商与采购有关的来往通知，函件和文件均应使用中文。</w:t>
      </w:r>
    </w:p>
    <w:p w14:paraId="15E2B58F">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 供应商应按本文件中提供的文件格式、内容和要求制作投标文件。</w:t>
      </w:r>
    </w:p>
    <w:p w14:paraId="2FAF685E">
      <w:pPr>
        <w:snapToGrid w:val="0"/>
        <w:spacing w:line="360" w:lineRule="auto"/>
        <w:ind w:firstLine="413" w:firstLineChars="196"/>
        <w:rPr>
          <w:rFonts w:asciiTheme="minorEastAsia" w:hAnsiTheme="minorEastAsia" w:eastAsiaTheme="minorEastAsia"/>
          <w:b/>
          <w:color w:val="auto"/>
          <w:szCs w:val="21"/>
          <w:highlight w:val="none"/>
        </w:rPr>
      </w:pPr>
      <w:bookmarkStart w:id="32" w:name="_Toc406402944"/>
      <w:bookmarkStart w:id="33" w:name="_Toc406402988"/>
      <w:r>
        <w:rPr>
          <w:rFonts w:hint="eastAsia" w:asciiTheme="minorEastAsia" w:hAnsiTheme="minorEastAsia" w:eastAsiaTheme="minorEastAsia"/>
          <w:b/>
          <w:color w:val="auto"/>
          <w:szCs w:val="21"/>
          <w:highlight w:val="none"/>
        </w:rPr>
        <w:t>（一）投标文件的组成</w:t>
      </w:r>
      <w:bookmarkEnd w:id="32"/>
      <w:bookmarkEnd w:id="33"/>
    </w:p>
    <w:p w14:paraId="354C0F40">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电子投标文件和备份投标文件均由资信技术文件、商务报价文件两部份组成。投标文件中所须加盖公章部分均采用CA签章。</w:t>
      </w:r>
    </w:p>
    <w:p w14:paraId="1341D024">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1、资信文件：</w:t>
      </w:r>
    </w:p>
    <w:p w14:paraId="6B1650A3">
      <w:pPr>
        <w:spacing w:line="360" w:lineRule="auto"/>
        <w:ind w:firstLine="420" w:firstLineChars="200"/>
        <w:rPr>
          <w:rFonts w:asciiTheme="minorEastAsia" w:hAnsiTheme="minorEastAsia" w:eastAsiaTheme="minorEastAsia"/>
          <w:color w:val="auto"/>
          <w:szCs w:val="21"/>
          <w:highlight w:val="none"/>
        </w:rPr>
      </w:pPr>
      <w:bookmarkStart w:id="34" w:name="_Toc406402989"/>
      <w:bookmarkStart w:id="35" w:name="_Toc406402945"/>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投标声明书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（附件1）</w:t>
      </w:r>
    </w:p>
    <w:p w14:paraId="3ED57D9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）法定代表人授权委托书；</w:t>
      </w:r>
      <w:r>
        <w:rPr>
          <w:rFonts w:hint="eastAsia" w:asciiTheme="minorEastAsia" w:hAnsiTheme="minorEastAsia" w:eastAsiaTheme="minorEastAsia"/>
          <w:color w:val="auto"/>
          <w:szCs w:val="21"/>
          <w:highlight w:val="none"/>
        </w:rPr>
        <w:t>（附件2）</w:t>
      </w:r>
    </w:p>
    <w:p w14:paraId="2559CA3F">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关于资格的声明函；（附件3）</w:t>
      </w:r>
    </w:p>
    <w:p w14:paraId="205A007F">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）投标人基本情况；</w:t>
      </w:r>
      <w:r>
        <w:rPr>
          <w:rFonts w:hint="eastAsia" w:asciiTheme="minorEastAsia" w:hAnsiTheme="minorEastAsia" w:eastAsiaTheme="minorEastAsia"/>
          <w:color w:val="auto"/>
          <w:szCs w:val="21"/>
          <w:highlight w:val="none"/>
        </w:rPr>
        <w:t>（附件4）</w:t>
      </w:r>
    </w:p>
    <w:p w14:paraId="40D2C08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）业绩</w:t>
      </w:r>
      <w:r>
        <w:rPr>
          <w:rFonts w:hint="eastAsia" w:asciiTheme="minorEastAsia" w:hAnsiTheme="minorEastAsia" w:eastAsiaTheme="minorEastAsia"/>
          <w:color w:val="auto"/>
          <w:szCs w:val="21"/>
          <w:highlight w:val="none"/>
        </w:rPr>
        <w:t>表</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（附件5）</w:t>
      </w:r>
    </w:p>
    <w:p w14:paraId="2CDA0297">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项目组</w:t>
      </w:r>
      <w:r>
        <w:rPr>
          <w:rFonts w:asciiTheme="minorEastAsia" w:hAnsiTheme="minorEastAsia" w:eastAsiaTheme="minorEastAsia"/>
          <w:color w:val="auto"/>
          <w:szCs w:val="21"/>
          <w:highlight w:val="none"/>
        </w:rPr>
        <w:t>人员配置</w:t>
      </w:r>
      <w:r>
        <w:rPr>
          <w:rFonts w:hint="eastAsia" w:asciiTheme="minorEastAsia" w:hAnsiTheme="minorEastAsia" w:eastAsiaTheme="minorEastAsia"/>
          <w:color w:val="auto"/>
          <w:szCs w:val="21"/>
          <w:highlight w:val="none"/>
        </w:rPr>
        <w:t>情况；（附件6）</w:t>
      </w:r>
    </w:p>
    <w:p w14:paraId="7FC468E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（7）投标人符合政府采购法第二十二条资格的相关证明文件；</w:t>
      </w:r>
    </w:p>
    <w:p w14:paraId="04AECAF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（8）投标人符合特定条件的相关证明文件；</w:t>
      </w:r>
    </w:p>
    <w:p w14:paraId="033770DF">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提供自招标公告发布之日起至投标截止日内任意时间的“信用中国”网站（www.creditchina.gov.cn）、中国政府采购网（www.ccgp.gov.cn）供应商信用查询网页截图。（以开标当日采购单位或由采购单位委托的评标委员会核实的查询结果为准）。</w:t>
      </w:r>
    </w:p>
    <w:p w14:paraId="0050A5F3">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（10）中小企业声明函、残疾人福利性单位声明函及其他符合政策性加分条件的承诺函或证明材料。（附件7、8）</w:t>
      </w:r>
    </w:p>
    <w:p w14:paraId="66972F8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）商务偏离表、技术偏离表、（附件9、10）</w:t>
      </w:r>
    </w:p>
    <w:p w14:paraId="18AA072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）未尽事宜请各供应商按评分细则制作技术部份。</w:t>
      </w:r>
    </w:p>
    <w:p w14:paraId="23DC6C4C">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2</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技术文件</w:t>
      </w:r>
    </w:p>
    <w:p w14:paraId="3714F6C7">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项目理解</w:t>
      </w:r>
      <w:r>
        <w:rPr>
          <w:rFonts w:hint="eastAsia" w:asciiTheme="minorEastAsia" w:hAnsiTheme="minorEastAsia" w:eastAsiaTheme="minorEastAsia"/>
          <w:color w:val="auto"/>
          <w:szCs w:val="21"/>
          <w:highlight w:val="none"/>
        </w:rPr>
        <w:t>、实施方案、编制大纲、进度计划、服务质量；（格式自拟）</w:t>
      </w:r>
    </w:p>
    <w:p w14:paraId="1C479877">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投标人承诺给予招标人的各种优惠条件，包括售后服务等方面的优惠；</w:t>
      </w:r>
      <w:r>
        <w:rPr>
          <w:rFonts w:hint="eastAsia" w:asciiTheme="minorEastAsia" w:hAnsiTheme="minorEastAsia" w:eastAsiaTheme="minorEastAsia"/>
          <w:color w:val="auto"/>
          <w:szCs w:val="21"/>
          <w:highlight w:val="none"/>
        </w:rPr>
        <w:t>（格式自拟）</w:t>
      </w:r>
    </w:p>
    <w:p w14:paraId="65EC6BA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（3）投标人认为有必要提供的声明及文件资料。</w:t>
      </w:r>
    </w:p>
    <w:p w14:paraId="5857623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（4）未尽事宜请各投标人按评分细则制作。</w:t>
      </w:r>
    </w:p>
    <w:p w14:paraId="3EB8783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（注：复印件应加盖投标人公章）</w:t>
      </w:r>
    </w:p>
    <w:p w14:paraId="141FA16C">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3</w:t>
      </w:r>
      <w:r>
        <w:rPr>
          <w:rFonts w:hint="eastAsia" w:asciiTheme="minorEastAsia" w:hAnsiTheme="minorEastAsia" w:eastAsiaTheme="minorEastAsia"/>
          <w:b/>
          <w:color w:val="auto"/>
          <w:szCs w:val="21"/>
          <w:highlight w:val="none"/>
        </w:rPr>
        <w:t>、商务</w:t>
      </w:r>
      <w:r>
        <w:rPr>
          <w:rFonts w:asciiTheme="minorEastAsia" w:hAnsiTheme="minorEastAsia" w:eastAsiaTheme="minorEastAsia"/>
          <w:b/>
          <w:color w:val="auto"/>
          <w:szCs w:val="21"/>
          <w:highlight w:val="none"/>
        </w:rPr>
        <w:t>报价文件：</w:t>
      </w:r>
    </w:p>
    <w:p w14:paraId="5A74C7F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（1）投标函；（附件11）</w:t>
      </w:r>
    </w:p>
    <w:p w14:paraId="0474127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）开标一览表；</w:t>
      </w:r>
      <w:r>
        <w:rPr>
          <w:rFonts w:hint="eastAsia" w:asciiTheme="minorEastAsia" w:hAnsiTheme="minorEastAsia" w:eastAsiaTheme="minorEastAsia"/>
          <w:color w:val="auto"/>
          <w:szCs w:val="21"/>
          <w:highlight w:val="none"/>
        </w:rPr>
        <w:t>（附件12）</w:t>
      </w:r>
    </w:p>
    <w:p w14:paraId="5C922F76">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（3）明细报价表；（附件13）</w:t>
      </w:r>
    </w:p>
    <w:p w14:paraId="377A6D4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rPr>
        <w:t>针对报价</w:t>
      </w:r>
      <w:r>
        <w:rPr>
          <w:rFonts w:asciiTheme="minorEastAsia" w:hAnsiTheme="minorEastAsia" w:eastAsiaTheme="minorEastAsia"/>
          <w:color w:val="auto"/>
          <w:szCs w:val="21"/>
          <w:highlight w:val="none"/>
        </w:rPr>
        <w:t>需要说明的其他文件和说明</w:t>
      </w:r>
      <w:r>
        <w:rPr>
          <w:rFonts w:hint="eastAsia" w:asciiTheme="minorEastAsia" w:hAnsiTheme="minorEastAsia" w:eastAsiaTheme="minorEastAsia"/>
          <w:color w:val="auto"/>
          <w:szCs w:val="21"/>
          <w:highlight w:val="none"/>
        </w:rPr>
        <w:t>；</w:t>
      </w:r>
      <w:bookmarkEnd w:id="34"/>
      <w:bookmarkEnd w:id="35"/>
    </w:p>
    <w:p w14:paraId="5EA6F119">
      <w:pPr>
        <w:snapToGrid w:val="0"/>
        <w:spacing w:line="360" w:lineRule="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注：</w:t>
      </w:r>
      <w:r>
        <w:rPr>
          <w:rFonts w:hint="eastAsia" w:asciiTheme="minorEastAsia" w:hAnsiTheme="minorEastAsia" w:eastAsiaTheme="minorEastAsia"/>
          <w:b/>
          <w:color w:val="auto"/>
          <w:szCs w:val="21"/>
          <w:highlight w:val="none"/>
        </w:rPr>
        <w:t>1、投标人可根据评分细则按排版自行编制目录。</w:t>
      </w:r>
    </w:p>
    <w:p w14:paraId="2A410E30">
      <w:pPr>
        <w:snapToGrid w:val="0"/>
        <w:spacing w:before="120" w:beforeLines="50" w:after="50"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color w:val="auto"/>
          <w:kern w:val="2"/>
          <w:szCs w:val="21"/>
          <w:highlight w:val="none"/>
        </w:rPr>
        <w:t>　</w:t>
      </w:r>
      <w:bookmarkStart w:id="36" w:name="_Toc397670926"/>
      <w:bookmarkStart w:id="37" w:name="_Toc444500050"/>
      <w:bookmarkStart w:id="38" w:name="_Toc397670955"/>
      <w:bookmarkStart w:id="39" w:name="_Toc405792815"/>
      <w:r>
        <w:rPr>
          <w:rFonts w:hint="eastAsia" w:asciiTheme="minorEastAsia" w:hAnsiTheme="minorEastAsia" w:eastAsiaTheme="minorEastAsia"/>
          <w:color w:val="auto"/>
          <w:kern w:val="2"/>
          <w:szCs w:val="21"/>
          <w:highlight w:val="none"/>
        </w:rPr>
        <w:t xml:space="preserve">  </w:t>
      </w:r>
      <w:r>
        <w:rPr>
          <w:rFonts w:asciiTheme="minorEastAsia" w:hAnsiTheme="minorEastAsia" w:eastAsiaTheme="minorEastAsia"/>
          <w:b/>
          <w:color w:val="auto"/>
          <w:kern w:val="2"/>
          <w:szCs w:val="21"/>
          <w:highlight w:val="none"/>
        </w:rPr>
        <w:t>法定代表人（负责人）授权委托书、</w:t>
      </w:r>
      <w:r>
        <w:rPr>
          <w:rFonts w:hint="eastAsia" w:asciiTheme="minorEastAsia" w:hAnsiTheme="minorEastAsia" w:eastAsiaTheme="minorEastAsia"/>
          <w:b/>
          <w:color w:val="auto"/>
          <w:kern w:val="2"/>
          <w:szCs w:val="21"/>
          <w:highlight w:val="none"/>
        </w:rPr>
        <w:t>磋商函、</w:t>
      </w:r>
      <w:r>
        <w:rPr>
          <w:rFonts w:asciiTheme="minorEastAsia" w:hAnsiTheme="minorEastAsia" w:eastAsiaTheme="minorEastAsia"/>
          <w:b/>
          <w:color w:val="auto"/>
          <w:kern w:val="2"/>
          <w:szCs w:val="21"/>
          <w:highlight w:val="none"/>
        </w:rPr>
        <w:t>磋商声明书、</w:t>
      </w:r>
      <w:r>
        <w:rPr>
          <w:rFonts w:hint="eastAsia" w:asciiTheme="minorEastAsia" w:hAnsiTheme="minorEastAsia" w:eastAsiaTheme="minorEastAsia"/>
          <w:b/>
          <w:color w:val="auto"/>
          <w:kern w:val="2"/>
          <w:szCs w:val="21"/>
          <w:highlight w:val="none"/>
        </w:rPr>
        <w:t>磋商报价表</w:t>
      </w:r>
      <w:r>
        <w:rPr>
          <w:rFonts w:asciiTheme="minorEastAsia" w:hAnsiTheme="minorEastAsia" w:eastAsiaTheme="minorEastAsia"/>
          <w:b/>
          <w:color w:val="auto"/>
          <w:kern w:val="2"/>
          <w:szCs w:val="21"/>
          <w:highlight w:val="none"/>
        </w:rPr>
        <w:t>须由法定代表人（负责人）</w:t>
      </w:r>
      <w:r>
        <w:rPr>
          <w:rFonts w:hint="eastAsia" w:asciiTheme="minorEastAsia" w:hAnsiTheme="minorEastAsia" w:eastAsiaTheme="minorEastAsia"/>
          <w:b/>
          <w:color w:val="auto"/>
          <w:kern w:val="2"/>
          <w:szCs w:val="21"/>
          <w:highlight w:val="none"/>
        </w:rPr>
        <w:t>或被授权人签字或盖章</w:t>
      </w:r>
      <w:r>
        <w:rPr>
          <w:rFonts w:asciiTheme="minorEastAsia" w:hAnsiTheme="minorEastAsia" w:eastAsiaTheme="minorEastAsia"/>
          <w:b/>
          <w:color w:val="auto"/>
          <w:kern w:val="2"/>
          <w:szCs w:val="21"/>
          <w:highlight w:val="none"/>
        </w:rPr>
        <w:t>并加盖单位公章。</w:t>
      </w:r>
    </w:p>
    <w:p w14:paraId="1E9C2882">
      <w:pPr>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（二）响应文件的语言及计量</w:t>
      </w:r>
      <w:bookmarkEnd w:id="36"/>
      <w:bookmarkEnd w:id="37"/>
      <w:bookmarkEnd w:id="38"/>
      <w:bookmarkEnd w:id="39"/>
    </w:p>
    <w:p w14:paraId="686C185A">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1.响应文件以及供应商与磋商采购人就有关投标事宜的所有来往函电，均应以中文汉语书写。除签名、盖章、专用名称等特殊情形外，以中文汉语以外的文字表述的响应文件视同未提供。</w:t>
      </w:r>
    </w:p>
    <w:p w14:paraId="44FA1D4B">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2.投标计量单位，磋商文件已有明确规定的，使用磋商文件规定的计量单位；磋商文件没有规定的，应采用中华人民共和国法定计量单位（货币单位：人民币元），否则视同未响应。</w:t>
      </w:r>
      <w:bookmarkStart w:id="40" w:name="_Toc397670927"/>
      <w:bookmarkStart w:id="41" w:name="_Toc405792816"/>
      <w:bookmarkStart w:id="42" w:name="_Toc444500051"/>
      <w:bookmarkStart w:id="43" w:name="_Toc397670956"/>
    </w:p>
    <w:p w14:paraId="2089E618">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3.供应商应按本次磋商项目进行报价，不得缺项和漏项；</w:t>
      </w:r>
    </w:p>
    <w:p w14:paraId="35963595">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4.供应商应按磋商文件规定的，只允许有一个报价，任何有选择性的报价，将不予接受；</w:t>
      </w:r>
    </w:p>
    <w:p w14:paraId="54AB469C">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5.供应商的最终报价由供应商自担全部风险责任；</w:t>
      </w:r>
    </w:p>
    <w:p w14:paraId="148E35A0">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6.各供应商拟采取的竞争措施和提供给采购人的优惠条件应在磋商响应文件中列明；</w:t>
      </w:r>
    </w:p>
    <w:p w14:paraId="4DF3189D">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7.供应商所有优惠条件和优惠费用不得降低和影响本项目质量；</w:t>
      </w:r>
    </w:p>
    <w:p w14:paraId="2B932892">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8.供应商对磋商文件里有关磋商报价的全部内容应仔细确认，若有个别异议，应在开标前提出修改意见，否则视同全部确认。</w:t>
      </w:r>
    </w:p>
    <w:p w14:paraId="6F9E5475">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9.供应商按照清单总说明报价要求及其他有关说明进行报价。</w:t>
      </w:r>
    </w:p>
    <w:p w14:paraId="795FF6D6">
      <w:pPr>
        <w:spacing w:line="360" w:lineRule="auto"/>
        <w:ind w:firstLine="422" w:firstLineChars="200"/>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（三）</w:t>
      </w:r>
      <w:bookmarkEnd w:id="40"/>
      <w:bookmarkEnd w:id="41"/>
      <w:bookmarkEnd w:id="42"/>
      <w:bookmarkEnd w:id="43"/>
      <w:r>
        <w:rPr>
          <w:rFonts w:hint="eastAsia" w:asciiTheme="minorEastAsia" w:hAnsiTheme="minorEastAsia" w:eastAsiaTheme="minorEastAsia"/>
          <w:b/>
          <w:color w:val="auto"/>
          <w:kern w:val="2"/>
          <w:szCs w:val="21"/>
          <w:highlight w:val="none"/>
        </w:rPr>
        <w:t>磋商报价</w:t>
      </w:r>
    </w:p>
    <w:p w14:paraId="7ADD30D9">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1.磋商报价应按磋商文件中相关附表格式填写。</w:t>
      </w:r>
    </w:p>
    <w:p w14:paraId="312C3731">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2.磋商报价是履行合同的最终价格，应包括为完成本项目所需要所有设备费用、投标费用及为完成本项目直至可以正常运行的等所有费用、税金、利润、及政策性文件规定等各项应有费用。</w:t>
      </w:r>
    </w:p>
    <w:p w14:paraId="0A2C3AB3">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3.响应文件只允许有一个报价，有选择的或有条件的报价将不予接受。</w:t>
      </w:r>
    </w:p>
    <w:p w14:paraId="2CE083B0">
      <w:pPr>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（四）响应文件的有效期</w:t>
      </w:r>
    </w:p>
    <w:p w14:paraId="6410EAD8">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▲1.自提交首次响应文件截止时间截止日起90天响应文件应保持有效。有效期不足的响应文件将被拒绝。</w:t>
      </w:r>
    </w:p>
    <w:p w14:paraId="181C575E">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2.在特殊情况下，采购人可与供应商协商延长投标书的有效期，这种要求和答复均以书面形式进行。</w:t>
      </w:r>
    </w:p>
    <w:p w14:paraId="3962A456">
      <w:pPr>
        <w:spacing w:line="360" w:lineRule="auto"/>
        <w:ind w:firstLine="420" w:firstLineChars="200"/>
        <w:rPr>
          <w:rFonts w:asciiTheme="minorEastAsia" w:hAnsiTheme="minorEastAsia" w:eastAsiaTheme="minorEastAsia"/>
          <w:color w:val="auto"/>
          <w:kern w:val="2"/>
          <w:szCs w:val="21"/>
          <w:highlight w:val="none"/>
        </w:rPr>
      </w:pPr>
      <w:bookmarkStart w:id="44" w:name="_Toc397670957"/>
      <w:bookmarkStart w:id="45" w:name="_Toc444500052"/>
      <w:bookmarkStart w:id="46" w:name="_Toc397670928"/>
      <w:bookmarkStart w:id="47" w:name="_Toc444005837"/>
      <w:bookmarkStart w:id="48" w:name="_Toc405792817"/>
      <w:r>
        <w:rPr>
          <w:rFonts w:hint="eastAsia" w:asciiTheme="minorEastAsia" w:hAnsiTheme="minorEastAsia" w:eastAsiaTheme="minorEastAsia"/>
          <w:color w:val="auto"/>
          <w:kern w:val="2"/>
          <w:szCs w:val="21"/>
          <w:highlight w:val="none"/>
        </w:rPr>
        <w:t>3.供应商可拒绝接受延期要求。同意延长有效期的供应商不能修改响应文件。</w:t>
      </w:r>
      <w:bookmarkEnd w:id="44"/>
      <w:bookmarkEnd w:id="45"/>
      <w:bookmarkEnd w:id="46"/>
      <w:bookmarkEnd w:id="47"/>
      <w:bookmarkEnd w:id="48"/>
      <w:r>
        <w:rPr>
          <w:rFonts w:hint="eastAsia" w:asciiTheme="minorEastAsia" w:hAnsiTheme="minorEastAsia" w:eastAsiaTheme="minorEastAsia"/>
          <w:color w:val="auto"/>
          <w:kern w:val="2"/>
          <w:szCs w:val="21"/>
          <w:highlight w:val="none"/>
        </w:rPr>
        <w:t xml:space="preserve"> </w:t>
      </w:r>
    </w:p>
    <w:p w14:paraId="6E447765">
      <w:pPr>
        <w:spacing w:line="360" w:lineRule="auto"/>
        <w:ind w:firstLine="420" w:firstLineChars="200"/>
        <w:rPr>
          <w:rFonts w:asciiTheme="minorEastAsia" w:hAnsiTheme="minorEastAsia" w:eastAsiaTheme="minorEastAsia"/>
          <w:color w:val="auto"/>
          <w:kern w:val="2"/>
          <w:szCs w:val="21"/>
          <w:highlight w:val="none"/>
        </w:rPr>
      </w:pPr>
      <w:bookmarkStart w:id="49" w:name="_Toc397670958"/>
      <w:bookmarkStart w:id="50" w:name="_Toc397670929"/>
      <w:bookmarkStart w:id="51" w:name="_Toc405792818"/>
      <w:bookmarkStart w:id="52" w:name="_Toc444500053"/>
      <w:bookmarkStart w:id="53" w:name="_Toc444005838"/>
      <w:r>
        <w:rPr>
          <w:rFonts w:hint="eastAsia" w:asciiTheme="minorEastAsia" w:hAnsiTheme="minorEastAsia" w:eastAsiaTheme="minorEastAsia"/>
          <w:color w:val="auto"/>
          <w:kern w:val="2"/>
          <w:szCs w:val="21"/>
          <w:highlight w:val="none"/>
        </w:rPr>
        <w:t>4.成交供应商的响应文件自开标之日起至合同履行完毕止均应保持有效。</w:t>
      </w:r>
      <w:bookmarkEnd w:id="49"/>
      <w:bookmarkEnd w:id="50"/>
      <w:bookmarkEnd w:id="51"/>
      <w:bookmarkEnd w:id="52"/>
      <w:bookmarkEnd w:id="53"/>
    </w:p>
    <w:p w14:paraId="3667D565">
      <w:pPr>
        <w:spacing w:line="360" w:lineRule="auto"/>
        <w:rPr>
          <w:rFonts w:asciiTheme="minorEastAsia" w:hAnsiTheme="minorEastAsia" w:eastAsiaTheme="minorEastAsia"/>
          <w:b/>
          <w:color w:val="auto"/>
          <w:kern w:val="2"/>
          <w:szCs w:val="21"/>
          <w:highlight w:val="none"/>
        </w:rPr>
      </w:pPr>
      <w:bookmarkStart w:id="54" w:name="_Toc444500055"/>
      <w:bookmarkStart w:id="55" w:name="_Toc405792820"/>
      <w:bookmarkStart w:id="56" w:name="_Toc397670960"/>
      <w:bookmarkStart w:id="57" w:name="_Toc397670931"/>
      <w:r>
        <w:rPr>
          <w:rFonts w:hint="eastAsia" w:asciiTheme="minorEastAsia" w:hAnsiTheme="minorEastAsia" w:eastAsiaTheme="minorEastAsia"/>
          <w:b/>
          <w:color w:val="auto"/>
          <w:kern w:val="2"/>
          <w:szCs w:val="21"/>
          <w:highlight w:val="none"/>
        </w:rPr>
        <w:t>（五）响应文件的签署和份数</w:t>
      </w:r>
    </w:p>
    <w:p w14:paraId="581DC923">
      <w:pPr>
        <w:pStyle w:val="137"/>
        <w:ind w:firstLine="420"/>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电子交易文件按政采云平台供应商电子招投标操作指南（网址：https://help.zcygov.cn/web/site_2/2018/12-28/2573.html）及本磋商文件规定的格式和顺序编制电子交易文件并进行关联定位。</w:t>
      </w:r>
    </w:p>
    <w:bookmarkEnd w:id="54"/>
    <w:bookmarkEnd w:id="55"/>
    <w:bookmarkEnd w:id="56"/>
    <w:bookmarkEnd w:id="57"/>
    <w:p w14:paraId="4E3205F0">
      <w:pPr>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（六）响应文件的修改和撤回</w:t>
      </w:r>
    </w:p>
    <w:p w14:paraId="045FB0CE">
      <w:pPr>
        <w:spacing w:line="360" w:lineRule="auto"/>
        <w:ind w:firstLine="420"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供应商在提交首次响应文件截止时间之前，可以对已提交的响应文件进行修改或撤回，并书面通知磋商采购人；提交首次响应文件截止时间后，供应商不得撤回、修改响应文件。修改后重新递交的响应文件应当按本磋商文件的要求进行。</w:t>
      </w:r>
    </w:p>
    <w:p w14:paraId="77BF4CB6">
      <w:pPr>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（七）投标无效的情形</w:t>
      </w:r>
    </w:p>
    <w:p w14:paraId="54227E81">
      <w:pPr>
        <w:snapToGrid w:val="0"/>
        <w:spacing w:line="360" w:lineRule="auto"/>
        <w:ind w:firstLine="422" w:firstLineChars="200"/>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1.有下列情形之一的，视为供应商串通投标，其投标无效：</w:t>
      </w:r>
    </w:p>
    <w:p w14:paraId="52F2641A">
      <w:pPr>
        <w:snapToGrid w:val="0"/>
        <w:spacing w:line="360" w:lineRule="auto"/>
        <w:ind w:firstLine="42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1.1不同供应商的响应文件由同一单位或者个人编制；</w:t>
      </w:r>
    </w:p>
    <w:p w14:paraId="37778BE5">
      <w:pPr>
        <w:snapToGrid w:val="0"/>
        <w:spacing w:line="360" w:lineRule="auto"/>
        <w:ind w:firstLine="42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1.2不同供应商委托同一单位或者个人办理投标事宜；</w:t>
      </w:r>
    </w:p>
    <w:p w14:paraId="6B6CEC25">
      <w:pPr>
        <w:snapToGrid w:val="0"/>
        <w:spacing w:line="360" w:lineRule="auto"/>
        <w:ind w:firstLine="42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1.3不同供应商的响应文件载明的项目管理成员或者联系人员为同一人；</w:t>
      </w:r>
    </w:p>
    <w:p w14:paraId="36388BF6">
      <w:pPr>
        <w:snapToGrid w:val="0"/>
        <w:spacing w:line="360" w:lineRule="auto"/>
        <w:ind w:firstLine="42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1.4不同供应商的响应文件异常一致或者磋商报价呈规律性差异；</w:t>
      </w:r>
    </w:p>
    <w:p w14:paraId="0E17EB21">
      <w:pPr>
        <w:snapToGrid w:val="0"/>
        <w:spacing w:line="360" w:lineRule="auto"/>
        <w:ind w:firstLine="42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1.5不同供应商的响应文件相互混装。</w:t>
      </w:r>
    </w:p>
    <w:p w14:paraId="43C1A4A4">
      <w:pPr>
        <w:snapToGrid w:val="0"/>
        <w:spacing w:line="360" w:lineRule="auto"/>
        <w:ind w:firstLine="422" w:firstLineChars="200"/>
        <w:rPr>
          <w:rFonts w:asciiTheme="minorEastAsia" w:hAnsiTheme="minorEastAsia" w:eastAsiaTheme="minorEastAsia"/>
          <w:color w:val="auto"/>
          <w:kern w:val="2"/>
          <w:szCs w:val="21"/>
          <w:highlight w:val="none"/>
        </w:rPr>
      </w:pPr>
      <w:r>
        <w:rPr>
          <w:rFonts w:hint="eastAsia" w:asciiTheme="minorEastAsia" w:hAnsiTheme="minorEastAsia" w:eastAsiaTheme="minorEastAsia"/>
          <w:b/>
          <w:color w:val="auto"/>
          <w:kern w:val="2"/>
          <w:szCs w:val="21"/>
          <w:highlight w:val="none"/>
        </w:rPr>
        <w:t>2.实质上没有响应磋商文件要求的投标将被视为无效投标</w:t>
      </w:r>
      <w:r>
        <w:rPr>
          <w:rFonts w:hint="eastAsia" w:asciiTheme="minorEastAsia" w:hAnsiTheme="minorEastAsia" w:eastAsiaTheme="minorEastAsia"/>
          <w:color w:val="auto"/>
          <w:kern w:val="2"/>
          <w:szCs w:val="21"/>
          <w:highlight w:val="none"/>
        </w:rPr>
        <w:t>。供应商修改、补正投标文件后，不影响磋商小组对其投标文件所作的评价和评分结果。</w:t>
      </w:r>
    </w:p>
    <w:p w14:paraId="05BB78F9">
      <w:pPr>
        <w:snapToGrid w:val="0"/>
        <w:spacing w:line="360" w:lineRule="auto"/>
        <w:ind w:firstLine="413" w:firstLineChars="196"/>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3.电子交易</w:t>
      </w:r>
      <w:r>
        <w:rPr>
          <w:rFonts w:asciiTheme="minorEastAsia" w:hAnsiTheme="minorEastAsia" w:eastAsiaTheme="minorEastAsia"/>
          <w:b/>
          <w:color w:val="auto"/>
          <w:kern w:val="2"/>
          <w:szCs w:val="21"/>
          <w:highlight w:val="none"/>
        </w:rPr>
        <w:t>文件解密失败的，且未在规定时间内提交</w:t>
      </w:r>
      <w:r>
        <w:rPr>
          <w:rFonts w:hint="eastAsia" w:asciiTheme="minorEastAsia" w:hAnsiTheme="minorEastAsia" w:eastAsiaTheme="minorEastAsia"/>
          <w:b/>
          <w:color w:val="auto"/>
          <w:kern w:val="2"/>
          <w:szCs w:val="21"/>
          <w:highlight w:val="none"/>
        </w:rPr>
        <w:t>有效</w:t>
      </w:r>
      <w:r>
        <w:rPr>
          <w:rFonts w:asciiTheme="minorEastAsia" w:hAnsiTheme="minorEastAsia" w:eastAsiaTheme="minorEastAsia"/>
          <w:b/>
          <w:color w:val="auto"/>
          <w:kern w:val="2"/>
          <w:szCs w:val="21"/>
          <w:highlight w:val="none"/>
        </w:rPr>
        <w:t>备份</w:t>
      </w:r>
      <w:r>
        <w:rPr>
          <w:rFonts w:hint="eastAsia" w:asciiTheme="minorEastAsia" w:hAnsiTheme="minorEastAsia" w:eastAsiaTheme="minorEastAsia"/>
          <w:b/>
          <w:color w:val="auto"/>
          <w:kern w:val="2"/>
          <w:szCs w:val="21"/>
          <w:highlight w:val="none"/>
        </w:rPr>
        <w:t>响应文件</w:t>
      </w:r>
      <w:r>
        <w:rPr>
          <w:rFonts w:asciiTheme="minorEastAsia" w:hAnsiTheme="minorEastAsia" w:eastAsiaTheme="minorEastAsia"/>
          <w:b/>
          <w:color w:val="auto"/>
          <w:kern w:val="2"/>
          <w:szCs w:val="21"/>
          <w:highlight w:val="none"/>
        </w:rPr>
        <w:t>的</w:t>
      </w:r>
      <w:r>
        <w:rPr>
          <w:rFonts w:hint="eastAsia" w:asciiTheme="minorEastAsia" w:hAnsiTheme="minorEastAsia" w:eastAsiaTheme="minorEastAsia"/>
          <w:b/>
          <w:color w:val="auto"/>
          <w:kern w:val="2"/>
          <w:szCs w:val="21"/>
          <w:highlight w:val="none"/>
        </w:rPr>
        <w:t>。</w:t>
      </w:r>
    </w:p>
    <w:p w14:paraId="13559F37">
      <w:pPr>
        <w:snapToGrid w:val="0"/>
        <w:spacing w:line="360" w:lineRule="auto"/>
        <w:ind w:firstLine="413" w:firstLineChars="196"/>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4.没有通过资格审查的，响应文件</w:t>
      </w:r>
      <w:r>
        <w:rPr>
          <w:rFonts w:asciiTheme="minorEastAsia" w:hAnsiTheme="minorEastAsia" w:eastAsiaTheme="minorEastAsia"/>
          <w:b/>
          <w:color w:val="auto"/>
          <w:kern w:val="2"/>
          <w:szCs w:val="21"/>
          <w:highlight w:val="none"/>
        </w:rPr>
        <w:t>将被视为无效。</w:t>
      </w:r>
    </w:p>
    <w:p w14:paraId="15DC359D">
      <w:pPr>
        <w:snapToGrid w:val="0"/>
        <w:spacing w:line="360" w:lineRule="auto"/>
        <w:ind w:firstLine="413" w:firstLineChars="196"/>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5.</w:t>
      </w:r>
      <w:r>
        <w:rPr>
          <w:rFonts w:asciiTheme="minorEastAsia" w:hAnsiTheme="minorEastAsia" w:eastAsiaTheme="minorEastAsia"/>
          <w:b/>
          <w:color w:val="auto"/>
          <w:kern w:val="2"/>
          <w:szCs w:val="21"/>
          <w:highlight w:val="none"/>
        </w:rPr>
        <w:t>在符合性审查和商务评审时，如发现下列情形之一的，</w:t>
      </w:r>
      <w:r>
        <w:rPr>
          <w:rFonts w:hint="eastAsia" w:asciiTheme="minorEastAsia" w:hAnsiTheme="minorEastAsia" w:eastAsiaTheme="minorEastAsia"/>
          <w:b/>
          <w:color w:val="auto"/>
          <w:kern w:val="2"/>
          <w:szCs w:val="21"/>
          <w:highlight w:val="none"/>
        </w:rPr>
        <w:t>响应文件</w:t>
      </w:r>
      <w:r>
        <w:rPr>
          <w:rFonts w:asciiTheme="minorEastAsia" w:hAnsiTheme="minorEastAsia" w:eastAsiaTheme="minorEastAsia"/>
          <w:b/>
          <w:color w:val="auto"/>
          <w:kern w:val="2"/>
          <w:szCs w:val="21"/>
          <w:highlight w:val="none"/>
        </w:rPr>
        <w:t>将被视为无效：</w:t>
      </w:r>
    </w:p>
    <w:p w14:paraId="77522A2F">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5.1电子响应</w:t>
      </w:r>
      <w:r>
        <w:rPr>
          <w:rFonts w:asciiTheme="minorEastAsia" w:hAnsiTheme="minorEastAsia" w:eastAsiaTheme="minorEastAsia"/>
          <w:color w:val="auto"/>
          <w:kern w:val="2"/>
          <w:szCs w:val="21"/>
          <w:highlight w:val="none"/>
        </w:rPr>
        <w:t>文件未按规定要求提供电子签章的</w:t>
      </w:r>
      <w:r>
        <w:rPr>
          <w:rFonts w:hint="eastAsia" w:asciiTheme="minorEastAsia" w:hAnsiTheme="minorEastAsia" w:eastAsiaTheme="minorEastAsia"/>
          <w:color w:val="auto"/>
          <w:kern w:val="2"/>
          <w:szCs w:val="21"/>
          <w:highlight w:val="none"/>
        </w:rPr>
        <w:t>；</w:t>
      </w:r>
    </w:p>
    <w:p w14:paraId="27909E63">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5.2在资信技术文件中出现报价的；</w:t>
      </w:r>
    </w:p>
    <w:p w14:paraId="14DCD503">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5.3</w:t>
      </w:r>
      <w:r>
        <w:rPr>
          <w:rFonts w:asciiTheme="minorEastAsia" w:hAnsiTheme="minorEastAsia" w:eastAsiaTheme="minorEastAsia"/>
          <w:color w:val="auto"/>
          <w:kern w:val="2"/>
          <w:szCs w:val="21"/>
          <w:highlight w:val="none"/>
        </w:rPr>
        <w:t>资格证明文件不全的，或者不符合</w:t>
      </w:r>
      <w:r>
        <w:rPr>
          <w:rFonts w:hint="eastAsia" w:asciiTheme="minorEastAsia" w:hAnsiTheme="minorEastAsia" w:eastAsiaTheme="minorEastAsia"/>
          <w:color w:val="auto"/>
          <w:kern w:val="2"/>
          <w:szCs w:val="21"/>
          <w:highlight w:val="none"/>
        </w:rPr>
        <w:t>磋商文件</w:t>
      </w:r>
      <w:r>
        <w:rPr>
          <w:rFonts w:asciiTheme="minorEastAsia" w:hAnsiTheme="minorEastAsia" w:eastAsiaTheme="minorEastAsia"/>
          <w:color w:val="auto"/>
          <w:kern w:val="2"/>
          <w:szCs w:val="21"/>
          <w:highlight w:val="none"/>
        </w:rPr>
        <w:t>标明的资格要求的</w:t>
      </w:r>
      <w:r>
        <w:rPr>
          <w:rFonts w:hint="eastAsia" w:asciiTheme="minorEastAsia" w:hAnsiTheme="minorEastAsia" w:eastAsiaTheme="minorEastAsia"/>
          <w:color w:val="auto"/>
          <w:kern w:val="2"/>
          <w:szCs w:val="21"/>
          <w:highlight w:val="none"/>
        </w:rPr>
        <w:t>；</w:t>
      </w:r>
    </w:p>
    <w:p w14:paraId="2320202D">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5.4响应文件</w:t>
      </w:r>
      <w:r>
        <w:rPr>
          <w:rFonts w:asciiTheme="minorEastAsia" w:hAnsiTheme="minorEastAsia" w:eastAsiaTheme="minorEastAsia"/>
          <w:color w:val="auto"/>
          <w:kern w:val="2"/>
          <w:szCs w:val="21"/>
          <w:highlight w:val="none"/>
        </w:rPr>
        <w:t>无法定代表人签字</w:t>
      </w:r>
      <w:r>
        <w:rPr>
          <w:rFonts w:hint="eastAsia" w:asciiTheme="minorEastAsia" w:hAnsiTheme="minorEastAsia" w:eastAsiaTheme="minorEastAsia"/>
          <w:color w:val="auto"/>
          <w:kern w:val="2"/>
          <w:szCs w:val="21"/>
          <w:highlight w:val="none"/>
        </w:rPr>
        <w:t>（或盖章）</w:t>
      </w:r>
      <w:r>
        <w:rPr>
          <w:rFonts w:asciiTheme="minorEastAsia" w:hAnsiTheme="minorEastAsia" w:eastAsiaTheme="minorEastAsia"/>
          <w:color w:val="auto"/>
          <w:kern w:val="2"/>
          <w:szCs w:val="21"/>
          <w:highlight w:val="none"/>
        </w:rPr>
        <w:t>,或未</w:t>
      </w:r>
      <w:r>
        <w:rPr>
          <w:rFonts w:hint="eastAsia" w:asciiTheme="minorEastAsia" w:hAnsiTheme="minorEastAsia" w:eastAsiaTheme="minorEastAsia"/>
          <w:color w:val="auto"/>
          <w:kern w:val="2"/>
          <w:szCs w:val="21"/>
          <w:highlight w:val="none"/>
        </w:rPr>
        <w:t>提供法定代表人授权委托书、投标声明书或者填写项目不齐全的；</w:t>
      </w:r>
    </w:p>
    <w:p w14:paraId="7DC4E421">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5.5投标代表人未能出具身份证明或与法定代表人授权委托人身份不符的；</w:t>
      </w:r>
      <w:r>
        <w:rPr>
          <w:rFonts w:asciiTheme="minorEastAsia" w:hAnsiTheme="minorEastAsia" w:eastAsiaTheme="minorEastAsia"/>
          <w:color w:val="auto"/>
          <w:kern w:val="2"/>
          <w:szCs w:val="21"/>
          <w:highlight w:val="none"/>
        </w:rPr>
        <w:t xml:space="preserve"> </w:t>
      </w:r>
    </w:p>
    <w:p w14:paraId="327EDB90">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5.6响应文件格式不规范、项目不齐全或者内容虚假的；</w:t>
      </w:r>
    </w:p>
    <w:p w14:paraId="36D0D2B6">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5.7响应文件的实质性内容未使用中文表述、意思表述不明确、前后矛盾或者使用计量单位不符合磋商文件要求的（经磋商小组认定并允许其当场更正的笔误除外）；</w:t>
      </w:r>
    </w:p>
    <w:p w14:paraId="59C0E937">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5.8投标有效期、工期、质保期等商务条款不能满足磋商文件要求的；</w:t>
      </w:r>
    </w:p>
    <w:p w14:paraId="6713E545">
      <w:pPr>
        <w:snapToGrid w:val="0"/>
        <w:spacing w:line="360" w:lineRule="auto"/>
        <w:ind w:firstLine="411" w:firstLineChars="196"/>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5.9未实质性响应磋商文件要求或者响应文件有招标方不能接受的附加条件的；</w:t>
      </w:r>
    </w:p>
    <w:p w14:paraId="05FB6CBF">
      <w:pPr>
        <w:pStyle w:val="21"/>
        <w:snapToGrid w:val="0"/>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5.10不符合本磋商文件中的实质性要求条款。</w:t>
      </w:r>
    </w:p>
    <w:p w14:paraId="7B3226B5">
      <w:pPr>
        <w:pStyle w:val="21"/>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6.</w:t>
      </w:r>
      <w:r>
        <w:rPr>
          <w:rFonts w:asciiTheme="minorEastAsia" w:hAnsiTheme="minorEastAsia" w:eastAsiaTheme="minorEastAsia"/>
          <w:b/>
          <w:color w:val="auto"/>
          <w:kern w:val="2"/>
          <w:szCs w:val="21"/>
          <w:highlight w:val="none"/>
        </w:rPr>
        <w:t>在技术评审时，如发现下列情形之一的，投标文件将被视为无效：</w:t>
      </w:r>
    </w:p>
    <w:p w14:paraId="5FEBC6C7">
      <w:pPr>
        <w:pStyle w:val="21"/>
        <w:snapToGrid w:val="0"/>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6.1</w:t>
      </w:r>
      <w:r>
        <w:rPr>
          <w:rFonts w:asciiTheme="minorEastAsia" w:hAnsiTheme="minorEastAsia" w:eastAsiaTheme="minorEastAsia"/>
          <w:color w:val="auto"/>
          <w:kern w:val="2"/>
          <w:szCs w:val="21"/>
          <w:highlight w:val="none"/>
        </w:rPr>
        <w:t>投标文件标明的响应或偏离与事实不符或虚假投标的；</w:t>
      </w:r>
    </w:p>
    <w:p w14:paraId="0C706893">
      <w:pPr>
        <w:pStyle w:val="21"/>
        <w:snapToGrid w:val="0"/>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6.2</w:t>
      </w:r>
      <w:r>
        <w:rPr>
          <w:rFonts w:asciiTheme="minorEastAsia" w:hAnsiTheme="minorEastAsia" w:eastAsiaTheme="minorEastAsia"/>
          <w:color w:val="auto"/>
          <w:kern w:val="2"/>
          <w:szCs w:val="21"/>
          <w:highlight w:val="none"/>
        </w:rPr>
        <w:t>明显不符合招标文件</w:t>
      </w:r>
      <w:r>
        <w:rPr>
          <w:rFonts w:hint="eastAsia" w:asciiTheme="minorEastAsia" w:hAnsiTheme="minorEastAsia" w:eastAsiaTheme="minorEastAsia"/>
          <w:color w:val="auto"/>
          <w:kern w:val="2"/>
          <w:szCs w:val="21"/>
          <w:highlight w:val="none"/>
        </w:rPr>
        <w:t>要求</w:t>
      </w:r>
      <w:r>
        <w:rPr>
          <w:rFonts w:asciiTheme="minorEastAsia" w:hAnsiTheme="minorEastAsia" w:eastAsiaTheme="minorEastAsia"/>
          <w:color w:val="auto"/>
          <w:kern w:val="2"/>
          <w:szCs w:val="21"/>
          <w:highlight w:val="none"/>
        </w:rPr>
        <w:t>，或者</w:t>
      </w:r>
      <w:r>
        <w:rPr>
          <w:rFonts w:hint="eastAsia" w:asciiTheme="minorEastAsia" w:hAnsiTheme="minorEastAsia" w:eastAsiaTheme="minorEastAsia"/>
          <w:color w:val="auto"/>
          <w:kern w:val="2"/>
          <w:szCs w:val="21"/>
          <w:highlight w:val="none"/>
        </w:rPr>
        <w:t>与</w:t>
      </w:r>
      <w:r>
        <w:rPr>
          <w:rFonts w:asciiTheme="minorEastAsia" w:hAnsiTheme="minorEastAsia" w:eastAsiaTheme="minorEastAsia"/>
          <w:color w:val="auto"/>
          <w:kern w:val="2"/>
          <w:szCs w:val="21"/>
          <w:highlight w:val="none"/>
        </w:rPr>
        <w:t>招标文件中标“▲”的</w:t>
      </w:r>
      <w:r>
        <w:rPr>
          <w:rFonts w:hint="eastAsia" w:asciiTheme="minorEastAsia" w:hAnsiTheme="minorEastAsia" w:eastAsiaTheme="minorEastAsia"/>
          <w:color w:val="auto"/>
          <w:kern w:val="2"/>
          <w:szCs w:val="21"/>
          <w:highlight w:val="none"/>
        </w:rPr>
        <w:t>要求</w:t>
      </w:r>
      <w:r>
        <w:rPr>
          <w:rFonts w:asciiTheme="minorEastAsia" w:hAnsiTheme="minorEastAsia" w:eastAsiaTheme="minorEastAsia"/>
          <w:color w:val="auto"/>
          <w:kern w:val="2"/>
          <w:szCs w:val="21"/>
          <w:highlight w:val="none"/>
        </w:rPr>
        <w:t>发生实质性偏离的；</w:t>
      </w:r>
    </w:p>
    <w:p w14:paraId="6F82A69C">
      <w:pPr>
        <w:pStyle w:val="21"/>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kern w:val="2"/>
          <w:szCs w:val="21"/>
          <w:highlight w:val="none"/>
        </w:rPr>
        <w:t>6.3</w:t>
      </w:r>
      <w:r>
        <w:rPr>
          <w:rFonts w:hint="eastAsia" w:asciiTheme="minorEastAsia" w:hAnsiTheme="minorEastAsia" w:eastAsiaTheme="minorEastAsia"/>
          <w:color w:val="auto"/>
          <w:szCs w:val="21"/>
          <w:highlight w:val="none"/>
        </w:rPr>
        <w:t>与其他参加本次投标供应商的投标文件（技术文件）的文字表述内容相同连续20行以上或者差错相同2处以上的；</w:t>
      </w:r>
    </w:p>
    <w:p w14:paraId="278102DB">
      <w:pPr>
        <w:pStyle w:val="21"/>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7.在报价评审时，</w:t>
      </w:r>
      <w:r>
        <w:rPr>
          <w:rFonts w:asciiTheme="minorEastAsia" w:hAnsiTheme="minorEastAsia" w:eastAsiaTheme="minorEastAsia"/>
          <w:b/>
          <w:color w:val="auto"/>
          <w:kern w:val="2"/>
          <w:szCs w:val="21"/>
          <w:highlight w:val="none"/>
        </w:rPr>
        <w:t>如发现下列情形之一的，</w:t>
      </w:r>
      <w:r>
        <w:rPr>
          <w:rFonts w:hint="eastAsia" w:asciiTheme="minorEastAsia" w:hAnsiTheme="minorEastAsia" w:eastAsiaTheme="minorEastAsia"/>
          <w:b/>
          <w:color w:val="auto"/>
          <w:kern w:val="2"/>
          <w:szCs w:val="21"/>
          <w:highlight w:val="none"/>
        </w:rPr>
        <w:t>响应文件</w:t>
      </w:r>
      <w:r>
        <w:rPr>
          <w:rFonts w:asciiTheme="minorEastAsia" w:hAnsiTheme="minorEastAsia" w:eastAsiaTheme="minorEastAsia"/>
          <w:b/>
          <w:color w:val="auto"/>
          <w:kern w:val="2"/>
          <w:szCs w:val="21"/>
          <w:highlight w:val="none"/>
        </w:rPr>
        <w:t>将被视为无效：</w:t>
      </w:r>
    </w:p>
    <w:p w14:paraId="01796DFD">
      <w:pPr>
        <w:pStyle w:val="21"/>
        <w:snapToGrid w:val="0"/>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7.1未采用人民币报价或者未按照招标文件标明的币种报价的；</w:t>
      </w:r>
    </w:p>
    <w:p w14:paraId="5D25B4F9">
      <w:pPr>
        <w:pStyle w:val="21"/>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.2报价超出最高限价</w:t>
      </w:r>
      <w:r>
        <w:rPr>
          <w:rFonts w:hint="eastAsia" w:asciiTheme="minorEastAsia" w:hAnsiTheme="minorEastAsia" w:eastAsiaTheme="minorEastAsia"/>
          <w:color w:val="auto"/>
          <w:szCs w:val="21"/>
          <w:highlight w:val="none"/>
        </w:rPr>
        <w:t>；</w:t>
      </w:r>
    </w:p>
    <w:p w14:paraId="501D0BBB">
      <w:pPr>
        <w:pStyle w:val="21"/>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 xml:space="preserve">投标报价具有选择性，或者开标价格与投标文件承诺的优惠（折扣）价格不一致的。 </w:t>
      </w:r>
    </w:p>
    <w:p w14:paraId="6E06265D">
      <w:pPr>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投标报价明细表总额与开标一览表总价不一致的。</w:t>
      </w:r>
    </w:p>
    <w:p w14:paraId="7A018EA1">
      <w:pPr>
        <w:pStyle w:val="74"/>
        <w:rPr>
          <w:rFonts w:eastAsiaTheme="minorEastAsia"/>
          <w:color w:val="auto"/>
          <w:highlight w:val="none"/>
          <w:lang w:val="en-US"/>
        </w:rPr>
      </w:pPr>
      <w:r>
        <w:rPr>
          <w:rFonts w:hint="eastAsia" w:asciiTheme="minorEastAsia" w:hAnsiTheme="minorEastAsia" w:eastAsiaTheme="minorEastAsia"/>
          <w:color w:val="auto"/>
          <w:szCs w:val="21"/>
          <w:highlight w:val="none"/>
          <w:lang w:val="en-US"/>
        </w:rPr>
        <w:t xml:space="preserve">    </w:t>
      </w:r>
      <w:r>
        <w:rPr>
          <w:rFonts w:hint="eastAsia" w:asciiTheme="minorEastAsia" w:hAnsiTheme="minorEastAsia" w:eastAsiaTheme="minorEastAsia"/>
          <w:color w:val="auto"/>
          <w:sz w:val="21"/>
          <w:szCs w:val="21"/>
          <w:highlight w:val="none"/>
          <w:lang w:val="en-US"/>
        </w:rPr>
        <w:t>7.5投标时未提供工程量报价明细表的。</w:t>
      </w:r>
    </w:p>
    <w:p w14:paraId="183D8A55">
      <w:pPr>
        <w:pStyle w:val="21"/>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8.被拒绝的响应文件为无效。</w:t>
      </w:r>
    </w:p>
    <w:p w14:paraId="0FE01F45">
      <w:pPr>
        <w:adjustRightInd w:val="0"/>
        <w:snapToGrid w:val="0"/>
        <w:spacing w:line="360" w:lineRule="auto"/>
        <w:ind w:firstLine="422" w:firstLineChars="200"/>
        <w:jc w:val="center"/>
        <w:rPr>
          <w:rFonts w:asciiTheme="minorEastAsia" w:hAnsiTheme="minorEastAsia" w:eastAsiaTheme="minorEastAsia"/>
          <w:b/>
          <w:color w:val="auto"/>
          <w:kern w:val="2"/>
          <w:szCs w:val="21"/>
          <w:highlight w:val="none"/>
        </w:rPr>
      </w:pPr>
      <w:bookmarkStart w:id="58" w:name="_Toc381081889"/>
      <w:bookmarkStart w:id="59" w:name="_Toc498261257"/>
    </w:p>
    <w:p w14:paraId="40F51429">
      <w:pPr>
        <w:pStyle w:val="28"/>
        <w:snapToGrid w:val="0"/>
        <w:spacing w:before="120" w:after="120" w:line="360" w:lineRule="auto"/>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四、</w:t>
      </w:r>
      <w:bookmarkEnd w:id="58"/>
      <w:bookmarkEnd w:id="59"/>
      <w:bookmarkStart w:id="60" w:name="_Toc498261258"/>
      <w:r>
        <w:rPr>
          <w:rFonts w:hint="eastAsia" w:asciiTheme="minorEastAsia" w:hAnsiTheme="minorEastAsia" w:eastAsiaTheme="minorEastAsia"/>
          <w:b/>
          <w:color w:val="auto"/>
          <w:szCs w:val="21"/>
          <w:highlight w:val="none"/>
        </w:rPr>
        <w:t>磋商准备</w:t>
      </w:r>
    </w:p>
    <w:p w14:paraId="4F23093E">
      <w:pPr>
        <w:pStyle w:val="28"/>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1.本项目实行电子开评标，供应商无需到开标现场，但须准时在线参加，直至评审结束。。</w:t>
      </w:r>
    </w:p>
    <w:p w14:paraId="146C5F40">
      <w:pPr>
        <w:pStyle w:val="21"/>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2.电子开评标及评审程序</w:t>
      </w:r>
    </w:p>
    <w:p w14:paraId="0CCB7627">
      <w:pPr>
        <w:pStyle w:val="21"/>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2.1投标截止时间后的半小时内，由各供应商自行对电子投标文件进行解密（请各供应商务必在规定时间内完成电子投标文件的解密工作。 </w:t>
      </w:r>
    </w:p>
    <w:p w14:paraId="4B8AC699">
      <w:pPr>
        <w:pStyle w:val="21"/>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2.2采购人或代理机构对供应商的资格审查文件进行</w:t>
      </w:r>
      <w:r>
        <w:rPr>
          <w:rFonts w:asciiTheme="minorEastAsia" w:hAnsiTheme="minorEastAsia" w:eastAsiaTheme="minorEastAsia"/>
          <w:color w:val="auto"/>
          <w:szCs w:val="21"/>
          <w:highlight w:val="none"/>
        </w:rPr>
        <w:t>审查；</w:t>
      </w:r>
      <w:r>
        <w:rPr>
          <w:rFonts w:hint="eastAsia" w:asciiTheme="minorEastAsia" w:hAnsiTheme="minorEastAsia" w:eastAsiaTheme="minorEastAsia"/>
          <w:color w:val="auto"/>
          <w:szCs w:val="21"/>
          <w:highlight w:val="none"/>
        </w:rPr>
        <w:t>磋商小组对供应商的资信技术响应文件进行评审；</w:t>
      </w:r>
    </w:p>
    <w:p w14:paraId="4312459B">
      <w:pPr>
        <w:pStyle w:val="21"/>
        <w:snapToGrid w:val="0"/>
        <w:spacing w:line="360" w:lineRule="auto"/>
        <w:ind w:firstLine="411" w:firstLineChars="19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2.3磋商小组对报价文件进行评审；</w:t>
      </w:r>
    </w:p>
    <w:p w14:paraId="24674853">
      <w:pPr>
        <w:pStyle w:val="21"/>
        <w:snapToGrid w:val="0"/>
        <w:spacing w:line="360" w:lineRule="auto"/>
        <w:ind w:firstLine="411" w:firstLineChars="196"/>
        <w:rPr>
          <w:rFonts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rPr>
        <w:t>2.4</w:t>
      </w:r>
      <w:r>
        <w:rPr>
          <w:rFonts w:hint="eastAsia" w:asciiTheme="minorEastAsia" w:hAnsiTheme="minorEastAsia" w:eastAsiaTheme="minorEastAsia"/>
          <w:color w:val="auto"/>
          <w:szCs w:val="21"/>
          <w:highlight w:val="none"/>
        </w:rPr>
        <w:t>磋商小组</w:t>
      </w:r>
      <w:r>
        <w:rPr>
          <w:rFonts w:asciiTheme="minorEastAsia" w:hAnsiTheme="minorEastAsia" w:eastAsiaTheme="minorEastAsia"/>
          <w:color w:val="auto"/>
          <w:szCs w:val="21"/>
          <w:highlight w:val="none"/>
        </w:rPr>
        <w:t>撰写评审报告，推荐中标候选人。</w:t>
      </w:r>
    </w:p>
    <w:p w14:paraId="4DE12C45">
      <w:pPr>
        <w:pStyle w:val="28"/>
        <w:snapToGrid w:val="0"/>
        <w:spacing w:before="120" w:after="120" w:line="360" w:lineRule="auto"/>
        <w:jc w:val="center"/>
        <w:outlineLvl w:val="1"/>
        <w:rPr>
          <w:rFonts w:asciiTheme="minorEastAsia" w:hAnsiTheme="minorEastAsia" w:eastAsiaTheme="minorEastAsia"/>
          <w:b/>
          <w:color w:val="auto"/>
          <w:szCs w:val="21"/>
          <w:highlight w:val="none"/>
        </w:rPr>
      </w:pPr>
    </w:p>
    <w:p w14:paraId="0205D558">
      <w:pPr>
        <w:pStyle w:val="28"/>
        <w:snapToGrid w:val="0"/>
        <w:spacing w:before="120" w:after="120" w:line="360" w:lineRule="auto"/>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五、</w:t>
      </w:r>
      <w:r>
        <w:rPr>
          <w:rFonts w:asciiTheme="minorEastAsia" w:hAnsiTheme="minorEastAsia" w:eastAsiaTheme="minorEastAsia"/>
          <w:b/>
          <w:color w:val="auto"/>
          <w:szCs w:val="21"/>
          <w:highlight w:val="none"/>
        </w:rPr>
        <w:t>磋商程序</w:t>
      </w:r>
      <w:bookmarkEnd w:id="60"/>
    </w:p>
    <w:p w14:paraId="0025FC30">
      <w:pPr>
        <w:pStyle w:val="28"/>
        <w:snapToGrid w:val="0"/>
        <w:spacing w:line="360" w:lineRule="auto"/>
        <w:ind w:firstLine="422" w:firstLineChars="200"/>
        <w:rPr>
          <w:rFonts w:asciiTheme="minorEastAsia" w:hAnsiTheme="minorEastAsia" w:eastAsiaTheme="minorEastAsia"/>
          <w:b/>
          <w:color w:val="auto"/>
          <w:kern w:val="0"/>
          <w:szCs w:val="21"/>
          <w:highlight w:val="none"/>
        </w:rPr>
      </w:pPr>
      <w:bookmarkStart w:id="61" w:name="_Toc192313120"/>
      <w:r>
        <w:rPr>
          <w:rFonts w:asciiTheme="minorEastAsia" w:hAnsiTheme="minorEastAsia" w:eastAsiaTheme="minorEastAsia"/>
          <w:b/>
          <w:color w:val="auto"/>
          <w:kern w:val="0"/>
          <w:szCs w:val="21"/>
          <w:highlight w:val="none"/>
        </w:rPr>
        <w:t>（一）组建磋商小组</w:t>
      </w:r>
    </w:p>
    <w:p w14:paraId="01611E02">
      <w:pPr>
        <w:pStyle w:val="28"/>
        <w:snapToGrid w:val="0"/>
        <w:spacing w:line="360" w:lineRule="auto"/>
        <w:ind w:firstLine="420" w:firstLineChars="200"/>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本项目磋商小组由政府采购评审专家</w:t>
      </w:r>
      <w:r>
        <w:rPr>
          <w:rFonts w:hint="eastAsia" w:asciiTheme="minorEastAsia" w:hAnsiTheme="minorEastAsia" w:eastAsiaTheme="minorEastAsia"/>
          <w:color w:val="auto"/>
          <w:kern w:val="0"/>
          <w:szCs w:val="21"/>
          <w:highlight w:val="none"/>
        </w:rPr>
        <w:t>2</w:t>
      </w:r>
      <w:r>
        <w:rPr>
          <w:rFonts w:asciiTheme="minorEastAsia" w:hAnsiTheme="minorEastAsia" w:eastAsiaTheme="minorEastAsia"/>
          <w:color w:val="auto"/>
          <w:kern w:val="0"/>
          <w:szCs w:val="21"/>
          <w:highlight w:val="none"/>
        </w:rPr>
        <w:t>人</w:t>
      </w: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采购人代表1人</w:t>
      </w:r>
      <w:r>
        <w:rPr>
          <w:rFonts w:hint="eastAsia"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共</w:t>
      </w:r>
      <w:r>
        <w:rPr>
          <w:rFonts w:hint="eastAsia" w:asciiTheme="minorEastAsia" w:hAnsiTheme="minorEastAsia" w:eastAsiaTheme="minorEastAsia"/>
          <w:color w:val="auto"/>
          <w:kern w:val="0"/>
          <w:szCs w:val="21"/>
          <w:highlight w:val="none"/>
        </w:rPr>
        <w:t>3</w:t>
      </w:r>
      <w:r>
        <w:rPr>
          <w:rFonts w:asciiTheme="minorEastAsia" w:hAnsiTheme="minorEastAsia" w:eastAsiaTheme="minorEastAsia"/>
          <w:color w:val="auto"/>
          <w:kern w:val="0"/>
          <w:szCs w:val="21"/>
          <w:highlight w:val="none"/>
        </w:rPr>
        <w:t>人组成。</w:t>
      </w:r>
    </w:p>
    <w:p w14:paraId="1A44CF5E">
      <w:pPr>
        <w:pStyle w:val="28"/>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磋商小组负责具体评标事务，并独立履行下列职责：</w:t>
      </w:r>
    </w:p>
    <w:p w14:paraId="4C3FD7CF">
      <w:pPr>
        <w:pStyle w:val="28"/>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1、审查、评价磋商文件是否符合磋商文件的商务、技术等实质性要求;</w:t>
      </w:r>
    </w:p>
    <w:p w14:paraId="46513E1F">
      <w:pPr>
        <w:pStyle w:val="28"/>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2、磋商过程中要求供应商对磋商文件有关事项作出澄清或者说明;</w:t>
      </w:r>
    </w:p>
    <w:p w14:paraId="6381EE83">
      <w:pPr>
        <w:pStyle w:val="28"/>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3、对磋商文件进行比较和评价;</w:t>
      </w:r>
    </w:p>
    <w:p w14:paraId="719F0B34">
      <w:pPr>
        <w:pStyle w:val="28"/>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4、确定成交候选人名单，以及根据采购人委托直接确定成交供应商;</w:t>
      </w:r>
    </w:p>
    <w:p w14:paraId="65532A3F">
      <w:pPr>
        <w:pStyle w:val="28"/>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5、向采购人、集中采购机构或者有关部门报告评标中发现的违法行为。</w:t>
      </w:r>
    </w:p>
    <w:p w14:paraId="09156D9B">
      <w:pPr>
        <w:pStyle w:val="28"/>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除采购人代表、评标现场组织人员外，采购人的其他工作人员以及与评标工作无关的人员不得进入评标现场。</w:t>
      </w:r>
    </w:p>
    <w:p w14:paraId="7EDB1BC7">
      <w:pPr>
        <w:pStyle w:val="28"/>
        <w:snapToGrid w:val="0"/>
        <w:spacing w:before="120" w:after="120" w:line="360" w:lineRule="auto"/>
        <w:ind w:firstLine="413" w:firstLineChars="196"/>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（二）</w:t>
      </w:r>
      <w:r>
        <w:rPr>
          <w:rFonts w:hint="eastAsia" w:asciiTheme="minorEastAsia" w:hAnsiTheme="minorEastAsia" w:eastAsiaTheme="minorEastAsia"/>
          <w:b/>
          <w:color w:val="auto"/>
          <w:szCs w:val="21"/>
          <w:highlight w:val="none"/>
        </w:rPr>
        <w:t>磋商</w:t>
      </w:r>
      <w:r>
        <w:rPr>
          <w:rFonts w:asciiTheme="minorEastAsia" w:hAnsiTheme="minorEastAsia" w:eastAsiaTheme="minorEastAsia"/>
          <w:b/>
          <w:color w:val="auto"/>
          <w:szCs w:val="21"/>
          <w:highlight w:val="none"/>
        </w:rPr>
        <w:t>的方式</w:t>
      </w:r>
    </w:p>
    <w:p w14:paraId="20C6E820">
      <w:pPr>
        <w:snapToGrid w:val="0"/>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本项目采用不公开方式</w:t>
      </w:r>
      <w:r>
        <w:rPr>
          <w:rFonts w:hint="eastAsia" w:asciiTheme="minorEastAsia" w:hAnsiTheme="minorEastAsia" w:eastAsiaTheme="minorEastAsia"/>
          <w:color w:val="auto"/>
          <w:szCs w:val="21"/>
          <w:highlight w:val="none"/>
        </w:rPr>
        <w:t>磋商</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磋商</w:t>
      </w:r>
      <w:r>
        <w:rPr>
          <w:rFonts w:asciiTheme="minorEastAsia" w:hAnsiTheme="minorEastAsia" w:eastAsiaTheme="minorEastAsia"/>
          <w:color w:val="auto"/>
          <w:szCs w:val="21"/>
          <w:highlight w:val="none"/>
        </w:rPr>
        <w:t>的依据为</w:t>
      </w:r>
      <w:r>
        <w:rPr>
          <w:rFonts w:hint="eastAsia" w:asciiTheme="minorEastAsia" w:hAnsiTheme="minorEastAsia" w:eastAsiaTheme="minorEastAsia"/>
          <w:color w:val="auto"/>
          <w:szCs w:val="21"/>
          <w:highlight w:val="none"/>
        </w:rPr>
        <w:t>竞争性磋商</w:t>
      </w:r>
      <w:r>
        <w:rPr>
          <w:rFonts w:asciiTheme="minorEastAsia" w:hAnsiTheme="minorEastAsia" w:eastAsiaTheme="minorEastAsia"/>
          <w:color w:val="auto"/>
          <w:szCs w:val="21"/>
          <w:highlight w:val="none"/>
        </w:rPr>
        <w:t>文件和</w:t>
      </w:r>
      <w:r>
        <w:rPr>
          <w:rFonts w:hint="eastAsia" w:asciiTheme="minorEastAsia" w:hAnsiTheme="minorEastAsia" w:eastAsiaTheme="minorEastAsia"/>
          <w:color w:val="auto"/>
          <w:szCs w:val="21"/>
          <w:highlight w:val="none"/>
        </w:rPr>
        <w:t>响应</w:t>
      </w:r>
      <w:r>
        <w:rPr>
          <w:rFonts w:asciiTheme="minorEastAsia" w:hAnsiTheme="minorEastAsia" w:eastAsiaTheme="minorEastAsia"/>
          <w:color w:val="auto"/>
          <w:szCs w:val="21"/>
          <w:highlight w:val="none"/>
        </w:rPr>
        <w:t>文件。</w:t>
      </w:r>
    </w:p>
    <w:p w14:paraId="3F01C68D">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1.磋商步骤</w:t>
      </w:r>
    </w:p>
    <w:p w14:paraId="7422A3D0">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1.1磋商小组讨论、通过磋商工作流程和磋商要点。</w:t>
      </w:r>
    </w:p>
    <w:p w14:paraId="0F096CE5">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1.2</w:t>
      </w:r>
      <w:r>
        <w:rPr>
          <w:rFonts w:hint="eastAsia" w:asciiTheme="minorEastAsia" w:hAnsiTheme="minorEastAsia" w:eastAsiaTheme="minorEastAsia"/>
          <w:color w:val="auto"/>
          <w:szCs w:val="21"/>
          <w:highlight w:val="none"/>
        </w:rPr>
        <w:t>经办人</w:t>
      </w:r>
      <w:r>
        <w:rPr>
          <w:rFonts w:asciiTheme="minorEastAsia" w:hAnsiTheme="minorEastAsia" w:eastAsiaTheme="minorEastAsia"/>
          <w:color w:val="auto"/>
          <w:szCs w:val="21"/>
          <w:highlight w:val="none"/>
        </w:rPr>
        <w:t>宣布磋商的有关事项；</w:t>
      </w:r>
    </w:p>
    <w:p w14:paraId="2D68F01B">
      <w:pPr>
        <w:snapToGrid w:val="0"/>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1.3</w:t>
      </w:r>
      <w:r>
        <w:rPr>
          <w:rFonts w:hint="eastAsia" w:asciiTheme="minorEastAsia" w:hAnsiTheme="minorEastAsia" w:eastAsiaTheme="minorEastAsia"/>
          <w:color w:val="auto"/>
          <w:szCs w:val="21"/>
          <w:highlight w:val="none"/>
        </w:rPr>
        <w:t>磋商小组对所提交的响应资信技术文件进行审查，审查结束后，由经办人公布无效响应方名单、响应无效的原因、废标情况；</w:t>
      </w:r>
    </w:p>
    <w:p w14:paraId="539DA24B">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1.4磋商小组与各</w:t>
      </w:r>
      <w:r>
        <w:rPr>
          <w:rFonts w:hint="eastAsia" w:asciiTheme="minorEastAsia" w:hAnsiTheme="minorEastAsia" w:eastAsiaTheme="minorEastAsia"/>
          <w:color w:val="auto"/>
          <w:szCs w:val="21"/>
          <w:highlight w:val="none"/>
        </w:rPr>
        <w:t>供应商就技术参数要素分别进行磋商。逐家磋商一次为一个轮次，磋商轮次可为二轮。本项目二轮商务报价由政采云系统平台发起。</w:t>
      </w:r>
    </w:p>
    <w:p w14:paraId="352F5210">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1.5在磋商过程中，采购人和磋商对象可就合同内容进行磋商，技术服务需求如双方都认为有必要的情况可作相应微调，但评分标准不作调整。</w:t>
      </w:r>
    </w:p>
    <w:p w14:paraId="38F0CF12">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1.6如磋商过程中有调整的内容，在最后一轮报价前，我中心和采购</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rPr>
        <w:t>将根据磋商内容将调整的部分发给符合参与最后一轮报价的供应商，以便其在最后一轮报价中调整报价。</w:t>
      </w:r>
    </w:p>
    <w:p w14:paraId="181EA6AB">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1.7磋商小组根据本磋商文件的评审方法对各供应商的资信技术服务情况进行评审打分。工作人员按照磋商小组独立评定结果进行算术平均值计算。</w:t>
      </w:r>
    </w:p>
    <w:p w14:paraId="66D6D85B">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磋商结束后，</w:t>
      </w:r>
      <w:r>
        <w:rPr>
          <w:rFonts w:hint="eastAsia" w:asciiTheme="minorEastAsia" w:hAnsiTheme="minorEastAsia" w:eastAsiaTheme="minorEastAsia"/>
          <w:color w:val="auto"/>
          <w:szCs w:val="21"/>
          <w:highlight w:val="none"/>
        </w:rPr>
        <w:t>各供应商在规定时间内通过系统进行第一轮报价并</w:t>
      </w:r>
      <w:r>
        <w:rPr>
          <w:rFonts w:asciiTheme="minorEastAsia" w:hAnsiTheme="minorEastAsia" w:eastAsiaTheme="minorEastAsia"/>
          <w:color w:val="auto"/>
          <w:szCs w:val="21"/>
          <w:highlight w:val="none"/>
        </w:rPr>
        <w:t>CA签章确认</w:t>
      </w:r>
      <w:r>
        <w:rPr>
          <w:rFonts w:hint="eastAsia" w:asciiTheme="minorEastAsia" w:hAnsiTheme="minorEastAsia" w:eastAsiaTheme="minorEastAsia"/>
          <w:color w:val="auto"/>
          <w:szCs w:val="21"/>
          <w:highlight w:val="none"/>
        </w:rPr>
        <w:t>，第一轮报价确认结束后</w:t>
      </w:r>
      <w:r>
        <w:rPr>
          <w:rFonts w:asciiTheme="minorEastAsia" w:hAnsiTheme="minorEastAsia" w:eastAsiaTheme="minorEastAsia"/>
          <w:color w:val="auto"/>
          <w:szCs w:val="21"/>
          <w:highlight w:val="none"/>
        </w:rPr>
        <w:t>各供应商进行</w:t>
      </w:r>
      <w:r>
        <w:rPr>
          <w:rFonts w:hint="eastAsia" w:asciiTheme="minorEastAsia" w:hAnsiTheme="minorEastAsia" w:eastAsiaTheme="minorEastAsia"/>
          <w:color w:val="auto"/>
          <w:szCs w:val="21"/>
          <w:highlight w:val="none"/>
        </w:rPr>
        <w:t>二轮报价，</w:t>
      </w:r>
      <w:r>
        <w:rPr>
          <w:rFonts w:asciiTheme="minorEastAsia" w:hAnsiTheme="minorEastAsia" w:eastAsiaTheme="minorEastAsia"/>
          <w:color w:val="auto"/>
          <w:szCs w:val="21"/>
          <w:highlight w:val="none"/>
        </w:rPr>
        <w:t>在规定时间内没有提交最后报价的供应商，视为退出磋商</w:t>
      </w:r>
      <w:r>
        <w:rPr>
          <w:rFonts w:hint="eastAsia" w:asciiTheme="minorEastAsia" w:hAnsiTheme="minorEastAsia" w:eastAsiaTheme="minorEastAsia"/>
          <w:color w:val="auto"/>
          <w:szCs w:val="21"/>
          <w:highlight w:val="none"/>
        </w:rPr>
        <w:t>。</w:t>
      </w:r>
    </w:p>
    <w:p w14:paraId="14DF4F81">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1.9.工作人员</w:t>
      </w:r>
      <w:r>
        <w:rPr>
          <w:rFonts w:hint="eastAsia" w:asciiTheme="minorEastAsia" w:hAnsiTheme="minorEastAsia" w:eastAsiaTheme="minorEastAsia"/>
          <w:color w:val="auto"/>
          <w:szCs w:val="21"/>
          <w:highlight w:val="none"/>
        </w:rPr>
        <w:t>经系统</w:t>
      </w:r>
      <w:r>
        <w:rPr>
          <w:rFonts w:asciiTheme="minorEastAsia" w:hAnsiTheme="minorEastAsia" w:eastAsiaTheme="minorEastAsia"/>
          <w:color w:val="auto"/>
          <w:szCs w:val="21"/>
          <w:highlight w:val="none"/>
        </w:rPr>
        <w:t>查验最</w:t>
      </w:r>
      <w:r>
        <w:rPr>
          <w:rFonts w:hint="eastAsia" w:asciiTheme="minorEastAsia" w:hAnsiTheme="minorEastAsia" w:eastAsiaTheme="minorEastAsia"/>
          <w:color w:val="auto"/>
          <w:szCs w:val="21"/>
          <w:highlight w:val="none"/>
        </w:rPr>
        <w:t>后</w:t>
      </w:r>
      <w:r>
        <w:rPr>
          <w:rFonts w:asciiTheme="minorEastAsia" w:hAnsiTheme="minorEastAsia" w:eastAsiaTheme="minorEastAsia"/>
          <w:color w:val="auto"/>
          <w:szCs w:val="21"/>
          <w:highlight w:val="none"/>
        </w:rPr>
        <w:t>报价的情况，</w:t>
      </w:r>
      <w:r>
        <w:rPr>
          <w:rFonts w:hint="eastAsia" w:asciiTheme="minorEastAsia" w:hAnsiTheme="minorEastAsia" w:eastAsiaTheme="minorEastAsia"/>
          <w:color w:val="auto"/>
          <w:szCs w:val="21"/>
          <w:highlight w:val="none"/>
        </w:rPr>
        <w:t>按规定进入价格标评审的磋商最后报价。</w:t>
      </w:r>
    </w:p>
    <w:p w14:paraId="6CF1EE01">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1.10.磋商小组对最</w:t>
      </w:r>
      <w:r>
        <w:rPr>
          <w:rFonts w:hint="eastAsia" w:asciiTheme="minorEastAsia" w:hAnsiTheme="minorEastAsia" w:eastAsiaTheme="minorEastAsia"/>
          <w:color w:val="auto"/>
          <w:szCs w:val="21"/>
          <w:highlight w:val="none"/>
        </w:rPr>
        <w:t>后</w:t>
      </w:r>
      <w:r>
        <w:rPr>
          <w:rFonts w:asciiTheme="minorEastAsia" w:hAnsiTheme="minorEastAsia" w:eastAsiaTheme="minorEastAsia"/>
          <w:color w:val="auto"/>
          <w:szCs w:val="21"/>
          <w:highlight w:val="none"/>
        </w:rPr>
        <w:t>报价的合理性进行审核，决定是否结束磋商。若报价合理，磋商小组则根据第</w:t>
      </w:r>
      <w:r>
        <w:rPr>
          <w:rFonts w:hint="eastAsia" w:asciiTheme="minorEastAsia" w:hAnsiTheme="minorEastAsia" w:eastAsiaTheme="minorEastAsia"/>
          <w:color w:val="auto"/>
          <w:szCs w:val="21"/>
          <w:highlight w:val="none"/>
        </w:rPr>
        <w:t>四章评审方法计算出总得分并按照排序由高到低的原则推荐候选供应商；</w:t>
      </w:r>
    </w:p>
    <w:p w14:paraId="6D262BB4">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1.11.磋商结束后，</w:t>
      </w:r>
      <w:r>
        <w:rPr>
          <w:rFonts w:hint="eastAsia" w:asciiTheme="minorEastAsia" w:hAnsiTheme="minorEastAsia" w:eastAsiaTheme="minorEastAsia"/>
          <w:color w:val="auto"/>
          <w:szCs w:val="21"/>
          <w:highlight w:val="none"/>
        </w:rPr>
        <w:t>经办人</w:t>
      </w:r>
      <w:r>
        <w:rPr>
          <w:rFonts w:asciiTheme="minorEastAsia" w:hAnsiTheme="minorEastAsia" w:eastAsiaTheme="minorEastAsia"/>
          <w:color w:val="auto"/>
          <w:szCs w:val="21"/>
          <w:highlight w:val="none"/>
        </w:rPr>
        <w:t>公布有效</w:t>
      </w:r>
      <w:r>
        <w:rPr>
          <w:rFonts w:hint="eastAsia" w:asciiTheme="minorEastAsia" w:hAnsiTheme="minorEastAsia" w:eastAsiaTheme="minorEastAsia"/>
          <w:color w:val="auto"/>
          <w:szCs w:val="21"/>
          <w:highlight w:val="none"/>
        </w:rPr>
        <w:t>供应商的总得分结果和推荐排名。</w:t>
      </w:r>
    </w:p>
    <w:p w14:paraId="0C601FC4">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1.12.磋商原则：磋商小组必须公平、公正、客观，不带任何倾向性和启发性；不得向外界透露任何与磋商有关的内容；任何单位和个人不得干扰、影响磋商的正常进行；磋商小组及有关工作人员不得私下与</w:t>
      </w:r>
      <w:r>
        <w:rPr>
          <w:rFonts w:hint="eastAsia" w:asciiTheme="minorEastAsia" w:hAnsiTheme="minorEastAsia" w:eastAsiaTheme="minorEastAsia"/>
          <w:color w:val="auto"/>
          <w:szCs w:val="21"/>
          <w:highlight w:val="none"/>
        </w:rPr>
        <w:t>响应方接触。</w:t>
      </w:r>
      <w:bookmarkStart w:id="62" w:name="_Toc522609461"/>
    </w:p>
    <w:p w14:paraId="4981EE83">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响应文件的澄清</w:t>
      </w:r>
      <w:bookmarkEnd w:id="62"/>
    </w:p>
    <w:p w14:paraId="67C36178">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2.l在磋商期间，磋商小组有权要求供应商对其</w:t>
      </w:r>
      <w:r>
        <w:rPr>
          <w:rFonts w:hint="eastAsia" w:asciiTheme="minorEastAsia" w:hAnsiTheme="minorEastAsia" w:eastAsiaTheme="minorEastAsia"/>
          <w:color w:val="auto"/>
          <w:szCs w:val="21"/>
          <w:highlight w:val="none"/>
        </w:rPr>
        <w:t>响应文件含义不明确、同类问题表述不一致或者有明显文字和计算错误的内容进行澄清。</w:t>
      </w:r>
    </w:p>
    <w:p w14:paraId="784A3991">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2.2磋商小组认为有必要，可要求供应商对某些问题作出必要的澄清、说明和纠正。</w:t>
      </w:r>
      <w:r>
        <w:rPr>
          <w:rFonts w:hint="eastAsia" w:asciiTheme="minorEastAsia" w:hAnsiTheme="minorEastAsia" w:eastAsiaTheme="minorEastAsia"/>
          <w:color w:val="auto"/>
          <w:szCs w:val="21"/>
          <w:highlight w:val="none"/>
        </w:rPr>
        <w:t>供应商的澄清、说明或者补正应当采用在线形式。</w:t>
      </w:r>
    </w:p>
    <w:p w14:paraId="1348E016">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2.3供应商不按磋商小组规定的时间作澄清，将视为放弃该权利。</w:t>
      </w:r>
    </w:p>
    <w:p w14:paraId="29168ECB">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2.4并非每个供应商都将被询标。</w:t>
      </w:r>
      <w:bookmarkStart w:id="63" w:name="_Toc522609462"/>
    </w:p>
    <w:p w14:paraId="499979CB">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3.确定成交供应商</w:t>
      </w:r>
      <w:bookmarkEnd w:id="63"/>
    </w:p>
    <w:p w14:paraId="3DA51912">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3.1磋商小组将对通过资格性审查和符合性审查的</w:t>
      </w:r>
      <w:r>
        <w:rPr>
          <w:rFonts w:hint="eastAsia" w:asciiTheme="minorEastAsia" w:hAnsiTheme="minorEastAsia" w:eastAsiaTheme="minorEastAsia"/>
          <w:color w:val="auto"/>
          <w:szCs w:val="21"/>
          <w:highlight w:val="none"/>
        </w:rPr>
        <w:t>响应文件进行评价和比较。</w:t>
      </w:r>
    </w:p>
    <w:p w14:paraId="23F8EACB">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3.2</w:t>
      </w:r>
      <w:r>
        <w:rPr>
          <w:rFonts w:hint="eastAsia" w:asciiTheme="minorEastAsia" w:hAnsiTheme="minorEastAsia" w:eastAsiaTheme="minorEastAsia"/>
          <w:color w:val="auto"/>
          <w:szCs w:val="21"/>
          <w:highlight w:val="none"/>
        </w:rPr>
        <w:t>磋商小组按采购文件公布的评定成交标准对响应文件进行评审，并将最终得分排名提交给采购人，采购人书面授权磋商小组直接确定成交供应商的</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磋商小组确认成交供应商。最低报价等任何单项因素的最优不作为成交的保证。</w:t>
      </w:r>
      <w:bookmarkStart w:id="64" w:name="_Toc522609463"/>
    </w:p>
    <w:p w14:paraId="35836C8E">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4.磋商过程保密</w:t>
      </w:r>
      <w:bookmarkEnd w:id="64"/>
    </w:p>
    <w:p w14:paraId="0CC957B1">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4.l在宣布成交结果之前，凡属于审查、澄清、评价、比较磋商文件等有关信息，相关当事人均不得泄露给任何磋商供应商或与磋商工作无关的人员。</w:t>
      </w:r>
    </w:p>
    <w:p w14:paraId="72E04FE9">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4.2供应商不得探听上述信息，不得以任何行为影响磋商过程，否则其</w:t>
      </w:r>
      <w:r>
        <w:rPr>
          <w:rFonts w:hint="eastAsia" w:asciiTheme="minorEastAsia" w:hAnsiTheme="minorEastAsia" w:eastAsiaTheme="minorEastAsia"/>
          <w:color w:val="auto"/>
          <w:szCs w:val="21"/>
          <w:highlight w:val="none"/>
        </w:rPr>
        <w:t>响应文件将被作为无效响应文件。</w:t>
      </w:r>
    </w:p>
    <w:p w14:paraId="588D10BE">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4.3在磋商期间，</w:t>
      </w:r>
      <w:r>
        <w:rPr>
          <w:rFonts w:hint="eastAsia" w:asciiTheme="minorEastAsia" w:hAnsiTheme="minorEastAsia" w:eastAsiaTheme="minorEastAsia"/>
          <w:color w:val="auto"/>
          <w:szCs w:val="21"/>
          <w:highlight w:val="none"/>
        </w:rPr>
        <w:t>嘉兴市银建工程咨询评估有限公司将有专门人员与供应商进行联络。</w:t>
      </w:r>
    </w:p>
    <w:p w14:paraId="193245EC">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4.4</w:t>
      </w:r>
      <w:r>
        <w:rPr>
          <w:rFonts w:hint="eastAsia" w:asciiTheme="minorEastAsia" w:hAnsiTheme="minorEastAsia" w:eastAsiaTheme="minorEastAsia"/>
          <w:color w:val="auto"/>
          <w:szCs w:val="21"/>
          <w:highlight w:val="none"/>
        </w:rPr>
        <w:t>嘉兴市银建工程咨询评估有限公司和磋商小组不向未成交的供应商解释未成交原因，也不对磋商过程中的细节问题进行公布。</w:t>
      </w:r>
      <w:bookmarkStart w:id="65" w:name="_Toc522609464"/>
      <w:bookmarkStart w:id="66" w:name="_Toc332724044"/>
    </w:p>
    <w:bookmarkEnd w:id="65"/>
    <w:bookmarkEnd w:id="66"/>
    <w:p w14:paraId="364443D4">
      <w:pPr>
        <w:pStyle w:val="28"/>
        <w:snapToGrid w:val="0"/>
        <w:spacing w:line="360" w:lineRule="auto"/>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w:t>
      </w:r>
      <w:r>
        <w:rPr>
          <w:rFonts w:asciiTheme="minorEastAsia" w:hAnsiTheme="minorEastAsia" w:eastAsiaTheme="minorEastAsia"/>
          <w:color w:val="auto"/>
          <w:kern w:val="0"/>
          <w:szCs w:val="21"/>
          <w:highlight w:val="none"/>
        </w:rPr>
        <w:t>.错误修正</w:t>
      </w:r>
    </w:p>
    <w:p w14:paraId="428DA148">
      <w:pPr>
        <w:pStyle w:val="28"/>
        <w:snapToGrid w:val="0"/>
        <w:spacing w:line="360" w:lineRule="auto"/>
        <w:ind w:left="689" w:leftChars="228" w:hanging="210" w:hangingChars="1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响应</w:t>
      </w:r>
      <w:r>
        <w:rPr>
          <w:rFonts w:asciiTheme="minorEastAsia" w:hAnsiTheme="minorEastAsia" w:eastAsiaTheme="minorEastAsia"/>
          <w:color w:val="auto"/>
          <w:kern w:val="0"/>
          <w:szCs w:val="21"/>
          <w:highlight w:val="none"/>
        </w:rPr>
        <w:t>文件如果出现计算或表达上的错误，修正错误的原则如下：</w:t>
      </w:r>
    </w:p>
    <w:p w14:paraId="07C008FC">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开标一览表总价与磋商报价明细表汇总数不一致的，以开标一览表为准；</w:t>
      </w:r>
    </w:p>
    <w:p w14:paraId="08E88A25">
      <w:pPr>
        <w:pStyle w:val="28"/>
        <w:snapToGrid w:val="0"/>
        <w:spacing w:line="360" w:lineRule="auto"/>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w:t>
      </w:r>
      <w:r>
        <w:rPr>
          <w:rFonts w:asciiTheme="minorEastAsia" w:hAnsiTheme="minorEastAsia" w:eastAsiaTheme="minorEastAsia"/>
          <w:color w:val="auto"/>
          <w:kern w:val="0"/>
          <w:szCs w:val="21"/>
          <w:highlight w:val="none"/>
        </w:rPr>
        <w:t>.2</w:t>
      </w:r>
      <w:r>
        <w:rPr>
          <w:rFonts w:hint="eastAsia" w:asciiTheme="minorEastAsia" w:hAnsiTheme="minorEastAsia" w:eastAsiaTheme="minorEastAsia"/>
          <w:color w:val="auto"/>
          <w:kern w:val="0"/>
          <w:szCs w:val="21"/>
          <w:highlight w:val="none"/>
        </w:rPr>
        <w:t>响应</w:t>
      </w:r>
      <w:r>
        <w:rPr>
          <w:rFonts w:asciiTheme="minorEastAsia" w:hAnsiTheme="minorEastAsia" w:eastAsiaTheme="minorEastAsia"/>
          <w:color w:val="auto"/>
          <w:kern w:val="0"/>
          <w:szCs w:val="21"/>
          <w:highlight w:val="none"/>
        </w:rPr>
        <w:t>文件的大写金额和小写金额不一致的，以大写金额为准；</w:t>
      </w:r>
    </w:p>
    <w:p w14:paraId="2A66766B">
      <w:pPr>
        <w:pStyle w:val="28"/>
        <w:snapToGrid w:val="0"/>
        <w:spacing w:line="360" w:lineRule="auto"/>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w:t>
      </w:r>
      <w:r>
        <w:rPr>
          <w:rFonts w:asciiTheme="minorEastAsia" w:hAnsiTheme="minorEastAsia" w:eastAsiaTheme="minorEastAsia"/>
          <w:color w:val="auto"/>
          <w:kern w:val="0"/>
          <w:szCs w:val="21"/>
          <w:highlight w:val="none"/>
        </w:rPr>
        <w:t>.3总价金额与按单价汇总金额不一致的，以单价金额计算结果为准；</w:t>
      </w:r>
    </w:p>
    <w:p w14:paraId="4B4CB5A5">
      <w:pPr>
        <w:pStyle w:val="28"/>
        <w:snapToGrid w:val="0"/>
        <w:spacing w:line="360" w:lineRule="auto"/>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w:t>
      </w:r>
      <w:r>
        <w:rPr>
          <w:rFonts w:asciiTheme="minorEastAsia" w:hAnsiTheme="minorEastAsia" w:eastAsiaTheme="minorEastAsia"/>
          <w:color w:val="auto"/>
          <w:kern w:val="0"/>
          <w:szCs w:val="21"/>
          <w:highlight w:val="none"/>
        </w:rPr>
        <w:t>.4对不同文字文本</w:t>
      </w:r>
      <w:r>
        <w:rPr>
          <w:rFonts w:hint="eastAsia" w:asciiTheme="minorEastAsia" w:hAnsiTheme="minorEastAsia" w:eastAsiaTheme="minorEastAsia"/>
          <w:color w:val="auto"/>
          <w:kern w:val="0"/>
          <w:szCs w:val="21"/>
          <w:highlight w:val="none"/>
        </w:rPr>
        <w:t>响应文件</w:t>
      </w:r>
      <w:r>
        <w:rPr>
          <w:rFonts w:asciiTheme="minorEastAsia" w:hAnsiTheme="minorEastAsia" w:eastAsiaTheme="minorEastAsia"/>
          <w:color w:val="auto"/>
          <w:kern w:val="0"/>
          <w:szCs w:val="21"/>
          <w:highlight w:val="none"/>
        </w:rPr>
        <w:t>的解释发生异议的，以中文文本为准。</w:t>
      </w:r>
    </w:p>
    <w:p w14:paraId="40F84DD1">
      <w:pPr>
        <w:pStyle w:val="28"/>
        <w:snapToGrid w:val="0"/>
        <w:spacing w:line="360" w:lineRule="auto"/>
        <w:ind w:firstLine="420" w:firstLineChars="200"/>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按上述修正错误的原则及方法调整或修正</w:t>
      </w:r>
      <w:r>
        <w:rPr>
          <w:rFonts w:hint="eastAsia" w:asciiTheme="minorEastAsia" w:hAnsiTheme="minorEastAsia" w:eastAsiaTheme="minorEastAsia"/>
          <w:color w:val="auto"/>
          <w:kern w:val="0"/>
          <w:szCs w:val="21"/>
          <w:highlight w:val="none"/>
        </w:rPr>
        <w:t>响应文件</w:t>
      </w:r>
      <w:r>
        <w:rPr>
          <w:rFonts w:asciiTheme="minorEastAsia" w:hAnsiTheme="minorEastAsia" w:eastAsiaTheme="minorEastAsia"/>
          <w:color w:val="auto"/>
          <w:kern w:val="0"/>
          <w:szCs w:val="21"/>
          <w:highlight w:val="none"/>
        </w:rPr>
        <w:t>的磋商报价，供应商同意</w:t>
      </w:r>
      <w:r>
        <w:rPr>
          <w:rFonts w:hint="eastAsia" w:asciiTheme="minorEastAsia" w:hAnsiTheme="minorEastAsia" w:eastAsiaTheme="minorEastAsia"/>
          <w:color w:val="auto"/>
          <w:kern w:val="0"/>
          <w:szCs w:val="21"/>
          <w:highlight w:val="none"/>
        </w:rPr>
        <w:t>并签字确认</w:t>
      </w:r>
      <w:r>
        <w:rPr>
          <w:rFonts w:asciiTheme="minorEastAsia" w:hAnsiTheme="minorEastAsia" w:eastAsiaTheme="minorEastAsia"/>
          <w:color w:val="auto"/>
          <w:kern w:val="0"/>
          <w:szCs w:val="21"/>
          <w:highlight w:val="none"/>
        </w:rPr>
        <w:t>后，调整后的磋商报价对磋商供应商具有约束作用。如果供应商不接受修正后的报价，则其</w:t>
      </w:r>
      <w:r>
        <w:rPr>
          <w:rFonts w:hint="eastAsia" w:asciiTheme="minorEastAsia" w:hAnsiTheme="minorEastAsia" w:eastAsiaTheme="minorEastAsia"/>
          <w:color w:val="auto"/>
          <w:kern w:val="0"/>
          <w:szCs w:val="21"/>
          <w:highlight w:val="none"/>
        </w:rPr>
        <w:t>响应</w:t>
      </w:r>
      <w:r>
        <w:rPr>
          <w:rFonts w:asciiTheme="minorEastAsia" w:hAnsiTheme="minorEastAsia" w:eastAsiaTheme="minorEastAsia"/>
          <w:color w:val="auto"/>
          <w:kern w:val="0"/>
          <w:szCs w:val="21"/>
          <w:highlight w:val="none"/>
        </w:rPr>
        <w:t>将</w:t>
      </w:r>
      <w:r>
        <w:rPr>
          <w:rFonts w:hint="eastAsia" w:asciiTheme="minorEastAsia" w:hAnsiTheme="minorEastAsia" w:eastAsiaTheme="minorEastAsia"/>
          <w:color w:val="auto"/>
          <w:kern w:val="0"/>
          <w:szCs w:val="21"/>
          <w:highlight w:val="none"/>
        </w:rPr>
        <w:t>作为无效响应处理</w:t>
      </w:r>
      <w:r>
        <w:rPr>
          <w:rFonts w:asciiTheme="minorEastAsia" w:hAnsiTheme="minorEastAsia" w:eastAsiaTheme="minorEastAsia"/>
          <w:color w:val="auto"/>
          <w:kern w:val="0"/>
          <w:szCs w:val="21"/>
          <w:highlight w:val="none"/>
        </w:rPr>
        <w:t>。</w:t>
      </w:r>
    </w:p>
    <w:p w14:paraId="0078E10B">
      <w:pPr>
        <w:pStyle w:val="28"/>
        <w:snapToGrid w:val="0"/>
        <w:spacing w:after="120" w:line="360" w:lineRule="auto"/>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6</w:t>
      </w:r>
      <w:r>
        <w:rPr>
          <w:rFonts w:asciiTheme="minorEastAsia" w:hAnsiTheme="minorEastAsia" w:eastAsiaTheme="minorEastAsia"/>
          <w:color w:val="auto"/>
          <w:kern w:val="0"/>
          <w:szCs w:val="21"/>
          <w:highlight w:val="none"/>
        </w:rPr>
        <w:t>.评标过程的监控</w:t>
      </w:r>
    </w:p>
    <w:p w14:paraId="0FE5D2D4">
      <w:pPr>
        <w:pStyle w:val="28"/>
        <w:snapToGrid w:val="0"/>
        <w:spacing w:after="120"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color w:val="auto"/>
          <w:kern w:val="0"/>
          <w:szCs w:val="21"/>
          <w:highlight w:val="none"/>
        </w:rPr>
        <w:t>本项目评标过程实行全程录音、录像监控</w:t>
      </w:r>
      <w:r>
        <w:rPr>
          <w:rFonts w:hint="eastAsia" w:asciiTheme="minorEastAsia" w:hAnsiTheme="minorEastAsia" w:eastAsiaTheme="minorEastAsia"/>
          <w:color w:val="auto"/>
          <w:kern w:val="0"/>
          <w:szCs w:val="21"/>
          <w:highlight w:val="none"/>
        </w:rPr>
        <w:t>。</w:t>
      </w:r>
      <w:bookmarkEnd w:id="61"/>
      <w:bookmarkStart w:id="67" w:name="_Toc498261259"/>
    </w:p>
    <w:p w14:paraId="5EA04243">
      <w:pPr>
        <w:pStyle w:val="28"/>
        <w:snapToGrid w:val="0"/>
        <w:spacing w:before="120" w:after="120" w:line="360" w:lineRule="auto"/>
        <w:jc w:val="center"/>
        <w:outlineLvl w:val="1"/>
        <w:rPr>
          <w:rFonts w:asciiTheme="minorEastAsia" w:hAnsiTheme="minorEastAsia" w:eastAsiaTheme="minorEastAsia"/>
          <w:b/>
          <w:color w:val="auto"/>
          <w:szCs w:val="21"/>
          <w:highlight w:val="none"/>
        </w:rPr>
      </w:pPr>
    </w:p>
    <w:p w14:paraId="02F27615">
      <w:pPr>
        <w:pStyle w:val="28"/>
        <w:snapToGrid w:val="0"/>
        <w:spacing w:before="120" w:after="120" w:line="360" w:lineRule="auto"/>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六、</w:t>
      </w:r>
      <w:r>
        <w:rPr>
          <w:rFonts w:asciiTheme="minorEastAsia" w:hAnsiTheme="minorEastAsia" w:eastAsiaTheme="minorEastAsia"/>
          <w:b/>
          <w:color w:val="auto"/>
          <w:szCs w:val="21"/>
          <w:highlight w:val="none"/>
        </w:rPr>
        <w:t>磋商结果的确定</w:t>
      </w:r>
      <w:bookmarkEnd w:id="67"/>
    </w:p>
    <w:p w14:paraId="699C0551">
      <w:pPr>
        <w:pStyle w:val="15"/>
        <w:spacing w:line="360" w:lineRule="auto"/>
        <w:ind w:firstLine="0"/>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（一）</w:t>
      </w:r>
      <w:r>
        <w:rPr>
          <w:rFonts w:asciiTheme="minorEastAsia" w:hAnsiTheme="minorEastAsia" w:eastAsiaTheme="minorEastAsia"/>
          <w:color w:val="auto"/>
          <w:kern w:val="2"/>
          <w:szCs w:val="21"/>
          <w:highlight w:val="none"/>
        </w:rPr>
        <w:t>磋商结果确定</w:t>
      </w:r>
      <w:r>
        <w:rPr>
          <w:rFonts w:hint="eastAsia" w:asciiTheme="minorEastAsia" w:hAnsiTheme="minorEastAsia" w:eastAsiaTheme="minorEastAsia"/>
          <w:color w:val="auto"/>
          <w:kern w:val="2"/>
          <w:szCs w:val="21"/>
          <w:highlight w:val="none"/>
        </w:rPr>
        <w:t>：在全部满足磋商文件实质性要求的前提下，按综合得分高低直接确定排名第一的为中标人。综合得分排名第一的中标人放弃中标或者因不可抗力提出不能履行合同，采购人可以确定综合得分排名第二的为中标人，综合得分排名第二的中标人因前款同样的原因不能签订合同，采购人可以确定综合得分排名第三的为中标人。</w:t>
      </w:r>
      <w:bookmarkStart w:id="68" w:name="_Toc107820051"/>
      <w:bookmarkStart w:id="69" w:name="_Toc170792772"/>
    </w:p>
    <w:p w14:paraId="0487A74D">
      <w:pPr>
        <w:spacing w:line="360" w:lineRule="auto"/>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（二）</w:t>
      </w:r>
      <w:r>
        <w:rPr>
          <w:rFonts w:asciiTheme="minorEastAsia" w:hAnsiTheme="minorEastAsia" w:eastAsiaTheme="minorEastAsia"/>
          <w:color w:val="auto"/>
          <w:kern w:val="2"/>
          <w:szCs w:val="21"/>
          <w:highlight w:val="none"/>
        </w:rPr>
        <w:t>成交公告</w:t>
      </w:r>
      <w:r>
        <w:rPr>
          <w:rFonts w:hint="eastAsia" w:asciiTheme="minorEastAsia" w:hAnsiTheme="minorEastAsia" w:eastAsiaTheme="minorEastAsia"/>
          <w:color w:val="auto"/>
          <w:kern w:val="2"/>
          <w:szCs w:val="21"/>
          <w:highlight w:val="none"/>
        </w:rPr>
        <w:t>：成交公告期限为1个工作日。</w:t>
      </w:r>
    </w:p>
    <w:p w14:paraId="31346FB8">
      <w:pPr>
        <w:widowControl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color w:val="auto"/>
          <w:kern w:val="2"/>
          <w:szCs w:val="21"/>
          <w:highlight w:val="none"/>
        </w:rPr>
        <w:t>（三）</w:t>
      </w:r>
      <w:r>
        <w:rPr>
          <w:rFonts w:asciiTheme="minorEastAsia" w:hAnsiTheme="minorEastAsia" w:eastAsiaTheme="minorEastAsia"/>
          <w:color w:val="auto"/>
          <w:kern w:val="2"/>
          <w:szCs w:val="21"/>
          <w:highlight w:val="none"/>
        </w:rPr>
        <w:t>成交通知书</w:t>
      </w:r>
      <w:r>
        <w:rPr>
          <w:rFonts w:hint="eastAsia" w:asciiTheme="minorEastAsia" w:hAnsiTheme="minorEastAsia" w:eastAsiaTheme="minorEastAsia"/>
          <w:color w:val="auto"/>
          <w:kern w:val="2"/>
          <w:szCs w:val="21"/>
          <w:highlight w:val="none"/>
        </w:rPr>
        <w:t>：在公告成交结果的同时，代理机构向成交供应商发出成交通知书。</w:t>
      </w:r>
      <w:bookmarkEnd w:id="68"/>
      <w:bookmarkEnd w:id="69"/>
    </w:p>
    <w:p w14:paraId="25D03716">
      <w:pPr>
        <w:pStyle w:val="28"/>
        <w:snapToGrid w:val="0"/>
        <w:spacing w:before="120" w:after="120" w:line="360" w:lineRule="auto"/>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七、合同授予</w:t>
      </w:r>
    </w:p>
    <w:p w14:paraId="4091C34E">
      <w:pPr>
        <w:snapToGrid w:val="0"/>
        <w:spacing w:line="360" w:lineRule="auto"/>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（一）签订合同</w:t>
      </w:r>
    </w:p>
    <w:p w14:paraId="3F7C1993">
      <w:pPr>
        <w:snapToGrid w:val="0"/>
        <w:spacing w:line="360" w:lineRule="auto"/>
        <w:ind w:firstLine="420" w:firstLineChars="200"/>
        <w:rPr>
          <w:rFonts w:asciiTheme="minorEastAsia" w:hAnsiTheme="minorEastAsia" w:eastAsiaTheme="minorEastAsia"/>
          <w:color w:val="auto"/>
          <w:kern w:val="2"/>
          <w:szCs w:val="21"/>
          <w:highlight w:val="none"/>
        </w:rPr>
      </w:pPr>
      <w:r>
        <w:rPr>
          <w:rFonts w:asciiTheme="minorEastAsia" w:hAnsiTheme="minorEastAsia" w:eastAsiaTheme="minorEastAsia"/>
          <w:color w:val="auto"/>
          <w:kern w:val="2"/>
          <w:szCs w:val="21"/>
          <w:highlight w:val="none"/>
        </w:rPr>
        <w:t>1</w:t>
      </w:r>
      <w:r>
        <w:rPr>
          <w:rFonts w:hint="eastAsia" w:asciiTheme="minorEastAsia" w:hAnsiTheme="minorEastAsia" w:eastAsiaTheme="minorEastAsia"/>
          <w:color w:val="auto"/>
          <w:kern w:val="2"/>
          <w:szCs w:val="21"/>
          <w:highlight w:val="none"/>
        </w:rPr>
        <w:t>.采购人与成交供应商</w:t>
      </w:r>
      <w:r>
        <w:rPr>
          <w:rFonts w:asciiTheme="minorEastAsia" w:hAnsiTheme="minorEastAsia" w:eastAsiaTheme="minorEastAsia"/>
          <w:color w:val="auto"/>
          <w:kern w:val="2"/>
          <w:szCs w:val="21"/>
          <w:highlight w:val="none"/>
        </w:rPr>
        <w:t>应</w:t>
      </w:r>
      <w:r>
        <w:rPr>
          <w:rFonts w:hint="eastAsia" w:asciiTheme="minorEastAsia" w:hAnsiTheme="minorEastAsia" w:eastAsiaTheme="minorEastAsia"/>
          <w:color w:val="auto"/>
          <w:kern w:val="2"/>
          <w:szCs w:val="21"/>
          <w:highlight w:val="none"/>
        </w:rPr>
        <w:t>当在《成交通知书》发出之日起30日内签订政府采购合同。同时，代理机构对合同内容进行审查，如发现与采购结果和投标承诺内容不一致的，将予以纠正。</w:t>
      </w:r>
    </w:p>
    <w:p w14:paraId="3FA6D282">
      <w:pPr>
        <w:snapToGrid w:val="0"/>
        <w:spacing w:line="360" w:lineRule="auto"/>
        <w:ind w:firstLine="420" w:firstLineChars="200"/>
        <w:rPr>
          <w:rFonts w:asciiTheme="minorEastAsia" w:hAnsiTheme="minorEastAsia" w:eastAsiaTheme="minorEastAsia"/>
          <w:b/>
          <w:color w:val="auto"/>
          <w:kern w:val="2"/>
          <w:szCs w:val="21"/>
          <w:highlight w:val="none"/>
        </w:rPr>
      </w:pPr>
      <w:r>
        <w:rPr>
          <w:rFonts w:asciiTheme="minorEastAsia" w:hAnsiTheme="minorEastAsia" w:eastAsiaTheme="minorEastAsia"/>
          <w:color w:val="auto"/>
          <w:kern w:val="2"/>
          <w:szCs w:val="21"/>
          <w:highlight w:val="none"/>
        </w:rPr>
        <w:t>2</w:t>
      </w:r>
      <w:r>
        <w:rPr>
          <w:rFonts w:hint="eastAsia" w:asciiTheme="minorEastAsia" w:hAnsiTheme="minorEastAsia" w:eastAsiaTheme="minorEastAsia"/>
          <w:color w:val="auto"/>
          <w:kern w:val="2"/>
          <w:szCs w:val="21"/>
          <w:highlight w:val="none"/>
        </w:rPr>
        <w:t>.成交供应商</w:t>
      </w:r>
      <w:r>
        <w:rPr>
          <w:rFonts w:asciiTheme="minorEastAsia" w:hAnsiTheme="minorEastAsia" w:eastAsiaTheme="minorEastAsia"/>
          <w:color w:val="auto"/>
          <w:kern w:val="2"/>
          <w:szCs w:val="21"/>
          <w:highlight w:val="none"/>
        </w:rPr>
        <w:t>拖延、拒签合同的,将被取消中标资格</w:t>
      </w:r>
      <w:r>
        <w:rPr>
          <w:rFonts w:hint="eastAsia" w:asciiTheme="minorEastAsia" w:hAnsiTheme="minorEastAsia" w:eastAsiaTheme="minorEastAsia"/>
          <w:color w:val="auto"/>
          <w:kern w:val="2"/>
          <w:szCs w:val="21"/>
          <w:highlight w:val="none"/>
        </w:rPr>
        <w:t>，并报监督管理部门</w:t>
      </w:r>
      <w:r>
        <w:rPr>
          <w:rFonts w:asciiTheme="minorEastAsia" w:hAnsiTheme="minorEastAsia" w:eastAsiaTheme="minorEastAsia"/>
          <w:color w:val="auto"/>
          <w:kern w:val="2"/>
          <w:szCs w:val="21"/>
          <w:highlight w:val="none"/>
        </w:rPr>
        <w:t>。</w:t>
      </w:r>
    </w:p>
    <w:p w14:paraId="16A3BFD3">
      <w:pPr>
        <w:spacing w:line="360" w:lineRule="auto"/>
        <w:jc w:val="center"/>
        <w:outlineLvl w:val="1"/>
        <w:rPr>
          <w:rFonts w:asciiTheme="minorEastAsia" w:hAnsiTheme="minorEastAsia" w:eastAsiaTheme="minorEastAsia"/>
          <w:b/>
          <w:color w:val="auto"/>
          <w:kern w:val="2"/>
          <w:szCs w:val="21"/>
          <w:highlight w:val="none"/>
        </w:rPr>
      </w:pPr>
      <w:r>
        <w:rPr>
          <w:rFonts w:hint="eastAsia" w:asciiTheme="minorEastAsia" w:hAnsiTheme="minorEastAsia" w:eastAsiaTheme="minorEastAsia"/>
          <w:b/>
          <w:color w:val="auto"/>
          <w:kern w:val="2"/>
          <w:szCs w:val="21"/>
          <w:highlight w:val="none"/>
        </w:rPr>
        <w:t>八、招标代理费</w:t>
      </w:r>
    </w:p>
    <w:p w14:paraId="5EB129F2">
      <w:pPr>
        <w:snapToGrid w:val="0"/>
        <w:spacing w:line="360" w:lineRule="auto"/>
        <w:ind w:firstLine="420" w:firstLineChars="200"/>
        <w:jc w:val="left"/>
        <w:rPr>
          <w:rFonts w:hint="default" w:asciiTheme="minorEastAsia" w:hAnsiTheme="minorEastAsia" w:eastAsiaTheme="minorEastAsia"/>
          <w:color w:val="auto"/>
          <w:sz w:val="21"/>
          <w:szCs w:val="21"/>
          <w:highlight w:val="none"/>
          <w:lang w:val="en-US"/>
        </w:rPr>
      </w:pPr>
      <w:r>
        <w:rPr>
          <w:rFonts w:hint="eastAsia" w:asciiTheme="minorEastAsia" w:hAnsiTheme="minorEastAsia" w:eastAsiaTheme="minorEastAsia"/>
          <w:color w:val="auto"/>
          <w:sz w:val="21"/>
          <w:szCs w:val="21"/>
          <w:highlight w:val="none"/>
        </w:rPr>
        <w:t>1.招标代理机构</w:t>
      </w:r>
      <w:r>
        <w:rPr>
          <w:rFonts w:ascii="宋体" w:hAnsi="宋体" w:cs="宋体"/>
          <w:szCs w:val="21"/>
          <w:highlight w:val="none"/>
        </w:rPr>
        <w:t>根据“国家发展和改革委员会办公厅《关于招标代理服务收费有关问题的通知》（发改办价格【2003】857号）”</w:t>
      </w:r>
      <w:r>
        <w:rPr>
          <w:rFonts w:hint="eastAsia" w:ascii="宋体" w:hAnsi="宋体" w:cs="宋体"/>
          <w:szCs w:val="21"/>
          <w:highlight w:val="none"/>
          <w:lang w:eastAsia="zh-CN"/>
        </w:rPr>
        <w:t>及</w:t>
      </w:r>
      <w:r>
        <w:rPr>
          <w:rFonts w:ascii="宋体" w:hAnsi="宋体" w:cs="宋体"/>
          <w:szCs w:val="21"/>
          <w:highlight w:val="none"/>
        </w:rPr>
        <w:t>浙价服〔2003〕77号文</w:t>
      </w:r>
      <w:r>
        <w:rPr>
          <w:rFonts w:hint="eastAsia" w:ascii="宋体" w:hAnsi="宋体" w:cs="宋体"/>
          <w:szCs w:val="21"/>
          <w:highlight w:val="none"/>
          <w:lang w:eastAsia="zh-CN"/>
        </w:rPr>
        <w:t>相关规定</w:t>
      </w:r>
      <w:r>
        <w:rPr>
          <w:rFonts w:ascii="宋体" w:hAnsi="宋体" w:cs="宋体"/>
          <w:szCs w:val="21"/>
          <w:highlight w:val="none"/>
        </w:rPr>
        <w:t>，</w:t>
      </w:r>
      <w:r>
        <w:rPr>
          <w:rFonts w:hint="eastAsia" w:asciiTheme="minorEastAsia" w:hAnsiTheme="minorEastAsia" w:eastAsiaTheme="minorEastAsia"/>
          <w:color w:val="auto"/>
          <w:sz w:val="21"/>
          <w:szCs w:val="21"/>
          <w:highlight w:val="none"/>
          <w:lang w:eastAsia="zh-CN"/>
        </w:rPr>
        <w:t>依照与嘉兴市交通运输局签署的入围协议相关条款向</w:t>
      </w:r>
      <w:r>
        <w:rPr>
          <w:rFonts w:hint="eastAsia" w:asciiTheme="minorEastAsia" w:hAnsiTheme="minorEastAsia" w:eastAsiaTheme="minorEastAsia"/>
          <w:color w:val="auto"/>
          <w:sz w:val="21"/>
          <w:szCs w:val="21"/>
          <w:highlight w:val="none"/>
        </w:rPr>
        <w:t>中标人收取招标代理服务费</w:t>
      </w:r>
      <w:r>
        <w:rPr>
          <w:rFonts w:hint="eastAsia" w:asciiTheme="minorEastAsia" w:hAnsiTheme="minorEastAsia" w:eastAsiaTheme="minorEastAsia"/>
          <w:color w:val="auto"/>
          <w:sz w:val="21"/>
          <w:szCs w:val="21"/>
          <w:highlight w:val="none"/>
          <w:lang w:eastAsia="zh-CN"/>
        </w:rPr>
        <w:t>，</w:t>
      </w:r>
    </w:p>
    <w:p w14:paraId="5AC89A88">
      <w:pPr>
        <w:snapToGrid w:val="0"/>
        <w:spacing w:beforeLines="50" w:afterLines="50" w:line="360" w:lineRule="auto"/>
        <w:ind w:left="238" w:firstLine="210" w:firstLineChars="100"/>
        <w:outlineLvl w:val="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.招标代理服务费支付方式：一次性以银行划账、现金或支票的形式支付。</w:t>
      </w:r>
    </w:p>
    <w:p w14:paraId="46BA4941">
      <w:pPr>
        <w:snapToGrid w:val="0"/>
        <w:spacing w:beforeLines="50" w:afterLines="50" w:line="360" w:lineRule="auto"/>
        <w:ind w:left="238" w:firstLine="210" w:firstLineChars="100"/>
        <w:outlineLvl w:val="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3</w:t>
      </w:r>
      <w:r>
        <w:rPr>
          <w:rFonts w:hint="eastAsia" w:asciiTheme="minorEastAsia" w:hAnsiTheme="minorEastAsia" w:eastAsiaTheme="minorEastAsia"/>
          <w:color w:val="auto"/>
          <w:sz w:val="21"/>
          <w:szCs w:val="21"/>
          <w:highlight w:val="none"/>
        </w:rPr>
        <w:t>.代理费以银行划账方式按下列要求提交：</w:t>
      </w:r>
    </w:p>
    <w:p w14:paraId="4310CAF8">
      <w:pPr>
        <w:snapToGrid w:val="0"/>
        <w:spacing w:beforeLines="50" w:afterLines="50" w:line="360" w:lineRule="auto"/>
        <w:ind w:left="238" w:firstLine="210" w:firstLineChars="100"/>
        <w:outlineLvl w:val="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户名：嘉兴市银建工程咨询评估有限公司</w:t>
      </w:r>
    </w:p>
    <w:p w14:paraId="2C0C8EB4">
      <w:pPr>
        <w:snapToGrid w:val="0"/>
        <w:spacing w:beforeLines="50" w:afterLines="50" w:line="360" w:lineRule="auto"/>
        <w:ind w:left="238" w:firstLine="210" w:firstLineChars="100"/>
        <w:outlineLvl w:val="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开户银行：建行嘉兴分行营业部</w:t>
      </w:r>
    </w:p>
    <w:p w14:paraId="08F45C2D">
      <w:pPr>
        <w:snapToGrid w:val="0"/>
        <w:spacing w:beforeLines="50" w:afterLines="50" w:line="360" w:lineRule="auto"/>
        <w:ind w:left="238" w:firstLine="210" w:firstLineChars="100"/>
        <w:outlineLvl w:val="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账号：3300 1638 0470 5000 4370</w:t>
      </w:r>
    </w:p>
    <w:p w14:paraId="13085ECD">
      <w:pPr>
        <w:snapToGrid w:val="0"/>
        <w:spacing w:beforeLines="50" w:afterLines="50" w:line="360" w:lineRule="auto"/>
        <w:ind w:left="238" w:firstLine="210" w:firstLineChars="100"/>
        <w:outlineLvl w:val="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4</w:t>
      </w:r>
      <w:r>
        <w:rPr>
          <w:rFonts w:hint="eastAsia" w:asciiTheme="minorEastAsia" w:hAnsiTheme="minorEastAsia" w:eastAsiaTheme="minorEastAsia"/>
          <w:color w:val="auto"/>
          <w:sz w:val="21"/>
          <w:szCs w:val="21"/>
          <w:highlight w:val="none"/>
        </w:rPr>
        <w:t>招标代理服务费</w:t>
      </w:r>
      <w:r>
        <w:rPr>
          <w:rFonts w:hint="eastAsia" w:asciiTheme="minorEastAsia" w:hAnsiTheme="minorEastAsia" w:eastAsiaTheme="minorEastAsia"/>
          <w:color w:val="auto"/>
          <w:sz w:val="21"/>
          <w:szCs w:val="21"/>
          <w:highlight w:val="none"/>
          <w:lang w:eastAsia="zh-CN"/>
        </w:rPr>
        <w:t>及控制价编制费</w:t>
      </w:r>
      <w:r>
        <w:rPr>
          <w:rFonts w:hint="eastAsia" w:asciiTheme="minorEastAsia" w:hAnsiTheme="minorEastAsia" w:eastAsiaTheme="minorEastAsia"/>
          <w:color w:val="auto"/>
          <w:sz w:val="21"/>
          <w:szCs w:val="21"/>
          <w:highlight w:val="none"/>
        </w:rPr>
        <w:t>支付时间：招标代理服务费</w:t>
      </w:r>
      <w:r>
        <w:rPr>
          <w:rFonts w:hint="eastAsia" w:asciiTheme="minorEastAsia" w:hAnsiTheme="minorEastAsia" w:eastAsiaTheme="minorEastAsia"/>
          <w:color w:val="auto"/>
          <w:sz w:val="21"/>
          <w:szCs w:val="21"/>
          <w:highlight w:val="none"/>
          <w:lang w:eastAsia="zh-CN"/>
        </w:rPr>
        <w:t>及控制价编制费</w:t>
      </w:r>
      <w:r>
        <w:rPr>
          <w:rFonts w:hint="eastAsia" w:asciiTheme="minorEastAsia" w:hAnsiTheme="minorEastAsia" w:eastAsiaTheme="minorEastAsia"/>
          <w:color w:val="auto"/>
          <w:sz w:val="21"/>
          <w:szCs w:val="21"/>
          <w:highlight w:val="none"/>
        </w:rPr>
        <w:t>必须在中标人领取《中标通知书》时一次性付清，如果中标人未能按时交纳服务费，采购代理机构/采购人保留追究其责任的权利。</w:t>
      </w:r>
    </w:p>
    <w:p w14:paraId="7056E744">
      <w:pPr>
        <w:snapToGrid w:val="0"/>
        <w:spacing w:line="360" w:lineRule="auto"/>
        <w:ind w:firstLine="420" w:firstLineChars="200"/>
        <w:rPr>
          <w:rFonts w:hint="default"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sz w:val="21"/>
          <w:szCs w:val="21"/>
          <w:highlight w:val="none"/>
          <w:lang w:val="en-US" w:eastAsia="zh-CN"/>
        </w:rPr>
        <w:t>5</w:t>
      </w:r>
      <w:r>
        <w:rPr>
          <w:rFonts w:hint="eastAsia" w:asciiTheme="minorEastAsia" w:hAnsiTheme="minorEastAsia" w:eastAsiaTheme="minorEastAsia"/>
          <w:color w:val="auto"/>
          <w:sz w:val="21"/>
          <w:szCs w:val="21"/>
          <w:highlight w:val="none"/>
        </w:rPr>
        <w:t>.招标代理服务费不在投标报价中单列。</w:t>
      </w:r>
    </w:p>
    <w:p w14:paraId="14FB85AB">
      <w:pPr>
        <w:rPr>
          <w:rFonts w:asciiTheme="minorEastAsia" w:hAnsiTheme="minorEastAsia" w:eastAsiaTheme="minorEastAsia"/>
          <w:b/>
          <w:color w:val="auto"/>
          <w:sz w:val="28"/>
          <w:szCs w:val="28"/>
          <w:highlight w:val="none"/>
        </w:rPr>
      </w:pPr>
      <w:bookmarkStart w:id="70" w:name="_Toc5936"/>
      <w:r>
        <w:rPr>
          <w:rFonts w:hint="eastAsia" w:asciiTheme="minorEastAsia" w:hAnsiTheme="minorEastAsia" w:eastAsiaTheme="minorEastAsia"/>
          <w:b/>
          <w:color w:val="auto"/>
          <w:sz w:val="28"/>
          <w:szCs w:val="28"/>
          <w:highlight w:val="none"/>
        </w:rPr>
        <w:br w:type="page"/>
      </w:r>
    </w:p>
    <w:p w14:paraId="04495C7C">
      <w:pPr>
        <w:numPr>
          <w:ilvl w:val="0"/>
          <w:numId w:val="5"/>
        </w:numPr>
        <w:snapToGrid w:val="0"/>
        <w:spacing w:before="120" w:after="120" w:line="360" w:lineRule="auto"/>
        <w:jc w:val="center"/>
        <w:outlineLvl w:val="0"/>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评标办法</w:t>
      </w:r>
      <w:bookmarkEnd w:id="70"/>
    </w:p>
    <w:tbl>
      <w:tblPr>
        <w:tblStyle w:val="55"/>
        <w:tblW w:w="934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630"/>
        <w:gridCol w:w="6096"/>
        <w:gridCol w:w="978"/>
      </w:tblGrid>
      <w:tr w14:paraId="46CC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8" w:type="dxa"/>
            <w:noWrap w:val="0"/>
            <w:vAlign w:val="center"/>
          </w:tcPr>
          <w:p w14:paraId="53AD8851">
            <w:pPr>
              <w:widowControl/>
              <w:spacing w:line="400" w:lineRule="exact"/>
              <w:jc w:val="center"/>
              <w:rPr>
                <w:rFonts w:ascii="宋体" w:hAnsi="宋体"/>
                <w:b/>
                <w:highlight w:val="none"/>
              </w:rPr>
            </w:pPr>
            <w:bookmarkStart w:id="71" w:name="_Hlk141431243"/>
            <w:r>
              <w:rPr>
                <w:rFonts w:hint="eastAsia" w:ascii="宋体" w:hAnsi="宋体" w:cs="宋体"/>
                <w:b/>
                <w:highlight w:val="none"/>
              </w:rPr>
              <w:t>序号</w:t>
            </w:r>
          </w:p>
        </w:tc>
        <w:tc>
          <w:tcPr>
            <w:tcW w:w="1630" w:type="dxa"/>
            <w:noWrap w:val="0"/>
            <w:vAlign w:val="center"/>
          </w:tcPr>
          <w:p w14:paraId="441F30BC">
            <w:pPr>
              <w:widowControl/>
              <w:spacing w:line="400" w:lineRule="exact"/>
              <w:jc w:val="center"/>
              <w:rPr>
                <w:rFonts w:ascii="宋体" w:hAnsi="宋体"/>
                <w:b/>
                <w:highlight w:val="none"/>
              </w:rPr>
            </w:pPr>
            <w:r>
              <w:rPr>
                <w:rFonts w:hint="eastAsia" w:ascii="宋体" w:hAnsi="宋体" w:cs="宋体"/>
                <w:b/>
                <w:highlight w:val="none"/>
              </w:rPr>
              <w:t>评价要素</w:t>
            </w:r>
          </w:p>
        </w:tc>
        <w:tc>
          <w:tcPr>
            <w:tcW w:w="6096" w:type="dxa"/>
            <w:noWrap w:val="0"/>
            <w:vAlign w:val="center"/>
          </w:tcPr>
          <w:p w14:paraId="74D3199F">
            <w:pPr>
              <w:widowControl/>
              <w:spacing w:line="400" w:lineRule="exact"/>
              <w:jc w:val="center"/>
              <w:rPr>
                <w:rFonts w:ascii="宋体" w:hAnsi="宋体"/>
                <w:b/>
                <w:highlight w:val="none"/>
              </w:rPr>
            </w:pPr>
            <w:r>
              <w:rPr>
                <w:rFonts w:hint="eastAsia" w:ascii="宋体" w:hAnsi="宋体" w:cs="宋体"/>
                <w:b/>
                <w:highlight w:val="none"/>
              </w:rPr>
              <w:t>评分细则</w:t>
            </w:r>
          </w:p>
        </w:tc>
        <w:tc>
          <w:tcPr>
            <w:tcW w:w="978" w:type="dxa"/>
            <w:noWrap w:val="0"/>
            <w:vAlign w:val="center"/>
          </w:tcPr>
          <w:p w14:paraId="471E46F0">
            <w:pPr>
              <w:widowControl/>
              <w:spacing w:line="400" w:lineRule="exact"/>
              <w:jc w:val="center"/>
              <w:rPr>
                <w:rFonts w:ascii="宋体" w:hAnsi="宋体" w:cs="宋体"/>
                <w:b/>
                <w:highlight w:val="none"/>
              </w:rPr>
            </w:pPr>
            <w:r>
              <w:rPr>
                <w:rFonts w:hint="eastAsia" w:ascii="宋体" w:hAnsi="宋体" w:cs="宋体"/>
                <w:b/>
                <w:highlight w:val="none"/>
              </w:rPr>
              <w:t>得分</w:t>
            </w:r>
          </w:p>
        </w:tc>
      </w:tr>
      <w:tr w14:paraId="4244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8" w:type="dxa"/>
            <w:vMerge w:val="restart"/>
            <w:noWrap w:val="0"/>
            <w:vAlign w:val="center"/>
          </w:tcPr>
          <w:p w14:paraId="5A65984B">
            <w:pPr>
              <w:widowControl/>
              <w:spacing w:line="400" w:lineRule="exact"/>
              <w:jc w:val="center"/>
              <w:rPr>
                <w:rFonts w:hint="eastAsia" w:ascii="宋体" w:hAnsi="宋体" w:cs="宋体"/>
                <w:highlight w:val="none"/>
              </w:rPr>
            </w:pPr>
            <w:r>
              <w:rPr>
                <w:rFonts w:hint="eastAsia" w:ascii="宋体" w:hAnsi="宋体" w:cs="宋体"/>
                <w:highlight w:val="none"/>
              </w:rPr>
              <w:t>1</w:t>
            </w:r>
          </w:p>
        </w:tc>
        <w:tc>
          <w:tcPr>
            <w:tcW w:w="1630" w:type="dxa"/>
            <w:vMerge w:val="restart"/>
            <w:noWrap w:val="0"/>
            <w:vAlign w:val="center"/>
          </w:tcPr>
          <w:p w14:paraId="66EB1B1B">
            <w:pPr>
              <w:spacing w:line="400" w:lineRule="exact"/>
              <w:jc w:val="center"/>
              <w:rPr>
                <w:rFonts w:hint="eastAsia" w:ascii="宋体" w:hAnsi="宋体" w:cs="宋体"/>
                <w:szCs w:val="21"/>
                <w:highlight w:val="none"/>
              </w:rPr>
            </w:pPr>
            <w:r>
              <w:rPr>
                <w:rFonts w:hint="eastAsia" w:ascii="宋体" w:hAnsi="宋体" w:cs="宋体"/>
                <w:szCs w:val="21"/>
                <w:highlight w:val="none"/>
              </w:rPr>
              <w:t>技术方案</w:t>
            </w:r>
          </w:p>
          <w:p w14:paraId="181C325D">
            <w:pPr>
              <w:spacing w:line="400" w:lineRule="exact"/>
              <w:jc w:val="center"/>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57</w:t>
            </w:r>
            <w:r>
              <w:rPr>
                <w:rFonts w:hint="eastAsia" w:ascii="宋体" w:hAnsi="宋体" w:cs="宋体"/>
                <w:szCs w:val="21"/>
                <w:highlight w:val="none"/>
              </w:rPr>
              <w:t>分）</w:t>
            </w:r>
          </w:p>
        </w:tc>
        <w:tc>
          <w:tcPr>
            <w:tcW w:w="6096" w:type="dxa"/>
            <w:noWrap w:val="0"/>
            <w:vAlign w:val="center"/>
          </w:tcPr>
          <w:p w14:paraId="6D63990D">
            <w:pPr>
              <w:widowControl/>
              <w:spacing w:line="400" w:lineRule="exact"/>
              <w:jc w:val="left"/>
              <w:rPr>
                <w:rFonts w:hint="eastAsia" w:ascii="宋体" w:hAnsi="宋体"/>
                <w:szCs w:val="21"/>
                <w:highlight w:val="none"/>
              </w:rPr>
            </w:pPr>
            <w:r>
              <w:rPr>
                <w:rFonts w:hint="eastAsia" w:ascii="宋体" w:hAnsi="宋体"/>
                <w:szCs w:val="21"/>
                <w:highlight w:val="none"/>
              </w:rPr>
              <w:t>施工部署及现场施工组织管理机构：根据投标人提供的施工部署及现场施工组织管理机构内容等进行综合比较评分</w:t>
            </w:r>
            <w:r>
              <w:rPr>
                <w:rFonts w:hint="eastAsia" w:ascii="宋体" w:hAnsi="宋体" w:cs="宋体"/>
                <w:bCs/>
                <w:szCs w:val="21"/>
                <w:highlight w:val="none"/>
              </w:rPr>
              <w:t>（0</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3</w:t>
            </w:r>
            <w:r>
              <w:rPr>
                <w:rFonts w:ascii="宋体" w:hAnsi="宋体" w:cs="宋体"/>
                <w:bCs/>
                <w:szCs w:val="21"/>
                <w:highlight w:val="none"/>
              </w:rPr>
              <w:t>-6</w:t>
            </w:r>
            <w:r>
              <w:rPr>
                <w:rFonts w:hint="eastAsia" w:ascii="宋体" w:hAnsi="宋体" w:cs="宋体"/>
                <w:bCs/>
                <w:szCs w:val="21"/>
                <w:highlight w:val="none"/>
              </w:rPr>
              <w:t>）</w:t>
            </w:r>
          </w:p>
        </w:tc>
        <w:tc>
          <w:tcPr>
            <w:tcW w:w="978" w:type="dxa"/>
            <w:noWrap w:val="0"/>
            <w:vAlign w:val="center"/>
          </w:tcPr>
          <w:p w14:paraId="657827B6">
            <w:pPr>
              <w:widowControl/>
              <w:spacing w:line="400" w:lineRule="exact"/>
              <w:jc w:val="center"/>
              <w:rPr>
                <w:rFonts w:hint="eastAsia" w:ascii="宋体" w:hAnsi="宋体" w:cs="宋体"/>
                <w:highlight w:val="none"/>
              </w:rPr>
            </w:pPr>
            <w:r>
              <w:rPr>
                <w:rFonts w:hint="eastAsia" w:ascii="宋体" w:hAnsi="宋体" w:cs="宋体"/>
                <w:highlight w:val="none"/>
              </w:rPr>
              <w:t>0-6分</w:t>
            </w:r>
          </w:p>
        </w:tc>
      </w:tr>
      <w:tr w14:paraId="5EB4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8" w:type="dxa"/>
            <w:vMerge w:val="continue"/>
            <w:noWrap w:val="0"/>
            <w:vAlign w:val="center"/>
          </w:tcPr>
          <w:p w14:paraId="0B2108B8">
            <w:pPr>
              <w:widowControl/>
              <w:spacing w:line="400" w:lineRule="exact"/>
              <w:jc w:val="center"/>
              <w:rPr>
                <w:rFonts w:hint="eastAsia" w:ascii="宋体" w:hAnsi="宋体" w:cs="宋体"/>
                <w:b/>
                <w:highlight w:val="none"/>
              </w:rPr>
            </w:pPr>
          </w:p>
        </w:tc>
        <w:tc>
          <w:tcPr>
            <w:tcW w:w="1630" w:type="dxa"/>
            <w:vMerge w:val="continue"/>
            <w:noWrap w:val="0"/>
            <w:vAlign w:val="center"/>
          </w:tcPr>
          <w:p w14:paraId="2AA682B8">
            <w:pPr>
              <w:spacing w:line="400" w:lineRule="exact"/>
              <w:rPr>
                <w:rFonts w:hint="eastAsia" w:ascii="宋体" w:hAnsi="宋体" w:cs="宋体"/>
                <w:szCs w:val="21"/>
                <w:highlight w:val="none"/>
              </w:rPr>
            </w:pPr>
          </w:p>
        </w:tc>
        <w:tc>
          <w:tcPr>
            <w:tcW w:w="6096" w:type="dxa"/>
            <w:noWrap w:val="0"/>
            <w:vAlign w:val="center"/>
          </w:tcPr>
          <w:p w14:paraId="499CB55F">
            <w:pPr>
              <w:widowControl/>
              <w:spacing w:line="400" w:lineRule="exact"/>
              <w:jc w:val="left"/>
              <w:rPr>
                <w:rFonts w:hint="eastAsia" w:ascii="宋体" w:hAnsi="宋体"/>
                <w:szCs w:val="21"/>
                <w:highlight w:val="none"/>
              </w:rPr>
            </w:pPr>
            <w:r>
              <w:rPr>
                <w:rFonts w:hint="eastAsia" w:ascii="宋体" w:hAnsi="宋体"/>
                <w:szCs w:val="21"/>
                <w:highlight w:val="none"/>
              </w:rPr>
              <w:t>施工总平面布置：根据投标人提供的施工总平面布置内容等进行综合比较评分</w:t>
            </w:r>
            <w:r>
              <w:rPr>
                <w:rFonts w:hint="eastAsia" w:ascii="宋体" w:hAnsi="宋体" w:cs="宋体"/>
                <w:bCs/>
                <w:szCs w:val="21"/>
                <w:highlight w:val="none"/>
              </w:rPr>
              <w:t>（0</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3</w:t>
            </w:r>
            <w:r>
              <w:rPr>
                <w:rFonts w:ascii="宋体" w:hAnsi="宋体" w:cs="宋体"/>
                <w:bCs/>
                <w:szCs w:val="21"/>
                <w:highlight w:val="none"/>
              </w:rPr>
              <w:t>-6</w:t>
            </w:r>
            <w:r>
              <w:rPr>
                <w:rFonts w:hint="eastAsia" w:ascii="宋体" w:hAnsi="宋体" w:cs="宋体"/>
                <w:bCs/>
                <w:szCs w:val="21"/>
                <w:highlight w:val="none"/>
              </w:rPr>
              <w:t>）</w:t>
            </w:r>
          </w:p>
        </w:tc>
        <w:tc>
          <w:tcPr>
            <w:tcW w:w="978" w:type="dxa"/>
            <w:noWrap w:val="0"/>
            <w:vAlign w:val="center"/>
          </w:tcPr>
          <w:p w14:paraId="12364612">
            <w:pPr>
              <w:widowControl/>
              <w:tabs>
                <w:tab w:val="left" w:pos="556"/>
              </w:tabs>
              <w:spacing w:line="400" w:lineRule="exact"/>
              <w:jc w:val="center"/>
              <w:rPr>
                <w:rFonts w:hint="eastAsia" w:ascii="宋体" w:hAnsi="宋体" w:cs="宋体"/>
                <w:b/>
                <w:highlight w:val="none"/>
              </w:rPr>
            </w:pPr>
            <w:r>
              <w:rPr>
                <w:rFonts w:hint="eastAsia" w:ascii="宋体" w:hAnsi="宋体" w:cs="宋体"/>
                <w:highlight w:val="none"/>
              </w:rPr>
              <w:t>0-6分</w:t>
            </w:r>
          </w:p>
        </w:tc>
      </w:tr>
      <w:tr w14:paraId="6366C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8" w:type="dxa"/>
            <w:vMerge w:val="continue"/>
            <w:noWrap w:val="0"/>
            <w:vAlign w:val="center"/>
          </w:tcPr>
          <w:p w14:paraId="795051A8">
            <w:pPr>
              <w:widowControl/>
              <w:spacing w:line="400" w:lineRule="exact"/>
              <w:jc w:val="center"/>
              <w:rPr>
                <w:rFonts w:hint="eastAsia" w:ascii="宋体" w:hAnsi="宋体" w:cs="宋体"/>
                <w:b/>
                <w:highlight w:val="none"/>
              </w:rPr>
            </w:pPr>
          </w:p>
        </w:tc>
        <w:tc>
          <w:tcPr>
            <w:tcW w:w="1630" w:type="dxa"/>
            <w:vMerge w:val="continue"/>
            <w:noWrap w:val="0"/>
            <w:vAlign w:val="center"/>
          </w:tcPr>
          <w:p w14:paraId="1C2FE468">
            <w:pPr>
              <w:spacing w:line="400" w:lineRule="exact"/>
              <w:rPr>
                <w:rFonts w:hint="eastAsia" w:ascii="宋体" w:hAnsi="宋体" w:cs="宋体"/>
                <w:szCs w:val="21"/>
                <w:highlight w:val="none"/>
              </w:rPr>
            </w:pPr>
          </w:p>
        </w:tc>
        <w:tc>
          <w:tcPr>
            <w:tcW w:w="6096" w:type="dxa"/>
            <w:noWrap w:val="0"/>
            <w:vAlign w:val="center"/>
          </w:tcPr>
          <w:p w14:paraId="44B5ACFC">
            <w:pPr>
              <w:widowControl/>
              <w:spacing w:line="400" w:lineRule="exact"/>
              <w:jc w:val="left"/>
              <w:rPr>
                <w:rFonts w:hint="eastAsia" w:ascii="宋体" w:hAnsi="宋体"/>
                <w:szCs w:val="21"/>
                <w:highlight w:val="none"/>
              </w:rPr>
            </w:pPr>
            <w:r>
              <w:rPr>
                <w:rFonts w:hint="eastAsia" w:ascii="宋体" w:hAnsi="宋体"/>
                <w:szCs w:val="21"/>
                <w:highlight w:val="none"/>
              </w:rPr>
              <w:t>施工总进度计划及保证措施：根据投标人提供的施工总进度计划及保证措施内容等进行综合比较评分</w:t>
            </w:r>
            <w:r>
              <w:rPr>
                <w:rFonts w:hint="eastAsia" w:ascii="宋体" w:hAnsi="宋体" w:cs="宋体"/>
                <w:bCs/>
                <w:szCs w:val="21"/>
                <w:highlight w:val="none"/>
              </w:rPr>
              <w:t>（0</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3</w:t>
            </w:r>
            <w:r>
              <w:rPr>
                <w:rFonts w:ascii="宋体" w:hAnsi="宋体" w:cs="宋体"/>
                <w:bCs/>
                <w:szCs w:val="21"/>
                <w:highlight w:val="none"/>
              </w:rPr>
              <w:t>-6</w:t>
            </w:r>
            <w:r>
              <w:rPr>
                <w:rFonts w:hint="eastAsia" w:ascii="宋体" w:hAnsi="宋体" w:cs="宋体"/>
                <w:bCs/>
                <w:szCs w:val="21"/>
                <w:highlight w:val="none"/>
              </w:rPr>
              <w:t>）</w:t>
            </w:r>
          </w:p>
        </w:tc>
        <w:tc>
          <w:tcPr>
            <w:tcW w:w="978" w:type="dxa"/>
            <w:noWrap w:val="0"/>
            <w:vAlign w:val="center"/>
          </w:tcPr>
          <w:p w14:paraId="59EFB890">
            <w:pPr>
              <w:widowControl/>
              <w:spacing w:line="400" w:lineRule="exact"/>
              <w:jc w:val="center"/>
              <w:rPr>
                <w:rFonts w:hint="eastAsia" w:ascii="宋体" w:hAnsi="宋体" w:cs="宋体"/>
                <w:b/>
                <w:highlight w:val="none"/>
              </w:rPr>
            </w:pPr>
            <w:r>
              <w:rPr>
                <w:rFonts w:hint="eastAsia" w:ascii="宋体" w:hAnsi="宋体" w:cs="宋体"/>
                <w:highlight w:val="none"/>
              </w:rPr>
              <w:t>0-6分</w:t>
            </w:r>
          </w:p>
        </w:tc>
      </w:tr>
      <w:tr w14:paraId="3D4E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8" w:type="dxa"/>
            <w:vMerge w:val="continue"/>
            <w:noWrap w:val="0"/>
            <w:vAlign w:val="center"/>
          </w:tcPr>
          <w:p w14:paraId="41A5E559">
            <w:pPr>
              <w:widowControl/>
              <w:spacing w:line="400" w:lineRule="exact"/>
              <w:jc w:val="center"/>
              <w:rPr>
                <w:rFonts w:hint="eastAsia" w:ascii="宋体" w:hAnsi="宋体" w:cs="宋体"/>
                <w:b/>
                <w:highlight w:val="none"/>
              </w:rPr>
            </w:pPr>
          </w:p>
        </w:tc>
        <w:tc>
          <w:tcPr>
            <w:tcW w:w="1630" w:type="dxa"/>
            <w:vMerge w:val="continue"/>
            <w:noWrap w:val="0"/>
            <w:vAlign w:val="center"/>
          </w:tcPr>
          <w:p w14:paraId="74AA883C">
            <w:pPr>
              <w:spacing w:line="400" w:lineRule="exact"/>
              <w:rPr>
                <w:rFonts w:hint="eastAsia" w:ascii="宋体" w:hAnsi="宋体" w:cs="宋体"/>
                <w:szCs w:val="21"/>
                <w:highlight w:val="none"/>
              </w:rPr>
            </w:pPr>
          </w:p>
        </w:tc>
        <w:tc>
          <w:tcPr>
            <w:tcW w:w="6096" w:type="dxa"/>
            <w:noWrap w:val="0"/>
            <w:vAlign w:val="center"/>
          </w:tcPr>
          <w:p w14:paraId="68B45D4E">
            <w:pPr>
              <w:widowControl/>
              <w:spacing w:line="400" w:lineRule="exact"/>
              <w:jc w:val="left"/>
              <w:rPr>
                <w:rFonts w:hint="eastAsia" w:ascii="宋体" w:hAnsi="宋体"/>
                <w:szCs w:val="21"/>
                <w:highlight w:val="none"/>
              </w:rPr>
            </w:pPr>
            <w:r>
              <w:rPr>
                <w:rFonts w:hint="eastAsia" w:ascii="宋体" w:hAnsi="宋体"/>
                <w:szCs w:val="21"/>
                <w:highlight w:val="none"/>
              </w:rPr>
              <w:t>劳动力配备计划：根据投标人提供的劳动力配备计划内容等进行综合比较评分</w:t>
            </w:r>
            <w:r>
              <w:rPr>
                <w:rFonts w:hint="eastAsia" w:ascii="宋体" w:hAnsi="宋体" w:cs="宋体"/>
                <w:bCs/>
                <w:szCs w:val="21"/>
                <w:highlight w:val="none"/>
              </w:rPr>
              <w:t>（0</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3</w:t>
            </w:r>
            <w:r>
              <w:rPr>
                <w:rFonts w:ascii="宋体" w:hAnsi="宋体" w:cs="宋体"/>
                <w:bCs/>
                <w:szCs w:val="21"/>
                <w:highlight w:val="none"/>
              </w:rPr>
              <w:t>-6</w:t>
            </w:r>
            <w:r>
              <w:rPr>
                <w:rFonts w:hint="eastAsia" w:ascii="宋体" w:hAnsi="宋体" w:cs="宋体"/>
                <w:bCs/>
                <w:szCs w:val="21"/>
                <w:highlight w:val="none"/>
              </w:rPr>
              <w:t>）</w:t>
            </w:r>
          </w:p>
        </w:tc>
        <w:tc>
          <w:tcPr>
            <w:tcW w:w="978" w:type="dxa"/>
            <w:noWrap w:val="0"/>
            <w:vAlign w:val="center"/>
          </w:tcPr>
          <w:p w14:paraId="0981D5B4">
            <w:pPr>
              <w:widowControl/>
              <w:spacing w:line="400" w:lineRule="exact"/>
              <w:jc w:val="center"/>
              <w:rPr>
                <w:rFonts w:hint="eastAsia" w:ascii="宋体" w:hAnsi="宋体" w:cs="宋体"/>
                <w:b/>
                <w:highlight w:val="none"/>
              </w:rPr>
            </w:pPr>
            <w:r>
              <w:rPr>
                <w:rFonts w:hint="eastAsia" w:ascii="宋体" w:hAnsi="宋体" w:cs="宋体"/>
                <w:highlight w:val="none"/>
              </w:rPr>
              <w:t>0-6分</w:t>
            </w:r>
          </w:p>
        </w:tc>
      </w:tr>
      <w:tr w14:paraId="0367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8" w:type="dxa"/>
            <w:vMerge w:val="continue"/>
            <w:noWrap w:val="0"/>
            <w:vAlign w:val="center"/>
          </w:tcPr>
          <w:p w14:paraId="4C630043">
            <w:pPr>
              <w:widowControl/>
              <w:spacing w:line="400" w:lineRule="exact"/>
              <w:jc w:val="center"/>
              <w:rPr>
                <w:rFonts w:hint="eastAsia" w:ascii="宋体" w:hAnsi="宋体" w:cs="宋体"/>
                <w:b/>
                <w:highlight w:val="none"/>
              </w:rPr>
            </w:pPr>
          </w:p>
        </w:tc>
        <w:tc>
          <w:tcPr>
            <w:tcW w:w="1630" w:type="dxa"/>
            <w:vMerge w:val="continue"/>
            <w:noWrap w:val="0"/>
            <w:vAlign w:val="center"/>
          </w:tcPr>
          <w:p w14:paraId="19624CAE">
            <w:pPr>
              <w:spacing w:line="400" w:lineRule="exact"/>
              <w:rPr>
                <w:rFonts w:hint="eastAsia" w:ascii="宋体" w:hAnsi="宋体" w:cs="宋体"/>
                <w:szCs w:val="21"/>
                <w:highlight w:val="none"/>
              </w:rPr>
            </w:pPr>
          </w:p>
        </w:tc>
        <w:tc>
          <w:tcPr>
            <w:tcW w:w="6096" w:type="dxa"/>
            <w:noWrap w:val="0"/>
            <w:vAlign w:val="center"/>
          </w:tcPr>
          <w:p w14:paraId="651104F5">
            <w:pPr>
              <w:widowControl/>
              <w:spacing w:line="400" w:lineRule="exact"/>
              <w:jc w:val="left"/>
              <w:rPr>
                <w:rFonts w:hint="eastAsia" w:ascii="宋体" w:hAnsi="宋体"/>
                <w:szCs w:val="21"/>
                <w:highlight w:val="none"/>
              </w:rPr>
            </w:pPr>
            <w:r>
              <w:rPr>
                <w:rFonts w:hint="eastAsia" w:ascii="宋体" w:hAnsi="宋体"/>
                <w:szCs w:val="21"/>
                <w:highlight w:val="none"/>
              </w:rPr>
              <w:t>现场投入主要机械设备及检测仪器：根据投标人提供的现场投入主要机械设备及检测仪器内容等进行综合比较评分</w:t>
            </w:r>
            <w:r>
              <w:rPr>
                <w:rFonts w:hint="eastAsia" w:ascii="宋体" w:hAnsi="宋体" w:cs="宋体"/>
                <w:bCs/>
                <w:szCs w:val="21"/>
                <w:highlight w:val="none"/>
              </w:rPr>
              <w:t>（0</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3</w:t>
            </w:r>
            <w:r>
              <w:rPr>
                <w:rFonts w:ascii="宋体" w:hAnsi="宋体" w:cs="宋体"/>
                <w:bCs/>
                <w:szCs w:val="21"/>
                <w:highlight w:val="none"/>
              </w:rPr>
              <w:t>-6</w:t>
            </w:r>
            <w:r>
              <w:rPr>
                <w:rFonts w:hint="eastAsia" w:ascii="宋体" w:hAnsi="宋体" w:cs="宋体"/>
                <w:bCs/>
                <w:szCs w:val="21"/>
                <w:highlight w:val="none"/>
              </w:rPr>
              <w:t>）</w:t>
            </w:r>
          </w:p>
        </w:tc>
        <w:tc>
          <w:tcPr>
            <w:tcW w:w="978" w:type="dxa"/>
            <w:noWrap w:val="0"/>
            <w:vAlign w:val="center"/>
          </w:tcPr>
          <w:p w14:paraId="6CC399A9">
            <w:pPr>
              <w:widowControl/>
              <w:spacing w:line="400" w:lineRule="exact"/>
              <w:jc w:val="center"/>
              <w:rPr>
                <w:rFonts w:hint="eastAsia" w:ascii="宋体" w:hAnsi="宋体" w:cs="宋体"/>
                <w:b/>
                <w:highlight w:val="none"/>
              </w:rPr>
            </w:pPr>
            <w:r>
              <w:rPr>
                <w:rFonts w:hint="eastAsia" w:ascii="宋体" w:hAnsi="宋体" w:cs="宋体"/>
                <w:highlight w:val="none"/>
              </w:rPr>
              <w:t>0-6分</w:t>
            </w:r>
          </w:p>
        </w:tc>
      </w:tr>
      <w:tr w14:paraId="2926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8" w:type="dxa"/>
            <w:vMerge w:val="continue"/>
            <w:noWrap w:val="0"/>
            <w:vAlign w:val="center"/>
          </w:tcPr>
          <w:p w14:paraId="47497837">
            <w:pPr>
              <w:widowControl/>
              <w:spacing w:line="400" w:lineRule="exact"/>
              <w:jc w:val="center"/>
              <w:rPr>
                <w:rFonts w:hint="eastAsia" w:ascii="宋体" w:hAnsi="宋体" w:cs="宋体"/>
                <w:b/>
                <w:highlight w:val="none"/>
              </w:rPr>
            </w:pPr>
          </w:p>
        </w:tc>
        <w:tc>
          <w:tcPr>
            <w:tcW w:w="1630" w:type="dxa"/>
            <w:vMerge w:val="continue"/>
            <w:noWrap w:val="0"/>
            <w:vAlign w:val="center"/>
          </w:tcPr>
          <w:p w14:paraId="45E024E9">
            <w:pPr>
              <w:spacing w:line="400" w:lineRule="exact"/>
              <w:rPr>
                <w:rFonts w:hint="eastAsia" w:ascii="宋体" w:hAnsi="宋体" w:cs="宋体"/>
                <w:szCs w:val="21"/>
                <w:highlight w:val="none"/>
              </w:rPr>
            </w:pPr>
          </w:p>
        </w:tc>
        <w:tc>
          <w:tcPr>
            <w:tcW w:w="6096" w:type="dxa"/>
            <w:noWrap w:val="0"/>
            <w:vAlign w:val="center"/>
          </w:tcPr>
          <w:p w14:paraId="5FBD90C9">
            <w:pPr>
              <w:widowControl/>
              <w:spacing w:line="400" w:lineRule="exact"/>
              <w:jc w:val="left"/>
              <w:rPr>
                <w:rFonts w:hint="eastAsia" w:ascii="宋体" w:hAnsi="宋体"/>
                <w:szCs w:val="21"/>
                <w:highlight w:val="none"/>
              </w:rPr>
            </w:pPr>
            <w:r>
              <w:rPr>
                <w:rFonts w:hint="eastAsia" w:ascii="宋体" w:hAnsi="宋体"/>
                <w:szCs w:val="21"/>
                <w:highlight w:val="none"/>
              </w:rPr>
              <w:t>主要材料、构配件</w:t>
            </w:r>
            <w:r>
              <w:rPr>
                <w:rFonts w:hint="eastAsia" w:ascii="宋体" w:hAnsi="宋体"/>
                <w:szCs w:val="21"/>
                <w:highlight w:val="none"/>
                <w:lang w:eastAsia="zh-CN"/>
              </w:rPr>
              <w:t>品牌及</w:t>
            </w:r>
            <w:r>
              <w:rPr>
                <w:rFonts w:hint="eastAsia" w:ascii="宋体" w:hAnsi="宋体"/>
                <w:szCs w:val="21"/>
                <w:highlight w:val="none"/>
              </w:rPr>
              <w:t>供应进度计划：根据投标人提供的主要材料、构配件</w:t>
            </w:r>
            <w:r>
              <w:rPr>
                <w:rFonts w:hint="eastAsia" w:ascii="宋体" w:hAnsi="宋体"/>
                <w:szCs w:val="21"/>
                <w:highlight w:val="none"/>
                <w:lang w:eastAsia="zh-CN"/>
              </w:rPr>
              <w:t>品牌及</w:t>
            </w:r>
            <w:r>
              <w:rPr>
                <w:rFonts w:hint="eastAsia" w:ascii="宋体" w:hAnsi="宋体"/>
                <w:szCs w:val="21"/>
                <w:highlight w:val="none"/>
              </w:rPr>
              <w:t>供应进度计划内容等进行综合比较评分</w:t>
            </w:r>
            <w:r>
              <w:rPr>
                <w:rFonts w:hint="eastAsia" w:ascii="宋体" w:hAnsi="宋体" w:cs="宋体"/>
                <w:bCs/>
                <w:szCs w:val="21"/>
                <w:highlight w:val="none"/>
              </w:rPr>
              <w:t>（0</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3</w:t>
            </w:r>
            <w:r>
              <w:rPr>
                <w:rFonts w:ascii="宋体" w:hAnsi="宋体" w:cs="宋体"/>
                <w:bCs/>
                <w:szCs w:val="21"/>
                <w:highlight w:val="none"/>
              </w:rPr>
              <w:t>-6</w:t>
            </w:r>
            <w:r>
              <w:rPr>
                <w:rFonts w:hint="eastAsia" w:ascii="宋体" w:hAnsi="宋体" w:cs="宋体"/>
                <w:bCs/>
                <w:szCs w:val="21"/>
                <w:highlight w:val="none"/>
              </w:rPr>
              <w:t>）</w:t>
            </w:r>
          </w:p>
        </w:tc>
        <w:tc>
          <w:tcPr>
            <w:tcW w:w="978" w:type="dxa"/>
            <w:noWrap w:val="0"/>
            <w:vAlign w:val="center"/>
          </w:tcPr>
          <w:p w14:paraId="6E8EE989">
            <w:pPr>
              <w:widowControl/>
              <w:spacing w:line="400" w:lineRule="exact"/>
              <w:jc w:val="center"/>
              <w:rPr>
                <w:rFonts w:hint="eastAsia" w:ascii="宋体" w:hAnsi="宋体" w:cs="宋体"/>
                <w:b/>
                <w:highlight w:val="none"/>
              </w:rPr>
            </w:pPr>
            <w:r>
              <w:rPr>
                <w:rFonts w:hint="eastAsia" w:ascii="宋体" w:hAnsi="宋体" w:cs="宋体"/>
                <w:highlight w:val="none"/>
              </w:rPr>
              <w:t>0-6分</w:t>
            </w:r>
          </w:p>
        </w:tc>
      </w:tr>
      <w:tr w14:paraId="28D5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8" w:type="dxa"/>
            <w:vMerge w:val="continue"/>
            <w:noWrap w:val="0"/>
            <w:vAlign w:val="center"/>
          </w:tcPr>
          <w:p w14:paraId="76858944">
            <w:pPr>
              <w:widowControl/>
              <w:spacing w:line="400" w:lineRule="exact"/>
              <w:jc w:val="center"/>
              <w:rPr>
                <w:rFonts w:hint="eastAsia" w:ascii="宋体" w:hAnsi="宋体" w:cs="宋体"/>
                <w:b/>
                <w:highlight w:val="none"/>
              </w:rPr>
            </w:pPr>
          </w:p>
        </w:tc>
        <w:tc>
          <w:tcPr>
            <w:tcW w:w="1630" w:type="dxa"/>
            <w:vMerge w:val="continue"/>
            <w:noWrap w:val="0"/>
            <w:vAlign w:val="center"/>
          </w:tcPr>
          <w:p w14:paraId="1E37A1B5">
            <w:pPr>
              <w:spacing w:line="400" w:lineRule="exact"/>
              <w:rPr>
                <w:rFonts w:hint="eastAsia" w:ascii="宋体" w:hAnsi="宋体" w:cs="宋体"/>
                <w:szCs w:val="21"/>
                <w:highlight w:val="none"/>
              </w:rPr>
            </w:pPr>
          </w:p>
        </w:tc>
        <w:tc>
          <w:tcPr>
            <w:tcW w:w="6096" w:type="dxa"/>
            <w:noWrap w:val="0"/>
            <w:vAlign w:val="center"/>
          </w:tcPr>
          <w:p w14:paraId="176AD03A">
            <w:pPr>
              <w:widowControl/>
              <w:spacing w:line="400" w:lineRule="exact"/>
              <w:jc w:val="left"/>
              <w:rPr>
                <w:rFonts w:hint="eastAsia" w:ascii="宋体" w:hAnsi="宋体"/>
                <w:szCs w:val="21"/>
                <w:highlight w:val="none"/>
              </w:rPr>
            </w:pPr>
            <w:r>
              <w:rPr>
                <w:rFonts w:hint="eastAsia" w:ascii="宋体" w:hAnsi="宋体"/>
                <w:szCs w:val="21"/>
                <w:highlight w:val="none"/>
              </w:rPr>
              <w:t>主要分部分项施工方法及技术措施：根据投标人提供的主要分部分项施工方法及技术等内容等进行综合比较评分</w:t>
            </w:r>
            <w:r>
              <w:rPr>
                <w:rFonts w:hint="eastAsia" w:ascii="宋体" w:hAnsi="宋体" w:cs="宋体"/>
                <w:bCs/>
                <w:szCs w:val="21"/>
                <w:highlight w:val="none"/>
              </w:rPr>
              <w:t>（0</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3</w:t>
            </w:r>
            <w:r>
              <w:rPr>
                <w:rFonts w:ascii="宋体" w:hAnsi="宋体" w:cs="宋体"/>
                <w:bCs/>
                <w:szCs w:val="21"/>
                <w:highlight w:val="none"/>
              </w:rPr>
              <w:t>-6</w:t>
            </w:r>
            <w:r>
              <w:rPr>
                <w:rFonts w:hint="eastAsia" w:ascii="宋体" w:hAnsi="宋体" w:cs="宋体"/>
                <w:bCs/>
                <w:szCs w:val="21"/>
                <w:highlight w:val="none"/>
              </w:rPr>
              <w:t>）</w:t>
            </w:r>
          </w:p>
        </w:tc>
        <w:tc>
          <w:tcPr>
            <w:tcW w:w="978" w:type="dxa"/>
            <w:noWrap w:val="0"/>
            <w:vAlign w:val="center"/>
          </w:tcPr>
          <w:p w14:paraId="6B2B1163">
            <w:pPr>
              <w:widowControl/>
              <w:spacing w:line="400" w:lineRule="exact"/>
              <w:jc w:val="center"/>
              <w:rPr>
                <w:rFonts w:hint="eastAsia" w:ascii="宋体" w:hAnsi="宋体" w:cs="宋体"/>
                <w:b/>
                <w:highlight w:val="none"/>
              </w:rPr>
            </w:pPr>
            <w:r>
              <w:rPr>
                <w:rFonts w:hint="eastAsia" w:ascii="宋体" w:hAnsi="宋体" w:cs="宋体"/>
                <w:highlight w:val="none"/>
              </w:rPr>
              <w:t>0-6分</w:t>
            </w:r>
          </w:p>
        </w:tc>
      </w:tr>
      <w:tr w14:paraId="6F18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8" w:type="dxa"/>
            <w:vMerge w:val="continue"/>
            <w:noWrap w:val="0"/>
            <w:vAlign w:val="center"/>
          </w:tcPr>
          <w:p w14:paraId="63834059">
            <w:pPr>
              <w:widowControl/>
              <w:spacing w:line="400" w:lineRule="exact"/>
              <w:jc w:val="center"/>
              <w:rPr>
                <w:rFonts w:hint="eastAsia" w:ascii="宋体" w:hAnsi="宋体" w:cs="宋体"/>
                <w:b/>
                <w:highlight w:val="none"/>
              </w:rPr>
            </w:pPr>
          </w:p>
        </w:tc>
        <w:tc>
          <w:tcPr>
            <w:tcW w:w="1630" w:type="dxa"/>
            <w:vMerge w:val="continue"/>
            <w:noWrap w:val="0"/>
            <w:vAlign w:val="center"/>
          </w:tcPr>
          <w:p w14:paraId="49E2B982">
            <w:pPr>
              <w:spacing w:line="400" w:lineRule="exact"/>
              <w:rPr>
                <w:rFonts w:hint="eastAsia" w:ascii="宋体" w:hAnsi="宋体" w:cs="宋体"/>
                <w:szCs w:val="21"/>
                <w:highlight w:val="none"/>
              </w:rPr>
            </w:pPr>
          </w:p>
        </w:tc>
        <w:tc>
          <w:tcPr>
            <w:tcW w:w="6096" w:type="dxa"/>
            <w:noWrap w:val="0"/>
            <w:vAlign w:val="center"/>
          </w:tcPr>
          <w:p w14:paraId="3185AEE3">
            <w:pPr>
              <w:widowControl/>
              <w:spacing w:line="400" w:lineRule="exact"/>
              <w:jc w:val="left"/>
              <w:rPr>
                <w:rFonts w:hint="eastAsia" w:ascii="宋体" w:hAnsi="宋体"/>
                <w:szCs w:val="21"/>
                <w:highlight w:val="none"/>
              </w:rPr>
            </w:pPr>
            <w:r>
              <w:rPr>
                <w:rFonts w:hint="eastAsia" w:ascii="宋体" w:hAnsi="宋体"/>
                <w:szCs w:val="21"/>
                <w:highlight w:val="none"/>
              </w:rPr>
              <w:t>质量保证体系及控制要点：根据项目质量保证体系及控制要点等进行综合比较评分</w:t>
            </w:r>
            <w:r>
              <w:rPr>
                <w:rFonts w:hint="eastAsia" w:ascii="宋体" w:hAnsi="宋体" w:cs="宋体"/>
                <w:bCs/>
                <w:szCs w:val="21"/>
                <w:highlight w:val="none"/>
              </w:rPr>
              <w:t>（0</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2</w:t>
            </w:r>
            <w:r>
              <w:rPr>
                <w:rFonts w:ascii="宋体" w:hAnsi="宋体" w:cs="宋体"/>
                <w:bCs/>
                <w:szCs w:val="21"/>
                <w:highlight w:val="none"/>
              </w:rPr>
              <w:t>-</w:t>
            </w:r>
            <w:r>
              <w:rPr>
                <w:rFonts w:hint="eastAsia" w:ascii="宋体" w:hAnsi="宋体" w:cs="宋体"/>
                <w:bCs/>
                <w:szCs w:val="21"/>
                <w:highlight w:val="none"/>
                <w:lang w:val="en-US" w:eastAsia="zh-CN"/>
              </w:rPr>
              <w:t>5</w:t>
            </w:r>
            <w:r>
              <w:rPr>
                <w:rFonts w:hint="eastAsia" w:ascii="宋体" w:hAnsi="宋体" w:cs="宋体"/>
                <w:bCs/>
                <w:szCs w:val="21"/>
                <w:highlight w:val="none"/>
              </w:rPr>
              <w:t>）</w:t>
            </w:r>
          </w:p>
        </w:tc>
        <w:tc>
          <w:tcPr>
            <w:tcW w:w="978" w:type="dxa"/>
            <w:noWrap w:val="0"/>
            <w:vAlign w:val="center"/>
          </w:tcPr>
          <w:p w14:paraId="6DAEC487">
            <w:pPr>
              <w:widowControl/>
              <w:spacing w:line="400" w:lineRule="exact"/>
              <w:jc w:val="center"/>
              <w:rPr>
                <w:rFonts w:hint="eastAsia" w:ascii="宋体" w:hAnsi="宋体" w:cs="宋体"/>
                <w:b/>
                <w:highlight w:val="none"/>
              </w:rPr>
            </w:pPr>
            <w:r>
              <w:rPr>
                <w:rFonts w:hint="eastAsia" w:ascii="宋体" w:hAnsi="宋体" w:cs="宋体"/>
                <w:highlight w:val="none"/>
              </w:rPr>
              <w:t>0-</w:t>
            </w:r>
            <w:r>
              <w:rPr>
                <w:rFonts w:hint="eastAsia" w:ascii="宋体" w:hAnsi="宋体" w:cs="宋体"/>
                <w:highlight w:val="none"/>
                <w:lang w:val="en-US" w:eastAsia="zh-CN"/>
              </w:rPr>
              <w:t>5</w:t>
            </w:r>
            <w:r>
              <w:rPr>
                <w:rFonts w:hint="eastAsia" w:ascii="宋体" w:hAnsi="宋体" w:cs="宋体"/>
                <w:highlight w:val="none"/>
              </w:rPr>
              <w:t>分</w:t>
            </w:r>
          </w:p>
        </w:tc>
      </w:tr>
      <w:tr w14:paraId="0968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8" w:type="dxa"/>
            <w:vMerge w:val="continue"/>
            <w:noWrap w:val="0"/>
            <w:vAlign w:val="center"/>
          </w:tcPr>
          <w:p w14:paraId="37803E85">
            <w:pPr>
              <w:widowControl/>
              <w:spacing w:line="400" w:lineRule="exact"/>
              <w:jc w:val="center"/>
              <w:rPr>
                <w:rFonts w:hint="eastAsia" w:ascii="宋体" w:hAnsi="宋体" w:cs="宋体"/>
                <w:b/>
                <w:highlight w:val="none"/>
              </w:rPr>
            </w:pPr>
          </w:p>
        </w:tc>
        <w:tc>
          <w:tcPr>
            <w:tcW w:w="1630" w:type="dxa"/>
            <w:vMerge w:val="continue"/>
            <w:noWrap w:val="0"/>
            <w:vAlign w:val="center"/>
          </w:tcPr>
          <w:p w14:paraId="423C96BF">
            <w:pPr>
              <w:spacing w:line="400" w:lineRule="exact"/>
              <w:rPr>
                <w:rFonts w:hint="eastAsia" w:ascii="宋体" w:hAnsi="宋体" w:cs="宋体"/>
                <w:szCs w:val="21"/>
                <w:highlight w:val="none"/>
              </w:rPr>
            </w:pPr>
          </w:p>
        </w:tc>
        <w:tc>
          <w:tcPr>
            <w:tcW w:w="6096" w:type="dxa"/>
            <w:noWrap w:val="0"/>
            <w:vAlign w:val="center"/>
          </w:tcPr>
          <w:p w14:paraId="3354385D">
            <w:pPr>
              <w:widowControl/>
              <w:spacing w:line="400" w:lineRule="exact"/>
              <w:jc w:val="left"/>
              <w:rPr>
                <w:rFonts w:hint="eastAsia" w:ascii="宋体" w:hAnsi="宋体"/>
                <w:szCs w:val="21"/>
                <w:highlight w:val="none"/>
              </w:rPr>
            </w:pPr>
            <w:r>
              <w:rPr>
                <w:rFonts w:hint="eastAsia" w:ascii="宋体" w:hAnsi="宋体"/>
                <w:szCs w:val="21"/>
                <w:highlight w:val="none"/>
              </w:rPr>
              <w:t>安全保证体系及安全文明施工措施要点：根据投标人提供的安全保证体系及安全文明施工措施要点等进行综合比较评分</w:t>
            </w:r>
            <w:r>
              <w:rPr>
                <w:rFonts w:hint="eastAsia" w:ascii="宋体" w:hAnsi="宋体" w:cs="宋体"/>
                <w:bCs/>
                <w:szCs w:val="21"/>
                <w:highlight w:val="none"/>
              </w:rPr>
              <w:t>（0</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2</w:t>
            </w:r>
            <w:r>
              <w:rPr>
                <w:rFonts w:ascii="宋体" w:hAnsi="宋体" w:cs="宋体"/>
                <w:bCs/>
                <w:szCs w:val="21"/>
                <w:highlight w:val="none"/>
              </w:rPr>
              <w:t>-</w:t>
            </w:r>
            <w:r>
              <w:rPr>
                <w:rFonts w:hint="eastAsia" w:ascii="宋体" w:hAnsi="宋体" w:cs="宋体"/>
                <w:bCs/>
                <w:szCs w:val="21"/>
                <w:highlight w:val="none"/>
                <w:lang w:val="en-US" w:eastAsia="zh-CN"/>
              </w:rPr>
              <w:t>5</w:t>
            </w:r>
            <w:r>
              <w:rPr>
                <w:rFonts w:hint="eastAsia" w:ascii="宋体" w:hAnsi="宋体" w:cs="宋体"/>
                <w:bCs/>
                <w:szCs w:val="21"/>
                <w:highlight w:val="none"/>
              </w:rPr>
              <w:t>）</w:t>
            </w:r>
          </w:p>
        </w:tc>
        <w:tc>
          <w:tcPr>
            <w:tcW w:w="978" w:type="dxa"/>
            <w:noWrap w:val="0"/>
            <w:vAlign w:val="center"/>
          </w:tcPr>
          <w:p w14:paraId="5B7A45CE">
            <w:pPr>
              <w:widowControl/>
              <w:spacing w:line="400" w:lineRule="exact"/>
              <w:jc w:val="center"/>
              <w:rPr>
                <w:rFonts w:hint="eastAsia" w:ascii="宋体" w:hAnsi="宋体" w:cs="宋体"/>
                <w:b/>
                <w:highlight w:val="none"/>
              </w:rPr>
            </w:pPr>
            <w:r>
              <w:rPr>
                <w:rFonts w:hint="eastAsia" w:ascii="宋体" w:hAnsi="宋体" w:cs="宋体"/>
                <w:highlight w:val="none"/>
              </w:rPr>
              <w:t>0-</w:t>
            </w:r>
            <w:r>
              <w:rPr>
                <w:rFonts w:hint="eastAsia" w:ascii="宋体" w:hAnsi="宋体" w:cs="宋体"/>
                <w:highlight w:val="none"/>
                <w:lang w:val="en-US" w:eastAsia="zh-CN"/>
              </w:rPr>
              <w:t>5</w:t>
            </w:r>
            <w:r>
              <w:rPr>
                <w:rFonts w:hint="eastAsia" w:ascii="宋体" w:hAnsi="宋体" w:cs="宋体"/>
                <w:highlight w:val="none"/>
              </w:rPr>
              <w:t>分</w:t>
            </w:r>
          </w:p>
        </w:tc>
      </w:tr>
      <w:tr w14:paraId="25D6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8" w:type="dxa"/>
            <w:vMerge w:val="continue"/>
            <w:noWrap w:val="0"/>
            <w:vAlign w:val="center"/>
          </w:tcPr>
          <w:p w14:paraId="26B1E215">
            <w:pPr>
              <w:widowControl/>
              <w:spacing w:line="400" w:lineRule="exact"/>
              <w:jc w:val="center"/>
              <w:rPr>
                <w:rFonts w:hint="eastAsia" w:ascii="宋体" w:hAnsi="宋体" w:cs="宋体"/>
                <w:b/>
                <w:highlight w:val="none"/>
              </w:rPr>
            </w:pPr>
          </w:p>
        </w:tc>
        <w:tc>
          <w:tcPr>
            <w:tcW w:w="1630" w:type="dxa"/>
            <w:vMerge w:val="continue"/>
            <w:noWrap w:val="0"/>
            <w:vAlign w:val="center"/>
          </w:tcPr>
          <w:p w14:paraId="00A6082F">
            <w:pPr>
              <w:spacing w:line="400" w:lineRule="exact"/>
              <w:rPr>
                <w:rFonts w:hint="eastAsia" w:ascii="宋体" w:hAnsi="宋体" w:cs="宋体"/>
                <w:szCs w:val="21"/>
                <w:highlight w:val="none"/>
              </w:rPr>
            </w:pPr>
          </w:p>
        </w:tc>
        <w:tc>
          <w:tcPr>
            <w:tcW w:w="6096" w:type="dxa"/>
            <w:noWrap w:val="0"/>
            <w:vAlign w:val="center"/>
          </w:tcPr>
          <w:p w14:paraId="43F68D35">
            <w:pPr>
              <w:widowControl/>
              <w:spacing w:line="400" w:lineRule="exact"/>
              <w:jc w:val="left"/>
              <w:rPr>
                <w:rFonts w:hint="eastAsia" w:ascii="宋体" w:hAnsi="宋体"/>
                <w:szCs w:val="21"/>
                <w:highlight w:val="none"/>
              </w:rPr>
            </w:pPr>
            <w:r>
              <w:rPr>
                <w:rFonts w:hint="eastAsia" w:ascii="宋体" w:hAnsi="宋体"/>
                <w:szCs w:val="21"/>
                <w:highlight w:val="none"/>
              </w:rPr>
              <w:t>民工工资发放安排及控制体系：根据投标人提供的民工工资发放安排及控制体系等进行综合比较评分</w:t>
            </w:r>
            <w:r>
              <w:rPr>
                <w:rFonts w:hint="eastAsia" w:ascii="宋体" w:hAnsi="宋体" w:cs="宋体"/>
                <w:bCs/>
                <w:szCs w:val="21"/>
                <w:highlight w:val="none"/>
              </w:rPr>
              <w:t>（0</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2</w:t>
            </w:r>
            <w:r>
              <w:rPr>
                <w:rFonts w:ascii="宋体" w:hAnsi="宋体" w:cs="宋体"/>
                <w:bCs/>
                <w:szCs w:val="21"/>
                <w:highlight w:val="none"/>
              </w:rPr>
              <w:t>-</w:t>
            </w:r>
            <w:r>
              <w:rPr>
                <w:rFonts w:hint="eastAsia" w:ascii="宋体" w:hAnsi="宋体" w:cs="宋体"/>
                <w:bCs/>
                <w:szCs w:val="21"/>
                <w:highlight w:val="none"/>
                <w:lang w:val="en-US" w:eastAsia="zh-CN"/>
              </w:rPr>
              <w:t>5</w:t>
            </w:r>
            <w:r>
              <w:rPr>
                <w:rFonts w:hint="eastAsia" w:ascii="宋体" w:hAnsi="宋体" w:cs="宋体"/>
                <w:bCs/>
                <w:szCs w:val="21"/>
                <w:highlight w:val="none"/>
              </w:rPr>
              <w:t>）</w:t>
            </w:r>
          </w:p>
        </w:tc>
        <w:tc>
          <w:tcPr>
            <w:tcW w:w="978" w:type="dxa"/>
            <w:noWrap w:val="0"/>
            <w:vAlign w:val="center"/>
          </w:tcPr>
          <w:p w14:paraId="0D9DB676">
            <w:pPr>
              <w:widowControl/>
              <w:spacing w:line="400" w:lineRule="exact"/>
              <w:jc w:val="center"/>
              <w:rPr>
                <w:rFonts w:hint="eastAsia" w:ascii="宋体" w:hAnsi="宋体" w:cs="宋体"/>
                <w:b/>
                <w:highlight w:val="none"/>
              </w:rPr>
            </w:pPr>
            <w:r>
              <w:rPr>
                <w:rFonts w:hint="eastAsia" w:ascii="宋体" w:hAnsi="宋体" w:cs="宋体"/>
                <w:highlight w:val="none"/>
              </w:rPr>
              <w:t>0-</w:t>
            </w:r>
            <w:r>
              <w:rPr>
                <w:rFonts w:hint="eastAsia" w:ascii="宋体" w:hAnsi="宋体" w:cs="宋体"/>
                <w:highlight w:val="none"/>
                <w:lang w:val="en-US" w:eastAsia="zh-CN"/>
              </w:rPr>
              <w:t>5</w:t>
            </w:r>
            <w:r>
              <w:rPr>
                <w:rFonts w:hint="eastAsia" w:ascii="宋体" w:hAnsi="宋体" w:cs="宋体"/>
                <w:highlight w:val="none"/>
              </w:rPr>
              <w:t>分</w:t>
            </w:r>
          </w:p>
        </w:tc>
      </w:tr>
      <w:tr w14:paraId="4C8D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8" w:type="dxa"/>
            <w:noWrap w:val="0"/>
            <w:vAlign w:val="center"/>
          </w:tcPr>
          <w:p w14:paraId="64FB868D">
            <w:pPr>
              <w:widowControl/>
              <w:spacing w:line="400" w:lineRule="exact"/>
              <w:jc w:val="center"/>
              <w:rPr>
                <w:rFonts w:hint="eastAsia" w:ascii="宋体" w:hAnsi="宋体"/>
                <w:szCs w:val="21"/>
                <w:highlight w:val="none"/>
              </w:rPr>
            </w:pPr>
            <w:r>
              <w:rPr>
                <w:rFonts w:hint="eastAsia" w:ascii="宋体" w:hAnsi="宋体"/>
                <w:szCs w:val="21"/>
                <w:highlight w:val="none"/>
              </w:rPr>
              <w:t>2</w:t>
            </w:r>
          </w:p>
        </w:tc>
        <w:tc>
          <w:tcPr>
            <w:tcW w:w="1630" w:type="dxa"/>
            <w:noWrap w:val="0"/>
            <w:vAlign w:val="center"/>
          </w:tcPr>
          <w:p w14:paraId="46AC5B14">
            <w:pPr>
              <w:pStyle w:val="28"/>
              <w:adjustRightInd w:val="0"/>
              <w:snapToGrid w:val="0"/>
              <w:spacing w:beforeLines="0" w:afterLines="0" w:line="400" w:lineRule="exact"/>
              <w:jc w:val="center"/>
              <w:rPr>
                <w:rFonts w:hint="eastAsia" w:hAnsi="宋体"/>
                <w:kern w:val="2"/>
                <w:sz w:val="21"/>
                <w:szCs w:val="21"/>
                <w:highlight w:val="none"/>
              </w:rPr>
            </w:pPr>
            <w:r>
              <w:rPr>
                <w:rFonts w:hint="eastAsia" w:hAnsi="宋体"/>
                <w:kern w:val="2"/>
                <w:sz w:val="21"/>
                <w:szCs w:val="21"/>
                <w:highlight w:val="none"/>
              </w:rPr>
              <w:t>本项目的特点、难点及解决</w:t>
            </w:r>
          </w:p>
          <w:p w14:paraId="6E6D1C62">
            <w:pPr>
              <w:pStyle w:val="28"/>
              <w:adjustRightInd w:val="0"/>
              <w:snapToGrid w:val="0"/>
              <w:spacing w:beforeLines="0" w:afterLines="0" w:line="400" w:lineRule="exact"/>
              <w:jc w:val="center"/>
              <w:rPr>
                <w:rFonts w:hint="eastAsia" w:hAnsi="宋体"/>
                <w:kern w:val="2"/>
                <w:sz w:val="21"/>
                <w:szCs w:val="21"/>
                <w:highlight w:val="none"/>
              </w:rPr>
            </w:pPr>
            <w:r>
              <w:rPr>
                <w:rFonts w:hint="eastAsia" w:hAnsi="宋体"/>
                <w:kern w:val="2"/>
                <w:sz w:val="21"/>
                <w:szCs w:val="21"/>
                <w:highlight w:val="none"/>
              </w:rPr>
              <w:t>措施（</w:t>
            </w:r>
            <w:r>
              <w:rPr>
                <w:rFonts w:hAnsi="宋体"/>
                <w:kern w:val="2"/>
                <w:sz w:val="21"/>
                <w:szCs w:val="21"/>
                <w:highlight w:val="none"/>
              </w:rPr>
              <w:t>7</w:t>
            </w:r>
            <w:r>
              <w:rPr>
                <w:rFonts w:hint="eastAsia" w:hAnsi="宋体"/>
                <w:kern w:val="2"/>
                <w:sz w:val="21"/>
                <w:szCs w:val="21"/>
                <w:highlight w:val="none"/>
              </w:rPr>
              <w:t>分）</w:t>
            </w:r>
          </w:p>
        </w:tc>
        <w:tc>
          <w:tcPr>
            <w:tcW w:w="6096" w:type="dxa"/>
            <w:noWrap w:val="0"/>
            <w:vAlign w:val="center"/>
          </w:tcPr>
          <w:p w14:paraId="5B057E28">
            <w:pPr>
              <w:widowControl/>
              <w:spacing w:line="400" w:lineRule="exact"/>
              <w:jc w:val="left"/>
              <w:rPr>
                <w:rFonts w:hint="eastAsia" w:ascii="宋体" w:hAnsi="宋体"/>
                <w:szCs w:val="21"/>
                <w:highlight w:val="none"/>
              </w:rPr>
            </w:pPr>
            <w:r>
              <w:rPr>
                <w:rFonts w:hint="eastAsia" w:ascii="宋体" w:hAnsi="宋体"/>
                <w:szCs w:val="21"/>
                <w:highlight w:val="none"/>
              </w:rPr>
              <w:t>根据供应商对本项目特点、难点及解决措施等进行综合比较评分</w:t>
            </w:r>
            <w:r>
              <w:rPr>
                <w:rFonts w:hint="eastAsia" w:ascii="宋体" w:hAnsi="宋体" w:cs="宋体"/>
                <w:bCs/>
                <w:szCs w:val="21"/>
                <w:highlight w:val="none"/>
              </w:rPr>
              <w:t>（0</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3</w:t>
            </w:r>
            <w:r>
              <w:rPr>
                <w:rFonts w:ascii="宋体" w:hAnsi="宋体" w:cs="宋体"/>
                <w:bCs/>
                <w:szCs w:val="21"/>
                <w:highlight w:val="none"/>
              </w:rPr>
              <w:t>-7</w:t>
            </w:r>
            <w:r>
              <w:rPr>
                <w:rFonts w:hint="eastAsia" w:ascii="宋体" w:hAnsi="宋体" w:cs="宋体"/>
                <w:bCs/>
                <w:szCs w:val="21"/>
                <w:highlight w:val="none"/>
              </w:rPr>
              <w:t>）</w:t>
            </w:r>
          </w:p>
        </w:tc>
        <w:tc>
          <w:tcPr>
            <w:tcW w:w="978" w:type="dxa"/>
            <w:noWrap w:val="0"/>
            <w:vAlign w:val="center"/>
          </w:tcPr>
          <w:p w14:paraId="1BB0F877">
            <w:pPr>
              <w:widowControl/>
              <w:spacing w:line="400" w:lineRule="exact"/>
              <w:jc w:val="center"/>
              <w:rPr>
                <w:rFonts w:hint="eastAsia" w:ascii="宋体" w:hAnsi="宋体" w:cs="宋体"/>
                <w:highlight w:val="none"/>
              </w:rPr>
            </w:pPr>
            <w:r>
              <w:rPr>
                <w:rFonts w:hint="eastAsia" w:ascii="宋体" w:hAnsi="宋体" w:cs="宋体"/>
                <w:highlight w:val="none"/>
              </w:rPr>
              <w:t>0-</w:t>
            </w:r>
            <w:r>
              <w:rPr>
                <w:rFonts w:ascii="宋体" w:hAnsi="宋体" w:cs="宋体"/>
                <w:highlight w:val="none"/>
              </w:rPr>
              <w:t>7</w:t>
            </w:r>
            <w:r>
              <w:rPr>
                <w:rFonts w:hint="eastAsia" w:ascii="宋体" w:hAnsi="宋体" w:cs="宋体"/>
                <w:highlight w:val="none"/>
              </w:rPr>
              <w:t>分</w:t>
            </w:r>
          </w:p>
        </w:tc>
      </w:tr>
      <w:tr w14:paraId="65F2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8" w:type="dxa"/>
            <w:noWrap w:val="0"/>
            <w:vAlign w:val="center"/>
          </w:tcPr>
          <w:p w14:paraId="67EF514E">
            <w:pPr>
              <w:widowControl/>
              <w:spacing w:line="400" w:lineRule="exact"/>
              <w:jc w:val="center"/>
              <w:rPr>
                <w:rFonts w:hint="eastAsia" w:ascii="宋体" w:hAnsi="宋体"/>
                <w:szCs w:val="21"/>
                <w:highlight w:val="none"/>
              </w:rPr>
            </w:pPr>
            <w:r>
              <w:rPr>
                <w:rFonts w:hint="eastAsia" w:ascii="宋体" w:hAnsi="宋体"/>
                <w:szCs w:val="21"/>
                <w:highlight w:val="none"/>
              </w:rPr>
              <w:t>3</w:t>
            </w:r>
          </w:p>
        </w:tc>
        <w:tc>
          <w:tcPr>
            <w:tcW w:w="1630" w:type="dxa"/>
            <w:noWrap w:val="0"/>
            <w:vAlign w:val="center"/>
          </w:tcPr>
          <w:p w14:paraId="0EA42AB5">
            <w:pPr>
              <w:pStyle w:val="28"/>
              <w:adjustRightInd w:val="0"/>
              <w:snapToGrid w:val="0"/>
              <w:spacing w:beforeLines="0" w:afterLines="0" w:line="400" w:lineRule="exact"/>
              <w:jc w:val="center"/>
              <w:rPr>
                <w:rFonts w:hint="eastAsia" w:hAnsi="宋体"/>
                <w:kern w:val="2"/>
                <w:sz w:val="21"/>
                <w:szCs w:val="21"/>
                <w:highlight w:val="none"/>
              </w:rPr>
            </w:pPr>
            <w:r>
              <w:rPr>
                <w:rFonts w:hint="eastAsia" w:hAnsi="宋体"/>
                <w:kern w:val="2"/>
                <w:sz w:val="21"/>
                <w:szCs w:val="21"/>
                <w:highlight w:val="none"/>
              </w:rPr>
              <w:t>合理化</w:t>
            </w:r>
            <w:r>
              <w:rPr>
                <w:rFonts w:hAnsi="宋体"/>
                <w:kern w:val="2"/>
                <w:sz w:val="21"/>
                <w:szCs w:val="21"/>
                <w:highlight w:val="none"/>
              </w:rPr>
              <w:t>建议</w:t>
            </w:r>
          </w:p>
          <w:p w14:paraId="2D0A8212">
            <w:pPr>
              <w:pStyle w:val="28"/>
              <w:adjustRightInd w:val="0"/>
              <w:snapToGrid w:val="0"/>
              <w:spacing w:beforeLines="0" w:afterLines="0" w:line="400" w:lineRule="exact"/>
              <w:jc w:val="center"/>
              <w:rPr>
                <w:rFonts w:hint="eastAsia" w:hAnsi="宋体"/>
                <w:kern w:val="2"/>
                <w:sz w:val="21"/>
                <w:szCs w:val="21"/>
                <w:highlight w:val="none"/>
              </w:rPr>
            </w:pPr>
            <w:r>
              <w:rPr>
                <w:rFonts w:hint="eastAsia" w:hAnsi="宋体"/>
                <w:kern w:val="2"/>
                <w:sz w:val="21"/>
                <w:szCs w:val="21"/>
                <w:highlight w:val="none"/>
              </w:rPr>
              <w:t>（3分）</w:t>
            </w:r>
          </w:p>
        </w:tc>
        <w:tc>
          <w:tcPr>
            <w:tcW w:w="6096" w:type="dxa"/>
            <w:noWrap w:val="0"/>
            <w:vAlign w:val="center"/>
          </w:tcPr>
          <w:p w14:paraId="6952CF9B">
            <w:pPr>
              <w:widowControl/>
              <w:spacing w:line="400" w:lineRule="exact"/>
              <w:jc w:val="left"/>
              <w:rPr>
                <w:rFonts w:hint="eastAsia" w:ascii="宋体" w:hAnsi="宋体"/>
                <w:szCs w:val="21"/>
                <w:highlight w:val="none"/>
              </w:rPr>
            </w:pPr>
            <w:r>
              <w:rPr>
                <w:rFonts w:hint="eastAsia" w:ascii="宋体" w:hAnsi="宋体"/>
                <w:szCs w:val="21"/>
                <w:highlight w:val="none"/>
              </w:rPr>
              <w:t>针对项目推进和实施中可能会出现的问题和存在的困难，进行客观仔细地分析，并结合自身专业、经验等实际情况，在对项目理解的基础上提出合理化建议（解决对策）。经专家组认可，每条合理化建议（解决对策）得1分，最高得3分。</w:t>
            </w:r>
          </w:p>
        </w:tc>
        <w:tc>
          <w:tcPr>
            <w:tcW w:w="978" w:type="dxa"/>
            <w:noWrap w:val="0"/>
            <w:vAlign w:val="center"/>
          </w:tcPr>
          <w:p w14:paraId="701568B1">
            <w:pPr>
              <w:widowControl/>
              <w:spacing w:line="400" w:lineRule="exact"/>
              <w:jc w:val="center"/>
              <w:rPr>
                <w:rFonts w:hint="eastAsia" w:ascii="宋体" w:hAnsi="宋体" w:cs="宋体"/>
                <w:highlight w:val="none"/>
              </w:rPr>
            </w:pPr>
            <w:r>
              <w:rPr>
                <w:rFonts w:hint="eastAsia" w:ascii="宋体" w:hAnsi="宋体" w:cs="宋体"/>
                <w:highlight w:val="none"/>
              </w:rPr>
              <w:t>0</w:t>
            </w:r>
            <w:r>
              <w:rPr>
                <w:rFonts w:ascii="宋体" w:hAnsi="宋体" w:cs="宋体"/>
                <w:highlight w:val="none"/>
              </w:rPr>
              <w:t>-</w:t>
            </w:r>
            <w:r>
              <w:rPr>
                <w:rFonts w:hint="eastAsia" w:ascii="宋体" w:hAnsi="宋体" w:cs="宋体"/>
                <w:highlight w:val="none"/>
              </w:rPr>
              <w:t>3分</w:t>
            </w:r>
          </w:p>
        </w:tc>
      </w:tr>
      <w:tr w14:paraId="2784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64" w:type="dxa"/>
            <w:gridSpan w:val="3"/>
            <w:noWrap w:val="0"/>
            <w:vAlign w:val="center"/>
          </w:tcPr>
          <w:p w14:paraId="7BFAF972">
            <w:pPr>
              <w:autoSpaceDE w:val="0"/>
              <w:autoSpaceDN w:val="0"/>
              <w:spacing w:line="340" w:lineRule="exact"/>
              <w:jc w:val="center"/>
              <w:rPr>
                <w:rFonts w:hint="eastAsia" w:ascii="宋体" w:hAnsi="宋体"/>
                <w:szCs w:val="21"/>
                <w:highlight w:val="none"/>
              </w:rPr>
            </w:pPr>
            <w:r>
              <w:rPr>
                <w:rFonts w:hint="eastAsia" w:ascii="宋体" w:hAnsi="宋体" w:cs="宋体"/>
                <w:b/>
                <w:color w:val="auto"/>
                <w:szCs w:val="21"/>
                <w:highlight w:val="none"/>
              </w:rPr>
              <w:t>商务资信部分</w:t>
            </w:r>
          </w:p>
        </w:tc>
        <w:tc>
          <w:tcPr>
            <w:tcW w:w="978" w:type="dxa"/>
            <w:noWrap w:val="0"/>
            <w:vAlign w:val="center"/>
          </w:tcPr>
          <w:p w14:paraId="5642658A">
            <w:pPr>
              <w:autoSpaceDE w:val="0"/>
              <w:autoSpaceDN w:val="0"/>
              <w:spacing w:line="340" w:lineRule="exact"/>
              <w:jc w:val="center"/>
              <w:rPr>
                <w:rFonts w:hint="eastAsia" w:ascii="宋体" w:hAnsi="宋体" w:cs="宋体"/>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分</w:t>
            </w:r>
          </w:p>
        </w:tc>
      </w:tr>
      <w:tr w14:paraId="50A6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8" w:type="dxa"/>
            <w:noWrap w:val="0"/>
            <w:vAlign w:val="center"/>
          </w:tcPr>
          <w:p w14:paraId="75C25E14">
            <w:pPr>
              <w:widowControl/>
              <w:spacing w:line="40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1</w:t>
            </w:r>
          </w:p>
        </w:tc>
        <w:tc>
          <w:tcPr>
            <w:tcW w:w="1630" w:type="dxa"/>
            <w:noWrap w:val="0"/>
            <w:vAlign w:val="center"/>
          </w:tcPr>
          <w:p w14:paraId="0DE74466">
            <w:pPr>
              <w:autoSpaceDE w:val="0"/>
              <w:autoSpaceDN w:val="0"/>
              <w:spacing w:line="340" w:lineRule="exact"/>
              <w:jc w:val="center"/>
              <w:rPr>
                <w:rFonts w:hint="eastAsia" w:hAnsi="宋体"/>
                <w:kern w:val="2"/>
                <w:sz w:val="21"/>
                <w:szCs w:val="21"/>
                <w:highlight w:val="none"/>
              </w:rPr>
            </w:pPr>
            <w:r>
              <w:rPr>
                <w:rFonts w:hint="eastAsia" w:ascii="宋体" w:hAnsi="宋体" w:cs="宋体"/>
                <w:color w:val="auto"/>
                <w:szCs w:val="21"/>
                <w:highlight w:val="none"/>
              </w:rPr>
              <w:t>业绩</w:t>
            </w:r>
          </w:p>
        </w:tc>
        <w:tc>
          <w:tcPr>
            <w:tcW w:w="6096" w:type="dxa"/>
            <w:noWrap w:val="0"/>
            <w:vAlign w:val="center"/>
          </w:tcPr>
          <w:p w14:paraId="30F14A89">
            <w:pPr>
              <w:autoSpaceDE w:val="0"/>
              <w:autoSpaceDN w:val="0"/>
              <w:spacing w:line="340" w:lineRule="exact"/>
              <w:rPr>
                <w:rFonts w:hint="eastAsia" w:ascii="宋体" w:hAnsi="宋体"/>
                <w:szCs w:val="21"/>
                <w:highlight w:val="none"/>
              </w:rPr>
            </w:pPr>
            <w:bookmarkStart w:id="644" w:name="_GoBack"/>
            <w:r>
              <w:rPr>
                <w:rFonts w:hint="eastAsia" w:ascii="宋体" w:hAnsi="宋体" w:cs="宋体"/>
                <w:color w:val="auto"/>
                <w:szCs w:val="21"/>
                <w:highlight w:val="none"/>
              </w:rPr>
              <w:t>供应商提供</w:t>
            </w:r>
            <w:r>
              <w:rPr>
                <w:rFonts w:hint="eastAsia" w:ascii="宋体" w:hAnsi="宋体" w:cs="宋体"/>
                <w:color w:val="auto"/>
                <w:szCs w:val="21"/>
                <w:highlight w:val="none"/>
                <w:lang w:val="en-US" w:eastAsia="zh-CN"/>
              </w:rPr>
              <w:t>2019年1月1日</w:t>
            </w:r>
            <w:r>
              <w:rPr>
                <w:rFonts w:hint="eastAsia" w:ascii="宋体" w:hAnsi="宋体" w:cs="宋体"/>
                <w:color w:val="auto"/>
                <w:szCs w:val="21"/>
                <w:highlight w:val="none"/>
              </w:rPr>
              <w:t>以来在承担过同类项目业绩或案例证明。供应商每提供一个同类项目，得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分，最高3分（提供合同，时间以合同签订时间为准，不提供不得分）</w:t>
            </w:r>
            <w:bookmarkEnd w:id="644"/>
          </w:p>
        </w:tc>
        <w:tc>
          <w:tcPr>
            <w:tcW w:w="978" w:type="dxa"/>
            <w:noWrap w:val="0"/>
            <w:vAlign w:val="center"/>
          </w:tcPr>
          <w:p w14:paraId="67762766">
            <w:pPr>
              <w:autoSpaceDE w:val="0"/>
              <w:autoSpaceDN w:val="0"/>
              <w:spacing w:line="340" w:lineRule="exact"/>
              <w:jc w:val="center"/>
              <w:rPr>
                <w:rFonts w:hint="eastAsia" w:ascii="宋体" w:hAnsi="宋体" w:cs="宋体"/>
                <w:highlight w:val="none"/>
              </w:rPr>
            </w:pPr>
            <w:r>
              <w:rPr>
                <w:rFonts w:hint="eastAsia" w:ascii="宋体" w:hAnsi="宋体" w:cs="宋体"/>
                <w:color w:val="auto"/>
                <w:szCs w:val="21"/>
                <w:highlight w:val="none"/>
              </w:rPr>
              <w:t>0-3</w:t>
            </w:r>
          </w:p>
        </w:tc>
      </w:tr>
      <w:tr w14:paraId="64B3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4" w:type="dxa"/>
            <w:gridSpan w:val="3"/>
            <w:noWrap w:val="0"/>
            <w:vAlign w:val="center"/>
          </w:tcPr>
          <w:p w14:paraId="43D56CFF">
            <w:pPr>
              <w:autoSpaceDE w:val="0"/>
              <w:autoSpaceDN w:val="0"/>
              <w:spacing w:line="340" w:lineRule="exact"/>
              <w:jc w:val="center"/>
              <w:rPr>
                <w:rFonts w:hint="eastAsia" w:ascii="宋体" w:hAnsi="宋体"/>
                <w:szCs w:val="21"/>
                <w:highlight w:val="none"/>
              </w:rPr>
            </w:pPr>
            <w:r>
              <w:rPr>
                <w:rFonts w:hint="eastAsia" w:ascii="宋体" w:hAnsi="宋体" w:cs="宋体"/>
                <w:b/>
                <w:color w:val="auto"/>
                <w:szCs w:val="21"/>
                <w:highlight w:val="none"/>
              </w:rPr>
              <w:t>报价部分</w:t>
            </w:r>
          </w:p>
        </w:tc>
        <w:tc>
          <w:tcPr>
            <w:tcW w:w="978" w:type="dxa"/>
            <w:noWrap w:val="0"/>
            <w:vAlign w:val="center"/>
          </w:tcPr>
          <w:p w14:paraId="22D98DF8">
            <w:pPr>
              <w:autoSpaceDE w:val="0"/>
              <w:autoSpaceDN w:val="0"/>
              <w:spacing w:line="340" w:lineRule="exact"/>
              <w:jc w:val="center"/>
              <w:rPr>
                <w:rFonts w:hint="eastAsia" w:ascii="宋体" w:hAnsi="宋体" w:cs="宋体"/>
                <w:highlight w:val="none"/>
              </w:rPr>
            </w:pPr>
            <w:r>
              <w:rPr>
                <w:rFonts w:hint="eastAsia" w:ascii="宋体" w:hAnsi="宋体" w:cs="宋体"/>
                <w:b/>
                <w:color w:val="auto"/>
                <w:szCs w:val="21"/>
                <w:highlight w:val="none"/>
              </w:rPr>
              <w:t>30分</w:t>
            </w:r>
          </w:p>
        </w:tc>
      </w:tr>
      <w:tr w14:paraId="1C8F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8" w:type="dxa"/>
            <w:noWrap w:val="0"/>
            <w:vAlign w:val="center"/>
          </w:tcPr>
          <w:p w14:paraId="0523794C">
            <w:pPr>
              <w:widowControl/>
              <w:spacing w:line="40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1</w:t>
            </w:r>
          </w:p>
        </w:tc>
        <w:tc>
          <w:tcPr>
            <w:tcW w:w="1630" w:type="dxa"/>
            <w:noWrap w:val="0"/>
            <w:vAlign w:val="center"/>
          </w:tcPr>
          <w:p w14:paraId="4383EE28">
            <w:pPr>
              <w:autoSpaceDE w:val="0"/>
              <w:autoSpaceDN w:val="0"/>
              <w:spacing w:line="340" w:lineRule="exact"/>
              <w:jc w:val="center"/>
              <w:rPr>
                <w:rFonts w:hint="eastAsia" w:hAnsi="宋体"/>
                <w:kern w:val="2"/>
                <w:sz w:val="21"/>
                <w:szCs w:val="21"/>
                <w:highlight w:val="none"/>
              </w:rPr>
            </w:pPr>
            <w:r>
              <w:rPr>
                <w:rFonts w:hint="eastAsia" w:ascii="宋体" w:hAnsi="宋体" w:cs="宋体"/>
                <w:color w:val="auto"/>
                <w:szCs w:val="21"/>
                <w:highlight w:val="none"/>
              </w:rPr>
              <w:t>投标报价</w:t>
            </w:r>
          </w:p>
        </w:tc>
        <w:tc>
          <w:tcPr>
            <w:tcW w:w="6096" w:type="dxa"/>
            <w:noWrap w:val="0"/>
            <w:vAlign w:val="center"/>
          </w:tcPr>
          <w:p w14:paraId="686C2DAE">
            <w:pPr>
              <w:spacing w:line="360" w:lineRule="exact"/>
              <w:rPr>
                <w:rFonts w:ascii="宋体" w:hAnsi="宋体" w:cs="宋体"/>
                <w:color w:val="auto"/>
                <w:szCs w:val="21"/>
                <w:highlight w:val="none"/>
              </w:rPr>
            </w:pPr>
            <w:r>
              <w:rPr>
                <w:rFonts w:hint="eastAsia" w:ascii="宋体" w:hAnsi="宋体" w:cs="宋体"/>
                <w:color w:val="auto"/>
                <w:szCs w:val="21"/>
                <w:highlight w:val="none"/>
              </w:rPr>
              <w:t>有效投标报价的最低价作为评标基准价，其最低报价为满分；按［投标报价得分=（评标基准价/投标报价）×30］的计算公式计算。</w:t>
            </w:r>
          </w:p>
          <w:p w14:paraId="655D3589">
            <w:pPr>
              <w:spacing w:line="360" w:lineRule="exact"/>
              <w:rPr>
                <w:rFonts w:ascii="宋体" w:hAnsi="宋体" w:cs="宋体"/>
                <w:color w:val="auto"/>
                <w:szCs w:val="21"/>
                <w:highlight w:val="none"/>
              </w:rPr>
            </w:pPr>
            <w:r>
              <w:rPr>
                <w:rFonts w:hint="eastAsia" w:ascii="宋体" w:hAnsi="宋体" w:cs="宋体"/>
                <w:color w:val="auto"/>
                <w:szCs w:val="21"/>
                <w:highlight w:val="none"/>
              </w:rPr>
              <w:t>评标过程中，不得去掉报价中的最高报价和最低报价。</w:t>
            </w:r>
          </w:p>
          <w:p w14:paraId="52332319">
            <w:pPr>
              <w:autoSpaceDE w:val="0"/>
              <w:autoSpaceDN w:val="0"/>
              <w:spacing w:line="340" w:lineRule="exact"/>
              <w:rPr>
                <w:rFonts w:hint="eastAsia" w:ascii="宋体" w:hAnsi="宋体"/>
                <w:szCs w:val="21"/>
                <w:highlight w:val="none"/>
              </w:rPr>
            </w:pPr>
            <w:r>
              <w:rPr>
                <w:rFonts w:hint="eastAsia" w:ascii="宋体" w:hAnsi="宋体" w:cs="宋体"/>
                <w:color w:val="auto"/>
                <w:szCs w:val="21"/>
                <w:highlight w:val="none"/>
              </w:rPr>
              <w:t>因落实政府采购政策需要进行价格调整的，以调整后的价格计算评标基准价和投标报价。</w:t>
            </w:r>
          </w:p>
        </w:tc>
        <w:tc>
          <w:tcPr>
            <w:tcW w:w="978" w:type="dxa"/>
            <w:noWrap w:val="0"/>
            <w:vAlign w:val="center"/>
          </w:tcPr>
          <w:p w14:paraId="21D66FD3">
            <w:pPr>
              <w:autoSpaceDE w:val="0"/>
              <w:autoSpaceDN w:val="0"/>
              <w:spacing w:line="340" w:lineRule="exact"/>
              <w:jc w:val="center"/>
              <w:rPr>
                <w:rFonts w:hint="eastAsia" w:ascii="宋体" w:hAnsi="宋体" w:cs="宋体"/>
                <w:highlight w:val="none"/>
              </w:rPr>
            </w:pPr>
          </w:p>
        </w:tc>
      </w:tr>
      <w:bookmarkEnd w:id="71"/>
    </w:tbl>
    <w:p w14:paraId="17F86FF4">
      <w:pPr>
        <w:pStyle w:val="54"/>
        <w:numPr>
          <w:ilvl w:val="0"/>
          <w:numId w:val="0"/>
        </w:numPr>
        <w:ind w:leftChars="200"/>
        <w:rPr>
          <w:highlight w:val="none"/>
        </w:rPr>
      </w:pPr>
    </w:p>
    <w:p w14:paraId="04964754">
      <w:pPr>
        <w:adjustRightInd w:val="0"/>
        <w:snapToGrid w:val="0"/>
        <w:spacing w:line="360" w:lineRule="auto"/>
        <w:rPr>
          <w:rFonts w:ascii="宋体" w:hAnsi="宋体"/>
          <w:bCs/>
          <w:color w:val="auto"/>
          <w:spacing w:val="-4"/>
          <w:szCs w:val="21"/>
          <w:highlight w:val="none"/>
        </w:rPr>
      </w:pPr>
      <w:r>
        <w:rPr>
          <w:rFonts w:hint="eastAsia" w:ascii="宋体" w:hAnsi="宋体"/>
          <w:bCs/>
          <w:color w:val="auto"/>
          <w:spacing w:val="-4"/>
          <w:szCs w:val="21"/>
          <w:highlight w:val="none"/>
        </w:rPr>
        <w:t>注：建议在制作投标书时，在目录后附一个评分索引表，方便查找。</w:t>
      </w:r>
    </w:p>
    <w:p w14:paraId="4A28D79D">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一、评标方法</w:t>
      </w:r>
    </w:p>
    <w:p w14:paraId="2E5562DB">
      <w:pPr>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1.本项目采用综合评分法。</w:t>
      </w:r>
      <w:r>
        <w:rPr>
          <w:rFonts w:hint="eastAsia" w:ascii="宋体" w:hAnsi="宋体" w:cs="宋体"/>
          <w:color w:val="auto"/>
          <w:szCs w:val="21"/>
          <w:highlight w:val="none"/>
        </w:rPr>
        <w:t>综合评分法，是指投标文件满足招标文件全部实质性要求，且按照评审因素的量化指标评审得分最高的投标人为中标候选人的评标方法。</w:t>
      </w:r>
    </w:p>
    <w:p w14:paraId="30BA9AC0">
      <w:pPr>
        <w:spacing w:line="360" w:lineRule="auto"/>
        <w:rPr>
          <w:rFonts w:ascii="宋体" w:hAnsi="宋体" w:cs="宋体"/>
          <w:color w:val="auto"/>
          <w:szCs w:val="21"/>
          <w:highlight w:val="none"/>
        </w:rPr>
      </w:pPr>
      <w:r>
        <w:rPr>
          <w:rFonts w:hint="eastAsia" w:ascii="宋体" w:hAnsi="宋体" w:cs="宋体"/>
          <w:b/>
          <w:color w:val="auto"/>
          <w:szCs w:val="21"/>
          <w:highlight w:val="none"/>
        </w:rPr>
        <w:t>二、评标标准</w:t>
      </w:r>
    </w:p>
    <w:p w14:paraId="2418CC0B">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2.评标标准：</w:t>
      </w:r>
      <w:r>
        <w:rPr>
          <w:rFonts w:hint="eastAsia" w:ascii="宋体" w:hAnsi="宋体" w:cs="宋体"/>
          <w:color w:val="auto"/>
          <w:szCs w:val="21"/>
          <w:highlight w:val="none"/>
        </w:rPr>
        <w:t>见评标办法前附表。</w:t>
      </w:r>
    </w:p>
    <w:p w14:paraId="19C5F206">
      <w:pPr>
        <w:spacing w:line="360" w:lineRule="auto"/>
        <w:outlineLvl w:val="0"/>
        <w:rPr>
          <w:rFonts w:ascii="宋体" w:hAnsi="宋体" w:cs="宋体"/>
          <w:b/>
          <w:color w:val="auto"/>
          <w:szCs w:val="21"/>
          <w:highlight w:val="none"/>
        </w:rPr>
      </w:pPr>
      <w:bookmarkStart w:id="72" w:name="_Toc5850"/>
      <w:r>
        <w:rPr>
          <w:rFonts w:hint="eastAsia" w:ascii="宋体" w:hAnsi="宋体" w:cs="宋体"/>
          <w:b/>
          <w:color w:val="auto"/>
          <w:szCs w:val="21"/>
          <w:highlight w:val="none"/>
        </w:rPr>
        <w:t>三、评标程序</w:t>
      </w:r>
      <w:bookmarkEnd w:id="72"/>
    </w:p>
    <w:p w14:paraId="6338AA82">
      <w:pPr>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3.1符合性审查。</w:t>
      </w:r>
      <w:r>
        <w:rPr>
          <w:rFonts w:hint="eastAsia" w:ascii="宋体" w:hAnsi="宋体" w:cs="宋体"/>
          <w:color w:val="auto"/>
          <w:szCs w:val="21"/>
          <w:highlight w:val="none"/>
        </w:rPr>
        <w:t>评标委员会应当对符合资格的投标人的投标文件进行符合性审查，以确定其是否满足招标文件的实质性要求。不满足招标文件的实质性要求的，投标无效。</w:t>
      </w:r>
    </w:p>
    <w:p w14:paraId="6201EC47">
      <w:pPr>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3.2 比较与评价。</w:t>
      </w:r>
      <w:r>
        <w:rPr>
          <w:rFonts w:hint="eastAsia" w:ascii="宋体" w:hAnsi="宋体" w:cs="宋体"/>
          <w:color w:val="auto"/>
          <w:szCs w:val="21"/>
          <w:highlight w:val="none"/>
        </w:rPr>
        <w:t>评标委员会应当按照招标文件中规定的评标方法和标准，对符合性审查合格的投标文件进行商务和技术评估，综合比较与评价。</w:t>
      </w:r>
    </w:p>
    <w:p w14:paraId="0B922956">
      <w:pPr>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3.3汇总商务技术得分。</w:t>
      </w:r>
      <w:r>
        <w:rPr>
          <w:rFonts w:hint="eastAsia" w:ascii="宋体" w:hAnsi="宋体" w:cs="宋体"/>
          <w:color w:val="auto"/>
          <w:szCs w:val="21"/>
          <w:highlight w:val="none"/>
        </w:rPr>
        <w:t>评标委员会各成员应当独立对每个投标人的商务和技术文件进行评价，并汇总商务技术得分情况。</w:t>
      </w:r>
    </w:p>
    <w:p w14:paraId="1430059E">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3.4报价评审。</w:t>
      </w:r>
    </w:p>
    <w:p w14:paraId="1217FB05">
      <w:pPr>
        <w:pStyle w:val="371"/>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2757BA5A">
      <w:pPr>
        <w:pStyle w:val="37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p>
    <w:p w14:paraId="280D2B29">
      <w:pPr>
        <w:pStyle w:val="37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p>
    <w:p w14:paraId="7F4EBB70">
      <w:pPr>
        <w:pStyle w:val="37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p>
    <w:p w14:paraId="05F94A05">
      <w:pPr>
        <w:pStyle w:val="37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1E6E6BA3">
      <w:pPr>
        <w:pStyle w:val="37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1CE9F26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3.4.2投标文件出现不是唯一的、有选择性投标报价的，投标无效。</w:t>
      </w:r>
    </w:p>
    <w:p w14:paraId="1B65C22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3.4.3投标报价超过招标文件中规定的预算金额或者最高限价的，投标无效。</w:t>
      </w:r>
    </w:p>
    <w:p w14:paraId="09F4318E">
      <w:pPr>
        <w:pStyle w:val="37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F4661AF">
      <w:pPr>
        <w:pStyle w:val="37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62C5EA6">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3.5排序与推荐。</w:t>
      </w:r>
      <w:r>
        <w:rPr>
          <w:rFonts w:hint="eastAsia" w:ascii="宋体" w:hAnsi="宋体" w:cs="宋体"/>
          <w:color w:val="auto"/>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6706E8F">
      <w:pPr>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3.6编写评标报告。</w:t>
      </w:r>
      <w:r>
        <w:rPr>
          <w:rFonts w:hint="eastAsia" w:ascii="宋体" w:hAnsi="宋体" w:cs="宋体"/>
          <w:color w:val="auto"/>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97DBC90">
      <w:pPr>
        <w:shd w:val="clear" w:color="auto" w:fill="FFFFFF"/>
        <w:spacing w:after="225" w:line="315" w:lineRule="atLeast"/>
        <w:rPr>
          <w:rFonts w:ascii="宋体" w:hAnsi="宋体" w:cs="宋体"/>
          <w:b/>
          <w:color w:val="auto"/>
          <w:szCs w:val="21"/>
          <w:highlight w:val="none"/>
        </w:rPr>
      </w:pPr>
      <w:r>
        <w:rPr>
          <w:rFonts w:hint="eastAsia" w:ascii="宋体" w:hAnsi="宋体" w:cs="宋体"/>
          <w:b/>
          <w:color w:val="auto"/>
          <w:szCs w:val="21"/>
          <w:highlight w:val="none"/>
        </w:rPr>
        <w:t>四、评标中的其他事项</w:t>
      </w:r>
    </w:p>
    <w:p w14:paraId="6409E42B">
      <w:pPr>
        <w:pStyle w:val="371"/>
        <w:spacing w:before="0"/>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4.1投标人澄清、说明或者补正。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E2B9E60">
      <w:pPr>
        <w:pStyle w:val="21"/>
        <w:spacing w:line="360" w:lineRule="auto"/>
        <w:ind w:left="954" w:leftChars="226" w:hanging="479"/>
        <w:rPr>
          <w:rFonts w:ascii="宋体" w:hAnsi="宋体" w:cs="宋体"/>
          <w:color w:val="auto"/>
          <w:szCs w:val="21"/>
          <w:highlight w:val="none"/>
        </w:rPr>
      </w:pPr>
      <w:r>
        <w:rPr>
          <w:rFonts w:hint="eastAsia" w:ascii="宋体" w:hAnsi="宋体" w:cs="宋体"/>
          <w:b/>
          <w:color w:val="auto"/>
          <w:szCs w:val="21"/>
          <w:highlight w:val="none"/>
        </w:rPr>
        <w:t>4.2投标无效。</w:t>
      </w:r>
      <w:r>
        <w:rPr>
          <w:rFonts w:hint="eastAsia" w:ascii="宋体" w:hAnsi="宋体" w:cs="宋体"/>
          <w:color w:val="auto"/>
          <w:szCs w:val="21"/>
          <w:highlight w:val="none"/>
        </w:rPr>
        <w:t>有下列情况之一的，投标无效：</w:t>
      </w:r>
    </w:p>
    <w:p w14:paraId="2A4C64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4.2.1投标人不具备招标文件中规定的资格要求的（投标人未提供有效的资格文件的，视为投标人不具备招标文件中规定的资格要求）；</w:t>
      </w:r>
    </w:p>
    <w:p w14:paraId="6E72AB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4.2.2投标文件未按照招标文件要求签署、盖章的；</w:t>
      </w:r>
    </w:p>
    <w:p w14:paraId="50A1C5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4.2.3采购人拟采购的产品属于政府强制采购的节能产品品目清单范围的，投标人未按招标文件要求提供国家确定的认证机构出具的、处于有效期之内的节能产品认证证书的；</w:t>
      </w:r>
    </w:p>
    <w:p w14:paraId="557E49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4.2.4投标文件含有采购人不能接受的附加条件的；</w:t>
      </w:r>
    </w:p>
    <w:p w14:paraId="6826A5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4.2.5投标文件中承诺的投标有效期少于招标文件中载明的投标有效期的；</w:t>
      </w:r>
    </w:p>
    <w:p w14:paraId="46B81E2B">
      <w:pPr>
        <w:snapToGrid w:val="0"/>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4.2.6投标文件出现不是唯一的、有选择性投标报价的;</w:t>
      </w:r>
    </w:p>
    <w:p w14:paraId="4E807B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4.2.7投标报价超过招标文件中规定的预算金额或者最高限价的;</w:t>
      </w:r>
    </w:p>
    <w:p w14:paraId="62093B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4.2.8报价明显低于其他通过符合性审查投标人的报价，有可能影响产品质量或者不能诚信履约的，未能按要求提供书面说明或者提交相关证明材料，不能证明其报价合理性的;</w:t>
      </w:r>
    </w:p>
    <w:p w14:paraId="3A08E6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4.2.9投标人对根据修正原则修正后的报价不确认的；</w:t>
      </w:r>
    </w:p>
    <w:p w14:paraId="1A08CA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4.2.10投标人提供虚假材料投标的；</w:t>
      </w:r>
    </w:p>
    <w:p w14:paraId="0A599C6C">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4.2.11投标人有恶意串通、妨碍其他投标人的竞争行为、损害采购人或者其他投标人的合法权益情形的；</w:t>
      </w:r>
    </w:p>
    <w:p w14:paraId="4C22B8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4.2.12投标人仅提交备份投标文件，没有在电子交易平台传输递交投标文件的，投标无效；</w:t>
      </w:r>
    </w:p>
    <w:p w14:paraId="5B442095">
      <w:pPr>
        <w:pStyle w:val="4"/>
        <w:tabs>
          <w:tab w:val="left" w:pos="432"/>
        </w:tabs>
        <w:ind w:left="430" w:leftChars="205"/>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4.2.13 投标文件不满足招标文件的其它实质性要求的；</w:t>
      </w:r>
    </w:p>
    <w:p w14:paraId="2A5A29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4.2.14法律、法规、规章（适用本市的）及省级以上规范性文件（适用本市的）规定的其他无效情形。</w:t>
      </w:r>
    </w:p>
    <w:p w14:paraId="20F0037E">
      <w:pPr>
        <w:pStyle w:val="21"/>
        <w:snapToGrid w:val="0"/>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5.废标。</w:t>
      </w:r>
      <w:r>
        <w:rPr>
          <w:rFonts w:hint="eastAsia" w:ascii="宋体" w:hAnsi="宋体" w:cs="宋体"/>
          <w:color w:val="auto"/>
          <w:szCs w:val="21"/>
          <w:highlight w:val="none"/>
        </w:rPr>
        <w:t>根据《中华人民共和国政府采购法》第三十六条之规定，在采购中，出现下列情形之一的，应予废标：</w:t>
      </w:r>
    </w:p>
    <w:p w14:paraId="3D4A551E">
      <w:pPr>
        <w:pStyle w:val="21"/>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5.1符合专业条件的供应商或者对招标文件作实质响应的供应商不足3家的；</w:t>
      </w:r>
    </w:p>
    <w:p w14:paraId="2F6E2481">
      <w:pPr>
        <w:pStyle w:val="21"/>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5.2出现影响采购公正的违法、违规行为的；</w:t>
      </w:r>
    </w:p>
    <w:p w14:paraId="2E12BB02">
      <w:pPr>
        <w:pStyle w:val="21"/>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5.3投标人的报价均超过了采购预算，采购人不能支付的；</w:t>
      </w:r>
    </w:p>
    <w:p w14:paraId="4725B6EB">
      <w:pPr>
        <w:pStyle w:val="21"/>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5.4因重大变故，采购任务取消的。</w:t>
      </w:r>
    </w:p>
    <w:p w14:paraId="154F7FFE">
      <w:pPr>
        <w:pStyle w:val="21"/>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废标后，采购机构应当将废标理由通知所有投标人。</w:t>
      </w:r>
    </w:p>
    <w:p w14:paraId="484B7EB8">
      <w:pPr>
        <w:pStyle w:val="21"/>
        <w:snapToGrid w:val="0"/>
        <w:spacing w:line="360" w:lineRule="auto"/>
        <w:ind w:firstLine="517" w:firstLineChars="245"/>
        <w:rPr>
          <w:rFonts w:ascii="宋体" w:hAnsi="宋体" w:cs="宋体"/>
          <w:color w:val="auto"/>
          <w:szCs w:val="21"/>
          <w:highlight w:val="none"/>
        </w:rPr>
      </w:pPr>
      <w:r>
        <w:rPr>
          <w:rFonts w:hint="eastAsia" w:ascii="宋体" w:hAnsi="宋体" w:cs="宋体"/>
          <w:b/>
          <w:color w:val="auto"/>
          <w:szCs w:val="21"/>
          <w:highlight w:val="none"/>
        </w:rPr>
        <w:t>6.修改招标文件，重新组织采购活动。</w:t>
      </w:r>
      <w:r>
        <w:rPr>
          <w:rFonts w:hint="eastAsia" w:ascii="宋体" w:hAnsi="宋体" w:cs="宋体"/>
          <w:color w:val="auto"/>
          <w:szCs w:val="21"/>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C73FE30">
      <w:pPr>
        <w:pStyle w:val="21"/>
        <w:snapToGrid w:val="0"/>
        <w:spacing w:line="360" w:lineRule="auto"/>
        <w:ind w:firstLine="517" w:firstLineChars="245"/>
        <w:rPr>
          <w:rFonts w:ascii="宋体" w:hAnsi="宋体" w:cs="宋体"/>
          <w:color w:val="auto"/>
          <w:szCs w:val="21"/>
          <w:highlight w:val="none"/>
        </w:rPr>
      </w:pPr>
      <w:r>
        <w:rPr>
          <w:rFonts w:hint="eastAsia" w:ascii="宋体" w:hAnsi="宋体" w:cs="宋体"/>
          <w:b/>
          <w:color w:val="auto"/>
          <w:szCs w:val="21"/>
          <w:highlight w:val="none"/>
        </w:rPr>
        <w:t>7.重新开展采购。</w:t>
      </w:r>
      <w:r>
        <w:rPr>
          <w:rFonts w:hint="eastAsia" w:ascii="宋体" w:hAnsi="宋体" w:cs="宋体"/>
          <w:color w:val="auto"/>
          <w:szCs w:val="21"/>
          <w:highlight w:val="none"/>
        </w:rPr>
        <w:t>有政府采购法第七十一条、第七十二条规定的违法行为之一，影响或者可能影响中标、成交结果的，依照下列规定处理：</w:t>
      </w:r>
    </w:p>
    <w:p w14:paraId="5C13F1B2">
      <w:pPr>
        <w:pStyle w:val="21"/>
        <w:snapToGrid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7.1未确定中标或者中标人的，终止本次政府采购活动，重新开展政府采购活动。</w:t>
      </w:r>
    </w:p>
    <w:p w14:paraId="5A52D338">
      <w:pPr>
        <w:pStyle w:val="21"/>
        <w:snapToGrid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30865F45">
      <w:pPr>
        <w:pStyle w:val="21"/>
        <w:snapToGrid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7.3政府采购合同已签订但尚未履行的，撤销合同，从合格的中标或者成交候选人中另行确定中标或者中标人；没有合格的中标或者成交候选人的，重新开展政府采购活动。</w:t>
      </w:r>
    </w:p>
    <w:p w14:paraId="05C2CF9E">
      <w:pPr>
        <w:pStyle w:val="21"/>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7.4政府采购合同已经履行，给采购人、供应商造成损失的，由责任人承担赔偿责任。</w:t>
      </w:r>
    </w:p>
    <w:p w14:paraId="5CFE5C4D">
      <w:pPr>
        <w:pStyle w:val="4"/>
        <w:rPr>
          <w:rFonts w:ascii="宋体" w:hAnsi="宋体" w:cs="宋体"/>
          <w:color w:val="auto"/>
          <w:highlight w:val="none"/>
        </w:rPr>
      </w:pPr>
      <w:r>
        <w:rPr>
          <w:rFonts w:hint="eastAsia" w:ascii="宋体" w:hAnsi="宋体" w:cs="宋体"/>
          <w:color w:val="auto"/>
          <w:sz w:val="21"/>
          <w:szCs w:val="21"/>
          <w:highlight w:val="none"/>
        </w:rPr>
        <w:t>7.5政府采购当事人有其他违反政府采购法或者政府采购法实施条例等法律法规规定的行为，经改正后仍然影响或者可能影响中标、成交结果或者依法被认定为中标、成交无效的，依照7.1-7.4规定处理。</w:t>
      </w:r>
    </w:p>
    <w:bookmarkEnd w:id="2"/>
    <w:bookmarkEnd w:id="3"/>
    <w:bookmarkEnd w:id="4"/>
    <w:p w14:paraId="44FD702F">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73" w:name="_Toc528441162"/>
    </w:p>
    <w:p w14:paraId="67D9FBB6">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709AD61F">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7BDE7E01">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220E50A9">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498AB205">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06BBDA77">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7CD90748">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28645344">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2132C500">
      <w:pPr>
        <w:snapToGrid w:val="0"/>
        <w:spacing w:before="120" w:after="120" w:line="360" w:lineRule="auto"/>
        <w:jc w:val="center"/>
        <w:outlineLvl w:val="0"/>
        <w:rPr>
          <w:rFonts w:asciiTheme="minorEastAsia" w:hAnsiTheme="minorEastAsia" w:eastAsiaTheme="minorEastAsia"/>
          <w:b/>
          <w:color w:val="auto"/>
          <w:sz w:val="28"/>
          <w:szCs w:val="28"/>
          <w:highlight w:val="none"/>
        </w:rPr>
      </w:pPr>
    </w:p>
    <w:p w14:paraId="12EE7000">
      <w:pP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br w:type="page"/>
      </w:r>
    </w:p>
    <w:p w14:paraId="514A9306">
      <w:pPr>
        <w:numPr>
          <w:ilvl w:val="0"/>
          <w:numId w:val="5"/>
        </w:numPr>
        <w:ind w:left="0" w:leftChars="0" w:firstLine="0" w:firstLineChars="0"/>
        <w:jc w:val="center"/>
        <w:rPr>
          <w:rFonts w:hint="eastAsia" w:ascii="宋体" w:hAnsi="宋体"/>
          <w:b/>
          <w:sz w:val="32"/>
          <w:szCs w:val="32"/>
          <w:highlight w:val="none"/>
          <w:lang w:val="en-US" w:eastAsia="zh-CN"/>
        </w:rPr>
      </w:pPr>
      <w:bookmarkStart w:id="74" w:name="_Toc371258554"/>
      <w:bookmarkStart w:id="75" w:name="_Toc371258677"/>
      <w:bookmarkStart w:id="76" w:name="_Toc367959577"/>
      <w:bookmarkStart w:id="77" w:name="_Toc386270038"/>
      <w:r>
        <w:rPr>
          <w:rFonts w:hint="eastAsia" w:ascii="宋体" w:hAnsi="宋体"/>
          <w:b/>
          <w:sz w:val="28"/>
          <w:szCs w:val="28"/>
          <w:highlight w:val="none"/>
          <w:lang w:val="en-US" w:eastAsia="zh-CN"/>
        </w:rPr>
        <w:t xml:space="preserve"> 采购合同（指引）</w:t>
      </w:r>
    </w:p>
    <w:p w14:paraId="59CE750F">
      <w:pPr>
        <w:pStyle w:val="2"/>
        <w:numPr>
          <w:ilvl w:val="0"/>
          <w:numId w:val="0"/>
        </w:numPr>
        <w:ind w:leftChars="0"/>
        <w:rPr>
          <w:rFonts w:hint="default"/>
          <w:highlight w:val="none"/>
          <w:lang w:val="en-US" w:eastAsia="zh-CN"/>
        </w:rPr>
      </w:pPr>
    </w:p>
    <w:p w14:paraId="31E92F1F">
      <w:pPr>
        <w:spacing w:line="440" w:lineRule="exact"/>
        <w:jc w:val="center"/>
        <w:outlineLvl w:val="1"/>
        <w:rPr>
          <w:rFonts w:ascii="宋体" w:hAnsi="宋体"/>
          <w:b/>
          <w:sz w:val="32"/>
          <w:szCs w:val="32"/>
          <w:highlight w:val="none"/>
        </w:rPr>
      </w:pPr>
      <w:r>
        <w:rPr>
          <w:rFonts w:ascii="宋体" w:hAnsi="宋体"/>
          <w:b/>
          <w:sz w:val="32"/>
          <w:szCs w:val="32"/>
          <w:highlight w:val="none"/>
        </w:rPr>
        <w:t>第一部分</w:t>
      </w:r>
      <w:r>
        <w:rPr>
          <w:rFonts w:hint="eastAsia" w:ascii="宋体" w:hAnsi="宋体"/>
          <w:b/>
          <w:sz w:val="32"/>
          <w:szCs w:val="32"/>
          <w:highlight w:val="none"/>
        </w:rPr>
        <w:t xml:space="preserve">  </w:t>
      </w:r>
      <w:r>
        <w:rPr>
          <w:rFonts w:ascii="宋体" w:hAnsi="宋体"/>
          <w:b/>
          <w:sz w:val="32"/>
          <w:szCs w:val="32"/>
          <w:highlight w:val="none"/>
        </w:rPr>
        <w:t xml:space="preserve"> 合同协议书</w:t>
      </w:r>
      <w:bookmarkEnd w:id="74"/>
      <w:bookmarkEnd w:id="75"/>
      <w:bookmarkEnd w:id="76"/>
      <w:bookmarkEnd w:id="77"/>
    </w:p>
    <w:p w14:paraId="1304C7AF">
      <w:pPr>
        <w:spacing w:line="360" w:lineRule="auto"/>
        <w:ind w:firstLine="422" w:firstLineChars="200"/>
        <w:rPr>
          <w:rFonts w:hint="eastAsia" w:ascii="宋体" w:hAnsi="宋体"/>
          <w:b/>
          <w:szCs w:val="21"/>
          <w:highlight w:val="none"/>
        </w:rPr>
      </w:pPr>
    </w:p>
    <w:p w14:paraId="4156CAB8">
      <w:pPr>
        <w:spacing w:line="360" w:lineRule="auto"/>
        <w:ind w:firstLine="422" w:firstLineChars="200"/>
        <w:rPr>
          <w:rFonts w:hint="eastAsia" w:ascii="宋体" w:hAnsi="宋体"/>
          <w:b/>
          <w:szCs w:val="21"/>
          <w:highlight w:val="none"/>
          <w:u w:val="single"/>
        </w:rPr>
      </w:pPr>
      <w:r>
        <w:rPr>
          <w:rFonts w:ascii="宋体" w:hAnsi="宋体"/>
          <w:b/>
          <w:szCs w:val="21"/>
          <w:highlight w:val="none"/>
        </w:rPr>
        <w:t>采购人（全称）：</w:t>
      </w:r>
      <w:r>
        <w:rPr>
          <w:rFonts w:ascii="宋体" w:hAnsi="宋体"/>
          <w:b/>
          <w:szCs w:val="21"/>
          <w:highlight w:val="none"/>
          <w:u w:val="single"/>
        </w:rPr>
        <w:t></w:t>
      </w:r>
      <w:r>
        <w:rPr>
          <w:rFonts w:hint="eastAsia" w:ascii="宋体" w:hAnsi="宋体"/>
          <w:b/>
          <w:szCs w:val="21"/>
          <w:highlight w:val="none"/>
          <w:u w:val="single"/>
          <w:lang w:eastAsia="zh-CN"/>
        </w:rPr>
        <w:t>嘉兴市交通运输行政执法队</w:t>
      </w:r>
      <w:r>
        <w:rPr>
          <w:rFonts w:hint="eastAsia" w:ascii="宋体" w:hAnsi="宋体"/>
          <w:b/>
          <w:szCs w:val="21"/>
          <w:highlight w:val="none"/>
          <w:u w:val="single"/>
        </w:rPr>
        <w:t xml:space="preserve"> </w:t>
      </w:r>
    </w:p>
    <w:p w14:paraId="50BA3582">
      <w:pPr>
        <w:spacing w:line="360" w:lineRule="auto"/>
        <w:ind w:firstLine="422" w:firstLineChars="200"/>
        <w:rPr>
          <w:rFonts w:ascii="宋体" w:hAnsi="宋体"/>
          <w:b/>
          <w:szCs w:val="21"/>
          <w:highlight w:val="none"/>
          <w:u w:val="single"/>
        </w:rPr>
      </w:pPr>
      <w:r>
        <w:rPr>
          <w:rFonts w:ascii="宋体" w:hAnsi="宋体"/>
          <w:b/>
          <w:szCs w:val="21"/>
          <w:highlight w:val="none"/>
        </w:rPr>
        <w:t>承包人（全称）：</w:t>
      </w:r>
      <w:r>
        <w:rPr>
          <w:rFonts w:ascii="宋体" w:hAnsi="宋体"/>
          <w:b/>
          <w:szCs w:val="21"/>
          <w:highlight w:val="none"/>
          <w:u w:val="single"/>
        </w:rPr>
        <w:t></w:t>
      </w:r>
      <w:r>
        <w:rPr>
          <w:rFonts w:hint="eastAsia" w:ascii="宋体" w:hAnsi="宋体"/>
          <w:b/>
          <w:szCs w:val="21"/>
          <w:highlight w:val="none"/>
          <w:u w:val="single"/>
        </w:rPr>
        <w:t xml:space="preserve">   </w:t>
      </w:r>
      <w:r>
        <w:rPr>
          <w:rFonts w:ascii="宋体" w:hAnsi="宋体"/>
          <w:b/>
          <w:szCs w:val="21"/>
          <w:highlight w:val="none"/>
          <w:u w:val="single"/>
        </w:rPr>
        <w:t xml:space="preserve"> </w:t>
      </w:r>
      <w:r>
        <w:rPr>
          <w:rFonts w:hint="eastAsia" w:ascii="宋体" w:hAnsi="宋体"/>
          <w:b/>
          <w:szCs w:val="21"/>
          <w:highlight w:val="none"/>
          <w:u w:val="single"/>
        </w:rPr>
        <w:t xml:space="preserve">  </w:t>
      </w:r>
    </w:p>
    <w:p w14:paraId="36069D55">
      <w:pPr>
        <w:spacing w:line="360" w:lineRule="auto"/>
        <w:ind w:firstLine="420" w:firstLineChars="200"/>
        <w:rPr>
          <w:rFonts w:ascii="宋体" w:hAnsi="宋体"/>
          <w:szCs w:val="21"/>
          <w:highlight w:val="none"/>
        </w:rPr>
      </w:pPr>
      <w:r>
        <w:rPr>
          <w:rFonts w:ascii="宋体" w:hAnsi="宋体"/>
          <w:szCs w:val="21"/>
          <w:highlight w:val="none"/>
        </w:rPr>
        <w:t>根据《中华人民共和国民法典》、《中华人民共和国建筑法》及有关法律规定，遵循平等、自愿、公平和诚实信用的原则，双方就</w:t>
      </w:r>
      <w:r>
        <w:rPr>
          <w:rFonts w:hint="eastAsia" w:ascii="宋体" w:hAnsi="宋体"/>
          <w:szCs w:val="21"/>
          <w:highlight w:val="none"/>
          <w:u w:val="single"/>
          <w:lang w:eastAsia="zh-CN"/>
        </w:rPr>
        <w:t>交通执法基层站所修缮维护项目</w:t>
      </w:r>
      <w:r>
        <w:rPr>
          <w:rFonts w:ascii="宋体" w:hAnsi="宋体"/>
          <w:szCs w:val="21"/>
          <w:highlight w:val="none"/>
        </w:rPr>
        <w:t>及有关事项协商一致</w:t>
      </w:r>
      <w:r>
        <w:rPr>
          <w:rFonts w:hint="eastAsia" w:ascii="宋体" w:hAnsi="宋体"/>
          <w:szCs w:val="21"/>
          <w:highlight w:val="none"/>
        </w:rPr>
        <w:t>，</w:t>
      </w:r>
      <w:r>
        <w:rPr>
          <w:rFonts w:ascii="宋体" w:hAnsi="宋体"/>
          <w:szCs w:val="21"/>
          <w:highlight w:val="none"/>
        </w:rPr>
        <w:t>共同达成如下协议：</w:t>
      </w:r>
    </w:p>
    <w:p w14:paraId="0CF8E11D">
      <w:pPr>
        <w:spacing w:line="360" w:lineRule="auto"/>
        <w:ind w:firstLine="422" w:firstLineChars="200"/>
        <w:rPr>
          <w:rFonts w:ascii="宋体" w:hAnsi="宋体"/>
          <w:bCs/>
          <w:szCs w:val="21"/>
          <w:highlight w:val="none"/>
        </w:rPr>
      </w:pPr>
      <w:bookmarkStart w:id="78" w:name="_Toc351203481"/>
      <w:r>
        <w:rPr>
          <w:rFonts w:ascii="宋体" w:hAnsi="宋体"/>
          <w:b/>
          <w:szCs w:val="21"/>
          <w:highlight w:val="none"/>
        </w:rPr>
        <w:t>一、工程概况</w:t>
      </w:r>
      <w:bookmarkEnd w:id="78"/>
    </w:p>
    <w:p w14:paraId="513E93CD">
      <w:pPr>
        <w:spacing w:line="360" w:lineRule="auto"/>
        <w:ind w:firstLine="420" w:firstLineChars="200"/>
        <w:rPr>
          <w:rFonts w:ascii="宋体" w:hAnsi="宋体"/>
          <w:szCs w:val="21"/>
          <w:highlight w:val="none"/>
          <w:u w:val="single"/>
        </w:rPr>
      </w:pPr>
      <w:r>
        <w:rPr>
          <w:rFonts w:ascii="宋体" w:hAnsi="宋体"/>
          <w:bCs/>
          <w:szCs w:val="21"/>
          <w:highlight w:val="none"/>
        </w:rPr>
        <w:t>1.工程名称</w:t>
      </w:r>
      <w:r>
        <w:rPr>
          <w:rFonts w:ascii="宋体" w:hAnsi="宋体"/>
          <w:szCs w:val="21"/>
          <w:highlight w:val="none"/>
        </w:rPr>
        <w:t>：</w:t>
      </w:r>
      <w:r>
        <w:rPr>
          <w:rFonts w:hint="eastAsia" w:ascii="宋体" w:hAnsi="宋体"/>
          <w:szCs w:val="21"/>
          <w:highlight w:val="none"/>
          <w:u w:val="single"/>
          <w:lang w:eastAsia="zh-CN"/>
        </w:rPr>
        <w:t>交通执法基层站所修缮维护项目</w:t>
      </w:r>
      <w:r>
        <w:rPr>
          <w:rFonts w:ascii="宋体" w:hAnsi="宋体"/>
          <w:szCs w:val="21"/>
          <w:highlight w:val="none"/>
        </w:rPr>
        <w:t>。</w:t>
      </w:r>
    </w:p>
    <w:p w14:paraId="2543E090">
      <w:pPr>
        <w:spacing w:line="360" w:lineRule="auto"/>
        <w:ind w:firstLine="420" w:firstLineChars="200"/>
        <w:rPr>
          <w:rFonts w:hint="eastAsia" w:ascii="宋体" w:hAnsi="宋体"/>
          <w:szCs w:val="21"/>
          <w:highlight w:val="none"/>
          <w:u w:val="single"/>
        </w:rPr>
      </w:pPr>
      <w:r>
        <w:rPr>
          <w:rFonts w:ascii="宋体" w:hAnsi="宋体"/>
          <w:bCs/>
          <w:szCs w:val="21"/>
          <w:highlight w:val="none"/>
        </w:rPr>
        <w:t>2.工程地点：</w:t>
      </w:r>
      <w:r>
        <w:rPr>
          <w:rFonts w:hint="eastAsia" w:ascii="宋体" w:hAnsi="宋体"/>
          <w:bCs/>
          <w:szCs w:val="21"/>
          <w:highlight w:val="none"/>
          <w:u w:val="single"/>
        </w:rPr>
        <w:t xml:space="preserve">        </w:t>
      </w:r>
    </w:p>
    <w:p w14:paraId="5395E1AD">
      <w:pPr>
        <w:spacing w:line="360" w:lineRule="auto"/>
        <w:ind w:firstLine="420" w:firstLineChars="200"/>
        <w:rPr>
          <w:rFonts w:ascii="宋体" w:hAnsi="宋体"/>
          <w:bCs/>
          <w:szCs w:val="21"/>
          <w:highlight w:val="none"/>
        </w:rPr>
      </w:pPr>
      <w:r>
        <w:rPr>
          <w:rFonts w:ascii="宋体" w:hAnsi="宋体"/>
          <w:bCs/>
          <w:szCs w:val="21"/>
          <w:highlight w:val="none"/>
        </w:rPr>
        <w:t>3.工程立项批准文号：</w:t>
      </w:r>
      <w:r>
        <w:rPr>
          <w:rFonts w:hint="eastAsia" w:ascii="宋体" w:hAnsi="宋体"/>
          <w:bCs/>
          <w:szCs w:val="21"/>
          <w:highlight w:val="none"/>
          <w:u w:val="single"/>
        </w:rPr>
        <w:t xml:space="preserve">    </w:t>
      </w:r>
      <w:r>
        <w:rPr>
          <w:rFonts w:hint="eastAsia" w:ascii="宋体" w:hAnsi="宋体"/>
          <w:szCs w:val="21"/>
          <w:highlight w:val="none"/>
          <w:u w:val="single"/>
        </w:rPr>
        <w:t xml:space="preserve">   </w:t>
      </w:r>
    </w:p>
    <w:p w14:paraId="78894A05">
      <w:pPr>
        <w:spacing w:line="360" w:lineRule="auto"/>
        <w:ind w:firstLine="420" w:firstLineChars="200"/>
        <w:rPr>
          <w:rFonts w:ascii="宋体" w:hAnsi="宋体"/>
          <w:szCs w:val="21"/>
          <w:highlight w:val="none"/>
          <w:u w:val="single"/>
        </w:rPr>
      </w:pPr>
      <w:r>
        <w:rPr>
          <w:rFonts w:ascii="宋体" w:hAnsi="宋体"/>
          <w:bCs/>
          <w:szCs w:val="21"/>
          <w:highlight w:val="none"/>
        </w:rPr>
        <w:t>4.资金来源：</w:t>
      </w:r>
      <w:r>
        <w:rPr>
          <w:rFonts w:hint="eastAsia" w:ascii="宋体" w:hAnsi="宋体"/>
          <w:bCs/>
          <w:szCs w:val="21"/>
          <w:highlight w:val="none"/>
          <w:u w:val="single"/>
        </w:rPr>
        <w:t xml:space="preserve">      </w:t>
      </w:r>
      <w:r>
        <w:rPr>
          <w:rFonts w:hint="eastAsia" w:ascii="宋体" w:hAnsi="宋体"/>
          <w:szCs w:val="21"/>
          <w:highlight w:val="none"/>
          <w:u w:val="single"/>
        </w:rPr>
        <w:t xml:space="preserve"> </w:t>
      </w:r>
    </w:p>
    <w:p w14:paraId="4D1C1EFC">
      <w:pPr>
        <w:spacing w:line="360" w:lineRule="auto"/>
        <w:ind w:firstLine="420" w:firstLineChars="200"/>
        <w:rPr>
          <w:rFonts w:hint="default" w:ascii="宋体" w:hAnsi="宋体" w:eastAsia="宋体" w:cs="仿宋"/>
          <w:szCs w:val="21"/>
          <w:highlight w:val="none"/>
          <w:u w:val="single"/>
          <w:lang w:val="en-US" w:eastAsia="zh-CN"/>
        </w:rPr>
      </w:pPr>
      <w:r>
        <w:rPr>
          <w:rFonts w:hint="eastAsia" w:ascii="宋体" w:hAnsi="宋体"/>
          <w:bCs/>
          <w:szCs w:val="21"/>
          <w:highlight w:val="none"/>
        </w:rPr>
        <w:t>5.工程内容：</w:t>
      </w:r>
      <w:r>
        <w:rPr>
          <w:rFonts w:hint="eastAsia" w:ascii="宋体" w:hAnsi="宋体" w:cs="仿宋"/>
          <w:szCs w:val="21"/>
          <w:highlight w:val="none"/>
          <w:u w:val="single"/>
          <w:lang w:val="en-US" w:eastAsia="zh-CN"/>
        </w:rPr>
        <w:t xml:space="preserve">     </w:t>
      </w:r>
    </w:p>
    <w:p w14:paraId="44050970">
      <w:pPr>
        <w:spacing w:line="360" w:lineRule="auto"/>
        <w:ind w:firstLine="420" w:firstLineChars="200"/>
        <w:rPr>
          <w:rFonts w:ascii="宋体" w:hAnsi="宋体" w:cs="仿宋"/>
          <w:szCs w:val="21"/>
          <w:highlight w:val="none"/>
        </w:rPr>
      </w:pPr>
      <w:r>
        <w:rPr>
          <w:rFonts w:hint="eastAsia" w:ascii="宋体" w:hAnsi="宋体" w:cs="仿宋"/>
          <w:szCs w:val="21"/>
          <w:highlight w:val="none"/>
        </w:rPr>
        <w:t>群体工程应附《承包人承揽工程项目一览表》（附件1）。</w:t>
      </w:r>
    </w:p>
    <w:p w14:paraId="70123A96">
      <w:pPr>
        <w:spacing w:line="360" w:lineRule="auto"/>
        <w:ind w:firstLine="420" w:firstLineChars="200"/>
        <w:rPr>
          <w:rFonts w:ascii="宋体" w:hAnsi="宋体"/>
          <w:bCs/>
          <w:szCs w:val="21"/>
          <w:highlight w:val="none"/>
        </w:rPr>
      </w:pPr>
      <w:r>
        <w:rPr>
          <w:rFonts w:hint="eastAsia" w:ascii="宋体" w:hAnsi="宋体" w:cs="仿宋"/>
          <w:szCs w:val="21"/>
          <w:highlight w:val="none"/>
        </w:rPr>
        <w:t>6</w:t>
      </w:r>
      <w:r>
        <w:rPr>
          <w:rFonts w:ascii="宋体" w:hAnsi="宋体" w:cs="仿宋"/>
          <w:szCs w:val="21"/>
          <w:highlight w:val="none"/>
        </w:rPr>
        <w:t>.</w:t>
      </w:r>
      <w:r>
        <w:rPr>
          <w:rFonts w:ascii="宋体" w:hAnsi="宋体"/>
          <w:bCs/>
          <w:szCs w:val="21"/>
          <w:highlight w:val="none"/>
        </w:rPr>
        <w:t>工程承包范围：</w:t>
      </w:r>
      <w:bookmarkStart w:id="79" w:name="_Toc351203482"/>
    </w:p>
    <w:p w14:paraId="12A0599D">
      <w:pPr>
        <w:spacing w:line="360" w:lineRule="auto"/>
        <w:ind w:firstLine="420" w:firstLineChars="200"/>
        <w:rPr>
          <w:rFonts w:hint="eastAsia" w:ascii="宋体" w:hAnsi="宋体" w:cs="仿宋"/>
          <w:szCs w:val="21"/>
          <w:highlight w:val="none"/>
          <w:u w:val="single"/>
          <w:lang w:val="en-US" w:eastAsia="zh-CN"/>
        </w:rPr>
      </w:pPr>
      <w:r>
        <w:rPr>
          <w:rFonts w:hint="eastAsia" w:ascii="宋体" w:hAnsi="宋体" w:cs="仿宋"/>
          <w:szCs w:val="21"/>
          <w:highlight w:val="none"/>
          <w:u w:val="single"/>
          <w:lang w:val="en-US" w:eastAsia="zh-CN"/>
        </w:rPr>
        <w:t xml:space="preserve">      </w:t>
      </w:r>
    </w:p>
    <w:p w14:paraId="0A3D0205">
      <w:pPr>
        <w:spacing w:line="360" w:lineRule="auto"/>
        <w:ind w:firstLine="422" w:firstLineChars="200"/>
        <w:rPr>
          <w:rFonts w:ascii="宋体" w:hAnsi="宋体"/>
          <w:b/>
          <w:szCs w:val="21"/>
          <w:highlight w:val="none"/>
        </w:rPr>
      </w:pPr>
      <w:r>
        <w:rPr>
          <w:rFonts w:ascii="宋体" w:hAnsi="宋体"/>
          <w:b/>
          <w:szCs w:val="21"/>
          <w:highlight w:val="none"/>
        </w:rPr>
        <w:t>二、合同工期</w:t>
      </w:r>
      <w:bookmarkEnd w:id="79"/>
    </w:p>
    <w:p w14:paraId="3162687F">
      <w:pPr>
        <w:spacing w:line="360" w:lineRule="auto"/>
        <w:ind w:firstLine="420" w:firstLineChars="200"/>
        <w:rPr>
          <w:rFonts w:ascii="宋体" w:hAnsi="宋体"/>
          <w:szCs w:val="21"/>
          <w:highlight w:val="none"/>
        </w:rPr>
      </w:pPr>
      <w:r>
        <w:rPr>
          <w:rFonts w:ascii="宋体" w:hAnsi="宋体"/>
          <w:szCs w:val="21"/>
          <w:highlight w:val="none"/>
        </w:rPr>
        <w:t>计划开工日期：</w:t>
      </w:r>
      <w:r>
        <w:rPr>
          <w:rFonts w:ascii="宋体" w:hAnsi="宋体"/>
          <w:szCs w:val="21"/>
          <w:highlight w:val="none"/>
          <w:u w:val="single"/>
        </w:rPr>
        <w:t></w:t>
      </w:r>
      <w:r>
        <w:rPr>
          <w:rFonts w:ascii="宋体" w:hAnsi="宋体"/>
          <w:szCs w:val="21"/>
          <w:highlight w:val="none"/>
        </w:rPr>
        <w:t>年</w:t>
      </w:r>
      <w:r>
        <w:rPr>
          <w:rFonts w:ascii="宋体" w:hAnsi="宋体"/>
          <w:szCs w:val="21"/>
          <w:highlight w:val="none"/>
          <w:u w:val="single"/>
        </w:rPr>
        <w:t></w:t>
      </w:r>
      <w:r>
        <w:rPr>
          <w:rFonts w:ascii="宋体" w:hAnsi="宋体"/>
          <w:szCs w:val="21"/>
          <w:highlight w:val="none"/>
        </w:rPr>
        <w:t>月</w:t>
      </w:r>
      <w:r>
        <w:rPr>
          <w:rFonts w:ascii="宋体" w:hAnsi="宋体"/>
          <w:szCs w:val="21"/>
          <w:highlight w:val="none"/>
          <w:u w:val="single"/>
        </w:rPr>
        <w:t></w:t>
      </w:r>
      <w:r>
        <w:rPr>
          <w:rFonts w:ascii="宋体" w:hAnsi="宋体"/>
          <w:szCs w:val="21"/>
          <w:highlight w:val="none"/>
        </w:rPr>
        <w:t>日。</w:t>
      </w:r>
    </w:p>
    <w:p w14:paraId="0561B922">
      <w:pPr>
        <w:spacing w:line="360" w:lineRule="auto"/>
        <w:ind w:firstLine="420" w:firstLineChars="200"/>
        <w:rPr>
          <w:rFonts w:ascii="宋体" w:hAnsi="宋体"/>
          <w:szCs w:val="21"/>
          <w:highlight w:val="none"/>
        </w:rPr>
      </w:pPr>
      <w:r>
        <w:rPr>
          <w:rFonts w:ascii="宋体" w:hAnsi="宋体"/>
          <w:szCs w:val="21"/>
          <w:highlight w:val="none"/>
        </w:rPr>
        <w:t>计划竣工日期：</w:t>
      </w:r>
      <w:r>
        <w:rPr>
          <w:rFonts w:ascii="宋体" w:hAnsi="宋体"/>
          <w:szCs w:val="21"/>
          <w:highlight w:val="none"/>
          <w:u w:val="single"/>
        </w:rPr>
        <w:t></w:t>
      </w:r>
      <w:r>
        <w:rPr>
          <w:rFonts w:ascii="宋体" w:hAnsi="宋体"/>
          <w:szCs w:val="21"/>
          <w:highlight w:val="none"/>
        </w:rPr>
        <w:t>年</w:t>
      </w:r>
      <w:r>
        <w:rPr>
          <w:rFonts w:ascii="宋体" w:hAnsi="宋体"/>
          <w:szCs w:val="21"/>
          <w:highlight w:val="none"/>
          <w:u w:val="single"/>
        </w:rPr>
        <w:t></w:t>
      </w:r>
      <w:r>
        <w:rPr>
          <w:rFonts w:ascii="宋体" w:hAnsi="宋体"/>
          <w:szCs w:val="21"/>
          <w:highlight w:val="none"/>
        </w:rPr>
        <w:t>月</w:t>
      </w:r>
      <w:r>
        <w:rPr>
          <w:rFonts w:ascii="宋体" w:hAnsi="宋体"/>
          <w:szCs w:val="21"/>
          <w:highlight w:val="none"/>
          <w:u w:val="single"/>
        </w:rPr>
        <w:t></w:t>
      </w:r>
      <w:r>
        <w:rPr>
          <w:rFonts w:ascii="宋体" w:hAnsi="宋体"/>
          <w:szCs w:val="21"/>
          <w:highlight w:val="none"/>
        </w:rPr>
        <w:t>日。</w:t>
      </w:r>
    </w:p>
    <w:p w14:paraId="18AD0B26">
      <w:pPr>
        <w:spacing w:line="360" w:lineRule="auto"/>
        <w:ind w:firstLine="420" w:firstLineChars="200"/>
        <w:rPr>
          <w:rFonts w:ascii="宋体" w:hAnsi="宋体"/>
          <w:szCs w:val="21"/>
          <w:highlight w:val="none"/>
        </w:rPr>
      </w:pPr>
      <w:r>
        <w:rPr>
          <w:rFonts w:ascii="宋体" w:hAnsi="宋体"/>
          <w:szCs w:val="21"/>
          <w:highlight w:val="none"/>
        </w:rPr>
        <w:t>工期总日历天数：</w:t>
      </w:r>
      <w:r>
        <w:rPr>
          <w:rFonts w:hint="eastAsia" w:ascii="宋体" w:hAnsi="宋体"/>
          <w:szCs w:val="21"/>
          <w:highlight w:val="none"/>
          <w:u w:val="single"/>
        </w:rPr>
        <w:t xml:space="preserve">             </w:t>
      </w:r>
      <w:r>
        <w:rPr>
          <w:rFonts w:hint="eastAsia" w:ascii="宋体" w:hAnsi="宋体"/>
          <w:szCs w:val="21"/>
          <w:highlight w:val="none"/>
        </w:rPr>
        <w:t>。</w:t>
      </w:r>
      <w:r>
        <w:rPr>
          <w:rFonts w:ascii="宋体" w:hAnsi="宋体"/>
          <w:szCs w:val="21"/>
          <w:highlight w:val="none"/>
        </w:rPr>
        <w:t>工期总日历天数与根据前述计划开竣工日期计算的工期天数不一致的，以工期总日历天数为准。</w:t>
      </w:r>
    </w:p>
    <w:p w14:paraId="33BCA18C">
      <w:pPr>
        <w:spacing w:line="360" w:lineRule="auto"/>
        <w:ind w:firstLine="422" w:firstLineChars="200"/>
        <w:rPr>
          <w:rFonts w:ascii="宋体" w:hAnsi="宋体"/>
          <w:bCs/>
          <w:szCs w:val="21"/>
          <w:highlight w:val="none"/>
        </w:rPr>
      </w:pPr>
      <w:bookmarkStart w:id="80" w:name="_Toc351203483"/>
      <w:r>
        <w:rPr>
          <w:rFonts w:ascii="宋体" w:hAnsi="宋体"/>
          <w:b/>
          <w:szCs w:val="21"/>
          <w:highlight w:val="none"/>
        </w:rPr>
        <w:t>三、质量标准</w:t>
      </w:r>
      <w:bookmarkEnd w:id="80"/>
    </w:p>
    <w:p w14:paraId="4273A8C5">
      <w:pPr>
        <w:spacing w:line="360" w:lineRule="auto"/>
        <w:ind w:firstLine="420" w:firstLineChars="200"/>
        <w:rPr>
          <w:rFonts w:hint="eastAsia" w:ascii="宋体" w:hAnsi="宋体"/>
          <w:szCs w:val="21"/>
          <w:highlight w:val="none"/>
        </w:rPr>
      </w:pPr>
      <w:bookmarkStart w:id="81" w:name="_Toc351203484"/>
      <w:r>
        <w:rPr>
          <w:rFonts w:hint="eastAsia" w:ascii="宋体" w:hAnsi="宋体"/>
          <w:szCs w:val="21"/>
          <w:highlight w:val="none"/>
        </w:rPr>
        <w:t>合格。</w:t>
      </w:r>
    </w:p>
    <w:p w14:paraId="40134C62">
      <w:pPr>
        <w:spacing w:line="360" w:lineRule="auto"/>
        <w:ind w:firstLine="422" w:firstLineChars="200"/>
        <w:rPr>
          <w:rFonts w:ascii="宋体" w:hAnsi="宋体"/>
          <w:bCs/>
          <w:szCs w:val="21"/>
          <w:highlight w:val="none"/>
        </w:rPr>
      </w:pPr>
      <w:r>
        <w:rPr>
          <w:rFonts w:ascii="宋体" w:hAnsi="宋体"/>
          <w:b/>
          <w:szCs w:val="21"/>
          <w:highlight w:val="none"/>
        </w:rPr>
        <w:t>四、签约合同价与合同价格形式</w:t>
      </w:r>
      <w:bookmarkEnd w:id="81"/>
      <w:r>
        <w:rPr>
          <w:rFonts w:ascii="宋体" w:hAnsi="宋体"/>
          <w:b/>
          <w:szCs w:val="21"/>
          <w:highlight w:val="none"/>
        </w:rPr>
        <w:tab/>
      </w:r>
    </w:p>
    <w:p w14:paraId="705458A9">
      <w:pPr>
        <w:spacing w:line="360" w:lineRule="auto"/>
        <w:ind w:firstLine="420" w:firstLineChars="200"/>
        <w:rPr>
          <w:rFonts w:ascii="宋体" w:hAnsi="宋体"/>
          <w:szCs w:val="21"/>
          <w:highlight w:val="none"/>
        </w:rPr>
      </w:pPr>
      <w:r>
        <w:rPr>
          <w:rFonts w:ascii="宋体" w:hAnsi="宋体"/>
          <w:szCs w:val="21"/>
          <w:highlight w:val="none"/>
        </w:rPr>
        <w:t>1.签约合同价为：人民币（大写）</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元)；</w:t>
      </w:r>
    </w:p>
    <w:p w14:paraId="53E374DC">
      <w:pPr>
        <w:spacing w:line="360" w:lineRule="auto"/>
        <w:ind w:firstLine="420" w:firstLineChars="200"/>
        <w:rPr>
          <w:rFonts w:ascii="宋体" w:hAnsi="宋体"/>
          <w:szCs w:val="21"/>
          <w:highlight w:val="none"/>
        </w:rPr>
      </w:pPr>
      <w:r>
        <w:rPr>
          <w:rFonts w:ascii="宋体" w:hAnsi="宋体"/>
          <w:szCs w:val="21"/>
          <w:highlight w:val="none"/>
        </w:rPr>
        <w:t>其中：</w:t>
      </w:r>
    </w:p>
    <w:p w14:paraId="7FFCA22B">
      <w:pPr>
        <w:spacing w:line="360" w:lineRule="auto"/>
        <w:ind w:firstLine="420" w:firstLineChars="200"/>
        <w:rPr>
          <w:rFonts w:ascii="宋体" w:hAnsi="宋体"/>
          <w:szCs w:val="21"/>
          <w:highlight w:val="none"/>
        </w:rPr>
      </w:pPr>
      <w:r>
        <w:rPr>
          <w:rFonts w:ascii="宋体" w:hAnsi="宋体"/>
          <w:szCs w:val="21"/>
          <w:highlight w:val="none"/>
        </w:rPr>
        <w:t>（1）安全文明施工费：</w:t>
      </w:r>
    </w:p>
    <w:p w14:paraId="7A129C9A">
      <w:pPr>
        <w:spacing w:line="360" w:lineRule="auto"/>
        <w:ind w:firstLine="420" w:firstLineChars="200"/>
        <w:rPr>
          <w:rFonts w:ascii="宋体" w:hAnsi="宋体"/>
          <w:szCs w:val="21"/>
          <w:highlight w:val="none"/>
        </w:rPr>
      </w:pPr>
      <w:r>
        <w:rPr>
          <w:rFonts w:ascii="宋体" w:hAnsi="宋体"/>
          <w:szCs w:val="21"/>
          <w:highlight w:val="none"/>
        </w:rPr>
        <w:t>人民币（大写）</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元)；</w:t>
      </w:r>
    </w:p>
    <w:p w14:paraId="4F395F6C">
      <w:pPr>
        <w:spacing w:line="360" w:lineRule="auto"/>
        <w:ind w:firstLine="420" w:firstLineChars="200"/>
        <w:rPr>
          <w:rFonts w:ascii="宋体" w:hAnsi="宋体"/>
          <w:szCs w:val="21"/>
          <w:highlight w:val="none"/>
        </w:rPr>
      </w:pPr>
      <w:r>
        <w:rPr>
          <w:rFonts w:ascii="宋体" w:hAnsi="宋体"/>
          <w:szCs w:val="21"/>
          <w:highlight w:val="none"/>
        </w:rPr>
        <w:t>（2）材料和工程设备暂估价金额：</w:t>
      </w:r>
    </w:p>
    <w:p w14:paraId="3BE5F7AD">
      <w:pPr>
        <w:spacing w:line="360" w:lineRule="auto"/>
        <w:ind w:firstLine="420" w:firstLineChars="200"/>
        <w:rPr>
          <w:rFonts w:ascii="宋体" w:hAnsi="宋体"/>
          <w:szCs w:val="21"/>
          <w:highlight w:val="none"/>
        </w:rPr>
      </w:pPr>
      <w:r>
        <w:rPr>
          <w:rFonts w:ascii="宋体" w:hAnsi="宋体"/>
          <w:szCs w:val="21"/>
          <w:highlight w:val="none"/>
        </w:rPr>
        <w:t>人民币（大写）</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元)；</w:t>
      </w:r>
    </w:p>
    <w:p w14:paraId="1E098C6D">
      <w:pPr>
        <w:spacing w:line="360" w:lineRule="auto"/>
        <w:ind w:firstLine="420" w:firstLineChars="200"/>
        <w:rPr>
          <w:rFonts w:ascii="宋体" w:hAnsi="宋体"/>
          <w:szCs w:val="21"/>
          <w:highlight w:val="none"/>
        </w:rPr>
      </w:pPr>
      <w:r>
        <w:rPr>
          <w:rFonts w:ascii="宋体" w:hAnsi="宋体"/>
          <w:szCs w:val="21"/>
          <w:highlight w:val="none"/>
        </w:rPr>
        <w:t>（3）专业工程暂估价金额：</w:t>
      </w:r>
    </w:p>
    <w:p w14:paraId="444C4787">
      <w:pPr>
        <w:spacing w:line="360" w:lineRule="auto"/>
        <w:ind w:firstLine="420" w:firstLineChars="200"/>
        <w:rPr>
          <w:rFonts w:ascii="宋体" w:hAnsi="宋体"/>
          <w:szCs w:val="21"/>
          <w:highlight w:val="none"/>
        </w:rPr>
      </w:pPr>
      <w:r>
        <w:rPr>
          <w:rFonts w:ascii="宋体" w:hAnsi="宋体"/>
          <w:szCs w:val="21"/>
          <w:highlight w:val="none"/>
        </w:rPr>
        <w:t>人民币（大写）</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元)；</w:t>
      </w:r>
    </w:p>
    <w:p w14:paraId="0EF13041">
      <w:pPr>
        <w:spacing w:line="360" w:lineRule="auto"/>
        <w:ind w:firstLine="420" w:firstLineChars="200"/>
        <w:rPr>
          <w:rFonts w:ascii="宋体" w:hAnsi="宋体"/>
          <w:szCs w:val="21"/>
          <w:highlight w:val="none"/>
        </w:rPr>
      </w:pPr>
      <w:r>
        <w:rPr>
          <w:rFonts w:ascii="宋体" w:hAnsi="宋体"/>
          <w:szCs w:val="21"/>
          <w:highlight w:val="none"/>
        </w:rPr>
        <w:t>（4）暂列金额：</w:t>
      </w:r>
    </w:p>
    <w:p w14:paraId="2D7D8305">
      <w:pPr>
        <w:spacing w:line="360" w:lineRule="auto"/>
        <w:ind w:firstLine="420" w:firstLineChars="200"/>
        <w:rPr>
          <w:rFonts w:ascii="宋体" w:hAnsi="宋体"/>
          <w:szCs w:val="21"/>
          <w:highlight w:val="none"/>
        </w:rPr>
      </w:pPr>
      <w:r>
        <w:rPr>
          <w:rFonts w:ascii="宋体" w:hAnsi="宋体"/>
          <w:szCs w:val="21"/>
          <w:highlight w:val="none"/>
        </w:rPr>
        <w:t>人民币（大写）</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元)。</w:t>
      </w:r>
    </w:p>
    <w:p w14:paraId="74B08DAF">
      <w:pPr>
        <w:spacing w:line="360" w:lineRule="auto"/>
        <w:ind w:firstLine="420" w:firstLineChars="200"/>
        <w:rPr>
          <w:rFonts w:ascii="宋体" w:hAnsi="宋体"/>
          <w:szCs w:val="21"/>
          <w:highlight w:val="none"/>
        </w:rPr>
      </w:pPr>
      <w:r>
        <w:rPr>
          <w:rFonts w:ascii="宋体" w:hAnsi="宋体"/>
          <w:szCs w:val="21"/>
          <w:highlight w:val="none"/>
        </w:rPr>
        <w:t>2.合同价格形式：</w:t>
      </w:r>
      <w:r>
        <w:rPr>
          <w:rFonts w:ascii="宋体" w:hAnsi="宋体"/>
          <w:szCs w:val="21"/>
          <w:highlight w:val="none"/>
          <w:u w:val="single"/>
        </w:rPr>
        <w:t></w:t>
      </w:r>
      <w:r>
        <w:rPr>
          <w:rFonts w:hint="eastAsia" w:ascii="宋体" w:hAnsi="宋体"/>
          <w:b/>
          <w:szCs w:val="21"/>
          <w:highlight w:val="none"/>
          <w:u w:val="single"/>
        </w:rPr>
        <w:t>单价合同</w:t>
      </w:r>
      <w:r>
        <w:rPr>
          <w:rFonts w:ascii="宋体" w:hAnsi="宋体"/>
          <w:szCs w:val="21"/>
          <w:highlight w:val="none"/>
          <w:u w:val="single"/>
        </w:rPr>
        <w:t></w:t>
      </w:r>
      <w:r>
        <w:rPr>
          <w:rFonts w:ascii="宋体" w:hAnsi="宋体"/>
          <w:szCs w:val="21"/>
          <w:highlight w:val="none"/>
        </w:rPr>
        <w:t>。</w:t>
      </w:r>
    </w:p>
    <w:p w14:paraId="4C7BF1EE">
      <w:pPr>
        <w:spacing w:line="360" w:lineRule="auto"/>
        <w:ind w:firstLine="422" w:firstLineChars="200"/>
        <w:rPr>
          <w:rFonts w:ascii="宋体" w:hAnsi="宋体"/>
          <w:b/>
          <w:szCs w:val="21"/>
          <w:highlight w:val="none"/>
        </w:rPr>
      </w:pPr>
      <w:bookmarkStart w:id="82" w:name="_Toc351203485"/>
      <w:r>
        <w:rPr>
          <w:rFonts w:ascii="宋体" w:hAnsi="宋体"/>
          <w:b/>
          <w:szCs w:val="21"/>
          <w:highlight w:val="none"/>
        </w:rPr>
        <w:t>五、</w:t>
      </w:r>
      <w:bookmarkEnd w:id="82"/>
      <w:r>
        <w:rPr>
          <w:rFonts w:ascii="宋体" w:hAnsi="宋体"/>
          <w:b/>
          <w:szCs w:val="21"/>
          <w:highlight w:val="none"/>
        </w:rPr>
        <w:t>项目经理</w:t>
      </w:r>
    </w:p>
    <w:p w14:paraId="18FA4EB4">
      <w:pPr>
        <w:spacing w:line="360" w:lineRule="auto"/>
        <w:ind w:firstLine="420" w:firstLineChars="200"/>
        <w:rPr>
          <w:rFonts w:ascii="宋体" w:hAnsi="宋体"/>
          <w:szCs w:val="21"/>
          <w:highlight w:val="none"/>
        </w:rPr>
      </w:pPr>
      <w:r>
        <w:rPr>
          <w:rFonts w:ascii="宋体" w:hAnsi="宋体"/>
          <w:szCs w:val="21"/>
          <w:highlight w:val="none"/>
        </w:rPr>
        <w:t>承包人项目经理：</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w:t>
      </w:r>
      <w:r>
        <w:rPr>
          <w:rFonts w:ascii="宋体" w:hAnsi="宋体"/>
          <w:szCs w:val="21"/>
          <w:highlight w:val="none"/>
        </w:rPr>
        <w:t>。</w:t>
      </w:r>
    </w:p>
    <w:p w14:paraId="21462D70">
      <w:pPr>
        <w:spacing w:line="360" w:lineRule="auto"/>
        <w:ind w:firstLine="422" w:firstLineChars="200"/>
        <w:rPr>
          <w:rFonts w:ascii="宋体" w:hAnsi="宋体"/>
          <w:bCs/>
          <w:szCs w:val="21"/>
          <w:highlight w:val="none"/>
        </w:rPr>
      </w:pPr>
      <w:bookmarkStart w:id="83" w:name="_Toc351203486"/>
      <w:r>
        <w:rPr>
          <w:rFonts w:ascii="宋体" w:hAnsi="宋体"/>
          <w:b/>
          <w:szCs w:val="21"/>
          <w:highlight w:val="none"/>
        </w:rPr>
        <w:t>六、合同文件构成</w:t>
      </w:r>
      <w:bookmarkEnd w:id="83"/>
    </w:p>
    <w:p w14:paraId="5F4F86E3">
      <w:pPr>
        <w:spacing w:line="360" w:lineRule="auto"/>
        <w:ind w:firstLine="420" w:firstLineChars="200"/>
        <w:rPr>
          <w:rFonts w:ascii="宋体" w:hAnsi="宋体"/>
          <w:szCs w:val="21"/>
          <w:highlight w:val="none"/>
        </w:rPr>
      </w:pPr>
      <w:r>
        <w:rPr>
          <w:rFonts w:ascii="宋体" w:hAnsi="宋体"/>
          <w:bCs/>
          <w:szCs w:val="21"/>
          <w:highlight w:val="none"/>
        </w:rPr>
        <w:t>本协议书与下列文件一起构成合同文件：</w:t>
      </w:r>
      <w:r>
        <w:rPr>
          <w:rFonts w:ascii="宋体" w:hAnsi="宋体"/>
          <w:szCs w:val="21"/>
          <w:highlight w:val="none"/>
          <w:u w:val="single"/>
        </w:rPr>
        <w:t>（1）中标通知书；（2）投标函及其附录；（3）专用合同条款及其附件；（4）通用合同条款；（5）技术标准和要求；（6）图纸；（7）已标价工程量清单或预算书；（8）其他合同文件。在合同订立及履行过程中形成的与合同有关的文件均构成合同文件组成部分。</w:t>
      </w:r>
    </w:p>
    <w:p w14:paraId="5C5203CA">
      <w:pPr>
        <w:spacing w:line="360" w:lineRule="auto"/>
        <w:ind w:firstLine="420" w:firstLineChars="200"/>
        <w:rPr>
          <w:rFonts w:ascii="宋体" w:hAnsi="宋体"/>
          <w:szCs w:val="21"/>
          <w:highlight w:val="none"/>
        </w:rPr>
      </w:pPr>
      <w:r>
        <w:rPr>
          <w:rFonts w:ascii="宋体" w:hAnsi="宋体"/>
          <w:szCs w:val="21"/>
          <w:highlight w:val="none"/>
        </w:rPr>
        <w:t>上述各项合同文件包括合同当事人就该项合同文件所作出的补充和修改，属于同一类内容的文件，应以最新签署的为准。</w:t>
      </w:r>
      <w:r>
        <w:rPr>
          <w:rFonts w:hint="eastAsia" w:ascii="宋体" w:hAnsi="宋体"/>
          <w:szCs w:val="21"/>
          <w:highlight w:val="none"/>
        </w:rPr>
        <w:t>专用合同条款及其附件须经合同当事人签字或盖章。</w:t>
      </w:r>
    </w:p>
    <w:p w14:paraId="6E16F9AC">
      <w:pPr>
        <w:spacing w:line="360" w:lineRule="auto"/>
        <w:ind w:firstLine="422" w:firstLineChars="200"/>
        <w:rPr>
          <w:rFonts w:ascii="宋体" w:hAnsi="宋体"/>
          <w:b/>
          <w:bCs/>
          <w:szCs w:val="21"/>
          <w:highlight w:val="none"/>
        </w:rPr>
      </w:pPr>
      <w:bookmarkStart w:id="84" w:name="_Toc351203487"/>
      <w:r>
        <w:rPr>
          <w:rFonts w:ascii="宋体" w:hAnsi="宋体"/>
          <w:b/>
          <w:szCs w:val="21"/>
          <w:highlight w:val="none"/>
        </w:rPr>
        <w:t>七、承诺</w:t>
      </w:r>
      <w:bookmarkEnd w:id="84"/>
    </w:p>
    <w:p w14:paraId="526033C8">
      <w:pPr>
        <w:spacing w:line="360" w:lineRule="auto"/>
        <w:ind w:firstLine="420" w:firstLineChars="200"/>
        <w:rPr>
          <w:rFonts w:ascii="宋体" w:hAnsi="宋体"/>
          <w:bCs/>
          <w:szCs w:val="21"/>
          <w:highlight w:val="none"/>
        </w:rPr>
      </w:pPr>
      <w:r>
        <w:rPr>
          <w:rFonts w:ascii="宋体" w:hAnsi="宋体"/>
          <w:bCs/>
          <w:szCs w:val="21"/>
          <w:highlight w:val="none"/>
        </w:rPr>
        <w:t>1.采购人承诺按照法律规定履行项目审批手续、筹集工程建设资金并按照合同约定的期限和方式支付合同价款。</w:t>
      </w:r>
    </w:p>
    <w:p w14:paraId="1A6B84E0">
      <w:pPr>
        <w:spacing w:line="360" w:lineRule="auto"/>
        <w:ind w:firstLine="420" w:firstLineChars="200"/>
        <w:rPr>
          <w:rFonts w:ascii="宋体" w:hAnsi="宋体"/>
          <w:bCs/>
          <w:szCs w:val="21"/>
          <w:highlight w:val="none"/>
        </w:rPr>
      </w:pPr>
      <w:r>
        <w:rPr>
          <w:rFonts w:ascii="宋体" w:hAnsi="宋体"/>
          <w:bCs/>
          <w:szCs w:val="21"/>
          <w:highlight w:val="none"/>
        </w:rPr>
        <w:t>2.承包人承诺按照法律规定及合同约定组织完成工程施工，确保工程质量和安全，不进行转包及违法分包，并在缺陷责任期及保修期内承担相应的工程维修责任。</w:t>
      </w:r>
    </w:p>
    <w:p w14:paraId="0B03030B">
      <w:pPr>
        <w:spacing w:line="360" w:lineRule="auto"/>
        <w:ind w:firstLine="420" w:firstLineChars="200"/>
        <w:rPr>
          <w:rFonts w:ascii="宋体" w:hAnsi="宋体"/>
          <w:bCs/>
          <w:szCs w:val="21"/>
          <w:highlight w:val="none"/>
        </w:rPr>
      </w:pPr>
      <w:r>
        <w:rPr>
          <w:rFonts w:ascii="宋体" w:hAnsi="宋体"/>
          <w:bCs/>
          <w:szCs w:val="21"/>
          <w:highlight w:val="none"/>
        </w:rPr>
        <w:t>3.采购人和承包人通过招投标形式签订合同的，双方理解并</w:t>
      </w:r>
      <w:r>
        <w:rPr>
          <w:rFonts w:hint="eastAsia" w:ascii="宋体" w:hAnsi="宋体"/>
          <w:bCs/>
          <w:szCs w:val="21"/>
          <w:highlight w:val="none"/>
        </w:rPr>
        <w:t>承诺</w:t>
      </w:r>
      <w:r>
        <w:rPr>
          <w:rFonts w:ascii="宋体" w:hAnsi="宋体"/>
          <w:bCs/>
          <w:szCs w:val="21"/>
          <w:highlight w:val="none"/>
        </w:rPr>
        <w:t>不再就同一工程另行签订与合同实质性内容相背离的协议。</w:t>
      </w:r>
    </w:p>
    <w:p w14:paraId="6EA35C5D">
      <w:pPr>
        <w:spacing w:line="360" w:lineRule="auto"/>
        <w:ind w:firstLine="422" w:firstLineChars="200"/>
        <w:rPr>
          <w:rFonts w:hint="eastAsia" w:ascii="宋体" w:hAnsi="宋体"/>
          <w:bCs/>
          <w:szCs w:val="21"/>
          <w:highlight w:val="none"/>
        </w:rPr>
      </w:pPr>
      <w:bookmarkStart w:id="85" w:name="_Toc351203488"/>
      <w:r>
        <w:rPr>
          <w:rFonts w:ascii="宋体" w:hAnsi="宋体"/>
          <w:b/>
          <w:szCs w:val="21"/>
          <w:highlight w:val="none"/>
        </w:rPr>
        <w:t>八、词语含义</w:t>
      </w:r>
      <w:bookmarkEnd w:id="85"/>
      <w:r>
        <w:rPr>
          <w:rFonts w:hint="eastAsia" w:ascii="宋体" w:hAnsi="宋体"/>
          <w:b/>
          <w:szCs w:val="21"/>
          <w:highlight w:val="none"/>
        </w:rPr>
        <w:t>：</w:t>
      </w:r>
      <w:r>
        <w:rPr>
          <w:rFonts w:ascii="宋体" w:hAnsi="宋体"/>
          <w:b/>
          <w:szCs w:val="21"/>
          <w:highlight w:val="none"/>
        </w:rPr>
        <w:t xml:space="preserve"> 本协议书中词语含义与第二部分通用合同条款中赋予的含义相同。</w:t>
      </w:r>
    </w:p>
    <w:p w14:paraId="5169F9E0">
      <w:pPr>
        <w:spacing w:line="360" w:lineRule="auto"/>
        <w:ind w:firstLine="422" w:firstLineChars="200"/>
        <w:rPr>
          <w:rFonts w:hint="eastAsia" w:ascii="宋体" w:hAnsi="宋体"/>
          <w:bCs/>
          <w:szCs w:val="21"/>
          <w:highlight w:val="none"/>
        </w:rPr>
      </w:pPr>
      <w:bookmarkStart w:id="86" w:name="_Toc351203489"/>
      <w:r>
        <w:rPr>
          <w:rFonts w:ascii="宋体" w:hAnsi="宋体"/>
          <w:b/>
          <w:szCs w:val="21"/>
          <w:highlight w:val="none"/>
        </w:rPr>
        <w:t>九、签订时间</w:t>
      </w:r>
      <w:bookmarkEnd w:id="86"/>
      <w:r>
        <w:rPr>
          <w:rFonts w:hint="eastAsia" w:ascii="宋体" w:hAnsi="宋体"/>
          <w:b/>
          <w:szCs w:val="21"/>
          <w:highlight w:val="none"/>
        </w:rPr>
        <w:t>：</w:t>
      </w:r>
      <w:r>
        <w:rPr>
          <w:rFonts w:ascii="宋体" w:hAnsi="宋体"/>
          <w:b/>
          <w:bCs/>
          <w:szCs w:val="21"/>
          <w:highlight w:val="none"/>
        </w:rPr>
        <w:t xml:space="preserve"> </w:t>
      </w:r>
      <w:r>
        <w:rPr>
          <w:rFonts w:ascii="宋体" w:hAnsi="宋体"/>
          <w:bCs/>
          <w:szCs w:val="21"/>
          <w:highlight w:val="none"/>
        </w:rPr>
        <w:t>本合同于</w:t>
      </w:r>
      <w:r>
        <w:rPr>
          <w:rFonts w:ascii="宋体" w:hAnsi="宋体"/>
          <w:bCs/>
          <w:szCs w:val="21"/>
          <w:highlight w:val="none"/>
          <w:u w:val="single"/>
        </w:rPr>
        <w:t xml:space="preserve">         </w:t>
      </w:r>
      <w:r>
        <w:rPr>
          <w:rFonts w:ascii="宋体" w:hAnsi="宋体"/>
          <w:bCs/>
          <w:szCs w:val="21"/>
          <w:highlight w:val="none"/>
        </w:rPr>
        <w:t>年</w:t>
      </w:r>
      <w:r>
        <w:rPr>
          <w:rFonts w:ascii="宋体" w:hAnsi="宋体"/>
          <w:bCs/>
          <w:szCs w:val="21"/>
          <w:highlight w:val="none"/>
          <w:u w:val="single"/>
        </w:rPr>
        <w:t xml:space="preserve">    </w:t>
      </w:r>
      <w:r>
        <w:rPr>
          <w:rFonts w:ascii="宋体" w:hAnsi="宋体"/>
          <w:bCs/>
          <w:szCs w:val="21"/>
          <w:highlight w:val="none"/>
        </w:rPr>
        <w:t>月</w:t>
      </w:r>
      <w:r>
        <w:rPr>
          <w:rFonts w:ascii="宋体" w:hAnsi="宋体"/>
          <w:bCs/>
          <w:szCs w:val="21"/>
          <w:highlight w:val="none"/>
          <w:u w:val="single"/>
        </w:rPr>
        <w:t xml:space="preserve">    </w:t>
      </w:r>
      <w:r>
        <w:rPr>
          <w:rFonts w:ascii="宋体" w:hAnsi="宋体"/>
          <w:bCs/>
          <w:szCs w:val="21"/>
          <w:highlight w:val="none"/>
        </w:rPr>
        <w:t>日签订。</w:t>
      </w:r>
    </w:p>
    <w:p w14:paraId="4FE1D588">
      <w:pPr>
        <w:spacing w:line="360" w:lineRule="auto"/>
        <w:ind w:firstLine="422" w:firstLineChars="200"/>
        <w:rPr>
          <w:rFonts w:hint="eastAsia" w:ascii="宋体" w:hAnsi="宋体"/>
          <w:bCs/>
          <w:szCs w:val="21"/>
          <w:highlight w:val="none"/>
        </w:rPr>
      </w:pPr>
      <w:bookmarkStart w:id="87" w:name="_Toc351203490"/>
      <w:r>
        <w:rPr>
          <w:rFonts w:ascii="宋体" w:hAnsi="宋体"/>
          <w:b/>
          <w:szCs w:val="21"/>
          <w:highlight w:val="none"/>
        </w:rPr>
        <w:t>十、签订地点</w:t>
      </w:r>
      <w:bookmarkEnd w:id="87"/>
      <w:r>
        <w:rPr>
          <w:rFonts w:hint="eastAsia" w:ascii="宋体" w:hAnsi="宋体"/>
          <w:b/>
          <w:szCs w:val="21"/>
          <w:highlight w:val="none"/>
        </w:rPr>
        <w:t>：</w:t>
      </w:r>
      <w:r>
        <w:rPr>
          <w:rFonts w:ascii="宋体" w:hAnsi="宋体"/>
          <w:bCs/>
          <w:szCs w:val="21"/>
          <w:highlight w:val="none"/>
        </w:rPr>
        <w:t xml:space="preserve"> 本合同在</w:t>
      </w:r>
      <w:r>
        <w:rPr>
          <w:rFonts w:ascii="宋体" w:hAnsi="宋体"/>
          <w:bCs/>
          <w:szCs w:val="21"/>
          <w:highlight w:val="none"/>
          <w:u w:val="single"/>
        </w:rPr>
        <w:t xml:space="preserve">     </w:t>
      </w:r>
      <w:r>
        <w:rPr>
          <w:rFonts w:hint="eastAsia" w:ascii="宋体" w:hAnsi="宋体"/>
          <w:bCs/>
          <w:szCs w:val="21"/>
          <w:highlight w:val="none"/>
          <w:u w:val="single"/>
        </w:rPr>
        <w:t>浙江嘉兴</w:t>
      </w:r>
      <w:r>
        <w:rPr>
          <w:rFonts w:ascii="宋体" w:hAnsi="宋体"/>
          <w:bCs/>
          <w:szCs w:val="21"/>
          <w:highlight w:val="none"/>
          <w:u w:val="single"/>
        </w:rPr>
        <w:t xml:space="preserve">    </w:t>
      </w:r>
      <w:r>
        <w:rPr>
          <w:rFonts w:ascii="宋体" w:hAnsi="宋体"/>
          <w:bCs/>
          <w:szCs w:val="21"/>
          <w:highlight w:val="none"/>
        </w:rPr>
        <w:t>签订。</w:t>
      </w:r>
    </w:p>
    <w:p w14:paraId="247D5125">
      <w:pPr>
        <w:spacing w:line="360" w:lineRule="auto"/>
        <w:ind w:firstLine="422" w:firstLineChars="200"/>
        <w:rPr>
          <w:rFonts w:ascii="宋体" w:hAnsi="宋体"/>
          <w:bCs/>
          <w:szCs w:val="21"/>
          <w:highlight w:val="none"/>
        </w:rPr>
      </w:pPr>
      <w:bookmarkStart w:id="88" w:name="_Toc351203491"/>
      <w:r>
        <w:rPr>
          <w:rFonts w:ascii="宋体" w:hAnsi="宋体"/>
          <w:b/>
          <w:szCs w:val="21"/>
          <w:highlight w:val="none"/>
        </w:rPr>
        <w:t>十一、补充协议</w:t>
      </w:r>
      <w:bookmarkEnd w:id="88"/>
    </w:p>
    <w:p w14:paraId="64666A69">
      <w:pPr>
        <w:spacing w:line="360" w:lineRule="auto"/>
        <w:ind w:firstLine="420" w:firstLineChars="200"/>
        <w:rPr>
          <w:rFonts w:ascii="宋体" w:hAnsi="宋体"/>
          <w:b/>
          <w:bCs/>
          <w:szCs w:val="21"/>
          <w:highlight w:val="none"/>
        </w:rPr>
      </w:pPr>
      <w:r>
        <w:rPr>
          <w:rFonts w:ascii="宋体" w:hAnsi="宋体"/>
          <w:bCs/>
          <w:szCs w:val="21"/>
          <w:highlight w:val="none"/>
        </w:rPr>
        <w:t>合同未尽事宜，合同当事人另行签订补充协议</w:t>
      </w:r>
      <w:r>
        <w:rPr>
          <w:rFonts w:hint="eastAsia" w:ascii="宋体" w:hAnsi="宋体"/>
          <w:bCs/>
          <w:szCs w:val="21"/>
          <w:highlight w:val="none"/>
        </w:rPr>
        <w:t>，</w:t>
      </w:r>
      <w:r>
        <w:rPr>
          <w:rFonts w:ascii="宋体" w:hAnsi="宋体"/>
          <w:bCs/>
          <w:szCs w:val="21"/>
          <w:highlight w:val="none"/>
        </w:rPr>
        <w:t>补充协议是合同的组成部分。</w:t>
      </w:r>
    </w:p>
    <w:p w14:paraId="5D1A146D">
      <w:pPr>
        <w:spacing w:line="360" w:lineRule="auto"/>
        <w:ind w:firstLine="422" w:firstLineChars="200"/>
        <w:rPr>
          <w:rFonts w:ascii="宋体" w:hAnsi="宋体"/>
          <w:bCs/>
          <w:szCs w:val="21"/>
          <w:highlight w:val="none"/>
        </w:rPr>
      </w:pPr>
      <w:bookmarkStart w:id="89" w:name="_Toc351203492"/>
      <w:r>
        <w:rPr>
          <w:rFonts w:ascii="宋体" w:hAnsi="宋体"/>
          <w:b/>
          <w:szCs w:val="21"/>
          <w:highlight w:val="none"/>
        </w:rPr>
        <w:t>十二、合同生效</w:t>
      </w:r>
      <w:bookmarkEnd w:id="89"/>
    </w:p>
    <w:p w14:paraId="61697B9F">
      <w:pPr>
        <w:spacing w:line="360" w:lineRule="auto"/>
        <w:ind w:firstLine="420" w:firstLineChars="200"/>
        <w:rPr>
          <w:rFonts w:ascii="宋体" w:hAnsi="宋体"/>
          <w:bCs/>
          <w:szCs w:val="21"/>
          <w:highlight w:val="none"/>
        </w:rPr>
      </w:pPr>
      <w:r>
        <w:rPr>
          <w:rFonts w:ascii="宋体" w:hAnsi="宋体"/>
          <w:bCs/>
          <w:szCs w:val="21"/>
          <w:highlight w:val="none"/>
        </w:rPr>
        <w:t>本合同自</w:t>
      </w:r>
      <w:r>
        <w:rPr>
          <w:rFonts w:ascii="宋体" w:hAnsi="宋体"/>
          <w:bCs/>
          <w:szCs w:val="21"/>
          <w:highlight w:val="none"/>
          <w:u w:val="single"/>
        </w:rPr>
        <w:t xml:space="preserve">   </w:t>
      </w:r>
      <w:r>
        <w:rPr>
          <w:rFonts w:hint="eastAsia" w:ascii="宋体" w:hAnsi="宋体"/>
          <w:bCs/>
          <w:szCs w:val="21"/>
          <w:highlight w:val="none"/>
          <w:u w:val="single"/>
        </w:rPr>
        <w:t>合同当事人加盖公章，并由法定代表人或法定代表人的授权代表签字后</w:t>
      </w:r>
      <w:r>
        <w:rPr>
          <w:rFonts w:ascii="宋体" w:hAnsi="宋体"/>
          <w:bCs/>
          <w:szCs w:val="21"/>
          <w:highlight w:val="none"/>
          <w:u w:val="single"/>
        </w:rPr>
        <w:t xml:space="preserve">   </w:t>
      </w:r>
      <w:r>
        <w:rPr>
          <w:rFonts w:ascii="宋体" w:hAnsi="宋体"/>
          <w:bCs/>
          <w:szCs w:val="21"/>
          <w:highlight w:val="none"/>
        </w:rPr>
        <w:t>生效。</w:t>
      </w:r>
    </w:p>
    <w:p w14:paraId="3EA1CD2C">
      <w:pPr>
        <w:spacing w:line="360" w:lineRule="auto"/>
        <w:ind w:firstLine="422" w:firstLineChars="200"/>
        <w:rPr>
          <w:rFonts w:ascii="宋体" w:hAnsi="宋体"/>
          <w:bCs/>
          <w:szCs w:val="21"/>
          <w:highlight w:val="none"/>
        </w:rPr>
      </w:pPr>
      <w:bookmarkStart w:id="90" w:name="_Toc351203493"/>
      <w:r>
        <w:rPr>
          <w:rFonts w:ascii="宋体" w:hAnsi="宋体"/>
          <w:b/>
          <w:szCs w:val="21"/>
          <w:highlight w:val="none"/>
        </w:rPr>
        <w:t>十三、合同份数</w:t>
      </w:r>
      <w:bookmarkEnd w:id="90"/>
    </w:p>
    <w:p w14:paraId="1EE2ABBD">
      <w:pPr>
        <w:spacing w:line="360" w:lineRule="auto"/>
        <w:ind w:firstLine="420" w:firstLineChars="200"/>
        <w:rPr>
          <w:rFonts w:ascii="宋体" w:hAnsi="宋体"/>
          <w:bCs/>
          <w:szCs w:val="21"/>
          <w:highlight w:val="none"/>
        </w:rPr>
      </w:pPr>
      <w:r>
        <w:rPr>
          <w:rFonts w:ascii="宋体" w:hAnsi="宋体"/>
          <w:bCs/>
          <w:szCs w:val="21"/>
          <w:highlight w:val="none"/>
        </w:rPr>
        <w:t>本合同一式</w:t>
      </w:r>
      <w:r>
        <w:rPr>
          <w:rFonts w:ascii="宋体" w:hAnsi="宋体"/>
          <w:bCs/>
          <w:szCs w:val="21"/>
          <w:highlight w:val="none"/>
          <w:u w:val="single"/>
        </w:rPr>
        <w:t xml:space="preserve">  </w:t>
      </w:r>
      <w:r>
        <w:rPr>
          <w:rFonts w:hint="eastAsia" w:ascii="宋体" w:hAnsi="宋体"/>
          <w:bCs/>
          <w:szCs w:val="21"/>
          <w:highlight w:val="none"/>
          <w:u w:val="single"/>
        </w:rPr>
        <w:t xml:space="preserve">8 </w:t>
      </w:r>
      <w:r>
        <w:rPr>
          <w:rFonts w:ascii="宋体" w:hAnsi="宋体"/>
          <w:bCs/>
          <w:szCs w:val="21"/>
          <w:highlight w:val="none"/>
          <w:u w:val="single"/>
        </w:rPr>
        <w:t xml:space="preserve"> </w:t>
      </w:r>
      <w:r>
        <w:rPr>
          <w:rFonts w:ascii="宋体" w:hAnsi="宋体"/>
          <w:bCs/>
          <w:szCs w:val="21"/>
          <w:highlight w:val="none"/>
        </w:rPr>
        <w:t>份，均具有同等法律效力，采购人执</w:t>
      </w:r>
      <w:r>
        <w:rPr>
          <w:rFonts w:ascii="宋体" w:hAnsi="宋体"/>
          <w:bCs/>
          <w:szCs w:val="21"/>
          <w:highlight w:val="none"/>
          <w:u w:val="single"/>
        </w:rPr>
        <w:t xml:space="preserve">  </w:t>
      </w:r>
      <w:r>
        <w:rPr>
          <w:rFonts w:hint="eastAsia" w:ascii="宋体" w:hAnsi="宋体"/>
          <w:bCs/>
          <w:szCs w:val="21"/>
          <w:highlight w:val="none"/>
          <w:u w:val="single"/>
        </w:rPr>
        <w:t xml:space="preserve">4 </w:t>
      </w:r>
      <w:r>
        <w:rPr>
          <w:rFonts w:ascii="宋体" w:hAnsi="宋体"/>
          <w:bCs/>
          <w:szCs w:val="21"/>
          <w:highlight w:val="none"/>
          <w:u w:val="single"/>
        </w:rPr>
        <w:t xml:space="preserve"> </w:t>
      </w:r>
      <w:r>
        <w:rPr>
          <w:rFonts w:ascii="宋体" w:hAnsi="宋体"/>
          <w:bCs/>
          <w:szCs w:val="21"/>
          <w:highlight w:val="none"/>
        </w:rPr>
        <w:t>份，承包人执</w:t>
      </w:r>
      <w:r>
        <w:rPr>
          <w:rFonts w:ascii="宋体" w:hAnsi="宋体"/>
          <w:bCs/>
          <w:szCs w:val="21"/>
          <w:highlight w:val="none"/>
          <w:u w:val="single"/>
        </w:rPr>
        <w:t xml:space="preserve">  </w:t>
      </w:r>
      <w:r>
        <w:rPr>
          <w:rFonts w:hint="eastAsia" w:ascii="宋体" w:hAnsi="宋体"/>
          <w:bCs/>
          <w:szCs w:val="21"/>
          <w:highlight w:val="none"/>
          <w:u w:val="single"/>
        </w:rPr>
        <w:t xml:space="preserve">4 </w:t>
      </w:r>
      <w:r>
        <w:rPr>
          <w:rFonts w:ascii="宋体" w:hAnsi="宋体"/>
          <w:bCs/>
          <w:szCs w:val="21"/>
          <w:highlight w:val="none"/>
          <w:u w:val="single"/>
        </w:rPr>
        <w:t xml:space="preserve"> </w:t>
      </w:r>
      <w:r>
        <w:rPr>
          <w:rFonts w:ascii="宋体" w:hAnsi="宋体"/>
          <w:bCs/>
          <w:szCs w:val="21"/>
          <w:highlight w:val="none"/>
        </w:rPr>
        <w:t>份。</w:t>
      </w:r>
    </w:p>
    <w:p w14:paraId="76B9138D">
      <w:pPr>
        <w:spacing w:line="360" w:lineRule="auto"/>
        <w:ind w:firstLine="420" w:firstLineChars="200"/>
        <w:rPr>
          <w:rFonts w:hint="eastAsia" w:ascii="宋体" w:hAnsi="宋体"/>
          <w:szCs w:val="21"/>
          <w:highlight w:val="none"/>
        </w:rPr>
      </w:pPr>
    </w:p>
    <w:p w14:paraId="5030B6E0">
      <w:pPr>
        <w:spacing w:line="360" w:lineRule="auto"/>
        <w:ind w:firstLine="420" w:firstLineChars="200"/>
        <w:rPr>
          <w:rFonts w:hint="eastAsia" w:ascii="宋体" w:hAnsi="宋体"/>
          <w:szCs w:val="21"/>
          <w:highlight w:val="none"/>
          <w:u w:val="single"/>
        </w:rPr>
      </w:pPr>
      <w:r>
        <w:rPr>
          <w:rFonts w:ascii="宋体" w:hAnsi="宋体"/>
          <w:szCs w:val="21"/>
          <w:highlight w:val="none"/>
        </w:rPr>
        <w:t>采购人</w:t>
      </w:r>
      <w:r>
        <w:rPr>
          <w:rFonts w:hint="eastAsia" w:ascii="宋体" w:hAnsi="宋体"/>
          <w:szCs w:val="21"/>
          <w:highlight w:val="none"/>
        </w:rPr>
        <w:t xml:space="preserve">：  </w:t>
      </w:r>
      <w:r>
        <w:rPr>
          <w:rFonts w:ascii="宋体" w:hAnsi="宋体"/>
          <w:szCs w:val="21"/>
          <w:highlight w:val="none"/>
        </w:rPr>
        <w:t>(公章)</w:t>
      </w:r>
      <w:r>
        <w:rPr>
          <w:rFonts w:hint="eastAsia" w:ascii="宋体" w:hAnsi="宋体"/>
          <w:szCs w:val="21"/>
          <w:highlight w:val="none"/>
        </w:rPr>
        <w:t xml:space="preserve">                   </w:t>
      </w:r>
      <w:r>
        <w:rPr>
          <w:rFonts w:ascii="宋体" w:hAnsi="宋体"/>
          <w:szCs w:val="21"/>
          <w:highlight w:val="none"/>
        </w:rPr>
        <w:t>承包人</w:t>
      </w:r>
      <w:r>
        <w:rPr>
          <w:rFonts w:hint="eastAsia" w:ascii="宋体" w:hAnsi="宋体"/>
          <w:szCs w:val="21"/>
          <w:highlight w:val="none"/>
        </w:rPr>
        <w:t xml:space="preserve">：  </w:t>
      </w:r>
      <w:r>
        <w:rPr>
          <w:rFonts w:ascii="宋体" w:hAnsi="宋体"/>
          <w:szCs w:val="21"/>
          <w:highlight w:val="none"/>
        </w:rPr>
        <w:t>(公章)</w:t>
      </w:r>
      <w:r>
        <w:rPr>
          <w:rFonts w:hint="eastAsia" w:ascii="宋体" w:hAnsi="宋体"/>
          <w:szCs w:val="21"/>
          <w:highlight w:val="none"/>
        </w:rPr>
        <w:t xml:space="preserve">                              </w:t>
      </w:r>
    </w:p>
    <w:p w14:paraId="2BBA165E">
      <w:pPr>
        <w:spacing w:line="360" w:lineRule="auto"/>
        <w:ind w:firstLine="420" w:firstLineChars="200"/>
        <w:rPr>
          <w:rFonts w:hint="eastAsia" w:ascii="宋体" w:hAnsi="宋体"/>
          <w:szCs w:val="21"/>
          <w:highlight w:val="none"/>
        </w:rPr>
      </w:pPr>
      <w:r>
        <w:rPr>
          <w:rFonts w:hint="eastAsia" w:ascii="宋体" w:hAnsi="宋体"/>
          <w:szCs w:val="21"/>
          <w:highlight w:val="none"/>
        </w:rPr>
        <w:t>法定代表人或其委托代理人：（签字） 法定代表人或其委托代理人：（签字）</w:t>
      </w:r>
    </w:p>
    <w:p w14:paraId="7963931C">
      <w:pPr>
        <w:spacing w:line="360" w:lineRule="auto"/>
        <w:ind w:firstLine="420" w:firstLineChars="200"/>
        <w:rPr>
          <w:rFonts w:ascii="宋体" w:hAnsi="宋体"/>
          <w:szCs w:val="21"/>
          <w:highlight w:val="none"/>
        </w:rPr>
      </w:pPr>
      <w:r>
        <w:rPr>
          <w:rFonts w:hint="eastAsia" w:ascii="宋体" w:hAnsi="宋体"/>
          <w:szCs w:val="21"/>
          <w:highlight w:val="none"/>
        </w:rPr>
        <w:t>组织机构代码：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组织机构代码：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p>
    <w:p w14:paraId="188386C7">
      <w:pPr>
        <w:spacing w:line="360" w:lineRule="auto"/>
        <w:ind w:firstLine="420" w:firstLineChars="200"/>
        <w:rPr>
          <w:rFonts w:ascii="宋体" w:hAnsi="宋体"/>
          <w:szCs w:val="21"/>
          <w:highlight w:val="none"/>
        </w:rPr>
      </w:pPr>
      <w:r>
        <w:rPr>
          <w:rFonts w:ascii="宋体" w:hAnsi="宋体"/>
          <w:szCs w:val="21"/>
          <w:highlight w:val="none"/>
        </w:rPr>
        <w:t>地  址：</w:t>
      </w:r>
      <w:r>
        <w:rPr>
          <w:rFonts w:ascii="宋体" w:hAnsi="宋体"/>
          <w:szCs w:val="21"/>
          <w:highlight w:val="none"/>
          <w:u w:val="single"/>
        </w:rPr>
        <w:t xml:space="preserve">     </w:t>
      </w:r>
      <w:r>
        <w:rPr>
          <w:rFonts w:hint="eastAsia" w:ascii="宋体" w:hAnsi="宋体"/>
          <w:szCs w:val="21"/>
          <w:highlight w:val="none"/>
        </w:rPr>
        <w:t xml:space="preserve">        </w:t>
      </w:r>
      <w:r>
        <w:rPr>
          <w:rFonts w:ascii="宋体" w:hAnsi="宋体"/>
          <w:szCs w:val="21"/>
          <w:highlight w:val="none"/>
        </w:rPr>
        <w:t>地  址：</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0CFAF0AE">
      <w:pPr>
        <w:spacing w:line="360" w:lineRule="auto"/>
        <w:ind w:firstLine="420" w:firstLineChars="200"/>
        <w:rPr>
          <w:rFonts w:ascii="宋体" w:hAnsi="宋体"/>
          <w:szCs w:val="21"/>
          <w:highlight w:val="none"/>
        </w:rPr>
      </w:pPr>
      <w:r>
        <w:rPr>
          <w:rFonts w:ascii="宋体" w:hAnsi="宋体"/>
          <w:szCs w:val="21"/>
          <w:highlight w:val="none"/>
        </w:rPr>
        <w:t>邮政编码：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邮政编码：</w:t>
      </w:r>
      <w:r>
        <w:rPr>
          <w:rFonts w:ascii="宋体" w:hAnsi="宋体"/>
          <w:szCs w:val="21"/>
          <w:highlight w:val="none"/>
          <w:u w:val="single"/>
        </w:rPr>
        <w:t xml:space="preserve">   </w:t>
      </w:r>
    </w:p>
    <w:p w14:paraId="41DAAD8D">
      <w:pPr>
        <w:spacing w:line="360" w:lineRule="auto"/>
        <w:ind w:firstLine="420" w:firstLineChars="200"/>
        <w:rPr>
          <w:rFonts w:ascii="宋体" w:hAnsi="宋体"/>
          <w:szCs w:val="21"/>
          <w:highlight w:val="none"/>
        </w:rPr>
      </w:pPr>
      <w:r>
        <w:rPr>
          <w:rFonts w:ascii="宋体" w:hAnsi="宋体"/>
          <w:szCs w:val="21"/>
          <w:highlight w:val="none"/>
        </w:rPr>
        <w:t>法定代表人：</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法定代表人：</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 xml:space="preserve"> </w:t>
      </w:r>
    </w:p>
    <w:p w14:paraId="15F79545">
      <w:pPr>
        <w:spacing w:line="360" w:lineRule="auto"/>
        <w:ind w:firstLine="420" w:firstLineChars="200"/>
        <w:rPr>
          <w:rFonts w:ascii="宋体" w:hAnsi="宋体"/>
          <w:szCs w:val="21"/>
          <w:highlight w:val="none"/>
        </w:rPr>
      </w:pPr>
      <w:r>
        <w:rPr>
          <w:rFonts w:ascii="宋体" w:hAnsi="宋体"/>
          <w:szCs w:val="21"/>
          <w:highlight w:val="none"/>
        </w:rPr>
        <w:t>委托代理人：</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委托代理人：</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14C4E05A">
      <w:pPr>
        <w:spacing w:line="360" w:lineRule="auto"/>
        <w:ind w:firstLine="420" w:firstLineChars="200"/>
        <w:rPr>
          <w:rFonts w:ascii="宋体" w:hAnsi="宋体"/>
          <w:szCs w:val="21"/>
          <w:highlight w:val="none"/>
        </w:rPr>
      </w:pPr>
      <w:r>
        <w:rPr>
          <w:rFonts w:ascii="宋体" w:hAnsi="宋体"/>
          <w:szCs w:val="21"/>
          <w:highlight w:val="none"/>
        </w:rPr>
        <w:t>电  话：</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电  话：</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 xml:space="preserve">   </w:t>
      </w:r>
    </w:p>
    <w:p w14:paraId="357362B9">
      <w:pPr>
        <w:spacing w:line="360" w:lineRule="auto"/>
        <w:ind w:firstLine="420" w:firstLineChars="200"/>
        <w:rPr>
          <w:rFonts w:ascii="宋体" w:hAnsi="宋体"/>
          <w:szCs w:val="21"/>
          <w:highlight w:val="none"/>
        </w:rPr>
      </w:pPr>
      <w:r>
        <w:rPr>
          <w:rFonts w:ascii="宋体" w:hAnsi="宋体"/>
          <w:szCs w:val="21"/>
          <w:highlight w:val="none"/>
        </w:rPr>
        <w:t>传  真：</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传  真：</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 xml:space="preserve">   </w:t>
      </w:r>
    </w:p>
    <w:p w14:paraId="4FA69175">
      <w:pPr>
        <w:spacing w:line="360" w:lineRule="auto"/>
        <w:ind w:firstLine="420" w:firstLineChars="200"/>
        <w:rPr>
          <w:rFonts w:ascii="宋体" w:hAnsi="宋体"/>
          <w:szCs w:val="21"/>
          <w:highlight w:val="none"/>
        </w:rPr>
      </w:pPr>
      <w:r>
        <w:rPr>
          <w:rFonts w:ascii="宋体" w:hAnsi="宋体"/>
          <w:szCs w:val="21"/>
          <w:highlight w:val="none"/>
        </w:rPr>
        <w:t>电子信箱：</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电子信箱：</w:t>
      </w:r>
      <w:r>
        <w:rPr>
          <w:rFonts w:ascii="宋体" w:hAnsi="宋体"/>
          <w:szCs w:val="21"/>
          <w:highlight w:val="none"/>
          <w:u w:val="single"/>
        </w:rPr>
        <w:t xml:space="preserve">   </w:t>
      </w:r>
    </w:p>
    <w:p w14:paraId="49DA1948">
      <w:pPr>
        <w:spacing w:line="360" w:lineRule="auto"/>
        <w:ind w:firstLine="420" w:firstLineChars="200"/>
        <w:rPr>
          <w:rFonts w:ascii="宋体" w:hAnsi="宋体"/>
          <w:szCs w:val="21"/>
          <w:highlight w:val="none"/>
        </w:rPr>
      </w:pPr>
      <w:r>
        <w:rPr>
          <w:rFonts w:ascii="宋体" w:hAnsi="宋体"/>
          <w:szCs w:val="21"/>
          <w:highlight w:val="none"/>
        </w:rPr>
        <w:t>开户银行：</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开户银行：</w:t>
      </w:r>
      <w:r>
        <w:rPr>
          <w:rFonts w:ascii="宋体" w:hAnsi="宋体"/>
          <w:szCs w:val="21"/>
          <w:highlight w:val="none"/>
          <w:u w:val="single"/>
        </w:rPr>
        <w:t xml:space="preserve">   </w:t>
      </w:r>
    </w:p>
    <w:p w14:paraId="52482AB2">
      <w:pPr>
        <w:spacing w:line="360" w:lineRule="auto"/>
        <w:ind w:firstLine="420" w:firstLineChars="200"/>
        <w:rPr>
          <w:rFonts w:ascii="宋体" w:hAnsi="宋体"/>
          <w:szCs w:val="21"/>
          <w:highlight w:val="none"/>
          <w:u w:val="single"/>
        </w:rPr>
      </w:pPr>
      <w:r>
        <w:rPr>
          <w:rFonts w:ascii="宋体" w:hAnsi="宋体"/>
          <w:szCs w:val="21"/>
          <w:highlight w:val="none"/>
        </w:rPr>
        <w:t>账  号：</w:t>
      </w:r>
      <w:r>
        <w:rPr>
          <w:rFonts w:ascii="宋体" w:hAnsi="宋体"/>
          <w:szCs w:val="21"/>
          <w:highlight w:val="none"/>
          <w:u w:val="single"/>
        </w:rPr>
        <w:t xml:space="preserve">       </w:t>
      </w:r>
      <w:r>
        <w:rPr>
          <w:rFonts w:hint="eastAsia" w:ascii="宋体" w:hAnsi="宋体"/>
          <w:szCs w:val="21"/>
          <w:highlight w:val="none"/>
        </w:rPr>
        <w:t xml:space="preserve">        </w:t>
      </w:r>
      <w:r>
        <w:rPr>
          <w:rFonts w:ascii="宋体" w:hAnsi="宋体"/>
          <w:szCs w:val="21"/>
          <w:highlight w:val="none"/>
        </w:rPr>
        <w:t>账</w:t>
      </w:r>
      <w:r>
        <w:rPr>
          <w:rFonts w:hint="eastAsia" w:ascii="宋体" w:hAnsi="宋体"/>
          <w:szCs w:val="21"/>
          <w:highlight w:val="none"/>
        </w:rPr>
        <w:t xml:space="preserve"> </w:t>
      </w:r>
      <w:r>
        <w:rPr>
          <w:rFonts w:ascii="宋体" w:hAnsi="宋体"/>
          <w:szCs w:val="21"/>
          <w:highlight w:val="none"/>
        </w:rPr>
        <w:t xml:space="preserve"> 号：</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4A64798D">
      <w:pPr>
        <w:spacing w:line="360" w:lineRule="auto"/>
        <w:ind w:firstLine="420" w:firstLineChars="200"/>
        <w:rPr>
          <w:rFonts w:ascii="宋体" w:hAnsi="宋体"/>
          <w:szCs w:val="21"/>
          <w:highlight w:val="none"/>
        </w:rPr>
      </w:pPr>
    </w:p>
    <w:p w14:paraId="62873E83">
      <w:pPr>
        <w:rPr>
          <w:rFonts w:hint="eastAsia" w:ascii="宋体" w:hAnsi="宋体"/>
          <w:b/>
          <w:sz w:val="32"/>
          <w:szCs w:val="32"/>
          <w:highlight w:val="none"/>
        </w:rPr>
      </w:pPr>
      <w:bookmarkStart w:id="91" w:name="_Toc371258678"/>
      <w:bookmarkStart w:id="92" w:name="_Toc367959578"/>
      <w:bookmarkStart w:id="93" w:name="_Toc386270039"/>
      <w:bookmarkStart w:id="94" w:name="_Toc371258555"/>
      <w:r>
        <w:rPr>
          <w:rFonts w:hint="eastAsia" w:ascii="宋体" w:hAnsi="宋体"/>
          <w:b/>
          <w:sz w:val="32"/>
          <w:szCs w:val="32"/>
          <w:highlight w:val="none"/>
        </w:rPr>
        <w:br w:type="page"/>
      </w:r>
    </w:p>
    <w:p w14:paraId="7B38449D">
      <w:pPr>
        <w:pStyle w:val="449"/>
        <w:snapToGrid w:val="0"/>
        <w:spacing w:line="440" w:lineRule="exact"/>
        <w:ind w:left="250" w:right="720" w:firstLine="386" w:firstLineChars="120"/>
        <w:jc w:val="center"/>
        <w:outlineLvl w:val="1"/>
        <w:rPr>
          <w:rFonts w:hint="eastAsia" w:ascii="宋体" w:hAnsi="宋体"/>
          <w:sz w:val="21"/>
          <w:szCs w:val="21"/>
          <w:highlight w:val="none"/>
        </w:rPr>
      </w:pPr>
      <w:r>
        <w:rPr>
          <w:rFonts w:hint="eastAsia" w:ascii="宋体" w:hAnsi="宋体"/>
          <w:b/>
          <w:sz w:val="32"/>
          <w:szCs w:val="32"/>
          <w:highlight w:val="none"/>
        </w:rPr>
        <w:t>第二部分  通用条款</w:t>
      </w:r>
      <w:bookmarkEnd w:id="91"/>
      <w:bookmarkEnd w:id="92"/>
      <w:bookmarkEnd w:id="93"/>
      <w:bookmarkEnd w:id="94"/>
    </w:p>
    <w:p w14:paraId="4FBE3944">
      <w:pPr>
        <w:pStyle w:val="449"/>
        <w:snapToGrid w:val="0"/>
        <w:spacing w:before="0" w:after="0" w:line="440" w:lineRule="exact"/>
        <w:ind w:left="206" w:leftChars="98" w:right="1080" w:firstLine="1785" w:firstLineChars="850"/>
        <w:rPr>
          <w:rFonts w:hint="eastAsia" w:ascii="宋体" w:hAnsi="宋体"/>
          <w:sz w:val="21"/>
          <w:szCs w:val="21"/>
          <w:highlight w:val="none"/>
        </w:rPr>
      </w:pPr>
      <w:r>
        <w:rPr>
          <w:rFonts w:hint="eastAsia" w:ascii="宋体" w:hAnsi="宋体"/>
          <w:sz w:val="21"/>
          <w:szCs w:val="21"/>
          <w:highlight w:val="none"/>
        </w:rPr>
        <w:t>略，按建设工程施工合同示范文本(GF—2017—0201)</w:t>
      </w:r>
    </w:p>
    <w:p w14:paraId="0EB27FA8">
      <w:pPr>
        <w:pStyle w:val="449"/>
        <w:snapToGrid w:val="0"/>
        <w:spacing w:line="440" w:lineRule="exact"/>
        <w:ind w:left="250" w:right="720" w:firstLine="386" w:firstLineChars="120"/>
        <w:jc w:val="center"/>
        <w:outlineLvl w:val="1"/>
        <w:rPr>
          <w:rFonts w:hint="eastAsia" w:ascii="宋体" w:hAnsi="宋体"/>
          <w:b/>
          <w:sz w:val="32"/>
          <w:szCs w:val="32"/>
          <w:highlight w:val="none"/>
        </w:rPr>
      </w:pPr>
      <w:bookmarkStart w:id="95" w:name="_Toc371258556"/>
      <w:bookmarkStart w:id="96" w:name="_Toc371258679"/>
      <w:bookmarkStart w:id="97" w:name="_Toc367959579"/>
      <w:bookmarkStart w:id="98" w:name="_Toc386270040"/>
      <w:r>
        <w:rPr>
          <w:rFonts w:hint="eastAsia" w:ascii="宋体" w:hAnsi="宋体"/>
          <w:b/>
          <w:sz w:val="32"/>
          <w:szCs w:val="32"/>
          <w:highlight w:val="none"/>
        </w:rPr>
        <w:t>第三部分  专用条款</w:t>
      </w:r>
      <w:bookmarkEnd w:id="95"/>
      <w:bookmarkEnd w:id="96"/>
      <w:bookmarkEnd w:id="97"/>
      <w:bookmarkEnd w:id="98"/>
    </w:p>
    <w:p w14:paraId="365C0CB2">
      <w:pPr>
        <w:spacing w:line="360" w:lineRule="auto"/>
        <w:ind w:firstLine="422" w:firstLineChars="200"/>
        <w:rPr>
          <w:rFonts w:ascii="宋体" w:hAnsi="宋体"/>
          <w:b/>
          <w:szCs w:val="21"/>
          <w:highlight w:val="none"/>
        </w:rPr>
      </w:pPr>
      <w:bookmarkStart w:id="99" w:name="_Toc351203633"/>
      <w:r>
        <w:rPr>
          <w:rFonts w:ascii="宋体" w:hAnsi="宋体"/>
          <w:b/>
          <w:szCs w:val="21"/>
          <w:highlight w:val="none"/>
        </w:rPr>
        <w:t>1</w:t>
      </w:r>
      <w:bookmarkStart w:id="100" w:name="_Toc296890984"/>
      <w:bookmarkStart w:id="101" w:name="_Toc297120456"/>
      <w:bookmarkStart w:id="102" w:name="_Toc296891196"/>
      <w:bookmarkStart w:id="103" w:name="_Toc292559866"/>
      <w:bookmarkStart w:id="104" w:name="_Toc296503156"/>
      <w:bookmarkStart w:id="105" w:name="_Toc292559361"/>
      <w:bookmarkStart w:id="106" w:name="_Toc296347155"/>
      <w:bookmarkStart w:id="107" w:name="_Toc296346657"/>
      <w:bookmarkStart w:id="108" w:name="_Toc297048342"/>
      <w:bookmarkStart w:id="109" w:name="_Toc296944495"/>
      <w:r>
        <w:rPr>
          <w:rFonts w:ascii="宋体" w:hAnsi="宋体"/>
          <w:b/>
          <w:szCs w:val="21"/>
          <w:highlight w:val="none"/>
        </w:rPr>
        <w:t>. 一般约定</w:t>
      </w:r>
      <w:bookmarkEnd w:id="99"/>
    </w:p>
    <w:bookmarkEnd w:id="100"/>
    <w:bookmarkEnd w:id="101"/>
    <w:bookmarkEnd w:id="102"/>
    <w:bookmarkEnd w:id="103"/>
    <w:bookmarkEnd w:id="104"/>
    <w:bookmarkEnd w:id="105"/>
    <w:bookmarkEnd w:id="106"/>
    <w:bookmarkEnd w:id="107"/>
    <w:bookmarkEnd w:id="108"/>
    <w:bookmarkEnd w:id="109"/>
    <w:p w14:paraId="17DB1FE8">
      <w:pPr>
        <w:spacing w:line="360" w:lineRule="auto"/>
        <w:ind w:firstLine="420" w:firstLineChars="200"/>
        <w:rPr>
          <w:rFonts w:ascii="宋体" w:hAnsi="宋体"/>
          <w:szCs w:val="21"/>
          <w:highlight w:val="none"/>
        </w:rPr>
      </w:pPr>
      <w:r>
        <w:rPr>
          <w:rFonts w:ascii="宋体" w:hAnsi="宋体"/>
          <w:szCs w:val="21"/>
          <w:highlight w:val="none"/>
        </w:rPr>
        <w:t>1.1 词语定义</w:t>
      </w:r>
    </w:p>
    <w:p w14:paraId="5BFE477C">
      <w:pPr>
        <w:spacing w:line="360" w:lineRule="auto"/>
        <w:ind w:firstLine="420" w:firstLineChars="200"/>
        <w:rPr>
          <w:rFonts w:ascii="宋体" w:hAnsi="宋体"/>
          <w:kern w:val="0"/>
          <w:szCs w:val="21"/>
          <w:highlight w:val="none"/>
        </w:rPr>
      </w:pPr>
      <w:r>
        <w:rPr>
          <w:rFonts w:ascii="宋体" w:hAnsi="宋体"/>
          <w:kern w:val="0"/>
          <w:szCs w:val="21"/>
          <w:highlight w:val="none"/>
        </w:rPr>
        <w:t>1.1.1合同</w:t>
      </w:r>
    </w:p>
    <w:p w14:paraId="213CE28F">
      <w:pPr>
        <w:spacing w:line="360" w:lineRule="auto"/>
        <w:ind w:firstLine="420" w:firstLineChars="200"/>
        <w:rPr>
          <w:rFonts w:ascii="宋体" w:hAnsi="宋体"/>
          <w:szCs w:val="21"/>
          <w:highlight w:val="none"/>
          <w:u w:val="single"/>
        </w:rPr>
      </w:pPr>
      <w:r>
        <w:rPr>
          <w:rFonts w:ascii="宋体" w:hAnsi="宋体"/>
          <w:kern w:val="0"/>
          <w:szCs w:val="21"/>
          <w:highlight w:val="none"/>
        </w:rPr>
        <w:t>1.1.1.10其他合同文件包括：</w:t>
      </w:r>
      <w:r>
        <w:rPr>
          <w:rFonts w:ascii="宋体" w:hAnsi="宋体"/>
          <w:szCs w:val="21"/>
          <w:highlight w:val="none"/>
          <w:u w:val="single"/>
        </w:rPr>
        <w:t></w:t>
      </w:r>
      <w:r>
        <w:rPr>
          <w:rFonts w:hint="eastAsia" w:ascii="宋体" w:hAnsi="宋体"/>
          <w:szCs w:val="21"/>
          <w:highlight w:val="none"/>
          <w:u w:val="single"/>
        </w:rPr>
        <w:t>本项目招标文件、招标补充文件及其他文件等、双方有关工程的洽商、变更等书面协议或文件视为本合同的组成部分</w:t>
      </w:r>
      <w:r>
        <w:rPr>
          <w:rFonts w:ascii="宋体" w:hAnsi="宋体"/>
          <w:szCs w:val="21"/>
          <w:highlight w:val="none"/>
          <w:u w:val="single"/>
        </w:rPr>
        <w:t>。</w:t>
      </w:r>
    </w:p>
    <w:p w14:paraId="5DD013D1">
      <w:pPr>
        <w:spacing w:line="360" w:lineRule="auto"/>
        <w:ind w:firstLine="420" w:firstLineChars="200"/>
        <w:rPr>
          <w:rFonts w:ascii="宋体" w:hAnsi="宋体"/>
          <w:szCs w:val="21"/>
          <w:highlight w:val="none"/>
        </w:rPr>
      </w:pPr>
      <w:r>
        <w:rPr>
          <w:rFonts w:ascii="宋体" w:hAnsi="宋体"/>
          <w:szCs w:val="21"/>
          <w:highlight w:val="none"/>
        </w:rPr>
        <w:t>1.1.2 合同当事人及其他相关方</w:t>
      </w:r>
    </w:p>
    <w:p w14:paraId="0F0200B2">
      <w:pPr>
        <w:spacing w:line="360" w:lineRule="auto"/>
        <w:ind w:firstLine="420" w:firstLineChars="200"/>
        <w:rPr>
          <w:rFonts w:ascii="宋体" w:hAnsi="宋体"/>
          <w:szCs w:val="21"/>
          <w:highlight w:val="none"/>
        </w:rPr>
      </w:pPr>
      <w:r>
        <w:rPr>
          <w:rFonts w:ascii="宋体" w:hAnsi="宋体"/>
          <w:szCs w:val="21"/>
          <w:highlight w:val="none"/>
        </w:rPr>
        <w:t>1.1.2.4监理人：</w:t>
      </w:r>
    </w:p>
    <w:p w14:paraId="15696027">
      <w:pPr>
        <w:spacing w:line="360" w:lineRule="auto"/>
        <w:ind w:firstLine="420" w:firstLineChars="200"/>
        <w:rPr>
          <w:rFonts w:ascii="宋体" w:hAnsi="宋体"/>
          <w:szCs w:val="21"/>
          <w:highlight w:val="none"/>
        </w:rPr>
      </w:pPr>
      <w:r>
        <w:rPr>
          <w:rFonts w:ascii="宋体" w:hAnsi="宋体"/>
          <w:szCs w:val="21"/>
          <w:highlight w:val="none"/>
        </w:rPr>
        <w:t>名    称：</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 xml:space="preserve">    </w:t>
      </w:r>
      <w:r>
        <w:rPr>
          <w:rFonts w:ascii="宋体" w:hAnsi="宋体"/>
          <w:szCs w:val="21"/>
          <w:highlight w:val="none"/>
        </w:rPr>
        <w:t>；</w:t>
      </w:r>
    </w:p>
    <w:p w14:paraId="3411AF61">
      <w:pPr>
        <w:spacing w:line="360" w:lineRule="auto"/>
        <w:ind w:firstLine="420" w:firstLineChars="200"/>
        <w:rPr>
          <w:rFonts w:ascii="宋体" w:hAnsi="宋体"/>
          <w:szCs w:val="21"/>
          <w:highlight w:val="none"/>
        </w:rPr>
      </w:pPr>
      <w:r>
        <w:rPr>
          <w:rFonts w:ascii="宋体" w:hAnsi="宋体"/>
          <w:szCs w:val="21"/>
          <w:highlight w:val="none"/>
        </w:rPr>
        <w:t>资质类别和等级：</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  </w:t>
      </w:r>
      <w:r>
        <w:rPr>
          <w:rFonts w:hint="eastAsia" w:ascii="宋体" w:hAnsi="宋体"/>
          <w:szCs w:val="21"/>
          <w:highlight w:val="none"/>
          <w:u w:val="single"/>
        </w:rPr>
        <w:t xml:space="preserve"> </w:t>
      </w:r>
      <w:r>
        <w:rPr>
          <w:rFonts w:ascii="宋体" w:hAnsi="宋体"/>
          <w:szCs w:val="21"/>
          <w:highlight w:val="none"/>
        </w:rPr>
        <w:t>；</w:t>
      </w:r>
    </w:p>
    <w:p w14:paraId="2122DB62">
      <w:pPr>
        <w:spacing w:line="360" w:lineRule="auto"/>
        <w:ind w:firstLine="420" w:firstLineChars="200"/>
        <w:rPr>
          <w:rFonts w:ascii="宋体" w:hAnsi="宋体"/>
          <w:szCs w:val="21"/>
          <w:highlight w:val="none"/>
        </w:rPr>
      </w:pPr>
      <w:r>
        <w:rPr>
          <w:rFonts w:ascii="宋体" w:hAnsi="宋体"/>
          <w:szCs w:val="21"/>
          <w:highlight w:val="none"/>
        </w:rPr>
        <w:t>联系电话：</w:t>
      </w:r>
      <w:r>
        <w:rPr>
          <w:rFonts w:ascii="宋体" w:hAnsi="宋体"/>
          <w:szCs w:val="21"/>
          <w:highlight w:val="none"/>
          <w:u w:val="single"/>
        </w:rPr>
        <w:t>    </w:t>
      </w:r>
      <w:r>
        <w:rPr>
          <w:rFonts w:hint="eastAsia" w:ascii="宋体" w:hAnsi="宋体"/>
          <w:szCs w:val="21"/>
          <w:highlight w:val="none"/>
          <w:u w:val="single"/>
        </w:rPr>
        <w:t xml:space="preserve">            </w:t>
      </w:r>
      <w:r>
        <w:rPr>
          <w:rFonts w:ascii="宋体" w:hAnsi="宋体"/>
          <w:szCs w:val="21"/>
          <w:highlight w:val="none"/>
          <w:u w:val="single"/>
        </w:rPr>
        <w:t></w:t>
      </w:r>
      <w:r>
        <w:rPr>
          <w:rFonts w:ascii="宋体" w:hAnsi="宋体"/>
          <w:szCs w:val="21"/>
          <w:highlight w:val="none"/>
        </w:rPr>
        <w:t>；</w:t>
      </w:r>
    </w:p>
    <w:p w14:paraId="412E52DC">
      <w:pPr>
        <w:spacing w:line="360" w:lineRule="auto"/>
        <w:ind w:firstLine="420" w:firstLineChars="200"/>
        <w:rPr>
          <w:rFonts w:ascii="宋体" w:hAnsi="宋体"/>
          <w:szCs w:val="21"/>
          <w:highlight w:val="none"/>
        </w:rPr>
      </w:pPr>
      <w:r>
        <w:rPr>
          <w:rFonts w:ascii="宋体" w:hAnsi="宋体"/>
          <w:szCs w:val="21"/>
          <w:highlight w:val="none"/>
        </w:rPr>
        <w:t>电子信箱：</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18C2C7F5">
      <w:pPr>
        <w:spacing w:line="360" w:lineRule="auto"/>
        <w:ind w:firstLine="420" w:firstLineChars="200"/>
        <w:rPr>
          <w:rFonts w:ascii="宋体" w:hAnsi="宋体"/>
          <w:szCs w:val="21"/>
          <w:highlight w:val="none"/>
        </w:rPr>
      </w:pPr>
      <w:r>
        <w:rPr>
          <w:rFonts w:ascii="宋体" w:hAnsi="宋体"/>
          <w:szCs w:val="21"/>
          <w:highlight w:val="none"/>
        </w:rPr>
        <w:t>通信地址：</w:t>
      </w:r>
      <w:r>
        <w:rPr>
          <w:rFonts w:ascii="宋体" w:hAnsi="宋体"/>
          <w:szCs w:val="21"/>
          <w:highlight w:val="none"/>
          <w:u w:val="single"/>
        </w:rPr>
        <w:t>    </w:t>
      </w:r>
      <w:r>
        <w:rPr>
          <w:rFonts w:hint="eastAsia" w:ascii="宋体" w:hAnsi="宋体"/>
          <w:szCs w:val="21"/>
          <w:highlight w:val="none"/>
          <w:u w:val="single"/>
        </w:rPr>
        <w:t xml:space="preserve">            </w:t>
      </w:r>
      <w:r>
        <w:rPr>
          <w:rFonts w:ascii="宋体" w:hAnsi="宋体"/>
          <w:szCs w:val="21"/>
          <w:highlight w:val="none"/>
          <w:u w:val="single"/>
        </w:rPr>
        <w:t></w:t>
      </w:r>
      <w:r>
        <w:rPr>
          <w:rFonts w:ascii="宋体" w:hAnsi="宋体"/>
          <w:szCs w:val="21"/>
          <w:highlight w:val="none"/>
        </w:rPr>
        <w:t>。</w:t>
      </w:r>
    </w:p>
    <w:p w14:paraId="20B0DDDE">
      <w:pPr>
        <w:spacing w:line="360" w:lineRule="auto"/>
        <w:ind w:firstLine="420" w:firstLineChars="200"/>
        <w:rPr>
          <w:rFonts w:ascii="宋体" w:hAnsi="宋体"/>
          <w:szCs w:val="21"/>
          <w:highlight w:val="none"/>
        </w:rPr>
      </w:pPr>
      <w:r>
        <w:rPr>
          <w:rFonts w:ascii="宋体" w:hAnsi="宋体"/>
          <w:szCs w:val="21"/>
          <w:highlight w:val="none"/>
        </w:rPr>
        <w:t>1.1.2.5 设计人：</w:t>
      </w:r>
    </w:p>
    <w:p w14:paraId="61755A08">
      <w:pPr>
        <w:spacing w:line="360" w:lineRule="auto"/>
        <w:ind w:firstLine="420" w:firstLineChars="200"/>
        <w:rPr>
          <w:rFonts w:ascii="宋体" w:hAnsi="宋体"/>
          <w:szCs w:val="21"/>
          <w:highlight w:val="none"/>
        </w:rPr>
      </w:pPr>
      <w:r>
        <w:rPr>
          <w:rFonts w:ascii="宋体" w:hAnsi="宋体"/>
          <w:szCs w:val="21"/>
          <w:highlight w:val="none"/>
        </w:rPr>
        <w:t>名    称：</w:t>
      </w:r>
      <w:r>
        <w:rPr>
          <w:rFonts w:hint="eastAsia" w:ascii="宋体" w:hAnsi="宋体"/>
          <w:szCs w:val="21"/>
          <w:highlight w:val="none"/>
          <w:u w:val="single"/>
        </w:rPr>
        <w:t xml:space="preserve">                                    </w:t>
      </w:r>
      <w:r>
        <w:rPr>
          <w:rFonts w:ascii="宋体" w:hAnsi="宋体"/>
          <w:szCs w:val="21"/>
          <w:highlight w:val="none"/>
        </w:rPr>
        <w:t>；</w:t>
      </w:r>
    </w:p>
    <w:p w14:paraId="3234586B">
      <w:pPr>
        <w:spacing w:line="360" w:lineRule="auto"/>
        <w:ind w:firstLine="420" w:firstLineChars="200"/>
        <w:rPr>
          <w:rFonts w:ascii="宋体" w:hAnsi="宋体"/>
          <w:szCs w:val="21"/>
          <w:highlight w:val="none"/>
        </w:rPr>
      </w:pPr>
      <w:r>
        <w:rPr>
          <w:rFonts w:ascii="宋体" w:hAnsi="宋体"/>
          <w:szCs w:val="21"/>
          <w:highlight w:val="none"/>
        </w:rPr>
        <w:t>资质类别和等级：</w:t>
      </w:r>
      <w:r>
        <w:rPr>
          <w:rFonts w:hint="eastAsia" w:ascii="宋体" w:hAnsi="宋体"/>
          <w:szCs w:val="21"/>
          <w:highlight w:val="none"/>
          <w:u w:val="single"/>
        </w:rPr>
        <w:t xml:space="preserve">                               </w:t>
      </w:r>
      <w:r>
        <w:rPr>
          <w:rFonts w:ascii="宋体" w:hAnsi="宋体"/>
          <w:szCs w:val="21"/>
          <w:highlight w:val="none"/>
        </w:rPr>
        <w:t>；</w:t>
      </w:r>
    </w:p>
    <w:p w14:paraId="7F8BA335">
      <w:pPr>
        <w:spacing w:line="360" w:lineRule="auto"/>
        <w:ind w:firstLine="420" w:firstLineChars="200"/>
        <w:rPr>
          <w:rFonts w:ascii="宋体" w:hAnsi="宋体"/>
          <w:szCs w:val="21"/>
          <w:highlight w:val="none"/>
        </w:rPr>
      </w:pPr>
      <w:r>
        <w:rPr>
          <w:rFonts w:ascii="宋体" w:hAnsi="宋体"/>
          <w:szCs w:val="21"/>
          <w:highlight w:val="none"/>
        </w:rPr>
        <w:t>联系电话：</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w:t>
      </w:r>
      <w:r>
        <w:rPr>
          <w:rFonts w:ascii="宋体" w:hAnsi="宋体"/>
          <w:szCs w:val="21"/>
          <w:highlight w:val="none"/>
        </w:rPr>
        <w:t>；</w:t>
      </w:r>
    </w:p>
    <w:p w14:paraId="18BD156A">
      <w:pPr>
        <w:spacing w:line="360" w:lineRule="auto"/>
        <w:ind w:firstLine="420" w:firstLineChars="200"/>
        <w:rPr>
          <w:rFonts w:ascii="宋体" w:hAnsi="宋体"/>
          <w:szCs w:val="21"/>
          <w:highlight w:val="none"/>
        </w:rPr>
      </w:pPr>
      <w:r>
        <w:rPr>
          <w:rFonts w:ascii="宋体" w:hAnsi="宋体"/>
          <w:szCs w:val="21"/>
          <w:highlight w:val="none"/>
        </w:rPr>
        <w:t>电子信箱：</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w:t>
      </w:r>
      <w:r>
        <w:rPr>
          <w:rFonts w:ascii="宋体" w:hAnsi="宋体"/>
          <w:szCs w:val="21"/>
          <w:highlight w:val="none"/>
        </w:rPr>
        <w:t>；</w:t>
      </w:r>
    </w:p>
    <w:p w14:paraId="289E04D2">
      <w:pPr>
        <w:spacing w:line="360" w:lineRule="auto"/>
        <w:ind w:firstLine="420" w:firstLineChars="200"/>
        <w:rPr>
          <w:rFonts w:hint="eastAsia" w:ascii="宋体" w:hAnsi="宋体"/>
          <w:szCs w:val="21"/>
          <w:highlight w:val="none"/>
        </w:rPr>
      </w:pPr>
      <w:r>
        <w:rPr>
          <w:rFonts w:ascii="宋体" w:hAnsi="宋体"/>
          <w:szCs w:val="21"/>
          <w:highlight w:val="none"/>
        </w:rPr>
        <w:t>通信地址：</w:t>
      </w:r>
      <w:r>
        <w:rPr>
          <w:rFonts w:hint="eastAsia" w:ascii="宋体" w:hAnsi="宋体"/>
          <w:szCs w:val="21"/>
          <w:highlight w:val="none"/>
          <w:u w:val="single"/>
        </w:rPr>
        <w:t xml:space="preserve">                                      </w:t>
      </w:r>
      <w:r>
        <w:rPr>
          <w:rFonts w:ascii="宋体" w:hAnsi="宋体"/>
          <w:szCs w:val="21"/>
          <w:highlight w:val="none"/>
        </w:rPr>
        <w:t>。</w:t>
      </w:r>
    </w:p>
    <w:p w14:paraId="72B2D316">
      <w:pPr>
        <w:spacing w:line="360" w:lineRule="auto"/>
        <w:ind w:firstLine="420" w:firstLineChars="200"/>
        <w:rPr>
          <w:rFonts w:ascii="宋体" w:hAnsi="宋体"/>
          <w:szCs w:val="21"/>
          <w:highlight w:val="none"/>
        </w:rPr>
      </w:pPr>
      <w:r>
        <w:rPr>
          <w:rFonts w:ascii="宋体" w:hAnsi="宋体"/>
          <w:szCs w:val="21"/>
          <w:highlight w:val="none"/>
        </w:rPr>
        <w:t>1.1.3 工程和设备</w:t>
      </w:r>
    </w:p>
    <w:p w14:paraId="7FEEC73C">
      <w:pPr>
        <w:spacing w:line="360" w:lineRule="auto"/>
        <w:ind w:firstLine="420" w:firstLineChars="200"/>
        <w:rPr>
          <w:rFonts w:ascii="宋体" w:hAnsi="宋体"/>
          <w:szCs w:val="21"/>
          <w:highlight w:val="none"/>
        </w:rPr>
      </w:pPr>
      <w:r>
        <w:rPr>
          <w:rFonts w:ascii="宋体" w:hAnsi="宋体"/>
          <w:szCs w:val="21"/>
          <w:highlight w:val="none"/>
        </w:rPr>
        <w:t>1.1.3.7 作为施工现场组成部分的其他场所包括：</w:t>
      </w:r>
      <w:r>
        <w:rPr>
          <w:rFonts w:hint="eastAsia" w:ascii="宋体" w:hAnsi="宋体"/>
          <w:szCs w:val="21"/>
          <w:highlight w:val="none"/>
          <w:u w:val="single"/>
        </w:rPr>
        <w:t xml:space="preserve">     无       </w:t>
      </w:r>
      <w:r>
        <w:rPr>
          <w:rFonts w:ascii="宋体" w:hAnsi="宋体"/>
          <w:szCs w:val="21"/>
          <w:highlight w:val="none"/>
        </w:rPr>
        <w:t>。</w:t>
      </w:r>
    </w:p>
    <w:p w14:paraId="61652B8B">
      <w:pPr>
        <w:spacing w:line="360" w:lineRule="auto"/>
        <w:ind w:firstLine="420" w:firstLineChars="200"/>
        <w:rPr>
          <w:rFonts w:ascii="宋体" w:hAnsi="宋体"/>
          <w:kern w:val="0"/>
          <w:szCs w:val="21"/>
          <w:highlight w:val="none"/>
        </w:rPr>
      </w:pPr>
      <w:r>
        <w:rPr>
          <w:rFonts w:ascii="宋体" w:hAnsi="宋体"/>
          <w:kern w:val="0"/>
          <w:szCs w:val="21"/>
          <w:highlight w:val="none"/>
        </w:rPr>
        <w:t>1.1.3.9 永久占地包括：</w:t>
      </w:r>
      <w:r>
        <w:rPr>
          <w:rFonts w:ascii="宋体" w:hAnsi="宋体"/>
          <w:szCs w:val="21"/>
          <w:highlight w:val="none"/>
          <w:u w:val="single"/>
        </w:rPr>
        <w:t xml:space="preserve">  </w:t>
      </w:r>
      <w:r>
        <w:rPr>
          <w:rFonts w:hint="eastAsia" w:ascii="宋体" w:hAnsi="宋体"/>
          <w:szCs w:val="21"/>
          <w:highlight w:val="none"/>
          <w:u w:val="single"/>
        </w:rPr>
        <w:t>规划红线范围内的建筑</w:t>
      </w:r>
      <w:r>
        <w:rPr>
          <w:rFonts w:ascii="宋体" w:hAnsi="宋体"/>
          <w:szCs w:val="21"/>
          <w:highlight w:val="none"/>
          <w:u w:val="single"/>
        </w:rPr>
        <w:t></w:t>
      </w:r>
      <w:r>
        <w:rPr>
          <w:rFonts w:ascii="宋体" w:hAnsi="宋体"/>
          <w:kern w:val="0"/>
          <w:szCs w:val="21"/>
          <w:highlight w:val="none"/>
        </w:rPr>
        <w:t>。</w:t>
      </w:r>
    </w:p>
    <w:p w14:paraId="26241787">
      <w:pPr>
        <w:spacing w:line="360" w:lineRule="auto"/>
        <w:ind w:firstLine="420" w:firstLineChars="200"/>
        <w:rPr>
          <w:rFonts w:ascii="宋体" w:hAnsi="宋体"/>
          <w:szCs w:val="21"/>
          <w:highlight w:val="none"/>
        </w:rPr>
      </w:pPr>
      <w:r>
        <w:rPr>
          <w:rFonts w:ascii="宋体" w:hAnsi="宋体"/>
          <w:kern w:val="0"/>
          <w:szCs w:val="21"/>
          <w:highlight w:val="none"/>
        </w:rPr>
        <w:t>1.1.3.10 临时占地包括：</w:t>
      </w:r>
      <w:r>
        <w:rPr>
          <w:rFonts w:hint="eastAsia" w:ascii="宋体" w:hAnsi="宋体"/>
          <w:szCs w:val="21"/>
          <w:highlight w:val="none"/>
          <w:u w:val="single"/>
        </w:rPr>
        <w:t>如需，施工单位应自行向相关部门报批，费用由施工单位自行承担</w:t>
      </w:r>
      <w:r>
        <w:rPr>
          <w:rFonts w:ascii="宋体" w:hAnsi="宋体"/>
          <w:szCs w:val="21"/>
          <w:highlight w:val="none"/>
          <w:u w:val="single"/>
        </w:rPr>
        <w:t></w:t>
      </w:r>
      <w:r>
        <w:rPr>
          <w:rFonts w:ascii="宋体" w:hAnsi="宋体"/>
          <w:kern w:val="0"/>
          <w:szCs w:val="21"/>
          <w:highlight w:val="none"/>
        </w:rPr>
        <w:t>。</w:t>
      </w:r>
    </w:p>
    <w:p w14:paraId="2F30DF9A">
      <w:pPr>
        <w:spacing w:line="360" w:lineRule="auto"/>
        <w:ind w:firstLine="420" w:firstLineChars="200"/>
        <w:rPr>
          <w:rFonts w:ascii="宋体" w:hAnsi="宋体"/>
          <w:szCs w:val="21"/>
          <w:highlight w:val="none"/>
        </w:rPr>
      </w:pPr>
      <w:r>
        <w:rPr>
          <w:rFonts w:ascii="宋体" w:hAnsi="宋体"/>
          <w:szCs w:val="21"/>
          <w:highlight w:val="none"/>
        </w:rPr>
        <w:t xml:space="preserve">1.3法律 </w:t>
      </w:r>
    </w:p>
    <w:p w14:paraId="5E9D8E89">
      <w:pPr>
        <w:spacing w:line="360" w:lineRule="auto"/>
        <w:ind w:firstLine="420" w:firstLineChars="200"/>
        <w:rPr>
          <w:rFonts w:ascii="宋体" w:hAnsi="宋体"/>
          <w:szCs w:val="21"/>
          <w:highlight w:val="none"/>
        </w:rPr>
      </w:pPr>
      <w:r>
        <w:rPr>
          <w:rFonts w:ascii="宋体" w:hAnsi="宋体"/>
          <w:szCs w:val="21"/>
          <w:highlight w:val="none"/>
        </w:rPr>
        <w:t>适用于合同的其他规范性文件：</w:t>
      </w:r>
      <w:r>
        <w:rPr>
          <w:rFonts w:hint="eastAsia" w:ascii="宋体" w:hAnsi="宋体"/>
          <w:szCs w:val="21"/>
          <w:highlight w:val="none"/>
          <w:u w:val="single"/>
        </w:rPr>
        <w:t>省、市建设管理部门发布的规范性文件</w:t>
      </w:r>
      <w:r>
        <w:rPr>
          <w:rFonts w:ascii="宋体" w:hAnsi="宋体"/>
          <w:szCs w:val="21"/>
          <w:highlight w:val="none"/>
        </w:rPr>
        <w:t>。</w:t>
      </w:r>
    </w:p>
    <w:p w14:paraId="2EF216E6">
      <w:pPr>
        <w:spacing w:line="360" w:lineRule="auto"/>
        <w:ind w:firstLine="420" w:firstLineChars="200"/>
        <w:rPr>
          <w:rFonts w:ascii="宋体" w:hAnsi="宋体"/>
          <w:szCs w:val="21"/>
          <w:highlight w:val="none"/>
        </w:rPr>
      </w:pPr>
      <w:r>
        <w:rPr>
          <w:rFonts w:ascii="宋体" w:hAnsi="宋体"/>
          <w:szCs w:val="21"/>
          <w:highlight w:val="none"/>
        </w:rPr>
        <w:t>1.4 标准和规范</w:t>
      </w:r>
    </w:p>
    <w:p w14:paraId="303480E1">
      <w:pPr>
        <w:spacing w:line="360" w:lineRule="auto"/>
        <w:ind w:firstLine="420" w:firstLineChars="200"/>
        <w:rPr>
          <w:rFonts w:ascii="宋体" w:hAnsi="宋体"/>
          <w:szCs w:val="21"/>
          <w:highlight w:val="none"/>
        </w:rPr>
      </w:pPr>
      <w:r>
        <w:rPr>
          <w:rFonts w:ascii="宋体" w:hAnsi="宋体"/>
          <w:szCs w:val="21"/>
          <w:highlight w:val="none"/>
        </w:rPr>
        <w:t>1.4.1适用于工程的标准规范包括：</w:t>
      </w:r>
      <w:r>
        <w:rPr>
          <w:rFonts w:hint="eastAsia" w:ascii="宋体" w:hAnsi="宋体"/>
          <w:szCs w:val="21"/>
          <w:highlight w:val="none"/>
          <w:u w:val="single"/>
        </w:rPr>
        <w:t>采用现行有效的适用于本工程的施工和验收标准、规范，若不同标准和规范之间要求不一致的，以较高标准为优先</w:t>
      </w:r>
      <w:r>
        <w:rPr>
          <w:rFonts w:ascii="宋体" w:hAnsi="宋体"/>
          <w:szCs w:val="21"/>
          <w:highlight w:val="none"/>
          <w:u w:val="single"/>
        </w:rPr>
        <w:t></w:t>
      </w:r>
      <w:r>
        <w:rPr>
          <w:rFonts w:ascii="宋体" w:hAnsi="宋体"/>
          <w:szCs w:val="21"/>
          <w:highlight w:val="none"/>
        </w:rPr>
        <w:t>。</w:t>
      </w:r>
    </w:p>
    <w:p w14:paraId="1D73E5F1">
      <w:pPr>
        <w:spacing w:line="360" w:lineRule="auto"/>
        <w:ind w:firstLine="420" w:firstLineChars="200"/>
        <w:rPr>
          <w:rFonts w:ascii="宋体" w:hAnsi="宋体"/>
          <w:kern w:val="0"/>
          <w:szCs w:val="21"/>
          <w:highlight w:val="none"/>
        </w:rPr>
      </w:pPr>
      <w:r>
        <w:rPr>
          <w:rFonts w:ascii="宋体" w:hAnsi="宋体"/>
          <w:kern w:val="0"/>
          <w:szCs w:val="21"/>
          <w:highlight w:val="none"/>
        </w:rPr>
        <w:t>1.4.2 采购人提供国外标准、规范的名称：</w:t>
      </w:r>
      <w:r>
        <w:rPr>
          <w:rFonts w:ascii="宋体" w:hAnsi="宋体"/>
          <w:kern w:val="0"/>
          <w:szCs w:val="21"/>
          <w:highlight w:val="none"/>
          <w:u w:val="single"/>
        </w:rPr>
        <w:t xml:space="preserve">   </w:t>
      </w:r>
      <w:r>
        <w:rPr>
          <w:rFonts w:hint="eastAsia" w:ascii="宋体" w:hAnsi="宋体"/>
          <w:kern w:val="0"/>
          <w:szCs w:val="21"/>
          <w:highlight w:val="none"/>
          <w:u w:val="single"/>
        </w:rPr>
        <w:t xml:space="preserve">      无</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rPr>
        <w:t>；</w:t>
      </w:r>
    </w:p>
    <w:p w14:paraId="6AAED7B9">
      <w:pPr>
        <w:spacing w:line="360" w:lineRule="auto"/>
        <w:ind w:firstLine="420" w:firstLineChars="200"/>
        <w:rPr>
          <w:rFonts w:ascii="宋体" w:hAnsi="宋体"/>
          <w:kern w:val="0"/>
          <w:szCs w:val="21"/>
          <w:highlight w:val="none"/>
        </w:rPr>
      </w:pPr>
      <w:r>
        <w:rPr>
          <w:rFonts w:ascii="宋体" w:hAnsi="宋体"/>
          <w:kern w:val="0"/>
          <w:szCs w:val="21"/>
          <w:highlight w:val="none"/>
        </w:rPr>
        <w:t>采购人提供国外标准、规范的份数：</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无</w:t>
      </w:r>
      <w:r>
        <w:rPr>
          <w:rFonts w:ascii="宋体" w:hAnsi="宋体"/>
          <w:kern w:val="0"/>
          <w:szCs w:val="21"/>
          <w:highlight w:val="none"/>
          <w:u w:val="single"/>
        </w:rPr>
        <w:t xml:space="preserve">           </w:t>
      </w:r>
      <w:r>
        <w:rPr>
          <w:rFonts w:ascii="宋体" w:hAnsi="宋体"/>
          <w:kern w:val="0"/>
          <w:szCs w:val="21"/>
          <w:highlight w:val="none"/>
        </w:rPr>
        <w:t>；</w:t>
      </w:r>
    </w:p>
    <w:p w14:paraId="587C0754">
      <w:pPr>
        <w:spacing w:line="360" w:lineRule="auto"/>
        <w:ind w:firstLine="420" w:firstLineChars="200"/>
        <w:rPr>
          <w:rFonts w:ascii="宋体" w:hAnsi="宋体"/>
          <w:szCs w:val="21"/>
          <w:highlight w:val="none"/>
        </w:rPr>
      </w:pPr>
      <w:r>
        <w:rPr>
          <w:rFonts w:ascii="宋体" w:hAnsi="宋体"/>
          <w:kern w:val="0"/>
          <w:szCs w:val="21"/>
          <w:highlight w:val="none"/>
        </w:rPr>
        <w:t>采购人提供国外标准、规范的名称：</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无    </w:t>
      </w:r>
      <w:r>
        <w:rPr>
          <w:rFonts w:ascii="宋体" w:hAnsi="宋体"/>
          <w:kern w:val="0"/>
          <w:szCs w:val="21"/>
          <w:highlight w:val="none"/>
          <w:u w:val="single"/>
        </w:rPr>
        <w:t xml:space="preserve">       </w:t>
      </w:r>
      <w:r>
        <w:rPr>
          <w:rFonts w:ascii="宋体" w:hAnsi="宋体"/>
          <w:kern w:val="0"/>
          <w:szCs w:val="21"/>
          <w:highlight w:val="none"/>
        </w:rPr>
        <w:t>。</w:t>
      </w:r>
    </w:p>
    <w:p w14:paraId="61D00690">
      <w:pPr>
        <w:spacing w:line="360" w:lineRule="auto"/>
        <w:ind w:firstLine="420" w:firstLineChars="200"/>
        <w:rPr>
          <w:rFonts w:ascii="宋体" w:hAnsi="宋体"/>
          <w:szCs w:val="21"/>
          <w:highlight w:val="none"/>
        </w:rPr>
      </w:pPr>
      <w:r>
        <w:rPr>
          <w:rFonts w:ascii="宋体" w:hAnsi="宋体"/>
          <w:szCs w:val="21"/>
          <w:highlight w:val="none"/>
        </w:rPr>
        <w:t>1.4.3采购人对工程的技术标准和功能要求的特殊要求：</w:t>
      </w:r>
      <w:r>
        <w:rPr>
          <w:rFonts w:hint="eastAsia" w:ascii="宋体" w:hAnsi="宋体"/>
          <w:szCs w:val="21"/>
          <w:highlight w:val="none"/>
          <w:u w:val="single"/>
        </w:rPr>
        <w:t xml:space="preserve"> /    </w:t>
      </w:r>
      <w:r>
        <w:rPr>
          <w:rFonts w:ascii="宋体" w:hAnsi="宋体"/>
          <w:szCs w:val="21"/>
          <w:highlight w:val="none"/>
        </w:rPr>
        <w:t>。</w:t>
      </w:r>
    </w:p>
    <w:p w14:paraId="227E73CA">
      <w:pPr>
        <w:spacing w:line="360" w:lineRule="auto"/>
        <w:ind w:firstLine="420" w:firstLineChars="200"/>
        <w:rPr>
          <w:rFonts w:ascii="宋体" w:hAnsi="宋体"/>
          <w:szCs w:val="21"/>
          <w:highlight w:val="none"/>
        </w:rPr>
      </w:pPr>
      <w:r>
        <w:rPr>
          <w:rFonts w:ascii="宋体" w:hAnsi="宋体"/>
          <w:szCs w:val="21"/>
          <w:highlight w:val="none"/>
        </w:rPr>
        <w:t>1.5 合同文件的优先顺序</w:t>
      </w:r>
    </w:p>
    <w:p w14:paraId="20262A85">
      <w:pPr>
        <w:spacing w:line="360" w:lineRule="auto"/>
        <w:ind w:firstLine="420" w:firstLineChars="200"/>
        <w:rPr>
          <w:rFonts w:hint="eastAsia" w:ascii="宋体" w:hAnsi="宋体"/>
          <w:szCs w:val="21"/>
          <w:highlight w:val="none"/>
        </w:rPr>
      </w:pPr>
      <w:r>
        <w:rPr>
          <w:rFonts w:ascii="宋体" w:hAnsi="宋体"/>
          <w:szCs w:val="21"/>
          <w:highlight w:val="none"/>
        </w:rPr>
        <w:t>合同文件组成及优先顺序为：</w:t>
      </w:r>
      <w:r>
        <w:rPr>
          <w:rFonts w:hint="eastAsia" w:ascii="宋体" w:hAnsi="宋体"/>
          <w:szCs w:val="21"/>
          <w:highlight w:val="none"/>
          <w:u w:val="single"/>
        </w:rPr>
        <w:t>合同协议书、中标通知书、投标函及其附录、专用合同条款及其附件、通用合同条款、技术标准和要求、图纸、已标价工程量清单或预算书、招标文件及其补充文件、工程量清单等。</w:t>
      </w:r>
      <w:r>
        <w:rPr>
          <w:rFonts w:ascii="宋体" w:hAnsi="宋体"/>
          <w:szCs w:val="21"/>
          <w:highlight w:val="none"/>
          <w:u w:val="single"/>
        </w:rPr>
        <w:t>上述各项合同文件包括合同当事人就该项合同文件所作出的补充和修改，属于同一类内容的文件，应以最新签署的为准。</w:t>
      </w:r>
    </w:p>
    <w:p w14:paraId="27BA8243">
      <w:pPr>
        <w:spacing w:line="360" w:lineRule="auto"/>
        <w:ind w:firstLine="420" w:firstLineChars="200"/>
        <w:rPr>
          <w:rFonts w:ascii="宋体" w:hAnsi="宋体"/>
          <w:szCs w:val="21"/>
          <w:highlight w:val="none"/>
        </w:rPr>
      </w:pPr>
      <w:r>
        <w:rPr>
          <w:rFonts w:ascii="宋体" w:hAnsi="宋体"/>
          <w:szCs w:val="21"/>
          <w:highlight w:val="none"/>
        </w:rPr>
        <w:t>1.6 图纸和承包人文件</w:t>
      </w:r>
      <w:r>
        <w:rPr>
          <w:rFonts w:ascii="宋体" w:hAnsi="宋体"/>
          <w:szCs w:val="21"/>
          <w:highlight w:val="none"/>
        </w:rPr>
        <w:tab/>
      </w:r>
    </w:p>
    <w:p w14:paraId="7DE71B97">
      <w:pPr>
        <w:spacing w:line="360" w:lineRule="auto"/>
        <w:ind w:firstLine="420" w:firstLineChars="200"/>
        <w:rPr>
          <w:rFonts w:ascii="宋体" w:hAnsi="宋体"/>
          <w:szCs w:val="21"/>
          <w:highlight w:val="none"/>
        </w:rPr>
      </w:pPr>
      <w:r>
        <w:rPr>
          <w:rFonts w:ascii="宋体" w:hAnsi="宋体"/>
          <w:szCs w:val="21"/>
          <w:highlight w:val="none"/>
        </w:rPr>
        <w:t>1.6.1 图纸的提供</w:t>
      </w:r>
    </w:p>
    <w:p w14:paraId="4B3463AD">
      <w:pPr>
        <w:spacing w:line="360" w:lineRule="auto"/>
        <w:ind w:firstLine="420" w:firstLineChars="200"/>
        <w:rPr>
          <w:rFonts w:ascii="宋体" w:hAnsi="宋体"/>
          <w:szCs w:val="21"/>
          <w:highlight w:val="none"/>
        </w:rPr>
      </w:pPr>
      <w:r>
        <w:rPr>
          <w:rFonts w:ascii="宋体" w:hAnsi="宋体"/>
          <w:szCs w:val="21"/>
          <w:highlight w:val="none"/>
        </w:rPr>
        <w:t>采购人向承包人提供图纸的期限：</w:t>
      </w:r>
      <w:r>
        <w:rPr>
          <w:rFonts w:ascii="宋体" w:hAnsi="宋体"/>
          <w:szCs w:val="21"/>
          <w:highlight w:val="none"/>
          <w:u w:val="single"/>
        </w:rPr>
        <w:t></w:t>
      </w:r>
      <w:r>
        <w:rPr>
          <w:rFonts w:hint="eastAsia" w:ascii="宋体" w:hAnsi="宋体"/>
          <w:szCs w:val="21"/>
          <w:highlight w:val="none"/>
          <w:u w:val="single"/>
        </w:rPr>
        <w:t xml:space="preserve"> 签约后7日历天内   </w:t>
      </w:r>
      <w:r>
        <w:rPr>
          <w:rFonts w:ascii="宋体" w:hAnsi="宋体"/>
          <w:szCs w:val="21"/>
          <w:highlight w:val="none"/>
          <w:u w:val="single"/>
        </w:rPr>
        <w:t></w:t>
      </w:r>
      <w:r>
        <w:rPr>
          <w:rFonts w:ascii="宋体" w:hAnsi="宋体"/>
          <w:szCs w:val="21"/>
          <w:highlight w:val="none"/>
        </w:rPr>
        <w:t>；</w:t>
      </w:r>
    </w:p>
    <w:p w14:paraId="606D3822">
      <w:pPr>
        <w:spacing w:line="360" w:lineRule="auto"/>
        <w:ind w:firstLine="420" w:firstLineChars="200"/>
        <w:rPr>
          <w:rFonts w:ascii="宋体" w:hAnsi="宋体"/>
          <w:szCs w:val="21"/>
          <w:highlight w:val="none"/>
        </w:rPr>
      </w:pPr>
      <w:r>
        <w:rPr>
          <w:rFonts w:ascii="宋体" w:hAnsi="宋体"/>
          <w:szCs w:val="21"/>
          <w:highlight w:val="none"/>
        </w:rPr>
        <w:t>采购人向承包人提供图纸的数量：</w:t>
      </w:r>
      <w:r>
        <w:rPr>
          <w:rFonts w:hint="eastAsia" w:ascii="宋体" w:hAnsi="宋体"/>
          <w:szCs w:val="21"/>
          <w:highlight w:val="none"/>
          <w:u w:val="single"/>
        </w:rPr>
        <w:t xml:space="preserve">  7套（包括今后需要绘制竣工图的4套），施工过程中承包人要求增加图纸的，发包人应在承包人支付图纸复制工本费后提供承包人要求增加的图纸。使用标准图的，标准图由承包人负责提供，产生的费用由承包人承担</w:t>
      </w:r>
      <w:r>
        <w:rPr>
          <w:rFonts w:ascii="宋体" w:hAnsi="宋体"/>
          <w:szCs w:val="21"/>
          <w:highlight w:val="none"/>
        </w:rPr>
        <w:t>；</w:t>
      </w:r>
    </w:p>
    <w:p w14:paraId="051A0578">
      <w:pPr>
        <w:spacing w:line="360" w:lineRule="auto"/>
        <w:ind w:firstLine="420" w:firstLineChars="200"/>
        <w:rPr>
          <w:rFonts w:ascii="宋体" w:hAnsi="宋体"/>
          <w:szCs w:val="21"/>
          <w:highlight w:val="none"/>
        </w:rPr>
      </w:pPr>
      <w:r>
        <w:rPr>
          <w:rFonts w:ascii="宋体" w:hAnsi="宋体"/>
          <w:szCs w:val="21"/>
          <w:highlight w:val="none"/>
        </w:rPr>
        <w:t>采购人向承包人提供图纸的内容：</w:t>
      </w:r>
      <w:r>
        <w:rPr>
          <w:rFonts w:ascii="宋体" w:hAnsi="宋体"/>
          <w:szCs w:val="21"/>
          <w:highlight w:val="none"/>
          <w:u w:val="single"/>
        </w:rPr>
        <w:t></w:t>
      </w:r>
      <w:r>
        <w:rPr>
          <w:rFonts w:hint="eastAsia" w:ascii="宋体" w:hAnsi="宋体"/>
          <w:szCs w:val="21"/>
          <w:highlight w:val="none"/>
          <w:u w:val="single"/>
        </w:rPr>
        <w:t xml:space="preserve">施工图   </w:t>
      </w:r>
      <w:r>
        <w:rPr>
          <w:rFonts w:ascii="宋体" w:hAnsi="宋体"/>
          <w:szCs w:val="21"/>
          <w:highlight w:val="none"/>
          <w:u w:val="single"/>
        </w:rPr>
        <w:t></w:t>
      </w:r>
      <w:r>
        <w:rPr>
          <w:rFonts w:ascii="宋体" w:hAnsi="宋体"/>
          <w:szCs w:val="21"/>
          <w:highlight w:val="none"/>
        </w:rPr>
        <w:t>。</w:t>
      </w:r>
    </w:p>
    <w:p w14:paraId="73F8CAF1">
      <w:pPr>
        <w:spacing w:line="360" w:lineRule="auto"/>
        <w:ind w:firstLine="420" w:firstLineChars="200"/>
        <w:rPr>
          <w:rFonts w:ascii="宋体" w:hAnsi="宋体"/>
          <w:szCs w:val="21"/>
          <w:highlight w:val="none"/>
        </w:rPr>
      </w:pPr>
      <w:r>
        <w:rPr>
          <w:rFonts w:ascii="宋体" w:hAnsi="宋体"/>
          <w:szCs w:val="21"/>
          <w:highlight w:val="none"/>
        </w:rPr>
        <w:t>1.6.4 承包人文件</w:t>
      </w:r>
    </w:p>
    <w:p w14:paraId="3F4E3B78">
      <w:pPr>
        <w:spacing w:line="360" w:lineRule="auto"/>
        <w:ind w:firstLine="420" w:firstLineChars="200"/>
        <w:rPr>
          <w:rFonts w:hint="eastAsia" w:ascii="宋体" w:hAnsi="宋体"/>
          <w:szCs w:val="21"/>
          <w:highlight w:val="none"/>
        </w:rPr>
      </w:pPr>
      <w:r>
        <w:rPr>
          <w:rFonts w:ascii="宋体" w:hAnsi="宋体"/>
          <w:szCs w:val="21"/>
          <w:highlight w:val="none"/>
        </w:rPr>
        <w:t>需要由承包人提供的文件，包括：</w:t>
      </w:r>
      <w:r>
        <w:rPr>
          <w:rFonts w:hint="eastAsia" w:ascii="宋体" w:hAnsi="宋体"/>
          <w:szCs w:val="21"/>
          <w:highlight w:val="none"/>
          <w:u w:val="single"/>
        </w:rPr>
        <w:t>修正的施工组织设计、工程进度计划及专项施工方案；</w:t>
      </w:r>
    </w:p>
    <w:p w14:paraId="6C2B73C5">
      <w:pPr>
        <w:spacing w:line="360" w:lineRule="auto"/>
        <w:ind w:firstLine="420" w:firstLineChars="200"/>
        <w:rPr>
          <w:rFonts w:ascii="宋体" w:hAnsi="宋体"/>
          <w:szCs w:val="21"/>
          <w:highlight w:val="none"/>
        </w:rPr>
      </w:pPr>
      <w:r>
        <w:rPr>
          <w:rFonts w:ascii="宋体" w:hAnsi="宋体"/>
          <w:szCs w:val="21"/>
          <w:highlight w:val="none"/>
        </w:rPr>
        <w:t>承包人提供的文件的期限为：</w:t>
      </w:r>
      <w:r>
        <w:rPr>
          <w:rFonts w:ascii="宋体" w:hAnsi="宋体"/>
          <w:szCs w:val="21"/>
          <w:highlight w:val="none"/>
          <w:u w:val="single"/>
        </w:rPr>
        <w:t></w:t>
      </w:r>
      <w:r>
        <w:rPr>
          <w:rFonts w:hint="eastAsia" w:ascii="宋体" w:hAnsi="宋体"/>
          <w:szCs w:val="21"/>
          <w:highlight w:val="none"/>
          <w:u w:val="single"/>
        </w:rPr>
        <w:t xml:space="preserve">        签订合同后一周内           </w:t>
      </w:r>
      <w:r>
        <w:rPr>
          <w:rFonts w:ascii="宋体" w:hAnsi="宋体"/>
          <w:szCs w:val="21"/>
          <w:highlight w:val="none"/>
        </w:rPr>
        <w:t>；</w:t>
      </w:r>
    </w:p>
    <w:p w14:paraId="78BA64CA">
      <w:pPr>
        <w:spacing w:line="360" w:lineRule="auto"/>
        <w:ind w:firstLine="420" w:firstLineChars="200"/>
        <w:rPr>
          <w:rFonts w:ascii="宋体" w:hAnsi="宋体"/>
          <w:szCs w:val="21"/>
          <w:highlight w:val="none"/>
        </w:rPr>
      </w:pPr>
      <w:r>
        <w:rPr>
          <w:rFonts w:ascii="宋体" w:hAnsi="宋体"/>
          <w:szCs w:val="21"/>
          <w:highlight w:val="none"/>
        </w:rPr>
        <w:t>承包人提供的文件的数量为：</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szCs w:val="21"/>
          <w:highlight w:val="none"/>
          <w:u w:val="single"/>
        </w:rPr>
        <w:t xml:space="preserve">4份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w:t>
      </w:r>
      <w:r>
        <w:rPr>
          <w:rFonts w:ascii="宋体" w:hAnsi="宋体"/>
          <w:szCs w:val="21"/>
          <w:highlight w:val="none"/>
        </w:rPr>
        <w:t>；</w:t>
      </w:r>
    </w:p>
    <w:p w14:paraId="5537DCBE">
      <w:pPr>
        <w:spacing w:line="360" w:lineRule="auto"/>
        <w:ind w:firstLine="420" w:firstLineChars="200"/>
        <w:rPr>
          <w:rFonts w:ascii="宋体" w:hAnsi="宋体"/>
          <w:szCs w:val="21"/>
          <w:highlight w:val="none"/>
        </w:rPr>
      </w:pPr>
      <w:r>
        <w:rPr>
          <w:rFonts w:ascii="宋体" w:hAnsi="宋体"/>
          <w:szCs w:val="21"/>
          <w:highlight w:val="none"/>
        </w:rPr>
        <w:t>承包人提供的文件的形式为：</w:t>
      </w:r>
      <w:r>
        <w:rPr>
          <w:rFonts w:ascii="宋体" w:hAnsi="宋体"/>
          <w:szCs w:val="21"/>
          <w:highlight w:val="none"/>
          <w:u w:val="single"/>
        </w:rPr>
        <w:t></w:t>
      </w:r>
      <w:r>
        <w:rPr>
          <w:rFonts w:hint="eastAsia" w:ascii="宋体" w:hAnsi="宋体"/>
          <w:szCs w:val="21"/>
          <w:highlight w:val="none"/>
          <w:u w:val="single"/>
        </w:rPr>
        <w:t>纸质文件3份，电子文件1份</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rPr>
        <w:t>；</w:t>
      </w:r>
    </w:p>
    <w:p w14:paraId="70462476">
      <w:pPr>
        <w:spacing w:line="360" w:lineRule="auto"/>
        <w:ind w:firstLine="420" w:firstLineChars="200"/>
        <w:rPr>
          <w:rFonts w:ascii="宋体" w:hAnsi="宋体"/>
          <w:szCs w:val="21"/>
          <w:highlight w:val="none"/>
        </w:rPr>
      </w:pPr>
      <w:r>
        <w:rPr>
          <w:rFonts w:ascii="宋体" w:hAnsi="宋体"/>
          <w:szCs w:val="21"/>
          <w:highlight w:val="none"/>
        </w:rPr>
        <w:t>采购人</w:t>
      </w:r>
      <w:r>
        <w:rPr>
          <w:rFonts w:hint="eastAsia" w:ascii="宋体" w:hAnsi="宋体"/>
          <w:szCs w:val="21"/>
          <w:highlight w:val="none"/>
        </w:rPr>
        <w:t>审批</w:t>
      </w:r>
      <w:r>
        <w:rPr>
          <w:rFonts w:ascii="宋体" w:hAnsi="宋体"/>
          <w:szCs w:val="21"/>
          <w:highlight w:val="none"/>
        </w:rPr>
        <w:t>承包人文件的期限：</w:t>
      </w:r>
      <w:r>
        <w:rPr>
          <w:rFonts w:ascii="宋体" w:hAnsi="宋体"/>
          <w:szCs w:val="21"/>
          <w:highlight w:val="none"/>
          <w:u w:val="single"/>
        </w:rPr>
        <w:t></w:t>
      </w:r>
      <w:r>
        <w:rPr>
          <w:rFonts w:hint="eastAsia" w:ascii="宋体" w:hAnsi="宋体"/>
          <w:szCs w:val="21"/>
          <w:highlight w:val="none"/>
          <w:u w:val="single"/>
        </w:rPr>
        <w:t xml:space="preserve">收到文件后10日内   </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w:t>
      </w:r>
      <w:r>
        <w:rPr>
          <w:rFonts w:ascii="宋体" w:hAnsi="宋体"/>
          <w:szCs w:val="21"/>
          <w:highlight w:val="none"/>
        </w:rPr>
        <w:t>。</w:t>
      </w:r>
    </w:p>
    <w:p w14:paraId="3DADBE08">
      <w:pPr>
        <w:spacing w:line="360" w:lineRule="auto"/>
        <w:ind w:firstLine="420" w:firstLineChars="200"/>
        <w:rPr>
          <w:rFonts w:ascii="宋体" w:hAnsi="宋体"/>
          <w:szCs w:val="21"/>
          <w:highlight w:val="none"/>
        </w:rPr>
      </w:pPr>
      <w:r>
        <w:rPr>
          <w:rFonts w:ascii="宋体" w:hAnsi="宋体"/>
          <w:szCs w:val="21"/>
          <w:highlight w:val="none"/>
        </w:rPr>
        <w:t>1.6.5 现场图纸准备</w:t>
      </w:r>
    </w:p>
    <w:p w14:paraId="1B1E4670">
      <w:pPr>
        <w:spacing w:line="360" w:lineRule="auto"/>
        <w:ind w:firstLine="420" w:firstLineChars="200"/>
        <w:rPr>
          <w:rFonts w:ascii="宋体" w:hAnsi="宋体"/>
          <w:szCs w:val="21"/>
          <w:highlight w:val="none"/>
        </w:rPr>
      </w:pPr>
      <w:r>
        <w:rPr>
          <w:rFonts w:ascii="宋体" w:hAnsi="宋体"/>
          <w:szCs w:val="21"/>
          <w:highlight w:val="none"/>
        </w:rPr>
        <w:t>关于现场图纸准备的约定：</w:t>
      </w:r>
      <w:r>
        <w:rPr>
          <w:rFonts w:ascii="宋体" w:hAnsi="宋体"/>
          <w:szCs w:val="21"/>
          <w:highlight w:val="none"/>
          <w:u w:val="single"/>
        </w:rPr>
        <w:t>承包人应在施工现场另外保存一套完整的图纸和承包人文件，供采购人、监理人及有关人员进行工程检查时使用</w:t>
      </w:r>
      <w:r>
        <w:rPr>
          <w:rFonts w:ascii="宋体" w:hAnsi="宋体"/>
          <w:szCs w:val="21"/>
          <w:highlight w:val="none"/>
        </w:rPr>
        <w:t>。</w:t>
      </w:r>
    </w:p>
    <w:p w14:paraId="19FF6949">
      <w:pPr>
        <w:spacing w:line="360" w:lineRule="auto"/>
        <w:ind w:firstLine="420" w:firstLineChars="200"/>
        <w:rPr>
          <w:rFonts w:ascii="宋体" w:hAnsi="宋体"/>
          <w:szCs w:val="21"/>
          <w:highlight w:val="none"/>
        </w:rPr>
      </w:pPr>
      <w:r>
        <w:rPr>
          <w:rFonts w:ascii="宋体" w:hAnsi="宋体"/>
          <w:szCs w:val="21"/>
          <w:highlight w:val="none"/>
        </w:rPr>
        <w:t>1.7 联络</w:t>
      </w:r>
    </w:p>
    <w:p w14:paraId="6C78E49F">
      <w:pPr>
        <w:spacing w:line="360" w:lineRule="auto"/>
        <w:ind w:firstLine="420" w:firstLineChars="200"/>
        <w:rPr>
          <w:rFonts w:hint="eastAsia" w:ascii="宋体" w:hAnsi="宋体"/>
          <w:kern w:val="0"/>
          <w:szCs w:val="21"/>
          <w:highlight w:val="none"/>
        </w:rPr>
      </w:pPr>
      <w:r>
        <w:rPr>
          <w:rFonts w:ascii="宋体" w:hAnsi="宋体"/>
          <w:kern w:val="0"/>
          <w:szCs w:val="21"/>
          <w:highlight w:val="none"/>
        </w:rPr>
        <w:t>1.7.1采购人和承包人应当在</w:t>
      </w:r>
      <w:r>
        <w:rPr>
          <w:rFonts w:ascii="宋体" w:hAnsi="宋体"/>
          <w:szCs w:val="21"/>
          <w:highlight w:val="none"/>
          <w:u w:val="single"/>
        </w:rPr>
        <w:t></w:t>
      </w:r>
      <w:r>
        <w:rPr>
          <w:rFonts w:hint="eastAsia" w:ascii="宋体" w:hAnsi="宋体"/>
          <w:szCs w:val="21"/>
          <w:highlight w:val="none"/>
          <w:u w:val="single"/>
        </w:rPr>
        <w:t xml:space="preserve"> 7</w:t>
      </w:r>
      <w:r>
        <w:rPr>
          <w:rFonts w:ascii="宋体" w:hAnsi="宋体"/>
          <w:szCs w:val="21"/>
          <w:highlight w:val="none"/>
          <w:u w:val="single"/>
        </w:rPr>
        <w:t xml:space="preserve">   </w:t>
      </w:r>
      <w:r>
        <w:rPr>
          <w:rFonts w:ascii="宋体" w:hAnsi="宋体"/>
          <w:kern w:val="0"/>
          <w:szCs w:val="21"/>
          <w:highlight w:val="none"/>
        </w:rPr>
        <w:t>天内将与合同有关的通知、批准、证明、证书、指示、指令、要求、请求、同意、意见、确定和决定等书面函件送达对方当事人</w:t>
      </w:r>
      <w:r>
        <w:rPr>
          <w:rFonts w:hint="eastAsia" w:ascii="宋体" w:hAnsi="宋体"/>
          <w:kern w:val="0"/>
          <w:szCs w:val="21"/>
          <w:highlight w:val="none"/>
        </w:rPr>
        <w:t>。</w:t>
      </w:r>
    </w:p>
    <w:p w14:paraId="116BB9C5">
      <w:pPr>
        <w:spacing w:line="360" w:lineRule="auto"/>
        <w:ind w:firstLine="420" w:firstLineChars="200"/>
        <w:rPr>
          <w:rFonts w:ascii="宋体" w:hAnsi="宋体"/>
          <w:kern w:val="0"/>
          <w:szCs w:val="21"/>
          <w:highlight w:val="none"/>
        </w:rPr>
      </w:pPr>
      <w:r>
        <w:rPr>
          <w:rFonts w:ascii="宋体" w:hAnsi="宋体"/>
          <w:kern w:val="0"/>
          <w:szCs w:val="21"/>
          <w:highlight w:val="none"/>
        </w:rPr>
        <w:t>1.7.2 采购人接收文件的地点：</w:t>
      </w:r>
      <w:r>
        <w:rPr>
          <w:rFonts w:ascii="宋体" w:hAnsi="宋体"/>
          <w:szCs w:val="21"/>
          <w:highlight w:val="none"/>
          <w:u w:val="single"/>
        </w:rPr>
        <w:t></w:t>
      </w:r>
      <w:r>
        <w:rPr>
          <w:rFonts w:hint="eastAsia" w:ascii="宋体" w:hAnsi="宋体"/>
          <w:szCs w:val="21"/>
          <w:highlight w:val="none"/>
          <w:u w:val="single"/>
        </w:rPr>
        <w:t xml:space="preserve">采购人单位            </w:t>
      </w:r>
      <w:r>
        <w:rPr>
          <w:rFonts w:ascii="宋体" w:hAnsi="宋体"/>
          <w:kern w:val="0"/>
          <w:szCs w:val="21"/>
          <w:highlight w:val="none"/>
        </w:rPr>
        <w:t>；</w:t>
      </w:r>
    </w:p>
    <w:p w14:paraId="6B9092A3">
      <w:pPr>
        <w:spacing w:line="360" w:lineRule="auto"/>
        <w:ind w:firstLine="420" w:firstLineChars="200"/>
        <w:rPr>
          <w:rFonts w:hint="eastAsia" w:ascii="宋体" w:hAnsi="宋体"/>
          <w:kern w:val="0"/>
          <w:szCs w:val="21"/>
          <w:highlight w:val="none"/>
        </w:rPr>
      </w:pPr>
      <w:r>
        <w:rPr>
          <w:rFonts w:ascii="宋体" w:hAnsi="宋体"/>
          <w:kern w:val="0"/>
          <w:szCs w:val="21"/>
          <w:highlight w:val="none"/>
        </w:rPr>
        <w:t>采购人指定的接收人为：</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kern w:val="0"/>
          <w:szCs w:val="21"/>
          <w:highlight w:val="none"/>
        </w:rPr>
        <w:t>；</w:t>
      </w:r>
    </w:p>
    <w:p w14:paraId="3C3C2CCB">
      <w:pPr>
        <w:spacing w:line="360" w:lineRule="auto"/>
        <w:ind w:firstLine="420" w:firstLineChars="200"/>
        <w:rPr>
          <w:rFonts w:ascii="宋体" w:hAnsi="宋体"/>
          <w:kern w:val="0"/>
          <w:szCs w:val="21"/>
          <w:highlight w:val="none"/>
        </w:rPr>
      </w:pPr>
      <w:r>
        <w:rPr>
          <w:rFonts w:ascii="宋体" w:hAnsi="宋体"/>
          <w:kern w:val="0"/>
          <w:szCs w:val="21"/>
          <w:highlight w:val="none"/>
        </w:rPr>
        <w:t>承包人接收文件的地点：</w:t>
      </w:r>
      <w:r>
        <w:rPr>
          <w:rFonts w:ascii="宋体" w:hAnsi="宋体"/>
          <w:szCs w:val="21"/>
          <w:highlight w:val="none"/>
          <w:u w:val="single"/>
        </w:rPr>
        <w:t></w:t>
      </w:r>
      <w:r>
        <w:rPr>
          <w:rFonts w:hint="eastAsia" w:ascii="宋体" w:hAnsi="宋体"/>
          <w:szCs w:val="21"/>
          <w:highlight w:val="none"/>
          <w:u w:val="single"/>
        </w:rPr>
        <w:t>根据需要由双方协商确定</w:t>
      </w:r>
      <w:r>
        <w:rPr>
          <w:rFonts w:ascii="宋体" w:hAnsi="宋体"/>
          <w:szCs w:val="21"/>
          <w:highlight w:val="none"/>
          <w:u w:val="single"/>
        </w:rPr>
        <w:t></w:t>
      </w:r>
      <w:r>
        <w:rPr>
          <w:rFonts w:ascii="宋体" w:hAnsi="宋体"/>
          <w:kern w:val="0"/>
          <w:szCs w:val="21"/>
          <w:highlight w:val="none"/>
        </w:rPr>
        <w:t>；</w:t>
      </w:r>
    </w:p>
    <w:p w14:paraId="613DF459">
      <w:pPr>
        <w:spacing w:line="360" w:lineRule="auto"/>
        <w:ind w:firstLine="420" w:firstLineChars="200"/>
        <w:rPr>
          <w:rFonts w:ascii="宋体" w:hAnsi="宋体"/>
          <w:kern w:val="0"/>
          <w:szCs w:val="21"/>
          <w:highlight w:val="none"/>
        </w:rPr>
      </w:pPr>
      <w:r>
        <w:rPr>
          <w:rFonts w:ascii="宋体" w:hAnsi="宋体"/>
          <w:kern w:val="0"/>
          <w:szCs w:val="21"/>
          <w:highlight w:val="none"/>
        </w:rPr>
        <w:t>承包人指定的接收人为：</w:t>
      </w:r>
      <w:r>
        <w:rPr>
          <w:rFonts w:ascii="宋体" w:hAnsi="宋体"/>
          <w:szCs w:val="21"/>
          <w:highlight w:val="none"/>
          <w:u w:val="single"/>
        </w:rPr>
        <w:t></w:t>
      </w:r>
      <w:r>
        <w:rPr>
          <w:rFonts w:hint="eastAsia" w:ascii="宋体" w:hAnsi="宋体"/>
          <w:szCs w:val="21"/>
          <w:highlight w:val="none"/>
          <w:u w:val="single"/>
        </w:rPr>
        <w:t>根据需要由双方协商确定</w:t>
      </w:r>
      <w:r>
        <w:rPr>
          <w:rFonts w:ascii="宋体" w:hAnsi="宋体"/>
          <w:szCs w:val="21"/>
          <w:highlight w:val="none"/>
          <w:u w:val="single"/>
        </w:rPr>
        <w:t></w:t>
      </w:r>
      <w:r>
        <w:rPr>
          <w:rFonts w:ascii="宋体" w:hAnsi="宋体"/>
          <w:kern w:val="0"/>
          <w:szCs w:val="21"/>
          <w:highlight w:val="none"/>
        </w:rPr>
        <w:t>。</w:t>
      </w:r>
    </w:p>
    <w:p w14:paraId="1980EC2D">
      <w:pPr>
        <w:spacing w:line="360" w:lineRule="auto"/>
        <w:ind w:firstLine="420" w:firstLineChars="200"/>
        <w:rPr>
          <w:rFonts w:ascii="宋体" w:hAnsi="宋体"/>
          <w:kern w:val="0"/>
          <w:szCs w:val="21"/>
          <w:highlight w:val="none"/>
        </w:rPr>
      </w:pPr>
      <w:r>
        <w:rPr>
          <w:rFonts w:ascii="宋体" w:hAnsi="宋体"/>
          <w:kern w:val="0"/>
          <w:szCs w:val="21"/>
          <w:highlight w:val="none"/>
        </w:rPr>
        <w:t>监理人接收文件的地点：</w:t>
      </w:r>
      <w:r>
        <w:rPr>
          <w:rFonts w:ascii="宋体" w:hAnsi="宋体"/>
          <w:szCs w:val="21"/>
          <w:highlight w:val="none"/>
          <w:u w:val="single"/>
        </w:rPr>
        <w:t></w:t>
      </w:r>
      <w:r>
        <w:rPr>
          <w:rFonts w:hint="eastAsia" w:ascii="宋体" w:hAnsi="宋体"/>
          <w:szCs w:val="21"/>
          <w:highlight w:val="none"/>
          <w:u w:val="single"/>
        </w:rPr>
        <w:t xml:space="preserve">根据需要由双方协商确定  </w:t>
      </w:r>
      <w:r>
        <w:rPr>
          <w:rFonts w:ascii="宋体" w:hAnsi="宋体"/>
          <w:szCs w:val="21"/>
          <w:highlight w:val="none"/>
          <w:u w:val="single"/>
        </w:rPr>
        <w:t></w:t>
      </w:r>
      <w:r>
        <w:rPr>
          <w:rFonts w:ascii="宋体" w:hAnsi="宋体"/>
          <w:kern w:val="0"/>
          <w:szCs w:val="21"/>
          <w:highlight w:val="none"/>
        </w:rPr>
        <w:t>；</w:t>
      </w:r>
    </w:p>
    <w:p w14:paraId="3C1F2CBE">
      <w:pPr>
        <w:spacing w:line="360" w:lineRule="auto"/>
        <w:ind w:firstLine="420" w:firstLineChars="200"/>
        <w:rPr>
          <w:rFonts w:ascii="宋体" w:hAnsi="宋体"/>
          <w:kern w:val="0"/>
          <w:szCs w:val="21"/>
          <w:highlight w:val="none"/>
        </w:rPr>
      </w:pPr>
      <w:r>
        <w:rPr>
          <w:rFonts w:ascii="宋体" w:hAnsi="宋体"/>
          <w:kern w:val="0"/>
          <w:szCs w:val="21"/>
          <w:highlight w:val="none"/>
        </w:rPr>
        <w:t>监理人指定的接收人为：</w:t>
      </w:r>
      <w:r>
        <w:rPr>
          <w:rFonts w:ascii="宋体" w:hAnsi="宋体"/>
          <w:szCs w:val="21"/>
          <w:highlight w:val="none"/>
          <w:u w:val="single"/>
        </w:rPr>
        <w:t></w:t>
      </w:r>
      <w:r>
        <w:rPr>
          <w:rFonts w:hint="eastAsia" w:ascii="宋体" w:hAnsi="宋体"/>
          <w:szCs w:val="21"/>
          <w:highlight w:val="none"/>
          <w:u w:val="single"/>
        </w:rPr>
        <w:t xml:space="preserve">根据需要由双方协商确定  </w:t>
      </w:r>
      <w:r>
        <w:rPr>
          <w:rFonts w:ascii="宋体" w:hAnsi="宋体"/>
          <w:szCs w:val="21"/>
          <w:highlight w:val="none"/>
          <w:u w:val="single"/>
        </w:rPr>
        <w:t></w:t>
      </w:r>
      <w:r>
        <w:rPr>
          <w:rFonts w:ascii="宋体" w:hAnsi="宋体"/>
          <w:kern w:val="0"/>
          <w:szCs w:val="21"/>
          <w:highlight w:val="none"/>
        </w:rPr>
        <w:t>。</w:t>
      </w:r>
    </w:p>
    <w:p w14:paraId="4F6FFB76">
      <w:pPr>
        <w:spacing w:line="360" w:lineRule="auto"/>
        <w:ind w:firstLine="420" w:firstLineChars="200"/>
        <w:rPr>
          <w:rFonts w:ascii="宋体" w:hAnsi="宋体"/>
          <w:szCs w:val="21"/>
          <w:highlight w:val="none"/>
        </w:rPr>
      </w:pPr>
      <w:r>
        <w:rPr>
          <w:rFonts w:ascii="宋体" w:hAnsi="宋体"/>
          <w:szCs w:val="21"/>
          <w:highlight w:val="none"/>
        </w:rPr>
        <w:t>1.10 交通运输</w:t>
      </w:r>
    </w:p>
    <w:p w14:paraId="65E7F815">
      <w:pPr>
        <w:spacing w:line="360" w:lineRule="auto"/>
        <w:ind w:firstLine="420" w:firstLineChars="200"/>
        <w:rPr>
          <w:rFonts w:ascii="宋体" w:hAnsi="宋体"/>
          <w:szCs w:val="21"/>
          <w:highlight w:val="none"/>
        </w:rPr>
      </w:pPr>
      <w:r>
        <w:rPr>
          <w:rFonts w:ascii="宋体" w:hAnsi="宋体"/>
          <w:szCs w:val="21"/>
          <w:highlight w:val="none"/>
        </w:rPr>
        <w:t>1</w:t>
      </w:r>
      <w:bookmarkStart w:id="110" w:name="_Toc304295521"/>
      <w:bookmarkStart w:id="111" w:name="_Toc312677986"/>
      <w:bookmarkStart w:id="112" w:name="_Toc318581155"/>
      <w:bookmarkStart w:id="113" w:name="_Toc300934943"/>
      <w:bookmarkStart w:id="114" w:name="_Toc303539100"/>
      <w:r>
        <w:rPr>
          <w:rFonts w:ascii="宋体" w:hAnsi="宋体"/>
          <w:szCs w:val="21"/>
          <w:highlight w:val="none"/>
        </w:rPr>
        <w:t>.10.1 出入现场的权利</w:t>
      </w:r>
    </w:p>
    <w:p w14:paraId="682241CA">
      <w:pPr>
        <w:spacing w:line="360" w:lineRule="auto"/>
        <w:ind w:firstLine="420" w:firstLineChars="200"/>
        <w:rPr>
          <w:rFonts w:ascii="宋体" w:hAnsi="宋体"/>
          <w:szCs w:val="21"/>
          <w:highlight w:val="none"/>
        </w:rPr>
      </w:pPr>
      <w:r>
        <w:rPr>
          <w:rFonts w:ascii="宋体" w:hAnsi="宋体"/>
          <w:szCs w:val="21"/>
          <w:highlight w:val="none"/>
        </w:rPr>
        <w:t>关于出入现场的权利的约定：</w:t>
      </w:r>
      <w:r>
        <w:rPr>
          <w:rFonts w:ascii="宋体" w:hAnsi="宋体"/>
          <w:szCs w:val="21"/>
          <w:highlight w:val="none"/>
          <w:u w:val="single"/>
        </w:rPr>
        <w:t></w:t>
      </w:r>
      <w:r>
        <w:rPr>
          <w:rFonts w:hint="eastAsia" w:ascii="宋体" w:hAnsi="宋体"/>
          <w:szCs w:val="21"/>
          <w:highlight w:val="none"/>
          <w:u w:val="single"/>
        </w:rPr>
        <w:t xml:space="preserve">按通用条款  </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w:t>
      </w:r>
      <w:r>
        <w:rPr>
          <w:rFonts w:ascii="宋体" w:hAnsi="宋体"/>
          <w:szCs w:val="21"/>
          <w:highlight w:val="none"/>
        </w:rPr>
        <w:t>。</w:t>
      </w:r>
    </w:p>
    <w:bookmarkEnd w:id="110"/>
    <w:bookmarkEnd w:id="111"/>
    <w:bookmarkEnd w:id="112"/>
    <w:bookmarkEnd w:id="113"/>
    <w:bookmarkEnd w:id="114"/>
    <w:p w14:paraId="4686A5BA">
      <w:pPr>
        <w:spacing w:line="360" w:lineRule="auto"/>
        <w:ind w:firstLine="420" w:firstLineChars="200"/>
        <w:rPr>
          <w:rFonts w:ascii="宋体" w:hAnsi="宋体"/>
          <w:szCs w:val="21"/>
          <w:highlight w:val="none"/>
        </w:rPr>
      </w:pPr>
      <w:r>
        <w:rPr>
          <w:rFonts w:ascii="宋体" w:hAnsi="宋体"/>
          <w:szCs w:val="21"/>
          <w:highlight w:val="none"/>
        </w:rPr>
        <w:t>1</w:t>
      </w:r>
      <w:bookmarkStart w:id="115" w:name="_Toc312677987"/>
      <w:bookmarkStart w:id="116" w:name="_Toc318581156"/>
      <w:bookmarkStart w:id="117" w:name="_Toc300934944"/>
      <w:bookmarkStart w:id="118" w:name="_Toc303539101"/>
      <w:bookmarkStart w:id="119" w:name="_Toc304295522"/>
      <w:r>
        <w:rPr>
          <w:rFonts w:ascii="宋体" w:hAnsi="宋体"/>
          <w:szCs w:val="21"/>
          <w:highlight w:val="none"/>
        </w:rPr>
        <w:t>.10.3 场内交通</w:t>
      </w:r>
    </w:p>
    <w:p w14:paraId="390150F0">
      <w:pPr>
        <w:spacing w:line="360" w:lineRule="auto"/>
        <w:ind w:firstLine="420" w:firstLineChars="200"/>
        <w:rPr>
          <w:rFonts w:ascii="宋体" w:hAnsi="宋体"/>
          <w:kern w:val="0"/>
          <w:szCs w:val="21"/>
          <w:highlight w:val="none"/>
        </w:rPr>
      </w:pPr>
      <w:r>
        <w:rPr>
          <w:rFonts w:ascii="宋体" w:hAnsi="宋体"/>
          <w:kern w:val="0"/>
          <w:szCs w:val="21"/>
          <w:highlight w:val="none"/>
        </w:rPr>
        <w:t>关于场外交通和场内交通的边界的约定：</w:t>
      </w:r>
      <w:r>
        <w:rPr>
          <w:rFonts w:ascii="宋体" w:hAnsi="宋体"/>
          <w:szCs w:val="21"/>
          <w:highlight w:val="none"/>
          <w:u w:val="single"/>
        </w:rPr>
        <w:t></w:t>
      </w:r>
      <w:r>
        <w:rPr>
          <w:rFonts w:hint="eastAsia" w:ascii="宋体" w:hAnsi="宋体"/>
          <w:szCs w:val="21"/>
          <w:highlight w:val="none"/>
          <w:u w:val="single"/>
        </w:rPr>
        <w:t xml:space="preserve">本项目的用地红线      </w:t>
      </w:r>
      <w:r>
        <w:rPr>
          <w:rFonts w:ascii="宋体" w:hAnsi="宋体"/>
          <w:szCs w:val="21"/>
          <w:highlight w:val="none"/>
          <w:u w:val="single"/>
        </w:rPr>
        <w:t></w:t>
      </w:r>
      <w:r>
        <w:rPr>
          <w:rFonts w:ascii="宋体" w:hAnsi="宋体"/>
          <w:szCs w:val="21"/>
          <w:highlight w:val="none"/>
        </w:rPr>
        <w:t>。</w:t>
      </w:r>
    </w:p>
    <w:p w14:paraId="57F6D30C">
      <w:pPr>
        <w:spacing w:line="360" w:lineRule="auto"/>
        <w:ind w:firstLine="420" w:firstLineChars="200"/>
        <w:rPr>
          <w:rFonts w:ascii="宋体" w:hAnsi="宋体"/>
          <w:szCs w:val="21"/>
          <w:highlight w:val="none"/>
        </w:rPr>
      </w:pPr>
      <w:r>
        <w:rPr>
          <w:rFonts w:ascii="宋体" w:hAnsi="宋体"/>
          <w:szCs w:val="21"/>
          <w:highlight w:val="none"/>
        </w:rPr>
        <w:t>关于采购人向承包人免费提供满足工程施工需要的场内道路和交通设施的约定：</w:t>
      </w:r>
      <w:r>
        <w:rPr>
          <w:rFonts w:ascii="宋体" w:hAnsi="宋体"/>
          <w:szCs w:val="21"/>
          <w:highlight w:val="none"/>
          <w:u w:val="single"/>
        </w:rPr>
        <w:t></w:t>
      </w:r>
      <w:r>
        <w:rPr>
          <w:rFonts w:hint="eastAsia" w:ascii="宋体" w:hAnsi="宋体"/>
          <w:szCs w:val="21"/>
          <w:highlight w:val="none"/>
          <w:u w:val="single"/>
        </w:rPr>
        <w:t>/</w:t>
      </w:r>
      <w:r>
        <w:rPr>
          <w:rFonts w:ascii="宋体" w:hAnsi="宋体"/>
          <w:szCs w:val="21"/>
          <w:highlight w:val="none"/>
          <w:u w:val="single"/>
        </w:rPr>
        <w:t></w:t>
      </w:r>
      <w:r>
        <w:rPr>
          <w:rFonts w:ascii="宋体" w:hAnsi="宋体"/>
          <w:szCs w:val="21"/>
          <w:highlight w:val="none"/>
        </w:rPr>
        <w:t>。</w:t>
      </w:r>
      <w:bookmarkEnd w:id="115"/>
      <w:bookmarkEnd w:id="116"/>
      <w:bookmarkEnd w:id="117"/>
      <w:bookmarkEnd w:id="118"/>
      <w:bookmarkEnd w:id="119"/>
      <w:r>
        <w:rPr>
          <w:rFonts w:ascii="宋体" w:hAnsi="宋体"/>
          <w:szCs w:val="21"/>
          <w:highlight w:val="none"/>
        </w:rPr>
        <w:t xml:space="preserve">  </w:t>
      </w:r>
      <w:bookmarkStart w:id="120" w:name="_Toc318581157"/>
    </w:p>
    <w:p w14:paraId="4FAAFC73">
      <w:pPr>
        <w:spacing w:line="360" w:lineRule="auto"/>
        <w:ind w:firstLine="420" w:firstLineChars="200"/>
        <w:rPr>
          <w:rFonts w:ascii="宋体" w:hAnsi="宋体"/>
          <w:szCs w:val="21"/>
          <w:highlight w:val="none"/>
        </w:rPr>
      </w:pPr>
      <w:r>
        <w:rPr>
          <w:rFonts w:ascii="宋体" w:hAnsi="宋体"/>
          <w:szCs w:val="21"/>
          <w:highlight w:val="none"/>
        </w:rPr>
        <w:t>1.10.4超大件和超重件的运输</w:t>
      </w:r>
    </w:p>
    <w:p w14:paraId="22B4B2C8">
      <w:pPr>
        <w:spacing w:line="360" w:lineRule="auto"/>
        <w:ind w:firstLine="420" w:firstLineChars="200"/>
        <w:rPr>
          <w:rFonts w:ascii="宋体" w:hAnsi="宋体"/>
          <w:szCs w:val="21"/>
          <w:highlight w:val="none"/>
        </w:rPr>
      </w:pPr>
      <w:r>
        <w:rPr>
          <w:rFonts w:ascii="宋体" w:hAnsi="宋体"/>
          <w:szCs w:val="21"/>
          <w:highlight w:val="none"/>
        </w:rPr>
        <w:t>运输超大件或超重件所需的道路和桥梁临时加固改造费用和其他有关费用由</w:t>
      </w:r>
      <w:r>
        <w:rPr>
          <w:rFonts w:ascii="宋体" w:hAnsi="宋体"/>
          <w:szCs w:val="21"/>
          <w:highlight w:val="none"/>
          <w:u w:val="single"/>
        </w:rPr>
        <w:t xml:space="preserve">  </w:t>
      </w:r>
      <w:r>
        <w:rPr>
          <w:rFonts w:hint="eastAsia" w:ascii="宋体" w:hAnsi="宋体"/>
          <w:szCs w:val="21"/>
          <w:highlight w:val="none"/>
          <w:u w:val="single"/>
        </w:rPr>
        <w:t>承包人</w:t>
      </w:r>
      <w:r>
        <w:rPr>
          <w:rFonts w:ascii="宋体" w:hAnsi="宋体"/>
          <w:szCs w:val="21"/>
          <w:highlight w:val="none"/>
          <w:u w:val="single"/>
        </w:rPr>
        <w:t xml:space="preserve">  </w:t>
      </w:r>
      <w:r>
        <w:rPr>
          <w:rFonts w:ascii="宋体" w:hAnsi="宋体"/>
          <w:szCs w:val="21"/>
          <w:highlight w:val="none"/>
        </w:rPr>
        <w:t>承担。</w:t>
      </w:r>
    </w:p>
    <w:bookmarkEnd w:id="120"/>
    <w:p w14:paraId="26BE4627">
      <w:pPr>
        <w:spacing w:line="360" w:lineRule="auto"/>
        <w:ind w:firstLine="420" w:firstLineChars="200"/>
        <w:rPr>
          <w:rFonts w:ascii="宋体" w:hAnsi="宋体"/>
          <w:szCs w:val="21"/>
          <w:highlight w:val="none"/>
        </w:rPr>
      </w:pPr>
      <w:r>
        <w:rPr>
          <w:rFonts w:ascii="宋体" w:hAnsi="宋体"/>
          <w:szCs w:val="21"/>
          <w:highlight w:val="none"/>
        </w:rPr>
        <w:t>1.11 知识产权</w:t>
      </w:r>
    </w:p>
    <w:p w14:paraId="40FC5B02">
      <w:pPr>
        <w:spacing w:line="360" w:lineRule="auto"/>
        <w:ind w:firstLine="420" w:firstLineChars="200"/>
        <w:rPr>
          <w:rFonts w:ascii="宋体" w:hAnsi="宋体"/>
          <w:szCs w:val="21"/>
          <w:highlight w:val="none"/>
        </w:rPr>
      </w:pPr>
      <w:r>
        <w:rPr>
          <w:rFonts w:ascii="宋体" w:hAnsi="宋体"/>
          <w:szCs w:val="21"/>
          <w:highlight w:val="none"/>
        </w:rPr>
        <w:t>1.11.1关于采购人提供给承包人的图纸、采购人为实施工程自行编制或委托编制的技术规范以及反映采购人关于合同要求或其他类似性质的文件的著作权的归属：</w:t>
      </w:r>
      <w:r>
        <w:rPr>
          <w:rFonts w:hint="eastAsia" w:ascii="宋体" w:hAnsi="宋体"/>
          <w:szCs w:val="21"/>
          <w:highlight w:val="none"/>
          <w:u w:val="single"/>
        </w:rPr>
        <w:t>按通用条款</w:t>
      </w:r>
      <w:r>
        <w:rPr>
          <w:rFonts w:ascii="宋体" w:hAnsi="宋体"/>
          <w:szCs w:val="21"/>
          <w:highlight w:val="none"/>
        </w:rPr>
        <w:t>。</w:t>
      </w:r>
    </w:p>
    <w:p w14:paraId="02F19B22">
      <w:pPr>
        <w:spacing w:line="360" w:lineRule="auto"/>
        <w:ind w:firstLine="420" w:firstLineChars="200"/>
        <w:rPr>
          <w:rFonts w:ascii="宋体" w:hAnsi="宋体"/>
          <w:szCs w:val="21"/>
          <w:highlight w:val="none"/>
        </w:rPr>
      </w:pPr>
      <w:r>
        <w:rPr>
          <w:rFonts w:ascii="宋体" w:hAnsi="宋体"/>
          <w:szCs w:val="21"/>
          <w:highlight w:val="none"/>
        </w:rPr>
        <w:t>关于采购人提供的上述文件的使用限制的要求：</w:t>
      </w:r>
      <w:r>
        <w:rPr>
          <w:rFonts w:ascii="宋体" w:hAnsi="宋体"/>
          <w:szCs w:val="21"/>
          <w:highlight w:val="none"/>
          <w:u w:val="single"/>
        </w:rPr>
        <w:t xml:space="preserve">   </w:t>
      </w:r>
      <w:r>
        <w:rPr>
          <w:rFonts w:hint="eastAsia" w:ascii="宋体" w:hAnsi="宋体"/>
          <w:szCs w:val="21"/>
          <w:highlight w:val="none"/>
          <w:u w:val="single"/>
        </w:rPr>
        <w:t xml:space="preserve"> 按通用条款</w:t>
      </w:r>
      <w:r>
        <w:rPr>
          <w:rFonts w:ascii="宋体" w:hAnsi="宋体"/>
          <w:szCs w:val="21"/>
          <w:highlight w:val="none"/>
          <w:u w:val="single"/>
        </w:rPr>
        <w:t xml:space="preserve">    </w:t>
      </w:r>
      <w:r>
        <w:rPr>
          <w:rFonts w:ascii="宋体" w:hAnsi="宋体"/>
          <w:szCs w:val="21"/>
          <w:highlight w:val="none"/>
        </w:rPr>
        <w:t>。</w:t>
      </w:r>
    </w:p>
    <w:p w14:paraId="6D721B95">
      <w:pPr>
        <w:spacing w:line="360" w:lineRule="auto"/>
        <w:ind w:firstLine="420" w:firstLineChars="200"/>
        <w:rPr>
          <w:rFonts w:ascii="宋体" w:hAnsi="宋体"/>
          <w:szCs w:val="21"/>
          <w:highlight w:val="none"/>
        </w:rPr>
      </w:pPr>
      <w:r>
        <w:rPr>
          <w:rFonts w:ascii="宋体" w:hAnsi="宋体"/>
          <w:szCs w:val="21"/>
          <w:highlight w:val="none"/>
        </w:rPr>
        <w:t>1.11.2 关于承包人为实施工程所编制文件的著作权的归属：</w:t>
      </w:r>
      <w:r>
        <w:rPr>
          <w:rFonts w:hint="eastAsia" w:ascii="宋体" w:hAnsi="宋体"/>
          <w:szCs w:val="21"/>
          <w:highlight w:val="none"/>
          <w:u w:val="single"/>
        </w:rPr>
        <w:t>按通用条款</w:t>
      </w:r>
      <w:r>
        <w:rPr>
          <w:rFonts w:ascii="宋体" w:hAnsi="宋体"/>
          <w:szCs w:val="21"/>
          <w:highlight w:val="none"/>
          <w:u w:val="single"/>
        </w:rPr>
        <w:t></w:t>
      </w:r>
      <w:r>
        <w:rPr>
          <w:rFonts w:ascii="宋体" w:hAnsi="宋体"/>
          <w:szCs w:val="21"/>
          <w:highlight w:val="none"/>
        </w:rPr>
        <w:t>。</w:t>
      </w:r>
    </w:p>
    <w:p w14:paraId="69D38A97">
      <w:pPr>
        <w:spacing w:line="360" w:lineRule="auto"/>
        <w:ind w:firstLine="420" w:firstLineChars="200"/>
        <w:rPr>
          <w:rFonts w:ascii="宋体" w:hAnsi="宋体"/>
          <w:szCs w:val="21"/>
          <w:highlight w:val="none"/>
          <w:u w:val="single"/>
        </w:rPr>
      </w:pPr>
      <w:r>
        <w:rPr>
          <w:rFonts w:ascii="宋体" w:hAnsi="宋体"/>
          <w:szCs w:val="21"/>
          <w:highlight w:val="none"/>
        </w:rPr>
        <w:t>关于承包人提供的上述文件的使用限制的要求：</w:t>
      </w:r>
      <w:r>
        <w:rPr>
          <w:rFonts w:ascii="宋体" w:hAnsi="宋体"/>
          <w:szCs w:val="21"/>
          <w:highlight w:val="none"/>
          <w:u w:val="single"/>
        </w:rPr>
        <w:t></w:t>
      </w:r>
      <w:r>
        <w:rPr>
          <w:rFonts w:hint="eastAsia" w:ascii="宋体" w:hAnsi="宋体"/>
          <w:szCs w:val="21"/>
          <w:highlight w:val="none"/>
          <w:u w:val="single"/>
        </w:rPr>
        <w:t xml:space="preserve">按通用条款  </w:t>
      </w:r>
      <w:r>
        <w:rPr>
          <w:rFonts w:ascii="宋体" w:hAnsi="宋体"/>
          <w:szCs w:val="21"/>
          <w:highlight w:val="none"/>
        </w:rPr>
        <w:t>。</w:t>
      </w:r>
    </w:p>
    <w:p w14:paraId="01113432">
      <w:pPr>
        <w:spacing w:line="360" w:lineRule="auto"/>
        <w:ind w:firstLine="420" w:firstLineChars="200"/>
        <w:rPr>
          <w:rFonts w:ascii="宋体" w:hAnsi="宋体"/>
          <w:kern w:val="0"/>
          <w:szCs w:val="21"/>
          <w:highlight w:val="none"/>
        </w:rPr>
      </w:pPr>
      <w:r>
        <w:rPr>
          <w:rFonts w:ascii="宋体" w:hAnsi="宋体"/>
          <w:szCs w:val="21"/>
          <w:highlight w:val="none"/>
        </w:rPr>
        <w:t>1.11.4 承包人在施工过程中所采用的专利、专有技术、技术秘密的使用费的承担方式：</w:t>
      </w:r>
      <w:r>
        <w:rPr>
          <w:rFonts w:ascii="宋体" w:hAnsi="宋体"/>
          <w:szCs w:val="21"/>
          <w:highlight w:val="none"/>
          <w:u w:val="single"/>
        </w:rPr>
        <w:t></w:t>
      </w:r>
      <w:r>
        <w:rPr>
          <w:rFonts w:hint="eastAsia" w:ascii="宋体" w:hAnsi="宋体"/>
          <w:szCs w:val="21"/>
          <w:highlight w:val="none"/>
          <w:u w:val="single"/>
        </w:rPr>
        <w:t>按通用条款</w:t>
      </w:r>
      <w:r>
        <w:rPr>
          <w:rFonts w:ascii="宋体" w:hAnsi="宋体"/>
          <w:szCs w:val="21"/>
          <w:highlight w:val="none"/>
          <w:u w:val="single"/>
        </w:rPr>
        <w:t xml:space="preserve">   </w:t>
      </w:r>
      <w:r>
        <w:rPr>
          <w:rFonts w:ascii="宋体" w:hAnsi="宋体"/>
          <w:kern w:val="0"/>
          <w:szCs w:val="21"/>
          <w:highlight w:val="none"/>
        </w:rPr>
        <w:t>。</w:t>
      </w:r>
    </w:p>
    <w:p w14:paraId="3476D1D2">
      <w:pPr>
        <w:spacing w:line="360" w:lineRule="auto"/>
        <w:ind w:firstLine="420" w:firstLineChars="200"/>
        <w:rPr>
          <w:rFonts w:ascii="宋体" w:hAnsi="宋体"/>
          <w:szCs w:val="21"/>
          <w:highlight w:val="none"/>
        </w:rPr>
      </w:pPr>
      <w:r>
        <w:rPr>
          <w:rFonts w:ascii="宋体" w:hAnsi="宋体"/>
          <w:szCs w:val="21"/>
          <w:highlight w:val="none"/>
        </w:rPr>
        <w:t>1.13工程量清单错误的修正</w:t>
      </w:r>
    </w:p>
    <w:p w14:paraId="5357F0FC">
      <w:pPr>
        <w:spacing w:line="360" w:lineRule="auto"/>
        <w:ind w:firstLine="420" w:firstLineChars="200"/>
        <w:rPr>
          <w:rFonts w:ascii="宋体" w:hAnsi="宋体"/>
          <w:szCs w:val="21"/>
          <w:highlight w:val="none"/>
        </w:rPr>
      </w:pPr>
      <w:r>
        <w:rPr>
          <w:rFonts w:hint="eastAsia" w:ascii="宋体" w:hAnsi="宋体"/>
          <w:szCs w:val="21"/>
          <w:highlight w:val="none"/>
        </w:rPr>
        <w:t>出现工程量清单错误时，是否调整合同价格：</w:t>
      </w:r>
      <w:r>
        <w:rPr>
          <w:rFonts w:ascii="宋体" w:hAnsi="宋体"/>
          <w:szCs w:val="21"/>
          <w:highlight w:val="none"/>
          <w:u w:val="single"/>
        </w:rPr>
        <w:t xml:space="preserve"> </w:t>
      </w:r>
      <w:r>
        <w:rPr>
          <w:rFonts w:hint="eastAsia" w:ascii="宋体" w:hAnsi="宋体"/>
          <w:szCs w:val="21"/>
          <w:highlight w:val="none"/>
          <w:u w:val="single"/>
        </w:rPr>
        <w:t xml:space="preserve"> 调整，但施工过程中不予调整</w:t>
      </w:r>
      <w:r>
        <w:rPr>
          <w:rFonts w:ascii="宋体" w:hAnsi="宋体"/>
          <w:szCs w:val="21"/>
          <w:highlight w:val="none"/>
          <w:u w:val="single"/>
        </w:rPr>
        <w:t xml:space="preserve">  </w:t>
      </w:r>
      <w:r>
        <w:rPr>
          <w:rFonts w:ascii="宋体" w:hAnsi="宋体"/>
          <w:kern w:val="0"/>
          <w:szCs w:val="21"/>
          <w:highlight w:val="none"/>
        </w:rPr>
        <w:t>。</w:t>
      </w:r>
    </w:p>
    <w:p w14:paraId="1F633FC2">
      <w:pPr>
        <w:spacing w:line="480" w:lineRule="exact"/>
        <w:ind w:firstLine="420" w:firstLineChars="200"/>
        <w:rPr>
          <w:rFonts w:hint="eastAsia" w:ascii="宋体" w:hAnsi="宋体"/>
          <w:szCs w:val="21"/>
          <w:highlight w:val="none"/>
          <w:u w:val="single"/>
        </w:rPr>
      </w:pPr>
      <w:r>
        <w:rPr>
          <w:rFonts w:ascii="宋体" w:hAnsi="宋体"/>
          <w:szCs w:val="21"/>
          <w:highlight w:val="none"/>
        </w:rPr>
        <w:t>允许调整合同价格的工程量偏差范围：</w:t>
      </w:r>
      <w:r>
        <w:rPr>
          <w:rFonts w:hint="eastAsia" w:ascii="宋体" w:hAnsi="宋体"/>
          <w:szCs w:val="21"/>
          <w:highlight w:val="none"/>
          <w:u w:val="single"/>
        </w:rPr>
        <w:t xml:space="preserve">  竣工结算时，结算工程量根据《建设工程工程量清单计价规范》（GB50500-2013）、竣工资料（包括竣工图、设计变更图纸、设计变更联系单、采购人认可的签证单、补充性文件）等按实结算（合同明确固定包干内容除外）。</w:t>
      </w:r>
    </w:p>
    <w:p w14:paraId="643815E4">
      <w:pPr>
        <w:spacing w:line="360" w:lineRule="auto"/>
        <w:ind w:firstLine="422" w:firstLineChars="200"/>
        <w:rPr>
          <w:rFonts w:ascii="宋体" w:hAnsi="宋体"/>
          <w:b/>
          <w:szCs w:val="21"/>
          <w:highlight w:val="none"/>
        </w:rPr>
      </w:pPr>
      <w:bookmarkStart w:id="121" w:name="_Toc351203634"/>
      <w:r>
        <w:rPr>
          <w:rFonts w:ascii="宋体" w:hAnsi="宋体"/>
          <w:b/>
          <w:szCs w:val="21"/>
          <w:highlight w:val="none"/>
        </w:rPr>
        <w:t>2</w:t>
      </w:r>
      <w:bookmarkStart w:id="122" w:name="_Toc296891197"/>
      <w:bookmarkStart w:id="123" w:name="_Toc296890985"/>
      <w:bookmarkStart w:id="124" w:name="_Toc292559362"/>
      <w:bookmarkStart w:id="125" w:name="_Toc296944496"/>
      <w:bookmarkStart w:id="126" w:name="_Toc296503157"/>
      <w:bookmarkStart w:id="127" w:name="_Toc297048343"/>
      <w:bookmarkStart w:id="128" w:name="_Toc296347156"/>
      <w:bookmarkStart w:id="129" w:name="_Toc292559867"/>
      <w:bookmarkStart w:id="130" w:name="_Toc297120457"/>
      <w:bookmarkStart w:id="131" w:name="_Toc296346658"/>
      <w:r>
        <w:rPr>
          <w:rFonts w:ascii="宋体" w:hAnsi="宋体"/>
          <w:b/>
          <w:szCs w:val="21"/>
          <w:highlight w:val="none"/>
        </w:rPr>
        <w:t>. 采购人</w:t>
      </w:r>
      <w:bookmarkEnd w:id="121"/>
    </w:p>
    <w:bookmarkEnd w:id="122"/>
    <w:bookmarkEnd w:id="123"/>
    <w:bookmarkEnd w:id="124"/>
    <w:bookmarkEnd w:id="125"/>
    <w:bookmarkEnd w:id="126"/>
    <w:bookmarkEnd w:id="127"/>
    <w:bookmarkEnd w:id="128"/>
    <w:bookmarkEnd w:id="129"/>
    <w:bookmarkEnd w:id="130"/>
    <w:bookmarkEnd w:id="131"/>
    <w:p w14:paraId="6B21CA13">
      <w:pPr>
        <w:spacing w:line="360" w:lineRule="auto"/>
        <w:ind w:firstLine="420" w:firstLineChars="200"/>
        <w:rPr>
          <w:rFonts w:ascii="宋体" w:hAnsi="宋体"/>
          <w:szCs w:val="21"/>
          <w:highlight w:val="none"/>
        </w:rPr>
      </w:pPr>
      <w:r>
        <w:rPr>
          <w:rFonts w:ascii="宋体" w:hAnsi="宋体"/>
          <w:szCs w:val="21"/>
          <w:highlight w:val="none"/>
        </w:rPr>
        <w:t>2.2 采购人代表</w:t>
      </w:r>
    </w:p>
    <w:p w14:paraId="7A6A7750">
      <w:pPr>
        <w:spacing w:line="360" w:lineRule="auto"/>
        <w:ind w:firstLine="420" w:firstLineChars="200"/>
        <w:rPr>
          <w:rFonts w:ascii="宋体" w:hAnsi="宋体"/>
          <w:szCs w:val="21"/>
          <w:highlight w:val="none"/>
        </w:rPr>
      </w:pPr>
      <w:r>
        <w:rPr>
          <w:rFonts w:ascii="宋体" w:hAnsi="宋体"/>
          <w:szCs w:val="21"/>
          <w:highlight w:val="none"/>
        </w:rPr>
        <w:t>采购人代表：</w:t>
      </w:r>
    </w:p>
    <w:p w14:paraId="49051C1C">
      <w:pPr>
        <w:spacing w:line="360" w:lineRule="auto"/>
        <w:ind w:firstLine="420" w:firstLineChars="200"/>
        <w:rPr>
          <w:rFonts w:ascii="宋体" w:hAnsi="宋体"/>
          <w:szCs w:val="21"/>
          <w:highlight w:val="none"/>
        </w:rPr>
      </w:pPr>
      <w:r>
        <w:rPr>
          <w:rFonts w:ascii="宋体" w:hAnsi="宋体"/>
          <w:szCs w:val="21"/>
          <w:highlight w:val="none"/>
        </w:rPr>
        <w:t>姓    名：</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w:t>
      </w:r>
      <w:r>
        <w:rPr>
          <w:rFonts w:ascii="宋体" w:hAnsi="宋体"/>
          <w:szCs w:val="21"/>
          <w:highlight w:val="none"/>
        </w:rPr>
        <w:t>；</w:t>
      </w:r>
    </w:p>
    <w:p w14:paraId="615CA54A">
      <w:pPr>
        <w:spacing w:line="360" w:lineRule="auto"/>
        <w:ind w:firstLine="420" w:firstLineChars="200"/>
        <w:rPr>
          <w:rFonts w:ascii="宋体" w:hAnsi="宋体"/>
          <w:szCs w:val="21"/>
          <w:highlight w:val="none"/>
        </w:rPr>
      </w:pPr>
      <w:r>
        <w:rPr>
          <w:rFonts w:ascii="宋体" w:hAnsi="宋体"/>
          <w:szCs w:val="21"/>
          <w:highlight w:val="none"/>
        </w:rPr>
        <w:t>身份证号：</w:t>
      </w:r>
      <w:r>
        <w:rPr>
          <w:rFonts w:ascii="宋体" w:hAnsi="宋体"/>
          <w:szCs w:val="21"/>
          <w:highlight w:val="none"/>
          <w:u w:val="single"/>
        </w:rPr>
        <w:t xml:space="preserve">   </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1DD9B4B4">
      <w:pPr>
        <w:spacing w:line="360" w:lineRule="auto"/>
        <w:ind w:firstLine="420" w:firstLineChars="200"/>
        <w:rPr>
          <w:rFonts w:ascii="宋体" w:hAnsi="宋体"/>
          <w:szCs w:val="21"/>
          <w:highlight w:val="none"/>
        </w:rPr>
      </w:pPr>
      <w:r>
        <w:rPr>
          <w:rFonts w:ascii="宋体" w:hAnsi="宋体"/>
          <w:szCs w:val="21"/>
          <w:highlight w:val="none"/>
        </w:rPr>
        <w:t>职    务：</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w:t>
      </w:r>
    </w:p>
    <w:p w14:paraId="4E4BD7B1">
      <w:pPr>
        <w:spacing w:line="360" w:lineRule="auto"/>
        <w:ind w:firstLine="420" w:firstLineChars="200"/>
        <w:rPr>
          <w:rFonts w:ascii="宋体" w:hAnsi="宋体"/>
          <w:szCs w:val="21"/>
          <w:highlight w:val="none"/>
        </w:rPr>
      </w:pPr>
      <w:r>
        <w:rPr>
          <w:rFonts w:ascii="宋体" w:hAnsi="宋体"/>
          <w:szCs w:val="21"/>
          <w:highlight w:val="none"/>
        </w:rPr>
        <w:t>联系电话：</w:t>
      </w:r>
      <w:r>
        <w:rPr>
          <w:rFonts w:ascii="宋体" w:hAnsi="宋体"/>
          <w:szCs w:val="21"/>
          <w:highlight w:val="none"/>
          <w:u w:val="single"/>
        </w:rPr>
        <w:t>   </w:t>
      </w:r>
      <w:r>
        <w:rPr>
          <w:rFonts w:hint="eastAsia" w:ascii="宋体" w:hAnsi="宋体"/>
          <w:szCs w:val="21"/>
          <w:highlight w:val="none"/>
          <w:u w:val="single"/>
        </w:rPr>
        <w:t xml:space="preserve"> </w:t>
      </w:r>
      <w:r>
        <w:rPr>
          <w:rFonts w:ascii="宋体" w:hAnsi="宋体"/>
          <w:szCs w:val="21"/>
          <w:highlight w:val="none"/>
          <w:u w:val="single"/>
        </w:rPr>
        <w:t></w:t>
      </w:r>
      <w:r>
        <w:rPr>
          <w:rFonts w:ascii="宋体" w:hAnsi="宋体"/>
          <w:szCs w:val="21"/>
          <w:highlight w:val="none"/>
        </w:rPr>
        <w:t>；</w:t>
      </w:r>
    </w:p>
    <w:p w14:paraId="44F3A216">
      <w:pPr>
        <w:spacing w:line="360" w:lineRule="auto"/>
        <w:ind w:firstLine="420" w:firstLineChars="200"/>
        <w:rPr>
          <w:rFonts w:ascii="宋体" w:hAnsi="宋体"/>
          <w:szCs w:val="21"/>
          <w:highlight w:val="none"/>
        </w:rPr>
      </w:pPr>
      <w:r>
        <w:rPr>
          <w:rFonts w:ascii="宋体" w:hAnsi="宋体"/>
          <w:szCs w:val="21"/>
          <w:highlight w:val="none"/>
        </w:rPr>
        <w:t>电子信箱：</w:t>
      </w:r>
      <w:r>
        <w:rPr>
          <w:rFonts w:ascii="宋体" w:hAnsi="宋体"/>
          <w:szCs w:val="21"/>
          <w:highlight w:val="none"/>
          <w:u w:val="single"/>
        </w:rPr>
        <w:t>   </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 </w:t>
      </w:r>
      <w:r>
        <w:rPr>
          <w:rFonts w:ascii="宋体" w:hAnsi="宋体"/>
          <w:szCs w:val="21"/>
          <w:highlight w:val="none"/>
        </w:rPr>
        <w:t>；</w:t>
      </w:r>
    </w:p>
    <w:p w14:paraId="1398578E">
      <w:pPr>
        <w:spacing w:line="360" w:lineRule="auto"/>
        <w:ind w:firstLine="420" w:firstLineChars="200"/>
        <w:rPr>
          <w:rFonts w:ascii="宋体" w:hAnsi="宋体"/>
          <w:szCs w:val="21"/>
          <w:highlight w:val="none"/>
        </w:rPr>
      </w:pPr>
      <w:r>
        <w:rPr>
          <w:rFonts w:ascii="宋体" w:hAnsi="宋体"/>
          <w:szCs w:val="21"/>
          <w:highlight w:val="none"/>
        </w:rPr>
        <w:t>通信地址：</w:t>
      </w:r>
      <w:r>
        <w:rPr>
          <w:rFonts w:hint="eastAsia" w:ascii="宋体" w:hAnsi="宋体"/>
          <w:szCs w:val="21"/>
          <w:highlight w:val="none"/>
          <w:u w:val="single"/>
        </w:rPr>
        <w:t xml:space="preserve">                                 </w:t>
      </w:r>
      <w:r>
        <w:rPr>
          <w:rFonts w:ascii="宋体" w:hAnsi="宋体"/>
          <w:szCs w:val="21"/>
          <w:highlight w:val="none"/>
        </w:rPr>
        <w:t>。</w:t>
      </w:r>
    </w:p>
    <w:p w14:paraId="1F942BD9">
      <w:pPr>
        <w:spacing w:line="360" w:lineRule="auto"/>
        <w:ind w:firstLine="420" w:firstLineChars="200"/>
        <w:rPr>
          <w:rFonts w:ascii="宋体" w:hAnsi="宋体"/>
          <w:b/>
          <w:szCs w:val="21"/>
          <w:highlight w:val="none"/>
        </w:rPr>
      </w:pPr>
      <w:r>
        <w:rPr>
          <w:rFonts w:ascii="宋体" w:hAnsi="宋体"/>
          <w:szCs w:val="21"/>
          <w:highlight w:val="none"/>
        </w:rPr>
        <w:t>采购人对采购人代表的授权范围如下：</w:t>
      </w:r>
      <w:r>
        <w:rPr>
          <w:rFonts w:hint="eastAsia" w:ascii="宋体" w:hAnsi="宋体"/>
          <w:szCs w:val="21"/>
          <w:highlight w:val="none"/>
          <w:u w:val="single"/>
        </w:rPr>
        <w:t>代表采购人行使工程现场管理的协调，对任何作为结算价款调整依据的工期、工程变更、签证单进行审核确认</w:t>
      </w:r>
      <w:r>
        <w:rPr>
          <w:rFonts w:ascii="宋体" w:hAnsi="宋体"/>
          <w:szCs w:val="21"/>
          <w:highlight w:val="none"/>
        </w:rPr>
        <w:t>。</w:t>
      </w:r>
    </w:p>
    <w:p w14:paraId="216BDEC0">
      <w:pPr>
        <w:spacing w:line="360" w:lineRule="auto"/>
        <w:ind w:firstLine="420" w:firstLineChars="200"/>
        <w:rPr>
          <w:rFonts w:ascii="宋体" w:hAnsi="宋体"/>
          <w:szCs w:val="21"/>
          <w:highlight w:val="none"/>
        </w:rPr>
      </w:pPr>
      <w:r>
        <w:rPr>
          <w:rFonts w:ascii="宋体" w:hAnsi="宋体"/>
          <w:szCs w:val="21"/>
          <w:highlight w:val="none"/>
        </w:rPr>
        <w:t>2.4 施工现场、施工条件和基础资料的提供</w:t>
      </w:r>
    </w:p>
    <w:p w14:paraId="5DC45166">
      <w:pPr>
        <w:spacing w:line="360" w:lineRule="auto"/>
        <w:ind w:firstLine="420" w:firstLineChars="200"/>
        <w:rPr>
          <w:rFonts w:ascii="宋体" w:hAnsi="宋体"/>
          <w:szCs w:val="21"/>
          <w:highlight w:val="none"/>
        </w:rPr>
      </w:pPr>
      <w:r>
        <w:rPr>
          <w:rFonts w:ascii="宋体" w:hAnsi="宋体"/>
          <w:szCs w:val="21"/>
          <w:highlight w:val="none"/>
        </w:rPr>
        <w:t>2.4.1 提供施工现场</w:t>
      </w:r>
    </w:p>
    <w:p w14:paraId="28E76A83">
      <w:pPr>
        <w:spacing w:line="360" w:lineRule="auto"/>
        <w:ind w:firstLine="420" w:firstLineChars="200"/>
        <w:rPr>
          <w:rFonts w:ascii="宋体" w:hAnsi="宋体"/>
          <w:szCs w:val="21"/>
          <w:highlight w:val="none"/>
        </w:rPr>
      </w:pPr>
      <w:r>
        <w:rPr>
          <w:rFonts w:ascii="宋体" w:hAnsi="宋体"/>
          <w:szCs w:val="21"/>
          <w:highlight w:val="none"/>
        </w:rPr>
        <w:t>关于采购人移交施工现场的期限要求：</w:t>
      </w:r>
      <w:r>
        <w:rPr>
          <w:rFonts w:ascii="宋体" w:hAnsi="宋体"/>
          <w:szCs w:val="21"/>
          <w:highlight w:val="none"/>
          <w:u w:val="single"/>
        </w:rPr>
        <w:t></w:t>
      </w:r>
      <w:r>
        <w:rPr>
          <w:rFonts w:hint="eastAsia" w:ascii="宋体" w:hAnsi="宋体"/>
          <w:szCs w:val="21"/>
          <w:highlight w:val="none"/>
          <w:u w:val="single"/>
        </w:rPr>
        <w:t>根据需要由双方协商确定</w:t>
      </w:r>
      <w:r>
        <w:rPr>
          <w:rFonts w:ascii="宋体" w:hAnsi="宋体"/>
          <w:szCs w:val="21"/>
          <w:highlight w:val="none"/>
          <w:u w:val="single"/>
        </w:rPr>
        <w:t xml:space="preserve">   </w:t>
      </w:r>
      <w:r>
        <w:rPr>
          <w:rFonts w:ascii="宋体" w:hAnsi="宋体"/>
          <w:szCs w:val="21"/>
          <w:highlight w:val="none"/>
        </w:rPr>
        <w:t>。</w:t>
      </w:r>
    </w:p>
    <w:p w14:paraId="438F5349">
      <w:pPr>
        <w:spacing w:line="360" w:lineRule="auto"/>
        <w:ind w:firstLine="420" w:firstLineChars="200"/>
        <w:rPr>
          <w:rFonts w:ascii="宋体" w:hAnsi="宋体"/>
          <w:szCs w:val="21"/>
          <w:highlight w:val="none"/>
        </w:rPr>
      </w:pPr>
      <w:r>
        <w:rPr>
          <w:rFonts w:ascii="宋体" w:hAnsi="宋体"/>
          <w:szCs w:val="21"/>
          <w:highlight w:val="none"/>
        </w:rPr>
        <w:t>2.4.2 提供施工条件</w:t>
      </w:r>
    </w:p>
    <w:p w14:paraId="1281FE6D">
      <w:pPr>
        <w:spacing w:line="360" w:lineRule="auto"/>
        <w:ind w:firstLine="420" w:firstLineChars="200"/>
        <w:rPr>
          <w:rFonts w:hint="eastAsia" w:ascii="宋体" w:hAnsi="宋体"/>
          <w:szCs w:val="21"/>
          <w:highlight w:val="none"/>
        </w:rPr>
      </w:pPr>
      <w:r>
        <w:rPr>
          <w:rFonts w:ascii="宋体" w:hAnsi="宋体"/>
          <w:szCs w:val="21"/>
          <w:highlight w:val="none"/>
        </w:rPr>
        <w:t>关于采购人应负责提供施工</w:t>
      </w:r>
      <w:r>
        <w:rPr>
          <w:rFonts w:hint="eastAsia" w:ascii="宋体" w:hAnsi="宋体"/>
          <w:szCs w:val="21"/>
          <w:highlight w:val="none"/>
        </w:rPr>
        <w:t>所需要的条件，</w:t>
      </w:r>
      <w:r>
        <w:rPr>
          <w:rFonts w:ascii="宋体" w:hAnsi="宋体"/>
          <w:szCs w:val="21"/>
          <w:highlight w:val="none"/>
        </w:rPr>
        <w:t>包括：</w:t>
      </w:r>
    </w:p>
    <w:p w14:paraId="63B266C9">
      <w:pPr>
        <w:spacing w:line="360" w:lineRule="auto"/>
        <w:ind w:firstLine="420" w:firstLineChars="200"/>
        <w:rPr>
          <w:rFonts w:hint="eastAsia" w:ascii="宋体" w:hAnsi="宋体"/>
          <w:szCs w:val="21"/>
          <w:highlight w:val="none"/>
          <w:u w:val="single"/>
        </w:rPr>
      </w:pPr>
      <w:r>
        <w:rPr>
          <w:rFonts w:hint="eastAsia" w:ascii="宋体" w:hAnsi="宋体"/>
          <w:szCs w:val="21"/>
          <w:highlight w:val="none"/>
        </w:rPr>
        <w:t>（1）施工场地具备施工条件的要求及完成的时间：</w:t>
      </w:r>
      <w:r>
        <w:rPr>
          <w:rFonts w:hint="eastAsia" w:ascii="宋体" w:hAnsi="宋体"/>
          <w:szCs w:val="21"/>
          <w:highlight w:val="none"/>
          <w:u w:val="single"/>
        </w:rPr>
        <w:t>施工现场已具备开工条件，有关进场准备的工作，由承包人根据本工程施工要求在开工前做好此项工程，费用已含在承包人的投标报价中。</w:t>
      </w:r>
    </w:p>
    <w:p w14:paraId="3CD054F5">
      <w:pPr>
        <w:spacing w:line="360" w:lineRule="auto"/>
        <w:ind w:firstLine="420" w:firstLineChars="200"/>
        <w:rPr>
          <w:rFonts w:hint="eastAsia" w:ascii="宋体" w:hAnsi="宋体"/>
          <w:szCs w:val="21"/>
          <w:highlight w:val="none"/>
          <w:u w:val="single"/>
        </w:rPr>
      </w:pPr>
      <w:r>
        <w:rPr>
          <w:rFonts w:hint="eastAsia" w:ascii="宋体" w:hAnsi="宋体"/>
          <w:szCs w:val="21"/>
          <w:highlight w:val="none"/>
        </w:rPr>
        <w:t>（2）将施工所需的水、电、电讯线路接至施工现场的时间、地点和供应要求：</w:t>
      </w:r>
      <w:r>
        <w:rPr>
          <w:rFonts w:hint="eastAsia" w:ascii="宋体" w:hAnsi="宋体"/>
          <w:b/>
          <w:bCs/>
          <w:szCs w:val="21"/>
          <w:highlight w:val="none"/>
          <w:u w:val="single"/>
        </w:rPr>
        <w:t>水源、电源接入点位置由采购人指定（临时水、电具体位置以采购人最终提供的接入点为准。请各投标单位在投标时充分考虑此因素，所发生的费用在磋商报价中综合考虑，今后不另增加费用），从接入点至施工现场使用点的管线费用等计入磋商报价，水、电费用由投标单位根据市场行情及自身情况自行确定计入报价。施工时施工用水、电费用由承包人按中标价的1‰直接支付给建设单位，在工程款中扣回。投标单位应充分考虑停电因素，因停电而造成自发电费用应包含在磋商报价中，同时工期不得顺延。承包人在施工中如遇用电量不足时，由承包人自行发电解决，费用在磋商报价时自行考虑，今后不另增加。</w:t>
      </w:r>
    </w:p>
    <w:p w14:paraId="478DCE55">
      <w:pPr>
        <w:spacing w:line="360" w:lineRule="auto"/>
        <w:ind w:firstLine="420" w:firstLineChars="200"/>
        <w:rPr>
          <w:rFonts w:hint="eastAsia" w:ascii="宋体" w:hAnsi="宋体"/>
          <w:szCs w:val="21"/>
          <w:highlight w:val="none"/>
          <w:u w:val="single"/>
        </w:rPr>
      </w:pPr>
      <w:r>
        <w:rPr>
          <w:rFonts w:hint="eastAsia" w:ascii="宋体" w:hAnsi="宋体"/>
          <w:szCs w:val="21"/>
          <w:highlight w:val="none"/>
        </w:rPr>
        <w:t>（3）施工现场与公共道路的通道开通时间和要求：</w:t>
      </w:r>
      <w:r>
        <w:rPr>
          <w:rFonts w:hint="eastAsia" w:ascii="宋体" w:hAnsi="宋体"/>
          <w:szCs w:val="21"/>
          <w:highlight w:val="none"/>
          <w:u w:val="single"/>
        </w:rPr>
        <w:t xml:space="preserve">施工临时道路由承包人自费解决，费用已计入投标报价。 </w:t>
      </w:r>
    </w:p>
    <w:p w14:paraId="1E5DE7E8">
      <w:pPr>
        <w:spacing w:line="360" w:lineRule="auto"/>
        <w:ind w:firstLine="420" w:firstLineChars="200"/>
        <w:rPr>
          <w:rFonts w:hint="eastAsia" w:ascii="宋体" w:hAnsi="宋体"/>
          <w:szCs w:val="21"/>
          <w:highlight w:val="none"/>
          <w:u w:val="single"/>
        </w:rPr>
      </w:pPr>
      <w:r>
        <w:rPr>
          <w:rFonts w:hint="eastAsia" w:ascii="宋体" w:hAnsi="宋体"/>
          <w:szCs w:val="21"/>
          <w:highlight w:val="none"/>
        </w:rPr>
        <w:t>（4）工程地质和地下管线资料的提供时间：</w:t>
      </w:r>
      <w:r>
        <w:rPr>
          <w:rFonts w:hint="eastAsia" w:ascii="宋体" w:hAnsi="宋体"/>
          <w:szCs w:val="21"/>
          <w:highlight w:val="none"/>
          <w:u w:val="single"/>
        </w:rPr>
        <w:t>开工前由承包人自行与各相关管线单位协调，及时对各相关管线单位的管线进行调查、摸底，承包人根据自行协调的内容对相关管线进行核实和保护，相应费用已计入投标报价内。如施工期间地下管线有损坏，承包人承担由此产生的一切费用。</w:t>
      </w:r>
    </w:p>
    <w:p w14:paraId="09C73E1C">
      <w:pPr>
        <w:spacing w:line="360" w:lineRule="auto"/>
        <w:ind w:firstLine="420" w:firstLineChars="200"/>
        <w:rPr>
          <w:rFonts w:hint="eastAsia" w:ascii="宋体" w:hAnsi="宋体"/>
          <w:szCs w:val="21"/>
          <w:highlight w:val="none"/>
          <w:u w:val="single"/>
        </w:rPr>
      </w:pPr>
      <w:r>
        <w:rPr>
          <w:rFonts w:hint="eastAsia" w:ascii="宋体" w:hAnsi="宋体"/>
          <w:szCs w:val="21"/>
          <w:highlight w:val="none"/>
        </w:rPr>
        <w:t>（5）由采购人办理的施工所需证件、批件的名称和完成时间：</w:t>
      </w:r>
      <w:r>
        <w:rPr>
          <w:rFonts w:hint="eastAsia" w:ascii="宋体" w:hAnsi="宋体"/>
          <w:szCs w:val="21"/>
          <w:highlight w:val="none"/>
          <w:u w:val="single"/>
        </w:rPr>
        <w:t>按规定由采购人办理的各类证件，采购人应在某项工作需要此类证件时办理完毕，承包人应把有关情况及时提前告知采购人。需要承包人提供办理证件相关资料的，承包人必须在合同签订后5个工作日内提交。</w:t>
      </w:r>
    </w:p>
    <w:p w14:paraId="7388990E">
      <w:pPr>
        <w:spacing w:line="360" w:lineRule="auto"/>
        <w:ind w:firstLine="420" w:firstLineChars="200"/>
        <w:rPr>
          <w:rFonts w:hint="eastAsia" w:ascii="宋体" w:hAnsi="宋体"/>
          <w:szCs w:val="21"/>
          <w:highlight w:val="none"/>
          <w:u w:val="single"/>
        </w:rPr>
      </w:pPr>
      <w:r>
        <w:rPr>
          <w:rFonts w:hint="eastAsia" w:ascii="宋体" w:hAnsi="宋体"/>
          <w:szCs w:val="21"/>
          <w:highlight w:val="none"/>
        </w:rPr>
        <w:t>（6）水准点与坐标控制点交验要求：</w:t>
      </w:r>
      <w:r>
        <w:rPr>
          <w:rFonts w:hint="eastAsia" w:ascii="宋体" w:hAnsi="宋体"/>
          <w:szCs w:val="21"/>
          <w:highlight w:val="none"/>
          <w:u w:val="single"/>
        </w:rPr>
        <w:t>开工前确定，由采购人以书面形式提供给承包人，并进行现场交验。</w:t>
      </w:r>
    </w:p>
    <w:p w14:paraId="1CC277E2">
      <w:pPr>
        <w:spacing w:line="360" w:lineRule="auto"/>
        <w:ind w:firstLine="420" w:firstLineChars="200"/>
        <w:rPr>
          <w:rFonts w:hint="eastAsia" w:ascii="宋体" w:hAnsi="宋体"/>
          <w:szCs w:val="21"/>
          <w:highlight w:val="none"/>
          <w:u w:val="single"/>
        </w:rPr>
      </w:pPr>
      <w:r>
        <w:rPr>
          <w:rFonts w:hint="eastAsia" w:ascii="宋体" w:hAnsi="宋体"/>
          <w:szCs w:val="21"/>
          <w:highlight w:val="none"/>
        </w:rPr>
        <w:t>（7）图纸会审和设计交底时间：</w:t>
      </w:r>
      <w:r>
        <w:rPr>
          <w:rFonts w:hint="eastAsia" w:ascii="宋体" w:hAnsi="宋体"/>
          <w:szCs w:val="21"/>
          <w:highlight w:val="none"/>
          <w:u w:val="single"/>
        </w:rPr>
        <w:t>根据需要由双方协商确定时间。</w:t>
      </w:r>
    </w:p>
    <w:p w14:paraId="4AE1C48F">
      <w:pPr>
        <w:spacing w:line="360" w:lineRule="auto"/>
        <w:ind w:firstLine="420" w:firstLineChars="200"/>
        <w:rPr>
          <w:rFonts w:ascii="宋体" w:hAnsi="宋体"/>
          <w:szCs w:val="21"/>
          <w:highlight w:val="none"/>
          <w:u w:val="single"/>
        </w:rPr>
      </w:pPr>
      <w:r>
        <w:rPr>
          <w:rFonts w:hint="eastAsia" w:ascii="宋体" w:hAnsi="宋体"/>
          <w:szCs w:val="21"/>
          <w:highlight w:val="none"/>
        </w:rPr>
        <w:t>（8）协调处理施工场地周围地下管线和邻近建筑物、构筑物（含文物保护建筑）、古树名木的保护工作：</w:t>
      </w:r>
      <w:r>
        <w:rPr>
          <w:rFonts w:hint="eastAsia" w:ascii="宋体" w:hAnsi="宋体"/>
          <w:szCs w:val="21"/>
          <w:highlight w:val="none"/>
          <w:u w:val="single"/>
        </w:rPr>
        <w:t>如遇上述情况时，承包人应提出具体保护实 施方案，由采购人征得有关管理部门同意后，由承包人负责保护，所需费用由采购人承担。如有发现事先未知的，承包人应及时与采购人和相关管理部门联系，费用由采购人承担。</w:t>
      </w:r>
    </w:p>
    <w:p w14:paraId="477F5BEB">
      <w:pPr>
        <w:spacing w:line="360" w:lineRule="auto"/>
        <w:ind w:firstLine="420" w:firstLineChars="200"/>
        <w:rPr>
          <w:rFonts w:ascii="宋体" w:hAnsi="宋体"/>
          <w:szCs w:val="21"/>
          <w:highlight w:val="none"/>
        </w:rPr>
      </w:pPr>
      <w:r>
        <w:rPr>
          <w:rFonts w:ascii="宋体" w:hAnsi="宋体"/>
          <w:szCs w:val="21"/>
          <w:highlight w:val="none"/>
        </w:rPr>
        <w:t>2.5 资金来源证明及支付担保</w:t>
      </w:r>
    </w:p>
    <w:p w14:paraId="1F548F3A">
      <w:pPr>
        <w:spacing w:line="360" w:lineRule="auto"/>
        <w:ind w:firstLine="420" w:firstLineChars="200"/>
        <w:rPr>
          <w:rFonts w:ascii="宋体" w:hAnsi="宋体"/>
          <w:szCs w:val="21"/>
          <w:highlight w:val="none"/>
        </w:rPr>
      </w:pPr>
      <w:r>
        <w:rPr>
          <w:rFonts w:ascii="宋体" w:hAnsi="宋体"/>
          <w:szCs w:val="21"/>
          <w:highlight w:val="none"/>
        </w:rPr>
        <w:t>采购人提供资金来源证明的期限要求：</w:t>
      </w:r>
      <w:r>
        <w:rPr>
          <w:rFonts w:hint="eastAsia" w:ascii="宋体" w:hAnsi="宋体"/>
          <w:szCs w:val="21"/>
          <w:highlight w:val="none"/>
          <w:u w:val="single"/>
        </w:rPr>
        <w:t xml:space="preserve">       /        </w:t>
      </w:r>
      <w:r>
        <w:rPr>
          <w:rFonts w:ascii="宋体" w:hAnsi="宋体"/>
          <w:szCs w:val="21"/>
          <w:highlight w:val="none"/>
        </w:rPr>
        <w:t>。</w:t>
      </w:r>
    </w:p>
    <w:p w14:paraId="48AA9881">
      <w:pPr>
        <w:spacing w:line="360" w:lineRule="auto"/>
        <w:ind w:firstLine="420" w:firstLineChars="200"/>
        <w:rPr>
          <w:rFonts w:ascii="宋体" w:hAnsi="宋体"/>
          <w:szCs w:val="21"/>
          <w:highlight w:val="none"/>
        </w:rPr>
      </w:pPr>
      <w:r>
        <w:rPr>
          <w:rFonts w:ascii="宋体" w:hAnsi="宋体"/>
          <w:szCs w:val="21"/>
          <w:highlight w:val="none"/>
        </w:rPr>
        <w:t>采购人是否提供支付担保：</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71B7F2EF">
      <w:pPr>
        <w:spacing w:line="360" w:lineRule="auto"/>
        <w:ind w:firstLine="420" w:firstLineChars="200"/>
        <w:rPr>
          <w:rFonts w:ascii="宋体" w:hAnsi="宋体"/>
          <w:szCs w:val="21"/>
          <w:highlight w:val="none"/>
          <w:u w:val="single"/>
        </w:rPr>
      </w:pPr>
      <w:r>
        <w:rPr>
          <w:rFonts w:ascii="宋体" w:hAnsi="宋体"/>
          <w:szCs w:val="21"/>
          <w:highlight w:val="none"/>
        </w:rPr>
        <w:t>采购人提供支付担保的形式：</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317C59B0">
      <w:pPr>
        <w:spacing w:line="360" w:lineRule="auto"/>
        <w:ind w:firstLine="422" w:firstLineChars="200"/>
        <w:rPr>
          <w:rFonts w:ascii="宋体" w:hAnsi="宋体"/>
          <w:b/>
          <w:szCs w:val="21"/>
          <w:highlight w:val="none"/>
        </w:rPr>
      </w:pPr>
      <w:bookmarkStart w:id="132" w:name="_Toc351203635"/>
      <w:r>
        <w:rPr>
          <w:rFonts w:ascii="宋体" w:hAnsi="宋体"/>
          <w:b/>
          <w:szCs w:val="21"/>
          <w:highlight w:val="none"/>
        </w:rPr>
        <w:t>3</w:t>
      </w:r>
      <w:bookmarkStart w:id="133" w:name="_Toc296890986"/>
      <w:bookmarkStart w:id="134" w:name="_Toc292559363"/>
      <w:bookmarkStart w:id="135" w:name="_Toc292559868"/>
      <w:bookmarkStart w:id="136" w:name="_Toc297048344"/>
      <w:bookmarkStart w:id="137" w:name="_Toc296347157"/>
      <w:bookmarkStart w:id="138" w:name="_Toc296346659"/>
      <w:bookmarkStart w:id="139" w:name="_Toc296891198"/>
      <w:bookmarkStart w:id="140" w:name="_Toc296503158"/>
      <w:bookmarkStart w:id="141" w:name="_Toc296944497"/>
      <w:bookmarkStart w:id="142" w:name="_Toc297120458"/>
      <w:r>
        <w:rPr>
          <w:rFonts w:ascii="宋体" w:hAnsi="宋体"/>
          <w:b/>
          <w:szCs w:val="21"/>
          <w:highlight w:val="none"/>
        </w:rPr>
        <w:t>. 承包人</w:t>
      </w:r>
      <w:bookmarkEnd w:id="132"/>
    </w:p>
    <w:bookmarkEnd w:id="133"/>
    <w:bookmarkEnd w:id="134"/>
    <w:bookmarkEnd w:id="135"/>
    <w:bookmarkEnd w:id="136"/>
    <w:bookmarkEnd w:id="137"/>
    <w:bookmarkEnd w:id="138"/>
    <w:bookmarkEnd w:id="139"/>
    <w:bookmarkEnd w:id="140"/>
    <w:bookmarkEnd w:id="141"/>
    <w:bookmarkEnd w:id="142"/>
    <w:p w14:paraId="30030753">
      <w:pPr>
        <w:spacing w:line="360" w:lineRule="auto"/>
        <w:ind w:firstLine="420" w:firstLineChars="200"/>
        <w:rPr>
          <w:rFonts w:ascii="宋体" w:hAnsi="宋体"/>
          <w:szCs w:val="21"/>
          <w:highlight w:val="none"/>
        </w:rPr>
      </w:pPr>
      <w:r>
        <w:rPr>
          <w:rFonts w:ascii="宋体" w:hAnsi="宋体"/>
          <w:szCs w:val="21"/>
          <w:highlight w:val="none"/>
        </w:rPr>
        <w:t>3.1 承包人的一般义务</w:t>
      </w:r>
    </w:p>
    <w:p w14:paraId="72100ED9">
      <w:pPr>
        <w:spacing w:line="360" w:lineRule="auto"/>
        <w:ind w:firstLine="420" w:firstLineChars="200"/>
        <w:rPr>
          <w:rFonts w:ascii="宋体" w:hAnsi="宋体"/>
          <w:szCs w:val="21"/>
          <w:highlight w:val="none"/>
        </w:rPr>
      </w:pPr>
      <w:r>
        <w:rPr>
          <w:rFonts w:ascii="宋体" w:hAnsi="宋体"/>
          <w:kern w:val="0"/>
          <w:szCs w:val="21"/>
          <w:highlight w:val="none"/>
        </w:rPr>
        <w:t>（5）</w:t>
      </w:r>
      <w:r>
        <w:rPr>
          <w:rFonts w:ascii="宋体" w:hAnsi="宋体"/>
          <w:szCs w:val="21"/>
          <w:highlight w:val="none"/>
        </w:rPr>
        <w:t>承包人提交的竣工资料的内容：</w:t>
      </w:r>
      <w:r>
        <w:rPr>
          <w:rFonts w:ascii="宋体" w:hAnsi="宋体"/>
          <w:szCs w:val="21"/>
          <w:highlight w:val="none"/>
          <w:u w:val="single"/>
        </w:rPr>
        <w:t>按照法律</w:t>
      </w:r>
      <w:r>
        <w:rPr>
          <w:rFonts w:hint="eastAsia" w:ascii="宋体" w:hAnsi="宋体"/>
          <w:szCs w:val="21"/>
          <w:highlight w:val="none"/>
          <w:u w:val="single"/>
        </w:rPr>
        <w:t>法规</w:t>
      </w:r>
      <w:r>
        <w:rPr>
          <w:rFonts w:ascii="宋体" w:hAnsi="宋体"/>
          <w:szCs w:val="21"/>
          <w:highlight w:val="none"/>
          <w:u w:val="single"/>
        </w:rPr>
        <w:t>规定</w:t>
      </w:r>
      <w:r>
        <w:rPr>
          <w:rFonts w:hint="eastAsia" w:ascii="宋体" w:hAnsi="宋体"/>
          <w:szCs w:val="21"/>
          <w:highlight w:val="none"/>
          <w:u w:val="single"/>
        </w:rPr>
        <w:t>的完整内容</w:t>
      </w:r>
      <w:r>
        <w:rPr>
          <w:rFonts w:ascii="宋体" w:hAnsi="宋体"/>
          <w:szCs w:val="21"/>
          <w:highlight w:val="none"/>
          <w:u w:val="single"/>
        </w:rPr>
        <w:t xml:space="preserve">编制竣工资料，完成竣工资料立卷及归档 </w:t>
      </w:r>
      <w:r>
        <w:rPr>
          <w:rFonts w:ascii="宋体" w:hAnsi="宋体"/>
          <w:szCs w:val="21"/>
          <w:highlight w:val="none"/>
        </w:rPr>
        <w:t>。</w:t>
      </w:r>
    </w:p>
    <w:p w14:paraId="72C48F22">
      <w:pPr>
        <w:spacing w:line="360" w:lineRule="auto"/>
        <w:ind w:firstLine="420" w:firstLineChars="200"/>
        <w:rPr>
          <w:rFonts w:ascii="宋体" w:hAnsi="宋体"/>
          <w:szCs w:val="21"/>
          <w:highlight w:val="none"/>
        </w:rPr>
      </w:pPr>
      <w:r>
        <w:rPr>
          <w:rFonts w:ascii="宋体" w:hAnsi="宋体"/>
          <w:szCs w:val="21"/>
          <w:highlight w:val="none"/>
        </w:rPr>
        <w:t>承包人需要提交的竣工资料套数：</w:t>
      </w:r>
      <w:r>
        <w:rPr>
          <w:rFonts w:ascii="宋体" w:hAnsi="宋体"/>
          <w:szCs w:val="21"/>
          <w:highlight w:val="none"/>
          <w:u w:val="single"/>
        </w:rPr>
        <w:t xml:space="preserve">     </w:t>
      </w:r>
      <w:r>
        <w:rPr>
          <w:rFonts w:hint="eastAsia" w:ascii="宋体" w:hAnsi="宋体"/>
          <w:szCs w:val="21"/>
          <w:highlight w:val="none"/>
          <w:u w:val="single"/>
        </w:rPr>
        <w:t>5套</w:t>
      </w:r>
      <w:r>
        <w:rPr>
          <w:rFonts w:ascii="宋体" w:hAnsi="宋体"/>
          <w:szCs w:val="21"/>
          <w:highlight w:val="none"/>
          <w:u w:val="single"/>
        </w:rPr>
        <w:t xml:space="preserve">    </w:t>
      </w:r>
      <w:r>
        <w:rPr>
          <w:rFonts w:ascii="宋体" w:hAnsi="宋体"/>
          <w:szCs w:val="21"/>
          <w:highlight w:val="none"/>
        </w:rPr>
        <w:t>。</w:t>
      </w:r>
    </w:p>
    <w:p w14:paraId="30CA6FCC">
      <w:pPr>
        <w:spacing w:line="360" w:lineRule="auto"/>
        <w:ind w:firstLine="420" w:firstLineChars="200"/>
        <w:rPr>
          <w:rFonts w:ascii="宋体" w:hAnsi="宋体"/>
          <w:szCs w:val="21"/>
          <w:highlight w:val="none"/>
        </w:rPr>
      </w:pPr>
      <w:r>
        <w:rPr>
          <w:rFonts w:ascii="宋体" w:hAnsi="宋体"/>
          <w:szCs w:val="21"/>
          <w:highlight w:val="none"/>
        </w:rPr>
        <w:t>承包人提交的竣工资料的费用承担：</w:t>
      </w:r>
      <w:r>
        <w:rPr>
          <w:rFonts w:ascii="宋体" w:hAnsi="宋体"/>
          <w:szCs w:val="21"/>
          <w:highlight w:val="none"/>
          <w:u w:val="single"/>
        </w:rPr>
        <w:t xml:space="preserve">    </w:t>
      </w:r>
      <w:r>
        <w:rPr>
          <w:rFonts w:hint="eastAsia" w:ascii="宋体" w:hAnsi="宋体"/>
          <w:szCs w:val="21"/>
          <w:highlight w:val="none"/>
          <w:u w:val="single"/>
        </w:rPr>
        <w:t>由承包人承担</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107BDFD2">
      <w:pPr>
        <w:spacing w:line="360" w:lineRule="auto"/>
        <w:ind w:firstLine="420" w:firstLineChars="200"/>
        <w:rPr>
          <w:rFonts w:ascii="宋体" w:hAnsi="宋体"/>
          <w:szCs w:val="21"/>
          <w:highlight w:val="none"/>
        </w:rPr>
      </w:pPr>
      <w:r>
        <w:rPr>
          <w:rFonts w:ascii="宋体" w:hAnsi="宋体"/>
          <w:szCs w:val="21"/>
          <w:highlight w:val="none"/>
        </w:rPr>
        <w:t>承包人提交的竣工资料移交时间：</w:t>
      </w:r>
      <w:r>
        <w:rPr>
          <w:rFonts w:ascii="宋体" w:hAnsi="宋体"/>
          <w:szCs w:val="21"/>
          <w:highlight w:val="none"/>
          <w:u w:val="single"/>
        </w:rPr>
        <w:t xml:space="preserve">   </w:t>
      </w:r>
      <w:r>
        <w:rPr>
          <w:rFonts w:hint="eastAsia" w:ascii="宋体" w:hAnsi="宋体"/>
          <w:szCs w:val="21"/>
          <w:highlight w:val="none"/>
          <w:u w:val="single"/>
        </w:rPr>
        <w:t>在提供竣工报告后一个月内</w:t>
      </w:r>
      <w:r>
        <w:rPr>
          <w:rFonts w:ascii="宋体" w:hAnsi="宋体"/>
          <w:szCs w:val="21"/>
          <w:highlight w:val="none"/>
          <w:u w:val="single"/>
        </w:rPr>
        <w:t xml:space="preserve">   </w:t>
      </w:r>
      <w:r>
        <w:rPr>
          <w:rFonts w:ascii="宋体" w:hAnsi="宋体"/>
          <w:szCs w:val="21"/>
          <w:highlight w:val="none"/>
        </w:rPr>
        <w:t>。</w:t>
      </w:r>
    </w:p>
    <w:p w14:paraId="6A1157F1">
      <w:pPr>
        <w:spacing w:line="360" w:lineRule="auto"/>
        <w:ind w:firstLine="420" w:firstLineChars="200"/>
        <w:rPr>
          <w:rFonts w:hint="eastAsia" w:ascii="宋体" w:hAnsi="宋体"/>
          <w:szCs w:val="21"/>
          <w:highlight w:val="none"/>
        </w:rPr>
      </w:pPr>
      <w:r>
        <w:rPr>
          <w:rFonts w:ascii="宋体" w:hAnsi="宋体"/>
          <w:szCs w:val="21"/>
          <w:highlight w:val="none"/>
        </w:rPr>
        <w:t>承包人提交的竣工资料形式要求：</w:t>
      </w:r>
      <w:r>
        <w:rPr>
          <w:rFonts w:ascii="宋体" w:hAnsi="宋体"/>
          <w:szCs w:val="21"/>
          <w:highlight w:val="none"/>
          <w:u w:val="single"/>
        </w:rPr>
        <w:t xml:space="preserve">     </w:t>
      </w:r>
      <w:r>
        <w:rPr>
          <w:rFonts w:hint="eastAsia" w:ascii="宋体" w:hAnsi="宋体"/>
          <w:szCs w:val="21"/>
          <w:highlight w:val="none"/>
          <w:u w:val="single"/>
        </w:rPr>
        <w:t>纸质5套，电子文档1套</w:t>
      </w:r>
      <w:r>
        <w:rPr>
          <w:rFonts w:ascii="宋体" w:hAnsi="宋体"/>
          <w:szCs w:val="21"/>
          <w:highlight w:val="none"/>
          <w:u w:val="single"/>
        </w:rPr>
        <w:t xml:space="preserve">   </w:t>
      </w:r>
      <w:r>
        <w:rPr>
          <w:rFonts w:ascii="宋体" w:hAnsi="宋体"/>
          <w:szCs w:val="21"/>
          <w:highlight w:val="none"/>
        </w:rPr>
        <w:t>。</w:t>
      </w:r>
    </w:p>
    <w:p w14:paraId="49EC884A">
      <w:pPr>
        <w:spacing w:line="360" w:lineRule="auto"/>
        <w:ind w:firstLine="420" w:firstLineChars="200"/>
        <w:rPr>
          <w:rFonts w:hint="eastAsia" w:ascii="宋体" w:hAnsi="宋体"/>
          <w:kern w:val="0"/>
          <w:szCs w:val="21"/>
          <w:highlight w:val="none"/>
        </w:rPr>
      </w:pPr>
      <w:r>
        <w:rPr>
          <w:rFonts w:ascii="宋体" w:hAnsi="宋体"/>
          <w:kern w:val="0"/>
          <w:szCs w:val="21"/>
          <w:highlight w:val="none"/>
        </w:rPr>
        <w:t>（6）承包人应履行的其他义务：</w:t>
      </w:r>
    </w:p>
    <w:p w14:paraId="5FB2792A">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1、每月25日前提供施工进度计划和相应的工程量报表。除每月提供外，如果监理或采购人要求临时提供某些报表和资料，承包人应无条件按监理和采购人要求提供此类报表和资料。</w:t>
      </w:r>
    </w:p>
    <w:p w14:paraId="2C335E9B">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2、承包人按当地建筑工地文明施工管理相关规定执行并承担施工安全保卫工作及夜间施工照明。</w:t>
      </w:r>
    </w:p>
    <w:p w14:paraId="7A6EB155">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3、遵守地方政府和有关部门对施工场地交通、环卫和施工噪音等管理规定。所有手续的费用由承包人承担。承包人应采取有效措施尽量减小尘土和噪音污染，需要进行夜间作业时应经采购人批准。按监理要求标化管理及环保要求实施施工管理并承担相关费用，采购人给予配合。</w:t>
      </w:r>
    </w:p>
    <w:p w14:paraId="74A73B5D">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4、在整个工程竣工验收并移交给采购人之前，承包人应按规定自行保护好承包范围内的已完工程的任何一部份或整体。此类费用由承包人承担。</w:t>
      </w:r>
    </w:p>
    <w:p w14:paraId="445ABBE8">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5、对已知的施工场地周围地下管线和临近建筑物、构筑物（含文物保护建筑）、古树名木的保护由承包人负责保护，并承担相应费用，如有发现事先未知的，承包人应及时与采购人联系，费用由采购人承担，不计利润。</w:t>
      </w:r>
    </w:p>
    <w:p w14:paraId="1232A8C6">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6、施工期间承包人应按规定做好施工场地清洁卫生工作。竣工后剩余的任何材料和物品除属于采购人的外，承包人均应迅速撤除。竣工验收，工程移交之前，承包人仍须承担成品保护、保洁、安全等工作，此类费用由承包人承担。</w:t>
      </w:r>
    </w:p>
    <w:p w14:paraId="46AC5ED8">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7、确保安全生产，文明施工，派驻现场的主要施工管理人员必须与投标文件相同。</w:t>
      </w:r>
    </w:p>
    <w:p w14:paraId="2E8D422E">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8、施工过程中，道路施工范围要求作安全隔离处理，现场施工作业人员要求穿带反光安全工作服，安排专人清理道路上的抛洒物，费用包含在投标报价组织措施费内。</w:t>
      </w:r>
    </w:p>
    <w:p w14:paraId="20CC762A">
      <w:pPr>
        <w:spacing w:line="360" w:lineRule="auto"/>
        <w:ind w:firstLine="420" w:firstLineChars="200"/>
        <w:rPr>
          <w:rFonts w:ascii="宋体" w:hAnsi="宋体"/>
          <w:szCs w:val="21"/>
          <w:highlight w:val="none"/>
        </w:rPr>
      </w:pPr>
      <w:r>
        <w:rPr>
          <w:rFonts w:ascii="宋体" w:hAnsi="宋体"/>
          <w:szCs w:val="21"/>
          <w:highlight w:val="none"/>
        </w:rPr>
        <w:t>3.2 项目经理</w:t>
      </w:r>
    </w:p>
    <w:p w14:paraId="0E5E1221">
      <w:pPr>
        <w:spacing w:line="360" w:lineRule="auto"/>
        <w:ind w:firstLine="420" w:firstLineChars="200"/>
        <w:rPr>
          <w:rFonts w:ascii="宋体" w:hAnsi="宋体"/>
          <w:szCs w:val="21"/>
          <w:highlight w:val="none"/>
        </w:rPr>
      </w:pPr>
      <w:r>
        <w:rPr>
          <w:rFonts w:ascii="宋体" w:hAnsi="宋体"/>
          <w:kern w:val="0"/>
          <w:szCs w:val="21"/>
          <w:highlight w:val="none"/>
        </w:rPr>
        <w:t xml:space="preserve">3.2.1 </w:t>
      </w:r>
      <w:r>
        <w:rPr>
          <w:rFonts w:ascii="宋体" w:hAnsi="宋体"/>
          <w:szCs w:val="21"/>
          <w:highlight w:val="none"/>
        </w:rPr>
        <w:t>项目经理：</w:t>
      </w:r>
    </w:p>
    <w:p w14:paraId="169BCB2C">
      <w:pPr>
        <w:spacing w:line="360" w:lineRule="auto"/>
        <w:ind w:firstLine="420" w:firstLineChars="200"/>
        <w:rPr>
          <w:rFonts w:ascii="宋体" w:hAnsi="宋体"/>
          <w:szCs w:val="21"/>
          <w:highlight w:val="none"/>
        </w:rPr>
      </w:pPr>
      <w:r>
        <w:rPr>
          <w:rFonts w:ascii="宋体" w:hAnsi="宋体"/>
          <w:szCs w:val="21"/>
          <w:highlight w:val="none"/>
        </w:rPr>
        <w:t>姓    名：</w:t>
      </w:r>
      <w:r>
        <w:rPr>
          <w:rFonts w:ascii="宋体" w:hAnsi="宋体"/>
          <w:szCs w:val="21"/>
          <w:highlight w:val="none"/>
          <w:u w:val="single"/>
        </w:rPr>
        <w:t>  </w:t>
      </w:r>
      <w:r>
        <w:rPr>
          <w:rFonts w:hint="eastAsia" w:ascii="宋体" w:hAnsi="宋体"/>
          <w:szCs w:val="21"/>
          <w:highlight w:val="none"/>
          <w:u w:val="single"/>
        </w:rPr>
        <w:t xml:space="preserve">      </w:t>
      </w:r>
      <w:r>
        <w:rPr>
          <w:rFonts w:ascii="宋体" w:hAnsi="宋体"/>
          <w:szCs w:val="21"/>
          <w:highlight w:val="none"/>
          <w:u w:val="single"/>
        </w:rPr>
        <w:t> </w:t>
      </w:r>
      <w:r>
        <w:rPr>
          <w:rFonts w:ascii="宋体" w:hAnsi="宋体"/>
          <w:szCs w:val="21"/>
          <w:highlight w:val="none"/>
        </w:rPr>
        <w:t>；</w:t>
      </w:r>
    </w:p>
    <w:p w14:paraId="7E9D4EC5">
      <w:pPr>
        <w:spacing w:line="360" w:lineRule="auto"/>
        <w:ind w:firstLine="420" w:firstLineChars="200"/>
        <w:rPr>
          <w:rFonts w:ascii="宋体" w:hAnsi="宋体"/>
          <w:szCs w:val="21"/>
          <w:highlight w:val="none"/>
        </w:rPr>
      </w:pPr>
      <w:r>
        <w:rPr>
          <w:rFonts w:ascii="宋体" w:hAnsi="宋体"/>
          <w:szCs w:val="21"/>
          <w:highlight w:val="none"/>
        </w:rPr>
        <w:t>身份证号：</w:t>
      </w:r>
      <w:r>
        <w:rPr>
          <w:rFonts w:ascii="宋体" w:hAnsi="宋体"/>
          <w:szCs w:val="21"/>
          <w:highlight w:val="none"/>
          <w:u w:val="single"/>
        </w:rPr>
        <w:t>  </w:t>
      </w:r>
      <w:r>
        <w:rPr>
          <w:rFonts w:hint="eastAsia" w:ascii="宋体" w:hAnsi="宋体"/>
          <w:szCs w:val="21"/>
          <w:highlight w:val="none"/>
          <w:u w:val="single"/>
        </w:rPr>
        <w:t xml:space="preserve">      </w:t>
      </w:r>
      <w:r>
        <w:rPr>
          <w:rFonts w:ascii="宋体" w:hAnsi="宋体"/>
          <w:szCs w:val="21"/>
          <w:highlight w:val="none"/>
          <w:u w:val="single"/>
        </w:rPr>
        <w:t> </w:t>
      </w:r>
      <w:r>
        <w:rPr>
          <w:rFonts w:ascii="宋体" w:hAnsi="宋体"/>
          <w:szCs w:val="21"/>
          <w:highlight w:val="none"/>
        </w:rPr>
        <w:t>；</w:t>
      </w:r>
    </w:p>
    <w:p w14:paraId="68C2D379">
      <w:pPr>
        <w:spacing w:line="360" w:lineRule="auto"/>
        <w:ind w:firstLine="420" w:firstLineChars="200"/>
        <w:rPr>
          <w:rFonts w:ascii="宋体" w:hAnsi="宋体"/>
          <w:szCs w:val="21"/>
          <w:highlight w:val="none"/>
        </w:rPr>
      </w:pPr>
      <w:r>
        <w:rPr>
          <w:rFonts w:ascii="宋体" w:hAnsi="宋体"/>
          <w:szCs w:val="21"/>
          <w:highlight w:val="none"/>
        </w:rPr>
        <w:t>建造师执业资格等级：</w:t>
      </w:r>
      <w:r>
        <w:rPr>
          <w:rFonts w:ascii="宋体" w:hAnsi="宋体"/>
          <w:szCs w:val="21"/>
          <w:highlight w:val="none"/>
          <w:u w:val="single"/>
        </w:rPr>
        <w:t>   </w:t>
      </w:r>
      <w:r>
        <w:rPr>
          <w:rFonts w:ascii="宋体" w:hAnsi="宋体"/>
          <w:szCs w:val="21"/>
          <w:highlight w:val="none"/>
        </w:rPr>
        <w:t>；</w:t>
      </w:r>
    </w:p>
    <w:p w14:paraId="4DE2822D">
      <w:pPr>
        <w:spacing w:line="360" w:lineRule="auto"/>
        <w:ind w:firstLine="420" w:firstLineChars="200"/>
        <w:rPr>
          <w:rFonts w:ascii="宋体" w:hAnsi="宋体"/>
          <w:szCs w:val="21"/>
          <w:highlight w:val="none"/>
        </w:rPr>
      </w:pPr>
      <w:r>
        <w:rPr>
          <w:rFonts w:ascii="宋体" w:hAnsi="宋体"/>
          <w:szCs w:val="21"/>
          <w:highlight w:val="none"/>
        </w:rPr>
        <w:t>建造师注册证书号：</w:t>
      </w:r>
      <w:r>
        <w:rPr>
          <w:rFonts w:ascii="宋体" w:hAnsi="宋体"/>
          <w:szCs w:val="21"/>
          <w:highlight w:val="none"/>
          <w:u w:val="single"/>
        </w:rPr>
        <w:t> </w:t>
      </w:r>
      <w:r>
        <w:rPr>
          <w:rFonts w:ascii="宋体" w:hAnsi="宋体"/>
          <w:szCs w:val="21"/>
          <w:highlight w:val="none"/>
        </w:rPr>
        <w:t>；</w:t>
      </w:r>
    </w:p>
    <w:p w14:paraId="5A51FE3B">
      <w:pPr>
        <w:spacing w:line="360" w:lineRule="auto"/>
        <w:ind w:firstLine="420" w:firstLineChars="200"/>
        <w:rPr>
          <w:rFonts w:ascii="宋体" w:hAnsi="宋体"/>
          <w:szCs w:val="21"/>
          <w:highlight w:val="none"/>
        </w:rPr>
      </w:pPr>
      <w:r>
        <w:rPr>
          <w:rFonts w:ascii="宋体" w:hAnsi="宋体"/>
          <w:szCs w:val="21"/>
          <w:highlight w:val="none"/>
        </w:rPr>
        <w:t>建造师执业印章号：</w:t>
      </w:r>
      <w:r>
        <w:rPr>
          <w:rFonts w:ascii="宋体" w:hAnsi="宋体"/>
          <w:szCs w:val="21"/>
          <w:highlight w:val="none"/>
          <w:u w:val="single"/>
        </w:rPr>
        <w:t> </w:t>
      </w:r>
      <w:r>
        <w:rPr>
          <w:rFonts w:ascii="宋体" w:hAnsi="宋体"/>
          <w:szCs w:val="21"/>
          <w:highlight w:val="none"/>
        </w:rPr>
        <w:t>；</w:t>
      </w:r>
    </w:p>
    <w:p w14:paraId="740F2D80">
      <w:pPr>
        <w:spacing w:line="360" w:lineRule="auto"/>
        <w:ind w:firstLine="420" w:firstLineChars="200"/>
        <w:rPr>
          <w:rFonts w:ascii="宋体" w:hAnsi="宋体"/>
          <w:szCs w:val="21"/>
          <w:highlight w:val="none"/>
        </w:rPr>
      </w:pPr>
      <w:r>
        <w:rPr>
          <w:rFonts w:ascii="宋体" w:hAnsi="宋体"/>
          <w:szCs w:val="21"/>
          <w:highlight w:val="none"/>
        </w:rPr>
        <w:t>安全生产考核合格证书号：</w:t>
      </w:r>
      <w:r>
        <w:rPr>
          <w:rFonts w:ascii="宋体" w:hAnsi="宋体"/>
          <w:szCs w:val="21"/>
          <w:highlight w:val="none"/>
          <w:u w:val="single"/>
        </w:rPr>
        <w:t> </w:t>
      </w:r>
      <w:r>
        <w:rPr>
          <w:rFonts w:ascii="宋体" w:hAnsi="宋体"/>
          <w:szCs w:val="21"/>
          <w:highlight w:val="none"/>
        </w:rPr>
        <w:t>；</w:t>
      </w:r>
    </w:p>
    <w:p w14:paraId="77C0C001">
      <w:pPr>
        <w:spacing w:line="360" w:lineRule="auto"/>
        <w:ind w:firstLine="420" w:firstLineChars="200"/>
        <w:rPr>
          <w:rFonts w:ascii="宋体" w:hAnsi="宋体"/>
          <w:szCs w:val="21"/>
          <w:highlight w:val="none"/>
        </w:rPr>
      </w:pPr>
      <w:r>
        <w:rPr>
          <w:rFonts w:ascii="宋体" w:hAnsi="宋体"/>
          <w:szCs w:val="21"/>
          <w:highlight w:val="none"/>
        </w:rPr>
        <w:t>联系电话：</w:t>
      </w:r>
      <w:r>
        <w:rPr>
          <w:rFonts w:ascii="宋体" w:hAnsi="宋体"/>
          <w:szCs w:val="21"/>
          <w:highlight w:val="none"/>
          <w:u w:val="single"/>
        </w:rPr>
        <w:t>  </w:t>
      </w:r>
      <w:r>
        <w:rPr>
          <w:rFonts w:hint="eastAsia" w:ascii="宋体" w:hAnsi="宋体"/>
          <w:szCs w:val="21"/>
          <w:highlight w:val="none"/>
          <w:u w:val="single"/>
        </w:rPr>
        <w:t xml:space="preserve">      </w:t>
      </w:r>
      <w:r>
        <w:rPr>
          <w:rFonts w:ascii="宋体" w:hAnsi="宋体"/>
          <w:szCs w:val="21"/>
          <w:highlight w:val="none"/>
          <w:u w:val="single"/>
        </w:rPr>
        <w:t> </w:t>
      </w:r>
      <w:r>
        <w:rPr>
          <w:rFonts w:ascii="宋体" w:hAnsi="宋体"/>
          <w:szCs w:val="21"/>
          <w:highlight w:val="none"/>
        </w:rPr>
        <w:t>；</w:t>
      </w:r>
    </w:p>
    <w:p w14:paraId="7AADA50A">
      <w:pPr>
        <w:spacing w:line="360" w:lineRule="auto"/>
        <w:ind w:firstLine="420" w:firstLineChars="200"/>
        <w:rPr>
          <w:rFonts w:ascii="宋体" w:hAnsi="宋体"/>
          <w:szCs w:val="21"/>
          <w:highlight w:val="none"/>
        </w:rPr>
      </w:pPr>
      <w:r>
        <w:rPr>
          <w:rFonts w:ascii="宋体" w:hAnsi="宋体"/>
          <w:szCs w:val="21"/>
          <w:highlight w:val="none"/>
        </w:rPr>
        <w:t>电子信箱：</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w:t>
      </w:r>
      <w:r>
        <w:rPr>
          <w:rFonts w:ascii="宋体" w:hAnsi="宋体"/>
          <w:szCs w:val="21"/>
          <w:highlight w:val="none"/>
        </w:rPr>
        <w:t>；</w:t>
      </w:r>
    </w:p>
    <w:p w14:paraId="3E3644D5">
      <w:pPr>
        <w:spacing w:line="360" w:lineRule="auto"/>
        <w:ind w:firstLine="420" w:firstLineChars="200"/>
        <w:rPr>
          <w:rFonts w:ascii="宋体" w:hAnsi="宋体"/>
          <w:szCs w:val="21"/>
          <w:highlight w:val="none"/>
        </w:rPr>
      </w:pPr>
      <w:r>
        <w:rPr>
          <w:rFonts w:ascii="宋体" w:hAnsi="宋体"/>
          <w:szCs w:val="21"/>
          <w:highlight w:val="none"/>
        </w:rPr>
        <w:t>通信地址：</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w:t>
      </w:r>
      <w:r>
        <w:rPr>
          <w:rFonts w:ascii="宋体" w:hAnsi="宋体"/>
          <w:szCs w:val="21"/>
          <w:highlight w:val="none"/>
        </w:rPr>
        <w:t>；</w:t>
      </w:r>
    </w:p>
    <w:p w14:paraId="3F494E3F">
      <w:pPr>
        <w:spacing w:line="360" w:lineRule="auto"/>
        <w:ind w:firstLine="420" w:firstLineChars="200"/>
        <w:rPr>
          <w:rFonts w:hint="eastAsia" w:ascii="宋体" w:hAnsi="宋体"/>
          <w:szCs w:val="21"/>
          <w:highlight w:val="none"/>
          <w:u w:val="single"/>
        </w:rPr>
      </w:pPr>
      <w:r>
        <w:rPr>
          <w:rFonts w:ascii="宋体" w:hAnsi="宋体"/>
          <w:szCs w:val="21"/>
          <w:highlight w:val="none"/>
        </w:rPr>
        <w:t>承包人对项目经理的授权范围如下：</w:t>
      </w:r>
      <w:r>
        <w:rPr>
          <w:rFonts w:hint="eastAsia" w:ascii="宋体" w:hAnsi="宋体"/>
          <w:szCs w:val="21"/>
          <w:highlight w:val="none"/>
          <w:u w:val="single"/>
        </w:rPr>
        <w:t>授予项目经理在紧急情况下的临时处置权，但应受到以下四个方面的限制。</w:t>
      </w:r>
    </w:p>
    <w:p w14:paraId="186CD6BB">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（1）只有在涉及工程及工程有关的人身和财产安全的情况下项目经理才能行使该项权力；</w:t>
      </w:r>
    </w:p>
    <w:p w14:paraId="7CE9A5AE">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（2）项目经理只有在同时无法联系到采购人代表或总监理工程师的情况下才能行使该项权力；</w:t>
      </w:r>
    </w:p>
    <w:p w14:paraId="21711B39">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（3）项目经理行使该项权力所采取的措施必要合理得当，而不能随意采取不必要的措施；</w:t>
      </w:r>
    </w:p>
    <w:p w14:paraId="52A83028">
      <w:pPr>
        <w:spacing w:line="360" w:lineRule="auto"/>
        <w:ind w:firstLine="420" w:firstLineChars="200"/>
        <w:rPr>
          <w:rFonts w:ascii="宋体" w:hAnsi="宋体"/>
          <w:szCs w:val="21"/>
          <w:highlight w:val="none"/>
        </w:rPr>
      </w:pPr>
      <w:r>
        <w:rPr>
          <w:rFonts w:hint="eastAsia" w:ascii="宋体" w:hAnsi="宋体"/>
          <w:szCs w:val="21"/>
          <w:highlight w:val="none"/>
          <w:u w:val="single"/>
        </w:rPr>
        <w:t>（4）项目经理在采取措施后及时向监理人和采购人代表报告全部情况。如果项目经理行使临时处置权不符合四项中的任何一项，采购人可以主张由承包人承担因项目经理行使临时处置权而增加的费用或延误的工期责任。</w:t>
      </w:r>
    </w:p>
    <w:p w14:paraId="02CC311C">
      <w:pPr>
        <w:spacing w:line="360" w:lineRule="auto"/>
        <w:ind w:firstLine="420" w:firstLineChars="200"/>
        <w:rPr>
          <w:rFonts w:ascii="宋体" w:hAnsi="宋体"/>
          <w:szCs w:val="21"/>
          <w:highlight w:val="none"/>
          <w:u w:val="single"/>
        </w:rPr>
      </w:pPr>
      <w:r>
        <w:rPr>
          <w:rFonts w:ascii="宋体" w:hAnsi="宋体"/>
          <w:kern w:val="0"/>
          <w:szCs w:val="21"/>
          <w:highlight w:val="none"/>
        </w:rPr>
        <w:t>关于项目经理每月在施工现场的时间要求：</w:t>
      </w:r>
      <w:r>
        <w:rPr>
          <w:rFonts w:hint="eastAsia" w:ascii="宋体" w:hAnsi="宋体"/>
          <w:szCs w:val="21"/>
          <w:highlight w:val="none"/>
          <w:u w:val="single"/>
        </w:rPr>
        <w:t>每月不少于22天</w:t>
      </w:r>
      <w:r>
        <w:rPr>
          <w:rFonts w:ascii="宋体" w:hAnsi="宋体"/>
          <w:szCs w:val="21"/>
          <w:highlight w:val="none"/>
          <w:u w:val="single"/>
        </w:rPr>
        <w:t>。</w:t>
      </w:r>
    </w:p>
    <w:p w14:paraId="123CAD85">
      <w:pPr>
        <w:spacing w:line="360" w:lineRule="auto"/>
        <w:ind w:firstLine="420" w:firstLineChars="200"/>
        <w:rPr>
          <w:rFonts w:ascii="宋体" w:hAnsi="宋体"/>
          <w:kern w:val="0"/>
          <w:szCs w:val="21"/>
          <w:highlight w:val="none"/>
        </w:rPr>
      </w:pPr>
      <w:r>
        <w:rPr>
          <w:rFonts w:ascii="宋体" w:hAnsi="宋体"/>
          <w:kern w:val="0"/>
          <w:szCs w:val="21"/>
          <w:highlight w:val="none"/>
        </w:rPr>
        <w:t>承包人未提交劳动合同，以及没有为项目经理缴纳社会保险证明的违约责任：</w:t>
      </w:r>
      <w:r>
        <w:rPr>
          <w:rFonts w:ascii="宋体" w:hAnsi="宋体"/>
          <w:szCs w:val="21"/>
          <w:highlight w:val="none"/>
          <w:u w:val="single"/>
        </w:rPr>
        <w:t>承包人不提交上述文件的，项目经理无权履行职责，采购人有权要求更换项目经理，由此增加的费用和（或）延误的工期由承包人承担</w:t>
      </w:r>
      <w:r>
        <w:rPr>
          <w:rFonts w:ascii="宋体" w:hAnsi="宋体"/>
          <w:szCs w:val="21"/>
          <w:highlight w:val="none"/>
        </w:rPr>
        <w:t>。</w:t>
      </w:r>
    </w:p>
    <w:p w14:paraId="156A7444">
      <w:pPr>
        <w:spacing w:line="360" w:lineRule="auto"/>
        <w:ind w:firstLine="420" w:firstLineChars="200"/>
        <w:rPr>
          <w:rFonts w:ascii="宋体" w:hAnsi="宋体"/>
          <w:szCs w:val="21"/>
          <w:highlight w:val="none"/>
          <w:u w:val="single"/>
        </w:rPr>
      </w:pPr>
      <w:r>
        <w:rPr>
          <w:rFonts w:ascii="宋体" w:hAnsi="宋体"/>
          <w:kern w:val="0"/>
          <w:szCs w:val="21"/>
          <w:highlight w:val="none"/>
        </w:rPr>
        <w:t>项目经理未经批准，擅自离开施工现场的违约责任：</w:t>
      </w:r>
      <w:r>
        <w:rPr>
          <w:rFonts w:hint="eastAsia" w:ascii="宋体" w:hAnsi="宋体"/>
          <w:szCs w:val="21"/>
          <w:highlight w:val="none"/>
          <w:u w:val="single"/>
        </w:rPr>
        <w:t>项目经理每月在本工地上班时间不足22天，以违约论，按每天1000元支付违约金；考勤由发包方负责（项目经理应主动到发包方报到），须由发包方代表签字确认，直接作为扣除违约金的依据。项目经理长期不在岗，时间累计超过1个月，视为</w:t>
      </w:r>
      <w:r>
        <w:rPr>
          <w:rFonts w:ascii="宋体" w:hAnsi="宋体"/>
          <w:szCs w:val="21"/>
          <w:highlight w:val="none"/>
          <w:u w:val="single"/>
        </w:rPr>
        <w:t>严重不履行合同</w:t>
      </w:r>
      <w:r>
        <w:rPr>
          <w:rFonts w:hint="eastAsia" w:ascii="宋体" w:hAnsi="宋体"/>
          <w:szCs w:val="21"/>
          <w:highlight w:val="none"/>
          <w:u w:val="single"/>
        </w:rPr>
        <w:t>，采购人可更换项目经理并对承包人处以人民币5万元的罚金，承包人承担</w:t>
      </w:r>
      <w:r>
        <w:rPr>
          <w:rFonts w:ascii="宋体" w:hAnsi="宋体"/>
          <w:szCs w:val="21"/>
          <w:highlight w:val="none"/>
          <w:u w:val="single"/>
        </w:rPr>
        <w:t>由此增加的费用和（或）延误的工期</w:t>
      </w:r>
      <w:r>
        <w:rPr>
          <w:rFonts w:hint="eastAsia" w:ascii="宋体" w:hAnsi="宋体"/>
          <w:szCs w:val="21"/>
          <w:highlight w:val="none"/>
          <w:u w:val="single"/>
        </w:rPr>
        <w:t>。</w:t>
      </w:r>
    </w:p>
    <w:p w14:paraId="79D95F52">
      <w:pPr>
        <w:spacing w:line="360" w:lineRule="auto"/>
        <w:ind w:firstLine="420" w:firstLineChars="200"/>
        <w:rPr>
          <w:rFonts w:ascii="宋体" w:hAnsi="宋体"/>
          <w:szCs w:val="21"/>
          <w:highlight w:val="none"/>
        </w:rPr>
      </w:pPr>
      <w:r>
        <w:rPr>
          <w:rFonts w:ascii="宋体" w:hAnsi="宋体"/>
          <w:szCs w:val="21"/>
          <w:highlight w:val="none"/>
        </w:rPr>
        <w:t>3.2.3 承包人擅自更换项目经理的违约责任：</w:t>
      </w:r>
      <w:r>
        <w:rPr>
          <w:rFonts w:hint="eastAsia" w:ascii="宋体" w:hAnsi="宋体"/>
          <w:szCs w:val="21"/>
          <w:highlight w:val="none"/>
          <w:u w:val="single"/>
        </w:rPr>
        <w:t>处以人民币3万元的罚金并承担</w:t>
      </w:r>
      <w:r>
        <w:rPr>
          <w:rFonts w:ascii="宋体" w:hAnsi="宋体"/>
          <w:szCs w:val="21"/>
          <w:highlight w:val="none"/>
          <w:u w:val="single"/>
        </w:rPr>
        <w:t>由此增加的费用和（或）延误的工期</w:t>
      </w:r>
      <w:r>
        <w:rPr>
          <w:rFonts w:ascii="宋体" w:hAnsi="宋体"/>
          <w:szCs w:val="21"/>
          <w:highlight w:val="none"/>
        </w:rPr>
        <w:t>。</w:t>
      </w:r>
    </w:p>
    <w:p w14:paraId="4E762099">
      <w:pPr>
        <w:spacing w:line="360" w:lineRule="auto"/>
        <w:ind w:firstLine="420" w:firstLineChars="200"/>
        <w:rPr>
          <w:rFonts w:hint="eastAsia" w:ascii="宋体" w:hAnsi="宋体"/>
          <w:szCs w:val="21"/>
          <w:highlight w:val="none"/>
        </w:rPr>
      </w:pPr>
      <w:r>
        <w:rPr>
          <w:rFonts w:ascii="宋体" w:hAnsi="宋体"/>
          <w:szCs w:val="21"/>
          <w:highlight w:val="none"/>
        </w:rPr>
        <w:t>3.2.4 承包人无正当理由拒绝更换项目经理的违约责任：</w:t>
      </w:r>
      <w:r>
        <w:rPr>
          <w:rFonts w:hint="eastAsia" w:ascii="宋体" w:hAnsi="宋体"/>
          <w:szCs w:val="21"/>
          <w:highlight w:val="none"/>
          <w:u w:val="single"/>
        </w:rPr>
        <w:t>处以人民币3万元的罚金并承担</w:t>
      </w:r>
      <w:r>
        <w:rPr>
          <w:rFonts w:ascii="宋体" w:hAnsi="宋体"/>
          <w:szCs w:val="21"/>
          <w:highlight w:val="none"/>
          <w:u w:val="single"/>
        </w:rPr>
        <w:t>由此增加的费用和（或）延误的工期</w:t>
      </w:r>
      <w:r>
        <w:rPr>
          <w:rFonts w:ascii="宋体" w:hAnsi="宋体"/>
          <w:szCs w:val="21"/>
          <w:highlight w:val="none"/>
        </w:rPr>
        <w:t>。</w:t>
      </w:r>
    </w:p>
    <w:p w14:paraId="6A794F25">
      <w:pPr>
        <w:spacing w:line="360" w:lineRule="auto"/>
        <w:ind w:firstLine="420" w:firstLineChars="200"/>
        <w:rPr>
          <w:rFonts w:hint="eastAsia" w:ascii="宋体" w:hAnsi="宋体"/>
          <w:szCs w:val="21"/>
          <w:highlight w:val="none"/>
        </w:rPr>
      </w:pPr>
      <w:r>
        <w:rPr>
          <w:rFonts w:hint="eastAsia" w:ascii="宋体" w:hAnsi="宋体"/>
          <w:szCs w:val="21"/>
          <w:highlight w:val="none"/>
        </w:rPr>
        <w:t>中标后项目经理变更的条件为：</w:t>
      </w:r>
      <w:r>
        <w:rPr>
          <w:rFonts w:hint="eastAsia" w:ascii="宋体" w:hAnsi="宋体"/>
          <w:szCs w:val="21"/>
          <w:highlight w:val="none"/>
          <w:u w:val="single"/>
        </w:rPr>
        <w:t>（1）因自身原因导致工程项目发生重大质量、安全事故的；（2）有违法、违规、违纪行为，被暂停或者吊销担任项目经理资格的；（3）不能胜任所承担的工程任务，采购人要求更换的；（4）变更工作单位的；（5）患严重疾病需要治疗或者修养，时间在一个月以上或者超过合同工期二分之一以上的。出现上述情形更换项目经理均视为承包人违约，采购人可对承包人处以人民币5万元的罚金，承包人承担</w:t>
      </w:r>
      <w:r>
        <w:rPr>
          <w:rFonts w:ascii="宋体" w:hAnsi="宋体"/>
          <w:szCs w:val="21"/>
          <w:highlight w:val="none"/>
          <w:u w:val="single"/>
        </w:rPr>
        <w:t>由此增加的费用和（或）延误的工期</w:t>
      </w:r>
      <w:r>
        <w:rPr>
          <w:rFonts w:hint="eastAsia" w:ascii="宋体" w:hAnsi="宋体"/>
          <w:szCs w:val="21"/>
          <w:highlight w:val="none"/>
          <w:u w:val="single"/>
        </w:rPr>
        <w:t>。</w:t>
      </w:r>
    </w:p>
    <w:p w14:paraId="5E4A8423">
      <w:pPr>
        <w:spacing w:line="360" w:lineRule="auto"/>
        <w:ind w:firstLine="420" w:firstLineChars="200"/>
        <w:rPr>
          <w:rFonts w:ascii="宋体" w:hAnsi="宋体"/>
          <w:szCs w:val="21"/>
          <w:highlight w:val="none"/>
        </w:rPr>
      </w:pPr>
      <w:r>
        <w:rPr>
          <w:rFonts w:ascii="宋体" w:hAnsi="宋体"/>
          <w:szCs w:val="21"/>
          <w:highlight w:val="none"/>
        </w:rPr>
        <w:t>3.3 承包人人员</w:t>
      </w:r>
    </w:p>
    <w:p w14:paraId="6ACA1CF7">
      <w:pPr>
        <w:spacing w:line="360" w:lineRule="auto"/>
        <w:ind w:firstLine="420" w:firstLineChars="200"/>
        <w:rPr>
          <w:rFonts w:ascii="宋体" w:hAnsi="宋体"/>
          <w:szCs w:val="21"/>
          <w:highlight w:val="none"/>
        </w:rPr>
      </w:pPr>
      <w:r>
        <w:rPr>
          <w:rFonts w:ascii="宋体" w:hAnsi="宋体"/>
          <w:szCs w:val="21"/>
          <w:highlight w:val="none"/>
        </w:rPr>
        <w:t>3.3.1 承包人提交项目管理机构及施工现场管理人员安排报告的期限：</w:t>
      </w:r>
      <w:r>
        <w:rPr>
          <w:rFonts w:hint="eastAsia" w:ascii="宋体" w:hAnsi="宋体"/>
          <w:szCs w:val="21"/>
          <w:highlight w:val="none"/>
          <w:u w:val="single"/>
        </w:rPr>
        <w:t xml:space="preserve">  按通用条款</w:t>
      </w:r>
      <w:r>
        <w:rPr>
          <w:rFonts w:ascii="宋体" w:hAnsi="宋体"/>
          <w:szCs w:val="21"/>
          <w:highlight w:val="none"/>
          <w:u w:val="single"/>
        </w:rPr>
        <w:t xml:space="preserve">  </w:t>
      </w:r>
      <w:r>
        <w:rPr>
          <w:rFonts w:ascii="宋体" w:hAnsi="宋体"/>
          <w:szCs w:val="21"/>
          <w:highlight w:val="none"/>
        </w:rPr>
        <w:t>。</w:t>
      </w:r>
    </w:p>
    <w:p w14:paraId="3164BF08">
      <w:pPr>
        <w:spacing w:line="360" w:lineRule="auto"/>
        <w:ind w:firstLine="420" w:firstLineChars="200"/>
        <w:rPr>
          <w:rFonts w:ascii="宋体" w:hAnsi="宋体"/>
          <w:szCs w:val="21"/>
          <w:highlight w:val="none"/>
        </w:rPr>
      </w:pPr>
      <w:r>
        <w:rPr>
          <w:rFonts w:ascii="宋体" w:hAnsi="宋体"/>
          <w:szCs w:val="21"/>
          <w:highlight w:val="none"/>
        </w:rPr>
        <w:t>3.3.3 承包人无正当理由拒绝撤换主要施工管理人员的违约责任：</w:t>
      </w:r>
      <w:r>
        <w:rPr>
          <w:rFonts w:hint="eastAsia" w:ascii="宋体" w:hAnsi="宋体"/>
          <w:szCs w:val="21"/>
          <w:highlight w:val="none"/>
          <w:u w:val="single"/>
        </w:rPr>
        <w:t>处以人民币1万元的罚金并承担</w:t>
      </w:r>
      <w:r>
        <w:rPr>
          <w:rFonts w:ascii="宋体" w:hAnsi="宋体"/>
          <w:szCs w:val="21"/>
          <w:highlight w:val="none"/>
          <w:u w:val="single"/>
        </w:rPr>
        <w:t>由此增加的费用和（或）延误的工期</w:t>
      </w:r>
      <w:r>
        <w:rPr>
          <w:rFonts w:ascii="宋体" w:hAnsi="宋体"/>
          <w:szCs w:val="21"/>
          <w:highlight w:val="none"/>
        </w:rPr>
        <w:t>。</w:t>
      </w:r>
    </w:p>
    <w:p w14:paraId="02DF2468">
      <w:pPr>
        <w:spacing w:line="360" w:lineRule="auto"/>
        <w:ind w:firstLine="420" w:firstLineChars="200"/>
        <w:rPr>
          <w:rFonts w:ascii="宋体" w:hAnsi="宋体"/>
          <w:szCs w:val="21"/>
          <w:highlight w:val="none"/>
          <w:u w:val="single"/>
        </w:rPr>
      </w:pPr>
      <w:r>
        <w:rPr>
          <w:rFonts w:ascii="宋体" w:hAnsi="宋体"/>
          <w:szCs w:val="21"/>
          <w:highlight w:val="none"/>
        </w:rPr>
        <w:t>3.3.4 承包人主要施工管理人员离开施工现场的批准要求</w:t>
      </w:r>
      <w:r>
        <w:rPr>
          <w:rFonts w:hint="eastAsia" w:ascii="宋体" w:hAnsi="宋体"/>
          <w:szCs w:val="21"/>
          <w:highlight w:val="none"/>
          <w:u w:val="single"/>
        </w:rPr>
        <w:t xml:space="preserve">  按通用条款  </w:t>
      </w:r>
      <w:r>
        <w:rPr>
          <w:rFonts w:ascii="宋体" w:hAnsi="宋体"/>
          <w:szCs w:val="21"/>
          <w:highlight w:val="none"/>
        </w:rPr>
        <w:t>。</w:t>
      </w:r>
    </w:p>
    <w:p w14:paraId="0960B5F7">
      <w:pPr>
        <w:spacing w:line="360" w:lineRule="auto"/>
        <w:ind w:firstLine="420" w:firstLineChars="200"/>
        <w:rPr>
          <w:rFonts w:ascii="宋体" w:hAnsi="宋体"/>
          <w:szCs w:val="21"/>
          <w:highlight w:val="none"/>
        </w:rPr>
      </w:pPr>
      <w:r>
        <w:rPr>
          <w:rFonts w:ascii="宋体" w:hAnsi="宋体"/>
          <w:szCs w:val="21"/>
          <w:highlight w:val="none"/>
        </w:rPr>
        <w:t>3.3.5承包人擅自更换主要施工管理人员的违约责任：</w:t>
      </w:r>
      <w:r>
        <w:rPr>
          <w:rFonts w:hint="eastAsia" w:ascii="宋体" w:hAnsi="宋体"/>
          <w:szCs w:val="21"/>
          <w:highlight w:val="none"/>
          <w:u w:val="single"/>
        </w:rPr>
        <w:t>按每人次人民币1万元处以罚金并承担</w:t>
      </w:r>
      <w:r>
        <w:rPr>
          <w:rFonts w:ascii="宋体" w:hAnsi="宋体"/>
          <w:szCs w:val="21"/>
          <w:highlight w:val="none"/>
          <w:u w:val="single"/>
        </w:rPr>
        <w:t>由此增加的费用和（或）延误的工期</w:t>
      </w:r>
      <w:r>
        <w:rPr>
          <w:rFonts w:ascii="宋体" w:hAnsi="宋体"/>
          <w:szCs w:val="21"/>
          <w:highlight w:val="none"/>
        </w:rPr>
        <w:t>。</w:t>
      </w:r>
    </w:p>
    <w:p w14:paraId="485088A5">
      <w:pPr>
        <w:spacing w:line="360" w:lineRule="auto"/>
        <w:ind w:firstLine="420" w:firstLineChars="200"/>
        <w:rPr>
          <w:rFonts w:hint="eastAsia" w:ascii="宋体" w:hAnsi="宋体"/>
          <w:szCs w:val="21"/>
          <w:highlight w:val="none"/>
          <w:u w:val="single"/>
        </w:rPr>
      </w:pPr>
      <w:r>
        <w:rPr>
          <w:rFonts w:ascii="宋体" w:hAnsi="宋体"/>
          <w:szCs w:val="21"/>
          <w:highlight w:val="none"/>
        </w:rPr>
        <w:t>承包人主要施工管理人员擅自离开施工现场的违约责任：</w:t>
      </w:r>
      <w:r>
        <w:rPr>
          <w:rFonts w:hint="eastAsia" w:ascii="宋体" w:hAnsi="宋体"/>
          <w:szCs w:val="21"/>
          <w:highlight w:val="none"/>
          <w:u w:val="single"/>
        </w:rPr>
        <w:t>施工员、质量员、安全员、材料员、资料员每月在本工地上班时间不足25天，以违约论，按每人每天</w:t>
      </w:r>
      <w:r>
        <w:rPr>
          <w:rFonts w:ascii="宋体" w:hAnsi="宋体"/>
          <w:szCs w:val="21"/>
          <w:highlight w:val="none"/>
          <w:u w:val="single"/>
        </w:rPr>
        <w:t>5</w:t>
      </w:r>
      <w:r>
        <w:rPr>
          <w:rFonts w:hint="eastAsia" w:ascii="宋体" w:hAnsi="宋体"/>
          <w:szCs w:val="21"/>
          <w:highlight w:val="none"/>
          <w:u w:val="single"/>
        </w:rPr>
        <w:t>00元支付违约金。考勤由发包方负责（上述人员应主动到发包方报到），须由发包方代表签字确认，直接作为扣除违约金的依据。</w:t>
      </w:r>
    </w:p>
    <w:p w14:paraId="21161543">
      <w:pPr>
        <w:spacing w:line="360" w:lineRule="auto"/>
        <w:ind w:firstLine="420" w:firstLineChars="200"/>
        <w:rPr>
          <w:rFonts w:ascii="宋体" w:hAnsi="宋体"/>
          <w:szCs w:val="21"/>
          <w:highlight w:val="none"/>
        </w:rPr>
      </w:pPr>
      <w:r>
        <w:rPr>
          <w:rFonts w:ascii="宋体" w:hAnsi="宋体"/>
          <w:szCs w:val="21"/>
          <w:highlight w:val="none"/>
        </w:rPr>
        <w:t>3</w:t>
      </w:r>
      <w:bookmarkStart w:id="143" w:name="_Toc292559869"/>
      <w:bookmarkStart w:id="144" w:name="_Toc300934945"/>
      <w:bookmarkStart w:id="145" w:name="_Toc304295523"/>
      <w:bookmarkStart w:id="146" w:name="_Toc296890987"/>
      <w:bookmarkStart w:id="147" w:name="_Toc297048345"/>
      <w:bookmarkStart w:id="148" w:name="_Toc292559364"/>
      <w:bookmarkStart w:id="149" w:name="_Toc297216151"/>
      <w:bookmarkStart w:id="150" w:name="_Toc297123492"/>
      <w:bookmarkStart w:id="151" w:name="_Toc296346660"/>
      <w:bookmarkStart w:id="152" w:name="_Toc312677988"/>
      <w:bookmarkStart w:id="153" w:name="_Toc296503159"/>
      <w:bookmarkStart w:id="154" w:name="_Toc303539102"/>
      <w:bookmarkStart w:id="155" w:name="_Toc296347158"/>
      <w:bookmarkStart w:id="156" w:name="_Toc297120459"/>
      <w:bookmarkStart w:id="157" w:name="_Toc296944498"/>
      <w:bookmarkStart w:id="158" w:name="_Toc296891199"/>
      <w:r>
        <w:rPr>
          <w:rFonts w:ascii="宋体" w:hAnsi="宋体"/>
          <w:szCs w:val="21"/>
          <w:highlight w:val="none"/>
        </w:rPr>
        <w:t>.5 分包</w:t>
      </w:r>
    </w:p>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14:paraId="68E86DF4">
      <w:pPr>
        <w:spacing w:line="360" w:lineRule="auto"/>
        <w:ind w:firstLine="420" w:firstLineChars="200"/>
        <w:rPr>
          <w:rFonts w:ascii="宋体" w:hAnsi="宋体"/>
          <w:szCs w:val="21"/>
          <w:highlight w:val="none"/>
        </w:rPr>
      </w:pPr>
      <w:r>
        <w:rPr>
          <w:rFonts w:ascii="宋体" w:hAnsi="宋体"/>
          <w:szCs w:val="21"/>
          <w:highlight w:val="none"/>
        </w:rPr>
        <w:t>3</w:t>
      </w:r>
      <w:bookmarkStart w:id="159" w:name="_Toc296891200"/>
      <w:bookmarkStart w:id="160" w:name="_Toc297120460"/>
      <w:bookmarkStart w:id="161" w:name="_Toc296944499"/>
      <w:bookmarkStart w:id="162" w:name="_Toc300934946"/>
      <w:bookmarkStart w:id="163" w:name="_Toc292559870"/>
      <w:bookmarkStart w:id="164" w:name="_Toc296503160"/>
      <w:bookmarkStart w:id="165" w:name="_Toc303539103"/>
      <w:bookmarkStart w:id="166" w:name="_Toc297216152"/>
      <w:bookmarkStart w:id="167" w:name="_Toc296346661"/>
      <w:bookmarkStart w:id="168" w:name="_Toc297048346"/>
      <w:bookmarkStart w:id="169" w:name="_Toc292559365"/>
      <w:bookmarkStart w:id="170" w:name="_Toc297123493"/>
      <w:bookmarkStart w:id="171" w:name="_Toc296890988"/>
      <w:bookmarkStart w:id="172" w:name="_Toc304295524"/>
      <w:bookmarkStart w:id="173" w:name="_Toc296347159"/>
      <w:bookmarkStart w:id="174" w:name="_Toc318581158"/>
      <w:bookmarkStart w:id="175" w:name="_Toc312677989"/>
      <w:r>
        <w:rPr>
          <w:rFonts w:ascii="宋体" w:hAnsi="宋体"/>
          <w:szCs w:val="21"/>
          <w:highlight w:val="none"/>
        </w:rPr>
        <w:t>.5.1 分包的一般约定</w:t>
      </w:r>
    </w:p>
    <w:p w14:paraId="791A7FA1">
      <w:pPr>
        <w:spacing w:line="360" w:lineRule="auto"/>
        <w:ind w:firstLine="420" w:firstLineChars="200"/>
        <w:rPr>
          <w:rFonts w:ascii="宋体" w:hAnsi="宋体"/>
          <w:szCs w:val="21"/>
          <w:highlight w:val="none"/>
        </w:rPr>
      </w:pPr>
      <w:r>
        <w:rPr>
          <w:rFonts w:ascii="宋体" w:hAnsi="宋体"/>
          <w:szCs w:val="21"/>
          <w:highlight w:val="none"/>
        </w:rPr>
        <w:t>禁止分包的工程包括：</w:t>
      </w:r>
      <w:r>
        <w:rPr>
          <w:rFonts w:ascii="宋体" w:hAnsi="宋体"/>
          <w:szCs w:val="21"/>
          <w:highlight w:val="none"/>
          <w:u w:val="single"/>
        </w:rPr>
        <w:t></w:t>
      </w:r>
      <w:r>
        <w:rPr>
          <w:rFonts w:hint="eastAsia" w:ascii="宋体" w:hAnsi="宋体"/>
          <w:szCs w:val="21"/>
          <w:highlight w:val="none"/>
          <w:u w:val="single"/>
        </w:rPr>
        <w:t>合同范围内所有内容均不得分包</w:t>
      </w:r>
      <w:r>
        <w:rPr>
          <w:rFonts w:ascii="宋体" w:hAnsi="宋体"/>
          <w:szCs w:val="21"/>
          <w:highlight w:val="none"/>
          <w:u w:val="single"/>
        </w:rPr>
        <w:t xml:space="preserve">   </w:t>
      </w:r>
      <w:r>
        <w:rPr>
          <w:rFonts w:ascii="宋体" w:hAnsi="宋体"/>
          <w:szCs w:val="21"/>
          <w:highlight w:val="none"/>
        </w:rPr>
        <w:t>。</w:t>
      </w:r>
    </w:p>
    <w:p w14:paraId="390C0DAB">
      <w:pPr>
        <w:spacing w:line="360" w:lineRule="auto"/>
        <w:ind w:firstLine="420" w:firstLineChars="200"/>
        <w:rPr>
          <w:rFonts w:ascii="宋体" w:hAnsi="宋体"/>
          <w:szCs w:val="21"/>
          <w:highlight w:val="none"/>
          <w:u w:val="single"/>
        </w:rPr>
      </w:pPr>
      <w:r>
        <w:rPr>
          <w:rFonts w:ascii="宋体" w:hAnsi="宋体"/>
          <w:szCs w:val="21"/>
          <w:highlight w:val="none"/>
        </w:rPr>
        <w:t>主体结构、关键性工作的范围：</w:t>
      </w:r>
      <w:r>
        <w:rPr>
          <w:rFonts w:ascii="宋体" w:hAnsi="宋体"/>
          <w:szCs w:val="21"/>
          <w:highlight w:val="none"/>
          <w:u w:val="single"/>
        </w:rPr>
        <w:t></w:t>
      </w:r>
      <w:r>
        <w:rPr>
          <w:rFonts w:hint="eastAsia" w:ascii="宋体" w:hAnsi="宋体"/>
          <w:szCs w:val="21"/>
          <w:highlight w:val="none"/>
          <w:u w:val="single"/>
        </w:rPr>
        <w:t xml:space="preserve">按采购人要求 </w:t>
      </w:r>
      <w:r>
        <w:rPr>
          <w:rFonts w:ascii="宋体" w:hAnsi="宋体"/>
          <w:szCs w:val="21"/>
          <w:highlight w:val="none"/>
          <w:u w:val="single"/>
        </w:rPr>
        <w:t xml:space="preserve"> </w:t>
      </w:r>
      <w:r>
        <w:rPr>
          <w:rFonts w:ascii="宋体" w:hAnsi="宋体"/>
          <w:szCs w:val="21"/>
          <w:highlight w:val="none"/>
        </w:rPr>
        <w: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Start w:id="176" w:name="_Toc300934947"/>
      <w:bookmarkStart w:id="177" w:name="_Toc296346662"/>
      <w:bookmarkStart w:id="178" w:name="_Toc296890989"/>
      <w:bookmarkStart w:id="179" w:name="_Toc297120461"/>
      <w:bookmarkStart w:id="180" w:name="_Toc303539104"/>
      <w:bookmarkStart w:id="181" w:name="_Toc296503161"/>
      <w:bookmarkStart w:id="182" w:name="_Toc296347160"/>
      <w:bookmarkStart w:id="183" w:name="_Toc297123494"/>
      <w:bookmarkStart w:id="184" w:name="_Toc297048347"/>
      <w:bookmarkStart w:id="185" w:name="_Toc296891201"/>
      <w:bookmarkStart w:id="186" w:name="_Toc296944500"/>
      <w:bookmarkStart w:id="187" w:name="_Toc297216153"/>
      <w:bookmarkStart w:id="188" w:name="_Toc304295525"/>
    </w:p>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14:paraId="138292CD">
      <w:pPr>
        <w:spacing w:line="360" w:lineRule="auto"/>
        <w:ind w:firstLine="315" w:firstLineChars="150"/>
        <w:rPr>
          <w:rFonts w:ascii="宋体" w:hAnsi="宋体"/>
          <w:szCs w:val="21"/>
          <w:highlight w:val="none"/>
        </w:rPr>
      </w:pPr>
      <w:r>
        <w:rPr>
          <w:rFonts w:ascii="宋体" w:hAnsi="宋体"/>
          <w:szCs w:val="21"/>
          <w:highlight w:val="none"/>
        </w:rPr>
        <w:t xml:space="preserve"> 3</w:t>
      </w:r>
      <w:bookmarkStart w:id="189" w:name="_Toc318581159"/>
      <w:bookmarkStart w:id="190" w:name="_Toc312677990"/>
      <w:r>
        <w:rPr>
          <w:rFonts w:ascii="宋体" w:hAnsi="宋体"/>
          <w:szCs w:val="21"/>
          <w:highlight w:val="none"/>
        </w:rPr>
        <w:t>.5.2分包的确定</w:t>
      </w:r>
    </w:p>
    <w:p w14:paraId="4E150A6B">
      <w:pPr>
        <w:spacing w:line="360" w:lineRule="auto"/>
        <w:ind w:firstLine="420" w:firstLineChars="200"/>
        <w:rPr>
          <w:rFonts w:ascii="宋体" w:hAnsi="宋体"/>
          <w:szCs w:val="21"/>
          <w:highlight w:val="none"/>
          <w:u w:val="single"/>
        </w:rPr>
      </w:pPr>
      <w:r>
        <w:rPr>
          <w:rFonts w:ascii="宋体" w:hAnsi="宋体"/>
          <w:szCs w:val="21"/>
          <w:highlight w:val="none"/>
        </w:rPr>
        <w:t>允许分包的专业工程包括：</w:t>
      </w:r>
      <w:r>
        <w:rPr>
          <w:rFonts w:ascii="宋体" w:hAnsi="宋体"/>
          <w:szCs w:val="21"/>
          <w:highlight w:val="none"/>
          <w:u w:val="single"/>
        </w:rPr>
        <w:t></w:t>
      </w:r>
      <w:r>
        <w:rPr>
          <w:rFonts w:hint="eastAsia" w:ascii="宋体" w:hAnsi="宋体"/>
          <w:szCs w:val="21"/>
          <w:highlight w:val="none"/>
          <w:u w:val="single"/>
        </w:rPr>
        <w:t>无</w:t>
      </w:r>
      <w:r>
        <w:rPr>
          <w:rFonts w:ascii="宋体" w:hAnsi="宋体"/>
          <w:szCs w:val="21"/>
          <w:highlight w:val="none"/>
          <w:u w:val="single"/>
        </w:rPr>
        <w:t xml:space="preserve">     </w:t>
      </w:r>
      <w:r>
        <w:rPr>
          <w:rFonts w:ascii="宋体" w:hAnsi="宋体"/>
          <w:szCs w:val="21"/>
          <w:highlight w:val="none"/>
        </w:rPr>
        <w:t>。</w:t>
      </w:r>
    </w:p>
    <w:p w14:paraId="28976E68">
      <w:pPr>
        <w:spacing w:line="360" w:lineRule="auto"/>
        <w:ind w:firstLine="420" w:firstLineChars="200"/>
        <w:rPr>
          <w:rFonts w:ascii="宋体" w:hAnsi="宋体"/>
          <w:szCs w:val="21"/>
          <w:highlight w:val="none"/>
        </w:rPr>
      </w:pPr>
      <w:r>
        <w:rPr>
          <w:rFonts w:ascii="宋体" w:hAnsi="宋体"/>
          <w:szCs w:val="21"/>
          <w:highlight w:val="none"/>
        </w:rPr>
        <w:t>其他关于分包的约定：</w:t>
      </w:r>
      <w:r>
        <w:rPr>
          <w:rFonts w:ascii="宋体" w:hAnsi="宋体"/>
          <w:szCs w:val="21"/>
          <w:highlight w:val="none"/>
          <w:u w:val="single"/>
        </w:rPr>
        <w:t xml:space="preserve">     </w:t>
      </w:r>
      <w:r>
        <w:rPr>
          <w:rFonts w:hint="eastAsia" w:ascii="宋体" w:hAnsi="宋体"/>
          <w:szCs w:val="21"/>
          <w:highlight w:val="none"/>
          <w:u w:val="single"/>
        </w:rPr>
        <w:t xml:space="preserve">无 </w:t>
      </w:r>
      <w:r>
        <w:rPr>
          <w:rFonts w:ascii="宋体" w:hAnsi="宋体"/>
          <w:szCs w:val="21"/>
          <w:highlight w:val="none"/>
          <w:u w:val="single"/>
        </w:rPr>
        <w:t xml:space="preserve">   </w:t>
      </w:r>
      <w:r>
        <w:rPr>
          <w:rFonts w:ascii="宋体" w:hAnsi="宋体"/>
          <w:szCs w:val="21"/>
          <w:highlight w:val="none"/>
        </w:rPr>
        <w:t>。</w:t>
      </w:r>
    </w:p>
    <w:p w14:paraId="74C1F4CD">
      <w:pPr>
        <w:spacing w:line="360" w:lineRule="auto"/>
        <w:ind w:firstLine="420" w:firstLineChars="200"/>
        <w:rPr>
          <w:rFonts w:ascii="宋体" w:hAnsi="宋体"/>
          <w:szCs w:val="21"/>
          <w:highlight w:val="none"/>
        </w:rPr>
      </w:pPr>
      <w:r>
        <w:rPr>
          <w:rFonts w:ascii="宋体" w:hAnsi="宋体"/>
          <w:szCs w:val="21"/>
          <w:highlight w:val="none"/>
        </w:rPr>
        <w:t>3.5.4 分包合同价款</w:t>
      </w:r>
    </w:p>
    <w:p w14:paraId="3D3037D6">
      <w:pPr>
        <w:spacing w:line="360" w:lineRule="auto"/>
        <w:ind w:firstLine="420" w:firstLineChars="200"/>
        <w:rPr>
          <w:rFonts w:ascii="宋体" w:hAnsi="宋体"/>
          <w:szCs w:val="21"/>
          <w:highlight w:val="none"/>
        </w:rPr>
      </w:pPr>
      <w:r>
        <w:rPr>
          <w:rFonts w:ascii="宋体" w:hAnsi="宋体"/>
          <w:szCs w:val="21"/>
          <w:highlight w:val="none"/>
        </w:rPr>
        <w:t>关于分包合同价款支付的约定：</w:t>
      </w:r>
      <w:r>
        <w:rPr>
          <w:rFonts w:ascii="宋体" w:hAnsi="宋体"/>
          <w:szCs w:val="21"/>
          <w:highlight w:val="none"/>
          <w:u w:val="single"/>
        </w:rPr>
        <w:t></w:t>
      </w:r>
      <w:r>
        <w:rPr>
          <w:rFonts w:hint="eastAsia" w:ascii="宋体" w:hAnsi="宋体"/>
          <w:szCs w:val="21"/>
          <w:highlight w:val="none"/>
          <w:u w:val="single"/>
        </w:rPr>
        <w:t>/</w:t>
      </w:r>
      <w:r>
        <w:rPr>
          <w:rFonts w:ascii="宋体" w:hAnsi="宋体"/>
          <w:szCs w:val="21"/>
          <w:highlight w:val="none"/>
          <w:u w:val="single"/>
        </w:rPr>
        <w:t xml:space="preserve">    </w:t>
      </w:r>
      <w:r>
        <w:rPr>
          <w:rFonts w:ascii="宋体" w:hAnsi="宋体"/>
          <w:szCs w:val="21"/>
          <w:highlight w:val="none"/>
        </w:rPr>
        <w:t>。</w:t>
      </w:r>
    </w:p>
    <w:bookmarkEnd w:id="189"/>
    <w:bookmarkEnd w:id="190"/>
    <w:p w14:paraId="375D8EA9">
      <w:pPr>
        <w:spacing w:line="360" w:lineRule="auto"/>
        <w:ind w:firstLine="420" w:firstLineChars="200"/>
        <w:rPr>
          <w:rFonts w:ascii="宋体" w:hAnsi="宋体"/>
          <w:szCs w:val="21"/>
          <w:highlight w:val="none"/>
        </w:rPr>
      </w:pPr>
      <w:r>
        <w:rPr>
          <w:rFonts w:ascii="宋体" w:hAnsi="宋体"/>
          <w:szCs w:val="21"/>
          <w:highlight w:val="none"/>
        </w:rPr>
        <w:t>3.6 工程照管与成品、半成品保护</w:t>
      </w:r>
    </w:p>
    <w:p w14:paraId="0DB77E4A">
      <w:pPr>
        <w:spacing w:line="360" w:lineRule="auto"/>
        <w:ind w:firstLine="420" w:firstLineChars="200"/>
        <w:rPr>
          <w:rFonts w:ascii="宋体" w:hAnsi="宋体"/>
          <w:kern w:val="0"/>
          <w:szCs w:val="21"/>
          <w:highlight w:val="none"/>
          <w:u w:val="single"/>
        </w:rPr>
      </w:pPr>
      <w:r>
        <w:rPr>
          <w:rFonts w:ascii="宋体" w:hAnsi="宋体"/>
          <w:kern w:val="0"/>
          <w:szCs w:val="21"/>
          <w:highlight w:val="none"/>
        </w:rPr>
        <w:t>承包人负责照管工程及工程相关的材料、工程设备的起始时间：</w:t>
      </w:r>
      <w:r>
        <w:rPr>
          <w:rFonts w:ascii="宋体" w:hAnsi="宋体"/>
          <w:kern w:val="0"/>
          <w:szCs w:val="21"/>
          <w:highlight w:val="none"/>
          <w:u w:val="single"/>
        </w:rPr>
        <w:t xml:space="preserve">    </w:t>
      </w:r>
      <w:r>
        <w:rPr>
          <w:rFonts w:hint="eastAsia" w:ascii="宋体" w:hAnsi="宋体"/>
          <w:szCs w:val="21"/>
          <w:highlight w:val="none"/>
          <w:u w:val="single"/>
        </w:rPr>
        <w:t>按通用条款</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p>
    <w:p w14:paraId="684FE24C">
      <w:pPr>
        <w:spacing w:line="360" w:lineRule="auto"/>
        <w:ind w:firstLine="420" w:firstLineChars="200"/>
        <w:rPr>
          <w:rFonts w:ascii="宋体" w:hAnsi="宋体"/>
          <w:szCs w:val="21"/>
          <w:highlight w:val="none"/>
        </w:rPr>
      </w:pPr>
      <w:r>
        <w:rPr>
          <w:rFonts w:ascii="宋体" w:hAnsi="宋体"/>
          <w:szCs w:val="21"/>
          <w:highlight w:val="none"/>
        </w:rPr>
        <w:t>3.7 履约担保</w:t>
      </w:r>
    </w:p>
    <w:p w14:paraId="05EC4FAE">
      <w:pPr>
        <w:spacing w:line="360" w:lineRule="auto"/>
        <w:ind w:firstLine="420" w:firstLineChars="200"/>
        <w:rPr>
          <w:rFonts w:hint="eastAsia" w:ascii="宋体" w:hAnsi="宋体"/>
          <w:szCs w:val="21"/>
          <w:highlight w:val="none"/>
        </w:rPr>
      </w:pPr>
      <w:r>
        <w:rPr>
          <w:rFonts w:hint="eastAsia" w:ascii="宋体" w:hAnsi="宋体"/>
          <w:szCs w:val="21"/>
          <w:highlight w:val="none"/>
        </w:rPr>
        <w:t>承包人是否提供履约担保：</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w:t>
      </w:r>
    </w:p>
    <w:p w14:paraId="1B0454AB">
      <w:pPr>
        <w:spacing w:line="380" w:lineRule="exact"/>
        <w:ind w:firstLine="420" w:firstLineChars="200"/>
        <w:jc w:val="left"/>
        <w:rPr>
          <w:rFonts w:hint="eastAsia" w:ascii="宋体" w:hAnsi="宋体"/>
          <w:szCs w:val="21"/>
          <w:highlight w:val="none"/>
          <w:u w:val="single"/>
        </w:rPr>
      </w:pPr>
      <w:r>
        <w:rPr>
          <w:rFonts w:ascii="宋体" w:hAnsi="宋体"/>
          <w:szCs w:val="21"/>
          <w:highlight w:val="none"/>
        </w:rPr>
        <w:t>承包人提供履约担保的形式</w:t>
      </w:r>
      <w:r>
        <w:rPr>
          <w:rFonts w:hint="eastAsia" w:ascii="宋体" w:hAnsi="宋体"/>
          <w:szCs w:val="21"/>
          <w:highlight w:val="none"/>
        </w:rPr>
        <w:t>、金额及期限的</w:t>
      </w:r>
      <w:r>
        <w:rPr>
          <w:rFonts w:ascii="宋体" w:hAnsi="宋体"/>
          <w:szCs w:val="21"/>
          <w:highlight w:val="none"/>
        </w:rPr>
        <w:t>：</w:t>
      </w:r>
      <w:r>
        <w:rPr>
          <w:rFonts w:hint="eastAsia" w:ascii="宋体" w:hAnsi="宋体"/>
          <w:szCs w:val="21"/>
          <w:highlight w:val="none"/>
          <w:u w:val="single"/>
        </w:rPr>
        <w:t xml:space="preserve">    /       。</w:t>
      </w:r>
    </w:p>
    <w:p w14:paraId="599D8169">
      <w:pPr>
        <w:spacing w:line="360" w:lineRule="auto"/>
        <w:ind w:firstLine="422" w:firstLineChars="200"/>
        <w:rPr>
          <w:rFonts w:ascii="宋体" w:hAnsi="宋体"/>
          <w:b/>
          <w:szCs w:val="21"/>
          <w:highlight w:val="none"/>
        </w:rPr>
      </w:pPr>
      <w:bookmarkStart w:id="191" w:name="_Toc351203636"/>
      <w:r>
        <w:rPr>
          <w:rFonts w:ascii="宋体" w:hAnsi="宋体"/>
          <w:b/>
          <w:szCs w:val="21"/>
          <w:highlight w:val="none"/>
        </w:rPr>
        <w:t>4</w:t>
      </w:r>
      <w:bookmarkStart w:id="192" w:name="_Toc292559366"/>
      <w:bookmarkStart w:id="193" w:name="_Toc267251413"/>
      <w:bookmarkStart w:id="194" w:name="_Toc297048348"/>
      <w:bookmarkStart w:id="195" w:name="_Toc296347161"/>
      <w:bookmarkStart w:id="196" w:name="_Toc292559871"/>
      <w:bookmarkStart w:id="197" w:name="_Toc296346663"/>
      <w:bookmarkStart w:id="198" w:name="_Toc297120462"/>
      <w:bookmarkStart w:id="199" w:name="_Toc296891202"/>
      <w:bookmarkStart w:id="200" w:name="_Toc296944501"/>
      <w:bookmarkStart w:id="201" w:name="_Toc296503162"/>
      <w:bookmarkStart w:id="202" w:name="_Toc296890990"/>
      <w:r>
        <w:rPr>
          <w:rFonts w:ascii="宋体" w:hAnsi="宋体"/>
          <w:b/>
          <w:szCs w:val="21"/>
          <w:highlight w:val="none"/>
        </w:rPr>
        <w:t>. 监</w:t>
      </w:r>
      <w:bookmarkEnd w:id="192"/>
      <w:bookmarkEnd w:id="193"/>
      <w:bookmarkEnd w:id="194"/>
      <w:bookmarkEnd w:id="195"/>
      <w:bookmarkEnd w:id="196"/>
      <w:bookmarkEnd w:id="197"/>
      <w:bookmarkEnd w:id="198"/>
      <w:bookmarkEnd w:id="199"/>
      <w:bookmarkEnd w:id="200"/>
      <w:bookmarkEnd w:id="201"/>
      <w:bookmarkEnd w:id="202"/>
      <w:r>
        <w:rPr>
          <w:rFonts w:ascii="宋体" w:hAnsi="宋体"/>
          <w:b/>
          <w:szCs w:val="21"/>
          <w:highlight w:val="none"/>
        </w:rPr>
        <w:t>理人</w:t>
      </w:r>
      <w:bookmarkEnd w:id="191"/>
    </w:p>
    <w:p w14:paraId="00B02EFA">
      <w:pPr>
        <w:spacing w:line="360" w:lineRule="auto"/>
        <w:ind w:firstLine="420" w:firstLineChars="200"/>
        <w:rPr>
          <w:rFonts w:ascii="宋体" w:hAnsi="宋体"/>
          <w:szCs w:val="21"/>
          <w:highlight w:val="none"/>
        </w:rPr>
      </w:pPr>
      <w:r>
        <w:rPr>
          <w:rFonts w:ascii="宋体" w:hAnsi="宋体"/>
          <w:szCs w:val="21"/>
          <w:highlight w:val="none"/>
        </w:rPr>
        <w:t>4.1监理人的一般规定</w:t>
      </w:r>
    </w:p>
    <w:p w14:paraId="6FE6BCD7">
      <w:pPr>
        <w:spacing w:line="360" w:lineRule="auto"/>
        <w:ind w:firstLine="420" w:firstLineChars="200"/>
        <w:rPr>
          <w:rFonts w:ascii="宋体" w:hAnsi="宋体"/>
          <w:szCs w:val="21"/>
          <w:highlight w:val="none"/>
        </w:rPr>
      </w:pPr>
      <w:r>
        <w:rPr>
          <w:rFonts w:ascii="宋体" w:hAnsi="宋体"/>
          <w:szCs w:val="21"/>
          <w:highlight w:val="none"/>
        </w:rPr>
        <w:t>关于监理人的监理内容：</w:t>
      </w:r>
      <w:r>
        <w:rPr>
          <w:rFonts w:ascii="宋体" w:hAnsi="宋体"/>
          <w:szCs w:val="21"/>
          <w:highlight w:val="none"/>
          <w:u w:val="single"/>
        </w:rPr>
        <w:t xml:space="preserve">     </w:t>
      </w:r>
      <w:r>
        <w:rPr>
          <w:rFonts w:hint="eastAsia" w:ascii="宋体" w:hAnsi="宋体"/>
          <w:szCs w:val="21"/>
          <w:highlight w:val="none"/>
          <w:u w:val="single"/>
        </w:rPr>
        <w:t>按监理合同</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2D3FBA0A">
      <w:pPr>
        <w:spacing w:line="360" w:lineRule="auto"/>
        <w:ind w:firstLine="420" w:firstLineChars="200"/>
        <w:rPr>
          <w:rFonts w:ascii="宋体" w:hAnsi="宋体"/>
          <w:szCs w:val="21"/>
          <w:highlight w:val="none"/>
        </w:rPr>
      </w:pPr>
      <w:r>
        <w:rPr>
          <w:rFonts w:ascii="宋体" w:hAnsi="宋体"/>
          <w:szCs w:val="21"/>
          <w:highlight w:val="none"/>
        </w:rPr>
        <w:t>关于监理人的监理权限：</w:t>
      </w:r>
      <w:r>
        <w:rPr>
          <w:rFonts w:ascii="宋体" w:hAnsi="宋体"/>
          <w:szCs w:val="21"/>
          <w:highlight w:val="none"/>
          <w:u w:val="single"/>
        </w:rPr>
        <w:t xml:space="preserve">     </w:t>
      </w:r>
      <w:r>
        <w:rPr>
          <w:rFonts w:hint="eastAsia" w:ascii="宋体" w:hAnsi="宋体"/>
          <w:szCs w:val="21"/>
          <w:highlight w:val="none"/>
          <w:u w:val="single"/>
        </w:rPr>
        <w:t>按监理合同</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p>
    <w:p w14:paraId="7E106341">
      <w:pPr>
        <w:spacing w:line="360" w:lineRule="auto"/>
        <w:ind w:firstLine="420" w:firstLineChars="200"/>
        <w:rPr>
          <w:rFonts w:hint="eastAsia" w:ascii="宋体" w:hAnsi="宋体"/>
          <w:szCs w:val="21"/>
          <w:highlight w:val="none"/>
          <w:u w:val="single"/>
        </w:rPr>
      </w:pPr>
      <w:r>
        <w:rPr>
          <w:rFonts w:ascii="宋体" w:hAnsi="宋体"/>
          <w:szCs w:val="21"/>
          <w:highlight w:val="none"/>
        </w:rPr>
        <w:t>关于监理人在施工现场的办公场所、生活场所的提供和费用承担的约定：</w:t>
      </w:r>
      <w:r>
        <w:rPr>
          <w:rFonts w:hint="eastAsia" w:ascii="宋体" w:hAnsi="宋体"/>
          <w:szCs w:val="21"/>
          <w:highlight w:val="none"/>
          <w:u w:val="single"/>
        </w:rPr>
        <w:t xml:space="preserve">   /   </w:t>
      </w:r>
      <w:r>
        <w:rPr>
          <w:rFonts w:ascii="宋体" w:hAnsi="宋体"/>
          <w:szCs w:val="21"/>
          <w:highlight w:val="none"/>
        </w:rPr>
        <w:t>。</w:t>
      </w:r>
    </w:p>
    <w:p w14:paraId="0DCCA999">
      <w:pPr>
        <w:spacing w:line="360" w:lineRule="auto"/>
        <w:ind w:firstLine="420" w:firstLineChars="200"/>
        <w:rPr>
          <w:rFonts w:ascii="宋体" w:hAnsi="宋体"/>
          <w:szCs w:val="21"/>
          <w:highlight w:val="none"/>
        </w:rPr>
      </w:pPr>
      <w:r>
        <w:rPr>
          <w:rFonts w:ascii="宋体" w:hAnsi="宋体"/>
          <w:szCs w:val="21"/>
          <w:highlight w:val="none"/>
        </w:rPr>
        <w:t>4.2监理人员</w:t>
      </w:r>
    </w:p>
    <w:p w14:paraId="75055573">
      <w:pPr>
        <w:spacing w:line="360" w:lineRule="auto"/>
        <w:ind w:firstLine="420" w:firstLineChars="200"/>
        <w:rPr>
          <w:rFonts w:ascii="宋体" w:hAnsi="宋体"/>
          <w:szCs w:val="21"/>
          <w:highlight w:val="none"/>
        </w:rPr>
      </w:pPr>
      <w:r>
        <w:rPr>
          <w:rFonts w:ascii="宋体" w:hAnsi="宋体"/>
          <w:szCs w:val="21"/>
          <w:highlight w:val="none"/>
        </w:rPr>
        <w:t>总监理工程师：</w:t>
      </w:r>
    </w:p>
    <w:p w14:paraId="274A3F59">
      <w:pPr>
        <w:spacing w:line="360" w:lineRule="auto"/>
        <w:ind w:firstLine="420" w:firstLineChars="200"/>
        <w:rPr>
          <w:rFonts w:ascii="宋体" w:hAnsi="宋体"/>
          <w:szCs w:val="21"/>
          <w:highlight w:val="none"/>
        </w:rPr>
      </w:pPr>
      <w:r>
        <w:rPr>
          <w:rFonts w:ascii="宋体" w:hAnsi="宋体"/>
          <w:szCs w:val="21"/>
          <w:highlight w:val="none"/>
        </w:rPr>
        <w:t>姓    名：</w:t>
      </w:r>
      <w:r>
        <w:rPr>
          <w:rFonts w:ascii="宋体" w:hAnsi="宋体"/>
          <w:szCs w:val="21"/>
          <w:highlight w:val="none"/>
          <w:u w:val="single"/>
        </w:rPr>
        <w:t>   </w:t>
      </w:r>
      <w:r>
        <w:rPr>
          <w:rFonts w:ascii="宋体" w:hAnsi="宋体"/>
          <w:szCs w:val="21"/>
          <w:highlight w:val="none"/>
        </w:rPr>
        <w:t>；</w:t>
      </w:r>
    </w:p>
    <w:p w14:paraId="732FBBF0">
      <w:pPr>
        <w:spacing w:line="360" w:lineRule="auto"/>
        <w:ind w:firstLine="420" w:firstLineChars="200"/>
        <w:rPr>
          <w:rFonts w:ascii="宋体" w:hAnsi="宋体"/>
          <w:szCs w:val="21"/>
          <w:highlight w:val="none"/>
        </w:rPr>
      </w:pPr>
      <w:r>
        <w:rPr>
          <w:rFonts w:ascii="宋体" w:hAnsi="宋体"/>
          <w:szCs w:val="21"/>
          <w:highlight w:val="none"/>
        </w:rPr>
        <w:t>职    务：</w:t>
      </w:r>
      <w:r>
        <w:rPr>
          <w:rFonts w:ascii="宋体" w:hAnsi="宋体"/>
          <w:szCs w:val="21"/>
          <w:highlight w:val="none"/>
          <w:u w:val="single"/>
        </w:rPr>
        <w:t>   </w:t>
      </w:r>
      <w:r>
        <w:rPr>
          <w:rFonts w:ascii="宋体" w:hAnsi="宋体"/>
          <w:szCs w:val="21"/>
          <w:highlight w:val="none"/>
        </w:rPr>
        <w:t>；</w:t>
      </w:r>
    </w:p>
    <w:p w14:paraId="3248D299">
      <w:pPr>
        <w:spacing w:line="360" w:lineRule="auto"/>
        <w:ind w:firstLine="420" w:firstLineChars="200"/>
        <w:rPr>
          <w:rFonts w:ascii="宋体" w:hAnsi="宋体"/>
          <w:szCs w:val="21"/>
          <w:highlight w:val="none"/>
        </w:rPr>
      </w:pPr>
      <w:r>
        <w:rPr>
          <w:rFonts w:ascii="宋体" w:hAnsi="宋体"/>
          <w:szCs w:val="21"/>
          <w:highlight w:val="none"/>
        </w:rPr>
        <w:t>监理工程师执业资格证书号：</w:t>
      </w:r>
      <w:r>
        <w:rPr>
          <w:rFonts w:ascii="宋体" w:hAnsi="宋体"/>
          <w:szCs w:val="21"/>
          <w:highlight w:val="none"/>
          <w:u w:val="single"/>
        </w:rPr>
        <w:t> </w:t>
      </w:r>
      <w:r>
        <w:rPr>
          <w:rFonts w:ascii="宋体" w:hAnsi="宋体"/>
          <w:szCs w:val="21"/>
          <w:highlight w:val="none"/>
        </w:rPr>
        <w:t>；</w:t>
      </w:r>
    </w:p>
    <w:p w14:paraId="10B2FBAC">
      <w:pPr>
        <w:spacing w:line="360" w:lineRule="auto"/>
        <w:ind w:firstLine="420" w:firstLineChars="200"/>
        <w:rPr>
          <w:rFonts w:ascii="宋体" w:hAnsi="宋体"/>
          <w:szCs w:val="21"/>
          <w:highlight w:val="none"/>
        </w:rPr>
      </w:pPr>
      <w:r>
        <w:rPr>
          <w:rFonts w:ascii="宋体" w:hAnsi="宋体"/>
          <w:szCs w:val="21"/>
          <w:highlight w:val="none"/>
        </w:rPr>
        <w:t>联系电话：</w:t>
      </w:r>
      <w:r>
        <w:rPr>
          <w:rFonts w:ascii="宋体" w:hAnsi="宋体"/>
          <w:szCs w:val="21"/>
          <w:highlight w:val="none"/>
          <w:u w:val="single"/>
        </w:rPr>
        <w:t>   </w:t>
      </w:r>
      <w:r>
        <w:rPr>
          <w:rFonts w:ascii="宋体" w:hAnsi="宋体"/>
          <w:szCs w:val="21"/>
          <w:highlight w:val="none"/>
        </w:rPr>
        <w:t>；</w:t>
      </w:r>
    </w:p>
    <w:p w14:paraId="65BC3975">
      <w:pPr>
        <w:spacing w:line="360" w:lineRule="auto"/>
        <w:ind w:firstLine="420" w:firstLineChars="200"/>
        <w:rPr>
          <w:rFonts w:ascii="宋体" w:hAnsi="宋体"/>
          <w:szCs w:val="21"/>
          <w:highlight w:val="none"/>
        </w:rPr>
      </w:pPr>
      <w:r>
        <w:rPr>
          <w:rFonts w:ascii="宋体" w:hAnsi="宋体"/>
          <w:szCs w:val="21"/>
          <w:highlight w:val="none"/>
        </w:rPr>
        <w:t>电子信箱：</w:t>
      </w:r>
      <w:r>
        <w:rPr>
          <w:rFonts w:ascii="宋体" w:hAnsi="宋体"/>
          <w:szCs w:val="21"/>
          <w:highlight w:val="none"/>
          <w:u w:val="single"/>
        </w:rPr>
        <w:t>   </w:t>
      </w:r>
      <w:r>
        <w:rPr>
          <w:rFonts w:ascii="宋体" w:hAnsi="宋体"/>
          <w:szCs w:val="21"/>
          <w:highlight w:val="none"/>
        </w:rPr>
        <w:t>；</w:t>
      </w:r>
    </w:p>
    <w:p w14:paraId="7DC33DE8">
      <w:pPr>
        <w:spacing w:line="360" w:lineRule="auto"/>
        <w:ind w:firstLine="420" w:firstLineChars="200"/>
        <w:rPr>
          <w:rFonts w:ascii="宋体" w:hAnsi="宋体"/>
          <w:szCs w:val="21"/>
          <w:highlight w:val="none"/>
        </w:rPr>
      </w:pPr>
      <w:r>
        <w:rPr>
          <w:rFonts w:ascii="宋体" w:hAnsi="宋体"/>
          <w:szCs w:val="21"/>
          <w:highlight w:val="none"/>
        </w:rPr>
        <w:t>通信地址：</w:t>
      </w:r>
      <w:r>
        <w:rPr>
          <w:rFonts w:ascii="宋体" w:hAnsi="宋体"/>
          <w:szCs w:val="21"/>
          <w:highlight w:val="none"/>
          <w:u w:val="single"/>
        </w:rPr>
        <w:t>   </w:t>
      </w:r>
      <w:r>
        <w:rPr>
          <w:rFonts w:ascii="宋体" w:hAnsi="宋体"/>
          <w:szCs w:val="21"/>
          <w:highlight w:val="none"/>
        </w:rPr>
        <w:t>；</w:t>
      </w:r>
    </w:p>
    <w:p w14:paraId="713D9F92">
      <w:pPr>
        <w:spacing w:line="360" w:lineRule="auto"/>
        <w:ind w:firstLine="420" w:firstLineChars="200"/>
        <w:rPr>
          <w:rFonts w:ascii="宋体" w:hAnsi="宋体"/>
          <w:szCs w:val="21"/>
          <w:highlight w:val="none"/>
        </w:rPr>
      </w:pPr>
      <w:r>
        <w:rPr>
          <w:rFonts w:ascii="宋体" w:hAnsi="宋体"/>
          <w:szCs w:val="21"/>
          <w:highlight w:val="none"/>
        </w:rPr>
        <w:t>关于监理人的其他约定：</w:t>
      </w:r>
      <w:r>
        <w:rPr>
          <w:rFonts w:ascii="宋体" w:hAnsi="宋体"/>
          <w:szCs w:val="21"/>
          <w:highlight w:val="none"/>
          <w:u w:val="single"/>
        </w:rPr>
        <w:t>   </w:t>
      </w:r>
      <w:r>
        <w:rPr>
          <w:rFonts w:ascii="宋体" w:hAnsi="宋体"/>
          <w:szCs w:val="21"/>
          <w:highlight w:val="none"/>
        </w:rPr>
        <w:t>。</w:t>
      </w:r>
    </w:p>
    <w:p w14:paraId="1F546E3D">
      <w:pPr>
        <w:spacing w:line="360" w:lineRule="auto"/>
        <w:ind w:firstLine="420" w:firstLineChars="200"/>
        <w:rPr>
          <w:rFonts w:ascii="宋体" w:hAnsi="宋体"/>
          <w:szCs w:val="21"/>
          <w:highlight w:val="none"/>
        </w:rPr>
      </w:pPr>
      <w:r>
        <w:rPr>
          <w:rFonts w:ascii="宋体" w:hAnsi="宋体"/>
          <w:szCs w:val="21"/>
          <w:highlight w:val="none"/>
        </w:rPr>
        <w:t>4.4 商定或确定</w:t>
      </w:r>
    </w:p>
    <w:p w14:paraId="50AA3C06">
      <w:pPr>
        <w:spacing w:line="360" w:lineRule="auto"/>
        <w:ind w:firstLine="420" w:firstLineChars="200"/>
        <w:rPr>
          <w:rFonts w:ascii="宋体" w:hAnsi="宋体"/>
          <w:szCs w:val="21"/>
          <w:highlight w:val="none"/>
        </w:rPr>
      </w:pPr>
      <w:bookmarkStart w:id="203" w:name="_Toc267251418"/>
      <w:r>
        <w:rPr>
          <w:rFonts w:ascii="宋体" w:hAnsi="宋体"/>
          <w:szCs w:val="21"/>
          <w:highlight w:val="none"/>
        </w:rPr>
        <w:t>在采购人和承包人不能通过协商达成一致意见时，采购人授权监理人对以下事项进行确定：</w:t>
      </w:r>
    </w:p>
    <w:p w14:paraId="0CAFDE5D">
      <w:pPr>
        <w:spacing w:line="360" w:lineRule="auto"/>
        <w:ind w:firstLine="420" w:firstLineChars="200"/>
        <w:rPr>
          <w:rFonts w:ascii="宋体" w:hAnsi="宋体"/>
          <w:kern w:val="0"/>
          <w:szCs w:val="21"/>
          <w:highlight w:val="none"/>
        </w:rPr>
      </w:pPr>
      <w:r>
        <w:rPr>
          <w:rFonts w:ascii="宋体" w:hAnsi="宋体"/>
          <w:kern w:val="0"/>
          <w:szCs w:val="21"/>
          <w:highlight w:val="none"/>
        </w:rPr>
        <w:t>（1）</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1B433BCC">
      <w:pPr>
        <w:spacing w:line="360" w:lineRule="auto"/>
        <w:ind w:firstLine="420" w:firstLineChars="200"/>
        <w:rPr>
          <w:rFonts w:ascii="宋体" w:hAnsi="宋体"/>
          <w:kern w:val="0"/>
          <w:szCs w:val="21"/>
          <w:highlight w:val="none"/>
        </w:rPr>
      </w:pPr>
      <w:r>
        <w:rPr>
          <w:rFonts w:ascii="宋体" w:hAnsi="宋体"/>
          <w:kern w:val="0"/>
          <w:szCs w:val="21"/>
          <w:highlight w:val="none"/>
        </w:rPr>
        <w:t>（2）</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4D6E308A">
      <w:pPr>
        <w:spacing w:line="360" w:lineRule="auto"/>
        <w:ind w:firstLine="420" w:firstLineChars="200"/>
        <w:rPr>
          <w:rFonts w:ascii="宋体" w:hAnsi="宋体"/>
          <w:kern w:val="0"/>
          <w:szCs w:val="21"/>
          <w:highlight w:val="none"/>
        </w:rPr>
      </w:pPr>
      <w:r>
        <w:rPr>
          <w:rFonts w:ascii="宋体" w:hAnsi="宋体"/>
          <w:kern w:val="0"/>
          <w:szCs w:val="21"/>
          <w:highlight w:val="none"/>
        </w:rPr>
        <w:t>（3）</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7E30354E">
      <w:pPr>
        <w:spacing w:line="360" w:lineRule="auto"/>
        <w:ind w:firstLine="422" w:firstLineChars="200"/>
        <w:rPr>
          <w:rFonts w:ascii="宋体" w:hAnsi="宋体"/>
          <w:b/>
          <w:szCs w:val="21"/>
          <w:highlight w:val="none"/>
        </w:rPr>
      </w:pPr>
      <w:bookmarkStart w:id="204" w:name="_Toc351203637"/>
      <w:r>
        <w:rPr>
          <w:rFonts w:ascii="宋体" w:hAnsi="宋体"/>
          <w:b/>
          <w:szCs w:val="21"/>
          <w:highlight w:val="none"/>
        </w:rPr>
        <w:t>5</w:t>
      </w:r>
      <w:bookmarkEnd w:id="203"/>
      <w:bookmarkStart w:id="205" w:name="_Toc292559872"/>
      <w:bookmarkStart w:id="206" w:name="_Toc296890991"/>
      <w:bookmarkStart w:id="207" w:name="_Toc297120463"/>
      <w:bookmarkStart w:id="208" w:name="_Toc297048349"/>
      <w:bookmarkStart w:id="209" w:name="_Toc296944502"/>
      <w:bookmarkStart w:id="210" w:name="_Toc296891203"/>
      <w:bookmarkStart w:id="211" w:name="_Toc292559367"/>
      <w:bookmarkStart w:id="212" w:name="_Toc296503163"/>
      <w:bookmarkStart w:id="213" w:name="_Toc296347162"/>
      <w:bookmarkStart w:id="214" w:name="_Toc296346664"/>
      <w:r>
        <w:rPr>
          <w:rFonts w:ascii="宋体" w:hAnsi="宋体"/>
          <w:b/>
          <w:szCs w:val="21"/>
          <w:highlight w:val="none"/>
        </w:rPr>
        <w:t>. 工程质量</w:t>
      </w:r>
      <w:bookmarkEnd w:id="204"/>
    </w:p>
    <w:p w14:paraId="19635516">
      <w:pPr>
        <w:spacing w:line="360" w:lineRule="auto"/>
        <w:ind w:firstLine="420" w:firstLineChars="200"/>
        <w:rPr>
          <w:rFonts w:ascii="宋体" w:hAnsi="宋体"/>
          <w:szCs w:val="21"/>
          <w:highlight w:val="none"/>
        </w:rPr>
      </w:pPr>
      <w:r>
        <w:rPr>
          <w:rFonts w:ascii="宋体" w:hAnsi="宋体"/>
          <w:szCs w:val="21"/>
          <w:highlight w:val="none"/>
        </w:rPr>
        <w:t>5.1 质量要求</w:t>
      </w:r>
    </w:p>
    <w:p w14:paraId="702C0E3B">
      <w:pPr>
        <w:spacing w:line="360" w:lineRule="auto"/>
        <w:ind w:firstLine="420" w:firstLineChars="200"/>
        <w:rPr>
          <w:rFonts w:ascii="宋体" w:hAnsi="宋体"/>
          <w:bCs/>
          <w:szCs w:val="21"/>
          <w:highlight w:val="none"/>
          <w:u w:val="single"/>
        </w:rPr>
      </w:pPr>
      <w:r>
        <w:rPr>
          <w:rFonts w:ascii="宋体" w:hAnsi="宋体"/>
          <w:szCs w:val="21"/>
          <w:highlight w:val="none"/>
        </w:rPr>
        <w:t>5</w:t>
      </w:r>
      <w:bookmarkStart w:id="215" w:name="_Toc303539106"/>
      <w:bookmarkStart w:id="216" w:name="_Toc312677997"/>
      <w:bookmarkStart w:id="217" w:name="_Toc300934949"/>
      <w:bookmarkStart w:id="218" w:name="_Toc304295527"/>
      <w:bookmarkStart w:id="219" w:name="_Toc318581164"/>
      <w:bookmarkStart w:id="220" w:name="_Toc297123496"/>
      <w:bookmarkStart w:id="221" w:name="_Toc297216155"/>
      <w:r>
        <w:rPr>
          <w:rFonts w:ascii="宋体" w:hAnsi="宋体"/>
          <w:szCs w:val="21"/>
          <w:highlight w:val="none"/>
        </w:rPr>
        <w:t>.1.1 特殊质量标准和要求：</w:t>
      </w:r>
      <w:r>
        <w:rPr>
          <w:rFonts w:ascii="宋体" w:hAnsi="宋体"/>
          <w:szCs w:val="21"/>
          <w:highlight w:val="none"/>
          <w:u w:val="single"/>
        </w:rPr>
        <w:t xml:space="preserve">  </w:t>
      </w:r>
      <w:r>
        <w:rPr>
          <w:rFonts w:hint="eastAsia" w:ascii="宋体" w:hAnsi="宋体"/>
          <w:bCs/>
          <w:szCs w:val="21"/>
          <w:highlight w:val="none"/>
          <w:u w:val="single"/>
        </w:rPr>
        <w:t>/</w:t>
      </w:r>
      <w:r>
        <w:rPr>
          <w:rFonts w:ascii="宋体" w:hAnsi="宋体"/>
          <w:bCs/>
          <w:szCs w:val="21"/>
          <w:highlight w:val="none"/>
          <w:u w:val="single"/>
        </w:rPr>
        <w:t xml:space="preserve">  。</w:t>
      </w:r>
    </w:p>
    <w:p w14:paraId="507986B7">
      <w:pPr>
        <w:spacing w:line="360" w:lineRule="auto"/>
        <w:ind w:firstLine="420" w:firstLineChars="200"/>
        <w:rPr>
          <w:rFonts w:hint="eastAsia" w:ascii="宋体" w:hAnsi="宋体"/>
          <w:szCs w:val="21"/>
          <w:highlight w:val="none"/>
        </w:rPr>
      </w:pPr>
      <w:r>
        <w:rPr>
          <w:rFonts w:ascii="宋体" w:hAnsi="宋体"/>
          <w:szCs w:val="21"/>
          <w:highlight w:val="none"/>
        </w:rPr>
        <w:t>关于工程奖项的约定：</w:t>
      </w:r>
      <w:r>
        <w:rPr>
          <w:rFonts w:hint="eastAsia" w:ascii="宋体" w:hAnsi="宋体"/>
          <w:szCs w:val="21"/>
          <w:highlight w:val="none"/>
          <w:u w:val="single"/>
        </w:rPr>
        <w:t xml:space="preserve"> </w:t>
      </w:r>
      <w:r>
        <w:rPr>
          <w:rFonts w:ascii="宋体" w:hAnsi="宋体"/>
          <w:bCs/>
          <w:szCs w:val="21"/>
          <w:highlight w:val="none"/>
          <w:u w:val="single"/>
        </w:rPr>
        <w:t xml:space="preserve"> </w:t>
      </w:r>
      <w:r>
        <w:rPr>
          <w:rFonts w:hint="eastAsia" w:ascii="宋体" w:hAnsi="宋体"/>
          <w:bCs/>
          <w:szCs w:val="21"/>
          <w:highlight w:val="none"/>
          <w:u w:val="single"/>
        </w:rPr>
        <w:t>/</w:t>
      </w:r>
      <w:r>
        <w:rPr>
          <w:rFonts w:ascii="宋体" w:hAnsi="宋体"/>
          <w:bCs/>
          <w:szCs w:val="21"/>
          <w:highlight w:val="none"/>
          <w:u w:val="single"/>
        </w:rPr>
        <w:t xml:space="preserve">  </w:t>
      </w:r>
      <w:r>
        <w:rPr>
          <w:rFonts w:hint="eastAsia" w:ascii="宋体" w:hAnsi="宋体"/>
          <w:bCs/>
          <w:szCs w:val="21"/>
          <w:highlight w:val="none"/>
          <w:u w:val="single"/>
        </w:rPr>
        <w:t>。</w:t>
      </w:r>
      <w:r>
        <w:rPr>
          <w:rFonts w:ascii="宋体" w:hAnsi="宋体"/>
          <w:b/>
          <w:szCs w:val="21"/>
          <w:highlight w:val="none"/>
        </w:rPr>
        <w:t xml:space="preserve"> </w:t>
      </w:r>
    </w:p>
    <w:p w14:paraId="34E2F8CD">
      <w:pPr>
        <w:spacing w:line="360" w:lineRule="auto"/>
        <w:ind w:firstLine="420" w:firstLineChars="200"/>
        <w:rPr>
          <w:rFonts w:ascii="宋体" w:hAnsi="宋体"/>
          <w:szCs w:val="21"/>
          <w:highlight w:val="none"/>
        </w:rPr>
      </w:pPr>
      <w:r>
        <w:rPr>
          <w:rFonts w:ascii="宋体" w:hAnsi="宋体"/>
          <w:szCs w:val="21"/>
          <w:highlight w:val="none"/>
        </w:rPr>
        <w:t>5.3 隐蔽工程检查</w:t>
      </w:r>
    </w:p>
    <w:p w14:paraId="7833E920">
      <w:pPr>
        <w:spacing w:line="360" w:lineRule="auto"/>
        <w:ind w:firstLine="420" w:firstLineChars="200"/>
        <w:rPr>
          <w:rFonts w:ascii="宋体" w:hAnsi="宋体"/>
          <w:szCs w:val="21"/>
          <w:highlight w:val="none"/>
        </w:rPr>
      </w:pPr>
      <w:r>
        <w:rPr>
          <w:rFonts w:ascii="宋体" w:hAnsi="宋体"/>
          <w:szCs w:val="21"/>
          <w:highlight w:val="none"/>
        </w:rPr>
        <w:t>5.3.2承包人提前通知监理人隐蔽工程检查的期限的约定：</w:t>
      </w:r>
      <w:r>
        <w:rPr>
          <w:rFonts w:ascii="宋体" w:hAnsi="宋体"/>
          <w:szCs w:val="21"/>
          <w:highlight w:val="none"/>
          <w:u w:val="single"/>
        </w:rPr>
        <w:t xml:space="preserve">        </w:t>
      </w:r>
      <w:r>
        <w:rPr>
          <w:rFonts w:hint="eastAsia" w:ascii="宋体" w:hAnsi="宋体"/>
          <w:szCs w:val="21"/>
          <w:highlight w:val="none"/>
          <w:u w:val="single"/>
        </w:rPr>
        <w:t xml:space="preserve">按通用条款    </w:t>
      </w:r>
      <w:r>
        <w:rPr>
          <w:rFonts w:ascii="宋体" w:hAnsi="宋体"/>
          <w:szCs w:val="21"/>
          <w:highlight w:val="none"/>
          <w:u w:val="single"/>
        </w:rPr>
        <w:t xml:space="preserve">    </w:t>
      </w:r>
      <w:r>
        <w:rPr>
          <w:rFonts w:ascii="宋体" w:hAnsi="宋体"/>
          <w:szCs w:val="21"/>
          <w:highlight w:val="none"/>
        </w:rPr>
        <w:t>。</w:t>
      </w:r>
    </w:p>
    <w:p w14:paraId="1214B5E6">
      <w:pPr>
        <w:spacing w:line="360" w:lineRule="auto"/>
        <w:ind w:firstLine="420" w:firstLineChars="200"/>
        <w:rPr>
          <w:rFonts w:ascii="宋体" w:hAnsi="宋体"/>
          <w:szCs w:val="21"/>
          <w:highlight w:val="none"/>
        </w:rPr>
      </w:pPr>
      <w:r>
        <w:rPr>
          <w:rFonts w:ascii="宋体" w:hAnsi="宋体"/>
          <w:szCs w:val="21"/>
          <w:highlight w:val="none"/>
        </w:rPr>
        <w:t>监理人不能按时进行检查时，应提前</w:t>
      </w:r>
      <w:r>
        <w:rPr>
          <w:rFonts w:ascii="宋体" w:hAnsi="宋体"/>
          <w:szCs w:val="21"/>
          <w:highlight w:val="none"/>
          <w:u w:val="single"/>
        </w:rPr>
        <w:t xml:space="preserve">   </w:t>
      </w:r>
      <w:r>
        <w:rPr>
          <w:rFonts w:hint="eastAsia" w:ascii="宋体" w:hAnsi="宋体"/>
          <w:szCs w:val="21"/>
          <w:highlight w:val="none"/>
          <w:u w:val="single"/>
        </w:rPr>
        <w:t>24</w:t>
      </w:r>
      <w:r>
        <w:rPr>
          <w:rFonts w:ascii="宋体" w:hAnsi="宋体"/>
          <w:szCs w:val="21"/>
          <w:highlight w:val="none"/>
          <w:u w:val="single"/>
        </w:rPr>
        <w:t xml:space="preserve">    </w:t>
      </w:r>
      <w:r>
        <w:rPr>
          <w:rFonts w:ascii="宋体" w:hAnsi="宋体"/>
          <w:szCs w:val="21"/>
          <w:highlight w:val="none"/>
        </w:rPr>
        <w:t>小时提交书面延期要求。</w:t>
      </w:r>
    </w:p>
    <w:p w14:paraId="1C2F4953">
      <w:pPr>
        <w:spacing w:line="360" w:lineRule="auto"/>
        <w:ind w:firstLine="420" w:firstLineChars="200"/>
        <w:rPr>
          <w:rFonts w:ascii="宋体" w:hAnsi="宋体"/>
          <w:szCs w:val="21"/>
          <w:highlight w:val="none"/>
        </w:rPr>
      </w:pPr>
      <w:r>
        <w:rPr>
          <w:rFonts w:ascii="宋体" w:hAnsi="宋体"/>
          <w:szCs w:val="21"/>
          <w:highlight w:val="none"/>
        </w:rPr>
        <w:t>关于延期最长不得超过：</w:t>
      </w:r>
      <w:r>
        <w:rPr>
          <w:rFonts w:ascii="宋体" w:hAnsi="宋体"/>
          <w:szCs w:val="21"/>
          <w:highlight w:val="none"/>
          <w:u w:val="single"/>
        </w:rPr>
        <w:t xml:space="preserve">     </w:t>
      </w:r>
      <w:r>
        <w:rPr>
          <w:rFonts w:hint="eastAsia" w:ascii="宋体" w:hAnsi="宋体"/>
          <w:szCs w:val="21"/>
          <w:highlight w:val="none"/>
          <w:u w:val="single"/>
        </w:rPr>
        <w:t>48</w:t>
      </w:r>
      <w:r>
        <w:rPr>
          <w:rFonts w:ascii="宋体" w:hAnsi="宋体"/>
          <w:szCs w:val="21"/>
          <w:highlight w:val="none"/>
          <w:u w:val="single"/>
        </w:rPr>
        <w:t xml:space="preserve">    </w:t>
      </w:r>
      <w:r>
        <w:rPr>
          <w:rFonts w:ascii="宋体" w:hAnsi="宋体"/>
          <w:szCs w:val="21"/>
          <w:highlight w:val="none"/>
        </w:rPr>
        <w:t>小时。</w:t>
      </w:r>
    </w:p>
    <w:p w14:paraId="2BB379A7">
      <w:pPr>
        <w:spacing w:line="360" w:lineRule="auto"/>
        <w:ind w:firstLine="422" w:firstLineChars="200"/>
        <w:rPr>
          <w:rFonts w:ascii="宋体" w:hAnsi="宋体"/>
          <w:b/>
          <w:szCs w:val="21"/>
          <w:highlight w:val="none"/>
        </w:rPr>
      </w:pPr>
      <w:bookmarkStart w:id="222" w:name="_Toc351203638"/>
      <w:r>
        <w:rPr>
          <w:rFonts w:ascii="宋体" w:hAnsi="宋体"/>
          <w:b/>
          <w:szCs w:val="21"/>
          <w:highlight w:val="none"/>
        </w:rPr>
        <w:t>6. 安全文明施工与环境保护</w:t>
      </w:r>
      <w:bookmarkEnd w:id="222"/>
    </w:p>
    <w:p w14:paraId="28696104">
      <w:pPr>
        <w:spacing w:line="360" w:lineRule="auto"/>
        <w:ind w:firstLine="420" w:firstLineChars="200"/>
        <w:rPr>
          <w:rFonts w:ascii="宋体" w:hAnsi="宋体"/>
          <w:szCs w:val="21"/>
          <w:highlight w:val="none"/>
        </w:rPr>
      </w:pPr>
      <w:r>
        <w:rPr>
          <w:rFonts w:ascii="宋体" w:hAnsi="宋体"/>
          <w:szCs w:val="21"/>
          <w:highlight w:val="none"/>
        </w:rPr>
        <w:t>6.1安全文明施工</w:t>
      </w:r>
    </w:p>
    <w:p w14:paraId="700AF008">
      <w:pPr>
        <w:spacing w:line="360" w:lineRule="auto"/>
        <w:ind w:firstLine="420" w:firstLineChars="200"/>
        <w:rPr>
          <w:rFonts w:hint="eastAsia" w:ascii="宋体" w:hAnsi="宋体"/>
          <w:szCs w:val="21"/>
          <w:highlight w:val="none"/>
          <w:u w:val="single"/>
        </w:rPr>
      </w:pPr>
      <w:r>
        <w:rPr>
          <w:rFonts w:ascii="宋体" w:hAnsi="宋体"/>
          <w:szCs w:val="21"/>
          <w:highlight w:val="none"/>
        </w:rPr>
        <w:t>6.1.1 项目安全生产的达标目标及相应事项的约定：</w:t>
      </w:r>
      <w:r>
        <w:rPr>
          <w:rFonts w:hint="eastAsia" w:ascii="宋体" w:hAnsi="宋体"/>
          <w:szCs w:val="21"/>
          <w:highlight w:val="none"/>
          <w:u w:val="single"/>
        </w:rPr>
        <w:t>在实施和完成本合同工程及其工程保修的整个过程中，承包人应遵守国家和嘉兴市政府有关安全文明施工的有关规定。如果由于承包人未能对安全文明生产采取必要的措施而导致发生与此有关的人身伤亡、罚款、索赔、损失补偿、诉讼及其他一切责任，由承包人负责。</w:t>
      </w:r>
    </w:p>
    <w:p w14:paraId="13821386">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承包人应当为施工现场从事施工作业和管理的人员，在施工活动过程中发生的人身意外伤亡事故提供保障，办理建筑意外伤害保险、支付保险费。</w:t>
      </w:r>
    </w:p>
    <w:p w14:paraId="10245F83">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承包人在实施施工和保修期间的任何时候，对本工程周围环境都应采取必要的保护措施，不得随意排放污水和有害物，也不得破坏已建或在建工程的任何部分。</w:t>
      </w:r>
    </w:p>
    <w:p w14:paraId="58F95CE0">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承包人的机械设备必须符合国家有关标准，性能良好，应配备专业的操作人员并具有上岗证书，施工车辆应经过公安交通部门检测合格，证照齐全。</w:t>
      </w:r>
    </w:p>
    <w:p w14:paraId="17B192E8">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承包人在工程开工前应办理好工程的安监手续，并经验收好才能进行开工建设，同时承包人必须积极配合安监部门及采购人做好安全施工的检查工作，并在施工中，积极对职工开展安全教育培训，提高职工的安全意识，并应不定期地做好施工机械、车辆、电力线路、生产设施的检查，提高安全性能。</w:t>
      </w:r>
    </w:p>
    <w:p w14:paraId="0796D061">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承包人应该做好外来人员和外来车辆到现场的安全管理，承包人应做好各类危险指示牌，指示牌需清晰可辩，如外来人员或外来车辆在施工现场出现事故，经有关部门鉴定，是由于承包人责任的，承包人应承担该项赔偿费用和责任。</w:t>
      </w:r>
    </w:p>
    <w:p w14:paraId="48C7654D">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安全防护措施费由承包人承担</w:t>
      </w:r>
      <w:r>
        <w:rPr>
          <w:rFonts w:ascii="宋体" w:hAnsi="宋体"/>
          <w:szCs w:val="21"/>
          <w:highlight w:val="none"/>
        </w:rPr>
        <w:t>。</w:t>
      </w:r>
    </w:p>
    <w:p w14:paraId="6E024258">
      <w:pPr>
        <w:spacing w:line="360" w:lineRule="auto"/>
        <w:ind w:firstLine="420" w:firstLineChars="200"/>
        <w:rPr>
          <w:rFonts w:ascii="宋体" w:hAnsi="宋体"/>
          <w:szCs w:val="21"/>
          <w:highlight w:val="none"/>
        </w:rPr>
      </w:pPr>
      <w:r>
        <w:rPr>
          <w:rFonts w:ascii="宋体" w:hAnsi="宋体"/>
          <w:szCs w:val="21"/>
          <w:highlight w:val="none"/>
        </w:rPr>
        <w:t>6.1.4 关于治安保卫的特别约定：</w:t>
      </w:r>
      <w:r>
        <w:rPr>
          <w:rFonts w:ascii="宋体" w:hAnsi="宋体"/>
          <w:szCs w:val="21"/>
          <w:highlight w:val="none"/>
          <w:u w:val="single"/>
        </w:rPr>
        <w:t xml:space="preserve">       </w:t>
      </w:r>
      <w:r>
        <w:rPr>
          <w:rFonts w:hint="eastAsia" w:ascii="宋体" w:hAnsi="宋体"/>
          <w:szCs w:val="21"/>
          <w:highlight w:val="none"/>
          <w:u w:val="single"/>
        </w:rPr>
        <w:t xml:space="preserve">按通用条款   </w:t>
      </w:r>
      <w:r>
        <w:rPr>
          <w:rFonts w:ascii="宋体" w:hAnsi="宋体"/>
          <w:szCs w:val="21"/>
          <w:highlight w:val="none"/>
          <w:u w:val="single"/>
        </w:rPr>
        <w:t xml:space="preserve">     </w:t>
      </w:r>
      <w:r>
        <w:rPr>
          <w:rFonts w:ascii="宋体" w:hAnsi="宋体"/>
          <w:szCs w:val="21"/>
          <w:highlight w:val="none"/>
        </w:rPr>
        <w:t>。</w:t>
      </w:r>
    </w:p>
    <w:p w14:paraId="6D44B457">
      <w:pPr>
        <w:spacing w:line="360" w:lineRule="auto"/>
        <w:ind w:firstLine="420" w:firstLineChars="200"/>
        <w:rPr>
          <w:rFonts w:hint="eastAsia" w:ascii="宋体" w:hAnsi="宋体"/>
          <w:szCs w:val="21"/>
          <w:highlight w:val="none"/>
        </w:rPr>
      </w:pPr>
      <w:r>
        <w:rPr>
          <w:rFonts w:ascii="宋体" w:hAnsi="宋体"/>
          <w:szCs w:val="21"/>
          <w:highlight w:val="none"/>
        </w:rPr>
        <w:t>关于编制施工场地治安管理计划的约定：</w:t>
      </w:r>
      <w:r>
        <w:rPr>
          <w:rFonts w:ascii="宋体" w:hAnsi="宋体"/>
          <w:szCs w:val="21"/>
          <w:highlight w:val="none"/>
          <w:u w:val="single"/>
        </w:rPr>
        <w:t xml:space="preserve">  </w:t>
      </w:r>
      <w:r>
        <w:rPr>
          <w:rFonts w:hint="eastAsia" w:ascii="宋体" w:hAnsi="宋体"/>
          <w:szCs w:val="21"/>
          <w:highlight w:val="none"/>
          <w:u w:val="single"/>
        </w:rPr>
        <w:t xml:space="preserve">按通用条款    </w:t>
      </w:r>
      <w:r>
        <w:rPr>
          <w:rFonts w:ascii="宋体" w:hAnsi="宋体"/>
          <w:szCs w:val="21"/>
          <w:highlight w:val="none"/>
          <w:u w:val="single"/>
        </w:rPr>
        <w:t xml:space="preserve">   </w:t>
      </w:r>
      <w:r>
        <w:rPr>
          <w:rFonts w:ascii="宋体" w:hAnsi="宋体"/>
          <w:szCs w:val="21"/>
          <w:highlight w:val="none"/>
        </w:rPr>
        <w:t>。</w:t>
      </w:r>
    </w:p>
    <w:p w14:paraId="1D06D5C1">
      <w:pPr>
        <w:spacing w:line="360" w:lineRule="auto"/>
        <w:ind w:firstLine="420" w:firstLineChars="200"/>
        <w:rPr>
          <w:rFonts w:hint="eastAsia" w:ascii="宋体" w:hAnsi="宋体"/>
          <w:szCs w:val="21"/>
          <w:highlight w:val="none"/>
        </w:rPr>
      </w:pPr>
      <w:r>
        <w:rPr>
          <w:rFonts w:hint="eastAsia" w:ascii="宋体" w:hAnsi="宋体"/>
          <w:szCs w:val="21"/>
          <w:highlight w:val="none"/>
        </w:rPr>
        <w:t>6.1.5 文明施工</w:t>
      </w:r>
    </w:p>
    <w:p w14:paraId="27D9894F">
      <w:pPr>
        <w:spacing w:line="360" w:lineRule="auto"/>
        <w:ind w:firstLine="420" w:firstLineChars="200"/>
        <w:rPr>
          <w:rFonts w:ascii="宋体" w:hAnsi="宋体"/>
          <w:szCs w:val="21"/>
          <w:highlight w:val="none"/>
        </w:rPr>
      </w:pPr>
      <w:r>
        <w:rPr>
          <w:rFonts w:hint="eastAsia" w:ascii="宋体" w:hAnsi="宋体"/>
          <w:szCs w:val="21"/>
          <w:highlight w:val="none"/>
        </w:rPr>
        <w:t>合同当事人对文明施工的要求：</w:t>
      </w:r>
      <w:r>
        <w:rPr>
          <w:rFonts w:hint="eastAsia" w:ascii="宋体" w:hAnsi="宋体"/>
          <w:szCs w:val="21"/>
          <w:highlight w:val="none"/>
          <w:u w:val="single"/>
        </w:rPr>
        <w:t>按现行地方</w:t>
      </w:r>
      <w:r>
        <w:rPr>
          <w:rFonts w:ascii="宋体" w:hAnsi="宋体"/>
          <w:szCs w:val="21"/>
          <w:highlight w:val="none"/>
          <w:u w:val="single"/>
        </w:rPr>
        <w:t>政府行政管理部门</w:t>
      </w:r>
      <w:r>
        <w:rPr>
          <w:rFonts w:hint="eastAsia" w:ascii="宋体" w:hAnsi="宋体"/>
          <w:szCs w:val="21"/>
          <w:highlight w:val="none"/>
          <w:u w:val="single"/>
        </w:rPr>
        <w:t xml:space="preserve">的文件执行 </w:t>
      </w:r>
      <w:r>
        <w:rPr>
          <w:rFonts w:hint="eastAsia" w:ascii="宋体" w:hAnsi="宋体"/>
          <w:szCs w:val="21"/>
          <w:highlight w:val="none"/>
        </w:rPr>
        <w:t>。</w:t>
      </w:r>
    </w:p>
    <w:p w14:paraId="54060F28">
      <w:pPr>
        <w:spacing w:line="360" w:lineRule="auto"/>
        <w:ind w:firstLine="420" w:firstLineChars="200"/>
        <w:rPr>
          <w:rFonts w:ascii="宋体" w:hAnsi="宋体"/>
          <w:szCs w:val="21"/>
          <w:highlight w:val="none"/>
        </w:rPr>
      </w:pPr>
      <w:r>
        <w:rPr>
          <w:rFonts w:ascii="宋体" w:hAnsi="宋体"/>
          <w:szCs w:val="21"/>
          <w:highlight w:val="none"/>
        </w:rPr>
        <w:t>6.1.6 关于安全文明施工费支付比例和支付期限的约定：</w:t>
      </w:r>
      <w:r>
        <w:rPr>
          <w:rFonts w:ascii="宋体" w:hAnsi="宋体"/>
          <w:szCs w:val="21"/>
          <w:highlight w:val="none"/>
          <w:u w:val="single"/>
        </w:rPr>
        <w:t xml:space="preserve">  </w:t>
      </w:r>
      <w:r>
        <w:rPr>
          <w:rFonts w:hint="eastAsia" w:ascii="宋体" w:hAnsi="宋体"/>
          <w:szCs w:val="21"/>
          <w:highlight w:val="none"/>
          <w:u w:val="single"/>
        </w:rPr>
        <w:t xml:space="preserve">按通用条款   </w:t>
      </w:r>
      <w:r>
        <w:rPr>
          <w:rFonts w:ascii="宋体" w:hAnsi="宋体"/>
          <w:szCs w:val="21"/>
          <w:highlight w:val="none"/>
        </w:rPr>
        <w:t>。</w:t>
      </w:r>
    </w:p>
    <w:bookmarkEnd w:id="215"/>
    <w:bookmarkEnd w:id="216"/>
    <w:bookmarkEnd w:id="217"/>
    <w:bookmarkEnd w:id="218"/>
    <w:bookmarkEnd w:id="219"/>
    <w:bookmarkEnd w:id="220"/>
    <w:bookmarkEnd w:id="221"/>
    <w:p w14:paraId="3F8D77A5">
      <w:pPr>
        <w:spacing w:line="360" w:lineRule="auto"/>
        <w:ind w:firstLine="422" w:firstLineChars="200"/>
        <w:rPr>
          <w:rFonts w:ascii="宋体" w:hAnsi="宋体"/>
          <w:b/>
          <w:szCs w:val="21"/>
          <w:highlight w:val="none"/>
        </w:rPr>
      </w:pPr>
      <w:bookmarkStart w:id="223" w:name="_Toc351203639"/>
      <w:r>
        <w:rPr>
          <w:rFonts w:ascii="宋体" w:hAnsi="宋体"/>
          <w:b/>
          <w:szCs w:val="21"/>
          <w:highlight w:val="none"/>
        </w:rPr>
        <w:t>7. 工期和进度</w:t>
      </w:r>
      <w:bookmarkEnd w:id="223"/>
    </w:p>
    <w:p w14:paraId="47E30290">
      <w:pPr>
        <w:spacing w:line="360" w:lineRule="auto"/>
        <w:ind w:firstLine="420" w:firstLineChars="200"/>
        <w:rPr>
          <w:rFonts w:ascii="宋体" w:hAnsi="宋体"/>
          <w:szCs w:val="21"/>
          <w:highlight w:val="none"/>
        </w:rPr>
      </w:pPr>
      <w:r>
        <w:rPr>
          <w:rFonts w:ascii="宋体" w:hAnsi="宋体"/>
          <w:szCs w:val="21"/>
          <w:highlight w:val="none"/>
        </w:rPr>
        <w:t>7.1 施工组织设计</w:t>
      </w:r>
    </w:p>
    <w:p w14:paraId="5D06794A">
      <w:pPr>
        <w:spacing w:line="360" w:lineRule="auto"/>
        <w:ind w:firstLine="420" w:firstLineChars="200"/>
        <w:rPr>
          <w:rFonts w:ascii="宋体" w:hAnsi="宋体"/>
          <w:kern w:val="0"/>
          <w:szCs w:val="21"/>
          <w:highlight w:val="none"/>
        </w:rPr>
      </w:pPr>
      <w:r>
        <w:rPr>
          <w:rFonts w:ascii="宋体" w:hAnsi="宋体"/>
          <w:szCs w:val="21"/>
          <w:highlight w:val="none"/>
        </w:rPr>
        <w:t>7.1.</w:t>
      </w:r>
      <w:r>
        <w:rPr>
          <w:rFonts w:hint="eastAsia" w:ascii="宋体" w:hAnsi="宋体"/>
          <w:szCs w:val="21"/>
          <w:highlight w:val="none"/>
        </w:rPr>
        <w:t>1 合</w:t>
      </w:r>
      <w:r>
        <w:rPr>
          <w:rFonts w:hint="eastAsia" w:ascii="宋体" w:hAnsi="宋体"/>
          <w:kern w:val="0"/>
          <w:szCs w:val="21"/>
          <w:highlight w:val="none"/>
        </w:rPr>
        <w:t>同当事人约定的</w:t>
      </w:r>
      <w:r>
        <w:rPr>
          <w:rFonts w:ascii="宋体" w:hAnsi="宋体"/>
          <w:kern w:val="0"/>
          <w:szCs w:val="21"/>
          <w:highlight w:val="none"/>
        </w:rPr>
        <w:t>施工组织设计</w:t>
      </w:r>
      <w:r>
        <w:rPr>
          <w:rFonts w:hint="eastAsia" w:ascii="宋体" w:hAnsi="宋体"/>
          <w:kern w:val="0"/>
          <w:szCs w:val="21"/>
          <w:highlight w:val="none"/>
        </w:rPr>
        <w:t>应包括的其他内容</w:t>
      </w:r>
      <w:r>
        <w:rPr>
          <w:rFonts w:ascii="宋体" w:hAnsi="宋体"/>
          <w:kern w:val="0"/>
          <w:szCs w:val="21"/>
          <w:highlight w:val="none"/>
        </w:rPr>
        <w:t>：</w:t>
      </w:r>
      <w:r>
        <w:rPr>
          <w:rFonts w:ascii="宋体" w:hAnsi="宋体"/>
          <w:szCs w:val="21"/>
          <w:highlight w:val="none"/>
          <w:u w:val="single"/>
        </w:rPr>
        <w:t xml:space="preserve"> </w:t>
      </w:r>
      <w:r>
        <w:rPr>
          <w:rFonts w:hint="eastAsia" w:ascii="宋体" w:hAnsi="宋体"/>
          <w:szCs w:val="21"/>
          <w:highlight w:val="none"/>
          <w:u w:val="single"/>
        </w:rPr>
        <w:t>无</w:t>
      </w:r>
      <w:r>
        <w:rPr>
          <w:rFonts w:ascii="宋体" w:hAnsi="宋体"/>
          <w:szCs w:val="21"/>
          <w:highlight w:val="none"/>
          <w:u w:val="single"/>
        </w:rPr>
        <w:t xml:space="preserve"> </w:t>
      </w:r>
      <w:r>
        <w:rPr>
          <w:rFonts w:ascii="宋体" w:hAnsi="宋体"/>
          <w:szCs w:val="21"/>
          <w:highlight w:val="none"/>
        </w:rPr>
        <w:t>。</w:t>
      </w:r>
    </w:p>
    <w:p w14:paraId="43133901">
      <w:pPr>
        <w:spacing w:line="360" w:lineRule="auto"/>
        <w:ind w:firstLine="420" w:firstLineChars="200"/>
        <w:rPr>
          <w:rFonts w:ascii="宋体" w:hAnsi="宋体"/>
          <w:kern w:val="0"/>
          <w:szCs w:val="21"/>
          <w:highlight w:val="none"/>
        </w:rPr>
      </w:pPr>
      <w:r>
        <w:rPr>
          <w:rFonts w:ascii="宋体" w:hAnsi="宋体"/>
          <w:szCs w:val="21"/>
          <w:highlight w:val="none"/>
        </w:rPr>
        <w:t xml:space="preserve">7.1.2 </w:t>
      </w:r>
      <w:r>
        <w:rPr>
          <w:rFonts w:ascii="宋体" w:hAnsi="宋体"/>
          <w:kern w:val="0"/>
          <w:szCs w:val="21"/>
          <w:highlight w:val="none"/>
        </w:rPr>
        <w:t>施工组织设计的提交和修改</w:t>
      </w:r>
    </w:p>
    <w:p w14:paraId="044AA826">
      <w:pPr>
        <w:spacing w:line="360" w:lineRule="auto"/>
        <w:ind w:firstLine="420" w:firstLineChars="200"/>
        <w:rPr>
          <w:rFonts w:hint="eastAsia" w:ascii="宋体" w:hAnsi="宋体"/>
          <w:szCs w:val="21"/>
          <w:highlight w:val="none"/>
        </w:rPr>
      </w:pPr>
      <w:r>
        <w:rPr>
          <w:rFonts w:ascii="宋体" w:hAnsi="宋体"/>
          <w:kern w:val="0"/>
          <w:szCs w:val="21"/>
          <w:highlight w:val="none"/>
        </w:rPr>
        <w:t>承包人提交详细施工组织设计的期限的约定：</w:t>
      </w:r>
      <w:r>
        <w:rPr>
          <w:rFonts w:ascii="宋体" w:hAnsi="宋体"/>
          <w:szCs w:val="21"/>
          <w:highlight w:val="none"/>
          <w:u w:val="single"/>
        </w:rPr>
        <w:t xml:space="preserve">  </w:t>
      </w:r>
      <w:r>
        <w:rPr>
          <w:rFonts w:hint="eastAsia" w:ascii="宋体" w:hAnsi="宋体"/>
          <w:szCs w:val="21"/>
          <w:highlight w:val="none"/>
          <w:u w:val="single"/>
        </w:rPr>
        <w:t>按通用条款</w:t>
      </w:r>
      <w:r>
        <w:rPr>
          <w:rFonts w:ascii="宋体" w:hAnsi="宋体"/>
          <w:szCs w:val="21"/>
          <w:highlight w:val="none"/>
          <w:u w:val="single"/>
        </w:rPr>
        <w:t xml:space="preserve">  </w:t>
      </w:r>
      <w:r>
        <w:rPr>
          <w:rFonts w:ascii="宋体" w:hAnsi="宋体"/>
          <w:szCs w:val="21"/>
          <w:highlight w:val="none"/>
        </w:rPr>
        <w:t>。</w:t>
      </w:r>
    </w:p>
    <w:p w14:paraId="116C9653">
      <w:pPr>
        <w:spacing w:line="360" w:lineRule="auto"/>
        <w:ind w:firstLine="420" w:firstLineChars="200"/>
        <w:rPr>
          <w:rFonts w:ascii="宋体" w:hAnsi="宋体"/>
          <w:szCs w:val="21"/>
          <w:highlight w:val="none"/>
        </w:rPr>
      </w:pPr>
      <w:r>
        <w:rPr>
          <w:rFonts w:ascii="宋体" w:hAnsi="宋体"/>
          <w:szCs w:val="21"/>
          <w:highlight w:val="none"/>
        </w:rPr>
        <w:t>采购人和监理人在收到</w:t>
      </w:r>
      <w:r>
        <w:rPr>
          <w:rFonts w:hint="eastAsia" w:ascii="宋体" w:hAnsi="宋体"/>
          <w:szCs w:val="21"/>
          <w:highlight w:val="none"/>
        </w:rPr>
        <w:t>详细的施工组织设计</w:t>
      </w:r>
      <w:r>
        <w:rPr>
          <w:rFonts w:ascii="宋体" w:hAnsi="宋体"/>
          <w:szCs w:val="21"/>
          <w:highlight w:val="none"/>
        </w:rPr>
        <w:t>后确认或提出修改意见的期限：</w:t>
      </w:r>
      <w:r>
        <w:rPr>
          <w:rFonts w:ascii="宋体" w:hAnsi="宋体"/>
          <w:szCs w:val="21"/>
          <w:highlight w:val="none"/>
          <w:u w:val="single"/>
        </w:rPr>
        <w:t xml:space="preserve"> </w:t>
      </w:r>
      <w:r>
        <w:rPr>
          <w:rFonts w:hint="eastAsia" w:ascii="宋体" w:hAnsi="宋体"/>
          <w:szCs w:val="21"/>
          <w:highlight w:val="none"/>
          <w:u w:val="single"/>
        </w:rPr>
        <w:t xml:space="preserve">按通用条款 </w:t>
      </w:r>
      <w:r>
        <w:rPr>
          <w:rFonts w:ascii="宋体" w:hAnsi="宋体"/>
          <w:szCs w:val="21"/>
          <w:highlight w:val="none"/>
        </w:rPr>
        <w:t>。</w:t>
      </w:r>
    </w:p>
    <w:p w14:paraId="471099CE">
      <w:pPr>
        <w:spacing w:line="360" w:lineRule="auto"/>
        <w:ind w:firstLine="420" w:firstLineChars="200"/>
        <w:rPr>
          <w:rFonts w:ascii="宋体" w:hAnsi="宋体"/>
          <w:szCs w:val="21"/>
          <w:highlight w:val="none"/>
        </w:rPr>
      </w:pPr>
      <w:r>
        <w:rPr>
          <w:rFonts w:ascii="宋体" w:hAnsi="宋体"/>
          <w:szCs w:val="21"/>
          <w:highlight w:val="none"/>
        </w:rPr>
        <w:t>7</w:t>
      </w:r>
      <w:bookmarkStart w:id="224" w:name="_Toc297216173"/>
      <w:bookmarkStart w:id="225" w:name="_Toc297123514"/>
      <w:bookmarkStart w:id="226" w:name="_Toc304295541"/>
      <w:bookmarkStart w:id="227" w:name="_Toc303539123"/>
      <w:bookmarkStart w:id="228" w:name="_Toc312678005"/>
      <w:bookmarkStart w:id="229" w:name="_Toc300934966"/>
      <w:bookmarkStart w:id="230" w:name="_Toc312677479"/>
      <w:r>
        <w:rPr>
          <w:rFonts w:ascii="宋体" w:hAnsi="宋体"/>
          <w:szCs w:val="21"/>
          <w:highlight w:val="none"/>
        </w:rPr>
        <w:t>.2 施工进度计划</w:t>
      </w:r>
    </w:p>
    <w:p w14:paraId="16D06D2E">
      <w:pPr>
        <w:spacing w:line="360" w:lineRule="auto"/>
        <w:ind w:firstLine="420" w:firstLineChars="200"/>
        <w:rPr>
          <w:rFonts w:ascii="宋体" w:hAnsi="宋体"/>
          <w:szCs w:val="21"/>
          <w:highlight w:val="none"/>
        </w:rPr>
      </w:pPr>
      <w:r>
        <w:rPr>
          <w:rFonts w:ascii="宋体" w:hAnsi="宋体"/>
          <w:szCs w:val="21"/>
          <w:highlight w:val="none"/>
        </w:rPr>
        <w:t>7.2.2 施工进度计划的修订</w:t>
      </w:r>
    </w:p>
    <w:p w14:paraId="62339EE9">
      <w:pPr>
        <w:spacing w:line="360" w:lineRule="auto"/>
        <w:ind w:firstLine="420" w:firstLineChars="200"/>
        <w:rPr>
          <w:rFonts w:ascii="宋体" w:hAnsi="宋体"/>
          <w:szCs w:val="21"/>
          <w:highlight w:val="none"/>
        </w:rPr>
      </w:pPr>
      <w:r>
        <w:rPr>
          <w:rFonts w:ascii="宋体" w:hAnsi="宋体"/>
          <w:szCs w:val="21"/>
          <w:highlight w:val="none"/>
        </w:rPr>
        <w:t>采购人和监理人在收到修订的施工进度计划后确认或提出修改意见的期限：</w:t>
      </w:r>
      <w:r>
        <w:rPr>
          <w:rFonts w:ascii="宋体" w:hAnsi="宋体"/>
          <w:szCs w:val="21"/>
          <w:highlight w:val="none"/>
          <w:u w:val="single"/>
        </w:rPr>
        <w:t xml:space="preserve"> </w:t>
      </w:r>
      <w:r>
        <w:rPr>
          <w:rFonts w:hint="eastAsia" w:ascii="宋体" w:hAnsi="宋体"/>
          <w:szCs w:val="21"/>
          <w:highlight w:val="none"/>
          <w:u w:val="single"/>
        </w:rPr>
        <w:t>按通用条款</w:t>
      </w:r>
      <w:r>
        <w:rPr>
          <w:rFonts w:ascii="宋体" w:hAnsi="宋体"/>
          <w:szCs w:val="21"/>
          <w:highlight w:val="none"/>
          <w:u w:val="single"/>
        </w:rPr>
        <w:t xml:space="preserve"> </w:t>
      </w:r>
      <w:r>
        <w:rPr>
          <w:rFonts w:ascii="宋体" w:hAnsi="宋体"/>
          <w:szCs w:val="21"/>
          <w:highlight w:val="none"/>
        </w:rPr>
        <w:t>。</w:t>
      </w:r>
    </w:p>
    <w:p w14:paraId="4D76C642">
      <w:pPr>
        <w:spacing w:line="360" w:lineRule="auto"/>
        <w:ind w:firstLine="420" w:firstLineChars="200"/>
        <w:rPr>
          <w:rFonts w:ascii="宋体" w:hAnsi="宋体"/>
          <w:szCs w:val="21"/>
          <w:highlight w:val="none"/>
        </w:rPr>
      </w:pPr>
      <w:r>
        <w:rPr>
          <w:rFonts w:ascii="宋体" w:hAnsi="宋体"/>
          <w:szCs w:val="21"/>
          <w:highlight w:val="none"/>
        </w:rPr>
        <w:t>7.3 开工</w:t>
      </w:r>
    </w:p>
    <w:p w14:paraId="4BDF1AD5">
      <w:pPr>
        <w:spacing w:line="360" w:lineRule="auto"/>
        <w:ind w:firstLine="420" w:firstLineChars="200"/>
        <w:rPr>
          <w:rFonts w:ascii="宋体" w:hAnsi="宋体"/>
          <w:szCs w:val="21"/>
          <w:highlight w:val="none"/>
        </w:rPr>
      </w:pPr>
      <w:r>
        <w:rPr>
          <w:rFonts w:ascii="宋体" w:hAnsi="宋体"/>
          <w:szCs w:val="21"/>
          <w:highlight w:val="none"/>
        </w:rPr>
        <w:t>7.3.1 开工准备</w:t>
      </w:r>
    </w:p>
    <w:p w14:paraId="7AFA95D8">
      <w:pPr>
        <w:spacing w:line="360" w:lineRule="auto"/>
        <w:ind w:firstLine="420" w:firstLineChars="200"/>
        <w:rPr>
          <w:rFonts w:ascii="宋体" w:hAnsi="宋体"/>
          <w:szCs w:val="21"/>
          <w:highlight w:val="none"/>
          <w:u w:val="single"/>
        </w:rPr>
      </w:pPr>
      <w:r>
        <w:rPr>
          <w:rFonts w:ascii="宋体" w:hAnsi="宋体"/>
          <w:szCs w:val="21"/>
          <w:highlight w:val="none"/>
        </w:rPr>
        <w:t>关于承包人提交</w:t>
      </w:r>
      <w:r>
        <w:rPr>
          <w:rFonts w:ascii="宋体" w:hAnsi="宋体"/>
          <w:kern w:val="0"/>
          <w:szCs w:val="21"/>
          <w:highlight w:val="none"/>
        </w:rPr>
        <w:t>工程开工报审表的期限：</w:t>
      </w:r>
      <w:r>
        <w:rPr>
          <w:rFonts w:ascii="宋体" w:hAnsi="宋体"/>
          <w:szCs w:val="21"/>
          <w:highlight w:val="none"/>
          <w:u w:val="single"/>
        </w:rPr>
        <w:t xml:space="preserve"> </w:t>
      </w:r>
      <w:r>
        <w:rPr>
          <w:rFonts w:hint="eastAsia" w:ascii="宋体" w:hAnsi="宋体"/>
          <w:szCs w:val="21"/>
          <w:highlight w:val="none"/>
          <w:u w:val="single"/>
        </w:rPr>
        <w:t>按通用条款</w:t>
      </w:r>
      <w:r>
        <w:rPr>
          <w:rFonts w:ascii="宋体" w:hAnsi="宋体"/>
          <w:szCs w:val="21"/>
          <w:highlight w:val="none"/>
          <w:u w:val="single"/>
        </w:rPr>
        <w:t xml:space="preserve"> </w:t>
      </w:r>
      <w:r>
        <w:rPr>
          <w:rFonts w:ascii="宋体" w:hAnsi="宋体"/>
          <w:szCs w:val="21"/>
          <w:highlight w:val="none"/>
        </w:rPr>
        <w:t>。</w:t>
      </w:r>
    </w:p>
    <w:p w14:paraId="437DC2A0">
      <w:pPr>
        <w:spacing w:line="360" w:lineRule="auto"/>
        <w:ind w:firstLine="420" w:firstLineChars="200"/>
        <w:rPr>
          <w:rFonts w:ascii="宋体" w:hAnsi="宋体"/>
          <w:szCs w:val="21"/>
          <w:highlight w:val="none"/>
        </w:rPr>
      </w:pPr>
      <w:r>
        <w:rPr>
          <w:rFonts w:ascii="宋体" w:hAnsi="宋体"/>
          <w:szCs w:val="21"/>
          <w:highlight w:val="none"/>
        </w:rPr>
        <w:t>关于采购人应完成的其他开工准备工作及期限：</w:t>
      </w:r>
      <w:r>
        <w:rPr>
          <w:rFonts w:hint="eastAsia" w:ascii="宋体" w:hAnsi="宋体"/>
          <w:szCs w:val="21"/>
          <w:highlight w:val="none"/>
          <w:u w:val="single"/>
        </w:rPr>
        <w:t>已具备开工条件</w:t>
      </w:r>
      <w:r>
        <w:rPr>
          <w:rFonts w:ascii="宋体" w:hAnsi="宋体"/>
          <w:szCs w:val="21"/>
          <w:highlight w:val="none"/>
        </w:rPr>
        <w:t>。</w:t>
      </w:r>
    </w:p>
    <w:p w14:paraId="6CAE0442">
      <w:pPr>
        <w:spacing w:line="360" w:lineRule="auto"/>
        <w:ind w:firstLine="420" w:firstLineChars="200"/>
        <w:rPr>
          <w:rFonts w:ascii="宋体" w:hAnsi="宋体"/>
          <w:szCs w:val="21"/>
          <w:highlight w:val="none"/>
        </w:rPr>
      </w:pPr>
      <w:r>
        <w:rPr>
          <w:rFonts w:ascii="宋体" w:hAnsi="宋体"/>
          <w:szCs w:val="21"/>
          <w:highlight w:val="none"/>
        </w:rPr>
        <w:t>关于承包人应完成的其他开工准备工作及期限：</w:t>
      </w:r>
      <w:r>
        <w:rPr>
          <w:rFonts w:ascii="宋体" w:hAnsi="宋体"/>
          <w:szCs w:val="21"/>
          <w:highlight w:val="none"/>
          <w:u w:val="single"/>
        </w:rPr>
        <w:t xml:space="preserve"> </w:t>
      </w:r>
      <w:r>
        <w:rPr>
          <w:rFonts w:hint="eastAsia" w:ascii="宋体" w:hAnsi="宋体"/>
          <w:szCs w:val="21"/>
          <w:highlight w:val="none"/>
          <w:u w:val="single"/>
        </w:rPr>
        <w:t>由双方协商确定</w:t>
      </w:r>
      <w:r>
        <w:rPr>
          <w:rFonts w:ascii="宋体" w:hAnsi="宋体"/>
          <w:szCs w:val="21"/>
          <w:highlight w:val="none"/>
        </w:rPr>
        <w:t>。</w:t>
      </w:r>
    </w:p>
    <w:p w14:paraId="2F3A550A">
      <w:pPr>
        <w:spacing w:line="360" w:lineRule="auto"/>
        <w:ind w:firstLine="420" w:firstLineChars="200"/>
        <w:rPr>
          <w:rFonts w:ascii="宋体" w:hAnsi="宋体"/>
          <w:szCs w:val="21"/>
          <w:highlight w:val="none"/>
        </w:rPr>
      </w:pPr>
      <w:r>
        <w:rPr>
          <w:rFonts w:ascii="宋体" w:hAnsi="宋体"/>
          <w:szCs w:val="21"/>
          <w:highlight w:val="none"/>
        </w:rPr>
        <w:t>7.3.2开工通知</w:t>
      </w:r>
    </w:p>
    <w:p w14:paraId="19EDFEC7">
      <w:pPr>
        <w:spacing w:line="360" w:lineRule="auto"/>
        <w:ind w:firstLine="420" w:firstLineChars="200"/>
        <w:rPr>
          <w:rFonts w:ascii="宋体" w:hAnsi="宋体"/>
          <w:szCs w:val="21"/>
          <w:highlight w:val="none"/>
        </w:rPr>
      </w:pPr>
      <w:r>
        <w:rPr>
          <w:rFonts w:ascii="宋体" w:hAnsi="宋体"/>
          <w:szCs w:val="21"/>
          <w:highlight w:val="none"/>
        </w:rPr>
        <w:t>因采购人原因造成监理人未能在计划开工日期之日起</w:t>
      </w:r>
      <w:r>
        <w:rPr>
          <w:rFonts w:ascii="宋体" w:hAnsi="宋体"/>
          <w:szCs w:val="21"/>
          <w:highlight w:val="none"/>
          <w:u w:val="single"/>
        </w:rPr>
        <w:t xml:space="preserve">  </w:t>
      </w:r>
      <w:r>
        <w:rPr>
          <w:rFonts w:hint="eastAsia" w:ascii="宋体" w:hAnsi="宋体"/>
          <w:szCs w:val="21"/>
          <w:highlight w:val="none"/>
          <w:u w:val="single"/>
        </w:rPr>
        <w:t xml:space="preserve">90 </w:t>
      </w:r>
      <w:r>
        <w:rPr>
          <w:rFonts w:ascii="宋体" w:hAnsi="宋体"/>
          <w:szCs w:val="21"/>
          <w:highlight w:val="none"/>
          <w:u w:val="single"/>
        </w:rPr>
        <w:t xml:space="preserve"> </w:t>
      </w:r>
      <w:r>
        <w:rPr>
          <w:rFonts w:ascii="宋体" w:hAnsi="宋体"/>
          <w:szCs w:val="21"/>
          <w:highlight w:val="none"/>
        </w:rPr>
        <w:t>天内发出开工通知的，承包人有权提出价格调整要求，或者解除合同。</w:t>
      </w:r>
    </w:p>
    <w:bookmarkEnd w:id="224"/>
    <w:bookmarkEnd w:id="225"/>
    <w:bookmarkEnd w:id="226"/>
    <w:bookmarkEnd w:id="227"/>
    <w:bookmarkEnd w:id="228"/>
    <w:bookmarkEnd w:id="229"/>
    <w:bookmarkEnd w:id="230"/>
    <w:p w14:paraId="767243FB">
      <w:pPr>
        <w:spacing w:line="360" w:lineRule="auto"/>
        <w:ind w:firstLine="420" w:firstLineChars="200"/>
        <w:rPr>
          <w:rFonts w:ascii="宋体" w:hAnsi="宋体"/>
          <w:szCs w:val="21"/>
          <w:highlight w:val="none"/>
        </w:rPr>
      </w:pPr>
      <w:r>
        <w:rPr>
          <w:rFonts w:ascii="宋体" w:hAnsi="宋体"/>
          <w:szCs w:val="21"/>
          <w:highlight w:val="none"/>
        </w:rPr>
        <w:t>7.4 测量放线</w:t>
      </w:r>
    </w:p>
    <w:p w14:paraId="6C4E8329">
      <w:pPr>
        <w:spacing w:line="360" w:lineRule="auto"/>
        <w:ind w:firstLine="420" w:firstLineChars="200"/>
        <w:rPr>
          <w:rFonts w:hint="eastAsia" w:ascii="宋体" w:hAnsi="宋体"/>
          <w:szCs w:val="21"/>
          <w:highlight w:val="none"/>
          <w:u w:val="single"/>
        </w:rPr>
      </w:pPr>
      <w:r>
        <w:rPr>
          <w:rFonts w:ascii="宋体" w:hAnsi="宋体"/>
          <w:szCs w:val="21"/>
          <w:highlight w:val="none"/>
        </w:rPr>
        <w:t>7.4.1采购人通过监理人向承包人提供测量基准点、基准线和水准点及其书面资料的期限：</w:t>
      </w:r>
      <w:r>
        <w:rPr>
          <w:rFonts w:hint="eastAsia" w:ascii="宋体" w:hAnsi="宋体"/>
          <w:szCs w:val="21"/>
          <w:highlight w:val="none"/>
          <w:u w:val="single"/>
        </w:rPr>
        <w:t>按通用条款</w:t>
      </w:r>
      <w:r>
        <w:rPr>
          <w:rFonts w:ascii="宋体" w:hAnsi="宋体"/>
          <w:szCs w:val="21"/>
          <w:highlight w:val="none"/>
        </w:rPr>
        <w:t>。</w:t>
      </w:r>
    </w:p>
    <w:p w14:paraId="63DD2C93">
      <w:pPr>
        <w:spacing w:line="360" w:lineRule="auto"/>
        <w:ind w:firstLine="420" w:firstLineChars="200"/>
        <w:rPr>
          <w:rFonts w:ascii="宋体" w:hAnsi="宋体"/>
          <w:szCs w:val="21"/>
          <w:highlight w:val="none"/>
        </w:rPr>
      </w:pPr>
      <w:r>
        <w:rPr>
          <w:rFonts w:ascii="宋体" w:hAnsi="宋体"/>
          <w:szCs w:val="21"/>
          <w:highlight w:val="none"/>
        </w:rPr>
        <w:t>7</w:t>
      </w:r>
      <w:bookmarkStart w:id="231" w:name="_Toc304295546"/>
      <w:bookmarkStart w:id="232" w:name="_Toc303539125"/>
      <w:bookmarkStart w:id="233" w:name="_Toc312677484"/>
      <w:bookmarkStart w:id="234" w:name="_Toc300934968"/>
      <w:bookmarkStart w:id="235" w:name="_Toc297123516"/>
      <w:bookmarkStart w:id="236" w:name="_Toc312678010"/>
      <w:bookmarkStart w:id="237" w:name="_Toc297216175"/>
      <w:r>
        <w:rPr>
          <w:rFonts w:ascii="宋体" w:hAnsi="宋体"/>
          <w:szCs w:val="21"/>
          <w:highlight w:val="none"/>
        </w:rPr>
        <w:t>.5 工期延误</w:t>
      </w:r>
    </w:p>
    <w:bookmarkEnd w:id="231"/>
    <w:bookmarkEnd w:id="232"/>
    <w:bookmarkEnd w:id="233"/>
    <w:bookmarkEnd w:id="234"/>
    <w:bookmarkEnd w:id="235"/>
    <w:bookmarkEnd w:id="236"/>
    <w:bookmarkEnd w:id="237"/>
    <w:p w14:paraId="6F33FDAF">
      <w:pPr>
        <w:spacing w:line="360" w:lineRule="auto"/>
        <w:ind w:firstLine="420" w:firstLineChars="200"/>
        <w:rPr>
          <w:rFonts w:ascii="宋体" w:hAnsi="宋体"/>
          <w:szCs w:val="21"/>
          <w:highlight w:val="none"/>
        </w:rPr>
      </w:pPr>
      <w:r>
        <w:rPr>
          <w:rFonts w:ascii="宋体" w:hAnsi="宋体"/>
          <w:szCs w:val="21"/>
          <w:highlight w:val="none"/>
        </w:rPr>
        <w:t>7.5.1 因采购人原因导致工期延误</w:t>
      </w:r>
    </w:p>
    <w:p w14:paraId="5F0960F3">
      <w:pPr>
        <w:spacing w:line="360" w:lineRule="auto"/>
        <w:ind w:firstLine="420" w:firstLineChars="200"/>
        <w:rPr>
          <w:rFonts w:ascii="宋体" w:hAnsi="宋体"/>
          <w:szCs w:val="21"/>
          <w:highlight w:val="none"/>
        </w:rPr>
      </w:pPr>
      <w:r>
        <w:rPr>
          <w:rFonts w:ascii="宋体" w:hAnsi="宋体"/>
          <w:szCs w:val="21"/>
          <w:highlight w:val="none"/>
        </w:rPr>
        <w:t>（7）因采购人原因导致工期延误的其他情形：</w:t>
      </w:r>
      <w:r>
        <w:rPr>
          <w:rFonts w:hint="eastAsia" w:ascii="宋体" w:hAnsi="宋体"/>
          <w:szCs w:val="21"/>
          <w:highlight w:val="none"/>
          <w:u w:val="single"/>
        </w:rPr>
        <w:t xml:space="preserve">   无   </w:t>
      </w:r>
      <w:r>
        <w:rPr>
          <w:rFonts w:ascii="宋体" w:hAnsi="宋体"/>
          <w:szCs w:val="21"/>
          <w:highlight w:val="none"/>
        </w:rPr>
        <w:t>。</w:t>
      </w:r>
    </w:p>
    <w:p w14:paraId="4F4D6A1A">
      <w:pPr>
        <w:spacing w:line="360" w:lineRule="auto"/>
        <w:ind w:firstLine="420" w:firstLineChars="200"/>
        <w:rPr>
          <w:rFonts w:ascii="宋体" w:hAnsi="宋体"/>
          <w:szCs w:val="21"/>
          <w:highlight w:val="none"/>
        </w:rPr>
      </w:pPr>
      <w:r>
        <w:rPr>
          <w:rFonts w:ascii="宋体" w:hAnsi="宋体"/>
          <w:szCs w:val="21"/>
          <w:highlight w:val="none"/>
        </w:rPr>
        <w:t>7</w:t>
      </w:r>
      <w:bookmarkStart w:id="238" w:name="_Toc312677486"/>
      <w:bookmarkStart w:id="239" w:name="_Toc312678012"/>
      <w:bookmarkStart w:id="240" w:name="_Toc318581169"/>
      <w:bookmarkStart w:id="241" w:name="_Toc303539127"/>
      <w:bookmarkStart w:id="242" w:name="_Toc297123518"/>
      <w:bookmarkStart w:id="243" w:name="_Toc300934970"/>
      <w:bookmarkStart w:id="244" w:name="_Toc304295548"/>
      <w:bookmarkStart w:id="245" w:name="_Toc297216177"/>
      <w:r>
        <w:rPr>
          <w:rFonts w:ascii="宋体" w:hAnsi="宋体"/>
          <w:szCs w:val="21"/>
          <w:highlight w:val="none"/>
        </w:rPr>
        <w:t>.5.2 因承包人原因导致工期延误</w:t>
      </w:r>
    </w:p>
    <w:bookmarkEnd w:id="238"/>
    <w:bookmarkEnd w:id="239"/>
    <w:bookmarkEnd w:id="240"/>
    <w:p w14:paraId="29150C63">
      <w:pPr>
        <w:spacing w:line="360" w:lineRule="auto"/>
        <w:ind w:firstLine="420" w:firstLineChars="200"/>
        <w:rPr>
          <w:rFonts w:ascii="宋体" w:hAnsi="宋体"/>
          <w:szCs w:val="21"/>
          <w:highlight w:val="none"/>
        </w:rPr>
      </w:pPr>
      <w:r>
        <w:rPr>
          <w:rFonts w:ascii="宋体" w:hAnsi="宋体"/>
          <w:szCs w:val="21"/>
          <w:highlight w:val="none"/>
        </w:rPr>
        <w:t>因</w:t>
      </w:r>
      <w:bookmarkStart w:id="246" w:name="_Toc312678013"/>
      <w:bookmarkStart w:id="247" w:name="_Toc312677487"/>
      <w:bookmarkStart w:id="248" w:name="_Toc318581170"/>
      <w:r>
        <w:rPr>
          <w:rFonts w:ascii="宋体" w:hAnsi="宋体"/>
          <w:szCs w:val="21"/>
          <w:highlight w:val="none"/>
        </w:rPr>
        <w:t>承包人原因造成工期延误，逾期竣工违约金的计算方法为：</w:t>
      </w:r>
      <w:r>
        <w:rPr>
          <w:rFonts w:hint="eastAsia" w:ascii="宋体" w:hAnsi="宋体"/>
          <w:szCs w:val="21"/>
          <w:highlight w:val="none"/>
          <w:u w:val="single"/>
        </w:rPr>
        <w:t>该项违约，承包人每延误一天按合同总价的0.5‰计取向采购人支付违约金。</w:t>
      </w:r>
      <w:bookmarkEnd w:id="241"/>
      <w:bookmarkEnd w:id="242"/>
      <w:bookmarkEnd w:id="243"/>
      <w:bookmarkEnd w:id="244"/>
      <w:bookmarkEnd w:id="245"/>
      <w:bookmarkEnd w:id="246"/>
      <w:bookmarkEnd w:id="247"/>
    </w:p>
    <w:bookmarkEnd w:id="248"/>
    <w:p w14:paraId="632F8D63">
      <w:pPr>
        <w:spacing w:line="360" w:lineRule="auto"/>
        <w:ind w:firstLine="420" w:firstLineChars="200"/>
        <w:rPr>
          <w:rFonts w:ascii="宋体" w:hAnsi="宋体"/>
          <w:szCs w:val="21"/>
          <w:highlight w:val="none"/>
        </w:rPr>
      </w:pPr>
      <w:r>
        <w:rPr>
          <w:rFonts w:ascii="宋体" w:hAnsi="宋体"/>
          <w:szCs w:val="21"/>
          <w:highlight w:val="none"/>
        </w:rPr>
        <w:t>因承包人原因造成工期延误，逾</w:t>
      </w:r>
      <w:bookmarkStart w:id="249" w:name="_Toc312678014"/>
      <w:bookmarkStart w:id="250" w:name="_Toc318581171"/>
      <w:r>
        <w:rPr>
          <w:rFonts w:ascii="宋体" w:hAnsi="宋体"/>
          <w:szCs w:val="21"/>
          <w:highlight w:val="none"/>
        </w:rPr>
        <w:t>期竣工违约金的上限：</w:t>
      </w:r>
      <w:r>
        <w:rPr>
          <w:rFonts w:ascii="宋体" w:hAnsi="宋体"/>
          <w:szCs w:val="21"/>
          <w:highlight w:val="none"/>
          <w:u w:val="single"/>
        </w:rPr>
        <w:t xml:space="preserve">  </w:t>
      </w:r>
      <w:r>
        <w:rPr>
          <w:rFonts w:hint="eastAsia" w:ascii="宋体" w:hAnsi="宋体"/>
          <w:szCs w:val="21"/>
          <w:highlight w:val="none"/>
          <w:u w:val="single"/>
        </w:rPr>
        <w:t>合同价</w:t>
      </w:r>
      <w:r>
        <w:rPr>
          <w:rFonts w:hint="eastAsia" w:ascii="宋体" w:hAnsi="宋体"/>
          <w:szCs w:val="21"/>
          <w:highlight w:val="none"/>
          <w:u w:val="single"/>
          <w:lang w:val="en-US" w:eastAsia="zh-CN"/>
        </w:rPr>
        <w:t>3</w:t>
      </w:r>
      <w:r>
        <w:rPr>
          <w:rFonts w:hint="eastAsia" w:ascii="宋体" w:hAnsi="宋体"/>
          <w:szCs w:val="21"/>
          <w:highlight w:val="none"/>
          <w:u w:val="single"/>
        </w:rPr>
        <w:t>%</w:t>
      </w:r>
      <w:r>
        <w:rPr>
          <w:rFonts w:ascii="宋体" w:hAnsi="宋体"/>
          <w:szCs w:val="21"/>
          <w:highlight w:val="none"/>
          <w:u w:val="single"/>
        </w:rPr>
        <w:t xml:space="preserve">  </w:t>
      </w:r>
      <w:r>
        <w:rPr>
          <w:rFonts w:ascii="宋体" w:hAnsi="宋体"/>
          <w:szCs w:val="21"/>
          <w:highlight w:val="none"/>
        </w:rPr>
        <w:t>。</w:t>
      </w:r>
    </w:p>
    <w:bookmarkEnd w:id="249"/>
    <w:bookmarkEnd w:id="250"/>
    <w:p w14:paraId="15F1DA61">
      <w:pPr>
        <w:spacing w:line="360" w:lineRule="auto"/>
        <w:ind w:firstLine="420" w:firstLineChars="200"/>
        <w:rPr>
          <w:rFonts w:ascii="宋体" w:hAnsi="宋体"/>
          <w:szCs w:val="21"/>
          <w:highlight w:val="none"/>
        </w:rPr>
      </w:pPr>
      <w:r>
        <w:rPr>
          <w:rFonts w:ascii="宋体" w:hAnsi="宋体"/>
          <w:szCs w:val="21"/>
          <w:highlight w:val="none"/>
        </w:rPr>
        <w:t>7</w:t>
      </w:r>
      <w:bookmarkStart w:id="251" w:name="_Toc297123519"/>
      <w:bookmarkStart w:id="252" w:name="_Toc303539128"/>
      <w:bookmarkStart w:id="253" w:name="_Toc297216178"/>
      <w:bookmarkStart w:id="254" w:name="_Toc312678015"/>
      <w:bookmarkStart w:id="255" w:name="_Toc300934971"/>
      <w:bookmarkStart w:id="256" w:name="_Toc304295549"/>
      <w:r>
        <w:rPr>
          <w:rFonts w:ascii="宋体" w:hAnsi="宋体"/>
          <w:szCs w:val="21"/>
          <w:highlight w:val="none"/>
        </w:rPr>
        <w:t>.6 不</w:t>
      </w:r>
      <w:bookmarkEnd w:id="251"/>
      <w:bookmarkEnd w:id="252"/>
      <w:bookmarkEnd w:id="253"/>
      <w:bookmarkEnd w:id="254"/>
      <w:bookmarkEnd w:id="255"/>
      <w:bookmarkEnd w:id="256"/>
      <w:r>
        <w:rPr>
          <w:rFonts w:ascii="宋体" w:hAnsi="宋体"/>
          <w:szCs w:val="21"/>
          <w:highlight w:val="none"/>
        </w:rPr>
        <w:t>利物质条件</w:t>
      </w:r>
    </w:p>
    <w:p w14:paraId="313CE75A">
      <w:pPr>
        <w:spacing w:line="360" w:lineRule="auto"/>
        <w:ind w:firstLine="420" w:firstLineChars="200"/>
        <w:rPr>
          <w:rFonts w:ascii="宋体" w:hAnsi="宋体"/>
          <w:szCs w:val="21"/>
          <w:highlight w:val="none"/>
        </w:rPr>
      </w:pPr>
      <w:bookmarkStart w:id="257" w:name="_Toc297216179"/>
      <w:bookmarkStart w:id="258" w:name="_Toc304295550"/>
      <w:bookmarkStart w:id="259" w:name="_Toc303539129"/>
      <w:bookmarkStart w:id="260" w:name="_Toc300934972"/>
      <w:bookmarkStart w:id="261" w:name="_Toc318581172"/>
      <w:bookmarkStart w:id="262" w:name="_Toc312678016"/>
      <w:bookmarkStart w:id="263" w:name="_Toc297123520"/>
      <w:r>
        <w:rPr>
          <w:rFonts w:ascii="宋体" w:hAnsi="宋体"/>
          <w:szCs w:val="21"/>
          <w:highlight w:val="none"/>
        </w:rPr>
        <w:t>不利物质条件的其他情形和有关约定：</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bookmarkEnd w:id="257"/>
    <w:bookmarkEnd w:id="258"/>
    <w:bookmarkEnd w:id="259"/>
    <w:bookmarkEnd w:id="260"/>
    <w:bookmarkEnd w:id="261"/>
    <w:bookmarkEnd w:id="262"/>
    <w:bookmarkEnd w:id="263"/>
    <w:p w14:paraId="30C3BF9F">
      <w:pPr>
        <w:spacing w:line="360" w:lineRule="auto"/>
        <w:ind w:firstLine="420" w:firstLineChars="200"/>
        <w:rPr>
          <w:rFonts w:ascii="宋体" w:hAnsi="宋体"/>
          <w:szCs w:val="21"/>
          <w:highlight w:val="none"/>
        </w:rPr>
      </w:pPr>
      <w:r>
        <w:rPr>
          <w:rFonts w:ascii="宋体" w:hAnsi="宋体"/>
          <w:szCs w:val="21"/>
          <w:highlight w:val="none"/>
        </w:rPr>
        <w:t>7</w:t>
      </w:r>
      <w:bookmarkStart w:id="264" w:name="_Toc312678017"/>
      <w:bookmarkStart w:id="265" w:name="_Toc297216180"/>
      <w:bookmarkStart w:id="266" w:name="_Toc304295551"/>
      <w:bookmarkStart w:id="267" w:name="_Toc303539130"/>
      <w:bookmarkStart w:id="268" w:name="_Toc297123521"/>
      <w:bookmarkStart w:id="269" w:name="_Toc300934973"/>
      <w:r>
        <w:rPr>
          <w:rFonts w:ascii="宋体" w:hAnsi="宋体"/>
          <w:szCs w:val="21"/>
          <w:highlight w:val="none"/>
        </w:rPr>
        <w:t>.7异常恶劣的气候条件</w:t>
      </w:r>
    </w:p>
    <w:bookmarkEnd w:id="264"/>
    <w:bookmarkEnd w:id="265"/>
    <w:bookmarkEnd w:id="266"/>
    <w:bookmarkEnd w:id="267"/>
    <w:bookmarkEnd w:id="268"/>
    <w:bookmarkEnd w:id="269"/>
    <w:p w14:paraId="536AB86E">
      <w:pPr>
        <w:spacing w:line="360" w:lineRule="auto"/>
        <w:ind w:firstLine="420" w:firstLineChars="200"/>
        <w:rPr>
          <w:rFonts w:ascii="宋体" w:hAnsi="宋体"/>
          <w:szCs w:val="21"/>
          <w:highlight w:val="none"/>
        </w:rPr>
      </w:pPr>
      <w:r>
        <w:rPr>
          <w:rFonts w:ascii="宋体" w:hAnsi="宋体"/>
          <w:szCs w:val="21"/>
          <w:highlight w:val="none"/>
        </w:rPr>
        <w:t>采购人和承包人同意以下情形视为异常恶劣的气候条件：</w:t>
      </w:r>
    </w:p>
    <w:p w14:paraId="16D30A1D">
      <w:pPr>
        <w:spacing w:line="360" w:lineRule="auto"/>
        <w:ind w:firstLine="420" w:firstLineChars="200"/>
        <w:rPr>
          <w:rFonts w:ascii="宋体" w:hAnsi="宋体"/>
          <w:szCs w:val="21"/>
          <w:highlight w:val="none"/>
        </w:rPr>
      </w:pPr>
      <w:r>
        <w:rPr>
          <w:rFonts w:ascii="宋体" w:hAnsi="宋体"/>
          <w:szCs w:val="21"/>
          <w:highlight w:val="none"/>
        </w:rPr>
        <w:t>（1）</w:t>
      </w:r>
      <w:r>
        <w:rPr>
          <w:rFonts w:ascii="宋体" w:hAnsi="宋体"/>
          <w:szCs w:val="21"/>
          <w:highlight w:val="none"/>
          <w:u w:val="single"/>
        </w:rPr>
        <w:t xml:space="preserve">    </w:t>
      </w:r>
      <w:r>
        <w:rPr>
          <w:rFonts w:hint="eastAsia" w:ascii="宋体" w:hAnsi="宋体"/>
          <w:szCs w:val="21"/>
          <w:highlight w:val="none"/>
          <w:u w:val="single"/>
        </w:rPr>
        <w:t>5级以上的地震</w:t>
      </w:r>
      <w:r>
        <w:rPr>
          <w:rFonts w:ascii="宋体" w:hAnsi="宋体"/>
          <w:szCs w:val="21"/>
          <w:highlight w:val="none"/>
          <w:u w:val="single"/>
        </w:rPr>
        <w:t xml:space="preserve">                                   </w:t>
      </w:r>
      <w:r>
        <w:rPr>
          <w:rFonts w:ascii="宋体" w:hAnsi="宋体"/>
          <w:szCs w:val="21"/>
          <w:highlight w:val="none"/>
        </w:rPr>
        <w:t>；</w:t>
      </w:r>
    </w:p>
    <w:p w14:paraId="013C483E">
      <w:pPr>
        <w:spacing w:line="360" w:lineRule="auto"/>
        <w:ind w:firstLine="420" w:firstLineChars="200"/>
        <w:rPr>
          <w:rFonts w:ascii="宋体" w:hAnsi="宋体"/>
          <w:szCs w:val="21"/>
          <w:highlight w:val="none"/>
        </w:rPr>
      </w:pPr>
      <w:r>
        <w:rPr>
          <w:rFonts w:ascii="宋体" w:hAnsi="宋体"/>
          <w:szCs w:val="21"/>
          <w:highlight w:val="none"/>
        </w:rPr>
        <w:t>（2）</w:t>
      </w:r>
      <w:r>
        <w:rPr>
          <w:rFonts w:ascii="宋体" w:hAnsi="宋体"/>
          <w:szCs w:val="21"/>
          <w:highlight w:val="none"/>
          <w:u w:val="single"/>
        </w:rPr>
        <w:t xml:space="preserve">    </w:t>
      </w:r>
      <w:r>
        <w:rPr>
          <w:rFonts w:hint="eastAsia" w:ascii="宋体" w:hAnsi="宋体"/>
          <w:szCs w:val="21"/>
          <w:highlight w:val="none"/>
          <w:u w:val="single"/>
        </w:rPr>
        <w:t>日降雨量大于100MM以上持续三天的暴雨</w:t>
      </w:r>
      <w:r>
        <w:rPr>
          <w:rFonts w:ascii="宋体" w:hAnsi="宋体"/>
          <w:szCs w:val="21"/>
          <w:highlight w:val="none"/>
          <w:u w:val="single"/>
        </w:rPr>
        <w:t xml:space="preserve">             </w:t>
      </w:r>
      <w:r>
        <w:rPr>
          <w:rFonts w:ascii="宋体" w:hAnsi="宋体"/>
          <w:szCs w:val="21"/>
          <w:highlight w:val="none"/>
        </w:rPr>
        <w:t>；</w:t>
      </w:r>
    </w:p>
    <w:p w14:paraId="78328BDE">
      <w:pPr>
        <w:spacing w:line="360" w:lineRule="auto"/>
        <w:ind w:firstLine="420" w:firstLineChars="200"/>
        <w:rPr>
          <w:rFonts w:ascii="宋体" w:hAnsi="宋体"/>
          <w:szCs w:val="21"/>
          <w:highlight w:val="none"/>
        </w:rPr>
      </w:pPr>
      <w:r>
        <w:rPr>
          <w:rFonts w:ascii="宋体" w:hAnsi="宋体"/>
          <w:szCs w:val="21"/>
          <w:highlight w:val="none"/>
        </w:rPr>
        <w:t>（3）</w:t>
      </w:r>
      <w:r>
        <w:rPr>
          <w:rFonts w:ascii="宋体" w:hAnsi="宋体"/>
          <w:szCs w:val="21"/>
          <w:highlight w:val="none"/>
          <w:u w:val="single"/>
        </w:rPr>
        <w:t xml:space="preserve">    </w:t>
      </w:r>
      <w:r>
        <w:rPr>
          <w:rFonts w:hint="eastAsia" w:ascii="宋体" w:hAnsi="宋体"/>
          <w:szCs w:val="21"/>
          <w:highlight w:val="none"/>
          <w:u w:val="single"/>
        </w:rPr>
        <w:t>风速达到10级以上的强台风</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64A0C733">
      <w:pPr>
        <w:spacing w:line="360" w:lineRule="auto"/>
        <w:ind w:firstLine="420" w:firstLineChars="200"/>
        <w:rPr>
          <w:rFonts w:ascii="宋体" w:hAnsi="宋体"/>
          <w:szCs w:val="21"/>
          <w:highlight w:val="none"/>
        </w:rPr>
      </w:pPr>
      <w:r>
        <w:rPr>
          <w:rFonts w:ascii="宋体" w:hAnsi="宋体"/>
          <w:szCs w:val="21"/>
          <w:highlight w:val="none"/>
        </w:rPr>
        <w:t>7.9 提前竣工的奖励</w:t>
      </w:r>
    </w:p>
    <w:p w14:paraId="5582445D">
      <w:pPr>
        <w:spacing w:line="360" w:lineRule="auto"/>
        <w:ind w:firstLine="420" w:firstLineChars="200"/>
        <w:rPr>
          <w:rFonts w:hint="eastAsia" w:ascii="宋体" w:hAnsi="宋体"/>
          <w:szCs w:val="21"/>
          <w:highlight w:val="none"/>
        </w:rPr>
      </w:pPr>
      <w:r>
        <w:rPr>
          <w:rFonts w:ascii="宋体" w:hAnsi="宋体"/>
          <w:szCs w:val="21"/>
          <w:highlight w:val="none"/>
        </w:rPr>
        <w:t>7.9.2提前竣工的奖励：</w:t>
      </w:r>
      <w:r>
        <w:rPr>
          <w:rFonts w:ascii="宋体" w:hAnsi="宋体"/>
          <w:szCs w:val="21"/>
          <w:highlight w:val="none"/>
          <w:u w:val="single"/>
        </w:rPr>
        <w:t xml:space="preserve">     </w:t>
      </w:r>
      <w:r>
        <w:rPr>
          <w:rFonts w:hint="eastAsia" w:ascii="宋体" w:hAnsi="宋体"/>
          <w:szCs w:val="21"/>
          <w:highlight w:val="none"/>
          <w:u w:val="single"/>
        </w:rPr>
        <w:t>无</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2A8B6688">
      <w:pPr>
        <w:spacing w:line="360" w:lineRule="auto"/>
        <w:ind w:firstLine="422" w:firstLineChars="200"/>
        <w:rPr>
          <w:rFonts w:ascii="宋体" w:hAnsi="宋体"/>
          <w:b/>
          <w:szCs w:val="21"/>
          <w:highlight w:val="none"/>
        </w:rPr>
      </w:pPr>
      <w:bookmarkStart w:id="270" w:name="_Toc351203640"/>
      <w:r>
        <w:rPr>
          <w:rFonts w:ascii="宋体" w:hAnsi="宋体"/>
          <w:b/>
          <w:szCs w:val="21"/>
          <w:highlight w:val="none"/>
        </w:rPr>
        <w:t>8. 材料与设备</w:t>
      </w:r>
      <w:bookmarkEnd w:id="270"/>
    </w:p>
    <w:bookmarkEnd w:id="205"/>
    <w:bookmarkEnd w:id="206"/>
    <w:bookmarkEnd w:id="207"/>
    <w:bookmarkEnd w:id="208"/>
    <w:bookmarkEnd w:id="209"/>
    <w:bookmarkEnd w:id="210"/>
    <w:bookmarkEnd w:id="211"/>
    <w:bookmarkEnd w:id="212"/>
    <w:bookmarkEnd w:id="213"/>
    <w:bookmarkEnd w:id="214"/>
    <w:p w14:paraId="54D30FDE">
      <w:pPr>
        <w:spacing w:line="360" w:lineRule="auto"/>
        <w:ind w:firstLine="420" w:firstLineChars="200"/>
        <w:rPr>
          <w:rFonts w:ascii="宋体" w:hAnsi="宋体"/>
          <w:szCs w:val="21"/>
          <w:highlight w:val="none"/>
        </w:rPr>
      </w:pPr>
      <w:r>
        <w:rPr>
          <w:rFonts w:ascii="宋体" w:hAnsi="宋体"/>
          <w:szCs w:val="21"/>
          <w:highlight w:val="none"/>
        </w:rPr>
        <w:t>8</w:t>
      </w:r>
      <w:bookmarkStart w:id="271" w:name="_Toc300934979"/>
      <w:bookmarkStart w:id="272" w:name="_Toc296891207"/>
      <w:bookmarkStart w:id="273" w:name="_Toc296890995"/>
      <w:bookmarkStart w:id="274" w:name="_Toc296944506"/>
      <w:bookmarkStart w:id="275" w:name="_Toc297048353"/>
      <w:bookmarkStart w:id="276" w:name="_Toc296503167"/>
      <w:bookmarkStart w:id="277" w:name="_Toc292559372"/>
      <w:bookmarkStart w:id="278" w:name="_Toc303539136"/>
      <w:bookmarkStart w:id="279" w:name="_Toc292559877"/>
      <w:bookmarkStart w:id="280" w:name="_Toc297123527"/>
      <w:bookmarkStart w:id="281" w:name="_Toc296347166"/>
      <w:bookmarkStart w:id="282" w:name="_Toc280868654"/>
      <w:bookmarkStart w:id="283" w:name="_Toc312678019"/>
      <w:bookmarkStart w:id="284" w:name="_Toc312677493"/>
      <w:bookmarkStart w:id="285" w:name="_Toc297216186"/>
      <w:bookmarkStart w:id="286" w:name="_Toc296346668"/>
      <w:bookmarkStart w:id="287" w:name="_Toc304295556"/>
      <w:bookmarkStart w:id="288" w:name="_Toc297120467"/>
      <w:bookmarkStart w:id="289" w:name="_Toc280868656"/>
      <w:bookmarkStart w:id="290" w:name="_Toc280868655"/>
      <w:bookmarkStart w:id="291" w:name="_Toc267251424"/>
      <w:r>
        <w:rPr>
          <w:rFonts w:ascii="宋体" w:hAnsi="宋体"/>
          <w:szCs w:val="21"/>
          <w:highlight w:val="none"/>
        </w:rPr>
        <w:t>.4材料与工程设备的保管与使用</w:t>
      </w:r>
    </w:p>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14:paraId="7256C8D3">
      <w:pPr>
        <w:spacing w:line="360" w:lineRule="auto"/>
        <w:ind w:firstLine="420" w:firstLineChars="200"/>
        <w:rPr>
          <w:rFonts w:ascii="宋体" w:hAnsi="宋体"/>
          <w:szCs w:val="21"/>
          <w:highlight w:val="none"/>
        </w:rPr>
      </w:pPr>
      <w:r>
        <w:rPr>
          <w:rFonts w:ascii="宋体" w:hAnsi="宋体"/>
          <w:szCs w:val="21"/>
          <w:highlight w:val="none"/>
        </w:rPr>
        <w:t>8</w:t>
      </w:r>
      <w:bookmarkStart w:id="292" w:name="_Toc292559373"/>
      <w:bookmarkStart w:id="293" w:name="_Toc292559878"/>
      <w:bookmarkStart w:id="294" w:name="_Toc318581173"/>
      <w:bookmarkStart w:id="295" w:name="_Toc297120468"/>
      <w:bookmarkStart w:id="296" w:name="_Toc312678020"/>
      <w:bookmarkStart w:id="297" w:name="_Toc297123528"/>
      <w:bookmarkStart w:id="298" w:name="_Toc296891208"/>
      <w:bookmarkStart w:id="299" w:name="_Toc296347167"/>
      <w:bookmarkStart w:id="300" w:name="_Toc297048354"/>
      <w:bookmarkStart w:id="301" w:name="_Toc300934980"/>
      <w:bookmarkStart w:id="302" w:name="_Toc304295557"/>
      <w:bookmarkStart w:id="303" w:name="_Toc296944507"/>
      <w:bookmarkStart w:id="304" w:name="_Toc296503168"/>
      <w:bookmarkStart w:id="305" w:name="_Toc296890996"/>
      <w:bookmarkStart w:id="306" w:name="_Toc303539137"/>
      <w:bookmarkStart w:id="307" w:name="_Toc296346669"/>
      <w:bookmarkStart w:id="308" w:name="_Toc312677494"/>
      <w:bookmarkStart w:id="309" w:name="_Toc297216187"/>
      <w:r>
        <w:rPr>
          <w:rFonts w:ascii="宋体" w:hAnsi="宋体"/>
          <w:szCs w:val="21"/>
          <w:highlight w:val="none"/>
        </w:rPr>
        <w:t>.4.1采购人供应的材料设备的保管费用的承担：</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u w:val="single"/>
        </w:rPr>
        <w:t xml:space="preserve">    </w:t>
      </w:r>
      <w:r>
        <w:rPr>
          <w:rFonts w:ascii="宋体" w:hAnsi="宋体"/>
          <w:szCs w:val="21"/>
          <w:highlight w:val="none"/>
        </w:rPr>
        <w:t>。</w:t>
      </w:r>
      <w:bookmarkEnd w:id="292"/>
      <w:bookmarkEnd w:id="293"/>
    </w:p>
    <w:p w14:paraId="022BBD60">
      <w:pPr>
        <w:spacing w:line="360" w:lineRule="auto"/>
        <w:ind w:firstLine="420" w:firstLineChars="200"/>
        <w:rPr>
          <w:rFonts w:ascii="宋体" w:hAnsi="宋体"/>
          <w:szCs w:val="21"/>
          <w:highlight w:val="none"/>
        </w:rPr>
      </w:pPr>
      <w:r>
        <w:rPr>
          <w:rFonts w:ascii="宋体" w:hAnsi="宋体"/>
          <w:szCs w:val="21"/>
          <w:highlight w:val="none"/>
        </w:rPr>
        <w:t>8.6 样品</w:t>
      </w:r>
    </w:p>
    <w:p w14:paraId="14EFAAF3">
      <w:pPr>
        <w:spacing w:line="360" w:lineRule="auto"/>
        <w:ind w:firstLine="420" w:firstLineChars="200"/>
        <w:rPr>
          <w:rFonts w:ascii="宋体" w:hAnsi="宋体"/>
          <w:kern w:val="0"/>
          <w:szCs w:val="21"/>
          <w:highlight w:val="none"/>
        </w:rPr>
      </w:pPr>
      <w:r>
        <w:rPr>
          <w:rFonts w:ascii="宋体" w:hAnsi="宋体"/>
          <w:kern w:val="0"/>
          <w:szCs w:val="21"/>
          <w:highlight w:val="none"/>
        </w:rPr>
        <w:t>8.6.1</w:t>
      </w:r>
      <w:r>
        <w:rPr>
          <w:rFonts w:ascii="宋体" w:hAnsi="宋体"/>
          <w:kern w:val="0"/>
          <w:szCs w:val="21"/>
          <w:highlight w:val="none"/>
        </w:rPr>
        <w:tab/>
      </w:r>
      <w:r>
        <w:rPr>
          <w:rFonts w:ascii="宋体" w:hAnsi="宋体"/>
          <w:kern w:val="0"/>
          <w:szCs w:val="21"/>
          <w:highlight w:val="none"/>
        </w:rPr>
        <w:t>样品的报送</w:t>
      </w:r>
      <w:r>
        <w:rPr>
          <w:rFonts w:hint="eastAsia" w:ascii="宋体" w:hAnsi="宋体"/>
          <w:kern w:val="0"/>
          <w:szCs w:val="21"/>
          <w:highlight w:val="none"/>
        </w:rPr>
        <w:t>与封存</w:t>
      </w:r>
    </w:p>
    <w:p w14:paraId="63DE4288">
      <w:pPr>
        <w:spacing w:line="360" w:lineRule="auto"/>
        <w:ind w:firstLine="420" w:firstLineChars="200"/>
        <w:rPr>
          <w:rFonts w:ascii="宋体" w:hAnsi="宋体"/>
          <w:szCs w:val="21"/>
          <w:highlight w:val="none"/>
        </w:rPr>
      </w:pPr>
      <w:r>
        <w:rPr>
          <w:rFonts w:ascii="宋体" w:hAnsi="宋体"/>
          <w:kern w:val="0"/>
          <w:szCs w:val="21"/>
          <w:highlight w:val="none"/>
        </w:rPr>
        <w:t>需要承包人报送样品的材料或工程设备，样品的种类、名称、规格、数量要求：</w:t>
      </w:r>
      <w:r>
        <w:rPr>
          <w:rFonts w:hint="eastAsia" w:ascii="宋体" w:hAnsi="宋体"/>
          <w:szCs w:val="21"/>
          <w:highlight w:val="none"/>
          <w:u w:val="single"/>
        </w:rPr>
        <w:t>按采购人要求</w:t>
      </w:r>
      <w:r>
        <w:rPr>
          <w:rFonts w:ascii="宋体" w:hAnsi="宋体"/>
          <w:szCs w:val="21"/>
          <w:highlight w:val="none"/>
        </w:rPr>
        <w:t>。</w:t>
      </w:r>
    </w:p>
    <w:p w14:paraId="5252715C">
      <w:pPr>
        <w:spacing w:line="360" w:lineRule="auto"/>
        <w:ind w:firstLine="420" w:firstLineChars="200"/>
        <w:rPr>
          <w:rFonts w:ascii="宋体" w:hAnsi="宋体"/>
          <w:szCs w:val="21"/>
          <w:highlight w:val="none"/>
        </w:rPr>
      </w:pPr>
      <w:r>
        <w:rPr>
          <w:rFonts w:ascii="宋体" w:hAnsi="宋体"/>
          <w:szCs w:val="21"/>
          <w:highlight w:val="none"/>
        </w:rPr>
        <w:t>8.8 施工设备和临时设施</w:t>
      </w:r>
    </w:p>
    <w:p w14:paraId="1C1A798C">
      <w:pPr>
        <w:spacing w:line="360" w:lineRule="auto"/>
        <w:ind w:firstLine="420" w:firstLineChars="200"/>
        <w:rPr>
          <w:rFonts w:ascii="宋体" w:hAnsi="宋体"/>
          <w:szCs w:val="21"/>
          <w:highlight w:val="none"/>
        </w:rPr>
      </w:pPr>
      <w:r>
        <w:rPr>
          <w:rFonts w:ascii="宋体" w:hAnsi="宋体"/>
          <w:szCs w:val="21"/>
          <w:highlight w:val="none"/>
        </w:rPr>
        <w:t>8.8.1 承包人提供的施工设备和临时设施</w:t>
      </w:r>
    </w:p>
    <w:p w14:paraId="502220E3">
      <w:pPr>
        <w:spacing w:line="360" w:lineRule="auto"/>
        <w:ind w:firstLine="420" w:firstLineChars="200"/>
        <w:rPr>
          <w:rFonts w:ascii="宋体" w:hAnsi="宋体"/>
          <w:szCs w:val="21"/>
          <w:highlight w:val="none"/>
        </w:rPr>
      </w:pPr>
      <w:r>
        <w:rPr>
          <w:rFonts w:ascii="宋体" w:hAnsi="宋体"/>
          <w:szCs w:val="21"/>
          <w:highlight w:val="none"/>
        </w:rPr>
        <w:t>关于修建临时设施费用承担的约定：</w:t>
      </w:r>
      <w:r>
        <w:rPr>
          <w:rFonts w:hint="eastAsia" w:ascii="宋体" w:hAnsi="宋体"/>
          <w:szCs w:val="21"/>
          <w:highlight w:val="none"/>
          <w:u w:val="single"/>
        </w:rPr>
        <w:t xml:space="preserve">承包人自行承担 </w:t>
      </w:r>
      <w:r>
        <w:rPr>
          <w:rFonts w:ascii="宋体" w:hAnsi="宋体"/>
          <w:szCs w:val="21"/>
          <w:highlight w:val="none"/>
          <w:u w:val="single"/>
        </w:rPr>
        <w:t xml:space="preserve"> </w:t>
      </w:r>
      <w:r>
        <w:rPr>
          <w:rFonts w:ascii="宋体" w:hAnsi="宋体"/>
          <w:szCs w:val="21"/>
          <w:highlight w:val="none"/>
        </w:rPr>
        <w:t>。</w:t>
      </w:r>
    </w:p>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14:paraId="39DF21F8">
      <w:pPr>
        <w:spacing w:line="360" w:lineRule="auto"/>
        <w:ind w:firstLine="422" w:firstLineChars="200"/>
        <w:rPr>
          <w:rFonts w:ascii="宋体" w:hAnsi="宋体"/>
          <w:b/>
          <w:szCs w:val="21"/>
          <w:highlight w:val="none"/>
        </w:rPr>
      </w:pPr>
      <w:bookmarkStart w:id="310" w:name="_Toc351203641"/>
      <w:r>
        <w:rPr>
          <w:rFonts w:ascii="宋体" w:hAnsi="宋体"/>
          <w:b/>
          <w:szCs w:val="21"/>
          <w:highlight w:val="none"/>
        </w:rPr>
        <w:t>9</w:t>
      </w:r>
      <w:bookmarkEnd w:id="289"/>
      <w:bookmarkEnd w:id="290"/>
      <w:bookmarkEnd w:id="291"/>
      <w:bookmarkStart w:id="311" w:name="_Toc297216192"/>
      <w:bookmarkStart w:id="312" w:name="_Toc304295559"/>
      <w:bookmarkStart w:id="313" w:name="_Toc303539139"/>
      <w:bookmarkStart w:id="314" w:name="_Toc297123533"/>
      <w:bookmarkStart w:id="315" w:name="_Toc312678021"/>
      <w:bookmarkStart w:id="316" w:name="_Toc312677495"/>
      <w:bookmarkStart w:id="317" w:name="_Toc300934982"/>
      <w:bookmarkStart w:id="318" w:name="_Toc267251428"/>
      <w:bookmarkStart w:id="319" w:name="_Toc297120473"/>
      <w:bookmarkStart w:id="320" w:name="_Toc297048359"/>
      <w:bookmarkStart w:id="321" w:name="_Toc296346674"/>
      <w:bookmarkStart w:id="322" w:name="_Toc296944512"/>
      <w:bookmarkStart w:id="323" w:name="_Toc292559378"/>
      <w:bookmarkStart w:id="324" w:name="_Toc296891001"/>
      <w:bookmarkStart w:id="325" w:name="_Toc267251427"/>
      <w:bookmarkStart w:id="326" w:name="_Toc296347172"/>
      <w:bookmarkStart w:id="327" w:name="_Toc296891213"/>
      <w:bookmarkStart w:id="328" w:name="_Toc292559883"/>
      <w:bookmarkStart w:id="329" w:name="_Toc296503173"/>
      <w:r>
        <w:rPr>
          <w:rFonts w:ascii="宋体" w:hAnsi="宋体"/>
          <w:b/>
          <w:szCs w:val="21"/>
          <w:highlight w:val="none"/>
        </w:rPr>
        <w:t>. 试验与检验</w:t>
      </w:r>
      <w:bookmarkEnd w:id="310"/>
    </w:p>
    <w:bookmarkEnd w:id="311"/>
    <w:bookmarkEnd w:id="312"/>
    <w:bookmarkEnd w:id="313"/>
    <w:bookmarkEnd w:id="314"/>
    <w:bookmarkEnd w:id="315"/>
    <w:bookmarkEnd w:id="316"/>
    <w:bookmarkEnd w:id="317"/>
    <w:p w14:paraId="781FB484">
      <w:pPr>
        <w:spacing w:line="360" w:lineRule="auto"/>
        <w:ind w:firstLine="420" w:firstLineChars="200"/>
        <w:rPr>
          <w:rFonts w:ascii="宋体" w:hAnsi="宋体"/>
          <w:szCs w:val="21"/>
          <w:highlight w:val="none"/>
        </w:rPr>
      </w:pPr>
      <w:r>
        <w:rPr>
          <w:rFonts w:ascii="宋体" w:hAnsi="宋体"/>
          <w:szCs w:val="21"/>
          <w:highlight w:val="none"/>
        </w:rPr>
        <w:t>9</w:t>
      </w:r>
      <w:bookmarkStart w:id="330" w:name="_Toc303539140"/>
      <w:bookmarkStart w:id="331" w:name="_Toc304295560"/>
      <w:bookmarkStart w:id="332" w:name="_Toc297216193"/>
      <w:bookmarkStart w:id="333" w:name="_Toc297123534"/>
      <w:bookmarkStart w:id="334" w:name="_Toc300934983"/>
      <w:bookmarkStart w:id="335" w:name="_Toc312678022"/>
      <w:bookmarkStart w:id="336" w:name="_Toc312677496"/>
      <w:r>
        <w:rPr>
          <w:rFonts w:ascii="宋体" w:hAnsi="宋体"/>
          <w:szCs w:val="21"/>
          <w:highlight w:val="none"/>
        </w:rPr>
        <w:t>.1试验设备与试验人员</w:t>
      </w:r>
    </w:p>
    <w:bookmarkEnd w:id="330"/>
    <w:bookmarkEnd w:id="331"/>
    <w:bookmarkEnd w:id="332"/>
    <w:bookmarkEnd w:id="333"/>
    <w:bookmarkEnd w:id="334"/>
    <w:bookmarkEnd w:id="335"/>
    <w:bookmarkEnd w:id="336"/>
    <w:p w14:paraId="2AD450C5">
      <w:pPr>
        <w:spacing w:line="360" w:lineRule="auto"/>
        <w:ind w:firstLine="420" w:firstLineChars="200"/>
        <w:rPr>
          <w:rFonts w:ascii="宋体" w:hAnsi="宋体"/>
          <w:szCs w:val="21"/>
          <w:highlight w:val="none"/>
        </w:rPr>
      </w:pPr>
      <w:r>
        <w:rPr>
          <w:rFonts w:ascii="宋体" w:hAnsi="宋体"/>
          <w:szCs w:val="21"/>
          <w:highlight w:val="none"/>
        </w:rPr>
        <w:t>9</w:t>
      </w:r>
      <w:bookmarkStart w:id="337" w:name="_Toc300934984"/>
      <w:bookmarkStart w:id="338" w:name="_Toc297123535"/>
      <w:bookmarkStart w:id="339" w:name="_Toc297216194"/>
      <w:bookmarkStart w:id="340" w:name="_Toc303539141"/>
      <w:bookmarkStart w:id="341" w:name="_Toc312677497"/>
      <w:bookmarkStart w:id="342" w:name="_Toc312678023"/>
      <w:bookmarkStart w:id="343" w:name="_Toc304295561"/>
      <w:bookmarkStart w:id="344" w:name="_Toc318581174"/>
      <w:r>
        <w:rPr>
          <w:rFonts w:ascii="宋体" w:hAnsi="宋体"/>
          <w:szCs w:val="21"/>
          <w:highlight w:val="none"/>
        </w:rPr>
        <w:t>.1.2 试验设备</w:t>
      </w:r>
    </w:p>
    <w:p w14:paraId="3EFD0BD5">
      <w:pPr>
        <w:spacing w:line="360" w:lineRule="auto"/>
        <w:ind w:firstLine="420" w:firstLineChars="200"/>
        <w:rPr>
          <w:rFonts w:ascii="宋体" w:hAnsi="宋体"/>
          <w:szCs w:val="21"/>
          <w:highlight w:val="none"/>
        </w:rPr>
      </w:pPr>
      <w:r>
        <w:rPr>
          <w:rFonts w:ascii="宋体" w:hAnsi="宋体"/>
          <w:szCs w:val="21"/>
          <w:highlight w:val="none"/>
        </w:rPr>
        <w:t>施工现场需要配置的试验场所：</w:t>
      </w:r>
      <w:bookmarkEnd w:id="337"/>
      <w:bookmarkEnd w:id="338"/>
      <w:bookmarkEnd w:id="339"/>
      <w:bookmarkEnd w:id="340"/>
      <w:bookmarkEnd w:id="341"/>
      <w:bookmarkEnd w:id="342"/>
      <w:bookmarkEnd w:id="343"/>
      <w:bookmarkStart w:id="345" w:name="_Toc297123536"/>
      <w:bookmarkStart w:id="346" w:name="_Toc303539142"/>
      <w:bookmarkStart w:id="347" w:name="_Toc312678024"/>
      <w:bookmarkStart w:id="348" w:name="_Toc304295562"/>
      <w:bookmarkStart w:id="349" w:name="_Toc297216195"/>
      <w:bookmarkStart w:id="350" w:name="_Toc312677498"/>
      <w:bookmarkStart w:id="351" w:name="_Toc300934985"/>
      <w:r>
        <w:rPr>
          <w:rFonts w:ascii="宋体" w:hAnsi="宋体"/>
          <w:szCs w:val="21"/>
          <w:highlight w:val="none"/>
          <w:u w:val="single"/>
        </w:rPr>
        <w:t xml:space="preserve">     </w:t>
      </w:r>
      <w:r>
        <w:rPr>
          <w:rFonts w:hint="eastAsia" w:ascii="宋体" w:hAnsi="宋体"/>
          <w:szCs w:val="21"/>
          <w:highlight w:val="none"/>
          <w:u w:val="single"/>
        </w:rPr>
        <w:t xml:space="preserve">按采购人要求       </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 xml:space="preserve"> </w:t>
      </w:r>
    </w:p>
    <w:p w14:paraId="0CE0C860">
      <w:pPr>
        <w:spacing w:line="360" w:lineRule="auto"/>
        <w:ind w:firstLine="420" w:firstLineChars="200"/>
        <w:rPr>
          <w:rFonts w:ascii="宋体" w:hAnsi="宋体"/>
          <w:szCs w:val="21"/>
          <w:highlight w:val="none"/>
        </w:rPr>
      </w:pPr>
      <w:r>
        <w:rPr>
          <w:rFonts w:ascii="宋体" w:hAnsi="宋体"/>
          <w:szCs w:val="21"/>
          <w:highlight w:val="none"/>
        </w:rPr>
        <w:t>施工现场需要配备的试验设备：</w:t>
      </w:r>
      <w:r>
        <w:rPr>
          <w:rFonts w:ascii="宋体" w:hAnsi="宋体"/>
          <w:szCs w:val="21"/>
          <w:highlight w:val="none"/>
          <w:u w:val="single"/>
        </w:rPr>
        <w:t xml:space="preserve">      </w:t>
      </w:r>
      <w:r>
        <w:rPr>
          <w:rFonts w:hint="eastAsia" w:ascii="宋体" w:hAnsi="宋体"/>
          <w:szCs w:val="21"/>
          <w:highlight w:val="none"/>
          <w:u w:val="single"/>
        </w:rPr>
        <w:t xml:space="preserve">按采购人要求       </w:t>
      </w:r>
      <w:r>
        <w:rPr>
          <w:rFonts w:ascii="宋体" w:hAnsi="宋体"/>
          <w:szCs w:val="21"/>
          <w:highlight w:val="none"/>
          <w:u w:val="single"/>
        </w:rPr>
        <w:t xml:space="preserve"> </w:t>
      </w:r>
      <w:r>
        <w:rPr>
          <w:rFonts w:ascii="宋体" w:hAnsi="宋体"/>
          <w:szCs w:val="21"/>
          <w:highlight w:val="none"/>
        </w:rPr>
        <w:t>。</w:t>
      </w:r>
    </w:p>
    <w:p w14:paraId="6625BAB4">
      <w:pPr>
        <w:spacing w:line="360" w:lineRule="auto"/>
        <w:ind w:firstLine="420" w:firstLineChars="200"/>
        <w:rPr>
          <w:rFonts w:ascii="宋体" w:hAnsi="宋体"/>
          <w:szCs w:val="21"/>
          <w:highlight w:val="none"/>
        </w:rPr>
      </w:pPr>
      <w:r>
        <w:rPr>
          <w:rFonts w:ascii="宋体" w:hAnsi="宋体"/>
          <w:szCs w:val="21"/>
          <w:highlight w:val="none"/>
        </w:rPr>
        <w:t>施工现场需要具备的其他试验条件：</w:t>
      </w:r>
      <w:r>
        <w:rPr>
          <w:rFonts w:ascii="宋体" w:hAnsi="宋体"/>
          <w:szCs w:val="21"/>
          <w:highlight w:val="none"/>
          <w:u w:val="single"/>
        </w:rPr>
        <w:t xml:space="preserve">      </w:t>
      </w:r>
      <w:r>
        <w:rPr>
          <w:rFonts w:hint="eastAsia" w:ascii="宋体" w:hAnsi="宋体"/>
          <w:szCs w:val="21"/>
          <w:highlight w:val="none"/>
          <w:u w:val="single"/>
        </w:rPr>
        <w:t xml:space="preserve">按采购人要求    </w:t>
      </w:r>
      <w:r>
        <w:rPr>
          <w:rFonts w:ascii="宋体" w:hAnsi="宋体"/>
          <w:szCs w:val="21"/>
          <w:highlight w:val="none"/>
        </w:rPr>
        <w:t>。</w:t>
      </w:r>
    </w:p>
    <w:p w14:paraId="7FCAEEF8">
      <w:pPr>
        <w:spacing w:line="360" w:lineRule="auto"/>
        <w:ind w:firstLine="420" w:firstLineChars="200"/>
        <w:rPr>
          <w:rFonts w:ascii="宋体" w:hAnsi="宋体"/>
          <w:szCs w:val="21"/>
          <w:highlight w:val="none"/>
        </w:rPr>
      </w:pPr>
      <w:r>
        <w:rPr>
          <w:rFonts w:ascii="宋体" w:hAnsi="宋体"/>
          <w:szCs w:val="21"/>
          <w:highlight w:val="none"/>
        </w:rPr>
        <w:t>9.4 现场工艺试验</w:t>
      </w:r>
      <w:r>
        <w:rPr>
          <w:rFonts w:hint="eastAsia" w:ascii="宋体" w:hAnsi="宋体"/>
          <w:szCs w:val="21"/>
          <w:highlight w:val="none"/>
        </w:rPr>
        <w:t xml:space="preserve"> </w:t>
      </w:r>
    </w:p>
    <w:p w14:paraId="688A1324">
      <w:pPr>
        <w:spacing w:line="360" w:lineRule="auto"/>
        <w:ind w:firstLine="420" w:firstLineChars="200"/>
        <w:rPr>
          <w:rFonts w:hint="eastAsia" w:ascii="宋体" w:hAnsi="宋体"/>
          <w:szCs w:val="21"/>
          <w:highlight w:val="none"/>
        </w:rPr>
      </w:pPr>
      <w:r>
        <w:rPr>
          <w:rFonts w:ascii="宋体" w:hAnsi="宋体"/>
          <w:szCs w:val="21"/>
          <w:highlight w:val="none"/>
        </w:rPr>
        <w:t>现场工艺试验的有关约定：</w:t>
      </w:r>
      <w:r>
        <w:rPr>
          <w:rFonts w:ascii="宋体" w:hAnsi="宋体"/>
          <w:szCs w:val="21"/>
          <w:highlight w:val="none"/>
          <w:u w:val="single"/>
        </w:rPr>
        <w:t xml:space="preserve">       </w:t>
      </w:r>
      <w:r>
        <w:rPr>
          <w:rFonts w:hint="eastAsia" w:ascii="宋体" w:hAnsi="宋体"/>
          <w:szCs w:val="21"/>
          <w:highlight w:val="none"/>
          <w:u w:val="single"/>
        </w:rPr>
        <w:t xml:space="preserve">按通用条款         </w:t>
      </w:r>
      <w:r>
        <w:rPr>
          <w:rFonts w:ascii="宋体" w:hAnsi="宋体"/>
          <w:szCs w:val="21"/>
          <w:highlight w:val="none"/>
        </w:rPr>
        <w:t>。</w:t>
      </w:r>
    </w:p>
    <w:bookmarkEnd w:id="344"/>
    <w:bookmarkEnd w:id="345"/>
    <w:bookmarkEnd w:id="346"/>
    <w:bookmarkEnd w:id="347"/>
    <w:bookmarkEnd w:id="348"/>
    <w:bookmarkEnd w:id="349"/>
    <w:bookmarkEnd w:id="350"/>
    <w:bookmarkEnd w:id="351"/>
    <w:p w14:paraId="4C1EF1F4">
      <w:pPr>
        <w:spacing w:line="360" w:lineRule="auto"/>
        <w:ind w:firstLine="422" w:firstLineChars="200"/>
        <w:rPr>
          <w:rFonts w:ascii="宋体" w:hAnsi="宋体"/>
          <w:b/>
          <w:szCs w:val="21"/>
          <w:highlight w:val="none"/>
        </w:rPr>
      </w:pPr>
      <w:bookmarkStart w:id="352" w:name="_Toc351203642"/>
      <w:r>
        <w:rPr>
          <w:rFonts w:ascii="宋体" w:hAnsi="宋体"/>
          <w:b/>
          <w:szCs w:val="21"/>
          <w:highlight w:val="none"/>
        </w:rPr>
        <w:t>1</w:t>
      </w:r>
      <w:bookmarkEnd w:id="318"/>
      <w:bookmarkEnd w:id="319"/>
      <w:bookmarkEnd w:id="320"/>
      <w:bookmarkEnd w:id="321"/>
      <w:bookmarkEnd w:id="322"/>
      <w:bookmarkEnd w:id="323"/>
      <w:bookmarkEnd w:id="324"/>
      <w:bookmarkEnd w:id="325"/>
      <w:bookmarkEnd w:id="326"/>
      <w:bookmarkEnd w:id="327"/>
      <w:bookmarkEnd w:id="328"/>
      <w:bookmarkEnd w:id="329"/>
      <w:bookmarkStart w:id="353" w:name="_Toc292559398"/>
      <w:bookmarkStart w:id="354" w:name="_Toc304295566"/>
      <w:bookmarkStart w:id="355" w:name="_Toc292559903"/>
      <w:bookmarkStart w:id="356" w:name="_Toc297048379"/>
      <w:bookmarkStart w:id="357" w:name="_Toc297216199"/>
      <w:bookmarkStart w:id="358" w:name="_Toc296944532"/>
      <w:bookmarkStart w:id="359" w:name="_Toc296891233"/>
      <w:bookmarkStart w:id="360" w:name="_Toc297123540"/>
      <w:bookmarkStart w:id="361" w:name="_Toc303539146"/>
      <w:bookmarkStart w:id="362" w:name="_Toc300934989"/>
      <w:bookmarkStart w:id="363" w:name="_Toc296347192"/>
      <w:bookmarkStart w:id="364" w:name="_Toc296346694"/>
      <w:bookmarkStart w:id="365" w:name="_Toc297120493"/>
      <w:bookmarkStart w:id="366" w:name="_Toc296503193"/>
      <w:bookmarkStart w:id="367" w:name="_Toc296891021"/>
      <w:bookmarkStart w:id="368" w:name="_Toc312678025"/>
      <w:bookmarkStart w:id="369" w:name="_Toc312677499"/>
      <w:bookmarkStart w:id="370" w:name="_Toc267251435"/>
      <w:bookmarkStart w:id="371" w:name="_Toc267251437"/>
      <w:bookmarkStart w:id="372" w:name="_Toc267251439"/>
      <w:bookmarkStart w:id="373" w:name="_Toc267251440"/>
      <w:bookmarkStart w:id="374" w:name="_Toc267251433"/>
      <w:bookmarkStart w:id="375" w:name="_Toc267251441"/>
      <w:bookmarkStart w:id="376" w:name="_Toc267251442"/>
      <w:r>
        <w:rPr>
          <w:rFonts w:ascii="宋体" w:hAnsi="宋体"/>
          <w:b/>
          <w:szCs w:val="21"/>
          <w:highlight w:val="none"/>
        </w:rPr>
        <w:t>0. 变更</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bookmarkEnd w:id="368"/>
    <w:bookmarkEnd w:id="369"/>
    <w:p w14:paraId="223F3569">
      <w:pPr>
        <w:spacing w:line="360" w:lineRule="auto"/>
        <w:ind w:firstLine="420" w:firstLineChars="200"/>
        <w:rPr>
          <w:rFonts w:ascii="宋体" w:hAnsi="宋体"/>
          <w:szCs w:val="21"/>
          <w:highlight w:val="none"/>
        </w:rPr>
      </w:pPr>
      <w:r>
        <w:rPr>
          <w:rFonts w:ascii="宋体" w:hAnsi="宋体"/>
          <w:szCs w:val="21"/>
          <w:highlight w:val="none"/>
        </w:rPr>
        <w:t>1</w:t>
      </w:r>
      <w:bookmarkStart w:id="377" w:name="_Toc296347193"/>
      <w:bookmarkStart w:id="378" w:name="_Toc297120494"/>
      <w:bookmarkStart w:id="379" w:name="_Toc297048380"/>
      <w:bookmarkStart w:id="380" w:name="_Toc296503194"/>
      <w:bookmarkStart w:id="381" w:name="_Toc300934990"/>
      <w:bookmarkStart w:id="382" w:name="_Toc292559904"/>
      <w:bookmarkStart w:id="383" w:name="_Toc312678026"/>
      <w:bookmarkStart w:id="384" w:name="_Toc296944533"/>
      <w:bookmarkStart w:id="385" w:name="_Toc296346695"/>
      <w:bookmarkStart w:id="386" w:name="_Toc297123541"/>
      <w:bookmarkStart w:id="387" w:name="_Toc297216200"/>
      <w:bookmarkStart w:id="388" w:name="_Toc304295567"/>
      <w:bookmarkStart w:id="389" w:name="_Toc296891234"/>
      <w:bookmarkStart w:id="390" w:name="_Toc296891022"/>
      <w:bookmarkStart w:id="391" w:name="_Toc303539147"/>
      <w:bookmarkStart w:id="392" w:name="_Toc312677500"/>
      <w:bookmarkStart w:id="393" w:name="_Toc292559399"/>
      <w:r>
        <w:rPr>
          <w:rFonts w:ascii="宋体" w:hAnsi="宋体"/>
          <w:szCs w:val="21"/>
          <w:highlight w:val="none"/>
        </w:rPr>
        <w:t>0.1变更的范围</w:t>
      </w:r>
    </w:p>
    <w:p w14:paraId="01866DB0">
      <w:pPr>
        <w:spacing w:line="360" w:lineRule="auto"/>
        <w:ind w:firstLine="420" w:firstLineChars="200"/>
        <w:rPr>
          <w:rFonts w:ascii="宋体" w:hAnsi="宋体"/>
          <w:szCs w:val="21"/>
          <w:highlight w:val="none"/>
        </w:rPr>
      </w:pPr>
      <w:r>
        <w:rPr>
          <w:rFonts w:ascii="宋体" w:hAnsi="宋体"/>
          <w:szCs w:val="21"/>
          <w:highlight w:val="none"/>
        </w:rPr>
        <w:t>关于变更的范围的约定：</w:t>
      </w:r>
      <w:r>
        <w:rPr>
          <w:rFonts w:ascii="宋体" w:hAnsi="宋体"/>
          <w:szCs w:val="21"/>
          <w:highlight w:val="none"/>
          <w:u w:val="single"/>
        </w:rPr>
        <w:t xml:space="preserve">      </w:t>
      </w:r>
      <w:r>
        <w:rPr>
          <w:rFonts w:hint="eastAsia" w:ascii="宋体" w:hAnsi="宋体"/>
          <w:szCs w:val="21"/>
          <w:highlight w:val="none"/>
          <w:u w:val="single"/>
        </w:rPr>
        <w:t xml:space="preserve">按通用条款           </w:t>
      </w:r>
      <w:r>
        <w:rPr>
          <w:rFonts w:ascii="宋体" w:hAnsi="宋体"/>
          <w:szCs w:val="21"/>
          <w:highlight w:val="none"/>
        </w:rPr>
        <w:t>。</w:t>
      </w:r>
    </w:p>
    <w:p w14:paraId="782B9833">
      <w:pPr>
        <w:spacing w:line="360" w:lineRule="auto"/>
        <w:ind w:firstLine="420" w:firstLineChars="200"/>
        <w:rPr>
          <w:rFonts w:ascii="宋体" w:hAnsi="宋体"/>
          <w:szCs w:val="21"/>
          <w:highlight w:val="none"/>
        </w:rPr>
      </w:pPr>
      <w:r>
        <w:rPr>
          <w:rFonts w:ascii="宋体" w:hAnsi="宋体"/>
          <w:szCs w:val="21"/>
          <w:highlight w:val="none"/>
        </w:rPr>
        <w:t>10.4 变更估价</w:t>
      </w:r>
    </w:p>
    <w:p w14:paraId="0743FC64">
      <w:pPr>
        <w:spacing w:line="360" w:lineRule="auto"/>
        <w:ind w:firstLine="420" w:firstLineChars="200"/>
        <w:rPr>
          <w:rFonts w:hint="eastAsia" w:ascii="宋体" w:hAnsi="宋体"/>
          <w:szCs w:val="21"/>
          <w:highlight w:val="none"/>
        </w:rPr>
      </w:pPr>
      <w:r>
        <w:rPr>
          <w:rFonts w:hint="eastAsia" w:ascii="宋体" w:hAnsi="宋体"/>
          <w:szCs w:val="21"/>
          <w:highlight w:val="none"/>
        </w:rPr>
        <w:t>10.4.1 变更估价原则</w:t>
      </w:r>
    </w:p>
    <w:p w14:paraId="5017E37D">
      <w:pPr>
        <w:spacing w:line="360" w:lineRule="auto"/>
        <w:ind w:firstLine="420" w:firstLineChars="200"/>
        <w:rPr>
          <w:rFonts w:ascii="宋体" w:hAnsi="宋体"/>
          <w:szCs w:val="21"/>
          <w:highlight w:val="none"/>
          <w:u w:val="single"/>
        </w:rPr>
      </w:pPr>
      <w:r>
        <w:rPr>
          <w:rFonts w:ascii="宋体" w:hAnsi="宋体"/>
          <w:szCs w:val="21"/>
          <w:highlight w:val="none"/>
        </w:rPr>
        <w:t>关于变更估价的约定：</w:t>
      </w:r>
      <w:r>
        <w:rPr>
          <w:rFonts w:hint="eastAsia" w:ascii="宋体" w:hAnsi="宋体"/>
          <w:b/>
          <w:szCs w:val="21"/>
          <w:highlight w:val="none"/>
          <w:u w:val="single"/>
        </w:rPr>
        <w:t xml:space="preserve"> 因变更引起的价格调整计入结算办理，并在最终结算款中支付，其余内容按通用条款</w:t>
      </w:r>
      <w:r>
        <w:rPr>
          <w:rFonts w:ascii="宋体" w:hAnsi="宋体"/>
          <w:szCs w:val="21"/>
          <w:highlight w:val="none"/>
        </w:rPr>
        <w:t>。</w:t>
      </w:r>
    </w:p>
    <w:p w14:paraId="129DF7DD">
      <w:pPr>
        <w:spacing w:line="360" w:lineRule="auto"/>
        <w:ind w:firstLine="420" w:firstLineChars="200"/>
        <w:rPr>
          <w:rFonts w:ascii="宋体" w:hAnsi="宋体"/>
          <w:szCs w:val="21"/>
          <w:highlight w:val="none"/>
        </w:rPr>
      </w:pPr>
      <w:r>
        <w:rPr>
          <w:rFonts w:ascii="宋体" w:hAnsi="宋体"/>
          <w:szCs w:val="21"/>
          <w:highlight w:val="none"/>
        </w:rPr>
        <w:t>1</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Start w:id="394" w:name="_Toc296347196"/>
      <w:bookmarkStart w:id="395" w:name="_Toc296891025"/>
      <w:bookmarkStart w:id="396" w:name="_Toc297216203"/>
      <w:bookmarkStart w:id="397" w:name="_Toc292559907"/>
      <w:bookmarkStart w:id="398" w:name="_Toc296944536"/>
      <w:bookmarkStart w:id="399" w:name="_Toc303539150"/>
      <w:bookmarkStart w:id="400" w:name="_Toc296891237"/>
      <w:bookmarkStart w:id="401" w:name="_Toc296503197"/>
      <w:bookmarkStart w:id="402" w:name="_Toc297048383"/>
      <w:bookmarkStart w:id="403" w:name="_Toc292559402"/>
      <w:bookmarkStart w:id="404" w:name="_Toc296346698"/>
      <w:bookmarkStart w:id="405" w:name="_Toc297120497"/>
      <w:bookmarkStart w:id="406" w:name="_Toc300934993"/>
      <w:bookmarkStart w:id="407" w:name="_Toc297123544"/>
      <w:bookmarkStart w:id="408" w:name="_Toc312678029"/>
      <w:bookmarkStart w:id="409" w:name="_Toc304295570"/>
      <w:bookmarkStart w:id="410" w:name="_Toc312677503"/>
      <w:r>
        <w:rPr>
          <w:rFonts w:ascii="宋体" w:hAnsi="宋体"/>
          <w:szCs w:val="21"/>
          <w:highlight w:val="none"/>
        </w:rPr>
        <w:t>0.5承</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Start w:id="411" w:name="_Toc297120503"/>
      <w:bookmarkStart w:id="412" w:name="_Toc296944542"/>
      <w:bookmarkStart w:id="413" w:name="_Toc292559408"/>
      <w:bookmarkStart w:id="414" w:name="_Toc297216204"/>
      <w:bookmarkStart w:id="415" w:name="_Toc297123545"/>
      <w:bookmarkStart w:id="416" w:name="_Toc296346704"/>
      <w:bookmarkStart w:id="417" w:name="_Toc300934994"/>
      <w:bookmarkStart w:id="418" w:name="_Toc292559913"/>
      <w:bookmarkStart w:id="419" w:name="_Toc296891243"/>
      <w:bookmarkStart w:id="420" w:name="_Toc297048389"/>
      <w:bookmarkStart w:id="421" w:name="_Toc303539151"/>
      <w:bookmarkStart w:id="422" w:name="_Toc296503203"/>
      <w:bookmarkStart w:id="423" w:name="_Toc296891031"/>
      <w:bookmarkStart w:id="424" w:name="_Toc296347202"/>
      <w:r>
        <w:rPr>
          <w:rFonts w:ascii="宋体" w:hAnsi="宋体"/>
          <w:szCs w:val="21"/>
          <w:highlight w:val="none"/>
        </w:rPr>
        <w:t>包人的合理化建议</w:t>
      </w:r>
    </w:p>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14:paraId="4CA4B51D">
      <w:pPr>
        <w:spacing w:line="360" w:lineRule="auto"/>
        <w:ind w:firstLine="420" w:firstLineChars="200"/>
        <w:rPr>
          <w:rFonts w:ascii="宋体" w:hAnsi="宋体"/>
          <w:szCs w:val="21"/>
          <w:highlight w:val="none"/>
        </w:rPr>
      </w:pPr>
      <w:r>
        <w:rPr>
          <w:rFonts w:ascii="宋体" w:hAnsi="宋体"/>
          <w:szCs w:val="21"/>
          <w:highlight w:val="none"/>
        </w:rPr>
        <w:t>监理人审查承包人合理化建议的期限：</w:t>
      </w:r>
      <w:r>
        <w:rPr>
          <w:rFonts w:ascii="宋体" w:hAnsi="宋体"/>
          <w:szCs w:val="21"/>
          <w:highlight w:val="none"/>
          <w:u w:val="single"/>
        </w:rPr>
        <w:t xml:space="preserve">    </w:t>
      </w:r>
      <w:r>
        <w:rPr>
          <w:rFonts w:hint="eastAsia" w:ascii="宋体" w:hAnsi="宋体"/>
          <w:szCs w:val="21"/>
          <w:highlight w:val="none"/>
          <w:u w:val="single"/>
        </w:rPr>
        <w:t>按通用条款</w:t>
      </w:r>
      <w:r>
        <w:rPr>
          <w:rFonts w:ascii="宋体" w:hAnsi="宋体"/>
          <w:szCs w:val="21"/>
          <w:highlight w:val="none"/>
          <w:u w:val="single"/>
        </w:rPr>
        <w:t xml:space="preserve">   </w:t>
      </w:r>
      <w:r>
        <w:rPr>
          <w:rFonts w:ascii="宋体" w:hAnsi="宋体"/>
          <w:szCs w:val="21"/>
          <w:highlight w:val="none"/>
        </w:rPr>
        <w:t>。</w:t>
      </w:r>
    </w:p>
    <w:p w14:paraId="19E381CE">
      <w:pPr>
        <w:spacing w:line="360" w:lineRule="auto"/>
        <w:ind w:firstLine="420" w:firstLineChars="200"/>
        <w:rPr>
          <w:rFonts w:ascii="宋体" w:hAnsi="宋体"/>
          <w:szCs w:val="21"/>
          <w:highlight w:val="none"/>
        </w:rPr>
      </w:pPr>
      <w:r>
        <w:rPr>
          <w:rFonts w:ascii="宋体" w:hAnsi="宋体"/>
          <w:szCs w:val="21"/>
          <w:highlight w:val="none"/>
        </w:rPr>
        <w:t>采购人审批承包人合理化建议的期限：</w:t>
      </w:r>
      <w:r>
        <w:rPr>
          <w:rFonts w:ascii="宋体" w:hAnsi="宋体"/>
          <w:szCs w:val="21"/>
          <w:highlight w:val="none"/>
          <w:u w:val="single"/>
        </w:rPr>
        <w:t xml:space="preserve">    </w:t>
      </w:r>
      <w:r>
        <w:rPr>
          <w:rFonts w:hint="eastAsia" w:ascii="宋体" w:hAnsi="宋体"/>
          <w:szCs w:val="21"/>
          <w:highlight w:val="none"/>
          <w:u w:val="single"/>
        </w:rPr>
        <w:t>按通用条款</w:t>
      </w:r>
      <w:r>
        <w:rPr>
          <w:rFonts w:ascii="宋体" w:hAnsi="宋体"/>
          <w:szCs w:val="21"/>
          <w:highlight w:val="none"/>
          <w:u w:val="single"/>
        </w:rPr>
        <w:t xml:space="preserve">    </w:t>
      </w:r>
      <w:r>
        <w:rPr>
          <w:rFonts w:ascii="宋体" w:hAnsi="宋体"/>
          <w:szCs w:val="21"/>
          <w:highlight w:val="none"/>
        </w:rPr>
        <w:t>。</w:t>
      </w:r>
    </w:p>
    <w:p w14:paraId="10131DF1">
      <w:pPr>
        <w:spacing w:line="360" w:lineRule="auto"/>
        <w:ind w:firstLine="420" w:firstLineChars="200"/>
        <w:rPr>
          <w:rFonts w:ascii="宋体" w:hAnsi="宋体"/>
          <w:szCs w:val="21"/>
          <w:highlight w:val="none"/>
          <w:u w:val="single"/>
        </w:rPr>
      </w:pPr>
      <w:r>
        <w:rPr>
          <w:rFonts w:ascii="宋体" w:hAnsi="宋体"/>
          <w:szCs w:val="21"/>
          <w:highlight w:val="none"/>
        </w:rPr>
        <w:t>承</w:t>
      </w:r>
      <w:bookmarkStart w:id="425" w:name="_Toc318581175"/>
      <w:bookmarkStart w:id="426" w:name="_Toc297123546"/>
      <w:bookmarkStart w:id="427" w:name="_Toc296891032"/>
      <w:bookmarkStart w:id="428" w:name="_Toc297120504"/>
      <w:bookmarkStart w:id="429" w:name="_Toc296944543"/>
      <w:bookmarkStart w:id="430" w:name="_Toc292559409"/>
      <w:bookmarkStart w:id="431" w:name="_Toc297216205"/>
      <w:bookmarkStart w:id="432" w:name="_Toc312678030"/>
      <w:bookmarkStart w:id="433" w:name="_Toc300934995"/>
      <w:bookmarkStart w:id="434" w:name="_Toc296347203"/>
      <w:bookmarkStart w:id="435" w:name="_Toc312677504"/>
      <w:bookmarkStart w:id="436" w:name="_Toc296346705"/>
      <w:bookmarkStart w:id="437" w:name="_Toc303539152"/>
      <w:bookmarkStart w:id="438" w:name="_Toc304295571"/>
      <w:bookmarkStart w:id="439" w:name="_Toc296891244"/>
      <w:bookmarkStart w:id="440" w:name="_Toc297048390"/>
      <w:bookmarkStart w:id="441" w:name="_Toc292559914"/>
      <w:bookmarkStart w:id="442" w:name="_Toc296503204"/>
      <w:r>
        <w:rPr>
          <w:rFonts w:ascii="宋体" w:hAnsi="宋体"/>
          <w:szCs w:val="21"/>
          <w:highlight w:val="none"/>
        </w:rPr>
        <w:t>包人提出的合理化建议降低了合同价格或者提高了工程经济效益的奖励的方法和金额为：</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u w:val="single"/>
        </w:rPr>
        <w:t xml:space="preserve">   </w:t>
      </w:r>
      <w:r>
        <w:rPr>
          <w:rFonts w:ascii="宋体" w:hAnsi="宋体"/>
          <w:szCs w:val="21"/>
          <w:highlight w:val="none"/>
        </w:rPr>
        <w:t>。</w:t>
      </w:r>
    </w:p>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14:paraId="180C424F">
      <w:pPr>
        <w:spacing w:line="360" w:lineRule="auto"/>
        <w:ind w:firstLine="420" w:firstLineChars="200"/>
        <w:rPr>
          <w:rFonts w:ascii="宋体" w:hAnsi="宋体"/>
          <w:szCs w:val="21"/>
          <w:highlight w:val="none"/>
        </w:rPr>
      </w:pPr>
      <w:r>
        <w:rPr>
          <w:rFonts w:ascii="宋体" w:hAnsi="宋体"/>
          <w:szCs w:val="21"/>
          <w:highlight w:val="none"/>
        </w:rPr>
        <w:t>1</w:t>
      </w:r>
      <w:bookmarkStart w:id="443" w:name="_Toc296503199"/>
      <w:bookmarkStart w:id="444" w:name="_Toc292559404"/>
      <w:bookmarkStart w:id="445" w:name="_Toc296346700"/>
      <w:bookmarkStart w:id="446" w:name="_Toc304295574"/>
      <w:bookmarkStart w:id="447" w:name="_Toc296891239"/>
      <w:bookmarkStart w:id="448" w:name="_Toc297120499"/>
      <w:bookmarkStart w:id="449" w:name="_Toc312677507"/>
      <w:bookmarkStart w:id="450" w:name="_Toc296944538"/>
      <w:bookmarkStart w:id="451" w:name="_Toc300934997"/>
      <w:bookmarkStart w:id="452" w:name="_Toc296891027"/>
      <w:bookmarkStart w:id="453" w:name="_Toc303539154"/>
      <w:bookmarkStart w:id="454" w:name="_Toc297216207"/>
      <w:bookmarkStart w:id="455" w:name="_Toc296347198"/>
      <w:bookmarkStart w:id="456" w:name="_Toc312678033"/>
      <w:bookmarkStart w:id="457" w:name="_Toc297048385"/>
      <w:bookmarkStart w:id="458" w:name="_Toc292559909"/>
      <w:bookmarkStart w:id="459" w:name="_Toc297123548"/>
      <w:r>
        <w:rPr>
          <w:rFonts w:ascii="宋体" w:hAnsi="宋体"/>
          <w:szCs w:val="21"/>
          <w:highlight w:val="none"/>
        </w:rPr>
        <w:t>0.7 暂估价</w:t>
      </w:r>
    </w:p>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14:paraId="3BA6B415">
      <w:pPr>
        <w:spacing w:line="360" w:lineRule="auto"/>
        <w:ind w:firstLine="420" w:firstLineChars="200"/>
        <w:rPr>
          <w:rFonts w:ascii="宋体" w:hAnsi="宋体"/>
          <w:szCs w:val="21"/>
          <w:highlight w:val="none"/>
        </w:rPr>
      </w:pPr>
      <w:r>
        <w:rPr>
          <w:rFonts w:ascii="宋体" w:hAnsi="宋体"/>
          <w:kern w:val="0"/>
          <w:szCs w:val="21"/>
          <w:highlight w:val="none"/>
        </w:rPr>
        <w:t>暂</w:t>
      </w:r>
      <w:bookmarkStart w:id="460" w:name="_Toc312678034"/>
      <w:bookmarkStart w:id="461" w:name="_Toc312677508"/>
      <w:bookmarkStart w:id="462" w:name="_Toc318581176"/>
      <w:r>
        <w:rPr>
          <w:rFonts w:ascii="宋体" w:hAnsi="宋体"/>
          <w:kern w:val="0"/>
          <w:szCs w:val="21"/>
          <w:highlight w:val="none"/>
        </w:rPr>
        <w:t>估价材料和工程设备的明细详见附件</w:t>
      </w:r>
      <w:r>
        <w:rPr>
          <w:rFonts w:hint="eastAsia" w:ascii="宋体" w:hAnsi="宋体"/>
          <w:kern w:val="0"/>
          <w:szCs w:val="21"/>
          <w:highlight w:val="none"/>
        </w:rPr>
        <w:t>11：《</w:t>
      </w:r>
      <w:r>
        <w:rPr>
          <w:rFonts w:ascii="宋体" w:hAnsi="宋体"/>
          <w:szCs w:val="21"/>
          <w:highlight w:val="none"/>
        </w:rPr>
        <w:t>暂估价一览表</w:t>
      </w:r>
      <w:r>
        <w:rPr>
          <w:rFonts w:hint="eastAsia" w:ascii="宋体" w:hAnsi="宋体"/>
          <w:szCs w:val="21"/>
          <w:highlight w:val="none"/>
        </w:rPr>
        <w:t>》</w:t>
      </w:r>
      <w:r>
        <w:rPr>
          <w:rFonts w:hint="eastAsia" w:ascii="宋体" w:hAnsi="宋体"/>
          <w:kern w:val="0"/>
          <w:szCs w:val="21"/>
          <w:highlight w:val="none"/>
        </w:rPr>
        <w:t>。</w:t>
      </w:r>
    </w:p>
    <w:bookmarkEnd w:id="460"/>
    <w:bookmarkEnd w:id="461"/>
    <w:bookmarkEnd w:id="462"/>
    <w:p w14:paraId="4DEA3D14">
      <w:pPr>
        <w:spacing w:line="360" w:lineRule="auto"/>
        <w:ind w:firstLine="420" w:firstLineChars="200"/>
        <w:rPr>
          <w:rFonts w:ascii="宋体" w:hAnsi="宋体"/>
          <w:szCs w:val="21"/>
          <w:highlight w:val="none"/>
        </w:rPr>
      </w:pPr>
      <w:r>
        <w:rPr>
          <w:rFonts w:ascii="宋体" w:hAnsi="宋体"/>
          <w:szCs w:val="21"/>
          <w:highlight w:val="none"/>
        </w:rPr>
        <w:t>1</w:t>
      </w:r>
      <w:bookmarkStart w:id="463" w:name="_Toc312677509"/>
      <w:bookmarkStart w:id="464" w:name="_Toc318581177"/>
      <w:bookmarkStart w:id="465" w:name="_Toc312678035"/>
      <w:r>
        <w:rPr>
          <w:rFonts w:ascii="宋体" w:hAnsi="宋体"/>
          <w:szCs w:val="21"/>
          <w:highlight w:val="none"/>
        </w:rPr>
        <w:t>0.7.1 依法必须招标的暂估价项目</w:t>
      </w:r>
    </w:p>
    <w:bookmarkEnd w:id="463"/>
    <w:bookmarkEnd w:id="464"/>
    <w:bookmarkEnd w:id="465"/>
    <w:p w14:paraId="39FA64FA">
      <w:pPr>
        <w:spacing w:line="360" w:lineRule="auto"/>
        <w:ind w:firstLine="420" w:firstLineChars="200"/>
        <w:rPr>
          <w:rFonts w:ascii="宋体" w:hAnsi="宋体"/>
          <w:szCs w:val="21"/>
          <w:highlight w:val="none"/>
        </w:rPr>
      </w:pPr>
      <w:r>
        <w:rPr>
          <w:rFonts w:ascii="宋体" w:hAnsi="宋体"/>
          <w:szCs w:val="21"/>
          <w:highlight w:val="none"/>
        </w:rPr>
        <w:t>对于依法必须招标的暂估价项目的确认和批准采取第</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u w:val="single"/>
        </w:rPr>
        <w:t xml:space="preserve">  </w:t>
      </w:r>
      <w:r>
        <w:rPr>
          <w:rFonts w:ascii="宋体" w:hAnsi="宋体"/>
          <w:szCs w:val="21"/>
          <w:highlight w:val="none"/>
        </w:rPr>
        <w:t>种方式确定。</w:t>
      </w:r>
    </w:p>
    <w:p w14:paraId="2E32F052">
      <w:pPr>
        <w:spacing w:line="360" w:lineRule="auto"/>
        <w:ind w:firstLine="420" w:firstLineChars="200"/>
        <w:rPr>
          <w:rFonts w:ascii="宋体" w:hAnsi="宋体"/>
          <w:szCs w:val="21"/>
          <w:highlight w:val="none"/>
        </w:rPr>
      </w:pPr>
      <w:r>
        <w:rPr>
          <w:rFonts w:ascii="宋体" w:hAnsi="宋体"/>
          <w:szCs w:val="21"/>
          <w:highlight w:val="none"/>
        </w:rPr>
        <w:t>10.7.2 不属于依法必须招标的暂估价项目</w:t>
      </w:r>
    </w:p>
    <w:p w14:paraId="7578345B">
      <w:pPr>
        <w:spacing w:line="360" w:lineRule="auto"/>
        <w:ind w:firstLine="420" w:firstLineChars="200"/>
        <w:rPr>
          <w:rFonts w:hint="eastAsia" w:ascii="宋体" w:hAnsi="宋体"/>
          <w:szCs w:val="21"/>
          <w:highlight w:val="none"/>
        </w:rPr>
      </w:pPr>
      <w:r>
        <w:rPr>
          <w:rFonts w:ascii="宋体" w:hAnsi="宋体"/>
          <w:szCs w:val="21"/>
          <w:highlight w:val="none"/>
        </w:rPr>
        <w:t>对于不属于依法必须招标的暂估价项目的确认和批准采取第</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u w:val="single"/>
        </w:rPr>
        <w:t xml:space="preserve">  </w:t>
      </w:r>
      <w:r>
        <w:rPr>
          <w:rFonts w:ascii="宋体" w:hAnsi="宋体"/>
          <w:szCs w:val="21"/>
          <w:highlight w:val="none"/>
        </w:rPr>
        <w:t xml:space="preserve"> 种方式确定。</w:t>
      </w:r>
    </w:p>
    <w:p w14:paraId="79E09877">
      <w:pPr>
        <w:spacing w:line="360" w:lineRule="auto"/>
        <w:ind w:firstLine="420" w:firstLineChars="200"/>
        <w:rPr>
          <w:rFonts w:ascii="宋体" w:hAnsi="宋体"/>
          <w:kern w:val="0"/>
          <w:szCs w:val="21"/>
          <w:highlight w:val="none"/>
        </w:rPr>
      </w:pPr>
      <w:r>
        <w:rPr>
          <w:rFonts w:ascii="宋体" w:hAnsi="宋体"/>
          <w:szCs w:val="21"/>
          <w:highlight w:val="none"/>
        </w:rPr>
        <w:t>第3种方式：</w:t>
      </w:r>
      <w:r>
        <w:rPr>
          <w:rFonts w:ascii="宋体" w:hAnsi="宋体"/>
          <w:kern w:val="0"/>
          <w:szCs w:val="21"/>
          <w:highlight w:val="none"/>
        </w:rPr>
        <w:t>承包人直接实施的暂估价项目</w:t>
      </w:r>
    </w:p>
    <w:p w14:paraId="00B78044">
      <w:pPr>
        <w:spacing w:line="360" w:lineRule="auto"/>
        <w:ind w:firstLine="420" w:firstLineChars="200"/>
        <w:rPr>
          <w:rFonts w:hint="eastAsia" w:ascii="宋体" w:hAnsi="宋体"/>
          <w:szCs w:val="21"/>
          <w:highlight w:val="none"/>
        </w:rPr>
      </w:pPr>
      <w:r>
        <w:rPr>
          <w:rFonts w:ascii="宋体" w:hAnsi="宋体"/>
          <w:szCs w:val="21"/>
          <w:highlight w:val="none"/>
        </w:rPr>
        <w:t>承包人直接实施的暂估价项目的约定：</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5E19392D">
      <w:pPr>
        <w:spacing w:line="360" w:lineRule="auto"/>
        <w:ind w:firstLine="420" w:firstLineChars="200"/>
        <w:rPr>
          <w:rFonts w:ascii="宋体" w:hAnsi="宋体"/>
          <w:szCs w:val="21"/>
          <w:highlight w:val="none"/>
        </w:rPr>
      </w:pPr>
      <w:r>
        <w:rPr>
          <w:rFonts w:ascii="宋体" w:hAnsi="宋体"/>
          <w:szCs w:val="21"/>
          <w:highlight w:val="none"/>
        </w:rPr>
        <w:t>10.8 暂列金额</w:t>
      </w:r>
    </w:p>
    <w:p w14:paraId="62769724">
      <w:pPr>
        <w:spacing w:line="360" w:lineRule="auto"/>
        <w:ind w:firstLine="420" w:firstLineChars="200"/>
        <w:rPr>
          <w:rFonts w:ascii="宋体" w:hAnsi="宋体"/>
          <w:kern w:val="0"/>
          <w:szCs w:val="21"/>
          <w:highlight w:val="none"/>
        </w:rPr>
      </w:pPr>
      <w:r>
        <w:rPr>
          <w:rFonts w:hint="eastAsia" w:ascii="宋体" w:hAnsi="宋体"/>
          <w:kern w:val="0"/>
          <w:szCs w:val="21"/>
          <w:highlight w:val="none"/>
        </w:rPr>
        <w:t>合同当事人关于暂列金额使用的约定：</w:t>
      </w:r>
      <w:r>
        <w:rPr>
          <w:rFonts w:ascii="宋体" w:hAnsi="宋体"/>
          <w:szCs w:val="21"/>
          <w:highlight w:val="none"/>
          <w:u w:val="single"/>
        </w:rPr>
        <w:t xml:space="preserve">    </w:t>
      </w:r>
      <w:r>
        <w:rPr>
          <w:rFonts w:hint="eastAsia" w:ascii="宋体" w:hAnsi="宋体"/>
          <w:szCs w:val="21"/>
          <w:highlight w:val="none"/>
          <w:u w:val="single"/>
        </w:rPr>
        <w:t xml:space="preserve">按通用条款       </w:t>
      </w:r>
      <w:r>
        <w:rPr>
          <w:rFonts w:hint="eastAsia" w:ascii="宋体" w:hAnsi="宋体"/>
          <w:kern w:val="0"/>
          <w:szCs w:val="21"/>
          <w:highlight w:val="none"/>
        </w:rPr>
        <w:t>。</w:t>
      </w:r>
    </w:p>
    <w:p w14:paraId="0C15978C">
      <w:pPr>
        <w:spacing w:line="360" w:lineRule="auto"/>
        <w:ind w:firstLine="422" w:firstLineChars="200"/>
        <w:rPr>
          <w:rFonts w:ascii="宋体" w:hAnsi="宋体"/>
          <w:b/>
          <w:szCs w:val="21"/>
          <w:highlight w:val="none"/>
        </w:rPr>
      </w:pPr>
      <w:bookmarkStart w:id="466" w:name="_Toc351203643"/>
      <w:r>
        <w:rPr>
          <w:rFonts w:ascii="宋体" w:hAnsi="宋体"/>
          <w:b/>
          <w:szCs w:val="21"/>
          <w:highlight w:val="none"/>
        </w:rPr>
        <w:t>11. 价格调整</w:t>
      </w:r>
      <w:bookmarkEnd w:id="466"/>
    </w:p>
    <w:p w14:paraId="585316C4">
      <w:pPr>
        <w:spacing w:line="360" w:lineRule="auto"/>
        <w:ind w:firstLine="420" w:firstLineChars="200"/>
        <w:rPr>
          <w:rFonts w:ascii="宋体" w:hAnsi="宋体"/>
          <w:szCs w:val="21"/>
          <w:highlight w:val="none"/>
        </w:rPr>
      </w:pPr>
      <w:bookmarkStart w:id="467" w:name="_Toc292559911"/>
      <w:bookmarkStart w:id="468" w:name="_Toc300935000"/>
      <w:bookmarkStart w:id="469" w:name="_Toc303539157"/>
      <w:bookmarkStart w:id="470" w:name="_Toc296346702"/>
      <w:bookmarkStart w:id="471" w:name="_Toc297048387"/>
      <w:bookmarkStart w:id="472" w:name="_Toc297120501"/>
      <w:bookmarkStart w:id="473" w:name="_Toc297123550"/>
      <w:bookmarkStart w:id="474" w:name="_Toc296891029"/>
      <w:bookmarkStart w:id="475" w:name="_Toc292559406"/>
      <w:bookmarkStart w:id="476" w:name="_Toc296503201"/>
      <w:bookmarkStart w:id="477" w:name="_Toc304295577"/>
      <w:bookmarkStart w:id="478" w:name="_Toc312678039"/>
      <w:bookmarkStart w:id="479" w:name="_Toc296347200"/>
      <w:bookmarkStart w:id="480" w:name="_Toc296944540"/>
      <w:bookmarkStart w:id="481" w:name="_Toc296891241"/>
      <w:bookmarkStart w:id="482" w:name="_Toc297216209"/>
      <w:r>
        <w:rPr>
          <w:rFonts w:ascii="宋体" w:hAnsi="宋体"/>
          <w:szCs w:val="21"/>
          <w:highlight w:val="none"/>
        </w:rPr>
        <w:t>11.1 市场价格波动引起的调整</w:t>
      </w:r>
    </w:p>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14:paraId="6C7F17DB">
      <w:pPr>
        <w:spacing w:line="360" w:lineRule="auto"/>
        <w:ind w:firstLine="420" w:firstLineChars="200"/>
        <w:rPr>
          <w:rFonts w:ascii="宋体" w:hAnsi="宋体"/>
          <w:szCs w:val="21"/>
          <w:highlight w:val="none"/>
        </w:rPr>
      </w:pPr>
      <w:r>
        <w:rPr>
          <w:rFonts w:ascii="宋体" w:hAnsi="宋体"/>
          <w:kern w:val="0"/>
          <w:szCs w:val="21"/>
          <w:highlight w:val="none"/>
        </w:rPr>
        <w:t>市场价格波动是否调整合同价格的约定：</w:t>
      </w:r>
      <w:r>
        <w:rPr>
          <w:rFonts w:hint="eastAsia" w:ascii="宋体" w:hAnsi="宋体"/>
          <w:b/>
          <w:szCs w:val="21"/>
          <w:highlight w:val="none"/>
          <w:u w:val="single"/>
        </w:rPr>
        <w:t xml:space="preserve">   不调整 。</w:t>
      </w:r>
    </w:p>
    <w:p w14:paraId="7DBAB003">
      <w:pPr>
        <w:spacing w:line="360" w:lineRule="auto"/>
        <w:ind w:firstLine="420" w:firstLineChars="200"/>
        <w:rPr>
          <w:rFonts w:ascii="宋体" w:hAnsi="宋体"/>
          <w:szCs w:val="21"/>
          <w:highlight w:val="none"/>
        </w:rPr>
      </w:pPr>
      <w:r>
        <w:rPr>
          <w:rFonts w:ascii="宋体" w:hAnsi="宋体"/>
          <w:szCs w:val="21"/>
          <w:highlight w:val="none"/>
        </w:rPr>
        <w:t>因市场价格波动调整合同价格，采用以下第</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u w:val="single"/>
        </w:rPr>
        <w:t xml:space="preserve">   </w:t>
      </w:r>
      <w:r>
        <w:rPr>
          <w:rFonts w:ascii="宋体" w:hAnsi="宋体"/>
          <w:szCs w:val="21"/>
          <w:highlight w:val="none"/>
        </w:rPr>
        <w:t>种方式对合同价格进行调整：</w:t>
      </w:r>
    </w:p>
    <w:p w14:paraId="6F912528">
      <w:pPr>
        <w:spacing w:line="360" w:lineRule="auto"/>
        <w:ind w:firstLine="420" w:firstLineChars="200"/>
        <w:rPr>
          <w:rFonts w:ascii="宋体" w:hAnsi="宋体"/>
          <w:szCs w:val="21"/>
          <w:highlight w:val="none"/>
        </w:rPr>
      </w:pPr>
      <w:r>
        <w:rPr>
          <w:rFonts w:ascii="宋体" w:hAnsi="宋体"/>
          <w:szCs w:val="21"/>
          <w:highlight w:val="none"/>
        </w:rPr>
        <w:t>第1种方式：采用价格指数</w:t>
      </w:r>
      <w:r>
        <w:rPr>
          <w:rFonts w:hint="eastAsia" w:ascii="宋体" w:hAnsi="宋体"/>
          <w:szCs w:val="21"/>
          <w:highlight w:val="none"/>
        </w:rPr>
        <w:t>进行价格</w:t>
      </w:r>
      <w:r>
        <w:rPr>
          <w:rFonts w:ascii="宋体" w:hAnsi="宋体"/>
          <w:szCs w:val="21"/>
          <w:highlight w:val="none"/>
        </w:rPr>
        <w:t>调整。</w:t>
      </w:r>
    </w:p>
    <w:p w14:paraId="4C4E7042">
      <w:pPr>
        <w:spacing w:line="360" w:lineRule="auto"/>
        <w:ind w:firstLine="420" w:firstLineChars="200"/>
        <w:rPr>
          <w:rFonts w:ascii="宋体" w:hAnsi="宋体"/>
          <w:szCs w:val="21"/>
          <w:highlight w:val="none"/>
        </w:rPr>
      </w:pPr>
      <w:r>
        <w:rPr>
          <w:rFonts w:ascii="宋体" w:hAnsi="宋体"/>
          <w:szCs w:val="21"/>
          <w:highlight w:val="none"/>
        </w:rPr>
        <w:t>关于各可调因子、定值和变值权重，以及基本价格指数及其来源的约定：</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u w:val="single"/>
        </w:rPr>
        <w:t xml:space="preserve">    </w:t>
      </w:r>
      <w:r>
        <w:rPr>
          <w:rFonts w:ascii="宋体" w:hAnsi="宋体"/>
          <w:szCs w:val="21"/>
          <w:highlight w:val="none"/>
        </w:rPr>
        <w:t>；</w:t>
      </w:r>
    </w:p>
    <w:p w14:paraId="25FEB626">
      <w:pPr>
        <w:spacing w:line="360" w:lineRule="auto"/>
        <w:ind w:firstLine="420" w:firstLineChars="200"/>
        <w:rPr>
          <w:rFonts w:hAnsi="宋体"/>
          <w:szCs w:val="21"/>
          <w:highlight w:val="none"/>
          <w:u w:val="single"/>
        </w:rPr>
      </w:pPr>
      <w:r>
        <w:rPr>
          <w:rFonts w:hAnsi="宋体"/>
          <w:szCs w:val="21"/>
          <w:highlight w:val="none"/>
        </w:rPr>
        <w:t>第2种方式：采用造价信息</w:t>
      </w:r>
      <w:r>
        <w:rPr>
          <w:rFonts w:hint="eastAsia" w:hAnsi="宋体"/>
          <w:szCs w:val="21"/>
          <w:highlight w:val="none"/>
        </w:rPr>
        <w:t>进行价格</w:t>
      </w:r>
      <w:r>
        <w:rPr>
          <w:rFonts w:hAnsi="宋体"/>
          <w:szCs w:val="21"/>
          <w:highlight w:val="none"/>
        </w:rPr>
        <w:t>调整</w:t>
      </w:r>
      <w:bookmarkEnd w:id="370"/>
      <w:bookmarkEnd w:id="371"/>
      <w:bookmarkEnd w:id="372"/>
      <w:bookmarkEnd w:id="373"/>
      <w:bookmarkEnd w:id="374"/>
      <w:bookmarkEnd w:id="375"/>
      <w:bookmarkStart w:id="483" w:name="_Toc296503205"/>
      <w:bookmarkStart w:id="484" w:name="_Toc297048391"/>
      <w:bookmarkStart w:id="485" w:name="_Toc296347204"/>
      <w:bookmarkStart w:id="486" w:name="_Toc296891033"/>
      <w:bookmarkStart w:id="487" w:name="_Toc296891245"/>
      <w:bookmarkStart w:id="488" w:name="_Toc292559915"/>
      <w:bookmarkStart w:id="489" w:name="_Toc296944544"/>
      <w:bookmarkStart w:id="490" w:name="_Toc292559410"/>
      <w:bookmarkStart w:id="491" w:name="_Toc296346706"/>
      <w:bookmarkStart w:id="492" w:name="_Toc297120505"/>
      <w:bookmarkStart w:id="493" w:name="_Toc351203644"/>
      <w:bookmarkStart w:id="494" w:name="_Toc300935002"/>
      <w:bookmarkStart w:id="495" w:name="_Toc303539159"/>
      <w:bookmarkStart w:id="496" w:name="_Toc312678040"/>
      <w:bookmarkStart w:id="497" w:name="_Toc297123552"/>
      <w:bookmarkStart w:id="498" w:name="_Toc297216211"/>
      <w:bookmarkStart w:id="499" w:name="_Toc304295579"/>
      <w:r>
        <w:rPr>
          <w:rFonts w:hint="eastAsia" w:hAnsi="宋体"/>
          <w:szCs w:val="21"/>
          <w:highlight w:val="none"/>
        </w:rPr>
        <w:t>：</w:t>
      </w:r>
      <w:r>
        <w:rPr>
          <w:rFonts w:hint="eastAsia" w:hAnsi="宋体"/>
          <w:szCs w:val="21"/>
          <w:highlight w:val="none"/>
          <w:u w:val="single"/>
        </w:rPr>
        <w:t xml:space="preserve"> </w:t>
      </w:r>
      <w:r>
        <w:rPr>
          <w:rFonts w:hAnsi="宋体"/>
          <w:szCs w:val="21"/>
          <w:highlight w:val="none"/>
          <w:u w:val="single"/>
        </w:rPr>
        <w:t xml:space="preserve">  </w:t>
      </w:r>
      <w:r>
        <w:rPr>
          <w:rFonts w:hint="eastAsia" w:hAnsi="宋体"/>
          <w:szCs w:val="21"/>
          <w:highlight w:val="none"/>
          <w:u w:val="single"/>
        </w:rPr>
        <w:t>/</w:t>
      </w:r>
      <w:r>
        <w:rPr>
          <w:rFonts w:hAnsi="宋体"/>
          <w:szCs w:val="21"/>
          <w:highlight w:val="none"/>
          <w:u w:val="single"/>
        </w:rPr>
        <w:t xml:space="preserve">  </w:t>
      </w:r>
      <w:r>
        <w:rPr>
          <w:rFonts w:hint="eastAsia" w:hAnsi="宋体"/>
          <w:szCs w:val="21"/>
          <w:highlight w:val="none"/>
          <w:u w:val="single"/>
        </w:rPr>
        <w:t xml:space="preserve"> </w:t>
      </w:r>
      <w:r>
        <w:rPr>
          <w:rFonts w:ascii="宋体" w:hAnsi="宋体"/>
          <w:szCs w:val="21"/>
          <w:highlight w:val="none"/>
        </w:rPr>
        <w:t>；</w:t>
      </w:r>
    </w:p>
    <w:p w14:paraId="1AD9CDE8">
      <w:pPr>
        <w:spacing w:line="360" w:lineRule="auto"/>
        <w:ind w:firstLine="420" w:firstLineChars="200"/>
        <w:rPr>
          <w:rFonts w:hAnsi="宋体"/>
          <w:szCs w:val="21"/>
          <w:highlight w:val="none"/>
        </w:rPr>
      </w:pPr>
      <w:r>
        <w:rPr>
          <w:rFonts w:hint="eastAsia" w:hAnsi="宋体"/>
          <w:szCs w:val="21"/>
          <w:highlight w:val="none"/>
        </w:rPr>
        <w:t>第</w:t>
      </w:r>
      <w:r>
        <w:rPr>
          <w:rFonts w:hAnsi="宋体"/>
          <w:szCs w:val="21"/>
          <w:highlight w:val="none"/>
        </w:rPr>
        <w:t>3</w:t>
      </w:r>
      <w:r>
        <w:rPr>
          <w:rFonts w:hint="eastAsia" w:hAnsi="宋体"/>
          <w:szCs w:val="21"/>
          <w:highlight w:val="none"/>
        </w:rPr>
        <w:t>种方式：其他价格调整方式：</w:t>
      </w:r>
      <w:r>
        <w:rPr>
          <w:rFonts w:hint="eastAsia" w:hAnsi="宋体"/>
          <w:szCs w:val="21"/>
          <w:highlight w:val="none"/>
          <w:u w:val="single"/>
        </w:rPr>
        <w:t xml:space="preserve"> </w:t>
      </w:r>
      <w:r>
        <w:rPr>
          <w:rFonts w:hAnsi="宋体"/>
          <w:szCs w:val="21"/>
          <w:highlight w:val="none"/>
          <w:u w:val="single"/>
        </w:rPr>
        <w:t xml:space="preserve">  </w:t>
      </w:r>
      <w:r>
        <w:rPr>
          <w:rFonts w:hint="eastAsia" w:hAnsi="宋体"/>
          <w:szCs w:val="21"/>
          <w:highlight w:val="none"/>
          <w:u w:val="single"/>
        </w:rPr>
        <w:t xml:space="preserve">/  </w:t>
      </w:r>
      <w:r>
        <w:rPr>
          <w:rFonts w:hAnsi="宋体"/>
          <w:szCs w:val="21"/>
          <w:highlight w:val="none"/>
          <w:u w:val="single"/>
        </w:rPr>
        <w:t xml:space="preserve"> </w:t>
      </w:r>
      <w:r>
        <w:rPr>
          <w:rFonts w:hint="eastAsia" w:hAnsi="宋体"/>
          <w:szCs w:val="21"/>
          <w:highlight w:val="none"/>
        </w:rPr>
        <w:t>。</w:t>
      </w:r>
    </w:p>
    <w:p w14:paraId="78D9EA98">
      <w:pPr>
        <w:spacing w:line="360" w:lineRule="auto"/>
        <w:ind w:firstLine="422" w:firstLineChars="200"/>
        <w:rPr>
          <w:rFonts w:ascii="宋体" w:hAnsi="宋体"/>
          <w:b/>
          <w:szCs w:val="21"/>
          <w:highlight w:val="none"/>
        </w:rPr>
      </w:pPr>
      <w:r>
        <w:rPr>
          <w:rFonts w:ascii="宋体" w:hAnsi="宋体"/>
          <w:b/>
          <w:szCs w:val="21"/>
          <w:highlight w:val="none"/>
        </w:rPr>
        <w:t xml:space="preserve">12. </w:t>
      </w:r>
      <w:bookmarkEnd w:id="483"/>
      <w:bookmarkEnd w:id="484"/>
      <w:bookmarkEnd w:id="485"/>
      <w:bookmarkEnd w:id="486"/>
      <w:bookmarkEnd w:id="487"/>
      <w:bookmarkEnd w:id="488"/>
      <w:bookmarkEnd w:id="489"/>
      <w:bookmarkEnd w:id="490"/>
      <w:bookmarkEnd w:id="491"/>
      <w:bookmarkEnd w:id="492"/>
      <w:r>
        <w:rPr>
          <w:rFonts w:ascii="宋体" w:hAnsi="宋体"/>
          <w:b/>
          <w:szCs w:val="21"/>
          <w:highlight w:val="none"/>
        </w:rPr>
        <w:t>合同价格、计量与支付</w:t>
      </w:r>
      <w:bookmarkEnd w:id="493"/>
    </w:p>
    <w:bookmarkEnd w:id="494"/>
    <w:bookmarkEnd w:id="495"/>
    <w:bookmarkEnd w:id="496"/>
    <w:bookmarkEnd w:id="497"/>
    <w:bookmarkEnd w:id="498"/>
    <w:bookmarkEnd w:id="499"/>
    <w:p w14:paraId="09DFEB87">
      <w:pPr>
        <w:spacing w:line="360" w:lineRule="auto"/>
        <w:ind w:firstLine="420" w:firstLineChars="200"/>
        <w:rPr>
          <w:rFonts w:ascii="宋体" w:hAnsi="宋体"/>
          <w:szCs w:val="21"/>
          <w:highlight w:val="none"/>
        </w:rPr>
      </w:pPr>
      <w:bookmarkStart w:id="500" w:name="_Toc292559916"/>
      <w:bookmarkStart w:id="501" w:name="_Toc267251461"/>
      <w:bookmarkStart w:id="502" w:name="_Toc292559411"/>
      <w:bookmarkStart w:id="503" w:name="_Toc296503206"/>
      <w:bookmarkStart w:id="504" w:name="_Toc296347205"/>
      <w:bookmarkStart w:id="505" w:name="_Toc296944545"/>
      <w:bookmarkStart w:id="506" w:name="_Toc296346707"/>
      <w:bookmarkStart w:id="507" w:name="_Toc297120506"/>
      <w:bookmarkStart w:id="508" w:name="_Toc296891246"/>
      <w:bookmarkStart w:id="509" w:name="_Toc297048392"/>
      <w:bookmarkStart w:id="510" w:name="_Toc296891034"/>
      <w:bookmarkStart w:id="511" w:name="_Toc304295580"/>
      <w:bookmarkStart w:id="512" w:name="_Toc303539160"/>
      <w:bookmarkStart w:id="513" w:name="_Toc312678041"/>
      <w:bookmarkStart w:id="514" w:name="_Toc297216212"/>
      <w:bookmarkStart w:id="515" w:name="_Toc300935003"/>
      <w:bookmarkStart w:id="516" w:name="_Toc297123553"/>
      <w:r>
        <w:rPr>
          <w:rFonts w:ascii="宋体" w:hAnsi="宋体"/>
          <w:szCs w:val="21"/>
          <w:highlight w:val="none"/>
        </w:rPr>
        <w:t>12.1 合</w:t>
      </w:r>
      <w:bookmarkEnd w:id="500"/>
      <w:bookmarkEnd w:id="501"/>
      <w:bookmarkEnd w:id="502"/>
      <w:r>
        <w:rPr>
          <w:rFonts w:ascii="宋体" w:hAnsi="宋体"/>
          <w:szCs w:val="21"/>
          <w:highlight w:val="none"/>
        </w:rPr>
        <w:t>同价</w:t>
      </w:r>
      <w:bookmarkEnd w:id="503"/>
      <w:bookmarkEnd w:id="504"/>
      <w:bookmarkEnd w:id="505"/>
      <w:bookmarkEnd w:id="506"/>
      <w:bookmarkEnd w:id="507"/>
      <w:bookmarkEnd w:id="508"/>
      <w:bookmarkEnd w:id="509"/>
      <w:bookmarkEnd w:id="510"/>
      <w:r>
        <w:rPr>
          <w:rFonts w:ascii="宋体" w:hAnsi="宋体"/>
          <w:szCs w:val="21"/>
          <w:highlight w:val="none"/>
        </w:rPr>
        <w:t>格形式</w:t>
      </w:r>
      <w:r>
        <w:rPr>
          <w:rFonts w:hint="eastAsia" w:ascii="宋体" w:hAnsi="宋体"/>
          <w:szCs w:val="21"/>
          <w:highlight w:val="none"/>
        </w:rPr>
        <w:t>：</w:t>
      </w:r>
      <w:bookmarkEnd w:id="511"/>
      <w:bookmarkEnd w:id="512"/>
      <w:bookmarkEnd w:id="513"/>
      <w:bookmarkEnd w:id="514"/>
      <w:bookmarkEnd w:id="515"/>
      <w:bookmarkEnd w:id="516"/>
      <w:r>
        <w:rPr>
          <w:rFonts w:ascii="宋体" w:hAnsi="宋体"/>
          <w:szCs w:val="21"/>
          <w:highlight w:val="none"/>
        </w:rPr>
        <w:t xml:space="preserve"> </w:t>
      </w:r>
      <w:r>
        <w:rPr>
          <w:rFonts w:hint="eastAsia" w:ascii="宋体" w:hAnsi="宋体" w:cs="宋体"/>
          <w:b/>
          <w:szCs w:val="21"/>
          <w:highlight w:val="none"/>
          <w:u w:val="single"/>
        </w:rPr>
        <w:t>本工程采用单价合同</w:t>
      </w:r>
    </w:p>
    <w:p w14:paraId="16255AE8">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1、单价合同。</w:t>
      </w:r>
    </w:p>
    <w:p w14:paraId="656E8E16">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综合单价包含的风险范围：</w:t>
      </w:r>
    </w:p>
    <w:p w14:paraId="534E053F">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A：承包人在编制投标书时，应被认为已察看和核查了现场和其周围环境，并已经充分掌握工程现场的地表周围和地下如地下水等情况，并对该处的气象等因素作了充分的预测以及与之有关的可利用的资料（包括当地有关工程施工的管理规定），并对以下几点内容（考虑到费用和时间实际可能）已经查明：</w:t>
      </w:r>
    </w:p>
    <w:p w14:paraId="318CE97C">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a. 现场的地形地貌和特征，包括地表及地下水等情况；</w:t>
      </w:r>
    </w:p>
    <w:p w14:paraId="10166489">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b. 水文和气候条件；</w:t>
      </w:r>
    </w:p>
    <w:p w14:paraId="278A42FE">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c. 实施和完成本合同工程及其工程保修所需做的工作范围、性质和所需用的材料采购和加工；</w:t>
      </w:r>
    </w:p>
    <w:p w14:paraId="42798332">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d. 进入现场的手段和需要的食宿供应条件；</w:t>
      </w:r>
    </w:p>
    <w:p w14:paraId="0E4BA111">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承包方己取得有关可能对投标或报价有影响或起作用的风险、意外及其所有其他情况的必要资料。</w:t>
      </w:r>
    </w:p>
    <w:p w14:paraId="37A2AC45">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B：承包人在编制投标书时，应被认为已考虑了合同执行期间可能存在的其他费用，如市政、市容、环保、交通、治安等。</w:t>
      </w:r>
    </w:p>
    <w:p w14:paraId="22708B5E">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C：合同执行期间，工程造价管理部门公布的人工、材料、机械费价格变化（本招标文件及合同专用条款中约定的可调内容除外）；</w:t>
      </w:r>
    </w:p>
    <w:p w14:paraId="6F96D822">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D：承包人充分了解市场情况，对施工图中各种材料（设备）规格的采购已全部掌握；</w:t>
      </w:r>
    </w:p>
    <w:p w14:paraId="6C38210F">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E：合同执行期内，投标人工、材料、机械费价格的市场变化。</w:t>
      </w:r>
    </w:p>
    <w:p w14:paraId="4B11FE22">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F：合同执行期内，施工临时停电、停水造成的停工。</w:t>
      </w:r>
    </w:p>
    <w:p w14:paraId="4F425BF0">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风险费用的计算方法：投标单位在投标时根据招标要求自行确定，风险因素范围内的风险费用不在合同价外另行计列及调整</w:t>
      </w:r>
    </w:p>
    <w:p w14:paraId="32D9A090">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风险范围以外合同价格的调整方法：</w:t>
      </w:r>
    </w:p>
    <w:p w14:paraId="788E2B27">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（一）工程量清单项目和工程量调整</w:t>
      </w:r>
    </w:p>
    <w:p w14:paraId="661BE57A">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今后结算时，工程量清单项目和工程量按实结算。</w:t>
      </w:r>
    </w:p>
    <w:p w14:paraId="0966F90E">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1发生下列情况的，工程量清单项目应予调整：</w:t>
      </w:r>
    </w:p>
    <w:p w14:paraId="442C81D7">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（1）采购人提供的工程量清单项目漏缺项、重复列项；</w:t>
      </w:r>
    </w:p>
    <w:p w14:paraId="731CC597">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（2）工程变更引起新增或减少清单项目；</w:t>
      </w:r>
    </w:p>
    <w:p w14:paraId="0026CCF7">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（3）施工图纸、工程变更后与原招标工程量清单的特征描述不符。</w:t>
      </w:r>
    </w:p>
    <w:p w14:paraId="2E14D7D0">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2发生下列情况的，工程量清单项目的工程量应予调整：</w:t>
      </w:r>
    </w:p>
    <w:p w14:paraId="4D710E3B">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（1）采购人提供的工程量清单项目工程量有偏差；</w:t>
      </w:r>
    </w:p>
    <w:p w14:paraId="7FD0FCD5">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（2）工程变更引起的工程量增减。</w:t>
      </w:r>
    </w:p>
    <w:p w14:paraId="1ED76A1A">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由于工程变更引起的清单项目或工程量调整应根据设计变更图纸、设计变更联系单、甲方明确认可的签证单等，并按《建设工程工程量清单计算规范》（GB50500-2013）等规范结合浙江省的补充规定列项、计量。</w:t>
      </w:r>
    </w:p>
    <w:p w14:paraId="7CB07BCE">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（二）综合单价调整</w:t>
      </w:r>
    </w:p>
    <w:p w14:paraId="4B1C57D9">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因上述第（一）条的工程量清单项目或工程数量变化，按以下规定调整综合单价：</w:t>
      </w:r>
    </w:p>
    <w:p w14:paraId="021D657D">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1已标价工程量清单中有适用综合单价的，按原综合单价；合价金额占合同总价2%以上的分部分项清单项目，其工程量增减超过本项目工程量15%及以上，或合价金额占合同总价不到2%的分部分项清单项目，但其工程量增减超过本项目工程量25%及以上时，增减工程量单价按本条第3款处理。</w:t>
      </w:r>
    </w:p>
    <w:p w14:paraId="292CA3F8">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2已标价工程量清单中没有适用的综合单价，但有类似的工程项目综合单价，参照该类似项目的综合单价计算确定：</w:t>
      </w:r>
    </w:p>
    <w:p w14:paraId="5A4F20FB">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（1）某种材料（或半成品及成品）等级、标准变化的，清单组合子目不变，仅调整不同的材料市场价格之差；</w:t>
      </w:r>
    </w:p>
    <w:p w14:paraId="44D64C28">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（2）清单项目组合内容中某一个（或多个）定额子目发生变化，不影响其他特征及工程内容价格的，仅调整发生变化的定额子目价格。</w:t>
      </w:r>
    </w:p>
    <w:p w14:paraId="03FB0FA4">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（3）如类似工程项目综合单价异常，则不宜参照，按本条第3款重新计算综合单价。</w:t>
      </w:r>
    </w:p>
    <w:p w14:paraId="76268C07">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3已标价工程量清单中没用适用的综合单价，按以下原则处理：</w:t>
      </w:r>
    </w:p>
    <w:p w14:paraId="69B7F67C">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（1）依据合同约定编制依据、组价原则和承包人投标报价浮动率，提出适当的单价，经采购人确认后执行。</w:t>
      </w:r>
    </w:p>
    <w:p w14:paraId="383A0BAE">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承包人报价浮动率按下列公式计算：</w:t>
      </w:r>
    </w:p>
    <w:p w14:paraId="5F5C563B">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承包人报价浮动率=（1-中标价/最高限价）*100%</w:t>
      </w:r>
    </w:p>
    <w:p w14:paraId="0505B297">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注：式中中标价及最高限价均扣除暂列金额、暂估价。</w:t>
      </w:r>
    </w:p>
    <w:p w14:paraId="439D6E12">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（2）承包人以及合同约定的组价原则，合理成本和利润提出适当的单价经采购人确认后执行。</w:t>
      </w:r>
    </w:p>
    <w:p w14:paraId="4D89DC74">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（3）如当前施行的计价依据缺项内容，承包人应通过市场调查等手段提出单价，经采购人确认后执行。</w:t>
      </w:r>
    </w:p>
    <w:p w14:paraId="691D22B5">
      <w:pPr>
        <w:spacing w:line="360" w:lineRule="auto"/>
        <w:ind w:firstLine="422" w:firstLineChars="200"/>
        <w:rPr>
          <w:rFonts w:hint="eastAsia" w:ascii="宋体" w:hAnsi="宋体"/>
          <w:b/>
          <w:bCs/>
          <w:szCs w:val="21"/>
          <w:highlight w:val="none"/>
          <w:u w:val="single"/>
        </w:rPr>
      </w:pPr>
      <w:r>
        <w:rPr>
          <w:rFonts w:hint="eastAsia" w:ascii="宋体" w:hAnsi="宋体"/>
          <w:b/>
          <w:bCs/>
          <w:szCs w:val="21"/>
          <w:highlight w:val="none"/>
          <w:u w:val="single"/>
        </w:rPr>
        <w:t>编制依据、组价原则：</w:t>
      </w:r>
    </w:p>
    <w:p w14:paraId="59D2975E">
      <w:pPr>
        <w:spacing w:line="360" w:lineRule="auto"/>
        <w:ind w:firstLine="422" w:firstLineChars="200"/>
        <w:rPr>
          <w:rFonts w:hint="eastAsia" w:ascii="宋体" w:hAnsi="宋体"/>
          <w:b/>
          <w:bCs/>
          <w:szCs w:val="21"/>
          <w:highlight w:val="none"/>
          <w:u w:val="single"/>
        </w:rPr>
      </w:pPr>
      <w:r>
        <w:rPr>
          <w:rFonts w:hint="eastAsia" w:ascii="宋体" w:hAnsi="宋体"/>
          <w:b/>
          <w:bCs/>
          <w:szCs w:val="21"/>
          <w:highlight w:val="none"/>
          <w:u w:val="single"/>
        </w:rPr>
        <w:t>根据《建设工程工程量清单计价规范》（GB50500-2013）、《房屋建筑与装饰工程工程量计算规范》（GB50854-2013）、《通用安装工程工程量计算规范》（GB50856-2013）、《市政工程工程量计算规范》（GB550857-2013）、《浙江省建设工程计价规则》（2018版）、《浙江省房屋建筑与装饰工程预算定额》（2018版）、《浙江省通用安装工程预算定额》（2018版）、《浙江省市政工程预算定额（2018版）》、《浙江省施工机械台班费用定额（2018版）》、《浙江省建筑安装材料基期价格》(2018版)等2018版计价规则及定额标准计算，综合费率（含管理费、利润、风险费用）按编制最高限价的同一口径执行；组价时，人工、主要材料按照 施工期的《嘉兴造价管理》（综合信息）除税信息价确定，机械台班单价按照《浙江省建设工程施工机械台班费用定额（2018版）》定额标准计取，定额不明确的或无信息价的材料设备由业主签证确认；计算出该项费用并换算到国标工程量清单计价模式后乘以（1-报价浮动率）</w:t>
      </w:r>
    </w:p>
    <w:p w14:paraId="5BE08603">
      <w:pPr>
        <w:spacing w:line="360" w:lineRule="auto"/>
        <w:ind w:firstLine="422" w:firstLineChars="200"/>
        <w:rPr>
          <w:rFonts w:ascii="宋体" w:hAnsi="宋体"/>
          <w:b/>
          <w:bCs/>
          <w:szCs w:val="21"/>
          <w:highlight w:val="none"/>
          <w:u w:val="single"/>
        </w:rPr>
      </w:pPr>
      <w:r>
        <w:rPr>
          <w:rFonts w:hint="eastAsia" w:ascii="宋体" w:hAnsi="宋体"/>
          <w:b/>
          <w:bCs/>
          <w:szCs w:val="21"/>
          <w:highlight w:val="none"/>
          <w:u w:val="single"/>
        </w:rPr>
        <w:t>报价浮动率=（1-中标价/最高限价）*100%</w:t>
      </w:r>
    </w:p>
    <w:p w14:paraId="756BFB92">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（三）投标综合单价异常的处理</w:t>
      </w:r>
    </w:p>
    <w:p w14:paraId="7C187DA6">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1 投标综合单价遇下列情况，应对其异常性进行判定：</w:t>
      </w:r>
    </w:p>
    <w:p w14:paraId="22839B84">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（1）投标综合单价与按合同约定的计价依据计算的综合单价偏差±30%以上；</w:t>
      </w:r>
    </w:p>
    <w:p w14:paraId="2BB42C89">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（2）虽然综合单价正常，但组成综合单价的人、材、机消耗量或单价与按合同约定计价依据计算的人、材、机消耗量或单价相比偏差±30%以上；</w:t>
      </w:r>
    </w:p>
    <w:p w14:paraId="497EA7F8">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（3）其他异常情况。</w:t>
      </w:r>
    </w:p>
    <w:p w14:paraId="48403FD8">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2 综合单价异常且工程量增减超过本项工程量15%以上的，按以下原则处理：</w:t>
      </w:r>
    </w:p>
    <w:p w14:paraId="19B997FE">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（1）工程量增加超过本项工程量15%以内的，按原综合单价计算，增减超过15%以外部分工程量，按本款上述第（二）条第3款重新确定综合单价，计算合价；</w:t>
      </w:r>
    </w:p>
    <w:p w14:paraId="202CBD4C">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（2）工程量减少超过本项工程量15%以内的，按原综合单价在该项目合价中扣除，减少超过15%以外部分工程量，按本款上述第（二）条第3款重新确定综合单价，计算合价后，在该项目合价中扣除。</w:t>
      </w:r>
    </w:p>
    <w:p w14:paraId="7A5F5A05">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（四）措施项目调整。因本款第（一）条的工程量清单项目及工程数量变化，造成施工组织设计或施工方案变更，引起措施项目内容、工程数量发生变化，应调整措施项目内容及措施费。</w:t>
      </w:r>
    </w:p>
    <w:p w14:paraId="76A5E164">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1</w:t>
      </w:r>
      <w:r>
        <w:rPr>
          <w:rFonts w:ascii="宋体" w:hAnsi="宋体"/>
          <w:szCs w:val="21"/>
          <w:highlight w:val="none"/>
          <w:u w:val="single"/>
        </w:rPr>
        <w:t>.</w:t>
      </w:r>
      <w:r>
        <w:rPr>
          <w:rFonts w:hint="eastAsia" w:ascii="宋体" w:hAnsi="宋体"/>
          <w:szCs w:val="21"/>
          <w:highlight w:val="none"/>
          <w:u w:val="single"/>
        </w:rPr>
        <w:t>采用综合单价计价的措施项目，按本款第（二）条规定计价；</w:t>
      </w:r>
    </w:p>
    <w:p w14:paraId="43DBA4C9">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2</w:t>
      </w:r>
      <w:r>
        <w:rPr>
          <w:rFonts w:ascii="宋体" w:hAnsi="宋体"/>
          <w:szCs w:val="21"/>
          <w:highlight w:val="none"/>
          <w:u w:val="single"/>
        </w:rPr>
        <w:t>.</w:t>
      </w:r>
      <w:r>
        <w:rPr>
          <w:rFonts w:hint="eastAsia" w:ascii="宋体" w:hAnsi="宋体"/>
          <w:szCs w:val="21"/>
          <w:highlight w:val="none"/>
          <w:u w:val="single"/>
        </w:rPr>
        <w:t>采用以“项”、“次”计价的技术措施项目，工程量清单项目及工程数量变化引起措施变动部分重新组价；</w:t>
      </w:r>
    </w:p>
    <w:p w14:paraId="60576CB2">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3</w:t>
      </w:r>
      <w:r>
        <w:rPr>
          <w:rFonts w:ascii="宋体" w:hAnsi="宋体"/>
          <w:szCs w:val="21"/>
          <w:highlight w:val="none"/>
          <w:u w:val="single"/>
        </w:rPr>
        <w:t>.</w:t>
      </w:r>
      <w:r>
        <w:rPr>
          <w:rFonts w:hint="eastAsia" w:ascii="宋体" w:hAnsi="宋体"/>
          <w:szCs w:val="21"/>
          <w:highlight w:val="none"/>
          <w:u w:val="single"/>
        </w:rPr>
        <w:t>施工组织措施项目按投标报价书的费率内容调整相关措施费用。</w:t>
      </w:r>
    </w:p>
    <w:p w14:paraId="1C13B21A">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（五）价格波动引起的合同价款不作调整。</w:t>
      </w:r>
    </w:p>
    <w:p w14:paraId="04B675B8">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（六）零星工作项目费的结算</w:t>
      </w:r>
    </w:p>
    <w:p w14:paraId="1A9EAA8C">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除合同另有约定外，其他项目清单中的零星工作项目费，应按承包人实际完成并经采购人或委托的咨询单位工程师签证的数量进行结算，综合单价不变。</w:t>
      </w:r>
    </w:p>
    <w:p w14:paraId="31CB11B7">
      <w:pPr>
        <w:spacing w:line="360" w:lineRule="auto"/>
        <w:ind w:firstLine="420" w:firstLineChars="200"/>
        <w:rPr>
          <w:rFonts w:ascii="宋体" w:hAnsi="宋体"/>
          <w:szCs w:val="21"/>
          <w:highlight w:val="none"/>
        </w:rPr>
      </w:pPr>
      <w:r>
        <w:rPr>
          <w:rFonts w:hint="eastAsia" w:ascii="宋体" w:hAnsi="宋体"/>
          <w:szCs w:val="21"/>
          <w:highlight w:val="none"/>
        </w:rPr>
        <w:t>2、总价合同。</w:t>
      </w:r>
    </w:p>
    <w:p w14:paraId="404312FA">
      <w:pPr>
        <w:spacing w:line="380" w:lineRule="exact"/>
        <w:ind w:firstLine="359" w:firstLineChars="171"/>
        <w:rPr>
          <w:rFonts w:ascii="宋体" w:hAnsi="宋体"/>
          <w:szCs w:val="21"/>
          <w:highlight w:val="none"/>
        </w:rPr>
      </w:pPr>
      <w:r>
        <w:rPr>
          <w:rFonts w:ascii="宋体" w:hAnsi="宋体"/>
          <w:szCs w:val="21"/>
          <w:highlight w:val="none"/>
        </w:rPr>
        <w:t>总价包含的风险范围：</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w:t>
      </w:r>
    </w:p>
    <w:p w14:paraId="75950A33">
      <w:pPr>
        <w:spacing w:line="380" w:lineRule="exact"/>
        <w:ind w:firstLine="420" w:firstLineChars="200"/>
        <w:rPr>
          <w:rFonts w:hint="eastAsia" w:ascii="宋体" w:hAnsi="宋体"/>
          <w:szCs w:val="21"/>
          <w:highlight w:val="none"/>
        </w:rPr>
      </w:pPr>
      <w:r>
        <w:rPr>
          <w:rFonts w:ascii="宋体" w:hAnsi="宋体"/>
          <w:szCs w:val="21"/>
          <w:highlight w:val="none"/>
        </w:rPr>
        <w:t>风险费用的计算方法：</w:t>
      </w:r>
      <w:r>
        <w:rPr>
          <w:rFonts w:ascii="宋体" w:hAnsi="宋体"/>
          <w:szCs w:val="21"/>
          <w:highlight w:val="none"/>
          <w:u w:val="single"/>
        </w:rPr>
        <w:t xml:space="preserve">     </w:t>
      </w:r>
      <w:r>
        <w:rPr>
          <w:rFonts w:hint="eastAsia" w:ascii="宋体" w:hAnsi="宋体"/>
          <w:bCs/>
          <w:szCs w:val="21"/>
          <w:highlight w:val="none"/>
          <w:u w:val="single"/>
        </w:rPr>
        <w:t>/</w:t>
      </w:r>
      <w:r>
        <w:rPr>
          <w:rFonts w:hint="eastAsia" w:ascii="宋体" w:hAnsi="宋体"/>
          <w:b/>
          <w:szCs w:val="21"/>
          <w:highlight w:val="none"/>
          <w:u w:val="single"/>
        </w:rPr>
        <w:t xml:space="preserve">    </w:t>
      </w:r>
      <w:r>
        <w:rPr>
          <w:rFonts w:hint="eastAsia" w:ascii="宋体" w:hAnsi="宋体"/>
          <w:bCs/>
          <w:szCs w:val="21"/>
          <w:highlight w:val="none"/>
          <w:u w:val="single"/>
        </w:rPr>
        <w:t>。</w:t>
      </w:r>
    </w:p>
    <w:p w14:paraId="1690F786">
      <w:pPr>
        <w:spacing w:line="360" w:lineRule="auto"/>
        <w:ind w:firstLine="420" w:firstLineChars="200"/>
        <w:rPr>
          <w:rFonts w:hint="eastAsia" w:ascii="宋体" w:hAnsi="宋体"/>
          <w:szCs w:val="21"/>
          <w:highlight w:val="none"/>
          <w:u w:val="single"/>
        </w:rPr>
      </w:pPr>
      <w:bookmarkStart w:id="517" w:name="_Toc30206"/>
      <w:r>
        <w:rPr>
          <w:rFonts w:ascii="宋体" w:hAnsi="宋体"/>
          <w:szCs w:val="21"/>
          <w:highlight w:val="none"/>
        </w:rPr>
        <w:t>风险范围以外合同价格的调整方法：</w:t>
      </w:r>
      <w:bookmarkEnd w:id="517"/>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w:t>
      </w:r>
    </w:p>
    <w:p w14:paraId="1512B54E">
      <w:pPr>
        <w:spacing w:line="360" w:lineRule="auto"/>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、其他价格方式：</w:t>
      </w:r>
      <w:r>
        <w:rPr>
          <w:rFonts w:hint="eastAsia" w:ascii="宋体" w:hAnsi="宋体"/>
          <w:szCs w:val="21"/>
          <w:highlight w:val="none"/>
          <w:u w:val="single"/>
        </w:rPr>
        <w:t xml:space="preserve">   / </w:t>
      </w:r>
      <w:r>
        <w:rPr>
          <w:rFonts w:ascii="宋体" w:hAnsi="宋体"/>
          <w:szCs w:val="21"/>
          <w:highlight w:val="none"/>
          <w:u w:val="single"/>
        </w:rPr>
        <w:t xml:space="preserve"> </w:t>
      </w:r>
      <w:r>
        <w:rPr>
          <w:rFonts w:hint="eastAsia" w:ascii="宋体" w:hAnsi="宋体"/>
          <w:szCs w:val="21"/>
          <w:highlight w:val="none"/>
        </w:rPr>
        <w:t>。</w:t>
      </w:r>
    </w:p>
    <w:p w14:paraId="37861C29">
      <w:pPr>
        <w:spacing w:line="360" w:lineRule="auto"/>
        <w:ind w:firstLine="420" w:firstLineChars="200"/>
        <w:rPr>
          <w:rFonts w:ascii="宋体" w:hAnsi="宋体"/>
          <w:szCs w:val="21"/>
          <w:highlight w:val="none"/>
        </w:rPr>
      </w:pPr>
      <w:bookmarkStart w:id="518" w:name="_Toc304295581"/>
      <w:bookmarkStart w:id="519" w:name="_Toc300935004"/>
      <w:bookmarkStart w:id="520" w:name="_Toc297123554"/>
      <w:bookmarkStart w:id="521" w:name="_Toc312678042"/>
      <w:bookmarkStart w:id="522" w:name="_Toc303539161"/>
      <w:bookmarkStart w:id="523" w:name="_Toc297216213"/>
      <w:bookmarkStart w:id="524" w:name="_Toc296346708"/>
      <w:bookmarkStart w:id="525" w:name="_Toc296503207"/>
      <w:bookmarkStart w:id="526" w:name="_Toc296891035"/>
      <w:bookmarkStart w:id="527" w:name="_Toc296891247"/>
      <w:bookmarkStart w:id="528" w:name="_Toc292559917"/>
      <w:bookmarkStart w:id="529" w:name="_Toc297120507"/>
      <w:bookmarkStart w:id="530" w:name="_Toc297048393"/>
      <w:bookmarkStart w:id="531" w:name="_Toc292559412"/>
      <w:bookmarkStart w:id="532" w:name="_Toc296944546"/>
      <w:bookmarkStart w:id="533" w:name="_Toc296347206"/>
      <w:r>
        <w:rPr>
          <w:rFonts w:ascii="宋体" w:hAnsi="宋体"/>
          <w:szCs w:val="21"/>
          <w:highlight w:val="none"/>
        </w:rPr>
        <w:t>12.2 预付款</w:t>
      </w:r>
    </w:p>
    <w:bookmarkEnd w:id="518"/>
    <w:bookmarkEnd w:id="519"/>
    <w:bookmarkEnd w:id="520"/>
    <w:bookmarkEnd w:id="521"/>
    <w:bookmarkEnd w:id="522"/>
    <w:bookmarkEnd w:id="523"/>
    <w:p w14:paraId="44062EFA">
      <w:pPr>
        <w:spacing w:line="360" w:lineRule="auto"/>
        <w:ind w:firstLine="420" w:firstLineChars="200"/>
        <w:rPr>
          <w:rFonts w:ascii="宋体" w:hAnsi="宋体"/>
          <w:szCs w:val="21"/>
          <w:highlight w:val="none"/>
        </w:rPr>
      </w:pPr>
      <w:r>
        <w:rPr>
          <w:rFonts w:ascii="宋体" w:hAnsi="宋体"/>
          <w:szCs w:val="21"/>
          <w:highlight w:val="none"/>
        </w:rPr>
        <w:t>12.2.1 预付款的支付</w:t>
      </w:r>
    </w:p>
    <w:p w14:paraId="7B80C650">
      <w:pPr>
        <w:spacing w:line="360" w:lineRule="auto"/>
        <w:ind w:firstLine="420" w:firstLineChars="200"/>
        <w:rPr>
          <w:rFonts w:ascii="宋体" w:hAnsi="宋体"/>
          <w:szCs w:val="21"/>
          <w:highlight w:val="none"/>
        </w:rPr>
      </w:pPr>
      <w:r>
        <w:rPr>
          <w:rFonts w:hint="eastAsia" w:ascii="宋体" w:hAnsi="宋体"/>
          <w:szCs w:val="21"/>
          <w:highlight w:val="none"/>
        </w:rPr>
        <w:t>预付款支付比例或金额：</w:t>
      </w:r>
      <w:r>
        <w:rPr>
          <w:rFonts w:hint="eastAsia" w:ascii="宋体" w:hAnsi="宋体"/>
          <w:szCs w:val="21"/>
          <w:highlight w:val="none"/>
          <w:u w:val="single"/>
        </w:rPr>
        <w:t>合同价的40%作为工程预付款</w:t>
      </w:r>
      <w:r>
        <w:rPr>
          <w:rFonts w:hint="eastAsia" w:ascii="宋体" w:hAnsi="宋体"/>
          <w:szCs w:val="21"/>
          <w:highlight w:val="none"/>
        </w:rPr>
        <w:t>。</w:t>
      </w:r>
    </w:p>
    <w:p w14:paraId="42AD43A5">
      <w:pPr>
        <w:spacing w:line="360" w:lineRule="auto"/>
        <w:ind w:firstLine="420" w:firstLineChars="200"/>
        <w:rPr>
          <w:rFonts w:hint="eastAsia" w:ascii="宋体" w:hAnsi="宋体"/>
          <w:szCs w:val="21"/>
          <w:highlight w:val="none"/>
          <w:u w:val="single"/>
        </w:rPr>
      </w:pPr>
      <w:r>
        <w:rPr>
          <w:rFonts w:hint="eastAsia" w:ascii="宋体" w:hAnsi="宋体"/>
          <w:szCs w:val="21"/>
          <w:highlight w:val="none"/>
        </w:rPr>
        <w:t>预付款支付期限：</w:t>
      </w:r>
      <w:r>
        <w:rPr>
          <w:rFonts w:hint="eastAsia" w:ascii="宋体" w:hAnsi="宋体"/>
          <w:szCs w:val="21"/>
          <w:highlight w:val="none"/>
          <w:u w:val="single"/>
        </w:rPr>
        <w:t xml:space="preserve"> 工程预付款在采购人与承包人签订合同，且承包人施工队伍主要管理人员到位后14天内支付 </w:t>
      </w:r>
      <w:r>
        <w:rPr>
          <w:rFonts w:hint="eastAsia" w:ascii="宋体" w:hAnsi="宋体"/>
          <w:szCs w:val="21"/>
          <w:highlight w:val="none"/>
        </w:rPr>
        <w:t>。</w:t>
      </w:r>
    </w:p>
    <w:p w14:paraId="2EEEDB94">
      <w:pPr>
        <w:spacing w:line="360" w:lineRule="auto"/>
        <w:ind w:firstLine="420" w:firstLineChars="200"/>
        <w:rPr>
          <w:rFonts w:ascii="宋体" w:hAnsi="宋体"/>
          <w:szCs w:val="21"/>
          <w:highlight w:val="none"/>
          <w:u w:val="single"/>
        </w:rPr>
      </w:pPr>
      <w:r>
        <w:rPr>
          <w:rFonts w:hint="eastAsia" w:ascii="宋体" w:hAnsi="宋体"/>
          <w:szCs w:val="21"/>
          <w:highlight w:val="none"/>
        </w:rPr>
        <w:t>预付款扣回的方式：</w:t>
      </w:r>
      <w:r>
        <w:rPr>
          <w:rFonts w:hint="eastAsia" w:ascii="宋体" w:hAnsi="宋体"/>
          <w:szCs w:val="21"/>
          <w:highlight w:val="none"/>
          <w:u w:val="single"/>
        </w:rPr>
        <w:t>不扣回，具体详见本专用条款12.4.1条</w:t>
      </w:r>
      <w:r>
        <w:rPr>
          <w:rFonts w:hint="eastAsia" w:ascii="宋体" w:hAnsi="宋体"/>
          <w:szCs w:val="21"/>
          <w:highlight w:val="none"/>
        </w:rPr>
        <w:t>。</w:t>
      </w:r>
    </w:p>
    <w:p w14:paraId="50534EEF">
      <w:pPr>
        <w:spacing w:line="360" w:lineRule="auto"/>
        <w:ind w:firstLine="420" w:firstLineChars="200"/>
        <w:rPr>
          <w:rFonts w:ascii="宋体" w:hAnsi="宋体"/>
          <w:szCs w:val="21"/>
          <w:highlight w:val="none"/>
        </w:rPr>
      </w:pPr>
      <w:r>
        <w:rPr>
          <w:rFonts w:ascii="宋体" w:hAnsi="宋体"/>
          <w:szCs w:val="21"/>
          <w:highlight w:val="none"/>
        </w:rPr>
        <w:t>12.2.2 预付款担保</w:t>
      </w:r>
    </w:p>
    <w:p w14:paraId="579740B2">
      <w:pPr>
        <w:spacing w:line="360" w:lineRule="auto"/>
        <w:ind w:firstLine="420" w:firstLineChars="200"/>
        <w:rPr>
          <w:rFonts w:ascii="宋体" w:hAnsi="宋体"/>
          <w:szCs w:val="21"/>
          <w:highlight w:val="none"/>
        </w:rPr>
      </w:pPr>
      <w:r>
        <w:rPr>
          <w:rFonts w:ascii="宋体" w:hAnsi="宋体"/>
          <w:szCs w:val="21"/>
          <w:highlight w:val="none"/>
        </w:rPr>
        <w:t>承包人提交预付款担保的期限：</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35320A3B">
      <w:pPr>
        <w:spacing w:line="360" w:lineRule="auto"/>
        <w:ind w:firstLine="420" w:firstLineChars="200"/>
        <w:rPr>
          <w:rFonts w:ascii="宋体" w:hAnsi="宋体"/>
          <w:szCs w:val="21"/>
          <w:highlight w:val="none"/>
        </w:rPr>
      </w:pPr>
      <w:r>
        <w:rPr>
          <w:rFonts w:ascii="宋体" w:hAnsi="宋体"/>
          <w:szCs w:val="21"/>
          <w:highlight w:val="none"/>
        </w:rPr>
        <w:t>预付款担保的形式为：</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bookmarkEnd w:id="524"/>
    <w:bookmarkEnd w:id="525"/>
    <w:bookmarkEnd w:id="526"/>
    <w:bookmarkEnd w:id="527"/>
    <w:bookmarkEnd w:id="528"/>
    <w:bookmarkEnd w:id="529"/>
    <w:bookmarkEnd w:id="530"/>
    <w:bookmarkEnd w:id="531"/>
    <w:bookmarkEnd w:id="532"/>
    <w:bookmarkEnd w:id="533"/>
    <w:p w14:paraId="64B3F69C">
      <w:pPr>
        <w:spacing w:line="360" w:lineRule="auto"/>
        <w:ind w:firstLine="420" w:firstLineChars="200"/>
        <w:rPr>
          <w:rFonts w:ascii="宋体" w:hAnsi="宋体"/>
          <w:szCs w:val="21"/>
          <w:highlight w:val="none"/>
        </w:rPr>
      </w:pPr>
      <w:r>
        <w:rPr>
          <w:rFonts w:ascii="宋体" w:hAnsi="宋体"/>
          <w:szCs w:val="21"/>
          <w:highlight w:val="none"/>
        </w:rPr>
        <w:t>12.3 计量</w:t>
      </w:r>
    </w:p>
    <w:p w14:paraId="3DC0A4C6">
      <w:pPr>
        <w:spacing w:line="360" w:lineRule="auto"/>
        <w:ind w:firstLine="420" w:firstLineChars="200"/>
        <w:rPr>
          <w:rFonts w:ascii="宋体" w:hAnsi="宋体"/>
          <w:szCs w:val="21"/>
          <w:highlight w:val="none"/>
        </w:rPr>
      </w:pPr>
      <w:r>
        <w:rPr>
          <w:rFonts w:ascii="宋体" w:hAnsi="宋体"/>
          <w:szCs w:val="21"/>
          <w:highlight w:val="none"/>
        </w:rPr>
        <w:t>12.3.1 计量原则</w:t>
      </w:r>
    </w:p>
    <w:p w14:paraId="48F9068B">
      <w:pPr>
        <w:spacing w:line="360" w:lineRule="auto"/>
        <w:ind w:firstLine="420" w:firstLineChars="200"/>
        <w:rPr>
          <w:rFonts w:ascii="宋体" w:hAnsi="宋体"/>
          <w:szCs w:val="21"/>
          <w:highlight w:val="none"/>
        </w:rPr>
      </w:pPr>
      <w:r>
        <w:rPr>
          <w:rFonts w:ascii="宋体" w:hAnsi="宋体"/>
          <w:szCs w:val="21"/>
          <w:highlight w:val="none"/>
        </w:rPr>
        <w:t>工程量计算规则：</w:t>
      </w:r>
      <w:r>
        <w:rPr>
          <w:rFonts w:hint="eastAsia" w:ascii="宋体" w:hAnsi="宋体"/>
          <w:szCs w:val="21"/>
          <w:highlight w:val="none"/>
          <w:u w:val="single"/>
        </w:rPr>
        <w:t>《建设工程工程量清单计价规范》（GB50500-2013）等“计价规范”、浙江省2018版定额中工程量计算规则等</w:t>
      </w:r>
      <w:r>
        <w:rPr>
          <w:rFonts w:ascii="宋体" w:hAnsi="宋体"/>
          <w:szCs w:val="21"/>
          <w:highlight w:val="none"/>
        </w:rPr>
        <w:t>。</w:t>
      </w:r>
    </w:p>
    <w:p w14:paraId="3F97FA26">
      <w:pPr>
        <w:spacing w:line="360" w:lineRule="auto"/>
        <w:ind w:firstLine="420" w:firstLineChars="200"/>
        <w:rPr>
          <w:rFonts w:ascii="宋体" w:hAnsi="宋体"/>
          <w:szCs w:val="21"/>
          <w:highlight w:val="none"/>
        </w:rPr>
      </w:pPr>
      <w:r>
        <w:rPr>
          <w:rFonts w:ascii="宋体" w:hAnsi="宋体"/>
          <w:szCs w:val="21"/>
          <w:highlight w:val="none"/>
        </w:rPr>
        <w:t>12.3.2 计量周期</w:t>
      </w:r>
    </w:p>
    <w:p w14:paraId="5AAE4255">
      <w:pPr>
        <w:spacing w:line="360" w:lineRule="auto"/>
        <w:ind w:firstLine="420" w:firstLineChars="200"/>
        <w:rPr>
          <w:rFonts w:ascii="宋体" w:hAnsi="宋体"/>
          <w:szCs w:val="21"/>
          <w:highlight w:val="none"/>
        </w:rPr>
      </w:pPr>
      <w:r>
        <w:rPr>
          <w:rFonts w:ascii="宋体" w:hAnsi="宋体"/>
          <w:szCs w:val="21"/>
          <w:highlight w:val="none"/>
        </w:rPr>
        <w:t>关于计量周期的约定：</w:t>
      </w:r>
      <w:r>
        <w:rPr>
          <w:rFonts w:ascii="宋体" w:hAnsi="宋体"/>
          <w:szCs w:val="21"/>
          <w:highlight w:val="none"/>
          <w:u w:val="single"/>
        </w:rPr>
        <w:t xml:space="preserve">   </w:t>
      </w:r>
      <w:r>
        <w:rPr>
          <w:rFonts w:hint="eastAsia" w:ascii="宋体" w:hAnsi="宋体"/>
          <w:szCs w:val="21"/>
          <w:highlight w:val="none"/>
          <w:u w:val="single"/>
        </w:rPr>
        <w:t>按月进度计量</w:t>
      </w:r>
      <w:r>
        <w:rPr>
          <w:rFonts w:ascii="宋体" w:hAnsi="宋体"/>
          <w:szCs w:val="21"/>
          <w:highlight w:val="none"/>
          <w:u w:val="single"/>
        </w:rPr>
        <w:t xml:space="preserve">   </w:t>
      </w:r>
      <w:r>
        <w:rPr>
          <w:rFonts w:ascii="宋体" w:hAnsi="宋体"/>
          <w:szCs w:val="21"/>
          <w:highlight w:val="none"/>
        </w:rPr>
        <w:t>。</w:t>
      </w:r>
    </w:p>
    <w:p w14:paraId="3B683FA8">
      <w:pPr>
        <w:spacing w:line="360" w:lineRule="auto"/>
        <w:ind w:firstLine="420" w:firstLineChars="200"/>
        <w:rPr>
          <w:rFonts w:ascii="宋体" w:hAnsi="宋体"/>
          <w:szCs w:val="21"/>
          <w:highlight w:val="none"/>
        </w:rPr>
      </w:pPr>
      <w:r>
        <w:rPr>
          <w:rFonts w:ascii="宋体" w:hAnsi="宋体"/>
          <w:szCs w:val="21"/>
          <w:highlight w:val="none"/>
        </w:rPr>
        <w:t>12.3.3 单价合同的计量</w:t>
      </w:r>
    </w:p>
    <w:p w14:paraId="40641589">
      <w:pPr>
        <w:spacing w:line="360" w:lineRule="auto"/>
        <w:ind w:firstLine="420" w:firstLineChars="200"/>
        <w:rPr>
          <w:rFonts w:ascii="宋体" w:hAnsi="宋体"/>
          <w:szCs w:val="21"/>
          <w:highlight w:val="none"/>
        </w:rPr>
      </w:pPr>
      <w:r>
        <w:rPr>
          <w:rFonts w:ascii="宋体" w:hAnsi="宋体"/>
          <w:szCs w:val="21"/>
          <w:highlight w:val="none"/>
        </w:rPr>
        <w:t>关于单价合同计量的约定：</w:t>
      </w:r>
      <w:r>
        <w:rPr>
          <w:rFonts w:ascii="宋体" w:hAnsi="宋体"/>
          <w:szCs w:val="21"/>
          <w:highlight w:val="none"/>
          <w:u w:val="single"/>
        </w:rPr>
        <w:t xml:space="preserve">         </w:t>
      </w:r>
      <w:r>
        <w:rPr>
          <w:rFonts w:hint="eastAsia" w:ascii="宋体" w:hAnsi="宋体"/>
          <w:szCs w:val="21"/>
          <w:highlight w:val="none"/>
          <w:u w:val="single"/>
        </w:rPr>
        <w:t xml:space="preserve">按通用条款  </w:t>
      </w:r>
      <w:r>
        <w:rPr>
          <w:rFonts w:ascii="宋体" w:hAnsi="宋体"/>
          <w:szCs w:val="21"/>
          <w:highlight w:val="none"/>
          <w:u w:val="single"/>
        </w:rPr>
        <w:t xml:space="preserve">        </w:t>
      </w:r>
      <w:r>
        <w:rPr>
          <w:rFonts w:ascii="宋体" w:hAnsi="宋体"/>
          <w:szCs w:val="21"/>
          <w:highlight w:val="none"/>
        </w:rPr>
        <w:t>。</w:t>
      </w:r>
    </w:p>
    <w:p w14:paraId="5FB0DF6B">
      <w:pPr>
        <w:spacing w:line="360" w:lineRule="auto"/>
        <w:ind w:firstLine="420" w:firstLineChars="200"/>
        <w:rPr>
          <w:rFonts w:ascii="宋体" w:hAnsi="宋体"/>
          <w:szCs w:val="21"/>
          <w:highlight w:val="none"/>
        </w:rPr>
      </w:pPr>
      <w:r>
        <w:rPr>
          <w:rFonts w:ascii="宋体" w:hAnsi="宋体"/>
          <w:szCs w:val="21"/>
          <w:highlight w:val="none"/>
        </w:rPr>
        <w:t>12.3.4 总价合同的计量</w:t>
      </w:r>
    </w:p>
    <w:p w14:paraId="5A066350">
      <w:pPr>
        <w:spacing w:line="360" w:lineRule="auto"/>
        <w:ind w:firstLine="420" w:firstLineChars="200"/>
        <w:rPr>
          <w:rFonts w:hint="eastAsia" w:ascii="宋体" w:hAnsi="宋体"/>
          <w:szCs w:val="21"/>
          <w:highlight w:val="none"/>
        </w:rPr>
      </w:pPr>
      <w:r>
        <w:rPr>
          <w:rFonts w:ascii="宋体" w:hAnsi="宋体"/>
          <w:szCs w:val="21"/>
          <w:highlight w:val="none"/>
        </w:rPr>
        <w:t>关于总价合同计量的约定：</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20E88BB3">
      <w:pPr>
        <w:spacing w:line="360" w:lineRule="auto"/>
        <w:ind w:firstLine="420" w:firstLineChars="200"/>
        <w:rPr>
          <w:rFonts w:ascii="宋体" w:hAnsi="宋体"/>
          <w:szCs w:val="21"/>
          <w:highlight w:val="none"/>
        </w:rPr>
      </w:pPr>
      <w:r>
        <w:rPr>
          <w:rFonts w:ascii="宋体" w:hAnsi="宋体"/>
          <w:szCs w:val="21"/>
          <w:highlight w:val="none"/>
        </w:rPr>
        <w:t>12.3.5总价合同采用支付分解表计量支付的，是否适用第</w:t>
      </w:r>
      <w:r>
        <w:rPr>
          <w:rFonts w:ascii="宋体" w:hAnsi="宋体"/>
          <w:kern w:val="0"/>
          <w:szCs w:val="21"/>
          <w:highlight w:val="none"/>
        </w:rPr>
        <w:t xml:space="preserve">12.3.4 </w:t>
      </w:r>
      <w:r>
        <w:rPr>
          <w:rFonts w:ascii="宋体" w:hAnsi="宋体"/>
          <w:szCs w:val="21"/>
          <w:highlight w:val="none"/>
        </w:rPr>
        <w:t>项</w:t>
      </w:r>
      <w:r>
        <w:rPr>
          <w:rFonts w:hint="eastAsia" w:ascii="宋体" w:hAnsi="宋体"/>
          <w:kern w:val="0"/>
          <w:szCs w:val="21"/>
          <w:highlight w:val="none"/>
        </w:rPr>
        <w:t>〔</w:t>
      </w:r>
      <w:r>
        <w:rPr>
          <w:rFonts w:ascii="宋体" w:hAnsi="宋体"/>
          <w:kern w:val="0"/>
          <w:szCs w:val="21"/>
          <w:highlight w:val="none"/>
        </w:rPr>
        <w:t>总价合同的计量</w:t>
      </w:r>
      <w:r>
        <w:rPr>
          <w:rFonts w:hint="eastAsia" w:ascii="宋体" w:hAnsi="宋体"/>
          <w:kern w:val="0"/>
          <w:szCs w:val="21"/>
          <w:highlight w:val="none"/>
        </w:rPr>
        <w:t>〕</w:t>
      </w:r>
      <w:r>
        <w:rPr>
          <w:rFonts w:ascii="宋体" w:hAnsi="宋体"/>
          <w:szCs w:val="21"/>
          <w:highlight w:val="none"/>
        </w:rPr>
        <w:t>约定</w:t>
      </w:r>
      <w:r>
        <w:rPr>
          <w:rFonts w:hint="eastAsia" w:ascii="宋体" w:hAnsi="宋体"/>
          <w:szCs w:val="21"/>
          <w:highlight w:val="none"/>
        </w:rPr>
        <w:t>进行计量：</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w:t>
      </w:r>
    </w:p>
    <w:p w14:paraId="562F7A1B">
      <w:pPr>
        <w:spacing w:line="360" w:lineRule="auto"/>
        <w:ind w:firstLine="420" w:firstLineChars="200"/>
        <w:rPr>
          <w:rFonts w:ascii="宋体" w:hAnsi="宋体"/>
          <w:szCs w:val="21"/>
          <w:highlight w:val="none"/>
        </w:rPr>
      </w:pPr>
      <w:r>
        <w:rPr>
          <w:rFonts w:ascii="宋体" w:hAnsi="宋体"/>
          <w:szCs w:val="21"/>
          <w:highlight w:val="none"/>
        </w:rPr>
        <w:t>12.3.6 其他价格形式合同的计量</w:t>
      </w:r>
    </w:p>
    <w:p w14:paraId="7830192F">
      <w:pPr>
        <w:spacing w:line="360" w:lineRule="auto"/>
        <w:ind w:firstLine="420" w:firstLineChars="200"/>
        <w:rPr>
          <w:rFonts w:ascii="宋体" w:hAnsi="宋体"/>
          <w:szCs w:val="21"/>
          <w:highlight w:val="none"/>
        </w:rPr>
      </w:pPr>
      <w:r>
        <w:rPr>
          <w:rFonts w:ascii="宋体" w:hAnsi="宋体"/>
          <w:szCs w:val="21"/>
          <w:highlight w:val="none"/>
        </w:rPr>
        <w:t>其他价格形式的计量方式和程序：</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5FF5B5EA">
      <w:pPr>
        <w:spacing w:line="360" w:lineRule="auto"/>
        <w:ind w:firstLine="420" w:firstLineChars="200"/>
        <w:rPr>
          <w:rFonts w:ascii="宋体" w:hAnsi="宋体"/>
          <w:szCs w:val="21"/>
          <w:highlight w:val="none"/>
        </w:rPr>
      </w:pPr>
      <w:r>
        <w:rPr>
          <w:rFonts w:ascii="宋体" w:hAnsi="宋体"/>
          <w:szCs w:val="21"/>
          <w:highlight w:val="none"/>
        </w:rPr>
        <w:t>12.4 工程进度款支付</w:t>
      </w:r>
    </w:p>
    <w:p w14:paraId="7107E867">
      <w:pPr>
        <w:spacing w:line="360" w:lineRule="auto"/>
        <w:ind w:firstLine="420" w:firstLineChars="200"/>
        <w:rPr>
          <w:rFonts w:ascii="宋体" w:hAnsi="宋体"/>
          <w:szCs w:val="21"/>
          <w:highlight w:val="none"/>
        </w:rPr>
      </w:pPr>
      <w:bookmarkStart w:id="534" w:name="_Toc297120511"/>
      <w:bookmarkStart w:id="535" w:name="_Toc296891039"/>
      <w:bookmarkStart w:id="536" w:name="_Toc296944550"/>
      <w:bookmarkStart w:id="537" w:name="_Toc297123556"/>
      <w:bookmarkStart w:id="538" w:name="_Toc296346712"/>
      <w:bookmarkStart w:id="539" w:name="_Toc292559416"/>
      <w:bookmarkStart w:id="540" w:name="_Toc300935006"/>
      <w:bookmarkStart w:id="541" w:name="_Toc303539163"/>
      <w:bookmarkStart w:id="542" w:name="_Toc296503211"/>
      <w:bookmarkStart w:id="543" w:name="_Toc292559921"/>
      <w:bookmarkStart w:id="544" w:name="_Toc297048397"/>
      <w:bookmarkStart w:id="545" w:name="_Toc296347210"/>
      <w:bookmarkStart w:id="546" w:name="_Toc297216215"/>
      <w:bookmarkStart w:id="547" w:name="_Toc296891251"/>
      <w:r>
        <w:rPr>
          <w:rFonts w:ascii="宋体" w:hAnsi="宋体"/>
          <w:szCs w:val="21"/>
          <w:highlight w:val="none"/>
        </w:rPr>
        <w:t>12.4.1 付款周期</w:t>
      </w:r>
    </w:p>
    <w:p w14:paraId="77E0A3E3">
      <w:pPr>
        <w:spacing w:line="360" w:lineRule="auto"/>
        <w:ind w:firstLine="420" w:firstLineChars="200"/>
        <w:rPr>
          <w:rFonts w:hint="eastAsia" w:ascii="宋体" w:hAnsi="宋体"/>
          <w:szCs w:val="21"/>
          <w:highlight w:val="none"/>
          <w:u w:val="single"/>
        </w:rPr>
      </w:pPr>
      <w:r>
        <w:rPr>
          <w:rFonts w:ascii="宋体" w:hAnsi="宋体"/>
          <w:szCs w:val="21"/>
          <w:highlight w:val="none"/>
        </w:rPr>
        <w:t>关于付款周期的约定：</w:t>
      </w:r>
      <w:r>
        <w:rPr>
          <w:rFonts w:ascii="宋体" w:hAnsi="宋体"/>
          <w:szCs w:val="21"/>
          <w:highlight w:val="none"/>
          <w:u w:val="single"/>
        </w:rPr>
        <w:t xml:space="preserve"> </w:t>
      </w:r>
      <w:r>
        <w:rPr>
          <w:rFonts w:hint="eastAsia" w:ascii="宋体" w:hAnsi="宋体"/>
          <w:szCs w:val="21"/>
          <w:highlight w:val="none"/>
          <w:u w:val="single"/>
        </w:rPr>
        <w:t xml:space="preserve">按以下进度支付工程款 </w:t>
      </w:r>
      <w:r>
        <w:rPr>
          <w:rFonts w:ascii="宋体" w:hAnsi="宋体"/>
          <w:szCs w:val="21"/>
          <w:highlight w:val="none"/>
          <w:u w:val="single"/>
        </w:rPr>
        <w:t>。</w:t>
      </w:r>
    </w:p>
    <w:p w14:paraId="1A6372C1">
      <w:pPr>
        <w:spacing w:line="360" w:lineRule="auto"/>
        <w:ind w:firstLine="422" w:firstLineChars="200"/>
        <w:rPr>
          <w:rFonts w:hint="eastAsia" w:ascii="宋体" w:hAnsi="宋体"/>
          <w:b/>
          <w:szCs w:val="21"/>
          <w:highlight w:val="none"/>
          <w:u w:val="double"/>
        </w:rPr>
      </w:pPr>
      <w:r>
        <w:rPr>
          <w:rFonts w:hint="eastAsia" w:ascii="宋体" w:hAnsi="宋体"/>
          <w:b/>
          <w:szCs w:val="21"/>
          <w:highlight w:val="none"/>
          <w:u w:val="double"/>
        </w:rPr>
        <w:t>1.在合同生效以及具备实施条件后7个工作日内支付合同金额的40%预付款；</w:t>
      </w:r>
    </w:p>
    <w:p w14:paraId="45A4A1E3">
      <w:pPr>
        <w:spacing w:line="360" w:lineRule="auto"/>
        <w:ind w:firstLine="422" w:firstLineChars="200"/>
        <w:rPr>
          <w:rFonts w:hint="eastAsia" w:ascii="宋体" w:hAnsi="宋体"/>
          <w:b/>
          <w:szCs w:val="21"/>
          <w:highlight w:val="none"/>
          <w:u w:val="double"/>
        </w:rPr>
      </w:pPr>
      <w:r>
        <w:rPr>
          <w:rFonts w:hint="eastAsia" w:ascii="宋体" w:hAnsi="宋体"/>
          <w:b/>
          <w:szCs w:val="21"/>
          <w:highlight w:val="none"/>
          <w:u w:val="double"/>
        </w:rPr>
        <w:t>2.项目完成</w:t>
      </w:r>
      <w:r>
        <w:rPr>
          <w:rFonts w:hint="eastAsia" w:ascii="宋体" w:hAnsi="宋体"/>
          <w:b/>
          <w:szCs w:val="21"/>
          <w:highlight w:val="none"/>
          <w:u w:val="double"/>
          <w:lang w:eastAsia="zh-CN"/>
        </w:rPr>
        <w:t>且</w:t>
      </w:r>
      <w:r>
        <w:rPr>
          <w:rFonts w:hint="eastAsia" w:ascii="宋体" w:hAnsi="宋体"/>
          <w:b/>
          <w:szCs w:val="21"/>
          <w:highlight w:val="none"/>
          <w:u w:val="double"/>
        </w:rPr>
        <w:t>验收合格后30个工作日内支付至合同价的85%；余款在结算审计完成并按要求提交质量保证金后付清（质量保证金为1%的结算总价，可采用银行转账或银行保函或保险保函），质量保证金在竣工验收合格满</w:t>
      </w:r>
      <w:r>
        <w:rPr>
          <w:rFonts w:hint="eastAsia" w:ascii="宋体" w:hAnsi="宋体"/>
          <w:b/>
          <w:szCs w:val="21"/>
          <w:highlight w:val="none"/>
          <w:u w:val="double"/>
          <w:lang w:val="en-US" w:eastAsia="zh-CN"/>
        </w:rPr>
        <w:t>1</w:t>
      </w:r>
      <w:r>
        <w:rPr>
          <w:rFonts w:hint="eastAsia" w:ascii="宋体" w:hAnsi="宋体"/>
          <w:b/>
          <w:szCs w:val="21"/>
          <w:highlight w:val="none"/>
          <w:u w:val="double"/>
        </w:rPr>
        <w:t>年</w:t>
      </w:r>
      <w:r>
        <w:rPr>
          <w:rFonts w:hint="eastAsia" w:ascii="宋体" w:hAnsi="宋体"/>
          <w:b/>
          <w:szCs w:val="21"/>
          <w:highlight w:val="none"/>
          <w:u w:val="double"/>
          <w:lang w:eastAsia="zh-CN"/>
        </w:rPr>
        <w:t>后无息</w:t>
      </w:r>
      <w:r>
        <w:rPr>
          <w:rFonts w:hint="eastAsia" w:ascii="宋体" w:hAnsi="宋体"/>
          <w:b/>
          <w:szCs w:val="21"/>
          <w:highlight w:val="none"/>
          <w:u w:val="double"/>
        </w:rPr>
        <w:t>退还。</w:t>
      </w:r>
    </w:p>
    <w:p w14:paraId="7DE39A47">
      <w:pPr>
        <w:spacing w:line="360" w:lineRule="auto"/>
        <w:ind w:firstLine="422" w:firstLineChars="200"/>
        <w:rPr>
          <w:rFonts w:hint="eastAsia" w:ascii="宋体" w:hAnsi="宋体"/>
          <w:b/>
          <w:szCs w:val="21"/>
          <w:highlight w:val="none"/>
          <w:u w:val="double"/>
        </w:rPr>
      </w:pPr>
      <w:r>
        <w:rPr>
          <w:rFonts w:hint="eastAsia" w:ascii="宋体" w:hAnsi="宋体"/>
          <w:b/>
          <w:szCs w:val="21"/>
          <w:highlight w:val="none"/>
          <w:u w:val="double"/>
        </w:rPr>
        <w:t>（4）质量保证金在缺陷责任期满后退还（以保函形式提交的质量保证金无须退还）。</w:t>
      </w:r>
    </w:p>
    <w:p w14:paraId="5EE078FC">
      <w:pPr>
        <w:spacing w:line="360" w:lineRule="auto"/>
        <w:ind w:firstLine="420" w:firstLineChars="200"/>
        <w:rPr>
          <w:rFonts w:ascii="宋体" w:hAnsi="宋体"/>
          <w:szCs w:val="21"/>
          <w:highlight w:val="none"/>
        </w:rPr>
      </w:pPr>
      <w:r>
        <w:rPr>
          <w:rFonts w:ascii="宋体" w:hAnsi="宋体"/>
          <w:szCs w:val="21"/>
          <w:highlight w:val="none"/>
        </w:rPr>
        <w:t>12.4.2 进度付款申请单的编制</w:t>
      </w:r>
    </w:p>
    <w:p w14:paraId="0F5E2B1A">
      <w:pPr>
        <w:spacing w:line="360" w:lineRule="auto"/>
        <w:ind w:firstLine="420" w:firstLineChars="200"/>
        <w:rPr>
          <w:rFonts w:ascii="宋体" w:hAnsi="宋体"/>
          <w:szCs w:val="21"/>
          <w:highlight w:val="none"/>
        </w:rPr>
      </w:pPr>
      <w:r>
        <w:rPr>
          <w:rFonts w:ascii="宋体" w:hAnsi="宋体"/>
          <w:szCs w:val="21"/>
          <w:highlight w:val="none"/>
        </w:rPr>
        <w:t>关于进度付款申请单编制的约定：</w:t>
      </w:r>
      <w:r>
        <w:rPr>
          <w:rFonts w:ascii="宋体" w:hAnsi="宋体"/>
          <w:szCs w:val="21"/>
          <w:highlight w:val="none"/>
          <w:u w:val="single"/>
        </w:rPr>
        <w:t xml:space="preserve">    </w:t>
      </w:r>
      <w:r>
        <w:rPr>
          <w:rFonts w:hint="eastAsia" w:ascii="宋体" w:hAnsi="宋体"/>
          <w:szCs w:val="21"/>
          <w:highlight w:val="none"/>
          <w:u w:val="single"/>
        </w:rPr>
        <w:t xml:space="preserve">按通用条款     </w:t>
      </w:r>
      <w:r>
        <w:rPr>
          <w:rFonts w:ascii="宋体" w:hAnsi="宋体"/>
          <w:szCs w:val="21"/>
          <w:highlight w:val="none"/>
        </w:rPr>
        <w:t>。</w:t>
      </w:r>
    </w:p>
    <w:p w14:paraId="2ACBC988">
      <w:pPr>
        <w:spacing w:line="360" w:lineRule="auto"/>
        <w:ind w:firstLine="420" w:firstLineChars="200"/>
        <w:rPr>
          <w:rFonts w:ascii="宋体" w:hAnsi="宋体"/>
          <w:szCs w:val="21"/>
          <w:highlight w:val="none"/>
        </w:rPr>
      </w:pPr>
      <w:r>
        <w:rPr>
          <w:rFonts w:ascii="宋体" w:hAnsi="宋体"/>
          <w:szCs w:val="21"/>
          <w:highlight w:val="none"/>
        </w:rPr>
        <w:t>1</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Pr>
          <w:rFonts w:ascii="宋体" w:hAnsi="宋体"/>
          <w:szCs w:val="21"/>
          <w:highlight w:val="none"/>
        </w:rPr>
        <w:t>2.4.3 进度付款申请单的提交</w:t>
      </w:r>
    </w:p>
    <w:p w14:paraId="01433791">
      <w:pPr>
        <w:spacing w:line="360" w:lineRule="auto"/>
        <w:ind w:firstLine="420" w:firstLineChars="200"/>
        <w:rPr>
          <w:rFonts w:ascii="宋体" w:hAnsi="宋体"/>
          <w:szCs w:val="21"/>
          <w:highlight w:val="none"/>
        </w:rPr>
      </w:pPr>
      <w:r>
        <w:rPr>
          <w:rFonts w:ascii="宋体" w:hAnsi="宋体"/>
          <w:szCs w:val="21"/>
          <w:highlight w:val="none"/>
        </w:rPr>
        <w:t>（1）单价合同进度付款申请单提交的约定</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u w:val="single"/>
        </w:rPr>
        <w:t xml:space="preserve">  </w:t>
      </w:r>
      <w:r>
        <w:rPr>
          <w:rFonts w:ascii="宋体" w:hAnsi="宋体"/>
          <w:szCs w:val="21"/>
          <w:highlight w:val="none"/>
        </w:rPr>
        <w:t>。</w:t>
      </w:r>
    </w:p>
    <w:p w14:paraId="2F09A39C">
      <w:pPr>
        <w:spacing w:line="360" w:lineRule="auto"/>
        <w:ind w:firstLine="420" w:firstLineChars="200"/>
        <w:rPr>
          <w:rFonts w:ascii="宋体" w:hAnsi="宋体"/>
          <w:szCs w:val="21"/>
          <w:highlight w:val="none"/>
        </w:rPr>
      </w:pPr>
      <w:r>
        <w:rPr>
          <w:rFonts w:ascii="宋体" w:hAnsi="宋体"/>
          <w:szCs w:val="21"/>
          <w:highlight w:val="none"/>
        </w:rPr>
        <w:t>（2）总价合同进度付款申请单提交的约定</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每月25日前</w:t>
      </w:r>
      <w:r>
        <w:rPr>
          <w:rFonts w:ascii="宋体" w:hAnsi="宋体"/>
          <w:szCs w:val="21"/>
          <w:highlight w:val="none"/>
          <w:u w:val="single"/>
        </w:rPr>
        <w:t xml:space="preserve">   </w:t>
      </w:r>
      <w:r>
        <w:rPr>
          <w:rFonts w:ascii="宋体" w:hAnsi="宋体"/>
          <w:szCs w:val="21"/>
          <w:highlight w:val="none"/>
        </w:rPr>
        <w:t>。</w:t>
      </w:r>
    </w:p>
    <w:p w14:paraId="7BDA2753">
      <w:pPr>
        <w:spacing w:line="360" w:lineRule="auto"/>
        <w:ind w:firstLine="420" w:firstLineChars="200"/>
        <w:rPr>
          <w:rFonts w:ascii="宋体" w:hAnsi="宋体"/>
          <w:szCs w:val="21"/>
          <w:highlight w:val="none"/>
        </w:rPr>
      </w:pPr>
      <w:r>
        <w:rPr>
          <w:rFonts w:ascii="宋体" w:hAnsi="宋体"/>
          <w:szCs w:val="21"/>
          <w:highlight w:val="none"/>
        </w:rPr>
        <w:t>（3）其他价格形式合同进度付款申请单提交的约定：</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4D5D761F">
      <w:pPr>
        <w:spacing w:line="360" w:lineRule="auto"/>
        <w:ind w:firstLine="420" w:firstLineChars="200"/>
        <w:rPr>
          <w:rFonts w:ascii="宋体" w:hAnsi="宋体"/>
          <w:szCs w:val="21"/>
          <w:highlight w:val="none"/>
        </w:rPr>
      </w:pPr>
      <w:r>
        <w:rPr>
          <w:rFonts w:ascii="宋体" w:hAnsi="宋体"/>
          <w:szCs w:val="21"/>
          <w:highlight w:val="none"/>
        </w:rPr>
        <w:t>12.4.4 进度款审核和支付</w:t>
      </w:r>
    </w:p>
    <w:p w14:paraId="7EB223C9">
      <w:pPr>
        <w:spacing w:line="360" w:lineRule="auto"/>
        <w:ind w:firstLine="420" w:firstLineChars="200"/>
        <w:rPr>
          <w:rFonts w:ascii="宋体" w:hAnsi="宋体"/>
          <w:szCs w:val="21"/>
          <w:highlight w:val="none"/>
          <w:u w:val="single"/>
        </w:rPr>
      </w:pPr>
      <w:r>
        <w:rPr>
          <w:rFonts w:ascii="宋体" w:hAnsi="宋体"/>
          <w:szCs w:val="21"/>
          <w:highlight w:val="none"/>
        </w:rPr>
        <w:t>（1）监理人审查并报送采购人的期限：</w:t>
      </w:r>
      <w:r>
        <w:rPr>
          <w:rFonts w:ascii="宋体" w:hAnsi="宋体"/>
          <w:szCs w:val="21"/>
          <w:highlight w:val="none"/>
          <w:u w:val="single"/>
        </w:rPr>
        <w:t xml:space="preserve">  </w:t>
      </w:r>
      <w:r>
        <w:rPr>
          <w:rFonts w:hint="eastAsia" w:ascii="宋体" w:hAnsi="宋体"/>
          <w:szCs w:val="21"/>
          <w:highlight w:val="none"/>
          <w:u w:val="single"/>
        </w:rPr>
        <w:t xml:space="preserve">按通用条款   </w:t>
      </w:r>
      <w:r>
        <w:rPr>
          <w:rFonts w:ascii="宋体" w:hAnsi="宋体"/>
          <w:szCs w:val="21"/>
          <w:highlight w:val="none"/>
        </w:rPr>
        <w:t>。</w:t>
      </w:r>
    </w:p>
    <w:p w14:paraId="25917548">
      <w:pPr>
        <w:spacing w:line="360" w:lineRule="auto"/>
        <w:ind w:firstLine="420" w:firstLineChars="200"/>
        <w:rPr>
          <w:rFonts w:ascii="宋体" w:hAnsi="宋体"/>
          <w:szCs w:val="21"/>
          <w:highlight w:val="none"/>
        </w:rPr>
      </w:pPr>
      <w:r>
        <w:rPr>
          <w:rFonts w:ascii="宋体" w:hAnsi="宋体"/>
          <w:szCs w:val="21"/>
          <w:highlight w:val="none"/>
        </w:rPr>
        <w:t>采购人完成审批并签发进度款支付证书的期限：</w:t>
      </w:r>
      <w:r>
        <w:rPr>
          <w:rFonts w:ascii="宋体" w:hAnsi="宋体"/>
          <w:szCs w:val="21"/>
          <w:highlight w:val="none"/>
          <w:u w:val="single"/>
        </w:rPr>
        <w:t xml:space="preserve">   </w:t>
      </w:r>
      <w:r>
        <w:rPr>
          <w:rFonts w:hint="eastAsia" w:ascii="宋体" w:hAnsi="宋体"/>
          <w:szCs w:val="21"/>
          <w:highlight w:val="none"/>
          <w:u w:val="single"/>
        </w:rPr>
        <w:t xml:space="preserve">按通用条款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w:t>
      </w:r>
    </w:p>
    <w:p w14:paraId="4DB6E9A9">
      <w:pPr>
        <w:spacing w:line="360" w:lineRule="auto"/>
        <w:ind w:firstLine="420" w:firstLineChars="200"/>
        <w:rPr>
          <w:rFonts w:ascii="宋体" w:hAnsi="宋体"/>
          <w:szCs w:val="21"/>
          <w:highlight w:val="none"/>
        </w:rPr>
      </w:pPr>
      <w:r>
        <w:rPr>
          <w:rFonts w:ascii="宋体" w:hAnsi="宋体"/>
          <w:szCs w:val="21"/>
          <w:highlight w:val="none"/>
        </w:rPr>
        <w:t>（2）采购人支付进度款的期限：</w:t>
      </w:r>
      <w:r>
        <w:rPr>
          <w:rFonts w:ascii="宋体" w:hAnsi="宋体"/>
          <w:szCs w:val="21"/>
          <w:highlight w:val="none"/>
          <w:u w:val="single"/>
        </w:rPr>
        <w:t>进度款支付证书或临时进度款支付证书签发后</w:t>
      </w:r>
      <w:r>
        <w:rPr>
          <w:rFonts w:hint="eastAsia" w:ascii="宋体" w:hAnsi="宋体"/>
          <w:szCs w:val="21"/>
          <w:highlight w:val="none"/>
          <w:u w:val="single"/>
        </w:rPr>
        <w:t>30</w:t>
      </w:r>
      <w:r>
        <w:rPr>
          <w:rFonts w:ascii="宋体" w:hAnsi="宋体"/>
          <w:szCs w:val="21"/>
          <w:highlight w:val="none"/>
          <w:u w:val="single"/>
        </w:rPr>
        <w:t>天内完成支付</w:t>
      </w:r>
      <w:r>
        <w:rPr>
          <w:rFonts w:ascii="宋体" w:hAnsi="宋体"/>
          <w:szCs w:val="21"/>
          <w:highlight w:val="none"/>
        </w:rPr>
        <w:t>。</w:t>
      </w:r>
    </w:p>
    <w:p w14:paraId="0C421AD3">
      <w:pPr>
        <w:spacing w:line="360" w:lineRule="auto"/>
        <w:ind w:firstLine="420" w:firstLineChars="200"/>
        <w:rPr>
          <w:rFonts w:hint="eastAsia" w:ascii="宋体" w:hAnsi="宋体"/>
          <w:szCs w:val="21"/>
          <w:highlight w:val="none"/>
        </w:rPr>
      </w:pPr>
      <w:r>
        <w:rPr>
          <w:rFonts w:ascii="宋体" w:hAnsi="宋体"/>
          <w:szCs w:val="21"/>
          <w:highlight w:val="none"/>
        </w:rPr>
        <w:t>采购人逾期支付进度款的违约金的计算方式：</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w:t>
      </w:r>
    </w:p>
    <w:p w14:paraId="04B330F8">
      <w:pPr>
        <w:spacing w:line="360" w:lineRule="auto"/>
        <w:ind w:firstLine="420" w:firstLineChars="200"/>
        <w:rPr>
          <w:rFonts w:hint="eastAsia" w:ascii="宋体" w:hAnsi="宋体"/>
          <w:szCs w:val="21"/>
          <w:highlight w:val="none"/>
        </w:rPr>
      </w:pPr>
      <w:r>
        <w:rPr>
          <w:rFonts w:ascii="宋体" w:hAnsi="宋体"/>
          <w:szCs w:val="21"/>
          <w:highlight w:val="none"/>
        </w:rPr>
        <w:t>12.4.6 支付分解表的编制</w:t>
      </w:r>
    </w:p>
    <w:p w14:paraId="69779171">
      <w:pPr>
        <w:spacing w:line="360" w:lineRule="auto"/>
        <w:ind w:firstLine="420" w:firstLineChars="200"/>
        <w:rPr>
          <w:rFonts w:ascii="宋体" w:hAnsi="宋体"/>
          <w:szCs w:val="21"/>
          <w:highlight w:val="none"/>
        </w:rPr>
      </w:pPr>
      <w:r>
        <w:rPr>
          <w:rFonts w:ascii="宋体" w:hAnsi="宋体"/>
          <w:szCs w:val="21"/>
          <w:highlight w:val="none"/>
        </w:rPr>
        <w:t>2、总价合同支付分解表的编制与审批：</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u w:val="single"/>
        </w:rPr>
        <w:t xml:space="preserve">   </w:t>
      </w:r>
      <w:r>
        <w:rPr>
          <w:rFonts w:ascii="宋体" w:hAnsi="宋体"/>
          <w:szCs w:val="21"/>
          <w:highlight w:val="none"/>
        </w:rPr>
        <w:t>。</w:t>
      </w:r>
    </w:p>
    <w:p w14:paraId="50CD9616">
      <w:pPr>
        <w:spacing w:line="360" w:lineRule="auto"/>
        <w:ind w:firstLine="420" w:firstLineChars="200"/>
        <w:rPr>
          <w:rFonts w:ascii="宋体" w:hAnsi="宋体"/>
          <w:szCs w:val="21"/>
          <w:highlight w:val="none"/>
        </w:rPr>
      </w:pPr>
      <w:r>
        <w:rPr>
          <w:rFonts w:ascii="宋体" w:hAnsi="宋体"/>
          <w:szCs w:val="21"/>
          <w:highlight w:val="none"/>
        </w:rPr>
        <w:t>3、单价合同的总价项目支付分解表的编制与审批：</w:t>
      </w:r>
      <w:r>
        <w:rPr>
          <w:rFonts w:ascii="宋体" w:hAnsi="宋体"/>
          <w:szCs w:val="21"/>
          <w:highlight w:val="none"/>
          <w:u w:val="single"/>
        </w:rPr>
        <w:t xml:space="preserve">  </w:t>
      </w:r>
      <w:r>
        <w:rPr>
          <w:rFonts w:hint="eastAsia" w:ascii="宋体" w:hAnsi="宋体"/>
          <w:szCs w:val="21"/>
          <w:highlight w:val="none"/>
          <w:u w:val="single"/>
        </w:rPr>
        <w:t>按通用条款</w:t>
      </w:r>
      <w:r>
        <w:rPr>
          <w:rFonts w:ascii="宋体" w:hAnsi="宋体"/>
          <w:szCs w:val="21"/>
          <w:highlight w:val="none"/>
          <w:u w:val="single"/>
        </w:rPr>
        <w:t xml:space="preserve"> </w:t>
      </w:r>
      <w:r>
        <w:rPr>
          <w:rFonts w:ascii="宋体" w:hAnsi="宋体"/>
          <w:szCs w:val="21"/>
          <w:highlight w:val="none"/>
        </w:rPr>
        <w:t>。</w:t>
      </w:r>
    </w:p>
    <w:bookmarkEnd w:id="376"/>
    <w:p w14:paraId="5985773D">
      <w:pPr>
        <w:spacing w:line="360" w:lineRule="auto"/>
        <w:ind w:firstLine="422" w:firstLineChars="200"/>
        <w:rPr>
          <w:rFonts w:ascii="宋体" w:hAnsi="宋体"/>
          <w:b/>
          <w:szCs w:val="21"/>
          <w:highlight w:val="none"/>
        </w:rPr>
      </w:pPr>
      <w:bookmarkStart w:id="548" w:name="_Toc351203645"/>
      <w:bookmarkStart w:id="549" w:name="_Toc297120519"/>
      <w:bookmarkStart w:id="550" w:name="_Toc292559929"/>
      <w:bookmarkStart w:id="551" w:name="_Toc297216223"/>
      <w:bookmarkStart w:id="552" w:name="_Toc297048405"/>
      <w:bookmarkStart w:id="553" w:name="_Toc296891259"/>
      <w:bookmarkStart w:id="554" w:name="_Toc296503219"/>
      <w:bookmarkStart w:id="555" w:name="_Toc292559424"/>
      <w:bookmarkStart w:id="556" w:name="_Toc312678053"/>
      <w:bookmarkStart w:id="557" w:name="_Toc296347218"/>
      <w:bookmarkStart w:id="558" w:name="_Toc300935015"/>
      <w:bookmarkStart w:id="559" w:name="_Toc296891047"/>
      <w:bookmarkStart w:id="560" w:name="_Toc296944558"/>
      <w:bookmarkStart w:id="561" w:name="_Toc303539172"/>
      <w:bookmarkStart w:id="562" w:name="_Toc296346720"/>
      <w:bookmarkStart w:id="563" w:name="_Toc297123564"/>
      <w:bookmarkStart w:id="564" w:name="_Toc304295593"/>
      <w:r>
        <w:rPr>
          <w:rFonts w:ascii="宋体" w:hAnsi="宋体"/>
          <w:b/>
          <w:szCs w:val="21"/>
          <w:highlight w:val="none"/>
        </w:rPr>
        <w:t>13.</w:t>
      </w:r>
      <w:r>
        <w:rPr>
          <w:rFonts w:hint="eastAsia" w:ascii="宋体" w:hAnsi="宋体"/>
          <w:b/>
          <w:szCs w:val="21"/>
          <w:highlight w:val="none"/>
        </w:rPr>
        <w:t xml:space="preserve"> </w:t>
      </w:r>
      <w:r>
        <w:rPr>
          <w:rFonts w:ascii="宋体" w:hAnsi="宋体"/>
          <w:b/>
          <w:szCs w:val="21"/>
          <w:highlight w:val="none"/>
        </w:rPr>
        <w:t>验收和工程试车</w:t>
      </w:r>
      <w:bookmarkEnd w:id="548"/>
    </w:p>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14:paraId="51C450D9">
      <w:pPr>
        <w:spacing w:line="360" w:lineRule="auto"/>
        <w:ind w:firstLine="420" w:firstLineChars="200"/>
        <w:rPr>
          <w:rFonts w:ascii="宋体" w:hAnsi="宋体"/>
          <w:szCs w:val="21"/>
          <w:highlight w:val="none"/>
        </w:rPr>
      </w:pPr>
      <w:r>
        <w:rPr>
          <w:rFonts w:ascii="宋体" w:hAnsi="宋体"/>
          <w:szCs w:val="21"/>
          <w:highlight w:val="none"/>
        </w:rPr>
        <w:t>13.1 分部分项工程验收</w:t>
      </w:r>
    </w:p>
    <w:p w14:paraId="4E71E5C0">
      <w:pPr>
        <w:spacing w:line="360" w:lineRule="auto"/>
        <w:ind w:firstLine="420" w:firstLineChars="200"/>
        <w:rPr>
          <w:rFonts w:ascii="宋体" w:hAnsi="宋体"/>
          <w:szCs w:val="21"/>
          <w:highlight w:val="none"/>
        </w:rPr>
      </w:pPr>
      <w:r>
        <w:rPr>
          <w:rFonts w:ascii="宋体" w:hAnsi="宋体"/>
          <w:szCs w:val="21"/>
          <w:highlight w:val="none"/>
        </w:rPr>
        <w:t>13.1.2监理人不能按时进行验收时，应提前</w:t>
      </w:r>
      <w:r>
        <w:rPr>
          <w:rFonts w:ascii="宋体" w:hAnsi="宋体"/>
          <w:szCs w:val="21"/>
          <w:highlight w:val="none"/>
          <w:u w:val="single"/>
        </w:rPr>
        <w:t xml:space="preserve">   </w:t>
      </w:r>
      <w:r>
        <w:rPr>
          <w:rFonts w:hint="eastAsia" w:ascii="宋体" w:hAnsi="宋体"/>
          <w:szCs w:val="21"/>
          <w:highlight w:val="none"/>
          <w:u w:val="single"/>
        </w:rPr>
        <w:t>24</w:t>
      </w:r>
      <w:r>
        <w:rPr>
          <w:rFonts w:ascii="宋体" w:hAnsi="宋体"/>
          <w:szCs w:val="21"/>
          <w:highlight w:val="none"/>
          <w:u w:val="single"/>
        </w:rPr>
        <w:t xml:space="preserve">    </w:t>
      </w:r>
      <w:r>
        <w:rPr>
          <w:rFonts w:ascii="宋体" w:hAnsi="宋体"/>
          <w:szCs w:val="21"/>
          <w:highlight w:val="none"/>
        </w:rPr>
        <w:t>小时提交书面延期要求。</w:t>
      </w:r>
    </w:p>
    <w:p w14:paraId="1BE785AA">
      <w:pPr>
        <w:spacing w:line="360" w:lineRule="auto"/>
        <w:ind w:firstLine="420" w:firstLineChars="200"/>
        <w:rPr>
          <w:rFonts w:ascii="宋体" w:hAnsi="宋体"/>
          <w:b/>
          <w:szCs w:val="21"/>
          <w:highlight w:val="none"/>
        </w:rPr>
      </w:pPr>
      <w:r>
        <w:rPr>
          <w:rFonts w:ascii="宋体" w:hAnsi="宋体"/>
          <w:szCs w:val="21"/>
          <w:highlight w:val="none"/>
        </w:rPr>
        <w:t>关于延期最长不得超过：</w:t>
      </w:r>
      <w:r>
        <w:rPr>
          <w:rFonts w:ascii="宋体" w:hAnsi="宋体"/>
          <w:szCs w:val="21"/>
          <w:highlight w:val="none"/>
          <w:u w:val="single"/>
        </w:rPr>
        <w:t xml:space="preserve">    </w:t>
      </w:r>
      <w:r>
        <w:rPr>
          <w:rFonts w:hint="eastAsia" w:ascii="宋体" w:hAnsi="宋体"/>
          <w:szCs w:val="21"/>
          <w:highlight w:val="none"/>
          <w:u w:val="single"/>
        </w:rPr>
        <w:t>48</w:t>
      </w:r>
      <w:r>
        <w:rPr>
          <w:rFonts w:ascii="宋体" w:hAnsi="宋体"/>
          <w:szCs w:val="21"/>
          <w:highlight w:val="none"/>
          <w:u w:val="single"/>
        </w:rPr>
        <w:t xml:space="preserve">     </w:t>
      </w:r>
      <w:r>
        <w:rPr>
          <w:rFonts w:ascii="宋体" w:hAnsi="宋体"/>
          <w:szCs w:val="21"/>
          <w:highlight w:val="none"/>
        </w:rPr>
        <w:t>小时。</w:t>
      </w:r>
    </w:p>
    <w:p w14:paraId="11B67442">
      <w:pPr>
        <w:spacing w:line="360" w:lineRule="auto"/>
        <w:ind w:firstLine="420" w:firstLineChars="200"/>
        <w:rPr>
          <w:rFonts w:ascii="宋体" w:hAnsi="宋体"/>
          <w:szCs w:val="21"/>
          <w:highlight w:val="none"/>
        </w:rPr>
      </w:pPr>
      <w:bookmarkStart w:id="565" w:name="_Toc297123565"/>
      <w:bookmarkStart w:id="566" w:name="_Toc304295596"/>
      <w:bookmarkStart w:id="567" w:name="_Toc300935016"/>
      <w:bookmarkStart w:id="568" w:name="_Toc297216224"/>
      <w:bookmarkStart w:id="569" w:name="_Toc312678056"/>
      <w:bookmarkStart w:id="570" w:name="_Toc296891051"/>
      <w:bookmarkStart w:id="571" w:name="_Toc296347222"/>
      <w:bookmarkStart w:id="572" w:name="_Toc297048409"/>
      <w:bookmarkStart w:id="573" w:name="_Toc292559933"/>
      <w:bookmarkStart w:id="574" w:name="_Toc296944562"/>
      <w:bookmarkStart w:id="575" w:name="_Toc303539173"/>
      <w:bookmarkStart w:id="576" w:name="_Toc292559428"/>
      <w:bookmarkStart w:id="577" w:name="_Toc296346724"/>
      <w:bookmarkStart w:id="578" w:name="_Toc296503223"/>
      <w:bookmarkStart w:id="579" w:name="_Toc297120523"/>
      <w:bookmarkStart w:id="580" w:name="_Toc296891263"/>
      <w:bookmarkStart w:id="581" w:name="_Toc267251471"/>
      <w:bookmarkStart w:id="582" w:name="_Toc267251476"/>
      <w:bookmarkStart w:id="583" w:name="_Toc267251475"/>
      <w:bookmarkStart w:id="584" w:name="_Toc267251473"/>
      <w:bookmarkStart w:id="585" w:name="_Toc267251472"/>
      <w:bookmarkStart w:id="586" w:name="_Toc267251470"/>
      <w:bookmarkStart w:id="587" w:name="_Toc267251474"/>
      <w:r>
        <w:rPr>
          <w:rFonts w:ascii="宋体" w:hAnsi="宋体"/>
          <w:szCs w:val="21"/>
          <w:highlight w:val="none"/>
        </w:rPr>
        <w:t>13.2 竣工验收</w:t>
      </w:r>
    </w:p>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14:paraId="2F757EC1">
      <w:pPr>
        <w:spacing w:line="360" w:lineRule="auto"/>
        <w:ind w:firstLine="420" w:firstLineChars="200"/>
        <w:rPr>
          <w:rFonts w:ascii="宋体" w:hAnsi="宋体"/>
          <w:szCs w:val="21"/>
          <w:highlight w:val="none"/>
        </w:rPr>
      </w:pPr>
      <w:bookmarkStart w:id="588" w:name="_Toc280868704"/>
      <w:bookmarkStart w:id="589" w:name="_Toc280868705"/>
      <w:bookmarkStart w:id="590" w:name="_Toc280868706"/>
      <w:bookmarkStart w:id="591" w:name="_Toc280868707"/>
      <w:bookmarkStart w:id="592" w:name="_Toc280868708"/>
      <w:bookmarkStart w:id="593" w:name="_Toc280868709"/>
      <w:r>
        <w:rPr>
          <w:rFonts w:ascii="宋体" w:hAnsi="宋体"/>
          <w:szCs w:val="21"/>
          <w:highlight w:val="none"/>
        </w:rPr>
        <w:t>13.2.2竣工验收程序</w:t>
      </w:r>
    </w:p>
    <w:bookmarkEnd w:id="588"/>
    <w:p w14:paraId="4C50AA99">
      <w:pPr>
        <w:spacing w:line="360" w:lineRule="auto"/>
        <w:ind w:firstLine="420" w:firstLineChars="200"/>
        <w:rPr>
          <w:rFonts w:ascii="宋体" w:hAnsi="宋体"/>
          <w:szCs w:val="21"/>
          <w:highlight w:val="none"/>
        </w:rPr>
      </w:pPr>
      <w:r>
        <w:rPr>
          <w:rFonts w:ascii="宋体" w:hAnsi="宋体"/>
          <w:kern w:val="0"/>
          <w:szCs w:val="21"/>
          <w:highlight w:val="none"/>
        </w:rPr>
        <w:t>关于竣工验收程序的约定：</w:t>
      </w:r>
      <w:r>
        <w:rPr>
          <w:rFonts w:ascii="宋体" w:hAnsi="宋体"/>
          <w:szCs w:val="21"/>
          <w:highlight w:val="none"/>
          <w:u w:val="single"/>
        </w:rPr>
        <w:t xml:space="preserve">      </w:t>
      </w:r>
      <w:r>
        <w:rPr>
          <w:rFonts w:hint="eastAsia" w:ascii="宋体" w:hAnsi="宋体"/>
          <w:szCs w:val="21"/>
          <w:highlight w:val="none"/>
          <w:u w:val="single"/>
        </w:rPr>
        <w:t xml:space="preserve">按通用条款 </w:t>
      </w:r>
      <w:r>
        <w:rPr>
          <w:rFonts w:ascii="宋体" w:hAnsi="宋体"/>
          <w:szCs w:val="21"/>
          <w:highlight w:val="none"/>
          <w:u w:val="single"/>
        </w:rPr>
        <w:t xml:space="preserve">       </w:t>
      </w:r>
      <w:r>
        <w:rPr>
          <w:rFonts w:ascii="宋体" w:hAnsi="宋体"/>
          <w:szCs w:val="21"/>
          <w:highlight w:val="none"/>
        </w:rPr>
        <w:t>。</w:t>
      </w:r>
    </w:p>
    <w:p w14:paraId="2A69B33C">
      <w:pPr>
        <w:spacing w:line="360" w:lineRule="auto"/>
        <w:ind w:firstLine="420" w:firstLineChars="200"/>
        <w:rPr>
          <w:rFonts w:hint="eastAsia" w:ascii="宋体" w:hAnsi="宋体"/>
          <w:szCs w:val="21"/>
          <w:highlight w:val="none"/>
        </w:rPr>
      </w:pPr>
      <w:r>
        <w:rPr>
          <w:rFonts w:ascii="宋体" w:hAnsi="宋体"/>
          <w:kern w:val="0"/>
          <w:szCs w:val="21"/>
          <w:highlight w:val="none"/>
        </w:rPr>
        <w:t>采购人不按照本项约定组织竣工验收、颁发工程接收证书的违约金的计算方法：</w:t>
      </w:r>
      <w:r>
        <w:rPr>
          <w:rFonts w:hint="eastAsia" w:ascii="宋体" w:hAnsi="宋体"/>
          <w:szCs w:val="21"/>
          <w:highlight w:val="none"/>
          <w:u w:val="single"/>
        </w:rPr>
        <w:t>按通用条款</w:t>
      </w:r>
      <w:r>
        <w:rPr>
          <w:rFonts w:ascii="宋体" w:hAnsi="宋体"/>
          <w:szCs w:val="21"/>
          <w:highlight w:val="none"/>
        </w:rPr>
        <w:t>。</w:t>
      </w:r>
    </w:p>
    <w:bookmarkEnd w:id="589"/>
    <w:p w14:paraId="25CBE551">
      <w:pPr>
        <w:spacing w:line="360" w:lineRule="auto"/>
        <w:ind w:firstLine="420" w:firstLineChars="200"/>
        <w:rPr>
          <w:rFonts w:ascii="宋体" w:hAnsi="宋体"/>
          <w:szCs w:val="21"/>
          <w:highlight w:val="none"/>
        </w:rPr>
      </w:pPr>
      <w:r>
        <w:rPr>
          <w:rFonts w:ascii="宋体" w:hAnsi="宋体"/>
          <w:szCs w:val="21"/>
          <w:highlight w:val="none"/>
        </w:rPr>
        <w:t>13.2.5移交、接收全部与部分工程</w:t>
      </w:r>
    </w:p>
    <w:bookmarkEnd w:id="590"/>
    <w:p w14:paraId="3F96EEFB">
      <w:pPr>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承包人向采购人移交工程的期限：</w:t>
      </w:r>
      <w:r>
        <w:rPr>
          <w:rFonts w:ascii="宋体" w:hAnsi="宋体"/>
          <w:szCs w:val="21"/>
          <w:highlight w:val="none"/>
          <w:u w:val="single"/>
        </w:rPr>
        <w:t xml:space="preserve"> 应当在颁发工程接收证书</w:t>
      </w:r>
      <w:r>
        <w:rPr>
          <w:rFonts w:hint="eastAsia" w:ascii="宋体" w:hAnsi="宋体"/>
          <w:szCs w:val="21"/>
          <w:highlight w:val="none"/>
          <w:u w:val="single"/>
        </w:rPr>
        <w:t>后7天内</w:t>
      </w:r>
      <w:r>
        <w:rPr>
          <w:rFonts w:ascii="宋体" w:hAnsi="宋体"/>
          <w:szCs w:val="21"/>
          <w:highlight w:val="none"/>
          <w:u w:val="single"/>
        </w:rPr>
        <w:t>完成工程的移交</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w:t>
      </w:r>
    </w:p>
    <w:p w14:paraId="7F3318A8">
      <w:pPr>
        <w:spacing w:line="360" w:lineRule="auto"/>
        <w:ind w:firstLine="420" w:firstLineChars="200"/>
        <w:rPr>
          <w:rFonts w:ascii="宋体" w:hAnsi="宋体"/>
          <w:szCs w:val="21"/>
          <w:highlight w:val="none"/>
          <w:u w:val="single"/>
        </w:rPr>
      </w:pPr>
      <w:r>
        <w:rPr>
          <w:rFonts w:ascii="宋体" w:hAnsi="宋体"/>
          <w:kern w:val="0"/>
          <w:szCs w:val="21"/>
          <w:highlight w:val="none"/>
        </w:rPr>
        <w:t>采购人未按本合同约定接收全部或部分工程的，违约金的计算方法为：</w:t>
      </w:r>
      <w:r>
        <w:rPr>
          <w:rFonts w:hint="eastAsia" w:ascii="宋体" w:hAnsi="宋体"/>
          <w:szCs w:val="21"/>
          <w:highlight w:val="none"/>
          <w:u w:val="single"/>
        </w:rPr>
        <w:t>按通用条款</w:t>
      </w:r>
      <w:r>
        <w:rPr>
          <w:rFonts w:ascii="宋体" w:hAnsi="宋体"/>
          <w:szCs w:val="21"/>
          <w:highlight w:val="none"/>
          <w:u w:val="single"/>
        </w:rPr>
        <w:t xml:space="preserve"> </w:t>
      </w:r>
      <w:r>
        <w:rPr>
          <w:rFonts w:ascii="宋体" w:hAnsi="宋体"/>
          <w:szCs w:val="21"/>
          <w:highlight w:val="none"/>
        </w:rPr>
        <w:t>。</w:t>
      </w:r>
    </w:p>
    <w:bookmarkEnd w:id="591"/>
    <w:p w14:paraId="67D19D84">
      <w:pPr>
        <w:spacing w:line="360" w:lineRule="auto"/>
        <w:ind w:firstLine="420" w:firstLineChars="200"/>
        <w:rPr>
          <w:rFonts w:ascii="宋体" w:hAnsi="宋体"/>
          <w:szCs w:val="21"/>
          <w:highlight w:val="none"/>
          <w:u w:val="single"/>
        </w:rPr>
      </w:pPr>
      <w:r>
        <w:rPr>
          <w:rFonts w:ascii="宋体" w:hAnsi="宋体"/>
          <w:szCs w:val="21"/>
          <w:highlight w:val="none"/>
        </w:rPr>
        <w:t>承包人未按时移交工程的，违约金的计算方法为：</w:t>
      </w:r>
      <w:r>
        <w:rPr>
          <w:rFonts w:hint="eastAsia" w:ascii="宋体" w:hAnsi="宋体"/>
          <w:szCs w:val="21"/>
          <w:highlight w:val="none"/>
          <w:u w:val="single"/>
        </w:rPr>
        <w:t xml:space="preserve">  按照中国人民银行发布的同期同类贷款基准利率支付违约金。</w:t>
      </w:r>
    </w:p>
    <w:p w14:paraId="5092ACEF">
      <w:pPr>
        <w:spacing w:line="360" w:lineRule="auto"/>
        <w:ind w:firstLine="420" w:firstLineChars="200"/>
        <w:rPr>
          <w:rFonts w:ascii="宋体" w:hAnsi="宋体"/>
          <w:szCs w:val="21"/>
          <w:highlight w:val="none"/>
        </w:rPr>
      </w:pPr>
      <w:r>
        <w:rPr>
          <w:rFonts w:ascii="宋体" w:hAnsi="宋体"/>
          <w:szCs w:val="21"/>
          <w:highlight w:val="none"/>
        </w:rPr>
        <w:t>13.3 工程试车</w:t>
      </w:r>
    </w:p>
    <w:bookmarkEnd w:id="592"/>
    <w:p w14:paraId="42C7BEFF">
      <w:pPr>
        <w:spacing w:line="360" w:lineRule="auto"/>
        <w:ind w:firstLine="420" w:firstLineChars="200"/>
        <w:rPr>
          <w:rFonts w:ascii="宋体" w:hAnsi="宋体"/>
          <w:kern w:val="0"/>
          <w:szCs w:val="21"/>
          <w:highlight w:val="none"/>
        </w:rPr>
      </w:pPr>
      <w:r>
        <w:rPr>
          <w:rFonts w:ascii="宋体" w:hAnsi="宋体"/>
          <w:kern w:val="0"/>
          <w:szCs w:val="21"/>
          <w:highlight w:val="none"/>
        </w:rPr>
        <w:t>13.3.1 试车程序</w:t>
      </w:r>
    </w:p>
    <w:p w14:paraId="04F7CD6A">
      <w:pPr>
        <w:spacing w:line="360" w:lineRule="auto"/>
        <w:ind w:firstLine="420" w:firstLineChars="200"/>
        <w:rPr>
          <w:rFonts w:ascii="宋体" w:hAnsi="宋体"/>
          <w:kern w:val="0"/>
          <w:szCs w:val="21"/>
          <w:highlight w:val="none"/>
        </w:rPr>
      </w:pPr>
      <w:r>
        <w:rPr>
          <w:rFonts w:ascii="宋体" w:hAnsi="宋体"/>
          <w:kern w:val="0"/>
          <w:szCs w:val="21"/>
          <w:highlight w:val="none"/>
        </w:rPr>
        <w:t>工程试车内容：</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217DF9FC">
      <w:pPr>
        <w:spacing w:line="360" w:lineRule="auto"/>
        <w:ind w:firstLine="420" w:firstLineChars="200"/>
        <w:rPr>
          <w:rFonts w:ascii="宋体" w:hAnsi="宋体"/>
          <w:kern w:val="0"/>
          <w:szCs w:val="21"/>
          <w:highlight w:val="none"/>
        </w:rPr>
      </w:pPr>
      <w:r>
        <w:rPr>
          <w:rFonts w:ascii="宋体" w:hAnsi="宋体"/>
          <w:kern w:val="0"/>
          <w:szCs w:val="21"/>
          <w:highlight w:val="none"/>
        </w:rPr>
        <w:t>（1）单机无负荷试车费用由</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u w:val="single"/>
        </w:rPr>
        <w:t xml:space="preserve">     </w:t>
      </w:r>
      <w:r>
        <w:rPr>
          <w:rFonts w:ascii="宋体" w:hAnsi="宋体"/>
          <w:kern w:val="0"/>
          <w:szCs w:val="21"/>
          <w:highlight w:val="none"/>
        </w:rPr>
        <w:t>承担；</w:t>
      </w:r>
    </w:p>
    <w:p w14:paraId="0991C142">
      <w:pPr>
        <w:spacing w:line="360" w:lineRule="auto"/>
        <w:ind w:firstLine="420" w:firstLineChars="200"/>
        <w:rPr>
          <w:rFonts w:hint="eastAsia" w:ascii="宋体" w:hAnsi="宋体"/>
          <w:kern w:val="0"/>
          <w:szCs w:val="21"/>
          <w:highlight w:val="none"/>
        </w:rPr>
      </w:pPr>
      <w:r>
        <w:rPr>
          <w:rFonts w:ascii="宋体" w:hAnsi="宋体"/>
          <w:kern w:val="0"/>
          <w:szCs w:val="21"/>
          <w:highlight w:val="none"/>
        </w:rPr>
        <w:t>（2）无负荷联动试车费用由</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u w:val="single"/>
        </w:rPr>
        <w:t xml:space="preserve">     </w:t>
      </w:r>
      <w:r>
        <w:rPr>
          <w:rFonts w:ascii="宋体" w:hAnsi="宋体"/>
          <w:kern w:val="0"/>
          <w:szCs w:val="21"/>
          <w:highlight w:val="none"/>
        </w:rPr>
        <w:t>承担。</w:t>
      </w:r>
    </w:p>
    <w:p w14:paraId="1CD9257D">
      <w:pPr>
        <w:spacing w:line="360" w:lineRule="auto"/>
        <w:ind w:firstLine="420" w:firstLineChars="200"/>
        <w:rPr>
          <w:rFonts w:ascii="宋体" w:hAnsi="宋体"/>
          <w:kern w:val="0"/>
          <w:szCs w:val="21"/>
          <w:highlight w:val="none"/>
        </w:rPr>
      </w:pPr>
      <w:r>
        <w:rPr>
          <w:rFonts w:ascii="宋体" w:hAnsi="宋体"/>
          <w:kern w:val="0"/>
          <w:szCs w:val="21"/>
          <w:highlight w:val="none"/>
        </w:rPr>
        <w:t>13.3.3 投料试车</w:t>
      </w:r>
    </w:p>
    <w:p w14:paraId="3C94E859">
      <w:pPr>
        <w:spacing w:line="360" w:lineRule="auto"/>
        <w:ind w:firstLine="420" w:firstLineChars="200"/>
        <w:rPr>
          <w:rFonts w:ascii="宋体" w:hAnsi="宋体"/>
          <w:kern w:val="0"/>
          <w:szCs w:val="21"/>
          <w:highlight w:val="none"/>
        </w:rPr>
      </w:pPr>
      <w:r>
        <w:rPr>
          <w:rFonts w:hint="eastAsia" w:ascii="宋体" w:hAnsi="宋体"/>
          <w:kern w:val="0"/>
          <w:szCs w:val="21"/>
          <w:highlight w:val="none"/>
        </w:rPr>
        <w:t>关于投料试车相关事项的约定：</w:t>
      </w:r>
      <w:r>
        <w:rPr>
          <w:rFonts w:hint="eastAsia" w:ascii="宋体" w:hAnsi="宋体"/>
          <w:szCs w:val="21"/>
          <w:highlight w:val="none"/>
          <w:u w:val="single"/>
        </w:rPr>
        <w:t xml:space="preserve">     /   </w:t>
      </w:r>
      <w:r>
        <w:rPr>
          <w:rFonts w:ascii="宋体" w:hAnsi="宋体"/>
          <w:szCs w:val="21"/>
          <w:highlight w:val="none"/>
          <w:u w:val="single"/>
        </w:rPr>
        <w:t xml:space="preserve">  </w:t>
      </w:r>
      <w:r>
        <w:rPr>
          <w:rFonts w:ascii="宋体" w:hAnsi="宋体"/>
          <w:szCs w:val="21"/>
          <w:highlight w:val="none"/>
        </w:rPr>
        <w:t>。</w:t>
      </w:r>
    </w:p>
    <w:p w14:paraId="555D8731">
      <w:pPr>
        <w:spacing w:line="360" w:lineRule="auto"/>
        <w:ind w:firstLine="420" w:firstLineChars="200"/>
        <w:rPr>
          <w:rFonts w:ascii="宋体" w:hAnsi="宋体"/>
          <w:szCs w:val="21"/>
          <w:highlight w:val="none"/>
        </w:rPr>
      </w:pPr>
      <w:r>
        <w:rPr>
          <w:rFonts w:ascii="宋体" w:hAnsi="宋体"/>
          <w:szCs w:val="21"/>
          <w:highlight w:val="none"/>
        </w:rPr>
        <w:t>13.6 竣工退场</w:t>
      </w:r>
    </w:p>
    <w:p w14:paraId="1391A911">
      <w:pPr>
        <w:spacing w:line="360" w:lineRule="auto"/>
        <w:ind w:firstLine="420" w:firstLineChars="200"/>
        <w:rPr>
          <w:rFonts w:ascii="宋体" w:hAnsi="宋体"/>
          <w:kern w:val="0"/>
          <w:szCs w:val="21"/>
          <w:highlight w:val="none"/>
        </w:rPr>
      </w:pPr>
      <w:r>
        <w:rPr>
          <w:rFonts w:ascii="宋体" w:hAnsi="宋体"/>
          <w:kern w:val="0"/>
          <w:szCs w:val="21"/>
          <w:highlight w:val="none"/>
        </w:rPr>
        <w:t>13.6.1 竣工退场</w:t>
      </w:r>
    </w:p>
    <w:p w14:paraId="289FF8AF">
      <w:pPr>
        <w:spacing w:line="360" w:lineRule="auto"/>
        <w:ind w:firstLine="420" w:firstLineChars="200"/>
        <w:rPr>
          <w:rFonts w:ascii="宋体" w:hAnsi="宋体"/>
          <w:kern w:val="0"/>
          <w:szCs w:val="21"/>
          <w:highlight w:val="none"/>
        </w:rPr>
      </w:pPr>
      <w:r>
        <w:rPr>
          <w:rFonts w:ascii="宋体" w:hAnsi="宋体"/>
          <w:kern w:val="0"/>
          <w:szCs w:val="21"/>
          <w:highlight w:val="none"/>
        </w:rPr>
        <w:t>承包人完成竣工退场的期限：</w:t>
      </w:r>
      <w:r>
        <w:rPr>
          <w:rFonts w:hint="eastAsia" w:ascii="宋体" w:hAnsi="宋体"/>
          <w:szCs w:val="21"/>
          <w:highlight w:val="none"/>
          <w:u w:val="single"/>
        </w:rPr>
        <w:t>颁发工程接收证书后14天内</w:t>
      </w:r>
      <w:r>
        <w:rPr>
          <w:rFonts w:ascii="宋体" w:hAnsi="宋体"/>
          <w:kern w:val="0"/>
          <w:szCs w:val="21"/>
          <w:highlight w:val="none"/>
        </w:rPr>
        <w:t>。</w:t>
      </w:r>
    </w:p>
    <w:p w14:paraId="5098B396">
      <w:pPr>
        <w:spacing w:line="360" w:lineRule="auto"/>
        <w:ind w:firstLine="422" w:firstLineChars="200"/>
        <w:rPr>
          <w:rFonts w:ascii="宋体" w:hAnsi="宋体"/>
          <w:b/>
          <w:szCs w:val="21"/>
          <w:highlight w:val="none"/>
        </w:rPr>
      </w:pPr>
      <w:bookmarkStart w:id="594" w:name="_Toc351203646"/>
      <w:r>
        <w:rPr>
          <w:rFonts w:ascii="宋体" w:hAnsi="宋体"/>
          <w:b/>
          <w:szCs w:val="21"/>
          <w:highlight w:val="none"/>
        </w:rPr>
        <w:t>14. 竣工结算</w:t>
      </w:r>
      <w:bookmarkEnd w:id="594"/>
    </w:p>
    <w:p w14:paraId="56CDBFEA">
      <w:pPr>
        <w:spacing w:line="360" w:lineRule="auto"/>
        <w:ind w:firstLine="420" w:firstLineChars="200"/>
        <w:rPr>
          <w:rFonts w:ascii="宋体" w:hAnsi="宋体"/>
          <w:szCs w:val="21"/>
          <w:highlight w:val="none"/>
        </w:rPr>
      </w:pPr>
      <w:r>
        <w:rPr>
          <w:rFonts w:ascii="宋体" w:hAnsi="宋体"/>
          <w:szCs w:val="21"/>
          <w:highlight w:val="none"/>
        </w:rPr>
        <w:t>14.1 竣工付款申请</w:t>
      </w:r>
    </w:p>
    <w:p w14:paraId="39D09187">
      <w:pPr>
        <w:spacing w:line="360" w:lineRule="auto"/>
        <w:ind w:firstLine="420" w:firstLineChars="200"/>
        <w:rPr>
          <w:rFonts w:ascii="宋体" w:hAnsi="宋体"/>
          <w:szCs w:val="21"/>
          <w:highlight w:val="none"/>
        </w:rPr>
      </w:pPr>
      <w:r>
        <w:rPr>
          <w:rFonts w:ascii="宋体" w:hAnsi="宋体"/>
          <w:szCs w:val="21"/>
          <w:highlight w:val="none"/>
        </w:rPr>
        <w:t>承包人提交竣工付款申请单的期限：</w:t>
      </w:r>
      <w:r>
        <w:rPr>
          <w:rFonts w:ascii="宋体" w:hAnsi="宋体"/>
          <w:szCs w:val="21"/>
          <w:highlight w:val="none"/>
          <w:u w:val="single"/>
        </w:rPr>
        <w:t>工程竣工验收合格后28天内</w:t>
      </w:r>
      <w:r>
        <w:rPr>
          <w:rFonts w:ascii="宋体" w:hAnsi="宋体"/>
          <w:szCs w:val="21"/>
          <w:highlight w:val="none"/>
        </w:rPr>
        <w:t>。</w:t>
      </w:r>
    </w:p>
    <w:p w14:paraId="7FD77236">
      <w:pPr>
        <w:spacing w:line="360" w:lineRule="auto"/>
        <w:ind w:firstLine="420" w:firstLineChars="200"/>
        <w:rPr>
          <w:rFonts w:hint="eastAsia" w:ascii="宋体" w:hAnsi="宋体"/>
          <w:szCs w:val="21"/>
          <w:highlight w:val="none"/>
        </w:rPr>
      </w:pPr>
      <w:r>
        <w:rPr>
          <w:rFonts w:ascii="宋体" w:hAnsi="宋体"/>
          <w:szCs w:val="21"/>
          <w:highlight w:val="none"/>
        </w:rPr>
        <w:t>竣工付款申请单应包括的内容：</w:t>
      </w:r>
    </w:p>
    <w:p w14:paraId="6446388F">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（1）竣工结算合同价格；</w:t>
      </w:r>
    </w:p>
    <w:p w14:paraId="6C7EB823">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（2）采购人已支付承包人的款项；</w:t>
      </w:r>
    </w:p>
    <w:p w14:paraId="4F23C2A0">
      <w:pPr>
        <w:spacing w:line="360" w:lineRule="auto"/>
        <w:ind w:firstLine="420" w:firstLineChars="200"/>
        <w:rPr>
          <w:rFonts w:hint="eastAsia" w:ascii="宋体" w:hAnsi="宋体"/>
          <w:szCs w:val="21"/>
          <w:highlight w:val="none"/>
          <w:u w:val="single"/>
        </w:rPr>
      </w:pPr>
      <w:r>
        <w:rPr>
          <w:rFonts w:hint="eastAsia" w:ascii="宋体" w:hAnsi="宋体"/>
          <w:szCs w:val="21"/>
          <w:highlight w:val="none"/>
          <w:u w:val="single"/>
        </w:rPr>
        <w:t xml:space="preserve">（3）应扣留的质量保证金； </w:t>
      </w:r>
    </w:p>
    <w:p w14:paraId="51DA068E">
      <w:pPr>
        <w:spacing w:line="360" w:lineRule="auto"/>
        <w:ind w:firstLine="420" w:firstLineChars="200"/>
        <w:rPr>
          <w:rFonts w:ascii="宋体" w:hAnsi="宋体"/>
          <w:szCs w:val="21"/>
          <w:highlight w:val="none"/>
        </w:rPr>
      </w:pPr>
      <w:r>
        <w:rPr>
          <w:rFonts w:hint="eastAsia" w:ascii="宋体" w:hAnsi="宋体"/>
          <w:szCs w:val="21"/>
          <w:highlight w:val="none"/>
          <w:u w:val="single"/>
        </w:rPr>
        <w:t>（4）采购人应支付承包人的合同价款</w:t>
      </w:r>
      <w:r>
        <w:rPr>
          <w:rFonts w:ascii="宋体" w:hAnsi="宋体"/>
          <w:szCs w:val="21"/>
          <w:highlight w:val="none"/>
        </w:rPr>
        <w:t>。</w:t>
      </w:r>
    </w:p>
    <w:p w14:paraId="310157D1">
      <w:pPr>
        <w:spacing w:line="360" w:lineRule="auto"/>
        <w:ind w:firstLine="420" w:firstLineChars="200"/>
        <w:rPr>
          <w:rFonts w:ascii="宋体" w:hAnsi="宋体"/>
          <w:szCs w:val="21"/>
          <w:highlight w:val="none"/>
        </w:rPr>
      </w:pPr>
      <w:r>
        <w:rPr>
          <w:rFonts w:ascii="宋体" w:hAnsi="宋体"/>
          <w:szCs w:val="21"/>
          <w:highlight w:val="none"/>
        </w:rPr>
        <w:t>14.2 竣工结算审核</w:t>
      </w:r>
    </w:p>
    <w:p w14:paraId="28967532">
      <w:pPr>
        <w:spacing w:line="360" w:lineRule="auto"/>
        <w:ind w:firstLine="420" w:firstLineChars="200"/>
        <w:rPr>
          <w:rFonts w:ascii="宋体" w:hAnsi="宋体"/>
          <w:szCs w:val="21"/>
          <w:highlight w:val="none"/>
        </w:rPr>
      </w:pPr>
      <w:r>
        <w:rPr>
          <w:rFonts w:ascii="宋体" w:hAnsi="宋体"/>
          <w:szCs w:val="21"/>
          <w:highlight w:val="none"/>
        </w:rPr>
        <w:t>采购人</w:t>
      </w:r>
      <w:r>
        <w:rPr>
          <w:rFonts w:hint="eastAsia" w:ascii="宋体" w:hAnsi="宋体"/>
          <w:szCs w:val="21"/>
          <w:highlight w:val="none"/>
        </w:rPr>
        <w:t>审批</w:t>
      </w:r>
      <w:r>
        <w:rPr>
          <w:rFonts w:ascii="宋体" w:hAnsi="宋体"/>
          <w:szCs w:val="21"/>
          <w:highlight w:val="none"/>
        </w:rPr>
        <w:t>竣工付款申请单的期限：</w:t>
      </w:r>
      <w:r>
        <w:rPr>
          <w:rFonts w:ascii="宋体" w:hAnsi="宋体"/>
          <w:szCs w:val="21"/>
          <w:highlight w:val="none"/>
          <w:u w:val="single"/>
        </w:rPr>
        <w:t>采购人应在收到</w:t>
      </w:r>
      <w:r>
        <w:rPr>
          <w:rFonts w:hint="eastAsia" w:ascii="宋体" w:hAnsi="宋体"/>
          <w:szCs w:val="21"/>
          <w:highlight w:val="none"/>
          <w:u w:val="single"/>
        </w:rPr>
        <w:t>承包人</w:t>
      </w:r>
      <w:r>
        <w:rPr>
          <w:rFonts w:ascii="宋体" w:hAnsi="宋体"/>
          <w:szCs w:val="21"/>
          <w:highlight w:val="none"/>
          <w:u w:val="single"/>
        </w:rPr>
        <w:t>提交的</w:t>
      </w:r>
      <w:r>
        <w:rPr>
          <w:rFonts w:hint="eastAsia" w:ascii="宋体" w:hAnsi="宋体"/>
          <w:szCs w:val="21"/>
          <w:highlight w:val="none"/>
          <w:u w:val="single"/>
        </w:rPr>
        <w:t>完整</w:t>
      </w:r>
      <w:r>
        <w:rPr>
          <w:rFonts w:ascii="宋体" w:hAnsi="宋体"/>
          <w:szCs w:val="21"/>
          <w:highlight w:val="none"/>
          <w:u w:val="single"/>
        </w:rPr>
        <w:t>的竣工结算申请</w:t>
      </w:r>
      <w:r>
        <w:rPr>
          <w:rFonts w:hint="eastAsia" w:ascii="宋体" w:hAnsi="宋体"/>
          <w:szCs w:val="21"/>
          <w:highlight w:val="none"/>
          <w:u w:val="single"/>
        </w:rPr>
        <w:t>资料</w:t>
      </w:r>
      <w:r>
        <w:rPr>
          <w:rFonts w:ascii="宋体" w:hAnsi="宋体"/>
          <w:szCs w:val="21"/>
          <w:highlight w:val="none"/>
          <w:u w:val="single"/>
        </w:rPr>
        <w:t>后</w:t>
      </w:r>
      <w:r>
        <w:rPr>
          <w:rFonts w:hint="eastAsia" w:ascii="宋体" w:hAnsi="宋体"/>
          <w:szCs w:val="21"/>
          <w:highlight w:val="none"/>
          <w:u w:val="single"/>
        </w:rPr>
        <w:t>14</w:t>
      </w:r>
      <w:r>
        <w:rPr>
          <w:rFonts w:ascii="宋体" w:hAnsi="宋体"/>
          <w:szCs w:val="21"/>
          <w:highlight w:val="none"/>
          <w:u w:val="single"/>
        </w:rPr>
        <w:t>天内</w:t>
      </w:r>
      <w:r>
        <w:rPr>
          <w:rFonts w:hint="eastAsia" w:ascii="宋体" w:hAnsi="宋体"/>
          <w:szCs w:val="21"/>
          <w:highlight w:val="none"/>
          <w:u w:val="single"/>
        </w:rPr>
        <w:t>送审计单位审计（价）；审计（价）的时间执行审计部门的规定</w:t>
      </w:r>
      <w:r>
        <w:rPr>
          <w:rFonts w:ascii="宋体" w:hAnsi="宋体"/>
          <w:szCs w:val="21"/>
          <w:highlight w:val="none"/>
        </w:rPr>
        <w:t>。</w:t>
      </w:r>
    </w:p>
    <w:p w14:paraId="1F752B50">
      <w:pPr>
        <w:spacing w:line="360" w:lineRule="auto"/>
        <w:ind w:firstLine="420" w:firstLineChars="200"/>
        <w:rPr>
          <w:rFonts w:hint="eastAsia" w:ascii="宋体" w:hAnsi="宋体"/>
          <w:szCs w:val="21"/>
          <w:highlight w:val="none"/>
        </w:rPr>
      </w:pPr>
      <w:r>
        <w:rPr>
          <w:rFonts w:ascii="宋体" w:hAnsi="宋体"/>
          <w:szCs w:val="21"/>
          <w:highlight w:val="none"/>
        </w:rPr>
        <w:t>采购人完成竣工付款的期限：</w:t>
      </w:r>
      <w:r>
        <w:rPr>
          <w:rFonts w:hint="eastAsia" w:ascii="宋体" w:hAnsi="宋体"/>
          <w:szCs w:val="21"/>
          <w:highlight w:val="none"/>
          <w:u w:val="single"/>
        </w:rPr>
        <w:t>结算审计（价）完成后。</w:t>
      </w:r>
    </w:p>
    <w:p w14:paraId="083A590F">
      <w:pPr>
        <w:spacing w:line="360" w:lineRule="auto"/>
        <w:ind w:firstLine="420" w:firstLineChars="200"/>
        <w:rPr>
          <w:rFonts w:hint="eastAsia" w:ascii="宋体" w:hAnsi="宋体"/>
          <w:szCs w:val="21"/>
          <w:highlight w:val="none"/>
          <w:u w:val="single"/>
        </w:rPr>
      </w:pPr>
      <w:r>
        <w:rPr>
          <w:rFonts w:hint="eastAsia" w:ascii="宋体" w:hAnsi="宋体"/>
          <w:szCs w:val="21"/>
          <w:highlight w:val="none"/>
        </w:rPr>
        <w:t>关于竣工付款证书异议部分复核的方式和程序：</w:t>
      </w:r>
      <w:r>
        <w:rPr>
          <w:rFonts w:hint="eastAsia" w:ascii="宋体" w:hAnsi="宋体"/>
          <w:szCs w:val="21"/>
          <w:highlight w:val="none"/>
          <w:u w:val="single"/>
        </w:rPr>
        <w:t xml:space="preserve"> 请求建设行政主管部门、行业协会或第三方进行调解。</w:t>
      </w:r>
    </w:p>
    <w:p w14:paraId="24255DDC">
      <w:pPr>
        <w:spacing w:line="360" w:lineRule="auto"/>
        <w:ind w:firstLine="420" w:firstLineChars="200"/>
        <w:rPr>
          <w:rFonts w:ascii="宋体" w:hAnsi="宋体"/>
          <w:szCs w:val="21"/>
          <w:highlight w:val="none"/>
        </w:rPr>
      </w:pPr>
      <w:r>
        <w:rPr>
          <w:rFonts w:hint="eastAsia" w:ascii="宋体" w:hAnsi="宋体"/>
          <w:szCs w:val="21"/>
          <w:highlight w:val="none"/>
          <w:u w:val="single"/>
        </w:rPr>
        <w:t>有关审计（价）中发生的相关费用：工程结算按规定程序由业主委托中介机构审核，最终结算审计核减（增）追加费用收费标准为：根据《浙江省物价局关于进一步完善工程造价咨询服务收费的通知》（浙价服[2009]84号）规定的标准收费收取。工程结算审核的追加费用由施工单位支付，建设单位在工程款中代扣。在最终审核价格出具之前，采购人可以拒绝承包人相应的支付请求，并不承担包括未付款项利息等在内的任何责任。承包人资料不齐或不符合竣工备案条件的，采购人可拒绝承包人的支付要求。</w:t>
      </w:r>
    </w:p>
    <w:p w14:paraId="46E35575">
      <w:pPr>
        <w:spacing w:line="360" w:lineRule="auto"/>
        <w:ind w:firstLine="420" w:firstLineChars="200"/>
        <w:rPr>
          <w:rFonts w:ascii="宋体" w:hAnsi="宋体"/>
          <w:szCs w:val="21"/>
          <w:highlight w:val="none"/>
        </w:rPr>
      </w:pPr>
      <w:r>
        <w:rPr>
          <w:rFonts w:ascii="宋体" w:hAnsi="宋体"/>
          <w:szCs w:val="21"/>
          <w:highlight w:val="none"/>
        </w:rPr>
        <w:t>14.4 最终结清</w:t>
      </w:r>
    </w:p>
    <w:p w14:paraId="31DE79ED">
      <w:pPr>
        <w:spacing w:line="360" w:lineRule="auto"/>
        <w:ind w:firstLine="420" w:firstLineChars="200"/>
        <w:rPr>
          <w:rFonts w:ascii="宋体" w:hAnsi="宋体"/>
          <w:kern w:val="0"/>
          <w:szCs w:val="21"/>
          <w:highlight w:val="none"/>
        </w:rPr>
      </w:pPr>
      <w:r>
        <w:rPr>
          <w:rFonts w:ascii="宋体" w:hAnsi="宋体"/>
          <w:kern w:val="0"/>
          <w:szCs w:val="21"/>
          <w:highlight w:val="none"/>
        </w:rPr>
        <w:t>14.4.1 最终结清申请单</w:t>
      </w:r>
    </w:p>
    <w:p w14:paraId="324C41AF">
      <w:pPr>
        <w:spacing w:line="360" w:lineRule="auto"/>
        <w:ind w:firstLine="420" w:firstLineChars="200"/>
        <w:rPr>
          <w:rFonts w:ascii="宋体" w:hAnsi="宋体"/>
          <w:kern w:val="0"/>
          <w:szCs w:val="21"/>
          <w:highlight w:val="none"/>
        </w:rPr>
      </w:pPr>
      <w:r>
        <w:rPr>
          <w:rFonts w:ascii="宋体" w:hAnsi="宋体"/>
          <w:kern w:val="0"/>
          <w:szCs w:val="21"/>
          <w:highlight w:val="none"/>
        </w:rPr>
        <w:t>承包人提交最终结清申请单的份数：</w:t>
      </w:r>
      <w:r>
        <w:rPr>
          <w:rFonts w:ascii="宋体" w:hAnsi="宋体"/>
          <w:szCs w:val="21"/>
          <w:highlight w:val="none"/>
          <w:u w:val="single"/>
        </w:rPr>
        <w:t xml:space="preserve">    </w:t>
      </w:r>
      <w:r>
        <w:rPr>
          <w:rFonts w:hint="eastAsia" w:ascii="宋体" w:hAnsi="宋体"/>
          <w:szCs w:val="21"/>
          <w:highlight w:val="none"/>
          <w:u w:val="single"/>
        </w:rPr>
        <w:t>5份</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0E9CBD8B">
      <w:pPr>
        <w:spacing w:line="360" w:lineRule="auto"/>
        <w:ind w:firstLine="420" w:firstLineChars="200"/>
        <w:rPr>
          <w:rFonts w:ascii="宋体" w:hAnsi="宋体"/>
          <w:szCs w:val="21"/>
          <w:highlight w:val="none"/>
        </w:rPr>
      </w:pPr>
      <w:r>
        <w:rPr>
          <w:rFonts w:ascii="宋体" w:hAnsi="宋体"/>
          <w:kern w:val="0"/>
          <w:szCs w:val="21"/>
          <w:highlight w:val="none"/>
        </w:rPr>
        <w:t>承包人提交最终结算申请单的期限：</w:t>
      </w:r>
      <w:r>
        <w:rPr>
          <w:rFonts w:ascii="宋体" w:hAnsi="宋体"/>
          <w:szCs w:val="21"/>
          <w:highlight w:val="none"/>
          <w:u w:val="single"/>
        </w:rPr>
        <w:t xml:space="preserve">   </w:t>
      </w:r>
      <w:r>
        <w:rPr>
          <w:rFonts w:hint="eastAsia" w:ascii="宋体" w:hAnsi="宋体"/>
          <w:szCs w:val="21"/>
          <w:highlight w:val="none"/>
          <w:u w:val="single"/>
        </w:rPr>
        <w:t>缺</w:t>
      </w:r>
      <w:r>
        <w:rPr>
          <w:rFonts w:ascii="宋体" w:hAnsi="宋体"/>
          <w:szCs w:val="21"/>
          <w:highlight w:val="none"/>
          <w:u w:val="single"/>
        </w:rPr>
        <w:t>陷责任期终止证书颁发后7天内</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p>
    <w:p w14:paraId="4423CF97">
      <w:pPr>
        <w:spacing w:line="360" w:lineRule="auto"/>
        <w:ind w:firstLine="420" w:firstLineChars="200"/>
        <w:rPr>
          <w:rFonts w:ascii="宋体" w:hAnsi="宋体"/>
          <w:szCs w:val="21"/>
          <w:highlight w:val="none"/>
        </w:rPr>
      </w:pPr>
      <w:r>
        <w:rPr>
          <w:rFonts w:ascii="宋体" w:hAnsi="宋体"/>
          <w:szCs w:val="21"/>
          <w:highlight w:val="none"/>
        </w:rPr>
        <w:t>14.4.2 最终结清证书和支付</w:t>
      </w:r>
    </w:p>
    <w:p w14:paraId="6F689983">
      <w:pPr>
        <w:spacing w:line="360" w:lineRule="auto"/>
        <w:ind w:firstLine="420" w:firstLineChars="200"/>
        <w:rPr>
          <w:rFonts w:ascii="宋体" w:hAnsi="宋体"/>
          <w:szCs w:val="21"/>
          <w:highlight w:val="none"/>
        </w:rPr>
      </w:pPr>
      <w:r>
        <w:rPr>
          <w:rFonts w:ascii="宋体" w:hAnsi="宋体"/>
          <w:szCs w:val="21"/>
          <w:highlight w:val="none"/>
        </w:rPr>
        <w:t>（1）采购人完成最终结清申请单的</w:t>
      </w:r>
      <w:r>
        <w:rPr>
          <w:rFonts w:hint="eastAsia" w:ascii="宋体" w:hAnsi="宋体"/>
          <w:szCs w:val="21"/>
          <w:highlight w:val="none"/>
        </w:rPr>
        <w:t>审批</w:t>
      </w:r>
      <w:r>
        <w:rPr>
          <w:rFonts w:ascii="宋体" w:hAnsi="宋体"/>
          <w:szCs w:val="21"/>
          <w:highlight w:val="none"/>
        </w:rPr>
        <w:t>并颁发最终结清证书的期限：</w:t>
      </w:r>
      <w:r>
        <w:rPr>
          <w:rFonts w:ascii="宋体" w:hAnsi="宋体"/>
          <w:szCs w:val="21"/>
          <w:highlight w:val="none"/>
          <w:u w:val="single"/>
        </w:rPr>
        <w:t xml:space="preserve">  </w:t>
      </w:r>
      <w:r>
        <w:rPr>
          <w:rFonts w:hint="eastAsia" w:ascii="宋体" w:hAnsi="宋体"/>
          <w:szCs w:val="21"/>
          <w:highlight w:val="none"/>
          <w:u w:val="single"/>
        </w:rPr>
        <w:t>14天内</w:t>
      </w:r>
      <w:r>
        <w:rPr>
          <w:rFonts w:ascii="宋体" w:hAnsi="宋体"/>
          <w:szCs w:val="21"/>
          <w:highlight w:val="none"/>
          <w:u w:val="single"/>
        </w:rPr>
        <w:t xml:space="preserve">  </w:t>
      </w:r>
      <w:r>
        <w:rPr>
          <w:rFonts w:ascii="宋体" w:hAnsi="宋体"/>
          <w:szCs w:val="21"/>
          <w:highlight w:val="none"/>
        </w:rPr>
        <w:t>。</w:t>
      </w:r>
    </w:p>
    <w:p w14:paraId="4587B620">
      <w:pPr>
        <w:spacing w:line="360" w:lineRule="auto"/>
        <w:ind w:firstLine="420" w:firstLineChars="200"/>
        <w:rPr>
          <w:rFonts w:ascii="宋体" w:hAnsi="宋体"/>
          <w:szCs w:val="21"/>
          <w:highlight w:val="none"/>
        </w:rPr>
      </w:pPr>
      <w:r>
        <w:rPr>
          <w:rFonts w:ascii="宋体" w:hAnsi="宋体"/>
          <w:szCs w:val="21"/>
          <w:highlight w:val="none"/>
        </w:rPr>
        <w:t>（2）采购人完成支付的期限：</w:t>
      </w:r>
      <w:r>
        <w:rPr>
          <w:rFonts w:ascii="宋体" w:hAnsi="宋体"/>
          <w:szCs w:val="21"/>
          <w:highlight w:val="none"/>
          <w:u w:val="single"/>
        </w:rPr>
        <w:t xml:space="preserve">  </w:t>
      </w:r>
      <w:r>
        <w:rPr>
          <w:rFonts w:hint="eastAsia" w:ascii="宋体" w:hAnsi="宋体"/>
          <w:szCs w:val="21"/>
          <w:highlight w:val="none"/>
          <w:u w:val="single"/>
        </w:rPr>
        <w:t>14天内</w:t>
      </w:r>
      <w:r>
        <w:rPr>
          <w:rFonts w:ascii="宋体" w:hAnsi="宋体"/>
          <w:szCs w:val="21"/>
          <w:highlight w:val="none"/>
          <w:u w:val="single"/>
        </w:rPr>
        <w:t xml:space="preserve"> </w:t>
      </w:r>
      <w:r>
        <w:rPr>
          <w:rFonts w:ascii="宋体" w:hAnsi="宋体"/>
          <w:szCs w:val="21"/>
          <w:highlight w:val="none"/>
        </w:rPr>
        <w:t>。</w:t>
      </w:r>
    </w:p>
    <w:bookmarkEnd w:id="581"/>
    <w:bookmarkEnd w:id="582"/>
    <w:bookmarkEnd w:id="583"/>
    <w:bookmarkEnd w:id="584"/>
    <w:bookmarkEnd w:id="585"/>
    <w:bookmarkEnd w:id="586"/>
    <w:bookmarkEnd w:id="587"/>
    <w:bookmarkEnd w:id="593"/>
    <w:p w14:paraId="6A4DD7D3">
      <w:pPr>
        <w:spacing w:line="360" w:lineRule="auto"/>
        <w:ind w:firstLine="422" w:firstLineChars="200"/>
        <w:rPr>
          <w:rFonts w:ascii="宋体" w:hAnsi="宋体"/>
          <w:b/>
          <w:szCs w:val="21"/>
          <w:highlight w:val="none"/>
        </w:rPr>
      </w:pPr>
      <w:bookmarkStart w:id="595" w:name="_Toc351203647"/>
      <w:bookmarkStart w:id="596" w:name="_Toc267251483"/>
      <w:bookmarkStart w:id="597" w:name="_Toc267251482"/>
      <w:bookmarkStart w:id="598" w:name="_Toc267251484"/>
      <w:bookmarkStart w:id="599" w:name="_Toc267251485"/>
      <w:bookmarkStart w:id="600" w:name="_Toc267251490"/>
      <w:bookmarkStart w:id="601" w:name="_Toc267251486"/>
      <w:bookmarkStart w:id="602" w:name="_Toc267251488"/>
      <w:bookmarkStart w:id="603" w:name="_Toc267251489"/>
      <w:bookmarkStart w:id="604" w:name="_Toc267251494"/>
      <w:bookmarkStart w:id="605" w:name="_Toc267251498"/>
      <w:bookmarkStart w:id="606" w:name="_Toc267251499"/>
      <w:bookmarkStart w:id="607" w:name="_Toc267251497"/>
      <w:bookmarkStart w:id="608" w:name="_Toc267251493"/>
      <w:bookmarkStart w:id="609" w:name="_Toc267251501"/>
      <w:bookmarkStart w:id="610" w:name="_Toc267251491"/>
      <w:bookmarkStart w:id="611" w:name="_Toc267251496"/>
      <w:bookmarkStart w:id="612" w:name="_Toc267251503"/>
      <w:bookmarkStart w:id="613" w:name="_Toc267251495"/>
      <w:bookmarkStart w:id="614" w:name="_Toc267251492"/>
      <w:bookmarkStart w:id="615" w:name="_Toc267251502"/>
      <w:bookmarkStart w:id="616" w:name="_Toc267251506"/>
      <w:bookmarkStart w:id="617" w:name="_Toc267251504"/>
      <w:bookmarkStart w:id="618" w:name="_Toc267251507"/>
      <w:bookmarkStart w:id="619" w:name="_Toc267251508"/>
      <w:bookmarkStart w:id="620" w:name="_Toc267251513"/>
      <w:bookmarkStart w:id="621" w:name="_Toc267251514"/>
      <w:bookmarkStart w:id="622" w:name="_Toc267251509"/>
      <w:bookmarkStart w:id="623" w:name="_Toc267251515"/>
      <w:bookmarkStart w:id="624" w:name="_Toc267251510"/>
      <w:bookmarkStart w:id="625" w:name="_Toc267251511"/>
      <w:r>
        <w:rPr>
          <w:rFonts w:ascii="宋体" w:hAnsi="宋体"/>
          <w:b/>
          <w:szCs w:val="21"/>
          <w:highlight w:val="none"/>
        </w:rPr>
        <w:t>15. 缺陷责任期与保修</w:t>
      </w:r>
      <w:bookmarkEnd w:id="595"/>
    </w:p>
    <w:p w14:paraId="05B524B5">
      <w:pPr>
        <w:spacing w:line="360" w:lineRule="auto"/>
        <w:ind w:firstLine="420" w:firstLineChars="200"/>
        <w:rPr>
          <w:rFonts w:ascii="宋体" w:hAnsi="宋体"/>
          <w:szCs w:val="21"/>
          <w:highlight w:val="none"/>
        </w:rPr>
      </w:pPr>
      <w:r>
        <w:rPr>
          <w:rFonts w:ascii="宋体" w:hAnsi="宋体"/>
          <w:szCs w:val="21"/>
          <w:highlight w:val="none"/>
        </w:rPr>
        <w:t>15.2缺陷责任期</w:t>
      </w:r>
      <w:bookmarkEnd w:id="596"/>
    </w:p>
    <w:p w14:paraId="790DFF0B">
      <w:pPr>
        <w:spacing w:line="360" w:lineRule="auto"/>
        <w:ind w:firstLine="420" w:firstLineChars="200"/>
        <w:rPr>
          <w:rFonts w:ascii="宋体" w:hAnsi="宋体"/>
          <w:szCs w:val="21"/>
          <w:highlight w:val="none"/>
        </w:rPr>
      </w:pPr>
      <w:r>
        <w:rPr>
          <w:rFonts w:ascii="宋体" w:hAnsi="宋体"/>
          <w:szCs w:val="21"/>
          <w:highlight w:val="none"/>
        </w:rPr>
        <w:t>缺陷责任期的具体期限：</w:t>
      </w:r>
      <w:r>
        <w:rPr>
          <w:rFonts w:ascii="宋体" w:hAnsi="宋体"/>
          <w:szCs w:val="21"/>
          <w:highlight w:val="none"/>
          <w:u w:val="single"/>
        </w:rPr>
        <w:t xml:space="preserve">  缺陷责任期自</w:t>
      </w:r>
      <w:r>
        <w:rPr>
          <w:rFonts w:hint="eastAsia" w:ascii="宋体" w:hAnsi="宋体"/>
          <w:szCs w:val="21"/>
          <w:highlight w:val="none"/>
          <w:u w:val="single"/>
        </w:rPr>
        <w:t>实际竣工日期</w:t>
      </w:r>
      <w:r>
        <w:rPr>
          <w:rFonts w:ascii="宋体" w:hAnsi="宋体"/>
          <w:szCs w:val="21"/>
          <w:highlight w:val="none"/>
          <w:u w:val="single"/>
        </w:rPr>
        <w:t>起计算</w:t>
      </w:r>
      <w:r>
        <w:rPr>
          <w:rFonts w:hint="eastAsia" w:ascii="宋体" w:hAnsi="宋体"/>
          <w:szCs w:val="21"/>
          <w:highlight w:val="none"/>
          <w:u w:val="single"/>
        </w:rPr>
        <w:t>，24个月</w:t>
      </w:r>
      <w:r>
        <w:rPr>
          <w:rFonts w:ascii="宋体" w:hAnsi="宋体"/>
          <w:szCs w:val="21"/>
          <w:highlight w:val="none"/>
        </w:rPr>
        <w:t>。</w:t>
      </w:r>
    </w:p>
    <w:p w14:paraId="58165996">
      <w:pPr>
        <w:spacing w:line="360" w:lineRule="auto"/>
        <w:ind w:firstLine="420" w:firstLineChars="200"/>
        <w:rPr>
          <w:rFonts w:ascii="宋体" w:hAnsi="宋体"/>
          <w:szCs w:val="21"/>
          <w:highlight w:val="none"/>
        </w:rPr>
      </w:pPr>
      <w:r>
        <w:rPr>
          <w:rFonts w:ascii="宋体" w:hAnsi="宋体"/>
          <w:szCs w:val="21"/>
          <w:highlight w:val="none"/>
        </w:rPr>
        <w:t>15.3 质量保证金</w:t>
      </w:r>
    </w:p>
    <w:p w14:paraId="4DCF5925">
      <w:pPr>
        <w:spacing w:line="360" w:lineRule="auto"/>
        <w:ind w:firstLine="420" w:firstLineChars="200"/>
        <w:rPr>
          <w:rFonts w:hint="eastAsia" w:ascii="宋体" w:hAnsi="宋体"/>
          <w:szCs w:val="21"/>
          <w:highlight w:val="none"/>
        </w:rPr>
      </w:pPr>
      <w:r>
        <w:rPr>
          <w:rFonts w:hint="eastAsia" w:ascii="宋体" w:hAnsi="宋体"/>
          <w:szCs w:val="21"/>
          <w:highlight w:val="none"/>
        </w:rPr>
        <w:t>关于是否扣留质量保证金的约定：</w:t>
      </w:r>
      <w:r>
        <w:rPr>
          <w:rFonts w:ascii="宋体" w:hAnsi="宋体"/>
          <w:szCs w:val="21"/>
          <w:highlight w:val="none"/>
          <w:u w:val="single"/>
        </w:rPr>
        <w:t xml:space="preserve">     </w:t>
      </w:r>
      <w:r>
        <w:rPr>
          <w:rFonts w:hint="eastAsia" w:ascii="宋体" w:hAnsi="宋体"/>
          <w:szCs w:val="21"/>
          <w:highlight w:val="none"/>
          <w:u w:val="single"/>
        </w:rPr>
        <w:t xml:space="preserve">  是    </w:t>
      </w:r>
      <w:r>
        <w:rPr>
          <w:rFonts w:ascii="宋体" w:hAnsi="宋体"/>
          <w:szCs w:val="21"/>
          <w:highlight w:val="none"/>
          <w:u w:val="single"/>
        </w:rPr>
        <w:t xml:space="preserve">  </w:t>
      </w:r>
      <w:r>
        <w:rPr>
          <w:rFonts w:ascii="宋体" w:hAnsi="宋体"/>
          <w:szCs w:val="21"/>
          <w:highlight w:val="none"/>
        </w:rPr>
        <w:t>。</w:t>
      </w:r>
    </w:p>
    <w:p w14:paraId="5416B42A">
      <w:pPr>
        <w:spacing w:line="360" w:lineRule="auto"/>
        <w:ind w:firstLine="420" w:firstLineChars="200"/>
        <w:rPr>
          <w:rFonts w:ascii="宋体" w:hAnsi="宋体"/>
          <w:szCs w:val="21"/>
          <w:highlight w:val="none"/>
        </w:rPr>
      </w:pPr>
      <w:r>
        <w:rPr>
          <w:rFonts w:ascii="宋体" w:hAnsi="宋体"/>
          <w:szCs w:val="21"/>
          <w:highlight w:val="none"/>
        </w:rPr>
        <w:t xml:space="preserve">15.3.1 </w:t>
      </w:r>
      <w:r>
        <w:rPr>
          <w:rFonts w:hint="eastAsia" w:ascii="宋体" w:hAnsi="宋体"/>
          <w:szCs w:val="21"/>
          <w:highlight w:val="none"/>
        </w:rPr>
        <w:t>承包人提供</w:t>
      </w:r>
      <w:r>
        <w:rPr>
          <w:rFonts w:ascii="宋体" w:hAnsi="宋体"/>
          <w:szCs w:val="21"/>
          <w:highlight w:val="none"/>
        </w:rPr>
        <w:t>质量保证金的</w:t>
      </w:r>
      <w:r>
        <w:rPr>
          <w:rFonts w:hint="eastAsia" w:ascii="宋体" w:hAnsi="宋体"/>
          <w:szCs w:val="21"/>
          <w:highlight w:val="none"/>
        </w:rPr>
        <w:t>方</w:t>
      </w:r>
      <w:r>
        <w:rPr>
          <w:rFonts w:ascii="宋体" w:hAnsi="宋体"/>
          <w:szCs w:val="21"/>
          <w:highlight w:val="none"/>
        </w:rPr>
        <w:t>式</w:t>
      </w:r>
    </w:p>
    <w:p w14:paraId="6315586A">
      <w:pPr>
        <w:spacing w:line="360" w:lineRule="auto"/>
        <w:ind w:firstLine="420" w:firstLineChars="200"/>
        <w:rPr>
          <w:rFonts w:ascii="宋体" w:hAnsi="宋体"/>
          <w:szCs w:val="21"/>
          <w:highlight w:val="none"/>
        </w:rPr>
      </w:pPr>
      <w:r>
        <w:rPr>
          <w:rFonts w:ascii="宋体" w:hAnsi="宋体"/>
          <w:szCs w:val="21"/>
          <w:highlight w:val="none"/>
        </w:rPr>
        <w:t>质量保证金采用以下第</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highlight w:val="none"/>
          <w:u w:val="single"/>
        </w:rPr>
        <w:t xml:space="preserve">  </w:t>
      </w:r>
      <w:r>
        <w:rPr>
          <w:rFonts w:ascii="宋体" w:hAnsi="宋体"/>
          <w:highlight w:val="none"/>
          <w:u w:val="single"/>
        </w:rPr>
        <w:t>3</w:t>
      </w:r>
      <w:r>
        <w:rPr>
          <w:rFonts w:ascii="宋体" w:hAnsi="宋体"/>
          <w:szCs w:val="21"/>
          <w:highlight w:val="none"/>
          <w:u w:val="single"/>
        </w:rPr>
        <w:t xml:space="preserve">     </w:t>
      </w:r>
      <w:r>
        <w:rPr>
          <w:rFonts w:ascii="宋体" w:hAnsi="宋体"/>
          <w:szCs w:val="21"/>
          <w:highlight w:val="none"/>
        </w:rPr>
        <w:t>种方式：</w:t>
      </w:r>
    </w:p>
    <w:p w14:paraId="48167E92">
      <w:pPr>
        <w:spacing w:line="360" w:lineRule="auto"/>
        <w:ind w:firstLine="420" w:firstLineChars="200"/>
        <w:rPr>
          <w:rFonts w:ascii="宋体" w:hAnsi="宋体"/>
          <w:kern w:val="0"/>
          <w:szCs w:val="21"/>
          <w:highlight w:val="none"/>
        </w:rPr>
      </w:pPr>
      <w:r>
        <w:rPr>
          <w:rFonts w:ascii="宋体" w:hAnsi="宋体"/>
          <w:kern w:val="0"/>
          <w:szCs w:val="21"/>
          <w:highlight w:val="none"/>
        </w:rPr>
        <w:t>（1）质量保证金保函，保证金额为：</w:t>
      </w:r>
      <w:r>
        <w:rPr>
          <w:rFonts w:ascii="宋体" w:hAnsi="宋体"/>
          <w:kern w:val="0"/>
          <w:szCs w:val="21"/>
          <w:highlight w:val="none"/>
          <w:u w:val="single"/>
        </w:rPr>
        <w:t xml:space="preserve">   </w:t>
      </w:r>
      <w:r>
        <w:rPr>
          <w:rFonts w:hint="eastAsia" w:ascii="宋体" w:hAnsi="宋体"/>
          <w:b/>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p>
    <w:p w14:paraId="6D9CB6A4">
      <w:pPr>
        <w:spacing w:line="360" w:lineRule="auto"/>
        <w:ind w:firstLine="420" w:firstLineChars="200"/>
        <w:rPr>
          <w:rFonts w:ascii="宋体" w:hAnsi="宋体"/>
          <w:kern w:val="0"/>
          <w:szCs w:val="21"/>
          <w:highlight w:val="none"/>
        </w:rPr>
      </w:pPr>
      <w:r>
        <w:rPr>
          <w:rFonts w:ascii="宋体" w:hAnsi="宋体"/>
          <w:kern w:val="0"/>
          <w:szCs w:val="21"/>
          <w:highlight w:val="none"/>
        </w:rPr>
        <w:t>（2）</w:t>
      </w:r>
      <w:r>
        <w:rPr>
          <w:rFonts w:hint="eastAsia" w:ascii="宋体" w:hAnsi="宋体"/>
          <w:b/>
          <w:szCs w:val="21"/>
          <w:highlight w:val="none"/>
          <w:u w:val="single"/>
        </w:rPr>
        <w:t xml:space="preserve">     </w:t>
      </w:r>
      <w:r>
        <w:rPr>
          <w:rFonts w:ascii="宋体" w:hAnsi="宋体"/>
          <w:kern w:val="0"/>
          <w:szCs w:val="21"/>
          <w:highlight w:val="none"/>
        </w:rPr>
        <w:t>的工程款；</w:t>
      </w:r>
    </w:p>
    <w:p w14:paraId="1E6B6209">
      <w:pPr>
        <w:spacing w:line="360" w:lineRule="auto"/>
        <w:ind w:firstLine="420" w:firstLineChars="200"/>
        <w:rPr>
          <w:rFonts w:ascii="宋体" w:hAnsi="宋体"/>
          <w:kern w:val="0"/>
          <w:szCs w:val="21"/>
          <w:highlight w:val="none"/>
        </w:rPr>
      </w:pPr>
      <w:r>
        <w:rPr>
          <w:rFonts w:ascii="宋体" w:hAnsi="宋体"/>
          <w:kern w:val="0"/>
          <w:szCs w:val="21"/>
          <w:highlight w:val="none"/>
        </w:rPr>
        <w:t>（3）其他</w:t>
      </w:r>
      <w:r>
        <w:rPr>
          <w:rFonts w:hint="eastAsia" w:ascii="宋体" w:hAnsi="宋体"/>
          <w:kern w:val="0"/>
          <w:szCs w:val="21"/>
          <w:highlight w:val="none"/>
        </w:rPr>
        <w:t>方</w:t>
      </w:r>
      <w:r>
        <w:rPr>
          <w:rFonts w:ascii="宋体" w:hAnsi="宋体"/>
          <w:kern w:val="0"/>
          <w:szCs w:val="21"/>
          <w:highlight w:val="none"/>
        </w:rPr>
        <w:t>式：</w:t>
      </w:r>
      <w:r>
        <w:rPr>
          <w:rFonts w:ascii="宋体" w:hAnsi="宋体"/>
          <w:kern w:val="0"/>
          <w:szCs w:val="21"/>
          <w:highlight w:val="none"/>
          <w:u w:val="single"/>
        </w:rPr>
        <w:t xml:space="preserve"> </w:t>
      </w:r>
      <w:r>
        <w:rPr>
          <w:rFonts w:hint="eastAsia" w:ascii="宋体" w:hAnsi="宋体"/>
          <w:kern w:val="0"/>
          <w:szCs w:val="21"/>
          <w:highlight w:val="none"/>
          <w:u w:val="single"/>
        </w:rPr>
        <w:t>按1</w:t>
      </w:r>
      <w:r>
        <w:rPr>
          <w:rFonts w:ascii="宋体" w:hAnsi="宋体"/>
          <w:kern w:val="0"/>
          <w:szCs w:val="21"/>
          <w:highlight w:val="none"/>
          <w:u w:val="single"/>
        </w:rPr>
        <w:t>2.4.1</w:t>
      </w:r>
      <w:r>
        <w:rPr>
          <w:rFonts w:hint="eastAsia" w:ascii="宋体" w:hAnsi="宋体"/>
          <w:kern w:val="0"/>
          <w:szCs w:val="21"/>
          <w:highlight w:val="none"/>
          <w:u w:val="single"/>
        </w:rPr>
        <w:t>条款执行</w:t>
      </w:r>
      <w:r>
        <w:rPr>
          <w:rFonts w:ascii="宋体" w:hAnsi="宋体"/>
          <w:kern w:val="0"/>
          <w:szCs w:val="21"/>
          <w:highlight w:val="none"/>
          <w:u w:val="single"/>
        </w:rPr>
        <w:t xml:space="preserve"> </w:t>
      </w:r>
      <w:r>
        <w:rPr>
          <w:rFonts w:ascii="宋体" w:hAnsi="宋体"/>
          <w:kern w:val="0"/>
          <w:szCs w:val="21"/>
          <w:highlight w:val="none"/>
        </w:rPr>
        <w:t>。</w:t>
      </w:r>
    </w:p>
    <w:p w14:paraId="64E00661">
      <w:pPr>
        <w:spacing w:line="360" w:lineRule="auto"/>
        <w:ind w:firstLine="420" w:firstLineChars="200"/>
        <w:rPr>
          <w:rFonts w:ascii="宋体" w:hAnsi="宋体"/>
          <w:szCs w:val="21"/>
          <w:highlight w:val="none"/>
        </w:rPr>
      </w:pPr>
      <w:r>
        <w:rPr>
          <w:rFonts w:ascii="宋体" w:hAnsi="宋体"/>
          <w:szCs w:val="21"/>
          <w:highlight w:val="none"/>
        </w:rPr>
        <w:t xml:space="preserve">15.3.2 质量保证金的扣留 </w:t>
      </w:r>
    </w:p>
    <w:p w14:paraId="34A48703">
      <w:pPr>
        <w:spacing w:line="360" w:lineRule="auto"/>
        <w:ind w:firstLine="420" w:firstLineChars="200"/>
        <w:rPr>
          <w:rFonts w:ascii="宋体" w:hAnsi="宋体"/>
          <w:szCs w:val="21"/>
          <w:highlight w:val="none"/>
        </w:rPr>
      </w:pPr>
      <w:r>
        <w:rPr>
          <w:rFonts w:ascii="宋体" w:hAnsi="宋体"/>
          <w:szCs w:val="21"/>
          <w:highlight w:val="none"/>
        </w:rPr>
        <w:t>质量保证金的扣留采取以下第</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3  </w:t>
      </w:r>
      <w:r>
        <w:rPr>
          <w:rFonts w:ascii="宋体" w:hAnsi="宋体"/>
          <w:szCs w:val="21"/>
          <w:highlight w:val="none"/>
        </w:rPr>
        <w:t>种方式：</w:t>
      </w:r>
    </w:p>
    <w:p w14:paraId="285DB25C">
      <w:pPr>
        <w:spacing w:line="360" w:lineRule="auto"/>
        <w:ind w:firstLine="420" w:firstLineChars="200"/>
        <w:rPr>
          <w:rFonts w:ascii="宋体" w:hAnsi="宋体"/>
          <w:kern w:val="0"/>
          <w:szCs w:val="21"/>
          <w:highlight w:val="none"/>
        </w:rPr>
      </w:pPr>
      <w:r>
        <w:rPr>
          <w:rFonts w:ascii="宋体" w:hAnsi="宋体"/>
          <w:kern w:val="0"/>
          <w:szCs w:val="21"/>
          <w:highlight w:val="none"/>
        </w:rPr>
        <w:t>（1）在支付工程进度款时逐次扣留，在此情形下，质量保证金的计算基数不包括预付款的支付、扣回以及价格调整的金额；</w:t>
      </w:r>
    </w:p>
    <w:p w14:paraId="1033276A">
      <w:pPr>
        <w:spacing w:line="360" w:lineRule="auto"/>
        <w:ind w:firstLine="420" w:firstLineChars="200"/>
        <w:rPr>
          <w:rFonts w:ascii="宋体" w:hAnsi="宋体"/>
          <w:kern w:val="0"/>
          <w:szCs w:val="21"/>
          <w:highlight w:val="none"/>
        </w:rPr>
      </w:pPr>
      <w:r>
        <w:rPr>
          <w:rFonts w:ascii="宋体" w:hAnsi="宋体"/>
          <w:kern w:val="0"/>
          <w:szCs w:val="21"/>
          <w:highlight w:val="none"/>
        </w:rPr>
        <w:t>（2）工程竣工结算时一次性扣留质量保证金；</w:t>
      </w:r>
    </w:p>
    <w:p w14:paraId="51F114BF">
      <w:pPr>
        <w:spacing w:line="360" w:lineRule="auto"/>
        <w:ind w:firstLine="420" w:firstLineChars="200"/>
        <w:rPr>
          <w:rFonts w:ascii="宋体" w:hAnsi="宋体"/>
          <w:kern w:val="0"/>
          <w:szCs w:val="21"/>
          <w:highlight w:val="none"/>
        </w:rPr>
      </w:pPr>
      <w:r>
        <w:rPr>
          <w:rFonts w:ascii="宋体" w:hAnsi="宋体"/>
          <w:kern w:val="0"/>
          <w:szCs w:val="21"/>
          <w:highlight w:val="none"/>
        </w:rPr>
        <w:t>（3）其他扣留方式：</w:t>
      </w:r>
      <w:r>
        <w:rPr>
          <w:rFonts w:ascii="宋体" w:hAnsi="宋体"/>
          <w:kern w:val="0"/>
          <w:szCs w:val="21"/>
          <w:highlight w:val="none"/>
          <w:u w:val="single"/>
        </w:rPr>
        <w:t xml:space="preserve">      </w:t>
      </w:r>
      <w:r>
        <w:rPr>
          <w:rFonts w:hint="eastAsia" w:ascii="宋体" w:hAnsi="宋体"/>
          <w:kern w:val="0"/>
          <w:szCs w:val="21"/>
          <w:highlight w:val="none"/>
          <w:u w:val="single"/>
        </w:rPr>
        <w:t>审定价的</w:t>
      </w:r>
      <w:r>
        <w:rPr>
          <w:rFonts w:hint="eastAsia" w:ascii="宋体" w:hAnsi="宋体"/>
          <w:kern w:val="0"/>
          <w:szCs w:val="21"/>
          <w:highlight w:val="none"/>
          <w:u w:val="single"/>
          <w:lang w:val="en-US" w:eastAsia="zh-CN"/>
        </w:rPr>
        <w:t>1</w:t>
      </w:r>
      <w:r>
        <w:rPr>
          <w:rFonts w:ascii="宋体" w:hAnsi="宋体"/>
          <w:kern w:val="0"/>
          <w:szCs w:val="21"/>
          <w:highlight w:val="none"/>
          <w:u w:val="singl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p>
    <w:p w14:paraId="1342EF7E">
      <w:pPr>
        <w:spacing w:line="360" w:lineRule="auto"/>
        <w:ind w:firstLine="420" w:firstLineChars="200"/>
        <w:rPr>
          <w:rFonts w:ascii="宋体" w:hAnsi="宋体"/>
          <w:szCs w:val="21"/>
          <w:highlight w:val="none"/>
        </w:rPr>
      </w:pPr>
      <w:r>
        <w:rPr>
          <w:rFonts w:ascii="宋体" w:hAnsi="宋体"/>
          <w:szCs w:val="21"/>
          <w:highlight w:val="none"/>
        </w:rPr>
        <w:t>关于质量保证金的补充约定：</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rPr>
        <w:t>。</w:t>
      </w:r>
    </w:p>
    <w:bookmarkEnd w:id="597"/>
    <w:bookmarkEnd w:id="598"/>
    <w:p w14:paraId="0C13F08E">
      <w:pPr>
        <w:spacing w:line="360" w:lineRule="auto"/>
        <w:ind w:firstLine="420" w:firstLineChars="200"/>
        <w:rPr>
          <w:rFonts w:ascii="宋体" w:hAnsi="宋体"/>
          <w:szCs w:val="21"/>
          <w:highlight w:val="none"/>
        </w:rPr>
      </w:pPr>
      <w:r>
        <w:rPr>
          <w:rFonts w:ascii="宋体" w:hAnsi="宋体"/>
          <w:szCs w:val="21"/>
          <w:highlight w:val="none"/>
        </w:rPr>
        <w:t>15.4保修</w:t>
      </w:r>
    </w:p>
    <w:bookmarkEnd w:id="599"/>
    <w:p w14:paraId="6079B2AA">
      <w:pPr>
        <w:spacing w:line="360" w:lineRule="auto"/>
        <w:ind w:firstLine="420" w:firstLineChars="200"/>
        <w:rPr>
          <w:rFonts w:ascii="宋体" w:hAnsi="宋体"/>
          <w:szCs w:val="21"/>
          <w:highlight w:val="none"/>
        </w:rPr>
      </w:pPr>
      <w:r>
        <w:rPr>
          <w:rFonts w:ascii="宋体" w:hAnsi="宋体"/>
          <w:szCs w:val="21"/>
          <w:highlight w:val="none"/>
        </w:rPr>
        <w:t>15.4.1 保修责任</w:t>
      </w:r>
    </w:p>
    <w:p w14:paraId="73A49D40">
      <w:pPr>
        <w:spacing w:line="360" w:lineRule="auto"/>
        <w:ind w:firstLine="420" w:firstLineChars="200"/>
        <w:rPr>
          <w:rFonts w:hint="eastAsia" w:ascii="宋体" w:hAnsi="宋体"/>
          <w:b/>
          <w:bCs/>
          <w:szCs w:val="21"/>
          <w:highlight w:val="none"/>
          <w:u w:val="single"/>
        </w:rPr>
      </w:pPr>
      <w:r>
        <w:rPr>
          <w:rFonts w:ascii="宋体" w:hAnsi="宋体"/>
          <w:szCs w:val="21"/>
          <w:highlight w:val="none"/>
        </w:rPr>
        <w:t>工程保修期为：</w:t>
      </w:r>
      <w:r>
        <w:rPr>
          <w:rFonts w:hint="eastAsia" w:ascii="宋体" w:hAnsi="宋体"/>
          <w:b/>
          <w:bCs/>
          <w:szCs w:val="21"/>
          <w:highlight w:val="none"/>
          <w:u w:val="single"/>
        </w:rPr>
        <w:t>按规定，具体详见附件3《</w:t>
      </w:r>
      <w:r>
        <w:rPr>
          <w:rFonts w:ascii="宋体" w:hAnsi="宋体"/>
          <w:b/>
          <w:bCs/>
          <w:szCs w:val="21"/>
          <w:highlight w:val="none"/>
          <w:u w:val="single"/>
        </w:rPr>
        <w:t>工程质量保修书</w:t>
      </w:r>
      <w:r>
        <w:rPr>
          <w:rFonts w:hint="eastAsia" w:ascii="宋体" w:hAnsi="宋体"/>
          <w:b/>
          <w:bCs/>
          <w:szCs w:val="21"/>
          <w:highlight w:val="none"/>
          <w:u w:val="single"/>
        </w:rPr>
        <w:t>》。</w:t>
      </w:r>
    </w:p>
    <w:p w14:paraId="3852CF55">
      <w:pPr>
        <w:spacing w:line="360" w:lineRule="auto"/>
        <w:ind w:firstLine="420" w:firstLineChars="200"/>
        <w:rPr>
          <w:rFonts w:ascii="宋体" w:hAnsi="宋体"/>
          <w:szCs w:val="21"/>
          <w:highlight w:val="none"/>
        </w:rPr>
      </w:pPr>
      <w:r>
        <w:rPr>
          <w:rFonts w:ascii="宋体" w:hAnsi="宋体"/>
          <w:szCs w:val="21"/>
          <w:highlight w:val="none"/>
        </w:rPr>
        <w:t>15.4.3 修复通知</w:t>
      </w:r>
    </w:p>
    <w:p w14:paraId="4C9BC647">
      <w:pPr>
        <w:spacing w:line="360" w:lineRule="auto"/>
        <w:ind w:firstLine="420" w:firstLineChars="200"/>
        <w:rPr>
          <w:rFonts w:ascii="宋体" w:hAnsi="宋体"/>
          <w:kern w:val="0"/>
          <w:szCs w:val="21"/>
          <w:highlight w:val="none"/>
        </w:rPr>
      </w:pPr>
      <w:r>
        <w:rPr>
          <w:rFonts w:ascii="宋体" w:hAnsi="宋体"/>
          <w:kern w:val="0"/>
          <w:szCs w:val="21"/>
          <w:highlight w:val="none"/>
        </w:rPr>
        <w:t>承包人收到保修通知并到达工程现场的合理时间：</w:t>
      </w:r>
      <w:r>
        <w:rPr>
          <w:rFonts w:ascii="宋体" w:hAnsi="宋体"/>
          <w:kern w:val="0"/>
          <w:szCs w:val="21"/>
          <w:highlight w:val="none"/>
          <w:u w:val="single"/>
        </w:rPr>
        <w:t xml:space="preserve">    </w:t>
      </w:r>
      <w:r>
        <w:rPr>
          <w:rFonts w:hint="eastAsia" w:ascii="宋体" w:hAnsi="宋体"/>
          <w:kern w:val="0"/>
          <w:szCs w:val="21"/>
          <w:highlight w:val="none"/>
          <w:u w:val="single"/>
        </w:rPr>
        <w:t xml:space="preserve">24小时内 </w:t>
      </w:r>
      <w:r>
        <w:rPr>
          <w:rFonts w:ascii="宋体" w:hAnsi="宋体"/>
          <w:kern w:val="0"/>
          <w:szCs w:val="21"/>
          <w:highlight w:val="none"/>
          <w:u w:val="single"/>
        </w:rPr>
        <w:t xml:space="preserve">    </w:t>
      </w:r>
      <w:r>
        <w:rPr>
          <w:rFonts w:ascii="宋体" w:hAnsi="宋体"/>
          <w:kern w:val="0"/>
          <w:szCs w:val="21"/>
          <w:highlight w:val="none"/>
        </w:rPr>
        <w:t>。</w:t>
      </w:r>
    </w:p>
    <w:bookmarkEnd w:id="600"/>
    <w:bookmarkEnd w:id="601"/>
    <w:bookmarkEnd w:id="602"/>
    <w:bookmarkEnd w:id="603"/>
    <w:p w14:paraId="65B23FCE">
      <w:pPr>
        <w:spacing w:line="360" w:lineRule="auto"/>
        <w:ind w:firstLine="422" w:firstLineChars="200"/>
        <w:rPr>
          <w:rFonts w:ascii="宋体" w:hAnsi="宋体"/>
          <w:b/>
          <w:szCs w:val="21"/>
          <w:highlight w:val="none"/>
        </w:rPr>
      </w:pPr>
      <w:bookmarkStart w:id="626" w:name="_Toc351203648"/>
      <w:bookmarkStart w:id="627" w:name="_Toc280868717"/>
      <w:bookmarkStart w:id="628" w:name="_Toc280868718"/>
      <w:r>
        <w:rPr>
          <w:rFonts w:ascii="宋体" w:hAnsi="宋体"/>
          <w:b/>
          <w:szCs w:val="21"/>
          <w:highlight w:val="none"/>
        </w:rPr>
        <w:t>16. 违约</w:t>
      </w:r>
      <w:bookmarkEnd w:id="626"/>
    </w:p>
    <w:p w14:paraId="12C194E1">
      <w:pPr>
        <w:spacing w:line="360" w:lineRule="auto"/>
        <w:ind w:firstLine="420" w:firstLineChars="200"/>
        <w:rPr>
          <w:rFonts w:ascii="宋体" w:hAnsi="宋体"/>
          <w:szCs w:val="21"/>
          <w:highlight w:val="none"/>
        </w:rPr>
      </w:pPr>
      <w:r>
        <w:rPr>
          <w:rFonts w:ascii="宋体" w:hAnsi="宋体"/>
          <w:szCs w:val="21"/>
          <w:highlight w:val="none"/>
        </w:rPr>
        <w:t>16.1 采购人违约</w:t>
      </w:r>
    </w:p>
    <w:p w14:paraId="4AE3D7B1">
      <w:pPr>
        <w:spacing w:line="360" w:lineRule="auto"/>
        <w:ind w:firstLine="420" w:firstLineChars="200"/>
        <w:rPr>
          <w:rFonts w:ascii="宋体" w:hAnsi="宋体"/>
          <w:szCs w:val="21"/>
          <w:highlight w:val="none"/>
        </w:rPr>
      </w:pPr>
      <w:r>
        <w:rPr>
          <w:rFonts w:ascii="宋体" w:hAnsi="宋体"/>
          <w:szCs w:val="21"/>
          <w:highlight w:val="none"/>
        </w:rPr>
        <w:t>16.1.1采购人违约的情形</w:t>
      </w:r>
    </w:p>
    <w:p w14:paraId="01201234">
      <w:pPr>
        <w:spacing w:line="360" w:lineRule="auto"/>
        <w:ind w:firstLine="420" w:firstLineChars="200"/>
        <w:rPr>
          <w:rFonts w:hint="eastAsia" w:ascii="宋体" w:hAnsi="宋体"/>
          <w:kern w:val="0"/>
          <w:szCs w:val="21"/>
          <w:highlight w:val="none"/>
        </w:rPr>
      </w:pPr>
      <w:r>
        <w:rPr>
          <w:rFonts w:ascii="宋体" w:hAnsi="宋体"/>
          <w:kern w:val="0"/>
          <w:szCs w:val="21"/>
          <w:highlight w:val="none"/>
        </w:rPr>
        <w:t>采购人违约的其他情形：</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p>
    <w:p w14:paraId="3204BF05">
      <w:pPr>
        <w:spacing w:line="360" w:lineRule="auto"/>
        <w:ind w:firstLine="420" w:firstLineChars="200"/>
        <w:rPr>
          <w:rFonts w:ascii="宋体" w:hAnsi="宋体"/>
          <w:kern w:val="0"/>
          <w:szCs w:val="21"/>
          <w:highlight w:val="none"/>
        </w:rPr>
      </w:pPr>
      <w:r>
        <w:rPr>
          <w:rFonts w:ascii="宋体" w:hAnsi="宋体"/>
          <w:kern w:val="0"/>
          <w:szCs w:val="21"/>
          <w:highlight w:val="none"/>
        </w:rPr>
        <w:t>16.1.2 采购人违约的责任</w:t>
      </w:r>
    </w:p>
    <w:p w14:paraId="006CF47B">
      <w:pPr>
        <w:spacing w:line="360" w:lineRule="auto"/>
        <w:ind w:firstLine="420" w:firstLineChars="200"/>
        <w:rPr>
          <w:rFonts w:ascii="宋体" w:hAnsi="宋体"/>
          <w:kern w:val="0"/>
          <w:szCs w:val="21"/>
          <w:highlight w:val="none"/>
        </w:rPr>
      </w:pPr>
      <w:r>
        <w:rPr>
          <w:rFonts w:ascii="宋体" w:hAnsi="宋体"/>
          <w:kern w:val="0"/>
          <w:szCs w:val="21"/>
          <w:highlight w:val="none"/>
        </w:rPr>
        <w:t>采购人违约责任的承担方式和计算方法：</w:t>
      </w:r>
    </w:p>
    <w:p w14:paraId="3ED9C67B">
      <w:pPr>
        <w:spacing w:line="360" w:lineRule="auto"/>
        <w:ind w:firstLine="420" w:firstLineChars="200"/>
        <w:rPr>
          <w:rFonts w:ascii="宋体" w:hAnsi="宋体"/>
          <w:kern w:val="0"/>
          <w:szCs w:val="21"/>
          <w:highlight w:val="none"/>
          <w:u w:val="single"/>
        </w:rPr>
      </w:pPr>
      <w:r>
        <w:rPr>
          <w:rFonts w:ascii="宋体" w:hAnsi="宋体"/>
          <w:kern w:val="0"/>
          <w:szCs w:val="21"/>
          <w:highlight w:val="none"/>
        </w:rPr>
        <w:t>（1）因采购人原因未能在计划开工日期前7天内下达开工通知的违约责任：</w:t>
      </w:r>
      <w:r>
        <w:rPr>
          <w:rFonts w:hint="eastAsia" w:ascii="宋体" w:hAnsi="宋体"/>
          <w:kern w:val="0"/>
          <w:szCs w:val="21"/>
          <w:highlight w:val="none"/>
          <w:u w:val="single"/>
        </w:rPr>
        <w:t>承担因其违约给承包人延误的工期</w:t>
      </w:r>
      <w:r>
        <w:rPr>
          <w:rFonts w:ascii="宋体" w:hAnsi="宋体"/>
          <w:kern w:val="0"/>
          <w:szCs w:val="21"/>
          <w:highlight w:val="none"/>
        </w:rPr>
        <w:t>。</w:t>
      </w:r>
    </w:p>
    <w:p w14:paraId="3962D8D2">
      <w:pPr>
        <w:spacing w:line="360" w:lineRule="auto"/>
        <w:ind w:firstLine="420" w:firstLineChars="200"/>
        <w:rPr>
          <w:rFonts w:ascii="宋体" w:hAnsi="宋体"/>
          <w:kern w:val="0"/>
          <w:szCs w:val="21"/>
          <w:highlight w:val="none"/>
        </w:rPr>
      </w:pPr>
      <w:r>
        <w:rPr>
          <w:rFonts w:ascii="宋体" w:hAnsi="宋体"/>
          <w:kern w:val="0"/>
          <w:szCs w:val="21"/>
          <w:highlight w:val="none"/>
        </w:rPr>
        <w:t>（2）因采购人原因未能按合同约定支付合同价款的违约责任：</w:t>
      </w:r>
      <w:r>
        <w:rPr>
          <w:rFonts w:ascii="宋体" w:hAnsi="宋体"/>
          <w:kern w:val="0"/>
          <w:szCs w:val="21"/>
          <w:highlight w:val="none"/>
          <w:u w:val="single"/>
        </w:rPr>
        <w:t>按照中国人民银行发布的同期同类贷款基准利率支付违约金</w:t>
      </w:r>
      <w:r>
        <w:rPr>
          <w:rFonts w:ascii="宋体" w:hAnsi="宋体"/>
          <w:kern w:val="0"/>
          <w:szCs w:val="21"/>
          <w:highlight w:val="none"/>
        </w:rPr>
        <w:t>。</w:t>
      </w:r>
    </w:p>
    <w:p w14:paraId="62D2E9A5">
      <w:pPr>
        <w:spacing w:line="360" w:lineRule="auto"/>
        <w:ind w:firstLine="420" w:firstLineChars="200"/>
        <w:rPr>
          <w:rFonts w:ascii="宋体" w:hAnsi="宋体"/>
          <w:kern w:val="0"/>
          <w:szCs w:val="21"/>
          <w:highlight w:val="none"/>
        </w:rPr>
      </w:pPr>
      <w:r>
        <w:rPr>
          <w:rFonts w:ascii="宋体" w:hAnsi="宋体"/>
          <w:kern w:val="0"/>
          <w:szCs w:val="21"/>
          <w:highlight w:val="none"/>
        </w:rPr>
        <w:t>（3）采购人违反第10.1款</w:t>
      </w:r>
      <w:r>
        <w:rPr>
          <w:rFonts w:hint="eastAsia" w:ascii="宋体" w:hAnsi="宋体"/>
          <w:kern w:val="0"/>
          <w:szCs w:val="21"/>
          <w:highlight w:val="none"/>
        </w:rPr>
        <w:t>〔</w:t>
      </w:r>
      <w:r>
        <w:rPr>
          <w:rFonts w:ascii="宋体" w:hAnsi="宋体"/>
          <w:kern w:val="0"/>
          <w:szCs w:val="21"/>
          <w:highlight w:val="none"/>
        </w:rPr>
        <w:t>变更的范围</w:t>
      </w:r>
      <w:r>
        <w:rPr>
          <w:rFonts w:hint="eastAsia" w:ascii="宋体" w:hAnsi="宋体"/>
          <w:kern w:val="0"/>
          <w:szCs w:val="21"/>
          <w:highlight w:val="none"/>
        </w:rPr>
        <w:t>〕</w:t>
      </w:r>
      <w:r>
        <w:rPr>
          <w:rFonts w:ascii="宋体" w:hAnsi="宋体"/>
          <w:kern w:val="0"/>
          <w:szCs w:val="21"/>
          <w:highlight w:val="none"/>
        </w:rPr>
        <w:t>第（2）项约定，自行实施被取消的工作或转由他人实施的违约责任：</w:t>
      </w:r>
      <w:r>
        <w:rPr>
          <w:rFonts w:ascii="宋体" w:hAnsi="宋体"/>
          <w:kern w:val="0"/>
          <w:szCs w:val="21"/>
          <w:highlight w:val="none"/>
          <w:u w:val="single"/>
        </w:rPr>
        <w:t>承担因其违约给承包人增加的费用和（或）延误的工期</w:t>
      </w:r>
      <w:r>
        <w:rPr>
          <w:rFonts w:ascii="宋体" w:hAnsi="宋体"/>
          <w:kern w:val="0"/>
          <w:szCs w:val="21"/>
          <w:highlight w:val="none"/>
        </w:rPr>
        <w:t>。</w:t>
      </w:r>
    </w:p>
    <w:p w14:paraId="505967E7">
      <w:pPr>
        <w:spacing w:line="360" w:lineRule="auto"/>
        <w:ind w:firstLine="420" w:firstLineChars="200"/>
        <w:rPr>
          <w:rFonts w:ascii="宋体" w:hAnsi="宋体"/>
          <w:kern w:val="0"/>
          <w:szCs w:val="21"/>
          <w:highlight w:val="none"/>
        </w:rPr>
      </w:pPr>
      <w:r>
        <w:rPr>
          <w:rFonts w:ascii="宋体" w:hAnsi="宋体"/>
          <w:kern w:val="0"/>
          <w:szCs w:val="21"/>
          <w:highlight w:val="none"/>
        </w:rPr>
        <w:t>（4）采购人提供的材料、工程设备的规格、数量或质量不符合合同约定，或因采购人原因导致交货日期延误或交货地点变更等情况的违约责任：</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p>
    <w:p w14:paraId="2559DB6D">
      <w:pPr>
        <w:spacing w:line="360" w:lineRule="auto"/>
        <w:ind w:firstLine="420" w:firstLineChars="200"/>
        <w:rPr>
          <w:rFonts w:ascii="宋体" w:hAnsi="宋体"/>
          <w:kern w:val="0"/>
          <w:szCs w:val="21"/>
          <w:highlight w:val="none"/>
        </w:rPr>
      </w:pPr>
      <w:r>
        <w:rPr>
          <w:rFonts w:ascii="宋体" w:hAnsi="宋体"/>
          <w:kern w:val="0"/>
          <w:szCs w:val="21"/>
          <w:highlight w:val="none"/>
        </w:rPr>
        <w:t>（5）因采购人违反合同约定造成暂停施工的违约责任：</w:t>
      </w:r>
      <w:r>
        <w:rPr>
          <w:rFonts w:ascii="宋体" w:hAnsi="宋体"/>
          <w:kern w:val="0"/>
          <w:szCs w:val="21"/>
          <w:highlight w:val="none"/>
          <w:u w:val="single"/>
        </w:rPr>
        <w:t xml:space="preserve">  承担因其违约延误的工期</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p>
    <w:p w14:paraId="6025E24B">
      <w:pPr>
        <w:spacing w:line="360" w:lineRule="auto"/>
        <w:ind w:firstLine="420" w:firstLineChars="200"/>
        <w:rPr>
          <w:rFonts w:ascii="宋体" w:hAnsi="宋体"/>
          <w:kern w:val="0"/>
          <w:szCs w:val="21"/>
          <w:highlight w:val="none"/>
        </w:rPr>
      </w:pPr>
      <w:r>
        <w:rPr>
          <w:rFonts w:ascii="宋体" w:hAnsi="宋体"/>
          <w:kern w:val="0"/>
          <w:szCs w:val="21"/>
          <w:highlight w:val="none"/>
        </w:rPr>
        <w:t>（6）采购人无正当理由没有在约定期限内发出复工指示，导致承包人无法复工的违约责任：</w:t>
      </w:r>
      <w:r>
        <w:rPr>
          <w:rFonts w:ascii="宋体" w:hAnsi="宋体"/>
          <w:kern w:val="0"/>
          <w:szCs w:val="21"/>
          <w:highlight w:val="none"/>
          <w:u w:val="single"/>
        </w:rPr>
        <w:t xml:space="preserve">  承担因其违约延误的工期</w:t>
      </w:r>
      <w:r>
        <w:rPr>
          <w:rFonts w:ascii="宋体" w:hAnsi="宋体"/>
          <w:kern w:val="0"/>
          <w:szCs w:val="21"/>
          <w:highlight w:val="none"/>
        </w:rPr>
        <w:t>。</w:t>
      </w:r>
    </w:p>
    <w:p w14:paraId="6D66DA11">
      <w:pPr>
        <w:spacing w:line="360" w:lineRule="auto"/>
        <w:ind w:firstLine="420" w:firstLineChars="200"/>
        <w:rPr>
          <w:rFonts w:ascii="宋体" w:hAnsi="宋体"/>
          <w:kern w:val="0"/>
          <w:szCs w:val="21"/>
          <w:highlight w:val="none"/>
        </w:rPr>
      </w:pPr>
      <w:r>
        <w:rPr>
          <w:rFonts w:ascii="宋体" w:hAnsi="宋体"/>
          <w:kern w:val="0"/>
          <w:szCs w:val="21"/>
          <w:highlight w:val="none"/>
        </w:rPr>
        <w:t>（7）</w:t>
      </w:r>
      <w:r>
        <w:rPr>
          <w:rFonts w:hint="eastAsia" w:ascii="宋体" w:hAnsi="宋体"/>
          <w:kern w:val="0"/>
          <w:szCs w:val="21"/>
          <w:highlight w:val="none"/>
        </w:rPr>
        <w:t>其他：</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rPr>
        <w:t>。</w:t>
      </w:r>
    </w:p>
    <w:p w14:paraId="6DEDF49B">
      <w:pPr>
        <w:spacing w:line="360" w:lineRule="auto"/>
        <w:ind w:firstLine="420" w:firstLineChars="200"/>
        <w:rPr>
          <w:rFonts w:ascii="宋体" w:hAnsi="宋体"/>
          <w:szCs w:val="21"/>
          <w:highlight w:val="none"/>
        </w:rPr>
      </w:pPr>
      <w:r>
        <w:rPr>
          <w:rFonts w:ascii="宋体" w:hAnsi="宋体"/>
          <w:szCs w:val="21"/>
          <w:highlight w:val="none"/>
        </w:rPr>
        <w:t>16.1.3 因采购人违约解除合同</w:t>
      </w:r>
    </w:p>
    <w:p w14:paraId="4D83B698">
      <w:pPr>
        <w:spacing w:line="360" w:lineRule="auto"/>
        <w:ind w:firstLine="420" w:firstLineChars="200"/>
        <w:rPr>
          <w:rFonts w:hint="eastAsia" w:ascii="宋体" w:hAnsi="宋体"/>
          <w:kern w:val="0"/>
          <w:szCs w:val="21"/>
          <w:highlight w:val="none"/>
        </w:rPr>
      </w:pPr>
      <w:r>
        <w:rPr>
          <w:rFonts w:ascii="宋体" w:hAnsi="宋体"/>
          <w:kern w:val="0"/>
          <w:szCs w:val="21"/>
          <w:highlight w:val="none"/>
        </w:rPr>
        <w:t>承包人按16.1.1项</w:t>
      </w:r>
      <w:r>
        <w:rPr>
          <w:rFonts w:hint="eastAsia" w:ascii="宋体" w:hAnsi="宋体"/>
          <w:kern w:val="0"/>
          <w:szCs w:val="21"/>
          <w:highlight w:val="none"/>
        </w:rPr>
        <w:t>〔</w:t>
      </w:r>
      <w:r>
        <w:rPr>
          <w:rFonts w:ascii="宋体" w:hAnsi="宋体"/>
          <w:kern w:val="0"/>
          <w:szCs w:val="21"/>
          <w:highlight w:val="none"/>
        </w:rPr>
        <w:t>采购人违约的情形</w:t>
      </w:r>
      <w:r>
        <w:rPr>
          <w:rFonts w:hint="eastAsia" w:ascii="宋体" w:hAnsi="宋体"/>
          <w:kern w:val="0"/>
          <w:szCs w:val="21"/>
          <w:highlight w:val="none"/>
        </w:rPr>
        <w:t>〕</w:t>
      </w:r>
      <w:r>
        <w:rPr>
          <w:rFonts w:ascii="宋体" w:hAnsi="宋体"/>
          <w:kern w:val="0"/>
          <w:szCs w:val="21"/>
          <w:highlight w:val="none"/>
        </w:rPr>
        <w:t>约定暂停施工满</w:t>
      </w:r>
      <w:r>
        <w:rPr>
          <w:rFonts w:ascii="宋体" w:hAnsi="宋体"/>
          <w:kern w:val="0"/>
          <w:szCs w:val="21"/>
          <w:highlight w:val="none"/>
          <w:u w:val="single"/>
        </w:rPr>
        <w:t xml:space="preserve"> </w:t>
      </w:r>
      <w:r>
        <w:rPr>
          <w:rFonts w:hint="eastAsia" w:ascii="宋体" w:hAnsi="宋体"/>
          <w:kern w:val="0"/>
          <w:szCs w:val="21"/>
          <w:highlight w:val="none"/>
          <w:u w:val="single"/>
        </w:rPr>
        <w:t>90</w:t>
      </w:r>
      <w:r>
        <w:rPr>
          <w:rFonts w:ascii="宋体" w:hAnsi="宋体"/>
          <w:kern w:val="0"/>
          <w:szCs w:val="21"/>
          <w:highlight w:val="none"/>
          <w:u w:val="single"/>
        </w:rPr>
        <w:t xml:space="preserve"> </w:t>
      </w:r>
      <w:r>
        <w:rPr>
          <w:rFonts w:ascii="宋体" w:hAnsi="宋体"/>
          <w:kern w:val="0"/>
          <w:szCs w:val="21"/>
          <w:highlight w:val="none"/>
        </w:rPr>
        <w:t>天后采购人仍不纠正其违约行为并致使合同目的不能实现的，承包人有权解除合同。</w:t>
      </w:r>
    </w:p>
    <w:p w14:paraId="4944817D">
      <w:pPr>
        <w:spacing w:line="360" w:lineRule="auto"/>
        <w:ind w:firstLine="420" w:firstLineChars="200"/>
        <w:rPr>
          <w:rFonts w:ascii="宋体" w:hAnsi="宋体"/>
          <w:szCs w:val="21"/>
          <w:highlight w:val="none"/>
        </w:rPr>
      </w:pPr>
      <w:r>
        <w:rPr>
          <w:rFonts w:ascii="宋体" w:hAnsi="宋体"/>
          <w:szCs w:val="21"/>
          <w:highlight w:val="none"/>
        </w:rPr>
        <w:t>16.2 承包人违约</w:t>
      </w:r>
    </w:p>
    <w:p w14:paraId="07D280BF">
      <w:pPr>
        <w:spacing w:line="360" w:lineRule="auto"/>
        <w:ind w:firstLine="420" w:firstLineChars="200"/>
        <w:rPr>
          <w:rFonts w:ascii="宋体" w:hAnsi="宋体"/>
          <w:kern w:val="0"/>
          <w:szCs w:val="21"/>
          <w:highlight w:val="none"/>
        </w:rPr>
      </w:pPr>
      <w:r>
        <w:rPr>
          <w:rFonts w:ascii="宋体" w:hAnsi="宋体"/>
          <w:kern w:val="0"/>
          <w:szCs w:val="21"/>
          <w:highlight w:val="none"/>
        </w:rPr>
        <w:t>16.2.1 承包人违约的情形</w:t>
      </w:r>
    </w:p>
    <w:p w14:paraId="5CC2C007">
      <w:pPr>
        <w:spacing w:line="360" w:lineRule="auto"/>
        <w:ind w:firstLine="420" w:firstLineChars="200"/>
        <w:rPr>
          <w:rFonts w:ascii="宋体" w:hAnsi="宋体"/>
          <w:kern w:val="0"/>
          <w:szCs w:val="21"/>
          <w:highlight w:val="none"/>
        </w:rPr>
      </w:pPr>
      <w:r>
        <w:rPr>
          <w:rFonts w:ascii="宋体" w:hAnsi="宋体"/>
          <w:kern w:val="0"/>
          <w:szCs w:val="21"/>
          <w:highlight w:val="none"/>
        </w:rPr>
        <w:t>承包人违约的其他情形：</w:t>
      </w:r>
      <w:r>
        <w:rPr>
          <w:rFonts w:ascii="宋体" w:hAnsi="宋体"/>
          <w:kern w:val="0"/>
          <w:szCs w:val="21"/>
          <w:highlight w:val="none"/>
          <w:u w:val="single"/>
        </w:rPr>
        <w:t xml:space="preserve">         </w:t>
      </w:r>
      <w:r>
        <w:rPr>
          <w:rFonts w:hint="eastAsia" w:ascii="宋体" w:hAnsi="宋体"/>
          <w:kern w:val="0"/>
          <w:szCs w:val="21"/>
          <w:highlight w:val="none"/>
          <w:u w:val="single"/>
        </w:rPr>
        <w:t>/</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p>
    <w:p w14:paraId="18836A40">
      <w:pPr>
        <w:spacing w:line="360" w:lineRule="auto"/>
        <w:ind w:firstLine="420" w:firstLineChars="200"/>
        <w:rPr>
          <w:rFonts w:ascii="宋体" w:hAnsi="宋体"/>
          <w:kern w:val="0"/>
          <w:szCs w:val="21"/>
          <w:highlight w:val="none"/>
        </w:rPr>
      </w:pPr>
      <w:r>
        <w:rPr>
          <w:rFonts w:ascii="宋体" w:hAnsi="宋体"/>
          <w:kern w:val="0"/>
          <w:szCs w:val="21"/>
          <w:highlight w:val="none"/>
        </w:rPr>
        <w:t>16.2.2承包人违约的责任</w:t>
      </w:r>
    </w:p>
    <w:p w14:paraId="165BAADD">
      <w:pPr>
        <w:spacing w:line="360" w:lineRule="auto"/>
        <w:ind w:firstLine="420" w:firstLineChars="200"/>
        <w:rPr>
          <w:rFonts w:hint="eastAsia" w:ascii="宋体" w:hAnsi="宋体"/>
          <w:kern w:val="0"/>
          <w:szCs w:val="21"/>
          <w:highlight w:val="none"/>
          <w:u w:val="single"/>
        </w:rPr>
      </w:pPr>
      <w:r>
        <w:rPr>
          <w:rFonts w:ascii="宋体" w:hAnsi="宋体"/>
          <w:kern w:val="0"/>
          <w:szCs w:val="21"/>
          <w:highlight w:val="none"/>
        </w:rPr>
        <w:t>承包人违约责任的承担方式和计算方法：</w:t>
      </w:r>
    </w:p>
    <w:p w14:paraId="635C1ED7">
      <w:pPr>
        <w:spacing w:line="360" w:lineRule="auto"/>
        <w:ind w:firstLine="420" w:firstLineChars="200"/>
        <w:rPr>
          <w:rFonts w:hint="eastAsia" w:ascii="宋体" w:hAnsi="宋体"/>
          <w:kern w:val="0"/>
          <w:szCs w:val="21"/>
          <w:highlight w:val="none"/>
          <w:u w:val="single"/>
        </w:rPr>
      </w:pPr>
      <w:r>
        <w:rPr>
          <w:rFonts w:hint="eastAsia" w:ascii="宋体" w:hAnsi="宋体"/>
          <w:kern w:val="0"/>
          <w:szCs w:val="21"/>
          <w:highlight w:val="none"/>
          <w:u w:val="single"/>
        </w:rPr>
        <w:t>（1）因承包人原因不能按合同约定的时间竣工，承包人应承担违约责任，并向采购人支付规定金额的违约金，违约金按每延误一天扣除合同总价的0.5‰计取，直到逾期竣工违约金的上限。</w:t>
      </w:r>
    </w:p>
    <w:p w14:paraId="0D265D9E">
      <w:pPr>
        <w:spacing w:line="360" w:lineRule="auto"/>
        <w:ind w:firstLine="420" w:firstLineChars="200"/>
        <w:rPr>
          <w:rFonts w:hint="eastAsia" w:ascii="宋体" w:hAnsi="宋体"/>
          <w:kern w:val="0"/>
          <w:szCs w:val="21"/>
          <w:highlight w:val="none"/>
          <w:u w:val="single"/>
        </w:rPr>
      </w:pPr>
      <w:r>
        <w:rPr>
          <w:rFonts w:hint="eastAsia" w:ascii="宋体" w:hAnsi="宋体"/>
          <w:kern w:val="0"/>
          <w:szCs w:val="21"/>
          <w:highlight w:val="none"/>
          <w:u w:val="single"/>
        </w:rPr>
        <w:t>延期30天以上的除扣罚违约金外，如果承包人无法采取获得采购人认可的措施，采购人有理由视承包人无能力履行合同，采购人可以在发出书面通知14天后，与承包人终止合同，并要求承包人向采购人支付本合同价10%的罚款。上述款项由采购人在最近一次工程费的支付时予以扣除，承包人已承诺无条件接受。</w:t>
      </w:r>
    </w:p>
    <w:p w14:paraId="02237B47">
      <w:pPr>
        <w:spacing w:line="360" w:lineRule="auto"/>
        <w:ind w:firstLine="420" w:firstLineChars="200"/>
        <w:rPr>
          <w:rFonts w:hint="eastAsia" w:ascii="宋体" w:hAnsi="宋体"/>
          <w:kern w:val="0"/>
          <w:szCs w:val="21"/>
          <w:highlight w:val="none"/>
          <w:u w:val="single"/>
        </w:rPr>
      </w:pPr>
      <w:r>
        <w:rPr>
          <w:rFonts w:hint="eastAsia" w:ascii="宋体" w:hAnsi="宋体"/>
          <w:kern w:val="0"/>
          <w:szCs w:val="21"/>
          <w:highlight w:val="none"/>
          <w:u w:val="single"/>
        </w:rPr>
        <w:t>（2）因承包人原因达不到合同中规定的工程质量要求，采购人可采用口头通知的方式要求承包人进行返工；如返工后仍达不到约定条件的，采购人有权向承包人发出整改通知书，并视为承包人违约，承包人应向采购人支付违约金，以采购人签署的整改通知书为准，每书面通知整改一次，扣除承包人人民币10000元。如累计扣罚款额超过全部质量履约保证金，采购人可从工程款中直接扣除超过部分金额。同时采购人有权与承包人终止合同，并要求承包人向采购人支付本合同价10%的罚款。上述款项由采购人在最近一次工程费的支付时予以扣除，承包人已承诺无条件接受。</w:t>
      </w:r>
    </w:p>
    <w:p w14:paraId="79BF9AFE">
      <w:pPr>
        <w:spacing w:line="360" w:lineRule="auto"/>
        <w:ind w:firstLine="420" w:firstLineChars="200"/>
        <w:rPr>
          <w:rFonts w:hint="eastAsia" w:ascii="宋体" w:hAnsi="宋体"/>
          <w:kern w:val="0"/>
          <w:szCs w:val="21"/>
          <w:highlight w:val="none"/>
          <w:u w:val="single"/>
        </w:rPr>
      </w:pPr>
      <w:r>
        <w:rPr>
          <w:rFonts w:hint="eastAsia" w:ascii="宋体" w:hAnsi="宋体"/>
          <w:kern w:val="0"/>
          <w:szCs w:val="21"/>
          <w:highlight w:val="none"/>
          <w:u w:val="single"/>
        </w:rPr>
        <w:t>（3）在实施和完成本合同工程及其工程保修的整个过程中，承包人应遵守国家和嘉兴市政府有关安全生产文明施工的相关规定。如由于承包人未能对安全文明生产采取必要的措施而导致发生与此有关的人身伤亡、罚款、索赔、损失补偿、诉讼及其他一切责任，由承包人负责。承包人必须根据国家和地方有关安全生产、文明施工的规定落实好各项安全措施，如现场施工违反规定，监理工程师有权发出整改通知书，如承包人拒不执行，监理工程师有权要求停工，并报建设行政主管部门及采购人。每书面通知整改一次，扣除承包人人民币5000元；每停工整改一次，扣除承包人人民币10000元，如累计扣罚款额超过全部文明施工履约保证金，采购人可从工程款中直接扣除超过部分金额。上述款项由采购人在最近一次工程费的支付时予以扣除，承包人已承诺无条件接受。</w:t>
      </w:r>
    </w:p>
    <w:p w14:paraId="5E1311B2">
      <w:pPr>
        <w:spacing w:line="360" w:lineRule="auto"/>
        <w:ind w:firstLine="420" w:firstLineChars="200"/>
        <w:rPr>
          <w:rFonts w:hint="eastAsia" w:ascii="宋体" w:hAnsi="宋体"/>
          <w:kern w:val="0"/>
          <w:szCs w:val="21"/>
          <w:highlight w:val="none"/>
          <w:u w:val="single"/>
        </w:rPr>
      </w:pPr>
      <w:r>
        <w:rPr>
          <w:rFonts w:hint="eastAsia" w:ascii="宋体" w:hAnsi="宋体"/>
          <w:kern w:val="0"/>
          <w:szCs w:val="21"/>
          <w:highlight w:val="none"/>
          <w:u w:val="single"/>
        </w:rPr>
        <w:t>(4) 承包人投入本工程的施工队伍的素质、能力、力量和机械等必须符合投标书的承诺和满足工程的实际需要。如承包人在接到开工令后15日历天内所投入的机械、施工队伍仍不符合投标书的承诺，采购人可采用口头通知的方式要求承包人进行整改；如整改后仍达不到投标书承诺的，采购人有权向承包人发出整改通知书，并视为承包人违约。承包人应向采购人支付违约金，以采购人签署的整改通知书为准，每书面通知整改一次，扣除承包人人民币5000元。如由于承包人原因造成现场管理混乱，施工质量和进度明显达不到合同要求且无视采购人或监理工程师事先的书面整改通知书，拒不服从监理工程师监管，采购人有权要求其加强管理，调整充实力量，承包人必须接受。当上述措施仍无效时，采购人可单方面终止合同，并追究承包人的经济责任。上述款项由采购人在最近一次工程费的支付时予以扣除，承包人已承诺无条件接受。</w:t>
      </w:r>
    </w:p>
    <w:p w14:paraId="5AD061D3">
      <w:pPr>
        <w:spacing w:line="360" w:lineRule="auto"/>
        <w:ind w:firstLine="420" w:firstLineChars="200"/>
        <w:rPr>
          <w:rFonts w:hint="eastAsia" w:ascii="宋体" w:hAnsi="宋体"/>
          <w:kern w:val="0"/>
          <w:szCs w:val="21"/>
          <w:highlight w:val="none"/>
          <w:u w:val="single"/>
        </w:rPr>
      </w:pPr>
      <w:r>
        <w:rPr>
          <w:rFonts w:hint="eastAsia" w:ascii="宋体" w:hAnsi="宋体"/>
          <w:kern w:val="0"/>
          <w:szCs w:val="21"/>
          <w:highlight w:val="none"/>
          <w:u w:val="single"/>
        </w:rPr>
        <w:t>（5）承包人违反项目管理人员到岗到位约定，项目经理和技术负责人每月在本工地上班时间不足20天，扣除每人每天人民币1000元罚款；施工员、质量员、安全员、材料员、资料员每月在本工地上班时间不足25天，扣除每人每天人民币</w:t>
      </w:r>
      <w:r>
        <w:rPr>
          <w:rFonts w:ascii="宋体" w:hAnsi="宋体"/>
          <w:kern w:val="0"/>
          <w:szCs w:val="21"/>
          <w:highlight w:val="none"/>
          <w:u w:val="single"/>
        </w:rPr>
        <w:t>5</w:t>
      </w:r>
      <w:r>
        <w:rPr>
          <w:rFonts w:hint="eastAsia" w:ascii="宋体" w:hAnsi="宋体"/>
          <w:kern w:val="0"/>
          <w:szCs w:val="21"/>
          <w:highlight w:val="none"/>
          <w:u w:val="single"/>
        </w:rPr>
        <w:t>00元罚款。考勤由监理方负责（上述人员应主动到监理方报到），并由总监理工程师签字确认，每月25日报采购人，采购人代表审核后直接作为扣除违约金的依据。如累计扣罚款额超过全部项目管理人员到岗率履约保证金，采购人可从工程款中直接扣除超过部分金额。上述款项由采购人在最近一次工程费的支付时予以扣除，承包人已承诺无条件接受。</w:t>
      </w:r>
    </w:p>
    <w:p w14:paraId="5DBDF1A8">
      <w:pPr>
        <w:spacing w:line="360" w:lineRule="auto"/>
        <w:ind w:firstLine="420" w:firstLineChars="200"/>
        <w:rPr>
          <w:rFonts w:hint="eastAsia" w:ascii="宋体" w:hAnsi="宋体"/>
          <w:kern w:val="0"/>
          <w:szCs w:val="21"/>
          <w:highlight w:val="none"/>
          <w:u w:val="single"/>
        </w:rPr>
      </w:pPr>
      <w:r>
        <w:rPr>
          <w:rFonts w:hint="eastAsia" w:ascii="宋体" w:hAnsi="宋体"/>
          <w:kern w:val="0"/>
          <w:szCs w:val="21"/>
          <w:highlight w:val="none"/>
          <w:u w:val="single"/>
        </w:rPr>
        <w:t>（6）承包人应对施工人员加强教育和管理，配合当地有关部门做好社会治安工作。本工程采购人当期支付给承包人的工程款中应该视为已经包含了当期已完工程的全部人工工资。承包人应按国家和本省有关劳动工资支付的规定及时支付其所属员工（包括雇佣的民工）的工资及其他酬金，不得以工程款拖欠、结算纠纷、垫资施工等理由随意克扣或者无故拖欠。否则因拖欠工资（或其他酬金）而影响采购人单位或工程的正常秩序或搅乱当地社会稳定的，采购人有权停止支付工程款，每次事件（经主管部门认定的事件）发生，采购人可要求承包人赔偿由此给采购人造成的损失或负面社会影响，每次处以罚款人民币20000元。上述款项由采购人在最近一次工程费的支付时予以扣除，承包人已承诺无条件接受。</w:t>
      </w:r>
    </w:p>
    <w:p w14:paraId="51A2FCEF">
      <w:pPr>
        <w:spacing w:line="360" w:lineRule="auto"/>
        <w:ind w:firstLine="420" w:firstLineChars="200"/>
        <w:rPr>
          <w:rFonts w:ascii="宋体" w:hAnsi="宋体"/>
          <w:kern w:val="0"/>
          <w:szCs w:val="21"/>
          <w:highlight w:val="none"/>
          <w:u w:val="single"/>
        </w:rPr>
      </w:pPr>
      <w:r>
        <w:rPr>
          <w:rFonts w:hint="eastAsia" w:ascii="宋体" w:hAnsi="宋体"/>
          <w:kern w:val="0"/>
          <w:szCs w:val="21"/>
          <w:highlight w:val="none"/>
          <w:u w:val="single"/>
        </w:rPr>
        <w:t>（7）采购人不提供多余土方、废料的堆放及处理场地，承包人自行考虑解决措施，运输路线、运距（包含二次搬运）已由承包人勘察现场后自行确定。多余土方、废料原则上须运出划线范围，如需在划线区域堆放，必须按规定进行审批，办理相关行政审批手续，并由运输中标人（如果有）承接相关业务。上述全部费用已由承包人综合考虑计入报价。若发现未经审批违法堆放现象，采购人有权暂停发放工程款，待整改完成后后再行发放，同时扣罚本合同价款的10%的工程款作为罚款，一切后果由承包人承担。</w:t>
      </w:r>
    </w:p>
    <w:p w14:paraId="68F80F62">
      <w:pPr>
        <w:spacing w:line="360" w:lineRule="auto"/>
        <w:ind w:firstLine="420" w:firstLineChars="200"/>
        <w:rPr>
          <w:rFonts w:ascii="宋体" w:hAnsi="宋体"/>
          <w:szCs w:val="21"/>
          <w:highlight w:val="none"/>
          <w:u w:val="single"/>
        </w:rPr>
      </w:pPr>
      <w:bookmarkStart w:id="629" w:name="_Hlk139402797"/>
      <w:r>
        <w:rPr>
          <w:rFonts w:hint="eastAsia" w:ascii="宋体" w:hAnsi="宋体"/>
          <w:kern w:val="0"/>
          <w:szCs w:val="21"/>
          <w:highlight w:val="none"/>
          <w:u w:val="single"/>
        </w:rPr>
        <w:t>（</w:t>
      </w:r>
      <w:r>
        <w:rPr>
          <w:rFonts w:ascii="宋体" w:hAnsi="宋体"/>
          <w:kern w:val="0"/>
          <w:szCs w:val="21"/>
          <w:highlight w:val="none"/>
          <w:u w:val="single"/>
        </w:rPr>
        <w:t>8</w:t>
      </w:r>
      <w:r>
        <w:rPr>
          <w:rFonts w:hint="eastAsia" w:ascii="宋体" w:hAnsi="宋体"/>
          <w:kern w:val="0"/>
          <w:szCs w:val="21"/>
          <w:highlight w:val="none"/>
          <w:u w:val="single"/>
        </w:rPr>
        <w:t>）</w:t>
      </w:r>
      <w:r>
        <w:rPr>
          <w:rFonts w:ascii="宋体" w:hAnsi="宋体"/>
          <w:szCs w:val="21"/>
          <w:highlight w:val="none"/>
          <w:u w:val="single"/>
        </w:rPr>
        <w:t>承包人</w:t>
      </w:r>
      <w:r>
        <w:rPr>
          <w:rFonts w:hint="eastAsia" w:ascii="宋体" w:hAnsi="宋体"/>
          <w:szCs w:val="21"/>
          <w:highlight w:val="none"/>
          <w:u w:val="single"/>
        </w:rPr>
        <w:t>未在规定的时间（竣工验收合格后90日）内</w:t>
      </w:r>
      <w:r>
        <w:rPr>
          <w:rFonts w:ascii="宋体" w:hAnsi="宋体"/>
          <w:szCs w:val="21"/>
          <w:highlight w:val="none"/>
          <w:u w:val="single"/>
        </w:rPr>
        <w:t>提交的竣工资料</w:t>
      </w:r>
      <w:r>
        <w:rPr>
          <w:rFonts w:hint="eastAsia" w:ascii="宋体" w:hAnsi="宋体"/>
          <w:szCs w:val="21"/>
          <w:highlight w:val="none"/>
          <w:u w:val="single"/>
        </w:rPr>
        <w:t>（含结算送审资料），每延误一日承包人按合同价</w:t>
      </w:r>
      <w:r>
        <w:rPr>
          <w:rFonts w:hint="eastAsia" w:ascii="宋体" w:hAnsi="宋体"/>
          <w:szCs w:val="21"/>
          <w:highlight w:val="none"/>
          <w:u w:val="single"/>
          <w:lang w:eastAsia="zh-CN"/>
        </w:rPr>
        <w:t>千</w:t>
      </w:r>
      <w:r>
        <w:rPr>
          <w:rFonts w:hint="eastAsia" w:ascii="宋体" w:hAnsi="宋体"/>
          <w:szCs w:val="21"/>
          <w:highlight w:val="none"/>
          <w:u w:val="single"/>
        </w:rPr>
        <w:t>分之</w:t>
      </w:r>
      <w:r>
        <w:rPr>
          <w:rFonts w:hint="eastAsia" w:ascii="宋体" w:hAnsi="宋体"/>
          <w:szCs w:val="21"/>
          <w:highlight w:val="none"/>
          <w:u w:val="single"/>
          <w:lang w:eastAsia="zh-CN"/>
        </w:rPr>
        <w:t>五</w:t>
      </w:r>
      <w:r>
        <w:rPr>
          <w:rFonts w:hint="eastAsia" w:ascii="宋体" w:hAnsi="宋体"/>
          <w:szCs w:val="21"/>
          <w:highlight w:val="none"/>
          <w:u w:val="single"/>
        </w:rPr>
        <w:t>每天计取向采购人支付违约金。</w:t>
      </w:r>
    </w:p>
    <w:p w14:paraId="078EFF0F">
      <w:pPr>
        <w:spacing w:line="360" w:lineRule="auto"/>
        <w:ind w:firstLine="422" w:firstLineChars="200"/>
        <w:rPr>
          <w:rFonts w:ascii="宋体" w:hAnsi="宋体"/>
          <w:b/>
          <w:szCs w:val="21"/>
          <w:highlight w:val="none"/>
        </w:rPr>
      </w:pPr>
      <w:r>
        <w:rPr>
          <w:rFonts w:hint="eastAsia" w:ascii="宋体" w:hAnsi="宋体"/>
          <w:b/>
          <w:szCs w:val="21"/>
          <w:highlight w:val="none"/>
        </w:rPr>
        <w:t>（</w:t>
      </w:r>
      <w:r>
        <w:rPr>
          <w:rFonts w:ascii="宋体" w:hAnsi="宋体"/>
          <w:b/>
          <w:szCs w:val="21"/>
          <w:highlight w:val="none"/>
        </w:rPr>
        <w:t>9</w:t>
      </w:r>
      <w:r>
        <w:rPr>
          <w:rFonts w:hint="eastAsia" w:ascii="宋体" w:hAnsi="宋体"/>
          <w:b/>
          <w:szCs w:val="21"/>
          <w:highlight w:val="none"/>
        </w:rPr>
        <w:t>）本</w:t>
      </w:r>
      <w:r>
        <w:rPr>
          <w:rFonts w:ascii="宋体" w:hAnsi="宋体"/>
          <w:b/>
          <w:szCs w:val="21"/>
          <w:highlight w:val="none"/>
        </w:rPr>
        <w:t>合同</w:t>
      </w:r>
      <w:r>
        <w:rPr>
          <w:rFonts w:hint="eastAsia" w:ascii="宋体" w:hAnsi="宋体"/>
          <w:b/>
          <w:szCs w:val="21"/>
          <w:highlight w:val="none"/>
        </w:rPr>
        <w:t>中涉及到的“罚”、“罚款”、“罚金”“处罚”，均指违约金。</w:t>
      </w:r>
    </w:p>
    <w:p w14:paraId="4D8AA9CD">
      <w:pPr>
        <w:spacing w:line="360" w:lineRule="auto"/>
        <w:ind w:firstLine="422" w:firstLineChars="200"/>
        <w:rPr>
          <w:rFonts w:hint="eastAsia"/>
          <w:highlight w:val="none"/>
        </w:rPr>
      </w:pPr>
      <w:r>
        <w:rPr>
          <w:rFonts w:hint="eastAsia" w:ascii="宋体" w:hAnsi="宋体"/>
          <w:b/>
          <w:szCs w:val="21"/>
          <w:highlight w:val="none"/>
        </w:rPr>
        <w:t>（</w:t>
      </w:r>
      <w:r>
        <w:rPr>
          <w:rFonts w:ascii="宋体" w:hAnsi="宋体"/>
          <w:b/>
          <w:szCs w:val="21"/>
          <w:highlight w:val="none"/>
        </w:rPr>
        <w:t>10</w:t>
      </w:r>
      <w:r>
        <w:rPr>
          <w:rFonts w:hint="eastAsia" w:ascii="宋体" w:hAnsi="宋体"/>
          <w:b/>
          <w:szCs w:val="21"/>
          <w:highlight w:val="none"/>
        </w:rPr>
        <w:t>）本合同约定的“罚”、“罚款”、“罚金”等，除明显属于行政处罚的以外，均属于一方向另一方承担违约责任的方式。各项义务或责任有冲突的，按较重义务或责任定。</w:t>
      </w:r>
    </w:p>
    <w:bookmarkEnd w:id="629"/>
    <w:p w14:paraId="76655B36">
      <w:pPr>
        <w:spacing w:line="360" w:lineRule="auto"/>
        <w:ind w:firstLine="420" w:firstLineChars="200"/>
        <w:rPr>
          <w:rFonts w:ascii="宋体" w:hAnsi="宋体"/>
          <w:szCs w:val="21"/>
          <w:highlight w:val="none"/>
        </w:rPr>
      </w:pPr>
      <w:r>
        <w:rPr>
          <w:rFonts w:ascii="宋体" w:hAnsi="宋体"/>
          <w:szCs w:val="21"/>
          <w:highlight w:val="none"/>
        </w:rPr>
        <w:t>16.2.3 因承包人违约解除合同</w:t>
      </w:r>
    </w:p>
    <w:p w14:paraId="7FEAADC9">
      <w:pPr>
        <w:spacing w:line="360" w:lineRule="auto"/>
        <w:ind w:firstLine="420" w:firstLineChars="200"/>
        <w:rPr>
          <w:rFonts w:hint="eastAsia" w:ascii="宋体" w:hAnsi="宋体"/>
          <w:kern w:val="0"/>
          <w:szCs w:val="21"/>
          <w:highlight w:val="none"/>
        </w:rPr>
      </w:pPr>
      <w:r>
        <w:rPr>
          <w:rFonts w:ascii="宋体" w:hAnsi="宋体"/>
          <w:kern w:val="0"/>
          <w:szCs w:val="21"/>
          <w:highlight w:val="none"/>
        </w:rPr>
        <w:t>关于承包人违约解除合同的特别约定：</w:t>
      </w:r>
      <w:r>
        <w:rPr>
          <w:rFonts w:ascii="宋体" w:hAnsi="宋体"/>
          <w:kern w:val="0"/>
          <w:szCs w:val="21"/>
          <w:highlight w:val="none"/>
          <w:u w:val="single"/>
        </w:rPr>
        <w:t xml:space="preserve">    </w:t>
      </w:r>
      <w:r>
        <w:rPr>
          <w:rFonts w:hint="eastAsia" w:ascii="宋体" w:hAnsi="宋体"/>
          <w:kern w:val="0"/>
          <w:szCs w:val="21"/>
          <w:highlight w:val="none"/>
          <w:u w:val="single"/>
        </w:rPr>
        <w:t>按通用条款</w:t>
      </w:r>
      <w:r>
        <w:rPr>
          <w:rFonts w:ascii="宋体" w:hAnsi="宋体"/>
          <w:kern w:val="0"/>
          <w:szCs w:val="21"/>
          <w:highlight w:val="none"/>
          <w:u w:val="single"/>
        </w:rPr>
        <w:t xml:space="preserve">    </w:t>
      </w:r>
      <w:r>
        <w:rPr>
          <w:rFonts w:ascii="宋体" w:hAnsi="宋体"/>
          <w:kern w:val="0"/>
          <w:szCs w:val="21"/>
          <w:highlight w:val="none"/>
        </w:rPr>
        <w:t>。</w:t>
      </w:r>
    </w:p>
    <w:p w14:paraId="5749BB05">
      <w:pPr>
        <w:spacing w:line="360" w:lineRule="auto"/>
        <w:ind w:firstLine="420" w:firstLineChars="200"/>
        <w:rPr>
          <w:rFonts w:ascii="宋体" w:hAnsi="宋体"/>
          <w:kern w:val="0"/>
          <w:szCs w:val="21"/>
          <w:highlight w:val="none"/>
        </w:rPr>
      </w:pPr>
      <w:r>
        <w:rPr>
          <w:rFonts w:ascii="宋体" w:hAnsi="宋体"/>
          <w:kern w:val="0"/>
          <w:szCs w:val="21"/>
          <w:highlight w:val="none"/>
        </w:rPr>
        <w:t>采购人</w:t>
      </w:r>
      <w:r>
        <w:rPr>
          <w:rFonts w:hint="eastAsia" w:ascii="宋体" w:hAnsi="宋体"/>
          <w:kern w:val="0"/>
          <w:szCs w:val="21"/>
          <w:highlight w:val="none"/>
        </w:rPr>
        <w:t>继续</w:t>
      </w:r>
      <w:r>
        <w:rPr>
          <w:rFonts w:ascii="宋体" w:hAnsi="宋体"/>
          <w:kern w:val="0"/>
          <w:szCs w:val="21"/>
          <w:highlight w:val="none"/>
        </w:rPr>
        <w:t>使用承包人在施工现场的材料、设备、临时工程、承包人文件和由承包人或以其名义编制的其他文件</w:t>
      </w:r>
      <w:r>
        <w:rPr>
          <w:rFonts w:hint="eastAsia" w:ascii="宋体" w:hAnsi="宋体"/>
          <w:kern w:val="0"/>
          <w:szCs w:val="21"/>
          <w:highlight w:val="none"/>
        </w:rPr>
        <w:t>的费用承担方式</w:t>
      </w:r>
      <w:r>
        <w:rPr>
          <w:rFonts w:ascii="宋体" w:hAnsi="宋体"/>
          <w:kern w:val="0"/>
          <w:szCs w:val="21"/>
          <w:highlight w:val="none"/>
        </w:rPr>
        <w:t>：</w:t>
      </w:r>
      <w:r>
        <w:rPr>
          <w:rFonts w:ascii="宋体" w:hAnsi="宋体"/>
          <w:kern w:val="0"/>
          <w:szCs w:val="21"/>
          <w:highlight w:val="none"/>
          <w:u w:val="single"/>
        </w:rPr>
        <w:t xml:space="preserve">    </w:t>
      </w:r>
      <w:r>
        <w:rPr>
          <w:rFonts w:hint="eastAsia" w:ascii="宋体" w:hAnsi="宋体"/>
          <w:kern w:val="0"/>
          <w:szCs w:val="21"/>
          <w:highlight w:val="none"/>
          <w:u w:val="single"/>
        </w:rPr>
        <w:t xml:space="preserve">另行协商   </w:t>
      </w:r>
      <w:r>
        <w:rPr>
          <w:rFonts w:ascii="宋体" w:hAnsi="宋体"/>
          <w:kern w:val="0"/>
          <w:szCs w:val="21"/>
          <w:highlight w:val="none"/>
          <w:u w:val="single"/>
        </w:rPr>
        <w:t xml:space="preserve">   </w:t>
      </w:r>
      <w:r>
        <w:rPr>
          <w:rFonts w:hint="eastAsia" w:ascii="宋体" w:hAnsi="宋体"/>
          <w:kern w:val="0"/>
          <w:szCs w:val="21"/>
          <w:highlight w:val="none"/>
        </w:rPr>
        <w:t>。</w:t>
      </w:r>
    </w:p>
    <w:p w14:paraId="57FE95FE">
      <w:pPr>
        <w:spacing w:line="408" w:lineRule="auto"/>
        <w:ind w:firstLine="422" w:firstLineChars="200"/>
        <w:rPr>
          <w:rFonts w:ascii="宋体" w:hAnsi="宋体"/>
          <w:b/>
          <w:szCs w:val="21"/>
          <w:highlight w:val="none"/>
        </w:rPr>
      </w:pPr>
      <w:bookmarkStart w:id="630" w:name="_Toc351203649"/>
      <w:r>
        <w:rPr>
          <w:rFonts w:ascii="宋体" w:hAnsi="宋体"/>
          <w:b/>
          <w:szCs w:val="21"/>
          <w:highlight w:val="none"/>
        </w:rPr>
        <w:t>17. 不可抗力</w:t>
      </w:r>
      <w:bookmarkEnd w:id="630"/>
      <w:r>
        <w:rPr>
          <w:rFonts w:ascii="宋体" w:hAnsi="宋体"/>
          <w:b/>
          <w:szCs w:val="21"/>
          <w:highlight w:val="none"/>
        </w:rPr>
        <w:t xml:space="preserve"> </w:t>
      </w:r>
      <w:bookmarkEnd w:id="627"/>
    </w:p>
    <w:p w14:paraId="45690464">
      <w:pPr>
        <w:spacing w:line="408" w:lineRule="auto"/>
        <w:ind w:firstLine="420" w:firstLineChars="200"/>
        <w:rPr>
          <w:rFonts w:ascii="宋体" w:hAnsi="宋体"/>
          <w:szCs w:val="21"/>
          <w:highlight w:val="none"/>
        </w:rPr>
      </w:pPr>
      <w:r>
        <w:rPr>
          <w:rFonts w:ascii="宋体" w:hAnsi="宋体"/>
          <w:szCs w:val="21"/>
          <w:highlight w:val="none"/>
        </w:rPr>
        <w:t>17.1 不可抗力的确认</w:t>
      </w:r>
    </w:p>
    <w:p w14:paraId="6BB19169">
      <w:pPr>
        <w:spacing w:line="408" w:lineRule="auto"/>
        <w:ind w:firstLine="420" w:firstLineChars="200"/>
        <w:rPr>
          <w:rFonts w:ascii="宋体" w:hAnsi="宋体"/>
          <w:kern w:val="0"/>
          <w:szCs w:val="21"/>
          <w:highlight w:val="none"/>
          <w:u w:val="single"/>
        </w:rPr>
      </w:pPr>
      <w:r>
        <w:rPr>
          <w:rFonts w:ascii="宋体" w:hAnsi="宋体"/>
          <w:szCs w:val="21"/>
          <w:highlight w:val="none"/>
        </w:rPr>
        <w:t xml:space="preserve">除通用合同条款约定的不可抗力事件之外，视为不可抗力的其他情形： </w:t>
      </w:r>
      <w:r>
        <w:rPr>
          <w:rFonts w:ascii="宋体" w:hAnsi="宋体"/>
          <w:kern w:val="0"/>
          <w:szCs w:val="21"/>
          <w:highlight w:val="none"/>
          <w:u w:val="single"/>
        </w:rPr>
        <w:t xml:space="preserve">    </w:t>
      </w:r>
      <w:r>
        <w:rPr>
          <w:rFonts w:hint="eastAsia" w:ascii="宋体" w:hAnsi="宋体"/>
          <w:kern w:val="0"/>
          <w:szCs w:val="21"/>
          <w:highlight w:val="none"/>
          <w:u w:val="single"/>
        </w:rPr>
        <w:t>/</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p>
    <w:p w14:paraId="004F9849">
      <w:pPr>
        <w:spacing w:line="408" w:lineRule="auto"/>
        <w:ind w:firstLine="420" w:firstLineChars="200"/>
        <w:rPr>
          <w:rFonts w:ascii="宋体" w:hAnsi="宋体"/>
          <w:szCs w:val="21"/>
          <w:highlight w:val="none"/>
        </w:rPr>
      </w:pPr>
      <w:r>
        <w:rPr>
          <w:rFonts w:ascii="宋体" w:hAnsi="宋体"/>
          <w:szCs w:val="21"/>
          <w:highlight w:val="none"/>
        </w:rPr>
        <w:t>17.4 因不可抗力解除合同</w:t>
      </w:r>
    </w:p>
    <w:p w14:paraId="7729271F">
      <w:pPr>
        <w:spacing w:line="408" w:lineRule="auto"/>
        <w:ind w:firstLine="420" w:firstLineChars="200"/>
        <w:rPr>
          <w:rFonts w:hint="eastAsia" w:ascii="宋体" w:hAnsi="宋体"/>
          <w:szCs w:val="21"/>
          <w:highlight w:val="none"/>
        </w:rPr>
      </w:pPr>
      <w:r>
        <w:rPr>
          <w:rFonts w:ascii="宋体" w:hAnsi="宋体"/>
          <w:szCs w:val="21"/>
          <w:highlight w:val="none"/>
        </w:rPr>
        <w:t>合同解除后，采购人应在商定或确定采购人应支付款项后</w:t>
      </w:r>
      <w:r>
        <w:rPr>
          <w:rFonts w:ascii="宋体" w:hAnsi="宋体"/>
          <w:szCs w:val="21"/>
          <w:highlight w:val="none"/>
          <w:u w:val="single"/>
        </w:rPr>
        <w:t xml:space="preserve"> </w:t>
      </w:r>
      <w:r>
        <w:rPr>
          <w:rFonts w:hint="eastAsia" w:ascii="宋体" w:hAnsi="宋体"/>
          <w:szCs w:val="21"/>
          <w:highlight w:val="none"/>
          <w:u w:val="single"/>
        </w:rPr>
        <w:t>14</w:t>
      </w:r>
      <w:r>
        <w:rPr>
          <w:rFonts w:ascii="宋体" w:hAnsi="宋体"/>
          <w:szCs w:val="21"/>
          <w:highlight w:val="none"/>
          <w:u w:val="single"/>
        </w:rPr>
        <w:t xml:space="preserve"> </w:t>
      </w:r>
      <w:r>
        <w:rPr>
          <w:rFonts w:ascii="宋体" w:hAnsi="宋体"/>
          <w:szCs w:val="21"/>
          <w:highlight w:val="none"/>
        </w:rPr>
        <w:t>天内完成款项的支付。</w:t>
      </w:r>
    </w:p>
    <w:p w14:paraId="19C0859D">
      <w:pPr>
        <w:spacing w:line="408" w:lineRule="auto"/>
        <w:ind w:firstLine="422" w:firstLineChars="200"/>
        <w:rPr>
          <w:rFonts w:ascii="宋体" w:hAnsi="宋体"/>
          <w:b/>
          <w:szCs w:val="21"/>
          <w:highlight w:val="none"/>
        </w:rPr>
      </w:pPr>
      <w:bookmarkStart w:id="631" w:name="_Toc351203650"/>
      <w:r>
        <w:rPr>
          <w:rFonts w:ascii="宋体" w:hAnsi="宋体"/>
          <w:b/>
          <w:szCs w:val="21"/>
          <w:highlight w:val="none"/>
        </w:rPr>
        <w:t>18. 保险</w:t>
      </w:r>
      <w:bookmarkEnd w:id="631"/>
    </w:p>
    <w:bookmarkEnd w:id="628"/>
    <w:p w14:paraId="70B34338">
      <w:pPr>
        <w:spacing w:line="408" w:lineRule="auto"/>
        <w:ind w:firstLine="420" w:firstLineChars="200"/>
        <w:rPr>
          <w:rFonts w:ascii="宋体" w:hAnsi="宋体"/>
          <w:szCs w:val="21"/>
          <w:highlight w:val="none"/>
        </w:rPr>
      </w:pPr>
      <w:r>
        <w:rPr>
          <w:rFonts w:ascii="宋体" w:hAnsi="宋体"/>
          <w:szCs w:val="21"/>
          <w:highlight w:val="none"/>
        </w:rPr>
        <w:t>18.1 工程保险</w:t>
      </w:r>
    </w:p>
    <w:p w14:paraId="67E89123">
      <w:pPr>
        <w:adjustRightInd w:val="0"/>
        <w:snapToGrid w:val="0"/>
        <w:spacing w:line="408" w:lineRule="auto"/>
        <w:ind w:firstLine="420" w:firstLineChars="200"/>
        <w:rPr>
          <w:rFonts w:ascii="宋体" w:hAnsi="宋体"/>
          <w:kern w:val="0"/>
          <w:szCs w:val="21"/>
          <w:highlight w:val="none"/>
        </w:rPr>
      </w:pPr>
      <w:r>
        <w:rPr>
          <w:rFonts w:ascii="宋体" w:hAnsi="宋体"/>
          <w:szCs w:val="21"/>
          <w:highlight w:val="none"/>
        </w:rPr>
        <w:t>关于工程保险的特别约定：</w:t>
      </w:r>
      <w:r>
        <w:rPr>
          <w:rFonts w:hint="eastAsia" w:ascii="宋体" w:hAnsi="宋体" w:cs="宋体"/>
          <w:kern w:val="0"/>
          <w:szCs w:val="21"/>
          <w:highlight w:val="none"/>
          <w:u w:val="single"/>
        </w:rPr>
        <w:t>根据《浙江省住房和城乡建设厅关于调整建筑工程安全文明施工费的通知》（浙建建发[2022]37号）精神，建筑施工领域安全生产责任保险由承包人以项目为单位进行参保，包括从业人员人身伤亡、第三者人身伤亡和第三者财产损失赔偿、事故抢险救援、医疗救护、事故鉴定、法律诉讼等费用。安全生产责任保险费用纳入企业管理费，签约合同价中已综合考虑该项费用。</w:t>
      </w:r>
    </w:p>
    <w:p w14:paraId="7B94A308">
      <w:pPr>
        <w:adjustRightInd w:val="0"/>
        <w:snapToGrid w:val="0"/>
        <w:spacing w:line="408" w:lineRule="auto"/>
        <w:ind w:firstLine="420" w:firstLineChars="200"/>
        <w:rPr>
          <w:rFonts w:ascii="宋体" w:hAnsi="宋体"/>
          <w:szCs w:val="21"/>
          <w:highlight w:val="none"/>
        </w:rPr>
      </w:pPr>
      <w:r>
        <w:rPr>
          <w:rFonts w:ascii="宋体" w:hAnsi="宋体"/>
          <w:szCs w:val="21"/>
          <w:highlight w:val="none"/>
        </w:rPr>
        <w:t>18.3 其他保险</w:t>
      </w:r>
    </w:p>
    <w:p w14:paraId="02631999">
      <w:pPr>
        <w:adjustRightInd w:val="0"/>
        <w:snapToGrid w:val="0"/>
        <w:spacing w:line="408" w:lineRule="auto"/>
        <w:ind w:firstLine="420" w:firstLineChars="200"/>
        <w:rPr>
          <w:rFonts w:ascii="宋体" w:hAnsi="宋体"/>
          <w:kern w:val="0"/>
          <w:szCs w:val="21"/>
          <w:highlight w:val="none"/>
        </w:rPr>
      </w:pPr>
      <w:r>
        <w:rPr>
          <w:rFonts w:ascii="宋体" w:hAnsi="宋体"/>
          <w:szCs w:val="21"/>
          <w:highlight w:val="none"/>
        </w:rPr>
        <w:t>关于其他保险的约定：</w:t>
      </w:r>
      <w:r>
        <w:rPr>
          <w:rFonts w:ascii="宋体" w:hAnsi="宋体"/>
          <w:kern w:val="0"/>
          <w:szCs w:val="21"/>
          <w:highlight w:val="none"/>
          <w:u w:val="single"/>
        </w:rPr>
        <w:t xml:space="preserve">      </w:t>
      </w:r>
      <w:r>
        <w:rPr>
          <w:rFonts w:hint="eastAsia" w:ascii="宋体" w:hAnsi="宋体"/>
          <w:kern w:val="0"/>
          <w:szCs w:val="21"/>
          <w:highlight w:val="none"/>
          <w:u w:val="single"/>
        </w:rPr>
        <w:t>按现行规定执行</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p>
    <w:p w14:paraId="457D9EEA">
      <w:pPr>
        <w:adjustRightInd w:val="0"/>
        <w:snapToGrid w:val="0"/>
        <w:spacing w:line="408" w:lineRule="auto"/>
        <w:ind w:firstLine="420" w:firstLineChars="200"/>
        <w:rPr>
          <w:rFonts w:ascii="宋体" w:hAnsi="宋体"/>
          <w:kern w:val="0"/>
          <w:szCs w:val="21"/>
          <w:highlight w:val="none"/>
        </w:rPr>
      </w:pPr>
      <w:r>
        <w:rPr>
          <w:rFonts w:ascii="宋体" w:hAnsi="宋体"/>
          <w:szCs w:val="21"/>
          <w:highlight w:val="none"/>
        </w:rPr>
        <w:t>承包人是否应为其施工设备等办理财产保险：</w:t>
      </w:r>
      <w:r>
        <w:rPr>
          <w:rFonts w:ascii="宋体" w:hAnsi="宋体"/>
          <w:szCs w:val="21"/>
          <w:highlight w:val="none"/>
          <w:u w:val="single"/>
        </w:rPr>
        <w:t xml:space="preserve">    </w:t>
      </w:r>
      <w:r>
        <w:rPr>
          <w:rFonts w:hint="eastAsia" w:ascii="宋体" w:hAnsi="宋体"/>
          <w:szCs w:val="21"/>
          <w:highlight w:val="none"/>
          <w:u w:val="single"/>
        </w:rPr>
        <w:t>按现行规定执行</w:t>
      </w:r>
      <w:r>
        <w:rPr>
          <w:rFonts w:ascii="宋体" w:hAnsi="宋体"/>
          <w:szCs w:val="21"/>
          <w:highlight w:val="none"/>
          <w:u w:val="single"/>
        </w:rPr>
        <w:t xml:space="preserve">    </w:t>
      </w:r>
      <w:r>
        <w:rPr>
          <w:rFonts w:ascii="宋体" w:hAnsi="宋体"/>
          <w:szCs w:val="21"/>
          <w:highlight w:val="none"/>
        </w:rPr>
        <w:t>。</w:t>
      </w:r>
    </w:p>
    <w:p w14:paraId="059C86AA">
      <w:pPr>
        <w:adjustRightInd w:val="0"/>
        <w:snapToGrid w:val="0"/>
        <w:spacing w:line="408" w:lineRule="auto"/>
        <w:ind w:firstLine="420" w:firstLineChars="200"/>
        <w:rPr>
          <w:rFonts w:ascii="宋体" w:hAnsi="宋体"/>
          <w:szCs w:val="21"/>
          <w:highlight w:val="none"/>
        </w:rPr>
      </w:pPr>
      <w:r>
        <w:rPr>
          <w:rFonts w:ascii="宋体" w:hAnsi="宋体"/>
          <w:szCs w:val="21"/>
          <w:highlight w:val="none"/>
        </w:rPr>
        <w:t>18.7 通知义务</w:t>
      </w:r>
    </w:p>
    <w:p w14:paraId="502311C9">
      <w:pPr>
        <w:adjustRightInd w:val="0"/>
        <w:snapToGrid w:val="0"/>
        <w:spacing w:line="408" w:lineRule="auto"/>
        <w:ind w:firstLine="420" w:firstLineChars="200"/>
        <w:rPr>
          <w:rFonts w:ascii="宋体" w:hAnsi="宋体"/>
          <w:szCs w:val="21"/>
          <w:highlight w:val="none"/>
        </w:rPr>
      </w:pPr>
      <w:r>
        <w:rPr>
          <w:rFonts w:ascii="宋体" w:hAnsi="宋体"/>
          <w:kern w:val="0"/>
          <w:szCs w:val="21"/>
          <w:highlight w:val="none"/>
        </w:rPr>
        <w:t>关于变更保险合同时的通知义务的约定：</w:t>
      </w:r>
      <w:r>
        <w:rPr>
          <w:rFonts w:ascii="宋体" w:hAnsi="宋体"/>
          <w:szCs w:val="21"/>
          <w:highlight w:val="none"/>
          <w:u w:val="single"/>
        </w:rPr>
        <w:t xml:space="preserve">  </w:t>
      </w:r>
      <w:r>
        <w:rPr>
          <w:rFonts w:hint="eastAsia" w:ascii="宋体" w:hAnsi="宋体"/>
          <w:kern w:val="0"/>
          <w:szCs w:val="21"/>
          <w:highlight w:val="none"/>
          <w:u w:val="single"/>
        </w:rPr>
        <w:t>按通用条款</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bookmarkEnd w:id="604"/>
    <w:bookmarkEnd w:id="605"/>
    <w:bookmarkEnd w:id="606"/>
    <w:bookmarkEnd w:id="607"/>
    <w:bookmarkEnd w:id="608"/>
    <w:bookmarkEnd w:id="609"/>
    <w:bookmarkEnd w:id="610"/>
    <w:bookmarkEnd w:id="611"/>
    <w:bookmarkEnd w:id="612"/>
    <w:bookmarkEnd w:id="613"/>
    <w:bookmarkEnd w:id="614"/>
    <w:bookmarkEnd w:id="615"/>
    <w:p w14:paraId="0CC683ED">
      <w:pPr>
        <w:spacing w:line="408" w:lineRule="auto"/>
        <w:ind w:firstLine="413" w:firstLineChars="196"/>
        <w:rPr>
          <w:rFonts w:ascii="宋体" w:hAnsi="宋体"/>
          <w:b/>
          <w:szCs w:val="21"/>
          <w:highlight w:val="none"/>
        </w:rPr>
      </w:pPr>
      <w:bookmarkStart w:id="632" w:name="_Toc351203651"/>
      <w:r>
        <w:rPr>
          <w:rFonts w:ascii="宋体" w:hAnsi="宋体"/>
          <w:b/>
          <w:szCs w:val="21"/>
          <w:highlight w:val="none"/>
        </w:rPr>
        <w:t>20. 争议解决</w:t>
      </w:r>
      <w:bookmarkEnd w:id="632"/>
    </w:p>
    <w:bookmarkEnd w:id="616"/>
    <w:bookmarkEnd w:id="617"/>
    <w:p w14:paraId="10E02C7E">
      <w:pPr>
        <w:spacing w:line="408" w:lineRule="auto"/>
        <w:ind w:firstLine="420" w:firstLineChars="200"/>
        <w:rPr>
          <w:rFonts w:ascii="宋体" w:hAnsi="宋体"/>
          <w:szCs w:val="21"/>
          <w:highlight w:val="none"/>
        </w:rPr>
      </w:pPr>
      <w:r>
        <w:rPr>
          <w:rFonts w:ascii="宋体" w:hAnsi="宋体"/>
          <w:szCs w:val="21"/>
          <w:highlight w:val="none"/>
        </w:rPr>
        <w:t>20.3 争</w:t>
      </w:r>
      <w:bookmarkEnd w:id="618"/>
      <w:r>
        <w:rPr>
          <w:rFonts w:ascii="宋体" w:hAnsi="宋体"/>
          <w:szCs w:val="21"/>
          <w:highlight w:val="none"/>
        </w:rPr>
        <w:t>议评审</w:t>
      </w:r>
    </w:p>
    <w:p w14:paraId="6733AE86">
      <w:pPr>
        <w:spacing w:line="408" w:lineRule="auto"/>
        <w:ind w:firstLine="420" w:firstLineChars="200"/>
        <w:rPr>
          <w:rFonts w:ascii="宋体" w:hAnsi="宋体"/>
          <w:szCs w:val="21"/>
          <w:highlight w:val="none"/>
        </w:rPr>
      </w:pPr>
      <w:r>
        <w:rPr>
          <w:rFonts w:ascii="宋体" w:hAnsi="宋体"/>
          <w:szCs w:val="21"/>
          <w:highlight w:val="none"/>
        </w:rPr>
        <w:t>合同当事人是否同意将工程争议提交争议评审小组决</w:t>
      </w:r>
      <w:r>
        <w:rPr>
          <w:rFonts w:hint="eastAsia" w:ascii="宋体" w:hAnsi="宋体"/>
          <w:szCs w:val="21"/>
          <w:highlight w:val="none"/>
        </w:rPr>
        <w:t>定：</w:t>
      </w:r>
      <w:r>
        <w:rPr>
          <w:rFonts w:hint="eastAsia" w:ascii="宋体" w:hAnsi="宋体"/>
          <w:szCs w:val="21"/>
          <w:highlight w:val="none"/>
          <w:u w:val="single"/>
        </w:rPr>
        <w:t xml:space="preserve">  否  </w:t>
      </w:r>
      <w:r>
        <w:rPr>
          <w:rFonts w:hint="eastAsia" w:ascii="宋体" w:hAnsi="宋体"/>
          <w:szCs w:val="21"/>
          <w:highlight w:val="none"/>
        </w:rPr>
        <w:t xml:space="preserve">。  </w:t>
      </w:r>
    </w:p>
    <w:p w14:paraId="14D3B692">
      <w:pPr>
        <w:spacing w:line="408" w:lineRule="auto"/>
        <w:ind w:firstLine="420" w:firstLineChars="200"/>
        <w:rPr>
          <w:rFonts w:ascii="宋体" w:hAnsi="宋体"/>
          <w:szCs w:val="21"/>
          <w:highlight w:val="none"/>
        </w:rPr>
      </w:pPr>
      <w:r>
        <w:rPr>
          <w:rFonts w:ascii="宋体" w:hAnsi="宋体"/>
          <w:szCs w:val="21"/>
          <w:highlight w:val="none"/>
        </w:rPr>
        <w:t>20.3.1 争议评审小组的确定</w:t>
      </w:r>
    </w:p>
    <w:p w14:paraId="5ED5D697">
      <w:pPr>
        <w:spacing w:line="408" w:lineRule="auto"/>
        <w:ind w:firstLine="420" w:firstLineChars="200"/>
        <w:rPr>
          <w:rFonts w:ascii="宋体" w:hAnsi="宋体"/>
          <w:szCs w:val="21"/>
          <w:highlight w:val="none"/>
          <w:u w:val="single"/>
        </w:rPr>
      </w:pPr>
      <w:r>
        <w:rPr>
          <w:rFonts w:ascii="宋体" w:hAnsi="宋体"/>
          <w:szCs w:val="21"/>
          <w:highlight w:val="none"/>
        </w:rPr>
        <w:t>争议评审小组成员的确定：</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kern w:val="0"/>
          <w:szCs w:val="21"/>
          <w:highlight w:val="none"/>
          <w:u w:val="single"/>
        </w:rPr>
        <w:t>/</w:t>
      </w:r>
      <w:r>
        <w:rPr>
          <w:rFonts w:ascii="宋体" w:hAnsi="宋体"/>
          <w:szCs w:val="21"/>
          <w:highlight w:val="none"/>
          <w:u w:val="single"/>
        </w:rPr>
        <w:t xml:space="preserve">    </w:t>
      </w:r>
      <w:r>
        <w:rPr>
          <w:rFonts w:ascii="宋体" w:hAnsi="宋体"/>
          <w:szCs w:val="21"/>
          <w:highlight w:val="none"/>
        </w:rPr>
        <w:t>。</w:t>
      </w:r>
    </w:p>
    <w:p w14:paraId="4D000A7D">
      <w:pPr>
        <w:spacing w:line="408" w:lineRule="auto"/>
        <w:ind w:firstLine="420" w:firstLineChars="200"/>
        <w:rPr>
          <w:rFonts w:ascii="宋体" w:hAnsi="宋体"/>
          <w:szCs w:val="21"/>
          <w:highlight w:val="none"/>
        </w:rPr>
      </w:pPr>
      <w:r>
        <w:rPr>
          <w:rFonts w:ascii="宋体" w:hAnsi="宋体"/>
          <w:szCs w:val="21"/>
          <w:highlight w:val="none"/>
        </w:rPr>
        <w:t>选定争议评审员的期限：</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kern w:val="0"/>
          <w:szCs w:val="21"/>
          <w:highlight w:val="none"/>
          <w:u w:val="single"/>
        </w:rPr>
        <w:t>/</w:t>
      </w:r>
      <w:r>
        <w:rPr>
          <w:rFonts w:ascii="宋体" w:hAnsi="宋体"/>
          <w:szCs w:val="21"/>
          <w:highlight w:val="none"/>
          <w:u w:val="single"/>
        </w:rPr>
        <w:t xml:space="preserve">    </w:t>
      </w:r>
      <w:r>
        <w:rPr>
          <w:rFonts w:ascii="宋体" w:hAnsi="宋体"/>
          <w:szCs w:val="21"/>
          <w:highlight w:val="none"/>
        </w:rPr>
        <w:t>。</w:t>
      </w:r>
    </w:p>
    <w:p w14:paraId="01EF893F">
      <w:pPr>
        <w:spacing w:line="408" w:lineRule="auto"/>
        <w:ind w:firstLine="420" w:firstLineChars="200"/>
        <w:rPr>
          <w:rFonts w:ascii="宋体" w:hAnsi="宋体"/>
          <w:szCs w:val="21"/>
          <w:highlight w:val="none"/>
        </w:rPr>
      </w:pPr>
      <w:r>
        <w:rPr>
          <w:rFonts w:ascii="宋体" w:hAnsi="宋体"/>
          <w:szCs w:val="21"/>
          <w:highlight w:val="none"/>
        </w:rPr>
        <w:t>争议评审小组成员的报酬承担方式：</w:t>
      </w:r>
      <w:r>
        <w:rPr>
          <w:rFonts w:ascii="宋体" w:hAnsi="宋体"/>
          <w:szCs w:val="21"/>
          <w:highlight w:val="none"/>
          <w:u w:val="single"/>
        </w:rPr>
        <w:t xml:space="preserve">  </w:t>
      </w:r>
      <w:r>
        <w:rPr>
          <w:rFonts w:hint="eastAsia" w:ascii="宋体" w:hAnsi="宋体"/>
          <w:kern w:val="0"/>
          <w:szCs w:val="21"/>
          <w:highlight w:val="none"/>
          <w:u w:val="single"/>
        </w:rPr>
        <w:t>/</w:t>
      </w:r>
      <w:r>
        <w:rPr>
          <w:rFonts w:ascii="宋体" w:hAnsi="宋体"/>
          <w:szCs w:val="21"/>
          <w:highlight w:val="none"/>
          <w:u w:val="single"/>
        </w:rPr>
        <w:t xml:space="preserve">  </w:t>
      </w:r>
      <w:r>
        <w:rPr>
          <w:rFonts w:ascii="宋体" w:hAnsi="宋体"/>
          <w:szCs w:val="21"/>
          <w:highlight w:val="none"/>
        </w:rPr>
        <w:t>。</w:t>
      </w:r>
    </w:p>
    <w:p w14:paraId="2C32EA8A">
      <w:pPr>
        <w:spacing w:line="408" w:lineRule="auto"/>
        <w:ind w:firstLine="420" w:firstLineChars="200"/>
        <w:rPr>
          <w:rFonts w:ascii="宋体" w:hAnsi="宋体"/>
          <w:szCs w:val="21"/>
          <w:highlight w:val="none"/>
        </w:rPr>
      </w:pPr>
      <w:r>
        <w:rPr>
          <w:rFonts w:ascii="宋体" w:hAnsi="宋体"/>
          <w:szCs w:val="21"/>
          <w:highlight w:val="none"/>
        </w:rPr>
        <w:t>其他事项的约定：</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u w:val="single"/>
        </w:rPr>
        <w:t xml:space="preserve">       </w:t>
      </w:r>
      <w:r>
        <w:rPr>
          <w:rFonts w:ascii="宋体" w:hAnsi="宋体"/>
          <w:szCs w:val="21"/>
          <w:highlight w:val="none"/>
        </w:rPr>
        <w:t>。</w:t>
      </w:r>
    </w:p>
    <w:p w14:paraId="7A7079FE">
      <w:pPr>
        <w:spacing w:line="408" w:lineRule="auto"/>
        <w:ind w:firstLine="420" w:firstLineChars="200"/>
        <w:rPr>
          <w:rFonts w:ascii="宋体" w:hAnsi="宋体"/>
          <w:kern w:val="0"/>
          <w:szCs w:val="21"/>
          <w:highlight w:val="none"/>
        </w:rPr>
      </w:pPr>
      <w:r>
        <w:rPr>
          <w:rFonts w:ascii="宋体" w:hAnsi="宋体"/>
          <w:kern w:val="0"/>
          <w:szCs w:val="21"/>
          <w:highlight w:val="none"/>
        </w:rPr>
        <w:t>20.3.2 争议评审小组的决定</w:t>
      </w:r>
    </w:p>
    <w:p w14:paraId="1BE6FE1E">
      <w:pPr>
        <w:spacing w:line="408" w:lineRule="auto"/>
        <w:ind w:firstLine="420" w:firstLineChars="200"/>
        <w:rPr>
          <w:rFonts w:ascii="宋体" w:hAnsi="宋体"/>
          <w:szCs w:val="21"/>
          <w:highlight w:val="none"/>
        </w:rPr>
      </w:pPr>
      <w:r>
        <w:rPr>
          <w:rFonts w:ascii="宋体" w:hAnsi="宋体"/>
          <w:szCs w:val="21"/>
          <w:highlight w:val="none"/>
        </w:rPr>
        <w:t>合同当事人关于本项的约定：</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kern w:val="0"/>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2FF180A8">
      <w:pPr>
        <w:spacing w:line="408" w:lineRule="auto"/>
        <w:ind w:firstLine="420" w:firstLineChars="200"/>
        <w:rPr>
          <w:rFonts w:hint="eastAsia" w:ascii="宋体" w:hAnsi="宋体"/>
          <w:szCs w:val="21"/>
          <w:highlight w:val="none"/>
        </w:rPr>
      </w:pPr>
      <w:r>
        <w:rPr>
          <w:rFonts w:ascii="宋体" w:hAnsi="宋体"/>
          <w:szCs w:val="21"/>
          <w:highlight w:val="none"/>
        </w:rPr>
        <w:t>20.4仲裁或诉讼</w:t>
      </w:r>
      <w:bookmarkEnd w:id="619"/>
    </w:p>
    <w:p w14:paraId="57C71A27">
      <w:pPr>
        <w:adjustRightInd w:val="0"/>
        <w:snapToGrid w:val="0"/>
        <w:spacing w:line="408" w:lineRule="auto"/>
        <w:ind w:firstLine="420" w:firstLineChars="200"/>
        <w:rPr>
          <w:rFonts w:ascii="宋体" w:hAnsi="宋体"/>
          <w:szCs w:val="21"/>
          <w:highlight w:val="none"/>
        </w:rPr>
      </w:pPr>
      <w:r>
        <w:rPr>
          <w:rFonts w:ascii="宋体" w:hAnsi="宋体"/>
          <w:szCs w:val="21"/>
          <w:highlight w:val="none"/>
        </w:rPr>
        <w:t>因合同及合同有关事项发生的争议，按下列第</w:t>
      </w:r>
      <w:r>
        <w:rPr>
          <w:rFonts w:ascii="宋体" w:hAnsi="宋体"/>
          <w:szCs w:val="21"/>
          <w:highlight w:val="none"/>
          <w:u w:val="single"/>
        </w:rPr>
        <w:t xml:space="preserve">   </w:t>
      </w:r>
      <w:r>
        <w:rPr>
          <w:rFonts w:hint="eastAsia" w:ascii="宋体" w:hAnsi="宋体"/>
          <w:szCs w:val="21"/>
          <w:highlight w:val="none"/>
          <w:u w:val="single"/>
        </w:rPr>
        <w:t>2</w:t>
      </w:r>
      <w:r>
        <w:rPr>
          <w:rFonts w:ascii="宋体" w:hAnsi="宋体"/>
          <w:szCs w:val="21"/>
          <w:highlight w:val="none"/>
          <w:u w:val="single"/>
        </w:rPr>
        <w:t xml:space="preserve">  </w:t>
      </w:r>
      <w:r>
        <w:rPr>
          <w:rFonts w:ascii="宋体" w:hAnsi="宋体"/>
          <w:szCs w:val="21"/>
          <w:highlight w:val="none"/>
        </w:rPr>
        <w:t>种方式</w:t>
      </w:r>
      <w:r>
        <w:rPr>
          <w:rFonts w:hint="eastAsia" w:ascii="宋体" w:hAnsi="宋体"/>
          <w:szCs w:val="21"/>
          <w:highlight w:val="none"/>
        </w:rPr>
        <w:t>解</w:t>
      </w:r>
      <w:r>
        <w:rPr>
          <w:rFonts w:ascii="宋体" w:hAnsi="宋体"/>
          <w:szCs w:val="21"/>
          <w:highlight w:val="none"/>
        </w:rPr>
        <w:t>决：</w:t>
      </w:r>
    </w:p>
    <w:p w14:paraId="79A1FF10">
      <w:pPr>
        <w:adjustRightInd w:val="0"/>
        <w:snapToGrid w:val="0"/>
        <w:spacing w:line="408" w:lineRule="auto"/>
        <w:ind w:firstLine="420" w:firstLineChars="200"/>
        <w:rPr>
          <w:rFonts w:ascii="宋体" w:hAnsi="宋体"/>
          <w:szCs w:val="21"/>
          <w:highlight w:val="none"/>
        </w:rPr>
      </w:pPr>
      <w:r>
        <w:rPr>
          <w:rFonts w:ascii="宋体" w:hAnsi="宋体"/>
          <w:szCs w:val="21"/>
          <w:highlight w:val="none"/>
        </w:rPr>
        <w:t>（1）向</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u w:val="single"/>
        </w:rPr>
        <w:t xml:space="preserve">    </w:t>
      </w:r>
      <w:r>
        <w:rPr>
          <w:rFonts w:ascii="宋体" w:hAnsi="宋体"/>
          <w:szCs w:val="21"/>
          <w:highlight w:val="none"/>
        </w:rPr>
        <w:t>仲裁委员会申请仲裁；</w:t>
      </w:r>
    </w:p>
    <w:p w14:paraId="3D70E36D">
      <w:pPr>
        <w:adjustRightInd w:val="0"/>
        <w:snapToGrid w:val="0"/>
        <w:spacing w:line="408" w:lineRule="auto"/>
        <w:ind w:firstLine="420" w:firstLineChars="200"/>
        <w:rPr>
          <w:rFonts w:hint="eastAsia" w:ascii="宋体" w:hAnsi="宋体"/>
          <w:b/>
          <w:highlight w:val="none"/>
        </w:rPr>
      </w:pPr>
      <w:r>
        <w:rPr>
          <w:rFonts w:ascii="宋体" w:hAnsi="宋体"/>
          <w:szCs w:val="21"/>
          <w:highlight w:val="none"/>
        </w:rPr>
        <w:t>（2）向</w:t>
      </w:r>
      <w:r>
        <w:rPr>
          <w:rFonts w:hint="eastAsia" w:ascii="宋体" w:hAnsi="宋体"/>
          <w:kern w:val="0"/>
          <w:szCs w:val="21"/>
          <w:highlight w:val="none"/>
          <w:u w:val="single"/>
        </w:rPr>
        <w:t>工程所在地</w:t>
      </w:r>
      <w:r>
        <w:rPr>
          <w:rFonts w:ascii="宋体" w:hAnsi="宋体"/>
          <w:szCs w:val="21"/>
          <w:highlight w:val="none"/>
        </w:rPr>
        <w:t>人民法院起诉。</w:t>
      </w:r>
      <w:bookmarkEnd w:id="620"/>
      <w:bookmarkEnd w:id="621"/>
      <w:bookmarkEnd w:id="622"/>
      <w:bookmarkEnd w:id="623"/>
      <w:bookmarkEnd w:id="624"/>
      <w:bookmarkEnd w:id="625"/>
      <w:bookmarkStart w:id="633" w:name="_Toc351203652"/>
    </w:p>
    <w:bookmarkEnd w:id="633"/>
    <w:p w14:paraId="2DFE2A6A">
      <w:pPr>
        <w:pStyle w:val="20"/>
        <w:spacing w:line="360" w:lineRule="auto"/>
        <w:ind w:right="63"/>
        <w:rPr>
          <w:rFonts w:hint="eastAsia" w:ascii="宋体" w:hAnsi="宋体"/>
          <w:b/>
          <w:sz w:val="21"/>
          <w:szCs w:val="21"/>
          <w:highlight w:val="none"/>
        </w:rPr>
      </w:pPr>
      <w:r>
        <w:rPr>
          <w:rFonts w:ascii="宋体" w:hAnsi="宋体"/>
          <w:b/>
          <w:sz w:val="21"/>
          <w:szCs w:val="21"/>
          <w:highlight w:val="none"/>
        </w:rPr>
        <w:br w:type="page"/>
      </w:r>
      <w:r>
        <w:rPr>
          <w:rFonts w:hint="eastAsia" w:ascii="宋体" w:hAnsi="宋体"/>
          <w:b/>
          <w:sz w:val="21"/>
          <w:szCs w:val="21"/>
          <w:highlight w:val="none"/>
        </w:rPr>
        <w:t>协议书附件：</w:t>
      </w:r>
    </w:p>
    <w:p w14:paraId="0B9165B0">
      <w:pPr>
        <w:pStyle w:val="20"/>
        <w:spacing w:line="360" w:lineRule="auto"/>
        <w:ind w:right="63"/>
        <w:rPr>
          <w:rFonts w:hint="eastAsia" w:ascii="宋体" w:hAnsi="宋体"/>
          <w:b/>
          <w:sz w:val="21"/>
          <w:szCs w:val="21"/>
          <w:highlight w:val="none"/>
        </w:rPr>
      </w:pPr>
      <w:r>
        <w:rPr>
          <w:rFonts w:ascii="宋体" w:hAnsi="宋体"/>
          <w:b/>
          <w:sz w:val="21"/>
          <w:szCs w:val="21"/>
          <w:highlight w:val="none"/>
        </w:rPr>
        <w:t>附件1：承包人承揽工程项目一览表</w:t>
      </w:r>
      <w:r>
        <w:rPr>
          <w:rFonts w:hint="eastAsia" w:ascii="宋体" w:hAnsi="宋体"/>
          <w:b/>
          <w:sz w:val="21"/>
          <w:szCs w:val="21"/>
          <w:highlight w:val="none"/>
        </w:rPr>
        <w:t>（略）</w:t>
      </w:r>
    </w:p>
    <w:p w14:paraId="4DD32332">
      <w:pPr>
        <w:pStyle w:val="20"/>
        <w:spacing w:line="360" w:lineRule="auto"/>
        <w:ind w:right="63"/>
        <w:rPr>
          <w:rFonts w:ascii="宋体" w:hAnsi="宋体"/>
          <w:b/>
          <w:sz w:val="21"/>
          <w:szCs w:val="21"/>
          <w:highlight w:val="none"/>
        </w:rPr>
      </w:pPr>
      <w:r>
        <w:rPr>
          <w:rFonts w:hint="eastAsia" w:ascii="宋体" w:hAnsi="宋体"/>
          <w:b/>
          <w:sz w:val="21"/>
          <w:szCs w:val="21"/>
          <w:highlight w:val="none"/>
        </w:rPr>
        <w:t>专用合同条款附件：</w:t>
      </w:r>
    </w:p>
    <w:p w14:paraId="3A4678B3">
      <w:pPr>
        <w:spacing w:line="440" w:lineRule="exact"/>
        <w:rPr>
          <w:rFonts w:hint="eastAsia" w:ascii="宋体" w:hAnsi="宋体"/>
          <w:szCs w:val="21"/>
          <w:highlight w:val="none"/>
        </w:rPr>
      </w:pPr>
      <w:r>
        <w:rPr>
          <w:rFonts w:hint="eastAsia" w:ascii="宋体" w:hAnsi="宋体"/>
          <w:szCs w:val="21"/>
          <w:highlight w:val="none"/>
        </w:rPr>
        <w:t>附件1：承包人承揽工程项目一览表（略）</w:t>
      </w:r>
    </w:p>
    <w:p w14:paraId="3B023EC7">
      <w:pPr>
        <w:spacing w:line="440" w:lineRule="exact"/>
        <w:rPr>
          <w:rFonts w:hint="eastAsia" w:ascii="宋体" w:hAnsi="宋体"/>
          <w:szCs w:val="21"/>
          <w:highlight w:val="none"/>
        </w:rPr>
      </w:pPr>
      <w:r>
        <w:rPr>
          <w:rFonts w:hint="eastAsia" w:ascii="宋体" w:hAnsi="宋体"/>
          <w:szCs w:val="21"/>
          <w:highlight w:val="none"/>
        </w:rPr>
        <w:t>专用合同条款附件：</w:t>
      </w:r>
    </w:p>
    <w:p w14:paraId="3C291581">
      <w:pPr>
        <w:spacing w:line="440" w:lineRule="exact"/>
        <w:rPr>
          <w:rFonts w:hint="eastAsia" w:ascii="宋体" w:hAnsi="宋体"/>
          <w:szCs w:val="21"/>
          <w:highlight w:val="none"/>
        </w:rPr>
      </w:pPr>
      <w:r>
        <w:rPr>
          <w:rFonts w:hint="eastAsia" w:ascii="宋体" w:hAnsi="宋体"/>
          <w:szCs w:val="21"/>
          <w:highlight w:val="none"/>
        </w:rPr>
        <w:t>附件2：采购人供应材料设备一览表（略）</w:t>
      </w:r>
    </w:p>
    <w:p w14:paraId="4F986ABA">
      <w:pPr>
        <w:spacing w:line="440" w:lineRule="exact"/>
        <w:rPr>
          <w:rFonts w:hint="eastAsia" w:ascii="宋体" w:hAnsi="宋体"/>
          <w:szCs w:val="21"/>
          <w:highlight w:val="none"/>
        </w:rPr>
      </w:pPr>
      <w:r>
        <w:rPr>
          <w:rFonts w:hint="eastAsia" w:ascii="宋体" w:hAnsi="宋体"/>
          <w:szCs w:val="21"/>
          <w:highlight w:val="none"/>
        </w:rPr>
        <w:t>附件3：工程质量保修书</w:t>
      </w:r>
    </w:p>
    <w:p w14:paraId="7F752BBA">
      <w:pPr>
        <w:spacing w:line="440" w:lineRule="exact"/>
        <w:rPr>
          <w:rFonts w:hint="eastAsia" w:ascii="宋体" w:hAnsi="宋体"/>
          <w:szCs w:val="21"/>
          <w:highlight w:val="none"/>
        </w:rPr>
      </w:pPr>
      <w:r>
        <w:rPr>
          <w:rFonts w:hint="eastAsia" w:ascii="宋体" w:hAnsi="宋体"/>
          <w:szCs w:val="21"/>
          <w:highlight w:val="none"/>
        </w:rPr>
        <w:t>附件4：安全生产合同</w:t>
      </w:r>
    </w:p>
    <w:p w14:paraId="0889D8A2">
      <w:pPr>
        <w:spacing w:line="440" w:lineRule="exact"/>
        <w:rPr>
          <w:rFonts w:hint="eastAsia" w:ascii="宋体" w:hAnsi="宋体"/>
          <w:szCs w:val="21"/>
          <w:highlight w:val="none"/>
        </w:rPr>
      </w:pPr>
      <w:r>
        <w:rPr>
          <w:rFonts w:hint="eastAsia" w:ascii="宋体" w:hAnsi="宋体"/>
          <w:szCs w:val="21"/>
          <w:highlight w:val="none"/>
        </w:rPr>
        <w:t>附件5：主要建设工程文件目录（略）</w:t>
      </w:r>
    </w:p>
    <w:p w14:paraId="7EE9B4F4">
      <w:pPr>
        <w:spacing w:line="440" w:lineRule="exact"/>
        <w:rPr>
          <w:rFonts w:hint="eastAsia" w:ascii="宋体" w:hAnsi="宋体"/>
          <w:szCs w:val="21"/>
          <w:highlight w:val="none"/>
        </w:rPr>
      </w:pPr>
      <w:r>
        <w:rPr>
          <w:rFonts w:hint="eastAsia" w:ascii="宋体" w:hAnsi="宋体"/>
          <w:szCs w:val="21"/>
          <w:highlight w:val="none"/>
        </w:rPr>
        <w:t>附件6：承包人用于本工程施工的机械设备表（略）</w:t>
      </w:r>
    </w:p>
    <w:p w14:paraId="53A2DDAC">
      <w:pPr>
        <w:spacing w:line="440" w:lineRule="exact"/>
        <w:rPr>
          <w:rFonts w:hint="eastAsia" w:ascii="宋体" w:hAnsi="宋体"/>
          <w:szCs w:val="21"/>
          <w:highlight w:val="none"/>
        </w:rPr>
      </w:pPr>
      <w:r>
        <w:rPr>
          <w:rFonts w:hint="eastAsia" w:ascii="宋体" w:hAnsi="宋体"/>
          <w:szCs w:val="21"/>
          <w:highlight w:val="none"/>
        </w:rPr>
        <w:t>附件7：承包人主要施工管理人员表（略）</w:t>
      </w:r>
    </w:p>
    <w:p w14:paraId="7EFB2F8B">
      <w:pPr>
        <w:spacing w:line="440" w:lineRule="exact"/>
        <w:rPr>
          <w:rFonts w:hint="eastAsia" w:ascii="宋体" w:hAnsi="宋体"/>
          <w:szCs w:val="21"/>
          <w:highlight w:val="none"/>
        </w:rPr>
      </w:pPr>
      <w:r>
        <w:rPr>
          <w:rFonts w:hint="eastAsia" w:ascii="宋体" w:hAnsi="宋体"/>
          <w:szCs w:val="21"/>
          <w:highlight w:val="none"/>
        </w:rPr>
        <w:t>附件8：分包人主要施工管理人员表（略）</w:t>
      </w:r>
    </w:p>
    <w:p w14:paraId="4C975BAF">
      <w:pPr>
        <w:spacing w:line="440" w:lineRule="exact"/>
        <w:rPr>
          <w:rFonts w:hint="eastAsia" w:ascii="宋体" w:hAnsi="宋体"/>
          <w:szCs w:val="21"/>
          <w:highlight w:val="none"/>
        </w:rPr>
      </w:pPr>
      <w:r>
        <w:rPr>
          <w:rFonts w:hint="eastAsia" w:ascii="宋体" w:hAnsi="宋体"/>
          <w:szCs w:val="21"/>
          <w:highlight w:val="none"/>
        </w:rPr>
        <w:t>附件9：履约担保格式（略）</w:t>
      </w:r>
    </w:p>
    <w:p w14:paraId="6423F02F">
      <w:pPr>
        <w:spacing w:line="440" w:lineRule="exact"/>
        <w:rPr>
          <w:rFonts w:hint="eastAsia" w:ascii="宋体" w:hAnsi="宋体"/>
          <w:szCs w:val="21"/>
          <w:highlight w:val="none"/>
        </w:rPr>
      </w:pPr>
      <w:r>
        <w:rPr>
          <w:rFonts w:hint="eastAsia" w:ascii="宋体" w:hAnsi="宋体"/>
          <w:szCs w:val="21"/>
          <w:highlight w:val="none"/>
        </w:rPr>
        <w:t>附件10：预付款担保格式（略）</w:t>
      </w:r>
    </w:p>
    <w:p w14:paraId="35372F88">
      <w:pPr>
        <w:spacing w:line="440" w:lineRule="exact"/>
        <w:rPr>
          <w:rFonts w:hint="eastAsia" w:ascii="宋体" w:hAnsi="宋体"/>
          <w:szCs w:val="21"/>
          <w:highlight w:val="none"/>
        </w:rPr>
      </w:pPr>
      <w:r>
        <w:rPr>
          <w:rFonts w:hint="eastAsia" w:ascii="宋体" w:hAnsi="宋体"/>
          <w:szCs w:val="21"/>
          <w:highlight w:val="none"/>
        </w:rPr>
        <w:t>附件11：支付担保格式（略）</w:t>
      </w:r>
    </w:p>
    <w:p w14:paraId="04B67685">
      <w:pPr>
        <w:spacing w:line="440" w:lineRule="exact"/>
        <w:rPr>
          <w:rFonts w:hint="eastAsia" w:ascii="宋体" w:hAnsi="宋体"/>
          <w:szCs w:val="21"/>
          <w:highlight w:val="none"/>
        </w:rPr>
      </w:pPr>
      <w:r>
        <w:rPr>
          <w:rFonts w:hint="eastAsia" w:ascii="宋体" w:hAnsi="宋体"/>
          <w:szCs w:val="21"/>
          <w:highlight w:val="none"/>
        </w:rPr>
        <w:t>附件12：暂估价一览表（略）</w:t>
      </w:r>
    </w:p>
    <w:p w14:paraId="0EAF2294">
      <w:pPr>
        <w:spacing w:line="440" w:lineRule="exact"/>
        <w:rPr>
          <w:rFonts w:ascii="宋体" w:hAnsi="宋体"/>
          <w:szCs w:val="21"/>
          <w:highlight w:val="none"/>
        </w:rPr>
      </w:pPr>
    </w:p>
    <w:p w14:paraId="52FA6623">
      <w:pPr>
        <w:spacing w:line="440" w:lineRule="exact"/>
        <w:rPr>
          <w:rFonts w:ascii="宋体" w:hAnsi="宋体"/>
          <w:szCs w:val="21"/>
          <w:highlight w:val="none"/>
        </w:rPr>
      </w:pPr>
      <w:r>
        <w:rPr>
          <w:rFonts w:ascii="宋体" w:hAnsi="宋体"/>
          <w:szCs w:val="21"/>
          <w:highlight w:val="none"/>
        </w:rPr>
        <w:br w:type="page"/>
      </w:r>
      <w:r>
        <w:rPr>
          <w:rFonts w:ascii="宋体" w:hAnsi="宋体"/>
          <w:szCs w:val="21"/>
          <w:highlight w:val="none"/>
        </w:rPr>
        <w:t>附</w:t>
      </w:r>
      <w:bookmarkStart w:id="634" w:name="_Toc296503226"/>
      <w:bookmarkStart w:id="635" w:name="_Toc296347225"/>
      <w:bookmarkStart w:id="636" w:name="_Toc296944565"/>
      <w:bookmarkStart w:id="637" w:name="_Toc296891054"/>
      <w:bookmarkStart w:id="638" w:name="_Toc267261693"/>
      <w:bookmarkStart w:id="639" w:name="_Toc296346727"/>
      <w:bookmarkStart w:id="640" w:name="_Toc296891266"/>
      <w:r>
        <w:rPr>
          <w:rFonts w:ascii="宋体" w:hAnsi="宋体"/>
          <w:szCs w:val="21"/>
          <w:highlight w:val="none"/>
        </w:rPr>
        <w:t>件3：</w:t>
      </w:r>
      <w:bookmarkEnd w:id="634"/>
      <w:bookmarkEnd w:id="635"/>
      <w:bookmarkEnd w:id="636"/>
      <w:bookmarkEnd w:id="637"/>
      <w:bookmarkEnd w:id="638"/>
      <w:bookmarkEnd w:id="639"/>
      <w:bookmarkEnd w:id="640"/>
      <w:r>
        <w:rPr>
          <w:rFonts w:ascii="宋体" w:hAnsi="宋体"/>
          <w:szCs w:val="21"/>
          <w:highlight w:val="none"/>
        </w:rPr>
        <w:t xml:space="preserve">    </w:t>
      </w:r>
    </w:p>
    <w:p w14:paraId="1188EE2D">
      <w:pPr>
        <w:spacing w:before="120" w:beforeLines="50" w:after="120" w:afterLines="50" w:line="440" w:lineRule="exact"/>
        <w:jc w:val="center"/>
        <w:rPr>
          <w:rFonts w:ascii="宋体" w:hAnsi="宋体"/>
          <w:b/>
          <w:sz w:val="24"/>
          <w:highlight w:val="none"/>
        </w:rPr>
      </w:pPr>
      <w:r>
        <w:rPr>
          <w:rFonts w:ascii="宋体" w:hAnsi="宋体"/>
          <w:b/>
          <w:sz w:val="24"/>
          <w:highlight w:val="none"/>
        </w:rPr>
        <w:t>工程质量保修书</w:t>
      </w:r>
    </w:p>
    <w:p w14:paraId="75F05F27">
      <w:pPr>
        <w:spacing w:line="480" w:lineRule="auto"/>
        <w:ind w:firstLine="420" w:firstLineChars="200"/>
        <w:rPr>
          <w:rFonts w:ascii="宋体" w:hAnsi="宋体"/>
          <w:szCs w:val="21"/>
          <w:highlight w:val="none"/>
        </w:rPr>
      </w:pPr>
      <w:r>
        <w:rPr>
          <w:rFonts w:ascii="宋体" w:hAnsi="宋体"/>
          <w:szCs w:val="21"/>
          <w:highlight w:val="none"/>
        </w:rPr>
        <w:t>采购人（全称）：</w:t>
      </w:r>
      <w:r>
        <w:rPr>
          <w:rFonts w:ascii="宋体" w:hAnsi="宋体"/>
          <w:szCs w:val="21"/>
          <w:highlight w:val="none"/>
          <w:u w:val="single"/>
        </w:rPr>
        <w:t xml:space="preserve"> </w:t>
      </w:r>
      <w:r>
        <w:rPr>
          <w:rFonts w:hint="eastAsia" w:ascii="宋体" w:hAnsi="宋体"/>
          <w:szCs w:val="21"/>
          <w:highlight w:val="none"/>
          <w:u w:val="single"/>
          <w:lang w:eastAsia="zh-CN"/>
        </w:rPr>
        <w:t>嘉兴市交通运输行政执法队</w:t>
      </w:r>
      <w:r>
        <w:rPr>
          <w:rFonts w:ascii="宋体" w:hAnsi="宋体"/>
          <w:szCs w:val="21"/>
          <w:highlight w:val="none"/>
          <w:u w:val="single"/>
        </w:rPr>
        <w:t xml:space="preserve">   </w:t>
      </w:r>
      <w:r>
        <w:rPr>
          <w:rFonts w:ascii="宋体" w:hAnsi="宋体"/>
          <w:szCs w:val="21"/>
          <w:highlight w:val="none"/>
        </w:rPr>
        <w:t xml:space="preserve"> </w:t>
      </w:r>
    </w:p>
    <w:p w14:paraId="2E028D3C">
      <w:pPr>
        <w:spacing w:line="480" w:lineRule="auto"/>
        <w:rPr>
          <w:rFonts w:hint="eastAsia" w:ascii="宋体" w:hAnsi="宋体"/>
          <w:szCs w:val="21"/>
          <w:highlight w:val="none"/>
        </w:rPr>
      </w:pPr>
      <w:r>
        <w:rPr>
          <w:rFonts w:ascii="宋体" w:hAnsi="宋体"/>
          <w:szCs w:val="21"/>
          <w:highlight w:val="none"/>
        </w:rPr>
        <w:t>　　承包人（全称）：</w:t>
      </w:r>
      <w:r>
        <w:rPr>
          <w:rFonts w:ascii="宋体" w:hAnsi="宋体"/>
          <w:szCs w:val="21"/>
          <w:highlight w:val="none"/>
          <w:u w:val="single"/>
        </w:rPr>
        <w:t xml:space="preserve">                    </w:t>
      </w:r>
    </w:p>
    <w:p w14:paraId="606E3341">
      <w:pPr>
        <w:spacing w:line="480" w:lineRule="auto"/>
        <w:ind w:firstLine="359" w:firstLineChars="171"/>
        <w:rPr>
          <w:rFonts w:ascii="宋体" w:hAnsi="宋体"/>
          <w:szCs w:val="21"/>
          <w:highlight w:val="none"/>
        </w:rPr>
      </w:pPr>
      <w:r>
        <w:rPr>
          <w:rFonts w:ascii="宋体" w:hAnsi="宋体"/>
          <w:szCs w:val="21"/>
          <w:highlight w:val="none"/>
        </w:rPr>
        <w:t>采购人和承包人根据《中华人民共和国建筑法》和《建设工程质量管理条例》，经协商一致就</w:t>
      </w:r>
      <w:r>
        <w:rPr>
          <w:rFonts w:hint="eastAsia" w:ascii="宋体" w:hAnsi="宋体"/>
          <w:szCs w:val="21"/>
          <w:highlight w:val="none"/>
          <w:u w:val="single"/>
          <w:lang w:eastAsia="zh-CN"/>
        </w:rPr>
        <w:t>交通执法基层站所修缮维护项目</w:t>
      </w:r>
      <w:r>
        <w:rPr>
          <w:rFonts w:ascii="宋体" w:hAnsi="宋体"/>
          <w:szCs w:val="21"/>
          <w:highlight w:val="none"/>
        </w:rPr>
        <w:t>（工程全称）签订工程质量保修书。</w:t>
      </w:r>
    </w:p>
    <w:p w14:paraId="010868BB">
      <w:pPr>
        <w:spacing w:line="480" w:lineRule="auto"/>
        <w:ind w:firstLine="359" w:firstLineChars="171"/>
        <w:rPr>
          <w:rFonts w:ascii="宋体" w:hAnsi="宋体"/>
          <w:szCs w:val="21"/>
          <w:highlight w:val="none"/>
        </w:rPr>
      </w:pPr>
      <w:r>
        <w:rPr>
          <w:rFonts w:ascii="宋体" w:hAnsi="宋体"/>
          <w:szCs w:val="21"/>
          <w:highlight w:val="none"/>
        </w:rPr>
        <w:t>一、工程质量保修范围和内容</w:t>
      </w:r>
    </w:p>
    <w:p w14:paraId="5C8B8FB0">
      <w:pPr>
        <w:spacing w:line="480" w:lineRule="auto"/>
        <w:ind w:firstLine="359" w:firstLineChars="171"/>
        <w:rPr>
          <w:rFonts w:ascii="宋体" w:hAnsi="宋体"/>
          <w:szCs w:val="21"/>
          <w:highlight w:val="none"/>
        </w:rPr>
      </w:pPr>
      <w:r>
        <w:rPr>
          <w:rFonts w:ascii="宋体" w:hAnsi="宋体"/>
          <w:szCs w:val="21"/>
          <w:highlight w:val="none"/>
        </w:rPr>
        <w:t>承包人在质量保修期内，按照有关法律规定和合同约定，承担工程质量保修责任。</w:t>
      </w:r>
    </w:p>
    <w:p w14:paraId="754927C2">
      <w:pPr>
        <w:spacing w:line="480" w:lineRule="auto"/>
        <w:ind w:firstLine="359" w:firstLineChars="171"/>
        <w:rPr>
          <w:rFonts w:ascii="宋体" w:hAnsi="宋体"/>
          <w:szCs w:val="21"/>
          <w:highlight w:val="none"/>
        </w:rPr>
      </w:pPr>
      <w:r>
        <w:rPr>
          <w:rFonts w:ascii="宋体" w:hAnsi="宋体"/>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szCs w:val="21"/>
          <w:highlight w:val="none"/>
          <w:u w:val="single"/>
        </w:rPr>
        <w:t xml:space="preserve"> </w:t>
      </w:r>
      <w:r>
        <w:rPr>
          <w:rFonts w:hint="eastAsia" w:ascii="宋体" w:hAnsi="宋体"/>
          <w:szCs w:val="21"/>
          <w:highlight w:val="none"/>
          <w:u w:val="single"/>
        </w:rPr>
        <w:t>按国家有关规定</w:t>
      </w:r>
      <w:r>
        <w:rPr>
          <w:rFonts w:ascii="宋体" w:hAnsi="宋体"/>
          <w:szCs w:val="21"/>
          <w:highlight w:val="none"/>
          <w:u w:val="single"/>
        </w:rPr>
        <w:t xml:space="preserve">  </w:t>
      </w:r>
      <w:r>
        <w:rPr>
          <w:rFonts w:ascii="宋体" w:hAnsi="宋体"/>
          <w:szCs w:val="21"/>
          <w:highlight w:val="none"/>
        </w:rPr>
        <w:t>。</w:t>
      </w:r>
    </w:p>
    <w:p w14:paraId="70E347F5">
      <w:pPr>
        <w:spacing w:line="480" w:lineRule="auto"/>
        <w:ind w:firstLine="359" w:firstLineChars="171"/>
        <w:rPr>
          <w:rFonts w:ascii="宋体" w:hAnsi="宋体"/>
          <w:szCs w:val="21"/>
          <w:highlight w:val="none"/>
        </w:rPr>
      </w:pPr>
      <w:r>
        <w:rPr>
          <w:rFonts w:ascii="宋体" w:hAnsi="宋体"/>
          <w:szCs w:val="21"/>
          <w:highlight w:val="none"/>
        </w:rPr>
        <w:t>二、质量保修期</w:t>
      </w:r>
    </w:p>
    <w:p w14:paraId="0CF56BAA">
      <w:pPr>
        <w:spacing w:line="480" w:lineRule="auto"/>
        <w:ind w:firstLine="359" w:firstLineChars="171"/>
        <w:rPr>
          <w:rFonts w:ascii="宋体" w:hAnsi="宋体"/>
          <w:szCs w:val="21"/>
          <w:highlight w:val="none"/>
        </w:rPr>
      </w:pPr>
      <w:r>
        <w:rPr>
          <w:rFonts w:ascii="宋体" w:hAnsi="宋体"/>
          <w:szCs w:val="21"/>
          <w:highlight w:val="none"/>
        </w:rPr>
        <w:t>根据《建设工程质量管理条例》及有关规定，工程的质量保修期如下：</w:t>
      </w:r>
    </w:p>
    <w:p w14:paraId="420C68FB">
      <w:pPr>
        <w:spacing w:line="480" w:lineRule="auto"/>
        <w:ind w:firstLine="359" w:firstLineChars="171"/>
        <w:rPr>
          <w:rFonts w:hint="eastAsia" w:ascii="宋体" w:hAnsi="宋体"/>
          <w:szCs w:val="21"/>
          <w:highlight w:val="none"/>
        </w:rPr>
      </w:pPr>
      <w:r>
        <w:rPr>
          <w:rFonts w:hint="eastAsia" w:ascii="宋体" w:hAnsi="宋体"/>
          <w:szCs w:val="21"/>
          <w:highlight w:val="none"/>
        </w:rPr>
        <w:t>1．地基基础工程和主体结构工程为设计文件规定的工程合理使用年限；</w:t>
      </w:r>
    </w:p>
    <w:p w14:paraId="5B3C6550">
      <w:pPr>
        <w:spacing w:line="480" w:lineRule="auto"/>
        <w:ind w:firstLine="359" w:firstLineChars="171"/>
        <w:rPr>
          <w:rFonts w:ascii="宋体" w:hAnsi="宋体"/>
          <w:szCs w:val="21"/>
          <w:highlight w:val="none"/>
        </w:rPr>
      </w:pPr>
      <w:r>
        <w:rPr>
          <w:rFonts w:hint="eastAsia" w:ascii="宋体" w:hAnsi="宋体"/>
          <w:szCs w:val="21"/>
          <w:highlight w:val="none"/>
        </w:rPr>
        <w:t>2．</w:t>
      </w:r>
      <w:r>
        <w:rPr>
          <w:rFonts w:ascii="宋体" w:hAnsi="宋体"/>
          <w:szCs w:val="21"/>
          <w:highlight w:val="none"/>
        </w:rPr>
        <w:t>屋面防水工程、有防水要求的卫生间、房间和外墙面的防渗</w:t>
      </w:r>
      <w:r>
        <w:rPr>
          <w:rFonts w:hint="eastAsia" w:ascii="宋体" w:hAnsi="宋体"/>
          <w:szCs w:val="21"/>
          <w:highlight w:val="none"/>
        </w:rPr>
        <w:t>为</w:t>
      </w:r>
      <w:r>
        <w:rPr>
          <w:rFonts w:hint="eastAsia" w:ascii="宋体" w:hAnsi="宋体"/>
          <w:szCs w:val="21"/>
          <w:highlight w:val="none"/>
          <w:u w:val="single"/>
        </w:rPr>
        <w:t xml:space="preserve"> 5 </w:t>
      </w:r>
      <w:r>
        <w:rPr>
          <w:rFonts w:ascii="宋体" w:hAnsi="宋体"/>
          <w:szCs w:val="21"/>
          <w:highlight w:val="none"/>
        </w:rPr>
        <w:t>年；</w:t>
      </w:r>
    </w:p>
    <w:p w14:paraId="62214B3F">
      <w:pPr>
        <w:spacing w:line="480" w:lineRule="auto"/>
        <w:ind w:firstLine="359" w:firstLineChars="171"/>
        <w:rPr>
          <w:rFonts w:ascii="宋体" w:hAnsi="宋体"/>
          <w:szCs w:val="21"/>
          <w:highlight w:val="none"/>
        </w:rPr>
      </w:pPr>
      <w:r>
        <w:rPr>
          <w:rFonts w:hint="eastAsia" w:ascii="宋体" w:hAnsi="宋体"/>
          <w:szCs w:val="21"/>
          <w:highlight w:val="none"/>
        </w:rPr>
        <w:t>3．</w:t>
      </w:r>
      <w:r>
        <w:rPr>
          <w:rFonts w:ascii="宋体" w:hAnsi="宋体"/>
          <w:szCs w:val="21"/>
          <w:highlight w:val="none"/>
        </w:rPr>
        <w:t>装修工程为</w:t>
      </w:r>
      <w:r>
        <w:rPr>
          <w:rFonts w:ascii="宋体" w:hAnsi="宋体"/>
          <w:szCs w:val="21"/>
          <w:highlight w:val="none"/>
          <w:u w:val="single"/>
        </w:rPr>
        <w:t xml:space="preserve">  </w:t>
      </w:r>
      <w:r>
        <w:rPr>
          <w:rFonts w:hint="eastAsia" w:ascii="宋体" w:hAnsi="宋体"/>
          <w:szCs w:val="21"/>
          <w:highlight w:val="none"/>
          <w:u w:val="single"/>
        </w:rPr>
        <w:t>2</w:t>
      </w:r>
      <w:r>
        <w:rPr>
          <w:rFonts w:ascii="宋体" w:hAnsi="宋体"/>
          <w:szCs w:val="21"/>
          <w:highlight w:val="none"/>
          <w:u w:val="single"/>
        </w:rPr>
        <w:t xml:space="preserve">  </w:t>
      </w:r>
      <w:r>
        <w:rPr>
          <w:rFonts w:ascii="宋体" w:hAnsi="宋体"/>
          <w:szCs w:val="21"/>
          <w:highlight w:val="none"/>
        </w:rPr>
        <w:t>年；</w:t>
      </w:r>
    </w:p>
    <w:p w14:paraId="1373595F">
      <w:pPr>
        <w:spacing w:line="480" w:lineRule="auto"/>
        <w:ind w:firstLine="359" w:firstLineChars="171"/>
        <w:rPr>
          <w:rFonts w:ascii="宋体" w:hAnsi="宋体"/>
          <w:szCs w:val="21"/>
          <w:highlight w:val="none"/>
        </w:rPr>
      </w:pPr>
      <w:r>
        <w:rPr>
          <w:rFonts w:hint="eastAsia" w:ascii="宋体" w:hAnsi="宋体"/>
          <w:szCs w:val="21"/>
          <w:highlight w:val="none"/>
        </w:rPr>
        <w:t>4．</w:t>
      </w:r>
      <w:r>
        <w:rPr>
          <w:rFonts w:ascii="宋体" w:hAnsi="宋体"/>
          <w:szCs w:val="21"/>
          <w:highlight w:val="none"/>
        </w:rPr>
        <w:t>电气管线、给排水管道、设备安装工程为</w:t>
      </w:r>
      <w:r>
        <w:rPr>
          <w:rFonts w:ascii="宋体" w:hAnsi="宋体"/>
          <w:szCs w:val="21"/>
          <w:highlight w:val="none"/>
          <w:u w:val="single"/>
        </w:rPr>
        <w:t xml:space="preserve">  </w:t>
      </w:r>
      <w:r>
        <w:rPr>
          <w:rFonts w:hint="eastAsia" w:ascii="宋体" w:hAnsi="宋体"/>
          <w:szCs w:val="21"/>
          <w:highlight w:val="none"/>
          <w:u w:val="single"/>
        </w:rPr>
        <w:t>2</w:t>
      </w:r>
      <w:r>
        <w:rPr>
          <w:rFonts w:ascii="宋体" w:hAnsi="宋体"/>
          <w:szCs w:val="21"/>
          <w:highlight w:val="none"/>
          <w:u w:val="single"/>
        </w:rPr>
        <w:t xml:space="preserve">  </w:t>
      </w:r>
      <w:r>
        <w:rPr>
          <w:rFonts w:ascii="宋体" w:hAnsi="宋体"/>
          <w:szCs w:val="21"/>
          <w:highlight w:val="none"/>
        </w:rPr>
        <w:t>年；</w:t>
      </w:r>
    </w:p>
    <w:p w14:paraId="5F0FF4A4">
      <w:pPr>
        <w:spacing w:line="480" w:lineRule="auto"/>
        <w:ind w:firstLine="359" w:firstLineChars="171"/>
        <w:rPr>
          <w:rFonts w:ascii="宋体" w:hAnsi="宋体"/>
          <w:szCs w:val="21"/>
          <w:highlight w:val="none"/>
        </w:rPr>
      </w:pPr>
      <w:r>
        <w:rPr>
          <w:rFonts w:hint="eastAsia" w:ascii="宋体" w:hAnsi="宋体"/>
          <w:szCs w:val="21"/>
          <w:highlight w:val="none"/>
        </w:rPr>
        <w:t>5．</w:t>
      </w:r>
      <w:r>
        <w:rPr>
          <w:rFonts w:ascii="宋体" w:hAnsi="宋体"/>
          <w:szCs w:val="21"/>
          <w:highlight w:val="none"/>
        </w:rPr>
        <w:t>供热与供冷系统为</w:t>
      </w:r>
      <w:r>
        <w:rPr>
          <w:rFonts w:ascii="宋体" w:hAnsi="宋体"/>
          <w:szCs w:val="21"/>
          <w:highlight w:val="none"/>
          <w:u w:val="single"/>
        </w:rPr>
        <w:t xml:space="preserve">  </w:t>
      </w:r>
      <w:r>
        <w:rPr>
          <w:rFonts w:hint="eastAsia" w:ascii="宋体" w:hAnsi="宋体"/>
          <w:szCs w:val="21"/>
          <w:highlight w:val="none"/>
          <w:u w:val="single"/>
        </w:rPr>
        <w:t>2</w:t>
      </w:r>
      <w:r>
        <w:rPr>
          <w:rFonts w:ascii="宋体" w:hAnsi="宋体"/>
          <w:szCs w:val="21"/>
          <w:highlight w:val="none"/>
          <w:u w:val="single"/>
        </w:rPr>
        <w:t xml:space="preserve">  </w:t>
      </w:r>
      <w:r>
        <w:rPr>
          <w:rFonts w:ascii="宋体" w:hAnsi="宋体"/>
          <w:szCs w:val="21"/>
          <w:highlight w:val="none"/>
        </w:rPr>
        <w:t>个采暖期、供冷期；</w:t>
      </w:r>
    </w:p>
    <w:p w14:paraId="45FE7E03">
      <w:pPr>
        <w:spacing w:line="480" w:lineRule="auto"/>
        <w:ind w:firstLine="359" w:firstLineChars="171"/>
        <w:rPr>
          <w:rFonts w:ascii="宋体" w:hAnsi="宋体"/>
          <w:szCs w:val="21"/>
          <w:highlight w:val="none"/>
        </w:rPr>
      </w:pPr>
      <w:r>
        <w:rPr>
          <w:rFonts w:hint="eastAsia" w:ascii="宋体" w:hAnsi="宋体"/>
          <w:szCs w:val="21"/>
          <w:highlight w:val="none"/>
        </w:rPr>
        <w:t>6．</w:t>
      </w:r>
      <w:r>
        <w:rPr>
          <w:rFonts w:ascii="宋体" w:hAnsi="宋体"/>
          <w:szCs w:val="21"/>
          <w:highlight w:val="none"/>
        </w:rPr>
        <w:t>住宅小区内的给排水设施、道路等配套工程为</w:t>
      </w:r>
      <w:r>
        <w:rPr>
          <w:rFonts w:ascii="宋体" w:hAnsi="宋体"/>
          <w:szCs w:val="21"/>
          <w:highlight w:val="none"/>
          <w:u w:val="single"/>
        </w:rPr>
        <w:t xml:space="preserve"> </w:t>
      </w:r>
      <w:r>
        <w:rPr>
          <w:rFonts w:hint="eastAsia" w:ascii="宋体" w:hAnsi="宋体"/>
          <w:szCs w:val="21"/>
          <w:highlight w:val="none"/>
          <w:u w:val="single"/>
        </w:rPr>
        <w:t>2</w:t>
      </w:r>
      <w:r>
        <w:rPr>
          <w:rFonts w:ascii="宋体" w:hAnsi="宋体"/>
          <w:szCs w:val="21"/>
          <w:highlight w:val="none"/>
          <w:u w:val="single"/>
        </w:rPr>
        <w:t xml:space="preserve">  </w:t>
      </w:r>
      <w:r>
        <w:rPr>
          <w:rFonts w:ascii="宋体" w:hAnsi="宋体"/>
          <w:szCs w:val="21"/>
          <w:highlight w:val="none"/>
        </w:rPr>
        <w:t>年；</w:t>
      </w:r>
    </w:p>
    <w:p w14:paraId="6563AB7E">
      <w:pPr>
        <w:spacing w:line="480" w:lineRule="auto"/>
        <w:ind w:firstLine="359" w:firstLineChars="171"/>
        <w:rPr>
          <w:rFonts w:hint="eastAsia" w:ascii="宋体" w:hAnsi="宋体"/>
          <w:szCs w:val="21"/>
          <w:highlight w:val="none"/>
        </w:rPr>
      </w:pPr>
      <w:r>
        <w:rPr>
          <w:rFonts w:hint="eastAsia" w:ascii="宋体" w:hAnsi="宋体"/>
          <w:szCs w:val="21"/>
          <w:highlight w:val="none"/>
        </w:rPr>
        <w:t>7．</w:t>
      </w:r>
      <w:r>
        <w:rPr>
          <w:rFonts w:ascii="宋体" w:hAnsi="宋体"/>
          <w:szCs w:val="21"/>
          <w:highlight w:val="none"/>
        </w:rPr>
        <w:t>其他项目保修期限约定如下：</w:t>
      </w:r>
    </w:p>
    <w:p w14:paraId="27F41615">
      <w:pPr>
        <w:spacing w:line="480" w:lineRule="auto"/>
        <w:ind w:firstLine="359" w:firstLineChars="171"/>
        <w:rPr>
          <w:rFonts w:ascii="宋体" w:hAnsi="宋体"/>
          <w:szCs w:val="21"/>
          <w:highlight w:val="none"/>
        </w:rPr>
      </w:pPr>
      <w:r>
        <w:rPr>
          <w:rFonts w:hint="eastAsia" w:ascii="宋体" w:hAnsi="宋体"/>
          <w:szCs w:val="21"/>
          <w:highlight w:val="none"/>
          <w:u w:val="single"/>
        </w:rPr>
        <w:t>本工程施工图所包含的所有项目，均列入本次质量保修范围，质量保修期未明确的均为2年。</w:t>
      </w:r>
      <w:r>
        <w:rPr>
          <w:rFonts w:ascii="宋体" w:hAnsi="宋体"/>
          <w:szCs w:val="21"/>
          <w:highlight w:val="none"/>
        </w:rPr>
        <w:t>质量保修期自工程竣工验收合格之日起计算。</w:t>
      </w:r>
    </w:p>
    <w:p w14:paraId="1A6C03B0">
      <w:pPr>
        <w:spacing w:line="480" w:lineRule="auto"/>
        <w:ind w:firstLine="359" w:firstLineChars="171"/>
        <w:rPr>
          <w:rFonts w:ascii="宋体" w:hAnsi="宋体"/>
          <w:szCs w:val="21"/>
          <w:highlight w:val="none"/>
        </w:rPr>
      </w:pPr>
      <w:r>
        <w:rPr>
          <w:rFonts w:ascii="宋体" w:hAnsi="宋体"/>
          <w:szCs w:val="21"/>
          <w:highlight w:val="none"/>
        </w:rPr>
        <w:t>三、缺陷责任期</w:t>
      </w:r>
    </w:p>
    <w:p w14:paraId="41775C0D">
      <w:pPr>
        <w:spacing w:line="480" w:lineRule="auto"/>
        <w:ind w:firstLine="359" w:firstLineChars="171"/>
        <w:rPr>
          <w:rFonts w:ascii="宋体" w:hAnsi="宋体"/>
          <w:szCs w:val="21"/>
          <w:highlight w:val="none"/>
        </w:rPr>
      </w:pPr>
      <w:r>
        <w:rPr>
          <w:rFonts w:ascii="宋体" w:hAnsi="宋体"/>
          <w:szCs w:val="21"/>
          <w:highlight w:val="none"/>
        </w:rPr>
        <w:t>工程缺陷责任期为</w:t>
      </w:r>
      <w:r>
        <w:rPr>
          <w:rFonts w:ascii="宋体" w:hAnsi="宋体"/>
          <w:szCs w:val="21"/>
          <w:highlight w:val="none"/>
          <w:u w:val="single"/>
        </w:rPr>
        <w:t xml:space="preserve"> </w:t>
      </w:r>
      <w:r>
        <w:rPr>
          <w:rFonts w:hint="eastAsia" w:ascii="宋体" w:hAnsi="宋体"/>
          <w:szCs w:val="21"/>
          <w:highlight w:val="none"/>
          <w:u w:val="single"/>
        </w:rPr>
        <w:t>24</w:t>
      </w:r>
      <w:r>
        <w:rPr>
          <w:rFonts w:ascii="宋体" w:hAnsi="宋体"/>
          <w:szCs w:val="21"/>
          <w:highlight w:val="none"/>
          <w:u w:val="single"/>
        </w:rPr>
        <w:t xml:space="preserve"> </w:t>
      </w:r>
      <w:r>
        <w:rPr>
          <w:rFonts w:ascii="宋体" w:hAnsi="宋体"/>
          <w:szCs w:val="21"/>
          <w:highlight w:val="none"/>
        </w:rPr>
        <w:t>个月，缺陷责任期自工程竣工验收合格之日起计算。单位工程先于全部工程进行验收，单位工程缺陷责任期自单位工程验收合格之日起算。</w:t>
      </w:r>
    </w:p>
    <w:p w14:paraId="116EB796">
      <w:pPr>
        <w:spacing w:line="360" w:lineRule="auto"/>
        <w:ind w:firstLine="420" w:firstLineChars="200"/>
        <w:outlineLvl w:val="0"/>
        <w:rPr>
          <w:rFonts w:hint="eastAsia" w:ascii="宋体" w:hAnsi="宋体"/>
          <w:szCs w:val="21"/>
          <w:highlight w:val="none"/>
        </w:rPr>
      </w:pPr>
      <w:r>
        <w:rPr>
          <w:rFonts w:hint="eastAsia" w:ascii="宋体" w:hAnsi="宋体"/>
          <w:szCs w:val="21"/>
          <w:highlight w:val="none"/>
        </w:rPr>
        <w:t>在保修期第2年满后一个月内按合同退还质量保修金，不计息。</w:t>
      </w:r>
    </w:p>
    <w:p w14:paraId="438F0DE0">
      <w:pPr>
        <w:spacing w:line="360" w:lineRule="auto"/>
        <w:ind w:firstLine="420" w:firstLineChars="200"/>
        <w:outlineLvl w:val="0"/>
        <w:rPr>
          <w:rFonts w:hint="eastAsia" w:ascii="宋体" w:hAnsi="宋体"/>
          <w:szCs w:val="21"/>
          <w:highlight w:val="none"/>
        </w:rPr>
      </w:pPr>
      <w:r>
        <w:rPr>
          <w:rFonts w:ascii="宋体" w:hAnsi="宋体"/>
          <w:szCs w:val="21"/>
          <w:highlight w:val="none"/>
        </w:rPr>
        <w:t>四、质量保修责任</w:t>
      </w:r>
    </w:p>
    <w:p w14:paraId="2B086E53">
      <w:pPr>
        <w:spacing w:line="460" w:lineRule="exact"/>
        <w:ind w:firstLine="420" w:firstLineChars="200"/>
        <w:jc w:val="left"/>
        <w:rPr>
          <w:rFonts w:ascii="宋体" w:hAnsi="宋体"/>
          <w:szCs w:val="21"/>
          <w:highlight w:val="none"/>
        </w:rPr>
      </w:pPr>
      <w:r>
        <w:rPr>
          <w:rFonts w:ascii="宋体" w:hAnsi="宋体"/>
          <w:szCs w:val="21"/>
          <w:highlight w:val="none"/>
        </w:rPr>
        <w:t>1．</w:t>
      </w:r>
      <w:r>
        <w:rPr>
          <w:rFonts w:hint="eastAsia" w:ascii="宋体" w:hAnsi="宋体"/>
          <w:szCs w:val="21"/>
          <w:highlight w:val="none"/>
        </w:rPr>
        <w:t>属于保修范围、内容的项目，承包人应当在接到保修通知之日起7天内派人保修并完成修复，如需配建，可参照厂家的提供时间。若承包人不在约定期限内派人保修的，采购人可以委托他人修理，由此产生的费用采购人有权在质量保证金中扣除。</w:t>
      </w:r>
    </w:p>
    <w:p w14:paraId="4E3A9B82">
      <w:pPr>
        <w:spacing w:line="460" w:lineRule="exact"/>
        <w:ind w:firstLine="420" w:firstLineChars="200"/>
        <w:jc w:val="left"/>
        <w:rPr>
          <w:rFonts w:ascii="宋体" w:hAnsi="宋体"/>
          <w:szCs w:val="21"/>
          <w:highlight w:val="none"/>
        </w:rPr>
      </w:pPr>
      <w:r>
        <w:rPr>
          <w:rFonts w:ascii="宋体" w:hAnsi="宋体"/>
          <w:szCs w:val="21"/>
          <w:highlight w:val="none"/>
        </w:rPr>
        <w:t>2．发生紧急事故需抢修的，承包人在接到事故通知后，应当立即到达事故现场抢修。</w:t>
      </w:r>
    </w:p>
    <w:p w14:paraId="59240FC0">
      <w:pPr>
        <w:spacing w:line="460" w:lineRule="exact"/>
        <w:ind w:firstLine="420" w:firstLineChars="200"/>
        <w:jc w:val="left"/>
        <w:rPr>
          <w:rFonts w:ascii="宋体" w:hAnsi="宋体"/>
          <w:szCs w:val="21"/>
          <w:highlight w:val="none"/>
        </w:rPr>
      </w:pPr>
      <w:r>
        <w:rPr>
          <w:rFonts w:ascii="宋体" w:hAnsi="宋体"/>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71D24A9">
      <w:pPr>
        <w:spacing w:line="460" w:lineRule="exact"/>
        <w:ind w:firstLine="420" w:firstLineChars="200"/>
        <w:jc w:val="left"/>
        <w:rPr>
          <w:rFonts w:ascii="宋体" w:hAnsi="宋体"/>
          <w:szCs w:val="21"/>
          <w:highlight w:val="none"/>
        </w:rPr>
      </w:pPr>
      <w:r>
        <w:rPr>
          <w:rFonts w:ascii="宋体" w:hAnsi="宋体"/>
          <w:szCs w:val="21"/>
          <w:highlight w:val="none"/>
        </w:rPr>
        <w:t>4．质量保修完成后，由采购人组织验收。</w:t>
      </w:r>
    </w:p>
    <w:p w14:paraId="11D51232">
      <w:pPr>
        <w:spacing w:line="460" w:lineRule="exact"/>
        <w:ind w:firstLine="420" w:firstLineChars="200"/>
        <w:jc w:val="left"/>
        <w:rPr>
          <w:rFonts w:ascii="宋体" w:hAnsi="宋体"/>
          <w:szCs w:val="21"/>
          <w:highlight w:val="none"/>
        </w:rPr>
      </w:pPr>
      <w:r>
        <w:rPr>
          <w:rFonts w:ascii="宋体" w:hAnsi="宋体"/>
          <w:szCs w:val="21"/>
          <w:highlight w:val="none"/>
        </w:rPr>
        <w:t>五、保修费用</w:t>
      </w:r>
    </w:p>
    <w:p w14:paraId="3BE4EABA">
      <w:pPr>
        <w:spacing w:line="460" w:lineRule="exact"/>
        <w:ind w:firstLine="420" w:firstLineChars="200"/>
        <w:jc w:val="left"/>
        <w:rPr>
          <w:rFonts w:ascii="宋体" w:hAnsi="宋体"/>
          <w:szCs w:val="21"/>
          <w:highlight w:val="none"/>
        </w:rPr>
      </w:pPr>
      <w:r>
        <w:rPr>
          <w:rFonts w:ascii="宋体" w:hAnsi="宋体"/>
          <w:szCs w:val="21"/>
          <w:highlight w:val="none"/>
        </w:rPr>
        <w:t>保修费用由造成质量缺陷的责任方承担。</w:t>
      </w:r>
    </w:p>
    <w:p w14:paraId="7A5AC5BF">
      <w:pPr>
        <w:spacing w:line="460" w:lineRule="exact"/>
        <w:ind w:firstLine="420" w:firstLineChars="200"/>
        <w:jc w:val="left"/>
        <w:rPr>
          <w:rFonts w:ascii="宋体" w:hAnsi="宋体"/>
          <w:szCs w:val="21"/>
          <w:highlight w:val="none"/>
        </w:rPr>
      </w:pPr>
      <w:r>
        <w:rPr>
          <w:rFonts w:ascii="宋体" w:hAnsi="宋体"/>
          <w:bCs/>
          <w:szCs w:val="21"/>
          <w:highlight w:val="none"/>
        </w:rPr>
        <w:t>六</w:t>
      </w:r>
      <w:r>
        <w:rPr>
          <w:rFonts w:ascii="宋体" w:hAnsi="宋体"/>
          <w:szCs w:val="21"/>
          <w:highlight w:val="none"/>
        </w:rPr>
        <w:t>、双方约定的其他工程质量保修事项：</w:t>
      </w:r>
      <w:r>
        <w:rPr>
          <w:rFonts w:ascii="宋体" w:hAnsi="宋体"/>
          <w:szCs w:val="21"/>
          <w:highlight w:val="none"/>
          <w:u w:val="single"/>
        </w:rPr>
        <w:t xml:space="preserve">      /       </w:t>
      </w:r>
      <w:r>
        <w:rPr>
          <w:rFonts w:ascii="宋体" w:hAnsi="宋体"/>
          <w:szCs w:val="21"/>
          <w:highlight w:val="none"/>
        </w:rPr>
        <w:t>。</w:t>
      </w:r>
    </w:p>
    <w:p w14:paraId="1E8B374F">
      <w:pPr>
        <w:spacing w:line="460" w:lineRule="exact"/>
        <w:ind w:firstLine="420" w:firstLineChars="200"/>
        <w:jc w:val="left"/>
        <w:rPr>
          <w:rFonts w:ascii="宋体" w:hAnsi="宋体"/>
          <w:szCs w:val="21"/>
          <w:highlight w:val="none"/>
        </w:rPr>
      </w:pPr>
      <w:r>
        <w:rPr>
          <w:rFonts w:ascii="宋体" w:hAnsi="宋体"/>
          <w:szCs w:val="21"/>
          <w:highlight w:val="none"/>
        </w:rPr>
        <w:t>工程质量保修书由采购人、承包人在工程竣工验收前共同签署，作为施工合同附件，其有效期限至保修期满。</w:t>
      </w:r>
    </w:p>
    <w:p w14:paraId="2EF9480C">
      <w:pPr>
        <w:spacing w:line="460" w:lineRule="exact"/>
        <w:ind w:firstLine="420" w:firstLineChars="200"/>
        <w:jc w:val="left"/>
        <w:rPr>
          <w:rFonts w:ascii="宋体" w:hAnsi="宋体"/>
          <w:szCs w:val="21"/>
          <w:highlight w:val="none"/>
        </w:rPr>
      </w:pPr>
    </w:p>
    <w:p w14:paraId="53418586">
      <w:pPr>
        <w:spacing w:line="460" w:lineRule="exact"/>
        <w:ind w:firstLine="420" w:firstLineChars="200"/>
        <w:jc w:val="left"/>
        <w:rPr>
          <w:rFonts w:ascii="宋体" w:hAnsi="宋体"/>
          <w:szCs w:val="21"/>
          <w:highlight w:val="none"/>
        </w:rPr>
      </w:pPr>
      <w:r>
        <w:rPr>
          <w:rFonts w:ascii="宋体" w:hAnsi="宋体"/>
          <w:szCs w:val="21"/>
          <w:highlight w:val="none"/>
        </w:rPr>
        <w:t>采购人(公章)：</w:t>
      </w:r>
      <w:r>
        <w:rPr>
          <w:rFonts w:ascii="宋体" w:hAnsi="宋体"/>
          <w:szCs w:val="21"/>
          <w:highlight w:val="none"/>
          <w:u w:val="single"/>
        </w:rPr>
        <w:t xml:space="preserve">  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 xml:space="preserve"> 承包人(公章)：</w:t>
      </w:r>
      <w:r>
        <w:rPr>
          <w:rFonts w:ascii="宋体" w:hAnsi="宋体"/>
          <w:szCs w:val="21"/>
          <w:highlight w:val="none"/>
          <w:u w:val="single"/>
        </w:rPr>
        <w:t xml:space="preserve">           </w:t>
      </w:r>
    </w:p>
    <w:p w14:paraId="0B289A9F">
      <w:pPr>
        <w:spacing w:line="460" w:lineRule="exact"/>
        <w:ind w:firstLine="420" w:firstLineChars="200"/>
        <w:jc w:val="left"/>
        <w:rPr>
          <w:rFonts w:ascii="宋体" w:hAnsi="宋体"/>
          <w:szCs w:val="21"/>
          <w:highlight w:val="none"/>
        </w:rPr>
      </w:pPr>
      <w:r>
        <w:rPr>
          <w:rFonts w:ascii="宋体" w:hAnsi="宋体"/>
          <w:szCs w:val="21"/>
          <w:highlight w:val="none"/>
        </w:rPr>
        <w:t>地  址：</w:t>
      </w:r>
      <w:r>
        <w:rPr>
          <w:rFonts w:hint="eastAsia"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地  址：</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405ACCFB">
      <w:pPr>
        <w:spacing w:line="460" w:lineRule="exact"/>
        <w:ind w:firstLine="420" w:firstLineChars="200"/>
        <w:jc w:val="left"/>
        <w:rPr>
          <w:rFonts w:ascii="宋体" w:hAnsi="宋体"/>
          <w:szCs w:val="21"/>
          <w:highlight w:val="none"/>
        </w:rPr>
      </w:pPr>
      <w:r>
        <w:rPr>
          <w:rFonts w:ascii="宋体" w:hAnsi="宋体"/>
          <w:szCs w:val="21"/>
          <w:highlight w:val="none"/>
        </w:rPr>
        <w:t>法定代表人(签字)：</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法定代表人(签字)：</w:t>
      </w:r>
      <w:r>
        <w:rPr>
          <w:rFonts w:ascii="宋体" w:hAnsi="宋体"/>
          <w:szCs w:val="21"/>
          <w:highlight w:val="none"/>
          <w:u w:val="single"/>
        </w:rPr>
        <w:t xml:space="preserve">       </w:t>
      </w:r>
    </w:p>
    <w:p w14:paraId="76A6C4DB">
      <w:pPr>
        <w:spacing w:line="460" w:lineRule="exact"/>
        <w:ind w:firstLine="420" w:firstLineChars="200"/>
        <w:jc w:val="left"/>
        <w:rPr>
          <w:rFonts w:ascii="宋体" w:hAnsi="宋体"/>
          <w:szCs w:val="21"/>
          <w:highlight w:val="none"/>
        </w:rPr>
      </w:pPr>
      <w:r>
        <w:rPr>
          <w:rFonts w:ascii="宋体" w:hAnsi="宋体"/>
          <w:szCs w:val="21"/>
          <w:highlight w:val="none"/>
        </w:rPr>
        <w:t>委托代理人(签字)：</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委托代理人(签字)：</w:t>
      </w:r>
      <w:r>
        <w:rPr>
          <w:rFonts w:ascii="宋体" w:hAnsi="宋体"/>
          <w:szCs w:val="21"/>
          <w:highlight w:val="none"/>
          <w:u w:val="single"/>
        </w:rPr>
        <w:t xml:space="preserve">       </w:t>
      </w:r>
    </w:p>
    <w:p w14:paraId="72CEAD3A">
      <w:pPr>
        <w:spacing w:line="460" w:lineRule="exact"/>
        <w:ind w:firstLine="420" w:firstLineChars="200"/>
        <w:jc w:val="left"/>
        <w:rPr>
          <w:rFonts w:ascii="宋体" w:hAnsi="宋体"/>
          <w:szCs w:val="21"/>
          <w:highlight w:val="none"/>
        </w:rPr>
      </w:pPr>
      <w:r>
        <w:rPr>
          <w:rFonts w:ascii="宋体" w:hAnsi="宋体"/>
          <w:szCs w:val="21"/>
          <w:highlight w:val="none"/>
        </w:rPr>
        <w:t>电  话：</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电  话：</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4CC6940B">
      <w:pPr>
        <w:spacing w:line="460" w:lineRule="exact"/>
        <w:ind w:firstLine="420" w:firstLineChars="200"/>
        <w:jc w:val="left"/>
        <w:rPr>
          <w:rFonts w:ascii="宋体" w:hAnsi="宋体"/>
          <w:szCs w:val="21"/>
          <w:highlight w:val="none"/>
        </w:rPr>
      </w:pPr>
      <w:r>
        <w:rPr>
          <w:rFonts w:ascii="宋体" w:hAnsi="宋体"/>
          <w:szCs w:val="21"/>
          <w:highlight w:val="none"/>
        </w:rPr>
        <w:t>传  真：</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传  真：</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   </w:t>
      </w:r>
    </w:p>
    <w:p w14:paraId="65447F88">
      <w:pPr>
        <w:spacing w:line="460" w:lineRule="exact"/>
        <w:ind w:firstLine="420" w:firstLineChars="200"/>
        <w:jc w:val="left"/>
        <w:rPr>
          <w:rFonts w:ascii="宋体" w:hAnsi="宋体"/>
          <w:szCs w:val="21"/>
          <w:highlight w:val="none"/>
        </w:rPr>
      </w:pPr>
      <w:r>
        <w:rPr>
          <w:rFonts w:ascii="宋体" w:hAnsi="宋体"/>
          <w:szCs w:val="21"/>
          <w:highlight w:val="none"/>
        </w:rPr>
        <w:t>开户银行：</w:t>
      </w:r>
      <w:r>
        <w:rPr>
          <w:rFonts w:hint="eastAsia"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开户银行：</w:t>
      </w:r>
      <w:r>
        <w:rPr>
          <w:rFonts w:hint="eastAsia" w:ascii="宋体" w:hAnsi="宋体"/>
          <w:szCs w:val="21"/>
          <w:highlight w:val="none"/>
          <w:u w:val="single"/>
        </w:rPr>
        <w:t xml:space="preserve">                  </w:t>
      </w:r>
      <w:r>
        <w:rPr>
          <w:rFonts w:ascii="宋体" w:hAnsi="宋体"/>
          <w:szCs w:val="21"/>
          <w:highlight w:val="none"/>
          <w:u w:val="single"/>
        </w:rPr>
        <w:t xml:space="preserve"> </w:t>
      </w:r>
    </w:p>
    <w:p w14:paraId="0EE66659">
      <w:pPr>
        <w:spacing w:line="460" w:lineRule="exact"/>
        <w:ind w:firstLine="420" w:firstLineChars="200"/>
        <w:jc w:val="left"/>
        <w:rPr>
          <w:rFonts w:ascii="宋体" w:hAnsi="宋体"/>
          <w:szCs w:val="21"/>
          <w:highlight w:val="none"/>
        </w:rPr>
      </w:pPr>
      <w:r>
        <w:rPr>
          <w:rFonts w:ascii="宋体" w:hAnsi="宋体"/>
          <w:szCs w:val="21"/>
          <w:highlight w:val="none"/>
        </w:rPr>
        <w:t>账  号：</w:t>
      </w:r>
      <w:r>
        <w:rPr>
          <w:rFonts w:hint="eastAsia"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账  号：</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40E17214">
      <w:pPr>
        <w:spacing w:line="460" w:lineRule="exact"/>
        <w:ind w:firstLine="420" w:firstLineChars="200"/>
        <w:jc w:val="left"/>
        <w:rPr>
          <w:rFonts w:ascii="宋体" w:hAnsi="宋体"/>
          <w:szCs w:val="21"/>
          <w:highlight w:val="none"/>
          <w:u w:val="single"/>
        </w:rPr>
      </w:pPr>
      <w:r>
        <w:rPr>
          <w:rFonts w:ascii="宋体" w:hAnsi="宋体"/>
          <w:szCs w:val="21"/>
          <w:highlight w:val="none"/>
        </w:rPr>
        <w:t>邮政编码：</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邮政编码：</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6D08FF5D">
      <w:pPr>
        <w:spacing w:line="360" w:lineRule="auto"/>
        <w:rPr>
          <w:rFonts w:hint="eastAsia" w:ascii="宋体" w:hAnsi="宋体"/>
          <w:b/>
          <w:highlight w:val="none"/>
        </w:rPr>
      </w:pPr>
    </w:p>
    <w:p w14:paraId="1A4E2528">
      <w:pPr>
        <w:spacing w:line="360" w:lineRule="auto"/>
        <w:ind w:firstLine="562" w:firstLineChars="200"/>
        <w:rPr>
          <w:rFonts w:hint="eastAsia" w:ascii="宋体" w:hAnsi="宋体"/>
          <w:szCs w:val="21"/>
          <w:highlight w:val="none"/>
        </w:rPr>
      </w:pPr>
      <w:r>
        <w:rPr>
          <w:rFonts w:ascii="宋体" w:hAnsi="宋体"/>
          <w:b/>
          <w:bCs/>
          <w:sz w:val="28"/>
          <w:szCs w:val="28"/>
          <w:highlight w:val="none"/>
        </w:rPr>
        <w:br w:type="page"/>
      </w:r>
      <w:r>
        <w:rPr>
          <w:rFonts w:hint="eastAsia" w:ascii="宋体" w:hAnsi="宋体"/>
          <w:szCs w:val="21"/>
          <w:highlight w:val="none"/>
        </w:rPr>
        <w:t>附件4：</w:t>
      </w:r>
    </w:p>
    <w:p w14:paraId="1E5E09E8">
      <w:pPr>
        <w:spacing w:line="360" w:lineRule="auto"/>
        <w:ind w:firstLine="422" w:firstLineChars="200"/>
        <w:jc w:val="center"/>
        <w:rPr>
          <w:rFonts w:hint="eastAsia" w:ascii="宋体" w:hAnsi="宋体"/>
          <w:b/>
          <w:szCs w:val="21"/>
          <w:highlight w:val="none"/>
        </w:rPr>
      </w:pPr>
      <w:r>
        <w:rPr>
          <w:rFonts w:hint="eastAsia" w:ascii="宋体" w:hAnsi="宋体"/>
          <w:b/>
          <w:szCs w:val="21"/>
          <w:highlight w:val="none"/>
        </w:rPr>
        <w:t>安全生产合同</w:t>
      </w:r>
    </w:p>
    <w:p w14:paraId="620D003A">
      <w:pPr>
        <w:spacing w:line="360" w:lineRule="auto"/>
        <w:ind w:firstLine="420" w:firstLineChars="200"/>
        <w:rPr>
          <w:rFonts w:hint="eastAsia" w:ascii="宋体" w:hAnsi="宋体"/>
          <w:szCs w:val="21"/>
          <w:highlight w:val="none"/>
        </w:rPr>
      </w:pPr>
      <w:r>
        <w:rPr>
          <w:rFonts w:hint="eastAsia" w:ascii="宋体" w:hAnsi="宋体"/>
          <w:szCs w:val="21"/>
          <w:highlight w:val="none"/>
        </w:rPr>
        <w:t>为在</w:t>
      </w:r>
      <w:r>
        <w:rPr>
          <w:rFonts w:hint="eastAsia" w:ascii="宋体" w:hAnsi="宋体"/>
          <w:szCs w:val="21"/>
          <w:highlight w:val="none"/>
          <w:u w:val="single"/>
        </w:rPr>
        <w:t xml:space="preserve"> </w:t>
      </w:r>
      <w:r>
        <w:rPr>
          <w:rFonts w:hint="eastAsia" w:ascii="宋体" w:hAnsi="宋体"/>
          <w:b/>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施工合同的实施过程中创造安全、高效的施工环境，依据《中华人民共和国安全生产法》、《中华人民共和国建筑法》、《中华人民共和国劳动法》等相关法律法规，切实搞好本项目的安全管理工作，本项目业主</w:t>
      </w:r>
      <w:r>
        <w:rPr>
          <w:rFonts w:hint="eastAsia" w:ascii="宋体" w:hAnsi="宋体"/>
          <w:szCs w:val="21"/>
          <w:highlight w:val="none"/>
          <w:u w:val="single"/>
        </w:rPr>
        <w:t xml:space="preserve"> </w:t>
      </w:r>
      <w:r>
        <w:rPr>
          <w:rFonts w:hint="eastAsia" w:ascii="宋体" w:hAnsi="宋体"/>
          <w:b/>
          <w:bCs/>
          <w:szCs w:val="21"/>
          <w:highlight w:val="none"/>
          <w:u w:val="single"/>
          <w:lang w:eastAsia="zh-CN"/>
        </w:rPr>
        <w:t>嘉兴市交通运输行政执法队</w:t>
      </w:r>
      <w:r>
        <w:rPr>
          <w:rFonts w:hint="eastAsia" w:ascii="宋体" w:hAnsi="宋体"/>
          <w:b/>
          <w:szCs w:val="21"/>
          <w:highlight w:val="none"/>
          <w:u w:val="single"/>
        </w:rPr>
        <w:t xml:space="preserve"> </w:t>
      </w:r>
      <w:r>
        <w:rPr>
          <w:rFonts w:hint="eastAsia" w:ascii="宋体" w:hAnsi="宋体"/>
          <w:szCs w:val="21"/>
          <w:highlight w:val="none"/>
        </w:rPr>
        <w:t>（以下简称“甲方”）与承包人</w:t>
      </w:r>
      <w:r>
        <w:rPr>
          <w:rFonts w:hint="eastAsia" w:ascii="宋体" w:hAnsi="宋体"/>
          <w:b/>
          <w:szCs w:val="21"/>
          <w:highlight w:val="none"/>
          <w:u w:val="single"/>
        </w:rPr>
        <w:t xml:space="preserve">                        </w:t>
      </w:r>
      <w:r>
        <w:rPr>
          <w:rFonts w:hint="eastAsia" w:ascii="宋体" w:hAnsi="宋体"/>
          <w:szCs w:val="21"/>
          <w:highlight w:val="none"/>
        </w:rPr>
        <w:t>（以下简称“乙方”）特此签订安全生产合同：</w:t>
      </w:r>
    </w:p>
    <w:p w14:paraId="5EE2E4AC">
      <w:pPr>
        <w:spacing w:line="360" w:lineRule="auto"/>
        <w:ind w:firstLine="420" w:firstLineChars="200"/>
        <w:rPr>
          <w:rFonts w:hint="eastAsia" w:ascii="宋体" w:hAnsi="宋体"/>
          <w:szCs w:val="21"/>
          <w:highlight w:val="none"/>
        </w:rPr>
      </w:pPr>
      <w:r>
        <w:rPr>
          <w:rFonts w:hint="eastAsia" w:ascii="宋体" w:hAnsi="宋体"/>
          <w:szCs w:val="21"/>
          <w:highlight w:val="none"/>
        </w:rPr>
        <w:t>一、甲方职责</w:t>
      </w:r>
    </w:p>
    <w:p w14:paraId="5F2473F9">
      <w:pPr>
        <w:spacing w:line="360" w:lineRule="auto"/>
        <w:ind w:firstLine="420" w:firstLineChars="200"/>
        <w:rPr>
          <w:rFonts w:hint="eastAsia" w:ascii="宋体" w:hAnsi="宋体"/>
          <w:szCs w:val="21"/>
          <w:highlight w:val="none"/>
        </w:rPr>
      </w:pPr>
      <w:r>
        <w:rPr>
          <w:rFonts w:hint="eastAsia" w:ascii="宋体" w:hAnsi="宋体"/>
          <w:szCs w:val="21"/>
          <w:highlight w:val="none"/>
        </w:rPr>
        <w:t>1、严格遵守国家有关安全生产的法律法规，认真执行工程承包合同中的有关安全要求。</w:t>
      </w:r>
    </w:p>
    <w:p w14:paraId="3A62BDD0">
      <w:pPr>
        <w:spacing w:line="360" w:lineRule="auto"/>
        <w:ind w:firstLine="420" w:firstLineChars="200"/>
        <w:rPr>
          <w:rFonts w:hint="eastAsia" w:ascii="宋体" w:hAnsi="宋体"/>
          <w:szCs w:val="21"/>
          <w:highlight w:val="none"/>
        </w:rPr>
      </w:pPr>
      <w:r>
        <w:rPr>
          <w:rFonts w:hint="eastAsia" w:ascii="宋体" w:hAnsi="宋体"/>
          <w:szCs w:val="21"/>
          <w:highlight w:val="none"/>
        </w:rPr>
        <w:t>2、按照“安全第一、预防为主”和坚持“管生产必须管安全“的原则进行安全生产管理，做到生产与安全工作同时计划、布置、检查、总结和评比。</w:t>
      </w:r>
    </w:p>
    <w:p w14:paraId="041540C2">
      <w:pPr>
        <w:spacing w:line="360" w:lineRule="auto"/>
        <w:ind w:firstLine="420" w:firstLineChars="200"/>
        <w:rPr>
          <w:rFonts w:hint="eastAsia" w:ascii="宋体" w:hAnsi="宋体"/>
          <w:szCs w:val="21"/>
          <w:highlight w:val="none"/>
        </w:rPr>
      </w:pPr>
      <w:r>
        <w:rPr>
          <w:rFonts w:hint="eastAsia" w:ascii="宋体" w:hAnsi="宋体"/>
          <w:szCs w:val="21"/>
          <w:highlight w:val="none"/>
        </w:rPr>
        <w:t>3、重要的安全设施必须坚持与主体工程“三同时”的原则，即：同时设计、审批，同时施工，同时验收、投入使用。</w:t>
      </w:r>
    </w:p>
    <w:p w14:paraId="3B4E629E">
      <w:pPr>
        <w:spacing w:line="360" w:lineRule="auto"/>
        <w:ind w:firstLine="420" w:firstLineChars="200"/>
        <w:rPr>
          <w:rFonts w:hint="eastAsia" w:ascii="宋体" w:hAnsi="宋体"/>
          <w:szCs w:val="21"/>
          <w:highlight w:val="none"/>
        </w:rPr>
      </w:pPr>
      <w:r>
        <w:rPr>
          <w:rFonts w:hint="eastAsia" w:ascii="宋体" w:hAnsi="宋体"/>
          <w:szCs w:val="21"/>
          <w:highlight w:val="none"/>
        </w:rPr>
        <w:t>4、定期召开安全生产调度会，及时传达国家及地方有关安全生产的精神。</w:t>
      </w:r>
    </w:p>
    <w:p w14:paraId="232BCE25">
      <w:pPr>
        <w:spacing w:line="360" w:lineRule="auto"/>
        <w:ind w:firstLine="420" w:firstLineChars="200"/>
        <w:rPr>
          <w:rFonts w:hint="eastAsia" w:ascii="宋体" w:hAnsi="宋体"/>
          <w:szCs w:val="21"/>
          <w:highlight w:val="none"/>
        </w:rPr>
      </w:pPr>
      <w:r>
        <w:rPr>
          <w:rFonts w:hint="eastAsia" w:ascii="宋体" w:hAnsi="宋体"/>
          <w:szCs w:val="21"/>
          <w:highlight w:val="none"/>
        </w:rPr>
        <w:t>5、组织对乙方施工现场安全生产检查，监督乙方及时处理发现的各种安全隐患。</w:t>
      </w:r>
    </w:p>
    <w:p w14:paraId="0FBC4837">
      <w:pPr>
        <w:spacing w:line="360" w:lineRule="auto"/>
        <w:ind w:firstLine="420" w:firstLineChars="200"/>
        <w:rPr>
          <w:rFonts w:hint="eastAsia" w:ascii="宋体" w:hAnsi="宋体"/>
          <w:szCs w:val="21"/>
          <w:highlight w:val="none"/>
        </w:rPr>
      </w:pPr>
      <w:r>
        <w:rPr>
          <w:rFonts w:hint="eastAsia" w:ascii="宋体" w:hAnsi="宋体"/>
          <w:szCs w:val="21"/>
          <w:highlight w:val="none"/>
        </w:rPr>
        <w:t>二、乙方职责</w:t>
      </w:r>
    </w:p>
    <w:p w14:paraId="4CA9E94F">
      <w:pPr>
        <w:spacing w:line="360" w:lineRule="auto"/>
        <w:ind w:firstLine="420" w:firstLineChars="200"/>
        <w:rPr>
          <w:rFonts w:hint="eastAsia" w:ascii="宋体" w:hAnsi="宋体"/>
          <w:szCs w:val="21"/>
          <w:highlight w:val="none"/>
        </w:rPr>
      </w:pPr>
      <w:r>
        <w:rPr>
          <w:rFonts w:hint="eastAsia" w:ascii="宋体" w:hAnsi="宋体"/>
          <w:szCs w:val="21"/>
          <w:highlight w:val="none"/>
        </w:rPr>
        <w:t>1、严格遵守国家有关安全生产的法律法规，认真执行工程承包合同中的有关安全要求。</w:t>
      </w:r>
    </w:p>
    <w:p w14:paraId="15438AF1">
      <w:pPr>
        <w:spacing w:line="360" w:lineRule="auto"/>
        <w:ind w:firstLine="420" w:firstLineChars="200"/>
        <w:rPr>
          <w:rFonts w:hint="eastAsia" w:ascii="宋体" w:hAnsi="宋体"/>
          <w:szCs w:val="21"/>
          <w:highlight w:val="none"/>
        </w:rPr>
      </w:pPr>
      <w:r>
        <w:rPr>
          <w:rFonts w:hint="eastAsia" w:ascii="宋体" w:hAnsi="宋体"/>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的计划、布置、检查、总结和评比。</w:t>
      </w:r>
    </w:p>
    <w:p w14:paraId="498F5B3D">
      <w:pPr>
        <w:spacing w:line="360" w:lineRule="auto"/>
        <w:ind w:firstLine="420" w:firstLineChars="200"/>
        <w:rPr>
          <w:rFonts w:hint="eastAsia" w:ascii="宋体" w:hAnsi="宋体"/>
          <w:szCs w:val="21"/>
          <w:highlight w:val="none"/>
        </w:rPr>
      </w:pPr>
      <w:r>
        <w:rPr>
          <w:rFonts w:hint="eastAsia" w:ascii="宋体" w:hAnsi="宋体"/>
          <w:szCs w:val="21"/>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565484A0">
      <w:pPr>
        <w:spacing w:line="360" w:lineRule="auto"/>
        <w:ind w:firstLine="420" w:firstLineChars="200"/>
        <w:rPr>
          <w:rFonts w:hint="eastAsia" w:ascii="宋体" w:hAnsi="宋体"/>
          <w:szCs w:val="21"/>
          <w:highlight w:val="none"/>
        </w:rPr>
      </w:pPr>
      <w:r>
        <w:rPr>
          <w:rFonts w:hint="eastAsia" w:ascii="宋体" w:hAnsi="宋体"/>
          <w:szCs w:val="21"/>
          <w:highlight w:val="none"/>
        </w:rPr>
        <w:t>4、乙方在任何时候都应采取各种合理的预防措施，防止其员工发生任何违法、违禁、暴力或妨碍治安的行为。</w:t>
      </w:r>
    </w:p>
    <w:p w14:paraId="1B03FA1A">
      <w:pPr>
        <w:spacing w:line="360" w:lineRule="auto"/>
        <w:ind w:firstLine="420" w:firstLineChars="200"/>
        <w:rPr>
          <w:rFonts w:hint="eastAsia" w:ascii="宋体" w:hAnsi="宋体"/>
          <w:szCs w:val="21"/>
          <w:highlight w:val="none"/>
        </w:rPr>
      </w:pPr>
      <w:r>
        <w:rPr>
          <w:rFonts w:hint="eastAsia" w:ascii="宋体" w:hAnsi="宋体"/>
          <w:szCs w:val="21"/>
          <w:highlight w:val="none"/>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人员，经过专业培训，获得《安全操作合格证》后，方准持证上岗。施工现场如出现特种作业无证操作现象，项目经理必须承担管理责任。</w:t>
      </w:r>
    </w:p>
    <w:p w14:paraId="1AFE69CE">
      <w:pPr>
        <w:spacing w:line="360" w:lineRule="auto"/>
        <w:ind w:firstLine="420" w:firstLineChars="200"/>
        <w:rPr>
          <w:rFonts w:hint="eastAsia" w:ascii="宋体" w:hAnsi="宋体"/>
          <w:szCs w:val="21"/>
          <w:highlight w:val="none"/>
        </w:rPr>
      </w:pPr>
      <w:r>
        <w:rPr>
          <w:rFonts w:hint="eastAsia" w:ascii="宋体" w:hAnsi="宋体"/>
          <w:szCs w:val="21"/>
          <w:highlight w:val="none"/>
        </w:rPr>
        <w:t>6、对于易燃易爆的材料除应专门妥善保管之外，还应配备有足够的消防设施，所有施工人员都应该熟悉消防设备的性能和使用方法；乙方不得将任何种类的爆炸物给予、易货或以其他方式转让给任何其他人，或允许、容忍上述同样行为。</w:t>
      </w:r>
    </w:p>
    <w:p w14:paraId="47B1C3A6">
      <w:pPr>
        <w:spacing w:line="360" w:lineRule="auto"/>
        <w:ind w:firstLine="420" w:firstLineChars="200"/>
        <w:rPr>
          <w:rFonts w:hint="eastAsia" w:ascii="宋体" w:hAnsi="宋体"/>
          <w:szCs w:val="21"/>
          <w:highlight w:val="none"/>
        </w:rPr>
      </w:pPr>
      <w:r>
        <w:rPr>
          <w:rFonts w:hint="eastAsia" w:ascii="宋体" w:hAnsi="宋体"/>
          <w:szCs w:val="21"/>
          <w:highlight w:val="none"/>
        </w:rPr>
        <w:t>7、操作人员上岗，必须按规定穿戴防护用品。施工负责人和安全检查员应随时检查劳动防护用品的穿戴情况，不按规定穿戴防护用品的人员不得上岗。</w:t>
      </w:r>
    </w:p>
    <w:p w14:paraId="5D5EAD01">
      <w:pPr>
        <w:spacing w:line="360" w:lineRule="auto"/>
        <w:ind w:firstLine="420" w:firstLineChars="200"/>
        <w:rPr>
          <w:rFonts w:hint="eastAsia" w:ascii="宋体" w:hAnsi="宋体"/>
          <w:szCs w:val="21"/>
          <w:highlight w:val="none"/>
        </w:rPr>
      </w:pPr>
      <w:r>
        <w:rPr>
          <w:rFonts w:hint="eastAsia" w:ascii="宋体" w:hAnsi="宋体"/>
          <w:szCs w:val="21"/>
          <w:highlight w:val="none"/>
        </w:rPr>
        <w:t>8、所有施工机具设备和高空作业设备均应定期检查，并有安全员的签字记录，保证其经常处于完好状态；不合格的机具、设备和劳动保护用品严禁使用。</w:t>
      </w:r>
    </w:p>
    <w:p w14:paraId="53BC9456">
      <w:pPr>
        <w:spacing w:line="360" w:lineRule="auto"/>
        <w:ind w:firstLine="420" w:firstLineChars="200"/>
        <w:rPr>
          <w:rFonts w:hint="eastAsia" w:ascii="宋体" w:hAnsi="宋体"/>
          <w:szCs w:val="21"/>
          <w:highlight w:val="none"/>
        </w:rPr>
      </w:pPr>
      <w:r>
        <w:rPr>
          <w:rFonts w:hint="eastAsia" w:ascii="宋体" w:hAnsi="宋体"/>
          <w:szCs w:val="21"/>
          <w:highlight w:val="none"/>
        </w:rPr>
        <w:t>9、施工中采用新技术、新工艺、新设备、新材料时，必须制定相应的安全技术措施，施工现场必须具有相关的安全标志牌。</w:t>
      </w:r>
    </w:p>
    <w:p w14:paraId="51DCB8EB">
      <w:pPr>
        <w:spacing w:line="360" w:lineRule="auto"/>
        <w:ind w:firstLine="420" w:firstLineChars="200"/>
        <w:rPr>
          <w:rFonts w:hint="eastAsia" w:ascii="宋体" w:hAnsi="宋体"/>
          <w:szCs w:val="21"/>
          <w:highlight w:val="none"/>
        </w:rPr>
      </w:pPr>
      <w:r>
        <w:rPr>
          <w:rFonts w:hint="eastAsia" w:ascii="宋体" w:hAnsi="宋体"/>
          <w:szCs w:val="21"/>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2D26D92F">
      <w:pPr>
        <w:spacing w:line="360" w:lineRule="auto"/>
        <w:ind w:firstLine="420" w:firstLineChars="200"/>
        <w:rPr>
          <w:rFonts w:hint="eastAsia" w:ascii="宋体" w:hAnsi="宋体"/>
          <w:szCs w:val="21"/>
          <w:highlight w:val="none"/>
        </w:rPr>
      </w:pPr>
      <w:r>
        <w:rPr>
          <w:rFonts w:hint="eastAsia" w:ascii="宋体" w:hAnsi="宋体"/>
          <w:szCs w:val="21"/>
          <w:highlight w:val="none"/>
        </w:rPr>
        <w:t>三、违约责任</w:t>
      </w:r>
    </w:p>
    <w:p w14:paraId="22A5B8D4">
      <w:pPr>
        <w:spacing w:line="360" w:lineRule="auto"/>
        <w:ind w:firstLine="420" w:firstLineChars="200"/>
        <w:rPr>
          <w:rFonts w:hint="eastAsia" w:ascii="宋体" w:hAnsi="宋体"/>
          <w:szCs w:val="21"/>
          <w:highlight w:val="none"/>
        </w:rPr>
      </w:pPr>
      <w:r>
        <w:rPr>
          <w:rFonts w:hint="eastAsia" w:ascii="宋体" w:hAnsi="宋体"/>
          <w:szCs w:val="21"/>
          <w:highlight w:val="none"/>
        </w:rPr>
        <w:t>如因甲方或乙方违约造成安全事故，将依法追究责任。</w:t>
      </w:r>
    </w:p>
    <w:p w14:paraId="4057E61E">
      <w:pPr>
        <w:spacing w:line="360" w:lineRule="auto"/>
        <w:ind w:firstLine="420" w:firstLineChars="200"/>
        <w:rPr>
          <w:rFonts w:hint="eastAsia" w:ascii="宋体" w:hAnsi="宋体"/>
          <w:szCs w:val="21"/>
          <w:highlight w:val="none"/>
        </w:rPr>
      </w:pPr>
      <w:r>
        <w:rPr>
          <w:rFonts w:hint="eastAsia" w:ascii="宋体" w:hAnsi="宋体"/>
          <w:szCs w:val="21"/>
          <w:highlight w:val="none"/>
        </w:rPr>
        <w:t>本合同正、副本均一式贰份，合同双方各执正、副本各壹份。由双方法定代表人或其授权的代理人签署与加盖公章后生效，全部工程竣工验收合格后失效。</w:t>
      </w:r>
    </w:p>
    <w:p w14:paraId="6CB02539">
      <w:pPr>
        <w:spacing w:line="360" w:lineRule="auto"/>
        <w:ind w:firstLine="420" w:firstLineChars="200"/>
        <w:rPr>
          <w:rFonts w:hint="eastAsia" w:ascii="宋体" w:hAnsi="宋体"/>
          <w:szCs w:val="21"/>
          <w:highlight w:val="none"/>
        </w:rPr>
      </w:pPr>
    </w:p>
    <w:p w14:paraId="11F6C8F4">
      <w:pPr>
        <w:spacing w:line="360" w:lineRule="auto"/>
        <w:ind w:firstLine="420" w:firstLineChars="200"/>
        <w:rPr>
          <w:rFonts w:hint="eastAsia" w:ascii="宋体" w:hAnsi="宋体"/>
          <w:szCs w:val="21"/>
          <w:highlight w:val="none"/>
        </w:rPr>
      </w:pPr>
      <w:r>
        <w:rPr>
          <w:rFonts w:hint="eastAsia" w:ascii="宋体" w:hAnsi="宋体"/>
          <w:szCs w:val="21"/>
          <w:highlight w:val="none"/>
        </w:rPr>
        <w:t>甲方：（盖章）                   乙方：（盖章）</w:t>
      </w:r>
    </w:p>
    <w:p w14:paraId="0BA6F943">
      <w:pPr>
        <w:spacing w:line="360" w:lineRule="auto"/>
        <w:ind w:firstLine="420" w:firstLineChars="200"/>
        <w:rPr>
          <w:rFonts w:hint="eastAsia" w:ascii="宋体" w:hAnsi="宋体"/>
          <w:szCs w:val="21"/>
          <w:highlight w:val="none"/>
        </w:rPr>
      </w:pPr>
      <w:r>
        <w:rPr>
          <w:rFonts w:hint="eastAsia" w:ascii="宋体" w:hAnsi="宋体"/>
          <w:szCs w:val="21"/>
          <w:highlight w:val="none"/>
        </w:rPr>
        <w:t>法定代表人：                    法定代表人：</w:t>
      </w:r>
    </w:p>
    <w:p w14:paraId="5F42FAAB">
      <w:pPr>
        <w:spacing w:line="360" w:lineRule="auto"/>
        <w:ind w:firstLine="420" w:firstLineChars="200"/>
        <w:rPr>
          <w:rFonts w:hint="eastAsia" w:ascii="宋体" w:hAnsi="宋体"/>
          <w:szCs w:val="21"/>
          <w:highlight w:val="none"/>
        </w:rPr>
      </w:pPr>
      <w:r>
        <w:rPr>
          <w:rFonts w:hint="eastAsia" w:ascii="宋体" w:hAnsi="宋体"/>
          <w:szCs w:val="21"/>
          <w:highlight w:val="none"/>
        </w:rPr>
        <w:t>或委托代表人：                  或委托代表人：</w:t>
      </w:r>
    </w:p>
    <w:p w14:paraId="16B5B62D">
      <w:pPr>
        <w:rPr>
          <w:rFonts w:hint="eastAsia" w:asciiTheme="minorEastAsia" w:hAnsiTheme="minorEastAsia" w:eastAsiaTheme="minorEastAsia"/>
          <w:color w:val="auto"/>
          <w:szCs w:val="21"/>
          <w:highlight w:val="none"/>
        </w:rPr>
      </w:pPr>
      <w:r>
        <w:rPr>
          <w:rFonts w:hint="eastAsia" w:ascii="宋体" w:hAnsi="宋体"/>
          <w:szCs w:val="21"/>
          <w:highlight w:val="none"/>
        </w:rPr>
        <w:t xml:space="preserve">                                        年    月    日</w:t>
      </w:r>
    </w:p>
    <w:p w14:paraId="135D6D95">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br w:type="page"/>
      </w:r>
    </w:p>
    <w:bookmarkEnd w:id="73"/>
    <w:p w14:paraId="2CFA8D3F">
      <w:pPr>
        <w:snapToGrid w:val="0"/>
        <w:spacing w:before="120" w:after="120" w:line="360" w:lineRule="auto"/>
        <w:jc w:val="center"/>
        <w:outlineLvl w:val="0"/>
        <w:rPr>
          <w:rFonts w:asciiTheme="minorEastAsia" w:hAnsiTheme="minorEastAsia" w:eastAsiaTheme="minorEastAsia"/>
          <w:b/>
          <w:color w:val="auto"/>
          <w:sz w:val="28"/>
          <w:szCs w:val="28"/>
          <w:highlight w:val="none"/>
        </w:rPr>
      </w:pPr>
      <w:bookmarkStart w:id="641" w:name="_Toc21187"/>
      <w:r>
        <w:rPr>
          <w:rFonts w:hint="eastAsia" w:asciiTheme="minorEastAsia" w:hAnsiTheme="minorEastAsia" w:eastAsiaTheme="minorEastAsia"/>
          <w:b/>
          <w:color w:val="auto"/>
          <w:sz w:val="28"/>
          <w:szCs w:val="28"/>
          <w:highlight w:val="none"/>
        </w:rPr>
        <w:t>第六章  投标文件格式</w:t>
      </w:r>
      <w:bookmarkEnd w:id="641"/>
    </w:p>
    <w:p w14:paraId="27BEFFF1">
      <w:pPr>
        <w:snapToGrid w:val="0"/>
        <w:spacing w:line="360" w:lineRule="auto"/>
        <w:jc w:val="center"/>
        <w:rPr>
          <w:rFonts w:asciiTheme="minorEastAsia" w:hAnsiTheme="minorEastAsia" w:eastAsiaTheme="minorEastAsia"/>
          <w:b/>
          <w:bCs/>
          <w:color w:val="auto"/>
          <w:szCs w:val="21"/>
          <w:highlight w:val="none"/>
        </w:rPr>
      </w:pPr>
    </w:p>
    <w:p w14:paraId="79BDA0FA">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1.投标文件封面格式：</w:t>
      </w:r>
    </w:p>
    <w:p w14:paraId="35A0DFE1">
      <w:pPr>
        <w:snapToGrid w:val="0"/>
        <w:spacing w:line="360" w:lineRule="auto"/>
        <w:rPr>
          <w:rFonts w:asciiTheme="minorEastAsia" w:hAnsiTheme="minorEastAsia" w:eastAsiaTheme="minorEastAsia"/>
          <w:b/>
          <w:bCs/>
          <w:color w:val="auto"/>
          <w:szCs w:val="21"/>
          <w:highlight w:val="none"/>
        </w:rPr>
      </w:pPr>
    </w:p>
    <w:p w14:paraId="7F12B5C2">
      <w:pPr>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资信技术文件</w:t>
      </w:r>
    </w:p>
    <w:p w14:paraId="4E625F7D">
      <w:pPr>
        <w:snapToGrid w:val="0"/>
        <w:spacing w:line="360" w:lineRule="auto"/>
        <w:ind w:firstLine="840" w:firstLineChars="400"/>
        <w:rPr>
          <w:rFonts w:asciiTheme="minorEastAsia" w:hAnsiTheme="minorEastAsia" w:eastAsiaTheme="minorEastAsia"/>
          <w:b/>
          <w:bCs/>
          <w:color w:val="auto"/>
          <w:szCs w:val="21"/>
          <w:highlight w:val="none"/>
        </w:rPr>
      </w:pPr>
      <w:r>
        <w:rPr>
          <w:rFonts w:hint="eastAsia" w:asciiTheme="minorEastAsia" w:hAnsiTheme="minorEastAsia" w:eastAsiaTheme="minorEastAsia"/>
          <w:bCs/>
          <w:color w:val="auto"/>
          <w:szCs w:val="21"/>
          <w:highlight w:val="none"/>
        </w:rPr>
        <w:t>项目名称：</w:t>
      </w:r>
    </w:p>
    <w:p w14:paraId="329E0B7C">
      <w:pPr>
        <w:snapToGrid w:val="0"/>
        <w:spacing w:line="360" w:lineRule="auto"/>
        <w:ind w:firstLine="840" w:firstLineChars="4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项目编号：</w:t>
      </w:r>
    </w:p>
    <w:p w14:paraId="18C03B25">
      <w:pPr>
        <w:pStyle w:val="15"/>
        <w:snapToGrid w:val="0"/>
        <w:spacing w:line="360" w:lineRule="auto"/>
        <w:ind w:firstLine="873" w:firstLineChars="41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投标人名称（盖章）：</w:t>
      </w:r>
    </w:p>
    <w:p w14:paraId="13DF81FB">
      <w:pPr>
        <w:pStyle w:val="15"/>
        <w:snapToGrid w:val="0"/>
        <w:spacing w:line="360" w:lineRule="auto"/>
        <w:ind w:firstLine="873" w:firstLineChars="41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投标人地址：</w:t>
      </w:r>
    </w:p>
    <w:p w14:paraId="513AA55C">
      <w:pPr>
        <w:snapToGrid w:val="0"/>
        <w:spacing w:line="360" w:lineRule="auto"/>
        <w:ind w:firstLine="64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年月日</w:t>
      </w:r>
    </w:p>
    <w:p w14:paraId="6AD16ED3">
      <w:pPr>
        <w:snapToGrid w:val="0"/>
        <w:spacing w:line="360" w:lineRule="auto"/>
        <w:rPr>
          <w:rFonts w:asciiTheme="minorEastAsia" w:hAnsiTheme="minorEastAsia" w:eastAsiaTheme="minorEastAsia"/>
          <w:b/>
          <w:color w:val="auto"/>
          <w:szCs w:val="21"/>
          <w:highlight w:val="none"/>
        </w:rPr>
      </w:pPr>
    </w:p>
    <w:p w14:paraId="22E1365A">
      <w:pPr>
        <w:snapToGrid w:val="0"/>
        <w:spacing w:line="360" w:lineRule="auto"/>
        <w:rPr>
          <w:rFonts w:asciiTheme="minorEastAsia" w:hAnsiTheme="minorEastAsia" w:eastAsiaTheme="minorEastAsia"/>
          <w:b/>
          <w:color w:val="auto"/>
          <w:szCs w:val="21"/>
          <w:highlight w:val="none"/>
        </w:rPr>
      </w:pPr>
    </w:p>
    <w:p w14:paraId="030F303F">
      <w:pPr>
        <w:snapToGrid w:val="0"/>
        <w:spacing w:line="360" w:lineRule="auto"/>
        <w:rPr>
          <w:rFonts w:asciiTheme="minorEastAsia" w:hAnsiTheme="minorEastAsia" w:eastAsiaTheme="minorEastAsia"/>
          <w:b/>
          <w:color w:val="auto"/>
          <w:szCs w:val="21"/>
          <w:highlight w:val="none"/>
        </w:rPr>
      </w:pPr>
    </w:p>
    <w:p w14:paraId="08098D18">
      <w:pPr>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商务报价文件</w:t>
      </w:r>
    </w:p>
    <w:p w14:paraId="5371892F">
      <w:pPr>
        <w:snapToGrid w:val="0"/>
        <w:spacing w:line="360" w:lineRule="auto"/>
        <w:rPr>
          <w:rFonts w:asciiTheme="minorEastAsia" w:hAnsiTheme="minorEastAsia" w:eastAsiaTheme="minorEastAsia"/>
          <w:bCs/>
          <w:color w:val="auto"/>
          <w:szCs w:val="21"/>
          <w:highlight w:val="none"/>
        </w:rPr>
      </w:pPr>
    </w:p>
    <w:p w14:paraId="69A4B603">
      <w:pPr>
        <w:snapToGrid w:val="0"/>
        <w:spacing w:line="360" w:lineRule="auto"/>
        <w:ind w:firstLine="840" w:firstLineChars="4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项目名称：</w:t>
      </w:r>
    </w:p>
    <w:p w14:paraId="7C64B6C5">
      <w:pPr>
        <w:snapToGrid w:val="0"/>
        <w:spacing w:line="360" w:lineRule="auto"/>
        <w:ind w:firstLine="840" w:firstLineChars="4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项目编号：</w:t>
      </w:r>
    </w:p>
    <w:p w14:paraId="3AEA20DB">
      <w:pPr>
        <w:pStyle w:val="15"/>
        <w:snapToGrid w:val="0"/>
        <w:spacing w:line="360" w:lineRule="auto"/>
        <w:ind w:firstLine="873" w:firstLineChars="41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投标人名称（盖章）：</w:t>
      </w:r>
    </w:p>
    <w:p w14:paraId="2869C4BB">
      <w:pPr>
        <w:pStyle w:val="15"/>
        <w:snapToGrid w:val="0"/>
        <w:spacing w:line="360" w:lineRule="auto"/>
        <w:ind w:firstLine="873" w:firstLineChars="416"/>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投标人地址：</w:t>
      </w:r>
    </w:p>
    <w:p w14:paraId="01A6A1F9">
      <w:pPr>
        <w:snapToGrid w:val="0"/>
        <w:spacing w:line="360" w:lineRule="auto"/>
        <w:ind w:firstLine="64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年月日</w:t>
      </w:r>
    </w:p>
    <w:p w14:paraId="5CF114BF">
      <w:pPr>
        <w:spacing w:line="360" w:lineRule="auto"/>
        <w:rPr>
          <w:rFonts w:asciiTheme="minorEastAsia" w:hAnsiTheme="minorEastAsia" w:eastAsiaTheme="minorEastAsia"/>
          <w:color w:val="auto"/>
          <w:szCs w:val="21"/>
          <w:highlight w:val="none"/>
        </w:rPr>
      </w:pPr>
    </w:p>
    <w:p w14:paraId="3AEC3958">
      <w:pPr>
        <w:snapToGrid w:val="0"/>
        <w:spacing w:line="360" w:lineRule="auto"/>
        <w:rPr>
          <w:rFonts w:asciiTheme="minorEastAsia" w:hAnsiTheme="minorEastAsia" w:eastAsiaTheme="minorEastAsia"/>
          <w:b/>
          <w:color w:val="auto"/>
          <w:szCs w:val="21"/>
          <w:highlight w:val="none"/>
        </w:rPr>
      </w:pPr>
    </w:p>
    <w:p w14:paraId="023C250D">
      <w:pPr>
        <w:snapToGrid w:val="0"/>
        <w:spacing w:line="360" w:lineRule="auto"/>
        <w:rPr>
          <w:rFonts w:asciiTheme="minorEastAsia" w:hAnsiTheme="minorEastAsia" w:eastAsiaTheme="minorEastAsia"/>
          <w:b/>
          <w:color w:val="auto"/>
          <w:szCs w:val="21"/>
          <w:highlight w:val="none"/>
        </w:rPr>
      </w:pPr>
    </w:p>
    <w:p w14:paraId="13FBCF22">
      <w:pPr>
        <w:snapToGrid w:val="0"/>
        <w:spacing w:line="360" w:lineRule="auto"/>
        <w:rPr>
          <w:rFonts w:asciiTheme="minorEastAsia" w:hAnsiTheme="minorEastAsia" w:eastAsiaTheme="minorEastAsia"/>
          <w:b/>
          <w:color w:val="auto"/>
          <w:szCs w:val="21"/>
          <w:highlight w:val="none"/>
        </w:rPr>
      </w:pPr>
    </w:p>
    <w:p w14:paraId="38CE5E50">
      <w:pPr>
        <w:snapToGrid w:val="0"/>
        <w:spacing w:line="360" w:lineRule="auto"/>
        <w:rPr>
          <w:rFonts w:asciiTheme="minorEastAsia" w:hAnsiTheme="minorEastAsia" w:eastAsiaTheme="minorEastAsia"/>
          <w:b/>
          <w:color w:val="auto"/>
          <w:szCs w:val="21"/>
          <w:highlight w:val="none"/>
        </w:rPr>
      </w:pPr>
    </w:p>
    <w:p w14:paraId="0C47BECE">
      <w:pPr>
        <w:snapToGrid w:val="0"/>
        <w:spacing w:line="360" w:lineRule="auto"/>
        <w:rPr>
          <w:rFonts w:asciiTheme="minorEastAsia" w:hAnsiTheme="minorEastAsia" w:eastAsiaTheme="minorEastAsia"/>
          <w:b/>
          <w:color w:val="auto"/>
          <w:szCs w:val="21"/>
          <w:highlight w:val="none"/>
        </w:rPr>
      </w:pPr>
    </w:p>
    <w:p w14:paraId="7FF3FF1C">
      <w:pPr>
        <w:snapToGrid w:val="0"/>
        <w:spacing w:line="360" w:lineRule="auto"/>
        <w:rPr>
          <w:rFonts w:asciiTheme="minorEastAsia" w:hAnsiTheme="minorEastAsia" w:eastAsiaTheme="minorEastAsia"/>
          <w:b/>
          <w:color w:val="auto"/>
          <w:szCs w:val="21"/>
          <w:highlight w:val="none"/>
        </w:rPr>
      </w:pPr>
    </w:p>
    <w:p w14:paraId="2E2A843C">
      <w:pPr>
        <w:snapToGrid w:val="0"/>
        <w:spacing w:line="360" w:lineRule="auto"/>
        <w:rPr>
          <w:rFonts w:asciiTheme="minorEastAsia" w:hAnsiTheme="minorEastAsia" w:eastAsiaTheme="minorEastAsia"/>
          <w:b/>
          <w:color w:val="auto"/>
          <w:szCs w:val="21"/>
          <w:highlight w:val="none"/>
        </w:rPr>
      </w:pPr>
    </w:p>
    <w:p w14:paraId="2F9C1741">
      <w:pPr>
        <w:snapToGrid w:val="0"/>
        <w:spacing w:line="360" w:lineRule="auto"/>
        <w:rPr>
          <w:rFonts w:asciiTheme="minorEastAsia" w:hAnsiTheme="minorEastAsia" w:eastAsiaTheme="minorEastAsia"/>
          <w:b/>
          <w:color w:val="auto"/>
          <w:szCs w:val="21"/>
          <w:highlight w:val="none"/>
        </w:rPr>
      </w:pPr>
    </w:p>
    <w:p w14:paraId="3505A44A">
      <w:pPr>
        <w:snapToGrid w:val="0"/>
        <w:spacing w:line="360" w:lineRule="auto"/>
        <w:rPr>
          <w:rFonts w:asciiTheme="minorEastAsia" w:hAnsiTheme="minorEastAsia" w:eastAsiaTheme="minorEastAsia"/>
          <w:b/>
          <w:color w:val="auto"/>
          <w:szCs w:val="21"/>
          <w:highlight w:val="none"/>
        </w:rPr>
      </w:pPr>
    </w:p>
    <w:p w14:paraId="4B36080F">
      <w:pPr>
        <w:snapToGrid w:val="0"/>
        <w:spacing w:line="360" w:lineRule="auto"/>
        <w:rPr>
          <w:rFonts w:asciiTheme="minorEastAsia" w:hAnsiTheme="minorEastAsia" w:eastAsiaTheme="minorEastAsia"/>
          <w:b/>
          <w:color w:val="auto"/>
          <w:szCs w:val="21"/>
          <w:highlight w:val="none"/>
        </w:rPr>
      </w:pPr>
    </w:p>
    <w:p w14:paraId="2ACCB8EF">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03D3B268">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w:t>
      </w:r>
    </w:p>
    <w:p w14:paraId="51C01369">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投标声明书（附件1）</w:t>
      </w:r>
    </w:p>
    <w:p w14:paraId="58FFB299">
      <w:pPr>
        <w:spacing w:line="360" w:lineRule="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color w:val="auto"/>
          <w:szCs w:val="21"/>
          <w:highlight w:val="none"/>
          <w:lang w:eastAsia="zh-CN"/>
        </w:rPr>
        <w:t>嘉兴市交通运输行政执法队</w:t>
      </w:r>
    </w:p>
    <w:p w14:paraId="5BCAF9BD">
      <w:pPr>
        <w:snapToGrid w:val="0"/>
        <w:spacing w:before="120" w:beforeLines="50" w:after="5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（投标单位名称）系中华人民共和国合法企业，经营地址。</w:t>
      </w:r>
    </w:p>
    <w:p w14:paraId="2057CEED">
      <w:pPr>
        <w:snapToGrid w:val="0"/>
        <w:spacing w:before="120" w:beforeLines="50" w:after="50" w:line="360" w:lineRule="auto"/>
        <w:ind w:firstLine="64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w:t>
      </w:r>
      <w:r>
        <w:rPr>
          <w:rFonts w:hint="eastAsia" w:asciiTheme="minorEastAsia" w:hAnsiTheme="minorEastAsia" w:eastAsiaTheme="minorEastAsia"/>
          <w:color w:val="auto"/>
          <w:szCs w:val="21"/>
          <w:highlight w:val="none"/>
          <w:u w:val="single"/>
        </w:rPr>
        <w:t>（姓名）</w:t>
      </w:r>
      <w:r>
        <w:rPr>
          <w:rFonts w:hint="eastAsia" w:asciiTheme="minorEastAsia" w:hAnsiTheme="minorEastAsia" w:eastAsiaTheme="minorEastAsia"/>
          <w:color w:val="auto"/>
          <w:szCs w:val="21"/>
          <w:highlight w:val="none"/>
        </w:rPr>
        <w:t>系（</w:t>
      </w:r>
      <w:r>
        <w:rPr>
          <w:rFonts w:hint="eastAsia" w:asciiTheme="minorEastAsia" w:hAnsiTheme="minorEastAsia" w:eastAsiaTheme="minorEastAsia"/>
          <w:color w:val="auto"/>
          <w:szCs w:val="21"/>
          <w:highlight w:val="none"/>
          <w:u w:val="single"/>
        </w:rPr>
        <w:t>投标人名称）</w:t>
      </w:r>
      <w:r>
        <w:rPr>
          <w:rFonts w:hint="eastAsia" w:asciiTheme="minorEastAsia" w:hAnsiTheme="minorEastAsia" w:eastAsiaTheme="minorEastAsia"/>
          <w:color w:val="auto"/>
          <w:szCs w:val="21"/>
          <w:highlight w:val="none"/>
        </w:rPr>
        <w:t>的法定代表人，我方愿意参加贵方组织的的投标，为便于贵方公正、择优地确定中标人及其投标产品和服务，我方就本次投标有关事项郑重声明如下：</w:t>
      </w:r>
    </w:p>
    <w:p w14:paraId="1B6EE1F5">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我方向贵方提交的所有投标文件、资料都是准确的和真实的。</w:t>
      </w:r>
    </w:p>
    <w:p w14:paraId="7F0C2A87">
      <w:pPr>
        <w:snapToGrid w:val="0"/>
        <w:spacing w:before="120" w:beforeLines="5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2.我方承诺具有履行合同所必需的设备和专业技术能力； </w:t>
      </w:r>
    </w:p>
    <w:p w14:paraId="17EC163A">
      <w:pPr>
        <w:snapToGrid w:val="0"/>
        <w:spacing w:before="120" w:beforeLines="5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hint="eastAsia" w:asciiTheme="minorEastAsia" w:hAnsiTheme="minorEastAsia" w:eastAsiaTheme="minorEastAsia"/>
          <w:color w:val="auto"/>
          <w:highlight w:val="none"/>
        </w:rPr>
        <w:t>我方承诺</w:t>
      </w:r>
      <w:r>
        <w:rPr>
          <w:rFonts w:hint="eastAsia" w:asciiTheme="minorEastAsia" w:hAnsiTheme="minorEastAsia" w:eastAsiaTheme="minorEastAsia"/>
          <w:color w:val="auto"/>
          <w:szCs w:val="21"/>
          <w:highlight w:val="none"/>
        </w:rPr>
        <w:t xml:space="preserve">具有良好的商业信誉和健全的财务会计制度；（附财务报表）（格式自拟） </w:t>
      </w:r>
    </w:p>
    <w:p w14:paraId="1FC330E1">
      <w:pPr>
        <w:snapToGrid w:val="0"/>
        <w:spacing w:before="120" w:beforeLines="5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4.我方承诺有依法缴纳税收和社会保障资金的良好记录；（附依法缴纳税费或依法免缴税费的证明）（格式自拟） </w:t>
      </w:r>
    </w:p>
    <w:p w14:paraId="6F92F820">
      <w:pPr>
        <w:snapToGrid w:val="0"/>
        <w:spacing w:before="120" w:beforeLines="50"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5.我方承诺参加政府采购活动前三年内，在经营活动中没有重大违法记录；（若有，请如实填写；</w:t>
      </w:r>
      <w:r>
        <w:rPr>
          <w:rFonts w:hint="eastAsia" w:asciiTheme="minorEastAsia" w:hAnsiTheme="minorEastAsia" w:eastAsiaTheme="minorEastAsia"/>
          <w:color w:val="auto"/>
          <w:szCs w:val="21"/>
          <w:highlight w:val="none"/>
          <w:u w:val="single"/>
        </w:rPr>
        <w:t>　　　　　　　　　　　　</w:t>
      </w:r>
    </w:p>
    <w:p w14:paraId="70815113">
      <w:pPr>
        <w:snapToGrid w:val="0"/>
        <w:spacing w:before="120" w:beforeLines="50"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　　　　　　　　　　　　　　　　　　　　　　　　　　　　　　　　　　　　</w:t>
      </w:r>
    </w:p>
    <w:p w14:paraId="352831D6">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以上事项如有虚假或隐瞒，我方愿意承担一切后果，并不再寻求任何旨在减轻或免除法律责任的辩解。</w:t>
      </w:r>
    </w:p>
    <w:p w14:paraId="3DDEAAE3">
      <w:pPr>
        <w:spacing w:line="360" w:lineRule="auto"/>
        <w:ind w:firstLine="527" w:firstLineChars="250"/>
        <w:jc w:val="center"/>
        <w:rPr>
          <w:rFonts w:asciiTheme="minorEastAsia" w:hAnsiTheme="minorEastAsia" w:eastAsiaTheme="minorEastAsia"/>
          <w:b/>
          <w:color w:val="auto"/>
          <w:szCs w:val="21"/>
          <w:highlight w:val="none"/>
        </w:rPr>
      </w:pPr>
    </w:p>
    <w:p w14:paraId="642E993A">
      <w:pPr>
        <w:spacing w:before="120" w:beforeLines="50" w:line="360" w:lineRule="auto"/>
        <w:ind w:firstLine="1500" w:firstLineChars="600"/>
        <w:jc w:val="right"/>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签名（或盖章）：</w:t>
      </w:r>
    </w:p>
    <w:p w14:paraId="47D39027">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14:paraId="0D60E004">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日     期：</w:t>
      </w:r>
    </w:p>
    <w:p w14:paraId="517BFCB7">
      <w:pPr>
        <w:pStyle w:val="28"/>
        <w:snapToGrid w:val="0"/>
        <w:spacing w:line="360" w:lineRule="auto"/>
        <w:rPr>
          <w:rFonts w:asciiTheme="minorEastAsia" w:hAnsiTheme="minorEastAsia" w:eastAsiaTheme="minorEastAsia"/>
          <w:color w:val="auto"/>
          <w:szCs w:val="21"/>
          <w:highlight w:val="none"/>
        </w:rPr>
      </w:pPr>
    </w:p>
    <w:p w14:paraId="47133261">
      <w:pPr>
        <w:snapToGrid w:val="0"/>
        <w:spacing w:line="360" w:lineRule="auto"/>
        <w:rPr>
          <w:rFonts w:asciiTheme="minorEastAsia" w:hAnsiTheme="minorEastAsia" w:eastAsiaTheme="minorEastAsia"/>
          <w:b/>
          <w:color w:val="auto"/>
          <w:szCs w:val="21"/>
          <w:highlight w:val="none"/>
        </w:rPr>
      </w:pPr>
    </w:p>
    <w:p w14:paraId="2417627B">
      <w:pPr>
        <w:snapToGrid w:val="0"/>
        <w:spacing w:line="360" w:lineRule="auto"/>
        <w:rPr>
          <w:rFonts w:asciiTheme="minorEastAsia" w:hAnsiTheme="minorEastAsia" w:eastAsiaTheme="minorEastAsia"/>
          <w:b/>
          <w:color w:val="auto"/>
          <w:szCs w:val="21"/>
          <w:highlight w:val="none"/>
        </w:rPr>
      </w:pPr>
    </w:p>
    <w:p w14:paraId="3AF79637">
      <w:pPr>
        <w:snapToGrid w:val="0"/>
        <w:spacing w:line="360" w:lineRule="auto"/>
        <w:rPr>
          <w:rFonts w:asciiTheme="minorEastAsia" w:hAnsiTheme="minorEastAsia" w:eastAsiaTheme="minorEastAsia"/>
          <w:b/>
          <w:color w:val="auto"/>
          <w:szCs w:val="21"/>
          <w:highlight w:val="none"/>
        </w:rPr>
      </w:pPr>
    </w:p>
    <w:p w14:paraId="373D142D">
      <w:pPr>
        <w:snapToGrid w:val="0"/>
        <w:spacing w:line="360" w:lineRule="auto"/>
        <w:rPr>
          <w:rFonts w:asciiTheme="minorEastAsia" w:hAnsiTheme="minorEastAsia" w:eastAsiaTheme="minorEastAsia"/>
          <w:b/>
          <w:color w:val="auto"/>
          <w:szCs w:val="21"/>
          <w:highlight w:val="none"/>
        </w:rPr>
      </w:pPr>
    </w:p>
    <w:p w14:paraId="0D156F61">
      <w:pPr>
        <w:snapToGrid w:val="0"/>
        <w:spacing w:line="360" w:lineRule="auto"/>
        <w:rPr>
          <w:rFonts w:asciiTheme="minorEastAsia" w:hAnsiTheme="minorEastAsia" w:eastAsiaTheme="minorEastAsia"/>
          <w:b/>
          <w:color w:val="auto"/>
          <w:szCs w:val="21"/>
          <w:highlight w:val="none"/>
        </w:rPr>
      </w:pPr>
    </w:p>
    <w:p w14:paraId="1BC5C3DF">
      <w:pPr>
        <w:snapToGrid w:val="0"/>
        <w:spacing w:line="360" w:lineRule="auto"/>
        <w:rPr>
          <w:rFonts w:asciiTheme="minorEastAsia" w:hAnsiTheme="minorEastAsia" w:eastAsiaTheme="minorEastAsia"/>
          <w:b/>
          <w:color w:val="auto"/>
          <w:szCs w:val="21"/>
          <w:highlight w:val="none"/>
        </w:rPr>
      </w:pPr>
    </w:p>
    <w:p w14:paraId="24D28CD2">
      <w:pPr>
        <w:snapToGrid w:val="0"/>
        <w:spacing w:line="360" w:lineRule="auto"/>
        <w:rPr>
          <w:rFonts w:asciiTheme="minorEastAsia" w:hAnsiTheme="minorEastAsia" w:eastAsiaTheme="minorEastAsia"/>
          <w:b/>
          <w:color w:val="auto"/>
          <w:szCs w:val="21"/>
          <w:highlight w:val="none"/>
        </w:rPr>
      </w:pPr>
    </w:p>
    <w:p w14:paraId="283A8460">
      <w:pPr>
        <w:snapToGrid w:val="0"/>
        <w:spacing w:line="360" w:lineRule="auto"/>
        <w:rPr>
          <w:rFonts w:asciiTheme="minorEastAsia" w:hAnsiTheme="minorEastAsia" w:eastAsiaTheme="minorEastAsia"/>
          <w:b/>
          <w:color w:val="auto"/>
          <w:szCs w:val="21"/>
          <w:highlight w:val="none"/>
        </w:rPr>
      </w:pPr>
    </w:p>
    <w:p w14:paraId="3634E18E">
      <w:pPr>
        <w:snapToGrid w:val="0"/>
        <w:spacing w:line="360" w:lineRule="auto"/>
        <w:rPr>
          <w:rFonts w:asciiTheme="minorEastAsia" w:hAnsiTheme="minorEastAsia" w:eastAsiaTheme="minorEastAsia"/>
          <w:b/>
          <w:color w:val="auto"/>
          <w:szCs w:val="21"/>
          <w:highlight w:val="none"/>
        </w:rPr>
      </w:pPr>
    </w:p>
    <w:p w14:paraId="266811BA">
      <w:pPr>
        <w:snapToGrid w:val="0"/>
        <w:spacing w:line="360" w:lineRule="auto"/>
        <w:rPr>
          <w:rFonts w:asciiTheme="minorEastAsia" w:hAnsiTheme="minorEastAsia" w:eastAsiaTheme="minorEastAsia"/>
          <w:b/>
          <w:color w:val="auto"/>
          <w:szCs w:val="21"/>
          <w:highlight w:val="none"/>
        </w:rPr>
      </w:pPr>
    </w:p>
    <w:p w14:paraId="540AFA0E">
      <w:pPr>
        <w:snapToGrid w:val="0"/>
        <w:spacing w:line="360" w:lineRule="auto"/>
        <w:rPr>
          <w:rFonts w:asciiTheme="minorEastAsia" w:hAnsiTheme="minorEastAsia" w:eastAsiaTheme="minorEastAsia"/>
          <w:b/>
          <w:color w:val="auto"/>
          <w:szCs w:val="21"/>
          <w:highlight w:val="none"/>
        </w:rPr>
      </w:pPr>
    </w:p>
    <w:p w14:paraId="18A49C17">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2F521FD0">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p>
    <w:p w14:paraId="3DE0165C">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法定代表人授权委托书（附件2）</w:t>
      </w:r>
    </w:p>
    <w:p w14:paraId="6D775D4B">
      <w:pPr>
        <w:spacing w:line="360" w:lineRule="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color w:val="auto"/>
          <w:szCs w:val="21"/>
          <w:highlight w:val="none"/>
          <w:lang w:eastAsia="zh-CN"/>
        </w:rPr>
        <w:t>嘉兴市交通运输行政执法队</w:t>
      </w:r>
    </w:p>
    <w:p w14:paraId="6FB7127F">
      <w:pPr>
        <w:snapToGrid w:val="0"/>
        <w:spacing w:line="360" w:lineRule="auto"/>
        <w:ind w:firstLine="630" w:firstLineChars="3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我（姓名）系（投标人名称）的法定代表人，现授权委托本单位在职职工（姓名）以我方的名义参加</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eastAsia="zh-CN"/>
        </w:rPr>
        <w:t>交通执法基层站所修缮维护项目</w:t>
      </w:r>
      <w:r>
        <w:rPr>
          <w:rFonts w:hint="eastAsia" w:asciiTheme="minorEastAsia" w:hAnsiTheme="minorEastAsia" w:eastAsiaTheme="minorEastAsia"/>
          <w:color w:val="auto"/>
          <w:szCs w:val="21"/>
          <w:highlight w:val="none"/>
        </w:rPr>
        <w:t>的投标活动，并代表我方全权办理针对上述项目的投标、开标、评标、签约等具体事务和签署相关文件。</w:t>
      </w:r>
    </w:p>
    <w:p w14:paraId="440E17AA">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我方对被授权人的签名事项负全部责任。</w:t>
      </w:r>
    </w:p>
    <w:p w14:paraId="56678F7A">
      <w:pPr>
        <w:snapToGrid w:val="0"/>
        <w:spacing w:line="360" w:lineRule="auto"/>
        <w:ind w:firstLine="48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在撤销授权的书面通知以前，本授权书一直有效。</w:t>
      </w:r>
      <w:r>
        <w:rPr>
          <w:rFonts w:hint="eastAsia" w:asciiTheme="minorEastAsia" w:hAnsiTheme="minorEastAsia" w:eastAsiaTheme="minorEastAsia"/>
          <w:color w:val="auto"/>
          <w:szCs w:val="21"/>
          <w:highlight w:val="none"/>
        </w:rPr>
        <w:t>被授权人在授权书有效期内签署的所有文件不因授权的撤销而失效。</w:t>
      </w:r>
    </w:p>
    <w:p w14:paraId="33E8C3F7">
      <w:pPr>
        <w:snapToGrid w:val="0"/>
        <w:spacing w:line="360" w:lineRule="auto"/>
        <w:ind w:firstLine="48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被授权人无转委托权，特此委托。</w:t>
      </w:r>
    </w:p>
    <w:p w14:paraId="5FE9BFF3">
      <w:pPr>
        <w:snapToGrid w:val="0"/>
        <w:spacing w:line="360" w:lineRule="auto"/>
        <w:rPr>
          <w:rFonts w:asciiTheme="minorEastAsia" w:hAnsiTheme="minorEastAsia" w:eastAsiaTheme="minorEastAsia"/>
          <w:color w:val="auto"/>
          <w:szCs w:val="21"/>
          <w:highlight w:val="none"/>
        </w:rPr>
      </w:pPr>
    </w:p>
    <w:p w14:paraId="65F98323">
      <w:pPr>
        <w:snapToGrid w:val="0"/>
        <w:spacing w:before="120" w:beforeLines="50" w:after="50" w:line="360"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法定代表人签字：                     被授权人签字：</w:t>
      </w:r>
    </w:p>
    <w:p w14:paraId="61C64415">
      <w:pPr>
        <w:snapToGrid w:val="0"/>
        <w:spacing w:before="120" w:beforeLines="50" w:after="50" w:line="360"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法定代表人身份证号：                 被授权人身份证号：</w:t>
      </w:r>
    </w:p>
    <w:p w14:paraId="0C49E0DB">
      <w:pPr>
        <w:snapToGrid w:val="0"/>
        <w:spacing w:before="120" w:beforeLines="50" w:after="50" w:line="360" w:lineRule="auto"/>
        <w:rPr>
          <w:rFonts w:asciiTheme="minorEastAsia" w:hAnsiTheme="minorEastAsia" w:eastAsiaTheme="minorEastAsia"/>
          <w:color w:val="auto"/>
          <w:szCs w:val="21"/>
          <w:highlight w:val="none"/>
        </w:rPr>
      </w:pPr>
    </w:p>
    <w:p w14:paraId="6F68D57C">
      <w:pPr>
        <w:snapToGrid w:val="0"/>
        <w:spacing w:before="120" w:beforeLines="50" w:after="5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法定代表人身份证（正反面）       被授权人身份证（正反面）</w:t>
      </w:r>
    </w:p>
    <w:p w14:paraId="088FC5C2">
      <w:pPr>
        <w:snapToGrid w:val="0"/>
        <w:spacing w:line="360" w:lineRule="auto"/>
        <w:rPr>
          <w:rFonts w:asciiTheme="minorEastAsia" w:hAnsiTheme="minorEastAsia" w:eastAsiaTheme="minorEastAsia"/>
          <w:color w:val="auto"/>
          <w:szCs w:val="21"/>
          <w:highlight w:val="none"/>
        </w:rPr>
      </w:pPr>
    </w:p>
    <w:p w14:paraId="34E93C1A">
      <w:pPr>
        <w:snapToGrid w:val="0"/>
        <w:spacing w:line="360" w:lineRule="auto"/>
        <w:ind w:firstLine="200"/>
        <w:jc w:val="right"/>
        <w:rPr>
          <w:rFonts w:asciiTheme="minorEastAsia" w:hAnsiTheme="minorEastAsia" w:eastAsiaTheme="minorEastAsia"/>
          <w:color w:val="auto"/>
          <w:szCs w:val="21"/>
          <w:highlight w:val="none"/>
          <w:u w:val="single"/>
        </w:rPr>
      </w:pPr>
    </w:p>
    <w:p w14:paraId="77723609">
      <w:pPr>
        <w:spacing w:before="120" w:beforeLines="50" w:line="360" w:lineRule="auto"/>
        <w:jc w:val="right"/>
        <w:rPr>
          <w:rFonts w:asciiTheme="minorEastAsia" w:hAnsiTheme="minorEastAsia" w:eastAsiaTheme="minorEastAsia"/>
          <w:color w:val="auto"/>
          <w:szCs w:val="21"/>
          <w:highlight w:val="none"/>
        </w:rPr>
      </w:pPr>
    </w:p>
    <w:p w14:paraId="4E429578">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14:paraId="4CEB6D3F">
      <w:pPr>
        <w:tabs>
          <w:tab w:val="left" w:pos="1418"/>
        </w:tabs>
        <w:spacing w:line="360" w:lineRule="auto"/>
        <w:jc w:val="righ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Cs w:val="21"/>
          <w:highlight w:val="none"/>
        </w:rPr>
        <w:t xml:space="preserve">                                日     期：</w:t>
      </w:r>
    </w:p>
    <w:p w14:paraId="451A959C">
      <w:pPr>
        <w:snapToGrid w:val="0"/>
        <w:spacing w:line="360" w:lineRule="auto"/>
        <w:ind w:firstLine="210" w:firstLineChars="100"/>
        <w:jc w:val="right"/>
        <w:rPr>
          <w:rFonts w:asciiTheme="minorEastAsia" w:hAnsiTheme="minorEastAsia" w:eastAsiaTheme="minorEastAsia"/>
          <w:color w:val="auto"/>
          <w:szCs w:val="21"/>
          <w:highlight w:val="none"/>
        </w:rPr>
      </w:pPr>
    </w:p>
    <w:p w14:paraId="4B6AD00B">
      <w:pPr>
        <w:snapToGrid w:val="0"/>
        <w:spacing w:line="360" w:lineRule="auto"/>
        <w:rPr>
          <w:rFonts w:asciiTheme="minorEastAsia" w:hAnsiTheme="minorEastAsia" w:eastAsiaTheme="minorEastAsia"/>
          <w:color w:val="auto"/>
          <w:szCs w:val="21"/>
          <w:highlight w:val="none"/>
        </w:rPr>
      </w:pPr>
    </w:p>
    <w:p w14:paraId="2012F1A4">
      <w:pPr>
        <w:snapToGrid w:val="0"/>
        <w:spacing w:line="360" w:lineRule="auto"/>
        <w:rPr>
          <w:rFonts w:asciiTheme="minorEastAsia" w:hAnsiTheme="minorEastAsia" w:eastAsiaTheme="minorEastAsia"/>
          <w:color w:val="auto"/>
          <w:szCs w:val="21"/>
          <w:highlight w:val="none"/>
        </w:rPr>
      </w:pPr>
    </w:p>
    <w:p w14:paraId="3C11529A">
      <w:pPr>
        <w:snapToGrid w:val="0"/>
        <w:spacing w:line="360" w:lineRule="auto"/>
        <w:rPr>
          <w:rFonts w:asciiTheme="minorEastAsia" w:hAnsiTheme="minorEastAsia" w:eastAsiaTheme="minorEastAsia"/>
          <w:b/>
          <w:color w:val="auto"/>
          <w:szCs w:val="21"/>
          <w:highlight w:val="none"/>
        </w:rPr>
      </w:pPr>
    </w:p>
    <w:p w14:paraId="387C754D">
      <w:pPr>
        <w:snapToGrid w:val="0"/>
        <w:spacing w:line="360" w:lineRule="auto"/>
        <w:rPr>
          <w:rFonts w:asciiTheme="minorEastAsia" w:hAnsiTheme="minorEastAsia" w:eastAsiaTheme="minorEastAsia"/>
          <w:b/>
          <w:color w:val="auto"/>
          <w:szCs w:val="21"/>
          <w:highlight w:val="none"/>
        </w:rPr>
      </w:pPr>
    </w:p>
    <w:p w14:paraId="3B3BF742">
      <w:pPr>
        <w:snapToGrid w:val="0"/>
        <w:spacing w:line="360" w:lineRule="auto"/>
        <w:rPr>
          <w:rFonts w:asciiTheme="minorEastAsia" w:hAnsiTheme="minorEastAsia" w:eastAsiaTheme="minorEastAsia"/>
          <w:b/>
          <w:color w:val="auto"/>
          <w:szCs w:val="21"/>
          <w:highlight w:val="none"/>
        </w:rPr>
      </w:pPr>
    </w:p>
    <w:p w14:paraId="3B78F1BE">
      <w:pPr>
        <w:snapToGrid w:val="0"/>
        <w:spacing w:line="360" w:lineRule="auto"/>
        <w:rPr>
          <w:rFonts w:asciiTheme="minorEastAsia" w:hAnsiTheme="minorEastAsia" w:eastAsiaTheme="minorEastAsia"/>
          <w:b/>
          <w:color w:val="auto"/>
          <w:szCs w:val="21"/>
          <w:highlight w:val="none"/>
        </w:rPr>
      </w:pPr>
    </w:p>
    <w:p w14:paraId="55642649">
      <w:pPr>
        <w:snapToGrid w:val="0"/>
        <w:spacing w:line="360" w:lineRule="auto"/>
        <w:rPr>
          <w:rFonts w:asciiTheme="minorEastAsia" w:hAnsiTheme="minorEastAsia" w:eastAsiaTheme="minorEastAsia"/>
          <w:b/>
          <w:color w:val="auto"/>
          <w:szCs w:val="21"/>
          <w:highlight w:val="none"/>
        </w:rPr>
      </w:pPr>
    </w:p>
    <w:p w14:paraId="673C500D">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5B3F3CC3">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w:t>
      </w:r>
    </w:p>
    <w:p w14:paraId="0DB4733F">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关于资格的声明函（附件3）</w:t>
      </w:r>
    </w:p>
    <w:p w14:paraId="643E9399">
      <w:pPr>
        <w:spacing w:line="360" w:lineRule="auto"/>
        <w:rPr>
          <w:rFonts w:asciiTheme="minorEastAsia" w:hAnsiTheme="minorEastAsia" w:eastAsiaTheme="minorEastAsia"/>
          <w:color w:val="auto"/>
          <w:szCs w:val="21"/>
          <w:highlight w:val="none"/>
        </w:rPr>
      </w:pPr>
    </w:p>
    <w:p w14:paraId="34B25CE2">
      <w:pPr>
        <w:spacing w:line="360" w:lineRule="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color w:val="auto"/>
          <w:szCs w:val="21"/>
          <w:highlight w:val="none"/>
          <w:lang w:eastAsia="zh-CN"/>
        </w:rPr>
        <w:t>嘉兴市交通运输行政执法队</w:t>
      </w:r>
    </w:p>
    <w:p w14:paraId="3EEA7E51">
      <w:pPr>
        <w:spacing w:line="360" w:lineRule="auto"/>
        <w:ind w:firstLine="64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关于贵方</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eastAsia="zh-CN"/>
        </w:rPr>
        <w:t>交通执法基层站所修缮维护项目</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招标</w:t>
      </w:r>
      <w:r>
        <w:rPr>
          <w:rFonts w:hint="eastAsia" w:asciiTheme="minorEastAsia" w:hAnsiTheme="minorEastAsia" w:eastAsiaTheme="minorEastAsia"/>
          <w:color w:val="auto"/>
          <w:szCs w:val="21"/>
          <w:highlight w:val="none"/>
        </w:rPr>
        <w:t>项目</w:t>
      </w:r>
      <w:r>
        <w:rPr>
          <w:rFonts w:asciiTheme="minorEastAsia" w:hAnsiTheme="minorEastAsia" w:eastAsiaTheme="minorEastAsia"/>
          <w:color w:val="auto"/>
          <w:szCs w:val="21"/>
          <w:highlight w:val="none"/>
        </w:rPr>
        <w:t>，本签字人愿意参加投标，提供</w:t>
      </w:r>
      <w:r>
        <w:rPr>
          <w:rFonts w:hint="eastAsia" w:asciiTheme="minorEastAsia" w:hAnsiTheme="minorEastAsia" w:eastAsiaTheme="minorEastAsia"/>
          <w:color w:val="auto"/>
          <w:szCs w:val="21"/>
          <w:highlight w:val="none"/>
        </w:rPr>
        <w:t>招标文件</w:t>
      </w:r>
      <w:r>
        <w:rPr>
          <w:rFonts w:asciiTheme="minorEastAsia" w:hAnsiTheme="minorEastAsia" w:eastAsiaTheme="minorEastAsia"/>
          <w:color w:val="auto"/>
          <w:szCs w:val="21"/>
          <w:highlight w:val="none"/>
        </w:rPr>
        <w:t>规定的</w:t>
      </w:r>
      <w:r>
        <w:rPr>
          <w:rFonts w:hint="eastAsia" w:asciiTheme="minorEastAsia" w:hAnsiTheme="minorEastAsia" w:eastAsiaTheme="minorEastAsia"/>
          <w:color w:val="auto"/>
          <w:szCs w:val="21"/>
          <w:highlight w:val="none"/>
        </w:rPr>
        <w:t>要求及服务，</w:t>
      </w:r>
      <w:r>
        <w:rPr>
          <w:rFonts w:asciiTheme="minorEastAsia" w:hAnsiTheme="minorEastAsia" w:eastAsiaTheme="minorEastAsia"/>
          <w:color w:val="auto"/>
          <w:szCs w:val="21"/>
          <w:highlight w:val="none"/>
        </w:rPr>
        <w:t>并证实提交的下列文件和说明是准确的和真实的</w:t>
      </w:r>
      <w:r>
        <w:rPr>
          <w:rFonts w:hint="eastAsia" w:asciiTheme="minorEastAsia" w:hAnsiTheme="minorEastAsia" w:eastAsiaTheme="minorEastAsia"/>
          <w:color w:val="auto"/>
          <w:szCs w:val="21"/>
          <w:highlight w:val="none"/>
        </w:rPr>
        <w:t>：</w:t>
      </w:r>
    </w:p>
    <w:p w14:paraId="0B3D5F27">
      <w:pPr>
        <w:spacing w:line="360" w:lineRule="auto"/>
        <w:ind w:firstLine="315" w:firstLineChars="15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投标人概况。</w:t>
      </w:r>
    </w:p>
    <w:p w14:paraId="7DC97104">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2、有效期内的法人营业执照（或民非登记证书）副本复印件（加盖公章）、</w:t>
      </w:r>
    </w:p>
    <w:p w14:paraId="1868898A">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3、招标文件要求的相关资格资质证明文件及附件资料复印件（加盖公章）。</w:t>
      </w:r>
    </w:p>
    <w:p w14:paraId="3285B2C6">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4、投标人认为有必要提供的声明及文件资料。</w:t>
      </w:r>
    </w:p>
    <w:p w14:paraId="43E00D69">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N、</w:t>
      </w:r>
      <w:r>
        <w:rPr>
          <w:rFonts w:asciiTheme="minorEastAsia" w:hAnsiTheme="minorEastAsia" w:eastAsiaTheme="minorEastAsia"/>
          <w:color w:val="auto"/>
          <w:szCs w:val="21"/>
          <w:highlight w:val="none"/>
        </w:rPr>
        <w:t>……</w:t>
      </w:r>
    </w:p>
    <w:p w14:paraId="28979B1D">
      <w:pPr>
        <w:spacing w:before="120" w:beforeLines="50" w:line="360" w:lineRule="auto"/>
        <w:ind w:firstLine="2750" w:firstLineChars="1100"/>
        <w:rPr>
          <w:rFonts w:asciiTheme="minorEastAsia" w:hAnsiTheme="minorEastAsia" w:eastAsiaTheme="minorEastAsia"/>
          <w:color w:val="auto"/>
          <w:spacing w:val="20"/>
          <w:szCs w:val="21"/>
          <w:highlight w:val="none"/>
        </w:rPr>
      </w:pPr>
    </w:p>
    <w:p w14:paraId="1D694064">
      <w:pPr>
        <w:spacing w:before="120" w:beforeLines="50" w:line="360" w:lineRule="auto"/>
        <w:ind w:firstLine="2750" w:firstLineChars="1100"/>
        <w:rPr>
          <w:rFonts w:asciiTheme="minorEastAsia" w:hAnsiTheme="minorEastAsia" w:eastAsiaTheme="minorEastAsia"/>
          <w:color w:val="auto"/>
          <w:spacing w:val="20"/>
          <w:szCs w:val="21"/>
          <w:highlight w:val="none"/>
        </w:rPr>
      </w:pPr>
    </w:p>
    <w:p w14:paraId="15A36990">
      <w:pPr>
        <w:spacing w:before="120" w:beforeLines="50" w:line="360" w:lineRule="auto"/>
        <w:ind w:firstLine="2750" w:firstLineChars="1100"/>
        <w:jc w:val="right"/>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w:t>
      </w:r>
    </w:p>
    <w:p w14:paraId="2C2BB067">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14:paraId="73E2D655">
      <w:pPr>
        <w:tabs>
          <w:tab w:val="left" w:pos="1418"/>
        </w:tabs>
        <w:spacing w:line="360" w:lineRule="auto"/>
        <w:jc w:val="righ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Cs w:val="21"/>
          <w:highlight w:val="none"/>
        </w:rPr>
        <w:t xml:space="preserve">                                日     期：</w:t>
      </w:r>
    </w:p>
    <w:p w14:paraId="15C86E8A">
      <w:pPr>
        <w:spacing w:line="360" w:lineRule="auto"/>
        <w:jc w:val="center"/>
        <w:rPr>
          <w:rFonts w:asciiTheme="minorEastAsia" w:hAnsiTheme="minorEastAsia" w:eastAsiaTheme="minorEastAsia"/>
          <w:b/>
          <w:color w:val="auto"/>
          <w:szCs w:val="21"/>
          <w:highlight w:val="none"/>
        </w:rPr>
      </w:pPr>
    </w:p>
    <w:p w14:paraId="0E292678">
      <w:pPr>
        <w:spacing w:line="360" w:lineRule="auto"/>
        <w:jc w:val="center"/>
        <w:rPr>
          <w:rFonts w:asciiTheme="minorEastAsia" w:hAnsiTheme="minorEastAsia" w:eastAsiaTheme="minorEastAsia"/>
          <w:b/>
          <w:color w:val="auto"/>
          <w:szCs w:val="21"/>
          <w:highlight w:val="none"/>
        </w:rPr>
      </w:pPr>
    </w:p>
    <w:p w14:paraId="49F33959">
      <w:pPr>
        <w:spacing w:line="360" w:lineRule="auto"/>
        <w:jc w:val="center"/>
        <w:rPr>
          <w:rFonts w:asciiTheme="minorEastAsia" w:hAnsiTheme="minorEastAsia" w:eastAsiaTheme="minorEastAsia"/>
          <w:b/>
          <w:color w:val="auto"/>
          <w:szCs w:val="21"/>
          <w:highlight w:val="none"/>
        </w:rPr>
      </w:pPr>
    </w:p>
    <w:p w14:paraId="74C6FA2F">
      <w:pPr>
        <w:spacing w:line="360" w:lineRule="auto"/>
        <w:jc w:val="center"/>
        <w:rPr>
          <w:rFonts w:asciiTheme="minorEastAsia" w:hAnsiTheme="minorEastAsia" w:eastAsiaTheme="minorEastAsia"/>
          <w:b/>
          <w:color w:val="auto"/>
          <w:szCs w:val="21"/>
          <w:highlight w:val="none"/>
        </w:rPr>
      </w:pPr>
    </w:p>
    <w:p w14:paraId="09EA1C58">
      <w:pPr>
        <w:spacing w:line="360" w:lineRule="auto"/>
        <w:jc w:val="center"/>
        <w:rPr>
          <w:rFonts w:asciiTheme="minorEastAsia" w:hAnsiTheme="minorEastAsia" w:eastAsiaTheme="minorEastAsia"/>
          <w:b/>
          <w:color w:val="auto"/>
          <w:szCs w:val="21"/>
          <w:highlight w:val="none"/>
        </w:rPr>
      </w:pPr>
    </w:p>
    <w:p w14:paraId="1CCE9AB8">
      <w:pPr>
        <w:spacing w:line="360" w:lineRule="auto"/>
        <w:jc w:val="center"/>
        <w:rPr>
          <w:rFonts w:asciiTheme="minorEastAsia" w:hAnsiTheme="minorEastAsia" w:eastAsiaTheme="minorEastAsia"/>
          <w:b/>
          <w:color w:val="auto"/>
          <w:szCs w:val="21"/>
          <w:highlight w:val="none"/>
        </w:rPr>
      </w:pPr>
    </w:p>
    <w:p w14:paraId="7DC52536">
      <w:pPr>
        <w:spacing w:line="360" w:lineRule="auto"/>
        <w:rPr>
          <w:rFonts w:asciiTheme="minorEastAsia" w:hAnsiTheme="minorEastAsia" w:eastAsiaTheme="minorEastAsia"/>
          <w:b/>
          <w:color w:val="auto"/>
          <w:szCs w:val="21"/>
          <w:highlight w:val="none"/>
        </w:rPr>
      </w:pPr>
    </w:p>
    <w:p w14:paraId="711B0F69">
      <w:pPr>
        <w:spacing w:line="360" w:lineRule="auto"/>
        <w:jc w:val="center"/>
        <w:rPr>
          <w:rFonts w:asciiTheme="minorEastAsia" w:hAnsiTheme="minorEastAsia" w:eastAsiaTheme="minorEastAsia"/>
          <w:b/>
          <w:color w:val="auto"/>
          <w:szCs w:val="21"/>
          <w:highlight w:val="none"/>
        </w:rPr>
      </w:pPr>
    </w:p>
    <w:p w14:paraId="46A70809">
      <w:pPr>
        <w:spacing w:line="360" w:lineRule="auto"/>
        <w:jc w:val="center"/>
        <w:rPr>
          <w:rFonts w:asciiTheme="minorEastAsia" w:hAnsiTheme="minorEastAsia" w:eastAsiaTheme="minorEastAsia"/>
          <w:b/>
          <w:color w:val="auto"/>
          <w:szCs w:val="21"/>
          <w:highlight w:val="none"/>
        </w:rPr>
      </w:pPr>
    </w:p>
    <w:p w14:paraId="209EC504">
      <w:pPr>
        <w:spacing w:line="360" w:lineRule="auto"/>
        <w:rPr>
          <w:rFonts w:asciiTheme="minorEastAsia" w:hAnsiTheme="minorEastAsia" w:eastAsiaTheme="minorEastAsia"/>
          <w:b/>
          <w:color w:val="auto"/>
          <w:szCs w:val="21"/>
          <w:highlight w:val="none"/>
        </w:rPr>
      </w:pPr>
    </w:p>
    <w:p w14:paraId="48A72A10">
      <w:pPr>
        <w:spacing w:line="360" w:lineRule="auto"/>
        <w:rPr>
          <w:rFonts w:asciiTheme="minorEastAsia" w:hAnsiTheme="minorEastAsia" w:eastAsiaTheme="minorEastAsia"/>
          <w:b/>
          <w:color w:val="auto"/>
          <w:szCs w:val="21"/>
          <w:highlight w:val="none"/>
        </w:rPr>
      </w:pPr>
    </w:p>
    <w:p w14:paraId="3888B09E">
      <w:pPr>
        <w:spacing w:line="360" w:lineRule="auto"/>
        <w:rPr>
          <w:rFonts w:asciiTheme="minorEastAsia" w:hAnsiTheme="minorEastAsia" w:eastAsiaTheme="minorEastAsia"/>
          <w:b/>
          <w:color w:val="auto"/>
          <w:szCs w:val="21"/>
          <w:highlight w:val="none"/>
        </w:rPr>
      </w:pPr>
    </w:p>
    <w:p w14:paraId="5D31098B">
      <w:pPr>
        <w:spacing w:line="360" w:lineRule="auto"/>
        <w:jc w:val="center"/>
        <w:rPr>
          <w:rFonts w:asciiTheme="minorEastAsia" w:hAnsiTheme="minorEastAsia" w:eastAsiaTheme="minorEastAsia"/>
          <w:b/>
          <w:color w:val="auto"/>
          <w:szCs w:val="21"/>
          <w:highlight w:val="none"/>
        </w:rPr>
      </w:pPr>
    </w:p>
    <w:p w14:paraId="2E9EB7A6">
      <w:pPr>
        <w:spacing w:line="360" w:lineRule="auto"/>
        <w:rPr>
          <w:rFonts w:asciiTheme="minorEastAsia" w:hAnsiTheme="minorEastAsia" w:eastAsiaTheme="minorEastAsia"/>
          <w:b/>
          <w:color w:val="auto"/>
          <w:szCs w:val="21"/>
          <w:highlight w:val="none"/>
        </w:rPr>
      </w:pPr>
    </w:p>
    <w:p w14:paraId="13CC017C">
      <w:pPr>
        <w:spacing w:line="360" w:lineRule="auto"/>
        <w:rPr>
          <w:rFonts w:asciiTheme="minorEastAsia" w:hAnsiTheme="minorEastAsia" w:eastAsiaTheme="minorEastAsia"/>
          <w:b/>
          <w:color w:val="auto"/>
          <w:szCs w:val="21"/>
          <w:highlight w:val="none"/>
        </w:rPr>
      </w:pPr>
    </w:p>
    <w:p w14:paraId="2C62D2B4">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1D5E34A0">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w:t>
      </w:r>
    </w:p>
    <w:p w14:paraId="4F38312D">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投标人基本情况表 （附件4）</w:t>
      </w:r>
    </w:p>
    <w:tbl>
      <w:tblPr>
        <w:tblStyle w:val="55"/>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813"/>
        <w:gridCol w:w="2538"/>
        <w:gridCol w:w="1530"/>
        <w:gridCol w:w="2079"/>
      </w:tblGrid>
      <w:tr w14:paraId="595C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650" w:type="dxa"/>
            <w:vMerge w:val="restart"/>
            <w:vAlign w:val="center"/>
          </w:tcPr>
          <w:p w14:paraId="56E5A9BE">
            <w:pPr>
              <w:spacing w:line="360" w:lineRule="auto"/>
              <w:jc w:val="center"/>
              <w:rPr>
                <w:rFonts w:asciiTheme="minorEastAsia" w:hAnsiTheme="minorEastAsia" w:eastAsiaTheme="minorEastAsia"/>
                <w:color w:val="auto"/>
                <w:szCs w:val="21"/>
                <w:highlight w:val="none"/>
              </w:rPr>
            </w:pPr>
          </w:p>
          <w:p w14:paraId="4D755E7F">
            <w:pPr>
              <w:spacing w:line="360" w:lineRule="auto"/>
              <w:jc w:val="center"/>
              <w:rPr>
                <w:rFonts w:asciiTheme="minorEastAsia" w:hAnsiTheme="minorEastAsia" w:eastAsiaTheme="minorEastAsia"/>
                <w:color w:val="auto"/>
                <w:szCs w:val="21"/>
                <w:highlight w:val="none"/>
              </w:rPr>
            </w:pPr>
          </w:p>
          <w:p w14:paraId="1F154115">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w:t>
            </w:r>
          </w:p>
          <w:p w14:paraId="09214CBA">
            <w:pPr>
              <w:spacing w:line="360" w:lineRule="auto"/>
              <w:jc w:val="center"/>
              <w:rPr>
                <w:rFonts w:asciiTheme="minorEastAsia" w:hAnsiTheme="minorEastAsia" w:eastAsiaTheme="minorEastAsia"/>
                <w:color w:val="auto"/>
                <w:szCs w:val="21"/>
                <w:highlight w:val="none"/>
              </w:rPr>
            </w:pPr>
          </w:p>
          <w:p w14:paraId="3D41967C">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w:t>
            </w:r>
          </w:p>
          <w:p w14:paraId="3A6DB1FA">
            <w:pPr>
              <w:spacing w:line="360" w:lineRule="auto"/>
              <w:jc w:val="center"/>
              <w:rPr>
                <w:rFonts w:asciiTheme="minorEastAsia" w:hAnsiTheme="minorEastAsia" w:eastAsiaTheme="minorEastAsia"/>
                <w:color w:val="auto"/>
                <w:szCs w:val="21"/>
                <w:highlight w:val="none"/>
              </w:rPr>
            </w:pPr>
          </w:p>
          <w:p w14:paraId="47982190">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人</w:t>
            </w:r>
          </w:p>
          <w:p w14:paraId="4EABD8D2">
            <w:pPr>
              <w:spacing w:line="360" w:lineRule="auto"/>
              <w:jc w:val="center"/>
              <w:rPr>
                <w:rFonts w:asciiTheme="minorEastAsia" w:hAnsiTheme="minorEastAsia" w:eastAsiaTheme="minorEastAsia"/>
                <w:color w:val="auto"/>
                <w:szCs w:val="21"/>
                <w:highlight w:val="none"/>
              </w:rPr>
            </w:pPr>
          </w:p>
          <w:p w14:paraId="6923179B">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概</w:t>
            </w:r>
          </w:p>
          <w:p w14:paraId="4FAD0B14">
            <w:pPr>
              <w:spacing w:line="360" w:lineRule="auto"/>
              <w:jc w:val="center"/>
              <w:rPr>
                <w:rFonts w:asciiTheme="minorEastAsia" w:hAnsiTheme="minorEastAsia" w:eastAsiaTheme="minorEastAsia"/>
                <w:color w:val="auto"/>
                <w:szCs w:val="21"/>
                <w:highlight w:val="none"/>
              </w:rPr>
            </w:pPr>
          </w:p>
          <w:p w14:paraId="5E269686">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况</w:t>
            </w:r>
          </w:p>
        </w:tc>
        <w:tc>
          <w:tcPr>
            <w:tcW w:w="1813" w:type="dxa"/>
            <w:vAlign w:val="center"/>
          </w:tcPr>
          <w:p w14:paraId="69399BBF">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公司名称</w:t>
            </w:r>
          </w:p>
        </w:tc>
        <w:tc>
          <w:tcPr>
            <w:tcW w:w="6147" w:type="dxa"/>
            <w:gridSpan w:val="3"/>
            <w:vAlign w:val="center"/>
          </w:tcPr>
          <w:p w14:paraId="55492D87">
            <w:pPr>
              <w:spacing w:line="360" w:lineRule="auto"/>
              <w:jc w:val="center"/>
              <w:rPr>
                <w:rFonts w:asciiTheme="minorEastAsia" w:hAnsiTheme="minorEastAsia" w:eastAsiaTheme="minorEastAsia"/>
                <w:color w:val="auto"/>
                <w:szCs w:val="21"/>
                <w:highlight w:val="none"/>
              </w:rPr>
            </w:pPr>
          </w:p>
        </w:tc>
      </w:tr>
      <w:tr w14:paraId="6D81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650" w:type="dxa"/>
            <w:vMerge w:val="continue"/>
            <w:vAlign w:val="center"/>
          </w:tcPr>
          <w:p w14:paraId="7BF2B72D">
            <w:pPr>
              <w:spacing w:line="360" w:lineRule="auto"/>
              <w:jc w:val="center"/>
              <w:rPr>
                <w:rFonts w:asciiTheme="minorEastAsia" w:hAnsiTheme="minorEastAsia" w:eastAsiaTheme="minorEastAsia"/>
                <w:color w:val="auto"/>
                <w:szCs w:val="21"/>
                <w:highlight w:val="none"/>
              </w:rPr>
            </w:pPr>
          </w:p>
        </w:tc>
        <w:tc>
          <w:tcPr>
            <w:tcW w:w="1813" w:type="dxa"/>
            <w:vAlign w:val="center"/>
          </w:tcPr>
          <w:p w14:paraId="49F91CEA">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w:t>
            </w:r>
          </w:p>
        </w:tc>
        <w:tc>
          <w:tcPr>
            <w:tcW w:w="6147" w:type="dxa"/>
            <w:gridSpan w:val="3"/>
            <w:vAlign w:val="center"/>
          </w:tcPr>
          <w:p w14:paraId="0AED8AA3">
            <w:pPr>
              <w:spacing w:line="360" w:lineRule="auto"/>
              <w:jc w:val="center"/>
              <w:rPr>
                <w:rFonts w:asciiTheme="minorEastAsia" w:hAnsiTheme="minorEastAsia" w:eastAsiaTheme="minorEastAsia"/>
                <w:color w:val="auto"/>
                <w:szCs w:val="21"/>
                <w:highlight w:val="none"/>
              </w:rPr>
            </w:pPr>
          </w:p>
        </w:tc>
      </w:tr>
      <w:tr w14:paraId="51C2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50" w:type="dxa"/>
            <w:vMerge w:val="continue"/>
            <w:vAlign w:val="center"/>
          </w:tcPr>
          <w:p w14:paraId="4CD82F92">
            <w:pPr>
              <w:spacing w:line="360" w:lineRule="auto"/>
              <w:jc w:val="center"/>
              <w:rPr>
                <w:rFonts w:asciiTheme="minorEastAsia" w:hAnsiTheme="minorEastAsia" w:eastAsiaTheme="minorEastAsia"/>
                <w:color w:val="auto"/>
                <w:szCs w:val="21"/>
                <w:highlight w:val="none"/>
              </w:rPr>
            </w:pPr>
          </w:p>
        </w:tc>
        <w:tc>
          <w:tcPr>
            <w:tcW w:w="1813" w:type="dxa"/>
            <w:vAlign w:val="center"/>
          </w:tcPr>
          <w:p w14:paraId="37087743">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经营范围</w:t>
            </w:r>
          </w:p>
        </w:tc>
        <w:tc>
          <w:tcPr>
            <w:tcW w:w="6147" w:type="dxa"/>
            <w:gridSpan w:val="3"/>
            <w:vAlign w:val="center"/>
          </w:tcPr>
          <w:p w14:paraId="43BA9A29">
            <w:pPr>
              <w:spacing w:line="360" w:lineRule="auto"/>
              <w:ind w:firstLine="420" w:firstLineChars="200"/>
              <w:rPr>
                <w:rFonts w:asciiTheme="minorEastAsia" w:hAnsiTheme="minorEastAsia" w:eastAsiaTheme="minorEastAsia"/>
                <w:color w:val="auto"/>
                <w:szCs w:val="21"/>
                <w:highlight w:val="none"/>
              </w:rPr>
            </w:pPr>
          </w:p>
        </w:tc>
      </w:tr>
      <w:tr w14:paraId="2B6B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50" w:type="dxa"/>
            <w:vMerge w:val="continue"/>
            <w:vAlign w:val="center"/>
          </w:tcPr>
          <w:p w14:paraId="130AB8F1">
            <w:pPr>
              <w:spacing w:line="360" w:lineRule="auto"/>
              <w:jc w:val="center"/>
              <w:rPr>
                <w:rFonts w:asciiTheme="minorEastAsia" w:hAnsiTheme="minorEastAsia" w:eastAsiaTheme="minorEastAsia"/>
                <w:color w:val="auto"/>
                <w:szCs w:val="21"/>
                <w:highlight w:val="none"/>
              </w:rPr>
            </w:pPr>
          </w:p>
        </w:tc>
        <w:tc>
          <w:tcPr>
            <w:tcW w:w="1813" w:type="dxa"/>
            <w:vAlign w:val="center"/>
          </w:tcPr>
          <w:p w14:paraId="1D4516D0">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成立时间</w:t>
            </w:r>
          </w:p>
        </w:tc>
        <w:tc>
          <w:tcPr>
            <w:tcW w:w="2538" w:type="dxa"/>
            <w:vAlign w:val="center"/>
          </w:tcPr>
          <w:p w14:paraId="2EA21A4E">
            <w:pPr>
              <w:spacing w:line="360" w:lineRule="auto"/>
              <w:jc w:val="center"/>
              <w:rPr>
                <w:rFonts w:asciiTheme="minorEastAsia" w:hAnsiTheme="minorEastAsia" w:eastAsiaTheme="minorEastAsia"/>
                <w:color w:val="auto"/>
                <w:szCs w:val="21"/>
                <w:highlight w:val="none"/>
              </w:rPr>
            </w:pPr>
          </w:p>
        </w:tc>
        <w:tc>
          <w:tcPr>
            <w:tcW w:w="1530" w:type="dxa"/>
            <w:vAlign w:val="center"/>
          </w:tcPr>
          <w:p w14:paraId="7ECDABBA">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经济性质</w:t>
            </w:r>
          </w:p>
        </w:tc>
        <w:tc>
          <w:tcPr>
            <w:tcW w:w="2079" w:type="dxa"/>
            <w:vAlign w:val="center"/>
          </w:tcPr>
          <w:p w14:paraId="20341677">
            <w:pPr>
              <w:spacing w:line="360" w:lineRule="auto"/>
              <w:jc w:val="center"/>
              <w:rPr>
                <w:rFonts w:asciiTheme="minorEastAsia" w:hAnsiTheme="minorEastAsia" w:eastAsiaTheme="minorEastAsia"/>
                <w:color w:val="auto"/>
                <w:szCs w:val="21"/>
                <w:highlight w:val="none"/>
              </w:rPr>
            </w:pPr>
          </w:p>
        </w:tc>
      </w:tr>
      <w:tr w14:paraId="343B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650" w:type="dxa"/>
            <w:vMerge w:val="continue"/>
            <w:vAlign w:val="center"/>
          </w:tcPr>
          <w:p w14:paraId="4C9D1AA1">
            <w:pPr>
              <w:spacing w:line="360" w:lineRule="auto"/>
              <w:jc w:val="center"/>
              <w:rPr>
                <w:rFonts w:asciiTheme="minorEastAsia" w:hAnsiTheme="minorEastAsia" w:eastAsiaTheme="minorEastAsia"/>
                <w:color w:val="auto"/>
                <w:szCs w:val="21"/>
                <w:highlight w:val="none"/>
              </w:rPr>
            </w:pPr>
          </w:p>
        </w:tc>
        <w:tc>
          <w:tcPr>
            <w:tcW w:w="1813" w:type="dxa"/>
            <w:vAlign w:val="center"/>
          </w:tcPr>
          <w:p w14:paraId="71375668">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w:t>
            </w:r>
          </w:p>
        </w:tc>
        <w:tc>
          <w:tcPr>
            <w:tcW w:w="2538" w:type="dxa"/>
            <w:vAlign w:val="center"/>
          </w:tcPr>
          <w:p w14:paraId="72E32F60">
            <w:pPr>
              <w:spacing w:line="360" w:lineRule="auto"/>
              <w:jc w:val="center"/>
              <w:rPr>
                <w:rFonts w:asciiTheme="minorEastAsia" w:hAnsiTheme="minorEastAsia" w:eastAsiaTheme="minorEastAsia"/>
                <w:color w:val="auto"/>
                <w:szCs w:val="21"/>
                <w:highlight w:val="none"/>
              </w:rPr>
            </w:pPr>
          </w:p>
        </w:tc>
        <w:tc>
          <w:tcPr>
            <w:tcW w:w="1530" w:type="dxa"/>
            <w:vAlign w:val="center"/>
          </w:tcPr>
          <w:p w14:paraId="2FE65652">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联系电话</w:t>
            </w:r>
          </w:p>
        </w:tc>
        <w:tc>
          <w:tcPr>
            <w:tcW w:w="2079" w:type="dxa"/>
            <w:vAlign w:val="center"/>
          </w:tcPr>
          <w:p w14:paraId="3F517580">
            <w:pPr>
              <w:spacing w:line="360" w:lineRule="auto"/>
              <w:jc w:val="center"/>
              <w:rPr>
                <w:rFonts w:asciiTheme="minorEastAsia" w:hAnsiTheme="minorEastAsia" w:eastAsiaTheme="minorEastAsia"/>
                <w:color w:val="auto"/>
                <w:szCs w:val="21"/>
                <w:highlight w:val="none"/>
              </w:rPr>
            </w:pPr>
          </w:p>
        </w:tc>
      </w:tr>
      <w:tr w14:paraId="1BDC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650" w:type="dxa"/>
            <w:vMerge w:val="continue"/>
            <w:vAlign w:val="center"/>
          </w:tcPr>
          <w:p w14:paraId="26521098">
            <w:pPr>
              <w:spacing w:line="360" w:lineRule="auto"/>
              <w:jc w:val="center"/>
              <w:rPr>
                <w:rFonts w:asciiTheme="minorEastAsia" w:hAnsiTheme="minorEastAsia" w:eastAsiaTheme="minorEastAsia"/>
                <w:color w:val="auto"/>
                <w:szCs w:val="21"/>
                <w:highlight w:val="none"/>
              </w:rPr>
            </w:pPr>
          </w:p>
        </w:tc>
        <w:tc>
          <w:tcPr>
            <w:tcW w:w="1813" w:type="dxa"/>
            <w:vAlign w:val="center"/>
          </w:tcPr>
          <w:p w14:paraId="16B1A254">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注册资金</w:t>
            </w:r>
          </w:p>
        </w:tc>
        <w:tc>
          <w:tcPr>
            <w:tcW w:w="2538" w:type="dxa"/>
            <w:vAlign w:val="center"/>
          </w:tcPr>
          <w:p w14:paraId="7CB27C76">
            <w:pPr>
              <w:spacing w:line="360" w:lineRule="auto"/>
              <w:jc w:val="center"/>
              <w:rPr>
                <w:rFonts w:asciiTheme="minorEastAsia" w:hAnsiTheme="minorEastAsia" w:eastAsiaTheme="minorEastAsia"/>
                <w:color w:val="auto"/>
                <w:szCs w:val="21"/>
                <w:highlight w:val="none"/>
              </w:rPr>
            </w:pPr>
          </w:p>
        </w:tc>
        <w:tc>
          <w:tcPr>
            <w:tcW w:w="1530" w:type="dxa"/>
            <w:vAlign w:val="center"/>
          </w:tcPr>
          <w:p w14:paraId="2E8F1AA5">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人员数</w:t>
            </w:r>
          </w:p>
        </w:tc>
        <w:tc>
          <w:tcPr>
            <w:tcW w:w="2079" w:type="dxa"/>
            <w:vAlign w:val="center"/>
          </w:tcPr>
          <w:p w14:paraId="0CF7370C">
            <w:pPr>
              <w:spacing w:line="360" w:lineRule="auto"/>
              <w:jc w:val="center"/>
              <w:rPr>
                <w:rFonts w:asciiTheme="minorEastAsia" w:hAnsiTheme="minorEastAsia" w:eastAsiaTheme="minorEastAsia"/>
                <w:color w:val="auto"/>
                <w:szCs w:val="21"/>
                <w:highlight w:val="none"/>
              </w:rPr>
            </w:pPr>
          </w:p>
        </w:tc>
      </w:tr>
      <w:tr w14:paraId="2E66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650" w:type="dxa"/>
            <w:vMerge w:val="continue"/>
            <w:vAlign w:val="center"/>
          </w:tcPr>
          <w:p w14:paraId="547C50AD">
            <w:pPr>
              <w:spacing w:line="360" w:lineRule="auto"/>
              <w:jc w:val="center"/>
              <w:rPr>
                <w:rFonts w:asciiTheme="minorEastAsia" w:hAnsiTheme="minorEastAsia" w:eastAsiaTheme="minorEastAsia"/>
                <w:color w:val="auto"/>
                <w:szCs w:val="21"/>
                <w:highlight w:val="none"/>
              </w:rPr>
            </w:pPr>
          </w:p>
        </w:tc>
        <w:tc>
          <w:tcPr>
            <w:tcW w:w="1813" w:type="dxa"/>
            <w:vAlign w:val="center"/>
          </w:tcPr>
          <w:p w14:paraId="54C4CEA3">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是否依法纳税</w:t>
            </w:r>
          </w:p>
        </w:tc>
        <w:tc>
          <w:tcPr>
            <w:tcW w:w="6147" w:type="dxa"/>
            <w:gridSpan w:val="3"/>
            <w:vAlign w:val="center"/>
          </w:tcPr>
          <w:p w14:paraId="3354F070">
            <w:pPr>
              <w:spacing w:line="360" w:lineRule="auto"/>
              <w:jc w:val="center"/>
              <w:rPr>
                <w:rFonts w:asciiTheme="minorEastAsia" w:hAnsiTheme="minorEastAsia" w:eastAsiaTheme="minorEastAsia"/>
                <w:color w:val="auto"/>
                <w:szCs w:val="21"/>
                <w:highlight w:val="none"/>
              </w:rPr>
            </w:pPr>
          </w:p>
        </w:tc>
      </w:tr>
      <w:tr w14:paraId="6518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jc w:val="center"/>
        </w:trPr>
        <w:tc>
          <w:tcPr>
            <w:tcW w:w="650" w:type="dxa"/>
            <w:vMerge w:val="continue"/>
            <w:vAlign w:val="center"/>
          </w:tcPr>
          <w:p w14:paraId="01ED41ED">
            <w:pPr>
              <w:spacing w:line="360" w:lineRule="auto"/>
              <w:jc w:val="center"/>
              <w:rPr>
                <w:rFonts w:asciiTheme="minorEastAsia" w:hAnsiTheme="minorEastAsia" w:eastAsiaTheme="minorEastAsia"/>
                <w:color w:val="auto"/>
                <w:szCs w:val="21"/>
                <w:highlight w:val="none"/>
              </w:rPr>
            </w:pPr>
          </w:p>
        </w:tc>
        <w:tc>
          <w:tcPr>
            <w:tcW w:w="7960" w:type="dxa"/>
            <w:gridSpan w:val="4"/>
          </w:tcPr>
          <w:p w14:paraId="2CAD57B1">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单位介绍：</w:t>
            </w:r>
          </w:p>
        </w:tc>
      </w:tr>
      <w:tr w14:paraId="0E84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610" w:type="dxa"/>
            <w:gridSpan w:val="5"/>
            <w:vAlign w:val="center"/>
          </w:tcPr>
          <w:p w14:paraId="1C152ECD">
            <w:pPr>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（单位公章）年   月   日</w:t>
            </w:r>
          </w:p>
        </w:tc>
      </w:tr>
    </w:tbl>
    <w:p w14:paraId="49A071F2">
      <w:pPr>
        <w:spacing w:before="120" w:beforeLines="5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注：附营业执照。</w:t>
      </w:r>
    </w:p>
    <w:p w14:paraId="3B392E16">
      <w:pPr>
        <w:snapToGrid w:val="0"/>
        <w:spacing w:line="360" w:lineRule="auto"/>
        <w:rPr>
          <w:rFonts w:asciiTheme="minorEastAsia" w:hAnsiTheme="minorEastAsia" w:eastAsiaTheme="minorEastAsia"/>
          <w:b/>
          <w:bCs/>
          <w:color w:val="auto"/>
          <w:kern w:val="44"/>
          <w:szCs w:val="21"/>
          <w:highlight w:val="none"/>
        </w:rPr>
      </w:pPr>
    </w:p>
    <w:p w14:paraId="548119BB">
      <w:pPr>
        <w:snapToGrid w:val="0"/>
        <w:spacing w:line="360" w:lineRule="auto"/>
        <w:rPr>
          <w:rFonts w:asciiTheme="minorEastAsia" w:hAnsiTheme="minorEastAsia" w:eastAsiaTheme="minorEastAsia"/>
          <w:b/>
          <w:bCs/>
          <w:color w:val="auto"/>
          <w:kern w:val="44"/>
          <w:szCs w:val="21"/>
          <w:highlight w:val="none"/>
        </w:rPr>
      </w:pPr>
    </w:p>
    <w:p w14:paraId="7D438149">
      <w:pPr>
        <w:snapToGrid w:val="0"/>
        <w:spacing w:line="360" w:lineRule="auto"/>
        <w:rPr>
          <w:rFonts w:asciiTheme="minorEastAsia" w:hAnsiTheme="minorEastAsia" w:eastAsiaTheme="minorEastAsia"/>
          <w:b/>
          <w:bCs/>
          <w:color w:val="auto"/>
          <w:kern w:val="44"/>
          <w:szCs w:val="21"/>
          <w:highlight w:val="none"/>
        </w:rPr>
      </w:pPr>
    </w:p>
    <w:p w14:paraId="0390B61B">
      <w:pPr>
        <w:snapToGrid w:val="0"/>
        <w:spacing w:line="360" w:lineRule="auto"/>
        <w:rPr>
          <w:rFonts w:asciiTheme="minorEastAsia" w:hAnsiTheme="minorEastAsia" w:eastAsiaTheme="minorEastAsia"/>
          <w:b/>
          <w:bCs/>
          <w:color w:val="auto"/>
          <w:kern w:val="44"/>
          <w:szCs w:val="21"/>
          <w:highlight w:val="none"/>
        </w:rPr>
      </w:pPr>
    </w:p>
    <w:p w14:paraId="569D42C3">
      <w:pPr>
        <w:snapToGrid w:val="0"/>
        <w:spacing w:line="360" w:lineRule="auto"/>
        <w:rPr>
          <w:rFonts w:asciiTheme="minorEastAsia" w:hAnsiTheme="minorEastAsia" w:eastAsiaTheme="minorEastAsia"/>
          <w:b/>
          <w:bCs/>
          <w:color w:val="auto"/>
          <w:kern w:val="44"/>
          <w:szCs w:val="21"/>
          <w:highlight w:val="none"/>
        </w:rPr>
      </w:pPr>
    </w:p>
    <w:p w14:paraId="3D3C67B1">
      <w:pPr>
        <w:snapToGrid w:val="0"/>
        <w:spacing w:line="360" w:lineRule="auto"/>
        <w:rPr>
          <w:rFonts w:asciiTheme="minorEastAsia" w:hAnsiTheme="minorEastAsia" w:eastAsiaTheme="minorEastAsia"/>
          <w:b/>
          <w:bCs/>
          <w:color w:val="auto"/>
          <w:kern w:val="44"/>
          <w:szCs w:val="21"/>
          <w:highlight w:val="none"/>
        </w:rPr>
      </w:pPr>
    </w:p>
    <w:p w14:paraId="0206E4DE">
      <w:pPr>
        <w:snapToGrid w:val="0"/>
        <w:spacing w:line="360" w:lineRule="auto"/>
        <w:rPr>
          <w:rFonts w:asciiTheme="minorEastAsia" w:hAnsiTheme="minorEastAsia" w:eastAsiaTheme="minorEastAsia"/>
          <w:b/>
          <w:bCs/>
          <w:color w:val="auto"/>
          <w:kern w:val="44"/>
          <w:szCs w:val="21"/>
          <w:highlight w:val="none"/>
        </w:rPr>
      </w:pPr>
    </w:p>
    <w:p w14:paraId="00DAD040">
      <w:pPr>
        <w:rPr>
          <w:color w:val="auto"/>
          <w:highlight w:val="none"/>
        </w:rPr>
      </w:pPr>
    </w:p>
    <w:p w14:paraId="2B3B781B">
      <w:pPr>
        <w:rPr>
          <w:rFonts w:hint="eastAsia"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br w:type="page"/>
      </w:r>
    </w:p>
    <w:p w14:paraId="6C2150E2">
      <w:pPr>
        <w:snapToGrid w:val="0"/>
        <w:spacing w:line="360" w:lineRule="auto"/>
        <w:rPr>
          <w:rFonts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t>6 .</w:t>
      </w:r>
    </w:p>
    <w:p w14:paraId="754DABFE">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业绩一览表（附件5）</w:t>
      </w:r>
    </w:p>
    <w:tbl>
      <w:tblPr>
        <w:tblStyle w:val="55"/>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2067"/>
        <w:gridCol w:w="2067"/>
        <w:gridCol w:w="1720"/>
        <w:gridCol w:w="2066"/>
      </w:tblGrid>
      <w:tr w14:paraId="2420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553AC2C8">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2067" w:type="dxa"/>
            <w:vAlign w:val="center"/>
          </w:tcPr>
          <w:p w14:paraId="0B462B42">
            <w:pPr>
              <w:autoSpaceDE w:val="0"/>
              <w:autoSpaceDN w:val="0"/>
              <w:adjustRightInd w:val="0"/>
              <w:snapToGrid w:val="0"/>
              <w:spacing w:line="360" w:lineRule="auto"/>
              <w:jc w:val="center"/>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rPr>
              <w:t>项目名称</w:t>
            </w:r>
          </w:p>
        </w:tc>
        <w:tc>
          <w:tcPr>
            <w:tcW w:w="2067" w:type="dxa"/>
            <w:vAlign w:val="center"/>
          </w:tcPr>
          <w:p w14:paraId="4A5E64EF">
            <w:pPr>
              <w:autoSpaceDE w:val="0"/>
              <w:autoSpaceDN w:val="0"/>
              <w:adjustRightInd w:val="0"/>
              <w:snapToGrid w:val="0"/>
              <w:spacing w:line="360" w:lineRule="auto"/>
              <w:jc w:val="center"/>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项目金额</w:t>
            </w:r>
          </w:p>
          <w:p w14:paraId="5105464D">
            <w:pPr>
              <w:autoSpaceDE w:val="0"/>
              <w:autoSpaceDN w:val="0"/>
              <w:adjustRightInd w:val="0"/>
              <w:snapToGrid w:val="0"/>
              <w:spacing w:line="360" w:lineRule="auto"/>
              <w:jc w:val="center"/>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w:t>
            </w:r>
            <w:r>
              <w:rPr>
                <w:rFonts w:hint="eastAsia" w:asciiTheme="minorEastAsia" w:hAnsiTheme="minorEastAsia" w:eastAsiaTheme="minorEastAsia"/>
                <w:color w:val="auto"/>
                <w:szCs w:val="21"/>
                <w:highlight w:val="none"/>
              </w:rPr>
              <w:t>万元）</w:t>
            </w:r>
          </w:p>
        </w:tc>
        <w:tc>
          <w:tcPr>
            <w:tcW w:w="1720" w:type="dxa"/>
            <w:vAlign w:val="center"/>
          </w:tcPr>
          <w:p w14:paraId="084E3151">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合同时间</w:t>
            </w:r>
          </w:p>
        </w:tc>
        <w:tc>
          <w:tcPr>
            <w:tcW w:w="2066" w:type="dxa"/>
            <w:vAlign w:val="center"/>
          </w:tcPr>
          <w:p w14:paraId="21E1F4B1">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r>
      <w:tr w14:paraId="3BA6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013AF26D">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40ECE18B">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2D1410D2">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54EFE5E1">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1C10C528">
            <w:pPr>
              <w:spacing w:line="360" w:lineRule="auto"/>
              <w:ind w:firstLine="525" w:firstLineChars="250"/>
              <w:jc w:val="center"/>
              <w:rPr>
                <w:rFonts w:asciiTheme="minorEastAsia" w:hAnsiTheme="minorEastAsia" w:eastAsiaTheme="minorEastAsia"/>
                <w:color w:val="auto"/>
                <w:szCs w:val="21"/>
                <w:highlight w:val="none"/>
              </w:rPr>
            </w:pPr>
          </w:p>
        </w:tc>
      </w:tr>
      <w:tr w14:paraId="3CBF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6A8860CD">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19113A8F">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53B36AA7">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16C80410">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18AD87A0">
            <w:pPr>
              <w:spacing w:line="360" w:lineRule="auto"/>
              <w:ind w:firstLine="525" w:firstLineChars="250"/>
              <w:jc w:val="center"/>
              <w:rPr>
                <w:rFonts w:asciiTheme="minorEastAsia" w:hAnsiTheme="minorEastAsia" w:eastAsiaTheme="minorEastAsia"/>
                <w:color w:val="auto"/>
                <w:szCs w:val="21"/>
                <w:highlight w:val="none"/>
              </w:rPr>
            </w:pPr>
          </w:p>
        </w:tc>
      </w:tr>
      <w:tr w14:paraId="4DB4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387397A0">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2065FFC5">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69460537">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756FBD7E">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000BF0B9">
            <w:pPr>
              <w:spacing w:line="360" w:lineRule="auto"/>
              <w:ind w:firstLine="525" w:firstLineChars="250"/>
              <w:jc w:val="center"/>
              <w:rPr>
                <w:rFonts w:asciiTheme="minorEastAsia" w:hAnsiTheme="minorEastAsia" w:eastAsiaTheme="minorEastAsia"/>
                <w:color w:val="auto"/>
                <w:szCs w:val="21"/>
                <w:highlight w:val="none"/>
              </w:rPr>
            </w:pPr>
          </w:p>
        </w:tc>
      </w:tr>
      <w:tr w14:paraId="47F7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6A1D5166">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4B580A31">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7B66BFFE">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29946140">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6E9A1028">
            <w:pPr>
              <w:spacing w:line="360" w:lineRule="auto"/>
              <w:ind w:firstLine="525" w:firstLineChars="250"/>
              <w:jc w:val="center"/>
              <w:rPr>
                <w:rFonts w:asciiTheme="minorEastAsia" w:hAnsiTheme="minorEastAsia" w:eastAsiaTheme="minorEastAsia"/>
                <w:color w:val="auto"/>
                <w:szCs w:val="21"/>
                <w:highlight w:val="none"/>
              </w:rPr>
            </w:pPr>
          </w:p>
        </w:tc>
      </w:tr>
      <w:tr w14:paraId="617E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544EE879">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59762F8C">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58A6223A">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11248953">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7A673A7A">
            <w:pPr>
              <w:spacing w:line="360" w:lineRule="auto"/>
              <w:ind w:firstLine="525" w:firstLineChars="250"/>
              <w:jc w:val="center"/>
              <w:rPr>
                <w:rFonts w:asciiTheme="minorEastAsia" w:hAnsiTheme="minorEastAsia" w:eastAsiaTheme="minorEastAsia"/>
                <w:color w:val="auto"/>
                <w:szCs w:val="21"/>
                <w:highlight w:val="none"/>
              </w:rPr>
            </w:pPr>
          </w:p>
        </w:tc>
      </w:tr>
      <w:tr w14:paraId="65E2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7E16E016">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6E82E27D">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6B2E3D8A">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62B8674D">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6A083692">
            <w:pPr>
              <w:spacing w:line="360" w:lineRule="auto"/>
              <w:ind w:firstLine="525" w:firstLineChars="250"/>
              <w:jc w:val="center"/>
              <w:rPr>
                <w:rFonts w:asciiTheme="minorEastAsia" w:hAnsiTheme="minorEastAsia" w:eastAsiaTheme="minorEastAsia"/>
                <w:color w:val="auto"/>
                <w:szCs w:val="21"/>
                <w:highlight w:val="none"/>
              </w:rPr>
            </w:pPr>
          </w:p>
        </w:tc>
      </w:tr>
      <w:tr w14:paraId="15A6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0BAA5DEC">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37B8B6BA">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21CC3DCF">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725446C5">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6F225751">
            <w:pPr>
              <w:spacing w:line="360" w:lineRule="auto"/>
              <w:ind w:firstLine="525" w:firstLineChars="250"/>
              <w:jc w:val="center"/>
              <w:rPr>
                <w:rFonts w:asciiTheme="minorEastAsia" w:hAnsiTheme="minorEastAsia" w:eastAsiaTheme="minorEastAsia"/>
                <w:color w:val="auto"/>
                <w:szCs w:val="21"/>
                <w:highlight w:val="none"/>
              </w:rPr>
            </w:pPr>
          </w:p>
        </w:tc>
      </w:tr>
      <w:tr w14:paraId="7AC3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4B1F26D3">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10287530">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2A6443A1">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76C0CD6B">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67218844">
            <w:pPr>
              <w:spacing w:line="360" w:lineRule="auto"/>
              <w:ind w:firstLine="525" w:firstLineChars="250"/>
              <w:jc w:val="center"/>
              <w:rPr>
                <w:rFonts w:asciiTheme="minorEastAsia" w:hAnsiTheme="minorEastAsia" w:eastAsiaTheme="minorEastAsia"/>
                <w:color w:val="auto"/>
                <w:szCs w:val="21"/>
                <w:highlight w:val="none"/>
              </w:rPr>
            </w:pPr>
          </w:p>
        </w:tc>
      </w:tr>
      <w:tr w14:paraId="1450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5D87FF03">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1F594983">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130B9CA1">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7C13FC6E">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313357C1">
            <w:pPr>
              <w:spacing w:line="360" w:lineRule="auto"/>
              <w:ind w:firstLine="525" w:firstLineChars="250"/>
              <w:jc w:val="center"/>
              <w:rPr>
                <w:rFonts w:asciiTheme="minorEastAsia" w:hAnsiTheme="minorEastAsia" w:eastAsiaTheme="minorEastAsia"/>
                <w:color w:val="auto"/>
                <w:szCs w:val="21"/>
                <w:highlight w:val="none"/>
              </w:rPr>
            </w:pPr>
          </w:p>
        </w:tc>
      </w:tr>
      <w:tr w14:paraId="617C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63ABC205">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5B82A7E6">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7411BA75">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5C0A7539">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513BCF4F">
            <w:pPr>
              <w:spacing w:line="360" w:lineRule="auto"/>
              <w:ind w:firstLine="525" w:firstLineChars="250"/>
              <w:jc w:val="center"/>
              <w:rPr>
                <w:rFonts w:asciiTheme="minorEastAsia" w:hAnsiTheme="minorEastAsia" w:eastAsiaTheme="minorEastAsia"/>
                <w:color w:val="auto"/>
                <w:szCs w:val="21"/>
                <w:highlight w:val="none"/>
              </w:rPr>
            </w:pPr>
          </w:p>
        </w:tc>
      </w:tr>
      <w:tr w14:paraId="023C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0ACB546B">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7E1DC5D5">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79CB4751">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51FC5468">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1CEB67FD">
            <w:pPr>
              <w:spacing w:line="360" w:lineRule="auto"/>
              <w:ind w:firstLine="525" w:firstLineChars="250"/>
              <w:jc w:val="center"/>
              <w:rPr>
                <w:rFonts w:asciiTheme="minorEastAsia" w:hAnsiTheme="minorEastAsia" w:eastAsiaTheme="minorEastAsia"/>
                <w:color w:val="auto"/>
                <w:szCs w:val="21"/>
                <w:highlight w:val="none"/>
              </w:rPr>
            </w:pPr>
          </w:p>
        </w:tc>
      </w:tr>
      <w:tr w14:paraId="5635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750E5109">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0479D908">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6506AFC6">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2BDC6C61">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0FD3A42C">
            <w:pPr>
              <w:spacing w:line="360" w:lineRule="auto"/>
              <w:ind w:firstLine="525" w:firstLineChars="250"/>
              <w:jc w:val="center"/>
              <w:rPr>
                <w:rFonts w:asciiTheme="minorEastAsia" w:hAnsiTheme="minorEastAsia" w:eastAsiaTheme="minorEastAsia"/>
                <w:color w:val="auto"/>
                <w:szCs w:val="21"/>
                <w:highlight w:val="none"/>
              </w:rPr>
            </w:pPr>
          </w:p>
        </w:tc>
      </w:tr>
      <w:tr w14:paraId="65C7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096993D7">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6C46227E">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5339440C">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5AB4AC53">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429C977D">
            <w:pPr>
              <w:spacing w:line="360" w:lineRule="auto"/>
              <w:ind w:firstLine="525" w:firstLineChars="250"/>
              <w:jc w:val="center"/>
              <w:rPr>
                <w:rFonts w:asciiTheme="minorEastAsia" w:hAnsiTheme="minorEastAsia" w:eastAsiaTheme="minorEastAsia"/>
                <w:color w:val="auto"/>
                <w:szCs w:val="21"/>
                <w:highlight w:val="none"/>
              </w:rPr>
            </w:pPr>
          </w:p>
        </w:tc>
      </w:tr>
      <w:tr w14:paraId="5448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5C70C809">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60E54201">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7F9D9D8D">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11577859">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7CEC3935">
            <w:pPr>
              <w:spacing w:line="360" w:lineRule="auto"/>
              <w:ind w:firstLine="525" w:firstLineChars="250"/>
              <w:jc w:val="center"/>
              <w:rPr>
                <w:rFonts w:asciiTheme="minorEastAsia" w:hAnsiTheme="minorEastAsia" w:eastAsiaTheme="minorEastAsia"/>
                <w:color w:val="auto"/>
                <w:szCs w:val="21"/>
                <w:highlight w:val="none"/>
              </w:rPr>
            </w:pPr>
          </w:p>
        </w:tc>
      </w:tr>
      <w:tr w14:paraId="404B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1DE7E54C">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0B5F0DEE">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16AEB963">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7A433F1A">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30E4D903">
            <w:pPr>
              <w:spacing w:line="360" w:lineRule="auto"/>
              <w:ind w:firstLine="525" w:firstLineChars="250"/>
              <w:jc w:val="center"/>
              <w:rPr>
                <w:rFonts w:asciiTheme="minorEastAsia" w:hAnsiTheme="minorEastAsia" w:eastAsiaTheme="minorEastAsia"/>
                <w:color w:val="auto"/>
                <w:szCs w:val="21"/>
                <w:highlight w:val="none"/>
              </w:rPr>
            </w:pPr>
          </w:p>
        </w:tc>
      </w:tr>
      <w:tr w14:paraId="775A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87" w:type="dxa"/>
            <w:vAlign w:val="center"/>
          </w:tcPr>
          <w:p w14:paraId="67682330">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2F8D9D63">
            <w:pPr>
              <w:spacing w:line="360" w:lineRule="auto"/>
              <w:ind w:firstLine="525" w:firstLineChars="250"/>
              <w:jc w:val="center"/>
              <w:rPr>
                <w:rFonts w:asciiTheme="minorEastAsia" w:hAnsiTheme="minorEastAsia" w:eastAsiaTheme="minorEastAsia"/>
                <w:color w:val="auto"/>
                <w:szCs w:val="21"/>
                <w:highlight w:val="none"/>
              </w:rPr>
            </w:pPr>
          </w:p>
        </w:tc>
        <w:tc>
          <w:tcPr>
            <w:tcW w:w="2067" w:type="dxa"/>
            <w:vAlign w:val="center"/>
          </w:tcPr>
          <w:p w14:paraId="63369C36">
            <w:pPr>
              <w:spacing w:line="360" w:lineRule="auto"/>
              <w:ind w:firstLine="525" w:firstLineChars="250"/>
              <w:jc w:val="center"/>
              <w:rPr>
                <w:rFonts w:asciiTheme="minorEastAsia" w:hAnsiTheme="minorEastAsia" w:eastAsiaTheme="minorEastAsia"/>
                <w:color w:val="auto"/>
                <w:szCs w:val="21"/>
                <w:highlight w:val="none"/>
              </w:rPr>
            </w:pPr>
          </w:p>
        </w:tc>
        <w:tc>
          <w:tcPr>
            <w:tcW w:w="1720" w:type="dxa"/>
            <w:vAlign w:val="center"/>
          </w:tcPr>
          <w:p w14:paraId="5A6FEC44">
            <w:pPr>
              <w:spacing w:line="360" w:lineRule="auto"/>
              <w:ind w:firstLine="525" w:firstLineChars="250"/>
              <w:jc w:val="center"/>
              <w:rPr>
                <w:rFonts w:asciiTheme="minorEastAsia" w:hAnsiTheme="minorEastAsia" w:eastAsiaTheme="minorEastAsia"/>
                <w:color w:val="auto"/>
                <w:szCs w:val="21"/>
                <w:highlight w:val="none"/>
              </w:rPr>
            </w:pPr>
          </w:p>
        </w:tc>
        <w:tc>
          <w:tcPr>
            <w:tcW w:w="2066" w:type="dxa"/>
            <w:vAlign w:val="center"/>
          </w:tcPr>
          <w:p w14:paraId="6A00A3F5">
            <w:pPr>
              <w:spacing w:line="360" w:lineRule="auto"/>
              <w:ind w:firstLine="525" w:firstLineChars="250"/>
              <w:jc w:val="center"/>
              <w:rPr>
                <w:rFonts w:asciiTheme="minorEastAsia" w:hAnsiTheme="minorEastAsia" w:eastAsiaTheme="minorEastAsia"/>
                <w:color w:val="auto"/>
                <w:szCs w:val="21"/>
                <w:highlight w:val="none"/>
              </w:rPr>
            </w:pPr>
          </w:p>
        </w:tc>
      </w:tr>
    </w:tbl>
    <w:p w14:paraId="655A7EAD">
      <w:pPr>
        <w:pStyle w:val="28"/>
        <w:tabs>
          <w:tab w:val="left" w:pos="1200"/>
        </w:tabs>
        <w:spacing w:before="120" w:after="120"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注：1、以上项目须提供合同复印件加盖单位公章.</w:t>
      </w:r>
    </w:p>
    <w:p w14:paraId="363BA5D0">
      <w:pPr>
        <w:pStyle w:val="28"/>
        <w:tabs>
          <w:tab w:val="left" w:pos="1200"/>
        </w:tabs>
        <w:spacing w:before="120" w:after="120"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2、本表可在不改变格式的情况下根据具体需要自行增减。</w:t>
      </w:r>
    </w:p>
    <w:p w14:paraId="5495743A">
      <w:pPr>
        <w:snapToGrid w:val="0"/>
        <w:spacing w:line="360" w:lineRule="auto"/>
        <w:rPr>
          <w:rFonts w:asciiTheme="minorEastAsia" w:hAnsiTheme="minorEastAsia" w:eastAsiaTheme="minorEastAsia"/>
          <w:color w:val="auto"/>
          <w:spacing w:val="20"/>
          <w:szCs w:val="21"/>
          <w:highlight w:val="none"/>
        </w:rPr>
      </w:pPr>
    </w:p>
    <w:p w14:paraId="132D1AA6">
      <w:pPr>
        <w:snapToGrid w:val="0"/>
        <w:spacing w:line="360" w:lineRule="auto"/>
        <w:rPr>
          <w:rFonts w:asciiTheme="minorEastAsia" w:hAnsiTheme="minorEastAsia" w:eastAsiaTheme="minorEastAsia"/>
          <w:color w:val="auto"/>
          <w:spacing w:val="20"/>
          <w:szCs w:val="21"/>
          <w:highlight w:val="none"/>
        </w:rPr>
      </w:pPr>
    </w:p>
    <w:p w14:paraId="6053621C">
      <w:pPr>
        <w:snapToGrid w:val="0"/>
        <w:spacing w:line="360" w:lineRule="auto"/>
        <w:rPr>
          <w:rFonts w:asciiTheme="minorEastAsia" w:hAnsiTheme="minorEastAsia" w:eastAsiaTheme="minorEastAsia"/>
          <w:color w:val="auto"/>
          <w:spacing w:val="20"/>
          <w:szCs w:val="21"/>
          <w:highlight w:val="none"/>
        </w:rPr>
      </w:pPr>
    </w:p>
    <w:p w14:paraId="0BFB861D">
      <w:pPr>
        <w:snapToGrid w:val="0"/>
        <w:spacing w:line="360" w:lineRule="auto"/>
        <w:rPr>
          <w:rFonts w:asciiTheme="minorEastAsia" w:hAnsiTheme="minorEastAsia" w:eastAsiaTheme="minorEastAsia"/>
          <w:color w:val="auto"/>
          <w:spacing w:val="20"/>
          <w:szCs w:val="21"/>
          <w:highlight w:val="none"/>
        </w:rPr>
      </w:pPr>
    </w:p>
    <w:p w14:paraId="03B4348A">
      <w:pPr>
        <w:snapToGrid w:val="0"/>
        <w:spacing w:line="360" w:lineRule="auto"/>
        <w:rPr>
          <w:rFonts w:asciiTheme="minorEastAsia" w:hAnsiTheme="minorEastAsia" w:eastAsiaTheme="minorEastAsia"/>
          <w:color w:val="auto"/>
          <w:szCs w:val="21"/>
          <w:highlight w:val="none"/>
        </w:rPr>
      </w:pPr>
      <w:bookmarkStart w:id="642" w:name="OLE_LINK7"/>
    </w:p>
    <w:p w14:paraId="386C3331">
      <w:pPr>
        <w:snapToGrid w:val="0"/>
        <w:spacing w:line="360" w:lineRule="auto"/>
        <w:ind w:firstLine="211" w:firstLineChars="100"/>
        <w:rPr>
          <w:rFonts w:asciiTheme="minorEastAsia" w:hAnsiTheme="minorEastAsia" w:eastAsiaTheme="minorEastAsia"/>
          <w:b/>
          <w:bCs/>
          <w:color w:val="auto"/>
          <w:szCs w:val="21"/>
          <w:highlight w:val="none"/>
        </w:rPr>
      </w:pPr>
    </w:p>
    <w:p w14:paraId="46661A51">
      <w:pPr>
        <w:snapToGrid w:val="0"/>
        <w:spacing w:line="360" w:lineRule="auto"/>
        <w:ind w:firstLine="211" w:firstLineChars="1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7.</w:t>
      </w:r>
      <w:bookmarkEnd w:id="642"/>
    </w:p>
    <w:p w14:paraId="15D808A5">
      <w:pPr>
        <w:snapToGrid w:val="0"/>
        <w:spacing w:line="360" w:lineRule="auto"/>
        <w:ind w:firstLine="211" w:firstLineChars="100"/>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项目组人员配置表（附件6）</w:t>
      </w:r>
    </w:p>
    <w:tbl>
      <w:tblPr>
        <w:tblStyle w:val="55"/>
        <w:tblW w:w="87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745"/>
        <w:gridCol w:w="1758"/>
        <w:gridCol w:w="2236"/>
        <w:gridCol w:w="2236"/>
      </w:tblGrid>
      <w:tr w14:paraId="32E6F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6B46155">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序号</w:t>
            </w:r>
          </w:p>
        </w:tc>
        <w:tc>
          <w:tcPr>
            <w:tcW w:w="1745" w:type="dxa"/>
            <w:tcBorders>
              <w:top w:val="single" w:color="auto" w:sz="4" w:space="0"/>
              <w:left w:val="single" w:color="auto" w:sz="4" w:space="0"/>
              <w:bottom w:val="single" w:color="auto" w:sz="4" w:space="0"/>
              <w:right w:val="single" w:color="auto" w:sz="4" w:space="0"/>
            </w:tcBorders>
            <w:vAlign w:val="center"/>
          </w:tcPr>
          <w:p w14:paraId="3DCE7291">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姓名</w:t>
            </w:r>
          </w:p>
        </w:tc>
        <w:tc>
          <w:tcPr>
            <w:tcW w:w="1758" w:type="dxa"/>
            <w:tcBorders>
              <w:top w:val="single" w:color="auto" w:sz="4" w:space="0"/>
              <w:left w:val="single" w:color="auto" w:sz="4" w:space="0"/>
              <w:bottom w:val="single" w:color="auto" w:sz="4" w:space="0"/>
              <w:right w:val="single" w:color="auto" w:sz="4" w:space="0"/>
            </w:tcBorders>
            <w:vAlign w:val="center"/>
          </w:tcPr>
          <w:p w14:paraId="6928F94E">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学历</w:t>
            </w:r>
          </w:p>
        </w:tc>
        <w:tc>
          <w:tcPr>
            <w:tcW w:w="2236" w:type="dxa"/>
            <w:tcBorders>
              <w:top w:val="single" w:color="auto" w:sz="4" w:space="0"/>
              <w:left w:val="single" w:color="auto" w:sz="4" w:space="0"/>
              <w:bottom w:val="single" w:color="auto" w:sz="4" w:space="0"/>
              <w:right w:val="single" w:color="auto" w:sz="4" w:space="0"/>
            </w:tcBorders>
          </w:tcPr>
          <w:p w14:paraId="40FEA53E">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职称</w:t>
            </w:r>
          </w:p>
        </w:tc>
        <w:tc>
          <w:tcPr>
            <w:tcW w:w="2236" w:type="dxa"/>
            <w:tcBorders>
              <w:top w:val="single" w:color="auto" w:sz="4" w:space="0"/>
              <w:left w:val="single" w:color="auto" w:sz="4" w:space="0"/>
              <w:bottom w:val="single" w:color="auto" w:sz="4" w:space="0"/>
              <w:right w:val="single" w:color="auto" w:sz="4" w:space="0"/>
            </w:tcBorders>
          </w:tcPr>
          <w:p w14:paraId="7B3A1BAB">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工作经验</w:t>
            </w:r>
          </w:p>
        </w:tc>
      </w:tr>
      <w:tr w14:paraId="2B30B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6EDA5E2">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w:t>
            </w:r>
          </w:p>
        </w:tc>
        <w:tc>
          <w:tcPr>
            <w:tcW w:w="1745" w:type="dxa"/>
            <w:tcBorders>
              <w:top w:val="single" w:color="auto" w:sz="4" w:space="0"/>
              <w:left w:val="single" w:color="auto" w:sz="4" w:space="0"/>
              <w:bottom w:val="single" w:color="auto" w:sz="4" w:space="0"/>
              <w:right w:val="single" w:color="auto" w:sz="4" w:space="0"/>
            </w:tcBorders>
            <w:vAlign w:val="center"/>
          </w:tcPr>
          <w:p w14:paraId="607B4A25">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520F3554">
            <w:pPr>
              <w:adjustRightInd w:val="0"/>
              <w:spacing w:line="360" w:lineRule="auto"/>
              <w:jc w:val="center"/>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7D748DF9">
            <w:pPr>
              <w:adjustRightInd w:val="0"/>
              <w:spacing w:line="360" w:lineRule="auto"/>
              <w:jc w:val="center"/>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139E38CB">
            <w:pPr>
              <w:adjustRightInd w:val="0"/>
              <w:spacing w:line="360" w:lineRule="auto"/>
              <w:jc w:val="center"/>
              <w:rPr>
                <w:rFonts w:cs="Arial" w:asciiTheme="minorEastAsia" w:hAnsiTheme="minorEastAsia" w:eastAsiaTheme="minorEastAsia"/>
                <w:color w:val="auto"/>
                <w:szCs w:val="21"/>
                <w:highlight w:val="none"/>
              </w:rPr>
            </w:pPr>
          </w:p>
        </w:tc>
      </w:tr>
      <w:tr w14:paraId="333CD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FF1D4A2">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w:t>
            </w:r>
          </w:p>
        </w:tc>
        <w:tc>
          <w:tcPr>
            <w:tcW w:w="1745" w:type="dxa"/>
            <w:tcBorders>
              <w:top w:val="single" w:color="auto" w:sz="4" w:space="0"/>
              <w:left w:val="single" w:color="auto" w:sz="4" w:space="0"/>
              <w:bottom w:val="single" w:color="auto" w:sz="4" w:space="0"/>
              <w:right w:val="single" w:color="auto" w:sz="4" w:space="0"/>
            </w:tcBorders>
            <w:vAlign w:val="center"/>
          </w:tcPr>
          <w:p w14:paraId="7153E9CB">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6974CED7">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726C7550">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220F9288">
            <w:pPr>
              <w:adjustRightInd w:val="0"/>
              <w:spacing w:line="360" w:lineRule="auto"/>
              <w:jc w:val="right"/>
              <w:rPr>
                <w:rFonts w:cs="Arial" w:asciiTheme="minorEastAsia" w:hAnsiTheme="minorEastAsia" w:eastAsiaTheme="minorEastAsia"/>
                <w:color w:val="auto"/>
                <w:szCs w:val="21"/>
                <w:highlight w:val="none"/>
              </w:rPr>
            </w:pPr>
          </w:p>
        </w:tc>
      </w:tr>
      <w:tr w14:paraId="28FBC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6911DCB">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w:t>
            </w:r>
          </w:p>
        </w:tc>
        <w:tc>
          <w:tcPr>
            <w:tcW w:w="1745" w:type="dxa"/>
            <w:tcBorders>
              <w:top w:val="single" w:color="auto" w:sz="4" w:space="0"/>
              <w:left w:val="single" w:color="auto" w:sz="4" w:space="0"/>
              <w:bottom w:val="single" w:color="auto" w:sz="4" w:space="0"/>
              <w:right w:val="single" w:color="auto" w:sz="4" w:space="0"/>
            </w:tcBorders>
            <w:vAlign w:val="center"/>
          </w:tcPr>
          <w:p w14:paraId="4919C4C5">
            <w:pPr>
              <w:adjustRightInd w:val="0"/>
              <w:spacing w:line="360" w:lineRule="auto"/>
              <w:jc w:val="center"/>
              <w:rPr>
                <w:rFonts w:asciiTheme="minorEastAsia" w:hAnsiTheme="minorEastAsia" w:eastAsiaTheme="minorEastAsia"/>
                <w:b/>
                <w:bCs/>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3BE93257">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1CBC6C9C">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08D9F5BC">
            <w:pPr>
              <w:adjustRightInd w:val="0"/>
              <w:spacing w:line="360" w:lineRule="auto"/>
              <w:jc w:val="right"/>
              <w:rPr>
                <w:rFonts w:cs="Arial" w:asciiTheme="minorEastAsia" w:hAnsiTheme="minorEastAsia" w:eastAsiaTheme="minorEastAsia"/>
                <w:color w:val="auto"/>
                <w:szCs w:val="21"/>
                <w:highlight w:val="none"/>
              </w:rPr>
            </w:pPr>
          </w:p>
        </w:tc>
      </w:tr>
      <w:tr w14:paraId="3A1C0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577979D">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w:t>
            </w:r>
          </w:p>
        </w:tc>
        <w:tc>
          <w:tcPr>
            <w:tcW w:w="1745" w:type="dxa"/>
            <w:tcBorders>
              <w:top w:val="single" w:color="auto" w:sz="4" w:space="0"/>
              <w:left w:val="single" w:color="auto" w:sz="4" w:space="0"/>
              <w:bottom w:val="single" w:color="auto" w:sz="4" w:space="0"/>
              <w:right w:val="single" w:color="auto" w:sz="4" w:space="0"/>
            </w:tcBorders>
            <w:vAlign w:val="center"/>
          </w:tcPr>
          <w:p w14:paraId="5451CC41">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389E9390">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2A53749D">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2387E817">
            <w:pPr>
              <w:adjustRightInd w:val="0"/>
              <w:spacing w:line="360" w:lineRule="auto"/>
              <w:jc w:val="right"/>
              <w:rPr>
                <w:rFonts w:cs="Arial" w:asciiTheme="minorEastAsia" w:hAnsiTheme="minorEastAsia" w:eastAsiaTheme="minorEastAsia"/>
                <w:color w:val="auto"/>
                <w:szCs w:val="21"/>
                <w:highlight w:val="none"/>
              </w:rPr>
            </w:pPr>
          </w:p>
        </w:tc>
      </w:tr>
      <w:tr w14:paraId="56FCC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FC95963">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5</w:t>
            </w:r>
          </w:p>
        </w:tc>
        <w:tc>
          <w:tcPr>
            <w:tcW w:w="1745" w:type="dxa"/>
            <w:tcBorders>
              <w:top w:val="single" w:color="auto" w:sz="4" w:space="0"/>
              <w:left w:val="single" w:color="auto" w:sz="4" w:space="0"/>
              <w:bottom w:val="single" w:color="auto" w:sz="4" w:space="0"/>
              <w:right w:val="single" w:color="auto" w:sz="4" w:space="0"/>
            </w:tcBorders>
            <w:vAlign w:val="center"/>
          </w:tcPr>
          <w:p w14:paraId="515377A2">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6CD1DA05">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1BE52C2C">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0165BFE5">
            <w:pPr>
              <w:adjustRightInd w:val="0"/>
              <w:spacing w:line="360" w:lineRule="auto"/>
              <w:jc w:val="right"/>
              <w:rPr>
                <w:rFonts w:cs="Arial" w:asciiTheme="minorEastAsia" w:hAnsiTheme="minorEastAsia" w:eastAsiaTheme="minorEastAsia"/>
                <w:color w:val="auto"/>
                <w:szCs w:val="21"/>
                <w:highlight w:val="none"/>
              </w:rPr>
            </w:pPr>
          </w:p>
        </w:tc>
      </w:tr>
      <w:tr w14:paraId="3F4CC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B4497E0">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6</w:t>
            </w:r>
          </w:p>
        </w:tc>
        <w:tc>
          <w:tcPr>
            <w:tcW w:w="1745" w:type="dxa"/>
            <w:tcBorders>
              <w:top w:val="single" w:color="auto" w:sz="4" w:space="0"/>
              <w:left w:val="single" w:color="auto" w:sz="4" w:space="0"/>
              <w:bottom w:val="single" w:color="auto" w:sz="4" w:space="0"/>
              <w:right w:val="single" w:color="auto" w:sz="4" w:space="0"/>
            </w:tcBorders>
            <w:vAlign w:val="center"/>
          </w:tcPr>
          <w:p w14:paraId="4E2A4110">
            <w:pPr>
              <w:adjustRightIn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758" w:type="dxa"/>
            <w:tcBorders>
              <w:top w:val="single" w:color="auto" w:sz="4" w:space="0"/>
              <w:left w:val="single" w:color="auto" w:sz="4" w:space="0"/>
              <w:bottom w:val="single" w:color="auto" w:sz="4" w:space="0"/>
              <w:right w:val="single" w:color="auto" w:sz="4" w:space="0"/>
            </w:tcBorders>
            <w:vAlign w:val="center"/>
          </w:tcPr>
          <w:p w14:paraId="779883C2">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205C671E">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29F94C1A">
            <w:pPr>
              <w:adjustRightInd w:val="0"/>
              <w:spacing w:line="360" w:lineRule="auto"/>
              <w:jc w:val="right"/>
              <w:rPr>
                <w:rFonts w:cs="Arial" w:asciiTheme="minorEastAsia" w:hAnsiTheme="minorEastAsia" w:eastAsiaTheme="minorEastAsia"/>
                <w:color w:val="auto"/>
                <w:szCs w:val="21"/>
                <w:highlight w:val="none"/>
              </w:rPr>
            </w:pPr>
          </w:p>
        </w:tc>
      </w:tr>
      <w:tr w14:paraId="06109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9C2C80E">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7</w:t>
            </w:r>
          </w:p>
        </w:tc>
        <w:tc>
          <w:tcPr>
            <w:tcW w:w="1745" w:type="dxa"/>
            <w:tcBorders>
              <w:top w:val="single" w:color="auto" w:sz="4" w:space="0"/>
              <w:left w:val="single" w:color="auto" w:sz="4" w:space="0"/>
              <w:bottom w:val="single" w:color="auto" w:sz="4" w:space="0"/>
              <w:right w:val="single" w:color="auto" w:sz="4" w:space="0"/>
            </w:tcBorders>
            <w:vAlign w:val="center"/>
          </w:tcPr>
          <w:p w14:paraId="3DBB610D">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01578330">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4B6F48BA">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53CC720C">
            <w:pPr>
              <w:adjustRightInd w:val="0"/>
              <w:spacing w:line="360" w:lineRule="auto"/>
              <w:jc w:val="right"/>
              <w:rPr>
                <w:rFonts w:cs="Arial" w:asciiTheme="minorEastAsia" w:hAnsiTheme="minorEastAsia" w:eastAsiaTheme="minorEastAsia"/>
                <w:color w:val="auto"/>
                <w:szCs w:val="21"/>
                <w:highlight w:val="none"/>
              </w:rPr>
            </w:pPr>
          </w:p>
        </w:tc>
      </w:tr>
      <w:tr w14:paraId="0605E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461FFC1">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8</w:t>
            </w:r>
          </w:p>
        </w:tc>
        <w:tc>
          <w:tcPr>
            <w:tcW w:w="1745" w:type="dxa"/>
            <w:tcBorders>
              <w:top w:val="single" w:color="auto" w:sz="4" w:space="0"/>
              <w:left w:val="single" w:color="auto" w:sz="4" w:space="0"/>
              <w:bottom w:val="single" w:color="auto" w:sz="4" w:space="0"/>
              <w:right w:val="single" w:color="auto" w:sz="4" w:space="0"/>
            </w:tcBorders>
            <w:vAlign w:val="center"/>
          </w:tcPr>
          <w:p w14:paraId="5914C380">
            <w:pPr>
              <w:adjustRightInd w:val="0"/>
              <w:spacing w:line="360" w:lineRule="auto"/>
              <w:jc w:val="center"/>
              <w:rPr>
                <w:rFonts w:asciiTheme="minorEastAsia" w:hAnsiTheme="minorEastAsia" w:eastAsiaTheme="minorEastAsia"/>
                <w:color w:val="auto"/>
                <w:spacing w:val="-20"/>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12098BB5">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1EDE1457">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5E76BA4A">
            <w:pPr>
              <w:adjustRightInd w:val="0"/>
              <w:spacing w:line="360" w:lineRule="auto"/>
              <w:jc w:val="right"/>
              <w:rPr>
                <w:rFonts w:cs="Arial" w:asciiTheme="minorEastAsia" w:hAnsiTheme="minorEastAsia" w:eastAsiaTheme="minorEastAsia"/>
                <w:color w:val="auto"/>
                <w:szCs w:val="21"/>
                <w:highlight w:val="none"/>
              </w:rPr>
            </w:pPr>
          </w:p>
        </w:tc>
      </w:tr>
      <w:tr w14:paraId="712A8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DF217B4">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9</w:t>
            </w:r>
          </w:p>
        </w:tc>
        <w:tc>
          <w:tcPr>
            <w:tcW w:w="1745" w:type="dxa"/>
            <w:tcBorders>
              <w:top w:val="single" w:color="auto" w:sz="4" w:space="0"/>
              <w:left w:val="single" w:color="auto" w:sz="4" w:space="0"/>
              <w:bottom w:val="single" w:color="auto" w:sz="4" w:space="0"/>
              <w:right w:val="single" w:color="auto" w:sz="4" w:space="0"/>
            </w:tcBorders>
            <w:vAlign w:val="center"/>
          </w:tcPr>
          <w:p w14:paraId="7DBDFA2F">
            <w:pPr>
              <w:adjustRightInd w:val="0"/>
              <w:spacing w:line="360" w:lineRule="auto"/>
              <w:jc w:val="center"/>
              <w:rPr>
                <w:rFonts w:asciiTheme="minorEastAsia" w:hAnsiTheme="minorEastAsia" w:eastAsiaTheme="minorEastAsia"/>
                <w:color w:val="auto"/>
                <w:spacing w:val="-20"/>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7AB88014">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1F03D24F">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2CE237C1">
            <w:pPr>
              <w:adjustRightInd w:val="0"/>
              <w:spacing w:line="360" w:lineRule="auto"/>
              <w:jc w:val="right"/>
              <w:rPr>
                <w:rFonts w:cs="Arial" w:asciiTheme="minorEastAsia" w:hAnsiTheme="minorEastAsia" w:eastAsiaTheme="minorEastAsia"/>
                <w:color w:val="auto"/>
                <w:szCs w:val="21"/>
                <w:highlight w:val="none"/>
              </w:rPr>
            </w:pPr>
          </w:p>
        </w:tc>
      </w:tr>
      <w:tr w14:paraId="679F9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DEE46F7">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10</w:t>
            </w:r>
          </w:p>
        </w:tc>
        <w:tc>
          <w:tcPr>
            <w:tcW w:w="1745" w:type="dxa"/>
            <w:tcBorders>
              <w:top w:val="single" w:color="auto" w:sz="4" w:space="0"/>
              <w:left w:val="single" w:color="auto" w:sz="4" w:space="0"/>
              <w:bottom w:val="single" w:color="auto" w:sz="4" w:space="0"/>
              <w:right w:val="single" w:color="auto" w:sz="4" w:space="0"/>
            </w:tcBorders>
            <w:vAlign w:val="center"/>
          </w:tcPr>
          <w:p w14:paraId="40B4CDEC">
            <w:pPr>
              <w:adjustRightInd w:val="0"/>
              <w:spacing w:line="360" w:lineRule="auto"/>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4C459E18">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17265102">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3941BEA5">
            <w:pPr>
              <w:adjustRightInd w:val="0"/>
              <w:spacing w:line="360" w:lineRule="auto"/>
              <w:jc w:val="right"/>
              <w:rPr>
                <w:rFonts w:cs="Arial" w:asciiTheme="minorEastAsia" w:hAnsiTheme="minorEastAsia" w:eastAsiaTheme="minorEastAsia"/>
                <w:color w:val="auto"/>
                <w:szCs w:val="21"/>
                <w:highlight w:val="none"/>
              </w:rPr>
            </w:pPr>
          </w:p>
        </w:tc>
      </w:tr>
      <w:tr w14:paraId="549A4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BF104D0">
            <w:pPr>
              <w:adjustRightInd w:val="0"/>
              <w:spacing w:line="360" w:lineRule="auto"/>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11</w:t>
            </w:r>
          </w:p>
        </w:tc>
        <w:tc>
          <w:tcPr>
            <w:tcW w:w="1745" w:type="dxa"/>
            <w:tcBorders>
              <w:top w:val="single" w:color="auto" w:sz="4" w:space="0"/>
              <w:left w:val="single" w:color="auto" w:sz="4" w:space="0"/>
              <w:bottom w:val="single" w:color="auto" w:sz="4" w:space="0"/>
              <w:right w:val="single" w:color="auto" w:sz="4" w:space="0"/>
            </w:tcBorders>
            <w:vAlign w:val="center"/>
          </w:tcPr>
          <w:p w14:paraId="53957740">
            <w:pPr>
              <w:adjustRightIn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758" w:type="dxa"/>
            <w:tcBorders>
              <w:top w:val="single" w:color="auto" w:sz="4" w:space="0"/>
              <w:left w:val="single" w:color="auto" w:sz="4" w:space="0"/>
              <w:bottom w:val="single" w:color="auto" w:sz="4" w:space="0"/>
              <w:right w:val="single" w:color="auto" w:sz="4" w:space="0"/>
            </w:tcBorders>
            <w:vAlign w:val="center"/>
          </w:tcPr>
          <w:p w14:paraId="79CDDC05">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1A3956D7">
            <w:pPr>
              <w:adjustRightInd w:val="0"/>
              <w:spacing w:line="360" w:lineRule="auto"/>
              <w:jc w:val="right"/>
              <w:rPr>
                <w:rFonts w:cs="Arial" w:asciiTheme="minorEastAsia" w:hAnsiTheme="minorEastAsia" w:eastAsiaTheme="minorEastAsia"/>
                <w:color w:val="auto"/>
                <w:szCs w:val="21"/>
                <w:highlight w:val="none"/>
              </w:rPr>
            </w:pPr>
          </w:p>
        </w:tc>
        <w:tc>
          <w:tcPr>
            <w:tcW w:w="2236" w:type="dxa"/>
            <w:tcBorders>
              <w:top w:val="single" w:color="auto" w:sz="4" w:space="0"/>
              <w:left w:val="single" w:color="auto" w:sz="4" w:space="0"/>
              <w:bottom w:val="single" w:color="auto" w:sz="4" w:space="0"/>
              <w:right w:val="single" w:color="auto" w:sz="4" w:space="0"/>
            </w:tcBorders>
          </w:tcPr>
          <w:p w14:paraId="78592ACE">
            <w:pPr>
              <w:adjustRightInd w:val="0"/>
              <w:spacing w:line="360" w:lineRule="auto"/>
              <w:jc w:val="right"/>
              <w:rPr>
                <w:rFonts w:cs="Arial" w:asciiTheme="minorEastAsia" w:hAnsiTheme="minorEastAsia" w:eastAsiaTheme="minorEastAsia"/>
                <w:color w:val="auto"/>
                <w:szCs w:val="21"/>
                <w:highlight w:val="none"/>
              </w:rPr>
            </w:pPr>
          </w:p>
        </w:tc>
      </w:tr>
      <w:tr w14:paraId="646E2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2556" w:type="dxa"/>
            <w:gridSpan w:val="2"/>
            <w:tcBorders>
              <w:top w:val="single" w:color="auto" w:sz="4" w:space="0"/>
              <w:left w:val="single" w:color="auto" w:sz="4" w:space="0"/>
              <w:bottom w:val="single" w:color="auto" w:sz="4" w:space="0"/>
              <w:right w:val="single" w:color="auto" w:sz="4" w:space="0"/>
            </w:tcBorders>
            <w:vAlign w:val="center"/>
          </w:tcPr>
          <w:p w14:paraId="098D34DA">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合计总人数</w:t>
            </w:r>
          </w:p>
        </w:tc>
        <w:tc>
          <w:tcPr>
            <w:tcW w:w="6230" w:type="dxa"/>
            <w:gridSpan w:val="3"/>
            <w:tcBorders>
              <w:top w:val="single" w:color="auto" w:sz="4" w:space="0"/>
              <w:left w:val="single" w:color="auto" w:sz="4" w:space="0"/>
              <w:bottom w:val="single" w:color="auto" w:sz="4" w:space="0"/>
              <w:right w:val="single" w:color="auto" w:sz="4" w:space="0"/>
            </w:tcBorders>
            <w:vAlign w:val="center"/>
          </w:tcPr>
          <w:p w14:paraId="1D4FA368">
            <w:pPr>
              <w:adjustRightInd w:val="0"/>
              <w:spacing w:line="360" w:lineRule="auto"/>
              <w:jc w:val="center"/>
              <w:rPr>
                <w:rFonts w:cs="Arial" w:asciiTheme="minorEastAsia" w:hAnsiTheme="minorEastAsia" w:eastAsiaTheme="minorEastAsia"/>
                <w:color w:val="auto"/>
                <w:szCs w:val="21"/>
                <w:highlight w:val="none"/>
              </w:rPr>
            </w:pPr>
          </w:p>
        </w:tc>
      </w:tr>
    </w:tbl>
    <w:p w14:paraId="753CEA06">
      <w:pPr>
        <w:snapToGrid w:val="0"/>
        <w:spacing w:line="360" w:lineRule="auto"/>
        <w:ind w:firstLine="211" w:firstLineChars="100"/>
        <w:rPr>
          <w:rFonts w:asciiTheme="minorEastAsia" w:hAnsiTheme="minorEastAsia" w:eastAsiaTheme="minorEastAsia"/>
          <w:b/>
          <w:bCs/>
          <w:color w:val="auto"/>
          <w:szCs w:val="21"/>
          <w:highlight w:val="none"/>
        </w:rPr>
      </w:pPr>
    </w:p>
    <w:p w14:paraId="1D3E07AF">
      <w:pPr>
        <w:snapToGrid w:val="0"/>
        <w:spacing w:line="360" w:lineRule="auto"/>
        <w:ind w:firstLine="211" w:firstLineChars="100"/>
        <w:rPr>
          <w:rFonts w:asciiTheme="minorEastAsia" w:hAnsiTheme="minorEastAsia" w:eastAsiaTheme="minorEastAsia"/>
          <w:b/>
          <w:bCs/>
          <w:color w:val="auto"/>
          <w:szCs w:val="21"/>
          <w:highlight w:val="none"/>
        </w:rPr>
      </w:pPr>
    </w:p>
    <w:p w14:paraId="544FF9EB">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注：1、上表中行数不够可自加。</w:t>
      </w:r>
    </w:p>
    <w:p w14:paraId="254646F9">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2、身份证、学历证书、职称证书、等资料复印件加盖单位公章附后。</w:t>
      </w:r>
    </w:p>
    <w:p w14:paraId="06996990">
      <w:pPr>
        <w:snapToGrid w:val="0"/>
        <w:spacing w:line="360" w:lineRule="auto"/>
        <w:ind w:firstLine="200"/>
        <w:jc w:val="right"/>
        <w:rPr>
          <w:rFonts w:asciiTheme="minorEastAsia" w:hAnsiTheme="minorEastAsia" w:eastAsiaTheme="minorEastAsia"/>
          <w:color w:val="auto"/>
          <w:szCs w:val="21"/>
          <w:highlight w:val="none"/>
        </w:rPr>
      </w:pPr>
    </w:p>
    <w:p w14:paraId="7F77B466">
      <w:pPr>
        <w:spacing w:before="120" w:beforeLines="50" w:line="360" w:lineRule="auto"/>
        <w:ind w:firstLine="2750" w:firstLineChars="1100"/>
        <w:jc w:val="right"/>
        <w:rPr>
          <w:rFonts w:asciiTheme="minorEastAsia" w:hAnsiTheme="minorEastAsia" w:eastAsiaTheme="minorEastAsia"/>
          <w:color w:val="auto"/>
          <w:szCs w:val="21"/>
          <w:highlight w:val="none"/>
        </w:rPr>
      </w:pPr>
      <w:bookmarkStart w:id="643" w:name="OLE_LINK8"/>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w:t>
      </w:r>
    </w:p>
    <w:p w14:paraId="31DCFCEA">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14:paraId="301FEF82">
      <w:pPr>
        <w:tabs>
          <w:tab w:val="left" w:pos="1418"/>
        </w:tabs>
        <w:spacing w:line="360" w:lineRule="auto"/>
        <w:jc w:val="righ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Cs w:val="21"/>
          <w:highlight w:val="none"/>
        </w:rPr>
        <w:t xml:space="preserve">                                日     期：</w:t>
      </w:r>
    </w:p>
    <w:p w14:paraId="33D0F9E0">
      <w:pPr>
        <w:pStyle w:val="28"/>
        <w:spacing w:before="120" w:after="120" w:line="360" w:lineRule="auto"/>
        <w:jc w:val="center"/>
        <w:rPr>
          <w:rFonts w:asciiTheme="minorEastAsia" w:hAnsiTheme="minorEastAsia" w:eastAsiaTheme="minorEastAsia"/>
          <w:b/>
          <w:color w:val="auto"/>
          <w:szCs w:val="21"/>
          <w:highlight w:val="none"/>
        </w:rPr>
      </w:pPr>
    </w:p>
    <w:p w14:paraId="2DD9DE86">
      <w:pPr>
        <w:pStyle w:val="28"/>
        <w:spacing w:before="120" w:after="120" w:line="360" w:lineRule="auto"/>
        <w:jc w:val="center"/>
        <w:rPr>
          <w:rFonts w:asciiTheme="minorEastAsia" w:hAnsiTheme="minorEastAsia" w:eastAsiaTheme="minorEastAsia"/>
          <w:b/>
          <w:color w:val="auto"/>
          <w:szCs w:val="21"/>
          <w:highlight w:val="none"/>
        </w:rPr>
      </w:pPr>
    </w:p>
    <w:p w14:paraId="71D220F8">
      <w:pPr>
        <w:pStyle w:val="28"/>
        <w:spacing w:before="120" w:after="120" w:line="360" w:lineRule="auto"/>
        <w:jc w:val="center"/>
        <w:rPr>
          <w:rFonts w:asciiTheme="minorEastAsia" w:hAnsiTheme="minorEastAsia" w:eastAsiaTheme="minorEastAsia"/>
          <w:b/>
          <w:color w:val="auto"/>
          <w:szCs w:val="21"/>
          <w:highlight w:val="none"/>
        </w:rPr>
      </w:pPr>
    </w:p>
    <w:p w14:paraId="28D0CDD1">
      <w:pPr>
        <w:pStyle w:val="28"/>
        <w:spacing w:before="120" w:after="120" w:line="360" w:lineRule="auto"/>
        <w:jc w:val="center"/>
        <w:rPr>
          <w:rFonts w:asciiTheme="minorEastAsia" w:hAnsiTheme="minorEastAsia" w:eastAsiaTheme="minorEastAsia"/>
          <w:b/>
          <w:color w:val="auto"/>
          <w:szCs w:val="21"/>
          <w:highlight w:val="none"/>
        </w:rPr>
      </w:pPr>
    </w:p>
    <w:p w14:paraId="1E5E296F">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7F71AB59">
      <w:pPr>
        <w:pStyle w:val="28"/>
        <w:spacing w:before="120" w:after="120"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8、项目负责人简历表</w:t>
      </w:r>
      <w:bookmarkEnd w:id="643"/>
    </w:p>
    <w:tbl>
      <w:tblPr>
        <w:tblStyle w:val="55"/>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357"/>
        <w:gridCol w:w="1417"/>
        <w:gridCol w:w="1134"/>
      </w:tblGrid>
      <w:tr w14:paraId="5913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19" w:type="dxa"/>
            <w:tcBorders>
              <w:top w:val="single" w:color="auto" w:sz="12" w:space="0"/>
              <w:left w:val="single" w:color="auto" w:sz="12" w:space="0"/>
              <w:bottom w:val="single" w:color="auto" w:sz="6" w:space="0"/>
              <w:right w:val="single" w:color="auto" w:sz="6" w:space="0"/>
            </w:tcBorders>
            <w:vAlign w:val="center"/>
          </w:tcPr>
          <w:p w14:paraId="0875BD4D">
            <w:pPr>
              <w:pStyle w:val="28"/>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姓 名</w:t>
            </w:r>
          </w:p>
        </w:tc>
        <w:tc>
          <w:tcPr>
            <w:tcW w:w="1652" w:type="dxa"/>
            <w:tcBorders>
              <w:top w:val="single" w:color="auto" w:sz="12" w:space="0"/>
              <w:left w:val="single" w:color="auto" w:sz="6" w:space="0"/>
              <w:bottom w:val="single" w:color="auto" w:sz="6" w:space="0"/>
              <w:right w:val="single" w:color="auto" w:sz="6" w:space="0"/>
            </w:tcBorders>
            <w:vAlign w:val="center"/>
          </w:tcPr>
          <w:p w14:paraId="109D6ABB">
            <w:pPr>
              <w:pStyle w:val="28"/>
              <w:spacing w:before="120" w:after="120" w:line="360" w:lineRule="auto"/>
              <w:ind w:left="630" w:hanging="630" w:hangingChars="300"/>
              <w:jc w:val="center"/>
              <w:rPr>
                <w:rFonts w:asciiTheme="minorEastAsia" w:hAnsiTheme="minorEastAsia" w:eastAsiaTheme="minorEastAsia"/>
                <w:color w:val="auto"/>
                <w:szCs w:val="21"/>
                <w:highlight w:val="none"/>
              </w:rPr>
            </w:pPr>
          </w:p>
        </w:tc>
        <w:tc>
          <w:tcPr>
            <w:tcW w:w="1648" w:type="dxa"/>
            <w:tcBorders>
              <w:top w:val="single" w:color="auto" w:sz="12" w:space="0"/>
              <w:left w:val="single" w:color="auto" w:sz="6" w:space="0"/>
              <w:bottom w:val="single" w:color="auto" w:sz="6" w:space="0"/>
              <w:right w:val="single" w:color="auto" w:sz="6" w:space="0"/>
            </w:tcBorders>
            <w:vAlign w:val="center"/>
          </w:tcPr>
          <w:p w14:paraId="580066F8">
            <w:pPr>
              <w:pStyle w:val="28"/>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性 别</w:t>
            </w:r>
          </w:p>
        </w:tc>
        <w:tc>
          <w:tcPr>
            <w:tcW w:w="1357" w:type="dxa"/>
            <w:tcBorders>
              <w:top w:val="single" w:color="auto" w:sz="12" w:space="0"/>
              <w:left w:val="single" w:color="auto" w:sz="6" w:space="0"/>
              <w:bottom w:val="single" w:color="auto" w:sz="6" w:space="0"/>
              <w:right w:val="single" w:color="auto" w:sz="6" w:space="0"/>
            </w:tcBorders>
            <w:vAlign w:val="center"/>
          </w:tcPr>
          <w:p w14:paraId="1E2B34F2">
            <w:pPr>
              <w:pStyle w:val="28"/>
              <w:spacing w:before="120" w:after="120" w:line="360" w:lineRule="auto"/>
              <w:ind w:left="630" w:hanging="630" w:hangingChars="300"/>
              <w:jc w:val="center"/>
              <w:rPr>
                <w:rFonts w:asciiTheme="minorEastAsia" w:hAnsiTheme="minorEastAsia" w:eastAsiaTheme="minorEastAsia"/>
                <w:color w:val="auto"/>
                <w:szCs w:val="21"/>
                <w:highlight w:val="none"/>
              </w:rPr>
            </w:pPr>
          </w:p>
        </w:tc>
        <w:tc>
          <w:tcPr>
            <w:tcW w:w="1417" w:type="dxa"/>
            <w:tcBorders>
              <w:top w:val="single" w:color="auto" w:sz="12" w:space="0"/>
              <w:left w:val="single" w:color="auto" w:sz="6" w:space="0"/>
              <w:bottom w:val="single" w:color="auto" w:sz="6" w:space="0"/>
              <w:right w:val="single" w:color="auto" w:sz="6" w:space="0"/>
            </w:tcBorders>
            <w:vAlign w:val="center"/>
          </w:tcPr>
          <w:p w14:paraId="54F61E0A">
            <w:pPr>
              <w:pStyle w:val="28"/>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 龄</w:t>
            </w:r>
          </w:p>
        </w:tc>
        <w:tc>
          <w:tcPr>
            <w:tcW w:w="1134" w:type="dxa"/>
            <w:tcBorders>
              <w:top w:val="single" w:color="auto" w:sz="12" w:space="0"/>
              <w:left w:val="single" w:color="auto" w:sz="6" w:space="0"/>
              <w:bottom w:val="single" w:color="auto" w:sz="6" w:space="0"/>
              <w:right w:val="single" w:color="auto" w:sz="12" w:space="0"/>
            </w:tcBorders>
            <w:vAlign w:val="center"/>
          </w:tcPr>
          <w:p w14:paraId="6D2BA379">
            <w:pPr>
              <w:pStyle w:val="28"/>
              <w:spacing w:before="120" w:after="120" w:line="360" w:lineRule="auto"/>
              <w:ind w:left="630" w:hanging="630" w:hangingChars="300"/>
              <w:jc w:val="center"/>
              <w:rPr>
                <w:rFonts w:asciiTheme="minorEastAsia" w:hAnsiTheme="minorEastAsia" w:eastAsiaTheme="minorEastAsia"/>
                <w:color w:val="auto"/>
                <w:szCs w:val="21"/>
                <w:highlight w:val="none"/>
              </w:rPr>
            </w:pPr>
          </w:p>
        </w:tc>
      </w:tr>
      <w:tr w14:paraId="1DC5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278A7B1A">
            <w:pPr>
              <w:pStyle w:val="28"/>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学 历</w:t>
            </w:r>
          </w:p>
        </w:tc>
        <w:tc>
          <w:tcPr>
            <w:tcW w:w="1652" w:type="dxa"/>
            <w:tcBorders>
              <w:top w:val="single" w:color="auto" w:sz="6" w:space="0"/>
              <w:left w:val="single" w:color="auto" w:sz="6" w:space="0"/>
              <w:bottom w:val="single" w:color="auto" w:sz="6" w:space="0"/>
              <w:right w:val="single" w:color="auto" w:sz="6" w:space="0"/>
            </w:tcBorders>
            <w:vAlign w:val="center"/>
          </w:tcPr>
          <w:p w14:paraId="33A5AF47">
            <w:pPr>
              <w:pStyle w:val="28"/>
              <w:spacing w:before="120" w:after="120" w:line="360" w:lineRule="auto"/>
              <w:ind w:left="630" w:hanging="630" w:hangingChars="300"/>
              <w:jc w:val="center"/>
              <w:rPr>
                <w:rFonts w:asciiTheme="minorEastAsia" w:hAnsiTheme="minorEastAsia" w:eastAsiaTheme="minorEastAsia"/>
                <w:color w:val="auto"/>
                <w:szCs w:val="21"/>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14:paraId="2F00C144">
            <w:pPr>
              <w:pStyle w:val="28"/>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 称</w:t>
            </w:r>
          </w:p>
        </w:tc>
        <w:tc>
          <w:tcPr>
            <w:tcW w:w="1357" w:type="dxa"/>
            <w:tcBorders>
              <w:top w:val="single" w:color="auto" w:sz="6" w:space="0"/>
              <w:left w:val="single" w:color="auto" w:sz="6" w:space="0"/>
              <w:bottom w:val="single" w:color="auto" w:sz="6" w:space="0"/>
              <w:right w:val="single" w:color="auto" w:sz="6" w:space="0"/>
            </w:tcBorders>
            <w:vAlign w:val="center"/>
          </w:tcPr>
          <w:p w14:paraId="01952DE1">
            <w:pPr>
              <w:pStyle w:val="28"/>
              <w:spacing w:before="120" w:after="120" w:line="360" w:lineRule="auto"/>
              <w:ind w:left="630" w:hanging="630" w:hangingChars="300"/>
              <w:jc w:val="center"/>
              <w:rPr>
                <w:rFonts w:asciiTheme="minorEastAsia" w:hAnsiTheme="minorEastAsia" w:eastAsiaTheme="minorEastAsia"/>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05DF77CC">
            <w:pPr>
              <w:pStyle w:val="28"/>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 务</w:t>
            </w:r>
          </w:p>
        </w:tc>
        <w:tc>
          <w:tcPr>
            <w:tcW w:w="1134" w:type="dxa"/>
            <w:tcBorders>
              <w:top w:val="single" w:color="auto" w:sz="6" w:space="0"/>
              <w:left w:val="single" w:color="auto" w:sz="6" w:space="0"/>
              <w:bottom w:val="single" w:color="auto" w:sz="6" w:space="0"/>
              <w:right w:val="single" w:color="auto" w:sz="12" w:space="0"/>
            </w:tcBorders>
            <w:vAlign w:val="center"/>
          </w:tcPr>
          <w:p w14:paraId="2C624A7E">
            <w:pPr>
              <w:pStyle w:val="28"/>
              <w:spacing w:before="120" w:after="120" w:line="360" w:lineRule="auto"/>
              <w:ind w:left="630" w:hanging="630" w:hangingChars="300"/>
              <w:jc w:val="center"/>
              <w:rPr>
                <w:rFonts w:asciiTheme="minorEastAsia" w:hAnsiTheme="minorEastAsia" w:eastAsiaTheme="minorEastAsia"/>
                <w:color w:val="auto"/>
                <w:szCs w:val="21"/>
                <w:highlight w:val="none"/>
              </w:rPr>
            </w:pPr>
          </w:p>
        </w:tc>
      </w:tr>
      <w:tr w14:paraId="0110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27D0D14C">
            <w:pPr>
              <w:pStyle w:val="28"/>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联系电话</w:t>
            </w:r>
          </w:p>
        </w:tc>
        <w:tc>
          <w:tcPr>
            <w:tcW w:w="3300" w:type="dxa"/>
            <w:gridSpan w:val="2"/>
            <w:tcBorders>
              <w:top w:val="single" w:color="auto" w:sz="6" w:space="0"/>
              <w:left w:val="single" w:color="auto" w:sz="6" w:space="0"/>
              <w:bottom w:val="single" w:color="auto" w:sz="6" w:space="0"/>
              <w:right w:val="single" w:color="auto" w:sz="6" w:space="0"/>
            </w:tcBorders>
            <w:vAlign w:val="center"/>
          </w:tcPr>
          <w:p w14:paraId="2DF6E1C0">
            <w:pPr>
              <w:pStyle w:val="28"/>
              <w:spacing w:before="120" w:after="120" w:line="360" w:lineRule="auto"/>
              <w:ind w:left="630" w:hanging="630" w:hangingChars="300"/>
              <w:jc w:val="center"/>
              <w:rPr>
                <w:rFonts w:asciiTheme="minorEastAsia" w:hAnsiTheme="minorEastAsia" w:eastAsiaTheme="minorEastAsia"/>
                <w:color w:val="auto"/>
                <w:szCs w:val="21"/>
                <w:highlight w:val="none"/>
              </w:rPr>
            </w:pPr>
          </w:p>
        </w:tc>
        <w:tc>
          <w:tcPr>
            <w:tcW w:w="1357" w:type="dxa"/>
            <w:tcBorders>
              <w:top w:val="single" w:color="auto" w:sz="6" w:space="0"/>
              <w:left w:val="single" w:color="auto" w:sz="6" w:space="0"/>
              <w:bottom w:val="single" w:color="auto" w:sz="6" w:space="0"/>
              <w:right w:val="single" w:color="auto" w:sz="6" w:space="0"/>
            </w:tcBorders>
            <w:vAlign w:val="center"/>
          </w:tcPr>
          <w:p w14:paraId="4381D8B0">
            <w:pPr>
              <w:pStyle w:val="28"/>
              <w:spacing w:before="120" w:after="120" w:line="360" w:lineRule="auto"/>
              <w:ind w:left="630" w:hanging="630" w:hangingChars="3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手 机</w:t>
            </w:r>
          </w:p>
        </w:tc>
        <w:tc>
          <w:tcPr>
            <w:tcW w:w="2551" w:type="dxa"/>
            <w:gridSpan w:val="2"/>
            <w:tcBorders>
              <w:top w:val="single" w:color="auto" w:sz="6" w:space="0"/>
              <w:left w:val="single" w:color="auto" w:sz="6" w:space="0"/>
              <w:bottom w:val="single" w:color="auto" w:sz="6" w:space="0"/>
              <w:right w:val="single" w:color="auto" w:sz="12" w:space="0"/>
            </w:tcBorders>
            <w:vAlign w:val="center"/>
          </w:tcPr>
          <w:p w14:paraId="6E07D978">
            <w:pPr>
              <w:pStyle w:val="28"/>
              <w:spacing w:before="120" w:after="120" w:line="360" w:lineRule="auto"/>
              <w:ind w:left="630" w:hanging="630" w:hangingChars="300"/>
              <w:jc w:val="center"/>
              <w:rPr>
                <w:rFonts w:asciiTheme="minorEastAsia" w:hAnsiTheme="minorEastAsia" w:eastAsiaTheme="minorEastAsia"/>
                <w:color w:val="auto"/>
                <w:szCs w:val="21"/>
                <w:highlight w:val="none"/>
              </w:rPr>
            </w:pPr>
          </w:p>
        </w:tc>
      </w:tr>
      <w:tr w14:paraId="6FBD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8827" w:type="dxa"/>
            <w:gridSpan w:val="6"/>
            <w:tcBorders>
              <w:top w:val="single" w:color="auto" w:sz="6" w:space="0"/>
              <w:left w:val="single" w:color="auto" w:sz="12" w:space="0"/>
              <w:bottom w:val="single" w:color="auto" w:sz="12" w:space="0"/>
              <w:right w:val="single" w:color="auto" w:sz="12" w:space="0"/>
            </w:tcBorders>
          </w:tcPr>
          <w:p w14:paraId="48399826">
            <w:pPr>
              <w:pStyle w:val="28"/>
              <w:spacing w:before="120" w:after="120" w:line="360" w:lineRule="auto"/>
              <w:ind w:left="630" w:hanging="630" w:hangingChars="3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近三年从事相关工作经历及经验：</w:t>
            </w:r>
          </w:p>
        </w:tc>
      </w:tr>
    </w:tbl>
    <w:p w14:paraId="36E3C853">
      <w:pPr>
        <w:pStyle w:val="28"/>
        <w:spacing w:before="120" w:after="120" w:line="360" w:lineRule="auto"/>
        <w:ind w:left="632" w:hanging="632" w:hangingChars="3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 xml:space="preserve"> 注:</w:t>
      </w:r>
      <w:r>
        <w:rPr>
          <w:rFonts w:hint="eastAsia" w:asciiTheme="minorEastAsia" w:hAnsiTheme="minorEastAsia" w:eastAsiaTheme="minorEastAsia"/>
          <w:color w:val="auto"/>
          <w:szCs w:val="21"/>
          <w:highlight w:val="none"/>
        </w:rPr>
        <w:t>附身份证、学历证书、职称证书、经验证明等复印件。</w:t>
      </w:r>
    </w:p>
    <w:p w14:paraId="11787BC4">
      <w:pPr>
        <w:spacing w:line="360" w:lineRule="auto"/>
        <w:ind w:firstLine="3750" w:firstLineChars="1500"/>
        <w:jc w:val="right"/>
        <w:rPr>
          <w:rFonts w:ascii="宋体" w:hAnsi="宋体"/>
          <w:color w:val="auto"/>
          <w:spacing w:val="20"/>
          <w:szCs w:val="21"/>
          <w:highlight w:val="none"/>
          <w:u w:val="single"/>
        </w:rPr>
      </w:pPr>
      <w:r>
        <w:rPr>
          <w:rFonts w:ascii="宋体" w:hAnsi="宋体"/>
          <w:color w:val="auto"/>
          <w:spacing w:val="20"/>
          <w:szCs w:val="21"/>
          <w:highlight w:val="none"/>
        </w:rPr>
        <w:t>法定代表人或委托代理人</w:t>
      </w:r>
      <w:r>
        <w:rPr>
          <w:rFonts w:hint="eastAsia" w:ascii="宋体" w:hAnsi="宋体"/>
          <w:color w:val="auto"/>
          <w:spacing w:val="20"/>
          <w:szCs w:val="21"/>
          <w:highlight w:val="none"/>
        </w:rPr>
        <w:t>签名：</w:t>
      </w:r>
      <w:r>
        <w:rPr>
          <w:rFonts w:hint="eastAsia" w:ascii="宋体" w:hAnsi="宋体"/>
          <w:color w:val="auto"/>
          <w:spacing w:val="20"/>
          <w:szCs w:val="21"/>
          <w:highlight w:val="none"/>
          <w:u w:val="single"/>
        </w:rPr>
        <w:t xml:space="preserve">             </w:t>
      </w:r>
    </w:p>
    <w:p w14:paraId="60EDE71A">
      <w:pPr>
        <w:spacing w:line="360" w:lineRule="auto"/>
        <w:ind w:firstLine="500" w:firstLineChars="200"/>
        <w:jc w:val="right"/>
        <w:rPr>
          <w:rFonts w:ascii="宋体" w:hAnsi="宋体"/>
          <w:color w:val="auto"/>
          <w:spacing w:val="20"/>
          <w:szCs w:val="21"/>
          <w:highlight w:val="none"/>
          <w:u w:val="single"/>
        </w:rPr>
      </w:pPr>
      <w:r>
        <w:rPr>
          <w:rFonts w:hint="eastAsia" w:ascii="宋体" w:hAnsi="宋体"/>
          <w:color w:val="auto"/>
          <w:spacing w:val="20"/>
          <w:szCs w:val="21"/>
          <w:highlight w:val="none"/>
        </w:rPr>
        <w:t xml:space="preserve">                              投标单位盖章：</w:t>
      </w:r>
      <w:r>
        <w:rPr>
          <w:rFonts w:hint="eastAsia" w:ascii="宋体" w:hAnsi="宋体"/>
          <w:color w:val="auto"/>
          <w:spacing w:val="20"/>
          <w:szCs w:val="21"/>
          <w:highlight w:val="none"/>
          <w:u w:val="single"/>
        </w:rPr>
        <w:t xml:space="preserve">            </w:t>
      </w:r>
    </w:p>
    <w:p w14:paraId="75F84B93">
      <w:pPr>
        <w:tabs>
          <w:tab w:val="left" w:pos="1418"/>
        </w:tabs>
        <w:spacing w:line="360" w:lineRule="auto"/>
        <w:ind w:left="1418" w:hanging="567"/>
        <w:jc w:val="right"/>
        <w:rPr>
          <w:rFonts w:ascii="宋体" w:hAnsi="宋体"/>
          <w:color w:val="auto"/>
          <w:spacing w:val="20"/>
          <w:szCs w:val="21"/>
          <w:highlight w:val="none"/>
          <w:u w:val="single"/>
        </w:rPr>
      </w:pP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14:paraId="23212C9B">
      <w:pPr>
        <w:pStyle w:val="28"/>
        <w:snapToGrid w:val="0"/>
        <w:spacing w:line="360" w:lineRule="auto"/>
        <w:jc w:val="right"/>
        <w:rPr>
          <w:rFonts w:asciiTheme="minorEastAsia" w:hAnsiTheme="minorEastAsia" w:eastAsiaTheme="minorEastAsia"/>
          <w:b/>
          <w:color w:val="auto"/>
          <w:szCs w:val="21"/>
          <w:highlight w:val="none"/>
        </w:rPr>
      </w:pPr>
    </w:p>
    <w:p w14:paraId="7DD0DDF7">
      <w:pPr>
        <w:pStyle w:val="28"/>
        <w:spacing w:before="120" w:after="120" w:line="360" w:lineRule="auto"/>
        <w:jc w:val="center"/>
        <w:rPr>
          <w:rFonts w:hAnsi="宋体"/>
          <w:b/>
          <w:color w:val="auto"/>
          <w:szCs w:val="21"/>
          <w:highlight w:val="none"/>
        </w:rPr>
      </w:pPr>
      <w:r>
        <w:rPr>
          <w:rFonts w:hint="eastAsia" w:hAnsi="宋体"/>
          <w:b/>
          <w:color w:val="auto"/>
          <w:szCs w:val="21"/>
          <w:highlight w:val="none"/>
        </w:rPr>
        <w:t>组员简历表</w:t>
      </w:r>
    </w:p>
    <w:tbl>
      <w:tblPr>
        <w:tblStyle w:val="55"/>
        <w:tblW w:w="913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516"/>
        <w:gridCol w:w="1513"/>
        <w:gridCol w:w="1616"/>
        <w:gridCol w:w="1446"/>
        <w:gridCol w:w="1554"/>
      </w:tblGrid>
      <w:tr w14:paraId="1846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486" w:type="dxa"/>
            <w:tcBorders>
              <w:top w:val="single" w:color="auto" w:sz="12" w:space="0"/>
              <w:left w:val="single" w:color="auto" w:sz="12" w:space="0"/>
              <w:bottom w:val="single" w:color="auto" w:sz="6" w:space="0"/>
              <w:right w:val="single" w:color="auto" w:sz="6" w:space="0"/>
            </w:tcBorders>
            <w:vAlign w:val="center"/>
          </w:tcPr>
          <w:p w14:paraId="130476E4">
            <w:pPr>
              <w:pStyle w:val="28"/>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姓 名</w:t>
            </w:r>
          </w:p>
        </w:tc>
        <w:tc>
          <w:tcPr>
            <w:tcW w:w="1516" w:type="dxa"/>
            <w:tcBorders>
              <w:top w:val="single" w:color="auto" w:sz="12" w:space="0"/>
              <w:left w:val="single" w:color="auto" w:sz="6" w:space="0"/>
              <w:bottom w:val="single" w:color="auto" w:sz="6" w:space="0"/>
              <w:right w:val="single" w:color="auto" w:sz="6" w:space="0"/>
            </w:tcBorders>
            <w:vAlign w:val="center"/>
          </w:tcPr>
          <w:p w14:paraId="72BD41DD">
            <w:pPr>
              <w:pStyle w:val="28"/>
              <w:spacing w:before="120" w:after="120" w:line="360" w:lineRule="auto"/>
              <w:ind w:left="630" w:hanging="630" w:hangingChars="300"/>
              <w:jc w:val="center"/>
              <w:rPr>
                <w:rFonts w:hAnsi="宋体"/>
                <w:color w:val="auto"/>
                <w:szCs w:val="21"/>
                <w:highlight w:val="none"/>
              </w:rPr>
            </w:pPr>
          </w:p>
        </w:tc>
        <w:tc>
          <w:tcPr>
            <w:tcW w:w="1513" w:type="dxa"/>
            <w:tcBorders>
              <w:top w:val="single" w:color="auto" w:sz="12" w:space="0"/>
              <w:left w:val="single" w:color="auto" w:sz="6" w:space="0"/>
              <w:bottom w:val="single" w:color="auto" w:sz="6" w:space="0"/>
              <w:right w:val="single" w:color="auto" w:sz="6" w:space="0"/>
            </w:tcBorders>
            <w:vAlign w:val="center"/>
          </w:tcPr>
          <w:p w14:paraId="1DD7FAD2">
            <w:pPr>
              <w:pStyle w:val="28"/>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性 别</w:t>
            </w:r>
          </w:p>
        </w:tc>
        <w:tc>
          <w:tcPr>
            <w:tcW w:w="1616" w:type="dxa"/>
            <w:tcBorders>
              <w:top w:val="single" w:color="auto" w:sz="12" w:space="0"/>
              <w:left w:val="single" w:color="auto" w:sz="6" w:space="0"/>
              <w:bottom w:val="single" w:color="auto" w:sz="6" w:space="0"/>
              <w:right w:val="single" w:color="auto" w:sz="6" w:space="0"/>
            </w:tcBorders>
            <w:vAlign w:val="center"/>
          </w:tcPr>
          <w:p w14:paraId="42E55818">
            <w:pPr>
              <w:pStyle w:val="28"/>
              <w:spacing w:before="120" w:after="120" w:line="360" w:lineRule="auto"/>
              <w:ind w:left="630" w:hanging="630" w:hangingChars="300"/>
              <w:jc w:val="center"/>
              <w:rPr>
                <w:rFonts w:hAnsi="宋体"/>
                <w:color w:val="auto"/>
                <w:szCs w:val="21"/>
                <w:highlight w:val="none"/>
              </w:rPr>
            </w:pPr>
          </w:p>
        </w:tc>
        <w:tc>
          <w:tcPr>
            <w:tcW w:w="1446" w:type="dxa"/>
            <w:tcBorders>
              <w:top w:val="single" w:color="auto" w:sz="12" w:space="0"/>
              <w:left w:val="single" w:color="auto" w:sz="6" w:space="0"/>
              <w:bottom w:val="single" w:color="auto" w:sz="6" w:space="0"/>
              <w:right w:val="single" w:color="auto" w:sz="6" w:space="0"/>
            </w:tcBorders>
            <w:vAlign w:val="center"/>
          </w:tcPr>
          <w:p w14:paraId="3F84C531">
            <w:pPr>
              <w:pStyle w:val="28"/>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年 龄</w:t>
            </w:r>
          </w:p>
        </w:tc>
        <w:tc>
          <w:tcPr>
            <w:tcW w:w="1554" w:type="dxa"/>
            <w:tcBorders>
              <w:top w:val="single" w:color="auto" w:sz="12" w:space="0"/>
              <w:left w:val="single" w:color="auto" w:sz="6" w:space="0"/>
              <w:bottom w:val="single" w:color="auto" w:sz="6" w:space="0"/>
              <w:right w:val="single" w:color="auto" w:sz="12" w:space="0"/>
            </w:tcBorders>
            <w:vAlign w:val="center"/>
          </w:tcPr>
          <w:p w14:paraId="442CA606">
            <w:pPr>
              <w:pStyle w:val="28"/>
              <w:spacing w:before="120" w:after="120" w:line="360" w:lineRule="auto"/>
              <w:ind w:left="630" w:hanging="630" w:hangingChars="300"/>
              <w:jc w:val="center"/>
              <w:rPr>
                <w:rFonts w:hAnsi="宋体"/>
                <w:color w:val="auto"/>
                <w:szCs w:val="21"/>
                <w:highlight w:val="none"/>
              </w:rPr>
            </w:pPr>
          </w:p>
        </w:tc>
      </w:tr>
      <w:tr w14:paraId="1406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486" w:type="dxa"/>
            <w:tcBorders>
              <w:top w:val="single" w:color="auto" w:sz="6" w:space="0"/>
              <w:left w:val="single" w:color="auto" w:sz="12" w:space="0"/>
              <w:bottom w:val="single" w:color="auto" w:sz="6" w:space="0"/>
              <w:right w:val="single" w:color="auto" w:sz="6" w:space="0"/>
            </w:tcBorders>
            <w:vAlign w:val="center"/>
          </w:tcPr>
          <w:p w14:paraId="0A745A37">
            <w:pPr>
              <w:pStyle w:val="28"/>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学 历</w:t>
            </w:r>
          </w:p>
        </w:tc>
        <w:tc>
          <w:tcPr>
            <w:tcW w:w="1516" w:type="dxa"/>
            <w:tcBorders>
              <w:top w:val="single" w:color="auto" w:sz="6" w:space="0"/>
              <w:left w:val="single" w:color="auto" w:sz="6" w:space="0"/>
              <w:bottom w:val="single" w:color="auto" w:sz="6" w:space="0"/>
              <w:right w:val="single" w:color="auto" w:sz="6" w:space="0"/>
            </w:tcBorders>
            <w:vAlign w:val="center"/>
          </w:tcPr>
          <w:p w14:paraId="7CE0B89D">
            <w:pPr>
              <w:pStyle w:val="28"/>
              <w:spacing w:before="120" w:after="120" w:line="360" w:lineRule="auto"/>
              <w:ind w:left="630" w:hanging="630" w:hangingChars="300"/>
              <w:jc w:val="center"/>
              <w:rPr>
                <w:rFonts w:hAnsi="宋体"/>
                <w:color w:val="auto"/>
                <w:szCs w:val="21"/>
                <w:highlight w:val="none"/>
              </w:rPr>
            </w:pPr>
          </w:p>
        </w:tc>
        <w:tc>
          <w:tcPr>
            <w:tcW w:w="1513" w:type="dxa"/>
            <w:tcBorders>
              <w:top w:val="single" w:color="auto" w:sz="6" w:space="0"/>
              <w:left w:val="single" w:color="auto" w:sz="6" w:space="0"/>
              <w:bottom w:val="single" w:color="auto" w:sz="6" w:space="0"/>
              <w:right w:val="single" w:color="auto" w:sz="6" w:space="0"/>
            </w:tcBorders>
            <w:vAlign w:val="center"/>
          </w:tcPr>
          <w:p w14:paraId="1CB71C74">
            <w:pPr>
              <w:pStyle w:val="28"/>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职 称</w:t>
            </w:r>
          </w:p>
        </w:tc>
        <w:tc>
          <w:tcPr>
            <w:tcW w:w="1616" w:type="dxa"/>
            <w:tcBorders>
              <w:top w:val="single" w:color="auto" w:sz="6" w:space="0"/>
              <w:left w:val="single" w:color="auto" w:sz="6" w:space="0"/>
              <w:bottom w:val="single" w:color="auto" w:sz="6" w:space="0"/>
              <w:right w:val="single" w:color="auto" w:sz="6" w:space="0"/>
            </w:tcBorders>
            <w:vAlign w:val="center"/>
          </w:tcPr>
          <w:p w14:paraId="2AD304F5">
            <w:pPr>
              <w:pStyle w:val="28"/>
              <w:spacing w:before="120" w:after="120" w:line="360" w:lineRule="auto"/>
              <w:ind w:left="630" w:hanging="630" w:hangingChars="300"/>
              <w:jc w:val="center"/>
              <w:rPr>
                <w:rFonts w:hAnsi="宋体"/>
                <w:color w:val="auto"/>
                <w:szCs w:val="21"/>
                <w:highlight w:val="none"/>
              </w:rPr>
            </w:pPr>
          </w:p>
        </w:tc>
        <w:tc>
          <w:tcPr>
            <w:tcW w:w="1446" w:type="dxa"/>
            <w:tcBorders>
              <w:top w:val="single" w:color="auto" w:sz="6" w:space="0"/>
              <w:left w:val="single" w:color="auto" w:sz="6" w:space="0"/>
              <w:bottom w:val="single" w:color="auto" w:sz="6" w:space="0"/>
              <w:right w:val="single" w:color="auto" w:sz="6" w:space="0"/>
            </w:tcBorders>
            <w:vAlign w:val="center"/>
          </w:tcPr>
          <w:p w14:paraId="396133F5">
            <w:pPr>
              <w:pStyle w:val="28"/>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职 务</w:t>
            </w:r>
          </w:p>
        </w:tc>
        <w:tc>
          <w:tcPr>
            <w:tcW w:w="1554" w:type="dxa"/>
            <w:tcBorders>
              <w:top w:val="single" w:color="auto" w:sz="6" w:space="0"/>
              <w:left w:val="single" w:color="auto" w:sz="6" w:space="0"/>
              <w:bottom w:val="single" w:color="auto" w:sz="6" w:space="0"/>
              <w:right w:val="single" w:color="auto" w:sz="12" w:space="0"/>
            </w:tcBorders>
            <w:vAlign w:val="center"/>
          </w:tcPr>
          <w:p w14:paraId="5BA4C820">
            <w:pPr>
              <w:pStyle w:val="28"/>
              <w:spacing w:before="120" w:after="120" w:line="360" w:lineRule="auto"/>
              <w:ind w:left="630" w:hanging="630" w:hangingChars="300"/>
              <w:jc w:val="center"/>
              <w:rPr>
                <w:rFonts w:hAnsi="宋体"/>
                <w:color w:val="auto"/>
                <w:szCs w:val="21"/>
                <w:highlight w:val="none"/>
              </w:rPr>
            </w:pPr>
          </w:p>
        </w:tc>
      </w:tr>
      <w:tr w14:paraId="228B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486" w:type="dxa"/>
            <w:tcBorders>
              <w:top w:val="single" w:color="auto" w:sz="6" w:space="0"/>
              <w:left w:val="single" w:color="auto" w:sz="12" w:space="0"/>
              <w:bottom w:val="single" w:color="auto" w:sz="6" w:space="0"/>
              <w:right w:val="single" w:color="auto" w:sz="6" w:space="0"/>
            </w:tcBorders>
            <w:vAlign w:val="center"/>
          </w:tcPr>
          <w:p w14:paraId="4F7ED544">
            <w:pPr>
              <w:pStyle w:val="28"/>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联系电话</w:t>
            </w:r>
          </w:p>
        </w:tc>
        <w:tc>
          <w:tcPr>
            <w:tcW w:w="3029" w:type="dxa"/>
            <w:gridSpan w:val="2"/>
            <w:tcBorders>
              <w:top w:val="single" w:color="auto" w:sz="6" w:space="0"/>
              <w:left w:val="single" w:color="auto" w:sz="6" w:space="0"/>
              <w:bottom w:val="single" w:color="auto" w:sz="6" w:space="0"/>
              <w:right w:val="single" w:color="auto" w:sz="6" w:space="0"/>
            </w:tcBorders>
            <w:vAlign w:val="center"/>
          </w:tcPr>
          <w:p w14:paraId="56F81012">
            <w:pPr>
              <w:pStyle w:val="28"/>
              <w:spacing w:before="120" w:after="120" w:line="360" w:lineRule="auto"/>
              <w:ind w:left="630" w:hanging="630" w:hangingChars="300"/>
              <w:jc w:val="center"/>
              <w:rPr>
                <w:rFonts w:hAnsi="宋体"/>
                <w:color w:val="auto"/>
                <w:szCs w:val="21"/>
                <w:highlight w:val="none"/>
              </w:rPr>
            </w:pPr>
          </w:p>
        </w:tc>
        <w:tc>
          <w:tcPr>
            <w:tcW w:w="1616" w:type="dxa"/>
            <w:tcBorders>
              <w:top w:val="single" w:color="auto" w:sz="6" w:space="0"/>
              <w:left w:val="single" w:color="auto" w:sz="6" w:space="0"/>
              <w:bottom w:val="single" w:color="auto" w:sz="6" w:space="0"/>
              <w:right w:val="single" w:color="auto" w:sz="6" w:space="0"/>
            </w:tcBorders>
            <w:vAlign w:val="center"/>
          </w:tcPr>
          <w:p w14:paraId="513A7555">
            <w:pPr>
              <w:pStyle w:val="28"/>
              <w:spacing w:before="120" w:after="120" w:line="360" w:lineRule="auto"/>
              <w:ind w:left="630" w:hanging="630" w:hangingChars="300"/>
              <w:jc w:val="center"/>
              <w:rPr>
                <w:rFonts w:hAnsi="宋体"/>
                <w:color w:val="auto"/>
                <w:szCs w:val="21"/>
                <w:highlight w:val="none"/>
              </w:rPr>
            </w:pPr>
            <w:r>
              <w:rPr>
                <w:rFonts w:hint="eastAsia" w:hAnsi="宋体"/>
                <w:color w:val="auto"/>
                <w:szCs w:val="21"/>
                <w:highlight w:val="none"/>
              </w:rPr>
              <w:t>手 机</w:t>
            </w:r>
          </w:p>
        </w:tc>
        <w:tc>
          <w:tcPr>
            <w:tcW w:w="3000" w:type="dxa"/>
            <w:gridSpan w:val="2"/>
            <w:tcBorders>
              <w:top w:val="single" w:color="auto" w:sz="6" w:space="0"/>
              <w:left w:val="single" w:color="auto" w:sz="6" w:space="0"/>
              <w:bottom w:val="single" w:color="auto" w:sz="6" w:space="0"/>
              <w:right w:val="single" w:color="auto" w:sz="12" w:space="0"/>
            </w:tcBorders>
            <w:vAlign w:val="center"/>
          </w:tcPr>
          <w:p w14:paraId="48656F1B">
            <w:pPr>
              <w:pStyle w:val="28"/>
              <w:spacing w:before="120" w:after="120" w:line="360" w:lineRule="auto"/>
              <w:ind w:left="630" w:hanging="630" w:hangingChars="300"/>
              <w:jc w:val="center"/>
              <w:rPr>
                <w:rFonts w:hAnsi="宋体"/>
                <w:color w:val="auto"/>
                <w:szCs w:val="21"/>
                <w:highlight w:val="none"/>
              </w:rPr>
            </w:pPr>
          </w:p>
        </w:tc>
      </w:tr>
      <w:tr w14:paraId="340C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9131" w:type="dxa"/>
            <w:gridSpan w:val="6"/>
            <w:tcBorders>
              <w:top w:val="single" w:color="auto" w:sz="6" w:space="0"/>
              <w:left w:val="single" w:color="auto" w:sz="12" w:space="0"/>
              <w:bottom w:val="single" w:color="auto" w:sz="12" w:space="0"/>
              <w:right w:val="single" w:color="auto" w:sz="12" w:space="0"/>
            </w:tcBorders>
          </w:tcPr>
          <w:p w14:paraId="52BA424F">
            <w:pPr>
              <w:pStyle w:val="28"/>
              <w:spacing w:before="120" w:after="120" w:line="360" w:lineRule="auto"/>
              <w:ind w:left="630" w:hanging="630" w:hangingChars="300"/>
              <w:rPr>
                <w:rFonts w:hAnsi="宋体"/>
                <w:color w:val="auto"/>
                <w:szCs w:val="21"/>
                <w:highlight w:val="none"/>
              </w:rPr>
            </w:pPr>
            <w:r>
              <w:rPr>
                <w:rFonts w:hint="eastAsia" w:hAnsi="宋体"/>
                <w:color w:val="auto"/>
                <w:szCs w:val="21"/>
                <w:highlight w:val="none"/>
              </w:rPr>
              <w:t>介绍</w:t>
            </w:r>
          </w:p>
        </w:tc>
      </w:tr>
    </w:tbl>
    <w:p w14:paraId="113EF95C">
      <w:pPr>
        <w:pStyle w:val="28"/>
        <w:spacing w:before="120" w:after="120" w:line="360" w:lineRule="auto"/>
        <w:ind w:left="630" w:hanging="630" w:hangingChars="300"/>
        <w:rPr>
          <w:rFonts w:hAnsi="宋体"/>
          <w:b/>
          <w:bCs/>
          <w:color w:val="auto"/>
          <w:szCs w:val="21"/>
          <w:highlight w:val="none"/>
        </w:rPr>
      </w:pPr>
      <w:r>
        <w:rPr>
          <w:rFonts w:hint="eastAsia" w:hAnsi="宋体"/>
          <w:color w:val="auto"/>
          <w:szCs w:val="21"/>
          <w:highlight w:val="none"/>
        </w:rPr>
        <w:t xml:space="preserve"> </w:t>
      </w:r>
      <w:r>
        <w:rPr>
          <w:rFonts w:hint="eastAsia" w:hAnsi="宋体"/>
          <w:b/>
          <w:bCs/>
          <w:color w:val="auto"/>
          <w:szCs w:val="21"/>
          <w:highlight w:val="none"/>
        </w:rPr>
        <w:t xml:space="preserve"> 注:</w:t>
      </w:r>
      <w:r>
        <w:rPr>
          <w:rFonts w:hint="eastAsia" w:hAnsi="宋体"/>
          <w:color w:val="auto"/>
          <w:szCs w:val="21"/>
          <w:highlight w:val="none"/>
        </w:rPr>
        <w:t>附学历证书、职称证书、身份证、经验证明等复印件。</w:t>
      </w:r>
      <w:r>
        <w:rPr>
          <w:rFonts w:hint="eastAsia" w:hAnsi="宋体"/>
          <w:b/>
          <w:bCs/>
          <w:color w:val="auto"/>
          <w:szCs w:val="21"/>
          <w:highlight w:val="none"/>
        </w:rPr>
        <w:t xml:space="preserve"> </w:t>
      </w:r>
    </w:p>
    <w:p w14:paraId="543232FE">
      <w:pPr>
        <w:spacing w:line="360" w:lineRule="auto"/>
        <w:ind w:firstLine="3750" w:firstLineChars="1500"/>
        <w:rPr>
          <w:rFonts w:ascii="宋体" w:hAnsi="宋体"/>
          <w:color w:val="auto"/>
          <w:spacing w:val="20"/>
          <w:szCs w:val="21"/>
          <w:highlight w:val="none"/>
        </w:rPr>
      </w:pPr>
    </w:p>
    <w:p w14:paraId="0181356F">
      <w:pPr>
        <w:spacing w:line="360" w:lineRule="auto"/>
        <w:ind w:firstLine="3750" w:firstLineChars="1500"/>
        <w:jc w:val="right"/>
        <w:rPr>
          <w:rFonts w:ascii="宋体" w:hAnsi="宋体"/>
          <w:color w:val="auto"/>
          <w:spacing w:val="20"/>
          <w:szCs w:val="21"/>
          <w:highlight w:val="none"/>
          <w:u w:val="single"/>
        </w:rPr>
      </w:pPr>
      <w:r>
        <w:rPr>
          <w:rFonts w:ascii="宋体" w:hAnsi="宋体"/>
          <w:color w:val="auto"/>
          <w:spacing w:val="20"/>
          <w:szCs w:val="21"/>
          <w:highlight w:val="none"/>
        </w:rPr>
        <w:t>法定代表人或委托代理人</w:t>
      </w:r>
      <w:r>
        <w:rPr>
          <w:rFonts w:hint="eastAsia" w:ascii="宋体" w:hAnsi="宋体"/>
          <w:color w:val="auto"/>
          <w:spacing w:val="20"/>
          <w:szCs w:val="21"/>
          <w:highlight w:val="none"/>
        </w:rPr>
        <w:t>签名：</w:t>
      </w:r>
      <w:r>
        <w:rPr>
          <w:rFonts w:hint="eastAsia" w:ascii="宋体" w:hAnsi="宋体"/>
          <w:color w:val="auto"/>
          <w:spacing w:val="20"/>
          <w:szCs w:val="21"/>
          <w:highlight w:val="none"/>
          <w:u w:val="single"/>
        </w:rPr>
        <w:t xml:space="preserve">             </w:t>
      </w:r>
    </w:p>
    <w:p w14:paraId="3D40B9FC">
      <w:pPr>
        <w:spacing w:line="360" w:lineRule="auto"/>
        <w:ind w:firstLine="500" w:firstLineChars="200"/>
        <w:jc w:val="right"/>
        <w:rPr>
          <w:rFonts w:ascii="宋体" w:hAnsi="宋体"/>
          <w:color w:val="auto"/>
          <w:spacing w:val="20"/>
          <w:szCs w:val="21"/>
          <w:highlight w:val="none"/>
          <w:u w:val="single"/>
        </w:rPr>
      </w:pPr>
      <w:r>
        <w:rPr>
          <w:rFonts w:hint="eastAsia" w:ascii="宋体" w:hAnsi="宋体"/>
          <w:color w:val="auto"/>
          <w:spacing w:val="20"/>
          <w:szCs w:val="21"/>
          <w:highlight w:val="none"/>
        </w:rPr>
        <w:t xml:space="preserve">                              投标单位盖章：</w:t>
      </w:r>
      <w:r>
        <w:rPr>
          <w:rFonts w:hint="eastAsia" w:ascii="宋体" w:hAnsi="宋体"/>
          <w:color w:val="auto"/>
          <w:spacing w:val="20"/>
          <w:szCs w:val="21"/>
          <w:highlight w:val="none"/>
          <w:u w:val="single"/>
        </w:rPr>
        <w:t xml:space="preserve">            </w:t>
      </w:r>
    </w:p>
    <w:p w14:paraId="4BD175E2">
      <w:pPr>
        <w:tabs>
          <w:tab w:val="left" w:pos="1418"/>
        </w:tabs>
        <w:spacing w:line="360" w:lineRule="auto"/>
        <w:ind w:left="1418" w:hanging="567"/>
        <w:jc w:val="right"/>
        <w:rPr>
          <w:rFonts w:ascii="宋体" w:hAnsi="宋体"/>
          <w:color w:val="auto"/>
          <w:spacing w:val="20"/>
          <w:szCs w:val="21"/>
          <w:highlight w:val="none"/>
          <w:u w:val="single"/>
        </w:rPr>
      </w:pP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14:paraId="5CCC042F">
      <w:pPr>
        <w:pStyle w:val="28"/>
        <w:snapToGrid w:val="0"/>
        <w:spacing w:line="360" w:lineRule="auto"/>
        <w:jc w:val="right"/>
        <w:rPr>
          <w:rFonts w:asciiTheme="minorEastAsia" w:hAnsiTheme="minorEastAsia" w:eastAsiaTheme="minorEastAsia"/>
          <w:b/>
          <w:color w:val="auto"/>
          <w:szCs w:val="21"/>
          <w:highlight w:val="none"/>
        </w:rPr>
      </w:pPr>
    </w:p>
    <w:p w14:paraId="70E60373">
      <w:pP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br w:type="page"/>
      </w:r>
    </w:p>
    <w:p w14:paraId="2861E1E1">
      <w:pPr>
        <w:pStyle w:val="28"/>
        <w:snapToGrid w:val="0"/>
        <w:spacing w:line="360" w:lineRule="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9</w:t>
      </w:r>
      <w:r>
        <w:rPr>
          <w:rFonts w:hint="eastAsia" w:asciiTheme="minorEastAsia" w:hAnsiTheme="minorEastAsia" w:eastAsiaTheme="minorEastAsia"/>
          <w:b/>
          <w:color w:val="auto"/>
          <w:szCs w:val="21"/>
          <w:highlight w:val="none"/>
        </w:rPr>
        <w:t>、</w:t>
      </w:r>
    </w:p>
    <w:p w14:paraId="128BB49F">
      <w:pPr>
        <w:pStyle w:val="28"/>
        <w:snapToGrid w:val="0"/>
        <w:spacing w:line="360" w:lineRule="auto"/>
        <w:ind w:left="1262" w:hanging="422"/>
        <w:jc w:val="center"/>
        <w:rPr>
          <w:rFonts w:hAnsi="宋体"/>
          <w:b/>
          <w:color w:val="auto"/>
          <w:szCs w:val="21"/>
          <w:highlight w:val="none"/>
        </w:rPr>
      </w:pPr>
      <w:r>
        <w:rPr>
          <w:rFonts w:hint="eastAsia" w:asciiTheme="minorEastAsia" w:hAnsiTheme="minorEastAsia" w:eastAsiaTheme="minorEastAsia"/>
          <w:b/>
          <w:color w:val="auto"/>
          <w:szCs w:val="21"/>
          <w:highlight w:val="none"/>
        </w:rPr>
        <w:t>中小企业声明函</w:t>
      </w:r>
      <w:r>
        <w:rPr>
          <w:rFonts w:hint="eastAsia" w:asciiTheme="minorEastAsia" w:hAnsiTheme="minorEastAsia" w:eastAsiaTheme="minorEastAsia"/>
          <w:b/>
          <w:bCs/>
          <w:color w:val="auto"/>
          <w:szCs w:val="21"/>
          <w:highlight w:val="none"/>
        </w:rPr>
        <w:t>（附件7）</w:t>
      </w:r>
      <w:r>
        <w:rPr>
          <w:rFonts w:hint="eastAsia" w:hAnsi="宋体"/>
          <w:b/>
          <w:bCs/>
          <w:color w:val="auto"/>
          <w:szCs w:val="21"/>
          <w:highlight w:val="none"/>
        </w:rPr>
        <w:t>（工程、服务）</w:t>
      </w:r>
    </w:p>
    <w:p w14:paraId="526C00CC">
      <w:pPr>
        <w:spacing w:line="360" w:lineRule="auto"/>
        <w:ind w:firstLine="420" w:firstLineChars="200"/>
        <w:rPr>
          <w:rFonts w:ascii="宋体" w:hAnsi="宋体"/>
          <w:color w:val="auto"/>
          <w:szCs w:val="21"/>
          <w:highlight w:val="none"/>
        </w:rPr>
      </w:pPr>
      <w:r>
        <w:rPr>
          <w:rFonts w:ascii="宋体" w:hAnsi="宋体"/>
          <w:color w:val="auto"/>
          <w:szCs w:val="21"/>
          <w:highlight w:val="none"/>
        </w:rPr>
        <w:t>公司（联合体）郑重声明，根据《政府采购促进中小企业发展管理办法》（财库﹝2020﹞46号）的规定，本公司（联合体）参加</w:t>
      </w:r>
      <w:r>
        <w:rPr>
          <w:rFonts w:ascii="宋体" w:hAnsi="宋体"/>
          <w:color w:val="auto"/>
          <w:szCs w:val="21"/>
          <w:highlight w:val="none"/>
          <w:u w:val="single"/>
        </w:rPr>
        <w:t>（单位名称）</w:t>
      </w:r>
      <w:r>
        <w:rPr>
          <w:rFonts w:ascii="宋体" w:hAnsi="宋体"/>
          <w:color w:val="auto"/>
          <w:szCs w:val="21"/>
          <w:highlight w:val="none"/>
        </w:rPr>
        <w:t>的</w:t>
      </w:r>
      <w:r>
        <w:rPr>
          <w:rFonts w:ascii="宋体" w:hAnsi="宋体"/>
          <w:color w:val="auto"/>
          <w:szCs w:val="21"/>
          <w:highlight w:val="none"/>
          <w:u w:val="single"/>
        </w:rPr>
        <w:t>（项目名称）</w:t>
      </w:r>
      <w:r>
        <w:rPr>
          <w:rFonts w:ascii="宋体" w:hAnsi="宋体"/>
          <w:color w:val="auto"/>
          <w:szCs w:val="21"/>
          <w:highlight w:val="none"/>
        </w:rPr>
        <w:t>采购活动，</w:t>
      </w:r>
      <w:r>
        <w:rPr>
          <w:rFonts w:hint="eastAsia" w:ascii="宋体" w:hAnsi="宋体"/>
          <w:color w:val="auto"/>
          <w:szCs w:val="21"/>
          <w:highlight w:val="none"/>
        </w:rPr>
        <w:t>工程的施工单位</w:t>
      </w:r>
      <w:r>
        <w:rPr>
          <w:rFonts w:ascii="宋体" w:hAnsi="宋体"/>
          <w:color w:val="auto"/>
          <w:szCs w:val="21"/>
          <w:highlight w:val="none"/>
        </w:rPr>
        <w:t>全部</w:t>
      </w:r>
      <w:r>
        <w:rPr>
          <w:rFonts w:hint="eastAsia" w:ascii="宋体" w:hAnsi="宋体"/>
          <w:color w:val="auto"/>
          <w:szCs w:val="21"/>
          <w:highlight w:val="none"/>
        </w:rPr>
        <w:t>为</w:t>
      </w:r>
      <w:r>
        <w:rPr>
          <w:rFonts w:ascii="宋体" w:hAnsi="宋体"/>
          <w:color w:val="auto"/>
          <w:szCs w:val="21"/>
          <w:highlight w:val="none"/>
        </w:rPr>
        <w:t>符合政策要求的中小企业</w:t>
      </w:r>
      <w:r>
        <w:rPr>
          <w:rFonts w:hint="eastAsia" w:ascii="宋体" w:hAnsi="宋体"/>
          <w:color w:val="auto"/>
          <w:szCs w:val="21"/>
          <w:highlight w:val="none"/>
        </w:rPr>
        <w:t>（或者服务全部由符合政策要求的中小企业承接）</w:t>
      </w:r>
      <w:r>
        <w:rPr>
          <w:rFonts w:ascii="宋体" w:hAnsi="宋体"/>
          <w:color w:val="auto"/>
          <w:szCs w:val="21"/>
          <w:highlight w:val="none"/>
        </w:rPr>
        <w:t>。相关企业（含联合体中的中小企业、签订分包意向协议的中小企业）的具体情况如下：</w:t>
      </w:r>
    </w:p>
    <w:p w14:paraId="7E1D592A">
      <w:pPr>
        <w:spacing w:line="360" w:lineRule="auto"/>
        <w:ind w:left="420" w:left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w:t>
      </w:r>
      <w:r>
        <w:rPr>
          <w:rFonts w:ascii="宋体" w:hAnsi="宋体"/>
          <w:color w:val="auto"/>
          <w:szCs w:val="21"/>
          <w:highlight w:val="none"/>
          <w:u w:val="single"/>
        </w:rPr>
        <w:t>（标的名称）</w:t>
      </w:r>
      <w:r>
        <w:rPr>
          <w:rFonts w:hint="eastAsia" w:ascii="宋体" w:hAnsi="宋体"/>
          <w:color w:val="auto"/>
          <w:szCs w:val="21"/>
          <w:highlight w:val="none"/>
          <w:u w:val="single"/>
        </w:rPr>
        <w:t xml:space="preserve">   </w:t>
      </w:r>
      <w:r>
        <w:rPr>
          <w:rFonts w:ascii="宋体" w:hAnsi="宋体"/>
          <w:color w:val="auto"/>
          <w:szCs w:val="21"/>
          <w:highlight w:val="none"/>
        </w:rPr>
        <w:t>，属于</w:t>
      </w:r>
      <w:r>
        <w:rPr>
          <w:rFonts w:ascii="宋体" w:hAnsi="宋体"/>
          <w:color w:val="auto"/>
          <w:szCs w:val="21"/>
          <w:highlight w:val="none"/>
          <w:u w:val="single"/>
        </w:rPr>
        <w:t>（采购文件中明确的所属行业）</w:t>
      </w:r>
      <w:r>
        <w:rPr>
          <w:rFonts w:ascii="宋体" w:hAnsi="宋体"/>
          <w:color w:val="auto"/>
          <w:szCs w:val="21"/>
          <w:highlight w:val="none"/>
        </w:rPr>
        <w:t>行业；</w:t>
      </w:r>
      <w:r>
        <w:rPr>
          <w:rFonts w:hint="eastAsia" w:ascii="宋体" w:hAnsi="宋体"/>
          <w:color w:val="auto"/>
          <w:szCs w:val="21"/>
          <w:highlight w:val="none"/>
        </w:rPr>
        <w:t>承建（承接）企业为</w:t>
      </w:r>
      <w:r>
        <w:rPr>
          <w:rFonts w:hint="eastAsia" w:ascii="宋体" w:hAnsi="宋体"/>
          <w:color w:val="auto"/>
          <w:szCs w:val="21"/>
          <w:highlight w:val="none"/>
          <w:u w:val="single"/>
        </w:rPr>
        <w:t xml:space="preserve"> （企业名称）</w:t>
      </w:r>
      <w:r>
        <w:rPr>
          <w:rFonts w:ascii="宋体" w:hAnsi="宋体"/>
          <w:color w:val="auto"/>
          <w:szCs w:val="21"/>
          <w:highlight w:val="none"/>
        </w:rPr>
        <w:t>，从业人员</w:t>
      </w:r>
      <w:r>
        <w:rPr>
          <w:rFonts w:hint="eastAsia" w:ascii="宋体" w:hAnsi="宋体"/>
          <w:color w:val="auto"/>
          <w:szCs w:val="21"/>
          <w:highlight w:val="none"/>
          <w:u w:val="single"/>
        </w:rPr>
        <w:t xml:space="preserve">           </w:t>
      </w:r>
      <w:r>
        <w:rPr>
          <w:rFonts w:ascii="宋体" w:hAnsi="宋体"/>
          <w:color w:val="auto"/>
          <w:szCs w:val="21"/>
          <w:highlight w:val="none"/>
        </w:rPr>
        <w:t>人，营业收入为</w:t>
      </w:r>
      <w:r>
        <w:rPr>
          <w:rFonts w:hint="eastAsia" w:ascii="宋体" w:hAnsi="宋体"/>
          <w:color w:val="auto"/>
          <w:szCs w:val="21"/>
          <w:highlight w:val="none"/>
          <w:u w:val="single"/>
        </w:rPr>
        <w:t xml:space="preserve">          </w:t>
      </w:r>
      <w:r>
        <w:rPr>
          <w:rFonts w:ascii="宋体" w:hAnsi="宋体"/>
          <w:color w:val="auto"/>
          <w:szCs w:val="21"/>
          <w:highlight w:val="none"/>
        </w:rPr>
        <w:t>万元，资产总额为</w:t>
      </w:r>
      <w:r>
        <w:rPr>
          <w:rFonts w:hint="eastAsia" w:ascii="宋体" w:hAnsi="宋体"/>
          <w:color w:val="auto"/>
          <w:szCs w:val="21"/>
          <w:highlight w:val="none"/>
          <w:u w:val="single"/>
        </w:rPr>
        <w:t xml:space="preserve">                </w:t>
      </w:r>
      <w:r>
        <w:rPr>
          <w:rFonts w:ascii="宋体" w:hAnsi="宋体"/>
          <w:color w:val="auto"/>
          <w:szCs w:val="21"/>
          <w:highlight w:val="none"/>
        </w:rPr>
        <w:t>万元1，属于</w:t>
      </w:r>
      <w:r>
        <w:rPr>
          <w:rFonts w:ascii="宋体" w:hAnsi="宋体"/>
          <w:color w:val="auto"/>
          <w:szCs w:val="21"/>
          <w:highlight w:val="none"/>
          <w:u w:val="single"/>
        </w:rPr>
        <w:t>（中型企业、小型企业、微型企业）</w:t>
      </w:r>
      <w:r>
        <w:rPr>
          <w:rFonts w:ascii="宋体" w:hAnsi="宋体"/>
          <w:color w:val="auto"/>
          <w:szCs w:val="21"/>
          <w:highlight w:val="none"/>
        </w:rPr>
        <w:t>；</w:t>
      </w:r>
    </w:p>
    <w:p w14:paraId="3C0C5450">
      <w:pPr>
        <w:spacing w:line="360" w:lineRule="auto"/>
        <w:ind w:firstLine="525" w:firstLineChars="250"/>
        <w:rPr>
          <w:rFonts w:ascii="宋体" w:hAnsi="宋体"/>
          <w:color w:val="auto"/>
          <w:szCs w:val="21"/>
          <w:highlight w:val="none"/>
        </w:rPr>
      </w:pPr>
      <w:r>
        <w:rPr>
          <w:rFonts w:ascii="宋体" w:hAnsi="宋体"/>
          <w:color w:val="auto"/>
          <w:szCs w:val="21"/>
          <w:highlight w:val="none"/>
        </w:rPr>
        <w:t>以上企业，不属于大企业的分支机构，不存在控股股东为大企业的情形，也不存在与大企业的负责人为同一人的情形。</w:t>
      </w:r>
    </w:p>
    <w:p w14:paraId="261C4DF9">
      <w:pPr>
        <w:spacing w:line="360" w:lineRule="auto"/>
        <w:ind w:firstLine="525" w:firstLineChars="250"/>
        <w:rPr>
          <w:rFonts w:ascii="宋体" w:hAnsi="宋体"/>
          <w:color w:val="auto"/>
          <w:szCs w:val="21"/>
          <w:highlight w:val="none"/>
        </w:rPr>
      </w:pPr>
      <w:r>
        <w:rPr>
          <w:rFonts w:ascii="宋体" w:hAnsi="宋体"/>
          <w:color w:val="auto"/>
          <w:szCs w:val="21"/>
          <w:highlight w:val="none"/>
        </w:rPr>
        <w:t>本企业对上述声明内容的真实性负责。如有虚假，将依法承担相应责任。</w:t>
      </w:r>
    </w:p>
    <w:p w14:paraId="71D5D899">
      <w:pPr>
        <w:spacing w:line="360" w:lineRule="auto"/>
        <w:ind w:firstLine="525" w:firstLineChars="250"/>
        <w:rPr>
          <w:rFonts w:ascii="宋体" w:hAnsi="宋体"/>
          <w:color w:val="auto"/>
          <w:szCs w:val="21"/>
          <w:highlight w:val="none"/>
        </w:rPr>
      </w:pPr>
      <w:r>
        <w:rPr>
          <w:rFonts w:ascii="宋体" w:hAnsi="宋体"/>
          <w:color w:val="auto"/>
          <w:szCs w:val="21"/>
          <w:highlight w:val="none"/>
        </w:rPr>
        <w:t>从业人员、营业收入、资产总额填报上一年度数据，无上一年度数据的新成立企业可不填报。</w:t>
      </w:r>
    </w:p>
    <w:p w14:paraId="2C467802">
      <w:pPr>
        <w:spacing w:line="360" w:lineRule="auto"/>
        <w:ind w:firstLine="4515" w:firstLineChars="2150"/>
        <w:jc w:val="right"/>
        <w:rPr>
          <w:rFonts w:ascii="宋体" w:hAnsi="宋体"/>
          <w:color w:val="auto"/>
          <w:szCs w:val="21"/>
          <w:highlight w:val="none"/>
        </w:rPr>
      </w:pPr>
    </w:p>
    <w:p w14:paraId="001E66DA">
      <w:pPr>
        <w:spacing w:line="360" w:lineRule="auto"/>
        <w:ind w:firstLine="4515" w:firstLineChars="2150"/>
        <w:jc w:val="right"/>
        <w:rPr>
          <w:rFonts w:ascii="宋体" w:hAnsi="宋体"/>
          <w:color w:val="auto"/>
          <w:spacing w:val="20"/>
          <w:szCs w:val="21"/>
          <w:highlight w:val="none"/>
          <w:u w:val="single"/>
        </w:rPr>
      </w:pPr>
      <w:r>
        <w:rPr>
          <w:rFonts w:ascii="宋体" w:hAnsi="宋体"/>
          <w:color w:val="auto"/>
          <w:szCs w:val="21"/>
          <w:highlight w:val="none"/>
        </w:rPr>
        <w:t>企业称（盖章）</w:t>
      </w:r>
      <w:r>
        <w:rPr>
          <w:rFonts w:hint="eastAsia" w:ascii="宋体" w:hAnsi="宋体"/>
          <w:color w:val="auto"/>
          <w:szCs w:val="21"/>
          <w:highlight w:val="none"/>
        </w:rPr>
        <w:t>：</w:t>
      </w:r>
    </w:p>
    <w:p w14:paraId="3BC1DCA4">
      <w:pPr>
        <w:pStyle w:val="28"/>
        <w:spacing w:before="120" w:after="120" w:line="360" w:lineRule="auto"/>
        <w:ind w:left="1340" w:hanging="500"/>
        <w:jc w:val="right"/>
        <w:rPr>
          <w:rFonts w:hAnsi="宋体"/>
          <w:b/>
          <w:color w:val="auto"/>
          <w:szCs w:val="21"/>
          <w:highlight w:val="none"/>
        </w:rPr>
      </w:pPr>
      <w:r>
        <w:rPr>
          <w:rFonts w:hint="eastAsia" w:hAnsi="宋体"/>
          <w:color w:val="auto"/>
          <w:spacing w:val="20"/>
          <w:szCs w:val="21"/>
          <w:highlight w:val="none"/>
        </w:rPr>
        <w:t xml:space="preserve">             日     期：</w:t>
      </w:r>
    </w:p>
    <w:p w14:paraId="745A14F9">
      <w:pPr>
        <w:spacing w:line="360" w:lineRule="auto"/>
        <w:ind w:firstLine="422" w:firstLineChars="200"/>
        <w:rPr>
          <w:rFonts w:asciiTheme="minorEastAsia" w:hAnsiTheme="minorEastAsia" w:eastAsiaTheme="minorEastAsia"/>
          <w:b/>
          <w:color w:val="auto"/>
          <w:szCs w:val="21"/>
          <w:highlight w:val="none"/>
        </w:rPr>
      </w:pPr>
    </w:p>
    <w:p w14:paraId="034D4C53">
      <w:pPr>
        <w:spacing w:line="360" w:lineRule="auto"/>
        <w:ind w:firstLine="422" w:firstLineChars="200"/>
        <w:rPr>
          <w:rFonts w:asciiTheme="minorEastAsia" w:hAnsiTheme="minorEastAsia" w:eastAsiaTheme="minorEastAsia"/>
          <w:b/>
          <w:color w:val="auto"/>
          <w:szCs w:val="21"/>
          <w:highlight w:val="none"/>
        </w:rPr>
      </w:pPr>
    </w:p>
    <w:p w14:paraId="0A951ECF">
      <w:pP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br w:type="page"/>
      </w:r>
    </w:p>
    <w:p w14:paraId="15799962">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10</w:t>
      </w:r>
      <w:r>
        <w:rPr>
          <w:rFonts w:hint="eastAsia" w:asciiTheme="minorEastAsia" w:hAnsiTheme="minorEastAsia" w:eastAsiaTheme="minorEastAsia"/>
          <w:b/>
          <w:color w:val="auto"/>
          <w:szCs w:val="21"/>
          <w:highlight w:val="none"/>
        </w:rPr>
        <w:t>、</w:t>
      </w:r>
    </w:p>
    <w:p w14:paraId="797248A6">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残疾人福利性单位声明函</w:t>
      </w:r>
      <w:r>
        <w:rPr>
          <w:rFonts w:hint="eastAsia" w:asciiTheme="minorEastAsia" w:hAnsiTheme="minorEastAsia" w:eastAsiaTheme="minorEastAsia"/>
          <w:b/>
          <w:bCs/>
          <w:color w:val="auto"/>
          <w:szCs w:val="21"/>
          <w:highlight w:val="none"/>
        </w:rPr>
        <w:t>（附件8）</w:t>
      </w:r>
    </w:p>
    <w:p w14:paraId="03FA1B2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B31257B">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本单位对上述声明的真实性负责。如有虚假，将依法承担相应责任</w:t>
      </w:r>
    </w:p>
    <w:p w14:paraId="0F6944BD">
      <w:pPr>
        <w:spacing w:line="360" w:lineRule="auto"/>
        <w:ind w:firstLine="420" w:firstLineChars="200"/>
        <w:rPr>
          <w:rFonts w:asciiTheme="minorEastAsia" w:hAnsiTheme="minorEastAsia" w:eastAsiaTheme="minorEastAsia"/>
          <w:color w:val="auto"/>
          <w:szCs w:val="21"/>
          <w:highlight w:val="none"/>
        </w:rPr>
      </w:pPr>
    </w:p>
    <w:p w14:paraId="5715E03B">
      <w:pPr>
        <w:spacing w:before="120" w:beforeLines="50" w:line="360" w:lineRule="auto"/>
        <w:ind w:firstLine="1000" w:firstLineChars="400"/>
        <w:jc w:val="right"/>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签名（或盖章）：</w:t>
      </w:r>
    </w:p>
    <w:p w14:paraId="6FA84221">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14:paraId="4E1C8853">
      <w:pPr>
        <w:pStyle w:val="28"/>
        <w:spacing w:before="120" w:after="120" w:line="360" w:lineRule="auto"/>
        <w:ind w:firstLine="420"/>
        <w:jc w:val="righ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Cs w:val="21"/>
          <w:highlight w:val="none"/>
        </w:rPr>
        <w:t xml:space="preserve"> 日     期：</w:t>
      </w:r>
    </w:p>
    <w:p w14:paraId="397A0654">
      <w:pPr>
        <w:snapToGrid w:val="0"/>
        <w:spacing w:line="360" w:lineRule="auto"/>
        <w:rPr>
          <w:rFonts w:asciiTheme="minorEastAsia" w:hAnsiTheme="minorEastAsia" w:eastAsiaTheme="minorEastAsia"/>
          <w:color w:val="auto"/>
          <w:spacing w:val="20"/>
          <w:szCs w:val="21"/>
          <w:highlight w:val="none"/>
        </w:rPr>
      </w:pPr>
    </w:p>
    <w:p w14:paraId="52E1E24F">
      <w:pPr>
        <w:snapToGrid w:val="0"/>
        <w:spacing w:line="360" w:lineRule="auto"/>
        <w:rPr>
          <w:rStyle w:val="749"/>
          <w:rFonts w:asciiTheme="minorEastAsia" w:hAnsiTheme="minorEastAsia" w:eastAsiaTheme="minorEastAsia"/>
          <w:b/>
          <w:color w:val="auto"/>
          <w:szCs w:val="21"/>
          <w:highlight w:val="none"/>
        </w:rPr>
      </w:pPr>
      <w:r>
        <w:rPr>
          <w:rStyle w:val="749"/>
          <w:rFonts w:hint="eastAsia" w:asciiTheme="minorEastAsia" w:hAnsiTheme="minorEastAsia" w:eastAsiaTheme="minorEastAsia"/>
          <w:b/>
          <w:color w:val="auto"/>
          <w:szCs w:val="21"/>
          <w:highlight w:val="none"/>
        </w:rPr>
        <w:t>1</w:t>
      </w:r>
      <w:r>
        <w:rPr>
          <w:rStyle w:val="749"/>
          <w:rFonts w:asciiTheme="minorEastAsia" w:hAnsiTheme="minorEastAsia" w:eastAsiaTheme="minorEastAsia"/>
          <w:b/>
          <w:color w:val="auto"/>
          <w:szCs w:val="21"/>
          <w:highlight w:val="none"/>
        </w:rPr>
        <w:t>1</w:t>
      </w:r>
      <w:r>
        <w:rPr>
          <w:rStyle w:val="749"/>
          <w:rFonts w:hint="eastAsia" w:asciiTheme="minorEastAsia" w:hAnsiTheme="minorEastAsia" w:eastAsiaTheme="minorEastAsia"/>
          <w:b/>
          <w:color w:val="auto"/>
          <w:szCs w:val="21"/>
          <w:highlight w:val="none"/>
        </w:rPr>
        <w:t>、劳动用工书面承诺</w:t>
      </w:r>
      <w:r>
        <w:rPr>
          <w:rFonts w:hint="eastAsia" w:asciiTheme="minorEastAsia" w:hAnsiTheme="minorEastAsia" w:eastAsiaTheme="minorEastAsia"/>
          <w:b/>
          <w:bCs/>
          <w:color w:val="auto"/>
          <w:szCs w:val="21"/>
          <w:highlight w:val="none"/>
        </w:rPr>
        <w:t>（附件9）</w:t>
      </w:r>
    </w:p>
    <w:p w14:paraId="0FFD7006">
      <w:pPr>
        <w:snapToGrid w:val="0"/>
        <w:spacing w:line="360" w:lineRule="auto"/>
        <w:ind w:left="237" w:leftChars="113" w:firstLine="420" w:firstLineChars="200"/>
        <w:rPr>
          <w:rStyle w:val="749"/>
          <w:rFonts w:asciiTheme="minorEastAsia" w:hAnsiTheme="minorEastAsia" w:eastAsiaTheme="minorEastAsia"/>
          <w:color w:val="auto"/>
          <w:szCs w:val="21"/>
          <w:highlight w:val="none"/>
        </w:rPr>
      </w:pPr>
      <w:r>
        <w:rPr>
          <w:rStyle w:val="749"/>
          <w:rFonts w:hint="eastAsia" w:asciiTheme="minorEastAsia" w:hAnsiTheme="minorEastAsia" w:eastAsiaTheme="minorEastAsia"/>
          <w:color w:val="auto"/>
          <w:szCs w:val="21"/>
          <w:highlight w:val="none"/>
        </w:rPr>
        <w:t>如我公司在本次公开招标中标后成为中标供应商，我公司将严格遵守《劳动法》及《劳动合同法》的相关规定，按招标文件的要求及我公司投标文件文件配置服务人员，按国家规定为员工缴纳社会保险，员工的工资标准不低于嘉兴市最低工资标准，并将所有条款写入劳动用工合同。</w:t>
      </w:r>
    </w:p>
    <w:p w14:paraId="1D32DAB2">
      <w:pPr>
        <w:snapToGrid w:val="0"/>
        <w:spacing w:line="360" w:lineRule="auto"/>
        <w:ind w:left="237" w:leftChars="113" w:firstLine="420" w:firstLineChars="200"/>
        <w:rPr>
          <w:rStyle w:val="749"/>
          <w:rFonts w:asciiTheme="minorEastAsia" w:hAnsiTheme="minorEastAsia" w:eastAsiaTheme="minorEastAsia"/>
          <w:color w:val="auto"/>
          <w:szCs w:val="21"/>
          <w:highlight w:val="none"/>
        </w:rPr>
      </w:pPr>
      <w:r>
        <w:rPr>
          <w:rStyle w:val="749"/>
          <w:rFonts w:hint="eastAsia" w:asciiTheme="minorEastAsia" w:hAnsiTheme="minorEastAsia" w:eastAsiaTheme="minorEastAsia"/>
          <w:color w:val="auto"/>
          <w:szCs w:val="21"/>
          <w:highlight w:val="none"/>
        </w:rPr>
        <w:t>特此承诺。</w:t>
      </w:r>
    </w:p>
    <w:p w14:paraId="4439A57E">
      <w:pPr>
        <w:snapToGrid w:val="0"/>
        <w:spacing w:line="360" w:lineRule="auto"/>
        <w:ind w:left="238" w:firstLine="1680" w:firstLineChars="800"/>
        <w:jc w:val="right"/>
        <w:rPr>
          <w:rStyle w:val="749"/>
          <w:rFonts w:asciiTheme="minorEastAsia" w:hAnsiTheme="minorEastAsia" w:eastAsiaTheme="minorEastAsia"/>
          <w:color w:val="auto"/>
          <w:szCs w:val="21"/>
          <w:highlight w:val="none"/>
        </w:rPr>
      </w:pPr>
    </w:p>
    <w:p w14:paraId="44B39E17">
      <w:pPr>
        <w:snapToGrid w:val="0"/>
        <w:spacing w:line="360" w:lineRule="auto"/>
        <w:ind w:left="238" w:firstLine="1680" w:firstLineChars="800"/>
        <w:jc w:val="right"/>
        <w:rPr>
          <w:rStyle w:val="749"/>
          <w:rFonts w:asciiTheme="minorEastAsia" w:hAnsiTheme="minorEastAsia" w:eastAsiaTheme="minorEastAsia"/>
          <w:color w:val="auto"/>
          <w:szCs w:val="21"/>
          <w:highlight w:val="none"/>
        </w:rPr>
      </w:pPr>
      <w:r>
        <w:rPr>
          <w:rStyle w:val="749"/>
          <w:rFonts w:hint="eastAsia" w:asciiTheme="minorEastAsia" w:hAnsiTheme="minorEastAsia" w:eastAsiaTheme="minorEastAsia"/>
          <w:color w:val="auto"/>
          <w:szCs w:val="21"/>
          <w:highlight w:val="none"/>
        </w:rPr>
        <w:t>　　                           投标人（盖章）：</w:t>
      </w:r>
    </w:p>
    <w:p w14:paraId="1638D673">
      <w:pPr>
        <w:pStyle w:val="756"/>
        <w:spacing w:line="360" w:lineRule="auto"/>
        <w:rPr>
          <w:rStyle w:val="749"/>
          <w:rFonts w:asciiTheme="minorEastAsia" w:hAnsiTheme="minorEastAsia" w:eastAsiaTheme="minorEastAsia"/>
          <w:b/>
          <w:color w:val="auto"/>
          <w:sz w:val="21"/>
          <w:szCs w:val="21"/>
          <w:highlight w:val="none"/>
        </w:rPr>
      </w:pPr>
      <w:r>
        <w:rPr>
          <w:rStyle w:val="749"/>
          <w:rFonts w:hint="eastAsia" w:asciiTheme="minorEastAsia" w:hAnsiTheme="minorEastAsia" w:eastAsiaTheme="minorEastAsia"/>
          <w:b/>
          <w:color w:val="auto"/>
          <w:sz w:val="21"/>
          <w:szCs w:val="21"/>
          <w:highlight w:val="none"/>
        </w:rPr>
        <w:t>1</w:t>
      </w:r>
      <w:r>
        <w:rPr>
          <w:rStyle w:val="749"/>
          <w:rFonts w:asciiTheme="minorEastAsia" w:hAnsiTheme="minorEastAsia" w:eastAsiaTheme="minorEastAsia"/>
          <w:b/>
          <w:color w:val="auto"/>
          <w:sz w:val="21"/>
          <w:szCs w:val="21"/>
          <w:highlight w:val="none"/>
        </w:rPr>
        <w:t>2</w:t>
      </w:r>
      <w:r>
        <w:rPr>
          <w:rStyle w:val="749"/>
          <w:rFonts w:hint="eastAsia" w:asciiTheme="minorEastAsia" w:hAnsiTheme="minorEastAsia" w:eastAsiaTheme="minorEastAsia"/>
          <w:b/>
          <w:color w:val="auto"/>
          <w:sz w:val="21"/>
          <w:szCs w:val="21"/>
          <w:highlight w:val="none"/>
        </w:rPr>
        <w:t>、                               商务响应表（附件10）</w:t>
      </w:r>
    </w:p>
    <w:tbl>
      <w:tblPr>
        <w:tblStyle w:val="55"/>
        <w:tblW w:w="8490" w:type="dxa"/>
        <w:tblInd w:w="27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09"/>
        <w:gridCol w:w="3085"/>
        <w:gridCol w:w="3085"/>
        <w:gridCol w:w="1411"/>
      </w:tblGrid>
      <w:tr w14:paraId="102E52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909" w:type="dxa"/>
            <w:tcBorders>
              <w:top w:val="single" w:color="000000" w:sz="12" w:space="0"/>
              <w:left w:val="single" w:color="000000" w:sz="12" w:space="0"/>
              <w:bottom w:val="single" w:color="000000" w:sz="4" w:space="0"/>
              <w:right w:val="single" w:color="000000" w:sz="4" w:space="0"/>
            </w:tcBorders>
          </w:tcPr>
          <w:p w14:paraId="114660DB">
            <w:pPr>
              <w:spacing w:line="360" w:lineRule="auto"/>
              <w:jc w:val="center"/>
              <w:rPr>
                <w:rStyle w:val="749"/>
                <w:rFonts w:asciiTheme="minorEastAsia" w:hAnsiTheme="minorEastAsia" w:eastAsiaTheme="minorEastAsia"/>
                <w:color w:val="auto"/>
                <w:szCs w:val="21"/>
                <w:highlight w:val="none"/>
              </w:rPr>
            </w:pPr>
            <w:r>
              <w:rPr>
                <w:rStyle w:val="749"/>
                <w:rFonts w:hint="eastAsia" w:asciiTheme="minorEastAsia" w:hAnsiTheme="minorEastAsia" w:eastAsiaTheme="minorEastAsia"/>
                <w:color w:val="auto"/>
                <w:szCs w:val="21"/>
                <w:highlight w:val="none"/>
              </w:rPr>
              <w:t>序号</w:t>
            </w:r>
          </w:p>
        </w:tc>
        <w:tc>
          <w:tcPr>
            <w:tcW w:w="3085" w:type="dxa"/>
            <w:tcBorders>
              <w:top w:val="single" w:color="000000" w:sz="12" w:space="0"/>
              <w:left w:val="single" w:color="000000" w:sz="4" w:space="0"/>
              <w:bottom w:val="single" w:color="000000" w:sz="4" w:space="0"/>
              <w:right w:val="single" w:color="000000" w:sz="4" w:space="0"/>
            </w:tcBorders>
          </w:tcPr>
          <w:p w14:paraId="03CC73F7">
            <w:pPr>
              <w:spacing w:line="360" w:lineRule="auto"/>
              <w:jc w:val="center"/>
              <w:rPr>
                <w:rStyle w:val="749"/>
                <w:rFonts w:asciiTheme="minorEastAsia" w:hAnsiTheme="minorEastAsia" w:eastAsiaTheme="minorEastAsia"/>
                <w:color w:val="auto"/>
                <w:szCs w:val="21"/>
                <w:highlight w:val="none"/>
              </w:rPr>
            </w:pPr>
            <w:r>
              <w:rPr>
                <w:rStyle w:val="749"/>
                <w:rFonts w:hint="eastAsia" w:asciiTheme="minorEastAsia" w:hAnsiTheme="minorEastAsia" w:eastAsiaTheme="minorEastAsia"/>
                <w:color w:val="auto"/>
                <w:szCs w:val="21"/>
                <w:highlight w:val="none"/>
              </w:rPr>
              <w:t>招标文件的规定</w:t>
            </w:r>
          </w:p>
        </w:tc>
        <w:tc>
          <w:tcPr>
            <w:tcW w:w="3085" w:type="dxa"/>
            <w:tcBorders>
              <w:top w:val="single" w:color="000000" w:sz="12" w:space="0"/>
              <w:left w:val="single" w:color="000000" w:sz="4" w:space="0"/>
              <w:bottom w:val="single" w:color="000000" w:sz="4" w:space="0"/>
              <w:right w:val="single" w:color="000000" w:sz="4" w:space="0"/>
            </w:tcBorders>
          </w:tcPr>
          <w:p w14:paraId="30C1D572">
            <w:pPr>
              <w:spacing w:line="360" w:lineRule="auto"/>
              <w:jc w:val="center"/>
              <w:rPr>
                <w:rStyle w:val="749"/>
                <w:rFonts w:asciiTheme="minorEastAsia" w:hAnsiTheme="minorEastAsia" w:eastAsiaTheme="minorEastAsia"/>
                <w:color w:val="auto"/>
                <w:szCs w:val="21"/>
                <w:highlight w:val="none"/>
              </w:rPr>
            </w:pPr>
            <w:r>
              <w:rPr>
                <w:rStyle w:val="749"/>
                <w:rFonts w:hint="eastAsia" w:asciiTheme="minorEastAsia" w:hAnsiTheme="minorEastAsia" w:eastAsiaTheme="minorEastAsia"/>
                <w:color w:val="auto"/>
                <w:szCs w:val="21"/>
                <w:highlight w:val="none"/>
              </w:rPr>
              <w:t>投标文件的相应</w:t>
            </w:r>
          </w:p>
        </w:tc>
        <w:tc>
          <w:tcPr>
            <w:tcW w:w="1411" w:type="dxa"/>
            <w:tcBorders>
              <w:top w:val="single" w:color="000000" w:sz="12" w:space="0"/>
              <w:left w:val="single" w:color="000000" w:sz="4" w:space="0"/>
              <w:bottom w:val="single" w:color="000000" w:sz="4" w:space="0"/>
              <w:right w:val="single" w:color="000000" w:sz="12" w:space="0"/>
            </w:tcBorders>
          </w:tcPr>
          <w:p w14:paraId="3EF07DA7">
            <w:pPr>
              <w:spacing w:line="360" w:lineRule="auto"/>
              <w:jc w:val="center"/>
              <w:rPr>
                <w:rStyle w:val="749"/>
                <w:rFonts w:asciiTheme="minorEastAsia" w:hAnsiTheme="minorEastAsia" w:eastAsiaTheme="minorEastAsia"/>
                <w:color w:val="auto"/>
                <w:szCs w:val="21"/>
                <w:highlight w:val="none"/>
              </w:rPr>
            </w:pPr>
            <w:r>
              <w:rPr>
                <w:rStyle w:val="749"/>
                <w:rFonts w:hint="eastAsia" w:asciiTheme="minorEastAsia" w:hAnsiTheme="minorEastAsia" w:eastAsiaTheme="minorEastAsia"/>
                <w:color w:val="auto"/>
                <w:szCs w:val="21"/>
                <w:highlight w:val="none"/>
              </w:rPr>
              <w:t>偏离说明</w:t>
            </w:r>
          </w:p>
        </w:tc>
      </w:tr>
      <w:tr w14:paraId="1D5A9A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909" w:type="dxa"/>
            <w:tcBorders>
              <w:top w:val="single" w:color="000000" w:sz="4" w:space="0"/>
              <w:left w:val="single" w:color="000000" w:sz="12" w:space="0"/>
              <w:bottom w:val="single" w:color="000000" w:sz="4" w:space="0"/>
              <w:right w:val="single" w:color="000000" w:sz="4" w:space="0"/>
            </w:tcBorders>
          </w:tcPr>
          <w:p w14:paraId="02FFE735">
            <w:pPr>
              <w:spacing w:line="360" w:lineRule="auto"/>
              <w:rPr>
                <w:rStyle w:val="749"/>
                <w:rFonts w:asciiTheme="minorEastAsia" w:hAnsiTheme="minorEastAsia" w:eastAsiaTheme="minorEastAsia"/>
                <w:color w:val="auto"/>
                <w:szCs w:val="21"/>
                <w:highlight w:val="none"/>
              </w:rPr>
            </w:pPr>
          </w:p>
        </w:tc>
        <w:tc>
          <w:tcPr>
            <w:tcW w:w="3085" w:type="dxa"/>
            <w:tcBorders>
              <w:top w:val="single" w:color="000000" w:sz="4" w:space="0"/>
              <w:left w:val="single" w:color="000000" w:sz="4" w:space="0"/>
              <w:bottom w:val="single" w:color="000000" w:sz="4" w:space="0"/>
              <w:right w:val="single" w:color="000000" w:sz="4" w:space="0"/>
            </w:tcBorders>
          </w:tcPr>
          <w:p w14:paraId="7B3A50D5">
            <w:pPr>
              <w:spacing w:line="360" w:lineRule="auto"/>
              <w:rPr>
                <w:rStyle w:val="749"/>
                <w:rFonts w:asciiTheme="minorEastAsia" w:hAnsiTheme="minorEastAsia" w:eastAsiaTheme="minorEastAsia"/>
                <w:color w:val="auto"/>
                <w:szCs w:val="21"/>
                <w:highlight w:val="none"/>
              </w:rPr>
            </w:pPr>
          </w:p>
        </w:tc>
        <w:tc>
          <w:tcPr>
            <w:tcW w:w="3085" w:type="dxa"/>
            <w:tcBorders>
              <w:top w:val="single" w:color="000000" w:sz="4" w:space="0"/>
              <w:left w:val="single" w:color="000000" w:sz="4" w:space="0"/>
              <w:bottom w:val="single" w:color="000000" w:sz="4" w:space="0"/>
              <w:right w:val="single" w:color="000000" w:sz="4" w:space="0"/>
            </w:tcBorders>
          </w:tcPr>
          <w:p w14:paraId="0D2584A4">
            <w:pPr>
              <w:spacing w:line="360" w:lineRule="auto"/>
              <w:rPr>
                <w:rStyle w:val="749"/>
                <w:rFonts w:asciiTheme="minorEastAsia" w:hAnsiTheme="minorEastAsia" w:eastAsiaTheme="minorEastAsia"/>
                <w:color w:val="auto"/>
                <w:szCs w:val="21"/>
                <w:highlight w:val="none"/>
              </w:rPr>
            </w:pPr>
          </w:p>
        </w:tc>
        <w:tc>
          <w:tcPr>
            <w:tcW w:w="1411" w:type="dxa"/>
            <w:tcBorders>
              <w:top w:val="single" w:color="000000" w:sz="4" w:space="0"/>
              <w:left w:val="single" w:color="000000" w:sz="4" w:space="0"/>
              <w:bottom w:val="single" w:color="000000" w:sz="4" w:space="0"/>
              <w:right w:val="single" w:color="000000" w:sz="12" w:space="0"/>
            </w:tcBorders>
          </w:tcPr>
          <w:p w14:paraId="68D36CCE">
            <w:pPr>
              <w:spacing w:line="360" w:lineRule="auto"/>
              <w:rPr>
                <w:rStyle w:val="749"/>
                <w:rFonts w:asciiTheme="minorEastAsia" w:hAnsiTheme="minorEastAsia" w:eastAsiaTheme="minorEastAsia"/>
                <w:color w:val="auto"/>
                <w:szCs w:val="21"/>
                <w:highlight w:val="none"/>
              </w:rPr>
            </w:pPr>
          </w:p>
        </w:tc>
      </w:tr>
      <w:tr w14:paraId="0647A8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909" w:type="dxa"/>
            <w:tcBorders>
              <w:top w:val="single" w:color="000000" w:sz="4" w:space="0"/>
              <w:left w:val="single" w:color="000000" w:sz="12" w:space="0"/>
              <w:bottom w:val="single" w:color="000000" w:sz="4" w:space="0"/>
              <w:right w:val="single" w:color="000000" w:sz="4" w:space="0"/>
            </w:tcBorders>
          </w:tcPr>
          <w:p w14:paraId="50C4C280">
            <w:pPr>
              <w:spacing w:line="360" w:lineRule="auto"/>
              <w:rPr>
                <w:rStyle w:val="749"/>
                <w:rFonts w:asciiTheme="minorEastAsia" w:hAnsiTheme="minorEastAsia" w:eastAsiaTheme="minorEastAsia"/>
                <w:color w:val="auto"/>
                <w:szCs w:val="21"/>
                <w:highlight w:val="none"/>
              </w:rPr>
            </w:pPr>
          </w:p>
        </w:tc>
        <w:tc>
          <w:tcPr>
            <w:tcW w:w="3085" w:type="dxa"/>
            <w:tcBorders>
              <w:top w:val="single" w:color="000000" w:sz="4" w:space="0"/>
              <w:left w:val="single" w:color="000000" w:sz="4" w:space="0"/>
              <w:bottom w:val="single" w:color="000000" w:sz="4" w:space="0"/>
              <w:right w:val="single" w:color="000000" w:sz="4" w:space="0"/>
            </w:tcBorders>
          </w:tcPr>
          <w:p w14:paraId="56713293">
            <w:pPr>
              <w:spacing w:line="360" w:lineRule="auto"/>
              <w:rPr>
                <w:rStyle w:val="749"/>
                <w:rFonts w:asciiTheme="minorEastAsia" w:hAnsiTheme="minorEastAsia" w:eastAsiaTheme="minorEastAsia"/>
                <w:color w:val="auto"/>
                <w:szCs w:val="21"/>
                <w:highlight w:val="none"/>
              </w:rPr>
            </w:pPr>
          </w:p>
        </w:tc>
        <w:tc>
          <w:tcPr>
            <w:tcW w:w="3085" w:type="dxa"/>
            <w:tcBorders>
              <w:top w:val="single" w:color="000000" w:sz="4" w:space="0"/>
              <w:left w:val="single" w:color="000000" w:sz="4" w:space="0"/>
              <w:bottom w:val="single" w:color="000000" w:sz="4" w:space="0"/>
              <w:right w:val="single" w:color="000000" w:sz="4" w:space="0"/>
            </w:tcBorders>
          </w:tcPr>
          <w:p w14:paraId="6359CA18">
            <w:pPr>
              <w:spacing w:line="360" w:lineRule="auto"/>
              <w:rPr>
                <w:rStyle w:val="749"/>
                <w:rFonts w:asciiTheme="minorEastAsia" w:hAnsiTheme="minorEastAsia" w:eastAsiaTheme="minorEastAsia"/>
                <w:color w:val="auto"/>
                <w:szCs w:val="21"/>
                <w:highlight w:val="none"/>
              </w:rPr>
            </w:pPr>
          </w:p>
        </w:tc>
        <w:tc>
          <w:tcPr>
            <w:tcW w:w="1411" w:type="dxa"/>
            <w:tcBorders>
              <w:top w:val="single" w:color="000000" w:sz="4" w:space="0"/>
              <w:left w:val="single" w:color="000000" w:sz="4" w:space="0"/>
              <w:bottom w:val="single" w:color="000000" w:sz="4" w:space="0"/>
              <w:right w:val="single" w:color="000000" w:sz="12" w:space="0"/>
            </w:tcBorders>
          </w:tcPr>
          <w:p w14:paraId="34FE4C2F">
            <w:pPr>
              <w:spacing w:line="360" w:lineRule="auto"/>
              <w:rPr>
                <w:rStyle w:val="749"/>
                <w:rFonts w:asciiTheme="minorEastAsia" w:hAnsiTheme="minorEastAsia" w:eastAsiaTheme="minorEastAsia"/>
                <w:color w:val="auto"/>
                <w:szCs w:val="21"/>
                <w:highlight w:val="none"/>
              </w:rPr>
            </w:pPr>
          </w:p>
        </w:tc>
      </w:tr>
      <w:tr w14:paraId="4ACA35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909" w:type="dxa"/>
            <w:tcBorders>
              <w:top w:val="single" w:color="000000" w:sz="4" w:space="0"/>
              <w:left w:val="single" w:color="000000" w:sz="12" w:space="0"/>
              <w:bottom w:val="single" w:color="000000" w:sz="12" w:space="0"/>
              <w:right w:val="single" w:color="000000" w:sz="4" w:space="0"/>
            </w:tcBorders>
          </w:tcPr>
          <w:p w14:paraId="15FB36B0">
            <w:pPr>
              <w:spacing w:line="360" w:lineRule="auto"/>
              <w:rPr>
                <w:rStyle w:val="749"/>
                <w:rFonts w:asciiTheme="minorEastAsia" w:hAnsiTheme="minorEastAsia" w:eastAsiaTheme="minorEastAsia"/>
                <w:color w:val="auto"/>
                <w:szCs w:val="21"/>
                <w:highlight w:val="none"/>
              </w:rPr>
            </w:pPr>
          </w:p>
        </w:tc>
        <w:tc>
          <w:tcPr>
            <w:tcW w:w="3085" w:type="dxa"/>
            <w:tcBorders>
              <w:top w:val="single" w:color="000000" w:sz="4" w:space="0"/>
              <w:left w:val="single" w:color="000000" w:sz="4" w:space="0"/>
              <w:bottom w:val="single" w:color="000000" w:sz="12" w:space="0"/>
              <w:right w:val="single" w:color="000000" w:sz="4" w:space="0"/>
            </w:tcBorders>
          </w:tcPr>
          <w:p w14:paraId="1D017E16">
            <w:pPr>
              <w:spacing w:line="360" w:lineRule="auto"/>
              <w:rPr>
                <w:rStyle w:val="749"/>
                <w:rFonts w:asciiTheme="minorEastAsia" w:hAnsiTheme="minorEastAsia" w:eastAsiaTheme="minorEastAsia"/>
                <w:color w:val="auto"/>
                <w:szCs w:val="21"/>
                <w:highlight w:val="none"/>
              </w:rPr>
            </w:pPr>
          </w:p>
        </w:tc>
        <w:tc>
          <w:tcPr>
            <w:tcW w:w="3085" w:type="dxa"/>
            <w:tcBorders>
              <w:top w:val="single" w:color="000000" w:sz="4" w:space="0"/>
              <w:left w:val="single" w:color="000000" w:sz="4" w:space="0"/>
              <w:bottom w:val="single" w:color="000000" w:sz="12" w:space="0"/>
              <w:right w:val="single" w:color="000000" w:sz="4" w:space="0"/>
            </w:tcBorders>
          </w:tcPr>
          <w:p w14:paraId="100A30A2">
            <w:pPr>
              <w:spacing w:line="360" w:lineRule="auto"/>
              <w:rPr>
                <w:rStyle w:val="749"/>
                <w:rFonts w:asciiTheme="minorEastAsia" w:hAnsiTheme="minorEastAsia" w:eastAsiaTheme="minorEastAsia"/>
                <w:color w:val="auto"/>
                <w:szCs w:val="21"/>
                <w:highlight w:val="none"/>
              </w:rPr>
            </w:pPr>
          </w:p>
        </w:tc>
        <w:tc>
          <w:tcPr>
            <w:tcW w:w="1411" w:type="dxa"/>
            <w:tcBorders>
              <w:top w:val="single" w:color="000000" w:sz="4" w:space="0"/>
              <w:left w:val="single" w:color="000000" w:sz="4" w:space="0"/>
              <w:bottom w:val="single" w:color="000000" w:sz="12" w:space="0"/>
              <w:right w:val="single" w:color="000000" w:sz="12" w:space="0"/>
            </w:tcBorders>
          </w:tcPr>
          <w:p w14:paraId="5F3D33DE">
            <w:pPr>
              <w:spacing w:line="360" w:lineRule="auto"/>
              <w:rPr>
                <w:rStyle w:val="749"/>
                <w:rFonts w:asciiTheme="minorEastAsia" w:hAnsiTheme="minorEastAsia" w:eastAsiaTheme="minorEastAsia"/>
                <w:color w:val="auto"/>
                <w:szCs w:val="21"/>
                <w:highlight w:val="none"/>
              </w:rPr>
            </w:pPr>
          </w:p>
        </w:tc>
      </w:tr>
    </w:tbl>
    <w:p w14:paraId="589A8094">
      <w:pPr>
        <w:spacing w:line="360" w:lineRule="auto"/>
        <w:rPr>
          <w:rStyle w:val="749"/>
          <w:rFonts w:asciiTheme="minorEastAsia" w:hAnsiTheme="minorEastAsia" w:eastAsiaTheme="minorEastAsia"/>
          <w:b/>
          <w:color w:val="auto"/>
          <w:szCs w:val="21"/>
          <w:highlight w:val="none"/>
        </w:rPr>
      </w:pPr>
      <w:r>
        <w:rPr>
          <w:rStyle w:val="749"/>
          <w:rFonts w:hint="eastAsia" w:asciiTheme="minorEastAsia" w:hAnsiTheme="minorEastAsia" w:eastAsiaTheme="minorEastAsia"/>
          <w:b/>
          <w:color w:val="auto"/>
          <w:szCs w:val="21"/>
          <w:highlight w:val="none"/>
        </w:rPr>
        <w:t>注：供应商的投标文件（除技术规格部分）与招标文件之规定存在偏离的，应在此表中如实说明。未在上表中说明的，将被认为完全响应招标文件的规定。</w:t>
      </w:r>
    </w:p>
    <w:p w14:paraId="52511E35">
      <w:pPr>
        <w:rPr>
          <w:color w:val="auto"/>
          <w:highlight w:val="none"/>
        </w:rPr>
      </w:pPr>
    </w:p>
    <w:p w14:paraId="1D8668D4">
      <w:pPr>
        <w:rPr>
          <w:rStyle w:val="749"/>
          <w:rFonts w:hint="eastAsia" w:asciiTheme="minorEastAsia" w:hAnsiTheme="minorEastAsia" w:eastAsiaTheme="minorEastAsia"/>
          <w:b/>
          <w:color w:val="auto"/>
          <w:szCs w:val="21"/>
          <w:highlight w:val="none"/>
        </w:rPr>
      </w:pPr>
      <w:r>
        <w:rPr>
          <w:rStyle w:val="749"/>
          <w:rFonts w:hint="eastAsia" w:asciiTheme="minorEastAsia" w:hAnsiTheme="minorEastAsia" w:eastAsiaTheme="minorEastAsia"/>
          <w:b/>
          <w:color w:val="auto"/>
          <w:szCs w:val="21"/>
          <w:highlight w:val="none"/>
        </w:rPr>
        <w:br w:type="page"/>
      </w:r>
    </w:p>
    <w:p w14:paraId="08C28F01">
      <w:pPr>
        <w:snapToGrid w:val="0"/>
        <w:spacing w:line="360" w:lineRule="auto"/>
        <w:rPr>
          <w:rStyle w:val="749"/>
          <w:rFonts w:asciiTheme="minorEastAsia" w:hAnsiTheme="minorEastAsia" w:eastAsiaTheme="minorEastAsia"/>
          <w:b/>
          <w:color w:val="auto"/>
          <w:szCs w:val="21"/>
          <w:highlight w:val="none"/>
        </w:rPr>
      </w:pPr>
      <w:r>
        <w:rPr>
          <w:rStyle w:val="749"/>
          <w:rFonts w:hint="eastAsia" w:asciiTheme="minorEastAsia" w:hAnsiTheme="minorEastAsia" w:eastAsiaTheme="minorEastAsia"/>
          <w:b/>
          <w:color w:val="auto"/>
          <w:szCs w:val="21"/>
          <w:highlight w:val="none"/>
        </w:rPr>
        <w:t>1</w:t>
      </w:r>
      <w:r>
        <w:rPr>
          <w:rStyle w:val="749"/>
          <w:rFonts w:asciiTheme="minorEastAsia" w:hAnsiTheme="minorEastAsia" w:eastAsiaTheme="minorEastAsia"/>
          <w:b/>
          <w:color w:val="auto"/>
          <w:szCs w:val="21"/>
          <w:highlight w:val="none"/>
        </w:rPr>
        <w:t>3</w:t>
      </w:r>
      <w:r>
        <w:rPr>
          <w:rStyle w:val="749"/>
          <w:rFonts w:hint="eastAsia" w:asciiTheme="minorEastAsia" w:hAnsiTheme="minorEastAsia" w:eastAsiaTheme="minorEastAsia"/>
          <w:b/>
          <w:color w:val="auto"/>
          <w:szCs w:val="21"/>
          <w:highlight w:val="none"/>
        </w:rPr>
        <w:t>、技术响应表格式：</w:t>
      </w:r>
    </w:p>
    <w:p w14:paraId="2D2B5188">
      <w:pPr>
        <w:snapToGrid w:val="0"/>
        <w:spacing w:line="360" w:lineRule="auto"/>
        <w:jc w:val="center"/>
        <w:rPr>
          <w:rStyle w:val="749"/>
          <w:rFonts w:asciiTheme="minorEastAsia" w:hAnsiTheme="minorEastAsia" w:eastAsiaTheme="minorEastAsia"/>
          <w:color w:val="auto"/>
          <w:szCs w:val="21"/>
          <w:highlight w:val="none"/>
          <w:u w:val="single"/>
        </w:rPr>
      </w:pPr>
      <w:r>
        <w:rPr>
          <w:rStyle w:val="749"/>
          <w:rFonts w:hint="eastAsia" w:asciiTheme="minorEastAsia" w:hAnsiTheme="minorEastAsia" w:eastAsiaTheme="minorEastAsia"/>
          <w:b/>
          <w:color w:val="auto"/>
          <w:szCs w:val="21"/>
          <w:highlight w:val="none"/>
        </w:rPr>
        <w:t>技术响应表（附件11）</w:t>
      </w:r>
    </w:p>
    <w:tbl>
      <w:tblPr>
        <w:tblStyle w:val="55"/>
        <w:tblW w:w="8789"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578"/>
        <w:gridCol w:w="2675"/>
        <w:gridCol w:w="1386"/>
        <w:gridCol w:w="1089"/>
        <w:gridCol w:w="762"/>
        <w:gridCol w:w="1299"/>
      </w:tblGrid>
      <w:tr w14:paraId="065AACA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396" w:hRule="atLeast"/>
        </w:trPr>
        <w:tc>
          <w:tcPr>
            <w:tcW w:w="4253" w:type="dxa"/>
            <w:gridSpan w:val="2"/>
            <w:tcBorders>
              <w:top w:val="single" w:color="000000" w:sz="4" w:space="0"/>
              <w:left w:val="single" w:color="000000" w:sz="4" w:space="0"/>
              <w:bottom w:val="single" w:color="000000" w:sz="4" w:space="0"/>
              <w:right w:val="single" w:color="000000" w:sz="4" w:space="0"/>
            </w:tcBorders>
          </w:tcPr>
          <w:p w14:paraId="22655DED">
            <w:pPr>
              <w:pStyle w:val="753"/>
              <w:snapToGrid w:val="0"/>
              <w:spacing w:before="0" w:after="0" w:line="360" w:lineRule="auto"/>
              <w:jc w:val="center"/>
              <w:rPr>
                <w:rStyle w:val="749"/>
                <w:rFonts w:asciiTheme="minorEastAsia" w:hAnsiTheme="minorEastAsia" w:eastAsiaTheme="minorEastAsia"/>
                <w:color w:val="auto"/>
                <w:sz w:val="21"/>
                <w:szCs w:val="21"/>
                <w:highlight w:val="none"/>
              </w:rPr>
            </w:pPr>
            <w:r>
              <w:rPr>
                <w:rStyle w:val="749"/>
                <w:rFonts w:hint="eastAsia" w:asciiTheme="minorEastAsia" w:hAnsiTheme="minorEastAsia" w:eastAsiaTheme="minorEastAsia"/>
                <w:color w:val="auto"/>
                <w:sz w:val="21"/>
                <w:szCs w:val="21"/>
                <w:highlight w:val="none"/>
              </w:rPr>
              <w:t>招标文件要求</w:t>
            </w:r>
          </w:p>
        </w:tc>
        <w:tc>
          <w:tcPr>
            <w:tcW w:w="3237" w:type="dxa"/>
            <w:gridSpan w:val="3"/>
            <w:tcBorders>
              <w:top w:val="single" w:color="000000" w:sz="4" w:space="0"/>
              <w:left w:val="single" w:color="000000" w:sz="4" w:space="0"/>
              <w:bottom w:val="single" w:color="000000" w:sz="4" w:space="0"/>
              <w:right w:val="single" w:color="000000" w:sz="4" w:space="0"/>
            </w:tcBorders>
          </w:tcPr>
          <w:p w14:paraId="61A97710">
            <w:pPr>
              <w:pStyle w:val="753"/>
              <w:snapToGrid w:val="0"/>
              <w:spacing w:before="0" w:after="0" w:line="360" w:lineRule="auto"/>
              <w:jc w:val="center"/>
              <w:rPr>
                <w:rStyle w:val="749"/>
                <w:rFonts w:asciiTheme="minorEastAsia" w:hAnsiTheme="minorEastAsia" w:eastAsiaTheme="minorEastAsia"/>
                <w:color w:val="auto"/>
                <w:sz w:val="21"/>
                <w:szCs w:val="21"/>
                <w:highlight w:val="none"/>
              </w:rPr>
            </w:pPr>
            <w:r>
              <w:rPr>
                <w:rStyle w:val="749"/>
                <w:rFonts w:hint="eastAsia" w:asciiTheme="minorEastAsia" w:hAnsiTheme="minorEastAsia" w:eastAsiaTheme="minorEastAsia"/>
                <w:color w:val="auto"/>
                <w:sz w:val="21"/>
                <w:szCs w:val="21"/>
                <w:highlight w:val="none"/>
              </w:rPr>
              <w:t>投标文件响应</w:t>
            </w:r>
          </w:p>
        </w:tc>
        <w:tc>
          <w:tcPr>
            <w:tcW w:w="1299" w:type="dxa"/>
            <w:vMerge w:val="restart"/>
            <w:tcBorders>
              <w:top w:val="single" w:color="000000" w:sz="4" w:space="0"/>
              <w:left w:val="single" w:color="000000" w:sz="4" w:space="0"/>
              <w:bottom w:val="single" w:color="000000" w:sz="4" w:space="0"/>
              <w:right w:val="single" w:color="000000" w:sz="4" w:space="0"/>
            </w:tcBorders>
            <w:vAlign w:val="center"/>
          </w:tcPr>
          <w:p w14:paraId="7D161554">
            <w:pPr>
              <w:pStyle w:val="753"/>
              <w:snapToGrid w:val="0"/>
              <w:spacing w:before="0" w:after="0" w:line="360" w:lineRule="auto"/>
              <w:jc w:val="center"/>
              <w:rPr>
                <w:rStyle w:val="749"/>
                <w:rFonts w:asciiTheme="minorEastAsia" w:hAnsiTheme="minorEastAsia" w:eastAsiaTheme="minorEastAsia"/>
                <w:color w:val="auto"/>
                <w:sz w:val="21"/>
                <w:szCs w:val="21"/>
                <w:highlight w:val="none"/>
              </w:rPr>
            </w:pPr>
            <w:r>
              <w:rPr>
                <w:rStyle w:val="749"/>
                <w:rFonts w:hint="eastAsia" w:asciiTheme="minorEastAsia" w:hAnsiTheme="minorEastAsia" w:eastAsiaTheme="minorEastAsia"/>
                <w:color w:val="auto"/>
                <w:sz w:val="21"/>
                <w:szCs w:val="21"/>
                <w:highlight w:val="none"/>
              </w:rPr>
              <w:t>偏离</w:t>
            </w:r>
          </w:p>
          <w:p w14:paraId="3DB3DFC4">
            <w:pPr>
              <w:pStyle w:val="753"/>
              <w:snapToGrid w:val="0"/>
              <w:spacing w:before="0" w:after="0" w:line="360" w:lineRule="auto"/>
              <w:jc w:val="center"/>
              <w:rPr>
                <w:rStyle w:val="749"/>
                <w:rFonts w:asciiTheme="minorEastAsia" w:hAnsiTheme="minorEastAsia" w:eastAsiaTheme="minorEastAsia"/>
                <w:color w:val="auto"/>
                <w:sz w:val="21"/>
                <w:szCs w:val="21"/>
                <w:highlight w:val="none"/>
              </w:rPr>
            </w:pPr>
            <w:r>
              <w:rPr>
                <w:rStyle w:val="749"/>
                <w:rFonts w:hint="eastAsia" w:asciiTheme="minorEastAsia" w:hAnsiTheme="minorEastAsia" w:eastAsiaTheme="minorEastAsia"/>
                <w:color w:val="auto"/>
                <w:sz w:val="21"/>
                <w:szCs w:val="21"/>
                <w:highlight w:val="none"/>
              </w:rPr>
              <w:t>情况</w:t>
            </w:r>
          </w:p>
        </w:tc>
      </w:tr>
      <w:tr w14:paraId="72293A1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80" w:hRule="atLeast"/>
        </w:trPr>
        <w:tc>
          <w:tcPr>
            <w:tcW w:w="1578" w:type="dxa"/>
            <w:tcBorders>
              <w:top w:val="single" w:color="000000" w:sz="4" w:space="0"/>
              <w:left w:val="single" w:color="000000" w:sz="4" w:space="0"/>
              <w:bottom w:val="single" w:color="000000" w:sz="4" w:space="0"/>
              <w:right w:val="single" w:color="000000" w:sz="4" w:space="0"/>
            </w:tcBorders>
          </w:tcPr>
          <w:p w14:paraId="1FC40809">
            <w:pPr>
              <w:pStyle w:val="753"/>
              <w:snapToGrid w:val="0"/>
              <w:spacing w:before="0" w:after="0" w:line="360" w:lineRule="auto"/>
              <w:jc w:val="center"/>
              <w:rPr>
                <w:rStyle w:val="749"/>
                <w:rFonts w:asciiTheme="minorEastAsia" w:hAnsiTheme="minorEastAsia" w:eastAsiaTheme="minorEastAsia"/>
                <w:color w:val="auto"/>
                <w:sz w:val="21"/>
                <w:szCs w:val="21"/>
                <w:highlight w:val="none"/>
              </w:rPr>
            </w:pPr>
            <w:r>
              <w:rPr>
                <w:rStyle w:val="749"/>
                <w:rFonts w:hint="eastAsia" w:asciiTheme="minorEastAsia" w:hAnsiTheme="minorEastAsia" w:eastAsiaTheme="minorEastAsia"/>
                <w:color w:val="auto"/>
                <w:sz w:val="21"/>
                <w:szCs w:val="21"/>
                <w:highlight w:val="none"/>
              </w:rPr>
              <w:t>项目</w:t>
            </w:r>
          </w:p>
        </w:tc>
        <w:tc>
          <w:tcPr>
            <w:tcW w:w="2675" w:type="dxa"/>
            <w:tcBorders>
              <w:top w:val="single" w:color="000000" w:sz="4" w:space="0"/>
              <w:left w:val="single" w:color="000000" w:sz="4" w:space="0"/>
              <w:bottom w:val="single" w:color="000000" w:sz="4" w:space="0"/>
              <w:right w:val="single" w:color="000000" w:sz="4" w:space="0"/>
            </w:tcBorders>
          </w:tcPr>
          <w:p w14:paraId="3695104B">
            <w:pPr>
              <w:pStyle w:val="753"/>
              <w:snapToGrid w:val="0"/>
              <w:spacing w:before="0" w:after="0" w:line="360" w:lineRule="auto"/>
              <w:jc w:val="center"/>
              <w:rPr>
                <w:rStyle w:val="749"/>
                <w:rFonts w:asciiTheme="minorEastAsia" w:hAnsiTheme="minorEastAsia" w:eastAsiaTheme="minorEastAsia"/>
                <w:color w:val="auto"/>
                <w:sz w:val="21"/>
                <w:szCs w:val="21"/>
                <w:highlight w:val="none"/>
              </w:rPr>
            </w:pPr>
            <w:r>
              <w:rPr>
                <w:rStyle w:val="749"/>
                <w:rFonts w:hint="eastAsia" w:asciiTheme="minorEastAsia" w:hAnsiTheme="minorEastAsia" w:eastAsiaTheme="minorEastAsia"/>
                <w:color w:val="auto"/>
                <w:sz w:val="21"/>
                <w:szCs w:val="21"/>
                <w:highlight w:val="none"/>
              </w:rPr>
              <w:t>要求</w:t>
            </w:r>
          </w:p>
        </w:tc>
        <w:tc>
          <w:tcPr>
            <w:tcW w:w="1386" w:type="dxa"/>
            <w:tcBorders>
              <w:top w:val="single" w:color="000000" w:sz="4" w:space="0"/>
              <w:left w:val="single" w:color="000000" w:sz="4" w:space="0"/>
              <w:bottom w:val="single" w:color="000000" w:sz="4" w:space="0"/>
              <w:right w:val="single" w:color="000000" w:sz="4" w:space="0"/>
            </w:tcBorders>
          </w:tcPr>
          <w:p w14:paraId="27B4DE4A">
            <w:pPr>
              <w:pStyle w:val="753"/>
              <w:snapToGrid w:val="0"/>
              <w:spacing w:before="0" w:after="0" w:line="360" w:lineRule="auto"/>
              <w:jc w:val="center"/>
              <w:rPr>
                <w:rStyle w:val="749"/>
                <w:rFonts w:asciiTheme="minorEastAsia" w:hAnsiTheme="minorEastAsia" w:eastAsiaTheme="minorEastAsia"/>
                <w:color w:val="auto"/>
                <w:sz w:val="21"/>
                <w:szCs w:val="21"/>
                <w:highlight w:val="none"/>
              </w:rPr>
            </w:pPr>
            <w:r>
              <w:rPr>
                <w:rStyle w:val="749"/>
                <w:rFonts w:hint="eastAsia" w:asciiTheme="minorEastAsia" w:hAnsiTheme="minorEastAsia" w:eastAsiaTheme="minorEastAsia"/>
                <w:color w:val="auto"/>
                <w:sz w:val="21"/>
                <w:szCs w:val="21"/>
                <w:highlight w:val="none"/>
              </w:rPr>
              <w:t>设备名称</w:t>
            </w:r>
          </w:p>
        </w:tc>
        <w:tc>
          <w:tcPr>
            <w:tcW w:w="1089" w:type="dxa"/>
            <w:tcBorders>
              <w:top w:val="single" w:color="000000" w:sz="4" w:space="0"/>
              <w:left w:val="single" w:color="000000" w:sz="4" w:space="0"/>
              <w:bottom w:val="single" w:color="000000" w:sz="4" w:space="0"/>
              <w:right w:val="single" w:color="auto" w:sz="4" w:space="0"/>
            </w:tcBorders>
          </w:tcPr>
          <w:p w14:paraId="653E1815">
            <w:pPr>
              <w:pStyle w:val="753"/>
              <w:snapToGrid w:val="0"/>
              <w:spacing w:before="0" w:after="0" w:line="360" w:lineRule="auto"/>
              <w:jc w:val="center"/>
              <w:rPr>
                <w:rStyle w:val="749"/>
                <w:rFonts w:asciiTheme="minorEastAsia" w:hAnsiTheme="minorEastAsia" w:eastAsiaTheme="minorEastAsia"/>
                <w:color w:val="auto"/>
                <w:sz w:val="21"/>
                <w:szCs w:val="21"/>
                <w:highlight w:val="none"/>
              </w:rPr>
            </w:pPr>
            <w:r>
              <w:rPr>
                <w:rStyle w:val="749"/>
                <w:rFonts w:hint="eastAsia" w:asciiTheme="minorEastAsia" w:hAnsiTheme="minorEastAsia" w:eastAsiaTheme="minorEastAsia"/>
                <w:color w:val="auto"/>
                <w:sz w:val="21"/>
                <w:szCs w:val="21"/>
                <w:highlight w:val="none"/>
              </w:rPr>
              <w:t>性能及指标</w:t>
            </w:r>
          </w:p>
        </w:tc>
        <w:tc>
          <w:tcPr>
            <w:tcW w:w="762" w:type="dxa"/>
            <w:tcBorders>
              <w:top w:val="single" w:color="000000" w:sz="4" w:space="0"/>
              <w:left w:val="single" w:color="auto" w:sz="4" w:space="0"/>
              <w:bottom w:val="single" w:color="000000" w:sz="4" w:space="0"/>
              <w:right w:val="single" w:color="000000" w:sz="4" w:space="0"/>
            </w:tcBorders>
          </w:tcPr>
          <w:p w14:paraId="0F99FA48">
            <w:pPr>
              <w:pStyle w:val="753"/>
              <w:snapToGrid w:val="0"/>
              <w:spacing w:before="0" w:after="0" w:line="360" w:lineRule="auto"/>
              <w:jc w:val="center"/>
              <w:rPr>
                <w:rStyle w:val="749"/>
                <w:rFonts w:asciiTheme="minorEastAsia" w:hAnsiTheme="minorEastAsia" w:eastAsiaTheme="minorEastAsia"/>
                <w:color w:val="auto"/>
                <w:sz w:val="21"/>
                <w:szCs w:val="21"/>
                <w:highlight w:val="none"/>
              </w:rPr>
            </w:pPr>
            <w:r>
              <w:rPr>
                <w:rStyle w:val="749"/>
                <w:rFonts w:hint="eastAsia" w:asciiTheme="minorEastAsia" w:hAnsiTheme="minorEastAsia" w:eastAsiaTheme="minorEastAsia"/>
                <w:color w:val="auto"/>
                <w:sz w:val="21"/>
                <w:szCs w:val="21"/>
                <w:highlight w:val="none"/>
              </w:rPr>
              <w:t>品牌</w:t>
            </w:r>
          </w:p>
        </w:tc>
        <w:tc>
          <w:tcPr>
            <w:tcW w:w="1299" w:type="dxa"/>
            <w:vMerge w:val="continue"/>
            <w:tcBorders>
              <w:top w:val="single" w:color="000000" w:sz="4" w:space="0"/>
              <w:left w:val="single" w:color="000000" w:sz="4" w:space="0"/>
              <w:bottom w:val="single" w:color="000000" w:sz="4" w:space="0"/>
              <w:right w:val="single" w:color="000000" w:sz="4" w:space="0"/>
            </w:tcBorders>
            <w:vAlign w:val="center"/>
          </w:tcPr>
          <w:p w14:paraId="737B607A">
            <w:pPr>
              <w:pStyle w:val="753"/>
              <w:spacing w:line="360" w:lineRule="auto"/>
              <w:rPr>
                <w:rStyle w:val="749"/>
                <w:rFonts w:asciiTheme="minorEastAsia" w:hAnsiTheme="minorEastAsia" w:eastAsiaTheme="minorEastAsia"/>
                <w:color w:val="auto"/>
                <w:szCs w:val="21"/>
                <w:highlight w:val="none"/>
              </w:rPr>
            </w:pPr>
          </w:p>
        </w:tc>
      </w:tr>
      <w:tr w14:paraId="3D15815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841" w:hRule="atLeast"/>
        </w:trPr>
        <w:tc>
          <w:tcPr>
            <w:tcW w:w="1578" w:type="dxa"/>
            <w:tcBorders>
              <w:top w:val="single" w:color="000000" w:sz="4" w:space="0"/>
              <w:left w:val="single" w:color="000000" w:sz="4" w:space="0"/>
              <w:bottom w:val="single" w:color="000000" w:sz="4" w:space="0"/>
              <w:right w:val="single" w:color="000000" w:sz="4" w:space="0"/>
            </w:tcBorders>
            <w:vAlign w:val="center"/>
          </w:tcPr>
          <w:p w14:paraId="3BC425D6">
            <w:pPr>
              <w:pStyle w:val="753"/>
              <w:snapToGrid w:val="0"/>
              <w:spacing w:before="0" w:after="0" w:line="360" w:lineRule="auto"/>
              <w:rPr>
                <w:rStyle w:val="749"/>
                <w:rFonts w:asciiTheme="minorEastAsia" w:hAnsiTheme="minorEastAsia" w:eastAsiaTheme="minorEastAsia"/>
                <w:color w:val="auto"/>
                <w:sz w:val="21"/>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14:paraId="6607CA55">
            <w:pPr>
              <w:pStyle w:val="753"/>
              <w:snapToGrid w:val="0"/>
              <w:spacing w:before="0" w:after="0" w:line="360" w:lineRule="auto"/>
              <w:rPr>
                <w:rStyle w:val="749"/>
                <w:rFonts w:asciiTheme="minorEastAsia" w:hAnsiTheme="minorEastAsia" w:eastAsiaTheme="minorEastAsia"/>
                <w:color w:val="auto"/>
                <w:sz w:val="21"/>
                <w:szCs w:val="21"/>
                <w:highlight w:val="none"/>
              </w:rPr>
            </w:pPr>
          </w:p>
        </w:tc>
        <w:tc>
          <w:tcPr>
            <w:tcW w:w="1386" w:type="dxa"/>
            <w:tcBorders>
              <w:top w:val="single" w:color="000000" w:sz="4" w:space="0"/>
              <w:left w:val="single" w:color="000000" w:sz="4" w:space="0"/>
              <w:bottom w:val="single" w:color="000000" w:sz="4" w:space="0"/>
              <w:right w:val="single" w:color="000000" w:sz="4" w:space="0"/>
            </w:tcBorders>
          </w:tcPr>
          <w:p w14:paraId="7969C02B">
            <w:pPr>
              <w:pStyle w:val="753"/>
              <w:snapToGrid w:val="0"/>
              <w:spacing w:before="0" w:after="0" w:line="360" w:lineRule="auto"/>
              <w:rPr>
                <w:rStyle w:val="749"/>
                <w:rFonts w:asciiTheme="minorEastAsia" w:hAnsiTheme="minorEastAsia" w:eastAsiaTheme="minorEastAsia"/>
                <w:color w:val="auto"/>
                <w:sz w:val="21"/>
                <w:szCs w:val="21"/>
                <w:highlight w:val="none"/>
              </w:rPr>
            </w:pPr>
          </w:p>
        </w:tc>
        <w:tc>
          <w:tcPr>
            <w:tcW w:w="1089" w:type="dxa"/>
            <w:tcBorders>
              <w:top w:val="single" w:color="000000" w:sz="4" w:space="0"/>
              <w:left w:val="single" w:color="000000" w:sz="4" w:space="0"/>
              <w:bottom w:val="single" w:color="000000" w:sz="4" w:space="0"/>
              <w:right w:val="single" w:color="auto" w:sz="4" w:space="0"/>
            </w:tcBorders>
          </w:tcPr>
          <w:p w14:paraId="5A385B7C">
            <w:pPr>
              <w:pStyle w:val="753"/>
              <w:snapToGrid w:val="0"/>
              <w:spacing w:before="0" w:after="0" w:line="360" w:lineRule="auto"/>
              <w:rPr>
                <w:rStyle w:val="749"/>
                <w:rFonts w:asciiTheme="minorEastAsia" w:hAnsiTheme="minorEastAsia" w:eastAsiaTheme="minorEastAsia"/>
                <w:color w:val="auto"/>
                <w:sz w:val="21"/>
                <w:szCs w:val="21"/>
                <w:highlight w:val="none"/>
              </w:rPr>
            </w:pPr>
          </w:p>
        </w:tc>
        <w:tc>
          <w:tcPr>
            <w:tcW w:w="762" w:type="dxa"/>
            <w:tcBorders>
              <w:top w:val="single" w:color="000000" w:sz="4" w:space="0"/>
              <w:left w:val="single" w:color="auto" w:sz="4" w:space="0"/>
              <w:bottom w:val="single" w:color="000000" w:sz="4" w:space="0"/>
              <w:right w:val="single" w:color="000000" w:sz="4" w:space="0"/>
            </w:tcBorders>
          </w:tcPr>
          <w:p w14:paraId="2295B0D7">
            <w:pPr>
              <w:pStyle w:val="753"/>
              <w:snapToGrid w:val="0"/>
              <w:spacing w:before="0" w:after="0" w:line="360" w:lineRule="auto"/>
              <w:rPr>
                <w:rStyle w:val="749"/>
                <w:rFonts w:asciiTheme="minorEastAsia" w:hAnsiTheme="minorEastAsia" w:eastAsiaTheme="minorEastAsia"/>
                <w:color w:val="auto"/>
                <w:sz w:val="21"/>
                <w:szCs w:val="21"/>
                <w:highlight w:val="none"/>
              </w:rPr>
            </w:pPr>
          </w:p>
        </w:tc>
        <w:tc>
          <w:tcPr>
            <w:tcW w:w="1299" w:type="dxa"/>
            <w:tcBorders>
              <w:top w:val="single" w:color="000000" w:sz="4" w:space="0"/>
              <w:left w:val="single" w:color="000000" w:sz="4" w:space="0"/>
              <w:bottom w:val="single" w:color="000000" w:sz="4" w:space="0"/>
              <w:right w:val="single" w:color="000000" w:sz="4" w:space="0"/>
            </w:tcBorders>
          </w:tcPr>
          <w:p w14:paraId="012E99D4">
            <w:pPr>
              <w:pStyle w:val="753"/>
              <w:snapToGrid w:val="0"/>
              <w:spacing w:before="0" w:after="0" w:line="360" w:lineRule="auto"/>
              <w:rPr>
                <w:rStyle w:val="749"/>
                <w:rFonts w:asciiTheme="minorEastAsia" w:hAnsiTheme="minorEastAsia" w:eastAsiaTheme="minorEastAsia"/>
                <w:color w:val="auto"/>
                <w:sz w:val="21"/>
                <w:szCs w:val="21"/>
                <w:highlight w:val="none"/>
              </w:rPr>
            </w:pPr>
          </w:p>
        </w:tc>
      </w:tr>
      <w:tr w14:paraId="37E62A2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841" w:hRule="atLeast"/>
        </w:trPr>
        <w:tc>
          <w:tcPr>
            <w:tcW w:w="1578" w:type="dxa"/>
            <w:tcBorders>
              <w:top w:val="single" w:color="000000" w:sz="4" w:space="0"/>
              <w:left w:val="single" w:color="000000" w:sz="4" w:space="0"/>
              <w:bottom w:val="single" w:color="000000" w:sz="4" w:space="0"/>
              <w:right w:val="single" w:color="000000" w:sz="4" w:space="0"/>
            </w:tcBorders>
            <w:vAlign w:val="center"/>
          </w:tcPr>
          <w:p w14:paraId="260097BE">
            <w:pPr>
              <w:pStyle w:val="753"/>
              <w:snapToGrid w:val="0"/>
              <w:spacing w:before="0" w:after="0" w:line="360" w:lineRule="auto"/>
              <w:rPr>
                <w:rStyle w:val="749"/>
                <w:rFonts w:asciiTheme="minorEastAsia" w:hAnsiTheme="minorEastAsia" w:eastAsiaTheme="minorEastAsia"/>
                <w:color w:val="auto"/>
                <w:sz w:val="21"/>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14:paraId="0967C9B5">
            <w:pPr>
              <w:pStyle w:val="753"/>
              <w:snapToGrid w:val="0"/>
              <w:spacing w:before="0" w:after="0" w:line="360" w:lineRule="auto"/>
              <w:rPr>
                <w:rStyle w:val="749"/>
                <w:rFonts w:asciiTheme="minorEastAsia" w:hAnsiTheme="minorEastAsia" w:eastAsiaTheme="minorEastAsia"/>
                <w:color w:val="auto"/>
                <w:sz w:val="21"/>
                <w:szCs w:val="21"/>
                <w:highlight w:val="none"/>
              </w:rPr>
            </w:pPr>
          </w:p>
        </w:tc>
        <w:tc>
          <w:tcPr>
            <w:tcW w:w="1386" w:type="dxa"/>
            <w:tcBorders>
              <w:top w:val="single" w:color="000000" w:sz="4" w:space="0"/>
              <w:left w:val="single" w:color="000000" w:sz="4" w:space="0"/>
              <w:bottom w:val="single" w:color="000000" w:sz="4" w:space="0"/>
              <w:right w:val="single" w:color="000000" w:sz="4" w:space="0"/>
            </w:tcBorders>
          </w:tcPr>
          <w:p w14:paraId="77673B31">
            <w:pPr>
              <w:pStyle w:val="753"/>
              <w:snapToGrid w:val="0"/>
              <w:spacing w:before="0" w:after="0" w:line="360" w:lineRule="auto"/>
              <w:rPr>
                <w:rStyle w:val="749"/>
                <w:rFonts w:asciiTheme="minorEastAsia" w:hAnsiTheme="minorEastAsia" w:eastAsiaTheme="minorEastAsia"/>
                <w:color w:val="auto"/>
                <w:sz w:val="21"/>
                <w:szCs w:val="21"/>
                <w:highlight w:val="none"/>
              </w:rPr>
            </w:pPr>
          </w:p>
        </w:tc>
        <w:tc>
          <w:tcPr>
            <w:tcW w:w="1089" w:type="dxa"/>
            <w:tcBorders>
              <w:top w:val="single" w:color="000000" w:sz="4" w:space="0"/>
              <w:left w:val="single" w:color="000000" w:sz="4" w:space="0"/>
              <w:bottom w:val="single" w:color="000000" w:sz="4" w:space="0"/>
              <w:right w:val="single" w:color="auto" w:sz="4" w:space="0"/>
            </w:tcBorders>
          </w:tcPr>
          <w:p w14:paraId="389D9F35">
            <w:pPr>
              <w:pStyle w:val="753"/>
              <w:snapToGrid w:val="0"/>
              <w:spacing w:before="0" w:after="0" w:line="360" w:lineRule="auto"/>
              <w:rPr>
                <w:rStyle w:val="749"/>
                <w:rFonts w:asciiTheme="minorEastAsia" w:hAnsiTheme="minorEastAsia" w:eastAsiaTheme="minorEastAsia"/>
                <w:color w:val="auto"/>
                <w:sz w:val="21"/>
                <w:szCs w:val="21"/>
                <w:highlight w:val="none"/>
              </w:rPr>
            </w:pPr>
          </w:p>
        </w:tc>
        <w:tc>
          <w:tcPr>
            <w:tcW w:w="762" w:type="dxa"/>
            <w:tcBorders>
              <w:top w:val="single" w:color="000000" w:sz="4" w:space="0"/>
              <w:left w:val="single" w:color="auto" w:sz="4" w:space="0"/>
              <w:bottom w:val="single" w:color="000000" w:sz="4" w:space="0"/>
              <w:right w:val="single" w:color="000000" w:sz="4" w:space="0"/>
            </w:tcBorders>
          </w:tcPr>
          <w:p w14:paraId="1289AE59">
            <w:pPr>
              <w:pStyle w:val="753"/>
              <w:snapToGrid w:val="0"/>
              <w:spacing w:before="0" w:after="0" w:line="360" w:lineRule="auto"/>
              <w:rPr>
                <w:rStyle w:val="749"/>
                <w:rFonts w:asciiTheme="minorEastAsia" w:hAnsiTheme="minorEastAsia" w:eastAsiaTheme="minorEastAsia"/>
                <w:color w:val="auto"/>
                <w:sz w:val="21"/>
                <w:szCs w:val="21"/>
                <w:highlight w:val="none"/>
              </w:rPr>
            </w:pPr>
          </w:p>
        </w:tc>
        <w:tc>
          <w:tcPr>
            <w:tcW w:w="1299" w:type="dxa"/>
            <w:tcBorders>
              <w:top w:val="single" w:color="000000" w:sz="4" w:space="0"/>
              <w:left w:val="single" w:color="000000" w:sz="4" w:space="0"/>
              <w:bottom w:val="single" w:color="000000" w:sz="4" w:space="0"/>
              <w:right w:val="single" w:color="000000" w:sz="4" w:space="0"/>
            </w:tcBorders>
          </w:tcPr>
          <w:p w14:paraId="4B772433">
            <w:pPr>
              <w:pStyle w:val="753"/>
              <w:snapToGrid w:val="0"/>
              <w:spacing w:before="0" w:after="0" w:line="360" w:lineRule="auto"/>
              <w:rPr>
                <w:rStyle w:val="749"/>
                <w:rFonts w:asciiTheme="minorEastAsia" w:hAnsiTheme="minorEastAsia" w:eastAsiaTheme="minorEastAsia"/>
                <w:color w:val="auto"/>
                <w:sz w:val="21"/>
                <w:szCs w:val="21"/>
                <w:highlight w:val="none"/>
              </w:rPr>
            </w:pPr>
          </w:p>
        </w:tc>
      </w:tr>
      <w:tr w14:paraId="4D0A9E9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841" w:hRule="atLeast"/>
        </w:trPr>
        <w:tc>
          <w:tcPr>
            <w:tcW w:w="1578" w:type="dxa"/>
            <w:tcBorders>
              <w:top w:val="single" w:color="000000" w:sz="4" w:space="0"/>
              <w:left w:val="single" w:color="000000" w:sz="4" w:space="0"/>
              <w:bottom w:val="single" w:color="000000" w:sz="4" w:space="0"/>
              <w:right w:val="single" w:color="000000" w:sz="4" w:space="0"/>
            </w:tcBorders>
            <w:vAlign w:val="center"/>
          </w:tcPr>
          <w:p w14:paraId="01690377">
            <w:pPr>
              <w:pStyle w:val="753"/>
              <w:snapToGrid w:val="0"/>
              <w:spacing w:before="0" w:after="0" w:line="360" w:lineRule="auto"/>
              <w:rPr>
                <w:rStyle w:val="749"/>
                <w:rFonts w:asciiTheme="minorEastAsia" w:hAnsiTheme="minorEastAsia" w:eastAsiaTheme="minorEastAsia"/>
                <w:color w:val="auto"/>
                <w:sz w:val="21"/>
                <w:szCs w:val="21"/>
                <w:highlight w:val="none"/>
              </w:rPr>
            </w:pPr>
          </w:p>
        </w:tc>
        <w:tc>
          <w:tcPr>
            <w:tcW w:w="2675" w:type="dxa"/>
            <w:tcBorders>
              <w:top w:val="single" w:color="000000" w:sz="4" w:space="0"/>
              <w:left w:val="single" w:color="000000" w:sz="4" w:space="0"/>
              <w:bottom w:val="single" w:color="000000" w:sz="4" w:space="0"/>
              <w:right w:val="single" w:color="000000" w:sz="4" w:space="0"/>
            </w:tcBorders>
            <w:vAlign w:val="center"/>
          </w:tcPr>
          <w:p w14:paraId="613E0C61">
            <w:pPr>
              <w:pStyle w:val="753"/>
              <w:snapToGrid w:val="0"/>
              <w:spacing w:before="0" w:after="0" w:line="360" w:lineRule="auto"/>
              <w:rPr>
                <w:rStyle w:val="749"/>
                <w:rFonts w:asciiTheme="minorEastAsia" w:hAnsiTheme="minorEastAsia" w:eastAsiaTheme="minorEastAsia"/>
                <w:color w:val="auto"/>
                <w:sz w:val="21"/>
                <w:szCs w:val="21"/>
                <w:highlight w:val="none"/>
              </w:rPr>
            </w:pPr>
          </w:p>
        </w:tc>
        <w:tc>
          <w:tcPr>
            <w:tcW w:w="1386" w:type="dxa"/>
            <w:tcBorders>
              <w:top w:val="single" w:color="000000" w:sz="4" w:space="0"/>
              <w:left w:val="single" w:color="000000" w:sz="4" w:space="0"/>
              <w:bottom w:val="single" w:color="000000" w:sz="4" w:space="0"/>
              <w:right w:val="single" w:color="000000" w:sz="4" w:space="0"/>
            </w:tcBorders>
          </w:tcPr>
          <w:p w14:paraId="7973FFEE">
            <w:pPr>
              <w:pStyle w:val="753"/>
              <w:snapToGrid w:val="0"/>
              <w:spacing w:before="0" w:after="0" w:line="360" w:lineRule="auto"/>
              <w:rPr>
                <w:rStyle w:val="749"/>
                <w:rFonts w:asciiTheme="minorEastAsia" w:hAnsiTheme="minorEastAsia" w:eastAsiaTheme="minorEastAsia"/>
                <w:color w:val="auto"/>
                <w:sz w:val="21"/>
                <w:szCs w:val="21"/>
                <w:highlight w:val="none"/>
              </w:rPr>
            </w:pPr>
          </w:p>
        </w:tc>
        <w:tc>
          <w:tcPr>
            <w:tcW w:w="1089" w:type="dxa"/>
            <w:tcBorders>
              <w:top w:val="single" w:color="000000" w:sz="4" w:space="0"/>
              <w:left w:val="single" w:color="000000" w:sz="4" w:space="0"/>
              <w:bottom w:val="single" w:color="000000" w:sz="4" w:space="0"/>
              <w:right w:val="single" w:color="auto" w:sz="4" w:space="0"/>
            </w:tcBorders>
          </w:tcPr>
          <w:p w14:paraId="483D11A8">
            <w:pPr>
              <w:pStyle w:val="753"/>
              <w:snapToGrid w:val="0"/>
              <w:spacing w:before="0" w:after="0" w:line="360" w:lineRule="auto"/>
              <w:rPr>
                <w:rStyle w:val="749"/>
                <w:rFonts w:asciiTheme="minorEastAsia" w:hAnsiTheme="minorEastAsia" w:eastAsiaTheme="minorEastAsia"/>
                <w:color w:val="auto"/>
                <w:sz w:val="21"/>
                <w:szCs w:val="21"/>
                <w:highlight w:val="none"/>
              </w:rPr>
            </w:pPr>
          </w:p>
        </w:tc>
        <w:tc>
          <w:tcPr>
            <w:tcW w:w="762" w:type="dxa"/>
            <w:tcBorders>
              <w:top w:val="single" w:color="000000" w:sz="4" w:space="0"/>
              <w:left w:val="single" w:color="auto" w:sz="4" w:space="0"/>
              <w:bottom w:val="single" w:color="000000" w:sz="4" w:space="0"/>
              <w:right w:val="single" w:color="000000" w:sz="4" w:space="0"/>
            </w:tcBorders>
          </w:tcPr>
          <w:p w14:paraId="59F846F1">
            <w:pPr>
              <w:pStyle w:val="753"/>
              <w:snapToGrid w:val="0"/>
              <w:spacing w:before="0" w:after="0" w:line="360" w:lineRule="auto"/>
              <w:rPr>
                <w:rStyle w:val="749"/>
                <w:rFonts w:asciiTheme="minorEastAsia" w:hAnsiTheme="minorEastAsia" w:eastAsiaTheme="minorEastAsia"/>
                <w:color w:val="auto"/>
                <w:sz w:val="21"/>
                <w:szCs w:val="21"/>
                <w:highlight w:val="none"/>
              </w:rPr>
            </w:pPr>
          </w:p>
        </w:tc>
        <w:tc>
          <w:tcPr>
            <w:tcW w:w="1299" w:type="dxa"/>
            <w:tcBorders>
              <w:top w:val="single" w:color="000000" w:sz="4" w:space="0"/>
              <w:left w:val="single" w:color="000000" w:sz="4" w:space="0"/>
              <w:bottom w:val="single" w:color="000000" w:sz="4" w:space="0"/>
              <w:right w:val="single" w:color="000000" w:sz="4" w:space="0"/>
            </w:tcBorders>
          </w:tcPr>
          <w:p w14:paraId="3F3B3970">
            <w:pPr>
              <w:pStyle w:val="753"/>
              <w:snapToGrid w:val="0"/>
              <w:spacing w:before="0" w:after="0" w:line="360" w:lineRule="auto"/>
              <w:rPr>
                <w:rStyle w:val="749"/>
                <w:rFonts w:asciiTheme="minorEastAsia" w:hAnsiTheme="minorEastAsia" w:eastAsiaTheme="minorEastAsia"/>
                <w:color w:val="auto"/>
                <w:sz w:val="21"/>
                <w:szCs w:val="21"/>
                <w:highlight w:val="none"/>
              </w:rPr>
            </w:pPr>
          </w:p>
        </w:tc>
      </w:tr>
    </w:tbl>
    <w:p w14:paraId="76D3909E">
      <w:pPr>
        <w:pStyle w:val="755"/>
        <w:spacing w:before="0" w:after="0" w:line="360" w:lineRule="auto"/>
        <w:ind w:left="63" w:right="63"/>
        <w:rPr>
          <w:rStyle w:val="749"/>
          <w:rFonts w:asciiTheme="minorEastAsia" w:hAnsiTheme="minorEastAsia" w:eastAsiaTheme="minorEastAsia"/>
          <w:color w:val="auto"/>
          <w:sz w:val="21"/>
          <w:szCs w:val="21"/>
          <w:highlight w:val="none"/>
        </w:rPr>
      </w:pPr>
      <w:r>
        <w:rPr>
          <w:rStyle w:val="749"/>
          <w:rFonts w:hint="eastAsia" w:asciiTheme="minorEastAsia" w:hAnsiTheme="minorEastAsia" w:eastAsiaTheme="minorEastAsia"/>
          <w:color w:val="auto"/>
          <w:sz w:val="21"/>
          <w:szCs w:val="21"/>
          <w:highlight w:val="none"/>
        </w:rPr>
        <w:t>注：供应商应根据投标设备的性能指标、对照招标文件要求在“偏离情况”栏注明“正偏离”、“负偏离”或“无偏离”。货物无品牌可打/。</w:t>
      </w:r>
    </w:p>
    <w:p w14:paraId="1929261B">
      <w:pPr>
        <w:pStyle w:val="755"/>
        <w:spacing w:before="0" w:after="0" w:line="360" w:lineRule="auto"/>
        <w:ind w:left="63" w:right="63"/>
        <w:rPr>
          <w:rStyle w:val="749"/>
          <w:rFonts w:asciiTheme="minorEastAsia" w:hAnsiTheme="minorEastAsia" w:eastAsiaTheme="minorEastAsia"/>
          <w:color w:val="auto"/>
          <w:sz w:val="21"/>
          <w:szCs w:val="21"/>
          <w:highlight w:val="none"/>
        </w:rPr>
      </w:pPr>
    </w:p>
    <w:p w14:paraId="549D62A0">
      <w:pPr>
        <w:pStyle w:val="755"/>
        <w:spacing w:before="0" w:after="0" w:line="360" w:lineRule="auto"/>
        <w:ind w:left="63" w:right="63"/>
        <w:rPr>
          <w:rStyle w:val="749"/>
          <w:rFonts w:asciiTheme="minorEastAsia" w:hAnsiTheme="minorEastAsia" w:eastAsiaTheme="minorEastAsia"/>
          <w:b w:val="0"/>
          <w:bCs w:val="0"/>
          <w:color w:val="auto"/>
          <w:sz w:val="21"/>
          <w:szCs w:val="21"/>
          <w:highlight w:val="none"/>
        </w:rPr>
      </w:pPr>
    </w:p>
    <w:p w14:paraId="53F34CEF">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436F286F">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asciiTheme="minorEastAsia" w:hAnsiTheme="minorEastAsia" w:eastAsiaTheme="minorEastAsia"/>
          <w:b/>
          <w:color w:val="auto"/>
          <w:szCs w:val="21"/>
          <w:highlight w:val="none"/>
        </w:rPr>
        <w:t>4</w:t>
      </w:r>
      <w:r>
        <w:rPr>
          <w:rFonts w:hint="eastAsia" w:asciiTheme="minorEastAsia" w:hAnsiTheme="minorEastAsia" w:eastAsiaTheme="minorEastAsia"/>
          <w:b/>
          <w:color w:val="auto"/>
          <w:szCs w:val="21"/>
          <w:highlight w:val="none"/>
        </w:rPr>
        <w:t>、</w:t>
      </w:r>
    </w:p>
    <w:p w14:paraId="3915AF47">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投标函</w:t>
      </w:r>
      <w:r>
        <w:rPr>
          <w:rFonts w:hint="eastAsia" w:asciiTheme="minorEastAsia" w:hAnsiTheme="minorEastAsia" w:eastAsiaTheme="minorEastAsia"/>
          <w:b/>
          <w:bCs/>
          <w:color w:val="auto"/>
          <w:szCs w:val="21"/>
          <w:highlight w:val="none"/>
        </w:rPr>
        <w:t>（附件12）</w:t>
      </w:r>
    </w:p>
    <w:p w14:paraId="70313DF2">
      <w:pPr>
        <w:adjustRightInd w:val="0"/>
        <w:snapToGrid w:val="0"/>
        <w:spacing w:line="360" w:lineRule="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color w:val="auto"/>
          <w:szCs w:val="21"/>
          <w:highlight w:val="none"/>
          <w:lang w:eastAsia="zh-CN"/>
        </w:rPr>
        <w:t>嘉兴市交通运输行政执法队</w:t>
      </w:r>
    </w:p>
    <w:p w14:paraId="5331BC89">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根据贵方</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w:t>
      </w:r>
      <w:r>
        <w:rPr>
          <w:rFonts w:asciiTheme="minorEastAsia" w:hAnsiTheme="minorEastAsia" w:eastAsiaTheme="minorEastAsia"/>
          <w:color w:val="auto"/>
          <w:szCs w:val="21"/>
          <w:highlight w:val="none"/>
        </w:rPr>
        <w:t>标</w:t>
      </w:r>
      <w:r>
        <w:rPr>
          <w:rFonts w:hint="eastAsia" w:asciiTheme="minorEastAsia" w:hAnsiTheme="minorEastAsia" w:eastAsiaTheme="minorEastAsia"/>
          <w:color w:val="auto"/>
          <w:szCs w:val="21"/>
          <w:highlight w:val="none"/>
        </w:rPr>
        <w:t>项目</w:t>
      </w:r>
      <w:r>
        <w:rPr>
          <w:rFonts w:asciiTheme="minorEastAsia" w:hAnsiTheme="minorEastAsia" w:eastAsiaTheme="minorEastAsia"/>
          <w:color w:val="auto"/>
          <w:szCs w:val="21"/>
          <w:highlight w:val="none"/>
        </w:rPr>
        <w:t>，签字代表________（</w:t>
      </w:r>
      <w:r>
        <w:rPr>
          <w:rFonts w:hint="eastAsia" w:asciiTheme="minorEastAsia" w:hAnsiTheme="minorEastAsia" w:eastAsiaTheme="minorEastAsia"/>
          <w:color w:val="auto"/>
          <w:szCs w:val="21"/>
          <w:highlight w:val="none"/>
        </w:rPr>
        <w:t>法人</w:t>
      </w:r>
      <w:r>
        <w:rPr>
          <w:rFonts w:asciiTheme="minorEastAsia" w:hAnsiTheme="minorEastAsia" w:eastAsiaTheme="minorEastAsia"/>
          <w:color w:val="auto"/>
          <w:szCs w:val="21"/>
          <w:highlight w:val="none"/>
        </w:rPr>
        <w:t>全名）经正式授权</w:t>
      </w:r>
      <w:r>
        <w:rPr>
          <w:rFonts w:hint="eastAsia" w:asciiTheme="minorEastAsia" w:hAnsiTheme="minorEastAsia" w:eastAsiaTheme="minorEastAsia"/>
          <w:color w:val="auto"/>
          <w:szCs w:val="21"/>
          <w:highlight w:val="none"/>
        </w:rPr>
        <w:t>（被授权人）</w:t>
      </w:r>
      <w:r>
        <w:rPr>
          <w:rFonts w:asciiTheme="minorEastAsia" w:hAnsiTheme="minorEastAsia" w:eastAsiaTheme="minorEastAsia"/>
          <w:color w:val="auto"/>
          <w:szCs w:val="21"/>
          <w:highlight w:val="none"/>
        </w:rPr>
        <w:t>并代表投标</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rPr>
        <w:t>________________________________________（投标</w:t>
      </w:r>
      <w:r>
        <w:rPr>
          <w:rFonts w:hint="eastAsia" w:asciiTheme="minorEastAsia" w:hAnsiTheme="minorEastAsia" w:eastAsiaTheme="minorEastAsia"/>
          <w:color w:val="auto"/>
          <w:szCs w:val="21"/>
          <w:highlight w:val="none"/>
        </w:rPr>
        <w:t>人</w:t>
      </w:r>
      <w:r>
        <w:rPr>
          <w:rFonts w:asciiTheme="minorEastAsia" w:hAnsiTheme="minorEastAsia" w:eastAsiaTheme="minorEastAsia"/>
          <w:color w:val="auto"/>
          <w:szCs w:val="21"/>
          <w:highlight w:val="none"/>
        </w:rPr>
        <w:t>名称）提交</w:t>
      </w:r>
      <w:r>
        <w:rPr>
          <w:rFonts w:hint="eastAsia" w:asciiTheme="minorEastAsia" w:hAnsiTheme="minorEastAsia" w:eastAsiaTheme="minorEastAsia"/>
          <w:color w:val="auto"/>
          <w:szCs w:val="21"/>
          <w:highlight w:val="none"/>
        </w:rPr>
        <w:t>投标文件、开标过程中的工作</w:t>
      </w:r>
      <w:r>
        <w:rPr>
          <w:rFonts w:asciiTheme="minorEastAsia" w:hAnsiTheme="minorEastAsia" w:eastAsiaTheme="minorEastAsia"/>
          <w:color w:val="auto"/>
          <w:szCs w:val="21"/>
          <w:highlight w:val="none"/>
        </w:rPr>
        <w:t>。</w:t>
      </w:r>
    </w:p>
    <w:p w14:paraId="60A09E5E">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据此函，</w:t>
      </w:r>
      <w:r>
        <w:rPr>
          <w:rFonts w:hint="eastAsia" w:asciiTheme="minorEastAsia" w:hAnsiTheme="minorEastAsia" w:eastAsiaTheme="minorEastAsia"/>
          <w:color w:val="auto"/>
          <w:szCs w:val="21"/>
          <w:highlight w:val="none"/>
        </w:rPr>
        <w:t>签字代表宣布同意如下：</w:t>
      </w:r>
    </w:p>
    <w:p w14:paraId="3EABED4A">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0476DB7A">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2、投标人在投标之前已经与贵方进行了充分的沟通，完全理解并接受招标文件的各项规定和要求，对招标文件的合理性、合法性不再有异议。</w:t>
      </w:r>
    </w:p>
    <w:p w14:paraId="54A7200F">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3、本投标有效期自开标日起 90个日历天</w:t>
      </w:r>
      <w:r>
        <w:rPr>
          <w:rFonts w:asciiTheme="minorEastAsia" w:hAnsiTheme="minorEastAsia" w:eastAsiaTheme="minorEastAsia"/>
          <w:color w:val="auto"/>
          <w:szCs w:val="21"/>
          <w:highlight w:val="none"/>
        </w:rPr>
        <w:t>。</w:t>
      </w:r>
    </w:p>
    <w:p w14:paraId="1D84C89D">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4、如中标，本投标文件至本项目合同履行完毕止均保持有效，本投标人将按“招标文件”及政府采购法律、法规的规定履行合同责任和义务。</w:t>
      </w:r>
    </w:p>
    <w:p w14:paraId="5C7B1B43">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5、投标人同意按照贵方要求提供与投标有关的一切数据或资料，并保证其真实性、合法性。</w:t>
      </w:r>
    </w:p>
    <w:p w14:paraId="115E4989">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6、与本投标有关的一切正式往来信函请寄：</w:t>
      </w:r>
    </w:p>
    <w:p w14:paraId="5D56FFE3">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w:t>
      </w:r>
      <w:r>
        <w:rPr>
          <w:rFonts w:asciiTheme="minorEastAsia" w:hAnsiTheme="minorEastAsia" w:eastAsiaTheme="minorEastAsia"/>
          <w:color w:val="auto"/>
          <w:szCs w:val="21"/>
          <w:highlight w:val="none"/>
        </w:rPr>
        <w:t>____________________邮编：__________</w:t>
      </w:r>
      <w:r>
        <w:rPr>
          <w:rFonts w:hint="eastAsia" w:asciiTheme="minorEastAsia" w:hAnsiTheme="minorEastAsia" w:eastAsiaTheme="minorEastAsia"/>
          <w:color w:val="auto"/>
          <w:szCs w:val="21"/>
          <w:highlight w:val="none"/>
        </w:rPr>
        <w:t xml:space="preserve">   电话：</w:t>
      </w:r>
      <w:r>
        <w:rPr>
          <w:rFonts w:asciiTheme="minorEastAsia" w:hAnsiTheme="minorEastAsia" w:eastAsiaTheme="minorEastAsia"/>
          <w:color w:val="auto"/>
          <w:szCs w:val="21"/>
          <w:highlight w:val="none"/>
        </w:rPr>
        <w:t>______________</w:t>
      </w:r>
    </w:p>
    <w:p w14:paraId="098436C5">
      <w:pPr>
        <w:adjustRightInd w:val="0"/>
        <w:snapToGrid w:val="0"/>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传真：______________</w:t>
      </w:r>
      <w:r>
        <w:rPr>
          <w:rFonts w:hint="eastAsia" w:asciiTheme="minorEastAsia" w:hAnsiTheme="minorEastAsia" w:eastAsiaTheme="minorEastAsia"/>
          <w:color w:val="auto"/>
          <w:szCs w:val="21"/>
          <w:highlight w:val="none"/>
        </w:rPr>
        <w:t>投标人代表姓名</w:t>
      </w:r>
      <w:r>
        <w:rPr>
          <w:rFonts w:asciiTheme="minorEastAsia" w:hAnsiTheme="minorEastAsia" w:eastAsiaTheme="minorEastAsia"/>
          <w:color w:val="auto"/>
          <w:szCs w:val="21"/>
          <w:highlight w:val="none"/>
        </w:rPr>
        <w:t xml:space="preserve"> ___________ 职务：______________</w:t>
      </w:r>
    </w:p>
    <w:p w14:paraId="6C990DB3">
      <w:pPr>
        <w:adjustRightInd w:val="0"/>
        <w:snapToGrid w:val="0"/>
        <w:spacing w:line="360" w:lineRule="auto"/>
        <w:rPr>
          <w:rFonts w:asciiTheme="minorEastAsia" w:hAnsiTheme="minorEastAsia" w:eastAsiaTheme="minorEastAsia"/>
          <w:color w:val="auto"/>
          <w:szCs w:val="21"/>
          <w:highlight w:val="none"/>
        </w:rPr>
      </w:pPr>
    </w:p>
    <w:p w14:paraId="678C15A0">
      <w:pPr>
        <w:adjustRightInd w:val="0"/>
        <w:snapToGrid w:val="0"/>
        <w:spacing w:line="360" w:lineRule="auto"/>
        <w:rPr>
          <w:rFonts w:asciiTheme="minorEastAsia" w:hAnsiTheme="minorEastAsia" w:eastAsiaTheme="minorEastAsia"/>
          <w:color w:val="auto"/>
          <w:szCs w:val="21"/>
          <w:highlight w:val="none"/>
        </w:rPr>
      </w:pPr>
    </w:p>
    <w:p w14:paraId="61CC3F47">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投标人名称</w:t>
      </w:r>
      <w:r>
        <w:rPr>
          <w:rFonts w:asciiTheme="minorEastAsia" w:hAnsiTheme="minorEastAsia" w:eastAsiaTheme="minorEastAsia"/>
          <w:color w:val="auto"/>
          <w:szCs w:val="21"/>
          <w:highlight w:val="none"/>
        </w:rPr>
        <w:t>(盖章):___________________</w:t>
      </w:r>
    </w:p>
    <w:p w14:paraId="0A696D6D">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开户银行：   </w:t>
      </w:r>
    </w:p>
    <w:p w14:paraId="7EF0A6B0">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银行帐号：</w:t>
      </w:r>
    </w:p>
    <w:p w14:paraId="6FB9FB3C">
      <w:pPr>
        <w:spacing w:before="120" w:beforeLines="50" w:line="360" w:lineRule="auto"/>
        <w:ind w:firstLine="1375" w:firstLineChars="550"/>
        <w:jc w:val="right"/>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签名（或盖章）：</w:t>
      </w:r>
    </w:p>
    <w:p w14:paraId="57CCED76">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14:paraId="7A91D9E1">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日     期：</w:t>
      </w:r>
    </w:p>
    <w:p w14:paraId="7F185CEC">
      <w:pPr>
        <w:snapToGrid w:val="0"/>
        <w:spacing w:line="360" w:lineRule="auto"/>
        <w:rPr>
          <w:rFonts w:asciiTheme="minorEastAsia" w:hAnsiTheme="minorEastAsia" w:eastAsiaTheme="minorEastAsia"/>
          <w:b/>
          <w:color w:val="auto"/>
          <w:szCs w:val="21"/>
          <w:highlight w:val="none"/>
        </w:rPr>
      </w:pPr>
    </w:p>
    <w:p w14:paraId="3FBC4D4B">
      <w:pPr>
        <w:snapToGrid w:val="0"/>
        <w:spacing w:line="360" w:lineRule="auto"/>
        <w:rPr>
          <w:rFonts w:asciiTheme="minorEastAsia" w:hAnsiTheme="minorEastAsia" w:eastAsiaTheme="minorEastAsia"/>
          <w:b/>
          <w:color w:val="auto"/>
          <w:szCs w:val="21"/>
          <w:highlight w:val="none"/>
        </w:rPr>
      </w:pPr>
    </w:p>
    <w:p w14:paraId="4B32B8AD">
      <w:pPr>
        <w:snapToGrid w:val="0"/>
        <w:spacing w:line="360" w:lineRule="auto"/>
        <w:rPr>
          <w:rFonts w:asciiTheme="minorEastAsia" w:hAnsiTheme="minorEastAsia" w:eastAsiaTheme="minorEastAsia"/>
          <w:b/>
          <w:color w:val="auto"/>
          <w:szCs w:val="21"/>
          <w:highlight w:val="none"/>
        </w:rPr>
      </w:pPr>
    </w:p>
    <w:p w14:paraId="4A3F4ED9">
      <w:pPr>
        <w:snapToGrid w:val="0"/>
        <w:spacing w:line="360" w:lineRule="auto"/>
        <w:rPr>
          <w:rFonts w:asciiTheme="minorEastAsia" w:hAnsiTheme="minorEastAsia" w:eastAsiaTheme="minorEastAsia"/>
          <w:b/>
          <w:color w:val="auto"/>
          <w:szCs w:val="21"/>
          <w:highlight w:val="none"/>
        </w:rPr>
      </w:pPr>
    </w:p>
    <w:p w14:paraId="0F1F2189">
      <w:pPr>
        <w:rPr>
          <w:rFonts w:asciiTheme="minorEastAsia" w:hAnsiTheme="minorEastAsia" w:eastAsiaTheme="minorEastAsia"/>
          <w:b/>
          <w:color w:val="auto"/>
          <w:szCs w:val="21"/>
          <w:highlight w:val="none"/>
        </w:rPr>
      </w:pPr>
    </w:p>
    <w:p w14:paraId="3F4E4434">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184EE664">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asciiTheme="minorEastAsia" w:hAnsiTheme="minorEastAsia" w:eastAsiaTheme="minorEastAsia"/>
          <w:b/>
          <w:color w:val="auto"/>
          <w:szCs w:val="21"/>
          <w:highlight w:val="none"/>
        </w:rPr>
        <w:t>5</w:t>
      </w:r>
      <w:r>
        <w:rPr>
          <w:rFonts w:hint="eastAsia" w:asciiTheme="minorEastAsia" w:hAnsiTheme="minorEastAsia" w:eastAsiaTheme="minorEastAsia"/>
          <w:b/>
          <w:color w:val="auto"/>
          <w:szCs w:val="21"/>
          <w:highlight w:val="none"/>
        </w:rPr>
        <w:t>、</w:t>
      </w:r>
    </w:p>
    <w:p w14:paraId="108D4905">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开标一览表（附件13）</w:t>
      </w:r>
    </w:p>
    <w:p w14:paraId="3C3D16D5">
      <w:pPr>
        <w:spacing w:line="360" w:lineRule="auto"/>
        <w:rPr>
          <w:rFonts w:hint="eastAsia" w:asciiTheme="minorEastAsia" w:hAnsiTheme="minorEastAsia" w:eastAsiaTheme="minorEastAsia"/>
          <w:b/>
          <w:color w:val="auto"/>
          <w:szCs w:val="21"/>
          <w:highlight w:val="none"/>
          <w:lang w:eastAsia="zh-CN"/>
        </w:rPr>
      </w:pP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color w:val="auto"/>
          <w:szCs w:val="21"/>
          <w:highlight w:val="none"/>
          <w:lang w:eastAsia="zh-CN"/>
        </w:rPr>
        <w:t>交通执法基层站所修缮维护项目</w:t>
      </w:r>
    </w:p>
    <w:tbl>
      <w:tblPr>
        <w:tblStyle w:val="55"/>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41"/>
        <w:gridCol w:w="1483"/>
        <w:gridCol w:w="1217"/>
        <w:gridCol w:w="1003"/>
        <w:gridCol w:w="895"/>
        <w:gridCol w:w="895"/>
        <w:gridCol w:w="896"/>
      </w:tblGrid>
      <w:tr w14:paraId="35C7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10" w:type="dxa"/>
            <w:vAlign w:val="center"/>
          </w:tcPr>
          <w:p w14:paraId="44A2785A">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序号</w:t>
            </w:r>
          </w:p>
        </w:tc>
        <w:tc>
          <w:tcPr>
            <w:tcW w:w="2541" w:type="dxa"/>
            <w:vAlign w:val="center"/>
          </w:tcPr>
          <w:p w14:paraId="32FF2069">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项目名称</w:t>
            </w:r>
          </w:p>
        </w:tc>
        <w:tc>
          <w:tcPr>
            <w:tcW w:w="1483" w:type="dxa"/>
            <w:vAlign w:val="center"/>
          </w:tcPr>
          <w:p w14:paraId="068C352E">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上限价</w:t>
            </w:r>
          </w:p>
          <w:p w14:paraId="11FB27C6">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（万元）</w:t>
            </w:r>
          </w:p>
        </w:tc>
        <w:tc>
          <w:tcPr>
            <w:tcW w:w="1217" w:type="dxa"/>
            <w:vAlign w:val="center"/>
          </w:tcPr>
          <w:p w14:paraId="1FB13814">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投标报价</w:t>
            </w:r>
          </w:p>
          <w:p w14:paraId="306B62EA">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（万元）</w:t>
            </w:r>
          </w:p>
        </w:tc>
        <w:tc>
          <w:tcPr>
            <w:tcW w:w="1003" w:type="dxa"/>
            <w:vAlign w:val="center"/>
          </w:tcPr>
          <w:p w14:paraId="0DE73B0F">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项目负责人</w:t>
            </w:r>
          </w:p>
        </w:tc>
        <w:tc>
          <w:tcPr>
            <w:tcW w:w="895" w:type="dxa"/>
            <w:vAlign w:val="center"/>
          </w:tcPr>
          <w:p w14:paraId="0FDD0895">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工期</w:t>
            </w:r>
          </w:p>
        </w:tc>
        <w:tc>
          <w:tcPr>
            <w:tcW w:w="895" w:type="dxa"/>
            <w:vAlign w:val="center"/>
          </w:tcPr>
          <w:p w14:paraId="296932C1">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质保期</w:t>
            </w:r>
          </w:p>
        </w:tc>
        <w:tc>
          <w:tcPr>
            <w:tcW w:w="896" w:type="dxa"/>
            <w:vAlign w:val="center"/>
          </w:tcPr>
          <w:p w14:paraId="03E6A56F">
            <w:pPr>
              <w:adjustRightInd w:val="0"/>
              <w:spacing w:line="360" w:lineRule="auto"/>
              <w:jc w:val="center"/>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备注</w:t>
            </w:r>
          </w:p>
        </w:tc>
      </w:tr>
      <w:tr w14:paraId="2F73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10" w:type="dxa"/>
            <w:vAlign w:val="center"/>
          </w:tcPr>
          <w:p w14:paraId="5E27722A">
            <w:pPr>
              <w:adjustRightInd w:val="0"/>
              <w:snapToGrid w:val="0"/>
              <w:spacing w:line="360" w:lineRule="auto"/>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w:t>
            </w:r>
          </w:p>
        </w:tc>
        <w:tc>
          <w:tcPr>
            <w:tcW w:w="2541" w:type="dxa"/>
            <w:vAlign w:val="center"/>
          </w:tcPr>
          <w:p w14:paraId="70AB836A">
            <w:pPr>
              <w:snapToGrid w:val="0"/>
              <w:spacing w:line="360" w:lineRule="auto"/>
              <w:jc w:val="center"/>
              <w:rPr>
                <w:rFonts w:hint="eastAsia" w:cs="Arial"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highlight w:val="none"/>
                <w:lang w:eastAsia="zh-CN"/>
              </w:rPr>
              <w:t>交通执法基层站所修缮维护项目</w:t>
            </w:r>
          </w:p>
        </w:tc>
        <w:tc>
          <w:tcPr>
            <w:tcW w:w="1483" w:type="dxa"/>
            <w:vAlign w:val="center"/>
          </w:tcPr>
          <w:p w14:paraId="74FD0D80">
            <w:pPr>
              <w:adjustRightInd w:val="0"/>
              <w:snapToGrid w:val="0"/>
              <w:spacing w:line="360" w:lineRule="auto"/>
              <w:jc w:val="center"/>
              <w:rPr>
                <w:rFonts w:cs="宋体"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CN"/>
              </w:rPr>
              <w:t>367.3484</w:t>
            </w:r>
            <w:r>
              <w:rPr>
                <w:rFonts w:hint="eastAsia" w:asciiTheme="minorEastAsia" w:hAnsiTheme="minorEastAsia" w:eastAsiaTheme="minorEastAsia"/>
                <w:color w:val="auto"/>
                <w:highlight w:val="none"/>
              </w:rPr>
              <w:t>万元</w:t>
            </w:r>
          </w:p>
        </w:tc>
        <w:tc>
          <w:tcPr>
            <w:tcW w:w="1217" w:type="dxa"/>
            <w:vAlign w:val="center"/>
          </w:tcPr>
          <w:p w14:paraId="5BA1FE7D">
            <w:pPr>
              <w:adjustRightInd w:val="0"/>
              <w:snapToGrid w:val="0"/>
              <w:spacing w:line="360" w:lineRule="auto"/>
              <w:jc w:val="center"/>
              <w:rPr>
                <w:rFonts w:cs="宋体" w:asciiTheme="minorEastAsia" w:hAnsiTheme="minorEastAsia" w:eastAsiaTheme="minorEastAsia"/>
                <w:color w:val="auto"/>
                <w:highlight w:val="none"/>
              </w:rPr>
            </w:pPr>
          </w:p>
        </w:tc>
        <w:tc>
          <w:tcPr>
            <w:tcW w:w="1003" w:type="dxa"/>
            <w:vAlign w:val="center"/>
          </w:tcPr>
          <w:p w14:paraId="201C31CD">
            <w:pPr>
              <w:adjustRightInd w:val="0"/>
              <w:spacing w:line="360" w:lineRule="auto"/>
              <w:jc w:val="center"/>
              <w:rPr>
                <w:rFonts w:cs="Arial" w:asciiTheme="minorEastAsia" w:hAnsiTheme="minorEastAsia" w:eastAsiaTheme="minorEastAsia"/>
                <w:color w:val="auto"/>
                <w:szCs w:val="21"/>
                <w:highlight w:val="none"/>
              </w:rPr>
            </w:pPr>
          </w:p>
        </w:tc>
        <w:tc>
          <w:tcPr>
            <w:tcW w:w="895" w:type="dxa"/>
            <w:vAlign w:val="center"/>
          </w:tcPr>
          <w:p w14:paraId="353F42BC">
            <w:pPr>
              <w:adjustRightInd w:val="0"/>
              <w:spacing w:line="360" w:lineRule="auto"/>
              <w:jc w:val="center"/>
              <w:rPr>
                <w:rFonts w:cs="Arial" w:asciiTheme="minorEastAsia" w:hAnsiTheme="minorEastAsia" w:eastAsiaTheme="minorEastAsia"/>
                <w:color w:val="auto"/>
                <w:szCs w:val="21"/>
                <w:highlight w:val="none"/>
              </w:rPr>
            </w:pPr>
          </w:p>
        </w:tc>
        <w:tc>
          <w:tcPr>
            <w:tcW w:w="895" w:type="dxa"/>
            <w:vAlign w:val="center"/>
          </w:tcPr>
          <w:p w14:paraId="253391A6">
            <w:pPr>
              <w:adjustRightInd w:val="0"/>
              <w:spacing w:line="360" w:lineRule="auto"/>
              <w:jc w:val="center"/>
              <w:rPr>
                <w:rFonts w:cs="Arial" w:asciiTheme="minorEastAsia" w:hAnsiTheme="minorEastAsia" w:eastAsiaTheme="minorEastAsia"/>
                <w:color w:val="auto"/>
                <w:szCs w:val="21"/>
                <w:highlight w:val="none"/>
              </w:rPr>
            </w:pPr>
          </w:p>
        </w:tc>
        <w:tc>
          <w:tcPr>
            <w:tcW w:w="896" w:type="dxa"/>
            <w:vAlign w:val="center"/>
          </w:tcPr>
          <w:p w14:paraId="580819EA">
            <w:pPr>
              <w:adjustRightInd w:val="0"/>
              <w:spacing w:line="360" w:lineRule="auto"/>
              <w:jc w:val="center"/>
              <w:rPr>
                <w:rFonts w:cs="Arial" w:asciiTheme="minorEastAsia" w:hAnsiTheme="minorEastAsia" w:eastAsiaTheme="minorEastAsia"/>
                <w:color w:val="auto"/>
                <w:szCs w:val="21"/>
                <w:highlight w:val="none"/>
              </w:rPr>
            </w:pPr>
          </w:p>
        </w:tc>
      </w:tr>
      <w:tr w14:paraId="066B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9640" w:type="dxa"/>
            <w:gridSpan w:val="8"/>
            <w:vAlign w:val="center"/>
          </w:tcPr>
          <w:p w14:paraId="21F18749">
            <w:pPr>
              <w:adjustRightIn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合计大写（人民币）：                               </w:t>
            </w:r>
          </w:p>
        </w:tc>
      </w:tr>
    </w:tbl>
    <w:p w14:paraId="2BC9C66B">
      <w:pPr>
        <w:spacing w:line="360" w:lineRule="auto"/>
        <w:rPr>
          <w:rFonts w:asciiTheme="minorEastAsia" w:hAnsiTheme="minorEastAsia" w:eastAsiaTheme="minorEastAsia"/>
          <w:b/>
          <w:color w:val="auto"/>
          <w:szCs w:val="21"/>
          <w:highlight w:val="none"/>
        </w:rPr>
      </w:pPr>
    </w:p>
    <w:p w14:paraId="145C493A">
      <w:pPr>
        <w:adjustRightIn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bCs/>
          <w:color w:val="auto"/>
          <w:szCs w:val="21"/>
          <w:highlight w:val="none"/>
        </w:rPr>
        <w:t>注</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1</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填写此表时不得改变表格的形式。</w:t>
      </w:r>
    </w:p>
    <w:p w14:paraId="488269BB">
      <w:pPr>
        <w:adjustRightInd w:val="0"/>
        <w:spacing w:line="360" w:lineRule="auto"/>
        <w:ind w:firstLine="420" w:firstLineChars="20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2、投标报</w:t>
      </w:r>
      <w:r>
        <w:rPr>
          <w:rFonts w:cs="Arial" w:asciiTheme="minorEastAsia" w:hAnsiTheme="minorEastAsia" w:eastAsiaTheme="minorEastAsia"/>
          <w:color w:val="auto"/>
          <w:szCs w:val="21"/>
          <w:highlight w:val="none"/>
        </w:rPr>
        <w:t>价包括</w:t>
      </w:r>
      <w:r>
        <w:rPr>
          <w:rFonts w:hint="eastAsia" w:cs="Arial" w:asciiTheme="minorEastAsia" w:hAnsiTheme="minorEastAsia" w:eastAsiaTheme="minorEastAsia"/>
          <w:color w:val="auto"/>
          <w:szCs w:val="21"/>
          <w:highlight w:val="none"/>
        </w:rPr>
        <w:t>提供服务、人员、交通、税金等本项目所需的</w:t>
      </w:r>
      <w:r>
        <w:rPr>
          <w:rFonts w:cs="Arial" w:asciiTheme="minorEastAsia" w:hAnsiTheme="minorEastAsia" w:eastAsiaTheme="minorEastAsia"/>
          <w:color w:val="auto"/>
          <w:szCs w:val="21"/>
          <w:highlight w:val="none"/>
        </w:rPr>
        <w:t>全部费用。</w:t>
      </w:r>
    </w:p>
    <w:p w14:paraId="57F2287C">
      <w:pPr>
        <w:adjustRightInd w:val="0"/>
        <w:spacing w:line="360" w:lineRule="auto"/>
        <w:ind w:firstLine="420" w:firstLineChars="200"/>
        <w:rPr>
          <w:rFonts w:asciiTheme="minorEastAsia" w:hAnsiTheme="minorEastAsia" w:eastAsiaTheme="minorEastAsia"/>
          <w:color w:val="auto"/>
          <w:szCs w:val="21"/>
          <w:highlight w:val="none"/>
        </w:rPr>
      </w:pPr>
    </w:p>
    <w:p w14:paraId="6CE6B863">
      <w:pPr>
        <w:spacing w:before="120" w:beforeLines="50" w:line="360" w:lineRule="auto"/>
        <w:ind w:firstLine="1375" w:firstLineChars="550"/>
        <w:jc w:val="right"/>
        <w:rPr>
          <w:rFonts w:asciiTheme="minorEastAsia" w:hAnsiTheme="minorEastAsia" w:eastAsiaTheme="minorEastAsia"/>
          <w:color w:val="auto"/>
          <w:szCs w:val="21"/>
          <w:highlight w:val="none"/>
        </w:rPr>
      </w:pPr>
      <w:r>
        <w:rPr>
          <w:rFonts w:asciiTheme="minorEastAsia" w:hAnsiTheme="minorEastAsia" w:eastAsiaTheme="minorEastAsia"/>
          <w:color w:val="auto"/>
          <w:spacing w:val="20"/>
          <w:szCs w:val="21"/>
          <w:highlight w:val="none"/>
        </w:rPr>
        <w:t>法定代表人或委托代理人</w:t>
      </w:r>
      <w:r>
        <w:rPr>
          <w:rFonts w:hint="eastAsia" w:asciiTheme="minorEastAsia" w:hAnsiTheme="minorEastAsia" w:eastAsiaTheme="minorEastAsia"/>
          <w:color w:val="auto"/>
          <w:spacing w:val="20"/>
          <w:szCs w:val="21"/>
          <w:highlight w:val="none"/>
        </w:rPr>
        <w:t>签名（或盖章）：</w:t>
      </w:r>
    </w:p>
    <w:p w14:paraId="77682DD4">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投标人盖章：</w:t>
      </w:r>
    </w:p>
    <w:p w14:paraId="65D1EED5">
      <w:pPr>
        <w:spacing w:line="360" w:lineRule="auto"/>
        <w:ind w:firstLine="500" w:firstLineChars="200"/>
        <w:jc w:val="righ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 xml:space="preserve">                            日     期：</w:t>
      </w:r>
    </w:p>
    <w:p w14:paraId="34348F32">
      <w:pPr>
        <w:spacing w:line="360" w:lineRule="auto"/>
        <w:rPr>
          <w:rFonts w:asciiTheme="minorEastAsia" w:hAnsiTheme="minorEastAsia" w:eastAsiaTheme="minorEastAsia"/>
          <w:b/>
          <w:color w:val="auto"/>
          <w:szCs w:val="21"/>
          <w:highlight w:val="none"/>
        </w:rPr>
      </w:pPr>
    </w:p>
    <w:p w14:paraId="2357554B">
      <w:pPr>
        <w:spacing w:line="360" w:lineRule="auto"/>
        <w:rPr>
          <w:rFonts w:asciiTheme="minorEastAsia" w:hAnsiTheme="minorEastAsia" w:eastAsiaTheme="minorEastAsia"/>
          <w:b/>
          <w:color w:val="auto"/>
          <w:szCs w:val="21"/>
          <w:highlight w:val="none"/>
        </w:rPr>
      </w:pPr>
    </w:p>
    <w:p w14:paraId="365BA325">
      <w:pPr>
        <w:spacing w:line="360" w:lineRule="auto"/>
        <w:rPr>
          <w:rFonts w:asciiTheme="minorEastAsia" w:hAnsiTheme="minorEastAsia" w:eastAsiaTheme="minorEastAsia"/>
          <w:b/>
          <w:color w:val="auto"/>
          <w:szCs w:val="21"/>
          <w:highlight w:val="none"/>
        </w:rPr>
      </w:pPr>
    </w:p>
    <w:p w14:paraId="6DD1195D">
      <w:pPr>
        <w:spacing w:line="360" w:lineRule="auto"/>
        <w:rPr>
          <w:rFonts w:asciiTheme="minorEastAsia" w:hAnsiTheme="minorEastAsia" w:eastAsiaTheme="minorEastAsia"/>
          <w:b/>
          <w:color w:val="auto"/>
          <w:szCs w:val="21"/>
          <w:highlight w:val="none"/>
        </w:rPr>
      </w:pPr>
    </w:p>
    <w:p w14:paraId="0D4611F1">
      <w:pPr>
        <w:spacing w:line="360" w:lineRule="auto"/>
        <w:rPr>
          <w:rFonts w:asciiTheme="minorEastAsia" w:hAnsiTheme="minorEastAsia" w:eastAsiaTheme="minorEastAsia"/>
          <w:b/>
          <w:color w:val="auto"/>
          <w:szCs w:val="21"/>
          <w:highlight w:val="none"/>
        </w:rPr>
      </w:pPr>
    </w:p>
    <w:p w14:paraId="71BE8973">
      <w:pPr>
        <w:spacing w:line="360" w:lineRule="auto"/>
        <w:rPr>
          <w:rFonts w:asciiTheme="minorEastAsia" w:hAnsiTheme="minorEastAsia" w:eastAsiaTheme="minorEastAsia"/>
          <w:b/>
          <w:color w:val="auto"/>
          <w:szCs w:val="21"/>
          <w:highlight w:val="none"/>
        </w:rPr>
      </w:pPr>
    </w:p>
    <w:p w14:paraId="1B91ACF6">
      <w:pPr>
        <w:spacing w:line="360" w:lineRule="auto"/>
        <w:rPr>
          <w:rFonts w:asciiTheme="minorEastAsia" w:hAnsiTheme="minorEastAsia" w:eastAsiaTheme="minorEastAsia"/>
          <w:b/>
          <w:color w:val="auto"/>
          <w:szCs w:val="21"/>
          <w:highlight w:val="none"/>
        </w:rPr>
      </w:pPr>
    </w:p>
    <w:p w14:paraId="65C4E078">
      <w:pPr>
        <w:spacing w:line="360" w:lineRule="auto"/>
        <w:rPr>
          <w:rFonts w:asciiTheme="minorEastAsia" w:hAnsiTheme="minorEastAsia" w:eastAsiaTheme="minorEastAsia"/>
          <w:b/>
          <w:color w:val="auto"/>
          <w:szCs w:val="21"/>
          <w:highlight w:val="none"/>
        </w:rPr>
      </w:pPr>
    </w:p>
    <w:p w14:paraId="1E7AD485">
      <w:pPr>
        <w:spacing w:line="360" w:lineRule="auto"/>
        <w:rPr>
          <w:rFonts w:asciiTheme="minorEastAsia" w:hAnsiTheme="minorEastAsia" w:eastAsiaTheme="minorEastAsia"/>
          <w:b/>
          <w:color w:val="auto"/>
          <w:szCs w:val="21"/>
          <w:highlight w:val="none"/>
        </w:rPr>
      </w:pPr>
    </w:p>
    <w:p w14:paraId="0369D2D3">
      <w:pPr>
        <w:spacing w:line="360" w:lineRule="auto"/>
        <w:rPr>
          <w:rFonts w:asciiTheme="minorEastAsia" w:hAnsiTheme="minorEastAsia" w:eastAsiaTheme="minorEastAsia"/>
          <w:b/>
          <w:color w:val="auto"/>
          <w:szCs w:val="21"/>
          <w:highlight w:val="none"/>
        </w:rPr>
      </w:pPr>
    </w:p>
    <w:p w14:paraId="7A02BA3E">
      <w:pPr>
        <w:spacing w:line="360" w:lineRule="auto"/>
        <w:rPr>
          <w:rFonts w:asciiTheme="minorEastAsia" w:hAnsiTheme="minorEastAsia" w:eastAsiaTheme="minorEastAsia"/>
          <w:b/>
          <w:color w:val="auto"/>
          <w:szCs w:val="21"/>
          <w:highlight w:val="none"/>
        </w:rPr>
      </w:pPr>
    </w:p>
    <w:p w14:paraId="2A26E3A1">
      <w:pPr>
        <w:spacing w:line="360" w:lineRule="auto"/>
        <w:rPr>
          <w:rFonts w:asciiTheme="minorEastAsia" w:hAnsiTheme="minorEastAsia" w:eastAsiaTheme="minorEastAsia"/>
          <w:b/>
          <w:color w:val="auto"/>
          <w:szCs w:val="21"/>
          <w:highlight w:val="none"/>
        </w:rPr>
      </w:pPr>
    </w:p>
    <w:p w14:paraId="7C980C69">
      <w:pPr>
        <w:spacing w:line="360" w:lineRule="auto"/>
        <w:rPr>
          <w:rFonts w:asciiTheme="minorEastAsia" w:hAnsiTheme="minorEastAsia" w:eastAsiaTheme="minorEastAsia"/>
          <w:b/>
          <w:color w:val="auto"/>
          <w:szCs w:val="21"/>
          <w:highlight w:val="none"/>
        </w:rPr>
      </w:pPr>
    </w:p>
    <w:p w14:paraId="1EBD60A5">
      <w:pPr>
        <w:spacing w:line="360" w:lineRule="auto"/>
        <w:rPr>
          <w:rFonts w:asciiTheme="minorEastAsia" w:hAnsiTheme="minorEastAsia" w:eastAsiaTheme="minorEastAsia"/>
          <w:b/>
          <w:color w:val="auto"/>
          <w:szCs w:val="21"/>
          <w:highlight w:val="none"/>
        </w:rPr>
      </w:pPr>
    </w:p>
    <w:p w14:paraId="1DCA003D">
      <w:pPr>
        <w:spacing w:line="360" w:lineRule="auto"/>
        <w:rPr>
          <w:rFonts w:asciiTheme="minorEastAsia" w:hAnsiTheme="minorEastAsia" w:eastAsiaTheme="minorEastAsia"/>
          <w:b/>
          <w:color w:val="auto"/>
          <w:szCs w:val="21"/>
          <w:highlight w:val="none"/>
        </w:rPr>
      </w:pPr>
    </w:p>
    <w:p w14:paraId="7344DFBF">
      <w:pPr>
        <w:spacing w:line="360" w:lineRule="auto"/>
        <w:rPr>
          <w:rFonts w:asciiTheme="minorEastAsia" w:hAnsiTheme="minorEastAsia" w:eastAsiaTheme="minorEastAsia"/>
          <w:b/>
          <w:color w:val="auto"/>
          <w:szCs w:val="21"/>
          <w:highlight w:val="none"/>
        </w:rPr>
      </w:pPr>
    </w:p>
    <w:p w14:paraId="1912F6BF">
      <w:pPr>
        <w:spacing w:line="360" w:lineRule="auto"/>
        <w:rPr>
          <w:rFonts w:asciiTheme="minorEastAsia" w:hAnsiTheme="minorEastAsia" w:eastAsiaTheme="minorEastAsia"/>
          <w:b/>
          <w:color w:val="auto"/>
          <w:szCs w:val="21"/>
          <w:highlight w:val="none"/>
        </w:rPr>
      </w:pPr>
    </w:p>
    <w:p w14:paraId="20B4A594">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asciiTheme="minorEastAsia" w:hAnsiTheme="minorEastAsia" w:eastAsiaTheme="minorEastAsia"/>
          <w:b/>
          <w:color w:val="auto"/>
          <w:szCs w:val="21"/>
          <w:highlight w:val="none"/>
        </w:rPr>
        <w:t>6</w:t>
      </w:r>
      <w:r>
        <w:rPr>
          <w:rFonts w:hint="eastAsia" w:asciiTheme="minorEastAsia" w:hAnsiTheme="minorEastAsia" w:eastAsiaTheme="minorEastAsia"/>
          <w:b/>
          <w:color w:val="auto"/>
          <w:szCs w:val="21"/>
          <w:highlight w:val="none"/>
        </w:rPr>
        <w:t>.</w:t>
      </w:r>
      <w:r>
        <w:rPr>
          <w:rFonts w:hint="eastAsia" w:asciiTheme="minorEastAsia" w:hAnsiTheme="minorEastAsia" w:eastAsiaTheme="minorEastAsia"/>
          <w:b/>
          <w:bCs/>
          <w:color w:val="auto"/>
          <w:szCs w:val="21"/>
          <w:highlight w:val="none"/>
        </w:rPr>
        <w:t>分项报价明细表</w:t>
      </w:r>
      <w:r>
        <w:rPr>
          <w:rFonts w:hint="eastAsia" w:asciiTheme="minorEastAsia" w:hAnsiTheme="minorEastAsia" w:eastAsiaTheme="minorEastAsia"/>
          <w:b/>
          <w:color w:val="auto"/>
          <w:szCs w:val="21"/>
          <w:highlight w:val="none"/>
        </w:rPr>
        <w:t>（附件14）</w:t>
      </w:r>
    </w:p>
    <w:p w14:paraId="71A3376A">
      <w:pPr>
        <w:pStyle w:val="74"/>
        <w:jc w:val="center"/>
        <w:rPr>
          <w:color w:val="auto"/>
          <w:highlight w:val="none"/>
        </w:rPr>
      </w:pPr>
      <w:r>
        <w:rPr>
          <w:rFonts w:hint="eastAsia"/>
          <w:color w:val="auto"/>
          <w:highlight w:val="none"/>
        </w:rPr>
        <w:t>详见工程量清单表</w:t>
      </w:r>
    </w:p>
    <w:p w14:paraId="2DE7EB50">
      <w:pPr>
        <w:pStyle w:val="28"/>
        <w:snapToGrid w:val="0"/>
        <w:spacing w:line="360" w:lineRule="auto"/>
        <w:rPr>
          <w:rFonts w:asciiTheme="minorEastAsia" w:hAnsiTheme="minorEastAsia" w:eastAsiaTheme="minorEastAsia"/>
          <w:b/>
          <w:color w:val="auto"/>
          <w:szCs w:val="21"/>
          <w:highlight w:val="none"/>
        </w:rPr>
      </w:pPr>
    </w:p>
    <w:p w14:paraId="16DA64DB">
      <w:pPr>
        <w:spacing w:line="360" w:lineRule="auto"/>
        <w:rPr>
          <w:rFonts w:asciiTheme="minorEastAsia" w:hAnsiTheme="minorEastAsia" w:eastAsiaTheme="minorEastAsia"/>
          <w:color w:val="auto"/>
          <w:highlight w:val="none"/>
        </w:rPr>
      </w:pPr>
    </w:p>
    <w:p w14:paraId="606D0D4E">
      <w:pPr>
        <w:pStyle w:val="28"/>
        <w:snapToGrid w:val="0"/>
        <w:spacing w:line="360" w:lineRule="auto"/>
        <w:rPr>
          <w:rFonts w:asciiTheme="minorEastAsia" w:hAnsiTheme="minorEastAsia" w:eastAsiaTheme="minorEastAsia"/>
          <w:color w:val="auto"/>
          <w:highlight w:val="none"/>
        </w:rPr>
      </w:pPr>
    </w:p>
    <w:sectPr>
      <w:footerReference r:id="rId5" w:type="default"/>
      <w:pgSz w:w="11906" w:h="16838"/>
      <w:pgMar w:top="1021" w:right="1440" w:bottom="1021" w:left="1440" w:header="851" w:footer="992" w:gutter="0"/>
      <w:cols w:space="720" w:num="1"/>
      <w:docGrid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506020202030204"/>
    <w:charset w:val="00"/>
    <w:family w:val="swiss"/>
    <w:pitch w:val="default"/>
    <w:sig w:usb0="00000000" w:usb1="00000000" w:usb2="00000000" w:usb3="00000000" w:csb0="2000009F" w:csb1="DFD70000"/>
  </w:font>
  <w:font w:name="微软繁隶书">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微软雅黑 Light">
    <w:panose1 w:val="020B0502040204020203"/>
    <w:charset w:val="7A"/>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CS?o｡ﾀ?">
    <w:altName w:val="Yu Gothic"/>
    <w:panose1 w:val="00000000000000000000"/>
    <w:charset w:val="80"/>
    <w:family w:val="modern"/>
    <w:pitch w:val="default"/>
    <w:sig w:usb0="00000000" w:usb1="00000000" w:usb2="00000010" w:usb3="00000000" w:csb0="00020000"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
    <w:altName w:val="DejaVu Math TeX Gyre"/>
    <w:panose1 w:val="00000000000000000000"/>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_x000B__x000C_">
    <w:altName w:val="微软雅黑"/>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方正兰亭黑简体">
    <w:altName w:val="黑体"/>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3046095"/>
    </w:sdtPr>
    <w:sdtContent>
      <w:p w14:paraId="5E3B52C9">
        <w:pPr>
          <w:pStyle w:val="34"/>
          <w:jc w:val="center"/>
        </w:pPr>
        <w:r>
          <w:fldChar w:fldCharType="begin"/>
        </w:r>
        <w:r>
          <w:instrText xml:space="preserve">PAGE   \* MERGEFORMAT</w:instrText>
        </w:r>
        <w:r>
          <w:fldChar w:fldCharType="separate"/>
        </w:r>
        <w:r>
          <w:rPr>
            <w:lang w:val="zh-CN"/>
          </w:rPr>
          <w:t>1</w:t>
        </w:r>
        <w:r>
          <w:rPr>
            <w:lang w:val="zh-CN"/>
          </w:rPr>
          <w:fldChar w:fldCharType="end"/>
        </w:r>
      </w:p>
    </w:sdtContent>
  </w:sdt>
  <w:p w14:paraId="2D4C11C7">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5746588"/>
    </w:sdtPr>
    <w:sdtContent>
      <w:p w14:paraId="2CB93F93">
        <w:pPr>
          <w:pStyle w:val="34"/>
          <w:jc w:val="center"/>
        </w:pPr>
        <w:r>
          <w:fldChar w:fldCharType="begin"/>
        </w:r>
        <w:r>
          <w:instrText xml:space="preserve">PAGE   \* MERGEFORMAT</w:instrText>
        </w:r>
        <w:r>
          <w:fldChar w:fldCharType="separate"/>
        </w:r>
        <w:r>
          <w:rPr>
            <w:lang w:val="zh-CN"/>
          </w:rPr>
          <w:t>22</w:t>
        </w:r>
        <w:r>
          <w:fldChar w:fldCharType="end"/>
        </w:r>
      </w:p>
    </w:sdtContent>
  </w:sdt>
  <w:p w14:paraId="3AC49EE2">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AEC6A">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DD585"/>
    <w:multiLevelType w:val="singleLevel"/>
    <w:tmpl w:val="A4EDD585"/>
    <w:lvl w:ilvl="0" w:tentative="0">
      <w:start w:val="4"/>
      <w:numFmt w:val="chineseCounting"/>
      <w:suff w:val="space"/>
      <w:lvlText w:val="第%1章"/>
      <w:lvlJc w:val="left"/>
      <w:rPr>
        <w:rFonts w:hint="eastAsia"/>
      </w:rPr>
    </w:lvl>
  </w:abstractNum>
  <w:abstractNum w:abstractNumId="1">
    <w:nsid w:val="2965A05D"/>
    <w:multiLevelType w:val="singleLevel"/>
    <w:tmpl w:val="2965A05D"/>
    <w:lvl w:ilvl="0" w:tentative="0">
      <w:start w:val="15"/>
      <w:numFmt w:val="chineseCounting"/>
      <w:suff w:val="nothing"/>
      <w:lvlText w:val="%1、"/>
      <w:lvlJc w:val="left"/>
      <w:rPr>
        <w:rFonts w:hint="eastAsia"/>
      </w:rPr>
    </w:lvl>
  </w:abstractNum>
  <w:abstractNum w:abstractNumId="2">
    <w:nsid w:val="3B86313F"/>
    <w:multiLevelType w:val="multilevel"/>
    <w:tmpl w:val="3B86313F"/>
    <w:lvl w:ilvl="0" w:tentative="0">
      <w:start w:val="1"/>
      <w:numFmt w:val="decimal"/>
      <w:pStyle w:val="760"/>
      <w:lvlText w:val="%1."/>
      <w:lvlJc w:val="left"/>
      <w:pPr>
        <w:ind w:left="420" w:hanging="420"/>
      </w:pPr>
    </w:lvl>
    <w:lvl w:ilvl="1" w:tentative="0">
      <w:start w:val="2"/>
      <w:numFmt w:val="decimal"/>
      <w:isLgl/>
      <w:lvlText w:val="%1.%2"/>
      <w:lvlJc w:val="left"/>
      <w:pPr>
        <w:ind w:left="435" w:hanging="43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3">
    <w:nsid w:val="5370D9AC"/>
    <w:multiLevelType w:val="singleLevel"/>
    <w:tmpl w:val="5370D9AC"/>
    <w:lvl w:ilvl="0" w:tentative="0">
      <w:start w:val="1"/>
      <w:numFmt w:val="chineseCounting"/>
      <w:pStyle w:val="14"/>
      <w:suff w:val="space"/>
      <w:lvlText w:val="第%1条"/>
      <w:lvlJc w:val="left"/>
    </w:lvl>
  </w:abstractNum>
  <w:abstractNum w:abstractNumId="4">
    <w:nsid w:val="59A901B1"/>
    <w:multiLevelType w:val="multilevel"/>
    <w:tmpl w:val="59A901B1"/>
    <w:lvl w:ilvl="0" w:tentative="0">
      <w:start w:val="1"/>
      <w:numFmt w:val="bullet"/>
      <w:pStyle w:val="76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wODkzNmVkZjA0NzNkZjdlZDQ2MGMwMTI4NmU4ODgifQ=="/>
  </w:docVars>
  <w:rsids>
    <w:rsidRoot w:val="00172A27"/>
    <w:rsid w:val="00000E21"/>
    <w:rsid w:val="00001AAF"/>
    <w:rsid w:val="00001BEE"/>
    <w:rsid w:val="00002AB2"/>
    <w:rsid w:val="00003C5B"/>
    <w:rsid w:val="00003E8F"/>
    <w:rsid w:val="00003F63"/>
    <w:rsid w:val="000043A1"/>
    <w:rsid w:val="00004C4B"/>
    <w:rsid w:val="00004E47"/>
    <w:rsid w:val="000051A0"/>
    <w:rsid w:val="000061DC"/>
    <w:rsid w:val="000077E5"/>
    <w:rsid w:val="000078E0"/>
    <w:rsid w:val="00010F2E"/>
    <w:rsid w:val="00011D31"/>
    <w:rsid w:val="000122D3"/>
    <w:rsid w:val="00012A8A"/>
    <w:rsid w:val="0001376D"/>
    <w:rsid w:val="00020163"/>
    <w:rsid w:val="000201B9"/>
    <w:rsid w:val="0002181C"/>
    <w:rsid w:val="00022513"/>
    <w:rsid w:val="0002314D"/>
    <w:rsid w:val="0002330D"/>
    <w:rsid w:val="000238EA"/>
    <w:rsid w:val="000244D2"/>
    <w:rsid w:val="00024B72"/>
    <w:rsid w:val="000253DF"/>
    <w:rsid w:val="0002574C"/>
    <w:rsid w:val="00025B09"/>
    <w:rsid w:val="0003087B"/>
    <w:rsid w:val="00030D6F"/>
    <w:rsid w:val="000311DF"/>
    <w:rsid w:val="000315AB"/>
    <w:rsid w:val="0003322A"/>
    <w:rsid w:val="0003340B"/>
    <w:rsid w:val="000340C2"/>
    <w:rsid w:val="00034985"/>
    <w:rsid w:val="0003539E"/>
    <w:rsid w:val="00037097"/>
    <w:rsid w:val="00037363"/>
    <w:rsid w:val="000375DB"/>
    <w:rsid w:val="00037A9A"/>
    <w:rsid w:val="00040333"/>
    <w:rsid w:val="00040CB5"/>
    <w:rsid w:val="00041D60"/>
    <w:rsid w:val="0004294A"/>
    <w:rsid w:val="000429AF"/>
    <w:rsid w:val="00043C36"/>
    <w:rsid w:val="000442A1"/>
    <w:rsid w:val="00045155"/>
    <w:rsid w:val="0004519E"/>
    <w:rsid w:val="000458F1"/>
    <w:rsid w:val="00047334"/>
    <w:rsid w:val="00051106"/>
    <w:rsid w:val="00051404"/>
    <w:rsid w:val="00051C82"/>
    <w:rsid w:val="000537D1"/>
    <w:rsid w:val="00053BE5"/>
    <w:rsid w:val="00054D31"/>
    <w:rsid w:val="00054EB3"/>
    <w:rsid w:val="00055AF5"/>
    <w:rsid w:val="00055FBF"/>
    <w:rsid w:val="00061ABD"/>
    <w:rsid w:val="00061B3A"/>
    <w:rsid w:val="00062532"/>
    <w:rsid w:val="00063282"/>
    <w:rsid w:val="00064155"/>
    <w:rsid w:val="000649B0"/>
    <w:rsid w:val="00065059"/>
    <w:rsid w:val="0006518E"/>
    <w:rsid w:val="00065396"/>
    <w:rsid w:val="000653FF"/>
    <w:rsid w:val="000676A9"/>
    <w:rsid w:val="0007109E"/>
    <w:rsid w:val="000714FA"/>
    <w:rsid w:val="00071C7D"/>
    <w:rsid w:val="00072944"/>
    <w:rsid w:val="00073BB5"/>
    <w:rsid w:val="00074104"/>
    <w:rsid w:val="000748A5"/>
    <w:rsid w:val="000751AC"/>
    <w:rsid w:val="00075662"/>
    <w:rsid w:val="00075BA3"/>
    <w:rsid w:val="0007632E"/>
    <w:rsid w:val="00076FFB"/>
    <w:rsid w:val="00077506"/>
    <w:rsid w:val="00077D32"/>
    <w:rsid w:val="00080BEC"/>
    <w:rsid w:val="000813B6"/>
    <w:rsid w:val="00081FCE"/>
    <w:rsid w:val="00082224"/>
    <w:rsid w:val="00082A7D"/>
    <w:rsid w:val="0008306D"/>
    <w:rsid w:val="000832EC"/>
    <w:rsid w:val="00083F27"/>
    <w:rsid w:val="000845E6"/>
    <w:rsid w:val="00084D5D"/>
    <w:rsid w:val="00085B83"/>
    <w:rsid w:val="000861BA"/>
    <w:rsid w:val="0008694E"/>
    <w:rsid w:val="00086DF2"/>
    <w:rsid w:val="00086F21"/>
    <w:rsid w:val="00087024"/>
    <w:rsid w:val="00087CC6"/>
    <w:rsid w:val="00087DFD"/>
    <w:rsid w:val="00087F62"/>
    <w:rsid w:val="000903F3"/>
    <w:rsid w:val="0009156B"/>
    <w:rsid w:val="00092233"/>
    <w:rsid w:val="00092898"/>
    <w:rsid w:val="00093865"/>
    <w:rsid w:val="00093900"/>
    <w:rsid w:val="00094240"/>
    <w:rsid w:val="00095443"/>
    <w:rsid w:val="00095479"/>
    <w:rsid w:val="000958EB"/>
    <w:rsid w:val="00095C71"/>
    <w:rsid w:val="00096198"/>
    <w:rsid w:val="00096503"/>
    <w:rsid w:val="00096EAA"/>
    <w:rsid w:val="000A06C0"/>
    <w:rsid w:val="000A0F80"/>
    <w:rsid w:val="000A2011"/>
    <w:rsid w:val="000A238D"/>
    <w:rsid w:val="000A48C1"/>
    <w:rsid w:val="000A50C6"/>
    <w:rsid w:val="000A510A"/>
    <w:rsid w:val="000A5379"/>
    <w:rsid w:val="000A53F0"/>
    <w:rsid w:val="000A575B"/>
    <w:rsid w:val="000A5898"/>
    <w:rsid w:val="000A6C4B"/>
    <w:rsid w:val="000A7338"/>
    <w:rsid w:val="000A774D"/>
    <w:rsid w:val="000A7A29"/>
    <w:rsid w:val="000B08C6"/>
    <w:rsid w:val="000B0F5B"/>
    <w:rsid w:val="000B148F"/>
    <w:rsid w:val="000B2967"/>
    <w:rsid w:val="000B2C33"/>
    <w:rsid w:val="000B2ECF"/>
    <w:rsid w:val="000B429C"/>
    <w:rsid w:val="000B464A"/>
    <w:rsid w:val="000B4F8C"/>
    <w:rsid w:val="000B50BE"/>
    <w:rsid w:val="000B51A9"/>
    <w:rsid w:val="000B5744"/>
    <w:rsid w:val="000B5D2E"/>
    <w:rsid w:val="000B60BC"/>
    <w:rsid w:val="000B6E6E"/>
    <w:rsid w:val="000B6EA7"/>
    <w:rsid w:val="000B7093"/>
    <w:rsid w:val="000B70AA"/>
    <w:rsid w:val="000B7310"/>
    <w:rsid w:val="000B7488"/>
    <w:rsid w:val="000C02DD"/>
    <w:rsid w:val="000C0E2C"/>
    <w:rsid w:val="000C1488"/>
    <w:rsid w:val="000C2FE6"/>
    <w:rsid w:val="000C320D"/>
    <w:rsid w:val="000C3803"/>
    <w:rsid w:val="000C3E69"/>
    <w:rsid w:val="000C4C13"/>
    <w:rsid w:val="000C586C"/>
    <w:rsid w:val="000C6176"/>
    <w:rsid w:val="000C6204"/>
    <w:rsid w:val="000C630D"/>
    <w:rsid w:val="000C77DB"/>
    <w:rsid w:val="000C7C79"/>
    <w:rsid w:val="000D029D"/>
    <w:rsid w:val="000D128A"/>
    <w:rsid w:val="000D28BA"/>
    <w:rsid w:val="000D29CE"/>
    <w:rsid w:val="000D34F7"/>
    <w:rsid w:val="000D3CF2"/>
    <w:rsid w:val="000D54DB"/>
    <w:rsid w:val="000D599A"/>
    <w:rsid w:val="000D6956"/>
    <w:rsid w:val="000D76CF"/>
    <w:rsid w:val="000D7869"/>
    <w:rsid w:val="000E1D5A"/>
    <w:rsid w:val="000E1EB4"/>
    <w:rsid w:val="000E2614"/>
    <w:rsid w:val="000E2FE7"/>
    <w:rsid w:val="000E3C17"/>
    <w:rsid w:val="000E4407"/>
    <w:rsid w:val="000E48C5"/>
    <w:rsid w:val="000E4CEF"/>
    <w:rsid w:val="000E50CF"/>
    <w:rsid w:val="000E5A5B"/>
    <w:rsid w:val="000E5DB9"/>
    <w:rsid w:val="000E6A02"/>
    <w:rsid w:val="000E77A6"/>
    <w:rsid w:val="000F04C0"/>
    <w:rsid w:val="000F05A7"/>
    <w:rsid w:val="000F2113"/>
    <w:rsid w:val="000F254C"/>
    <w:rsid w:val="000F28AD"/>
    <w:rsid w:val="000F2E59"/>
    <w:rsid w:val="000F386A"/>
    <w:rsid w:val="000F39EE"/>
    <w:rsid w:val="000F3FFF"/>
    <w:rsid w:val="000F448B"/>
    <w:rsid w:val="000F46E9"/>
    <w:rsid w:val="000F47AE"/>
    <w:rsid w:val="000F4BF6"/>
    <w:rsid w:val="000F4E78"/>
    <w:rsid w:val="000F516E"/>
    <w:rsid w:val="000F5183"/>
    <w:rsid w:val="000F5312"/>
    <w:rsid w:val="000F5980"/>
    <w:rsid w:val="000F5ACF"/>
    <w:rsid w:val="000F5FA7"/>
    <w:rsid w:val="000F6319"/>
    <w:rsid w:val="000F67AB"/>
    <w:rsid w:val="000F6BEB"/>
    <w:rsid w:val="000F752C"/>
    <w:rsid w:val="000F759E"/>
    <w:rsid w:val="00100070"/>
    <w:rsid w:val="00100180"/>
    <w:rsid w:val="001007E9"/>
    <w:rsid w:val="00101749"/>
    <w:rsid w:val="00102843"/>
    <w:rsid w:val="00102B92"/>
    <w:rsid w:val="00102EC8"/>
    <w:rsid w:val="00102F86"/>
    <w:rsid w:val="001032F4"/>
    <w:rsid w:val="00107A41"/>
    <w:rsid w:val="00111CBE"/>
    <w:rsid w:val="0011225A"/>
    <w:rsid w:val="00112E94"/>
    <w:rsid w:val="001135DC"/>
    <w:rsid w:val="001147BC"/>
    <w:rsid w:val="00114C25"/>
    <w:rsid w:val="001154AC"/>
    <w:rsid w:val="00117D67"/>
    <w:rsid w:val="00117ED6"/>
    <w:rsid w:val="001207CB"/>
    <w:rsid w:val="001210CA"/>
    <w:rsid w:val="00121154"/>
    <w:rsid w:val="00121AA3"/>
    <w:rsid w:val="00121FBF"/>
    <w:rsid w:val="00122A50"/>
    <w:rsid w:val="00122AAA"/>
    <w:rsid w:val="00123EC2"/>
    <w:rsid w:val="00124849"/>
    <w:rsid w:val="00124A6D"/>
    <w:rsid w:val="00125AA1"/>
    <w:rsid w:val="00125C42"/>
    <w:rsid w:val="00127C07"/>
    <w:rsid w:val="001306D1"/>
    <w:rsid w:val="00130E8D"/>
    <w:rsid w:val="001327B4"/>
    <w:rsid w:val="001330F3"/>
    <w:rsid w:val="001354DC"/>
    <w:rsid w:val="001355F9"/>
    <w:rsid w:val="00135B94"/>
    <w:rsid w:val="0013682F"/>
    <w:rsid w:val="001402D2"/>
    <w:rsid w:val="00140389"/>
    <w:rsid w:val="00140E88"/>
    <w:rsid w:val="00143501"/>
    <w:rsid w:val="00143C4F"/>
    <w:rsid w:val="0014455D"/>
    <w:rsid w:val="00144A2C"/>
    <w:rsid w:val="00144D83"/>
    <w:rsid w:val="001453E9"/>
    <w:rsid w:val="00145A70"/>
    <w:rsid w:val="00145E01"/>
    <w:rsid w:val="00146013"/>
    <w:rsid w:val="00146F3E"/>
    <w:rsid w:val="00147176"/>
    <w:rsid w:val="001476EC"/>
    <w:rsid w:val="00147C49"/>
    <w:rsid w:val="00147CFB"/>
    <w:rsid w:val="00150258"/>
    <w:rsid w:val="001504B3"/>
    <w:rsid w:val="001504DD"/>
    <w:rsid w:val="0015067F"/>
    <w:rsid w:val="00150EEA"/>
    <w:rsid w:val="00151020"/>
    <w:rsid w:val="00151AA5"/>
    <w:rsid w:val="00151EE8"/>
    <w:rsid w:val="00152122"/>
    <w:rsid w:val="00152514"/>
    <w:rsid w:val="0015259D"/>
    <w:rsid w:val="001528D7"/>
    <w:rsid w:val="00153CDD"/>
    <w:rsid w:val="00155B2B"/>
    <w:rsid w:val="00156248"/>
    <w:rsid w:val="0015658D"/>
    <w:rsid w:val="0016002A"/>
    <w:rsid w:val="0016083B"/>
    <w:rsid w:val="00160AA5"/>
    <w:rsid w:val="00161AAA"/>
    <w:rsid w:val="00163781"/>
    <w:rsid w:val="001639EC"/>
    <w:rsid w:val="00164ABE"/>
    <w:rsid w:val="00164C51"/>
    <w:rsid w:val="00166915"/>
    <w:rsid w:val="0016717A"/>
    <w:rsid w:val="00167614"/>
    <w:rsid w:val="00167AA3"/>
    <w:rsid w:val="00167F79"/>
    <w:rsid w:val="00171462"/>
    <w:rsid w:val="00171EE0"/>
    <w:rsid w:val="00172A27"/>
    <w:rsid w:val="00173D80"/>
    <w:rsid w:val="0017424E"/>
    <w:rsid w:val="001756D3"/>
    <w:rsid w:val="001765CA"/>
    <w:rsid w:val="00176E6C"/>
    <w:rsid w:val="00176EAF"/>
    <w:rsid w:val="00177452"/>
    <w:rsid w:val="0017764A"/>
    <w:rsid w:val="00180D48"/>
    <w:rsid w:val="00181BEF"/>
    <w:rsid w:val="00182AB9"/>
    <w:rsid w:val="00183197"/>
    <w:rsid w:val="001833FA"/>
    <w:rsid w:val="00183B07"/>
    <w:rsid w:val="00183D32"/>
    <w:rsid w:val="00184243"/>
    <w:rsid w:val="001847D3"/>
    <w:rsid w:val="00184EC7"/>
    <w:rsid w:val="00184FB3"/>
    <w:rsid w:val="001850A3"/>
    <w:rsid w:val="00185BE3"/>
    <w:rsid w:val="001865EF"/>
    <w:rsid w:val="001875BC"/>
    <w:rsid w:val="0019044D"/>
    <w:rsid w:val="001905A2"/>
    <w:rsid w:val="00190CA3"/>
    <w:rsid w:val="00191B5C"/>
    <w:rsid w:val="00191E55"/>
    <w:rsid w:val="00192320"/>
    <w:rsid w:val="00192C43"/>
    <w:rsid w:val="0019312F"/>
    <w:rsid w:val="0019338C"/>
    <w:rsid w:val="001939CA"/>
    <w:rsid w:val="00194545"/>
    <w:rsid w:val="00194906"/>
    <w:rsid w:val="00194EFD"/>
    <w:rsid w:val="001950CF"/>
    <w:rsid w:val="00195151"/>
    <w:rsid w:val="00197331"/>
    <w:rsid w:val="001976D4"/>
    <w:rsid w:val="00197C48"/>
    <w:rsid w:val="001A0F42"/>
    <w:rsid w:val="001A12E6"/>
    <w:rsid w:val="001A1D88"/>
    <w:rsid w:val="001A1F5E"/>
    <w:rsid w:val="001A2F38"/>
    <w:rsid w:val="001A3427"/>
    <w:rsid w:val="001A35EC"/>
    <w:rsid w:val="001A3E32"/>
    <w:rsid w:val="001A40C1"/>
    <w:rsid w:val="001A4757"/>
    <w:rsid w:val="001A4A53"/>
    <w:rsid w:val="001A4E64"/>
    <w:rsid w:val="001A56DE"/>
    <w:rsid w:val="001A65B8"/>
    <w:rsid w:val="001A6AC4"/>
    <w:rsid w:val="001A713E"/>
    <w:rsid w:val="001B0454"/>
    <w:rsid w:val="001B0BD9"/>
    <w:rsid w:val="001B0D89"/>
    <w:rsid w:val="001B15F1"/>
    <w:rsid w:val="001B2EC1"/>
    <w:rsid w:val="001B5D4C"/>
    <w:rsid w:val="001B70E0"/>
    <w:rsid w:val="001B7E28"/>
    <w:rsid w:val="001C07EA"/>
    <w:rsid w:val="001C0E99"/>
    <w:rsid w:val="001C11E5"/>
    <w:rsid w:val="001C1FED"/>
    <w:rsid w:val="001C30B5"/>
    <w:rsid w:val="001C351C"/>
    <w:rsid w:val="001C450C"/>
    <w:rsid w:val="001C46C1"/>
    <w:rsid w:val="001C4A2C"/>
    <w:rsid w:val="001C5199"/>
    <w:rsid w:val="001C5AF2"/>
    <w:rsid w:val="001C5E31"/>
    <w:rsid w:val="001C60B2"/>
    <w:rsid w:val="001C6530"/>
    <w:rsid w:val="001C719B"/>
    <w:rsid w:val="001D05F5"/>
    <w:rsid w:val="001D0B8D"/>
    <w:rsid w:val="001D0E89"/>
    <w:rsid w:val="001D12AE"/>
    <w:rsid w:val="001D13C7"/>
    <w:rsid w:val="001D284A"/>
    <w:rsid w:val="001D2A7F"/>
    <w:rsid w:val="001D3BAF"/>
    <w:rsid w:val="001D42DA"/>
    <w:rsid w:val="001D42FE"/>
    <w:rsid w:val="001D4E26"/>
    <w:rsid w:val="001D5574"/>
    <w:rsid w:val="001D5885"/>
    <w:rsid w:val="001E0B91"/>
    <w:rsid w:val="001E1A4E"/>
    <w:rsid w:val="001E1E4D"/>
    <w:rsid w:val="001E2819"/>
    <w:rsid w:val="001E2B2B"/>
    <w:rsid w:val="001E2DE5"/>
    <w:rsid w:val="001E2FD7"/>
    <w:rsid w:val="001E37CB"/>
    <w:rsid w:val="001E3916"/>
    <w:rsid w:val="001E4107"/>
    <w:rsid w:val="001E44FC"/>
    <w:rsid w:val="001E51DB"/>
    <w:rsid w:val="001E551B"/>
    <w:rsid w:val="001E5D74"/>
    <w:rsid w:val="001E68E0"/>
    <w:rsid w:val="001E68FF"/>
    <w:rsid w:val="001E720F"/>
    <w:rsid w:val="001F019F"/>
    <w:rsid w:val="001F12C6"/>
    <w:rsid w:val="001F1AF2"/>
    <w:rsid w:val="001F2113"/>
    <w:rsid w:val="001F38B6"/>
    <w:rsid w:val="001F39DE"/>
    <w:rsid w:val="001F3DC9"/>
    <w:rsid w:val="001F6340"/>
    <w:rsid w:val="001F64EE"/>
    <w:rsid w:val="001F695A"/>
    <w:rsid w:val="001F771D"/>
    <w:rsid w:val="00200937"/>
    <w:rsid w:val="002018EB"/>
    <w:rsid w:val="00201959"/>
    <w:rsid w:val="0020384D"/>
    <w:rsid w:val="00203CE8"/>
    <w:rsid w:val="002059F1"/>
    <w:rsid w:val="00205A60"/>
    <w:rsid w:val="00205ABD"/>
    <w:rsid w:val="00205B51"/>
    <w:rsid w:val="00205D6D"/>
    <w:rsid w:val="00205E24"/>
    <w:rsid w:val="002063B0"/>
    <w:rsid w:val="0020722A"/>
    <w:rsid w:val="0020733A"/>
    <w:rsid w:val="00207EBC"/>
    <w:rsid w:val="002100BB"/>
    <w:rsid w:val="002102A9"/>
    <w:rsid w:val="00210427"/>
    <w:rsid w:val="00210670"/>
    <w:rsid w:val="002107F3"/>
    <w:rsid w:val="002108A2"/>
    <w:rsid w:val="00211744"/>
    <w:rsid w:val="00211D9A"/>
    <w:rsid w:val="00212118"/>
    <w:rsid w:val="00212333"/>
    <w:rsid w:val="00212779"/>
    <w:rsid w:val="002133A5"/>
    <w:rsid w:val="00213670"/>
    <w:rsid w:val="00213A17"/>
    <w:rsid w:val="00213A34"/>
    <w:rsid w:val="00213B4E"/>
    <w:rsid w:val="00214342"/>
    <w:rsid w:val="002146B8"/>
    <w:rsid w:val="00216195"/>
    <w:rsid w:val="002161F5"/>
    <w:rsid w:val="002163A9"/>
    <w:rsid w:val="0021702A"/>
    <w:rsid w:val="0022196E"/>
    <w:rsid w:val="00221974"/>
    <w:rsid w:val="00221CF0"/>
    <w:rsid w:val="002221BA"/>
    <w:rsid w:val="00222338"/>
    <w:rsid w:val="002228FC"/>
    <w:rsid w:val="00222B08"/>
    <w:rsid w:val="00222EA2"/>
    <w:rsid w:val="00223B89"/>
    <w:rsid w:val="002245C6"/>
    <w:rsid w:val="002250FE"/>
    <w:rsid w:val="002259FB"/>
    <w:rsid w:val="0022603B"/>
    <w:rsid w:val="002275A0"/>
    <w:rsid w:val="00230182"/>
    <w:rsid w:val="00230B9B"/>
    <w:rsid w:val="00230F7F"/>
    <w:rsid w:val="002315C8"/>
    <w:rsid w:val="0023188F"/>
    <w:rsid w:val="0023191B"/>
    <w:rsid w:val="00231928"/>
    <w:rsid w:val="00232ABC"/>
    <w:rsid w:val="00232E97"/>
    <w:rsid w:val="00233F7A"/>
    <w:rsid w:val="00235206"/>
    <w:rsid w:val="00235B1C"/>
    <w:rsid w:val="00236A2C"/>
    <w:rsid w:val="00236A6F"/>
    <w:rsid w:val="0023724E"/>
    <w:rsid w:val="00240C77"/>
    <w:rsid w:val="00240C87"/>
    <w:rsid w:val="00240CFF"/>
    <w:rsid w:val="00241CDD"/>
    <w:rsid w:val="00242328"/>
    <w:rsid w:val="00242B32"/>
    <w:rsid w:val="00242CCB"/>
    <w:rsid w:val="00242CEB"/>
    <w:rsid w:val="00242F99"/>
    <w:rsid w:val="00242FF0"/>
    <w:rsid w:val="00243861"/>
    <w:rsid w:val="00243C88"/>
    <w:rsid w:val="002449E3"/>
    <w:rsid w:val="0024553A"/>
    <w:rsid w:val="00245C62"/>
    <w:rsid w:val="00245C8B"/>
    <w:rsid w:val="00246406"/>
    <w:rsid w:val="002500F9"/>
    <w:rsid w:val="00250106"/>
    <w:rsid w:val="00251E2A"/>
    <w:rsid w:val="0025343C"/>
    <w:rsid w:val="00253E80"/>
    <w:rsid w:val="00254053"/>
    <w:rsid w:val="002544FF"/>
    <w:rsid w:val="002545E0"/>
    <w:rsid w:val="002547BB"/>
    <w:rsid w:val="00254DD5"/>
    <w:rsid w:val="002552BE"/>
    <w:rsid w:val="0025551A"/>
    <w:rsid w:val="002558C3"/>
    <w:rsid w:val="00255920"/>
    <w:rsid w:val="002559DB"/>
    <w:rsid w:val="00255B9C"/>
    <w:rsid w:val="00255D18"/>
    <w:rsid w:val="002561DF"/>
    <w:rsid w:val="002564CB"/>
    <w:rsid w:val="0026011F"/>
    <w:rsid w:val="002604C5"/>
    <w:rsid w:val="002607F8"/>
    <w:rsid w:val="00261663"/>
    <w:rsid w:val="00261A60"/>
    <w:rsid w:val="00261E78"/>
    <w:rsid w:val="00262AAC"/>
    <w:rsid w:val="00263A46"/>
    <w:rsid w:val="00264EE2"/>
    <w:rsid w:val="00265245"/>
    <w:rsid w:val="00265A1F"/>
    <w:rsid w:val="00265B36"/>
    <w:rsid w:val="00266A51"/>
    <w:rsid w:val="0026716A"/>
    <w:rsid w:val="0026755C"/>
    <w:rsid w:val="00270003"/>
    <w:rsid w:val="00270A86"/>
    <w:rsid w:val="00270C0D"/>
    <w:rsid w:val="00270DC7"/>
    <w:rsid w:val="00270E9A"/>
    <w:rsid w:val="00270F58"/>
    <w:rsid w:val="0027187F"/>
    <w:rsid w:val="002722CB"/>
    <w:rsid w:val="00272E6A"/>
    <w:rsid w:val="00273366"/>
    <w:rsid w:val="00273C69"/>
    <w:rsid w:val="0027458B"/>
    <w:rsid w:val="00274E77"/>
    <w:rsid w:val="00275127"/>
    <w:rsid w:val="00275160"/>
    <w:rsid w:val="00275168"/>
    <w:rsid w:val="00276138"/>
    <w:rsid w:val="002772D0"/>
    <w:rsid w:val="00277AC6"/>
    <w:rsid w:val="00277C7E"/>
    <w:rsid w:val="00280EDF"/>
    <w:rsid w:val="00280F67"/>
    <w:rsid w:val="002812DE"/>
    <w:rsid w:val="002825D6"/>
    <w:rsid w:val="00282F2F"/>
    <w:rsid w:val="0028344E"/>
    <w:rsid w:val="00284861"/>
    <w:rsid w:val="00284B83"/>
    <w:rsid w:val="002856BA"/>
    <w:rsid w:val="00285959"/>
    <w:rsid w:val="00285C96"/>
    <w:rsid w:val="0028657F"/>
    <w:rsid w:val="00286641"/>
    <w:rsid w:val="00286E3E"/>
    <w:rsid w:val="0029007A"/>
    <w:rsid w:val="002903C4"/>
    <w:rsid w:val="00290928"/>
    <w:rsid w:val="002911FA"/>
    <w:rsid w:val="00292328"/>
    <w:rsid w:val="00294885"/>
    <w:rsid w:val="00294A2C"/>
    <w:rsid w:val="00294AF7"/>
    <w:rsid w:val="00294DAD"/>
    <w:rsid w:val="00295CCF"/>
    <w:rsid w:val="0029676E"/>
    <w:rsid w:val="00296B57"/>
    <w:rsid w:val="00296BF9"/>
    <w:rsid w:val="00296D05"/>
    <w:rsid w:val="00297013"/>
    <w:rsid w:val="00297297"/>
    <w:rsid w:val="00297438"/>
    <w:rsid w:val="0029743C"/>
    <w:rsid w:val="002A1259"/>
    <w:rsid w:val="002A1FA9"/>
    <w:rsid w:val="002A27CB"/>
    <w:rsid w:val="002A2A71"/>
    <w:rsid w:val="002A2B16"/>
    <w:rsid w:val="002A4DB5"/>
    <w:rsid w:val="002A5F2F"/>
    <w:rsid w:val="002A616C"/>
    <w:rsid w:val="002A668D"/>
    <w:rsid w:val="002A6B95"/>
    <w:rsid w:val="002A6DF7"/>
    <w:rsid w:val="002A760A"/>
    <w:rsid w:val="002A7750"/>
    <w:rsid w:val="002A79B9"/>
    <w:rsid w:val="002B038D"/>
    <w:rsid w:val="002B0AB5"/>
    <w:rsid w:val="002B1A8C"/>
    <w:rsid w:val="002B1B8C"/>
    <w:rsid w:val="002B1BD8"/>
    <w:rsid w:val="002B24C3"/>
    <w:rsid w:val="002B2608"/>
    <w:rsid w:val="002B3875"/>
    <w:rsid w:val="002B3CF8"/>
    <w:rsid w:val="002B4171"/>
    <w:rsid w:val="002B4196"/>
    <w:rsid w:val="002B52F8"/>
    <w:rsid w:val="002B578A"/>
    <w:rsid w:val="002B63A2"/>
    <w:rsid w:val="002B63AB"/>
    <w:rsid w:val="002B6907"/>
    <w:rsid w:val="002B7BC2"/>
    <w:rsid w:val="002C1310"/>
    <w:rsid w:val="002C1B7A"/>
    <w:rsid w:val="002C333B"/>
    <w:rsid w:val="002C3A23"/>
    <w:rsid w:val="002C3CC2"/>
    <w:rsid w:val="002C45EC"/>
    <w:rsid w:val="002C51BB"/>
    <w:rsid w:val="002C630C"/>
    <w:rsid w:val="002C65BB"/>
    <w:rsid w:val="002C6601"/>
    <w:rsid w:val="002C6C5A"/>
    <w:rsid w:val="002C6E59"/>
    <w:rsid w:val="002C7577"/>
    <w:rsid w:val="002C7A7A"/>
    <w:rsid w:val="002C7EEE"/>
    <w:rsid w:val="002D097C"/>
    <w:rsid w:val="002D18BD"/>
    <w:rsid w:val="002D1A64"/>
    <w:rsid w:val="002D1AB1"/>
    <w:rsid w:val="002D1E90"/>
    <w:rsid w:val="002D22BF"/>
    <w:rsid w:val="002D2464"/>
    <w:rsid w:val="002D24E1"/>
    <w:rsid w:val="002D2EF4"/>
    <w:rsid w:val="002D4330"/>
    <w:rsid w:val="002D43BA"/>
    <w:rsid w:val="002D4607"/>
    <w:rsid w:val="002D5C29"/>
    <w:rsid w:val="002D62C0"/>
    <w:rsid w:val="002D646C"/>
    <w:rsid w:val="002D64F0"/>
    <w:rsid w:val="002D6642"/>
    <w:rsid w:val="002E0DB6"/>
    <w:rsid w:val="002E1272"/>
    <w:rsid w:val="002E12DC"/>
    <w:rsid w:val="002E192A"/>
    <w:rsid w:val="002E1C72"/>
    <w:rsid w:val="002E258B"/>
    <w:rsid w:val="002E2807"/>
    <w:rsid w:val="002E3C36"/>
    <w:rsid w:val="002E4248"/>
    <w:rsid w:val="002E537B"/>
    <w:rsid w:val="002E593D"/>
    <w:rsid w:val="002E6831"/>
    <w:rsid w:val="002E68B4"/>
    <w:rsid w:val="002E7867"/>
    <w:rsid w:val="002E7C3B"/>
    <w:rsid w:val="002F1A6A"/>
    <w:rsid w:val="002F28D1"/>
    <w:rsid w:val="002F2BFC"/>
    <w:rsid w:val="002F2DB6"/>
    <w:rsid w:val="002F34C2"/>
    <w:rsid w:val="002F551E"/>
    <w:rsid w:val="002F5A7B"/>
    <w:rsid w:val="002F5AA7"/>
    <w:rsid w:val="002F630E"/>
    <w:rsid w:val="002F643C"/>
    <w:rsid w:val="002F70A8"/>
    <w:rsid w:val="0030028A"/>
    <w:rsid w:val="00300B61"/>
    <w:rsid w:val="00300F48"/>
    <w:rsid w:val="00301660"/>
    <w:rsid w:val="0030166D"/>
    <w:rsid w:val="0030242A"/>
    <w:rsid w:val="00303641"/>
    <w:rsid w:val="00303D2C"/>
    <w:rsid w:val="0030510E"/>
    <w:rsid w:val="0030513C"/>
    <w:rsid w:val="003075E8"/>
    <w:rsid w:val="003101E3"/>
    <w:rsid w:val="003103FD"/>
    <w:rsid w:val="003110B4"/>
    <w:rsid w:val="00311588"/>
    <w:rsid w:val="00311793"/>
    <w:rsid w:val="00311863"/>
    <w:rsid w:val="00312D47"/>
    <w:rsid w:val="00312D50"/>
    <w:rsid w:val="00313022"/>
    <w:rsid w:val="0031324B"/>
    <w:rsid w:val="00313401"/>
    <w:rsid w:val="00314C4E"/>
    <w:rsid w:val="003169C2"/>
    <w:rsid w:val="00316C3B"/>
    <w:rsid w:val="00316E3F"/>
    <w:rsid w:val="003170B5"/>
    <w:rsid w:val="0031790F"/>
    <w:rsid w:val="00317FE2"/>
    <w:rsid w:val="00320488"/>
    <w:rsid w:val="00320FBB"/>
    <w:rsid w:val="003213F1"/>
    <w:rsid w:val="00321453"/>
    <w:rsid w:val="003215EF"/>
    <w:rsid w:val="00321945"/>
    <w:rsid w:val="003221EA"/>
    <w:rsid w:val="00322310"/>
    <w:rsid w:val="00322461"/>
    <w:rsid w:val="00322639"/>
    <w:rsid w:val="00322B1C"/>
    <w:rsid w:val="003231E7"/>
    <w:rsid w:val="00323457"/>
    <w:rsid w:val="00323B54"/>
    <w:rsid w:val="003252CE"/>
    <w:rsid w:val="00325B39"/>
    <w:rsid w:val="00325DB0"/>
    <w:rsid w:val="0032656C"/>
    <w:rsid w:val="00326BCC"/>
    <w:rsid w:val="00326EEF"/>
    <w:rsid w:val="003271C4"/>
    <w:rsid w:val="00330B8C"/>
    <w:rsid w:val="00332620"/>
    <w:rsid w:val="00332776"/>
    <w:rsid w:val="003329E4"/>
    <w:rsid w:val="00332A23"/>
    <w:rsid w:val="00333E41"/>
    <w:rsid w:val="00334199"/>
    <w:rsid w:val="003360AE"/>
    <w:rsid w:val="0033733C"/>
    <w:rsid w:val="00340599"/>
    <w:rsid w:val="00343D1F"/>
    <w:rsid w:val="00345968"/>
    <w:rsid w:val="00345C09"/>
    <w:rsid w:val="0034602C"/>
    <w:rsid w:val="0034640B"/>
    <w:rsid w:val="0034699A"/>
    <w:rsid w:val="003477EF"/>
    <w:rsid w:val="00347969"/>
    <w:rsid w:val="0034797B"/>
    <w:rsid w:val="00350735"/>
    <w:rsid w:val="0035174D"/>
    <w:rsid w:val="00351DA1"/>
    <w:rsid w:val="00351FD9"/>
    <w:rsid w:val="003528FD"/>
    <w:rsid w:val="00353AF8"/>
    <w:rsid w:val="00353C02"/>
    <w:rsid w:val="00353EA7"/>
    <w:rsid w:val="00353F76"/>
    <w:rsid w:val="003558C9"/>
    <w:rsid w:val="00356036"/>
    <w:rsid w:val="003570DD"/>
    <w:rsid w:val="00357292"/>
    <w:rsid w:val="00357459"/>
    <w:rsid w:val="00361632"/>
    <w:rsid w:val="003619B7"/>
    <w:rsid w:val="0036321D"/>
    <w:rsid w:val="00363F80"/>
    <w:rsid w:val="00364937"/>
    <w:rsid w:val="00364BC8"/>
    <w:rsid w:val="00365956"/>
    <w:rsid w:val="00367205"/>
    <w:rsid w:val="00367406"/>
    <w:rsid w:val="003674A4"/>
    <w:rsid w:val="00367A8F"/>
    <w:rsid w:val="00367B18"/>
    <w:rsid w:val="0037179D"/>
    <w:rsid w:val="003727E0"/>
    <w:rsid w:val="0037308A"/>
    <w:rsid w:val="00373409"/>
    <w:rsid w:val="00373839"/>
    <w:rsid w:val="00373B5A"/>
    <w:rsid w:val="0037418D"/>
    <w:rsid w:val="00374ABE"/>
    <w:rsid w:val="00374E03"/>
    <w:rsid w:val="0037538D"/>
    <w:rsid w:val="003757EC"/>
    <w:rsid w:val="003767BD"/>
    <w:rsid w:val="003774DD"/>
    <w:rsid w:val="00377829"/>
    <w:rsid w:val="0037793E"/>
    <w:rsid w:val="00380A3B"/>
    <w:rsid w:val="003811D3"/>
    <w:rsid w:val="003827ED"/>
    <w:rsid w:val="003833A9"/>
    <w:rsid w:val="003838F6"/>
    <w:rsid w:val="00384532"/>
    <w:rsid w:val="00384BE3"/>
    <w:rsid w:val="00384E1F"/>
    <w:rsid w:val="0038524E"/>
    <w:rsid w:val="00385594"/>
    <w:rsid w:val="00385CA1"/>
    <w:rsid w:val="00385ED5"/>
    <w:rsid w:val="00385ED9"/>
    <w:rsid w:val="00392853"/>
    <w:rsid w:val="00392A38"/>
    <w:rsid w:val="0039368A"/>
    <w:rsid w:val="00393AE2"/>
    <w:rsid w:val="00394CD6"/>
    <w:rsid w:val="00394EEE"/>
    <w:rsid w:val="003956B8"/>
    <w:rsid w:val="00395718"/>
    <w:rsid w:val="00396B06"/>
    <w:rsid w:val="003975A9"/>
    <w:rsid w:val="00397B41"/>
    <w:rsid w:val="003A0A57"/>
    <w:rsid w:val="003A1A9B"/>
    <w:rsid w:val="003A1B9A"/>
    <w:rsid w:val="003A2305"/>
    <w:rsid w:val="003A244D"/>
    <w:rsid w:val="003A2CD3"/>
    <w:rsid w:val="003A303A"/>
    <w:rsid w:val="003A35F6"/>
    <w:rsid w:val="003A4187"/>
    <w:rsid w:val="003A4676"/>
    <w:rsid w:val="003A4A17"/>
    <w:rsid w:val="003A4E43"/>
    <w:rsid w:val="003A5B93"/>
    <w:rsid w:val="003A61E7"/>
    <w:rsid w:val="003A6C25"/>
    <w:rsid w:val="003A6D46"/>
    <w:rsid w:val="003B000D"/>
    <w:rsid w:val="003B0419"/>
    <w:rsid w:val="003B06C0"/>
    <w:rsid w:val="003B1900"/>
    <w:rsid w:val="003B2124"/>
    <w:rsid w:val="003B27AF"/>
    <w:rsid w:val="003B2D17"/>
    <w:rsid w:val="003B3265"/>
    <w:rsid w:val="003B4CCF"/>
    <w:rsid w:val="003B4DC1"/>
    <w:rsid w:val="003B6A95"/>
    <w:rsid w:val="003B6B8C"/>
    <w:rsid w:val="003B7C59"/>
    <w:rsid w:val="003B7DD5"/>
    <w:rsid w:val="003C0668"/>
    <w:rsid w:val="003C0F4D"/>
    <w:rsid w:val="003C12CF"/>
    <w:rsid w:val="003C2BC1"/>
    <w:rsid w:val="003C416B"/>
    <w:rsid w:val="003C482C"/>
    <w:rsid w:val="003C5A98"/>
    <w:rsid w:val="003C702A"/>
    <w:rsid w:val="003C719D"/>
    <w:rsid w:val="003C72C5"/>
    <w:rsid w:val="003C736C"/>
    <w:rsid w:val="003D03A5"/>
    <w:rsid w:val="003D0F8F"/>
    <w:rsid w:val="003D1396"/>
    <w:rsid w:val="003D1EAD"/>
    <w:rsid w:val="003D2023"/>
    <w:rsid w:val="003D2A66"/>
    <w:rsid w:val="003D2F0B"/>
    <w:rsid w:val="003D306F"/>
    <w:rsid w:val="003D3451"/>
    <w:rsid w:val="003D38A7"/>
    <w:rsid w:val="003D3DCF"/>
    <w:rsid w:val="003D427C"/>
    <w:rsid w:val="003D4731"/>
    <w:rsid w:val="003D4F5E"/>
    <w:rsid w:val="003D5098"/>
    <w:rsid w:val="003D5269"/>
    <w:rsid w:val="003D5547"/>
    <w:rsid w:val="003D5853"/>
    <w:rsid w:val="003D6582"/>
    <w:rsid w:val="003D711C"/>
    <w:rsid w:val="003D7AC0"/>
    <w:rsid w:val="003E0050"/>
    <w:rsid w:val="003E02C8"/>
    <w:rsid w:val="003E125C"/>
    <w:rsid w:val="003E2891"/>
    <w:rsid w:val="003E2911"/>
    <w:rsid w:val="003E4259"/>
    <w:rsid w:val="003E451D"/>
    <w:rsid w:val="003E4704"/>
    <w:rsid w:val="003E4756"/>
    <w:rsid w:val="003E485F"/>
    <w:rsid w:val="003E53D6"/>
    <w:rsid w:val="003E6C40"/>
    <w:rsid w:val="003E7315"/>
    <w:rsid w:val="003F034F"/>
    <w:rsid w:val="003F0D16"/>
    <w:rsid w:val="003F0E66"/>
    <w:rsid w:val="003F12E0"/>
    <w:rsid w:val="003F1E33"/>
    <w:rsid w:val="003F1FC0"/>
    <w:rsid w:val="003F2556"/>
    <w:rsid w:val="003F2DA1"/>
    <w:rsid w:val="003F2FBE"/>
    <w:rsid w:val="003F3448"/>
    <w:rsid w:val="003F3F87"/>
    <w:rsid w:val="003F4060"/>
    <w:rsid w:val="003F4FBF"/>
    <w:rsid w:val="003F52B6"/>
    <w:rsid w:val="003F557E"/>
    <w:rsid w:val="003F5B22"/>
    <w:rsid w:val="003F5B35"/>
    <w:rsid w:val="003F66E7"/>
    <w:rsid w:val="003F71DA"/>
    <w:rsid w:val="004026BB"/>
    <w:rsid w:val="0040278B"/>
    <w:rsid w:val="00402B3B"/>
    <w:rsid w:val="00402FC2"/>
    <w:rsid w:val="00403421"/>
    <w:rsid w:val="00405292"/>
    <w:rsid w:val="004065CB"/>
    <w:rsid w:val="004068BF"/>
    <w:rsid w:val="00406E72"/>
    <w:rsid w:val="00407217"/>
    <w:rsid w:val="00407594"/>
    <w:rsid w:val="00407599"/>
    <w:rsid w:val="0041079E"/>
    <w:rsid w:val="00410F65"/>
    <w:rsid w:val="0041117B"/>
    <w:rsid w:val="00411EBD"/>
    <w:rsid w:val="00412964"/>
    <w:rsid w:val="00413091"/>
    <w:rsid w:val="0041466D"/>
    <w:rsid w:val="00414697"/>
    <w:rsid w:val="0041575F"/>
    <w:rsid w:val="0041637E"/>
    <w:rsid w:val="004165E6"/>
    <w:rsid w:val="00416B25"/>
    <w:rsid w:val="004170E1"/>
    <w:rsid w:val="004173A2"/>
    <w:rsid w:val="00417EEA"/>
    <w:rsid w:val="004201E4"/>
    <w:rsid w:val="00420323"/>
    <w:rsid w:val="00420971"/>
    <w:rsid w:val="0042100C"/>
    <w:rsid w:val="0042238B"/>
    <w:rsid w:val="00422952"/>
    <w:rsid w:val="00422ACA"/>
    <w:rsid w:val="00422B59"/>
    <w:rsid w:val="0042416C"/>
    <w:rsid w:val="004243A7"/>
    <w:rsid w:val="004249E3"/>
    <w:rsid w:val="00425CED"/>
    <w:rsid w:val="004260F6"/>
    <w:rsid w:val="00426147"/>
    <w:rsid w:val="004307EB"/>
    <w:rsid w:val="004311A1"/>
    <w:rsid w:val="0043232C"/>
    <w:rsid w:val="0043244E"/>
    <w:rsid w:val="00433A97"/>
    <w:rsid w:val="00433CE2"/>
    <w:rsid w:val="0043416C"/>
    <w:rsid w:val="00434406"/>
    <w:rsid w:val="00435093"/>
    <w:rsid w:val="004357E2"/>
    <w:rsid w:val="00436972"/>
    <w:rsid w:val="00436A70"/>
    <w:rsid w:val="00437319"/>
    <w:rsid w:val="00440E97"/>
    <w:rsid w:val="004413F7"/>
    <w:rsid w:val="00442327"/>
    <w:rsid w:val="00442A81"/>
    <w:rsid w:val="00442DB8"/>
    <w:rsid w:val="00443690"/>
    <w:rsid w:val="00443D26"/>
    <w:rsid w:val="00444646"/>
    <w:rsid w:val="00444958"/>
    <w:rsid w:val="00445397"/>
    <w:rsid w:val="004457EB"/>
    <w:rsid w:val="00445B42"/>
    <w:rsid w:val="00445CB8"/>
    <w:rsid w:val="0044619F"/>
    <w:rsid w:val="004466F6"/>
    <w:rsid w:val="00446EAD"/>
    <w:rsid w:val="00447029"/>
    <w:rsid w:val="00450712"/>
    <w:rsid w:val="00450A68"/>
    <w:rsid w:val="00450F69"/>
    <w:rsid w:val="0045109D"/>
    <w:rsid w:val="00451525"/>
    <w:rsid w:val="004527E0"/>
    <w:rsid w:val="00452956"/>
    <w:rsid w:val="00452DE3"/>
    <w:rsid w:val="00452F0F"/>
    <w:rsid w:val="004530C4"/>
    <w:rsid w:val="0045314E"/>
    <w:rsid w:val="004531AC"/>
    <w:rsid w:val="00453765"/>
    <w:rsid w:val="00453B98"/>
    <w:rsid w:val="0045445B"/>
    <w:rsid w:val="0045573C"/>
    <w:rsid w:val="00455FAE"/>
    <w:rsid w:val="00455FB6"/>
    <w:rsid w:val="00456355"/>
    <w:rsid w:val="004572C4"/>
    <w:rsid w:val="0045737D"/>
    <w:rsid w:val="004575A1"/>
    <w:rsid w:val="004575DE"/>
    <w:rsid w:val="004577A9"/>
    <w:rsid w:val="004600E8"/>
    <w:rsid w:val="004608DC"/>
    <w:rsid w:val="00460FD3"/>
    <w:rsid w:val="004634EE"/>
    <w:rsid w:val="00463F74"/>
    <w:rsid w:val="00464401"/>
    <w:rsid w:val="0046458F"/>
    <w:rsid w:val="0046566D"/>
    <w:rsid w:val="00465A27"/>
    <w:rsid w:val="00465D47"/>
    <w:rsid w:val="004672B5"/>
    <w:rsid w:val="004674C4"/>
    <w:rsid w:val="0046781D"/>
    <w:rsid w:val="00467D55"/>
    <w:rsid w:val="00467E29"/>
    <w:rsid w:val="00471252"/>
    <w:rsid w:val="004712BF"/>
    <w:rsid w:val="00471398"/>
    <w:rsid w:val="004715DE"/>
    <w:rsid w:val="00471736"/>
    <w:rsid w:val="004719EE"/>
    <w:rsid w:val="00472082"/>
    <w:rsid w:val="004729F5"/>
    <w:rsid w:val="00472A45"/>
    <w:rsid w:val="00472AE3"/>
    <w:rsid w:val="00472D4F"/>
    <w:rsid w:val="0047321F"/>
    <w:rsid w:val="004736A3"/>
    <w:rsid w:val="00473831"/>
    <w:rsid w:val="00473E6D"/>
    <w:rsid w:val="004745C7"/>
    <w:rsid w:val="00474A16"/>
    <w:rsid w:val="00474C04"/>
    <w:rsid w:val="00474FE4"/>
    <w:rsid w:val="00475979"/>
    <w:rsid w:val="004763F9"/>
    <w:rsid w:val="0047665C"/>
    <w:rsid w:val="004769F7"/>
    <w:rsid w:val="00476A74"/>
    <w:rsid w:val="00476AD7"/>
    <w:rsid w:val="00476E42"/>
    <w:rsid w:val="00476EA1"/>
    <w:rsid w:val="00477623"/>
    <w:rsid w:val="00477864"/>
    <w:rsid w:val="00477958"/>
    <w:rsid w:val="00477FC7"/>
    <w:rsid w:val="00480AB3"/>
    <w:rsid w:val="00481270"/>
    <w:rsid w:val="004816EA"/>
    <w:rsid w:val="004817E9"/>
    <w:rsid w:val="00481DDD"/>
    <w:rsid w:val="0048211F"/>
    <w:rsid w:val="00482B5A"/>
    <w:rsid w:val="00482B82"/>
    <w:rsid w:val="00482BEE"/>
    <w:rsid w:val="004845E0"/>
    <w:rsid w:val="004855C7"/>
    <w:rsid w:val="00486154"/>
    <w:rsid w:val="00486259"/>
    <w:rsid w:val="00486575"/>
    <w:rsid w:val="0048749A"/>
    <w:rsid w:val="004924C0"/>
    <w:rsid w:val="00492ED9"/>
    <w:rsid w:val="0049300D"/>
    <w:rsid w:val="0049307F"/>
    <w:rsid w:val="00493D12"/>
    <w:rsid w:val="00493D45"/>
    <w:rsid w:val="0049426D"/>
    <w:rsid w:val="00494385"/>
    <w:rsid w:val="00494AF5"/>
    <w:rsid w:val="004958E4"/>
    <w:rsid w:val="0049626A"/>
    <w:rsid w:val="004972D2"/>
    <w:rsid w:val="00497956"/>
    <w:rsid w:val="004A02D9"/>
    <w:rsid w:val="004A1912"/>
    <w:rsid w:val="004A247D"/>
    <w:rsid w:val="004A24C3"/>
    <w:rsid w:val="004A30B3"/>
    <w:rsid w:val="004A3836"/>
    <w:rsid w:val="004A39CC"/>
    <w:rsid w:val="004A4B90"/>
    <w:rsid w:val="004A5403"/>
    <w:rsid w:val="004A5511"/>
    <w:rsid w:val="004A7497"/>
    <w:rsid w:val="004B0721"/>
    <w:rsid w:val="004B0C7E"/>
    <w:rsid w:val="004B1A3A"/>
    <w:rsid w:val="004B20A4"/>
    <w:rsid w:val="004B2240"/>
    <w:rsid w:val="004B2742"/>
    <w:rsid w:val="004B2C70"/>
    <w:rsid w:val="004B3BA5"/>
    <w:rsid w:val="004B453F"/>
    <w:rsid w:val="004B5961"/>
    <w:rsid w:val="004B6C73"/>
    <w:rsid w:val="004B7042"/>
    <w:rsid w:val="004B7818"/>
    <w:rsid w:val="004B7C08"/>
    <w:rsid w:val="004C0475"/>
    <w:rsid w:val="004C1AD2"/>
    <w:rsid w:val="004C2A1F"/>
    <w:rsid w:val="004C33D1"/>
    <w:rsid w:val="004C43AC"/>
    <w:rsid w:val="004C45FE"/>
    <w:rsid w:val="004C4F2B"/>
    <w:rsid w:val="004C5052"/>
    <w:rsid w:val="004C63EE"/>
    <w:rsid w:val="004C679F"/>
    <w:rsid w:val="004C6F9A"/>
    <w:rsid w:val="004C70B6"/>
    <w:rsid w:val="004C7905"/>
    <w:rsid w:val="004D00E6"/>
    <w:rsid w:val="004D149C"/>
    <w:rsid w:val="004D1CBC"/>
    <w:rsid w:val="004D1DC3"/>
    <w:rsid w:val="004D2144"/>
    <w:rsid w:val="004D3325"/>
    <w:rsid w:val="004D3DBA"/>
    <w:rsid w:val="004D3EC7"/>
    <w:rsid w:val="004D50B2"/>
    <w:rsid w:val="004D56BF"/>
    <w:rsid w:val="004D5C41"/>
    <w:rsid w:val="004D6A28"/>
    <w:rsid w:val="004D6C1A"/>
    <w:rsid w:val="004E0089"/>
    <w:rsid w:val="004E139D"/>
    <w:rsid w:val="004E30B2"/>
    <w:rsid w:val="004E382E"/>
    <w:rsid w:val="004E6090"/>
    <w:rsid w:val="004E6639"/>
    <w:rsid w:val="004E6B71"/>
    <w:rsid w:val="004E6B73"/>
    <w:rsid w:val="004E6B7F"/>
    <w:rsid w:val="004E7853"/>
    <w:rsid w:val="004E7FBA"/>
    <w:rsid w:val="004F042C"/>
    <w:rsid w:val="004F05B9"/>
    <w:rsid w:val="004F06C9"/>
    <w:rsid w:val="004F0768"/>
    <w:rsid w:val="004F0FD4"/>
    <w:rsid w:val="004F1F02"/>
    <w:rsid w:val="004F333A"/>
    <w:rsid w:val="004F341E"/>
    <w:rsid w:val="004F34FE"/>
    <w:rsid w:val="004F4B31"/>
    <w:rsid w:val="004F50C5"/>
    <w:rsid w:val="004F569E"/>
    <w:rsid w:val="004F6570"/>
    <w:rsid w:val="004F6DF2"/>
    <w:rsid w:val="005006D6"/>
    <w:rsid w:val="0050073C"/>
    <w:rsid w:val="00500A97"/>
    <w:rsid w:val="005022E5"/>
    <w:rsid w:val="005026AF"/>
    <w:rsid w:val="00503408"/>
    <w:rsid w:val="00503C71"/>
    <w:rsid w:val="00504C7B"/>
    <w:rsid w:val="00504C9F"/>
    <w:rsid w:val="005053DE"/>
    <w:rsid w:val="00505441"/>
    <w:rsid w:val="00505968"/>
    <w:rsid w:val="0050610E"/>
    <w:rsid w:val="00507597"/>
    <w:rsid w:val="00512CD5"/>
    <w:rsid w:val="00514131"/>
    <w:rsid w:val="00514220"/>
    <w:rsid w:val="00514720"/>
    <w:rsid w:val="00514EF3"/>
    <w:rsid w:val="005168E7"/>
    <w:rsid w:val="005171C3"/>
    <w:rsid w:val="00517669"/>
    <w:rsid w:val="00517A87"/>
    <w:rsid w:val="005209FD"/>
    <w:rsid w:val="00520C13"/>
    <w:rsid w:val="00521EC3"/>
    <w:rsid w:val="0052229F"/>
    <w:rsid w:val="005222DF"/>
    <w:rsid w:val="00522B25"/>
    <w:rsid w:val="00522D6C"/>
    <w:rsid w:val="00522EC1"/>
    <w:rsid w:val="00523950"/>
    <w:rsid w:val="00523E6C"/>
    <w:rsid w:val="005246FA"/>
    <w:rsid w:val="00525BC7"/>
    <w:rsid w:val="00525D99"/>
    <w:rsid w:val="00526A21"/>
    <w:rsid w:val="00526BD1"/>
    <w:rsid w:val="00527BB4"/>
    <w:rsid w:val="00530359"/>
    <w:rsid w:val="005307E7"/>
    <w:rsid w:val="00530A4D"/>
    <w:rsid w:val="0053118F"/>
    <w:rsid w:val="00531C84"/>
    <w:rsid w:val="00532600"/>
    <w:rsid w:val="0053268F"/>
    <w:rsid w:val="00532954"/>
    <w:rsid w:val="00532A60"/>
    <w:rsid w:val="00532EE4"/>
    <w:rsid w:val="005332EC"/>
    <w:rsid w:val="005338A7"/>
    <w:rsid w:val="00535212"/>
    <w:rsid w:val="00535502"/>
    <w:rsid w:val="00535B27"/>
    <w:rsid w:val="00535CB2"/>
    <w:rsid w:val="00536A59"/>
    <w:rsid w:val="005416E9"/>
    <w:rsid w:val="0054190C"/>
    <w:rsid w:val="005422AA"/>
    <w:rsid w:val="00542F1A"/>
    <w:rsid w:val="005435B5"/>
    <w:rsid w:val="00544768"/>
    <w:rsid w:val="00544849"/>
    <w:rsid w:val="00544B3E"/>
    <w:rsid w:val="00545436"/>
    <w:rsid w:val="00545EE1"/>
    <w:rsid w:val="00546190"/>
    <w:rsid w:val="005463A6"/>
    <w:rsid w:val="005465A1"/>
    <w:rsid w:val="00546755"/>
    <w:rsid w:val="00546A2F"/>
    <w:rsid w:val="00546B33"/>
    <w:rsid w:val="005475C7"/>
    <w:rsid w:val="0054795B"/>
    <w:rsid w:val="00550102"/>
    <w:rsid w:val="00550CD7"/>
    <w:rsid w:val="0055197B"/>
    <w:rsid w:val="00553168"/>
    <w:rsid w:val="00553956"/>
    <w:rsid w:val="0055423D"/>
    <w:rsid w:val="0055459B"/>
    <w:rsid w:val="0055474D"/>
    <w:rsid w:val="00554D83"/>
    <w:rsid w:val="00554F78"/>
    <w:rsid w:val="00555226"/>
    <w:rsid w:val="005553D4"/>
    <w:rsid w:val="00555C78"/>
    <w:rsid w:val="00555FA5"/>
    <w:rsid w:val="00556452"/>
    <w:rsid w:val="00556AB9"/>
    <w:rsid w:val="00557172"/>
    <w:rsid w:val="00557378"/>
    <w:rsid w:val="00557F6D"/>
    <w:rsid w:val="00560046"/>
    <w:rsid w:val="00560A0C"/>
    <w:rsid w:val="005611C6"/>
    <w:rsid w:val="00561976"/>
    <w:rsid w:val="0056259D"/>
    <w:rsid w:val="00564FDC"/>
    <w:rsid w:val="00565864"/>
    <w:rsid w:val="00566AE7"/>
    <w:rsid w:val="00566B16"/>
    <w:rsid w:val="0056774F"/>
    <w:rsid w:val="00567CB4"/>
    <w:rsid w:val="005700B8"/>
    <w:rsid w:val="00570726"/>
    <w:rsid w:val="00570E57"/>
    <w:rsid w:val="00571013"/>
    <w:rsid w:val="005717EC"/>
    <w:rsid w:val="00571C4D"/>
    <w:rsid w:val="00571C51"/>
    <w:rsid w:val="005732C4"/>
    <w:rsid w:val="00573370"/>
    <w:rsid w:val="00573B05"/>
    <w:rsid w:val="00573B0E"/>
    <w:rsid w:val="005743CA"/>
    <w:rsid w:val="005745D1"/>
    <w:rsid w:val="00574672"/>
    <w:rsid w:val="005755C5"/>
    <w:rsid w:val="00575CAB"/>
    <w:rsid w:val="00576850"/>
    <w:rsid w:val="005775FC"/>
    <w:rsid w:val="005778D7"/>
    <w:rsid w:val="00577E45"/>
    <w:rsid w:val="00580854"/>
    <w:rsid w:val="00583D0F"/>
    <w:rsid w:val="0058475D"/>
    <w:rsid w:val="00584E48"/>
    <w:rsid w:val="00586817"/>
    <w:rsid w:val="00587476"/>
    <w:rsid w:val="00587C50"/>
    <w:rsid w:val="00590A8E"/>
    <w:rsid w:val="00591299"/>
    <w:rsid w:val="00591616"/>
    <w:rsid w:val="00591654"/>
    <w:rsid w:val="00591F3E"/>
    <w:rsid w:val="00592071"/>
    <w:rsid w:val="00592985"/>
    <w:rsid w:val="00593BAA"/>
    <w:rsid w:val="00595B1E"/>
    <w:rsid w:val="00596DC8"/>
    <w:rsid w:val="00597749"/>
    <w:rsid w:val="00597BF2"/>
    <w:rsid w:val="00597C6C"/>
    <w:rsid w:val="00597F38"/>
    <w:rsid w:val="005A07CE"/>
    <w:rsid w:val="005A19FE"/>
    <w:rsid w:val="005A1DF8"/>
    <w:rsid w:val="005A2C55"/>
    <w:rsid w:val="005A2F09"/>
    <w:rsid w:val="005A336F"/>
    <w:rsid w:val="005A33B6"/>
    <w:rsid w:val="005A3581"/>
    <w:rsid w:val="005A3ADA"/>
    <w:rsid w:val="005A3FF7"/>
    <w:rsid w:val="005A4B16"/>
    <w:rsid w:val="005A4D74"/>
    <w:rsid w:val="005A6350"/>
    <w:rsid w:val="005A6BE0"/>
    <w:rsid w:val="005B0878"/>
    <w:rsid w:val="005B091F"/>
    <w:rsid w:val="005B0D4C"/>
    <w:rsid w:val="005B1236"/>
    <w:rsid w:val="005B16F5"/>
    <w:rsid w:val="005B2425"/>
    <w:rsid w:val="005B2D2C"/>
    <w:rsid w:val="005B2FD5"/>
    <w:rsid w:val="005B41C4"/>
    <w:rsid w:val="005B49C6"/>
    <w:rsid w:val="005B5659"/>
    <w:rsid w:val="005B6F09"/>
    <w:rsid w:val="005C0BDB"/>
    <w:rsid w:val="005C0D4D"/>
    <w:rsid w:val="005C1473"/>
    <w:rsid w:val="005C1B99"/>
    <w:rsid w:val="005C1DB5"/>
    <w:rsid w:val="005C2EE5"/>
    <w:rsid w:val="005C32DD"/>
    <w:rsid w:val="005C3CBA"/>
    <w:rsid w:val="005C44A3"/>
    <w:rsid w:val="005C4C93"/>
    <w:rsid w:val="005C4F7E"/>
    <w:rsid w:val="005C51FD"/>
    <w:rsid w:val="005C52AA"/>
    <w:rsid w:val="005C543E"/>
    <w:rsid w:val="005C6249"/>
    <w:rsid w:val="005C7C13"/>
    <w:rsid w:val="005C7F99"/>
    <w:rsid w:val="005D054D"/>
    <w:rsid w:val="005D198A"/>
    <w:rsid w:val="005D1DDF"/>
    <w:rsid w:val="005D2A4A"/>
    <w:rsid w:val="005D38EE"/>
    <w:rsid w:val="005D46B1"/>
    <w:rsid w:val="005D48D0"/>
    <w:rsid w:val="005D4AD8"/>
    <w:rsid w:val="005D4C76"/>
    <w:rsid w:val="005D57CC"/>
    <w:rsid w:val="005D58B9"/>
    <w:rsid w:val="005D58D7"/>
    <w:rsid w:val="005D5B2C"/>
    <w:rsid w:val="005D5CAA"/>
    <w:rsid w:val="005D6956"/>
    <w:rsid w:val="005E1CF8"/>
    <w:rsid w:val="005E254B"/>
    <w:rsid w:val="005E2659"/>
    <w:rsid w:val="005E2722"/>
    <w:rsid w:val="005E38D8"/>
    <w:rsid w:val="005E410F"/>
    <w:rsid w:val="005E41EF"/>
    <w:rsid w:val="005E5CFD"/>
    <w:rsid w:val="005E6512"/>
    <w:rsid w:val="005E75BE"/>
    <w:rsid w:val="005E7D4E"/>
    <w:rsid w:val="005F085D"/>
    <w:rsid w:val="005F1CD0"/>
    <w:rsid w:val="005F2FE7"/>
    <w:rsid w:val="005F39D5"/>
    <w:rsid w:val="005F3AF5"/>
    <w:rsid w:val="005F4D9E"/>
    <w:rsid w:val="005F52A6"/>
    <w:rsid w:val="005F5B52"/>
    <w:rsid w:val="005F5CFA"/>
    <w:rsid w:val="005F6242"/>
    <w:rsid w:val="005F7AF6"/>
    <w:rsid w:val="005F7C35"/>
    <w:rsid w:val="005F7F69"/>
    <w:rsid w:val="00600589"/>
    <w:rsid w:val="00600BC7"/>
    <w:rsid w:val="00601705"/>
    <w:rsid w:val="0060330C"/>
    <w:rsid w:val="006040BF"/>
    <w:rsid w:val="0060507A"/>
    <w:rsid w:val="00605BBC"/>
    <w:rsid w:val="00606E6F"/>
    <w:rsid w:val="00607373"/>
    <w:rsid w:val="0060760F"/>
    <w:rsid w:val="00611576"/>
    <w:rsid w:val="00611FD9"/>
    <w:rsid w:val="00614D31"/>
    <w:rsid w:val="00616F83"/>
    <w:rsid w:val="00620216"/>
    <w:rsid w:val="00620C54"/>
    <w:rsid w:val="00621317"/>
    <w:rsid w:val="0062165B"/>
    <w:rsid w:val="0062221F"/>
    <w:rsid w:val="00622523"/>
    <w:rsid w:val="00623A65"/>
    <w:rsid w:val="00624264"/>
    <w:rsid w:val="0062467E"/>
    <w:rsid w:val="00625A4F"/>
    <w:rsid w:val="0062683B"/>
    <w:rsid w:val="00626E7A"/>
    <w:rsid w:val="0063022D"/>
    <w:rsid w:val="00630915"/>
    <w:rsid w:val="00631045"/>
    <w:rsid w:val="00631657"/>
    <w:rsid w:val="006328D4"/>
    <w:rsid w:val="00632D26"/>
    <w:rsid w:val="0063313F"/>
    <w:rsid w:val="00633399"/>
    <w:rsid w:val="006338BC"/>
    <w:rsid w:val="0063467E"/>
    <w:rsid w:val="00634CEF"/>
    <w:rsid w:val="00634F7A"/>
    <w:rsid w:val="00634FDF"/>
    <w:rsid w:val="00636529"/>
    <w:rsid w:val="00636CAB"/>
    <w:rsid w:val="00637A57"/>
    <w:rsid w:val="006408A8"/>
    <w:rsid w:val="00640F37"/>
    <w:rsid w:val="00641567"/>
    <w:rsid w:val="0064195D"/>
    <w:rsid w:val="00643E7A"/>
    <w:rsid w:val="006448AF"/>
    <w:rsid w:val="006449F8"/>
    <w:rsid w:val="0064666E"/>
    <w:rsid w:val="006473AF"/>
    <w:rsid w:val="00647403"/>
    <w:rsid w:val="00647426"/>
    <w:rsid w:val="006474CE"/>
    <w:rsid w:val="00647666"/>
    <w:rsid w:val="006504D2"/>
    <w:rsid w:val="00650B73"/>
    <w:rsid w:val="00650E81"/>
    <w:rsid w:val="006510B4"/>
    <w:rsid w:val="006530E8"/>
    <w:rsid w:val="006547D8"/>
    <w:rsid w:val="00654E65"/>
    <w:rsid w:val="006555A0"/>
    <w:rsid w:val="0065562C"/>
    <w:rsid w:val="0065572C"/>
    <w:rsid w:val="00655B16"/>
    <w:rsid w:val="00656869"/>
    <w:rsid w:val="00656F58"/>
    <w:rsid w:val="006572CF"/>
    <w:rsid w:val="0065768C"/>
    <w:rsid w:val="006579D3"/>
    <w:rsid w:val="00657DA1"/>
    <w:rsid w:val="00660187"/>
    <w:rsid w:val="00660282"/>
    <w:rsid w:val="006613FA"/>
    <w:rsid w:val="0066179A"/>
    <w:rsid w:val="00661C69"/>
    <w:rsid w:val="00661DAD"/>
    <w:rsid w:val="006622E3"/>
    <w:rsid w:val="00662334"/>
    <w:rsid w:val="00662CB1"/>
    <w:rsid w:val="0066379D"/>
    <w:rsid w:val="00663C82"/>
    <w:rsid w:val="0066555D"/>
    <w:rsid w:val="006665A4"/>
    <w:rsid w:val="00667723"/>
    <w:rsid w:val="006711C3"/>
    <w:rsid w:val="0067134B"/>
    <w:rsid w:val="00671D7B"/>
    <w:rsid w:val="006730C0"/>
    <w:rsid w:val="00673C17"/>
    <w:rsid w:val="00673F6F"/>
    <w:rsid w:val="00673F76"/>
    <w:rsid w:val="0067451E"/>
    <w:rsid w:val="00674882"/>
    <w:rsid w:val="00674BBD"/>
    <w:rsid w:val="00675075"/>
    <w:rsid w:val="00675E85"/>
    <w:rsid w:val="0067639C"/>
    <w:rsid w:val="00676528"/>
    <w:rsid w:val="00676E95"/>
    <w:rsid w:val="006804E0"/>
    <w:rsid w:val="00680A94"/>
    <w:rsid w:val="00680C5C"/>
    <w:rsid w:val="00680E82"/>
    <w:rsid w:val="00682427"/>
    <w:rsid w:val="00682480"/>
    <w:rsid w:val="0068294D"/>
    <w:rsid w:val="00683E77"/>
    <w:rsid w:val="006863A6"/>
    <w:rsid w:val="006866E9"/>
    <w:rsid w:val="00686ED5"/>
    <w:rsid w:val="00687FB4"/>
    <w:rsid w:val="006901D3"/>
    <w:rsid w:val="00690433"/>
    <w:rsid w:val="00690DF5"/>
    <w:rsid w:val="006911AD"/>
    <w:rsid w:val="006911EC"/>
    <w:rsid w:val="00693C14"/>
    <w:rsid w:val="00695404"/>
    <w:rsid w:val="00696412"/>
    <w:rsid w:val="006965F7"/>
    <w:rsid w:val="00696BBE"/>
    <w:rsid w:val="006977EC"/>
    <w:rsid w:val="00697F8E"/>
    <w:rsid w:val="00697FE8"/>
    <w:rsid w:val="006A0CF9"/>
    <w:rsid w:val="006A0E03"/>
    <w:rsid w:val="006A0EF8"/>
    <w:rsid w:val="006A1645"/>
    <w:rsid w:val="006A1A89"/>
    <w:rsid w:val="006A2269"/>
    <w:rsid w:val="006A3338"/>
    <w:rsid w:val="006A3932"/>
    <w:rsid w:val="006A3A5D"/>
    <w:rsid w:val="006A412D"/>
    <w:rsid w:val="006A4590"/>
    <w:rsid w:val="006A4854"/>
    <w:rsid w:val="006A49A3"/>
    <w:rsid w:val="006A5872"/>
    <w:rsid w:val="006A5CE3"/>
    <w:rsid w:val="006A66A6"/>
    <w:rsid w:val="006A71E9"/>
    <w:rsid w:val="006A762E"/>
    <w:rsid w:val="006A7833"/>
    <w:rsid w:val="006B1B3F"/>
    <w:rsid w:val="006B2680"/>
    <w:rsid w:val="006B27F4"/>
    <w:rsid w:val="006B5CB2"/>
    <w:rsid w:val="006B62EF"/>
    <w:rsid w:val="006B6C18"/>
    <w:rsid w:val="006B6C93"/>
    <w:rsid w:val="006B6D4C"/>
    <w:rsid w:val="006B7A01"/>
    <w:rsid w:val="006B7CF5"/>
    <w:rsid w:val="006C0B4D"/>
    <w:rsid w:val="006C1094"/>
    <w:rsid w:val="006C13D4"/>
    <w:rsid w:val="006C1C39"/>
    <w:rsid w:val="006C1F93"/>
    <w:rsid w:val="006C303E"/>
    <w:rsid w:val="006C3390"/>
    <w:rsid w:val="006C3F44"/>
    <w:rsid w:val="006C4183"/>
    <w:rsid w:val="006C4537"/>
    <w:rsid w:val="006C4B7E"/>
    <w:rsid w:val="006C5150"/>
    <w:rsid w:val="006C5737"/>
    <w:rsid w:val="006C6570"/>
    <w:rsid w:val="006C6733"/>
    <w:rsid w:val="006C750C"/>
    <w:rsid w:val="006C75E3"/>
    <w:rsid w:val="006D06CF"/>
    <w:rsid w:val="006D078B"/>
    <w:rsid w:val="006D0857"/>
    <w:rsid w:val="006D08FE"/>
    <w:rsid w:val="006D0BCF"/>
    <w:rsid w:val="006D22B8"/>
    <w:rsid w:val="006D2B66"/>
    <w:rsid w:val="006D2B67"/>
    <w:rsid w:val="006D2B6E"/>
    <w:rsid w:val="006D348A"/>
    <w:rsid w:val="006D4CB2"/>
    <w:rsid w:val="006D5A30"/>
    <w:rsid w:val="006D5B3B"/>
    <w:rsid w:val="006D5D9F"/>
    <w:rsid w:val="006D6BA1"/>
    <w:rsid w:val="006D7AB4"/>
    <w:rsid w:val="006E070F"/>
    <w:rsid w:val="006E12D7"/>
    <w:rsid w:val="006E1E5B"/>
    <w:rsid w:val="006E21B5"/>
    <w:rsid w:val="006E470A"/>
    <w:rsid w:val="006E5515"/>
    <w:rsid w:val="006E5A70"/>
    <w:rsid w:val="006E7633"/>
    <w:rsid w:val="006E7FB5"/>
    <w:rsid w:val="006F03F3"/>
    <w:rsid w:val="006F1606"/>
    <w:rsid w:val="006F42F4"/>
    <w:rsid w:val="006F57AD"/>
    <w:rsid w:val="006F62F7"/>
    <w:rsid w:val="006F6BA7"/>
    <w:rsid w:val="007004F1"/>
    <w:rsid w:val="007009BE"/>
    <w:rsid w:val="007018F1"/>
    <w:rsid w:val="00701A86"/>
    <w:rsid w:val="00702708"/>
    <w:rsid w:val="007032F3"/>
    <w:rsid w:val="00703871"/>
    <w:rsid w:val="0070415D"/>
    <w:rsid w:val="00705F35"/>
    <w:rsid w:val="00706BD0"/>
    <w:rsid w:val="00706E73"/>
    <w:rsid w:val="007070EB"/>
    <w:rsid w:val="007100E3"/>
    <w:rsid w:val="00711002"/>
    <w:rsid w:val="007118FF"/>
    <w:rsid w:val="00711E16"/>
    <w:rsid w:val="00711F7F"/>
    <w:rsid w:val="00712223"/>
    <w:rsid w:val="00713562"/>
    <w:rsid w:val="00713D0A"/>
    <w:rsid w:val="00714B0D"/>
    <w:rsid w:val="007150B7"/>
    <w:rsid w:val="00715BB0"/>
    <w:rsid w:val="00716926"/>
    <w:rsid w:val="00717DED"/>
    <w:rsid w:val="0072043E"/>
    <w:rsid w:val="007204E8"/>
    <w:rsid w:val="00720A5F"/>
    <w:rsid w:val="00720CB1"/>
    <w:rsid w:val="007212FB"/>
    <w:rsid w:val="00721A76"/>
    <w:rsid w:val="00722E5C"/>
    <w:rsid w:val="007230E1"/>
    <w:rsid w:val="00723BF4"/>
    <w:rsid w:val="007240F2"/>
    <w:rsid w:val="0072448C"/>
    <w:rsid w:val="00724E80"/>
    <w:rsid w:val="00724F2B"/>
    <w:rsid w:val="00725229"/>
    <w:rsid w:val="0072538C"/>
    <w:rsid w:val="007255A8"/>
    <w:rsid w:val="007256C5"/>
    <w:rsid w:val="00725A9B"/>
    <w:rsid w:val="00726717"/>
    <w:rsid w:val="00726C34"/>
    <w:rsid w:val="00727AAD"/>
    <w:rsid w:val="00727C31"/>
    <w:rsid w:val="00727CD4"/>
    <w:rsid w:val="00727FE7"/>
    <w:rsid w:val="007306DE"/>
    <w:rsid w:val="00731C42"/>
    <w:rsid w:val="00731DD6"/>
    <w:rsid w:val="0073208D"/>
    <w:rsid w:val="00732F8B"/>
    <w:rsid w:val="007355E6"/>
    <w:rsid w:val="00735BCD"/>
    <w:rsid w:val="00735E83"/>
    <w:rsid w:val="00737138"/>
    <w:rsid w:val="00737E3F"/>
    <w:rsid w:val="00741006"/>
    <w:rsid w:val="00741D32"/>
    <w:rsid w:val="00741ED0"/>
    <w:rsid w:val="00742EA0"/>
    <w:rsid w:val="007438EE"/>
    <w:rsid w:val="00743FD0"/>
    <w:rsid w:val="00744721"/>
    <w:rsid w:val="007450B5"/>
    <w:rsid w:val="0074593C"/>
    <w:rsid w:val="00745A9F"/>
    <w:rsid w:val="0074638A"/>
    <w:rsid w:val="0074641D"/>
    <w:rsid w:val="00746B17"/>
    <w:rsid w:val="00746C08"/>
    <w:rsid w:val="00747A19"/>
    <w:rsid w:val="00750C47"/>
    <w:rsid w:val="00750CDB"/>
    <w:rsid w:val="00751132"/>
    <w:rsid w:val="00751CB0"/>
    <w:rsid w:val="007522E8"/>
    <w:rsid w:val="007527A3"/>
    <w:rsid w:val="007527E4"/>
    <w:rsid w:val="0075302A"/>
    <w:rsid w:val="007534B9"/>
    <w:rsid w:val="007537C9"/>
    <w:rsid w:val="00753D16"/>
    <w:rsid w:val="00754D99"/>
    <w:rsid w:val="00755F87"/>
    <w:rsid w:val="00757580"/>
    <w:rsid w:val="00760002"/>
    <w:rsid w:val="00760305"/>
    <w:rsid w:val="007606C0"/>
    <w:rsid w:val="00760FAB"/>
    <w:rsid w:val="00761884"/>
    <w:rsid w:val="00762290"/>
    <w:rsid w:val="007649D8"/>
    <w:rsid w:val="007651BA"/>
    <w:rsid w:val="00766559"/>
    <w:rsid w:val="00766D63"/>
    <w:rsid w:val="0076734B"/>
    <w:rsid w:val="00767722"/>
    <w:rsid w:val="0077028B"/>
    <w:rsid w:val="00770772"/>
    <w:rsid w:val="0077091F"/>
    <w:rsid w:val="00770DEF"/>
    <w:rsid w:val="00771EC8"/>
    <w:rsid w:val="00771FE1"/>
    <w:rsid w:val="00772E69"/>
    <w:rsid w:val="00773105"/>
    <w:rsid w:val="00773DC2"/>
    <w:rsid w:val="00774908"/>
    <w:rsid w:val="00774BCE"/>
    <w:rsid w:val="00775E5F"/>
    <w:rsid w:val="00776635"/>
    <w:rsid w:val="00776AC0"/>
    <w:rsid w:val="0077792F"/>
    <w:rsid w:val="00777A95"/>
    <w:rsid w:val="00777DF5"/>
    <w:rsid w:val="00777EF4"/>
    <w:rsid w:val="00780CB1"/>
    <w:rsid w:val="007811D1"/>
    <w:rsid w:val="00782DE3"/>
    <w:rsid w:val="0078346D"/>
    <w:rsid w:val="00783556"/>
    <w:rsid w:val="00783B41"/>
    <w:rsid w:val="00783F01"/>
    <w:rsid w:val="00784121"/>
    <w:rsid w:val="007845A1"/>
    <w:rsid w:val="00784EBB"/>
    <w:rsid w:val="00785027"/>
    <w:rsid w:val="007853E9"/>
    <w:rsid w:val="007859EB"/>
    <w:rsid w:val="00785B47"/>
    <w:rsid w:val="007862AF"/>
    <w:rsid w:val="00786C67"/>
    <w:rsid w:val="00787408"/>
    <w:rsid w:val="00787C67"/>
    <w:rsid w:val="0079098E"/>
    <w:rsid w:val="00790F15"/>
    <w:rsid w:val="00791163"/>
    <w:rsid w:val="007915DF"/>
    <w:rsid w:val="007934BE"/>
    <w:rsid w:val="00793D4E"/>
    <w:rsid w:val="00793EC0"/>
    <w:rsid w:val="00796A23"/>
    <w:rsid w:val="00797234"/>
    <w:rsid w:val="007977EA"/>
    <w:rsid w:val="00797B06"/>
    <w:rsid w:val="007A0B02"/>
    <w:rsid w:val="007A166F"/>
    <w:rsid w:val="007A18A2"/>
    <w:rsid w:val="007A2C38"/>
    <w:rsid w:val="007A2E3E"/>
    <w:rsid w:val="007A33FC"/>
    <w:rsid w:val="007A3468"/>
    <w:rsid w:val="007A398C"/>
    <w:rsid w:val="007A3A4B"/>
    <w:rsid w:val="007A3D05"/>
    <w:rsid w:val="007A4070"/>
    <w:rsid w:val="007A45EE"/>
    <w:rsid w:val="007A4B5D"/>
    <w:rsid w:val="007A5BC5"/>
    <w:rsid w:val="007A6136"/>
    <w:rsid w:val="007A6F56"/>
    <w:rsid w:val="007A6F6F"/>
    <w:rsid w:val="007B066E"/>
    <w:rsid w:val="007B0D31"/>
    <w:rsid w:val="007B17EA"/>
    <w:rsid w:val="007B1C54"/>
    <w:rsid w:val="007B1C9B"/>
    <w:rsid w:val="007B251F"/>
    <w:rsid w:val="007B2B71"/>
    <w:rsid w:val="007B2EF1"/>
    <w:rsid w:val="007B3737"/>
    <w:rsid w:val="007B3792"/>
    <w:rsid w:val="007B396B"/>
    <w:rsid w:val="007B3B50"/>
    <w:rsid w:val="007B4DC3"/>
    <w:rsid w:val="007B4FF9"/>
    <w:rsid w:val="007B5221"/>
    <w:rsid w:val="007B5A47"/>
    <w:rsid w:val="007B75CD"/>
    <w:rsid w:val="007C0071"/>
    <w:rsid w:val="007C013C"/>
    <w:rsid w:val="007C0977"/>
    <w:rsid w:val="007C188A"/>
    <w:rsid w:val="007C1BE4"/>
    <w:rsid w:val="007C2255"/>
    <w:rsid w:val="007C2616"/>
    <w:rsid w:val="007C2E64"/>
    <w:rsid w:val="007C3A40"/>
    <w:rsid w:val="007C3A5F"/>
    <w:rsid w:val="007C4099"/>
    <w:rsid w:val="007C4A79"/>
    <w:rsid w:val="007C4AFE"/>
    <w:rsid w:val="007C4E47"/>
    <w:rsid w:val="007C5460"/>
    <w:rsid w:val="007C5A22"/>
    <w:rsid w:val="007C64E8"/>
    <w:rsid w:val="007D0446"/>
    <w:rsid w:val="007D1076"/>
    <w:rsid w:val="007D1441"/>
    <w:rsid w:val="007D166E"/>
    <w:rsid w:val="007D1B0B"/>
    <w:rsid w:val="007D1C6D"/>
    <w:rsid w:val="007D1D1A"/>
    <w:rsid w:val="007D20DE"/>
    <w:rsid w:val="007D21BB"/>
    <w:rsid w:val="007D2385"/>
    <w:rsid w:val="007D2934"/>
    <w:rsid w:val="007D29B5"/>
    <w:rsid w:val="007D33FB"/>
    <w:rsid w:val="007D3E0B"/>
    <w:rsid w:val="007D41E8"/>
    <w:rsid w:val="007D4371"/>
    <w:rsid w:val="007D46B8"/>
    <w:rsid w:val="007D4D4D"/>
    <w:rsid w:val="007D5895"/>
    <w:rsid w:val="007D5C88"/>
    <w:rsid w:val="007D5E32"/>
    <w:rsid w:val="007D5F94"/>
    <w:rsid w:val="007D6A46"/>
    <w:rsid w:val="007D6DD0"/>
    <w:rsid w:val="007D700B"/>
    <w:rsid w:val="007D7632"/>
    <w:rsid w:val="007D7812"/>
    <w:rsid w:val="007E029C"/>
    <w:rsid w:val="007E11E0"/>
    <w:rsid w:val="007E14C7"/>
    <w:rsid w:val="007E27D9"/>
    <w:rsid w:val="007E2E8C"/>
    <w:rsid w:val="007E333E"/>
    <w:rsid w:val="007E3492"/>
    <w:rsid w:val="007E3C53"/>
    <w:rsid w:val="007E3E4D"/>
    <w:rsid w:val="007E4084"/>
    <w:rsid w:val="007E4442"/>
    <w:rsid w:val="007E4C1B"/>
    <w:rsid w:val="007E4DA7"/>
    <w:rsid w:val="007E5319"/>
    <w:rsid w:val="007E5C2C"/>
    <w:rsid w:val="007E5CCB"/>
    <w:rsid w:val="007E7112"/>
    <w:rsid w:val="007F0058"/>
    <w:rsid w:val="007F1751"/>
    <w:rsid w:val="007F1C2B"/>
    <w:rsid w:val="007F1D88"/>
    <w:rsid w:val="007F24CE"/>
    <w:rsid w:val="007F2A0C"/>
    <w:rsid w:val="007F2C7F"/>
    <w:rsid w:val="007F2D27"/>
    <w:rsid w:val="007F3599"/>
    <w:rsid w:val="007F3834"/>
    <w:rsid w:val="007F3DED"/>
    <w:rsid w:val="007F409B"/>
    <w:rsid w:val="007F4172"/>
    <w:rsid w:val="007F442A"/>
    <w:rsid w:val="007F45CC"/>
    <w:rsid w:val="007F4793"/>
    <w:rsid w:val="007F58C2"/>
    <w:rsid w:val="007F6040"/>
    <w:rsid w:val="007F65A8"/>
    <w:rsid w:val="007F6871"/>
    <w:rsid w:val="007F69E3"/>
    <w:rsid w:val="007F69F7"/>
    <w:rsid w:val="007F7132"/>
    <w:rsid w:val="007F724B"/>
    <w:rsid w:val="00800CB3"/>
    <w:rsid w:val="00800E50"/>
    <w:rsid w:val="008014B1"/>
    <w:rsid w:val="00801830"/>
    <w:rsid w:val="0080204B"/>
    <w:rsid w:val="0080251E"/>
    <w:rsid w:val="00802BF4"/>
    <w:rsid w:val="00802D3C"/>
    <w:rsid w:val="0080324D"/>
    <w:rsid w:val="008037E9"/>
    <w:rsid w:val="00803C5F"/>
    <w:rsid w:val="00803CFE"/>
    <w:rsid w:val="00804661"/>
    <w:rsid w:val="008051B7"/>
    <w:rsid w:val="0080570D"/>
    <w:rsid w:val="00805C3E"/>
    <w:rsid w:val="00806483"/>
    <w:rsid w:val="00807DE2"/>
    <w:rsid w:val="0081006E"/>
    <w:rsid w:val="00811A5E"/>
    <w:rsid w:val="0081245C"/>
    <w:rsid w:val="00812A14"/>
    <w:rsid w:val="00812ED6"/>
    <w:rsid w:val="00813837"/>
    <w:rsid w:val="0081452D"/>
    <w:rsid w:val="00814A31"/>
    <w:rsid w:val="00815227"/>
    <w:rsid w:val="0081726A"/>
    <w:rsid w:val="00817C8A"/>
    <w:rsid w:val="00820633"/>
    <w:rsid w:val="0082086B"/>
    <w:rsid w:val="00820A5B"/>
    <w:rsid w:val="00820FFD"/>
    <w:rsid w:val="008230EB"/>
    <w:rsid w:val="00823D2D"/>
    <w:rsid w:val="0082455A"/>
    <w:rsid w:val="0082472E"/>
    <w:rsid w:val="00824790"/>
    <w:rsid w:val="00824970"/>
    <w:rsid w:val="00824EC1"/>
    <w:rsid w:val="00825941"/>
    <w:rsid w:val="00825E50"/>
    <w:rsid w:val="00826E62"/>
    <w:rsid w:val="00827303"/>
    <w:rsid w:val="0082772F"/>
    <w:rsid w:val="00827F09"/>
    <w:rsid w:val="00830A85"/>
    <w:rsid w:val="00830FFB"/>
    <w:rsid w:val="00831E17"/>
    <w:rsid w:val="00832062"/>
    <w:rsid w:val="008321DE"/>
    <w:rsid w:val="00832A5E"/>
    <w:rsid w:val="00833377"/>
    <w:rsid w:val="008339B3"/>
    <w:rsid w:val="00833CC3"/>
    <w:rsid w:val="008356FB"/>
    <w:rsid w:val="0083580A"/>
    <w:rsid w:val="00835C46"/>
    <w:rsid w:val="008363F8"/>
    <w:rsid w:val="00837244"/>
    <w:rsid w:val="00837289"/>
    <w:rsid w:val="0083742F"/>
    <w:rsid w:val="008374BA"/>
    <w:rsid w:val="00837610"/>
    <w:rsid w:val="00837DE9"/>
    <w:rsid w:val="00841CD5"/>
    <w:rsid w:val="0084248F"/>
    <w:rsid w:val="00843110"/>
    <w:rsid w:val="00843981"/>
    <w:rsid w:val="00844709"/>
    <w:rsid w:val="008448B5"/>
    <w:rsid w:val="00844C99"/>
    <w:rsid w:val="0084521A"/>
    <w:rsid w:val="0084544D"/>
    <w:rsid w:val="00845A57"/>
    <w:rsid w:val="00846E2F"/>
    <w:rsid w:val="00847F57"/>
    <w:rsid w:val="00850E1E"/>
    <w:rsid w:val="0085140F"/>
    <w:rsid w:val="008516C1"/>
    <w:rsid w:val="00851DD3"/>
    <w:rsid w:val="00851ED4"/>
    <w:rsid w:val="00852060"/>
    <w:rsid w:val="00852337"/>
    <w:rsid w:val="008525CC"/>
    <w:rsid w:val="00852AF6"/>
    <w:rsid w:val="0085321A"/>
    <w:rsid w:val="0085323A"/>
    <w:rsid w:val="00853DDA"/>
    <w:rsid w:val="00855100"/>
    <w:rsid w:val="0085537D"/>
    <w:rsid w:val="008555A4"/>
    <w:rsid w:val="008565B6"/>
    <w:rsid w:val="00857A03"/>
    <w:rsid w:val="00857C96"/>
    <w:rsid w:val="0086087C"/>
    <w:rsid w:val="00860DAE"/>
    <w:rsid w:val="00860EED"/>
    <w:rsid w:val="00861121"/>
    <w:rsid w:val="00861A2B"/>
    <w:rsid w:val="00861CC1"/>
    <w:rsid w:val="00861D2E"/>
    <w:rsid w:val="00862B59"/>
    <w:rsid w:val="00864BA3"/>
    <w:rsid w:val="0086560D"/>
    <w:rsid w:val="00866369"/>
    <w:rsid w:val="00866C1E"/>
    <w:rsid w:val="00866E87"/>
    <w:rsid w:val="0086749A"/>
    <w:rsid w:val="008702B8"/>
    <w:rsid w:val="008709FE"/>
    <w:rsid w:val="0087121E"/>
    <w:rsid w:val="008715B7"/>
    <w:rsid w:val="00871D41"/>
    <w:rsid w:val="00872F8C"/>
    <w:rsid w:val="00873D52"/>
    <w:rsid w:val="00874313"/>
    <w:rsid w:val="00874577"/>
    <w:rsid w:val="008745E4"/>
    <w:rsid w:val="00874970"/>
    <w:rsid w:val="00874A22"/>
    <w:rsid w:val="008750BB"/>
    <w:rsid w:val="00875749"/>
    <w:rsid w:val="00876424"/>
    <w:rsid w:val="008777E0"/>
    <w:rsid w:val="00880B91"/>
    <w:rsid w:val="00880F2D"/>
    <w:rsid w:val="008815AF"/>
    <w:rsid w:val="00881D25"/>
    <w:rsid w:val="00882D2E"/>
    <w:rsid w:val="00882E27"/>
    <w:rsid w:val="00882EFC"/>
    <w:rsid w:val="008830B3"/>
    <w:rsid w:val="00883252"/>
    <w:rsid w:val="00883483"/>
    <w:rsid w:val="008840FE"/>
    <w:rsid w:val="00884497"/>
    <w:rsid w:val="00884523"/>
    <w:rsid w:val="00884DA3"/>
    <w:rsid w:val="008873A4"/>
    <w:rsid w:val="008876D0"/>
    <w:rsid w:val="008876F8"/>
    <w:rsid w:val="00887EC5"/>
    <w:rsid w:val="00887F72"/>
    <w:rsid w:val="008909DC"/>
    <w:rsid w:val="00892099"/>
    <w:rsid w:val="00892789"/>
    <w:rsid w:val="00892B74"/>
    <w:rsid w:val="00894354"/>
    <w:rsid w:val="00895792"/>
    <w:rsid w:val="0089655E"/>
    <w:rsid w:val="008977D1"/>
    <w:rsid w:val="008A056C"/>
    <w:rsid w:val="008A0E07"/>
    <w:rsid w:val="008A201E"/>
    <w:rsid w:val="008A2A4D"/>
    <w:rsid w:val="008A2ABD"/>
    <w:rsid w:val="008A3E0E"/>
    <w:rsid w:val="008A4A2B"/>
    <w:rsid w:val="008A506F"/>
    <w:rsid w:val="008A5132"/>
    <w:rsid w:val="008A520A"/>
    <w:rsid w:val="008A5D0B"/>
    <w:rsid w:val="008A7511"/>
    <w:rsid w:val="008A7D1F"/>
    <w:rsid w:val="008A7D38"/>
    <w:rsid w:val="008A7DBA"/>
    <w:rsid w:val="008B043D"/>
    <w:rsid w:val="008B2123"/>
    <w:rsid w:val="008B24C2"/>
    <w:rsid w:val="008B2B59"/>
    <w:rsid w:val="008B2E65"/>
    <w:rsid w:val="008B312D"/>
    <w:rsid w:val="008B3F24"/>
    <w:rsid w:val="008B4EEE"/>
    <w:rsid w:val="008B5960"/>
    <w:rsid w:val="008B5B84"/>
    <w:rsid w:val="008B5CF5"/>
    <w:rsid w:val="008B7B8A"/>
    <w:rsid w:val="008C0489"/>
    <w:rsid w:val="008C0F96"/>
    <w:rsid w:val="008C155D"/>
    <w:rsid w:val="008C25B3"/>
    <w:rsid w:val="008C25D1"/>
    <w:rsid w:val="008C2617"/>
    <w:rsid w:val="008C2D3C"/>
    <w:rsid w:val="008C3185"/>
    <w:rsid w:val="008C42BD"/>
    <w:rsid w:val="008C4DF8"/>
    <w:rsid w:val="008C4E18"/>
    <w:rsid w:val="008C543B"/>
    <w:rsid w:val="008C568D"/>
    <w:rsid w:val="008C5E8D"/>
    <w:rsid w:val="008C695E"/>
    <w:rsid w:val="008C6B8D"/>
    <w:rsid w:val="008C7CCE"/>
    <w:rsid w:val="008C7DF6"/>
    <w:rsid w:val="008C7F7D"/>
    <w:rsid w:val="008D0B3B"/>
    <w:rsid w:val="008D1550"/>
    <w:rsid w:val="008D22BD"/>
    <w:rsid w:val="008D28FD"/>
    <w:rsid w:val="008D4079"/>
    <w:rsid w:val="008D4ADF"/>
    <w:rsid w:val="008D4ED5"/>
    <w:rsid w:val="008D4F00"/>
    <w:rsid w:val="008D5164"/>
    <w:rsid w:val="008D533E"/>
    <w:rsid w:val="008D5DB3"/>
    <w:rsid w:val="008D7878"/>
    <w:rsid w:val="008E0E6B"/>
    <w:rsid w:val="008E21B7"/>
    <w:rsid w:val="008E2597"/>
    <w:rsid w:val="008E3157"/>
    <w:rsid w:val="008E33B4"/>
    <w:rsid w:val="008E45F1"/>
    <w:rsid w:val="008E483D"/>
    <w:rsid w:val="008E4C45"/>
    <w:rsid w:val="008E4DBC"/>
    <w:rsid w:val="008E54BF"/>
    <w:rsid w:val="008E5790"/>
    <w:rsid w:val="008E57B3"/>
    <w:rsid w:val="008E58B9"/>
    <w:rsid w:val="008E5C5E"/>
    <w:rsid w:val="008E5E45"/>
    <w:rsid w:val="008E5F79"/>
    <w:rsid w:val="008E6D35"/>
    <w:rsid w:val="008E6E67"/>
    <w:rsid w:val="008E76D3"/>
    <w:rsid w:val="008E7C7E"/>
    <w:rsid w:val="008F09E0"/>
    <w:rsid w:val="008F0D5C"/>
    <w:rsid w:val="008F17D0"/>
    <w:rsid w:val="008F23AC"/>
    <w:rsid w:val="008F33BC"/>
    <w:rsid w:val="008F3600"/>
    <w:rsid w:val="008F4143"/>
    <w:rsid w:val="008F477B"/>
    <w:rsid w:val="008F498F"/>
    <w:rsid w:val="008F49FC"/>
    <w:rsid w:val="008F4DDB"/>
    <w:rsid w:val="008F54E8"/>
    <w:rsid w:val="008F55BF"/>
    <w:rsid w:val="008F587F"/>
    <w:rsid w:val="008F5A80"/>
    <w:rsid w:val="008F6AF3"/>
    <w:rsid w:val="008F6BF4"/>
    <w:rsid w:val="008F6CDF"/>
    <w:rsid w:val="009002ED"/>
    <w:rsid w:val="009004C7"/>
    <w:rsid w:val="00900DC5"/>
    <w:rsid w:val="00901588"/>
    <w:rsid w:val="009020CC"/>
    <w:rsid w:val="009024BA"/>
    <w:rsid w:val="0090265F"/>
    <w:rsid w:val="00904CAA"/>
    <w:rsid w:val="00905392"/>
    <w:rsid w:val="009060F9"/>
    <w:rsid w:val="00906B39"/>
    <w:rsid w:val="00906DA3"/>
    <w:rsid w:val="00906F85"/>
    <w:rsid w:val="009072D3"/>
    <w:rsid w:val="00907AA9"/>
    <w:rsid w:val="00910547"/>
    <w:rsid w:val="00910612"/>
    <w:rsid w:val="0091253E"/>
    <w:rsid w:val="00912C67"/>
    <w:rsid w:val="00913B05"/>
    <w:rsid w:val="00914260"/>
    <w:rsid w:val="00914805"/>
    <w:rsid w:val="00915464"/>
    <w:rsid w:val="00915795"/>
    <w:rsid w:val="0091637C"/>
    <w:rsid w:val="0091698A"/>
    <w:rsid w:val="00917548"/>
    <w:rsid w:val="00917645"/>
    <w:rsid w:val="009177C8"/>
    <w:rsid w:val="00917F15"/>
    <w:rsid w:val="0092020A"/>
    <w:rsid w:val="009203A9"/>
    <w:rsid w:val="00921196"/>
    <w:rsid w:val="0092182B"/>
    <w:rsid w:val="009220D4"/>
    <w:rsid w:val="00922794"/>
    <w:rsid w:val="00922B56"/>
    <w:rsid w:val="009231FD"/>
    <w:rsid w:val="009234D1"/>
    <w:rsid w:val="0092355C"/>
    <w:rsid w:val="00923673"/>
    <w:rsid w:val="00923DDD"/>
    <w:rsid w:val="00923F2D"/>
    <w:rsid w:val="00924F8D"/>
    <w:rsid w:val="00925164"/>
    <w:rsid w:val="0092524D"/>
    <w:rsid w:val="0092535A"/>
    <w:rsid w:val="00925622"/>
    <w:rsid w:val="00926777"/>
    <w:rsid w:val="00926DE5"/>
    <w:rsid w:val="00930850"/>
    <w:rsid w:val="0093092E"/>
    <w:rsid w:val="00930E53"/>
    <w:rsid w:val="009314B3"/>
    <w:rsid w:val="00932455"/>
    <w:rsid w:val="009328A7"/>
    <w:rsid w:val="00932A81"/>
    <w:rsid w:val="00932AC5"/>
    <w:rsid w:val="00933BB9"/>
    <w:rsid w:val="009341E6"/>
    <w:rsid w:val="00934A48"/>
    <w:rsid w:val="0093534F"/>
    <w:rsid w:val="009360F3"/>
    <w:rsid w:val="009361AD"/>
    <w:rsid w:val="00936E4D"/>
    <w:rsid w:val="00937B1D"/>
    <w:rsid w:val="00940C2A"/>
    <w:rsid w:val="009420DF"/>
    <w:rsid w:val="009421D4"/>
    <w:rsid w:val="0094270E"/>
    <w:rsid w:val="0094278C"/>
    <w:rsid w:val="00942C5E"/>
    <w:rsid w:val="00942E89"/>
    <w:rsid w:val="00946651"/>
    <w:rsid w:val="00947825"/>
    <w:rsid w:val="00947CD1"/>
    <w:rsid w:val="00950691"/>
    <w:rsid w:val="00950DC1"/>
    <w:rsid w:val="009510D1"/>
    <w:rsid w:val="0095111C"/>
    <w:rsid w:val="00951A74"/>
    <w:rsid w:val="00951DDB"/>
    <w:rsid w:val="0095213F"/>
    <w:rsid w:val="009529A8"/>
    <w:rsid w:val="00952ABF"/>
    <w:rsid w:val="00952EA9"/>
    <w:rsid w:val="0095323B"/>
    <w:rsid w:val="00953427"/>
    <w:rsid w:val="009551A7"/>
    <w:rsid w:val="00955A30"/>
    <w:rsid w:val="00955D69"/>
    <w:rsid w:val="0095669D"/>
    <w:rsid w:val="00956D64"/>
    <w:rsid w:val="0095748F"/>
    <w:rsid w:val="00957BD7"/>
    <w:rsid w:val="00960AA0"/>
    <w:rsid w:val="00960BA8"/>
    <w:rsid w:val="00961AC9"/>
    <w:rsid w:val="00961C33"/>
    <w:rsid w:val="00961D71"/>
    <w:rsid w:val="00962070"/>
    <w:rsid w:val="009622F8"/>
    <w:rsid w:val="0096236B"/>
    <w:rsid w:val="00962EF7"/>
    <w:rsid w:val="00963035"/>
    <w:rsid w:val="00963067"/>
    <w:rsid w:val="0096324C"/>
    <w:rsid w:val="009632B2"/>
    <w:rsid w:val="0096349B"/>
    <w:rsid w:val="00964157"/>
    <w:rsid w:val="009644A2"/>
    <w:rsid w:val="00965667"/>
    <w:rsid w:val="00965D42"/>
    <w:rsid w:val="009670DC"/>
    <w:rsid w:val="00967226"/>
    <w:rsid w:val="0096777F"/>
    <w:rsid w:val="0096797E"/>
    <w:rsid w:val="00967A8C"/>
    <w:rsid w:val="00970ABE"/>
    <w:rsid w:val="00970B33"/>
    <w:rsid w:val="00972EEA"/>
    <w:rsid w:val="00973F85"/>
    <w:rsid w:val="009748BC"/>
    <w:rsid w:val="00974CCA"/>
    <w:rsid w:val="00974D7D"/>
    <w:rsid w:val="00974E8B"/>
    <w:rsid w:val="00975108"/>
    <w:rsid w:val="009761A0"/>
    <w:rsid w:val="009761CB"/>
    <w:rsid w:val="00976257"/>
    <w:rsid w:val="0097675A"/>
    <w:rsid w:val="00976B56"/>
    <w:rsid w:val="00977970"/>
    <w:rsid w:val="00977CBA"/>
    <w:rsid w:val="00977DF5"/>
    <w:rsid w:val="00977FF2"/>
    <w:rsid w:val="00980540"/>
    <w:rsid w:val="00980C06"/>
    <w:rsid w:val="009827A9"/>
    <w:rsid w:val="009839D2"/>
    <w:rsid w:val="00983EE1"/>
    <w:rsid w:val="009847E1"/>
    <w:rsid w:val="009849AC"/>
    <w:rsid w:val="00984FF9"/>
    <w:rsid w:val="00985184"/>
    <w:rsid w:val="009853B3"/>
    <w:rsid w:val="00985438"/>
    <w:rsid w:val="009854E3"/>
    <w:rsid w:val="00986EC3"/>
    <w:rsid w:val="009871E3"/>
    <w:rsid w:val="00990332"/>
    <w:rsid w:val="0099035E"/>
    <w:rsid w:val="00990524"/>
    <w:rsid w:val="009908D0"/>
    <w:rsid w:val="00990F56"/>
    <w:rsid w:val="009928F6"/>
    <w:rsid w:val="009935FE"/>
    <w:rsid w:val="0099360C"/>
    <w:rsid w:val="0099363F"/>
    <w:rsid w:val="00993E82"/>
    <w:rsid w:val="00994195"/>
    <w:rsid w:val="0099488D"/>
    <w:rsid w:val="00994987"/>
    <w:rsid w:val="00994F51"/>
    <w:rsid w:val="009970A0"/>
    <w:rsid w:val="00997F87"/>
    <w:rsid w:val="009A004E"/>
    <w:rsid w:val="009A0386"/>
    <w:rsid w:val="009A30D2"/>
    <w:rsid w:val="009A344C"/>
    <w:rsid w:val="009A34F3"/>
    <w:rsid w:val="009A3A9B"/>
    <w:rsid w:val="009A4A85"/>
    <w:rsid w:val="009A548D"/>
    <w:rsid w:val="009A5C34"/>
    <w:rsid w:val="009A6840"/>
    <w:rsid w:val="009A68F7"/>
    <w:rsid w:val="009A7323"/>
    <w:rsid w:val="009A7C47"/>
    <w:rsid w:val="009B02E5"/>
    <w:rsid w:val="009B0927"/>
    <w:rsid w:val="009B1C7A"/>
    <w:rsid w:val="009B2125"/>
    <w:rsid w:val="009B402C"/>
    <w:rsid w:val="009B4058"/>
    <w:rsid w:val="009B4EB3"/>
    <w:rsid w:val="009B58B2"/>
    <w:rsid w:val="009B596B"/>
    <w:rsid w:val="009B66E3"/>
    <w:rsid w:val="009B75E5"/>
    <w:rsid w:val="009B7960"/>
    <w:rsid w:val="009C0E05"/>
    <w:rsid w:val="009C24D7"/>
    <w:rsid w:val="009C28D0"/>
    <w:rsid w:val="009C51B7"/>
    <w:rsid w:val="009C51C3"/>
    <w:rsid w:val="009C5243"/>
    <w:rsid w:val="009C5749"/>
    <w:rsid w:val="009C59B8"/>
    <w:rsid w:val="009C6395"/>
    <w:rsid w:val="009C71B4"/>
    <w:rsid w:val="009C7485"/>
    <w:rsid w:val="009C78FD"/>
    <w:rsid w:val="009D07D8"/>
    <w:rsid w:val="009D0E2C"/>
    <w:rsid w:val="009D1898"/>
    <w:rsid w:val="009D1CE5"/>
    <w:rsid w:val="009D2118"/>
    <w:rsid w:val="009D21AF"/>
    <w:rsid w:val="009D2A07"/>
    <w:rsid w:val="009D2B56"/>
    <w:rsid w:val="009D35EF"/>
    <w:rsid w:val="009D5235"/>
    <w:rsid w:val="009D5656"/>
    <w:rsid w:val="009D5861"/>
    <w:rsid w:val="009D5B51"/>
    <w:rsid w:val="009D5EAD"/>
    <w:rsid w:val="009D63DB"/>
    <w:rsid w:val="009D68D2"/>
    <w:rsid w:val="009D7DEE"/>
    <w:rsid w:val="009E1125"/>
    <w:rsid w:val="009E142A"/>
    <w:rsid w:val="009E14AE"/>
    <w:rsid w:val="009E164A"/>
    <w:rsid w:val="009E1921"/>
    <w:rsid w:val="009E1C56"/>
    <w:rsid w:val="009E2369"/>
    <w:rsid w:val="009E49E6"/>
    <w:rsid w:val="009E5763"/>
    <w:rsid w:val="009E7270"/>
    <w:rsid w:val="009E76AF"/>
    <w:rsid w:val="009F0034"/>
    <w:rsid w:val="009F0852"/>
    <w:rsid w:val="009F0FEB"/>
    <w:rsid w:val="009F25F0"/>
    <w:rsid w:val="009F3485"/>
    <w:rsid w:val="009F38E7"/>
    <w:rsid w:val="009F400C"/>
    <w:rsid w:val="009F4A14"/>
    <w:rsid w:val="009F503D"/>
    <w:rsid w:val="00A01F7C"/>
    <w:rsid w:val="00A01FDE"/>
    <w:rsid w:val="00A02A28"/>
    <w:rsid w:val="00A03369"/>
    <w:rsid w:val="00A04457"/>
    <w:rsid w:val="00A044B3"/>
    <w:rsid w:val="00A046CB"/>
    <w:rsid w:val="00A05128"/>
    <w:rsid w:val="00A05809"/>
    <w:rsid w:val="00A05AF6"/>
    <w:rsid w:val="00A06057"/>
    <w:rsid w:val="00A063C3"/>
    <w:rsid w:val="00A06AF8"/>
    <w:rsid w:val="00A06FDC"/>
    <w:rsid w:val="00A10A6E"/>
    <w:rsid w:val="00A12F69"/>
    <w:rsid w:val="00A1361B"/>
    <w:rsid w:val="00A13814"/>
    <w:rsid w:val="00A13D27"/>
    <w:rsid w:val="00A145F5"/>
    <w:rsid w:val="00A1468F"/>
    <w:rsid w:val="00A15626"/>
    <w:rsid w:val="00A1656B"/>
    <w:rsid w:val="00A167CD"/>
    <w:rsid w:val="00A173A6"/>
    <w:rsid w:val="00A17413"/>
    <w:rsid w:val="00A20223"/>
    <w:rsid w:val="00A20AF8"/>
    <w:rsid w:val="00A21377"/>
    <w:rsid w:val="00A227EA"/>
    <w:rsid w:val="00A23495"/>
    <w:rsid w:val="00A23BFF"/>
    <w:rsid w:val="00A250AB"/>
    <w:rsid w:val="00A25E0B"/>
    <w:rsid w:val="00A26053"/>
    <w:rsid w:val="00A2610F"/>
    <w:rsid w:val="00A26211"/>
    <w:rsid w:val="00A26A0B"/>
    <w:rsid w:val="00A26AC5"/>
    <w:rsid w:val="00A26EEF"/>
    <w:rsid w:val="00A271CC"/>
    <w:rsid w:val="00A278C0"/>
    <w:rsid w:val="00A27FA0"/>
    <w:rsid w:val="00A3092B"/>
    <w:rsid w:val="00A31B4E"/>
    <w:rsid w:val="00A31DE5"/>
    <w:rsid w:val="00A31EB8"/>
    <w:rsid w:val="00A32768"/>
    <w:rsid w:val="00A332E7"/>
    <w:rsid w:val="00A342C8"/>
    <w:rsid w:val="00A35565"/>
    <w:rsid w:val="00A355B6"/>
    <w:rsid w:val="00A358FD"/>
    <w:rsid w:val="00A3648C"/>
    <w:rsid w:val="00A4077D"/>
    <w:rsid w:val="00A40C50"/>
    <w:rsid w:val="00A40E01"/>
    <w:rsid w:val="00A4159D"/>
    <w:rsid w:val="00A41B1C"/>
    <w:rsid w:val="00A41F8D"/>
    <w:rsid w:val="00A41FCC"/>
    <w:rsid w:val="00A4272C"/>
    <w:rsid w:val="00A42AF2"/>
    <w:rsid w:val="00A42F05"/>
    <w:rsid w:val="00A43158"/>
    <w:rsid w:val="00A433BA"/>
    <w:rsid w:val="00A43422"/>
    <w:rsid w:val="00A43AE7"/>
    <w:rsid w:val="00A43B1A"/>
    <w:rsid w:val="00A44905"/>
    <w:rsid w:val="00A44CB9"/>
    <w:rsid w:val="00A458CD"/>
    <w:rsid w:val="00A46E9D"/>
    <w:rsid w:val="00A47519"/>
    <w:rsid w:val="00A47BB4"/>
    <w:rsid w:val="00A50627"/>
    <w:rsid w:val="00A50B01"/>
    <w:rsid w:val="00A51E2A"/>
    <w:rsid w:val="00A5590D"/>
    <w:rsid w:val="00A56656"/>
    <w:rsid w:val="00A5680B"/>
    <w:rsid w:val="00A571D1"/>
    <w:rsid w:val="00A57BA9"/>
    <w:rsid w:val="00A57E98"/>
    <w:rsid w:val="00A60522"/>
    <w:rsid w:val="00A60A9B"/>
    <w:rsid w:val="00A612AF"/>
    <w:rsid w:val="00A617B6"/>
    <w:rsid w:val="00A623BF"/>
    <w:rsid w:val="00A630F5"/>
    <w:rsid w:val="00A6327F"/>
    <w:rsid w:val="00A63D08"/>
    <w:rsid w:val="00A65507"/>
    <w:rsid w:val="00A65CAB"/>
    <w:rsid w:val="00A65EDB"/>
    <w:rsid w:val="00A66322"/>
    <w:rsid w:val="00A70E76"/>
    <w:rsid w:val="00A71E3D"/>
    <w:rsid w:val="00A72089"/>
    <w:rsid w:val="00A72512"/>
    <w:rsid w:val="00A72B50"/>
    <w:rsid w:val="00A73762"/>
    <w:rsid w:val="00A73B67"/>
    <w:rsid w:val="00A740D3"/>
    <w:rsid w:val="00A745CD"/>
    <w:rsid w:val="00A748DC"/>
    <w:rsid w:val="00A74996"/>
    <w:rsid w:val="00A74BE5"/>
    <w:rsid w:val="00A74C8E"/>
    <w:rsid w:val="00A7559E"/>
    <w:rsid w:val="00A7592A"/>
    <w:rsid w:val="00A75AB9"/>
    <w:rsid w:val="00A76BA6"/>
    <w:rsid w:val="00A77095"/>
    <w:rsid w:val="00A7784A"/>
    <w:rsid w:val="00A77ECA"/>
    <w:rsid w:val="00A80683"/>
    <w:rsid w:val="00A80705"/>
    <w:rsid w:val="00A80AB9"/>
    <w:rsid w:val="00A80AC9"/>
    <w:rsid w:val="00A81479"/>
    <w:rsid w:val="00A82911"/>
    <w:rsid w:val="00A82AA6"/>
    <w:rsid w:val="00A832B0"/>
    <w:rsid w:val="00A8375F"/>
    <w:rsid w:val="00A838DC"/>
    <w:rsid w:val="00A8392C"/>
    <w:rsid w:val="00A8402F"/>
    <w:rsid w:val="00A85133"/>
    <w:rsid w:val="00A85632"/>
    <w:rsid w:val="00A9019E"/>
    <w:rsid w:val="00A90E54"/>
    <w:rsid w:val="00A91218"/>
    <w:rsid w:val="00A912FD"/>
    <w:rsid w:val="00A92F0F"/>
    <w:rsid w:val="00A94A33"/>
    <w:rsid w:val="00A95692"/>
    <w:rsid w:val="00A95A55"/>
    <w:rsid w:val="00A96043"/>
    <w:rsid w:val="00A96438"/>
    <w:rsid w:val="00A96642"/>
    <w:rsid w:val="00AA05B7"/>
    <w:rsid w:val="00AA0985"/>
    <w:rsid w:val="00AA09E2"/>
    <w:rsid w:val="00AA10ED"/>
    <w:rsid w:val="00AA1309"/>
    <w:rsid w:val="00AA31CC"/>
    <w:rsid w:val="00AA35CB"/>
    <w:rsid w:val="00AA478D"/>
    <w:rsid w:val="00AA4BAC"/>
    <w:rsid w:val="00AA5699"/>
    <w:rsid w:val="00AA5944"/>
    <w:rsid w:val="00AA63FF"/>
    <w:rsid w:val="00AA673F"/>
    <w:rsid w:val="00AA6EDD"/>
    <w:rsid w:val="00AA77F1"/>
    <w:rsid w:val="00AA79CD"/>
    <w:rsid w:val="00AA7C17"/>
    <w:rsid w:val="00AB0479"/>
    <w:rsid w:val="00AB05D3"/>
    <w:rsid w:val="00AB06F6"/>
    <w:rsid w:val="00AB0FF7"/>
    <w:rsid w:val="00AB10DD"/>
    <w:rsid w:val="00AB1AB6"/>
    <w:rsid w:val="00AB1B8F"/>
    <w:rsid w:val="00AB1B96"/>
    <w:rsid w:val="00AB1C13"/>
    <w:rsid w:val="00AB2DC0"/>
    <w:rsid w:val="00AB4D12"/>
    <w:rsid w:val="00AB5533"/>
    <w:rsid w:val="00AB682E"/>
    <w:rsid w:val="00AB7609"/>
    <w:rsid w:val="00AB7AD0"/>
    <w:rsid w:val="00AC0164"/>
    <w:rsid w:val="00AC066B"/>
    <w:rsid w:val="00AC1F92"/>
    <w:rsid w:val="00AC28A8"/>
    <w:rsid w:val="00AC2AB1"/>
    <w:rsid w:val="00AC530A"/>
    <w:rsid w:val="00AC5BF0"/>
    <w:rsid w:val="00AC729B"/>
    <w:rsid w:val="00AC7734"/>
    <w:rsid w:val="00AC7EDA"/>
    <w:rsid w:val="00AD018F"/>
    <w:rsid w:val="00AD09B2"/>
    <w:rsid w:val="00AD309B"/>
    <w:rsid w:val="00AD3343"/>
    <w:rsid w:val="00AD3A39"/>
    <w:rsid w:val="00AD44DA"/>
    <w:rsid w:val="00AD4B9B"/>
    <w:rsid w:val="00AD58D6"/>
    <w:rsid w:val="00AD5C0A"/>
    <w:rsid w:val="00AE0D89"/>
    <w:rsid w:val="00AE23CB"/>
    <w:rsid w:val="00AE37A0"/>
    <w:rsid w:val="00AE37C3"/>
    <w:rsid w:val="00AE4032"/>
    <w:rsid w:val="00AE523C"/>
    <w:rsid w:val="00AE53EB"/>
    <w:rsid w:val="00AE5C63"/>
    <w:rsid w:val="00AE6E07"/>
    <w:rsid w:val="00AE7F9A"/>
    <w:rsid w:val="00AF0321"/>
    <w:rsid w:val="00AF062C"/>
    <w:rsid w:val="00AF0ECA"/>
    <w:rsid w:val="00AF1C37"/>
    <w:rsid w:val="00AF1EA6"/>
    <w:rsid w:val="00AF301D"/>
    <w:rsid w:val="00AF33FE"/>
    <w:rsid w:val="00AF356A"/>
    <w:rsid w:val="00AF3791"/>
    <w:rsid w:val="00AF491E"/>
    <w:rsid w:val="00AF5277"/>
    <w:rsid w:val="00AF57D6"/>
    <w:rsid w:val="00AF64D4"/>
    <w:rsid w:val="00AF796E"/>
    <w:rsid w:val="00AF7CE4"/>
    <w:rsid w:val="00B002AF"/>
    <w:rsid w:val="00B0082C"/>
    <w:rsid w:val="00B00FB9"/>
    <w:rsid w:val="00B017A7"/>
    <w:rsid w:val="00B02927"/>
    <w:rsid w:val="00B034D0"/>
    <w:rsid w:val="00B035A8"/>
    <w:rsid w:val="00B04A8E"/>
    <w:rsid w:val="00B04C71"/>
    <w:rsid w:val="00B04EB7"/>
    <w:rsid w:val="00B04F85"/>
    <w:rsid w:val="00B05119"/>
    <w:rsid w:val="00B0546C"/>
    <w:rsid w:val="00B0651A"/>
    <w:rsid w:val="00B06B40"/>
    <w:rsid w:val="00B0727A"/>
    <w:rsid w:val="00B0754F"/>
    <w:rsid w:val="00B07FD7"/>
    <w:rsid w:val="00B10105"/>
    <w:rsid w:val="00B10823"/>
    <w:rsid w:val="00B12B4E"/>
    <w:rsid w:val="00B1303A"/>
    <w:rsid w:val="00B13207"/>
    <w:rsid w:val="00B132F7"/>
    <w:rsid w:val="00B1371B"/>
    <w:rsid w:val="00B13EB3"/>
    <w:rsid w:val="00B13F11"/>
    <w:rsid w:val="00B1407A"/>
    <w:rsid w:val="00B147A5"/>
    <w:rsid w:val="00B14C86"/>
    <w:rsid w:val="00B14FD1"/>
    <w:rsid w:val="00B16292"/>
    <w:rsid w:val="00B16F65"/>
    <w:rsid w:val="00B17742"/>
    <w:rsid w:val="00B20292"/>
    <w:rsid w:val="00B20E06"/>
    <w:rsid w:val="00B20E86"/>
    <w:rsid w:val="00B213E2"/>
    <w:rsid w:val="00B21686"/>
    <w:rsid w:val="00B21C60"/>
    <w:rsid w:val="00B21C68"/>
    <w:rsid w:val="00B25049"/>
    <w:rsid w:val="00B252BF"/>
    <w:rsid w:val="00B25784"/>
    <w:rsid w:val="00B25D88"/>
    <w:rsid w:val="00B26269"/>
    <w:rsid w:val="00B2718C"/>
    <w:rsid w:val="00B27BC8"/>
    <w:rsid w:val="00B300AB"/>
    <w:rsid w:val="00B3014B"/>
    <w:rsid w:val="00B332B5"/>
    <w:rsid w:val="00B334C0"/>
    <w:rsid w:val="00B3355A"/>
    <w:rsid w:val="00B33A53"/>
    <w:rsid w:val="00B350D0"/>
    <w:rsid w:val="00B350F8"/>
    <w:rsid w:val="00B3533B"/>
    <w:rsid w:val="00B40128"/>
    <w:rsid w:val="00B40416"/>
    <w:rsid w:val="00B40FDC"/>
    <w:rsid w:val="00B4106B"/>
    <w:rsid w:val="00B4379F"/>
    <w:rsid w:val="00B43920"/>
    <w:rsid w:val="00B43A59"/>
    <w:rsid w:val="00B43A7C"/>
    <w:rsid w:val="00B441FC"/>
    <w:rsid w:val="00B44991"/>
    <w:rsid w:val="00B466E9"/>
    <w:rsid w:val="00B46EC1"/>
    <w:rsid w:val="00B476B6"/>
    <w:rsid w:val="00B47D7D"/>
    <w:rsid w:val="00B50081"/>
    <w:rsid w:val="00B5058A"/>
    <w:rsid w:val="00B505D6"/>
    <w:rsid w:val="00B50674"/>
    <w:rsid w:val="00B50B5D"/>
    <w:rsid w:val="00B512FE"/>
    <w:rsid w:val="00B52057"/>
    <w:rsid w:val="00B523E4"/>
    <w:rsid w:val="00B528BA"/>
    <w:rsid w:val="00B530AE"/>
    <w:rsid w:val="00B53697"/>
    <w:rsid w:val="00B54879"/>
    <w:rsid w:val="00B5507A"/>
    <w:rsid w:val="00B553DF"/>
    <w:rsid w:val="00B55DC5"/>
    <w:rsid w:val="00B5630F"/>
    <w:rsid w:val="00B57C36"/>
    <w:rsid w:val="00B57EAE"/>
    <w:rsid w:val="00B60186"/>
    <w:rsid w:val="00B603CF"/>
    <w:rsid w:val="00B606FF"/>
    <w:rsid w:val="00B6102A"/>
    <w:rsid w:val="00B61A80"/>
    <w:rsid w:val="00B61E8E"/>
    <w:rsid w:val="00B63374"/>
    <w:rsid w:val="00B63576"/>
    <w:rsid w:val="00B650B6"/>
    <w:rsid w:val="00B65AEB"/>
    <w:rsid w:val="00B669F0"/>
    <w:rsid w:val="00B66A66"/>
    <w:rsid w:val="00B67928"/>
    <w:rsid w:val="00B67B64"/>
    <w:rsid w:val="00B70144"/>
    <w:rsid w:val="00B717A3"/>
    <w:rsid w:val="00B724D9"/>
    <w:rsid w:val="00B729A3"/>
    <w:rsid w:val="00B74BD5"/>
    <w:rsid w:val="00B74EBB"/>
    <w:rsid w:val="00B758DD"/>
    <w:rsid w:val="00B761E1"/>
    <w:rsid w:val="00B761FA"/>
    <w:rsid w:val="00B80295"/>
    <w:rsid w:val="00B803ED"/>
    <w:rsid w:val="00B80943"/>
    <w:rsid w:val="00B80A77"/>
    <w:rsid w:val="00B8149F"/>
    <w:rsid w:val="00B82A45"/>
    <w:rsid w:val="00B82E59"/>
    <w:rsid w:val="00B83F53"/>
    <w:rsid w:val="00B85536"/>
    <w:rsid w:val="00B85B0F"/>
    <w:rsid w:val="00B86678"/>
    <w:rsid w:val="00B8695E"/>
    <w:rsid w:val="00B86E09"/>
    <w:rsid w:val="00B915FB"/>
    <w:rsid w:val="00B91970"/>
    <w:rsid w:val="00B91C3C"/>
    <w:rsid w:val="00B9294D"/>
    <w:rsid w:val="00B93080"/>
    <w:rsid w:val="00B93517"/>
    <w:rsid w:val="00B94957"/>
    <w:rsid w:val="00B94E2B"/>
    <w:rsid w:val="00B95238"/>
    <w:rsid w:val="00B96126"/>
    <w:rsid w:val="00B9627A"/>
    <w:rsid w:val="00B963BB"/>
    <w:rsid w:val="00B96696"/>
    <w:rsid w:val="00B967B3"/>
    <w:rsid w:val="00BA1D09"/>
    <w:rsid w:val="00BA2322"/>
    <w:rsid w:val="00BA2407"/>
    <w:rsid w:val="00BA3034"/>
    <w:rsid w:val="00BA326F"/>
    <w:rsid w:val="00BA4049"/>
    <w:rsid w:val="00BA4278"/>
    <w:rsid w:val="00BA43A9"/>
    <w:rsid w:val="00BA44C3"/>
    <w:rsid w:val="00BA4A40"/>
    <w:rsid w:val="00BA4B81"/>
    <w:rsid w:val="00BA54CF"/>
    <w:rsid w:val="00BA551F"/>
    <w:rsid w:val="00BA5684"/>
    <w:rsid w:val="00BA6883"/>
    <w:rsid w:val="00BA6AAC"/>
    <w:rsid w:val="00BA6C93"/>
    <w:rsid w:val="00BA75B8"/>
    <w:rsid w:val="00BB045D"/>
    <w:rsid w:val="00BB0541"/>
    <w:rsid w:val="00BB0F53"/>
    <w:rsid w:val="00BB1A99"/>
    <w:rsid w:val="00BB2008"/>
    <w:rsid w:val="00BB296F"/>
    <w:rsid w:val="00BB2BCD"/>
    <w:rsid w:val="00BB326B"/>
    <w:rsid w:val="00BB36F5"/>
    <w:rsid w:val="00BB3CF3"/>
    <w:rsid w:val="00BB5A34"/>
    <w:rsid w:val="00BB672F"/>
    <w:rsid w:val="00BB6E1C"/>
    <w:rsid w:val="00BB7481"/>
    <w:rsid w:val="00BB7BCD"/>
    <w:rsid w:val="00BB7DFE"/>
    <w:rsid w:val="00BC057B"/>
    <w:rsid w:val="00BC0632"/>
    <w:rsid w:val="00BC0BF9"/>
    <w:rsid w:val="00BC1830"/>
    <w:rsid w:val="00BC1CAD"/>
    <w:rsid w:val="00BC25F8"/>
    <w:rsid w:val="00BC2E94"/>
    <w:rsid w:val="00BC55C1"/>
    <w:rsid w:val="00BC5F55"/>
    <w:rsid w:val="00BC759D"/>
    <w:rsid w:val="00BC77C1"/>
    <w:rsid w:val="00BD0FF6"/>
    <w:rsid w:val="00BD1A9E"/>
    <w:rsid w:val="00BD1F57"/>
    <w:rsid w:val="00BD2144"/>
    <w:rsid w:val="00BD2428"/>
    <w:rsid w:val="00BD2456"/>
    <w:rsid w:val="00BD312E"/>
    <w:rsid w:val="00BD3239"/>
    <w:rsid w:val="00BD43A9"/>
    <w:rsid w:val="00BD4442"/>
    <w:rsid w:val="00BD4817"/>
    <w:rsid w:val="00BD49DE"/>
    <w:rsid w:val="00BD4BC7"/>
    <w:rsid w:val="00BD5A77"/>
    <w:rsid w:val="00BD5B0E"/>
    <w:rsid w:val="00BD5BCC"/>
    <w:rsid w:val="00BD637A"/>
    <w:rsid w:val="00BD6607"/>
    <w:rsid w:val="00BD6F80"/>
    <w:rsid w:val="00BD753F"/>
    <w:rsid w:val="00BD79CF"/>
    <w:rsid w:val="00BE01EF"/>
    <w:rsid w:val="00BE0B8B"/>
    <w:rsid w:val="00BE0BAE"/>
    <w:rsid w:val="00BE0BBF"/>
    <w:rsid w:val="00BE115A"/>
    <w:rsid w:val="00BE172F"/>
    <w:rsid w:val="00BE175C"/>
    <w:rsid w:val="00BE1856"/>
    <w:rsid w:val="00BE22E0"/>
    <w:rsid w:val="00BE2323"/>
    <w:rsid w:val="00BE2A66"/>
    <w:rsid w:val="00BE3286"/>
    <w:rsid w:val="00BE3389"/>
    <w:rsid w:val="00BE356F"/>
    <w:rsid w:val="00BE35CF"/>
    <w:rsid w:val="00BE3F97"/>
    <w:rsid w:val="00BE4230"/>
    <w:rsid w:val="00BE463B"/>
    <w:rsid w:val="00BE488C"/>
    <w:rsid w:val="00BE524B"/>
    <w:rsid w:val="00BE71F5"/>
    <w:rsid w:val="00BF1813"/>
    <w:rsid w:val="00BF2C9D"/>
    <w:rsid w:val="00BF3CF0"/>
    <w:rsid w:val="00BF422A"/>
    <w:rsid w:val="00BF4340"/>
    <w:rsid w:val="00BF4A53"/>
    <w:rsid w:val="00BF55F3"/>
    <w:rsid w:val="00BF5A1A"/>
    <w:rsid w:val="00BF6346"/>
    <w:rsid w:val="00BF74C2"/>
    <w:rsid w:val="00BF77F3"/>
    <w:rsid w:val="00C0099A"/>
    <w:rsid w:val="00C0109A"/>
    <w:rsid w:val="00C0167A"/>
    <w:rsid w:val="00C01787"/>
    <w:rsid w:val="00C02515"/>
    <w:rsid w:val="00C02C83"/>
    <w:rsid w:val="00C032D1"/>
    <w:rsid w:val="00C043A6"/>
    <w:rsid w:val="00C048B0"/>
    <w:rsid w:val="00C0582E"/>
    <w:rsid w:val="00C05D55"/>
    <w:rsid w:val="00C06047"/>
    <w:rsid w:val="00C06AC8"/>
    <w:rsid w:val="00C06DD7"/>
    <w:rsid w:val="00C0772C"/>
    <w:rsid w:val="00C07AB7"/>
    <w:rsid w:val="00C07B9C"/>
    <w:rsid w:val="00C07C19"/>
    <w:rsid w:val="00C1098B"/>
    <w:rsid w:val="00C109FB"/>
    <w:rsid w:val="00C10A34"/>
    <w:rsid w:val="00C10D0C"/>
    <w:rsid w:val="00C118F1"/>
    <w:rsid w:val="00C123B8"/>
    <w:rsid w:val="00C1326B"/>
    <w:rsid w:val="00C136F0"/>
    <w:rsid w:val="00C13CB0"/>
    <w:rsid w:val="00C14539"/>
    <w:rsid w:val="00C14692"/>
    <w:rsid w:val="00C14892"/>
    <w:rsid w:val="00C149EF"/>
    <w:rsid w:val="00C15F77"/>
    <w:rsid w:val="00C1602D"/>
    <w:rsid w:val="00C16CF7"/>
    <w:rsid w:val="00C17926"/>
    <w:rsid w:val="00C2016E"/>
    <w:rsid w:val="00C20969"/>
    <w:rsid w:val="00C2121C"/>
    <w:rsid w:val="00C2153B"/>
    <w:rsid w:val="00C21F05"/>
    <w:rsid w:val="00C2208F"/>
    <w:rsid w:val="00C23D80"/>
    <w:rsid w:val="00C24251"/>
    <w:rsid w:val="00C25D95"/>
    <w:rsid w:val="00C26DF2"/>
    <w:rsid w:val="00C30A75"/>
    <w:rsid w:val="00C32402"/>
    <w:rsid w:val="00C32E4C"/>
    <w:rsid w:val="00C32EF9"/>
    <w:rsid w:val="00C331FD"/>
    <w:rsid w:val="00C34AE2"/>
    <w:rsid w:val="00C36185"/>
    <w:rsid w:val="00C36792"/>
    <w:rsid w:val="00C36942"/>
    <w:rsid w:val="00C37170"/>
    <w:rsid w:val="00C376D5"/>
    <w:rsid w:val="00C40B3A"/>
    <w:rsid w:val="00C40B4D"/>
    <w:rsid w:val="00C40C7E"/>
    <w:rsid w:val="00C40CA9"/>
    <w:rsid w:val="00C40F3E"/>
    <w:rsid w:val="00C420AC"/>
    <w:rsid w:val="00C4253D"/>
    <w:rsid w:val="00C426DF"/>
    <w:rsid w:val="00C427E9"/>
    <w:rsid w:val="00C428EC"/>
    <w:rsid w:val="00C4330F"/>
    <w:rsid w:val="00C436D1"/>
    <w:rsid w:val="00C44EA8"/>
    <w:rsid w:val="00C467A6"/>
    <w:rsid w:val="00C467CD"/>
    <w:rsid w:val="00C47561"/>
    <w:rsid w:val="00C5053E"/>
    <w:rsid w:val="00C50B99"/>
    <w:rsid w:val="00C50C0E"/>
    <w:rsid w:val="00C512FC"/>
    <w:rsid w:val="00C515B8"/>
    <w:rsid w:val="00C51994"/>
    <w:rsid w:val="00C52717"/>
    <w:rsid w:val="00C5298D"/>
    <w:rsid w:val="00C531C3"/>
    <w:rsid w:val="00C5343A"/>
    <w:rsid w:val="00C537A4"/>
    <w:rsid w:val="00C538E9"/>
    <w:rsid w:val="00C53B54"/>
    <w:rsid w:val="00C53DBA"/>
    <w:rsid w:val="00C54C44"/>
    <w:rsid w:val="00C56297"/>
    <w:rsid w:val="00C60469"/>
    <w:rsid w:val="00C607A9"/>
    <w:rsid w:val="00C60B32"/>
    <w:rsid w:val="00C63CAA"/>
    <w:rsid w:val="00C65C15"/>
    <w:rsid w:val="00C66F28"/>
    <w:rsid w:val="00C67825"/>
    <w:rsid w:val="00C70103"/>
    <w:rsid w:val="00C70177"/>
    <w:rsid w:val="00C706AE"/>
    <w:rsid w:val="00C7088D"/>
    <w:rsid w:val="00C71BE5"/>
    <w:rsid w:val="00C72171"/>
    <w:rsid w:val="00C724E8"/>
    <w:rsid w:val="00C72832"/>
    <w:rsid w:val="00C72A32"/>
    <w:rsid w:val="00C72B3E"/>
    <w:rsid w:val="00C73D30"/>
    <w:rsid w:val="00C7440B"/>
    <w:rsid w:val="00C74514"/>
    <w:rsid w:val="00C74F50"/>
    <w:rsid w:val="00C7717E"/>
    <w:rsid w:val="00C800FA"/>
    <w:rsid w:val="00C80130"/>
    <w:rsid w:val="00C80595"/>
    <w:rsid w:val="00C80768"/>
    <w:rsid w:val="00C817A7"/>
    <w:rsid w:val="00C82FBB"/>
    <w:rsid w:val="00C849C7"/>
    <w:rsid w:val="00C84C25"/>
    <w:rsid w:val="00C84EEB"/>
    <w:rsid w:val="00C85010"/>
    <w:rsid w:val="00C85273"/>
    <w:rsid w:val="00C85371"/>
    <w:rsid w:val="00C85D79"/>
    <w:rsid w:val="00C85F94"/>
    <w:rsid w:val="00C86012"/>
    <w:rsid w:val="00C86330"/>
    <w:rsid w:val="00C8641F"/>
    <w:rsid w:val="00C868F6"/>
    <w:rsid w:val="00C87641"/>
    <w:rsid w:val="00C87CB8"/>
    <w:rsid w:val="00C87CEF"/>
    <w:rsid w:val="00C90379"/>
    <w:rsid w:val="00C90416"/>
    <w:rsid w:val="00C912C9"/>
    <w:rsid w:val="00C92125"/>
    <w:rsid w:val="00C922BA"/>
    <w:rsid w:val="00C92850"/>
    <w:rsid w:val="00C92BFD"/>
    <w:rsid w:val="00C93CD5"/>
    <w:rsid w:val="00C93FAC"/>
    <w:rsid w:val="00C95117"/>
    <w:rsid w:val="00C95B4D"/>
    <w:rsid w:val="00C96569"/>
    <w:rsid w:val="00C96570"/>
    <w:rsid w:val="00C96D9B"/>
    <w:rsid w:val="00C96DB8"/>
    <w:rsid w:val="00CA0453"/>
    <w:rsid w:val="00CA0823"/>
    <w:rsid w:val="00CA1981"/>
    <w:rsid w:val="00CA1EC3"/>
    <w:rsid w:val="00CA1F8C"/>
    <w:rsid w:val="00CA1FDC"/>
    <w:rsid w:val="00CA2140"/>
    <w:rsid w:val="00CA253A"/>
    <w:rsid w:val="00CA3207"/>
    <w:rsid w:val="00CA395B"/>
    <w:rsid w:val="00CA5406"/>
    <w:rsid w:val="00CA7D9C"/>
    <w:rsid w:val="00CA7F1F"/>
    <w:rsid w:val="00CB090A"/>
    <w:rsid w:val="00CB0D51"/>
    <w:rsid w:val="00CB1B37"/>
    <w:rsid w:val="00CB1D82"/>
    <w:rsid w:val="00CB3709"/>
    <w:rsid w:val="00CB50E9"/>
    <w:rsid w:val="00CB56B9"/>
    <w:rsid w:val="00CB5902"/>
    <w:rsid w:val="00CB5A9D"/>
    <w:rsid w:val="00CB5DF3"/>
    <w:rsid w:val="00CB670F"/>
    <w:rsid w:val="00CB7B96"/>
    <w:rsid w:val="00CC02CE"/>
    <w:rsid w:val="00CC0BC7"/>
    <w:rsid w:val="00CC0E0C"/>
    <w:rsid w:val="00CC1BE3"/>
    <w:rsid w:val="00CC28D1"/>
    <w:rsid w:val="00CC2DB3"/>
    <w:rsid w:val="00CC314E"/>
    <w:rsid w:val="00CC3623"/>
    <w:rsid w:val="00CC36A8"/>
    <w:rsid w:val="00CC3BD2"/>
    <w:rsid w:val="00CC51B9"/>
    <w:rsid w:val="00CC5612"/>
    <w:rsid w:val="00CC5915"/>
    <w:rsid w:val="00CC6297"/>
    <w:rsid w:val="00CC64AA"/>
    <w:rsid w:val="00CD0429"/>
    <w:rsid w:val="00CD22F1"/>
    <w:rsid w:val="00CD29FC"/>
    <w:rsid w:val="00CD2A26"/>
    <w:rsid w:val="00CD2B32"/>
    <w:rsid w:val="00CD3693"/>
    <w:rsid w:val="00CD5745"/>
    <w:rsid w:val="00CD5D7D"/>
    <w:rsid w:val="00CD5F5C"/>
    <w:rsid w:val="00CD63CC"/>
    <w:rsid w:val="00CD70EB"/>
    <w:rsid w:val="00CD787C"/>
    <w:rsid w:val="00CD7ACC"/>
    <w:rsid w:val="00CE03CB"/>
    <w:rsid w:val="00CE13F2"/>
    <w:rsid w:val="00CE2988"/>
    <w:rsid w:val="00CE2E0A"/>
    <w:rsid w:val="00CE31FC"/>
    <w:rsid w:val="00CE423D"/>
    <w:rsid w:val="00CE54FF"/>
    <w:rsid w:val="00CE567D"/>
    <w:rsid w:val="00CE657A"/>
    <w:rsid w:val="00CE6F2C"/>
    <w:rsid w:val="00CE737E"/>
    <w:rsid w:val="00CF0371"/>
    <w:rsid w:val="00CF04DA"/>
    <w:rsid w:val="00CF0E99"/>
    <w:rsid w:val="00CF0F30"/>
    <w:rsid w:val="00CF0FAE"/>
    <w:rsid w:val="00CF169F"/>
    <w:rsid w:val="00CF2259"/>
    <w:rsid w:val="00CF2CB2"/>
    <w:rsid w:val="00CF2D81"/>
    <w:rsid w:val="00CF2DEE"/>
    <w:rsid w:val="00CF40FA"/>
    <w:rsid w:val="00CF46BF"/>
    <w:rsid w:val="00CF4BA9"/>
    <w:rsid w:val="00CF5275"/>
    <w:rsid w:val="00CF5A61"/>
    <w:rsid w:val="00CF6463"/>
    <w:rsid w:val="00CF6A9B"/>
    <w:rsid w:val="00CF7285"/>
    <w:rsid w:val="00CF7463"/>
    <w:rsid w:val="00CF79EB"/>
    <w:rsid w:val="00CF7BE8"/>
    <w:rsid w:val="00D000CA"/>
    <w:rsid w:val="00D0065F"/>
    <w:rsid w:val="00D00A99"/>
    <w:rsid w:val="00D024E6"/>
    <w:rsid w:val="00D0388E"/>
    <w:rsid w:val="00D03D16"/>
    <w:rsid w:val="00D03FD4"/>
    <w:rsid w:val="00D04288"/>
    <w:rsid w:val="00D0517F"/>
    <w:rsid w:val="00D05534"/>
    <w:rsid w:val="00D058F8"/>
    <w:rsid w:val="00D05CEE"/>
    <w:rsid w:val="00D05E1F"/>
    <w:rsid w:val="00D06090"/>
    <w:rsid w:val="00D11A22"/>
    <w:rsid w:val="00D120AC"/>
    <w:rsid w:val="00D1262B"/>
    <w:rsid w:val="00D129ED"/>
    <w:rsid w:val="00D12F17"/>
    <w:rsid w:val="00D13235"/>
    <w:rsid w:val="00D132D8"/>
    <w:rsid w:val="00D13CB7"/>
    <w:rsid w:val="00D141F3"/>
    <w:rsid w:val="00D14319"/>
    <w:rsid w:val="00D14672"/>
    <w:rsid w:val="00D14B93"/>
    <w:rsid w:val="00D14C90"/>
    <w:rsid w:val="00D15A20"/>
    <w:rsid w:val="00D15C28"/>
    <w:rsid w:val="00D15D6B"/>
    <w:rsid w:val="00D166DB"/>
    <w:rsid w:val="00D16C3D"/>
    <w:rsid w:val="00D17323"/>
    <w:rsid w:val="00D17AB5"/>
    <w:rsid w:val="00D20046"/>
    <w:rsid w:val="00D21054"/>
    <w:rsid w:val="00D21A70"/>
    <w:rsid w:val="00D235CE"/>
    <w:rsid w:val="00D24208"/>
    <w:rsid w:val="00D24967"/>
    <w:rsid w:val="00D24C5C"/>
    <w:rsid w:val="00D25697"/>
    <w:rsid w:val="00D25932"/>
    <w:rsid w:val="00D25A12"/>
    <w:rsid w:val="00D26C24"/>
    <w:rsid w:val="00D275C5"/>
    <w:rsid w:val="00D27C40"/>
    <w:rsid w:val="00D302E8"/>
    <w:rsid w:val="00D30800"/>
    <w:rsid w:val="00D3139B"/>
    <w:rsid w:val="00D31927"/>
    <w:rsid w:val="00D32A3F"/>
    <w:rsid w:val="00D32C3D"/>
    <w:rsid w:val="00D33CB0"/>
    <w:rsid w:val="00D3426C"/>
    <w:rsid w:val="00D34769"/>
    <w:rsid w:val="00D364DD"/>
    <w:rsid w:val="00D37383"/>
    <w:rsid w:val="00D37616"/>
    <w:rsid w:val="00D37AFA"/>
    <w:rsid w:val="00D40306"/>
    <w:rsid w:val="00D40E1B"/>
    <w:rsid w:val="00D41630"/>
    <w:rsid w:val="00D41AC7"/>
    <w:rsid w:val="00D42A9E"/>
    <w:rsid w:val="00D43253"/>
    <w:rsid w:val="00D4355A"/>
    <w:rsid w:val="00D43571"/>
    <w:rsid w:val="00D436B2"/>
    <w:rsid w:val="00D43F5B"/>
    <w:rsid w:val="00D45F82"/>
    <w:rsid w:val="00D461EC"/>
    <w:rsid w:val="00D46C5C"/>
    <w:rsid w:val="00D46FD8"/>
    <w:rsid w:val="00D479E1"/>
    <w:rsid w:val="00D47DC4"/>
    <w:rsid w:val="00D50C9F"/>
    <w:rsid w:val="00D50E28"/>
    <w:rsid w:val="00D51599"/>
    <w:rsid w:val="00D520CE"/>
    <w:rsid w:val="00D52EE4"/>
    <w:rsid w:val="00D54360"/>
    <w:rsid w:val="00D54718"/>
    <w:rsid w:val="00D54AF5"/>
    <w:rsid w:val="00D55E70"/>
    <w:rsid w:val="00D56012"/>
    <w:rsid w:val="00D56DF1"/>
    <w:rsid w:val="00D56E4F"/>
    <w:rsid w:val="00D5730D"/>
    <w:rsid w:val="00D57B18"/>
    <w:rsid w:val="00D57EC2"/>
    <w:rsid w:val="00D618B7"/>
    <w:rsid w:val="00D61B88"/>
    <w:rsid w:val="00D62313"/>
    <w:rsid w:val="00D637D1"/>
    <w:rsid w:val="00D63813"/>
    <w:rsid w:val="00D63AE3"/>
    <w:rsid w:val="00D63AEA"/>
    <w:rsid w:val="00D63EE5"/>
    <w:rsid w:val="00D641CB"/>
    <w:rsid w:val="00D64972"/>
    <w:rsid w:val="00D6537F"/>
    <w:rsid w:val="00D6685F"/>
    <w:rsid w:val="00D7048F"/>
    <w:rsid w:val="00D7087C"/>
    <w:rsid w:val="00D70A6C"/>
    <w:rsid w:val="00D7136A"/>
    <w:rsid w:val="00D71451"/>
    <w:rsid w:val="00D71EE8"/>
    <w:rsid w:val="00D72AE8"/>
    <w:rsid w:val="00D7331F"/>
    <w:rsid w:val="00D73BE2"/>
    <w:rsid w:val="00D73F79"/>
    <w:rsid w:val="00D74736"/>
    <w:rsid w:val="00D74ACD"/>
    <w:rsid w:val="00D74C91"/>
    <w:rsid w:val="00D74ED0"/>
    <w:rsid w:val="00D7544F"/>
    <w:rsid w:val="00D75688"/>
    <w:rsid w:val="00D75B79"/>
    <w:rsid w:val="00D763BC"/>
    <w:rsid w:val="00D76657"/>
    <w:rsid w:val="00D76920"/>
    <w:rsid w:val="00D80A7A"/>
    <w:rsid w:val="00D80ECD"/>
    <w:rsid w:val="00D81C8F"/>
    <w:rsid w:val="00D8216D"/>
    <w:rsid w:val="00D8345C"/>
    <w:rsid w:val="00D84301"/>
    <w:rsid w:val="00D843A9"/>
    <w:rsid w:val="00D84444"/>
    <w:rsid w:val="00D85390"/>
    <w:rsid w:val="00D86125"/>
    <w:rsid w:val="00D876FE"/>
    <w:rsid w:val="00D90B86"/>
    <w:rsid w:val="00D92CAE"/>
    <w:rsid w:val="00D93EEF"/>
    <w:rsid w:val="00D9424D"/>
    <w:rsid w:val="00D94520"/>
    <w:rsid w:val="00D94E5F"/>
    <w:rsid w:val="00D950F0"/>
    <w:rsid w:val="00D9574D"/>
    <w:rsid w:val="00D9691E"/>
    <w:rsid w:val="00D9772A"/>
    <w:rsid w:val="00DA00ED"/>
    <w:rsid w:val="00DA042C"/>
    <w:rsid w:val="00DA094A"/>
    <w:rsid w:val="00DA114B"/>
    <w:rsid w:val="00DA1319"/>
    <w:rsid w:val="00DA381C"/>
    <w:rsid w:val="00DA3B43"/>
    <w:rsid w:val="00DA423D"/>
    <w:rsid w:val="00DA4A4C"/>
    <w:rsid w:val="00DA4F5B"/>
    <w:rsid w:val="00DA51D3"/>
    <w:rsid w:val="00DA57BE"/>
    <w:rsid w:val="00DA583F"/>
    <w:rsid w:val="00DA6007"/>
    <w:rsid w:val="00DA7331"/>
    <w:rsid w:val="00DA74C3"/>
    <w:rsid w:val="00DB0628"/>
    <w:rsid w:val="00DB0FBE"/>
    <w:rsid w:val="00DB114B"/>
    <w:rsid w:val="00DB14C9"/>
    <w:rsid w:val="00DB1A2F"/>
    <w:rsid w:val="00DB223B"/>
    <w:rsid w:val="00DB24B2"/>
    <w:rsid w:val="00DB32A6"/>
    <w:rsid w:val="00DB370D"/>
    <w:rsid w:val="00DB4C40"/>
    <w:rsid w:val="00DB6201"/>
    <w:rsid w:val="00DB6FD8"/>
    <w:rsid w:val="00DB7104"/>
    <w:rsid w:val="00DB7BC7"/>
    <w:rsid w:val="00DC02F5"/>
    <w:rsid w:val="00DC058E"/>
    <w:rsid w:val="00DC1086"/>
    <w:rsid w:val="00DC1F4F"/>
    <w:rsid w:val="00DC244F"/>
    <w:rsid w:val="00DC2F1D"/>
    <w:rsid w:val="00DC2FDE"/>
    <w:rsid w:val="00DC3048"/>
    <w:rsid w:val="00DC39B4"/>
    <w:rsid w:val="00DC3A7C"/>
    <w:rsid w:val="00DC3F28"/>
    <w:rsid w:val="00DC43CA"/>
    <w:rsid w:val="00DC4531"/>
    <w:rsid w:val="00DC4CD2"/>
    <w:rsid w:val="00DC5808"/>
    <w:rsid w:val="00DC5F89"/>
    <w:rsid w:val="00DC68F3"/>
    <w:rsid w:val="00DC6AC7"/>
    <w:rsid w:val="00DC6C3E"/>
    <w:rsid w:val="00DC72A4"/>
    <w:rsid w:val="00DC745B"/>
    <w:rsid w:val="00DC7693"/>
    <w:rsid w:val="00DC7849"/>
    <w:rsid w:val="00DC7B3D"/>
    <w:rsid w:val="00DD03BF"/>
    <w:rsid w:val="00DD0DB9"/>
    <w:rsid w:val="00DD12B1"/>
    <w:rsid w:val="00DD1C8A"/>
    <w:rsid w:val="00DD3BFE"/>
    <w:rsid w:val="00DD3FDD"/>
    <w:rsid w:val="00DD54BC"/>
    <w:rsid w:val="00DD5907"/>
    <w:rsid w:val="00DD59CE"/>
    <w:rsid w:val="00DD60F3"/>
    <w:rsid w:val="00DD6968"/>
    <w:rsid w:val="00DD69C1"/>
    <w:rsid w:val="00DD75EF"/>
    <w:rsid w:val="00DE012D"/>
    <w:rsid w:val="00DE02C4"/>
    <w:rsid w:val="00DE055D"/>
    <w:rsid w:val="00DE0606"/>
    <w:rsid w:val="00DE09F8"/>
    <w:rsid w:val="00DE1128"/>
    <w:rsid w:val="00DE12F9"/>
    <w:rsid w:val="00DE13B9"/>
    <w:rsid w:val="00DE186D"/>
    <w:rsid w:val="00DE1D22"/>
    <w:rsid w:val="00DE1F31"/>
    <w:rsid w:val="00DE1F41"/>
    <w:rsid w:val="00DE31C5"/>
    <w:rsid w:val="00DE3AA2"/>
    <w:rsid w:val="00DE57A7"/>
    <w:rsid w:val="00DE5EF4"/>
    <w:rsid w:val="00DE648A"/>
    <w:rsid w:val="00DE664B"/>
    <w:rsid w:val="00DE7C54"/>
    <w:rsid w:val="00DF0915"/>
    <w:rsid w:val="00DF0C2F"/>
    <w:rsid w:val="00DF2A67"/>
    <w:rsid w:val="00DF36B9"/>
    <w:rsid w:val="00DF3E13"/>
    <w:rsid w:val="00DF3E20"/>
    <w:rsid w:val="00DF421A"/>
    <w:rsid w:val="00DF4C5A"/>
    <w:rsid w:val="00DF4C9C"/>
    <w:rsid w:val="00DF54D8"/>
    <w:rsid w:val="00DF557A"/>
    <w:rsid w:val="00DF7865"/>
    <w:rsid w:val="00DF7A96"/>
    <w:rsid w:val="00E00592"/>
    <w:rsid w:val="00E00E1C"/>
    <w:rsid w:val="00E01325"/>
    <w:rsid w:val="00E015F9"/>
    <w:rsid w:val="00E0252E"/>
    <w:rsid w:val="00E03920"/>
    <w:rsid w:val="00E03C58"/>
    <w:rsid w:val="00E0679F"/>
    <w:rsid w:val="00E06AB7"/>
    <w:rsid w:val="00E06B10"/>
    <w:rsid w:val="00E06FF8"/>
    <w:rsid w:val="00E07B1C"/>
    <w:rsid w:val="00E10172"/>
    <w:rsid w:val="00E10EC8"/>
    <w:rsid w:val="00E1196B"/>
    <w:rsid w:val="00E14C12"/>
    <w:rsid w:val="00E16075"/>
    <w:rsid w:val="00E16998"/>
    <w:rsid w:val="00E1700F"/>
    <w:rsid w:val="00E17178"/>
    <w:rsid w:val="00E173E0"/>
    <w:rsid w:val="00E17877"/>
    <w:rsid w:val="00E20705"/>
    <w:rsid w:val="00E20724"/>
    <w:rsid w:val="00E20D66"/>
    <w:rsid w:val="00E20FF0"/>
    <w:rsid w:val="00E21A09"/>
    <w:rsid w:val="00E22352"/>
    <w:rsid w:val="00E227B0"/>
    <w:rsid w:val="00E22984"/>
    <w:rsid w:val="00E22E8F"/>
    <w:rsid w:val="00E23049"/>
    <w:rsid w:val="00E23772"/>
    <w:rsid w:val="00E239B5"/>
    <w:rsid w:val="00E23D3C"/>
    <w:rsid w:val="00E24434"/>
    <w:rsid w:val="00E24CAB"/>
    <w:rsid w:val="00E25204"/>
    <w:rsid w:val="00E25599"/>
    <w:rsid w:val="00E27154"/>
    <w:rsid w:val="00E27A24"/>
    <w:rsid w:val="00E27EAE"/>
    <w:rsid w:val="00E30D95"/>
    <w:rsid w:val="00E31183"/>
    <w:rsid w:val="00E31403"/>
    <w:rsid w:val="00E31A59"/>
    <w:rsid w:val="00E32303"/>
    <w:rsid w:val="00E32596"/>
    <w:rsid w:val="00E332C5"/>
    <w:rsid w:val="00E33CD8"/>
    <w:rsid w:val="00E33D3A"/>
    <w:rsid w:val="00E33EFF"/>
    <w:rsid w:val="00E34CC2"/>
    <w:rsid w:val="00E34D72"/>
    <w:rsid w:val="00E359BB"/>
    <w:rsid w:val="00E35C64"/>
    <w:rsid w:val="00E35C91"/>
    <w:rsid w:val="00E362B2"/>
    <w:rsid w:val="00E367F7"/>
    <w:rsid w:val="00E36CE0"/>
    <w:rsid w:val="00E36FC5"/>
    <w:rsid w:val="00E37B1F"/>
    <w:rsid w:val="00E40451"/>
    <w:rsid w:val="00E4050F"/>
    <w:rsid w:val="00E40683"/>
    <w:rsid w:val="00E407AC"/>
    <w:rsid w:val="00E40977"/>
    <w:rsid w:val="00E41252"/>
    <w:rsid w:val="00E413E7"/>
    <w:rsid w:val="00E41CB0"/>
    <w:rsid w:val="00E441E4"/>
    <w:rsid w:val="00E441E5"/>
    <w:rsid w:val="00E4440F"/>
    <w:rsid w:val="00E44512"/>
    <w:rsid w:val="00E44D66"/>
    <w:rsid w:val="00E462C0"/>
    <w:rsid w:val="00E4784B"/>
    <w:rsid w:val="00E50C8C"/>
    <w:rsid w:val="00E50E3C"/>
    <w:rsid w:val="00E517DB"/>
    <w:rsid w:val="00E51D37"/>
    <w:rsid w:val="00E51EB6"/>
    <w:rsid w:val="00E52122"/>
    <w:rsid w:val="00E5245C"/>
    <w:rsid w:val="00E529B4"/>
    <w:rsid w:val="00E52BE9"/>
    <w:rsid w:val="00E52D5C"/>
    <w:rsid w:val="00E53EBE"/>
    <w:rsid w:val="00E54B8B"/>
    <w:rsid w:val="00E54FD1"/>
    <w:rsid w:val="00E558B8"/>
    <w:rsid w:val="00E55A9F"/>
    <w:rsid w:val="00E56626"/>
    <w:rsid w:val="00E57914"/>
    <w:rsid w:val="00E60510"/>
    <w:rsid w:val="00E60903"/>
    <w:rsid w:val="00E60FA3"/>
    <w:rsid w:val="00E61E3A"/>
    <w:rsid w:val="00E61E9F"/>
    <w:rsid w:val="00E62300"/>
    <w:rsid w:val="00E627C7"/>
    <w:rsid w:val="00E6367F"/>
    <w:rsid w:val="00E64BEC"/>
    <w:rsid w:val="00E64D3E"/>
    <w:rsid w:val="00E64DB4"/>
    <w:rsid w:val="00E652BF"/>
    <w:rsid w:val="00E65547"/>
    <w:rsid w:val="00E65850"/>
    <w:rsid w:val="00E65E45"/>
    <w:rsid w:val="00E6754D"/>
    <w:rsid w:val="00E70D5D"/>
    <w:rsid w:val="00E70E84"/>
    <w:rsid w:val="00E73FCC"/>
    <w:rsid w:val="00E74049"/>
    <w:rsid w:val="00E740E0"/>
    <w:rsid w:val="00E74D11"/>
    <w:rsid w:val="00E75055"/>
    <w:rsid w:val="00E756BC"/>
    <w:rsid w:val="00E76608"/>
    <w:rsid w:val="00E7665D"/>
    <w:rsid w:val="00E76903"/>
    <w:rsid w:val="00E77B18"/>
    <w:rsid w:val="00E77DF2"/>
    <w:rsid w:val="00E806BE"/>
    <w:rsid w:val="00E8111B"/>
    <w:rsid w:val="00E8113F"/>
    <w:rsid w:val="00E81D83"/>
    <w:rsid w:val="00E82D4B"/>
    <w:rsid w:val="00E82DFD"/>
    <w:rsid w:val="00E83047"/>
    <w:rsid w:val="00E83168"/>
    <w:rsid w:val="00E84DDC"/>
    <w:rsid w:val="00E84E88"/>
    <w:rsid w:val="00E85573"/>
    <w:rsid w:val="00E87498"/>
    <w:rsid w:val="00E878E9"/>
    <w:rsid w:val="00E87A91"/>
    <w:rsid w:val="00E87C4F"/>
    <w:rsid w:val="00E90A98"/>
    <w:rsid w:val="00E90D72"/>
    <w:rsid w:val="00E913A6"/>
    <w:rsid w:val="00E9156F"/>
    <w:rsid w:val="00E91CE1"/>
    <w:rsid w:val="00E91D5E"/>
    <w:rsid w:val="00E91D9F"/>
    <w:rsid w:val="00E9223A"/>
    <w:rsid w:val="00E93496"/>
    <w:rsid w:val="00E93694"/>
    <w:rsid w:val="00E93B42"/>
    <w:rsid w:val="00E94C4A"/>
    <w:rsid w:val="00E94F16"/>
    <w:rsid w:val="00E951F8"/>
    <w:rsid w:val="00E953F0"/>
    <w:rsid w:val="00E95C66"/>
    <w:rsid w:val="00E95DA8"/>
    <w:rsid w:val="00E95F8C"/>
    <w:rsid w:val="00E96BDC"/>
    <w:rsid w:val="00E97615"/>
    <w:rsid w:val="00E97CBC"/>
    <w:rsid w:val="00EA0456"/>
    <w:rsid w:val="00EA1F8F"/>
    <w:rsid w:val="00EA222C"/>
    <w:rsid w:val="00EA25B0"/>
    <w:rsid w:val="00EA26BD"/>
    <w:rsid w:val="00EA2A07"/>
    <w:rsid w:val="00EA2A9D"/>
    <w:rsid w:val="00EA2B27"/>
    <w:rsid w:val="00EA3C89"/>
    <w:rsid w:val="00EA3FAF"/>
    <w:rsid w:val="00EA5098"/>
    <w:rsid w:val="00EA518F"/>
    <w:rsid w:val="00EA5654"/>
    <w:rsid w:val="00EA59DB"/>
    <w:rsid w:val="00EA617F"/>
    <w:rsid w:val="00EA7EDE"/>
    <w:rsid w:val="00EB07C2"/>
    <w:rsid w:val="00EB111A"/>
    <w:rsid w:val="00EB1467"/>
    <w:rsid w:val="00EB1614"/>
    <w:rsid w:val="00EB326E"/>
    <w:rsid w:val="00EB376F"/>
    <w:rsid w:val="00EB487C"/>
    <w:rsid w:val="00EB48E6"/>
    <w:rsid w:val="00EB4C93"/>
    <w:rsid w:val="00EB53CE"/>
    <w:rsid w:val="00EB5746"/>
    <w:rsid w:val="00EB5E80"/>
    <w:rsid w:val="00EB6F7A"/>
    <w:rsid w:val="00EC06CA"/>
    <w:rsid w:val="00EC0A3C"/>
    <w:rsid w:val="00EC0CF7"/>
    <w:rsid w:val="00EC2829"/>
    <w:rsid w:val="00EC2D86"/>
    <w:rsid w:val="00EC3FFB"/>
    <w:rsid w:val="00EC4570"/>
    <w:rsid w:val="00EC4F8A"/>
    <w:rsid w:val="00ED003A"/>
    <w:rsid w:val="00ED05CA"/>
    <w:rsid w:val="00ED093A"/>
    <w:rsid w:val="00ED1E48"/>
    <w:rsid w:val="00ED2749"/>
    <w:rsid w:val="00ED2A92"/>
    <w:rsid w:val="00ED2B77"/>
    <w:rsid w:val="00ED306E"/>
    <w:rsid w:val="00ED314F"/>
    <w:rsid w:val="00ED391B"/>
    <w:rsid w:val="00ED3D79"/>
    <w:rsid w:val="00ED5BA8"/>
    <w:rsid w:val="00ED62B5"/>
    <w:rsid w:val="00ED7C54"/>
    <w:rsid w:val="00EE115A"/>
    <w:rsid w:val="00EE16F1"/>
    <w:rsid w:val="00EE1885"/>
    <w:rsid w:val="00EE2A67"/>
    <w:rsid w:val="00EE304C"/>
    <w:rsid w:val="00EE3CEA"/>
    <w:rsid w:val="00EE459F"/>
    <w:rsid w:val="00EE4CBF"/>
    <w:rsid w:val="00EE504E"/>
    <w:rsid w:val="00EE623F"/>
    <w:rsid w:val="00EE6A05"/>
    <w:rsid w:val="00EE6D63"/>
    <w:rsid w:val="00EE6DD9"/>
    <w:rsid w:val="00EE744E"/>
    <w:rsid w:val="00EE7E05"/>
    <w:rsid w:val="00EF0525"/>
    <w:rsid w:val="00EF086B"/>
    <w:rsid w:val="00EF2651"/>
    <w:rsid w:val="00EF2946"/>
    <w:rsid w:val="00EF31F7"/>
    <w:rsid w:val="00EF3314"/>
    <w:rsid w:val="00EF33CE"/>
    <w:rsid w:val="00EF379C"/>
    <w:rsid w:val="00EF41E8"/>
    <w:rsid w:val="00EF4813"/>
    <w:rsid w:val="00EF5170"/>
    <w:rsid w:val="00EF6148"/>
    <w:rsid w:val="00EF6449"/>
    <w:rsid w:val="00EF6E27"/>
    <w:rsid w:val="00EF788F"/>
    <w:rsid w:val="00EF7AF2"/>
    <w:rsid w:val="00EF7C81"/>
    <w:rsid w:val="00EF7EB0"/>
    <w:rsid w:val="00EF7F0E"/>
    <w:rsid w:val="00F00037"/>
    <w:rsid w:val="00F002BA"/>
    <w:rsid w:val="00F00CA3"/>
    <w:rsid w:val="00F019CC"/>
    <w:rsid w:val="00F0389D"/>
    <w:rsid w:val="00F04157"/>
    <w:rsid w:val="00F047DF"/>
    <w:rsid w:val="00F05211"/>
    <w:rsid w:val="00F05D41"/>
    <w:rsid w:val="00F05DB1"/>
    <w:rsid w:val="00F05ECE"/>
    <w:rsid w:val="00F0602E"/>
    <w:rsid w:val="00F06086"/>
    <w:rsid w:val="00F06BCB"/>
    <w:rsid w:val="00F07654"/>
    <w:rsid w:val="00F07D87"/>
    <w:rsid w:val="00F1096C"/>
    <w:rsid w:val="00F11506"/>
    <w:rsid w:val="00F12FF2"/>
    <w:rsid w:val="00F1310A"/>
    <w:rsid w:val="00F14FD0"/>
    <w:rsid w:val="00F154DF"/>
    <w:rsid w:val="00F156FD"/>
    <w:rsid w:val="00F15B7B"/>
    <w:rsid w:val="00F15DB9"/>
    <w:rsid w:val="00F166C9"/>
    <w:rsid w:val="00F16DE1"/>
    <w:rsid w:val="00F171AE"/>
    <w:rsid w:val="00F171D1"/>
    <w:rsid w:val="00F17706"/>
    <w:rsid w:val="00F17A7C"/>
    <w:rsid w:val="00F17B83"/>
    <w:rsid w:val="00F20699"/>
    <w:rsid w:val="00F214E9"/>
    <w:rsid w:val="00F216E5"/>
    <w:rsid w:val="00F217AD"/>
    <w:rsid w:val="00F21A58"/>
    <w:rsid w:val="00F229F8"/>
    <w:rsid w:val="00F25891"/>
    <w:rsid w:val="00F27157"/>
    <w:rsid w:val="00F27207"/>
    <w:rsid w:val="00F2754E"/>
    <w:rsid w:val="00F276DC"/>
    <w:rsid w:val="00F27DD7"/>
    <w:rsid w:val="00F27EC0"/>
    <w:rsid w:val="00F30486"/>
    <w:rsid w:val="00F30BB1"/>
    <w:rsid w:val="00F31B61"/>
    <w:rsid w:val="00F31F9A"/>
    <w:rsid w:val="00F3225E"/>
    <w:rsid w:val="00F3234E"/>
    <w:rsid w:val="00F325F7"/>
    <w:rsid w:val="00F32A4D"/>
    <w:rsid w:val="00F33225"/>
    <w:rsid w:val="00F334DA"/>
    <w:rsid w:val="00F33705"/>
    <w:rsid w:val="00F35472"/>
    <w:rsid w:val="00F3564E"/>
    <w:rsid w:val="00F35FE5"/>
    <w:rsid w:val="00F36432"/>
    <w:rsid w:val="00F36CDC"/>
    <w:rsid w:val="00F37375"/>
    <w:rsid w:val="00F37CA1"/>
    <w:rsid w:val="00F37DA6"/>
    <w:rsid w:val="00F400C8"/>
    <w:rsid w:val="00F4058B"/>
    <w:rsid w:val="00F40D37"/>
    <w:rsid w:val="00F41690"/>
    <w:rsid w:val="00F41F4D"/>
    <w:rsid w:val="00F42FC5"/>
    <w:rsid w:val="00F44F4B"/>
    <w:rsid w:val="00F4586F"/>
    <w:rsid w:val="00F45A23"/>
    <w:rsid w:val="00F46373"/>
    <w:rsid w:val="00F4680C"/>
    <w:rsid w:val="00F469DA"/>
    <w:rsid w:val="00F47161"/>
    <w:rsid w:val="00F478DE"/>
    <w:rsid w:val="00F50180"/>
    <w:rsid w:val="00F51976"/>
    <w:rsid w:val="00F5198A"/>
    <w:rsid w:val="00F51B53"/>
    <w:rsid w:val="00F523D7"/>
    <w:rsid w:val="00F52536"/>
    <w:rsid w:val="00F526F3"/>
    <w:rsid w:val="00F52F25"/>
    <w:rsid w:val="00F536EE"/>
    <w:rsid w:val="00F54D8B"/>
    <w:rsid w:val="00F557D2"/>
    <w:rsid w:val="00F55923"/>
    <w:rsid w:val="00F55C1E"/>
    <w:rsid w:val="00F574A7"/>
    <w:rsid w:val="00F57F49"/>
    <w:rsid w:val="00F6035C"/>
    <w:rsid w:val="00F60D9E"/>
    <w:rsid w:val="00F60E5F"/>
    <w:rsid w:val="00F61B6F"/>
    <w:rsid w:val="00F62704"/>
    <w:rsid w:val="00F62BCA"/>
    <w:rsid w:val="00F62FE1"/>
    <w:rsid w:val="00F63618"/>
    <w:rsid w:val="00F638C8"/>
    <w:rsid w:val="00F63C2A"/>
    <w:rsid w:val="00F64276"/>
    <w:rsid w:val="00F648C9"/>
    <w:rsid w:val="00F65103"/>
    <w:rsid w:val="00F656AD"/>
    <w:rsid w:val="00F668B4"/>
    <w:rsid w:val="00F67C88"/>
    <w:rsid w:val="00F70818"/>
    <w:rsid w:val="00F710C7"/>
    <w:rsid w:val="00F711C5"/>
    <w:rsid w:val="00F71E28"/>
    <w:rsid w:val="00F73EC4"/>
    <w:rsid w:val="00F74ADE"/>
    <w:rsid w:val="00F75EBB"/>
    <w:rsid w:val="00F765A8"/>
    <w:rsid w:val="00F77A68"/>
    <w:rsid w:val="00F82A28"/>
    <w:rsid w:val="00F833B2"/>
    <w:rsid w:val="00F83501"/>
    <w:rsid w:val="00F83955"/>
    <w:rsid w:val="00F83DC3"/>
    <w:rsid w:val="00F84420"/>
    <w:rsid w:val="00F844EB"/>
    <w:rsid w:val="00F8452E"/>
    <w:rsid w:val="00F8466E"/>
    <w:rsid w:val="00F8469E"/>
    <w:rsid w:val="00F8550F"/>
    <w:rsid w:val="00F86C44"/>
    <w:rsid w:val="00F87B85"/>
    <w:rsid w:val="00F87D05"/>
    <w:rsid w:val="00F901CC"/>
    <w:rsid w:val="00F91F8C"/>
    <w:rsid w:val="00F920C7"/>
    <w:rsid w:val="00F93157"/>
    <w:rsid w:val="00F93A5C"/>
    <w:rsid w:val="00F93B66"/>
    <w:rsid w:val="00F93C9E"/>
    <w:rsid w:val="00F95658"/>
    <w:rsid w:val="00F969C8"/>
    <w:rsid w:val="00F97605"/>
    <w:rsid w:val="00F976D6"/>
    <w:rsid w:val="00FA02DB"/>
    <w:rsid w:val="00FA0C13"/>
    <w:rsid w:val="00FA1059"/>
    <w:rsid w:val="00FA1505"/>
    <w:rsid w:val="00FA1873"/>
    <w:rsid w:val="00FA195C"/>
    <w:rsid w:val="00FA1B9A"/>
    <w:rsid w:val="00FA2606"/>
    <w:rsid w:val="00FA342E"/>
    <w:rsid w:val="00FA3625"/>
    <w:rsid w:val="00FA3688"/>
    <w:rsid w:val="00FA4534"/>
    <w:rsid w:val="00FA4E67"/>
    <w:rsid w:val="00FA501E"/>
    <w:rsid w:val="00FA56F1"/>
    <w:rsid w:val="00FA5B48"/>
    <w:rsid w:val="00FA681D"/>
    <w:rsid w:val="00FA7A2B"/>
    <w:rsid w:val="00FB1520"/>
    <w:rsid w:val="00FB35A4"/>
    <w:rsid w:val="00FB42A5"/>
    <w:rsid w:val="00FB4777"/>
    <w:rsid w:val="00FB549D"/>
    <w:rsid w:val="00FB5563"/>
    <w:rsid w:val="00FB5869"/>
    <w:rsid w:val="00FB5B84"/>
    <w:rsid w:val="00FB6641"/>
    <w:rsid w:val="00FB6703"/>
    <w:rsid w:val="00FB6738"/>
    <w:rsid w:val="00FB71E2"/>
    <w:rsid w:val="00FB7276"/>
    <w:rsid w:val="00FC0048"/>
    <w:rsid w:val="00FC0522"/>
    <w:rsid w:val="00FC1AA9"/>
    <w:rsid w:val="00FC25E6"/>
    <w:rsid w:val="00FC2F54"/>
    <w:rsid w:val="00FC4135"/>
    <w:rsid w:val="00FC54C8"/>
    <w:rsid w:val="00FC56A6"/>
    <w:rsid w:val="00FC5811"/>
    <w:rsid w:val="00FC635C"/>
    <w:rsid w:val="00FC75D3"/>
    <w:rsid w:val="00FC75E5"/>
    <w:rsid w:val="00FC7873"/>
    <w:rsid w:val="00FD0253"/>
    <w:rsid w:val="00FD050A"/>
    <w:rsid w:val="00FD0B94"/>
    <w:rsid w:val="00FD1A82"/>
    <w:rsid w:val="00FD2911"/>
    <w:rsid w:val="00FD2D65"/>
    <w:rsid w:val="00FD326A"/>
    <w:rsid w:val="00FD46D0"/>
    <w:rsid w:val="00FD4D3C"/>
    <w:rsid w:val="00FD5E3A"/>
    <w:rsid w:val="00FD698E"/>
    <w:rsid w:val="00FD6A84"/>
    <w:rsid w:val="00FE074C"/>
    <w:rsid w:val="00FE0B03"/>
    <w:rsid w:val="00FE164B"/>
    <w:rsid w:val="00FE1D12"/>
    <w:rsid w:val="00FE1EDA"/>
    <w:rsid w:val="00FE205C"/>
    <w:rsid w:val="00FE20C9"/>
    <w:rsid w:val="00FE22D0"/>
    <w:rsid w:val="00FE31DF"/>
    <w:rsid w:val="00FE3262"/>
    <w:rsid w:val="00FE32EE"/>
    <w:rsid w:val="00FE33B2"/>
    <w:rsid w:val="00FE3A6F"/>
    <w:rsid w:val="00FE3E4E"/>
    <w:rsid w:val="00FE42CE"/>
    <w:rsid w:val="00FE4C92"/>
    <w:rsid w:val="00FE522D"/>
    <w:rsid w:val="00FE52C2"/>
    <w:rsid w:val="00FE534E"/>
    <w:rsid w:val="00FE5A57"/>
    <w:rsid w:val="00FE60CF"/>
    <w:rsid w:val="00FE620D"/>
    <w:rsid w:val="00FF084D"/>
    <w:rsid w:val="00FF0925"/>
    <w:rsid w:val="00FF0B69"/>
    <w:rsid w:val="00FF1190"/>
    <w:rsid w:val="00FF1726"/>
    <w:rsid w:val="00FF17AC"/>
    <w:rsid w:val="00FF18B1"/>
    <w:rsid w:val="00FF190D"/>
    <w:rsid w:val="00FF2A55"/>
    <w:rsid w:val="00FF2D8E"/>
    <w:rsid w:val="00FF2E90"/>
    <w:rsid w:val="00FF317E"/>
    <w:rsid w:val="00FF4BDE"/>
    <w:rsid w:val="00FF63B1"/>
    <w:rsid w:val="00FF6C99"/>
    <w:rsid w:val="00FF7243"/>
    <w:rsid w:val="00FF756C"/>
    <w:rsid w:val="010B22BF"/>
    <w:rsid w:val="01477DF6"/>
    <w:rsid w:val="01585D83"/>
    <w:rsid w:val="01675C00"/>
    <w:rsid w:val="017F2F66"/>
    <w:rsid w:val="019236FF"/>
    <w:rsid w:val="01B21506"/>
    <w:rsid w:val="01C12788"/>
    <w:rsid w:val="01C3078A"/>
    <w:rsid w:val="01D910C1"/>
    <w:rsid w:val="02172B02"/>
    <w:rsid w:val="026D2185"/>
    <w:rsid w:val="027E6549"/>
    <w:rsid w:val="029D6428"/>
    <w:rsid w:val="03042E1F"/>
    <w:rsid w:val="036B581E"/>
    <w:rsid w:val="03951A9C"/>
    <w:rsid w:val="03B07793"/>
    <w:rsid w:val="03DA45DB"/>
    <w:rsid w:val="04061801"/>
    <w:rsid w:val="044A436A"/>
    <w:rsid w:val="04591674"/>
    <w:rsid w:val="045E3D03"/>
    <w:rsid w:val="04960CC1"/>
    <w:rsid w:val="04B636B0"/>
    <w:rsid w:val="05021CF5"/>
    <w:rsid w:val="0554767A"/>
    <w:rsid w:val="05553238"/>
    <w:rsid w:val="055C5361"/>
    <w:rsid w:val="057F78AE"/>
    <w:rsid w:val="05BC55FF"/>
    <w:rsid w:val="05F344C5"/>
    <w:rsid w:val="0647577E"/>
    <w:rsid w:val="071E3D6E"/>
    <w:rsid w:val="072401B6"/>
    <w:rsid w:val="07244F87"/>
    <w:rsid w:val="074579D3"/>
    <w:rsid w:val="07524999"/>
    <w:rsid w:val="07715302"/>
    <w:rsid w:val="077205C0"/>
    <w:rsid w:val="077B4525"/>
    <w:rsid w:val="07E9636F"/>
    <w:rsid w:val="080E623C"/>
    <w:rsid w:val="08195EF3"/>
    <w:rsid w:val="08235A4A"/>
    <w:rsid w:val="085B33C8"/>
    <w:rsid w:val="085C46C4"/>
    <w:rsid w:val="086F58A2"/>
    <w:rsid w:val="089502CD"/>
    <w:rsid w:val="08B95416"/>
    <w:rsid w:val="08E55977"/>
    <w:rsid w:val="092D2A9A"/>
    <w:rsid w:val="096526B6"/>
    <w:rsid w:val="09E84799"/>
    <w:rsid w:val="0A363AF0"/>
    <w:rsid w:val="0AFC7DFC"/>
    <w:rsid w:val="0B3533C3"/>
    <w:rsid w:val="0B582A62"/>
    <w:rsid w:val="0B86796D"/>
    <w:rsid w:val="0BBF52B2"/>
    <w:rsid w:val="0BD82C3F"/>
    <w:rsid w:val="0BDA0738"/>
    <w:rsid w:val="0C1A0510"/>
    <w:rsid w:val="0C6B185E"/>
    <w:rsid w:val="0CA6063E"/>
    <w:rsid w:val="0CD30C2B"/>
    <w:rsid w:val="0D1B5F95"/>
    <w:rsid w:val="0D410293"/>
    <w:rsid w:val="0D5B58CD"/>
    <w:rsid w:val="0D6931DE"/>
    <w:rsid w:val="0DE20272"/>
    <w:rsid w:val="0DFC2C13"/>
    <w:rsid w:val="0E1B7E9E"/>
    <w:rsid w:val="0E4B045A"/>
    <w:rsid w:val="0E5D0249"/>
    <w:rsid w:val="0EE17FD7"/>
    <w:rsid w:val="0EFA6F28"/>
    <w:rsid w:val="0F3A2AC9"/>
    <w:rsid w:val="0FF0485B"/>
    <w:rsid w:val="1033268E"/>
    <w:rsid w:val="10346C76"/>
    <w:rsid w:val="10574896"/>
    <w:rsid w:val="108913C8"/>
    <w:rsid w:val="108D45A8"/>
    <w:rsid w:val="109D1177"/>
    <w:rsid w:val="11280B30"/>
    <w:rsid w:val="11380D2D"/>
    <w:rsid w:val="11561218"/>
    <w:rsid w:val="115936E3"/>
    <w:rsid w:val="11A70258"/>
    <w:rsid w:val="120F7599"/>
    <w:rsid w:val="12415B32"/>
    <w:rsid w:val="12432335"/>
    <w:rsid w:val="12F1290D"/>
    <w:rsid w:val="130E0BED"/>
    <w:rsid w:val="1340104E"/>
    <w:rsid w:val="13653A41"/>
    <w:rsid w:val="140C3397"/>
    <w:rsid w:val="143809F8"/>
    <w:rsid w:val="144A2DEF"/>
    <w:rsid w:val="145D22C7"/>
    <w:rsid w:val="149D7253"/>
    <w:rsid w:val="14A9014B"/>
    <w:rsid w:val="14BA1BCC"/>
    <w:rsid w:val="14BE0A79"/>
    <w:rsid w:val="14C17E72"/>
    <w:rsid w:val="14C37442"/>
    <w:rsid w:val="1500003E"/>
    <w:rsid w:val="151D18EA"/>
    <w:rsid w:val="15930665"/>
    <w:rsid w:val="15B74C13"/>
    <w:rsid w:val="15BE22FF"/>
    <w:rsid w:val="15D85FE2"/>
    <w:rsid w:val="15EB4E45"/>
    <w:rsid w:val="16047358"/>
    <w:rsid w:val="1626496D"/>
    <w:rsid w:val="16B37B07"/>
    <w:rsid w:val="16B8317A"/>
    <w:rsid w:val="16C43553"/>
    <w:rsid w:val="16EF7BA5"/>
    <w:rsid w:val="16FD008D"/>
    <w:rsid w:val="17893D02"/>
    <w:rsid w:val="178C784F"/>
    <w:rsid w:val="17B46EBC"/>
    <w:rsid w:val="17CD594A"/>
    <w:rsid w:val="17EB3DD8"/>
    <w:rsid w:val="18111F8B"/>
    <w:rsid w:val="1837794E"/>
    <w:rsid w:val="183B4C5D"/>
    <w:rsid w:val="184D0C7A"/>
    <w:rsid w:val="18524BAC"/>
    <w:rsid w:val="18592B10"/>
    <w:rsid w:val="185968F5"/>
    <w:rsid w:val="18782CC4"/>
    <w:rsid w:val="18BC7A5E"/>
    <w:rsid w:val="19033734"/>
    <w:rsid w:val="1932689D"/>
    <w:rsid w:val="19536E25"/>
    <w:rsid w:val="198733AD"/>
    <w:rsid w:val="19991EEC"/>
    <w:rsid w:val="19EA6197"/>
    <w:rsid w:val="19F54BAF"/>
    <w:rsid w:val="1A125EDC"/>
    <w:rsid w:val="1A3D316E"/>
    <w:rsid w:val="1A617F9D"/>
    <w:rsid w:val="1A917E62"/>
    <w:rsid w:val="1AAB41FD"/>
    <w:rsid w:val="1B4825F1"/>
    <w:rsid w:val="1B4B17D0"/>
    <w:rsid w:val="1B52084A"/>
    <w:rsid w:val="1B6B19AF"/>
    <w:rsid w:val="1B7B4D26"/>
    <w:rsid w:val="1B7E3CB0"/>
    <w:rsid w:val="1B7EBFB8"/>
    <w:rsid w:val="1BEE4193"/>
    <w:rsid w:val="1BF64F4F"/>
    <w:rsid w:val="1BFD8EF6"/>
    <w:rsid w:val="1C8A6593"/>
    <w:rsid w:val="1D282EFD"/>
    <w:rsid w:val="1D5D0D7A"/>
    <w:rsid w:val="1D63771D"/>
    <w:rsid w:val="1DFFD9BF"/>
    <w:rsid w:val="1E1932E1"/>
    <w:rsid w:val="1E674FC9"/>
    <w:rsid w:val="1E8E691C"/>
    <w:rsid w:val="1E98103E"/>
    <w:rsid w:val="1EBF09D7"/>
    <w:rsid w:val="1F2209E9"/>
    <w:rsid w:val="1F51520F"/>
    <w:rsid w:val="1F851444"/>
    <w:rsid w:val="1FB802F2"/>
    <w:rsid w:val="1FCB119D"/>
    <w:rsid w:val="1FD63FF1"/>
    <w:rsid w:val="1FE86B3C"/>
    <w:rsid w:val="20571479"/>
    <w:rsid w:val="20BE0AEB"/>
    <w:rsid w:val="211D3931"/>
    <w:rsid w:val="2125229D"/>
    <w:rsid w:val="212B30B6"/>
    <w:rsid w:val="214231F9"/>
    <w:rsid w:val="21604FB1"/>
    <w:rsid w:val="21905375"/>
    <w:rsid w:val="21936E30"/>
    <w:rsid w:val="21A0524B"/>
    <w:rsid w:val="21CD54CF"/>
    <w:rsid w:val="21E0768C"/>
    <w:rsid w:val="21F86024"/>
    <w:rsid w:val="22175620"/>
    <w:rsid w:val="22212092"/>
    <w:rsid w:val="224E750C"/>
    <w:rsid w:val="228F4DE2"/>
    <w:rsid w:val="22C90207"/>
    <w:rsid w:val="23444129"/>
    <w:rsid w:val="23A53168"/>
    <w:rsid w:val="23DD61F9"/>
    <w:rsid w:val="241365FC"/>
    <w:rsid w:val="24843698"/>
    <w:rsid w:val="24AE4580"/>
    <w:rsid w:val="24CE5D6E"/>
    <w:rsid w:val="24DD2E9C"/>
    <w:rsid w:val="24E0523F"/>
    <w:rsid w:val="24FC0C90"/>
    <w:rsid w:val="25116156"/>
    <w:rsid w:val="25272A37"/>
    <w:rsid w:val="252A0AD7"/>
    <w:rsid w:val="254F2F0D"/>
    <w:rsid w:val="257E1F49"/>
    <w:rsid w:val="259D71CD"/>
    <w:rsid w:val="25BF1F60"/>
    <w:rsid w:val="25F20973"/>
    <w:rsid w:val="25F468ED"/>
    <w:rsid w:val="26013F03"/>
    <w:rsid w:val="26056E8A"/>
    <w:rsid w:val="26274B5A"/>
    <w:rsid w:val="267E5ADA"/>
    <w:rsid w:val="268C7753"/>
    <w:rsid w:val="26961CF6"/>
    <w:rsid w:val="26EA575C"/>
    <w:rsid w:val="26FC2724"/>
    <w:rsid w:val="2705677C"/>
    <w:rsid w:val="272376E9"/>
    <w:rsid w:val="2753664C"/>
    <w:rsid w:val="27991A32"/>
    <w:rsid w:val="27AA1E24"/>
    <w:rsid w:val="27E51E09"/>
    <w:rsid w:val="281D1919"/>
    <w:rsid w:val="28450329"/>
    <w:rsid w:val="284E121B"/>
    <w:rsid w:val="28557F50"/>
    <w:rsid w:val="288C38D8"/>
    <w:rsid w:val="289F35E5"/>
    <w:rsid w:val="28A06623"/>
    <w:rsid w:val="28E54A9E"/>
    <w:rsid w:val="29995B0D"/>
    <w:rsid w:val="29B21742"/>
    <w:rsid w:val="29CD4867"/>
    <w:rsid w:val="2A0E6D39"/>
    <w:rsid w:val="2A37136A"/>
    <w:rsid w:val="2A816277"/>
    <w:rsid w:val="2AE610ED"/>
    <w:rsid w:val="2B3C660D"/>
    <w:rsid w:val="2B5A6805"/>
    <w:rsid w:val="2BB26C42"/>
    <w:rsid w:val="2BE86DD4"/>
    <w:rsid w:val="2BFB6567"/>
    <w:rsid w:val="2C7E3F14"/>
    <w:rsid w:val="2C9373B1"/>
    <w:rsid w:val="2CBD3A81"/>
    <w:rsid w:val="2D0D0F6C"/>
    <w:rsid w:val="2D31190F"/>
    <w:rsid w:val="2D447E0E"/>
    <w:rsid w:val="2D5474A6"/>
    <w:rsid w:val="2D5F2018"/>
    <w:rsid w:val="2D5FC0E4"/>
    <w:rsid w:val="2D9E2BDC"/>
    <w:rsid w:val="2DFB71A2"/>
    <w:rsid w:val="2E1E5C40"/>
    <w:rsid w:val="2E2154A7"/>
    <w:rsid w:val="2E42139C"/>
    <w:rsid w:val="2E656FD2"/>
    <w:rsid w:val="2E670CC4"/>
    <w:rsid w:val="2E9C205A"/>
    <w:rsid w:val="2EB4353D"/>
    <w:rsid w:val="2F4847BE"/>
    <w:rsid w:val="2F7C58A4"/>
    <w:rsid w:val="2FB61B2D"/>
    <w:rsid w:val="2FE17DD7"/>
    <w:rsid w:val="2FF63A3A"/>
    <w:rsid w:val="30066D3C"/>
    <w:rsid w:val="30244A7B"/>
    <w:rsid w:val="30500350"/>
    <w:rsid w:val="309C6923"/>
    <w:rsid w:val="30AC4667"/>
    <w:rsid w:val="30BE5C11"/>
    <w:rsid w:val="30C61205"/>
    <w:rsid w:val="30F84F44"/>
    <w:rsid w:val="311B4858"/>
    <w:rsid w:val="31B34F5B"/>
    <w:rsid w:val="31C76103"/>
    <w:rsid w:val="31DA682F"/>
    <w:rsid w:val="31E06798"/>
    <w:rsid w:val="31F75CA1"/>
    <w:rsid w:val="320F6140"/>
    <w:rsid w:val="32184C4A"/>
    <w:rsid w:val="322F1B9D"/>
    <w:rsid w:val="327947E1"/>
    <w:rsid w:val="32EC3A7E"/>
    <w:rsid w:val="33133A2B"/>
    <w:rsid w:val="331A6D5B"/>
    <w:rsid w:val="3354739B"/>
    <w:rsid w:val="336B250C"/>
    <w:rsid w:val="339D29DC"/>
    <w:rsid w:val="33C618D6"/>
    <w:rsid w:val="33FF2D73"/>
    <w:rsid w:val="342844FA"/>
    <w:rsid w:val="343839CB"/>
    <w:rsid w:val="345A6307"/>
    <w:rsid w:val="346A286F"/>
    <w:rsid w:val="347F190D"/>
    <w:rsid w:val="34B271AA"/>
    <w:rsid w:val="354923F0"/>
    <w:rsid w:val="35556A0F"/>
    <w:rsid w:val="3565764E"/>
    <w:rsid w:val="35684401"/>
    <w:rsid w:val="356B543D"/>
    <w:rsid w:val="35841412"/>
    <w:rsid w:val="3645589B"/>
    <w:rsid w:val="36813F90"/>
    <w:rsid w:val="36DA5A01"/>
    <w:rsid w:val="37080424"/>
    <w:rsid w:val="373B711F"/>
    <w:rsid w:val="37525A26"/>
    <w:rsid w:val="37927700"/>
    <w:rsid w:val="379F1CCC"/>
    <w:rsid w:val="37DA56D8"/>
    <w:rsid w:val="37DD1F80"/>
    <w:rsid w:val="37EA02D3"/>
    <w:rsid w:val="38283F0F"/>
    <w:rsid w:val="382A06A9"/>
    <w:rsid w:val="38690C21"/>
    <w:rsid w:val="38736D6A"/>
    <w:rsid w:val="38C10001"/>
    <w:rsid w:val="38C602AF"/>
    <w:rsid w:val="391D3829"/>
    <w:rsid w:val="39285304"/>
    <w:rsid w:val="397F2F54"/>
    <w:rsid w:val="398F0FFC"/>
    <w:rsid w:val="398F3CA1"/>
    <w:rsid w:val="39AF6E87"/>
    <w:rsid w:val="39E065C6"/>
    <w:rsid w:val="39E24237"/>
    <w:rsid w:val="39E3652C"/>
    <w:rsid w:val="3A38094C"/>
    <w:rsid w:val="3A4B6C9E"/>
    <w:rsid w:val="3A7E47CB"/>
    <w:rsid w:val="3B053B39"/>
    <w:rsid w:val="3B3D36AA"/>
    <w:rsid w:val="3B536376"/>
    <w:rsid w:val="3B8576B0"/>
    <w:rsid w:val="3B944BE1"/>
    <w:rsid w:val="3BC4103C"/>
    <w:rsid w:val="3BF6086A"/>
    <w:rsid w:val="3C5373A2"/>
    <w:rsid w:val="3C6C127E"/>
    <w:rsid w:val="3C8B1AFD"/>
    <w:rsid w:val="3CAD3B9A"/>
    <w:rsid w:val="3CDB69FF"/>
    <w:rsid w:val="3CEC4000"/>
    <w:rsid w:val="3D9E2B22"/>
    <w:rsid w:val="3DE02F55"/>
    <w:rsid w:val="3DE05719"/>
    <w:rsid w:val="3DFF5FCD"/>
    <w:rsid w:val="3DFFE271"/>
    <w:rsid w:val="3E4623E6"/>
    <w:rsid w:val="3E492C5C"/>
    <w:rsid w:val="3EA35764"/>
    <w:rsid w:val="3ECC67EA"/>
    <w:rsid w:val="3EE13EE9"/>
    <w:rsid w:val="3EF44577"/>
    <w:rsid w:val="3F0F0BE2"/>
    <w:rsid w:val="3F3C2B8E"/>
    <w:rsid w:val="3F694895"/>
    <w:rsid w:val="3F9E7CF1"/>
    <w:rsid w:val="3FB472AD"/>
    <w:rsid w:val="3FDA3976"/>
    <w:rsid w:val="3FEEAA64"/>
    <w:rsid w:val="3FEF3FC9"/>
    <w:rsid w:val="3FF52E19"/>
    <w:rsid w:val="403E1960"/>
    <w:rsid w:val="40496A40"/>
    <w:rsid w:val="407C318D"/>
    <w:rsid w:val="40B651B6"/>
    <w:rsid w:val="40C22711"/>
    <w:rsid w:val="40D65D0B"/>
    <w:rsid w:val="410B50C8"/>
    <w:rsid w:val="41122101"/>
    <w:rsid w:val="415E6AEF"/>
    <w:rsid w:val="41821120"/>
    <w:rsid w:val="41A85855"/>
    <w:rsid w:val="41B056FD"/>
    <w:rsid w:val="41B45A71"/>
    <w:rsid w:val="41B829FD"/>
    <w:rsid w:val="41BD104F"/>
    <w:rsid w:val="41D946F0"/>
    <w:rsid w:val="42DA5A94"/>
    <w:rsid w:val="430950B9"/>
    <w:rsid w:val="431A3F12"/>
    <w:rsid w:val="43352D37"/>
    <w:rsid w:val="440D33ED"/>
    <w:rsid w:val="446318F4"/>
    <w:rsid w:val="44DF29F6"/>
    <w:rsid w:val="452F446F"/>
    <w:rsid w:val="453829F6"/>
    <w:rsid w:val="453D481B"/>
    <w:rsid w:val="4561560D"/>
    <w:rsid w:val="458B59AC"/>
    <w:rsid w:val="458C3719"/>
    <w:rsid w:val="45EC73BA"/>
    <w:rsid w:val="45EE1AFF"/>
    <w:rsid w:val="46223E12"/>
    <w:rsid w:val="462B1DDD"/>
    <w:rsid w:val="46307D05"/>
    <w:rsid w:val="463E118C"/>
    <w:rsid w:val="46491B6F"/>
    <w:rsid w:val="465B2D8B"/>
    <w:rsid w:val="46776605"/>
    <w:rsid w:val="469B3313"/>
    <w:rsid w:val="46D17B65"/>
    <w:rsid w:val="46D93CF1"/>
    <w:rsid w:val="470A538B"/>
    <w:rsid w:val="475A41A2"/>
    <w:rsid w:val="47B543C7"/>
    <w:rsid w:val="47F71EB6"/>
    <w:rsid w:val="483D2B0E"/>
    <w:rsid w:val="48800D4D"/>
    <w:rsid w:val="48BE3356"/>
    <w:rsid w:val="48D573B2"/>
    <w:rsid w:val="48EF0B1C"/>
    <w:rsid w:val="48EF6644"/>
    <w:rsid w:val="4901632C"/>
    <w:rsid w:val="49367DCB"/>
    <w:rsid w:val="493E6225"/>
    <w:rsid w:val="49AC5302"/>
    <w:rsid w:val="49B204CE"/>
    <w:rsid w:val="4A014102"/>
    <w:rsid w:val="4ADF0021"/>
    <w:rsid w:val="4B6B2624"/>
    <w:rsid w:val="4B7163E4"/>
    <w:rsid w:val="4B814C16"/>
    <w:rsid w:val="4BCF5A03"/>
    <w:rsid w:val="4BD051C6"/>
    <w:rsid w:val="4BFA28DF"/>
    <w:rsid w:val="4C096C91"/>
    <w:rsid w:val="4C1F4426"/>
    <w:rsid w:val="4C2A2BB8"/>
    <w:rsid w:val="4C2F52B9"/>
    <w:rsid w:val="4C5E40D5"/>
    <w:rsid w:val="4C8062FB"/>
    <w:rsid w:val="4CA448D9"/>
    <w:rsid w:val="4CB03E07"/>
    <w:rsid w:val="4CCA578B"/>
    <w:rsid w:val="4CE12FF4"/>
    <w:rsid w:val="4CE6624D"/>
    <w:rsid w:val="4D022AC8"/>
    <w:rsid w:val="4D136991"/>
    <w:rsid w:val="4D224F15"/>
    <w:rsid w:val="4D2EF403"/>
    <w:rsid w:val="4D514C87"/>
    <w:rsid w:val="4D560C1D"/>
    <w:rsid w:val="4D654DCD"/>
    <w:rsid w:val="4DBC0010"/>
    <w:rsid w:val="4DD642A7"/>
    <w:rsid w:val="4DFB1F60"/>
    <w:rsid w:val="4E2E6792"/>
    <w:rsid w:val="4E9776CC"/>
    <w:rsid w:val="4EA24854"/>
    <w:rsid w:val="4EE71FFE"/>
    <w:rsid w:val="4EE96F7A"/>
    <w:rsid w:val="4F341B4C"/>
    <w:rsid w:val="4F967008"/>
    <w:rsid w:val="4F9A2C4A"/>
    <w:rsid w:val="4FEA2CB9"/>
    <w:rsid w:val="50673179"/>
    <w:rsid w:val="51024103"/>
    <w:rsid w:val="510E79A5"/>
    <w:rsid w:val="51674809"/>
    <w:rsid w:val="51F65161"/>
    <w:rsid w:val="51F66AA6"/>
    <w:rsid w:val="51F71ED3"/>
    <w:rsid w:val="520B4AAB"/>
    <w:rsid w:val="52117B0C"/>
    <w:rsid w:val="52450ED8"/>
    <w:rsid w:val="52506A76"/>
    <w:rsid w:val="52757B0E"/>
    <w:rsid w:val="5276311A"/>
    <w:rsid w:val="52ED1546"/>
    <w:rsid w:val="530E2528"/>
    <w:rsid w:val="5336216F"/>
    <w:rsid w:val="536476E1"/>
    <w:rsid w:val="537D695B"/>
    <w:rsid w:val="538637CC"/>
    <w:rsid w:val="53863D11"/>
    <w:rsid w:val="538C545F"/>
    <w:rsid w:val="53947B06"/>
    <w:rsid w:val="53C96B19"/>
    <w:rsid w:val="53D05CE3"/>
    <w:rsid w:val="53EB1A58"/>
    <w:rsid w:val="53FE2BC8"/>
    <w:rsid w:val="541E0424"/>
    <w:rsid w:val="54366A1C"/>
    <w:rsid w:val="546E205D"/>
    <w:rsid w:val="547A5B6F"/>
    <w:rsid w:val="549F52E8"/>
    <w:rsid w:val="54D6605C"/>
    <w:rsid w:val="54DD64C8"/>
    <w:rsid w:val="55264138"/>
    <w:rsid w:val="55613240"/>
    <w:rsid w:val="55773420"/>
    <w:rsid w:val="558C68FC"/>
    <w:rsid w:val="559E5A11"/>
    <w:rsid w:val="55A5347D"/>
    <w:rsid w:val="564121B6"/>
    <w:rsid w:val="57142670"/>
    <w:rsid w:val="574D57E6"/>
    <w:rsid w:val="57CA0115"/>
    <w:rsid w:val="57D0743E"/>
    <w:rsid w:val="57F20686"/>
    <w:rsid w:val="58091BB9"/>
    <w:rsid w:val="583C03D8"/>
    <w:rsid w:val="586755A8"/>
    <w:rsid w:val="58C77C4C"/>
    <w:rsid w:val="58CE431A"/>
    <w:rsid w:val="58F16A74"/>
    <w:rsid w:val="58F214AF"/>
    <w:rsid w:val="58FF210C"/>
    <w:rsid w:val="59090384"/>
    <w:rsid w:val="59125105"/>
    <w:rsid w:val="59406718"/>
    <w:rsid w:val="59790DC9"/>
    <w:rsid w:val="599649A8"/>
    <w:rsid w:val="59A55470"/>
    <w:rsid w:val="59AA44AC"/>
    <w:rsid w:val="59EB516A"/>
    <w:rsid w:val="5A114393"/>
    <w:rsid w:val="5A2D5403"/>
    <w:rsid w:val="5A582575"/>
    <w:rsid w:val="5A726D75"/>
    <w:rsid w:val="5A72701C"/>
    <w:rsid w:val="5B274488"/>
    <w:rsid w:val="5B532A3F"/>
    <w:rsid w:val="5B7D5C8B"/>
    <w:rsid w:val="5B9A61E2"/>
    <w:rsid w:val="5BBA672B"/>
    <w:rsid w:val="5BC92996"/>
    <w:rsid w:val="5BCE3868"/>
    <w:rsid w:val="5BDE1DC2"/>
    <w:rsid w:val="5CA07A90"/>
    <w:rsid w:val="5CB30787"/>
    <w:rsid w:val="5CDD378B"/>
    <w:rsid w:val="5D4C62B0"/>
    <w:rsid w:val="5D5338AC"/>
    <w:rsid w:val="5D7173C7"/>
    <w:rsid w:val="5D790044"/>
    <w:rsid w:val="5D8D340D"/>
    <w:rsid w:val="5D94619C"/>
    <w:rsid w:val="5DD2076A"/>
    <w:rsid w:val="5E882E35"/>
    <w:rsid w:val="5EA60235"/>
    <w:rsid w:val="5EB159A8"/>
    <w:rsid w:val="5F160263"/>
    <w:rsid w:val="5F580586"/>
    <w:rsid w:val="5F792E95"/>
    <w:rsid w:val="5F952C4F"/>
    <w:rsid w:val="5FA36AB1"/>
    <w:rsid w:val="5FAD40F5"/>
    <w:rsid w:val="5FB02792"/>
    <w:rsid w:val="5FB32D21"/>
    <w:rsid w:val="5FB5513D"/>
    <w:rsid w:val="5FC91F92"/>
    <w:rsid w:val="5FCA43B9"/>
    <w:rsid w:val="5FD20458"/>
    <w:rsid w:val="5FDA1AB5"/>
    <w:rsid w:val="5FDC6A46"/>
    <w:rsid w:val="5FF27F8E"/>
    <w:rsid w:val="602225C6"/>
    <w:rsid w:val="60351019"/>
    <w:rsid w:val="60517652"/>
    <w:rsid w:val="60671D01"/>
    <w:rsid w:val="60A82F9D"/>
    <w:rsid w:val="60C154BA"/>
    <w:rsid w:val="60D763FE"/>
    <w:rsid w:val="614208AF"/>
    <w:rsid w:val="61FD1633"/>
    <w:rsid w:val="6206374F"/>
    <w:rsid w:val="620D5F4E"/>
    <w:rsid w:val="62574B9F"/>
    <w:rsid w:val="62672FAF"/>
    <w:rsid w:val="626F6054"/>
    <w:rsid w:val="62750B1A"/>
    <w:rsid w:val="62BA1672"/>
    <w:rsid w:val="62E61C76"/>
    <w:rsid w:val="62FB74EE"/>
    <w:rsid w:val="63127E64"/>
    <w:rsid w:val="632251B4"/>
    <w:rsid w:val="633D3934"/>
    <w:rsid w:val="63656FAE"/>
    <w:rsid w:val="63827AFC"/>
    <w:rsid w:val="639D0D3D"/>
    <w:rsid w:val="63A70D24"/>
    <w:rsid w:val="63BA50B5"/>
    <w:rsid w:val="63D20880"/>
    <w:rsid w:val="64380F8E"/>
    <w:rsid w:val="644902DF"/>
    <w:rsid w:val="64670A4D"/>
    <w:rsid w:val="647369F2"/>
    <w:rsid w:val="648010BA"/>
    <w:rsid w:val="64825AEF"/>
    <w:rsid w:val="64BC449E"/>
    <w:rsid w:val="64E161B1"/>
    <w:rsid w:val="6518256A"/>
    <w:rsid w:val="653B397C"/>
    <w:rsid w:val="65446C6D"/>
    <w:rsid w:val="65560944"/>
    <w:rsid w:val="6582167A"/>
    <w:rsid w:val="65903CFB"/>
    <w:rsid w:val="65E22B7D"/>
    <w:rsid w:val="65E358E4"/>
    <w:rsid w:val="660974CA"/>
    <w:rsid w:val="66144B02"/>
    <w:rsid w:val="661F1DE7"/>
    <w:rsid w:val="663A5C37"/>
    <w:rsid w:val="66674B36"/>
    <w:rsid w:val="66B80FD4"/>
    <w:rsid w:val="672E4EBD"/>
    <w:rsid w:val="674939D6"/>
    <w:rsid w:val="675E59B4"/>
    <w:rsid w:val="67827ABF"/>
    <w:rsid w:val="67B67DBB"/>
    <w:rsid w:val="67CC2F67"/>
    <w:rsid w:val="67CC543C"/>
    <w:rsid w:val="67F16764"/>
    <w:rsid w:val="67F9B2EC"/>
    <w:rsid w:val="67FF273B"/>
    <w:rsid w:val="681A4FC4"/>
    <w:rsid w:val="686C48BF"/>
    <w:rsid w:val="68917019"/>
    <w:rsid w:val="68C726A5"/>
    <w:rsid w:val="6948378F"/>
    <w:rsid w:val="698352E7"/>
    <w:rsid w:val="6984327E"/>
    <w:rsid w:val="69873C4D"/>
    <w:rsid w:val="698D7F90"/>
    <w:rsid w:val="69971CDC"/>
    <w:rsid w:val="69C015CA"/>
    <w:rsid w:val="6A223EA6"/>
    <w:rsid w:val="6A48588C"/>
    <w:rsid w:val="6A575A70"/>
    <w:rsid w:val="6A5C01F5"/>
    <w:rsid w:val="6A620056"/>
    <w:rsid w:val="6A7B356D"/>
    <w:rsid w:val="6AC31DB0"/>
    <w:rsid w:val="6B452BBB"/>
    <w:rsid w:val="6B454B57"/>
    <w:rsid w:val="6BD82612"/>
    <w:rsid w:val="6BE20FB1"/>
    <w:rsid w:val="6C6C68CE"/>
    <w:rsid w:val="6CA134AA"/>
    <w:rsid w:val="6CD85494"/>
    <w:rsid w:val="6D5761CF"/>
    <w:rsid w:val="6DB406A7"/>
    <w:rsid w:val="6DEE25FE"/>
    <w:rsid w:val="6DF53E4D"/>
    <w:rsid w:val="6E310F21"/>
    <w:rsid w:val="6E6E27A6"/>
    <w:rsid w:val="6E753F28"/>
    <w:rsid w:val="6E83368B"/>
    <w:rsid w:val="6EA52E4E"/>
    <w:rsid w:val="6EA97457"/>
    <w:rsid w:val="6ECE0C85"/>
    <w:rsid w:val="6F6018A4"/>
    <w:rsid w:val="6F693189"/>
    <w:rsid w:val="6F9DC60E"/>
    <w:rsid w:val="6FFEF6CD"/>
    <w:rsid w:val="7007308C"/>
    <w:rsid w:val="704E41A8"/>
    <w:rsid w:val="70BB75A3"/>
    <w:rsid w:val="70E50A34"/>
    <w:rsid w:val="70F63668"/>
    <w:rsid w:val="71526B69"/>
    <w:rsid w:val="7160281F"/>
    <w:rsid w:val="719A6BE7"/>
    <w:rsid w:val="71C923CC"/>
    <w:rsid w:val="71EB5739"/>
    <w:rsid w:val="720D5060"/>
    <w:rsid w:val="72306B38"/>
    <w:rsid w:val="72373D93"/>
    <w:rsid w:val="727A5985"/>
    <w:rsid w:val="727C6D52"/>
    <w:rsid w:val="731B3719"/>
    <w:rsid w:val="739B4217"/>
    <w:rsid w:val="74530C41"/>
    <w:rsid w:val="74670BD3"/>
    <w:rsid w:val="746A18D5"/>
    <w:rsid w:val="748F72A5"/>
    <w:rsid w:val="749C79C6"/>
    <w:rsid w:val="74B15D62"/>
    <w:rsid w:val="74E1677B"/>
    <w:rsid w:val="75050C6E"/>
    <w:rsid w:val="75521329"/>
    <w:rsid w:val="75603FA8"/>
    <w:rsid w:val="75F72AAB"/>
    <w:rsid w:val="76212B09"/>
    <w:rsid w:val="76366FA8"/>
    <w:rsid w:val="767E9AD9"/>
    <w:rsid w:val="76BC2E9C"/>
    <w:rsid w:val="7715018B"/>
    <w:rsid w:val="775A2047"/>
    <w:rsid w:val="778174BF"/>
    <w:rsid w:val="779A53B2"/>
    <w:rsid w:val="77A812CC"/>
    <w:rsid w:val="77D537C7"/>
    <w:rsid w:val="785A6E89"/>
    <w:rsid w:val="78786AE6"/>
    <w:rsid w:val="78B53B73"/>
    <w:rsid w:val="78BF11F1"/>
    <w:rsid w:val="7916585A"/>
    <w:rsid w:val="791F6B25"/>
    <w:rsid w:val="79257414"/>
    <w:rsid w:val="799B60AC"/>
    <w:rsid w:val="79A24AE0"/>
    <w:rsid w:val="79E8413F"/>
    <w:rsid w:val="7A140EFA"/>
    <w:rsid w:val="7A3054FE"/>
    <w:rsid w:val="7A3754CF"/>
    <w:rsid w:val="7A8667B3"/>
    <w:rsid w:val="7A8F3AAE"/>
    <w:rsid w:val="7AA1406E"/>
    <w:rsid w:val="7AB41161"/>
    <w:rsid w:val="7AFEAD13"/>
    <w:rsid w:val="7B1A0118"/>
    <w:rsid w:val="7B486EC0"/>
    <w:rsid w:val="7BBD4F47"/>
    <w:rsid w:val="7BDECB6F"/>
    <w:rsid w:val="7C2050E3"/>
    <w:rsid w:val="7C6C33AC"/>
    <w:rsid w:val="7C9977CC"/>
    <w:rsid w:val="7CBA7768"/>
    <w:rsid w:val="7CCA289C"/>
    <w:rsid w:val="7CFEB1EA"/>
    <w:rsid w:val="7D0668E7"/>
    <w:rsid w:val="7D86695B"/>
    <w:rsid w:val="7DA95022"/>
    <w:rsid w:val="7DBE536A"/>
    <w:rsid w:val="7DD54C56"/>
    <w:rsid w:val="7DEA07E4"/>
    <w:rsid w:val="7DEF3717"/>
    <w:rsid w:val="7DF791E5"/>
    <w:rsid w:val="7E006375"/>
    <w:rsid w:val="7E317C24"/>
    <w:rsid w:val="7E48019B"/>
    <w:rsid w:val="7E5029B5"/>
    <w:rsid w:val="7E514C6E"/>
    <w:rsid w:val="7E682726"/>
    <w:rsid w:val="7E811580"/>
    <w:rsid w:val="7E826F4C"/>
    <w:rsid w:val="7EEC4A8A"/>
    <w:rsid w:val="7F325C7E"/>
    <w:rsid w:val="7F52516C"/>
    <w:rsid w:val="7F6F242B"/>
    <w:rsid w:val="7F7736ED"/>
    <w:rsid w:val="7F7B02A3"/>
    <w:rsid w:val="7F7C1CF8"/>
    <w:rsid w:val="7F8B3675"/>
    <w:rsid w:val="7F980CE9"/>
    <w:rsid w:val="7FA11504"/>
    <w:rsid w:val="7FE7D689"/>
    <w:rsid w:val="7FFC2B80"/>
    <w:rsid w:val="9FD7D4DF"/>
    <w:rsid w:val="A6EFBB00"/>
    <w:rsid w:val="ADF913DC"/>
    <w:rsid w:val="B5EB79A3"/>
    <w:rsid w:val="BCDFDF96"/>
    <w:rsid w:val="BECEE61A"/>
    <w:rsid w:val="BFFC3EF0"/>
    <w:rsid w:val="D7D7DAFC"/>
    <w:rsid w:val="DBDFE664"/>
    <w:rsid w:val="DBFFD457"/>
    <w:rsid w:val="DEFFE100"/>
    <w:rsid w:val="DFFE7479"/>
    <w:rsid w:val="EEDEF861"/>
    <w:rsid w:val="EFB1A551"/>
    <w:rsid w:val="EFBFCDC1"/>
    <w:rsid w:val="EFFB46B6"/>
    <w:rsid w:val="F177C628"/>
    <w:rsid w:val="F3BE2247"/>
    <w:rsid w:val="F3FF673F"/>
    <w:rsid w:val="F7F5B293"/>
    <w:rsid w:val="FD3F5CC7"/>
    <w:rsid w:val="FF7752FA"/>
    <w:rsid w:val="FFEF84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99" w:semiHidden="0" w:name="List Number"/>
    <w:lsdException w:qFormat="1" w:unhideWhenUsed="0" w:uiPriority="99" w:semiHidden="0" w:name="List 2"/>
    <w:lsdException w:qFormat="1" w:unhideWhenUsed="0" w:uiPriority="0" w:semiHidden="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link w:val="76"/>
    <w:qFormat/>
    <w:uiPriority w:val="9"/>
    <w:pPr>
      <w:keepNext/>
      <w:keepLines/>
      <w:widowControl w:val="0"/>
      <w:tabs>
        <w:tab w:val="left" w:pos="840"/>
      </w:tabs>
      <w:adjustRightInd w:val="0"/>
      <w:snapToGrid w:val="0"/>
      <w:spacing w:line="360" w:lineRule="auto"/>
      <w:jc w:val="both"/>
      <w:outlineLvl w:val="0"/>
    </w:pPr>
    <w:rPr>
      <w:rFonts w:ascii="宋体"/>
      <w:b/>
      <w:kern w:val="44"/>
      <w:sz w:val="24"/>
    </w:rPr>
  </w:style>
  <w:style w:type="paragraph" w:styleId="4">
    <w:name w:val="heading 2"/>
    <w:basedOn w:val="1"/>
    <w:next w:val="1"/>
    <w:link w:val="77"/>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75"/>
    <w:qFormat/>
    <w:uiPriority w:val="9"/>
    <w:pPr>
      <w:keepNext/>
      <w:keepLines/>
      <w:spacing w:before="260" w:after="260" w:line="416" w:lineRule="auto"/>
      <w:outlineLvl w:val="2"/>
    </w:pPr>
    <w:rPr>
      <w:b/>
      <w:bCs/>
      <w:sz w:val="32"/>
      <w:szCs w:val="32"/>
    </w:rPr>
  </w:style>
  <w:style w:type="paragraph" w:styleId="6">
    <w:name w:val="heading 4"/>
    <w:basedOn w:val="1"/>
    <w:next w:val="1"/>
    <w:link w:val="78"/>
    <w:qFormat/>
    <w:uiPriority w:val="99"/>
    <w:pPr>
      <w:keepNext/>
      <w:keepLines/>
      <w:widowControl w:val="0"/>
      <w:tabs>
        <w:tab w:val="left" w:pos="864"/>
      </w:tabs>
      <w:spacing w:before="280" w:after="290" w:line="376" w:lineRule="auto"/>
      <w:jc w:val="both"/>
      <w:outlineLvl w:val="3"/>
    </w:pPr>
    <w:rPr>
      <w:rFonts w:ascii="Arial" w:hAnsi="Arial" w:eastAsia="黑体"/>
      <w:b/>
      <w:bCs/>
      <w:kern w:val="2"/>
      <w:sz w:val="28"/>
      <w:szCs w:val="28"/>
      <w:lang w:val="zh-CN"/>
    </w:rPr>
  </w:style>
  <w:style w:type="paragraph" w:styleId="7">
    <w:name w:val="heading 5"/>
    <w:basedOn w:val="1"/>
    <w:next w:val="1"/>
    <w:link w:val="79"/>
    <w:qFormat/>
    <w:uiPriority w:val="0"/>
    <w:pPr>
      <w:keepNext/>
      <w:keepLines/>
      <w:widowControl w:val="0"/>
      <w:tabs>
        <w:tab w:val="left" w:pos="1008"/>
      </w:tabs>
      <w:spacing w:before="280" w:after="290" w:line="376" w:lineRule="auto"/>
      <w:jc w:val="both"/>
      <w:outlineLvl w:val="4"/>
    </w:pPr>
    <w:rPr>
      <w:rFonts w:ascii="Calibri" w:hAnsi="Calibri"/>
      <w:b/>
      <w:bCs/>
      <w:kern w:val="2"/>
      <w:sz w:val="28"/>
      <w:szCs w:val="28"/>
    </w:rPr>
  </w:style>
  <w:style w:type="paragraph" w:styleId="8">
    <w:name w:val="heading 6"/>
    <w:basedOn w:val="1"/>
    <w:next w:val="1"/>
    <w:link w:val="80"/>
    <w:qFormat/>
    <w:uiPriority w:val="0"/>
    <w:pPr>
      <w:keepNext/>
      <w:keepLines/>
      <w:widowControl w:val="0"/>
      <w:tabs>
        <w:tab w:val="left" w:pos="1152"/>
      </w:tabs>
      <w:spacing w:before="240" w:after="64" w:line="320" w:lineRule="auto"/>
      <w:jc w:val="both"/>
      <w:outlineLvl w:val="5"/>
    </w:pPr>
    <w:rPr>
      <w:rFonts w:ascii="Arial" w:hAnsi="Arial" w:eastAsia="黑体"/>
      <w:b/>
      <w:bCs/>
      <w:kern w:val="2"/>
      <w:sz w:val="24"/>
      <w:szCs w:val="24"/>
    </w:rPr>
  </w:style>
  <w:style w:type="paragraph" w:styleId="9">
    <w:name w:val="heading 7"/>
    <w:basedOn w:val="1"/>
    <w:next w:val="1"/>
    <w:link w:val="81"/>
    <w:qFormat/>
    <w:uiPriority w:val="0"/>
    <w:pPr>
      <w:keepNext/>
      <w:keepLines/>
      <w:widowControl w:val="0"/>
      <w:tabs>
        <w:tab w:val="left" w:pos="1296"/>
      </w:tabs>
      <w:spacing w:before="240" w:after="64" w:line="320" w:lineRule="auto"/>
      <w:jc w:val="both"/>
      <w:outlineLvl w:val="6"/>
    </w:pPr>
    <w:rPr>
      <w:rFonts w:ascii="Calibri" w:hAnsi="Calibri"/>
      <w:b/>
      <w:bCs/>
      <w:kern w:val="2"/>
      <w:sz w:val="24"/>
      <w:szCs w:val="24"/>
    </w:rPr>
  </w:style>
  <w:style w:type="paragraph" w:styleId="10">
    <w:name w:val="heading 8"/>
    <w:basedOn w:val="1"/>
    <w:next w:val="1"/>
    <w:link w:val="82"/>
    <w:qFormat/>
    <w:uiPriority w:val="0"/>
    <w:pPr>
      <w:keepNext/>
      <w:keepLines/>
      <w:widowControl w:val="0"/>
      <w:tabs>
        <w:tab w:val="left" w:pos="1440"/>
      </w:tabs>
      <w:spacing w:before="240" w:after="64" w:line="320" w:lineRule="auto"/>
      <w:jc w:val="both"/>
      <w:outlineLvl w:val="7"/>
    </w:pPr>
    <w:rPr>
      <w:rFonts w:ascii="Arial" w:hAnsi="Arial" w:eastAsia="黑体"/>
      <w:kern w:val="2"/>
      <w:sz w:val="24"/>
      <w:szCs w:val="24"/>
    </w:rPr>
  </w:style>
  <w:style w:type="paragraph" w:styleId="11">
    <w:name w:val="heading 9"/>
    <w:basedOn w:val="1"/>
    <w:next w:val="1"/>
    <w:link w:val="83"/>
    <w:qFormat/>
    <w:uiPriority w:val="0"/>
    <w:pPr>
      <w:keepNext/>
      <w:keepLines/>
      <w:widowControl w:val="0"/>
      <w:tabs>
        <w:tab w:val="left" w:pos="1584"/>
      </w:tabs>
      <w:spacing w:before="240" w:after="64" w:line="320" w:lineRule="auto"/>
      <w:jc w:val="both"/>
      <w:outlineLvl w:val="8"/>
    </w:pPr>
    <w:rPr>
      <w:rFonts w:ascii="Arial" w:hAnsi="Arial" w:eastAsia="黑体"/>
      <w:kern w:val="2"/>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12">
    <w:name w:val="List 3"/>
    <w:basedOn w:val="1"/>
    <w:qFormat/>
    <w:uiPriority w:val="0"/>
    <w:pPr>
      <w:widowControl w:val="0"/>
      <w:ind w:left="100" w:leftChars="400" w:hanging="200" w:hangingChars="200"/>
      <w:jc w:val="both"/>
    </w:pPr>
    <w:rPr>
      <w:kern w:val="2"/>
      <w:szCs w:val="24"/>
    </w:rPr>
  </w:style>
  <w:style w:type="paragraph" w:styleId="13">
    <w:name w:val="toc 7"/>
    <w:basedOn w:val="1"/>
    <w:next w:val="1"/>
    <w:qFormat/>
    <w:uiPriority w:val="99"/>
    <w:pPr>
      <w:ind w:left="1260"/>
    </w:pPr>
    <w:rPr>
      <w:rFonts w:ascii="Calibri" w:hAnsi="Calibri"/>
      <w:sz w:val="18"/>
      <w:szCs w:val="18"/>
    </w:rPr>
  </w:style>
  <w:style w:type="paragraph" w:styleId="14">
    <w:name w:val="List Number"/>
    <w:basedOn w:val="1"/>
    <w:qFormat/>
    <w:uiPriority w:val="99"/>
    <w:pPr>
      <w:widowControl w:val="0"/>
      <w:numPr>
        <w:ilvl w:val="0"/>
        <w:numId w:val="1"/>
      </w:numPr>
      <w:tabs>
        <w:tab w:val="left" w:pos="360"/>
      </w:tabs>
      <w:jc w:val="both"/>
    </w:pPr>
    <w:rPr>
      <w:rFonts w:ascii="Calibri" w:hAnsi="Calibri"/>
      <w:kern w:val="2"/>
      <w:szCs w:val="24"/>
    </w:rPr>
  </w:style>
  <w:style w:type="paragraph" w:styleId="15">
    <w:name w:val="Normal Indent"/>
    <w:basedOn w:val="1"/>
    <w:link w:val="84"/>
    <w:qFormat/>
    <w:uiPriority w:val="0"/>
    <w:pPr>
      <w:ind w:firstLine="420"/>
    </w:pPr>
  </w:style>
  <w:style w:type="paragraph" w:styleId="16">
    <w:name w:val="caption"/>
    <w:basedOn w:val="1"/>
    <w:next w:val="1"/>
    <w:qFormat/>
    <w:uiPriority w:val="0"/>
    <w:pPr>
      <w:framePr w:w="9721" w:h="1873" w:hSpace="180" w:wrap="around" w:vAnchor="text" w:hAnchor="page" w:x="1621" w:y="1"/>
      <w:widowControl w:val="0"/>
      <w:shd w:val="clear" w:color="C0C0C0" w:fill="FFFFFF"/>
      <w:tabs>
        <w:tab w:val="left" w:pos="9000"/>
      </w:tabs>
      <w:ind w:firstLine="180" w:firstLineChars="75"/>
      <w:jc w:val="both"/>
    </w:pPr>
    <w:rPr>
      <w:rFonts w:ascii="Arial Narrow" w:hAnsi="Arial Narrow" w:eastAsia="微软繁隶书"/>
      <w:b/>
      <w:color w:val="FF0000"/>
      <w:kern w:val="2"/>
      <w:sz w:val="24"/>
      <w:szCs w:val="24"/>
    </w:rPr>
  </w:style>
  <w:style w:type="paragraph" w:styleId="17">
    <w:name w:val="Document Map"/>
    <w:basedOn w:val="1"/>
    <w:link w:val="85"/>
    <w:qFormat/>
    <w:uiPriority w:val="0"/>
    <w:rPr>
      <w:rFonts w:ascii="宋体"/>
      <w:sz w:val="18"/>
      <w:szCs w:val="18"/>
    </w:rPr>
  </w:style>
  <w:style w:type="paragraph" w:styleId="18">
    <w:name w:val="annotation text"/>
    <w:basedOn w:val="1"/>
    <w:link w:val="86"/>
    <w:qFormat/>
    <w:uiPriority w:val="0"/>
  </w:style>
  <w:style w:type="paragraph" w:styleId="19">
    <w:name w:val="Body Text 3"/>
    <w:basedOn w:val="1"/>
    <w:link w:val="87"/>
    <w:qFormat/>
    <w:uiPriority w:val="0"/>
    <w:pPr>
      <w:widowControl w:val="0"/>
      <w:jc w:val="both"/>
    </w:pPr>
    <w:rPr>
      <w:rFonts w:ascii="宋体"/>
      <w:kern w:val="2"/>
      <w:sz w:val="24"/>
    </w:rPr>
  </w:style>
  <w:style w:type="paragraph" w:styleId="20">
    <w:name w:val="Body Text"/>
    <w:basedOn w:val="1"/>
    <w:link w:val="88"/>
    <w:qFormat/>
    <w:uiPriority w:val="0"/>
    <w:pPr>
      <w:widowControl w:val="0"/>
      <w:spacing w:line="360" w:lineRule="auto"/>
      <w:jc w:val="both"/>
    </w:pPr>
    <w:rPr>
      <w:rFonts w:ascii="楷体_GB2312" w:eastAsia="楷体_GB2312"/>
      <w:kern w:val="2"/>
      <w:sz w:val="32"/>
    </w:rPr>
  </w:style>
  <w:style w:type="paragraph" w:styleId="21">
    <w:name w:val="Body Text Indent"/>
    <w:basedOn w:val="1"/>
    <w:link w:val="89"/>
    <w:qFormat/>
    <w:uiPriority w:val="0"/>
    <w:pPr>
      <w:spacing w:after="120"/>
      <w:ind w:left="420" w:leftChars="200"/>
    </w:pPr>
  </w:style>
  <w:style w:type="paragraph" w:styleId="22">
    <w:name w:val="List 2"/>
    <w:basedOn w:val="1"/>
    <w:qFormat/>
    <w:uiPriority w:val="99"/>
    <w:pPr>
      <w:ind w:left="100" w:leftChars="200" w:hanging="200" w:hangingChars="200"/>
      <w:contextualSpacing/>
    </w:pPr>
  </w:style>
  <w:style w:type="paragraph" w:styleId="23">
    <w:name w:val="Block Text"/>
    <w:basedOn w:val="1"/>
    <w:qFormat/>
    <w:uiPriority w:val="0"/>
    <w:pPr>
      <w:widowControl w:val="0"/>
      <w:adjustRightInd w:val="0"/>
      <w:ind w:left="420" w:right="33"/>
      <w:textAlignment w:val="baseline"/>
    </w:pPr>
    <w:rPr>
      <w:rFonts w:ascii="Calibri" w:hAnsi="Calibri"/>
      <w:sz w:val="24"/>
    </w:rPr>
  </w:style>
  <w:style w:type="paragraph" w:styleId="24">
    <w:name w:val="List Bullet 2"/>
    <w:basedOn w:val="1"/>
    <w:qFormat/>
    <w:uiPriority w:val="0"/>
    <w:pPr>
      <w:widowControl w:val="0"/>
      <w:tabs>
        <w:tab w:val="left" w:pos="1200"/>
      </w:tabs>
      <w:spacing w:line="460" w:lineRule="exact"/>
      <w:ind w:left="1200" w:hanging="720"/>
      <w:jc w:val="both"/>
    </w:pPr>
    <w:rPr>
      <w:rFonts w:ascii="Calibri" w:hAnsi="Calibri"/>
      <w:spacing w:val="6"/>
      <w:kern w:val="2"/>
      <w:sz w:val="24"/>
    </w:rPr>
  </w:style>
  <w:style w:type="paragraph" w:styleId="25">
    <w:name w:val="index 4"/>
    <w:basedOn w:val="1"/>
    <w:next w:val="1"/>
    <w:qFormat/>
    <w:uiPriority w:val="0"/>
    <w:pPr>
      <w:widowControl w:val="0"/>
      <w:ind w:left="600" w:leftChars="600"/>
      <w:jc w:val="both"/>
    </w:pPr>
    <w:rPr>
      <w:rFonts w:ascii="Calibri" w:hAnsi="Calibri"/>
      <w:kern w:val="2"/>
      <w:szCs w:val="24"/>
    </w:rPr>
  </w:style>
  <w:style w:type="paragraph" w:styleId="26">
    <w:name w:val="toc 5"/>
    <w:basedOn w:val="1"/>
    <w:next w:val="1"/>
    <w:qFormat/>
    <w:uiPriority w:val="99"/>
    <w:pPr>
      <w:ind w:left="840"/>
    </w:pPr>
    <w:rPr>
      <w:rFonts w:ascii="Calibri" w:hAnsi="Calibri"/>
      <w:sz w:val="18"/>
      <w:szCs w:val="18"/>
    </w:rPr>
  </w:style>
  <w:style w:type="paragraph" w:styleId="27">
    <w:name w:val="toc 3"/>
    <w:basedOn w:val="1"/>
    <w:next w:val="1"/>
    <w:qFormat/>
    <w:uiPriority w:val="99"/>
    <w:pPr>
      <w:ind w:left="420"/>
    </w:pPr>
    <w:rPr>
      <w:rFonts w:ascii="Calibri" w:hAnsi="Calibri"/>
      <w:i/>
      <w:iCs/>
      <w:sz w:val="20"/>
    </w:rPr>
  </w:style>
  <w:style w:type="paragraph" w:styleId="28">
    <w:name w:val="Plain Text"/>
    <w:basedOn w:val="1"/>
    <w:link w:val="90"/>
    <w:qFormat/>
    <w:uiPriority w:val="0"/>
    <w:pPr>
      <w:widowControl w:val="0"/>
      <w:jc w:val="both"/>
    </w:pPr>
    <w:rPr>
      <w:rFonts w:ascii="宋体" w:hAnsi="Courier New"/>
      <w:kern w:val="2"/>
    </w:rPr>
  </w:style>
  <w:style w:type="paragraph" w:styleId="29">
    <w:name w:val="toc 8"/>
    <w:basedOn w:val="1"/>
    <w:next w:val="1"/>
    <w:qFormat/>
    <w:uiPriority w:val="99"/>
    <w:pPr>
      <w:ind w:left="1470"/>
    </w:pPr>
    <w:rPr>
      <w:rFonts w:ascii="Calibri" w:hAnsi="Calibri"/>
      <w:sz w:val="18"/>
      <w:szCs w:val="18"/>
    </w:rPr>
  </w:style>
  <w:style w:type="paragraph" w:styleId="30">
    <w:name w:val="Date"/>
    <w:basedOn w:val="1"/>
    <w:next w:val="1"/>
    <w:link w:val="91"/>
    <w:qFormat/>
    <w:uiPriority w:val="99"/>
    <w:pPr>
      <w:widowControl w:val="0"/>
      <w:jc w:val="both"/>
    </w:pPr>
    <w:rPr>
      <w:rFonts w:ascii="宋体"/>
      <w:sz w:val="24"/>
    </w:rPr>
  </w:style>
  <w:style w:type="paragraph" w:styleId="31">
    <w:name w:val="Body Text Indent 2"/>
    <w:basedOn w:val="1"/>
    <w:link w:val="92"/>
    <w:qFormat/>
    <w:uiPriority w:val="0"/>
    <w:pPr>
      <w:widowControl w:val="0"/>
      <w:spacing w:after="120" w:line="480" w:lineRule="auto"/>
      <w:ind w:left="420" w:leftChars="200"/>
      <w:jc w:val="both"/>
    </w:pPr>
    <w:rPr>
      <w:kern w:val="2"/>
      <w:szCs w:val="24"/>
    </w:rPr>
  </w:style>
  <w:style w:type="paragraph" w:styleId="32">
    <w:name w:val="endnote text"/>
    <w:basedOn w:val="1"/>
    <w:link w:val="93"/>
    <w:qFormat/>
    <w:uiPriority w:val="0"/>
    <w:pPr>
      <w:widowControl w:val="0"/>
      <w:snapToGrid w:val="0"/>
    </w:pPr>
    <w:rPr>
      <w:kern w:val="2"/>
    </w:rPr>
  </w:style>
  <w:style w:type="paragraph" w:styleId="33">
    <w:name w:val="Balloon Text"/>
    <w:basedOn w:val="1"/>
    <w:link w:val="94"/>
    <w:qFormat/>
    <w:uiPriority w:val="99"/>
    <w:rPr>
      <w:sz w:val="18"/>
      <w:szCs w:val="18"/>
    </w:rPr>
  </w:style>
  <w:style w:type="paragraph" w:styleId="34">
    <w:name w:val="footer"/>
    <w:basedOn w:val="1"/>
    <w:link w:val="95"/>
    <w:qFormat/>
    <w:uiPriority w:val="99"/>
    <w:pPr>
      <w:tabs>
        <w:tab w:val="center" w:pos="4153"/>
        <w:tab w:val="right" w:pos="8306"/>
      </w:tabs>
      <w:snapToGrid w:val="0"/>
    </w:pPr>
    <w:rPr>
      <w:sz w:val="18"/>
    </w:rPr>
  </w:style>
  <w:style w:type="paragraph" w:styleId="35">
    <w:name w:val="header"/>
    <w:basedOn w:val="1"/>
    <w:link w:val="96"/>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spacing w:before="120" w:after="120"/>
    </w:pPr>
    <w:rPr>
      <w:rFonts w:ascii="Calibri" w:hAnsi="Calibri"/>
      <w:b/>
      <w:bCs/>
      <w:caps/>
      <w:sz w:val="20"/>
    </w:rPr>
  </w:style>
  <w:style w:type="paragraph" w:styleId="37">
    <w:name w:val="toc 4"/>
    <w:basedOn w:val="1"/>
    <w:next w:val="1"/>
    <w:qFormat/>
    <w:uiPriority w:val="99"/>
    <w:pPr>
      <w:ind w:left="630"/>
    </w:pPr>
    <w:rPr>
      <w:rFonts w:ascii="Calibri" w:hAnsi="Calibri"/>
      <w:sz w:val="18"/>
      <w:szCs w:val="18"/>
    </w:rPr>
  </w:style>
  <w:style w:type="paragraph" w:styleId="38">
    <w:name w:val="Subtitle"/>
    <w:basedOn w:val="1"/>
    <w:next w:val="1"/>
    <w:link w:val="97"/>
    <w:qFormat/>
    <w:uiPriority w:val="0"/>
    <w:pPr>
      <w:widowControl w:val="0"/>
      <w:spacing w:before="240" w:after="60" w:line="312" w:lineRule="auto"/>
      <w:jc w:val="center"/>
      <w:outlineLvl w:val="1"/>
    </w:pPr>
    <w:rPr>
      <w:rFonts w:ascii="Cambria" w:hAnsi="Cambria"/>
      <w:b/>
      <w:kern w:val="28"/>
      <w:sz w:val="32"/>
    </w:rPr>
  </w:style>
  <w:style w:type="paragraph" w:styleId="39">
    <w:name w:val="List"/>
    <w:basedOn w:val="1"/>
    <w:qFormat/>
    <w:uiPriority w:val="0"/>
    <w:pPr>
      <w:widowControl w:val="0"/>
      <w:ind w:left="200" w:hanging="200" w:hangingChars="200"/>
      <w:jc w:val="both"/>
    </w:pPr>
    <w:rPr>
      <w:rFonts w:ascii="Calibri" w:hAnsi="Calibri"/>
      <w:kern w:val="2"/>
      <w:szCs w:val="22"/>
    </w:rPr>
  </w:style>
  <w:style w:type="paragraph" w:styleId="40">
    <w:name w:val="footnote text"/>
    <w:basedOn w:val="1"/>
    <w:link w:val="98"/>
    <w:qFormat/>
    <w:uiPriority w:val="0"/>
    <w:pPr>
      <w:widowControl w:val="0"/>
      <w:jc w:val="both"/>
    </w:pPr>
    <w:rPr>
      <w:kern w:val="2"/>
      <w:sz w:val="20"/>
    </w:rPr>
  </w:style>
  <w:style w:type="paragraph" w:styleId="41">
    <w:name w:val="toc 6"/>
    <w:basedOn w:val="1"/>
    <w:next w:val="1"/>
    <w:qFormat/>
    <w:uiPriority w:val="99"/>
    <w:pPr>
      <w:ind w:left="1050"/>
    </w:pPr>
    <w:rPr>
      <w:rFonts w:ascii="Calibri" w:hAnsi="Calibri"/>
      <w:sz w:val="18"/>
      <w:szCs w:val="18"/>
    </w:rPr>
  </w:style>
  <w:style w:type="paragraph" w:styleId="42">
    <w:name w:val="Body Text Indent 3"/>
    <w:basedOn w:val="1"/>
    <w:link w:val="99"/>
    <w:qFormat/>
    <w:uiPriority w:val="0"/>
    <w:pPr>
      <w:spacing w:after="120"/>
      <w:ind w:left="420" w:leftChars="200"/>
    </w:pPr>
    <w:rPr>
      <w:sz w:val="16"/>
      <w:szCs w:val="16"/>
    </w:rPr>
  </w:style>
  <w:style w:type="paragraph" w:styleId="43">
    <w:name w:val="index 7"/>
    <w:basedOn w:val="1"/>
    <w:next w:val="1"/>
    <w:qFormat/>
    <w:uiPriority w:val="0"/>
    <w:pPr>
      <w:tabs>
        <w:tab w:val="left" w:pos="0"/>
        <w:tab w:val="left" w:pos="390"/>
      </w:tabs>
      <w:autoSpaceDE w:val="0"/>
      <w:autoSpaceDN w:val="0"/>
      <w:snapToGrid w:val="0"/>
      <w:spacing w:line="360" w:lineRule="auto"/>
      <w:ind w:left="1470" w:hanging="210" w:firstLineChars="177"/>
    </w:pPr>
    <w:rPr>
      <w:rFonts w:hAnsi="宋体"/>
      <w:color w:val="000000"/>
      <w:sz w:val="20"/>
    </w:rPr>
  </w:style>
  <w:style w:type="paragraph" w:styleId="44">
    <w:name w:val="table of figures"/>
    <w:basedOn w:val="1"/>
    <w:next w:val="1"/>
    <w:qFormat/>
    <w:uiPriority w:val="0"/>
    <w:pPr>
      <w:ind w:left="840" w:leftChars="200" w:hanging="420" w:hangingChars="200"/>
    </w:pPr>
  </w:style>
  <w:style w:type="paragraph" w:styleId="45">
    <w:name w:val="toc 2"/>
    <w:basedOn w:val="1"/>
    <w:next w:val="1"/>
    <w:qFormat/>
    <w:uiPriority w:val="39"/>
    <w:pPr>
      <w:ind w:left="210"/>
    </w:pPr>
    <w:rPr>
      <w:rFonts w:ascii="Calibri" w:hAnsi="Calibri"/>
      <w:smallCaps/>
      <w:sz w:val="20"/>
    </w:rPr>
  </w:style>
  <w:style w:type="paragraph" w:styleId="46">
    <w:name w:val="toc 9"/>
    <w:basedOn w:val="1"/>
    <w:next w:val="1"/>
    <w:qFormat/>
    <w:uiPriority w:val="99"/>
    <w:pPr>
      <w:ind w:left="1680"/>
    </w:pPr>
    <w:rPr>
      <w:rFonts w:ascii="Calibri" w:hAnsi="Calibri"/>
      <w:sz w:val="18"/>
      <w:szCs w:val="18"/>
    </w:rPr>
  </w:style>
  <w:style w:type="paragraph" w:styleId="47">
    <w:name w:val="Body Text 2"/>
    <w:basedOn w:val="1"/>
    <w:link w:val="100"/>
    <w:qFormat/>
    <w:uiPriority w:val="0"/>
    <w:pPr>
      <w:widowControl w:val="0"/>
      <w:spacing w:line="500" w:lineRule="exact"/>
      <w:jc w:val="both"/>
    </w:pPr>
    <w:rPr>
      <w:rFonts w:ascii="宋体" w:hAnsi="宋体"/>
      <w:color w:val="000000"/>
      <w:kern w:val="2"/>
      <w:sz w:val="24"/>
      <w:szCs w:val="24"/>
    </w:rPr>
  </w:style>
  <w:style w:type="paragraph" w:styleId="48">
    <w:name w:val="HTML Preformatted"/>
    <w:basedOn w:val="1"/>
    <w:link w:val="10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Times New Roman"/>
      <w:sz w:val="20"/>
    </w:rPr>
  </w:style>
  <w:style w:type="paragraph" w:styleId="49">
    <w:name w:val="Normal (Web)"/>
    <w:basedOn w:val="1"/>
    <w:link w:val="102"/>
    <w:qFormat/>
    <w:uiPriority w:val="0"/>
    <w:pPr>
      <w:spacing w:before="100" w:beforeAutospacing="1" w:after="100" w:afterAutospacing="1"/>
    </w:pPr>
    <w:rPr>
      <w:rFonts w:ascii="Arial Unicode MS" w:hAnsi="Arial Unicode MS" w:eastAsia="Times New Roman"/>
      <w:color w:val="000000"/>
      <w:sz w:val="24"/>
      <w:szCs w:val="24"/>
    </w:rPr>
  </w:style>
  <w:style w:type="paragraph" w:styleId="50">
    <w:name w:val="index 1"/>
    <w:basedOn w:val="1"/>
    <w:next w:val="1"/>
    <w:qFormat/>
    <w:uiPriority w:val="0"/>
    <w:pPr>
      <w:widowControl w:val="0"/>
      <w:spacing w:line="220" w:lineRule="exact"/>
      <w:jc w:val="center"/>
    </w:pPr>
    <w:rPr>
      <w:rFonts w:ascii="仿宋_GB2312" w:hAnsi="Calibri" w:eastAsia="仿宋_GB2312"/>
      <w:kern w:val="2"/>
      <w:szCs w:val="21"/>
    </w:rPr>
  </w:style>
  <w:style w:type="paragraph" w:styleId="51">
    <w:name w:val="Title"/>
    <w:basedOn w:val="1"/>
    <w:link w:val="103"/>
    <w:qFormat/>
    <w:uiPriority w:val="0"/>
    <w:pPr>
      <w:widowControl w:val="0"/>
      <w:adjustRightInd w:val="0"/>
      <w:spacing w:before="240" w:after="60" w:line="420" w:lineRule="atLeast"/>
      <w:jc w:val="center"/>
      <w:textAlignment w:val="baseline"/>
      <w:outlineLvl w:val="0"/>
    </w:pPr>
    <w:rPr>
      <w:rFonts w:ascii="Arial" w:hAnsi="Arial"/>
      <w:b/>
      <w:sz w:val="32"/>
    </w:rPr>
  </w:style>
  <w:style w:type="paragraph" w:styleId="52">
    <w:name w:val="annotation subject"/>
    <w:basedOn w:val="18"/>
    <w:next w:val="18"/>
    <w:link w:val="104"/>
    <w:qFormat/>
    <w:uiPriority w:val="0"/>
    <w:rPr>
      <w:b/>
      <w:bCs/>
    </w:rPr>
  </w:style>
  <w:style w:type="paragraph" w:styleId="53">
    <w:name w:val="Body Text First Indent"/>
    <w:basedOn w:val="20"/>
    <w:link w:val="105"/>
    <w:qFormat/>
    <w:uiPriority w:val="0"/>
    <w:pPr>
      <w:spacing w:after="120" w:line="240" w:lineRule="auto"/>
      <w:ind w:firstLine="420" w:firstLineChars="100"/>
    </w:pPr>
    <w:rPr>
      <w:rFonts w:ascii="Times New Roman" w:eastAsia="宋体"/>
      <w:sz w:val="21"/>
      <w:szCs w:val="24"/>
    </w:rPr>
  </w:style>
  <w:style w:type="paragraph" w:styleId="54">
    <w:name w:val="Body Text First Indent 2"/>
    <w:basedOn w:val="21"/>
    <w:link w:val="768"/>
    <w:qFormat/>
    <w:uiPriority w:val="99"/>
    <w:pPr>
      <w:ind w:firstLine="420"/>
    </w:pPr>
    <w:rPr>
      <w:rFonts w:cs="宋体"/>
      <w:szCs w:val="21"/>
    </w:rPr>
  </w:style>
  <w:style w:type="table" w:styleId="56">
    <w:name w:val="Table Grid"/>
    <w:basedOn w:val="5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99"/>
    <w:rPr>
      <w:b/>
      <w:bCs/>
    </w:rPr>
  </w:style>
  <w:style w:type="character" w:styleId="59">
    <w:name w:val="endnote reference"/>
    <w:qFormat/>
    <w:uiPriority w:val="0"/>
    <w:rPr>
      <w:rFonts w:cs="Times New Roman"/>
      <w:vertAlign w:val="superscript"/>
    </w:rPr>
  </w:style>
  <w:style w:type="character" w:styleId="60">
    <w:name w:val="page number"/>
    <w:basedOn w:val="57"/>
    <w:qFormat/>
    <w:uiPriority w:val="99"/>
  </w:style>
  <w:style w:type="character" w:styleId="61">
    <w:name w:val="FollowedHyperlink"/>
    <w:qFormat/>
    <w:uiPriority w:val="99"/>
    <w:rPr>
      <w:color w:val="800080"/>
      <w:u w:val="single"/>
    </w:rPr>
  </w:style>
  <w:style w:type="character" w:styleId="62">
    <w:name w:val="Emphasis"/>
    <w:qFormat/>
    <w:uiPriority w:val="99"/>
    <w:rPr>
      <w:i/>
    </w:rPr>
  </w:style>
  <w:style w:type="character" w:styleId="63">
    <w:name w:val="HTML Definition"/>
    <w:qFormat/>
    <w:uiPriority w:val="99"/>
    <w:rPr>
      <w:i/>
    </w:rPr>
  </w:style>
  <w:style w:type="character" w:styleId="64">
    <w:name w:val="HTML Typewriter"/>
    <w:qFormat/>
    <w:uiPriority w:val="99"/>
    <w:rPr>
      <w:rFonts w:ascii="微软雅黑" w:hAnsi="微软雅黑" w:eastAsia="微软雅黑" w:cs="Times New Roman"/>
      <w:sz w:val="20"/>
    </w:rPr>
  </w:style>
  <w:style w:type="character" w:styleId="65">
    <w:name w:val="HTML Variable"/>
    <w:qFormat/>
    <w:uiPriority w:val="99"/>
    <w:rPr>
      <w:rFonts w:cs="Times New Roman"/>
    </w:rPr>
  </w:style>
  <w:style w:type="character" w:styleId="66">
    <w:name w:val="Hyperlink"/>
    <w:qFormat/>
    <w:uiPriority w:val="99"/>
    <w:rPr>
      <w:color w:val="0000FF"/>
      <w:u w:val="single"/>
    </w:rPr>
  </w:style>
  <w:style w:type="character" w:styleId="67">
    <w:name w:val="HTML Code"/>
    <w:qFormat/>
    <w:uiPriority w:val="99"/>
    <w:rPr>
      <w:rFonts w:hint="default" w:ascii="Segoe UI" w:hAnsi="Segoe UI" w:eastAsia="Segoe UI" w:cs="Segoe UI"/>
      <w:sz w:val="21"/>
      <w:szCs w:val="21"/>
    </w:rPr>
  </w:style>
  <w:style w:type="character" w:styleId="68">
    <w:name w:val="annotation reference"/>
    <w:qFormat/>
    <w:uiPriority w:val="0"/>
    <w:rPr>
      <w:sz w:val="21"/>
      <w:szCs w:val="21"/>
    </w:rPr>
  </w:style>
  <w:style w:type="character" w:styleId="69">
    <w:name w:val="HTML Cite"/>
    <w:qFormat/>
    <w:uiPriority w:val="99"/>
    <w:rPr>
      <w:rFonts w:cs="Times New Roman"/>
    </w:rPr>
  </w:style>
  <w:style w:type="character" w:styleId="70">
    <w:name w:val="footnote reference"/>
    <w:qFormat/>
    <w:uiPriority w:val="0"/>
    <w:rPr>
      <w:rFonts w:cs="Times New Roman"/>
      <w:vertAlign w:val="superscript"/>
    </w:rPr>
  </w:style>
  <w:style w:type="character" w:styleId="71">
    <w:name w:val="HTML Keyboard"/>
    <w:qFormat/>
    <w:uiPriority w:val="0"/>
    <w:rPr>
      <w:rFonts w:hint="default" w:ascii="Segoe UI" w:hAnsi="Segoe UI" w:eastAsia="Segoe UI" w:cs="Segoe UI"/>
      <w:sz w:val="21"/>
      <w:szCs w:val="21"/>
    </w:rPr>
  </w:style>
  <w:style w:type="character" w:styleId="72">
    <w:name w:val="HTML Sample"/>
    <w:qFormat/>
    <w:uiPriority w:val="0"/>
    <w:rPr>
      <w:rFonts w:ascii="Segoe UI" w:hAnsi="Segoe UI" w:eastAsia="Segoe UI" w:cs="Segoe UI"/>
      <w:sz w:val="21"/>
      <w:szCs w:val="21"/>
    </w:rPr>
  </w:style>
  <w:style w:type="paragraph" w:customStyle="1" w:styleId="73">
    <w:name w:val="无间距1"/>
    <w:qFormat/>
    <w:uiPriority w:val="0"/>
    <w:pPr>
      <w:widowControl w:val="0"/>
      <w:jc w:val="both"/>
    </w:pPr>
    <w:rPr>
      <w:rFonts w:ascii="Calibri" w:hAnsi="Calibri" w:eastAsia="微软雅黑 Light" w:cs="Times New Roman"/>
      <w:kern w:val="2"/>
      <w:sz w:val="24"/>
      <w:szCs w:val="22"/>
      <w:lang w:val="en-US" w:eastAsia="zh-CN" w:bidi="ar-SA"/>
    </w:rPr>
  </w:style>
  <w:style w:type="paragraph" w:customStyle="1" w:styleId="74">
    <w:name w:val="[Normal]"/>
    <w:qFormat/>
    <w:uiPriority w:val="0"/>
    <w:rPr>
      <w:rFonts w:ascii="宋体" w:hAnsi="宋体" w:eastAsia="宋体" w:cs="Times New Roman"/>
      <w:sz w:val="24"/>
      <w:szCs w:val="22"/>
      <w:lang w:val="zh-CN" w:eastAsia="zh-CN" w:bidi="ar-SA"/>
    </w:rPr>
  </w:style>
  <w:style w:type="character" w:customStyle="1" w:styleId="75">
    <w:name w:val="标题 3 字符"/>
    <w:link w:val="5"/>
    <w:qFormat/>
    <w:uiPriority w:val="9"/>
    <w:rPr>
      <w:rFonts w:ascii="Times New Roman" w:hAnsi="Times New Roman"/>
      <w:b/>
      <w:bCs/>
      <w:sz w:val="32"/>
      <w:szCs w:val="32"/>
    </w:rPr>
  </w:style>
  <w:style w:type="character" w:customStyle="1" w:styleId="76">
    <w:name w:val="标题 1 字符"/>
    <w:link w:val="3"/>
    <w:qFormat/>
    <w:uiPriority w:val="9"/>
    <w:rPr>
      <w:rFonts w:ascii="宋体" w:hAnsi="Times New Roman" w:eastAsia="宋体" w:cs="Times New Roman"/>
      <w:b/>
      <w:kern w:val="44"/>
      <w:sz w:val="24"/>
      <w:szCs w:val="20"/>
    </w:rPr>
  </w:style>
  <w:style w:type="character" w:customStyle="1" w:styleId="77">
    <w:name w:val="标题 2 字符1"/>
    <w:link w:val="4"/>
    <w:qFormat/>
    <w:uiPriority w:val="0"/>
    <w:rPr>
      <w:rFonts w:ascii="Cambria" w:hAnsi="Cambria" w:eastAsia="宋体" w:cs="Times New Roman"/>
      <w:b/>
      <w:bCs/>
      <w:sz w:val="32"/>
      <w:szCs w:val="32"/>
    </w:rPr>
  </w:style>
  <w:style w:type="character" w:customStyle="1" w:styleId="78">
    <w:name w:val="标题 4 字符"/>
    <w:link w:val="6"/>
    <w:qFormat/>
    <w:uiPriority w:val="99"/>
    <w:rPr>
      <w:rFonts w:ascii="Arial" w:hAnsi="Arial" w:eastAsia="黑体"/>
      <w:b/>
      <w:bCs/>
      <w:kern w:val="2"/>
      <w:sz w:val="28"/>
      <w:szCs w:val="28"/>
      <w:lang w:val="zh-CN"/>
    </w:rPr>
  </w:style>
  <w:style w:type="character" w:customStyle="1" w:styleId="79">
    <w:name w:val="标题 5 字符"/>
    <w:link w:val="7"/>
    <w:qFormat/>
    <w:uiPriority w:val="0"/>
    <w:rPr>
      <w:rFonts w:ascii="Calibri" w:hAnsi="Calibri"/>
      <w:b/>
      <w:bCs/>
      <w:kern w:val="2"/>
      <w:sz w:val="28"/>
      <w:szCs w:val="28"/>
    </w:rPr>
  </w:style>
  <w:style w:type="character" w:customStyle="1" w:styleId="80">
    <w:name w:val="标题 6 字符"/>
    <w:link w:val="8"/>
    <w:qFormat/>
    <w:uiPriority w:val="0"/>
    <w:rPr>
      <w:rFonts w:ascii="Arial" w:hAnsi="Arial" w:eastAsia="黑体"/>
      <w:b/>
      <w:bCs/>
      <w:kern w:val="2"/>
      <w:sz w:val="24"/>
      <w:szCs w:val="24"/>
    </w:rPr>
  </w:style>
  <w:style w:type="character" w:customStyle="1" w:styleId="81">
    <w:name w:val="标题 7 字符"/>
    <w:link w:val="9"/>
    <w:qFormat/>
    <w:uiPriority w:val="0"/>
    <w:rPr>
      <w:rFonts w:ascii="Calibri" w:hAnsi="Calibri"/>
      <w:b/>
      <w:bCs/>
      <w:kern w:val="2"/>
      <w:sz w:val="24"/>
      <w:szCs w:val="24"/>
    </w:rPr>
  </w:style>
  <w:style w:type="character" w:customStyle="1" w:styleId="82">
    <w:name w:val="标题 8 字符"/>
    <w:link w:val="10"/>
    <w:qFormat/>
    <w:uiPriority w:val="0"/>
    <w:rPr>
      <w:rFonts w:ascii="Arial" w:hAnsi="Arial" w:eastAsia="黑体"/>
      <w:kern w:val="2"/>
      <w:sz w:val="24"/>
      <w:szCs w:val="24"/>
    </w:rPr>
  </w:style>
  <w:style w:type="character" w:customStyle="1" w:styleId="83">
    <w:name w:val="标题 9 字符"/>
    <w:link w:val="11"/>
    <w:qFormat/>
    <w:uiPriority w:val="0"/>
    <w:rPr>
      <w:rFonts w:ascii="Arial" w:hAnsi="Arial" w:eastAsia="黑体"/>
      <w:kern w:val="2"/>
      <w:sz w:val="21"/>
      <w:szCs w:val="21"/>
    </w:rPr>
  </w:style>
  <w:style w:type="character" w:customStyle="1" w:styleId="84">
    <w:name w:val="正文缩进 字符"/>
    <w:link w:val="15"/>
    <w:qFormat/>
    <w:uiPriority w:val="0"/>
    <w:rPr>
      <w:rFonts w:ascii="Times New Roman" w:hAnsi="Times New Roman"/>
      <w:sz w:val="21"/>
    </w:rPr>
  </w:style>
  <w:style w:type="character" w:customStyle="1" w:styleId="85">
    <w:name w:val="文档结构图 字符"/>
    <w:link w:val="17"/>
    <w:qFormat/>
    <w:uiPriority w:val="0"/>
    <w:rPr>
      <w:rFonts w:ascii="宋体" w:hAnsi="Times New Roman"/>
      <w:sz w:val="18"/>
      <w:szCs w:val="18"/>
    </w:rPr>
  </w:style>
  <w:style w:type="character" w:customStyle="1" w:styleId="86">
    <w:name w:val="批注文字 字符"/>
    <w:link w:val="18"/>
    <w:qFormat/>
    <w:uiPriority w:val="0"/>
    <w:rPr>
      <w:rFonts w:ascii="Times New Roman" w:hAnsi="Times New Roman"/>
      <w:sz w:val="21"/>
    </w:rPr>
  </w:style>
  <w:style w:type="character" w:customStyle="1" w:styleId="87">
    <w:name w:val="正文文本 3 字符"/>
    <w:link w:val="19"/>
    <w:qFormat/>
    <w:locked/>
    <w:uiPriority w:val="0"/>
    <w:rPr>
      <w:rFonts w:ascii="宋体"/>
      <w:kern w:val="2"/>
      <w:sz w:val="24"/>
    </w:rPr>
  </w:style>
  <w:style w:type="character" w:customStyle="1" w:styleId="88">
    <w:name w:val="正文文本 字符"/>
    <w:link w:val="20"/>
    <w:qFormat/>
    <w:uiPriority w:val="0"/>
    <w:rPr>
      <w:rFonts w:ascii="楷体_GB2312" w:hAnsi="Times New Roman" w:eastAsia="楷体_GB2312"/>
      <w:kern w:val="2"/>
      <w:sz w:val="32"/>
    </w:rPr>
  </w:style>
  <w:style w:type="character" w:customStyle="1" w:styleId="89">
    <w:name w:val="正文文本缩进 字符1"/>
    <w:link w:val="21"/>
    <w:qFormat/>
    <w:uiPriority w:val="99"/>
    <w:rPr>
      <w:sz w:val="21"/>
    </w:rPr>
  </w:style>
  <w:style w:type="character" w:customStyle="1" w:styleId="90">
    <w:name w:val="纯文本 字符3"/>
    <w:link w:val="28"/>
    <w:qFormat/>
    <w:uiPriority w:val="0"/>
    <w:rPr>
      <w:rFonts w:ascii="宋体" w:hAnsi="Courier New" w:eastAsia="宋体"/>
      <w:kern w:val="2"/>
      <w:sz w:val="21"/>
      <w:lang w:val="en-US" w:eastAsia="zh-CN" w:bidi="ar-SA"/>
    </w:rPr>
  </w:style>
  <w:style w:type="character" w:customStyle="1" w:styleId="91">
    <w:name w:val="日期 字符"/>
    <w:link w:val="30"/>
    <w:qFormat/>
    <w:locked/>
    <w:uiPriority w:val="99"/>
    <w:rPr>
      <w:rFonts w:ascii="宋体"/>
      <w:sz w:val="24"/>
    </w:rPr>
  </w:style>
  <w:style w:type="character" w:customStyle="1" w:styleId="92">
    <w:name w:val="正文文本缩进 2 字符"/>
    <w:link w:val="31"/>
    <w:qFormat/>
    <w:locked/>
    <w:uiPriority w:val="0"/>
    <w:rPr>
      <w:kern w:val="2"/>
      <w:sz w:val="21"/>
      <w:szCs w:val="24"/>
    </w:rPr>
  </w:style>
  <w:style w:type="character" w:customStyle="1" w:styleId="93">
    <w:name w:val="尾注文本 字符"/>
    <w:link w:val="32"/>
    <w:qFormat/>
    <w:locked/>
    <w:uiPriority w:val="0"/>
    <w:rPr>
      <w:kern w:val="2"/>
      <w:sz w:val="21"/>
    </w:rPr>
  </w:style>
  <w:style w:type="character" w:customStyle="1" w:styleId="94">
    <w:name w:val="批注框文本 字符"/>
    <w:link w:val="33"/>
    <w:qFormat/>
    <w:uiPriority w:val="99"/>
    <w:rPr>
      <w:rFonts w:ascii="Times New Roman" w:hAnsi="Times New Roman"/>
      <w:sz w:val="18"/>
      <w:szCs w:val="18"/>
    </w:rPr>
  </w:style>
  <w:style w:type="character" w:customStyle="1" w:styleId="95">
    <w:name w:val="页脚 字符"/>
    <w:link w:val="34"/>
    <w:qFormat/>
    <w:uiPriority w:val="99"/>
    <w:rPr>
      <w:rFonts w:ascii="Times New Roman" w:hAnsi="Times New Roman" w:eastAsia="宋体" w:cs="Times New Roman"/>
      <w:kern w:val="0"/>
      <w:sz w:val="18"/>
      <w:szCs w:val="20"/>
    </w:rPr>
  </w:style>
  <w:style w:type="character" w:customStyle="1" w:styleId="96">
    <w:name w:val="页眉 字符"/>
    <w:link w:val="35"/>
    <w:qFormat/>
    <w:uiPriority w:val="99"/>
    <w:rPr>
      <w:rFonts w:ascii="Times New Roman" w:hAnsi="Times New Roman" w:eastAsia="宋体" w:cs="Times New Roman"/>
      <w:kern w:val="0"/>
      <w:sz w:val="18"/>
      <w:szCs w:val="18"/>
    </w:rPr>
  </w:style>
  <w:style w:type="character" w:customStyle="1" w:styleId="97">
    <w:name w:val="副标题 字符"/>
    <w:link w:val="38"/>
    <w:qFormat/>
    <w:locked/>
    <w:uiPriority w:val="0"/>
    <w:rPr>
      <w:rFonts w:ascii="Cambria" w:hAnsi="Cambria"/>
      <w:b/>
      <w:kern w:val="28"/>
      <w:sz w:val="32"/>
    </w:rPr>
  </w:style>
  <w:style w:type="character" w:customStyle="1" w:styleId="98">
    <w:name w:val="脚注文本 字符"/>
    <w:link w:val="40"/>
    <w:qFormat/>
    <w:locked/>
    <w:uiPriority w:val="0"/>
    <w:rPr>
      <w:kern w:val="2"/>
    </w:rPr>
  </w:style>
  <w:style w:type="character" w:customStyle="1" w:styleId="99">
    <w:name w:val="正文文本缩进 3 字符"/>
    <w:link w:val="42"/>
    <w:qFormat/>
    <w:locked/>
    <w:uiPriority w:val="0"/>
    <w:rPr>
      <w:sz w:val="16"/>
      <w:szCs w:val="16"/>
    </w:rPr>
  </w:style>
  <w:style w:type="character" w:customStyle="1" w:styleId="100">
    <w:name w:val="正文文本 2 字符"/>
    <w:link w:val="47"/>
    <w:qFormat/>
    <w:uiPriority w:val="0"/>
    <w:rPr>
      <w:rFonts w:ascii="宋体" w:hAnsi="宋体"/>
      <w:color w:val="000000"/>
      <w:kern w:val="2"/>
      <w:sz w:val="24"/>
      <w:szCs w:val="24"/>
    </w:rPr>
  </w:style>
  <w:style w:type="character" w:customStyle="1" w:styleId="101">
    <w:name w:val="HTML 预设格式 字符"/>
    <w:link w:val="48"/>
    <w:qFormat/>
    <w:uiPriority w:val="99"/>
    <w:rPr>
      <w:rFonts w:ascii="Arial Unicode MS" w:hAnsi="Arial Unicode MS" w:eastAsia="Times New Roman"/>
    </w:rPr>
  </w:style>
  <w:style w:type="character" w:customStyle="1" w:styleId="102">
    <w:name w:val="普通(网站) 字符"/>
    <w:link w:val="49"/>
    <w:qFormat/>
    <w:uiPriority w:val="0"/>
    <w:rPr>
      <w:rFonts w:ascii="Arial Unicode MS" w:hAnsi="Arial Unicode MS" w:eastAsia="Times New Roman"/>
      <w:color w:val="000000"/>
      <w:sz w:val="24"/>
      <w:szCs w:val="24"/>
    </w:rPr>
  </w:style>
  <w:style w:type="character" w:customStyle="1" w:styleId="103">
    <w:name w:val="标题 字符"/>
    <w:link w:val="51"/>
    <w:qFormat/>
    <w:locked/>
    <w:uiPriority w:val="0"/>
    <w:rPr>
      <w:rFonts w:ascii="Arial" w:hAnsi="Arial"/>
      <w:b/>
      <w:sz w:val="32"/>
    </w:rPr>
  </w:style>
  <w:style w:type="character" w:customStyle="1" w:styleId="104">
    <w:name w:val="批注主题 字符"/>
    <w:link w:val="52"/>
    <w:qFormat/>
    <w:uiPriority w:val="0"/>
    <w:rPr>
      <w:rFonts w:ascii="Times New Roman" w:hAnsi="Times New Roman"/>
      <w:b/>
      <w:bCs/>
      <w:sz w:val="21"/>
    </w:rPr>
  </w:style>
  <w:style w:type="character" w:customStyle="1" w:styleId="105">
    <w:name w:val="正文首行缩进 字符"/>
    <w:link w:val="53"/>
    <w:qFormat/>
    <w:locked/>
    <w:uiPriority w:val="0"/>
    <w:rPr>
      <w:kern w:val="2"/>
      <w:sz w:val="21"/>
      <w:szCs w:val="24"/>
    </w:rPr>
  </w:style>
  <w:style w:type="paragraph" w:customStyle="1" w:styleId="106">
    <w:name w:val="pa-142"/>
    <w:basedOn w:val="1"/>
    <w:qFormat/>
    <w:uiPriority w:val="0"/>
    <w:pPr>
      <w:spacing w:line="320" w:lineRule="atLeast"/>
      <w:ind w:firstLine="280"/>
      <w:jc w:val="right"/>
    </w:pPr>
    <w:rPr>
      <w:rFonts w:ascii="宋体" w:hAnsi="宋体" w:cs="宋体"/>
      <w:sz w:val="24"/>
      <w:szCs w:val="24"/>
    </w:rPr>
  </w:style>
  <w:style w:type="paragraph" w:customStyle="1" w:styleId="107">
    <w:name w:val="pa-16"/>
    <w:basedOn w:val="1"/>
    <w:qFormat/>
    <w:uiPriority w:val="0"/>
    <w:pPr>
      <w:spacing w:line="240" w:lineRule="atLeast"/>
      <w:jc w:val="both"/>
    </w:pPr>
    <w:rPr>
      <w:rFonts w:ascii="宋体" w:hAnsi="宋体" w:cs="宋体"/>
      <w:sz w:val="24"/>
      <w:szCs w:val="24"/>
    </w:rPr>
  </w:style>
  <w:style w:type="paragraph" w:customStyle="1" w:styleId="108">
    <w:name w:val="ca-12"/>
    <w:basedOn w:val="1"/>
    <w:qFormat/>
    <w:uiPriority w:val="0"/>
    <w:rPr>
      <w:rFonts w:ascii="Calibri" w:hAnsi="Calibri"/>
      <w:color w:val="000000"/>
      <w:sz w:val="32"/>
      <w:szCs w:val="32"/>
    </w:rPr>
  </w:style>
  <w:style w:type="paragraph" w:customStyle="1" w:styleId="109">
    <w:name w:val="Char12"/>
    <w:basedOn w:val="1"/>
    <w:qFormat/>
    <w:uiPriority w:val="0"/>
    <w:pPr>
      <w:widowControl w:val="0"/>
      <w:jc w:val="both"/>
    </w:pPr>
    <w:rPr>
      <w:rFonts w:ascii="仿宋_GB2312" w:hAnsi="Calibri" w:eastAsia="仿宋_GB2312"/>
      <w:b/>
      <w:kern w:val="2"/>
      <w:sz w:val="32"/>
      <w:szCs w:val="32"/>
    </w:rPr>
  </w:style>
  <w:style w:type="paragraph" w:customStyle="1" w:styleId="110">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 w:val="16"/>
      <w:szCs w:val="16"/>
    </w:rPr>
  </w:style>
  <w:style w:type="paragraph" w:customStyle="1" w:styleId="111">
    <w:name w:val="pa-86"/>
    <w:basedOn w:val="1"/>
    <w:qFormat/>
    <w:uiPriority w:val="0"/>
    <w:pPr>
      <w:spacing w:line="320" w:lineRule="atLeast"/>
      <w:ind w:firstLine="560"/>
      <w:jc w:val="both"/>
    </w:pPr>
    <w:rPr>
      <w:rFonts w:ascii="宋体" w:hAnsi="宋体" w:cs="宋体"/>
      <w:sz w:val="24"/>
      <w:szCs w:val="24"/>
    </w:rPr>
  </w:style>
  <w:style w:type="paragraph" w:customStyle="1" w:styleId="112">
    <w:name w:val="标题5"/>
    <w:basedOn w:val="5"/>
    <w:link w:val="113"/>
    <w:qFormat/>
    <w:uiPriority w:val="0"/>
    <w:pPr>
      <w:widowControl w:val="0"/>
      <w:spacing w:line="413" w:lineRule="auto"/>
      <w:ind w:left="720" w:hanging="720"/>
      <w:jc w:val="both"/>
    </w:pPr>
    <w:rPr>
      <w:rFonts w:ascii="Arial" w:hAnsi="Arial"/>
      <w:bCs w:val="0"/>
      <w:szCs w:val="20"/>
    </w:rPr>
  </w:style>
  <w:style w:type="character" w:customStyle="1" w:styleId="113">
    <w:name w:val="标题5 Char Char"/>
    <w:link w:val="112"/>
    <w:qFormat/>
    <w:locked/>
    <w:uiPriority w:val="0"/>
    <w:rPr>
      <w:rFonts w:ascii="Arial" w:hAnsi="Arial"/>
      <w:b/>
      <w:sz w:val="32"/>
    </w:rPr>
  </w:style>
  <w:style w:type="paragraph" w:customStyle="1" w:styleId="114">
    <w:name w:val="pa-98"/>
    <w:basedOn w:val="1"/>
    <w:qFormat/>
    <w:uiPriority w:val="0"/>
    <w:pPr>
      <w:spacing w:line="720" w:lineRule="atLeast"/>
      <w:ind w:firstLine="480"/>
      <w:jc w:val="both"/>
    </w:pPr>
    <w:rPr>
      <w:rFonts w:ascii="宋体" w:hAnsi="宋体" w:cs="宋体"/>
      <w:sz w:val="24"/>
      <w:szCs w:val="24"/>
    </w:rPr>
  </w:style>
  <w:style w:type="paragraph" w:customStyle="1" w:styleId="115">
    <w:name w:val="pa-67"/>
    <w:basedOn w:val="1"/>
    <w:qFormat/>
    <w:uiPriority w:val="0"/>
    <w:pPr>
      <w:spacing w:line="240" w:lineRule="atLeast"/>
      <w:ind w:firstLine="420"/>
    </w:pPr>
    <w:rPr>
      <w:rFonts w:ascii="宋体" w:hAnsi="宋体" w:cs="宋体"/>
      <w:sz w:val="24"/>
      <w:szCs w:val="24"/>
    </w:rPr>
  </w:style>
  <w:style w:type="paragraph" w:customStyle="1" w:styleId="116">
    <w:name w:val="样式1"/>
    <w:basedOn w:val="3"/>
    <w:qFormat/>
    <w:uiPriority w:val="0"/>
    <w:pPr>
      <w:tabs>
        <w:tab w:val="clear" w:pos="840"/>
      </w:tabs>
      <w:adjustRightInd/>
      <w:snapToGrid/>
      <w:spacing w:before="340" w:after="330" w:line="576" w:lineRule="auto"/>
      <w:jc w:val="center"/>
    </w:pPr>
    <w:rPr>
      <w:rFonts w:ascii="Calibri" w:hAnsi="Calibri" w:eastAsia="黑体"/>
      <w:bCs/>
      <w:sz w:val="44"/>
      <w:szCs w:val="44"/>
    </w:rPr>
  </w:style>
  <w:style w:type="paragraph" w:customStyle="1" w:styleId="117">
    <w:name w:val="td-4"/>
    <w:basedOn w:val="1"/>
    <w:qFormat/>
    <w:uiPriority w:val="0"/>
    <w:pPr>
      <w:pBdr>
        <w:top w:val="single" w:color="000000" w:sz="12" w:space="0"/>
        <w:left w:val="single" w:color="000000" w:sz="12" w:space="4"/>
        <w:bottom w:val="single" w:color="000000" w:sz="4" w:space="0"/>
        <w:right w:val="single" w:color="000000" w:sz="4" w:space="0"/>
      </w:pBdr>
    </w:pPr>
    <w:rPr>
      <w:rFonts w:ascii="宋体" w:hAnsi="宋体" w:cs="宋体"/>
      <w:sz w:val="24"/>
      <w:szCs w:val="24"/>
    </w:rPr>
  </w:style>
  <w:style w:type="paragraph" w:customStyle="1" w:styleId="118">
    <w:name w:val="ca-24"/>
    <w:basedOn w:val="1"/>
    <w:qFormat/>
    <w:uiPriority w:val="0"/>
    <w:rPr>
      <w:rFonts w:ascii="宋体" w:hAnsi="宋体" w:cs="宋体"/>
      <w:sz w:val="24"/>
      <w:szCs w:val="24"/>
    </w:rPr>
  </w:style>
  <w:style w:type="paragraph" w:customStyle="1" w:styleId="119">
    <w:name w:val="pa-100"/>
    <w:basedOn w:val="1"/>
    <w:qFormat/>
    <w:uiPriority w:val="0"/>
    <w:pPr>
      <w:spacing w:line="300" w:lineRule="atLeast"/>
      <w:jc w:val="both"/>
    </w:pPr>
    <w:rPr>
      <w:rFonts w:ascii="宋体" w:hAnsi="宋体" w:cs="宋体"/>
      <w:sz w:val="24"/>
      <w:szCs w:val="24"/>
    </w:rPr>
  </w:style>
  <w:style w:type="paragraph" w:customStyle="1" w:styleId="120">
    <w:name w:val="ca-38"/>
    <w:basedOn w:val="1"/>
    <w:qFormat/>
    <w:uiPriority w:val="0"/>
    <w:rPr>
      <w:rFonts w:ascii="Calibri" w:hAnsi="Calibri"/>
      <w:b/>
      <w:bCs/>
      <w:spacing w:val="-20"/>
      <w:szCs w:val="21"/>
    </w:rPr>
  </w:style>
  <w:style w:type="paragraph" w:customStyle="1" w:styleId="121">
    <w:name w:val="引用2"/>
    <w:basedOn w:val="1"/>
    <w:next w:val="1"/>
    <w:qFormat/>
    <w:uiPriority w:val="0"/>
    <w:pPr>
      <w:widowControl w:val="0"/>
      <w:jc w:val="both"/>
    </w:pPr>
    <w:rPr>
      <w:rFonts w:ascii="Calibri" w:hAnsi="Calibri"/>
      <w:i/>
      <w:color w:val="000000"/>
      <w:kern w:val="2"/>
      <w:sz w:val="22"/>
    </w:rPr>
  </w:style>
  <w:style w:type="paragraph" w:customStyle="1" w:styleId="122">
    <w:name w:val="样式 标题 3 + (中文) 黑体 小四 非加粗 段前: 7.8 磅 段后: 0 磅 行距: 固定值 20 磅"/>
    <w:basedOn w:val="5"/>
    <w:qFormat/>
    <w:uiPriority w:val="0"/>
    <w:pPr>
      <w:widowControl w:val="0"/>
      <w:spacing w:before="0" w:after="0" w:line="400" w:lineRule="exact"/>
      <w:ind w:left="720" w:hanging="720"/>
      <w:jc w:val="both"/>
    </w:pPr>
    <w:rPr>
      <w:rFonts w:ascii="Calibri" w:hAnsi="Calibri" w:eastAsia="黑体" w:cs="宋体"/>
      <w:b w:val="0"/>
      <w:bCs w:val="0"/>
      <w:kern w:val="2"/>
      <w:sz w:val="24"/>
      <w:szCs w:val="20"/>
    </w:rPr>
  </w:style>
  <w:style w:type="paragraph" w:customStyle="1" w:styleId="123">
    <w:name w:val="Char2 Char Char Char Char Char Char"/>
    <w:basedOn w:val="1"/>
    <w:qFormat/>
    <w:uiPriority w:val="0"/>
    <w:pPr>
      <w:widowControl w:val="0"/>
      <w:autoSpaceDE w:val="0"/>
      <w:autoSpaceDN w:val="0"/>
      <w:adjustRightInd w:val="0"/>
      <w:snapToGrid w:val="0"/>
      <w:spacing w:line="500" w:lineRule="exact"/>
      <w:ind w:firstLine="562" w:firstLineChars="200"/>
      <w:jc w:val="center"/>
    </w:pPr>
    <w:rPr>
      <w:rFonts w:ascii="Calibri" w:hAnsi="Calibri" w:eastAsia="仿宋_GB2312"/>
      <w:b/>
      <w:color w:val="000000"/>
      <w:kern w:val="2"/>
      <w:sz w:val="28"/>
      <w:szCs w:val="28"/>
    </w:rPr>
  </w:style>
  <w:style w:type="paragraph" w:customStyle="1" w:styleId="124">
    <w:name w:val="pa-51"/>
    <w:basedOn w:val="1"/>
    <w:qFormat/>
    <w:uiPriority w:val="0"/>
    <w:pPr>
      <w:spacing w:line="276" w:lineRule="atLeast"/>
      <w:jc w:val="center"/>
    </w:pPr>
    <w:rPr>
      <w:rFonts w:ascii="宋体" w:hAnsi="宋体" w:cs="宋体"/>
      <w:sz w:val="24"/>
      <w:szCs w:val="24"/>
    </w:rPr>
  </w:style>
  <w:style w:type="paragraph" w:customStyle="1" w:styleId="125">
    <w:name w:val="pa-14"/>
    <w:basedOn w:val="1"/>
    <w:qFormat/>
    <w:uiPriority w:val="0"/>
    <w:pPr>
      <w:spacing w:line="360" w:lineRule="atLeast"/>
    </w:pPr>
    <w:rPr>
      <w:rFonts w:ascii="宋体" w:hAnsi="宋体" w:cs="宋体"/>
      <w:sz w:val="24"/>
      <w:szCs w:val="24"/>
    </w:rPr>
  </w:style>
  <w:style w:type="paragraph" w:customStyle="1" w:styleId="126">
    <w:name w:val="pa-110"/>
    <w:basedOn w:val="1"/>
    <w:qFormat/>
    <w:uiPriority w:val="0"/>
    <w:pPr>
      <w:spacing w:line="360" w:lineRule="atLeast"/>
      <w:jc w:val="center"/>
    </w:pPr>
    <w:rPr>
      <w:rFonts w:ascii="宋体" w:hAnsi="宋体" w:cs="宋体"/>
      <w:sz w:val="24"/>
      <w:szCs w:val="24"/>
    </w:rPr>
  </w:style>
  <w:style w:type="paragraph" w:styleId="127">
    <w:name w:val="List Paragraph"/>
    <w:basedOn w:val="1"/>
    <w:link w:val="128"/>
    <w:qFormat/>
    <w:uiPriority w:val="34"/>
    <w:pPr>
      <w:ind w:firstLine="420" w:firstLineChars="200"/>
    </w:pPr>
  </w:style>
  <w:style w:type="character" w:customStyle="1" w:styleId="128">
    <w:name w:val="列出段落 字符"/>
    <w:link w:val="127"/>
    <w:qFormat/>
    <w:uiPriority w:val="99"/>
    <w:rPr>
      <w:sz w:val="21"/>
    </w:rPr>
  </w:style>
  <w:style w:type="paragraph" w:customStyle="1" w:styleId="129">
    <w:name w:val="Char Char1 Char1"/>
    <w:basedOn w:val="1"/>
    <w:qFormat/>
    <w:uiPriority w:val="0"/>
    <w:pPr>
      <w:widowControl w:val="0"/>
      <w:jc w:val="both"/>
    </w:pPr>
    <w:rPr>
      <w:rFonts w:ascii="Calibri" w:hAnsi="Calibri"/>
      <w:kern w:val="2"/>
      <w:szCs w:val="24"/>
    </w:rPr>
  </w:style>
  <w:style w:type="paragraph" w:customStyle="1" w:styleId="130">
    <w:name w:val="xl9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131">
    <w:name w:val="引用1"/>
    <w:basedOn w:val="1"/>
    <w:next w:val="1"/>
    <w:link w:val="132"/>
    <w:qFormat/>
    <w:uiPriority w:val="0"/>
    <w:pPr>
      <w:widowControl w:val="0"/>
      <w:jc w:val="both"/>
    </w:pPr>
    <w:rPr>
      <w:i/>
      <w:color w:val="000000"/>
      <w:kern w:val="2"/>
      <w:sz w:val="22"/>
    </w:rPr>
  </w:style>
  <w:style w:type="character" w:customStyle="1" w:styleId="132">
    <w:name w:val="Quote Char"/>
    <w:link w:val="131"/>
    <w:qFormat/>
    <w:locked/>
    <w:uiPriority w:val="0"/>
    <w:rPr>
      <w:i/>
      <w:color w:val="000000"/>
      <w:kern w:val="2"/>
      <w:sz w:val="22"/>
    </w:rPr>
  </w:style>
  <w:style w:type="paragraph" w:customStyle="1" w:styleId="133">
    <w:name w:val="标题4"/>
    <w:basedOn w:val="4"/>
    <w:next w:val="25"/>
    <w:link w:val="134"/>
    <w:qFormat/>
    <w:uiPriority w:val="0"/>
    <w:pPr>
      <w:widowControl w:val="0"/>
      <w:spacing w:line="413" w:lineRule="auto"/>
      <w:jc w:val="both"/>
    </w:pPr>
    <w:rPr>
      <w:rFonts w:ascii="Arial" w:hAnsi="Arial"/>
      <w:bCs w:val="0"/>
      <w:szCs w:val="20"/>
    </w:rPr>
  </w:style>
  <w:style w:type="character" w:customStyle="1" w:styleId="134">
    <w:name w:val="标题4 Char Char"/>
    <w:link w:val="133"/>
    <w:qFormat/>
    <w:locked/>
    <w:uiPriority w:val="0"/>
    <w:rPr>
      <w:rFonts w:ascii="Arial" w:hAnsi="Arial"/>
      <w:b/>
      <w:sz w:val="32"/>
    </w:rPr>
  </w:style>
  <w:style w:type="paragraph" w:customStyle="1" w:styleId="135">
    <w:name w:val="pa-78"/>
    <w:basedOn w:val="1"/>
    <w:qFormat/>
    <w:uiPriority w:val="0"/>
    <w:pPr>
      <w:spacing w:line="340" w:lineRule="atLeast"/>
      <w:jc w:val="both"/>
    </w:pPr>
    <w:rPr>
      <w:rFonts w:ascii="宋体" w:hAnsi="宋体" w:cs="宋体"/>
      <w:sz w:val="24"/>
      <w:szCs w:val="24"/>
    </w:rPr>
  </w:style>
  <w:style w:type="paragraph" w:customStyle="1" w:styleId="136">
    <w:name w:val="xl114"/>
    <w:basedOn w:val="1"/>
    <w:qFormat/>
    <w:uiPriority w:val="0"/>
    <w:pPr>
      <w:shd w:val="clear" w:color="000000" w:fill="FFFFFF"/>
      <w:spacing w:before="100" w:beforeAutospacing="1" w:after="100" w:afterAutospacing="1"/>
      <w:jc w:val="center"/>
      <w:textAlignment w:val="center"/>
    </w:pPr>
    <w:rPr>
      <w:rFonts w:ascii="宋体" w:hAnsi="宋体" w:cs="宋体"/>
      <w:sz w:val="36"/>
      <w:szCs w:val="36"/>
    </w:rPr>
  </w:style>
  <w:style w:type="paragraph" w:customStyle="1" w:styleId="137">
    <w:name w:val="*正文"/>
    <w:basedOn w:val="1"/>
    <w:qFormat/>
    <w:uiPriority w:val="0"/>
    <w:pPr>
      <w:spacing w:line="360" w:lineRule="auto"/>
      <w:ind w:firstLine="480" w:firstLineChars="200"/>
    </w:pPr>
    <w:rPr>
      <w:rFonts w:ascii="Calibri" w:hAnsi="Calibri" w:cs="仿宋_GB2312"/>
      <w:sz w:val="24"/>
    </w:rPr>
  </w:style>
  <w:style w:type="paragraph" w:customStyle="1" w:styleId="138">
    <w:name w:val="默认段落字体 Para Char Char Char Char Char Char Char"/>
    <w:basedOn w:val="1"/>
    <w:qFormat/>
    <w:uiPriority w:val="0"/>
    <w:pPr>
      <w:widowControl w:val="0"/>
      <w:jc w:val="both"/>
    </w:pPr>
    <w:rPr>
      <w:rFonts w:ascii="Tahoma" w:hAnsi="Tahoma"/>
      <w:kern w:val="2"/>
      <w:sz w:val="24"/>
    </w:rPr>
  </w:style>
  <w:style w:type="paragraph" w:customStyle="1" w:styleId="139">
    <w:name w:val="样式 标题 3h3标题 3(节)H3l3CTsect1.2.3Heading 3 - old一level_3..."/>
    <w:basedOn w:val="5"/>
    <w:qFormat/>
    <w:uiPriority w:val="0"/>
    <w:pPr>
      <w:widowControl w:val="0"/>
      <w:adjustRightInd w:val="0"/>
      <w:spacing w:line="360" w:lineRule="auto"/>
      <w:ind w:left="720" w:hanging="720"/>
    </w:pPr>
    <w:rPr>
      <w:rFonts w:ascii="宋体" w:hAnsi="Arial"/>
      <w:kern w:val="24"/>
      <w:sz w:val="24"/>
      <w:szCs w:val="20"/>
    </w:rPr>
  </w:style>
  <w:style w:type="paragraph" w:customStyle="1" w:styleId="140">
    <w:name w:val="Char Char Char Char Char Char1 Char Char Char Char Char Char Char Char Char Char Char Char Char1 Char Char Char1"/>
    <w:basedOn w:val="1"/>
    <w:qFormat/>
    <w:uiPriority w:val="0"/>
    <w:pPr>
      <w:widowControl w:val="0"/>
      <w:jc w:val="both"/>
    </w:pPr>
    <w:rPr>
      <w:rFonts w:ascii="Calibri" w:hAnsi="Calibri"/>
      <w:b/>
      <w:bCs/>
      <w:kern w:val="2"/>
      <w:sz w:val="36"/>
      <w:szCs w:val="32"/>
    </w:rPr>
  </w:style>
  <w:style w:type="paragraph" w:customStyle="1" w:styleId="141">
    <w:name w:val="pa-84"/>
    <w:basedOn w:val="1"/>
    <w:qFormat/>
    <w:uiPriority w:val="0"/>
    <w:pPr>
      <w:spacing w:line="480" w:lineRule="atLeast"/>
      <w:jc w:val="center"/>
    </w:pPr>
    <w:rPr>
      <w:rFonts w:ascii="宋体" w:hAnsi="宋体" w:cs="宋体"/>
      <w:sz w:val="24"/>
      <w:szCs w:val="24"/>
    </w:rPr>
  </w:style>
  <w:style w:type="paragraph" w:customStyle="1" w:styleId="142">
    <w:name w:val="pa-91"/>
    <w:basedOn w:val="1"/>
    <w:qFormat/>
    <w:uiPriority w:val="0"/>
    <w:pPr>
      <w:spacing w:line="360" w:lineRule="atLeast"/>
      <w:ind w:firstLine="4000"/>
    </w:pPr>
    <w:rPr>
      <w:rFonts w:ascii="宋体" w:hAnsi="宋体" w:cs="宋体"/>
      <w:sz w:val="24"/>
      <w:szCs w:val="24"/>
    </w:rPr>
  </w:style>
  <w:style w:type="paragraph" w:customStyle="1" w:styleId="143">
    <w:name w:val="标书标题2"/>
    <w:basedOn w:val="4"/>
    <w:qFormat/>
    <w:uiPriority w:val="0"/>
    <w:pPr>
      <w:keepLines w:val="0"/>
      <w:tabs>
        <w:tab w:val="left" w:pos="1140"/>
      </w:tabs>
      <w:adjustRightInd w:val="0"/>
      <w:snapToGrid w:val="0"/>
      <w:spacing w:beforeLines="50" w:after="60" w:line="300" w:lineRule="auto"/>
      <w:ind w:left="1140" w:hanging="720"/>
    </w:pPr>
    <w:rPr>
      <w:rFonts w:ascii="Arial Narrow" w:hAnsi="Arial Narrow" w:eastAsia="仿宋_GB2312"/>
      <w:bCs w:val="0"/>
      <w:sz w:val="28"/>
      <w:szCs w:val="20"/>
    </w:rPr>
  </w:style>
  <w:style w:type="paragraph" w:customStyle="1" w:styleId="144">
    <w:name w:val="表格格式"/>
    <w:basedOn w:val="1"/>
    <w:qFormat/>
    <w:uiPriority w:val="0"/>
    <w:pPr>
      <w:widowControl w:val="0"/>
      <w:spacing w:line="360" w:lineRule="exact"/>
      <w:ind w:left="-91"/>
    </w:pPr>
    <w:rPr>
      <w:rFonts w:ascii="宋体" w:hAnsi="Calibri"/>
      <w:sz w:val="24"/>
      <w:szCs w:val="11"/>
    </w:rPr>
  </w:style>
  <w:style w:type="paragraph" w:customStyle="1" w:styleId="145">
    <w:name w:val="pa-127"/>
    <w:basedOn w:val="1"/>
    <w:qFormat/>
    <w:uiPriority w:val="0"/>
    <w:pPr>
      <w:spacing w:line="480" w:lineRule="atLeast"/>
      <w:ind w:firstLine="960"/>
      <w:jc w:val="both"/>
    </w:pPr>
    <w:rPr>
      <w:rFonts w:ascii="宋体" w:hAnsi="宋体" w:cs="宋体"/>
      <w:sz w:val="24"/>
      <w:szCs w:val="24"/>
    </w:rPr>
  </w:style>
  <w:style w:type="paragraph" w:customStyle="1" w:styleId="146">
    <w:name w:val="pa-20"/>
    <w:basedOn w:val="1"/>
    <w:qFormat/>
    <w:uiPriority w:val="0"/>
    <w:pPr>
      <w:spacing w:line="360" w:lineRule="atLeast"/>
    </w:pPr>
    <w:rPr>
      <w:rFonts w:ascii="宋体" w:hAnsi="宋体" w:cs="宋体"/>
      <w:sz w:val="24"/>
      <w:szCs w:val="24"/>
    </w:rPr>
  </w:style>
  <w:style w:type="paragraph" w:customStyle="1" w:styleId="147">
    <w:name w:val="样式 标题 3 + 段前: 7.8 磅"/>
    <w:basedOn w:val="5"/>
    <w:qFormat/>
    <w:uiPriority w:val="0"/>
    <w:pPr>
      <w:keepNext w:val="0"/>
      <w:keepLines w:val="0"/>
      <w:widowControl w:val="0"/>
      <w:tabs>
        <w:tab w:val="left" w:pos="432"/>
      </w:tabs>
      <w:spacing w:before="156" w:after="0" w:line="360" w:lineRule="auto"/>
      <w:ind w:left="432" w:hanging="432"/>
      <w:jc w:val="both"/>
    </w:pPr>
    <w:rPr>
      <w:rFonts w:ascii="Calibri" w:hAnsi="Calibri" w:cs="宋体"/>
      <w:b w:val="0"/>
      <w:bCs w:val="0"/>
      <w:kern w:val="2"/>
      <w:sz w:val="24"/>
      <w:szCs w:val="20"/>
    </w:rPr>
  </w:style>
  <w:style w:type="paragraph" w:customStyle="1" w:styleId="148">
    <w:name w:val="内文"/>
    <w:link w:val="149"/>
    <w:qFormat/>
    <w:uiPriority w:val="0"/>
    <w:pPr>
      <w:adjustRightInd w:val="0"/>
      <w:snapToGrid w:val="0"/>
      <w:spacing w:line="400" w:lineRule="exact"/>
      <w:ind w:firstLine="200" w:firstLineChars="200"/>
      <w:jc w:val="both"/>
    </w:pPr>
    <w:rPr>
      <w:rFonts w:ascii="Arial" w:hAnsi="Arial" w:eastAsia="Times New Roman" w:cs="Times New Roman"/>
      <w:kern w:val="2"/>
      <w:sz w:val="21"/>
      <w:lang w:val="en-US" w:eastAsia="zh-CN" w:bidi="ar-SA"/>
    </w:rPr>
  </w:style>
  <w:style w:type="character" w:customStyle="1" w:styleId="149">
    <w:name w:val="内文 Char Char"/>
    <w:link w:val="148"/>
    <w:qFormat/>
    <w:locked/>
    <w:uiPriority w:val="0"/>
    <w:rPr>
      <w:rFonts w:ascii="Arial" w:hAnsi="Arial" w:eastAsia="Times New Roman"/>
      <w:kern w:val="2"/>
      <w:sz w:val="21"/>
      <w:lang w:val="en-US" w:eastAsia="zh-CN" w:bidi="ar-SA"/>
    </w:rPr>
  </w:style>
  <w:style w:type="paragraph" w:customStyle="1" w:styleId="150">
    <w:name w:val="ca-21"/>
    <w:basedOn w:val="1"/>
    <w:qFormat/>
    <w:uiPriority w:val="0"/>
    <w:rPr>
      <w:rFonts w:ascii="宋体" w:hAnsi="宋体" w:cs="宋体"/>
      <w:color w:val="000000"/>
      <w:szCs w:val="21"/>
    </w:rPr>
  </w:style>
  <w:style w:type="paragraph" w:customStyle="1" w:styleId="151">
    <w:name w:val="pa-37"/>
    <w:basedOn w:val="1"/>
    <w:qFormat/>
    <w:uiPriority w:val="0"/>
    <w:pPr>
      <w:spacing w:line="360" w:lineRule="atLeast"/>
      <w:ind w:firstLine="300"/>
      <w:jc w:val="both"/>
    </w:pPr>
    <w:rPr>
      <w:rFonts w:ascii="宋体" w:hAnsi="宋体" w:cs="宋体"/>
      <w:sz w:val="24"/>
      <w:szCs w:val="24"/>
    </w:rPr>
  </w:style>
  <w:style w:type="paragraph" w:customStyle="1" w:styleId="152">
    <w:name w:val="Revision1"/>
    <w:qFormat/>
    <w:uiPriority w:val="0"/>
    <w:rPr>
      <w:rFonts w:ascii="Calibri" w:hAnsi="Calibri" w:eastAsia="宋体" w:cs="Times New Roman"/>
      <w:kern w:val="2"/>
      <w:sz w:val="21"/>
      <w:szCs w:val="24"/>
      <w:lang w:val="en-US" w:eastAsia="zh-CN" w:bidi="ar-SA"/>
    </w:rPr>
  </w:style>
  <w:style w:type="paragraph" w:customStyle="1" w:styleId="153">
    <w:name w:val="ca-33"/>
    <w:basedOn w:val="1"/>
    <w:qFormat/>
    <w:uiPriority w:val="0"/>
    <w:rPr>
      <w:rFonts w:ascii="宋体" w:hAnsi="宋体" w:cs="宋体"/>
      <w:b/>
      <w:bCs/>
      <w:color w:val="002060"/>
      <w:spacing w:val="-20"/>
      <w:sz w:val="20"/>
    </w:rPr>
  </w:style>
  <w:style w:type="paragraph" w:customStyle="1" w:styleId="154">
    <w:name w:val="ca-48"/>
    <w:basedOn w:val="1"/>
    <w:qFormat/>
    <w:uiPriority w:val="0"/>
    <w:rPr>
      <w:rFonts w:ascii="宋体" w:hAnsi="宋体" w:cs="宋体"/>
      <w:color w:val="000000"/>
      <w:sz w:val="26"/>
      <w:szCs w:val="26"/>
    </w:rPr>
  </w:style>
  <w:style w:type="paragraph" w:customStyle="1" w:styleId="155">
    <w:name w:val="pa-133"/>
    <w:basedOn w:val="1"/>
    <w:qFormat/>
    <w:uiPriority w:val="0"/>
    <w:pPr>
      <w:spacing w:line="280" w:lineRule="atLeast"/>
    </w:pPr>
    <w:rPr>
      <w:rFonts w:ascii="宋体" w:hAnsi="宋体" w:cs="宋体"/>
      <w:sz w:val="24"/>
      <w:szCs w:val="24"/>
    </w:rPr>
  </w:style>
  <w:style w:type="paragraph" w:customStyle="1" w:styleId="156">
    <w:name w:val="ca-3"/>
    <w:basedOn w:val="1"/>
    <w:qFormat/>
    <w:uiPriority w:val="0"/>
    <w:rPr>
      <w:rFonts w:ascii="Calibri" w:hAnsi="Calibri"/>
      <w:b/>
      <w:bCs/>
      <w:color w:val="000000"/>
      <w:spacing w:val="-20"/>
      <w:sz w:val="48"/>
      <w:szCs w:val="48"/>
    </w:rPr>
  </w:style>
  <w:style w:type="paragraph" w:customStyle="1" w:styleId="157">
    <w:name w:val="pa-73"/>
    <w:basedOn w:val="1"/>
    <w:qFormat/>
    <w:uiPriority w:val="0"/>
    <w:pPr>
      <w:spacing w:line="360" w:lineRule="atLeast"/>
      <w:ind w:firstLine="640"/>
      <w:jc w:val="both"/>
    </w:pPr>
    <w:rPr>
      <w:rFonts w:ascii="宋体" w:hAnsi="宋体" w:cs="宋体"/>
      <w:sz w:val="24"/>
      <w:szCs w:val="24"/>
    </w:rPr>
  </w:style>
  <w:style w:type="paragraph" w:customStyle="1" w:styleId="158">
    <w:name w:val="pa-81"/>
    <w:basedOn w:val="1"/>
    <w:qFormat/>
    <w:uiPriority w:val="0"/>
    <w:pPr>
      <w:spacing w:line="360" w:lineRule="atLeast"/>
      <w:jc w:val="center"/>
    </w:pPr>
    <w:rPr>
      <w:rFonts w:ascii="宋体" w:hAnsi="宋体" w:cs="宋体"/>
      <w:sz w:val="24"/>
      <w:szCs w:val="24"/>
    </w:rPr>
  </w:style>
  <w:style w:type="paragraph" w:customStyle="1" w:styleId="159">
    <w:name w:val="pa-93"/>
    <w:basedOn w:val="1"/>
    <w:qFormat/>
    <w:uiPriority w:val="0"/>
    <w:pPr>
      <w:spacing w:line="480" w:lineRule="atLeast"/>
      <w:ind w:firstLine="480"/>
    </w:pPr>
    <w:rPr>
      <w:rFonts w:ascii="宋体" w:hAnsi="宋体" w:cs="宋体"/>
      <w:sz w:val="24"/>
      <w:szCs w:val="24"/>
    </w:rPr>
  </w:style>
  <w:style w:type="paragraph" w:customStyle="1" w:styleId="160">
    <w:name w:val="默认段落字体 Para Char Char Char Char Char Char Char Char Char Char"/>
    <w:basedOn w:val="1"/>
    <w:qFormat/>
    <w:uiPriority w:val="0"/>
    <w:pPr>
      <w:widowControl w:val="0"/>
      <w:jc w:val="both"/>
    </w:pPr>
    <w:rPr>
      <w:rFonts w:ascii="Calibri" w:hAnsi="Calibri"/>
      <w:kern w:val="2"/>
    </w:rPr>
  </w:style>
  <w:style w:type="paragraph" w:customStyle="1" w:styleId="161">
    <w:name w:val="pa-89"/>
    <w:basedOn w:val="1"/>
    <w:qFormat/>
    <w:uiPriority w:val="0"/>
    <w:pPr>
      <w:spacing w:line="320" w:lineRule="atLeast"/>
      <w:jc w:val="both"/>
    </w:pPr>
    <w:rPr>
      <w:rFonts w:ascii="宋体" w:hAnsi="宋体" w:cs="宋体"/>
      <w:sz w:val="24"/>
      <w:szCs w:val="24"/>
    </w:rPr>
  </w:style>
  <w:style w:type="paragraph" w:customStyle="1" w:styleId="162">
    <w:name w:val="投标书正文"/>
    <w:link w:val="163"/>
    <w:qFormat/>
    <w:uiPriority w:val="0"/>
    <w:pPr>
      <w:autoSpaceDE w:val="0"/>
      <w:spacing w:line="360" w:lineRule="auto"/>
      <w:ind w:firstLine="200" w:firstLineChars="200"/>
    </w:pPr>
    <w:rPr>
      <w:rFonts w:ascii="Times New Roman" w:hAnsi="Times New Roman" w:eastAsia="Times New Roman" w:cs="Times New Roman"/>
      <w:kern w:val="2"/>
      <w:sz w:val="24"/>
      <w:szCs w:val="24"/>
      <w:lang w:val="en-US" w:eastAsia="zh-CN" w:bidi="ar-SA"/>
    </w:rPr>
  </w:style>
  <w:style w:type="character" w:customStyle="1" w:styleId="163">
    <w:name w:val="投标书正文 Char Char"/>
    <w:link w:val="162"/>
    <w:qFormat/>
    <w:uiPriority w:val="0"/>
    <w:rPr>
      <w:rFonts w:eastAsia="Times New Roman"/>
      <w:kern w:val="2"/>
      <w:sz w:val="24"/>
      <w:szCs w:val="24"/>
    </w:rPr>
  </w:style>
  <w:style w:type="paragraph" w:customStyle="1" w:styleId="164">
    <w:name w:val="xl63"/>
    <w:basedOn w:val="1"/>
    <w:qFormat/>
    <w:uiPriority w:val="0"/>
    <w:pPr>
      <w:spacing w:before="100" w:beforeAutospacing="1" w:after="100" w:afterAutospacing="1"/>
      <w:jc w:val="center"/>
    </w:pPr>
    <w:rPr>
      <w:rFonts w:ascii="宋体" w:hAnsi="宋体" w:cs="宋体"/>
      <w:b/>
      <w:bCs/>
      <w:sz w:val="20"/>
    </w:rPr>
  </w:style>
  <w:style w:type="paragraph" w:customStyle="1" w:styleId="165">
    <w:name w:val="纯文本1"/>
    <w:basedOn w:val="1"/>
    <w:qFormat/>
    <w:uiPriority w:val="99"/>
    <w:pPr>
      <w:widowControl w:val="0"/>
      <w:spacing w:afterLines="50"/>
      <w:jc w:val="both"/>
    </w:pPr>
    <w:rPr>
      <w:rFonts w:ascii="宋体" w:hAnsi="Courier New"/>
      <w:kern w:val="2"/>
      <w:sz w:val="24"/>
    </w:rPr>
  </w:style>
  <w:style w:type="paragraph" w:customStyle="1" w:styleId="166">
    <w:name w:val="ca-25"/>
    <w:basedOn w:val="1"/>
    <w:qFormat/>
    <w:uiPriority w:val="0"/>
    <w:rPr>
      <w:rFonts w:ascii="Calibri" w:hAnsi="Calibri"/>
      <w:szCs w:val="21"/>
    </w:rPr>
  </w:style>
  <w:style w:type="paragraph" w:customStyle="1" w:styleId="167">
    <w:name w:val="ca-6"/>
    <w:basedOn w:val="1"/>
    <w:qFormat/>
    <w:uiPriority w:val="0"/>
    <w:rPr>
      <w:rFonts w:ascii="宋体" w:hAnsi="宋体" w:cs="宋体"/>
      <w:color w:val="000000"/>
      <w:sz w:val="30"/>
      <w:szCs w:val="30"/>
    </w:rPr>
  </w:style>
  <w:style w:type="paragraph" w:customStyle="1" w:styleId="168">
    <w:name w:val="pa-19"/>
    <w:basedOn w:val="1"/>
    <w:qFormat/>
    <w:uiPriority w:val="0"/>
    <w:pPr>
      <w:spacing w:line="240" w:lineRule="atLeast"/>
      <w:ind w:firstLine="20"/>
    </w:pPr>
    <w:rPr>
      <w:rFonts w:ascii="宋体" w:hAnsi="宋体" w:cs="宋体"/>
      <w:sz w:val="24"/>
      <w:szCs w:val="24"/>
    </w:rPr>
  </w:style>
  <w:style w:type="paragraph" w:customStyle="1" w:styleId="169">
    <w:name w:val="正文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70">
    <w:name w:val="xl65"/>
    <w:basedOn w:val="1"/>
    <w:qFormat/>
    <w:uiPriority w:val="0"/>
    <w:pPr>
      <w:spacing w:before="100" w:beforeAutospacing="1" w:after="100" w:afterAutospacing="1"/>
    </w:pPr>
    <w:rPr>
      <w:rFonts w:ascii="宋体" w:hAnsi="宋体" w:cs="宋体"/>
      <w:b/>
      <w:bCs/>
      <w:sz w:val="24"/>
      <w:szCs w:val="24"/>
    </w:rPr>
  </w:style>
  <w:style w:type="paragraph" w:customStyle="1" w:styleId="171">
    <w:name w:val="TOC Heading1"/>
    <w:basedOn w:val="3"/>
    <w:next w:val="1"/>
    <w:qFormat/>
    <w:uiPriority w:val="0"/>
    <w:pPr>
      <w:tabs>
        <w:tab w:val="clear" w:pos="840"/>
      </w:tabs>
      <w:adjustRightInd/>
      <w:snapToGrid/>
      <w:spacing w:before="340" w:after="330" w:line="576" w:lineRule="auto"/>
      <w:outlineLvl w:val="9"/>
    </w:pPr>
    <w:rPr>
      <w:rFonts w:ascii="Calibri" w:hAnsi="Calibri"/>
      <w:bCs/>
      <w:sz w:val="44"/>
      <w:szCs w:val="44"/>
    </w:rPr>
  </w:style>
  <w:style w:type="paragraph" w:customStyle="1" w:styleId="172">
    <w:name w:val="ca-49"/>
    <w:basedOn w:val="1"/>
    <w:qFormat/>
    <w:uiPriority w:val="0"/>
    <w:rPr>
      <w:rFonts w:ascii="宋体" w:hAnsi="宋体" w:cs="宋体"/>
      <w:sz w:val="32"/>
      <w:szCs w:val="32"/>
    </w:rPr>
  </w:style>
  <w:style w:type="paragraph" w:customStyle="1" w:styleId="173">
    <w:name w:val="菲页2"/>
    <w:basedOn w:val="5"/>
    <w:qFormat/>
    <w:uiPriority w:val="0"/>
    <w:pPr>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174">
    <w:name w:val="正文文本缩进1"/>
    <w:basedOn w:val="1"/>
    <w:qFormat/>
    <w:uiPriority w:val="0"/>
    <w:pPr>
      <w:widowControl w:val="0"/>
      <w:spacing w:before="120" w:after="120" w:line="360" w:lineRule="auto"/>
      <w:ind w:left="420" w:leftChars="200"/>
      <w:jc w:val="both"/>
    </w:pPr>
    <w:rPr>
      <w:rFonts w:ascii="Calibri" w:hAnsi="Calibri"/>
      <w:kern w:val="2"/>
      <w:sz w:val="20"/>
    </w:rPr>
  </w:style>
  <w:style w:type="paragraph" w:customStyle="1" w:styleId="175">
    <w:name w:val="td-0"/>
    <w:basedOn w:val="1"/>
    <w:qFormat/>
    <w:uiPriority w:val="0"/>
    <w:pPr>
      <w:pBdr>
        <w:top w:val="single" w:color="000000" w:sz="4" w:space="0"/>
        <w:left w:val="single" w:color="000000" w:sz="4" w:space="4"/>
        <w:bottom w:val="single" w:color="000000" w:sz="4" w:space="0"/>
        <w:right w:val="single" w:color="000000" w:sz="4" w:space="0"/>
      </w:pBdr>
    </w:pPr>
    <w:rPr>
      <w:rFonts w:ascii="宋体" w:hAnsi="宋体" w:cs="宋体"/>
      <w:sz w:val="24"/>
      <w:szCs w:val="24"/>
    </w:rPr>
  </w:style>
  <w:style w:type="paragraph" w:customStyle="1" w:styleId="176">
    <w:name w:val="xl11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sz w:val="18"/>
      <w:szCs w:val="18"/>
    </w:rPr>
  </w:style>
  <w:style w:type="paragraph" w:customStyle="1" w:styleId="177">
    <w:name w:val="pa-34"/>
    <w:basedOn w:val="1"/>
    <w:qFormat/>
    <w:uiPriority w:val="0"/>
    <w:pPr>
      <w:spacing w:line="360" w:lineRule="atLeast"/>
      <w:ind w:firstLine="460"/>
      <w:jc w:val="both"/>
    </w:pPr>
    <w:rPr>
      <w:rFonts w:ascii="宋体" w:hAnsi="宋体" w:cs="宋体"/>
      <w:sz w:val="24"/>
      <w:szCs w:val="24"/>
    </w:rPr>
  </w:style>
  <w:style w:type="paragraph" w:customStyle="1" w:styleId="178">
    <w:name w:val="样式 标题 4 + 段后: 8.15 磅 行距: 1.5 倍行距"/>
    <w:basedOn w:val="6"/>
    <w:qFormat/>
    <w:uiPriority w:val="0"/>
    <w:pPr>
      <w:tabs>
        <w:tab w:val="clear" w:pos="864"/>
      </w:tabs>
      <w:spacing w:after="163" w:line="360" w:lineRule="auto"/>
    </w:pPr>
    <w:rPr>
      <w:rFonts w:eastAsia="宋体" w:cs="宋体"/>
      <w:sz w:val="24"/>
      <w:szCs w:val="20"/>
      <w:lang w:val="en-US"/>
    </w:rPr>
  </w:style>
  <w:style w:type="paragraph" w:customStyle="1" w:styleId="179">
    <w:name w:val="pa-28"/>
    <w:basedOn w:val="1"/>
    <w:qFormat/>
    <w:uiPriority w:val="0"/>
    <w:pPr>
      <w:spacing w:line="360" w:lineRule="atLeast"/>
      <w:ind w:firstLine="420"/>
    </w:pPr>
    <w:rPr>
      <w:rFonts w:ascii="宋体" w:hAnsi="宋体" w:cs="宋体"/>
      <w:sz w:val="24"/>
      <w:szCs w:val="24"/>
    </w:rPr>
  </w:style>
  <w:style w:type="paragraph" w:customStyle="1" w:styleId="180">
    <w:name w:val="6'"/>
    <w:basedOn w:val="1"/>
    <w:qFormat/>
    <w:uiPriority w:val="0"/>
    <w:pPr>
      <w:widowControl w:val="0"/>
      <w:autoSpaceDE w:val="0"/>
      <w:autoSpaceDN w:val="0"/>
      <w:adjustRightInd w:val="0"/>
      <w:snapToGrid w:val="0"/>
      <w:spacing w:line="320" w:lineRule="exact"/>
      <w:jc w:val="center"/>
      <w:textAlignment w:val="baseline"/>
    </w:pPr>
    <w:rPr>
      <w:rFonts w:ascii="Calibri" w:hAnsi="Calibri"/>
      <w:spacing w:val="20"/>
      <w:kern w:val="28"/>
    </w:rPr>
  </w:style>
  <w:style w:type="paragraph" w:customStyle="1" w:styleId="181">
    <w:name w:val="p17"/>
    <w:basedOn w:val="1"/>
    <w:qFormat/>
    <w:uiPriority w:val="0"/>
    <w:pPr>
      <w:jc w:val="both"/>
    </w:pPr>
    <w:rPr>
      <w:szCs w:val="21"/>
    </w:rPr>
  </w:style>
  <w:style w:type="paragraph" w:customStyle="1" w:styleId="182">
    <w:name w:val="ca-37"/>
    <w:basedOn w:val="1"/>
    <w:qFormat/>
    <w:uiPriority w:val="0"/>
    <w:rPr>
      <w:rFonts w:ascii="宋体" w:hAnsi="宋体" w:cs="宋体"/>
      <w:color w:val="000000"/>
      <w:szCs w:val="21"/>
    </w:rPr>
  </w:style>
  <w:style w:type="paragraph" w:customStyle="1" w:styleId="183">
    <w:name w:val="pa-42"/>
    <w:basedOn w:val="1"/>
    <w:qFormat/>
    <w:uiPriority w:val="0"/>
    <w:pPr>
      <w:spacing w:line="280" w:lineRule="atLeast"/>
      <w:ind w:firstLine="420"/>
    </w:pPr>
    <w:rPr>
      <w:rFonts w:ascii="宋体" w:hAnsi="宋体" w:cs="宋体"/>
      <w:sz w:val="24"/>
      <w:szCs w:val="24"/>
    </w:rPr>
  </w:style>
  <w:style w:type="paragraph" w:customStyle="1" w:styleId="184">
    <w:name w:val="明显引用2"/>
    <w:basedOn w:val="1"/>
    <w:next w:val="1"/>
    <w:qFormat/>
    <w:uiPriority w:val="0"/>
    <w:pPr>
      <w:widowControl w:val="0"/>
      <w:pBdr>
        <w:bottom w:val="single" w:color="4F81BD" w:sz="4" w:space="4"/>
      </w:pBdr>
      <w:spacing w:before="200" w:after="280"/>
      <w:ind w:left="936" w:right="936"/>
      <w:jc w:val="both"/>
    </w:pPr>
    <w:rPr>
      <w:rFonts w:ascii="Calibri" w:hAnsi="Calibri"/>
      <w:b/>
      <w:i/>
      <w:color w:val="4F81BD"/>
      <w:kern w:val="2"/>
      <w:sz w:val="22"/>
    </w:rPr>
  </w:style>
  <w:style w:type="paragraph" w:customStyle="1" w:styleId="185">
    <w:name w:val="样式 纯文本普通文字 Char纯文本 Char Char普通文字纯文本 Char Char Char Char Char...6"/>
    <w:basedOn w:val="28"/>
    <w:link w:val="186"/>
    <w:qFormat/>
    <w:uiPriority w:val="0"/>
    <w:rPr>
      <w:color w:val="000000"/>
    </w:rPr>
  </w:style>
  <w:style w:type="character" w:customStyle="1" w:styleId="186">
    <w:name w:val="样式 纯文本普通文字 Char纯文本 Char Char普通文字纯文本 Char Char Char Char Char...6 Char Char"/>
    <w:link w:val="185"/>
    <w:qFormat/>
    <w:locked/>
    <w:uiPriority w:val="0"/>
    <w:rPr>
      <w:rFonts w:ascii="宋体" w:hAnsi="Courier New"/>
      <w:color w:val="000000"/>
      <w:kern w:val="2"/>
      <w:sz w:val="21"/>
    </w:rPr>
  </w:style>
  <w:style w:type="paragraph" w:customStyle="1" w:styleId="187">
    <w:name w:val="pa-140"/>
    <w:basedOn w:val="1"/>
    <w:qFormat/>
    <w:uiPriority w:val="0"/>
    <w:pPr>
      <w:spacing w:line="320" w:lineRule="atLeast"/>
      <w:ind w:firstLine="560"/>
      <w:jc w:val="both"/>
    </w:pPr>
    <w:rPr>
      <w:rFonts w:ascii="宋体" w:hAnsi="宋体" w:cs="宋体"/>
      <w:sz w:val="24"/>
      <w:szCs w:val="24"/>
    </w:rPr>
  </w:style>
  <w:style w:type="paragraph" w:customStyle="1" w:styleId="188">
    <w:name w:val="pa-137"/>
    <w:basedOn w:val="1"/>
    <w:qFormat/>
    <w:uiPriority w:val="0"/>
    <w:pPr>
      <w:spacing w:line="480" w:lineRule="atLeast"/>
      <w:jc w:val="center"/>
    </w:pPr>
    <w:rPr>
      <w:rFonts w:ascii="宋体" w:hAnsi="宋体" w:cs="宋体"/>
      <w:sz w:val="24"/>
      <w:szCs w:val="24"/>
    </w:rPr>
  </w:style>
  <w:style w:type="paragraph" w:customStyle="1" w:styleId="189">
    <w:name w:val="xl10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sz w:val="16"/>
      <w:szCs w:val="16"/>
    </w:rPr>
  </w:style>
  <w:style w:type="paragraph" w:customStyle="1" w:styleId="190">
    <w:name w:val="pa-75"/>
    <w:basedOn w:val="1"/>
    <w:qFormat/>
    <w:uiPriority w:val="0"/>
    <w:pPr>
      <w:spacing w:line="300" w:lineRule="atLeast"/>
      <w:jc w:val="center"/>
    </w:pPr>
    <w:rPr>
      <w:rFonts w:ascii="宋体" w:hAnsi="宋体" w:cs="宋体"/>
      <w:sz w:val="24"/>
      <w:szCs w:val="24"/>
    </w:rPr>
  </w:style>
  <w:style w:type="paragraph" w:customStyle="1" w:styleId="191">
    <w:name w:val="pa-96"/>
    <w:basedOn w:val="1"/>
    <w:qFormat/>
    <w:uiPriority w:val="0"/>
    <w:pPr>
      <w:spacing w:line="480" w:lineRule="atLeast"/>
      <w:jc w:val="both"/>
    </w:pPr>
    <w:rPr>
      <w:rFonts w:ascii="宋体" w:hAnsi="宋体" w:cs="宋体"/>
      <w:sz w:val="24"/>
      <w:szCs w:val="24"/>
    </w:rPr>
  </w:style>
  <w:style w:type="paragraph" w:customStyle="1" w:styleId="192">
    <w:name w:val="pa-90"/>
    <w:basedOn w:val="1"/>
    <w:qFormat/>
    <w:uiPriority w:val="0"/>
    <w:pPr>
      <w:spacing w:line="280" w:lineRule="atLeast"/>
      <w:jc w:val="both"/>
    </w:pPr>
    <w:rPr>
      <w:rFonts w:ascii="宋体" w:hAnsi="宋体" w:cs="宋体"/>
      <w:sz w:val="24"/>
      <w:szCs w:val="24"/>
    </w:rPr>
  </w:style>
  <w:style w:type="paragraph" w:customStyle="1" w:styleId="193">
    <w:name w:val="表头"/>
    <w:basedOn w:val="1"/>
    <w:qFormat/>
    <w:uiPriority w:val="0"/>
    <w:pPr>
      <w:widowControl w:val="0"/>
      <w:spacing w:line="360" w:lineRule="auto"/>
      <w:jc w:val="center"/>
    </w:pPr>
    <w:rPr>
      <w:rFonts w:ascii="黑体" w:hAnsi="Calibri" w:eastAsia="黑体"/>
      <w:sz w:val="24"/>
    </w:rPr>
  </w:style>
  <w:style w:type="paragraph" w:customStyle="1" w:styleId="194">
    <w:name w:val="pa-23"/>
    <w:basedOn w:val="1"/>
    <w:qFormat/>
    <w:uiPriority w:val="0"/>
    <w:pPr>
      <w:spacing w:line="360" w:lineRule="atLeast"/>
      <w:ind w:firstLine="420"/>
      <w:jc w:val="both"/>
    </w:pPr>
    <w:rPr>
      <w:rFonts w:ascii="宋体" w:hAnsi="宋体" w:cs="宋体"/>
      <w:sz w:val="24"/>
      <w:szCs w:val="24"/>
    </w:rPr>
  </w:style>
  <w:style w:type="paragraph" w:customStyle="1" w:styleId="195">
    <w:name w:val="附件"/>
    <w:basedOn w:val="3"/>
    <w:qFormat/>
    <w:uiPriority w:val="0"/>
    <w:pPr>
      <w:keepNext w:val="0"/>
      <w:keepLines w:val="0"/>
      <w:pageBreakBefore/>
      <w:spacing w:beforeLines="100" w:afterLines="100" w:line="240" w:lineRule="auto"/>
      <w:jc w:val="center"/>
    </w:pPr>
    <w:rPr>
      <w:rFonts w:hAnsi="宋体"/>
      <w:sz w:val="28"/>
      <w:szCs w:val="36"/>
    </w:rPr>
  </w:style>
  <w:style w:type="paragraph" w:customStyle="1" w:styleId="196">
    <w:name w:val="ca-19"/>
    <w:basedOn w:val="1"/>
    <w:qFormat/>
    <w:uiPriority w:val="0"/>
    <w:rPr>
      <w:rFonts w:ascii="Calibri" w:hAnsi="Calibri"/>
      <w:sz w:val="18"/>
      <w:szCs w:val="18"/>
    </w:rPr>
  </w:style>
  <w:style w:type="paragraph" w:customStyle="1" w:styleId="197">
    <w:name w:val="样式 样式 标题 3section:33l3Level 3 HeadH3heading 3h3Bold Headbh... + ... Char"/>
    <w:basedOn w:val="1"/>
    <w:qFormat/>
    <w:uiPriority w:val="0"/>
    <w:pPr>
      <w:keepNext/>
      <w:keepLines/>
      <w:widowControl w:val="0"/>
      <w:spacing w:beforeLines="50" w:afterLines="50" w:line="360" w:lineRule="auto"/>
      <w:ind w:left="800" w:leftChars="400"/>
      <w:jc w:val="both"/>
      <w:outlineLvl w:val="2"/>
    </w:pPr>
    <w:rPr>
      <w:rFonts w:ascii="宋体" w:hAnsi="宋体" w:cs="宋体"/>
      <w:b/>
      <w:bCs/>
      <w:color w:val="FF0000"/>
      <w:kern w:val="2"/>
      <w:sz w:val="24"/>
      <w:szCs w:val="24"/>
    </w:rPr>
  </w:style>
  <w:style w:type="paragraph" w:customStyle="1" w:styleId="198">
    <w:name w:val="ca-27"/>
    <w:basedOn w:val="1"/>
    <w:qFormat/>
    <w:uiPriority w:val="0"/>
    <w:rPr>
      <w:rFonts w:ascii="宋体" w:hAnsi="宋体" w:cs="宋体"/>
      <w:b/>
      <w:bCs/>
      <w:color w:val="002060"/>
      <w:spacing w:val="-20"/>
      <w:szCs w:val="21"/>
    </w:rPr>
  </w:style>
  <w:style w:type="paragraph" w:customStyle="1" w:styleId="199">
    <w:name w:val="pa-113"/>
    <w:basedOn w:val="1"/>
    <w:qFormat/>
    <w:uiPriority w:val="0"/>
    <w:pPr>
      <w:spacing w:line="360" w:lineRule="atLeast"/>
      <w:ind w:firstLine="2960"/>
      <w:jc w:val="both"/>
    </w:pPr>
    <w:rPr>
      <w:rFonts w:ascii="宋体" w:hAnsi="宋体" w:cs="宋体"/>
      <w:sz w:val="24"/>
      <w:szCs w:val="24"/>
    </w:rPr>
  </w:style>
  <w:style w:type="paragraph" w:customStyle="1" w:styleId="200">
    <w:name w:val="pa-12"/>
    <w:basedOn w:val="1"/>
    <w:qFormat/>
    <w:uiPriority w:val="0"/>
    <w:pPr>
      <w:spacing w:line="360" w:lineRule="atLeast"/>
      <w:jc w:val="both"/>
    </w:pPr>
    <w:rPr>
      <w:rFonts w:ascii="宋体" w:hAnsi="宋体" w:cs="宋体"/>
      <w:sz w:val="24"/>
      <w:szCs w:val="24"/>
    </w:rPr>
  </w:style>
  <w:style w:type="paragraph" w:customStyle="1" w:styleId="201">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黑体" w:hAnsi="黑体" w:eastAsia="黑体" w:cs="宋体"/>
      <w:sz w:val="20"/>
    </w:rPr>
  </w:style>
  <w:style w:type="paragraph" w:customStyle="1" w:styleId="202">
    <w:name w:val="pa-47"/>
    <w:basedOn w:val="1"/>
    <w:qFormat/>
    <w:uiPriority w:val="0"/>
    <w:pPr>
      <w:spacing w:line="280" w:lineRule="atLeast"/>
      <w:ind w:firstLine="280"/>
      <w:jc w:val="center"/>
    </w:pPr>
    <w:rPr>
      <w:rFonts w:ascii="宋体" w:hAnsi="宋体" w:cs="宋体"/>
      <w:sz w:val="24"/>
      <w:szCs w:val="24"/>
    </w:rPr>
  </w:style>
  <w:style w:type="paragraph" w:customStyle="1" w:styleId="203">
    <w:name w:val="ca-1"/>
    <w:basedOn w:val="1"/>
    <w:qFormat/>
    <w:uiPriority w:val="0"/>
    <w:rPr>
      <w:rFonts w:ascii="宋体" w:hAnsi="宋体" w:cs="宋体"/>
      <w:color w:val="000000"/>
      <w:spacing w:val="40"/>
      <w:sz w:val="44"/>
      <w:szCs w:val="44"/>
    </w:rPr>
  </w:style>
  <w:style w:type="paragraph" w:customStyle="1" w:styleId="204">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sz w:val="16"/>
      <w:szCs w:val="16"/>
    </w:rPr>
  </w:style>
  <w:style w:type="paragraph" w:customStyle="1" w:styleId="205">
    <w:name w:val="样式 正文缩进正文（首行缩进两字）特点ALT+Z表正文正文非缩进四号段1Normal Indent Char2...2"/>
    <w:basedOn w:val="5"/>
    <w:qFormat/>
    <w:uiPriority w:val="0"/>
    <w:pPr>
      <w:widowControl w:val="0"/>
      <w:spacing w:before="360" w:after="120" w:line="360" w:lineRule="auto"/>
      <w:jc w:val="center"/>
    </w:pPr>
    <w:rPr>
      <w:rFonts w:ascii="宋体" w:hAnsi="宋体"/>
      <w:bCs w:val="0"/>
      <w:kern w:val="2"/>
      <w:sz w:val="28"/>
      <w:szCs w:val="20"/>
    </w:rPr>
  </w:style>
  <w:style w:type="paragraph" w:customStyle="1" w:styleId="206">
    <w:name w:val="Quote1"/>
    <w:basedOn w:val="1"/>
    <w:next w:val="1"/>
    <w:link w:val="207"/>
    <w:qFormat/>
    <w:uiPriority w:val="0"/>
    <w:pPr>
      <w:widowControl w:val="0"/>
      <w:jc w:val="both"/>
    </w:pPr>
    <w:rPr>
      <w:i/>
      <w:color w:val="000000"/>
      <w:kern w:val="2"/>
      <w:sz w:val="22"/>
    </w:rPr>
  </w:style>
  <w:style w:type="character" w:customStyle="1" w:styleId="207">
    <w:name w:val="引用 Char"/>
    <w:link w:val="206"/>
    <w:qFormat/>
    <w:locked/>
    <w:uiPriority w:val="0"/>
    <w:rPr>
      <w:i/>
      <w:color w:val="000000"/>
      <w:kern w:val="2"/>
      <w:sz w:val="22"/>
    </w:rPr>
  </w:style>
  <w:style w:type="paragraph" w:customStyle="1" w:styleId="208">
    <w:name w:val="样式 正文缩进正文（首行缩进两字）特点ALT+Z表正文正文非缩进四号段1Normal Indent Char2...1"/>
    <w:basedOn w:val="4"/>
    <w:qFormat/>
    <w:uiPriority w:val="0"/>
    <w:pPr>
      <w:widowControl w:val="0"/>
      <w:spacing w:before="1320" w:after="240" w:line="300" w:lineRule="auto"/>
      <w:jc w:val="center"/>
    </w:pPr>
    <w:rPr>
      <w:rFonts w:ascii="Arial" w:hAnsi="Arial" w:eastAsia="黑体"/>
      <w:bCs w:val="0"/>
      <w:kern w:val="2"/>
      <w:szCs w:val="20"/>
    </w:rPr>
  </w:style>
  <w:style w:type="paragraph" w:customStyle="1" w:styleId="209">
    <w:name w:val="表内文字"/>
    <w:basedOn w:val="1"/>
    <w:qFormat/>
    <w:uiPriority w:val="0"/>
    <w:pPr>
      <w:widowControl w:val="0"/>
      <w:spacing w:line="500" w:lineRule="atLeast"/>
      <w:jc w:val="center"/>
    </w:pPr>
    <w:rPr>
      <w:rFonts w:ascii="Arial" w:hAnsi="Arial" w:eastAsia="楷体_GB2312"/>
      <w:kern w:val="2"/>
      <w:sz w:val="28"/>
    </w:rPr>
  </w:style>
  <w:style w:type="paragraph" w:customStyle="1" w:styleId="210">
    <w:name w:val="Char Char7 Char"/>
    <w:basedOn w:val="1"/>
    <w:qFormat/>
    <w:uiPriority w:val="0"/>
    <w:pPr>
      <w:widowControl w:val="0"/>
      <w:tabs>
        <w:tab w:val="left" w:pos="425"/>
      </w:tabs>
      <w:ind w:left="420" w:leftChars="200" w:firstLine="270" w:firstLineChars="150"/>
      <w:jc w:val="both"/>
    </w:pPr>
    <w:rPr>
      <w:rFonts w:ascii="宋体" w:hAnsi="宋体" w:cs="Arial"/>
      <w:color w:val="5E5E5E"/>
      <w:szCs w:val="21"/>
    </w:rPr>
  </w:style>
  <w:style w:type="paragraph" w:customStyle="1" w:styleId="211">
    <w:name w:val="xl80"/>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20"/>
    </w:rPr>
  </w:style>
  <w:style w:type="paragraph" w:customStyle="1" w:styleId="212">
    <w:name w:val="pa-120"/>
    <w:basedOn w:val="1"/>
    <w:qFormat/>
    <w:uiPriority w:val="0"/>
    <w:pPr>
      <w:spacing w:line="280" w:lineRule="atLeast"/>
      <w:jc w:val="right"/>
    </w:pPr>
    <w:rPr>
      <w:rFonts w:ascii="宋体" w:hAnsi="宋体" w:cs="宋体"/>
      <w:sz w:val="24"/>
      <w:szCs w:val="24"/>
    </w:rPr>
  </w:style>
  <w:style w:type="paragraph" w:customStyle="1" w:styleId="213">
    <w:name w:val="Char1"/>
    <w:basedOn w:val="1"/>
    <w:qFormat/>
    <w:uiPriority w:val="0"/>
  </w:style>
  <w:style w:type="paragraph" w:customStyle="1" w:styleId="214">
    <w:name w:val="pa-85"/>
    <w:basedOn w:val="1"/>
    <w:qFormat/>
    <w:uiPriority w:val="0"/>
    <w:pPr>
      <w:spacing w:line="760" w:lineRule="atLeast"/>
      <w:jc w:val="center"/>
    </w:pPr>
    <w:rPr>
      <w:rFonts w:ascii="宋体" w:hAnsi="宋体" w:cs="宋体"/>
      <w:sz w:val="24"/>
      <w:szCs w:val="24"/>
    </w:rPr>
  </w:style>
  <w:style w:type="paragraph" w:customStyle="1" w:styleId="215">
    <w:name w:val="ca-22"/>
    <w:basedOn w:val="1"/>
    <w:qFormat/>
    <w:uiPriority w:val="0"/>
    <w:rPr>
      <w:rFonts w:ascii="宋体" w:hAnsi="宋体" w:cs="宋体"/>
      <w:szCs w:val="21"/>
    </w:rPr>
  </w:style>
  <w:style w:type="paragraph" w:customStyle="1" w:styleId="216">
    <w:name w:val="列出段落1"/>
    <w:basedOn w:val="1"/>
    <w:link w:val="217"/>
    <w:qFormat/>
    <w:uiPriority w:val="0"/>
    <w:pPr>
      <w:ind w:left="720"/>
      <w:contextualSpacing/>
    </w:pPr>
    <w:rPr>
      <w:rFonts w:ascii="Arial" w:hAnsi="Arial" w:eastAsia="黑体"/>
      <w:sz w:val="24"/>
      <w:szCs w:val="24"/>
      <w:lang w:eastAsia="en-US" w:bidi="en-US"/>
    </w:rPr>
  </w:style>
  <w:style w:type="character" w:customStyle="1" w:styleId="217">
    <w:name w:val="List Paragraph Char"/>
    <w:link w:val="216"/>
    <w:qFormat/>
    <w:uiPriority w:val="0"/>
    <w:rPr>
      <w:rFonts w:ascii="Arial" w:hAnsi="Arial" w:eastAsia="黑体"/>
      <w:sz w:val="24"/>
      <w:szCs w:val="24"/>
      <w:lang w:eastAsia="en-US" w:bidi="en-US"/>
    </w:rPr>
  </w:style>
  <w:style w:type="paragraph" w:customStyle="1" w:styleId="218">
    <w:name w:val="font6"/>
    <w:basedOn w:val="1"/>
    <w:qFormat/>
    <w:uiPriority w:val="0"/>
    <w:pPr>
      <w:spacing w:before="100" w:beforeAutospacing="1" w:after="100" w:afterAutospacing="1"/>
    </w:pPr>
    <w:rPr>
      <w:rFonts w:ascii="宋体" w:hAnsi="宋体" w:cs="宋体"/>
      <w:color w:val="FF0000"/>
      <w:sz w:val="16"/>
      <w:szCs w:val="16"/>
    </w:rPr>
  </w:style>
  <w:style w:type="paragraph" w:customStyle="1" w:styleId="219">
    <w:name w:val="pa-87"/>
    <w:basedOn w:val="1"/>
    <w:qFormat/>
    <w:uiPriority w:val="0"/>
    <w:pPr>
      <w:spacing w:line="320" w:lineRule="atLeast"/>
      <w:ind w:firstLine="560"/>
    </w:pPr>
    <w:rPr>
      <w:rFonts w:ascii="宋体" w:hAnsi="宋体" w:cs="宋体"/>
      <w:sz w:val="24"/>
      <w:szCs w:val="24"/>
    </w:rPr>
  </w:style>
  <w:style w:type="paragraph" w:customStyle="1" w:styleId="220">
    <w:name w:val="ca-47"/>
    <w:basedOn w:val="1"/>
    <w:qFormat/>
    <w:uiPriority w:val="0"/>
    <w:rPr>
      <w:rFonts w:ascii="宋体" w:hAnsi="宋体" w:cs="宋体"/>
      <w:b/>
      <w:bCs/>
      <w:color w:val="000000"/>
      <w:spacing w:val="-20"/>
      <w:sz w:val="24"/>
      <w:szCs w:val="24"/>
    </w:rPr>
  </w:style>
  <w:style w:type="paragraph" w:customStyle="1" w:styleId="221">
    <w:name w:val="xl113"/>
    <w:basedOn w:val="1"/>
    <w:qFormat/>
    <w:uiPriority w:val="0"/>
    <w:pPr>
      <w:pBdr>
        <w:bottom w:val="single" w:color="auto" w:sz="4" w:space="0"/>
      </w:pBdr>
      <w:shd w:val="clear" w:color="000000" w:fill="FFFFFF"/>
      <w:spacing w:before="100" w:beforeAutospacing="1" w:after="100" w:afterAutospacing="1"/>
      <w:jc w:val="center"/>
      <w:textAlignment w:val="center"/>
    </w:pPr>
    <w:rPr>
      <w:rFonts w:ascii="宋体" w:hAnsi="宋体" w:cs="宋体"/>
      <w:sz w:val="36"/>
      <w:szCs w:val="36"/>
    </w:rPr>
  </w:style>
  <w:style w:type="paragraph" w:customStyle="1" w:styleId="222">
    <w:name w:val="ca-15"/>
    <w:basedOn w:val="1"/>
    <w:qFormat/>
    <w:uiPriority w:val="0"/>
    <w:rPr>
      <w:rFonts w:ascii="宋体" w:hAnsi="宋体" w:cs="宋体"/>
      <w:caps/>
      <w:color w:val="000000"/>
      <w:sz w:val="24"/>
      <w:szCs w:val="24"/>
    </w:rPr>
  </w:style>
  <w:style w:type="paragraph" w:customStyle="1" w:styleId="223">
    <w:name w:val="正文缩进1"/>
    <w:basedOn w:val="1"/>
    <w:qFormat/>
    <w:uiPriority w:val="0"/>
    <w:pPr>
      <w:widowControl w:val="0"/>
      <w:ind w:firstLine="420" w:firstLineChars="200"/>
      <w:jc w:val="both"/>
    </w:pPr>
    <w:rPr>
      <w:rFonts w:ascii="Calibri" w:hAnsi="Calibri"/>
      <w:kern w:val="2"/>
      <w:sz w:val="24"/>
      <w:szCs w:val="24"/>
    </w:rPr>
  </w:style>
  <w:style w:type="paragraph" w:customStyle="1" w:styleId="224">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rPr>
  </w:style>
  <w:style w:type="paragraph" w:customStyle="1" w:styleId="225">
    <w:name w:val="pa-13"/>
    <w:basedOn w:val="1"/>
    <w:qFormat/>
    <w:uiPriority w:val="0"/>
    <w:pPr>
      <w:spacing w:line="360" w:lineRule="atLeast"/>
      <w:jc w:val="both"/>
    </w:pPr>
    <w:rPr>
      <w:rFonts w:ascii="宋体" w:hAnsi="宋体" w:cs="宋体"/>
      <w:sz w:val="24"/>
      <w:szCs w:val="24"/>
    </w:rPr>
  </w:style>
  <w:style w:type="paragraph" w:customStyle="1" w:styleId="226">
    <w:name w:val="pa-101"/>
    <w:basedOn w:val="1"/>
    <w:qFormat/>
    <w:uiPriority w:val="0"/>
    <w:pPr>
      <w:spacing w:line="360" w:lineRule="atLeast"/>
      <w:jc w:val="center"/>
    </w:pPr>
    <w:rPr>
      <w:rFonts w:ascii="宋体" w:hAnsi="宋体" w:cs="宋体"/>
      <w:sz w:val="24"/>
      <w:szCs w:val="24"/>
    </w:rPr>
  </w:style>
  <w:style w:type="paragraph" w:customStyle="1" w:styleId="227">
    <w:name w:val="ca-53"/>
    <w:basedOn w:val="1"/>
    <w:qFormat/>
    <w:uiPriority w:val="0"/>
    <w:rPr>
      <w:rFonts w:ascii="Calibri" w:hAnsi="Calibri"/>
      <w:b/>
      <w:bCs/>
      <w:spacing w:val="-20"/>
      <w:sz w:val="36"/>
      <w:szCs w:val="36"/>
    </w:rPr>
  </w:style>
  <w:style w:type="paragraph" w:customStyle="1" w:styleId="228">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9">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sz w:val="20"/>
    </w:rPr>
  </w:style>
  <w:style w:type="paragraph" w:customStyle="1" w:styleId="230">
    <w:name w:val="标题6"/>
    <w:basedOn w:val="1"/>
    <w:next w:val="3"/>
    <w:qFormat/>
    <w:uiPriority w:val="0"/>
    <w:pPr>
      <w:snapToGrid w:val="0"/>
      <w:spacing w:beforeLines="50" w:afterLines="50" w:line="520" w:lineRule="atLeast"/>
      <w:ind w:firstLine="200" w:firstLineChars="200"/>
      <w:jc w:val="both"/>
    </w:pPr>
    <w:rPr>
      <w:rFonts w:ascii="Calibri" w:hAnsi="Calibri" w:cs="Arial"/>
      <w:b/>
      <w:kern w:val="2"/>
      <w:sz w:val="24"/>
      <w:szCs w:val="24"/>
    </w:rPr>
  </w:style>
  <w:style w:type="paragraph" w:customStyle="1" w:styleId="231">
    <w:name w:val="pa-129"/>
    <w:basedOn w:val="1"/>
    <w:qFormat/>
    <w:uiPriority w:val="0"/>
    <w:pPr>
      <w:spacing w:line="300" w:lineRule="atLeast"/>
      <w:jc w:val="both"/>
    </w:pPr>
    <w:rPr>
      <w:rFonts w:ascii="宋体" w:hAnsi="宋体" w:cs="宋体"/>
      <w:sz w:val="24"/>
      <w:szCs w:val="24"/>
    </w:rPr>
  </w:style>
  <w:style w:type="paragraph" w:customStyle="1" w:styleId="232">
    <w:name w:val="pa-30"/>
    <w:basedOn w:val="1"/>
    <w:qFormat/>
    <w:uiPriority w:val="0"/>
    <w:pPr>
      <w:spacing w:line="360" w:lineRule="atLeast"/>
      <w:ind w:firstLine="4100"/>
      <w:jc w:val="both"/>
    </w:pPr>
    <w:rPr>
      <w:rFonts w:ascii="宋体" w:hAnsi="宋体" w:cs="宋体"/>
      <w:sz w:val="24"/>
      <w:szCs w:val="24"/>
    </w:rPr>
  </w:style>
  <w:style w:type="paragraph" w:customStyle="1" w:styleId="233">
    <w:name w:val="样式 标题 3 + (符号) 宋体 四号 加粗 黑色 段前: 0 磅 段后: 0 磅 行距: 固定值 22 磅"/>
    <w:basedOn w:val="5"/>
    <w:qFormat/>
    <w:uiPriority w:val="0"/>
    <w:pPr>
      <w:widowControl w:val="0"/>
      <w:spacing w:beforeLines="50" w:afterLines="50" w:line="460" w:lineRule="exact"/>
    </w:pPr>
    <w:rPr>
      <w:rFonts w:ascii="宋体" w:hAnsi="宋体"/>
      <w:color w:val="000000"/>
      <w:kern w:val="24"/>
      <w:sz w:val="28"/>
      <w:szCs w:val="20"/>
    </w:rPr>
  </w:style>
  <w:style w:type="paragraph" w:customStyle="1" w:styleId="234">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35">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6"/>
      <w:szCs w:val="16"/>
    </w:rPr>
  </w:style>
  <w:style w:type="paragraph" w:customStyle="1" w:styleId="236">
    <w:name w:val="pa-33"/>
    <w:basedOn w:val="1"/>
    <w:qFormat/>
    <w:uiPriority w:val="0"/>
    <w:pPr>
      <w:spacing w:line="360" w:lineRule="atLeast"/>
      <w:ind w:firstLine="440"/>
      <w:jc w:val="both"/>
    </w:pPr>
    <w:rPr>
      <w:rFonts w:ascii="宋体" w:hAnsi="宋体" w:cs="宋体"/>
      <w:sz w:val="24"/>
      <w:szCs w:val="24"/>
    </w:rPr>
  </w:style>
  <w:style w:type="paragraph" w:customStyle="1" w:styleId="237">
    <w:name w:val="pa-134"/>
    <w:basedOn w:val="1"/>
    <w:qFormat/>
    <w:uiPriority w:val="0"/>
    <w:pPr>
      <w:spacing w:line="360" w:lineRule="atLeast"/>
      <w:jc w:val="both"/>
    </w:pPr>
    <w:rPr>
      <w:rFonts w:ascii="宋体" w:hAnsi="宋体" w:cs="宋体"/>
      <w:sz w:val="24"/>
      <w:szCs w:val="24"/>
    </w:rPr>
  </w:style>
  <w:style w:type="paragraph" w:customStyle="1" w:styleId="238">
    <w:name w:val="td-3"/>
    <w:basedOn w:val="1"/>
    <w:qFormat/>
    <w:uiPriority w:val="0"/>
    <w:pPr>
      <w:pBdr>
        <w:top w:val="single" w:color="000000" w:sz="6" w:space="0"/>
        <w:left w:val="single" w:color="000000" w:sz="6" w:space="4"/>
        <w:right w:val="single" w:color="000000" w:sz="6" w:space="0"/>
      </w:pBdr>
    </w:pPr>
    <w:rPr>
      <w:rFonts w:ascii="宋体" w:hAnsi="宋体" w:cs="宋体"/>
      <w:sz w:val="24"/>
      <w:szCs w:val="24"/>
    </w:rPr>
  </w:style>
  <w:style w:type="paragraph" w:customStyle="1" w:styleId="239">
    <w:name w:val="xl64"/>
    <w:basedOn w:val="1"/>
    <w:qFormat/>
    <w:uiPriority w:val="0"/>
    <w:pPr>
      <w:shd w:val="clear" w:color="000000" w:fill="00FFFF"/>
      <w:spacing w:before="100" w:beforeAutospacing="1" w:after="100" w:afterAutospacing="1"/>
    </w:pPr>
    <w:rPr>
      <w:rFonts w:ascii="宋体" w:hAnsi="宋体" w:cs="宋体"/>
      <w:sz w:val="24"/>
      <w:szCs w:val="24"/>
    </w:rPr>
  </w:style>
  <w:style w:type="paragraph" w:customStyle="1" w:styleId="240">
    <w:name w:val="xl67"/>
    <w:basedOn w:val="1"/>
    <w:qFormat/>
    <w:uiPriority w:val="0"/>
    <w:pPr>
      <w:spacing w:before="100" w:beforeAutospacing="1" w:after="100" w:afterAutospacing="1"/>
      <w:jc w:val="center"/>
    </w:pPr>
    <w:rPr>
      <w:rFonts w:ascii="宋体" w:hAnsi="宋体" w:cs="宋体"/>
      <w:sz w:val="20"/>
    </w:rPr>
  </w:style>
  <w:style w:type="paragraph" w:customStyle="1" w:styleId="241">
    <w:name w:val="表格"/>
    <w:basedOn w:val="1"/>
    <w:qFormat/>
    <w:uiPriority w:val="0"/>
    <w:pPr>
      <w:widowControl w:val="0"/>
      <w:jc w:val="center"/>
      <w:textAlignment w:val="center"/>
    </w:pPr>
    <w:rPr>
      <w:rFonts w:ascii="华文细黑" w:hAnsi="华文细黑"/>
    </w:rPr>
  </w:style>
  <w:style w:type="paragraph" w:customStyle="1" w:styleId="242">
    <w:name w:val="ca-13"/>
    <w:basedOn w:val="1"/>
    <w:qFormat/>
    <w:uiPriority w:val="0"/>
    <w:rPr>
      <w:rFonts w:ascii="宋体" w:hAnsi="宋体" w:cs="宋体"/>
      <w:color w:val="000000"/>
      <w:sz w:val="32"/>
      <w:szCs w:val="32"/>
    </w:rPr>
  </w:style>
  <w:style w:type="paragraph" w:customStyle="1" w:styleId="243">
    <w:name w:val="投标书正文无序编号"/>
    <w:basedOn w:val="162"/>
    <w:link w:val="244"/>
    <w:qFormat/>
    <w:uiPriority w:val="0"/>
    <w:pPr>
      <w:tabs>
        <w:tab w:val="left" w:pos="780"/>
        <w:tab w:val="left" w:pos="902"/>
      </w:tabs>
      <w:adjustRightInd w:val="0"/>
      <w:ind w:firstLine="0" w:firstLineChars="0"/>
    </w:pPr>
    <w:rPr>
      <w:rFonts w:eastAsia="宋体"/>
    </w:rPr>
  </w:style>
  <w:style w:type="character" w:customStyle="1" w:styleId="244">
    <w:name w:val="投标书正文无序编号 Char Char"/>
    <w:link w:val="243"/>
    <w:qFormat/>
    <w:uiPriority w:val="0"/>
    <w:rPr>
      <w:kern w:val="2"/>
      <w:sz w:val="24"/>
      <w:szCs w:val="24"/>
    </w:rPr>
  </w:style>
  <w:style w:type="paragraph" w:customStyle="1" w:styleId="245">
    <w:name w:val="样式 正文（首行缩进两字） + 宋体 首行缩进:  2 字符"/>
    <w:basedOn w:val="15"/>
    <w:qFormat/>
    <w:uiPriority w:val="0"/>
    <w:pPr>
      <w:widowControl w:val="0"/>
      <w:spacing w:line="460" w:lineRule="exact"/>
      <w:ind w:firstLine="503" w:firstLineChars="200"/>
      <w:jc w:val="both"/>
    </w:pPr>
    <w:rPr>
      <w:rFonts w:ascii="宋体" w:hAnsi="宋体" w:cs="宋体"/>
      <w:spacing w:val="6"/>
      <w:kern w:val="24"/>
      <w:sz w:val="24"/>
    </w:rPr>
  </w:style>
  <w:style w:type="paragraph" w:customStyle="1" w:styleId="246">
    <w:name w:val="pa-112"/>
    <w:basedOn w:val="1"/>
    <w:qFormat/>
    <w:uiPriority w:val="0"/>
    <w:pPr>
      <w:spacing w:line="280" w:lineRule="atLeast"/>
      <w:jc w:val="both"/>
    </w:pPr>
    <w:rPr>
      <w:rFonts w:ascii="宋体" w:hAnsi="宋体" w:cs="宋体"/>
      <w:sz w:val="24"/>
      <w:szCs w:val="24"/>
    </w:rPr>
  </w:style>
  <w:style w:type="paragraph" w:customStyle="1" w:styleId="247">
    <w:name w:val="ca-28"/>
    <w:basedOn w:val="1"/>
    <w:qFormat/>
    <w:uiPriority w:val="0"/>
    <w:rPr>
      <w:rFonts w:ascii="宋体" w:hAnsi="宋体" w:cs="宋体"/>
      <w:color w:val="FF0000"/>
      <w:szCs w:val="21"/>
    </w:rPr>
  </w:style>
  <w:style w:type="paragraph" w:customStyle="1" w:styleId="248">
    <w:name w:val="小节"/>
    <w:basedOn w:val="5"/>
    <w:qFormat/>
    <w:uiPriority w:val="0"/>
    <w:pPr>
      <w:widowControl w:val="0"/>
      <w:spacing w:before="200" w:after="200" w:line="560" w:lineRule="exact"/>
    </w:pPr>
    <w:rPr>
      <w:rFonts w:ascii="宋体" w:hAnsi="宋体"/>
      <w:bCs w:val="0"/>
      <w:color w:val="000000"/>
      <w:spacing w:val="10"/>
      <w:kern w:val="24"/>
      <w:sz w:val="28"/>
    </w:rPr>
  </w:style>
  <w:style w:type="paragraph" w:customStyle="1" w:styleId="249">
    <w:name w:val="ca-44"/>
    <w:basedOn w:val="1"/>
    <w:qFormat/>
    <w:uiPriority w:val="0"/>
    <w:rPr>
      <w:rFonts w:ascii="宋体" w:hAnsi="宋体" w:cs="宋体"/>
      <w:color w:val="000000"/>
      <w:sz w:val="52"/>
      <w:szCs w:val="52"/>
    </w:rPr>
  </w:style>
  <w:style w:type="paragraph" w:customStyle="1" w:styleId="250">
    <w:name w:val="td-6"/>
    <w:basedOn w:val="1"/>
    <w:qFormat/>
    <w:uiPriority w:val="0"/>
    <w:pPr>
      <w:pBdr>
        <w:top w:val="single" w:color="000000" w:sz="12" w:space="0"/>
        <w:left w:val="single" w:color="000000" w:sz="4" w:space="4"/>
        <w:bottom w:val="single" w:color="000000" w:sz="4" w:space="0"/>
        <w:right w:val="single" w:color="000000" w:sz="12" w:space="0"/>
      </w:pBdr>
    </w:pPr>
    <w:rPr>
      <w:rFonts w:ascii="宋体" w:hAnsi="宋体" w:cs="宋体"/>
      <w:sz w:val="24"/>
      <w:szCs w:val="24"/>
    </w:rPr>
  </w:style>
  <w:style w:type="paragraph" w:customStyle="1" w:styleId="251">
    <w:name w:val="xl97"/>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6"/>
      <w:szCs w:val="16"/>
    </w:rPr>
  </w:style>
  <w:style w:type="paragraph" w:customStyle="1" w:styleId="252">
    <w:name w:val="ca-2"/>
    <w:basedOn w:val="1"/>
    <w:qFormat/>
    <w:uiPriority w:val="0"/>
    <w:rPr>
      <w:rFonts w:ascii="Calibri" w:hAnsi="Calibri"/>
      <w:color w:val="000000"/>
      <w:sz w:val="36"/>
      <w:szCs w:val="36"/>
    </w:rPr>
  </w:style>
  <w:style w:type="paragraph" w:customStyle="1" w:styleId="253">
    <w:name w:val="pa-82"/>
    <w:basedOn w:val="1"/>
    <w:qFormat/>
    <w:uiPriority w:val="0"/>
    <w:pPr>
      <w:spacing w:line="480" w:lineRule="atLeast"/>
      <w:jc w:val="center"/>
    </w:pPr>
    <w:rPr>
      <w:rFonts w:ascii="宋体" w:hAnsi="宋体" w:cs="宋体"/>
      <w:sz w:val="24"/>
      <w:szCs w:val="24"/>
    </w:rPr>
  </w:style>
  <w:style w:type="paragraph" w:customStyle="1" w:styleId="254">
    <w:name w:val="Char Char Char Char Char Char Char1"/>
    <w:basedOn w:val="1"/>
    <w:qFormat/>
    <w:uiPriority w:val="0"/>
    <w:pPr>
      <w:widowControl w:val="0"/>
      <w:jc w:val="both"/>
    </w:pPr>
    <w:rPr>
      <w:rFonts w:ascii="Calibri" w:hAnsi="Calibri"/>
      <w:kern w:val="2"/>
      <w:szCs w:val="24"/>
    </w:rPr>
  </w:style>
  <w:style w:type="paragraph" w:customStyle="1" w:styleId="255">
    <w:name w:val="pa-45"/>
    <w:basedOn w:val="1"/>
    <w:qFormat/>
    <w:uiPriority w:val="0"/>
    <w:pPr>
      <w:spacing w:line="280" w:lineRule="atLeast"/>
      <w:ind w:firstLine="420"/>
      <w:jc w:val="both"/>
    </w:pPr>
    <w:rPr>
      <w:rFonts w:ascii="宋体" w:hAnsi="宋体" w:cs="宋体"/>
      <w:sz w:val="24"/>
      <w:szCs w:val="24"/>
    </w:rPr>
  </w:style>
  <w:style w:type="paragraph" w:customStyle="1" w:styleId="256">
    <w:name w:val="pa-99"/>
    <w:basedOn w:val="1"/>
    <w:qFormat/>
    <w:uiPriority w:val="0"/>
    <w:pPr>
      <w:spacing w:line="300" w:lineRule="atLeast"/>
      <w:ind w:firstLine="520"/>
      <w:jc w:val="both"/>
    </w:pPr>
    <w:rPr>
      <w:rFonts w:ascii="宋体" w:hAnsi="宋体" w:cs="宋体"/>
      <w:sz w:val="24"/>
      <w:szCs w:val="24"/>
    </w:rPr>
  </w:style>
  <w:style w:type="paragraph" w:customStyle="1" w:styleId="257">
    <w:name w:val="ca-40"/>
    <w:basedOn w:val="1"/>
    <w:qFormat/>
    <w:uiPriority w:val="0"/>
    <w:rPr>
      <w:rFonts w:ascii="Calibri" w:hAnsi="Calibri"/>
      <w:sz w:val="20"/>
    </w:rPr>
  </w:style>
  <w:style w:type="paragraph" w:customStyle="1" w:styleId="258">
    <w:name w:val="样式4"/>
    <w:basedOn w:val="5"/>
    <w:qFormat/>
    <w:uiPriority w:val="0"/>
    <w:pPr>
      <w:widowControl w:val="0"/>
      <w:spacing w:line="415" w:lineRule="auto"/>
      <w:ind w:left="720" w:hanging="720"/>
      <w:jc w:val="both"/>
    </w:pPr>
    <w:rPr>
      <w:rFonts w:ascii="Calibri" w:hAnsi="Calibri" w:eastAsia="Times New Roman"/>
      <w:kern w:val="2"/>
    </w:rPr>
  </w:style>
  <w:style w:type="paragraph" w:customStyle="1" w:styleId="259">
    <w:name w:val="pa-107"/>
    <w:basedOn w:val="1"/>
    <w:qFormat/>
    <w:uiPriority w:val="0"/>
    <w:pPr>
      <w:spacing w:line="720" w:lineRule="atLeast"/>
      <w:ind w:firstLine="3000"/>
      <w:jc w:val="both"/>
    </w:pPr>
    <w:rPr>
      <w:rFonts w:ascii="宋体" w:hAnsi="宋体" w:cs="宋体"/>
      <w:sz w:val="24"/>
      <w:szCs w:val="24"/>
    </w:rPr>
  </w:style>
  <w:style w:type="paragraph" w:customStyle="1" w:styleId="260">
    <w:name w:val="ca-46"/>
    <w:basedOn w:val="1"/>
    <w:qFormat/>
    <w:uiPriority w:val="0"/>
    <w:rPr>
      <w:rFonts w:ascii="宋体" w:hAnsi="宋体" w:cs="宋体"/>
      <w:color w:val="000000"/>
      <w:spacing w:val="-20"/>
      <w:sz w:val="28"/>
      <w:szCs w:val="28"/>
    </w:rPr>
  </w:style>
  <w:style w:type="paragraph" w:customStyle="1" w:styleId="261">
    <w:name w:val="xl55"/>
    <w:basedOn w:val="1"/>
    <w:qFormat/>
    <w:uiPriority w:val="0"/>
    <w:pPr>
      <w:spacing w:before="100" w:beforeAutospacing="1" w:after="100" w:afterAutospacing="1"/>
      <w:jc w:val="center"/>
      <w:textAlignment w:val="center"/>
    </w:pPr>
    <w:rPr>
      <w:rFonts w:ascii="Arial Unicode MS" w:hAnsi="Arial Unicode MS"/>
      <w:sz w:val="24"/>
      <w:szCs w:val="24"/>
    </w:rPr>
  </w:style>
  <w:style w:type="paragraph" w:customStyle="1" w:styleId="262">
    <w:name w:val="pa-68"/>
    <w:basedOn w:val="1"/>
    <w:qFormat/>
    <w:uiPriority w:val="0"/>
    <w:pPr>
      <w:spacing w:line="240" w:lineRule="atLeast"/>
      <w:ind w:firstLine="520"/>
      <w:jc w:val="both"/>
    </w:pPr>
    <w:rPr>
      <w:rFonts w:ascii="宋体" w:hAnsi="宋体" w:cs="宋体"/>
      <w:sz w:val="24"/>
      <w:szCs w:val="24"/>
    </w:rPr>
  </w:style>
  <w:style w:type="paragraph" w:customStyle="1" w:styleId="263">
    <w:name w:val="样式 样式 标题 4 + 非加粗 + (中文) 黑体 段前: 0 磅 段后: 0 磅 行距: 固定值 22 磅"/>
    <w:basedOn w:val="1"/>
    <w:qFormat/>
    <w:uiPriority w:val="0"/>
    <w:pPr>
      <w:keepNext/>
      <w:keepLines/>
      <w:widowControl w:val="0"/>
      <w:spacing w:beforeLines="50" w:afterLines="50" w:line="500" w:lineRule="exact"/>
      <w:jc w:val="both"/>
      <w:outlineLvl w:val="3"/>
    </w:pPr>
    <w:rPr>
      <w:rFonts w:ascii="Arial" w:hAnsi="Arial" w:cs="宋体"/>
      <w:b/>
      <w:bCs/>
      <w:kern w:val="2"/>
      <w:sz w:val="24"/>
      <w:szCs w:val="24"/>
    </w:rPr>
  </w:style>
  <w:style w:type="paragraph" w:customStyle="1" w:styleId="264">
    <w:name w:val="样式2"/>
    <w:basedOn w:val="5"/>
    <w:qFormat/>
    <w:uiPriority w:val="0"/>
    <w:pPr>
      <w:widowControl w:val="0"/>
      <w:spacing w:line="415" w:lineRule="auto"/>
      <w:ind w:left="720" w:hanging="720"/>
      <w:jc w:val="both"/>
    </w:pPr>
    <w:rPr>
      <w:rFonts w:ascii="Calibri" w:hAnsi="Calibri"/>
      <w:kern w:val="2"/>
    </w:rPr>
  </w:style>
  <w:style w:type="paragraph" w:customStyle="1" w:styleId="265">
    <w:name w:val="pa-50"/>
    <w:basedOn w:val="1"/>
    <w:qFormat/>
    <w:uiPriority w:val="0"/>
    <w:pPr>
      <w:spacing w:line="280" w:lineRule="atLeast"/>
      <w:ind w:hanging="200"/>
      <w:jc w:val="center"/>
    </w:pPr>
    <w:rPr>
      <w:rFonts w:ascii="宋体" w:hAnsi="宋体" w:cs="宋体"/>
      <w:sz w:val="24"/>
      <w:szCs w:val="24"/>
    </w:rPr>
  </w:style>
  <w:style w:type="paragraph" w:customStyle="1" w:styleId="266">
    <w:name w:val="标书标题4"/>
    <w:basedOn w:val="6"/>
    <w:qFormat/>
    <w:uiPriority w:val="0"/>
    <w:pPr>
      <w:keepLines w:val="0"/>
      <w:tabs>
        <w:tab w:val="clear" w:pos="864"/>
      </w:tabs>
      <w:adjustRightInd w:val="0"/>
      <w:snapToGrid w:val="0"/>
      <w:spacing w:before="0" w:after="0" w:line="300" w:lineRule="auto"/>
    </w:pPr>
    <w:rPr>
      <w:rFonts w:ascii="Arial Narrow" w:hAnsi="Arial Narrow" w:eastAsia="仿宋_GB2312"/>
      <w:bCs w:val="0"/>
      <w:color w:val="000000"/>
      <w:kern w:val="0"/>
      <w:sz w:val="24"/>
      <w:szCs w:val="32"/>
      <w:lang w:val="en-US"/>
    </w:rPr>
  </w:style>
  <w:style w:type="paragraph" w:customStyle="1" w:styleId="267">
    <w:name w:val="xl7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rPr>
  </w:style>
  <w:style w:type="paragraph" w:customStyle="1" w:styleId="268">
    <w:name w:val="t1"/>
    <w:basedOn w:val="1"/>
    <w:qFormat/>
    <w:uiPriority w:val="0"/>
    <w:pPr>
      <w:spacing w:line="280" w:lineRule="atLeast"/>
    </w:pPr>
    <w:rPr>
      <w:rFonts w:ascii="Calibri" w:hAnsi="Calibri"/>
      <w:sz w:val="24"/>
      <w:lang w:val="de-DE" w:eastAsia="de-DE"/>
    </w:rPr>
  </w:style>
  <w:style w:type="paragraph" w:customStyle="1" w:styleId="269">
    <w:name w:val="样式 标题 3 + 段后: 0 磅"/>
    <w:basedOn w:val="5"/>
    <w:qFormat/>
    <w:uiPriority w:val="0"/>
    <w:pPr>
      <w:widowControl w:val="0"/>
      <w:spacing w:after="0" w:line="360" w:lineRule="auto"/>
    </w:pPr>
    <w:rPr>
      <w:rFonts w:ascii="宋体" w:hAnsi="Arial" w:cs="宋体"/>
      <w:bCs w:val="0"/>
      <w:spacing w:val="14"/>
      <w:kern w:val="24"/>
      <w:sz w:val="28"/>
      <w:szCs w:val="20"/>
    </w:rPr>
  </w:style>
  <w:style w:type="paragraph" w:customStyle="1" w:styleId="270">
    <w:name w:val="Char Char Char Char Char Char Char Char Char Char Char Char Char Char Char Char Char Char Char Char Char Char Char Char Char Char Char Char Char Char Char Char Char1"/>
    <w:basedOn w:val="1"/>
    <w:qFormat/>
    <w:uiPriority w:val="0"/>
    <w:pPr>
      <w:spacing w:after="160" w:line="240" w:lineRule="exact"/>
    </w:pPr>
    <w:rPr>
      <w:rFonts w:ascii="Verdana" w:hAnsi="Verdana" w:eastAsia="仿宋_GB2312"/>
      <w:sz w:val="24"/>
      <w:lang w:eastAsia="en-US"/>
    </w:rPr>
  </w:style>
  <w:style w:type="paragraph" w:customStyle="1" w:styleId="271">
    <w:name w:val="ca-16"/>
    <w:basedOn w:val="1"/>
    <w:qFormat/>
    <w:uiPriority w:val="0"/>
    <w:rPr>
      <w:rFonts w:ascii="宋体" w:hAnsi="宋体" w:cs="宋体"/>
      <w:sz w:val="24"/>
      <w:szCs w:val="24"/>
    </w:rPr>
  </w:style>
  <w:style w:type="paragraph" w:customStyle="1" w:styleId="272">
    <w:name w:val="Char Char4"/>
    <w:basedOn w:val="1"/>
    <w:qFormat/>
    <w:uiPriority w:val="0"/>
    <w:pPr>
      <w:widowControl w:val="0"/>
      <w:jc w:val="both"/>
    </w:pPr>
    <w:rPr>
      <w:rFonts w:ascii="Tahoma" w:hAnsi="Tahoma"/>
      <w:kern w:val="2"/>
      <w:sz w:val="24"/>
    </w:rPr>
  </w:style>
  <w:style w:type="paragraph" w:customStyle="1" w:styleId="273">
    <w:name w:val="pa-139"/>
    <w:basedOn w:val="1"/>
    <w:qFormat/>
    <w:uiPriority w:val="0"/>
    <w:pPr>
      <w:spacing w:line="320" w:lineRule="atLeast"/>
      <w:ind w:firstLine="280"/>
      <w:jc w:val="both"/>
    </w:pPr>
    <w:rPr>
      <w:rFonts w:ascii="宋体" w:hAnsi="宋体" w:cs="宋体"/>
      <w:sz w:val="24"/>
      <w:szCs w:val="24"/>
    </w:rPr>
  </w:style>
  <w:style w:type="paragraph" w:customStyle="1" w:styleId="274">
    <w:name w:val="xl66"/>
    <w:basedOn w:val="1"/>
    <w:qFormat/>
    <w:uiPriority w:val="0"/>
    <w:pPr>
      <w:spacing w:before="100" w:beforeAutospacing="1" w:after="100" w:afterAutospacing="1"/>
      <w:jc w:val="center"/>
      <w:textAlignment w:val="top"/>
    </w:pPr>
    <w:rPr>
      <w:rFonts w:ascii="宋体" w:hAnsi="宋体" w:cs="宋体"/>
      <w:sz w:val="20"/>
    </w:rPr>
  </w:style>
  <w:style w:type="paragraph" w:customStyle="1" w:styleId="275">
    <w:name w:val="节"/>
    <w:basedOn w:val="4"/>
    <w:qFormat/>
    <w:uiPriority w:val="0"/>
    <w:pPr>
      <w:widowControl w:val="0"/>
      <w:spacing w:before="160" w:after="160" w:line="720" w:lineRule="exact"/>
      <w:jc w:val="center"/>
    </w:pPr>
    <w:rPr>
      <w:rFonts w:ascii="Arial" w:hAnsi="Arial" w:eastAsia="黑体"/>
      <w:b w:val="0"/>
      <w:bCs w:val="0"/>
      <w:spacing w:val="14"/>
      <w:kern w:val="24"/>
      <w:szCs w:val="20"/>
    </w:rPr>
  </w:style>
  <w:style w:type="paragraph" w:customStyle="1" w:styleId="276">
    <w:name w:val="pa-119"/>
    <w:basedOn w:val="1"/>
    <w:qFormat/>
    <w:uiPriority w:val="0"/>
    <w:pPr>
      <w:spacing w:line="420" w:lineRule="atLeast"/>
      <w:jc w:val="center"/>
    </w:pPr>
    <w:rPr>
      <w:rFonts w:ascii="宋体" w:hAnsi="宋体" w:cs="宋体"/>
      <w:sz w:val="24"/>
      <w:szCs w:val="24"/>
    </w:rPr>
  </w:style>
  <w:style w:type="paragraph" w:customStyle="1" w:styleId="277">
    <w:name w:val="pa-124"/>
    <w:basedOn w:val="1"/>
    <w:qFormat/>
    <w:uiPriority w:val="0"/>
    <w:pPr>
      <w:spacing w:line="760" w:lineRule="atLeast"/>
      <w:jc w:val="both"/>
    </w:pPr>
    <w:rPr>
      <w:rFonts w:ascii="宋体" w:hAnsi="宋体" w:cs="宋体"/>
      <w:sz w:val="24"/>
      <w:szCs w:val="24"/>
    </w:rPr>
  </w:style>
  <w:style w:type="paragraph" w:customStyle="1" w:styleId="278">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6"/>
      <w:szCs w:val="16"/>
    </w:rPr>
  </w:style>
  <w:style w:type="paragraph" w:customStyle="1" w:styleId="279">
    <w:name w:val="pa-38"/>
    <w:basedOn w:val="1"/>
    <w:qFormat/>
    <w:uiPriority w:val="0"/>
    <w:pPr>
      <w:spacing w:line="360" w:lineRule="atLeast"/>
      <w:ind w:firstLine="520"/>
      <w:jc w:val="both"/>
    </w:pPr>
    <w:rPr>
      <w:rFonts w:ascii="宋体" w:hAnsi="宋体" w:cs="宋体"/>
      <w:sz w:val="24"/>
      <w:szCs w:val="24"/>
    </w:rPr>
  </w:style>
  <w:style w:type="paragraph" w:customStyle="1" w:styleId="280">
    <w:name w:val="ca-18"/>
    <w:basedOn w:val="1"/>
    <w:qFormat/>
    <w:uiPriority w:val="0"/>
    <w:rPr>
      <w:rFonts w:ascii="宋体" w:hAnsi="宋体" w:cs="宋体"/>
      <w:color w:val="000000"/>
      <w:sz w:val="18"/>
      <w:szCs w:val="18"/>
    </w:rPr>
  </w:style>
  <w:style w:type="paragraph" w:customStyle="1" w:styleId="281">
    <w:name w:val="xl25"/>
    <w:basedOn w:val="1"/>
    <w:qFormat/>
    <w:uiPriority w:val="0"/>
    <w:pPr>
      <w:spacing w:before="100" w:beforeAutospacing="1" w:after="100" w:afterAutospacing="1"/>
      <w:jc w:val="center"/>
      <w:textAlignment w:val="center"/>
    </w:pPr>
    <w:rPr>
      <w:rFonts w:ascii="宋体" w:hAnsi="宋体"/>
      <w:sz w:val="24"/>
      <w:szCs w:val="24"/>
    </w:rPr>
  </w:style>
  <w:style w:type="paragraph" w:customStyle="1" w:styleId="282">
    <w:name w:val="pa-17"/>
    <w:basedOn w:val="1"/>
    <w:qFormat/>
    <w:uiPriority w:val="0"/>
    <w:pPr>
      <w:spacing w:line="240" w:lineRule="atLeast"/>
      <w:jc w:val="center"/>
    </w:pPr>
    <w:rPr>
      <w:rFonts w:ascii="宋体" w:hAnsi="宋体" w:cs="宋体"/>
      <w:sz w:val="24"/>
      <w:szCs w:val="24"/>
    </w:rPr>
  </w:style>
  <w:style w:type="paragraph" w:customStyle="1" w:styleId="283">
    <w:name w:val="bt1bt1"/>
    <w:basedOn w:val="3"/>
    <w:qFormat/>
    <w:uiPriority w:val="0"/>
    <w:pPr>
      <w:tabs>
        <w:tab w:val="clear" w:pos="840"/>
      </w:tabs>
      <w:adjustRightInd/>
      <w:snapToGrid/>
      <w:spacing w:before="340" w:after="330" w:line="240" w:lineRule="auto"/>
      <w:jc w:val="center"/>
    </w:pPr>
    <w:rPr>
      <w:rFonts w:ascii="黑体" w:hAnsi="Calibri" w:eastAsia="黑体"/>
      <w:b w:val="0"/>
      <w:bCs/>
      <w:sz w:val="36"/>
      <w:szCs w:val="36"/>
    </w:rPr>
  </w:style>
  <w:style w:type="paragraph" w:customStyle="1" w:styleId="284">
    <w:name w:val="pa-59"/>
    <w:basedOn w:val="1"/>
    <w:qFormat/>
    <w:uiPriority w:val="0"/>
    <w:pPr>
      <w:spacing w:line="360" w:lineRule="atLeast"/>
      <w:ind w:firstLine="200"/>
      <w:jc w:val="both"/>
    </w:pPr>
    <w:rPr>
      <w:rFonts w:ascii="宋体" w:hAnsi="宋体" w:cs="宋体"/>
      <w:sz w:val="24"/>
      <w:szCs w:val="24"/>
    </w:rPr>
  </w:style>
  <w:style w:type="paragraph" w:customStyle="1" w:styleId="285">
    <w:name w:val="flNote"/>
    <w:basedOn w:val="1"/>
    <w:qFormat/>
    <w:uiPriority w:val="0"/>
    <w:pPr>
      <w:widowControl w:val="0"/>
      <w:adjustRightInd w:val="0"/>
      <w:spacing w:before="320" w:after="160" w:line="360" w:lineRule="atLeast"/>
      <w:jc w:val="center"/>
      <w:textAlignment w:val="baseline"/>
    </w:pPr>
    <w:rPr>
      <w:rFonts w:ascii="Arial" w:hAnsi="Calibri" w:eastAsia="黑体"/>
      <w:sz w:val="30"/>
    </w:rPr>
  </w:style>
  <w:style w:type="paragraph" w:customStyle="1" w:styleId="286">
    <w:name w:val="pa-48"/>
    <w:basedOn w:val="1"/>
    <w:qFormat/>
    <w:uiPriority w:val="0"/>
    <w:pPr>
      <w:spacing w:line="280" w:lineRule="atLeast"/>
      <w:ind w:firstLine="440"/>
      <w:jc w:val="both"/>
    </w:pPr>
    <w:rPr>
      <w:rFonts w:ascii="宋体" w:hAnsi="宋体" w:cs="宋体"/>
      <w:sz w:val="24"/>
      <w:szCs w:val="24"/>
    </w:rPr>
  </w:style>
  <w:style w:type="paragraph" w:customStyle="1" w:styleId="287">
    <w:name w:val="样式 仿宋_GB2312 四号 首行缩进:  0.74 厘米"/>
    <w:basedOn w:val="1"/>
    <w:qFormat/>
    <w:uiPriority w:val="0"/>
    <w:pPr>
      <w:widowControl w:val="0"/>
      <w:ind w:firstLine="420"/>
      <w:jc w:val="both"/>
    </w:pPr>
    <w:rPr>
      <w:rFonts w:ascii="仿宋_GB2312" w:hAnsi="Calibri" w:eastAsia="仿宋_GB2312" w:cs="宋体"/>
      <w:kern w:val="2"/>
      <w:sz w:val="28"/>
    </w:rPr>
  </w:style>
  <w:style w:type="paragraph" w:customStyle="1" w:styleId="288">
    <w:name w:val="Intense Quote1"/>
    <w:basedOn w:val="1"/>
    <w:next w:val="1"/>
    <w:link w:val="289"/>
    <w:qFormat/>
    <w:uiPriority w:val="0"/>
    <w:pPr>
      <w:widowControl w:val="0"/>
      <w:pBdr>
        <w:bottom w:val="single" w:color="4F81BD" w:sz="4" w:space="4"/>
      </w:pBdr>
      <w:spacing w:before="200" w:after="280"/>
      <w:ind w:left="936" w:right="936"/>
      <w:jc w:val="both"/>
    </w:pPr>
    <w:rPr>
      <w:b/>
      <w:i/>
      <w:color w:val="4F81BD"/>
      <w:kern w:val="2"/>
      <w:sz w:val="22"/>
    </w:rPr>
  </w:style>
  <w:style w:type="character" w:customStyle="1" w:styleId="289">
    <w:name w:val="明显引用 Char"/>
    <w:link w:val="288"/>
    <w:qFormat/>
    <w:locked/>
    <w:uiPriority w:val="0"/>
    <w:rPr>
      <w:b/>
      <w:i/>
      <w:color w:val="4F81BD"/>
      <w:kern w:val="2"/>
      <w:sz w:val="22"/>
    </w:rPr>
  </w:style>
  <w:style w:type="paragraph" w:customStyle="1" w:styleId="290">
    <w:name w:val="缺省文本"/>
    <w:basedOn w:val="1"/>
    <w:qFormat/>
    <w:uiPriority w:val="0"/>
    <w:pPr>
      <w:widowControl w:val="0"/>
      <w:autoSpaceDE w:val="0"/>
      <w:autoSpaceDN w:val="0"/>
      <w:adjustRightInd w:val="0"/>
    </w:pPr>
    <w:rPr>
      <w:rFonts w:ascii="Calibri" w:hAnsi="Calibri"/>
      <w:sz w:val="24"/>
      <w:szCs w:val="24"/>
    </w:rPr>
  </w:style>
  <w:style w:type="paragraph" w:customStyle="1" w:styleId="291">
    <w:name w:val="pa-24"/>
    <w:basedOn w:val="1"/>
    <w:qFormat/>
    <w:uiPriority w:val="0"/>
    <w:pPr>
      <w:spacing w:line="360" w:lineRule="atLeast"/>
      <w:ind w:firstLine="480"/>
      <w:jc w:val="both"/>
    </w:pPr>
    <w:rPr>
      <w:rFonts w:ascii="宋体" w:hAnsi="宋体" w:cs="宋体"/>
      <w:sz w:val="24"/>
      <w:szCs w:val="24"/>
    </w:rPr>
  </w:style>
  <w:style w:type="paragraph" w:customStyle="1" w:styleId="292">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293">
    <w:name w:val="Char Char Char Char Char Char Char Char Char Char Char Char Char Char Char Char Char Char Char Char Char Char Char Char Char Char Char Char Char Char Char Char Char2"/>
    <w:basedOn w:val="1"/>
    <w:qFormat/>
    <w:uiPriority w:val="0"/>
    <w:pPr>
      <w:spacing w:after="160" w:line="240" w:lineRule="exact"/>
    </w:pPr>
    <w:rPr>
      <w:rFonts w:ascii="Verdana" w:hAnsi="Verdana" w:eastAsia="仿宋_GB2312"/>
      <w:sz w:val="24"/>
      <w:lang w:eastAsia="en-US"/>
    </w:rPr>
  </w:style>
  <w:style w:type="paragraph" w:customStyle="1" w:styleId="294">
    <w:name w:val="pa-71"/>
    <w:basedOn w:val="1"/>
    <w:qFormat/>
    <w:uiPriority w:val="0"/>
    <w:pPr>
      <w:spacing w:line="240" w:lineRule="atLeast"/>
      <w:ind w:firstLine="320"/>
      <w:jc w:val="both"/>
    </w:pPr>
    <w:rPr>
      <w:rFonts w:ascii="宋体" w:hAnsi="宋体" w:cs="宋体"/>
      <w:sz w:val="24"/>
      <w:szCs w:val="24"/>
    </w:rPr>
  </w:style>
  <w:style w:type="paragraph" w:customStyle="1" w:styleId="295">
    <w:name w:val="ca-39"/>
    <w:basedOn w:val="1"/>
    <w:qFormat/>
    <w:uiPriority w:val="0"/>
    <w:rPr>
      <w:rFonts w:ascii="宋体" w:hAnsi="宋体" w:cs="宋体"/>
      <w:b/>
      <w:bCs/>
      <w:color w:val="000000"/>
      <w:spacing w:val="-20"/>
      <w:sz w:val="28"/>
      <w:szCs w:val="28"/>
    </w:rPr>
  </w:style>
  <w:style w:type="paragraph" w:customStyle="1" w:styleId="296">
    <w:name w:val="样式 标题 3 + 红色"/>
    <w:basedOn w:val="5"/>
    <w:qFormat/>
    <w:uiPriority w:val="0"/>
    <w:pPr>
      <w:widowControl w:val="0"/>
      <w:spacing w:before="120" w:after="120" w:line="700" w:lineRule="exact"/>
    </w:pPr>
    <w:rPr>
      <w:rFonts w:ascii="宋体" w:hAnsi="宋体"/>
      <w:color w:val="FF0000"/>
      <w:spacing w:val="10"/>
      <w:kern w:val="24"/>
      <w:sz w:val="28"/>
    </w:rPr>
  </w:style>
  <w:style w:type="paragraph" w:customStyle="1" w:styleId="297">
    <w:name w:val="xl112"/>
    <w:basedOn w:val="1"/>
    <w:qFormat/>
    <w:uiPriority w:val="0"/>
    <w:pPr>
      <w:shd w:val="clear" w:color="000000" w:fill="FFFFFF"/>
      <w:spacing w:before="100" w:beforeAutospacing="1" w:after="100" w:afterAutospacing="1"/>
      <w:jc w:val="center"/>
      <w:textAlignment w:val="center"/>
    </w:pPr>
    <w:rPr>
      <w:rFonts w:ascii="宋体" w:hAnsi="宋体" w:cs="宋体"/>
      <w:sz w:val="36"/>
      <w:szCs w:val="36"/>
    </w:rPr>
  </w:style>
  <w:style w:type="paragraph" w:customStyle="1" w:styleId="298">
    <w:name w:val="pa-116"/>
    <w:basedOn w:val="1"/>
    <w:qFormat/>
    <w:uiPriority w:val="0"/>
    <w:pPr>
      <w:spacing w:line="480" w:lineRule="atLeast"/>
      <w:ind w:firstLine="200"/>
      <w:jc w:val="both"/>
    </w:pPr>
    <w:rPr>
      <w:rFonts w:ascii="宋体" w:hAnsi="宋体" w:cs="宋体"/>
      <w:sz w:val="24"/>
      <w:szCs w:val="24"/>
    </w:rPr>
  </w:style>
  <w:style w:type="paragraph" w:customStyle="1" w:styleId="299">
    <w:name w:val="pa-102"/>
    <w:basedOn w:val="1"/>
    <w:qFormat/>
    <w:uiPriority w:val="0"/>
    <w:pPr>
      <w:spacing w:line="300" w:lineRule="atLeast"/>
      <w:jc w:val="center"/>
    </w:pPr>
    <w:rPr>
      <w:rFonts w:ascii="宋体" w:hAnsi="宋体" w:cs="宋体"/>
      <w:sz w:val="24"/>
      <w:szCs w:val="24"/>
    </w:rPr>
  </w:style>
  <w:style w:type="paragraph" w:customStyle="1" w:styleId="300">
    <w:name w:val="样式3"/>
    <w:basedOn w:val="5"/>
    <w:qFormat/>
    <w:uiPriority w:val="0"/>
    <w:pPr>
      <w:widowControl w:val="0"/>
      <w:spacing w:line="415" w:lineRule="auto"/>
      <w:jc w:val="both"/>
    </w:pPr>
    <w:rPr>
      <w:rFonts w:ascii="Calibri" w:hAnsi="Calibri" w:eastAsia="Times New Roman"/>
      <w:kern w:val="2"/>
    </w:rPr>
  </w:style>
  <w:style w:type="paragraph" w:customStyle="1" w:styleId="301">
    <w:name w:val="ca-51"/>
    <w:basedOn w:val="1"/>
    <w:qFormat/>
    <w:uiPriority w:val="0"/>
    <w:rPr>
      <w:rFonts w:ascii="Calibri" w:hAnsi="Calibri"/>
      <w:b/>
      <w:bCs/>
      <w:color w:val="000000"/>
      <w:spacing w:val="-20"/>
      <w:sz w:val="32"/>
      <w:szCs w:val="32"/>
    </w:rPr>
  </w:style>
  <w:style w:type="paragraph" w:customStyle="1" w:styleId="302">
    <w:name w:val="Char Char Char Char1"/>
    <w:basedOn w:val="1"/>
    <w:qFormat/>
    <w:uiPriority w:val="0"/>
    <w:pPr>
      <w:widowControl w:val="0"/>
      <w:jc w:val="both"/>
    </w:pPr>
    <w:rPr>
      <w:rFonts w:ascii="Calibri" w:hAnsi="Calibri"/>
      <w:kern w:val="2"/>
      <w:szCs w:val="24"/>
    </w:rPr>
  </w:style>
  <w:style w:type="paragraph" w:customStyle="1" w:styleId="303">
    <w:name w:val="ca-36"/>
    <w:basedOn w:val="1"/>
    <w:qFormat/>
    <w:uiPriority w:val="0"/>
    <w:rPr>
      <w:rFonts w:ascii="宋体" w:hAnsi="宋体" w:cs="宋体"/>
      <w:b/>
      <w:bCs/>
      <w:spacing w:val="-20"/>
      <w:szCs w:val="21"/>
    </w:rPr>
  </w:style>
  <w:style w:type="paragraph" w:customStyle="1" w:styleId="304">
    <w:name w:val="ca-8"/>
    <w:basedOn w:val="1"/>
    <w:qFormat/>
    <w:uiPriority w:val="0"/>
    <w:rPr>
      <w:rFonts w:ascii="宋体" w:hAnsi="宋体" w:cs="宋体"/>
      <w:color w:val="000000"/>
      <w:sz w:val="28"/>
      <w:szCs w:val="28"/>
    </w:rPr>
  </w:style>
  <w:style w:type="paragraph" w:customStyle="1" w:styleId="305">
    <w:name w:val="pa-32"/>
    <w:basedOn w:val="1"/>
    <w:qFormat/>
    <w:uiPriority w:val="0"/>
    <w:pPr>
      <w:spacing w:line="360" w:lineRule="atLeast"/>
      <w:ind w:firstLine="520"/>
      <w:jc w:val="both"/>
    </w:pPr>
    <w:rPr>
      <w:rFonts w:ascii="宋体" w:hAnsi="宋体" w:cs="宋体"/>
      <w:sz w:val="24"/>
      <w:szCs w:val="24"/>
    </w:rPr>
  </w:style>
  <w:style w:type="paragraph" w:customStyle="1" w:styleId="306">
    <w:name w:val="pa-27"/>
    <w:basedOn w:val="1"/>
    <w:qFormat/>
    <w:uiPriority w:val="0"/>
    <w:pPr>
      <w:spacing w:line="276" w:lineRule="atLeast"/>
      <w:ind w:firstLine="300"/>
      <w:jc w:val="both"/>
    </w:pPr>
    <w:rPr>
      <w:rFonts w:ascii="宋体" w:hAnsi="宋体" w:cs="宋体"/>
      <w:sz w:val="24"/>
      <w:szCs w:val="24"/>
    </w:rPr>
  </w:style>
  <w:style w:type="paragraph" w:customStyle="1" w:styleId="307">
    <w:name w:val="pa-6"/>
    <w:basedOn w:val="1"/>
    <w:qFormat/>
    <w:uiPriority w:val="0"/>
    <w:pPr>
      <w:spacing w:line="560" w:lineRule="atLeast"/>
      <w:jc w:val="both"/>
    </w:pPr>
    <w:rPr>
      <w:rFonts w:ascii="宋体" w:hAnsi="宋体" w:cs="宋体"/>
      <w:sz w:val="24"/>
      <w:szCs w:val="24"/>
    </w:rPr>
  </w:style>
  <w:style w:type="paragraph" w:customStyle="1" w:styleId="308">
    <w:name w:val="pa-44"/>
    <w:basedOn w:val="1"/>
    <w:qFormat/>
    <w:uiPriority w:val="0"/>
    <w:pPr>
      <w:spacing w:line="360" w:lineRule="atLeast"/>
      <w:ind w:firstLine="420"/>
    </w:pPr>
    <w:rPr>
      <w:rFonts w:ascii="宋体" w:hAnsi="宋体" w:cs="宋体"/>
      <w:sz w:val="24"/>
      <w:szCs w:val="24"/>
    </w:rPr>
  </w:style>
  <w:style w:type="paragraph" w:customStyle="1" w:styleId="309">
    <w:name w:val="Char Char1 Char"/>
    <w:basedOn w:val="1"/>
    <w:qFormat/>
    <w:uiPriority w:val="0"/>
    <w:pPr>
      <w:widowControl w:val="0"/>
      <w:jc w:val="both"/>
    </w:pPr>
    <w:rPr>
      <w:rFonts w:ascii="Calibri" w:hAnsi="Calibri"/>
      <w:kern w:val="2"/>
      <w:szCs w:val="24"/>
    </w:rPr>
  </w:style>
  <w:style w:type="paragraph" w:customStyle="1" w:styleId="310">
    <w:name w:val="pa-118"/>
    <w:basedOn w:val="1"/>
    <w:qFormat/>
    <w:uiPriority w:val="0"/>
    <w:pPr>
      <w:spacing w:line="480" w:lineRule="atLeast"/>
      <w:ind w:firstLine="1440"/>
      <w:jc w:val="both"/>
    </w:pPr>
    <w:rPr>
      <w:rFonts w:ascii="宋体" w:hAnsi="宋体" w:cs="宋体"/>
      <w:sz w:val="24"/>
      <w:szCs w:val="24"/>
    </w:rPr>
  </w:style>
  <w:style w:type="paragraph" w:customStyle="1" w:styleId="311">
    <w:name w:val="Char Char Char Char Char Char Char Char Char Char Char Char Char Char Char Char Char Char Char Char Char Char Char Char Char Char Char Char Char Char Char Char Char"/>
    <w:basedOn w:val="1"/>
    <w:qFormat/>
    <w:uiPriority w:val="0"/>
    <w:pPr>
      <w:spacing w:after="160" w:line="240" w:lineRule="exact"/>
    </w:pPr>
    <w:rPr>
      <w:rFonts w:ascii="Verdana" w:hAnsi="Verdana" w:eastAsia="仿宋_GB2312"/>
      <w:sz w:val="24"/>
      <w:lang w:eastAsia="en-US"/>
    </w:rPr>
  </w:style>
  <w:style w:type="paragraph" w:customStyle="1" w:styleId="312">
    <w:name w:val="pa-25"/>
    <w:basedOn w:val="1"/>
    <w:qFormat/>
    <w:uiPriority w:val="0"/>
    <w:pPr>
      <w:spacing w:line="360" w:lineRule="atLeast"/>
      <w:ind w:firstLine="480"/>
      <w:jc w:val="center"/>
    </w:pPr>
    <w:rPr>
      <w:rFonts w:ascii="宋体" w:hAnsi="宋体" w:cs="宋体"/>
      <w:sz w:val="24"/>
      <w:szCs w:val="24"/>
    </w:rPr>
  </w:style>
  <w:style w:type="paragraph" w:customStyle="1" w:styleId="313">
    <w:name w:val="样式 标题 1 + 宋体 居中 段前: 48 磅 段后: 12 磅 行距: 1.5 倍行距"/>
    <w:basedOn w:val="3"/>
    <w:qFormat/>
    <w:uiPriority w:val="0"/>
    <w:pPr>
      <w:tabs>
        <w:tab w:val="clear" w:pos="840"/>
      </w:tabs>
      <w:adjustRightInd/>
      <w:snapToGrid/>
      <w:spacing w:before="1560" w:after="240"/>
      <w:jc w:val="center"/>
    </w:pPr>
    <w:rPr>
      <w:rFonts w:hAnsi="宋体"/>
      <w:b w:val="0"/>
      <w:kern w:val="2"/>
      <w:sz w:val="36"/>
    </w:rPr>
  </w:style>
  <w:style w:type="paragraph" w:customStyle="1" w:styleId="314">
    <w:name w:val="pa-77"/>
    <w:basedOn w:val="1"/>
    <w:qFormat/>
    <w:uiPriority w:val="0"/>
    <w:pPr>
      <w:spacing w:line="360" w:lineRule="atLeast"/>
      <w:jc w:val="both"/>
    </w:pPr>
    <w:rPr>
      <w:rFonts w:ascii="宋体" w:hAnsi="宋体" w:cs="宋体"/>
      <w:sz w:val="24"/>
      <w:szCs w:val="24"/>
    </w:rPr>
  </w:style>
  <w:style w:type="paragraph" w:customStyle="1" w:styleId="315">
    <w:name w:val="xl7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16">
    <w:name w:val="pa-105"/>
    <w:basedOn w:val="1"/>
    <w:qFormat/>
    <w:uiPriority w:val="0"/>
    <w:pPr>
      <w:spacing w:line="960" w:lineRule="atLeast"/>
      <w:jc w:val="both"/>
    </w:pPr>
    <w:rPr>
      <w:rFonts w:ascii="宋体" w:hAnsi="宋体" w:cs="宋体"/>
      <w:sz w:val="24"/>
      <w:szCs w:val="24"/>
    </w:rPr>
  </w:style>
  <w:style w:type="paragraph" w:customStyle="1" w:styleId="317">
    <w:name w:val="pa-104"/>
    <w:basedOn w:val="1"/>
    <w:qFormat/>
    <w:uiPriority w:val="0"/>
    <w:pPr>
      <w:spacing w:line="280" w:lineRule="atLeast"/>
      <w:ind w:firstLine="500"/>
    </w:pPr>
    <w:rPr>
      <w:rFonts w:ascii="宋体" w:hAnsi="宋体" w:cs="宋体"/>
      <w:sz w:val="24"/>
      <w:szCs w:val="24"/>
    </w:rPr>
  </w:style>
  <w:style w:type="paragraph" w:customStyle="1" w:styleId="318">
    <w:name w:val="部分1"/>
    <w:basedOn w:val="1"/>
    <w:qFormat/>
    <w:uiPriority w:val="0"/>
    <w:pPr>
      <w:keepNext/>
      <w:pageBreakBefore/>
      <w:widowControl w:val="0"/>
      <w:tabs>
        <w:tab w:val="left" w:pos="720"/>
      </w:tabs>
      <w:spacing w:line="360" w:lineRule="auto"/>
      <w:jc w:val="center"/>
      <w:outlineLvl w:val="0"/>
    </w:pPr>
    <w:rPr>
      <w:rFonts w:ascii="Calibri" w:hAnsi="Calibri" w:eastAsia="黑体"/>
      <w:b/>
      <w:kern w:val="44"/>
      <w:sz w:val="36"/>
    </w:rPr>
  </w:style>
  <w:style w:type="paragraph" w:customStyle="1" w:styleId="319">
    <w:name w:val="pa-3"/>
    <w:basedOn w:val="1"/>
    <w:qFormat/>
    <w:uiPriority w:val="0"/>
    <w:pPr>
      <w:spacing w:line="520" w:lineRule="atLeast"/>
      <w:jc w:val="center"/>
    </w:pPr>
    <w:rPr>
      <w:rFonts w:ascii="宋体" w:hAnsi="宋体" w:cs="宋体"/>
      <w:sz w:val="24"/>
      <w:szCs w:val="24"/>
    </w:rPr>
  </w:style>
  <w:style w:type="paragraph" w:customStyle="1" w:styleId="320">
    <w:name w:val="pa-103"/>
    <w:basedOn w:val="1"/>
    <w:qFormat/>
    <w:uiPriority w:val="0"/>
    <w:pPr>
      <w:spacing w:line="480" w:lineRule="atLeast"/>
      <w:ind w:firstLine="500"/>
    </w:pPr>
    <w:rPr>
      <w:rFonts w:ascii="宋体" w:hAnsi="宋体" w:cs="宋体"/>
      <w:sz w:val="24"/>
      <w:szCs w:val="24"/>
    </w:rPr>
  </w:style>
  <w:style w:type="paragraph" w:customStyle="1" w:styleId="321">
    <w:name w:val="pa-9"/>
    <w:basedOn w:val="1"/>
    <w:qFormat/>
    <w:uiPriority w:val="0"/>
    <w:pPr>
      <w:spacing w:line="360" w:lineRule="atLeast"/>
      <w:ind w:firstLine="900"/>
      <w:jc w:val="both"/>
    </w:pPr>
    <w:rPr>
      <w:rFonts w:ascii="宋体" w:hAnsi="宋体" w:cs="宋体"/>
      <w:sz w:val="24"/>
      <w:szCs w:val="24"/>
    </w:rPr>
  </w:style>
  <w:style w:type="paragraph" w:customStyle="1" w:styleId="322">
    <w:name w:val="td-5"/>
    <w:basedOn w:val="1"/>
    <w:qFormat/>
    <w:uiPriority w:val="0"/>
    <w:pPr>
      <w:pBdr>
        <w:top w:val="single" w:color="000000" w:sz="12" w:space="0"/>
        <w:left w:val="single" w:color="000000" w:sz="4" w:space="4"/>
        <w:bottom w:val="single" w:color="000000" w:sz="4" w:space="0"/>
        <w:right w:val="single" w:color="000000" w:sz="4" w:space="0"/>
      </w:pBdr>
    </w:pPr>
    <w:rPr>
      <w:rFonts w:ascii="宋体" w:hAnsi="宋体" w:cs="宋体"/>
      <w:sz w:val="24"/>
      <w:szCs w:val="24"/>
    </w:rPr>
  </w:style>
  <w:style w:type="paragraph" w:customStyle="1" w:styleId="323">
    <w:name w:val="pa-109"/>
    <w:basedOn w:val="1"/>
    <w:qFormat/>
    <w:uiPriority w:val="0"/>
    <w:pPr>
      <w:spacing w:line="280" w:lineRule="atLeast"/>
      <w:jc w:val="both"/>
    </w:pPr>
    <w:rPr>
      <w:rFonts w:ascii="宋体" w:hAnsi="宋体" w:cs="宋体"/>
      <w:sz w:val="24"/>
      <w:szCs w:val="24"/>
    </w:rPr>
  </w:style>
  <w:style w:type="paragraph" w:customStyle="1" w:styleId="324">
    <w:name w:val="pa-95"/>
    <w:basedOn w:val="1"/>
    <w:qFormat/>
    <w:uiPriority w:val="0"/>
    <w:pPr>
      <w:spacing w:line="440" w:lineRule="atLeast"/>
      <w:jc w:val="center"/>
    </w:pPr>
    <w:rPr>
      <w:rFonts w:ascii="宋体" w:hAnsi="宋体" w:cs="宋体"/>
      <w:sz w:val="24"/>
      <w:szCs w:val="24"/>
    </w:rPr>
  </w:style>
  <w:style w:type="paragraph" w:customStyle="1" w:styleId="325">
    <w:name w:val="样式 标题 4 + 非加粗"/>
    <w:basedOn w:val="6"/>
    <w:qFormat/>
    <w:uiPriority w:val="0"/>
    <w:pPr>
      <w:tabs>
        <w:tab w:val="clear" w:pos="864"/>
      </w:tabs>
      <w:spacing w:before="120" w:after="120" w:line="377" w:lineRule="auto"/>
    </w:pPr>
    <w:rPr>
      <w:rFonts w:eastAsia="宋体"/>
      <w:bCs w:val="0"/>
      <w:spacing w:val="4"/>
      <w:sz w:val="24"/>
      <w:szCs w:val="24"/>
      <w:lang w:val="en-US"/>
    </w:rPr>
  </w:style>
  <w:style w:type="paragraph" w:customStyle="1" w:styleId="326">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sz w:val="20"/>
    </w:rPr>
  </w:style>
  <w:style w:type="paragraph" w:customStyle="1" w:styleId="327">
    <w:name w:val="List Paragraph1"/>
    <w:basedOn w:val="1"/>
    <w:qFormat/>
    <w:uiPriority w:val="99"/>
    <w:pPr>
      <w:ind w:left="720"/>
      <w:contextualSpacing/>
    </w:pPr>
    <w:rPr>
      <w:rFonts w:ascii="Arial" w:hAnsi="Arial" w:eastAsia="黑体"/>
      <w:sz w:val="24"/>
      <w:szCs w:val="24"/>
      <w:lang w:eastAsia="en-US"/>
    </w:rPr>
  </w:style>
  <w:style w:type="paragraph" w:customStyle="1" w:styleId="328">
    <w:name w:val="pa-21"/>
    <w:basedOn w:val="1"/>
    <w:qFormat/>
    <w:uiPriority w:val="0"/>
    <w:pPr>
      <w:spacing w:line="240" w:lineRule="atLeast"/>
      <w:ind w:firstLine="420"/>
      <w:jc w:val="both"/>
    </w:pPr>
    <w:rPr>
      <w:rFonts w:ascii="宋体" w:hAnsi="宋体" w:cs="宋体"/>
      <w:sz w:val="24"/>
      <w:szCs w:val="24"/>
    </w:rPr>
  </w:style>
  <w:style w:type="paragraph" w:customStyle="1" w:styleId="329">
    <w:name w:val="pa-131"/>
    <w:basedOn w:val="1"/>
    <w:qFormat/>
    <w:uiPriority w:val="0"/>
    <w:pPr>
      <w:spacing w:line="280" w:lineRule="atLeast"/>
    </w:pPr>
    <w:rPr>
      <w:rFonts w:ascii="宋体" w:hAnsi="宋体" w:cs="宋体"/>
      <w:sz w:val="24"/>
      <w:szCs w:val="24"/>
    </w:rPr>
  </w:style>
  <w:style w:type="paragraph" w:customStyle="1" w:styleId="330">
    <w:name w:val="pa-61"/>
    <w:basedOn w:val="1"/>
    <w:qFormat/>
    <w:uiPriority w:val="0"/>
    <w:pPr>
      <w:spacing w:line="240" w:lineRule="atLeast"/>
      <w:jc w:val="both"/>
    </w:pPr>
    <w:rPr>
      <w:rFonts w:ascii="宋体" w:hAnsi="宋体" w:cs="宋体"/>
      <w:sz w:val="24"/>
      <w:szCs w:val="24"/>
    </w:rPr>
  </w:style>
  <w:style w:type="paragraph" w:customStyle="1" w:styleId="331">
    <w:name w:val="pa-15"/>
    <w:basedOn w:val="1"/>
    <w:qFormat/>
    <w:uiPriority w:val="0"/>
    <w:pPr>
      <w:spacing w:line="240" w:lineRule="atLeast"/>
    </w:pPr>
    <w:rPr>
      <w:rFonts w:ascii="宋体" w:hAnsi="宋体" w:cs="宋体"/>
      <w:sz w:val="24"/>
      <w:szCs w:val="24"/>
    </w:rPr>
  </w:style>
  <w:style w:type="paragraph" w:customStyle="1" w:styleId="332">
    <w:name w:val="td-11"/>
    <w:basedOn w:val="1"/>
    <w:qFormat/>
    <w:uiPriority w:val="0"/>
    <w:pPr>
      <w:pBdr>
        <w:top w:val="single" w:color="000000" w:sz="4" w:space="0"/>
        <w:left w:val="single" w:color="000000" w:sz="4" w:space="4"/>
        <w:bottom w:val="single" w:color="000000" w:sz="12" w:space="0"/>
        <w:right w:val="single" w:color="000000" w:sz="12" w:space="0"/>
      </w:pBdr>
    </w:pPr>
    <w:rPr>
      <w:rFonts w:ascii="宋体" w:hAnsi="宋体" w:cs="宋体"/>
      <w:sz w:val="24"/>
      <w:szCs w:val="24"/>
    </w:rPr>
  </w:style>
  <w:style w:type="paragraph" w:customStyle="1" w:styleId="333">
    <w:name w:val="pa-80"/>
    <w:basedOn w:val="1"/>
    <w:qFormat/>
    <w:uiPriority w:val="0"/>
    <w:pPr>
      <w:spacing w:line="360" w:lineRule="atLeast"/>
      <w:jc w:val="both"/>
    </w:pPr>
    <w:rPr>
      <w:rFonts w:ascii="宋体" w:hAnsi="宋体" w:cs="宋体"/>
      <w:sz w:val="24"/>
      <w:szCs w:val="24"/>
    </w:rPr>
  </w:style>
  <w:style w:type="paragraph" w:customStyle="1" w:styleId="334">
    <w:name w:val="td-2"/>
    <w:basedOn w:val="1"/>
    <w:qFormat/>
    <w:uiPriority w:val="0"/>
    <w:pPr>
      <w:pBdr>
        <w:left w:val="single" w:color="000000" w:sz="6" w:space="4"/>
        <w:bottom w:val="single" w:color="000000" w:sz="6" w:space="0"/>
        <w:right w:val="single" w:color="000000" w:sz="6" w:space="0"/>
      </w:pBdr>
    </w:pPr>
    <w:rPr>
      <w:rFonts w:ascii="宋体" w:hAnsi="宋体" w:cs="宋体"/>
      <w:sz w:val="24"/>
      <w:szCs w:val="24"/>
    </w:rPr>
  </w:style>
  <w:style w:type="paragraph" w:customStyle="1" w:styleId="335">
    <w:name w:val="ca-11"/>
    <w:basedOn w:val="1"/>
    <w:qFormat/>
    <w:uiPriority w:val="0"/>
    <w:rPr>
      <w:rFonts w:ascii="Calibri" w:hAnsi="Calibri"/>
      <w:color w:val="000000"/>
      <w:sz w:val="30"/>
      <w:szCs w:val="30"/>
    </w:rPr>
  </w:style>
  <w:style w:type="paragraph" w:customStyle="1" w:styleId="336">
    <w:name w:val="ca-10"/>
    <w:basedOn w:val="1"/>
    <w:qFormat/>
    <w:uiPriority w:val="0"/>
    <w:rPr>
      <w:rFonts w:ascii="Calibri" w:hAnsi="Calibri"/>
      <w:color w:val="000000"/>
      <w:sz w:val="52"/>
      <w:szCs w:val="52"/>
    </w:rPr>
  </w:style>
  <w:style w:type="paragraph" w:customStyle="1" w:styleId="337">
    <w:name w:val="Char1 Char Char Char Char Char Char"/>
    <w:basedOn w:val="1"/>
    <w:qFormat/>
    <w:uiPriority w:val="0"/>
    <w:pPr>
      <w:widowControl w:val="0"/>
      <w:jc w:val="both"/>
    </w:pPr>
    <w:rPr>
      <w:rFonts w:ascii="Tahoma" w:hAnsi="Tahoma"/>
      <w:kern w:val="2"/>
      <w:sz w:val="24"/>
    </w:rPr>
  </w:style>
  <w:style w:type="paragraph" w:customStyle="1" w:styleId="338">
    <w:name w:val="Char2"/>
    <w:basedOn w:val="1"/>
    <w:qFormat/>
    <w:uiPriority w:val="0"/>
    <w:pPr>
      <w:widowControl w:val="0"/>
      <w:jc w:val="both"/>
    </w:pPr>
    <w:rPr>
      <w:rFonts w:ascii="宋体" w:hAnsi="Calibri"/>
      <w:kern w:val="2"/>
      <w:sz w:val="28"/>
    </w:rPr>
  </w:style>
  <w:style w:type="paragraph" w:customStyle="1" w:styleId="339">
    <w:name w:val="xl8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sz w:val="20"/>
    </w:rPr>
  </w:style>
  <w:style w:type="paragraph" w:customStyle="1" w:styleId="340">
    <w:name w:val="pa-43"/>
    <w:basedOn w:val="1"/>
    <w:qFormat/>
    <w:uiPriority w:val="0"/>
    <w:pPr>
      <w:spacing w:line="280" w:lineRule="atLeast"/>
      <w:jc w:val="center"/>
    </w:pPr>
    <w:rPr>
      <w:rFonts w:ascii="宋体" w:hAnsi="宋体" w:cs="宋体"/>
      <w:sz w:val="24"/>
      <w:szCs w:val="24"/>
    </w:rPr>
  </w:style>
  <w:style w:type="paragraph" w:customStyle="1" w:styleId="341">
    <w:name w:val="pa-0"/>
    <w:basedOn w:val="1"/>
    <w:qFormat/>
    <w:uiPriority w:val="0"/>
    <w:pPr>
      <w:spacing w:line="520" w:lineRule="atLeast"/>
      <w:jc w:val="center"/>
    </w:pPr>
    <w:rPr>
      <w:rFonts w:ascii="宋体" w:hAnsi="宋体" w:cs="宋体"/>
      <w:sz w:val="24"/>
      <w:szCs w:val="24"/>
    </w:rPr>
  </w:style>
  <w:style w:type="paragraph" w:customStyle="1" w:styleId="342">
    <w:name w:val="中等深浅网格 1 - 强调文字颜色 21"/>
    <w:basedOn w:val="1"/>
    <w:qFormat/>
    <w:uiPriority w:val="34"/>
    <w:pPr>
      <w:ind w:firstLine="420" w:firstLineChars="200"/>
    </w:pPr>
  </w:style>
  <w:style w:type="paragraph" w:customStyle="1" w:styleId="343">
    <w:name w:val="xl7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44">
    <w:name w:val="pa-88"/>
    <w:basedOn w:val="1"/>
    <w:qFormat/>
    <w:uiPriority w:val="0"/>
    <w:pPr>
      <w:spacing w:line="320" w:lineRule="atLeast"/>
      <w:ind w:firstLine="480"/>
      <w:jc w:val="both"/>
    </w:pPr>
    <w:rPr>
      <w:rFonts w:ascii="宋体" w:hAnsi="宋体" w:cs="宋体"/>
      <w:sz w:val="24"/>
      <w:szCs w:val="24"/>
    </w:rPr>
  </w:style>
  <w:style w:type="paragraph" w:customStyle="1" w:styleId="345">
    <w:name w:val="彩色底纹 - 强调文字颜色 11"/>
    <w:unhideWhenUsed/>
    <w:qFormat/>
    <w:uiPriority w:val="71"/>
    <w:rPr>
      <w:rFonts w:ascii="Times New Roman" w:hAnsi="Times New Roman" w:eastAsia="宋体" w:cs="Times New Roman"/>
      <w:sz w:val="21"/>
      <w:lang w:val="en-US" w:eastAsia="zh-CN" w:bidi="ar-SA"/>
    </w:rPr>
  </w:style>
  <w:style w:type="paragraph" w:customStyle="1" w:styleId="346">
    <w:name w:val="pa-141"/>
    <w:basedOn w:val="1"/>
    <w:qFormat/>
    <w:uiPriority w:val="0"/>
    <w:pPr>
      <w:spacing w:line="320" w:lineRule="atLeast"/>
      <w:jc w:val="right"/>
    </w:pPr>
    <w:rPr>
      <w:rFonts w:ascii="宋体" w:hAnsi="宋体" w:cs="宋体"/>
      <w:sz w:val="24"/>
      <w:szCs w:val="24"/>
    </w:rPr>
  </w:style>
  <w:style w:type="paragraph" w:customStyle="1" w:styleId="347">
    <w:name w:val="pa-39"/>
    <w:basedOn w:val="1"/>
    <w:qFormat/>
    <w:uiPriority w:val="0"/>
    <w:pPr>
      <w:spacing w:line="360" w:lineRule="atLeast"/>
      <w:jc w:val="center"/>
    </w:pPr>
    <w:rPr>
      <w:rFonts w:ascii="宋体" w:hAnsi="宋体" w:cs="宋体"/>
      <w:sz w:val="24"/>
      <w:szCs w:val="24"/>
    </w:rPr>
  </w:style>
  <w:style w:type="paragraph" w:customStyle="1" w:styleId="348">
    <w:name w:val="Date1"/>
    <w:basedOn w:val="1"/>
    <w:next w:val="1"/>
    <w:qFormat/>
    <w:uiPriority w:val="0"/>
    <w:pPr>
      <w:widowControl w:val="0"/>
      <w:adjustRightInd w:val="0"/>
      <w:spacing w:line="360" w:lineRule="auto"/>
      <w:jc w:val="right"/>
      <w:textAlignment w:val="baseline"/>
    </w:pPr>
    <w:rPr>
      <w:rFonts w:ascii="Calibri" w:hAnsi="Calibri"/>
      <w:sz w:val="24"/>
    </w:rPr>
  </w:style>
  <w:style w:type="paragraph" w:customStyle="1" w:styleId="349">
    <w:name w:val="td-1"/>
    <w:basedOn w:val="1"/>
    <w:qFormat/>
    <w:uiPriority w:val="0"/>
    <w:pPr>
      <w:pBdr>
        <w:top w:val="single" w:color="000000" w:sz="6" w:space="0"/>
        <w:left w:val="single" w:color="000000" w:sz="6" w:space="4"/>
        <w:bottom w:val="single" w:color="000000" w:sz="6" w:space="0"/>
        <w:right w:val="single" w:color="000000" w:sz="6" w:space="0"/>
      </w:pBdr>
    </w:pPr>
    <w:rPr>
      <w:rFonts w:ascii="宋体" w:hAnsi="宋体" w:cs="宋体"/>
      <w:sz w:val="24"/>
      <w:szCs w:val="24"/>
    </w:rPr>
  </w:style>
  <w:style w:type="paragraph" w:customStyle="1" w:styleId="350">
    <w:name w:val="正文，首行缩进:"/>
    <w:basedOn w:val="1"/>
    <w:qFormat/>
    <w:uiPriority w:val="0"/>
    <w:pPr>
      <w:widowControl w:val="0"/>
      <w:tabs>
        <w:tab w:val="left" w:pos="3376"/>
      </w:tabs>
      <w:spacing w:line="460" w:lineRule="exact"/>
      <w:ind w:firstLine="480" w:firstLineChars="200"/>
    </w:pPr>
    <w:rPr>
      <w:rFonts w:ascii="宋体" w:hAnsi="宋体" w:cs="宋体"/>
      <w:kern w:val="2"/>
      <w:sz w:val="24"/>
    </w:rPr>
  </w:style>
  <w:style w:type="paragraph" w:customStyle="1" w:styleId="351">
    <w:name w:val="ca-50"/>
    <w:basedOn w:val="1"/>
    <w:qFormat/>
    <w:uiPriority w:val="0"/>
    <w:rPr>
      <w:rFonts w:ascii="宋体" w:hAnsi="宋体" w:cs="宋体"/>
      <w:sz w:val="24"/>
      <w:szCs w:val="24"/>
    </w:rPr>
  </w:style>
  <w:style w:type="paragraph" w:customStyle="1" w:styleId="352">
    <w:name w:val="pa-31"/>
    <w:basedOn w:val="1"/>
    <w:qFormat/>
    <w:uiPriority w:val="0"/>
    <w:pPr>
      <w:spacing w:line="240" w:lineRule="atLeast"/>
      <w:ind w:firstLine="420"/>
    </w:pPr>
    <w:rPr>
      <w:rFonts w:ascii="宋体" w:hAnsi="宋体" w:cs="宋体"/>
      <w:sz w:val="24"/>
      <w:szCs w:val="24"/>
    </w:rPr>
  </w:style>
  <w:style w:type="paragraph" w:customStyle="1" w:styleId="353">
    <w:name w:val="0"/>
    <w:basedOn w:val="1"/>
    <w:qFormat/>
    <w:uiPriority w:val="0"/>
    <w:pPr>
      <w:snapToGrid w:val="0"/>
      <w:jc w:val="both"/>
    </w:pPr>
    <w:rPr>
      <w:rFonts w:ascii="Calibri" w:hAnsi="Calibri"/>
      <w:sz w:val="20"/>
    </w:rPr>
  </w:style>
  <w:style w:type="paragraph" w:customStyle="1" w:styleId="354">
    <w:name w:val="xl88"/>
    <w:basedOn w:val="1"/>
    <w:qFormat/>
    <w:uiPriority w:val="0"/>
    <w:pPr>
      <w:pBdr>
        <w:bottom w:val="single" w:color="auto" w:sz="4" w:space="0"/>
      </w:pBdr>
      <w:spacing w:before="100" w:beforeAutospacing="1" w:after="100" w:afterAutospacing="1"/>
      <w:jc w:val="center"/>
    </w:pPr>
    <w:rPr>
      <w:rFonts w:ascii="黑体" w:hAnsi="黑体" w:eastAsia="黑体" w:cs="宋体"/>
      <w:sz w:val="32"/>
      <w:szCs w:val="32"/>
    </w:rPr>
  </w:style>
  <w:style w:type="paragraph" w:customStyle="1" w:styleId="355">
    <w:name w:val="pa-40"/>
    <w:basedOn w:val="1"/>
    <w:qFormat/>
    <w:uiPriority w:val="0"/>
    <w:pPr>
      <w:spacing w:line="280" w:lineRule="atLeast"/>
      <w:jc w:val="both"/>
    </w:pPr>
    <w:rPr>
      <w:rFonts w:ascii="宋体" w:hAnsi="宋体" w:cs="宋体"/>
      <w:sz w:val="24"/>
      <w:szCs w:val="24"/>
    </w:rPr>
  </w:style>
  <w:style w:type="paragraph" w:customStyle="1" w:styleId="356">
    <w:name w:val="pa-130"/>
    <w:basedOn w:val="1"/>
    <w:qFormat/>
    <w:uiPriority w:val="0"/>
    <w:pPr>
      <w:spacing w:line="300" w:lineRule="atLeast"/>
    </w:pPr>
    <w:rPr>
      <w:rFonts w:ascii="宋体" w:hAnsi="宋体" w:cs="宋体"/>
      <w:sz w:val="24"/>
      <w:szCs w:val="24"/>
    </w:rPr>
  </w:style>
  <w:style w:type="paragraph" w:customStyle="1" w:styleId="357">
    <w:name w:val="Char Char Char Char"/>
    <w:basedOn w:val="1"/>
    <w:qFormat/>
    <w:uiPriority w:val="0"/>
    <w:pPr>
      <w:spacing w:after="160" w:line="240" w:lineRule="exact"/>
    </w:pPr>
    <w:rPr>
      <w:rFonts w:ascii="Verdana" w:hAnsi="Verdana" w:eastAsia="仿宋_GB2312"/>
      <w:sz w:val="24"/>
      <w:lang w:eastAsia="en-US"/>
    </w:rPr>
  </w:style>
  <w:style w:type="paragraph" w:customStyle="1" w:styleId="358">
    <w:name w:val="pa-64"/>
    <w:basedOn w:val="1"/>
    <w:qFormat/>
    <w:uiPriority w:val="0"/>
    <w:pPr>
      <w:spacing w:line="360" w:lineRule="atLeast"/>
      <w:ind w:firstLine="560"/>
    </w:pPr>
    <w:rPr>
      <w:rFonts w:ascii="宋体" w:hAnsi="宋体" w:cs="宋体"/>
      <w:sz w:val="24"/>
      <w:szCs w:val="24"/>
    </w:rPr>
  </w:style>
  <w:style w:type="paragraph" w:customStyle="1" w:styleId="359">
    <w:name w:val="Char Char Char Char Char Char"/>
    <w:basedOn w:val="1"/>
    <w:qFormat/>
    <w:uiPriority w:val="0"/>
    <w:pPr>
      <w:widowControl w:val="0"/>
      <w:jc w:val="both"/>
    </w:pPr>
    <w:rPr>
      <w:rFonts w:ascii="Calibri" w:hAnsi="Calibri"/>
      <w:kern w:val="2"/>
      <w:szCs w:val="24"/>
    </w:rPr>
  </w:style>
  <w:style w:type="paragraph" w:customStyle="1" w:styleId="360">
    <w:name w:val="样式 正文（首行缩进两字） + 宋体 左侧:  0 厘米 悬挂缩进: 1.43 字符"/>
    <w:basedOn w:val="15"/>
    <w:qFormat/>
    <w:uiPriority w:val="0"/>
    <w:pPr>
      <w:widowControl w:val="0"/>
      <w:spacing w:line="460" w:lineRule="exact"/>
      <w:ind w:left="359" w:hanging="359" w:hangingChars="143"/>
      <w:jc w:val="both"/>
    </w:pPr>
    <w:rPr>
      <w:rFonts w:ascii="宋体" w:hAnsi="宋体" w:cs="宋体"/>
      <w:spacing w:val="6"/>
      <w:kern w:val="24"/>
      <w:sz w:val="24"/>
    </w:rPr>
  </w:style>
  <w:style w:type="paragraph" w:customStyle="1" w:styleId="361">
    <w:name w:val="表格正文"/>
    <w:basedOn w:val="1"/>
    <w:link w:val="362"/>
    <w:qFormat/>
    <w:uiPriority w:val="0"/>
    <w:pPr>
      <w:widowControl w:val="0"/>
      <w:jc w:val="both"/>
    </w:pPr>
    <w:rPr>
      <w:kern w:val="2"/>
      <w:szCs w:val="24"/>
    </w:rPr>
  </w:style>
  <w:style w:type="character" w:customStyle="1" w:styleId="362">
    <w:name w:val="表格正文 Char"/>
    <w:link w:val="361"/>
    <w:qFormat/>
    <w:uiPriority w:val="0"/>
    <w:rPr>
      <w:kern w:val="2"/>
      <w:sz w:val="21"/>
      <w:szCs w:val="24"/>
    </w:rPr>
  </w:style>
  <w:style w:type="paragraph" w:customStyle="1" w:styleId="363">
    <w:name w:val="ca-34"/>
    <w:basedOn w:val="1"/>
    <w:qFormat/>
    <w:uiPriority w:val="0"/>
    <w:rPr>
      <w:rFonts w:ascii="宋体" w:hAnsi="宋体" w:cs="宋体"/>
      <w:color w:val="000000"/>
      <w:sz w:val="20"/>
    </w:rPr>
  </w:style>
  <w:style w:type="paragraph" w:customStyle="1" w:styleId="364">
    <w:name w:val="xl39"/>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Unicode MS" w:hAnsi="Arial Unicode MS" w:eastAsia="Times New Roman" w:cs="Arial Unicode MS"/>
      <w:sz w:val="20"/>
    </w:rPr>
  </w:style>
  <w:style w:type="paragraph" w:customStyle="1" w:styleId="365">
    <w:name w:val="pa-63"/>
    <w:basedOn w:val="1"/>
    <w:qFormat/>
    <w:uiPriority w:val="0"/>
    <w:pPr>
      <w:spacing w:line="360" w:lineRule="atLeast"/>
      <w:ind w:firstLine="300"/>
    </w:pPr>
    <w:rPr>
      <w:rFonts w:ascii="宋体" w:hAnsi="宋体" w:cs="宋体"/>
      <w:sz w:val="24"/>
      <w:szCs w:val="24"/>
    </w:rPr>
  </w:style>
  <w:style w:type="paragraph" w:customStyle="1" w:styleId="366">
    <w:name w:val="Char Char Char Char Char Char1"/>
    <w:basedOn w:val="1"/>
    <w:qFormat/>
    <w:uiPriority w:val="0"/>
    <w:pPr>
      <w:spacing w:after="160" w:line="240" w:lineRule="exact"/>
    </w:pPr>
    <w:rPr>
      <w:rFonts w:ascii="Verdana" w:hAnsi="Verdana" w:eastAsia="仿宋_GB2312"/>
      <w:sz w:val="24"/>
      <w:lang w:eastAsia="en-US"/>
    </w:rPr>
  </w:style>
  <w:style w:type="paragraph" w:customStyle="1" w:styleId="367">
    <w:name w:val="pa-56"/>
    <w:basedOn w:val="1"/>
    <w:qFormat/>
    <w:uiPriority w:val="0"/>
    <w:pPr>
      <w:spacing w:line="300" w:lineRule="atLeast"/>
      <w:ind w:firstLine="420"/>
      <w:jc w:val="both"/>
    </w:pPr>
    <w:rPr>
      <w:rFonts w:ascii="宋体" w:hAnsi="宋体" w:cs="宋体"/>
      <w:sz w:val="24"/>
      <w:szCs w:val="24"/>
    </w:rPr>
  </w:style>
  <w:style w:type="paragraph" w:customStyle="1" w:styleId="368">
    <w:name w:val="样式 样式 首行缩进:  2.25 字符 + 首行缩进:  2.25 字符"/>
    <w:basedOn w:val="1"/>
    <w:link w:val="369"/>
    <w:qFormat/>
    <w:uiPriority w:val="0"/>
    <w:pPr>
      <w:widowControl w:val="0"/>
      <w:spacing w:line="360" w:lineRule="auto"/>
      <w:ind w:firstLine="420" w:firstLineChars="200"/>
      <w:jc w:val="both"/>
    </w:pPr>
    <w:rPr>
      <w:rFonts w:ascii="宋体" w:hAnsi="宋体"/>
      <w:kern w:val="2"/>
      <w:szCs w:val="21"/>
    </w:rPr>
  </w:style>
  <w:style w:type="character" w:customStyle="1" w:styleId="369">
    <w:name w:val="样式 样式 首行缩进:  2.25 字符 + 首行缩进:  2.25 字符 Char"/>
    <w:link w:val="368"/>
    <w:qFormat/>
    <w:uiPriority w:val="0"/>
    <w:rPr>
      <w:rFonts w:ascii="宋体" w:hAnsi="宋体" w:cs="宋体"/>
      <w:kern w:val="2"/>
      <w:sz w:val="21"/>
      <w:szCs w:val="21"/>
    </w:rPr>
  </w:style>
  <w:style w:type="paragraph" w:customStyle="1" w:styleId="37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1">
    <w:name w:val="正文2"/>
    <w:basedOn w:val="1"/>
    <w:link w:val="372"/>
    <w:qFormat/>
    <w:uiPriority w:val="99"/>
    <w:pPr>
      <w:widowControl w:val="0"/>
      <w:spacing w:before="156" w:line="360" w:lineRule="auto"/>
      <w:ind w:firstLine="510" w:firstLineChars="200"/>
      <w:jc w:val="both"/>
    </w:pPr>
    <w:rPr>
      <w:kern w:val="2"/>
      <w:sz w:val="24"/>
    </w:rPr>
  </w:style>
  <w:style w:type="character" w:customStyle="1" w:styleId="372">
    <w:name w:val="正文2 Char Char"/>
    <w:link w:val="371"/>
    <w:qFormat/>
    <w:uiPriority w:val="0"/>
    <w:rPr>
      <w:kern w:val="2"/>
      <w:sz w:val="24"/>
    </w:rPr>
  </w:style>
  <w:style w:type="paragraph" w:customStyle="1" w:styleId="373">
    <w:name w:val="文档正文"/>
    <w:basedOn w:val="1"/>
    <w:qFormat/>
    <w:uiPriority w:val="0"/>
    <w:pPr>
      <w:widowControl w:val="0"/>
      <w:adjustRightInd w:val="0"/>
      <w:spacing w:line="480" w:lineRule="atLeast"/>
      <w:ind w:firstLine="567"/>
      <w:jc w:val="both"/>
      <w:textAlignment w:val="baseline"/>
    </w:pPr>
    <w:rPr>
      <w:rFonts w:ascii="仿宋_GB2312" w:hAnsi="Calibri" w:eastAsia="仿宋_GB2312"/>
      <w:sz w:val="28"/>
    </w:rPr>
  </w:style>
  <w:style w:type="paragraph" w:customStyle="1" w:styleId="374">
    <w:name w:val="pa-10"/>
    <w:basedOn w:val="1"/>
    <w:qFormat/>
    <w:uiPriority w:val="0"/>
    <w:pPr>
      <w:spacing w:line="360" w:lineRule="atLeast"/>
      <w:ind w:firstLine="3220"/>
      <w:jc w:val="both"/>
    </w:pPr>
    <w:rPr>
      <w:rFonts w:ascii="宋体" w:hAnsi="宋体" w:cs="宋体"/>
      <w:sz w:val="24"/>
      <w:szCs w:val="24"/>
    </w:rPr>
  </w:style>
  <w:style w:type="paragraph" w:customStyle="1" w:styleId="375">
    <w:name w:val="菲页1"/>
    <w:basedOn w:val="4"/>
    <w:qFormat/>
    <w:uiPriority w:val="0"/>
    <w:pPr>
      <w:spacing w:line="413" w:lineRule="auto"/>
      <w:jc w:val="center"/>
    </w:pPr>
    <w:rPr>
      <w:rFonts w:ascii="黑体" w:hAnsi="宋体" w:eastAsia="黑体"/>
      <w:b w:val="0"/>
      <w:bCs w:val="0"/>
      <w:sz w:val="52"/>
      <w:szCs w:val="20"/>
    </w:rPr>
  </w:style>
  <w:style w:type="paragraph" w:customStyle="1" w:styleId="376">
    <w:name w:val="pa-114"/>
    <w:basedOn w:val="1"/>
    <w:qFormat/>
    <w:uiPriority w:val="0"/>
    <w:pPr>
      <w:spacing w:line="280" w:lineRule="atLeast"/>
      <w:ind w:firstLine="2220"/>
      <w:jc w:val="both"/>
    </w:pPr>
    <w:rPr>
      <w:rFonts w:ascii="宋体" w:hAnsi="宋体" w:cs="宋体"/>
      <w:sz w:val="24"/>
      <w:szCs w:val="24"/>
    </w:rPr>
  </w:style>
  <w:style w:type="paragraph" w:customStyle="1" w:styleId="377">
    <w:name w:val="zbggmain"/>
    <w:basedOn w:val="1"/>
    <w:qFormat/>
    <w:uiPriority w:val="0"/>
    <w:pPr>
      <w:spacing w:before="100" w:beforeAutospacing="1" w:after="100" w:afterAutospacing="1" w:line="360" w:lineRule="auto"/>
    </w:pPr>
    <w:rPr>
      <w:rFonts w:ascii="Calibri" w:hAnsi="Calibri"/>
      <w:color w:val="000000"/>
      <w:sz w:val="24"/>
      <w:szCs w:val="24"/>
    </w:rPr>
  </w:style>
  <w:style w:type="paragraph" w:customStyle="1" w:styleId="378">
    <w:name w:val="标书标题3"/>
    <w:basedOn w:val="5"/>
    <w:qFormat/>
    <w:uiPriority w:val="0"/>
    <w:pPr>
      <w:keepLines w:val="0"/>
      <w:adjustRightInd w:val="0"/>
      <w:snapToGrid w:val="0"/>
      <w:spacing w:before="120" w:after="60" w:line="300" w:lineRule="auto"/>
    </w:pPr>
    <w:rPr>
      <w:rFonts w:ascii="Arial Narrow" w:hAnsi="Arial Narrow" w:eastAsia="仿宋_GB2312"/>
      <w:b w:val="0"/>
      <w:bCs w:val="0"/>
      <w:color w:val="000000"/>
      <w:sz w:val="28"/>
    </w:rPr>
  </w:style>
  <w:style w:type="paragraph" w:customStyle="1" w:styleId="379">
    <w:name w:val="xl35"/>
    <w:basedOn w:val="1"/>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sz w:val="24"/>
      <w:szCs w:val="24"/>
    </w:rPr>
  </w:style>
  <w:style w:type="paragraph" w:customStyle="1" w:styleId="380">
    <w:name w:val="xl95"/>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rPr>
  </w:style>
  <w:style w:type="paragraph" w:customStyle="1" w:styleId="381">
    <w:name w:val="pa-69"/>
    <w:basedOn w:val="1"/>
    <w:qFormat/>
    <w:uiPriority w:val="0"/>
    <w:pPr>
      <w:spacing w:line="240" w:lineRule="atLeast"/>
      <w:ind w:firstLine="1140"/>
      <w:jc w:val="both"/>
    </w:pPr>
    <w:rPr>
      <w:rFonts w:ascii="宋体" w:hAnsi="宋体" w:cs="宋体"/>
      <w:sz w:val="24"/>
      <w:szCs w:val="24"/>
    </w:rPr>
  </w:style>
  <w:style w:type="paragraph" w:customStyle="1" w:styleId="382">
    <w:name w:val="pa-76"/>
    <w:basedOn w:val="1"/>
    <w:qFormat/>
    <w:uiPriority w:val="0"/>
    <w:pPr>
      <w:spacing w:line="400" w:lineRule="atLeast"/>
    </w:pPr>
    <w:rPr>
      <w:rFonts w:ascii="宋体" w:hAnsi="宋体" w:cs="宋体"/>
      <w:sz w:val="24"/>
      <w:szCs w:val="24"/>
    </w:rPr>
  </w:style>
  <w:style w:type="paragraph" w:customStyle="1" w:styleId="383">
    <w:name w:val="pa-46"/>
    <w:basedOn w:val="1"/>
    <w:qFormat/>
    <w:uiPriority w:val="0"/>
    <w:pPr>
      <w:spacing w:line="280" w:lineRule="atLeast"/>
      <w:ind w:firstLine="420"/>
    </w:pPr>
    <w:rPr>
      <w:rFonts w:ascii="宋体" w:hAnsi="宋体" w:cs="宋体"/>
      <w:sz w:val="24"/>
      <w:szCs w:val="24"/>
    </w:rPr>
  </w:style>
  <w:style w:type="paragraph" w:customStyle="1" w:styleId="384">
    <w:name w:val="标准正文"/>
    <w:basedOn w:val="1"/>
    <w:qFormat/>
    <w:uiPriority w:val="0"/>
    <w:pPr>
      <w:spacing w:line="360" w:lineRule="auto"/>
      <w:ind w:firstLine="200" w:firstLineChars="200"/>
    </w:pPr>
    <w:rPr>
      <w:sz w:val="24"/>
    </w:rPr>
  </w:style>
  <w:style w:type="paragraph" w:customStyle="1" w:styleId="385">
    <w:name w:val="pa-49"/>
    <w:basedOn w:val="1"/>
    <w:qFormat/>
    <w:uiPriority w:val="0"/>
    <w:pPr>
      <w:spacing w:line="280" w:lineRule="atLeast"/>
      <w:ind w:firstLine="440"/>
    </w:pPr>
    <w:rPr>
      <w:rFonts w:ascii="宋体" w:hAnsi="宋体" w:cs="宋体"/>
      <w:sz w:val="24"/>
      <w:szCs w:val="24"/>
    </w:rPr>
  </w:style>
  <w:style w:type="paragraph" w:customStyle="1" w:styleId="386">
    <w:name w:val="目录"/>
    <w:basedOn w:val="1"/>
    <w:qFormat/>
    <w:uiPriority w:val="0"/>
    <w:pPr>
      <w:jc w:val="center"/>
    </w:pPr>
    <w:rPr>
      <w:rFonts w:ascii="宋体" w:hAnsi="Calibri"/>
      <w:b/>
      <w:sz w:val="36"/>
    </w:rPr>
  </w:style>
  <w:style w:type="paragraph" w:customStyle="1" w:styleId="387">
    <w:name w:val="pa-94"/>
    <w:basedOn w:val="1"/>
    <w:qFormat/>
    <w:uiPriority w:val="0"/>
    <w:pPr>
      <w:spacing w:line="480" w:lineRule="atLeast"/>
    </w:pPr>
    <w:rPr>
      <w:rFonts w:ascii="宋体" w:hAnsi="宋体" w:cs="宋体"/>
      <w:sz w:val="24"/>
      <w:szCs w:val="24"/>
    </w:rPr>
  </w:style>
  <w:style w:type="paragraph" w:customStyle="1" w:styleId="388">
    <w:name w:val="pa-83"/>
    <w:basedOn w:val="1"/>
    <w:qFormat/>
    <w:uiPriority w:val="0"/>
    <w:pPr>
      <w:spacing w:line="560" w:lineRule="atLeast"/>
      <w:jc w:val="center"/>
    </w:pPr>
    <w:rPr>
      <w:rFonts w:ascii="宋体" w:hAnsi="宋体" w:cs="宋体"/>
      <w:sz w:val="24"/>
      <w:szCs w:val="24"/>
    </w:rPr>
  </w:style>
  <w:style w:type="paragraph" w:customStyle="1" w:styleId="389">
    <w:name w:val="Char Char Char Char21"/>
    <w:basedOn w:val="1"/>
    <w:qFormat/>
    <w:uiPriority w:val="0"/>
    <w:pPr>
      <w:widowControl w:val="0"/>
      <w:jc w:val="both"/>
    </w:pPr>
    <w:rPr>
      <w:rFonts w:ascii="Calibri" w:hAnsi="Calibri"/>
      <w:kern w:val="2"/>
    </w:rPr>
  </w:style>
  <w:style w:type="paragraph" w:customStyle="1" w:styleId="390">
    <w:name w:val="Char Char Char Char Char Char Char"/>
    <w:basedOn w:val="1"/>
    <w:qFormat/>
    <w:uiPriority w:val="0"/>
    <w:pPr>
      <w:widowControl w:val="0"/>
      <w:jc w:val="both"/>
    </w:pPr>
    <w:rPr>
      <w:rFonts w:ascii="仿宋_GB2312" w:eastAsia="仿宋_GB2312"/>
      <w:b/>
      <w:kern w:val="2"/>
      <w:sz w:val="32"/>
      <w:szCs w:val="32"/>
    </w:rPr>
  </w:style>
  <w:style w:type="paragraph" w:customStyle="1" w:styleId="391">
    <w:name w:val="pa-65"/>
    <w:basedOn w:val="1"/>
    <w:qFormat/>
    <w:uiPriority w:val="0"/>
    <w:pPr>
      <w:spacing w:line="360" w:lineRule="atLeast"/>
      <w:jc w:val="both"/>
    </w:pPr>
    <w:rPr>
      <w:rFonts w:ascii="宋体" w:hAnsi="宋体" w:cs="宋体"/>
      <w:sz w:val="24"/>
      <w:szCs w:val="24"/>
    </w:rPr>
  </w:style>
  <w:style w:type="paragraph" w:customStyle="1" w:styleId="392">
    <w:name w:val="xl81"/>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393">
    <w:name w:val="pa-4"/>
    <w:basedOn w:val="1"/>
    <w:qFormat/>
    <w:uiPriority w:val="0"/>
    <w:pPr>
      <w:spacing w:line="360" w:lineRule="atLeast"/>
      <w:jc w:val="center"/>
    </w:pPr>
    <w:rPr>
      <w:rFonts w:ascii="宋体" w:hAnsi="宋体" w:cs="宋体"/>
      <w:sz w:val="24"/>
      <w:szCs w:val="24"/>
    </w:rPr>
  </w:style>
  <w:style w:type="paragraph" w:customStyle="1" w:styleId="394">
    <w:name w:val="pa-5"/>
    <w:basedOn w:val="1"/>
    <w:qFormat/>
    <w:uiPriority w:val="0"/>
    <w:pPr>
      <w:spacing w:line="1000" w:lineRule="atLeast"/>
      <w:jc w:val="center"/>
    </w:pPr>
    <w:rPr>
      <w:rFonts w:ascii="宋体" w:hAnsi="宋体" w:cs="宋体"/>
      <w:sz w:val="24"/>
      <w:szCs w:val="24"/>
    </w:rPr>
  </w:style>
  <w:style w:type="paragraph" w:customStyle="1" w:styleId="395">
    <w:name w:val="样式 正文（首行缩进两字） + 首行缩进:  2 字符"/>
    <w:basedOn w:val="15"/>
    <w:qFormat/>
    <w:uiPriority w:val="0"/>
    <w:pPr>
      <w:widowControl w:val="0"/>
      <w:spacing w:line="460" w:lineRule="exact"/>
      <w:ind w:firstLine="536" w:firstLineChars="200"/>
      <w:jc w:val="both"/>
    </w:pPr>
    <w:rPr>
      <w:rFonts w:hAnsi="Calibri"/>
      <w:spacing w:val="6"/>
      <w:kern w:val="24"/>
      <w:sz w:val="24"/>
    </w:rPr>
  </w:style>
  <w:style w:type="paragraph" w:customStyle="1" w:styleId="396">
    <w:name w:val="pa-70"/>
    <w:basedOn w:val="1"/>
    <w:qFormat/>
    <w:uiPriority w:val="0"/>
    <w:pPr>
      <w:spacing w:line="360" w:lineRule="atLeast"/>
      <w:ind w:firstLine="420"/>
    </w:pPr>
    <w:rPr>
      <w:rFonts w:ascii="宋体" w:hAnsi="宋体" w:cs="宋体"/>
      <w:sz w:val="24"/>
      <w:szCs w:val="24"/>
    </w:rPr>
  </w:style>
  <w:style w:type="paragraph" w:customStyle="1" w:styleId="397">
    <w:name w:val="xl77"/>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98">
    <w:name w:val="投标标题 2"/>
    <w:basedOn w:val="16"/>
    <w:qFormat/>
    <w:uiPriority w:val="0"/>
    <w:pPr>
      <w:framePr w:w="0" w:hRule="auto" w:hSpace="0" w:vAnchor="margin" w:hAnchor="text" w:xAlign="left" w:yAlign="inline"/>
      <w:shd w:val="clear" w:color="auto" w:fill="auto"/>
      <w:tabs>
        <w:tab w:val="clear" w:pos="9000"/>
      </w:tabs>
      <w:ind w:firstLine="6290" w:firstLineChars="2282"/>
    </w:pPr>
    <w:rPr>
      <w:rFonts w:ascii="Times New Roman" w:hAnsi="Times New Roman" w:eastAsia="黑体"/>
      <w:bCs/>
      <w:color w:val="auto"/>
      <w:sz w:val="28"/>
    </w:rPr>
  </w:style>
  <w:style w:type="paragraph" w:customStyle="1" w:styleId="399">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6"/>
      <w:szCs w:val="16"/>
    </w:rPr>
  </w:style>
  <w:style w:type="paragraph" w:customStyle="1" w:styleId="400">
    <w:name w:val="样式 样式 标题 3 + (符号) 宋体 四号 加粗 黑色 段前: 0 磅 段后: 0 磅 行距: 固定值 22 磅 + 段前:..."/>
    <w:basedOn w:val="1"/>
    <w:qFormat/>
    <w:uiPriority w:val="0"/>
    <w:pPr>
      <w:keepNext/>
      <w:keepLines/>
      <w:widowControl w:val="0"/>
      <w:tabs>
        <w:tab w:val="left" w:pos="1275"/>
      </w:tabs>
      <w:spacing w:beforeLines="50" w:afterLines="50" w:line="580" w:lineRule="exact"/>
      <w:outlineLvl w:val="2"/>
    </w:pPr>
    <w:rPr>
      <w:rFonts w:ascii="宋体" w:hAnsi="宋体"/>
      <w:b/>
      <w:bCs/>
      <w:color w:val="000000"/>
      <w:kern w:val="24"/>
      <w:sz w:val="28"/>
    </w:rPr>
  </w:style>
  <w:style w:type="paragraph" w:customStyle="1" w:styleId="401">
    <w:name w:val="xl115"/>
    <w:basedOn w:val="1"/>
    <w:qFormat/>
    <w:uiPriority w:val="0"/>
    <w:pPr>
      <w:pBdr>
        <w:bottom w:val="single" w:color="auto" w:sz="4" w:space="0"/>
      </w:pBdr>
      <w:shd w:val="clear" w:color="000000" w:fill="FFFFFF"/>
      <w:spacing w:before="100" w:beforeAutospacing="1" w:after="100" w:afterAutospacing="1"/>
      <w:jc w:val="center"/>
      <w:textAlignment w:val="center"/>
    </w:pPr>
    <w:rPr>
      <w:rFonts w:ascii="宋体" w:hAnsi="宋体" w:cs="宋体"/>
      <w:sz w:val="36"/>
      <w:szCs w:val="36"/>
    </w:rPr>
  </w:style>
  <w:style w:type="paragraph" w:customStyle="1" w:styleId="402">
    <w:name w:val="正文文字2"/>
    <w:basedOn w:val="20"/>
    <w:qFormat/>
    <w:uiPriority w:val="0"/>
    <w:pPr>
      <w:adjustRightInd w:val="0"/>
      <w:spacing w:after="60" w:line="360" w:lineRule="atLeast"/>
      <w:ind w:left="72" w:leftChars="30" w:right="72" w:rightChars="30"/>
      <w:jc w:val="center"/>
    </w:pPr>
    <w:rPr>
      <w:rFonts w:ascii="Arial" w:eastAsia="黑体"/>
      <w:kern w:val="0"/>
      <w:sz w:val="21"/>
    </w:rPr>
  </w:style>
  <w:style w:type="paragraph" w:customStyle="1" w:styleId="403">
    <w:name w:val="pa-72"/>
    <w:basedOn w:val="1"/>
    <w:qFormat/>
    <w:uiPriority w:val="0"/>
    <w:pPr>
      <w:spacing w:line="240" w:lineRule="atLeast"/>
      <w:ind w:firstLine="560"/>
      <w:jc w:val="both"/>
    </w:pPr>
    <w:rPr>
      <w:rFonts w:ascii="宋体" w:hAnsi="宋体" w:cs="宋体"/>
      <w:sz w:val="24"/>
      <w:szCs w:val="24"/>
    </w:rPr>
  </w:style>
  <w:style w:type="paragraph" w:customStyle="1" w:styleId="404">
    <w:name w:val="pa-108"/>
    <w:basedOn w:val="1"/>
    <w:qFormat/>
    <w:uiPriority w:val="0"/>
    <w:pPr>
      <w:spacing w:line="280" w:lineRule="atLeast"/>
      <w:jc w:val="center"/>
    </w:pPr>
    <w:rPr>
      <w:rFonts w:ascii="宋体" w:hAnsi="宋体" w:cs="宋体"/>
      <w:sz w:val="24"/>
      <w:szCs w:val="24"/>
    </w:rPr>
  </w:style>
  <w:style w:type="paragraph" w:customStyle="1" w:styleId="405">
    <w:name w:val="xl8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rPr>
  </w:style>
  <w:style w:type="paragraph" w:customStyle="1" w:styleId="406">
    <w:name w:val="_Style 357"/>
    <w:basedOn w:val="3"/>
    <w:next w:val="1"/>
    <w:qFormat/>
    <w:uiPriority w:val="0"/>
    <w:pPr>
      <w:widowControl/>
      <w:tabs>
        <w:tab w:val="clear" w:pos="840"/>
      </w:tabs>
      <w:adjustRightInd/>
      <w:snapToGrid/>
      <w:spacing w:before="480" w:line="276" w:lineRule="auto"/>
      <w:jc w:val="left"/>
      <w:outlineLvl w:val="9"/>
    </w:pPr>
    <w:rPr>
      <w:rFonts w:ascii="Cambria" w:hAnsi="Cambria"/>
      <w:bCs/>
      <w:color w:val="365F91"/>
      <w:kern w:val="0"/>
      <w:sz w:val="28"/>
      <w:szCs w:val="28"/>
    </w:rPr>
  </w:style>
  <w:style w:type="paragraph" w:customStyle="1" w:styleId="407">
    <w:name w:val="pa-123"/>
    <w:basedOn w:val="1"/>
    <w:qFormat/>
    <w:uiPriority w:val="0"/>
    <w:pPr>
      <w:spacing w:line="360" w:lineRule="atLeast"/>
      <w:jc w:val="both"/>
    </w:pPr>
    <w:rPr>
      <w:rFonts w:ascii="宋体" w:hAnsi="宋体" w:cs="宋体"/>
      <w:sz w:val="24"/>
      <w:szCs w:val="24"/>
    </w:rPr>
  </w:style>
  <w:style w:type="paragraph" w:customStyle="1" w:styleId="408">
    <w:name w:val="font7"/>
    <w:basedOn w:val="1"/>
    <w:qFormat/>
    <w:uiPriority w:val="0"/>
    <w:pPr>
      <w:spacing w:before="100" w:beforeAutospacing="1" w:after="100" w:afterAutospacing="1"/>
    </w:pPr>
    <w:rPr>
      <w:rFonts w:ascii="宋体" w:hAnsi="宋体" w:cs="宋体"/>
      <w:sz w:val="18"/>
      <w:szCs w:val="18"/>
    </w:rPr>
  </w:style>
  <w:style w:type="paragraph" w:customStyle="1" w:styleId="409">
    <w:name w:val="ca-35"/>
    <w:basedOn w:val="1"/>
    <w:qFormat/>
    <w:uiPriority w:val="0"/>
    <w:rPr>
      <w:rFonts w:ascii="Calibri" w:hAnsi="Calibri"/>
      <w:sz w:val="10"/>
      <w:szCs w:val="10"/>
    </w:rPr>
  </w:style>
  <w:style w:type="paragraph" w:customStyle="1" w:styleId="410">
    <w:name w:val="Char Char Char Char Char Char Char Char Char Char Char Char Char Char"/>
    <w:basedOn w:val="1"/>
    <w:qFormat/>
    <w:uiPriority w:val="0"/>
    <w:pPr>
      <w:spacing w:after="160" w:line="240" w:lineRule="exact"/>
    </w:pPr>
    <w:rPr>
      <w:rFonts w:ascii="Verdana" w:hAnsi="Verdana" w:cs="宋体"/>
      <w:b/>
      <w:sz w:val="20"/>
      <w:lang w:eastAsia="en-US"/>
    </w:rPr>
  </w:style>
  <w:style w:type="paragraph" w:customStyle="1" w:styleId="411">
    <w:name w:val="样式 正文缩进正文（首行缩进两字）特点ALT+Z表正文正文非缩进四号段1Normal Indent Char2...4"/>
    <w:basedOn w:val="21"/>
    <w:qFormat/>
    <w:uiPriority w:val="0"/>
    <w:pPr>
      <w:widowControl w:val="0"/>
      <w:spacing w:after="0"/>
      <w:ind w:left="0" w:leftChars="0" w:firstLine="570"/>
      <w:jc w:val="both"/>
    </w:pPr>
    <w:rPr>
      <w:kern w:val="2"/>
      <w:sz w:val="28"/>
    </w:rPr>
  </w:style>
  <w:style w:type="paragraph" w:customStyle="1" w:styleId="412">
    <w:name w:val="样式 标题 1 + 黑体 三号 非加粗 居中 段前: 6 磅 段后: 6 磅 行距: 固定值 20 磅"/>
    <w:basedOn w:val="3"/>
    <w:qFormat/>
    <w:uiPriority w:val="0"/>
    <w:pPr>
      <w:tabs>
        <w:tab w:val="clear" w:pos="840"/>
      </w:tabs>
      <w:adjustRightInd/>
      <w:snapToGrid/>
      <w:spacing w:before="120" w:after="120" w:line="400" w:lineRule="exact"/>
      <w:jc w:val="center"/>
    </w:pPr>
    <w:rPr>
      <w:rFonts w:ascii="黑体" w:hAnsi="黑体" w:eastAsia="黑体" w:cs="宋体"/>
      <w:b w:val="0"/>
      <w:sz w:val="32"/>
    </w:rPr>
  </w:style>
  <w:style w:type="paragraph" w:customStyle="1" w:styleId="413">
    <w:name w:val="xl98"/>
    <w:basedOn w:val="1"/>
    <w:qFormat/>
    <w:uiPriority w:val="0"/>
    <w:pPr>
      <w:pBdr>
        <w:top w:val="single" w:color="auto" w:sz="4" w:space="0"/>
        <w:left w:val="single" w:color="auto" w:sz="4" w:space="0"/>
        <w:bottom w:val="single" w:color="auto" w:sz="4" w:space="0"/>
        <w:right w:val="single" w:color="auto" w:sz="4" w:space="0"/>
      </w:pBdr>
      <w:shd w:val="clear" w:color="000000" w:fill="C2E277"/>
      <w:spacing w:before="100" w:beforeAutospacing="1" w:after="100" w:afterAutospacing="1"/>
      <w:jc w:val="center"/>
      <w:textAlignment w:val="center"/>
    </w:pPr>
    <w:rPr>
      <w:rFonts w:ascii="宋体" w:hAnsi="宋体" w:cs="宋体"/>
      <w:b/>
      <w:bCs/>
      <w:sz w:val="24"/>
      <w:szCs w:val="24"/>
    </w:rPr>
  </w:style>
  <w:style w:type="paragraph" w:customStyle="1" w:styleId="414">
    <w:name w:val="ca-20"/>
    <w:basedOn w:val="1"/>
    <w:qFormat/>
    <w:uiPriority w:val="0"/>
    <w:rPr>
      <w:rFonts w:ascii="??" w:hAnsi="??" w:cs="宋体"/>
      <w:color w:val="000000"/>
      <w:sz w:val="18"/>
      <w:szCs w:val="18"/>
    </w:rPr>
  </w:style>
  <w:style w:type="paragraph" w:customStyle="1" w:styleId="415">
    <w:name w:val="ca-30"/>
    <w:basedOn w:val="1"/>
    <w:qFormat/>
    <w:uiPriority w:val="0"/>
    <w:rPr>
      <w:rFonts w:ascii="??" w:hAnsi="??" w:cs="宋体"/>
      <w:color w:val="002060"/>
      <w:szCs w:val="21"/>
    </w:rPr>
  </w:style>
  <w:style w:type="paragraph" w:customStyle="1" w:styleId="416">
    <w:name w:val="pa-128"/>
    <w:basedOn w:val="1"/>
    <w:qFormat/>
    <w:uiPriority w:val="0"/>
    <w:pPr>
      <w:spacing w:line="360" w:lineRule="atLeast"/>
      <w:jc w:val="center"/>
    </w:pPr>
    <w:rPr>
      <w:rFonts w:ascii="宋体" w:hAnsi="宋体" w:cs="宋体"/>
      <w:sz w:val="24"/>
      <w:szCs w:val="24"/>
    </w:rPr>
  </w:style>
  <w:style w:type="paragraph" w:customStyle="1" w:styleId="417">
    <w:name w:val="pa-97"/>
    <w:basedOn w:val="1"/>
    <w:qFormat/>
    <w:uiPriority w:val="0"/>
    <w:pPr>
      <w:spacing w:line="720" w:lineRule="atLeast"/>
      <w:jc w:val="both"/>
    </w:pPr>
    <w:rPr>
      <w:rFonts w:ascii="宋体" w:hAnsi="宋体" w:cs="宋体"/>
      <w:sz w:val="24"/>
      <w:szCs w:val="24"/>
    </w:rPr>
  </w:style>
  <w:style w:type="paragraph" w:customStyle="1" w:styleId="418">
    <w:name w:val="Char Char Char Char Char Char Char Char"/>
    <w:basedOn w:val="17"/>
    <w:qFormat/>
    <w:uiPriority w:val="0"/>
    <w:pPr>
      <w:widowControl w:val="0"/>
      <w:shd w:val="clear" w:color="auto" w:fill="000080"/>
      <w:jc w:val="both"/>
    </w:pPr>
    <w:rPr>
      <w:rFonts w:ascii="Tahoma" w:hAnsi="Tahoma" w:cs="Tahoma"/>
      <w:kern w:val="2"/>
      <w:sz w:val="24"/>
      <w:szCs w:val="24"/>
    </w:rPr>
  </w:style>
  <w:style w:type="paragraph" w:customStyle="1" w:styleId="419">
    <w:name w:val="pa-122"/>
    <w:basedOn w:val="1"/>
    <w:qFormat/>
    <w:uiPriority w:val="0"/>
    <w:pPr>
      <w:spacing w:line="360" w:lineRule="atLeast"/>
      <w:jc w:val="center"/>
    </w:pPr>
    <w:rPr>
      <w:rFonts w:ascii="宋体" w:hAnsi="宋体" w:cs="宋体"/>
      <w:sz w:val="24"/>
      <w:szCs w:val="24"/>
    </w:rPr>
  </w:style>
  <w:style w:type="paragraph" w:customStyle="1" w:styleId="420">
    <w:name w:val="pa-121"/>
    <w:basedOn w:val="1"/>
    <w:qFormat/>
    <w:uiPriority w:val="0"/>
    <w:pPr>
      <w:spacing w:line="360" w:lineRule="atLeast"/>
      <w:jc w:val="center"/>
    </w:pPr>
    <w:rPr>
      <w:rFonts w:ascii="宋体" w:hAnsi="宋体" w:cs="宋体"/>
      <w:sz w:val="24"/>
      <w:szCs w:val="24"/>
    </w:rPr>
  </w:style>
  <w:style w:type="paragraph" w:customStyle="1" w:styleId="421">
    <w:name w:val="xl10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sz w:val="16"/>
      <w:szCs w:val="16"/>
    </w:rPr>
  </w:style>
  <w:style w:type="paragraph" w:customStyle="1" w:styleId="422">
    <w:name w:val="表格文字"/>
    <w:basedOn w:val="1"/>
    <w:qFormat/>
    <w:uiPriority w:val="0"/>
    <w:pPr>
      <w:widowControl w:val="0"/>
      <w:adjustRightInd w:val="0"/>
      <w:spacing w:line="420" w:lineRule="atLeast"/>
      <w:textAlignment w:val="baseline"/>
    </w:pPr>
    <w:rPr>
      <w:rFonts w:ascii="Calibri" w:hAnsi="Calibri"/>
    </w:rPr>
  </w:style>
  <w:style w:type="paragraph" w:customStyle="1" w:styleId="423">
    <w:name w:val="样式 正文缩进正文（首行缩进两字）特点ALT+Z表正文正文非缩进四号段1Normal Indent Char2..."/>
    <w:basedOn w:val="4"/>
    <w:next w:val="5"/>
    <w:qFormat/>
    <w:uiPriority w:val="0"/>
    <w:pPr>
      <w:widowControl w:val="0"/>
      <w:spacing w:before="240" w:after="120" w:line="400" w:lineRule="exact"/>
      <w:ind w:left="1140" w:hanging="630"/>
      <w:jc w:val="center"/>
    </w:pPr>
    <w:rPr>
      <w:rFonts w:ascii="宋体" w:hAnsi="宋体" w:eastAsia="黑体"/>
      <w:bCs w:val="0"/>
      <w:kern w:val="2"/>
      <w:szCs w:val="20"/>
    </w:rPr>
  </w:style>
  <w:style w:type="paragraph" w:customStyle="1" w:styleId="424">
    <w:name w:val="正文 A"/>
    <w:qFormat/>
    <w:uiPriority w:val="0"/>
    <w:pPr>
      <w:widowControl w:val="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425">
    <w:name w:val="空半行"/>
    <w:basedOn w:val="1"/>
    <w:qFormat/>
    <w:uiPriority w:val="0"/>
    <w:pPr>
      <w:widowControl w:val="0"/>
      <w:adjustRightInd w:val="0"/>
      <w:spacing w:line="120" w:lineRule="exact"/>
      <w:jc w:val="both"/>
      <w:textAlignment w:val="baseline"/>
    </w:pPr>
    <w:rPr>
      <w:rFonts w:ascii="Calibri" w:hAnsi="Calibri" w:eastAsia="仿宋_GB2312"/>
      <w:color w:val="FFFFFF"/>
      <w:sz w:val="30"/>
    </w:rPr>
  </w:style>
  <w:style w:type="paragraph" w:customStyle="1" w:styleId="426">
    <w:name w:val="xl89"/>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427">
    <w:name w:val="pa-8"/>
    <w:basedOn w:val="1"/>
    <w:qFormat/>
    <w:uiPriority w:val="0"/>
    <w:pPr>
      <w:spacing w:line="360" w:lineRule="atLeast"/>
      <w:jc w:val="both"/>
    </w:pPr>
    <w:rPr>
      <w:rFonts w:ascii="宋体" w:hAnsi="宋体" w:cs="宋体"/>
      <w:sz w:val="24"/>
      <w:szCs w:val="24"/>
    </w:rPr>
  </w:style>
  <w:style w:type="paragraph" w:customStyle="1" w:styleId="428">
    <w:name w:val="pa-53"/>
    <w:basedOn w:val="1"/>
    <w:qFormat/>
    <w:uiPriority w:val="0"/>
    <w:pPr>
      <w:spacing w:line="280" w:lineRule="atLeast"/>
      <w:ind w:firstLine="100"/>
      <w:jc w:val="both"/>
    </w:pPr>
    <w:rPr>
      <w:rFonts w:ascii="宋体" w:hAnsi="宋体" w:cs="宋体"/>
      <w:sz w:val="24"/>
      <w:szCs w:val="24"/>
    </w:rPr>
  </w:style>
  <w:style w:type="paragraph" w:customStyle="1" w:styleId="429">
    <w:name w:val="Char Char1 Char Char Char Char Char Char Char Char Char Char"/>
    <w:basedOn w:val="1"/>
    <w:qFormat/>
    <w:uiPriority w:val="0"/>
    <w:pPr>
      <w:widowControl w:val="0"/>
      <w:tabs>
        <w:tab w:val="left" w:pos="360"/>
      </w:tabs>
      <w:ind w:firstLine="420" w:firstLineChars="150"/>
      <w:jc w:val="both"/>
    </w:pPr>
    <w:rPr>
      <w:rFonts w:ascii="Arial" w:hAnsi="Arial" w:cs="Arial"/>
      <w:kern w:val="2"/>
      <w:sz w:val="20"/>
    </w:rPr>
  </w:style>
  <w:style w:type="paragraph" w:customStyle="1" w:styleId="430">
    <w:name w:val="pa-18"/>
    <w:basedOn w:val="1"/>
    <w:qFormat/>
    <w:uiPriority w:val="0"/>
    <w:pPr>
      <w:spacing w:line="240" w:lineRule="atLeast"/>
      <w:ind w:firstLine="20"/>
      <w:jc w:val="both"/>
    </w:pPr>
    <w:rPr>
      <w:rFonts w:ascii="宋体" w:hAnsi="宋体" w:cs="宋体"/>
      <w:sz w:val="24"/>
      <w:szCs w:val="24"/>
    </w:rPr>
  </w:style>
  <w:style w:type="paragraph" w:customStyle="1" w:styleId="431">
    <w:name w:val="pa-11"/>
    <w:basedOn w:val="1"/>
    <w:qFormat/>
    <w:uiPriority w:val="0"/>
    <w:pPr>
      <w:spacing w:line="280" w:lineRule="atLeast"/>
      <w:jc w:val="both"/>
    </w:pPr>
    <w:rPr>
      <w:rFonts w:ascii="宋体" w:hAnsi="宋体" w:cs="宋体"/>
      <w:sz w:val="24"/>
      <w:szCs w:val="24"/>
    </w:rPr>
  </w:style>
  <w:style w:type="paragraph" w:customStyle="1" w:styleId="432">
    <w:name w:val="Char Char Char Char Char Char Char2"/>
    <w:basedOn w:val="1"/>
    <w:qFormat/>
    <w:uiPriority w:val="0"/>
    <w:pPr>
      <w:widowControl w:val="0"/>
      <w:jc w:val="both"/>
    </w:pPr>
    <w:rPr>
      <w:rFonts w:ascii="Calibri" w:hAnsi="Calibri"/>
      <w:kern w:val="2"/>
      <w:szCs w:val="24"/>
    </w:rPr>
  </w:style>
  <w:style w:type="paragraph" w:customStyle="1" w:styleId="433">
    <w:name w:val="pa-66"/>
    <w:basedOn w:val="1"/>
    <w:qFormat/>
    <w:uiPriority w:val="0"/>
    <w:pPr>
      <w:spacing w:line="240" w:lineRule="atLeast"/>
      <w:ind w:firstLine="200"/>
      <w:jc w:val="both"/>
    </w:pPr>
    <w:rPr>
      <w:rFonts w:ascii="宋体" w:hAnsi="宋体" w:cs="宋体"/>
      <w:sz w:val="24"/>
      <w:szCs w:val="24"/>
    </w:rPr>
  </w:style>
  <w:style w:type="paragraph" w:customStyle="1" w:styleId="434">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435">
    <w:name w:val="pa-41"/>
    <w:basedOn w:val="1"/>
    <w:qFormat/>
    <w:uiPriority w:val="0"/>
    <w:pPr>
      <w:spacing w:line="280" w:lineRule="atLeast"/>
      <w:ind w:firstLine="420"/>
      <w:jc w:val="both"/>
    </w:pPr>
    <w:rPr>
      <w:rFonts w:ascii="宋体" w:hAnsi="宋体" w:cs="宋体"/>
      <w:sz w:val="24"/>
      <w:szCs w:val="24"/>
    </w:rPr>
  </w:style>
  <w:style w:type="paragraph" w:customStyle="1" w:styleId="436">
    <w:name w:val="ca-52"/>
    <w:basedOn w:val="1"/>
    <w:qFormat/>
    <w:uiPriority w:val="0"/>
    <w:rPr>
      <w:rFonts w:ascii="宋体" w:hAnsi="宋体" w:cs="宋体"/>
      <w:b/>
      <w:bCs/>
      <w:spacing w:val="-20"/>
      <w:sz w:val="36"/>
      <w:szCs w:val="36"/>
    </w:rPr>
  </w:style>
  <w:style w:type="paragraph" w:customStyle="1" w:styleId="437">
    <w:name w:val="纯文本11"/>
    <w:basedOn w:val="1"/>
    <w:qFormat/>
    <w:uiPriority w:val="0"/>
    <w:pPr>
      <w:widowControl w:val="0"/>
      <w:adjustRightInd w:val="0"/>
      <w:jc w:val="both"/>
      <w:textAlignment w:val="baseline"/>
    </w:pPr>
    <w:rPr>
      <w:rFonts w:ascii="宋体" w:hAnsi="Courier New" w:eastAsia="楷体_GB2312"/>
      <w:kern w:val="2"/>
      <w:sz w:val="26"/>
    </w:rPr>
  </w:style>
  <w:style w:type="paragraph" w:styleId="438">
    <w:name w:val="No Spacing"/>
    <w:link w:val="439"/>
    <w:qFormat/>
    <w:uiPriority w:val="1"/>
    <w:rPr>
      <w:rFonts w:ascii="Times New Roman" w:hAnsi="Times New Roman" w:eastAsia="Times New Roman" w:cs="Times New Roman"/>
      <w:sz w:val="22"/>
      <w:szCs w:val="22"/>
      <w:lang w:val="en-US" w:eastAsia="zh-CN" w:bidi="ar-SA"/>
    </w:rPr>
  </w:style>
  <w:style w:type="character" w:customStyle="1" w:styleId="439">
    <w:name w:val="无间隔 字符"/>
    <w:link w:val="438"/>
    <w:qFormat/>
    <w:uiPriority w:val="0"/>
    <w:rPr>
      <w:rFonts w:eastAsia="Times New Roman"/>
      <w:sz w:val="22"/>
      <w:szCs w:val="22"/>
      <w:lang w:val="en-US" w:eastAsia="zh-CN" w:bidi="ar-SA"/>
    </w:rPr>
  </w:style>
  <w:style w:type="paragraph" w:customStyle="1" w:styleId="440">
    <w:name w:val="pa-55"/>
    <w:basedOn w:val="1"/>
    <w:qFormat/>
    <w:uiPriority w:val="0"/>
    <w:pPr>
      <w:spacing w:line="300" w:lineRule="atLeast"/>
      <w:ind w:firstLine="480"/>
      <w:jc w:val="center"/>
    </w:pPr>
    <w:rPr>
      <w:rFonts w:ascii="宋体" w:hAnsi="宋体" w:cs="宋体"/>
      <w:sz w:val="24"/>
      <w:szCs w:val="24"/>
    </w:rPr>
  </w:style>
  <w:style w:type="paragraph" w:customStyle="1" w:styleId="441">
    <w:name w:val="ca-17"/>
    <w:basedOn w:val="1"/>
    <w:qFormat/>
    <w:uiPriority w:val="0"/>
    <w:rPr>
      <w:rFonts w:ascii="Calibri" w:hAnsi="Calibri"/>
      <w:b/>
      <w:bCs/>
      <w:spacing w:val="-20"/>
      <w:sz w:val="24"/>
      <w:szCs w:val="24"/>
    </w:rPr>
  </w:style>
  <w:style w:type="paragraph" w:customStyle="1" w:styleId="442">
    <w:name w:val="ca-31"/>
    <w:basedOn w:val="1"/>
    <w:qFormat/>
    <w:uiPriority w:val="0"/>
    <w:rPr>
      <w:rFonts w:ascii="??" w:hAnsi="??" w:cs="宋体"/>
      <w:color w:val="000000"/>
      <w:szCs w:val="21"/>
    </w:rPr>
  </w:style>
  <w:style w:type="paragraph" w:customStyle="1" w:styleId="443">
    <w:name w:val="默认段落字体 Para Char Char Char Char Char Char Char Char Char1 Char"/>
    <w:basedOn w:val="1"/>
    <w:qFormat/>
    <w:uiPriority w:val="0"/>
    <w:pPr>
      <w:widowControl w:val="0"/>
      <w:tabs>
        <w:tab w:val="left" w:pos="1260"/>
      </w:tabs>
      <w:spacing w:line="360" w:lineRule="auto"/>
      <w:ind w:left="1260" w:firstLine="480" w:firstLineChars="200"/>
      <w:jc w:val="both"/>
    </w:pPr>
    <w:rPr>
      <w:rFonts w:ascii="Tahoma" w:hAnsi="Tahoma"/>
      <w:kern w:val="2"/>
      <w:sz w:val="24"/>
    </w:rPr>
  </w:style>
  <w:style w:type="paragraph" w:customStyle="1" w:styleId="444">
    <w:name w:val="pa-57"/>
    <w:basedOn w:val="1"/>
    <w:qFormat/>
    <w:uiPriority w:val="0"/>
    <w:pPr>
      <w:spacing w:line="300" w:lineRule="atLeast"/>
      <w:ind w:firstLine="560"/>
      <w:jc w:val="both"/>
    </w:pPr>
    <w:rPr>
      <w:rFonts w:ascii="宋体" w:hAnsi="宋体" w:cs="宋体"/>
      <w:sz w:val="24"/>
      <w:szCs w:val="24"/>
    </w:rPr>
  </w:style>
  <w:style w:type="paragraph" w:customStyle="1" w:styleId="445">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sz w:val="16"/>
      <w:szCs w:val="16"/>
    </w:rPr>
  </w:style>
  <w:style w:type="paragraph" w:customStyle="1" w:styleId="446">
    <w:name w:val="正文段"/>
    <w:basedOn w:val="1"/>
    <w:qFormat/>
    <w:uiPriority w:val="99"/>
    <w:pPr>
      <w:snapToGrid w:val="0"/>
      <w:spacing w:afterLines="50"/>
      <w:ind w:firstLine="200" w:firstLineChars="200"/>
      <w:jc w:val="both"/>
    </w:pPr>
    <w:rPr>
      <w:rFonts w:ascii="Calibri" w:hAnsi="Calibri"/>
      <w:sz w:val="24"/>
    </w:rPr>
  </w:style>
  <w:style w:type="paragraph" w:customStyle="1" w:styleId="447">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48">
    <w:name w:val="pa-7"/>
    <w:basedOn w:val="1"/>
    <w:qFormat/>
    <w:uiPriority w:val="0"/>
    <w:pPr>
      <w:spacing w:line="400" w:lineRule="atLeast"/>
      <w:jc w:val="both"/>
    </w:pPr>
    <w:rPr>
      <w:rFonts w:ascii="宋体" w:hAnsi="宋体" w:cs="宋体"/>
      <w:sz w:val="24"/>
      <w:szCs w:val="24"/>
    </w:rPr>
  </w:style>
  <w:style w:type="paragraph" w:customStyle="1" w:styleId="449">
    <w:name w:val="Blockquote"/>
    <w:basedOn w:val="1"/>
    <w:link w:val="450"/>
    <w:qFormat/>
    <w:uiPriority w:val="0"/>
    <w:pPr>
      <w:widowControl w:val="0"/>
      <w:autoSpaceDE w:val="0"/>
      <w:autoSpaceDN w:val="0"/>
      <w:adjustRightInd w:val="0"/>
      <w:spacing w:before="100" w:after="100"/>
      <w:ind w:left="360" w:right="360"/>
    </w:pPr>
    <w:rPr>
      <w:sz w:val="24"/>
    </w:rPr>
  </w:style>
  <w:style w:type="character" w:customStyle="1" w:styleId="450">
    <w:name w:val="Blockquote Char"/>
    <w:link w:val="449"/>
    <w:qFormat/>
    <w:locked/>
    <w:uiPriority w:val="0"/>
    <w:rPr>
      <w:sz w:val="24"/>
    </w:rPr>
  </w:style>
  <w:style w:type="paragraph" w:customStyle="1" w:styleId="451">
    <w:name w:val="ca-32"/>
    <w:basedOn w:val="1"/>
    <w:qFormat/>
    <w:uiPriority w:val="0"/>
    <w:rPr>
      <w:rFonts w:ascii="宋体" w:hAnsi="宋体" w:cs="宋体"/>
      <w:b/>
      <w:bCs/>
      <w:color w:val="C00000"/>
      <w:spacing w:val="-20"/>
      <w:szCs w:val="21"/>
    </w:rPr>
  </w:style>
  <w:style w:type="paragraph" w:customStyle="1" w:styleId="452">
    <w:name w:val="style1"/>
    <w:basedOn w:val="1"/>
    <w:qFormat/>
    <w:uiPriority w:val="0"/>
    <w:pPr>
      <w:spacing w:before="100" w:beforeAutospacing="1" w:after="100" w:afterAutospacing="1" w:line="432" w:lineRule="auto"/>
    </w:pPr>
    <w:rPr>
      <w:rFonts w:ascii="宋体" w:hAnsi="宋体" w:cs="宋体"/>
      <w:sz w:val="27"/>
      <w:szCs w:val="27"/>
    </w:rPr>
  </w:style>
  <w:style w:type="paragraph" w:customStyle="1" w:styleId="453">
    <w:name w:val="ca-29"/>
    <w:basedOn w:val="1"/>
    <w:qFormat/>
    <w:uiPriority w:val="0"/>
    <w:rPr>
      <w:rFonts w:ascii="宋体" w:hAnsi="宋体" w:cs="宋体"/>
      <w:color w:val="7030A0"/>
      <w:szCs w:val="21"/>
    </w:rPr>
  </w:style>
  <w:style w:type="paragraph" w:customStyle="1" w:styleId="454">
    <w:name w:val="xl106"/>
    <w:basedOn w:val="1"/>
    <w:qFormat/>
    <w:uiPriority w:val="0"/>
    <w:pPr>
      <w:pBdr>
        <w:top w:val="single" w:color="auto" w:sz="4" w:space="0"/>
        <w:left w:val="single" w:color="auto" w:sz="4" w:space="0"/>
        <w:bottom w:val="single" w:color="auto" w:sz="4" w:space="0"/>
      </w:pBdr>
      <w:shd w:val="clear" w:color="000000" w:fill="92D050"/>
      <w:spacing w:before="100" w:beforeAutospacing="1" w:after="100" w:afterAutospacing="1"/>
      <w:jc w:val="center"/>
      <w:textAlignment w:val="center"/>
    </w:pPr>
    <w:rPr>
      <w:rFonts w:ascii="宋体" w:hAnsi="宋体" w:cs="宋体"/>
      <w:b/>
      <w:bCs/>
      <w:sz w:val="24"/>
      <w:szCs w:val="24"/>
    </w:rPr>
  </w:style>
  <w:style w:type="paragraph" w:customStyle="1" w:styleId="455">
    <w:name w:val="样式 宋体 首行缩进:  0.87 厘米"/>
    <w:basedOn w:val="1"/>
    <w:qFormat/>
    <w:uiPriority w:val="0"/>
    <w:pPr>
      <w:widowControl w:val="0"/>
      <w:spacing w:line="480" w:lineRule="exact"/>
      <w:ind w:firstLine="493"/>
      <w:jc w:val="both"/>
    </w:pPr>
    <w:rPr>
      <w:rFonts w:ascii="宋体" w:hAnsi="宋体" w:cs="宋体"/>
      <w:spacing w:val="6"/>
      <w:kern w:val="2"/>
      <w:sz w:val="24"/>
      <w:szCs w:val="24"/>
    </w:rPr>
  </w:style>
  <w:style w:type="paragraph" w:customStyle="1" w:styleId="456">
    <w:name w:val="xl7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457">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sz w:val="16"/>
      <w:szCs w:val="16"/>
    </w:rPr>
  </w:style>
  <w:style w:type="paragraph" w:customStyle="1" w:styleId="458">
    <w:name w:val="ca-43"/>
    <w:basedOn w:val="1"/>
    <w:qFormat/>
    <w:uiPriority w:val="0"/>
    <w:rPr>
      <w:rFonts w:ascii="宋体" w:hAnsi="宋体" w:cs="宋体"/>
      <w:color w:val="000000"/>
      <w:sz w:val="44"/>
      <w:szCs w:val="44"/>
    </w:rPr>
  </w:style>
  <w:style w:type="paragraph" w:customStyle="1" w:styleId="459">
    <w:name w:val="pa-92"/>
    <w:basedOn w:val="1"/>
    <w:qFormat/>
    <w:uiPriority w:val="0"/>
    <w:pPr>
      <w:spacing w:line="480" w:lineRule="atLeast"/>
      <w:ind w:firstLine="480"/>
      <w:jc w:val="both"/>
    </w:pPr>
    <w:rPr>
      <w:rFonts w:ascii="宋体" w:hAnsi="宋体" w:cs="宋体"/>
      <w:sz w:val="24"/>
      <w:szCs w:val="24"/>
    </w:rPr>
  </w:style>
  <w:style w:type="paragraph" w:customStyle="1" w:styleId="460">
    <w:name w:val="pa-54"/>
    <w:basedOn w:val="1"/>
    <w:qFormat/>
    <w:uiPriority w:val="0"/>
    <w:pPr>
      <w:spacing w:line="280" w:lineRule="atLeast"/>
    </w:pPr>
    <w:rPr>
      <w:rFonts w:ascii="宋体" w:hAnsi="宋体" w:cs="宋体"/>
      <w:sz w:val="24"/>
      <w:szCs w:val="24"/>
    </w:rPr>
  </w:style>
  <w:style w:type="paragraph" w:customStyle="1" w:styleId="461">
    <w:name w:val="Char Char Char Char3"/>
    <w:basedOn w:val="1"/>
    <w:qFormat/>
    <w:uiPriority w:val="0"/>
    <w:pPr>
      <w:spacing w:after="160" w:line="240" w:lineRule="exact"/>
    </w:pPr>
    <w:rPr>
      <w:rFonts w:ascii="Arial" w:hAnsi="Arial" w:cs="Verdana"/>
      <w:b/>
      <w:sz w:val="24"/>
      <w:lang w:eastAsia="en-US"/>
    </w:rPr>
  </w:style>
  <w:style w:type="paragraph" w:customStyle="1" w:styleId="462">
    <w:name w:val="ca-5"/>
    <w:basedOn w:val="1"/>
    <w:qFormat/>
    <w:uiPriority w:val="0"/>
    <w:rPr>
      <w:rFonts w:ascii="宋体" w:hAnsi="宋体" w:cs="宋体"/>
      <w:b/>
      <w:bCs/>
      <w:color w:val="000000"/>
      <w:spacing w:val="40"/>
      <w:sz w:val="48"/>
      <w:szCs w:val="48"/>
    </w:rPr>
  </w:style>
  <w:style w:type="paragraph" w:customStyle="1" w:styleId="463">
    <w:name w:val="xl86"/>
    <w:basedOn w:val="1"/>
    <w:qFormat/>
    <w:uiPriority w:val="0"/>
    <w:pPr>
      <w:pBdr>
        <w:left w:val="single" w:color="auto" w:sz="4" w:space="0"/>
        <w:right w:val="single" w:color="auto" w:sz="4" w:space="0"/>
      </w:pBdr>
      <w:spacing w:before="100" w:beforeAutospacing="1" w:after="100" w:afterAutospacing="1"/>
      <w:jc w:val="center"/>
      <w:textAlignment w:val="top"/>
    </w:pPr>
    <w:rPr>
      <w:rFonts w:ascii="宋体" w:hAnsi="宋体" w:cs="宋体"/>
      <w:sz w:val="20"/>
    </w:rPr>
  </w:style>
  <w:style w:type="paragraph" w:customStyle="1" w:styleId="464">
    <w:name w:val="pa-79"/>
    <w:basedOn w:val="1"/>
    <w:qFormat/>
    <w:uiPriority w:val="0"/>
    <w:pPr>
      <w:spacing w:line="360" w:lineRule="atLeast"/>
      <w:ind w:firstLine="3040"/>
    </w:pPr>
    <w:rPr>
      <w:rFonts w:ascii="宋体" w:hAnsi="宋体" w:cs="宋体"/>
      <w:sz w:val="24"/>
      <w:szCs w:val="24"/>
    </w:rPr>
  </w:style>
  <w:style w:type="paragraph" w:customStyle="1" w:styleId="465">
    <w:name w:val="xl100"/>
    <w:basedOn w:val="1"/>
    <w:qFormat/>
    <w:uiPriority w:val="0"/>
    <w:pPr>
      <w:spacing w:before="100" w:beforeAutospacing="1" w:after="100" w:afterAutospacing="1"/>
      <w:textAlignment w:val="center"/>
    </w:pPr>
    <w:rPr>
      <w:rFonts w:ascii="宋体" w:hAnsi="宋体" w:cs="宋体"/>
      <w:sz w:val="16"/>
      <w:szCs w:val="16"/>
    </w:rPr>
  </w:style>
  <w:style w:type="paragraph" w:customStyle="1" w:styleId="466">
    <w:name w:val="td-7"/>
    <w:basedOn w:val="1"/>
    <w:qFormat/>
    <w:uiPriority w:val="0"/>
    <w:pPr>
      <w:pBdr>
        <w:top w:val="single" w:color="000000" w:sz="4" w:space="0"/>
        <w:left w:val="single" w:color="000000" w:sz="12" w:space="4"/>
        <w:bottom w:val="single" w:color="000000" w:sz="4" w:space="0"/>
        <w:right w:val="single" w:color="000000" w:sz="4" w:space="0"/>
      </w:pBdr>
    </w:pPr>
    <w:rPr>
      <w:rFonts w:ascii="宋体" w:hAnsi="宋体" w:cs="宋体"/>
      <w:sz w:val="24"/>
      <w:szCs w:val="24"/>
    </w:rPr>
  </w:style>
  <w:style w:type="paragraph" w:customStyle="1" w:styleId="467">
    <w:name w:val="xl109"/>
    <w:basedOn w:val="1"/>
    <w:qFormat/>
    <w:uiPriority w:val="0"/>
    <w:pPr>
      <w:pBdr>
        <w:top w:val="single" w:color="auto" w:sz="4" w:space="0"/>
        <w:bottom w:val="single" w:color="auto" w:sz="4" w:space="0"/>
      </w:pBdr>
      <w:shd w:val="clear" w:color="000000" w:fill="C2E277"/>
      <w:spacing w:before="100" w:beforeAutospacing="1" w:after="100" w:afterAutospacing="1"/>
      <w:jc w:val="center"/>
      <w:textAlignment w:val="center"/>
    </w:pPr>
    <w:rPr>
      <w:rFonts w:ascii="宋体" w:hAnsi="宋体" w:cs="宋体"/>
      <w:b/>
      <w:bCs/>
      <w:sz w:val="24"/>
      <w:szCs w:val="24"/>
    </w:rPr>
  </w:style>
  <w:style w:type="paragraph" w:customStyle="1" w:styleId="468">
    <w:name w:val="样式 节 + 行距: 固定值 37 磅"/>
    <w:basedOn w:val="275"/>
    <w:qFormat/>
    <w:uiPriority w:val="0"/>
    <w:pPr>
      <w:spacing w:before="120" w:after="120" w:line="660" w:lineRule="exact"/>
    </w:pPr>
    <w:rPr>
      <w:rFonts w:cs="宋体"/>
    </w:rPr>
  </w:style>
  <w:style w:type="paragraph" w:customStyle="1" w:styleId="469">
    <w:name w:val="pa-29"/>
    <w:basedOn w:val="1"/>
    <w:qFormat/>
    <w:uiPriority w:val="0"/>
    <w:pPr>
      <w:spacing w:line="360" w:lineRule="atLeast"/>
      <w:ind w:firstLine="2820"/>
      <w:jc w:val="both"/>
    </w:pPr>
    <w:rPr>
      <w:rFonts w:ascii="宋体" w:hAnsi="宋体" w:cs="宋体"/>
      <w:sz w:val="24"/>
      <w:szCs w:val="24"/>
    </w:rPr>
  </w:style>
  <w:style w:type="paragraph" w:customStyle="1" w:styleId="470">
    <w:name w:val="样式 正文文本"/>
    <w:basedOn w:val="1"/>
    <w:qFormat/>
    <w:uiPriority w:val="0"/>
    <w:pPr>
      <w:widowControl w:val="0"/>
      <w:adjustRightInd w:val="0"/>
      <w:snapToGrid w:val="0"/>
      <w:spacing w:line="400" w:lineRule="exact"/>
      <w:ind w:firstLine="200" w:firstLineChars="200"/>
      <w:jc w:val="both"/>
    </w:pPr>
    <w:rPr>
      <w:rFonts w:ascii="Arial" w:hAnsi="Arial" w:cs="宋体"/>
      <w:color w:val="000000"/>
      <w:kern w:val="2"/>
    </w:rPr>
  </w:style>
  <w:style w:type="paragraph" w:customStyle="1" w:styleId="471">
    <w:name w:val="ca-14"/>
    <w:basedOn w:val="1"/>
    <w:qFormat/>
    <w:uiPriority w:val="0"/>
    <w:rPr>
      <w:rFonts w:ascii="Calibri" w:hAnsi="Calibri"/>
      <w:color w:val="000000"/>
      <w:sz w:val="24"/>
      <w:szCs w:val="24"/>
    </w:rPr>
  </w:style>
  <w:style w:type="paragraph" w:customStyle="1" w:styleId="472">
    <w:name w:val="pa-136"/>
    <w:basedOn w:val="1"/>
    <w:qFormat/>
    <w:uiPriority w:val="0"/>
    <w:pPr>
      <w:spacing w:line="360" w:lineRule="atLeast"/>
      <w:ind w:firstLine="5640"/>
      <w:jc w:val="both"/>
    </w:pPr>
    <w:rPr>
      <w:rFonts w:ascii="宋体" w:hAnsi="宋体" w:cs="宋体"/>
      <w:sz w:val="24"/>
      <w:szCs w:val="24"/>
    </w:rPr>
  </w:style>
  <w:style w:type="paragraph" w:customStyle="1" w:styleId="473">
    <w:name w:val="ca-42"/>
    <w:basedOn w:val="1"/>
    <w:qFormat/>
    <w:uiPriority w:val="0"/>
    <w:rPr>
      <w:rFonts w:ascii="宋体" w:hAnsi="宋体" w:cs="宋体"/>
      <w:color w:val="000000"/>
      <w:sz w:val="36"/>
      <w:szCs w:val="36"/>
    </w:rPr>
  </w:style>
  <w:style w:type="paragraph" w:customStyle="1" w:styleId="474">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475">
    <w:name w:val="ca-23"/>
    <w:basedOn w:val="1"/>
    <w:qFormat/>
    <w:uiPriority w:val="0"/>
    <w:rPr>
      <w:rFonts w:ascii="Calibri" w:hAnsi="Calibri"/>
      <w:szCs w:val="21"/>
    </w:rPr>
  </w:style>
  <w:style w:type="paragraph" w:customStyle="1" w:styleId="476">
    <w:name w:val="样式 正文（首行缩进两字） + 宋体"/>
    <w:basedOn w:val="15"/>
    <w:qFormat/>
    <w:uiPriority w:val="0"/>
    <w:pPr>
      <w:widowControl w:val="0"/>
      <w:spacing w:line="460" w:lineRule="exact"/>
      <w:ind w:firstLine="200" w:firstLineChars="200"/>
      <w:jc w:val="both"/>
    </w:pPr>
    <w:rPr>
      <w:rFonts w:ascii="宋体" w:hAnsi="宋体"/>
      <w:spacing w:val="6"/>
      <w:kern w:val="24"/>
      <w:sz w:val="24"/>
    </w:rPr>
  </w:style>
  <w:style w:type="paragraph" w:customStyle="1" w:styleId="477">
    <w:name w:val="_Style 123"/>
    <w:basedOn w:val="1"/>
    <w:next w:val="127"/>
    <w:qFormat/>
    <w:uiPriority w:val="34"/>
    <w:pPr>
      <w:widowControl w:val="0"/>
      <w:ind w:firstLine="420" w:firstLineChars="200"/>
      <w:jc w:val="both"/>
    </w:pPr>
    <w:rPr>
      <w:rFonts w:ascii="Calibri" w:hAnsi="Calibri"/>
      <w:kern w:val="2"/>
      <w:szCs w:val="24"/>
    </w:rPr>
  </w:style>
  <w:style w:type="paragraph" w:customStyle="1" w:styleId="478">
    <w:name w:val="xl9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 w:val="16"/>
      <w:szCs w:val="16"/>
    </w:rPr>
  </w:style>
  <w:style w:type="paragraph" w:customStyle="1" w:styleId="479">
    <w:name w:val="样式 标题 2 + Times New Roman 四号 非加粗 段前: 5 磅 段后: 0 磅 行距: 固定值 20..."/>
    <w:basedOn w:val="4"/>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paragraph" w:customStyle="1" w:styleId="480">
    <w:name w:val="xl8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sz w:val="20"/>
    </w:rPr>
  </w:style>
  <w:style w:type="paragraph" w:customStyle="1" w:styleId="481">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482">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24"/>
      <w:szCs w:val="24"/>
    </w:rPr>
  </w:style>
  <w:style w:type="paragraph" w:customStyle="1" w:styleId="483">
    <w:name w:val="xl4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bCs/>
      <w:sz w:val="24"/>
      <w:szCs w:val="24"/>
    </w:rPr>
  </w:style>
  <w:style w:type="paragraph" w:customStyle="1" w:styleId="484">
    <w:name w:val="样式 正文（首行缩进两字） + 宋体 首行缩进:  0 字符"/>
    <w:basedOn w:val="15"/>
    <w:qFormat/>
    <w:uiPriority w:val="0"/>
    <w:pPr>
      <w:widowControl w:val="0"/>
      <w:spacing w:line="460" w:lineRule="exact"/>
      <w:ind w:firstLine="0"/>
      <w:jc w:val="both"/>
    </w:pPr>
    <w:rPr>
      <w:rFonts w:ascii="宋体" w:hAnsi="宋体" w:cs="宋体"/>
      <w:spacing w:val="6"/>
      <w:kern w:val="24"/>
      <w:sz w:val="24"/>
    </w:rPr>
  </w:style>
  <w:style w:type="paragraph" w:customStyle="1" w:styleId="485">
    <w:name w:val="默认段落字体 Para Char"/>
    <w:basedOn w:val="1"/>
    <w:qFormat/>
    <w:uiPriority w:val="0"/>
    <w:pPr>
      <w:widowControl w:val="0"/>
      <w:tabs>
        <w:tab w:val="left" w:pos="432"/>
      </w:tabs>
      <w:ind w:left="840" w:hanging="420"/>
      <w:jc w:val="both"/>
    </w:pPr>
    <w:rPr>
      <w:rFonts w:ascii="Calibri" w:hAnsi="Calibri"/>
      <w:kern w:val="2"/>
      <w:szCs w:val="24"/>
    </w:rPr>
  </w:style>
  <w:style w:type="paragraph" w:customStyle="1" w:styleId="486">
    <w:name w:val="pa-1"/>
    <w:basedOn w:val="1"/>
    <w:qFormat/>
    <w:uiPriority w:val="0"/>
    <w:pPr>
      <w:spacing w:line="480" w:lineRule="atLeast"/>
      <w:jc w:val="center"/>
    </w:pPr>
    <w:rPr>
      <w:rFonts w:ascii="宋体" w:hAnsi="宋体" w:cs="宋体"/>
      <w:sz w:val="24"/>
      <w:szCs w:val="24"/>
    </w:rPr>
  </w:style>
  <w:style w:type="paragraph" w:customStyle="1" w:styleId="48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8">
    <w:name w:val="Char"/>
    <w:basedOn w:val="1"/>
    <w:qFormat/>
    <w:uiPriority w:val="0"/>
    <w:pPr>
      <w:widowControl w:val="0"/>
      <w:jc w:val="both"/>
    </w:pPr>
    <w:rPr>
      <w:rFonts w:ascii="Calibri" w:hAnsi="Calibri"/>
      <w:kern w:val="2"/>
      <w:szCs w:val="24"/>
    </w:rPr>
  </w:style>
  <w:style w:type="paragraph" w:customStyle="1" w:styleId="489">
    <w:name w:val="正文文本缩进2"/>
    <w:basedOn w:val="1"/>
    <w:qFormat/>
    <w:uiPriority w:val="0"/>
    <w:pPr>
      <w:widowControl w:val="0"/>
      <w:spacing w:before="120" w:after="120" w:line="360" w:lineRule="auto"/>
      <w:ind w:left="420" w:leftChars="200"/>
      <w:jc w:val="both"/>
    </w:pPr>
    <w:rPr>
      <w:rFonts w:ascii="Calibri" w:hAnsi="Calibri"/>
      <w:kern w:val="2"/>
      <w:sz w:val="20"/>
    </w:rPr>
  </w:style>
  <w:style w:type="paragraph" w:customStyle="1" w:styleId="490">
    <w:name w:val="Char3"/>
    <w:basedOn w:val="1"/>
    <w:link w:val="491"/>
    <w:qFormat/>
    <w:uiPriority w:val="0"/>
    <w:pPr>
      <w:widowControl w:val="0"/>
      <w:jc w:val="both"/>
    </w:pPr>
    <w:rPr>
      <w:rFonts w:ascii="Tahoma" w:hAnsi="Tahoma"/>
      <w:kern w:val="2"/>
      <w:sz w:val="24"/>
    </w:rPr>
  </w:style>
  <w:style w:type="character" w:customStyle="1" w:styleId="491">
    <w:name w:val="Char Char25"/>
    <w:link w:val="490"/>
    <w:qFormat/>
    <w:locked/>
    <w:uiPriority w:val="0"/>
    <w:rPr>
      <w:rFonts w:ascii="Tahoma" w:hAnsi="Tahoma"/>
      <w:kern w:val="2"/>
      <w:sz w:val="24"/>
    </w:rPr>
  </w:style>
  <w:style w:type="paragraph" w:customStyle="1" w:styleId="492">
    <w:name w:val="msonormalcxspmiddle"/>
    <w:basedOn w:val="1"/>
    <w:qFormat/>
    <w:uiPriority w:val="0"/>
    <w:pPr>
      <w:spacing w:before="100" w:beforeAutospacing="1" w:after="100" w:afterAutospacing="1"/>
    </w:pPr>
    <w:rPr>
      <w:rFonts w:ascii="宋体" w:hAnsi="宋体" w:cs="宋体"/>
      <w:sz w:val="24"/>
      <w:szCs w:val="24"/>
    </w:rPr>
  </w:style>
  <w:style w:type="paragraph" w:customStyle="1" w:styleId="493">
    <w:name w:val="ca-0"/>
    <w:basedOn w:val="1"/>
    <w:qFormat/>
    <w:uiPriority w:val="0"/>
    <w:rPr>
      <w:rFonts w:ascii="宋体" w:hAnsi="宋体" w:cs="宋体"/>
      <w:color w:val="000000"/>
      <w:sz w:val="48"/>
      <w:szCs w:val="48"/>
    </w:rPr>
  </w:style>
  <w:style w:type="paragraph" w:customStyle="1" w:styleId="494">
    <w:name w:val="pa-22"/>
    <w:basedOn w:val="1"/>
    <w:qFormat/>
    <w:uiPriority w:val="0"/>
    <w:pPr>
      <w:spacing w:line="280" w:lineRule="atLeast"/>
      <w:ind w:firstLine="480"/>
      <w:jc w:val="both"/>
    </w:pPr>
    <w:rPr>
      <w:rFonts w:ascii="宋体" w:hAnsi="宋体" w:cs="宋体"/>
      <w:sz w:val="24"/>
      <w:szCs w:val="24"/>
    </w:rPr>
  </w:style>
  <w:style w:type="paragraph" w:customStyle="1" w:styleId="495">
    <w:name w:val="明显引用1"/>
    <w:basedOn w:val="1"/>
    <w:next w:val="1"/>
    <w:link w:val="496"/>
    <w:qFormat/>
    <w:uiPriority w:val="0"/>
    <w:pPr>
      <w:widowControl w:val="0"/>
      <w:pBdr>
        <w:bottom w:val="single" w:color="4F81BD" w:sz="4" w:space="4"/>
      </w:pBdr>
      <w:spacing w:before="200" w:after="280"/>
      <w:ind w:left="936" w:right="936"/>
      <w:jc w:val="both"/>
    </w:pPr>
    <w:rPr>
      <w:b/>
      <w:i/>
      <w:color w:val="4F81BD"/>
      <w:kern w:val="2"/>
      <w:sz w:val="22"/>
    </w:rPr>
  </w:style>
  <w:style w:type="character" w:customStyle="1" w:styleId="496">
    <w:name w:val="Intense Quote Char"/>
    <w:link w:val="495"/>
    <w:qFormat/>
    <w:locked/>
    <w:uiPriority w:val="0"/>
    <w:rPr>
      <w:b/>
      <w:i/>
      <w:color w:val="4F81BD"/>
      <w:kern w:val="2"/>
      <w:sz w:val="22"/>
    </w:rPr>
  </w:style>
  <w:style w:type="paragraph" w:customStyle="1" w:styleId="497">
    <w:name w:val="目录文字"/>
    <w:basedOn w:val="1"/>
    <w:qFormat/>
    <w:uiPriority w:val="0"/>
    <w:pPr>
      <w:spacing w:line="480" w:lineRule="auto"/>
    </w:pPr>
    <w:rPr>
      <w:rFonts w:ascii="宋体" w:hAnsi="宋体"/>
      <w:sz w:val="24"/>
    </w:rPr>
  </w:style>
  <w:style w:type="paragraph" w:customStyle="1" w:styleId="498">
    <w:name w:val="pa-58"/>
    <w:basedOn w:val="1"/>
    <w:qFormat/>
    <w:uiPriority w:val="0"/>
    <w:pPr>
      <w:spacing w:line="300" w:lineRule="atLeast"/>
      <w:ind w:firstLine="300"/>
      <w:jc w:val="both"/>
    </w:pPr>
    <w:rPr>
      <w:rFonts w:ascii="宋体" w:hAnsi="宋体" w:cs="宋体"/>
      <w:sz w:val="24"/>
      <w:szCs w:val="24"/>
    </w:rPr>
  </w:style>
  <w:style w:type="paragraph" w:customStyle="1" w:styleId="499">
    <w:name w:val="Char11"/>
    <w:basedOn w:val="1"/>
    <w:qFormat/>
    <w:uiPriority w:val="0"/>
    <w:pPr>
      <w:widowControl w:val="0"/>
      <w:jc w:val="both"/>
    </w:pPr>
    <w:rPr>
      <w:rFonts w:ascii="Calibri" w:hAnsi="Calibri"/>
      <w:kern w:val="2"/>
    </w:rPr>
  </w:style>
  <w:style w:type="paragraph" w:customStyle="1" w:styleId="500">
    <w:name w:val="方案正文-样式 小四 行距: 1.5 倍行距"/>
    <w:basedOn w:val="1"/>
    <w:link w:val="501"/>
    <w:qFormat/>
    <w:uiPriority w:val="0"/>
    <w:pPr>
      <w:widowControl w:val="0"/>
      <w:spacing w:line="360" w:lineRule="auto"/>
      <w:ind w:firstLine="480" w:firstLineChars="200"/>
      <w:jc w:val="both"/>
    </w:pPr>
    <w:rPr>
      <w:kern w:val="2"/>
      <w:sz w:val="24"/>
    </w:rPr>
  </w:style>
  <w:style w:type="character" w:customStyle="1" w:styleId="501">
    <w:name w:val="方案正文-样式 小四 行距: 1.5 倍行距 Char Char"/>
    <w:link w:val="500"/>
    <w:qFormat/>
    <w:uiPriority w:val="0"/>
    <w:rPr>
      <w:kern w:val="2"/>
      <w:sz w:val="24"/>
    </w:rPr>
  </w:style>
  <w:style w:type="paragraph" w:customStyle="1" w:styleId="502">
    <w:name w:val="样式 标题 2 + (中文) 黑体 四号 黑色"/>
    <w:basedOn w:val="4"/>
    <w:qFormat/>
    <w:uiPriority w:val="0"/>
    <w:pPr>
      <w:widowControl w:val="0"/>
      <w:spacing w:line="520" w:lineRule="exact"/>
    </w:pPr>
    <w:rPr>
      <w:rFonts w:ascii="Arial" w:hAnsi="Arial" w:eastAsia="黑体"/>
      <w:color w:val="000000"/>
      <w:kern w:val="24"/>
      <w:sz w:val="28"/>
      <w:szCs w:val="20"/>
    </w:rPr>
  </w:style>
  <w:style w:type="paragraph" w:customStyle="1" w:styleId="503">
    <w:name w:val="样式 标题 3h33rd level3l3CTLevel 3 Topic Headingsect1.2.3Hea..."/>
    <w:basedOn w:val="5"/>
    <w:qFormat/>
    <w:uiPriority w:val="0"/>
    <w:pPr>
      <w:widowControl w:val="0"/>
      <w:adjustRightInd w:val="0"/>
      <w:spacing w:beforeLines="50" w:afterLines="50" w:line="240" w:lineRule="atLeast"/>
      <w:ind w:left="180" w:hanging="720"/>
      <w:textAlignment w:val="baseline"/>
    </w:pPr>
    <w:rPr>
      <w:rFonts w:ascii="宋体" w:hAnsi="宋体" w:cs="宋体"/>
      <w:sz w:val="24"/>
      <w:szCs w:val="20"/>
    </w:rPr>
  </w:style>
  <w:style w:type="paragraph" w:customStyle="1" w:styleId="504">
    <w:name w:val="pa-2"/>
    <w:basedOn w:val="1"/>
    <w:qFormat/>
    <w:uiPriority w:val="0"/>
    <w:pPr>
      <w:spacing w:line="400" w:lineRule="atLeast"/>
      <w:jc w:val="center"/>
    </w:pPr>
    <w:rPr>
      <w:rFonts w:ascii="宋体" w:hAnsi="宋体" w:cs="宋体"/>
      <w:sz w:val="24"/>
      <w:szCs w:val="24"/>
    </w:rPr>
  </w:style>
  <w:style w:type="paragraph" w:customStyle="1" w:styleId="505">
    <w:name w:val="pa-135"/>
    <w:basedOn w:val="1"/>
    <w:qFormat/>
    <w:uiPriority w:val="0"/>
    <w:pPr>
      <w:spacing w:line="480" w:lineRule="atLeast"/>
      <w:ind w:firstLine="520"/>
      <w:jc w:val="both"/>
    </w:pPr>
    <w:rPr>
      <w:rFonts w:ascii="宋体" w:hAnsi="宋体" w:cs="宋体"/>
      <w:sz w:val="24"/>
      <w:szCs w:val="24"/>
    </w:rPr>
  </w:style>
  <w:style w:type="paragraph" w:customStyle="1" w:styleId="506">
    <w:name w:val="pa-36"/>
    <w:basedOn w:val="1"/>
    <w:qFormat/>
    <w:uiPriority w:val="0"/>
    <w:pPr>
      <w:spacing w:line="360" w:lineRule="atLeast"/>
      <w:ind w:firstLine="3100"/>
    </w:pPr>
    <w:rPr>
      <w:rFonts w:ascii="宋体" w:hAnsi="宋体" w:cs="宋体"/>
      <w:sz w:val="24"/>
      <w:szCs w:val="24"/>
    </w:rPr>
  </w:style>
  <w:style w:type="paragraph" w:customStyle="1" w:styleId="507">
    <w:name w:val="ca-9"/>
    <w:basedOn w:val="1"/>
    <w:qFormat/>
    <w:uiPriority w:val="0"/>
    <w:rPr>
      <w:rFonts w:ascii="楷体_GB2312" w:hAnsi="宋体" w:eastAsia="楷体_GB2312" w:cs="宋体"/>
      <w:color w:val="000000"/>
      <w:spacing w:val="20"/>
      <w:sz w:val="96"/>
      <w:szCs w:val="96"/>
    </w:rPr>
  </w:style>
  <w:style w:type="paragraph" w:customStyle="1" w:styleId="508">
    <w:name w:val="pa-138"/>
    <w:basedOn w:val="1"/>
    <w:qFormat/>
    <w:uiPriority w:val="0"/>
    <w:pPr>
      <w:spacing w:line="480" w:lineRule="atLeast"/>
      <w:ind w:firstLine="960"/>
      <w:jc w:val="center"/>
    </w:pPr>
    <w:rPr>
      <w:rFonts w:ascii="宋体" w:hAnsi="宋体" w:cs="宋体"/>
      <w:sz w:val="24"/>
      <w:szCs w:val="24"/>
    </w:rPr>
  </w:style>
  <w:style w:type="paragraph" w:customStyle="1" w:styleId="509">
    <w:name w:val="pa-132"/>
    <w:basedOn w:val="1"/>
    <w:qFormat/>
    <w:uiPriority w:val="0"/>
    <w:pPr>
      <w:spacing w:line="360" w:lineRule="atLeast"/>
      <w:jc w:val="both"/>
    </w:pPr>
    <w:rPr>
      <w:rFonts w:ascii="宋体" w:hAnsi="宋体" w:cs="宋体"/>
      <w:sz w:val="24"/>
      <w:szCs w:val="24"/>
    </w:rPr>
  </w:style>
  <w:style w:type="paragraph" w:customStyle="1" w:styleId="510">
    <w:name w:val="pa-126"/>
    <w:basedOn w:val="1"/>
    <w:qFormat/>
    <w:uiPriority w:val="0"/>
    <w:pPr>
      <w:spacing w:line="480" w:lineRule="atLeast"/>
      <w:ind w:firstLine="480"/>
      <w:jc w:val="both"/>
    </w:pPr>
    <w:rPr>
      <w:rFonts w:ascii="宋体" w:hAnsi="宋体" w:cs="宋体"/>
      <w:sz w:val="24"/>
      <w:szCs w:val="24"/>
    </w:rPr>
  </w:style>
  <w:style w:type="paragraph" w:customStyle="1" w:styleId="511">
    <w:name w:val="pa-26"/>
    <w:basedOn w:val="1"/>
    <w:qFormat/>
    <w:uiPriority w:val="0"/>
    <w:pPr>
      <w:spacing w:line="276" w:lineRule="atLeast"/>
      <w:ind w:firstLine="720"/>
      <w:jc w:val="both"/>
    </w:pPr>
    <w:rPr>
      <w:rFonts w:ascii="宋体" w:hAnsi="宋体" w:cs="宋体"/>
      <w:sz w:val="24"/>
      <w:szCs w:val="24"/>
    </w:rPr>
  </w:style>
  <w:style w:type="paragraph" w:customStyle="1" w:styleId="512">
    <w:name w:val="1"/>
    <w:basedOn w:val="1"/>
    <w:next w:val="28"/>
    <w:qFormat/>
    <w:uiPriority w:val="0"/>
    <w:pPr>
      <w:widowControl w:val="0"/>
      <w:jc w:val="both"/>
    </w:pPr>
    <w:rPr>
      <w:rFonts w:ascii="宋体" w:hAnsi="Courier New" w:cs="Courier New"/>
      <w:kern w:val="2"/>
      <w:szCs w:val="21"/>
    </w:rPr>
  </w:style>
  <w:style w:type="paragraph" w:customStyle="1" w:styleId="513">
    <w:name w:val="Char13"/>
    <w:basedOn w:val="1"/>
    <w:qFormat/>
    <w:uiPriority w:val="0"/>
    <w:pPr>
      <w:widowControl w:val="0"/>
      <w:jc w:val="both"/>
    </w:pPr>
    <w:rPr>
      <w:rFonts w:ascii="Calibri" w:hAnsi="Calibri"/>
      <w:kern w:val="2"/>
      <w:szCs w:val="24"/>
    </w:rPr>
  </w:style>
  <w:style w:type="paragraph" w:customStyle="1" w:styleId="514">
    <w:name w:val="font5"/>
    <w:basedOn w:val="1"/>
    <w:qFormat/>
    <w:uiPriority w:val="0"/>
    <w:pPr>
      <w:spacing w:before="100" w:beforeAutospacing="1" w:after="100" w:afterAutospacing="1"/>
    </w:pPr>
    <w:rPr>
      <w:rFonts w:ascii="宋体" w:hAnsi="宋体" w:cs="宋体"/>
      <w:sz w:val="18"/>
      <w:szCs w:val="18"/>
    </w:rPr>
  </w:style>
  <w:style w:type="paragraph" w:customStyle="1" w:styleId="515">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sz w:val="16"/>
      <w:szCs w:val="16"/>
    </w:rPr>
  </w:style>
  <w:style w:type="paragraph" w:customStyle="1" w:styleId="5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17">
    <w:name w:val="pa-125"/>
    <w:basedOn w:val="1"/>
    <w:qFormat/>
    <w:uiPriority w:val="0"/>
    <w:pPr>
      <w:spacing w:line="480" w:lineRule="atLeast"/>
      <w:ind w:firstLine="1080"/>
      <w:jc w:val="both"/>
    </w:pPr>
    <w:rPr>
      <w:rFonts w:ascii="宋体" w:hAnsi="宋体" w:cs="宋体"/>
      <w:sz w:val="24"/>
      <w:szCs w:val="24"/>
    </w:rPr>
  </w:style>
  <w:style w:type="paragraph" w:customStyle="1" w:styleId="518">
    <w:name w:val="pa-62"/>
    <w:basedOn w:val="1"/>
    <w:qFormat/>
    <w:uiPriority w:val="0"/>
    <w:pPr>
      <w:spacing w:line="360" w:lineRule="atLeast"/>
      <w:ind w:firstLine="420"/>
      <w:jc w:val="both"/>
    </w:pPr>
    <w:rPr>
      <w:rFonts w:ascii="宋体" w:hAnsi="宋体" w:cs="宋体"/>
      <w:sz w:val="24"/>
      <w:szCs w:val="24"/>
    </w:rPr>
  </w:style>
  <w:style w:type="paragraph" w:customStyle="1" w:styleId="519">
    <w:name w:val="Char Char Char Char Char Char Char Char Char Char Char"/>
    <w:basedOn w:val="17"/>
    <w:qFormat/>
    <w:uiPriority w:val="0"/>
    <w:pPr>
      <w:widowControl w:val="0"/>
      <w:shd w:val="clear" w:color="auto" w:fill="000080"/>
      <w:jc w:val="both"/>
    </w:pPr>
    <w:rPr>
      <w:rFonts w:ascii="Tahoma" w:hAnsi="Tahoma"/>
      <w:kern w:val="2"/>
      <w:sz w:val="24"/>
      <w:szCs w:val="24"/>
    </w:rPr>
  </w:style>
  <w:style w:type="paragraph" w:customStyle="1" w:styleId="520">
    <w:name w:val="表格(五号)"/>
    <w:basedOn w:val="1"/>
    <w:qFormat/>
    <w:uiPriority w:val="0"/>
    <w:pPr>
      <w:widowControl w:val="0"/>
      <w:adjustRightInd w:val="0"/>
      <w:snapToGrid w:val="0"/>
      <w:spacing w:before="60" w:after="60"/>
      <w:ind w:left="11"/>
      <w:jc w:val="center"/>
    </w:pPr>
    <w:rPr>
      <w:rFonts w:ascii="Calibri" w:hAnsi="Calibri"/>
    </w:rPr>
  </w:style>
  <w:style w:type="paragraph" w:customStyle="1" w:styleId="521">
    <w:name w:val="正文文字格式"/>
    <w:basedOn w:val="1"/>
    <w:qFormat/>
    <w:uiPriority w:val="0"/>
    <w:pPr>
      <w:widowControl w:val="0"/>
      <w:spacing w:line="460" w:lineRule="exact"/>
      <w:ind w:firstLine="505"/>
    </w:pPr>
    <w:rPr>
      <w:rFonts w:ascii="宋体" w:hAnsi="Calibri"/>
      <w:kern w:val="24"/>
      <w:sz w:val="24"/>
    </w:rPr>
  </w:style>
  <w:style w:type="paragraph" w:customStyle="1" w:styleId="522">
    <w:name w:val="菲页(卷)"/>
    <w:basedOn w:val="3"/>
    <w:next w:val="169"/>
    <w:qFormat/>
    <w:uiPriority w:val="0"/>
    <w:pPr>
      <w:keepLines w:val="0"/>
      <w:widowControl/>
      <w:adjustRightInd/>
      <w:snapToGrid/>
      <w:spacing w:line="240" w:lineRule="auto"/>
      <w:ind w:left="840" w:hanging="420"/>
      <w:jc w:val="center"/>
      <w:outlineLvl w:val="1"/>
    </w:pPr>
    <w:rPr>
      <w:rFonts w:ascii="黑体" w:hAnsi="Calibri" w:eastAsia="黑体"/>
      <w:b w:val="0"/>
      <w:kern w:val="0"/>
      <w:sz w:val="52"/>
    </w:rPr>
  </w:style>
  <w:style w:type="paragraph" w:customStyle="1" w:styleId="523">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524">
    <w:name w:val="xl107"/>
    <w:basedOn w:val="1"/>
    <w:qFormat/>
    <w:uiPriority w:val="0"/>
    <w:pPr>
      <w:pBdr>
        <w:top w:val="single" w:color="auto" w:sz="4" w:space="0"/>
        <w:bottom w:val="single" w:color="auto" w:sz="4" w:space="0"/>
      </w:pBdr>
      <w:shd w:val="clear" w:color="000000" w:fill="92D050"/>
      <w:spacing w:before="100" w:beforeAutospacing="1" w:after="100" w:afterAutospacing="1"/>
      <w:jc w:val="center"/>
      <w:textAlignment w:val="center"/>
    </w:pPr>
    <w:rPr>
      <w:rFonts w:ascii="宋体" w:hAnsi="宋体" w:cs="宋体"/>
      <w:b/>
      <w:bCs/>
      <w:sz w:val="24"/>
      <w:szCs w:val="24"/>
    </w:rPr>
  </w:style>
  <w:style w:type="paragraph" w:customStyle="1" w:styleId="525">
    <w:name w:val="pa-52"/>
    <w:basedOn w:val="1"/>
    <w:qFormat/>
    <w:uiPriority w:val="0"/>
    <w:pPr>
      <w:spacing w:line="276" w:lineRule="atLeast"/>
    </w:pPr>
    <w:rPr>
      <w:rFonts w:ascii="宋体" w:hAnsi="宋体" w:cs="宋体"/>
      <w:sz w:val="24"/>
      <w:szCs w:val="24"/>
    </w:rPr>
  </w:style>
  <w:style w:type="paragraph" w:customStyle="1" w:styleId="526">
    <w:name w:val="ca-26"/>
    <w:basedOn w:val="1"/>
    <w:qFormat/>
    <w:uiPriority w:val="0"/>
    <w:rPr>
      <w:rFonts w:ascii="宋体" w:hAnsi="宋体" w:cs="宋体"/>
      <w:color w:val="002060"/>
      <w:szCs w:val="21"/>
    </w:rPr>
  </w:style>
  <w:style w:type="paragraph" w:customStyle="1" w:styleId="527">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28">
    <w:name w:val="pa-60"/>
    <w:basedOn w:val="1"/>
    <w:qFormat/>
    <w:uiPriority w:val="0"/>
    <w:pPr>
      <w:spacing w:line="360" w:lineRule="atLeast"/>
      <w:ind w:firstLine="560"/>
      <w:jc w:val="both"/>
    </w:pPr>
    <w:rPr>
      <w:rFonts w:ascii="宋体" w:hAnsi="宋体" w:cs="宋体"/>
      <w:sz w:val="24"/>
      <w:szCs w:val="24"/>
    </w:rPr>
  </w:style>
  <w:style w:type="paragraph" w:customStyle="1" w:styleId="529">
    <w:name w:val="td-9"/>
    <w:basedOn w:val="1"/>
    <w:qFormat/>
    <w:uiPriority w:val="0"/>
    <w:pPr>
      <w:pBdr>
        <w:top w:val="single" w:color="000000" w:sz="4" w:space="0"/>
        <w:left w:val="single" w:color="000000" w:sz="12" w:space="4"/>
        <w:bottom w:val="single" w:color="000000" w:sz="12" w:space="0"/>
        <w:right w:val="single" w:color="000000" w:sz="4" w:space="0"/>
      </w:pBdr>
    </w:pPr>
    <w:rPr>
      <w:rFonts w:ascii="宋体" w:hAnsi="宋体" w:cs="宋体"/>
      <w:sz w:val="24"/>
      <w:szCs w:val="24"/>
    </w:rPr>
  </w:style>
  <w:style w:type="paragraph" w:customStyle="1" w:styleId="530">
    <w:name w:val="td-10"/>
    <w:basedOn w:val="1"/>
    <w:qFormat/>
    <w:uiPriority w:val="0"/>
    <w:pPr>
      <w:pBdr>
        <w:top w:val="single" w:color="000000" w:sz="4" w:space="0"/>
        <w:left w:val="single" w:color="000000" w:sz="4" w:space="4"/>
        <w:bottom w:val="single" w:color="000000" w:sz="12" w:space="0"/>
        <w:right w:val="single" w:color="000000" w:sz="4" w:space="0"/>
      </w:pBdr>
    </w:pPr>
    <w:rPr>
      <w:rFonts w:ascii="宋体" w:hAnsi="宋体" w:cs="宋体"/>
      <w:sz w:val="24"/>
      <w:szCs w:val="24"/>
    </w:rPr>
  </w:style>
  <w:style w:type="paragraph" w:customStyle="1" w:styleId="531">
    <w:name w:val="pa-111"/>
    <w:basedOn w:val="1"/>
    <w:qFormat/>
    <w:uiPriority w:val="0"/>
    <w:pPr>
      <w:spacing w:line="280" w:lineRule="atLeast"/>
      <w:ind w:firstLine="480"/>
      <w:jc w:val="both"/>
    </w:pPr>
    <w:rPr>
      <w:rFonts w:ascii="宋体" w:hAnsi="宋体" w:cs="宋体"/>
      <w:sz w:val="24"/>
      <w:szCs w:val="24"/>
    </w:rPr>
  </w:style>
  <w:style w:type="paragraph" w:customStyle="1" w:styleId="532">
    <w:name w:val="Char Char Char"/>
    <w:basedOn w:val="1"/>
    <w:qFormat/>
    <w:uiPriority w:val="0"/>
    <w:pPr>
      <w:widowControl w:val="0"/>
      <w:jc w:val="both"/>
    </w:pPr>
    <w:rPr>
      <w:kern w:val="2"/>
    </w:rPr>
  </w:style>
  <w:style w:type="paragraph" w:customStyle="1" w:styleId="533">
    <w:name w:val="pa-35"/>
    <w:basedOn w:val="1"/>
    <w:qFormat/>
    <w:uiPriority w:val="0"/>
    <w:pPr>
      <w:spacing w:line="360" w:lineRule="atLeast"/>
    </w:pPr>
    <w:rPr>
      <w:rFonts w:ascii="宋体" w:hAnsi="宋体" w:cs="宋体"/>
      <w:sz w:val="24"/>
      <w:szCs w:val="24"/>
    </w:rPr>
  </w:style>
  <w:style w:type="paragraph" w:customStyle="1" w:styleId="534">
    <w:name w:val="ca-45"/>
    <w:basedOn w:val="1"/>
    <w:qFormat/>
    <w:uiPriority w:val="0"/>
    <w:rPr>
      <w:rFonts w:ascii="宋体" w:hAnsi="宋体" w:cs="宋体"/>
      <w:color w:val="000000"/>
      <w:sz w:val="72"/>
      <w:szCs w:val="72"/>
    </w:rPr>
  </w:style>
  <w:style w:type="paragraph" w:customStyle="1" w:styleId="535">
    <w:name w:val="pa-74"/>
    <w:basedOn w:val="1"/>
    <w:qFormat/>
    <w:uiPriority w:val="0"/>
    <w:pPr>
      <w:spacing w:line="360" w:lineRule="atLeast"/>
      <w:ind w:firstLine="640"/>
      <w:jc w:val="center"/>
    </w:pPr>
    <w:rPr>
      <w:rFonts w:ascii="宋体" w:hAnsi="宋体" w:cs="宋体"/>
      <w:sz w:val="24"/>
      <w:szCs w:val="24"/>
    </w:rPr>
  </w:style>
  <w:style w:type="paragraph" w:customStyle="1" w:styleId="536">
    <w:name w:val="ca-7"/>
    <w:basedOn w:val="1"/>
    <w:qFormat/>
    <w:uiPriority w:val="0"/>
    <w:rPr>
      <w:rFonts w:ascii="Calibri" w:hAnsi="Calibri"/>
      <w:color w:val="000000"/>
      <w:sz w:val="28"/>
      <w:szCs w:val="28"/>
    </w:rPr>
  </w:style>
  <w:style w:type="paragraph" w:customStyle="1" w:styleId="537">
    <w:name w:val="列出段落2"/>
    <w:basedOn w:val="1"/>
    <w:qFormat/>
    <w:uiPriority w:val="0"/>
    <w:pPr>
      <w:widowControl w:val="0"/>
      <w:spacing w:before="100" w:beforeAutospacing="1" w:after="100" w:afterAutospacing="1"/>
      <w:ind w:left="720"/>
      <w:jc w:val="both"/>
    </w:pPr>
    <w:rPr>
      <w:rFonts w:ascii="Calibri" w:hAnsi="Calibri"/>
      <w:color w:val="000000"/>
      <w:kern w:val="2"/>
      <w:szCs w:val="21"/>
    </w:rPr>
  </w:style>
  <w:style w:type="paragraph" w:customStyle="1" w:styleId="538">
    <w:name w:val="pa-106"/>
    <w:basedOn w:val="1"/>
    <w:qFormat/>
    <w:uiPriority w:val="0"/>
    <w:pPr>
      <w:spacing w:line="720" w:lineRule="atLeast"/>
      <w:jc w:val="both"/>
    </w:pPr>
    <w:rPr>
      <w:rFonts w:ascii="宋体" w:hAnsi="宋体" w:cs="宋体"/>
      <w:sz w:val="24"/>
      <w:szCs w:val="24"/>
    </w:rPr>
  </w:style>
  <w:style w:type="paragraph" w:customStyle="1" w:styleId="539">
    <w:name w:val="ca-41"/>
    <w:basedOn w:val="1"/>
    <w:qFormat/>
    <w:uiPriority w:val="0"/>
    <w:rPr>
      <w:rFonts w:ascii="宋体" w:hAnsi="宋体" w:cs="宋体"/>
      <w:b/>
      <w:bCs/>
      <w:color w:val="000000"/>
      <w:spacing w:val="-20"/>
      <w:sz w:val="32"/>
      <w:szCs w:val="32"/>
    </w:rPr>
  </w:style>
  <w:style w:type="paragraph" w:customStyle="1" w:styleId="540">
    <w:name w:val="xl110"/>
    <w:basedOn w:val="1"/>
    <w:qFormat/>
    <w:uiPriority w:val="0"/>
    <w:pPr>
      <w:pBdr>
        <w:top w:val="single" w:color="auto" w:sz="4" w:space="0"/>
        <w:bottom w:val="single" w:color="auto" w:sz="4" w:space="0"/>
        <w:right w:val="single" w:color="auto" w:sz="4" w:space="0"/>
      </w:pBdr>
      <w:shd w:val="clear" w:color="000000" w:fill="C2E277"/>
      <w:spacing w:before="100" w:beforeAutospacing="1" w:after="100" w:afterAutospacing="1"/>
      <w:jc w:val="center"/>
      <w:textAlignment w:val="center"/>
    </w:pPr>
    <w:rPr>
      <w:rFonts w:ascii="宋体" w:hAnsi="宋体" w:cs="宋体"/>
      <w:b/>
      <w:bCs/>
      <w:sz w:val="24"/>
      <w:szCs w:val="24"/>
    </w:rPr>
  </w:style>
  <w:style w:type="paragraph" w:customStyle="1" w:styleId="541">
    <w:name w:val="ca-4"/>
    <w:basedOn w:val="1"/>
    <w:qFormat/>
    <w:uiPriority w:val="0"/>
    <w:rPr>
      <w:rFonts w:ascii="宋体" w:hAnsi="宋体" w:cs="宋体"/>
      <w:b/>
      <w:bCs/>
      <w:color w:val="000000"/>
      <w:spacing w:val="-20"/>
      <w:sz w:val="48"/>
      <w:szCs w:val="48"/>
    </w:rPr>
  </w:style>
  <w:style w:type="paragraph" w:customStyle="1" w:styleId="542">
    <w:name w:val="图"/>
    <w:basedOn w:val="1"/>
    <w:qFormat/>
    <w:uiPriority w:val="0"/>
    <w:pPr>
      <w:keepNext/>
      <w:widowControl w:val="0"/>
      <w:adjustRightInd w:val="0"/>
      <w:snapToGrid w:val="0"/>
      <w:spacing w:before="60" w:after="60" w:line="300" w:lineRule="auto"/>
      <w:jc w:val="center"/>
    </w:pPr>
    <w:rPr>
      <w:rFonts w:hint="eastAsia" w:ascii="Calibri" w:hAnsi="Calibri"/>
      <w:spacing w:val="20"/>
      <w:sz w:val="24"/>
    </w:rPr>
  </w:style>
  <w:style w:type="paragraph" w:customStyle="1" w:styleId="543">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sz w:val="20"/>
    </w:rPr>
  </w:style>
  <w:style w:type="paragraph" w:customStyle="1" w:styleId="544">
    <w:name w:val="Char Char Char Char2"/>
    <w:basedOn w:val="1"/>
    <w:qFormat/>
    <w:uiPriority w:val="0"/>
    <w:pPr>
      <w:spacing w:after="160" w:line="240" w:lineRule="exact"/>
    </w:pPr>
    <w:rPr>
      <w:rFonts w:ascii="Verdana" w:hAnsi="Verdana" w:eastAsia="仿宋_GB2312"/>
      <w:sz w:val="24"/>
      <w:lang w:eastAsia="en-US"/>
    </w:rPr>
  </w:style>
  <w:style w:type="paragraph" w:customStyle="1" w:styleId="545">
    <w:name w:val="pa-117"/>
    <w:basedOn w:val="1"/>
    <w:qFormat/>
    <w:uiPriority w:val="0"/>
    <w:pPr>
      <w:spacing w:line="360" w:lineRule="atLeast"/>
      <w:ind w:firstLine="3840"/>
      <w:jc w:val="both"/>
    </w:pPr>
    <w:rPr>
      <w:rFonts w:ascii="宋体" w:hAnsi="宋体" w:cs="宋体"/>
      <w:sz w:val="24"/>
      <w:szCs w:val="24"/>
    </w:rPr>
  </w:style>
  <w:style w:type="paragraph" w:customStyle="1" w:styleId="546">
    <w:name w:val="p0"/>
    <w:basedOn w:val="1"/>
    <w:qFormat/>
    <w:uiPriority w:val="99"/>
    <w:pPr>
      <w:jc w:val="both"/>
    </w:pPr>
    <w:rPr>
      <w:rFonts w:ascii="Calibri" w:hAnsi="Calibri" w:cs="宋体"/>
      <w:szCs w:val="21"/>
    </w:rPr>
  </w:style>
  <w:style w:type="paragraph" w:customStyle="1" w:styleId="547">
    <w:name w:val="p16"/>
    <w:basedOn w:val="1"/>
    <w:qFormat/>
    <w:uiPriority w:val="0"/>
    <w:pPr>
      <w:jc w:val="both"/>
    </w:pPr>
    <w:rPr>
      <w:szCs w:val="21"/>
    </w:rPr>
  </w:style>
  <w:style w:type="paragraph" w:customStyle="1" w:styleId="548">
    <w:name w:val="xl108"/>
    <w:basedOn w:val="1"/>
    <w:qFormat/>
    <w:uiPriority w:val="0"/>
    <w:pPr>
      <w:pBdr>
        <w:top w:val="single" w:color="auto" w:sz="4" w:space="0"/>
        <w:left w:val="single" w:color="auto" w:sz="4" w:space="0"/>
        <w:bottom w:val="single" w:color="auto" w:sz="4" w:space="0"/>
      </w:pBdr>
      <w:shd w:val="clear" w:color="000000" w:fill="C2E277"/>
      <w:spacing w:before="100" w:beforeAutospacing="1" w:after="100" w:afterAutospacing="1"/>
      <w:jc w:val="center"/>
      <w:textAlignment w:val="center"/>
    </w:pPr>
    <w:rPr>
      <w:rFonts w:ascii="宋体" w:hAnsi="宋体" w:cs="宋体"/>
      <w:b/>
      <w:bCs/>
      <w:sz w:val="24"/>
      <w:szCs w:val="24"/>
    </w:rPr>
  </w:style>
  <w:style w:type="paragraph" w:customStyle="1" w:styleId="549">
    <w:name w:val="pa-115"/>
    <w:basedOn w:val="1"/>
    <w:qFormat/>
    <w:uiPriority w:val="0"/>
    <w:pPr>
      <w:spacing w:line="480" w:lineRule="atLeast"/>
      <w:jc w:val="both"/>
    </w:pPr>
    <w:rPr>
      <w:rFonts w:ascii="宋体" w:hAnsi="宋体" w:cs="宋体"/>
      <w:sz w:val="24"/>
      <w:szCs w:val="24"/>
    </w:rPr>
  </w:style>
  <w:style w:type="paragraph" w:customStyle="1" w:styleId="550">
    <w:name w:val="td-8"/>
    <w:basedOn w:val="1"/>
    <w:qFormat/>
    <w:uiPriority w:val="0"/>
    <w:pPr>
      <w:pBdr>
        <w:top w:val="single" w:color="000000" w:sz="4" w:space="0"/>
        <w:left w:val="single" w:color="000000" w:sz="4" w:space="4"/>
        <w:bottom w:val="single" w:color="000000" w:sz="4" w:space="0"/>
        <w:right w:val="single" w:color="000000" w:sz="12" w:space="0"/>
      </w:pBdr>
    </w:pPr>
    <w:rPr>
      <w:rFonts w:ascii="宋体" w:hAnsi="宋体" w:cs="宋体"/>
      <w:sz w:val="24"/>
      <w:szCs w:val="24"/>
    </w:rPr>
  </w:style>
  <w:style w:type="paragraph" w:customStyle="1" w:styleId="551">
    <w:name w:val="默认段落字体 Para Char Char Char Char"/>
    <w:basedOn w:val="1"/>
    <w:qFormat/>
    <w:uiPriority w:val="99"/>
    <w:pPr>
      <w:widowControl w:val="0"/>
      <w:spacing w:line="360" w:lineRule="auto"/>
      <w:ind w:firstLine="200" w:firstLineChars="200"/>
      <w:jc w:val="both"/>
    </w:pPr>
    <w:rPr>
      <w:kern w:val="2"/>
      <w:szCs w:val="24"/>
    </w:rPr>
  </w:style>
  <w:style w:type="paragraph" w:customStyle="1" w:styleId="552">
    <w:name w:val="简单回函地址"/>
    <w:basedOn w:val="1"/>
    <w:qFormat/>
    <w:uiPriority w:val="99"/>
    <w:pPr>
      <w:widowControl w:val="0"/>
      <w:jc w:val="both"/>
    </w:pPr>
    <w:rPr>
      <w:kern w:val="2"/>
    </w:rPr>
  </w:style>
  <w:style w:type="paragraph" w:customStyle="1" w:styleId="553">
    <w:name w:val="纯文本2"/>
    <w:basedOn w:val="1"/>
    <w:qFormat/>
    <w:uiPriority w:val="99"/>
    <w:pPr>
      <w:adjustRightInd w:val="0"/>
      <w:spacing w:line="300" w:lineRule="exact"/>
      <w:ind w:firstLine="200" w:firstLineChars="200"/>
      <w:textAlignment w:val="baseline"/>
    </w:pPr>
    <w:rPr>
      <w:rFonts w:ascii="宋体" w:hAnsi="Courier New" w:eastAsia="楷体_GB2312"/>
      <w:kern w:val="2"/>
      <w:sz w:val="26"/>
    </w:rPr>
  </w:style>
  <w:style w:type="paragraph" w:customStyle="1" w:styleId="554">
    <w:name w:val="默认段落字体 Para Char Char Char Char Char Char Char Char Char1 Char Char Char Char"/>
    <w:basedOn w:val="1"/>
    <w:qFormat/>
    <w:uiPriority w:val="99"/>
    <w:pPr>
      <w:widowControl w:val="0"/>
      <w:jc w:val="both"/>
    </w:pPr>
    <w:rPr>
      <w:rFonts w:ascii="Tahoma" w:hAnsi="Tahoma"/>
      <w:kern w:val="2"/>
      <w:sz w:val="24"/>
    </w:rPr>
  </w:style>
  <w:style w:type="paragraph" w:customStyle="1" w:styleId="555">
    <w:name w:val="纯文本3"/>
    <w:basedOn w:val="1"/>
    <w:qFormat/>
    <w:uiPriority w:val="0"/>
    <w:pPr>
      <w:widowControl w:val="0"/>
      <w:spacing w:line="400" w:lineRule="exact"/>
      <w:jc w:val="both"/>
    </w:pPr>
    <w:rPr>
      <w:rFonts w:ascii="宋体" w:hAnsi="宋体"/>
      <w:kern w:val="2"/>
      <w:sz w:val="24"/>
      <w:szCs w:val="24"/>
    </w:rPr>
  </w:style>
  <w:style w:type="paragraph" w:customStyle="1" w:styleId="556">
    <w:name w:val="msonormal"/>
    <w:basedOn w:val="1"/>
    <w:qFormat/>
    <w:uiPriority w:val="0"/>
    <w:pPr>
      <w:spacing w:before="100" w:beforeAutospacing="1" w:after="100" w:afterAutospacing="1"/>
    </w:pPr>
    <w:rPr>
      <w:rFonts w:ascii="宋体" w:hAnsi="宋体" w:cs="宋体"/>
      <w:sz w:val="24"/>
      <w:szCs w:val="24"/>
    </w:rPr>
  </w:style>
  <w:style w:type="character" w:customStyle="1" w:styleId="557">
    <w:name w:val="批注主题 Char3"/>
    <w:qFormat/>
    <w:uiPriority w:val="0"/>
    <w:rPr>
      <w:rFonts w:eastAsia="宋体" w:cs="Times New Roman"/>
      <w:b/>
      <w:bCs/>
      <w:kern w:val="2"/>
      <w:sz w:val="24"/>
      <w:szCs w:val="24"/>
      <w:lang w:val="en-US" w:eastAsia="zh-CN" w:bidi="ar-SA"/>
    </w:rPr>
  </w:style>
  <w:style w:type="character" w:customStyle="1" w:styleId="558">
    <w:name w:val="zbggtop11 style5"/>
    <w:qFormat/>
    <w:uiPriority w:val="0"/>
    <w:rPr>
      <w:rFonts w:cs="Times New Roman"/>
    </w:rPr>
  </w:style>
  <w:style w:type="character" w:customStyle="1" w:styleId="559">
    <w:name w:val="ca-511"/>
    <w:qFormat/>
    <w:uiPriority w:val="0"/>
    <w:rPr>
      <w:rFonts w:ascii="Times New Roman" w:hAnsi="Times New Roman" w:cs="Times New Roman"/>
      <w:b/>
      <w:bCs/>
      <w:color w:val="000000"/>
      <w:spacing w:val="-20"/>
      <w:sz w:val="32"/>
      <w:szCs w:val="32"/>
    </w:rPr>
  </w:style>
  <w:style w:type="character" w:customStyle="1" w:styleId="560">
    <w:name w:val="脚注文本 Char1"/>
    <w:qFormat/>
    <w:uiPriority w:val="0"/>
    <w:rPr>
      <w:sz w:val="18"/>
      <w:szCs w:val="18"/>
    </w:rPr>
  </w:style>
  <w:style w:type="character" w:customStyle="1" w:styleId="561">
    <w:name w:val="ca-191"/>
    <w:qFormat/>
    <w:uiPriority w:val="0"/>
    <w:rPr>
      <w:rFonts w:ascii="Times New Roman" w:hAnsi="Times New Roman" w:cs="Times New Roman"/>
      <w:sz w:val="18"/>
      <w:szCs w:val="18"/>
    </w:rPr>
  </w:style>
  <w:style w:type="character" w:customStyle="1" w:styleId="562">
    <w:name w:val="Title Char"/>
    <w:qFormat/>
    <w:locked/>
    <w:uiPriority w:val="0"/>
    <w:rPr>
      <w:rFonts w:ascii="Arial" w:hAnsi="Arial" w:eastAsia="宋体"/>
      <w:b/>
      <w:sz w:val="32"/>
      <w:lang w:val="en-US" w:eastAsia="zh-CN"/>
    </w:rPr>
  </w:style>
  <w:style w:type="character" w:customStyle="1" w:styleId="563">
    <w:name w:val="ca-361"/>
    <w:qFormat/>
    <w:uiPriority w:val="0"/>
    <w:rPr>
      <w:rFonts w:ascii="宋体" w:hAnsi="宋体" w:eastAsia="宋体" w:cs="Times New Roman"/>
      <w:b/>
      <w:bCs/>
      <w:spacing w:val="-20"/>
      <w:sz w:val="21"/>
      <w:szCs w:val="21"/>
    </w:rPr>
  </w:style>
  <w:style w:type="character" w:customStyle="1" w:styleId="564">
    <w:name w:val="2nd level Char"/>
    <w:qFormat/>
    <w:uiPriority w:val="0"/>
    <w:rPr>
      <w:rFonts w:ascii="Arial" w:hAnsi="Arial" w:eastAsia="宋体" w:cs="Times New Roman"/>
      <w:b/>
      <w:bCs/>
      <w:kern w:val="2"/>
      <w:sz w:val="32"/>
      <w:szCs w:val="32"/>
      <w:lang w:val="en-US" w:eastAsia="zh-CN" w:bidi="ar-SA"/>
    </w:rPr>
  </w:style>
  <w:style w:type="character" w:customStyle="1" w:styleId="565">
    <w:name w:val="ca-211"/>
    <w:qFormat/>
    <w:uiPriority w:val="0"/>
    <w:rPr>
      <w:rFonts w:ascii="宋体" w:hAnsi="宋体" w:eastAsia="宋体" w:cs="Times New Roman"/>
      <w:color w:val="000000"/>
      <w:sz w:val="21"/>
      <w:szCs w:val="21"/>
    </w:rPr>
  </w:style>
  <w:style w:type="character" w:customStyle="1" w:styleId="566">
    <w:name w:val="页脚 Char1"/>
    <w:qFormat/>
    <w:uiPriority w:val="0"/>
    <w:rPr>
      <w:rFonts w:eastAsia="宋体" w:cs="Times New Roman"/>
      <w:kern w:val="2"/>
      <w:sz w:val="18"/>
      <w:szCs w:val="18"/>
      <w:lang w:val="en-US" w:eastAsia="zh-CN" w:bidi="ar-SA"/>
    </w:rPr>
  </w:style>
  <w:style w:type="character" w:customStyle="1" w:styleId="567">
    <w:name w:val="Body Text Indent 2 Char"/>
    <w:qFormat/>
    <w:locked/>
    <w:uiPriority w:val="0"/>
    <w:rPr>
      <w:rFonts w:eastAsia="宋体"/>
      <w:kern w:val="2"/>
      <w:sz w:val="21"/>
      <w:szCs w:val="24"/>
      <w:lang w:val="en-US" w:eastAsia="zh-CN" w:bidi="ar-SA"/>
    </w:rPr>
  </w:style>
  <w:style w:type="character" w:customStyle="1" w:styleId="568">
    <w:name w:val="ca-321"/>
    <w:qFormat/>
    <w:uiPriority w:val="0"/>
    <w:rPr>
      <w:rFonts w:ascii="宋体" w:hAnsi="宋体" w:eastAsia="宋体" w:cs="Times New Roman"/>
      <w:b/>
      <w:bCs/>
      <w:color w:val="C00000"/>
      <w:spacing w:val="-20"/>
      <w:sz w:val="21"/>
      <w:szCs w:val="21"/>
    </w:rPr>
  </w:style>
  <w:style w:type="character" w:customStyle="1" w:styleId="569">
    <w:name w:val="副标题 Char1"/>
    <w:qFormat/>
    <w:uiPriority w:val="0"/>
    <w:rPr>
      <w:rFonts w:ascii="Cambria" w:hAnsi="Cambria"/>
      <w:b/>
      <w:kern w:val="28"/>
      <w:sz w:val="32"/>
    </w:rPr>
  </w:style>
  <w:style w:type="character" w:customStyle="1" w:styleId="570">
    <w:name w:val="ca-161"/>
    <w:qFormat/>
    <w:uiPriority w:val="0"/>
    <w:rPr>
      <w:rFonts w:ascii="宋体" w:hAnsi="宋体" w:eastAsia="宋体" w:cs="Times New Roman"/>
      <w:sz w:val="24"/>
      <w:szCs w:val="24"/>
    </w:rPr>
  </w:style>
  <w:style w:type="character" w:customStyle="1" w:styleId="571">
    <w:name w:val="htd01"/>
    <w:qFormat/>
    <w:uiPriority w:val="0"/>
    <w:rPr>
      <w:rFonts w:cs="Times New Roman"/>
    </w:rPr>
  </w:style>
  <w:style w:type="character" w:customStyle="1" w:styleId="572">
    <w:name w:val="zbggmain style9"/>
    <w:qFormat/>
    <w:uiPriority w:val="0"/>
    <w:rPr>
      <w:rFonts w:cs="Times New Roman"/>
    </w:rPr>
  </w:style>
  <w:style w:type="character" w:customStyle="1" w:styleId="573">
    <w:name w:val="纯文本 Char"/>
    <w:qFormat/>
    <w:uiPriority w:val="0"/>
    <w:rPr>
      <w:rFonts w:ascii="宋体" w:cs="Courier New"/>
      <w:szCs w:val="21"/>
      <w:lang w:bidi="ar-SA"/>
    </w:rPr>
  </w:style>
  <w:style w:type="character" w:customStyle="1" w:styleId="574">
    <w:name w:val="ca-210"/>
    <w:qFormat/>
    <w:uiPriority w:val="0"/>
    <w:rPr>
      <w:rFonts w:ascii="Times New Roman" w:hAnsi="Times New Roman" w:cs="Times New Roman"/>
      <w:color w:val="000000"/>
      <w:sz w:val="36"/>
      <w:szCs w:val="36"/>
    </w:rPr>
  </w:style>
  <w:style w:type="character" w:customStyle="1" w:styleId="575">
    <w:name w:val="Heading 5 Char"/>
    <w:qFormat/>
    <w:locked/>
    <w:uiPriority w:val="0"/>
    <w:rPr>
      <w:rFonts w:eastAsia="宋体"/>
      <w:b/>
      <w:kern w:val="2"/>
      <w:sz w:val="28"/>
      <w:lang w:val="en-US" w:eastAsia="zh-CN"/>
    </w:rPr>
  </w:style>
  <w:style w:type="character" w:customStyle="1" w:styleId="576">
    <w:name w:val="正文2 Char"/>
    <w:qFormat/>
    <w:uiPriority w:val="0"/>
    <w:rPr>
      <w:rFonts w:eastAsia="宋体"/>
      <w:kern w:val="2"/>
      <w:sz w:val="24"/>
      <w:lang w:val="en-US" w:eastAsia="zh-CN" w:bidi="ar-SA"/>
    </w:rPr>
  </w:style>
  <w:style w:type="character" w:customStyle="1" w:styleId="577">
    <w:name w:val="Char Char Char Char Char Char Char Char Char"/>
    <w:qFormat/>
    <w:uiPriority w:val="0"/>
    <w:rPr>
      <w:rFonts w:eastAsia="宋体" w:cs="Times New Roman"/>
      <w:kern w:val="2"/>
      <w:sz w:val="24"/>
      <w:szCs w:val="24"/>
      <w:lang w:val="en-US" w:eastAsia="zh-CN" w:bidi="ar-SA"/>
    </w:rPr>
  </w:style>
  <w:style w:type="character" w:customStyle="1" w:styleId="578">
    <w:name w:val="Header Char"/>
    <w:qFormat/>
    <w:locked/>
    <w:uiPriority w:val="0"/>
    <w:rPr>
      <w:rFonts w:eastAsia="宋体"/>
      <w:kern w:val="2"/>
      <w:sz w:val="18"/>
      <w:lang w:val="en-US" w:eastAsia="zh-CN"/>
    </w:rPr>
  </w:style>
  <w:style w:type="character" w:customStyle="1" w:styleId="579">
    <w:name w:val="ca-381"/>
    <w:qFormat/>
    <w:uiPriority w:val="0"/>
    <w:rPr>
      <w:rFonts w:ascii="Times New Roman" w:hAnsi="Times New Roman" w:cs="Times New Roman"/>
      <w:b/>
      <w:bCs/>
      <w:spacing w:val="-20"/>
      <w:sz w:val="21"/>
      <w:szCs w:val="21"/>
    </w:rPr>
  </w:style>
  <w:style w:type="character" w:customStyle="1" w:styleId="580">
    <w:name w:val="text"/>
    <w:qFormat/>
    <w:uiPriority w:val="0"/>
    <w:rPr>
      <w:rFonts w:cs="Times New Roman"/>
    </w:rPr>
  </w:style>
  <w:style w:type="character" w:customStyle="1" w:styleId="581">
    <w:name w:val="Heading 3 Char1"/>
    <w:qFormat/>
    <w:locked/>
    <w:uiPriority w:val="0"/>
    <w:rPr>
      <w:rFonts w:cs="Times New Roman"/>
      <w:b/>
      <w:bCs/>
      <w:kern w:val="2"/>
      <w:sz w:val="32"/>
      <w:szCs w:val="32"/>
    </w:rPr>
  </w:style>
  <w:style w:type="character" w:customStyle="1" w:styleId="582">
    <w:name w:val="ca-421"/>
    <w:qFormat/>
    <w:uiPriority w:val="0"/>
    <w:rPr>
      <w:rFonts w:ascii="宋体" w:hAnsi="宋体" w:eastAsia="宋体" w:cs="Times New Roman"/>
      <w:color w:val="000000"/>
      <w:sz w:val="36"/>
      <w:szCs w:val="36"/>
    </w:rPr>
  </w:style>
  <w:style w:type="character" w:customStyle="1" w:styleId="583">
    <w:name w:val="by jerry Char1"/>
    <w:qFormat/>
    <w:uiPriority w:val="0"/>
    <w:rPr>
      <w:rFonts w:cs="Times New Roman"/>
      <w:b/>
      <w:bCs/>
      <w:kern w:val="44"/>
      <w:sz w:val="44"/>
      <w:szCs w:val="44"/>
    </w:rPr>
  </w:style>
  <w:style w:type="character" w:customStyle="1" w:styleId="584">
    <w:name w:val="Para head"/>
    <w:qFormat/>
    <w:uiPriority w:val="0"/>
    <w:rPr>
      <w:rFonts w:ascii="Arial" w:hAnsi="Arial" w:cs="Times New Roman"/>
      <w:sz w:val="20"/>
    </w:rPr>
  </w:style>
  <w:style w:type="character" w:customStyle="1" w:styleId="585">
    <w:name w:val="Comment Subject Char"/>
    <w:qFormat/>
    <w:locked/>
    <w:uiPriority w:val="0"/>
    <w:rPr>
      <w:rFonts w:eastAsia="宋体"/>
      <w:b/>
      <w:kern w:val="2"/>
      <w:sz w:val="24"/>
      <w:lang w:val="en-US" w:eastAsia="zh-CN"/>
    </w:rPr>
  </w:style>
  <w:style w:type="character" w:customStyle="1" w:styleId="586">
    <w:name w:val="批注文字 Char1"/>
    <w:qFormat/>
    <w:uiPriority w:val="0"/>
    <w:rPr>
      <w:rFonts w:eastAsia="宋体" w:cs="Times New Roman"/>
      <w:kern w:val="2"/>
      <w:sz w:val="24"/>
      <w:szCs w:val="24"/>
      <w:lang w:val="en-US" w:eastAsia="zh-CN" w:bidi="ar-SA"/>
    </w:rPr>
  </w:style>
  <w:style w:type="character" w:customStyle="1" w:styleId="587">
    <w:name w:val="正文首行缩进 Char2"/>
    <w:qFormat/>
    <w:uiPriority w:val="0"/>
    <w:rPr>
      <w:rFonts w:ascii="楷体_GB2312" w:hAnsi="Times New Roman" w:eastAsia="楷体_GB2312"/>
      <w:kern w:val="2"/>
      <w:sz w:val="21"/>
    </w:rPr>
  </w:style>
  <w:style w:type="character" w:customStyle="1" w:styleId="588">
    <w:name w:val="Date Char1"/>
    <w:qFormat/>
    <w:locked/>
    <w:uiPriority w:val="0"/>
    <w:rPr>
      <w:rFonts w:ascii="仿宋_GB2312" w:eastAsia="仿宋_GB2312"/>
      <w:sz w:val="28"/>
      <w:lang w:val="en-US" w:eastAsia="zh-CN" w:bidi="ar-SA"/>
    </w:rPr>
  </w:style>
  <w:style w:type="character" w:customStyle="1" w:styleId="589">
    <w:name w:val="尾注文本 Char1"/>
    <w:qFormat/>
    <w:uiPriority w:val="0"/>
    <w:rPr>
      <w:sz w:val="21"/>
    </w:rPr>
  </w:style>
  <w:style w:type="character" w:customStyle="1" w:styleId="590">
    <w:name w:val="ca-181"/>
    <w:qFormat/>
    <w:uiPriority w:val="0"/>
    <w:rPr>
      <w:rFonts w:ascii="宋体" w:hAnsi="宋体" w:eastAsia="宋体" w:cs="Times New Roman"/>
      <w:color w:val="000000"/>
      <w:sz w:val="18"/>
      <w:szCs w:val="18"/>
    </w:rPr>
  </w:style>
  <w:style w:type="character" w:customStyle="1" w:styleId="591">
    <w:name w:val="Char Char1"/>
    <w:qFormat/>
    <w:uiPriority w:val="0"/>
    <w:rPr>
      <w:rFonts w:ascii="宋体" w:hAnsi="Courier New" w:eastAsia="宋体" w:cs="Courier New"/>
      <w:kern w:val="2"/>
      <w:sz w:val="21"/>
      <w:szCs w:val="21"/>
      <w:lang w:val="en-US" w:eastAsia="zh-CN" w:bidi="ar-SA"/>
    </w:rPr>
  </w:style>
  <w:style w:type="character" w:customStyle="1" w:styleId="592">
    <w:name w:val="Char Char2"/>
    <w:qFormat/>
    <w:uiPriority w:val="0"/>
    <w:rPr>
      <w:rFonts w:eastAsia="宋体" w:cs="Times New Roman"/>
      <w:kern w:val="2"/>
      <w:sz w:val="24"/>
      <w:szCs w:val="24"/>
      <w:lang w:val="en-US" w:eastAsia="zh-CN" w:bidi="ar-SA"/>
    </w:rPr>
  </w:style>
  <w:style w:type="character" w:customStyle="1" w:styleId="593">
    <w:name w:val="style13"/>
    <w:basedOn w:val="57"/>
    <w:qFormat/>
    <w:uiPriority w:val="0"/>
  </w:style>
  <w:style w:type="character" w:customStyle="1" w:styleId="594">
    <w:name w:val="Body Text Indent Char"/>
    <w:qFormat/>
    <w:locked/>
    <w:uiPriority w:val="0"/>
    <w:rPr>
      <w:rFonts w:ascii="宋体" w:hAnsi="宋体" w:eastAsia="宋体" w:cs="Times New Roman"/>
      <w:kern w:val="2"/>
      <w:sz w:val="24"/>
      <w:szCs w:val="24"/>
      <w:lang w:val="en-US" w:eastAsia="zh-CN" w:bidi="ar-SA"/>
    </w:rPr>
  </w:style>
  <w:style w:type="character" w:customStyle="1" w:styleId="595">
    <w:name w:val="ca-81"/>
    <w:qFormat/>
    <w:uiPriority w:val="0"/>
    <w:rPr>
      <w:rFonts w:ascii="宋体" w:hAnsi="宋体" w:eastAsia="宋体" w:cs="Times New Roman"/>
      <w:color w:val="000000"/>
      <w:sz w:val="28"/>
      <w:szCs w:val="28"/>
    </w:rPr>
  </w:style>
  <w:style w:type="character" w:customStyle="1" w:styleId="596">
    <w:name w:val="Heading 1 Char"/>
    <w:qFormat/>
    <w:locked/>
    <w:uiPriority w:val="0"/>
    <w:rPr>
      <w:rFonts w:cs="Times New Roman"/>
      <w:b/>
      <w:bCs/>
      <w:kern w:val="44"/>
      <w:sz w:val="44"/>
      <w:szCs w:val="44"/>
    </w:rPr>
  </w:style>
  <w:style w:type="character" w:customStyle="1" w:styleId="597">
    <w:name w:val="图表标题 Char"/>
    <w:qFormat/>
    <w:uiPriority w:val="0"/>
    <w:rPr>
      <w:rFonts w:ascii="宋体" w:eastAsia="宋体"/>
      <w:snapToGrid w:val="0"/>
      <w:color w:val="000000"/>
      <w:kern w:val="28"/>
      <w:sz w:val="28"/>
      <w:lang w:val="en-US" w:eastAsia="zh-CN" w:bidi="ar-SA"/>
    </w:rPr>
  </w:style>
  <w:style w:type="character" w:customStyle="1" w:styleId="598">
    <w:name w:val="标题 3 Char Char Char Char Char Char Char Char Char Char Char"/>
    <w:qFormat/>
    <w:uiPriority w:val="0"/>
    <w:rPr>
      <w:rFonts w:cs="Times New Roman"/>
      <w:b/>
      <w:bCs/>
      <w:sz w:val="32"/>
      <w:szCs w:val="32"/>
    </w:rPr>
  </w:style>
  <w:style w:type="character" w:customStyle="1" w:styleId="599">
    <w:name w:val="hover10"/>
    <w:qFormat/>
    <w:uiPriority w:val="0"/>
    <w:rPr>
      <w:shd w:val="clear" w:color="auto" w:fill="EEEEEE"/>
    </w:rPr>
  </w:style>
  <w:style w:type="character" w:customStyle="1" w:styleId="600">
    <w:name w:val="正文文字4 Char Char"/>
    <w:qFormat/>
    <w:uiPriority w:val="0"/>
    <w:rPr>
      <w:rFonts w:eastAsia="宋体" w:cs="Times New Roman"/>
      <w:kern w:val="2"/>
      <w:sz w:val="24"/>
      <w:szCs w:val="24"/>
      <w:lang w:val="en-US" w:eastAsia="zh-CN" w:bidi="ar-SA"/>
    </w:rPr>
  </w:style>
  <w:style w:type="character" w:customStyle="1" w:styleId="601">
    <w:name w:val="Footer Char1"/>
    <w:qFormat/>
    <w:locked/>
    <w:uiPriority w:val="0"/>
    <w:rPr>
      <w:rFonts w:eastAsia="宋体" w:cs="Times New Roman"/>
      <w:kern w:val="2"/>
      <w:sz w:val="18"/>
      <w:szCs w:val="18"/>
      <w:lang w:val="en-US" w:eastAsia="zh-CN" w:bidi="ar-SA"/>
    </w:rPr>
  </w:style>
  <w:style w:type="character" w:customStyle="1" w:styleId="602">
    <w:name w:val="Char Char9"/>
    <w:qFormat/>
    <w:uiPriority w:val="0"/>
    <w:rPr>
      <w:rFonts w:ascii="Times New Roman" w:hAnsi="Times New Roman"/>
      <w:b/>
      <w:bCs/>
      <w:sz w:val="32"/>
      <w:szCs w:val="32"/>
    </w:rPr>
  </w:style>
  <w:style w:type="character" w:customStyle="1" w:styleId="603">
    <w:name w:val="批注文字 Char2"/>
    <w:qFormat/>
    <w:uiPriority w:val="0"/>
    <w:rPr>
      <w:rFonts w:eastAsia="宋体" w:cs="Times New Roman"/>
      <w:kern w:val="2"/>
      <w:sz w:val="24"/>
      <w:szCs w:val="24"/>
      <w:lang w:val="en-US" w:eastAsia="zh-CN" w:bidi="ar-SA"/>
    </w:rPr>
  </w:style>
  <w:style w:type="character" w:customStyle="1" w:styleId="604">
    <w:name w:val="grame"/>
    <w:qFormat/>
    <w:uiPriority w:val="0"/>
  </w:style>
  <w:style w:type="character" w:customStyle="1" w:styleId="605">
    <w:name w:val="ca-531"/>
    <w:qFormat/>
    <w:uiPriority w:val="0"/>
    <w:rPr>
      <w:rFonts w:ascii="Times New Roman" w:hAnsi="Times New Roman" w:cs="Times New Roman"/>
      <w:b/>
      <w:bCs/>
      <w:spacing w:val="-20"/>
      <w:sz w:val="36"/>
      <w:szCs w:val="36"/>
    </w:rPr>
  </w:style>
  <w:style w:type="character" w:customStyle="1" w:styleId="606">
    <w:name w:val="font11"/>
    <w:qFormat/>
    <w:uiPriority w:val="0"/>
    <w:rPr>
      <w:rFonts w:hint="default" w:ascii="Calibri" w:hAnsi="Calibri" w:cs="Calibri"/>
      <w:color w:val="000000"/>
      <w:sz w:val="21"/>
      <w:szCs w:val="21"/>
      <w:u w:val="none"/>
    </w:rPr>
  </w:style>
  <w:style w:type="character" w:customStyle="1" w:styleId="607">
    <w:name w:val="ca-491"/>
    <w:qFormat/>
    <w:uiPriority w:val="0"/>
    <w:rPr>
      <w:rFonts w:ascii="宋体" w:hAnsi="宋体" w:eastAsia="宋体" w:cs="Times New Roman"/>
      <w:spacing w:val="0"/>
      <w:sz w:val="32"/>
      <w:szCs w:val="32"/>
    </w:rPr>
  </w:style>
  <w:style w:type="character" w:customStyle="1" w:styleId="608">
    <w:name w:val="Heading 9 Char"/>
    <w:qFormat/>
    <w:locked/>
    <w:uiPriority w:val="0"/>
    <w:rPr>
      <w:rFonts w:ascii="Arial" w:hAnsi="Arial" w:eastAsia="黑体"/>
      <w:sz w:val="21"/>
      <w:lang w:val="en-US" w:eastAsia="zh-CN"/>
    </w:rPr>
  </w:style>
  <w:style w:type="character" w:customStyle="1" w:styleId="609">
    <w:name w:val="Char Char7"/>
    <w:qFormat/>
    <w:uiPriority w:val="0"/>
    <w:rPr>
      <w:rFonts w:ascii="Arial" w:hAnsi="Arial" w:eastAsia="黑体" w:cs="Times New Roman"/>
      <w:b/>
      <w:bCs/>
      <w:kern w:val="2"/>
      <w:sz w:val="32"/>
      <w:szCs w:val="32"/>
      <w:lang w:val="en-US" w:eastAsia="zh-CN" w:bidi="ar-SA"/>
    </w:rPr>
  </w:style>
  <w:style w:type="character" w:customStyle="1" w:styleId="610">
    <w:name w:val="批注主题 Char Char Char"/>
    <w:qFormat/>
    <w:uiPriority w:val="0"/>
    <w:rPr>
      <w:b/>
      <w:bCs/>
      <w:kern w:val="2"/>
      <w:sz w:val="21"/>
      <w:szCs w:val="24"/>
    </w:rPr>
  </w:style>
  <w:style w:type="character" w:customStyle="1" w:styleId="611">
    <w:name w:val="Heading 4 Char"/>
    <w:qFormat/>
    <w:locked/>
    <w:uiPriority w:val="0"/>
    <w:rPr>
      <w:rFonts w:ascii="Arial" w:hAnsi="Arial" w:eastAsia="黑体"/>
      <w:b/>
      <w:kern w:val="2"/>
      <w:sz w:val="28"/>
      <w:lang w:val="en-US" w:eastAsia="zh-CN"/>
    </w:rPr>
  </w:style>
  <w:style w:type="character" w:customStyle="1" w:styleId="612">
    <w:name w:val="ca-111"/>
    <w:qFormat/>
    <w:uiPriority w:val="0"/>
    <w:rPr>
      <w:rFonts w:ascii="Times New Roman" w:hAnsi="Times New Roman" w:cs="Times New Roman"/>
      <w:color w:val="000000"/>
      <w:sz w:val="30"/>
      <w:szCs w:val="30"/>
    </w:rPr>
  </w:style>
  <w:style w:type="character" w:customStyle="1" w:styleId="613">
    <w:name w:val="ca-301"/>
    <w:qFormat/>
    <w:uiPriority w:val="0"/>
    <w:rPr>
      <w:rFonts w:ascii="??" w:hAnsi="??" w:cs="Times New Roman"/>
      <w:color w:val="002060"/>
      <w:sz w:val="21"/>
      <w:szCs w:val="21"/>
    </w:rPr>
  </w:style>
  <w:style w:type="character" w:customStyle="1" w:styleId="614">
    <w:name w:val="op-map-singlepoint-info-right"/>
    <w:qFormat/>
    <w:uiPriority w:val="0"/>
    <w:rPr>
      <w:rFonts w:cs="Times New Roman"/>
    </w:rPr>
  </w:style>
  <w:style w:type="character" w:customStyle="1" w:styleId="615">
    <w:name w:val="ca-501"/>
    <w:qFormat/>
    <w:uiPriority w:val="0"/>
    <w:rPr>
      <w:rFonts w:ascii="宋体" w:hAnsi="宋体" w:eastAsia="宋体" w:cs="Times New Roman"/>
      <w:spacing w:val="0"/>
      <w:sz w:val="24"/>
      <w:szCs w:val="24"/>
    </w:rPr>
  </w:style>
  <w:style w:type="character" w:customStyle="1" w:styleId="616">
    <w:name w:val="普通文字 Char1"/>
    <w:qFormat/>
    <w:uiPriority w:val="0"/>
    <w:rPr>
      <w:rFonts w:ascii="宋体" w:hAnsi="Courier New" w:eastAsia="宋体"/>
      <w:kern w:val="2"/>
      <w:sz w:val="21"/>
      <w:lang w:val="en-US" w:eastAsia="zh-CN" w:bidi="ar-SA"/>
    </w:rPr>
  </w:style>
  <w:style w:type="character" w:customStyle="1" w:styleId="617">
    <w:name w:val="Subtle Emphasis1"/>
    <w:qFormat/>
    <w:uiPriority w:val="0"/>
    <w:rPr>
      <w:i/>
      <w:color w:val="808080"/>
    </w:rPr>
  </w:style>
  <w:style w:type="character" w:customStyle="1" w:styleId="618">
    <w:name w:val="批注主题 Char1"/>
    <w:qFormat/>
    <w:uiPriority w:val="0"/>
    <w:rPr>
      <w:b/>
      <w:kern w:val="2"/>
      <w:sz w:val="22"/>
    </w:rPr>
  </w:style>
  <w:style w:type="character" w:customStyle="1" w:styleId="619">
    <w:name w:val="标题 1 Char1"/>
    <w:qFormat/>
    <w:uiPriority w:val="0"/>
    <w:rPr>
      <w:rFonts w:eastAsia="宋体" w:cs="Times New Roman"/>
      <w:b/>
      <w:bCs/>
      <w:kern w:val="44"/>
      <w:sz w:val="44"/>
      <w:szCs w:val="44"/>
      <w:lang w:val="en-US" w:eastAsia="zh-CN" w:bidi="ar-SA"/>
    </w:rPr>
  </w:style>
  <w:style w:type="character" w:customStyle="1" w:styleId="620">
    <w:name w:val="Intense Emphasis1"/>
    <w:qFormat/>
    <w:uiPriority w:val="0"/>
    <w:rPr>
      <w:b/>
      <w:i/>
      <w:color w:val="4F81BD"/>
    </w:rPr>
  </w:style>
  <w:style w:type="character" w:customStyle="1" w:styleId="621">
    <w:name w:val="正文文本 3 Char1"/>
    <w:qFormat/>
    <w:uiPriority w:val="0"/>
    <w:rPr>
      <w:sz w:val="16"/>
      <w:szCs w:val="16"/>
    </w:rPr>
  </w:style>
  <w:style w:type="character" w:customStyle="1" w:styleId="622">
    <w:name w:val="textcontents"/>
    <w:qFormat/>
    <w:uiPriority w:val="0"/>
  </w:style>
  <w:style w:type="character" w:customStyle="1" w:styleId="623">
    <w:name w:val="style11"/>
    <w:qFormat/>
    <w:uiPriority w:val="0"/>
    <w:rPr>
      <w:rFonts w:cs="Times New Roman"/>
      <w:sz w:val="27"/>
      <w:szCs w:val="27"/>
    </w:rPr>
  </w:style>
  <w:style w:type="character" w:customStyle="1" w:styleId="624">
    <w:name w:val="ca-371"/>
    <w:qFormat/>
    <w:uiPriority w:val="0"/>
    <w:rPr>
      <w:rFonts w:ascii="宋体" w:hAnsi="宋体" w:eastAsia="宋体" w:cs="Times New Roman"/>
      <w:color w:val="000000"/>
      <w:spacing w:val="0"/>
      <w:sz w:val="21"/>
      <w:szCs w:val="21"/>
    </w:rPr>
  </w:style>
  <w:style w:type="character" w:customStyle="1" w:styleId="625">
    <w:name w:val="正文（首行缩进两字） Char"/>
    <w:qFormat/>
    <w:uiPriority w:val="0"/>
    <w:rPr>
      <w:rFonts w:eastAsia="宋体" w:cs="Times New Roman"/>
      <w:spacing w:val="14"/>
      <w:kern w:val="24"/>
      <w:sz w:val="24"/>
      <w:lang w:val="en-US" w:eastAsia="zh-CN" w:bidi="ar-SA"/>
    </w:rPr>
  </w:style>
  <w:style w:type="character" w:customStyle="1" w:styleId="626">
    <w:name w:val="ca-291"/>
    <w:qFormat/>
    <w:uiPriority w:val="0"/>
    <w:rPr>
      <w:rFonts w:ascii="宋体" w:hAnsi="宋体" w:eastAsia="宋体" w:cs="Times New Roman"/>
      <w:color w:val="7030A0"/>
      <w:sz w:val="21"/>
      <w:szCs w:val="21"/>
    </w:rPr>
  </w:style>
  <w:style w:type="character" w:customStyle="1" w:styleId="627">
    <w:name w:val="hover9"/>
    <w:qFormat/>
    <w:uiPriority w:val="0"/>
    <w:rPr>
      <w:shd w:val="clear" w:color="auto" w:fill="EEEEEE"/>
    </w:rPr>
  </w:style>
  <w:style w:type="character" w:customStyle="1" w:styleId="628">
    <w:name w:val="ca-311"/>
    <w:qFormat/>
    <w:uiPriority w:val="0"/>
    <w:rPr>
      <w:rFonts w:ascii="??" w:hAnsi="??" w:cs="Times New Roman"/>
      <w:color w:val="000000"/>
      <w:sz w:val="21"/>
      <w:szCs w:val="21"/>
    </w:rPr>
  </w:style>
  <w:style w:type="character" w:customStyle="1" w:styleId="629">
    <w:name w:val="Heading 8 Char"/>
    <w:qFormat/>
    <w:locked/>
    <w:uiPriority w:val="0"/>
    <w:rPr>
      <w:rFonts w:ascii="Arial" w:hAnsi="Arial" w:eastAsia="黑体"/>
      <w:sz w:val="24"/>
      <w:lang w:val="en-US" w:eastAsia="zh-CN"/>
    </w:rPr>
  </w:style>
  <w:style w:type="character" w:customStyle="1" w:styleId="630">
    <w:name w:val="Char Char91"/>
    <w:qFormat/>
    <w:uiPriority w:val="0"/>
    <w:rPr>
      <w:rFonts w:eastAsia="宋体" w:cs="Times New Roman"/>
      <w:color w:val="000000"/>
      <w:kern w:val="2"/>
      <w:sz w:val="24"/>
      <w:lang w:val="en-US" w:eastAsia="zh-CN" w:bidi="ar-SA"/>
    </w:rPr>
  </w:style>
  <w:style w:type="character" w:customStyle="1" w:styleId="631">
    <w:name w:val="ca-261"/>
    <w:qFormat/>
    <w:uiPriority w:val="0"/>
    <w:rPr>
      <w:rFonts w:ascii="宋体" w:hAnsi="宋体" w:eastAsia="宋体" w:cs="Times New Roman"/>
      <w:color w:val="002060"/>
      <w:sz w:val="21"/>
      <w:szCs w:val="21"/>
    </w:rPr>
  </w:style>
  <w:style w:type="character" w:customStyle="1" w:styleId="632">
    <w:name w:val="font21"/>
    <w:qFormat/>
    <w:uiPriority w:val="0"/>
    <w:rPr>
      <w:rFonts w:hint="eastAsia" w:ascii="宋体" w:hAnsi="宋体" w:eastAsia="宋体" w:cs="宋体"/>
      <w:color w:val="000000"/>
      <w:sz w:val="16"/>
      <w:szCs w:val="16"/>
      <w:u w:val="none"/>
    </w:rPr>
  </w:style>
  <w:style w:type="character" w:customStyle="1" w:styleId="633">
    <w:name w:val="ca-141"/>
    <w:qFormat/>
    <w:uiPriority w:val="0"/>
    <w:rPr>
      <w:rFonts w:ascii="Times New Roman" w:hAnsi="Times New Roman" w:cs="Times New Roman"/>
      <w:color w:val="000000"/>
      <w:sz w:val="24"/>
      <w:szCs w:val="24"/>
    </w:rPr>
  </w:style>
  <w:style w:type="character" w:customStyle="1" w:styleId="634">
    <w:name w:val="font01"/>
    <w:qFormat/>
    <w:uiPriority w:val="0"/>
    <w:rPr>
      <w:rFonts w:ascii="Calibri" w:hAnsi="Calibri" w:cs="Calibri"/>
      <w:color w:val="000000"/>
      <w:sz w:val="22"/>
      <w:szCs w:val="22"/>
      <w:u w:val="none"/>
    </w:rPr>
  </w:style>
  <w:style w:type="character" w:customStyle="1" w:styleId="635">
    <w:name w:val="日期 Char3"/>
    <w:qFormat/>
    <w:uiPriority w:val="0"/>
    <w:rPr>
      <w:rFonts w:eastAsia="仿宋_GB2312" w:cs="Times New Roman"/>
      <w:kern w:val="2"/>
      <w:sz w:val="28"/>
      <w:lang w:val="en-US" w:eastAsia="zh-CN" w:bidi="ar-SA"/>
    </w:rPr>
  </w:style>
  <w:style w:type="character" w:customStyle="1" w:styleId="636">
    <w:name w:val="DeltaView Insertion"/>
    <w:qFormat/>
    <w:uiPriority w:val="0"/>
  </w:style>
  <w:style w:type="character" w:customStyle="1" w:styleId="637">
    <w:name w:val="标题 Char2"/>
    <w:qFormat/>
    <w:uiPriority w:val="0"/>
    <w:rPr>
      <w:rFonts w:ascii="Arial" w:hAnsi="Arial" w:eastAsia="宋体" w:cs="Times New Roman"/>
      <w:b/>
      <w:sz w:val="32"/>
      <w:lang w:val="en-US" w:eastAsia="zh-CN" w:bidi="ar-SA"/>
    </w:rPr>
  </w:style>
  <w:style w:type="character" w:customStyle="1" w:styleId="638">
    <w:name w:val="font41"/>
    <w:qFormat/>
    <w:uiPriority w:val="0"/>
    <w:rPr>
      <w:rFonts w:hint="eastAsia" w:ascii="宋体" w:hAnsi="宋体" w:eastAsia="宋体" w:cs="宋体"/>
      <w:color w:val="000000"/>
      <w:sz w:val="21"/>
      <w:szCs w:val="21"/>
      <w:u w:val="none"/>
    </w:rPr>
  </w:style>
  <w:style w:type="character" w:customStyle="1" w:styleId="639">
    <w:name w:val="ca-271"/>
    <w:qFormat/>
    <w:uiPriority w:val="0"/>
    <w:rPr>
      <w:rFonts w:ascii="宋体" w:hAnsi="宋体" w:eastAsia="宋体" w:cs="Times New Roman"/>
      <w:b/>
      <w:bCs/>
      <w:color w:val="002060"/>
      <w:spacing w:val="-20"/>
      <w:sz w:val="21"/>
      <w:szCs w:val="21"/>
    </w:rPr>
  </w:style>
  <w:style w:type="character" w:customStyle="1" w:styleId="640">
    <w:name w:val="locality"/>
    <w:qFormat/>
    <w:uiPriority w:val="0"/>
    <w:rPr>
      <w:rFonts w:cs="Times New Roman"/>
    </w:rPr>
  </w:style>
  <w:style w:type="character" w:customStyle="1" w:styleId="641">
    <w:name w:val="Char Char12"/>
    <w:qFormat/>
    <w:uiPriority w:val="0"/>
    <w:rPr>
      <w:rFonts w:ascii="Courier New" w:hAnsi="Courier New" w:eastAsia="宋体" w:cs="Times New Roman"/>
      <w:kern w:val="2"/>
      <w:sz w:val="21"/>
      <w:lang w:val="en-US" w:eastAsia="zh-CN" w:bidi="ar-SA"/>
    </w:rPr>
  </w:style>
  <w:style w:type="character" w:customStyle="1" w:styleId="642">
    <w:name w:val="ca-451"/>
    <w:qFormat/>
    <w:uiPriority w:val="0"/>
    <w:rPr>
      <w:rFonts w:ascii="宋体" w:hAnsi="宋体" w:eastAsia="宋体" w:cs="Times New Roman"/>
      <w:color w:val="000000"/>
      <w:sz w:val="72"/>
      <w:szCs w:val="72"/>
    </w:rPr>
  </w:style>
  <w:style w:type="character" w:customStyle="1" w:styleId="643">
    <w:name w:val="chs1"/>
    <w:qFormat/>
    <w:uiPriority w:val="0"/>
    <w:rPr>
      <w:rFonts w:hint="default" w:ascii="_x000B__x000C_" w:hAnsi="_x000B__x000C_"/>
      <w:sz w:val="18"/>
      <w:szCs w:val="18"/>
    </w:rPr>
  </w:style>
  <w:style w:type="character" w:customStyle="1" w:styleId="644">
    <w:name w:val="Heading 7 Char"/>
    <w:qFormat/>
    <w:locked/>
    <w:uiPriority w:val="0"/>
    <w:rPr>
      <w:rFonts w:eastAsia="宋体"/>
      <w:b/>
      <w:sz w:val="24"/>
      <w:lang w:val="en-US" w:eastAsia="zh-CN"/>
    </w:rPr>
  </w:style>
  <w:style w:type="character" w:customStyle="1" w:styleId="645">
    <w:name w:val="font161"/>
    <w:qFormat/>
    <w:uiPriority w:val="0"/>
    <w:rPr>
      <w:rFonts w:cs="Times New Roman"/>
      <w:b/>
      <w:bCs/>
      <w:sz w:val="32"/>
      <w:szCs w:val="32"/>
    </w:rPr>
  </w:style>
  <w:style w:type="character" w:customStyle="1" w:styleId="646">
    <w:name w:val="ca-391"/>
    <w:qFormat/>
    <w:uiPriority w:val="0"/>
    <w:rPr>
      <w:rFonts w:ascii="宋体" w:hAnsi="宋体" w:eastAsia="宋体" w:cs="Times New Roman"/>
      <w:b/>
      <w:bCs/>
      <w:color w:val="000000"/>
      <w:spacing w:val="-20"/>
      <w:sz w:val="28"/>
      <w:szCs w:val="28"/>
    </w:rPr>
  </w:style>
  <w:style w:type="character" w:customStyle="1" w:styleId="647">
    <w:name w:val="日期 Char2"/>
    <w:qFormat/>
    <w:uiPriority w:val="0"/>
    <w:rPr>
      <w:rFonts w:ascii="宋体"/>
      <w:kern w:val="2"/>
      <w:sz w:val="28"/>
    </w:rPr>
  </w:style>
  <w:style w:type="character" w:customStyle="1" w:styleId="648">
    <w:name w:val="副标题 Char2"/>
    <w:qFormat/>
    <w:uiPriority w:val="0"/>
    <w:rPr>
      <w:rFonts w:ascii="Cambria" w:hAnsi="Cambria" w:cs="Times New Roman"/>
      <w:b/>
      <w:bCs/>
      <w:kern w:val="28"/>
      <w:sz w:val="32"/>
      <w:szCs w:val="32"/>
    </w:rPr>
  </w:style>
  <w:style w:type="character" w:customStyle="1" w:styleId="649">
    <w:name w:val="ca-310"/>
    <w:qFormat/>
    <w:uiPriority w:val="0"/>
    <w:rPr>
      <w:rFonts w:ascii="Times New Roman" w:hAnsi="Times New Roman" w:cs="Times New Roman"/>
      <w:b/>
      <w:bCs/>
      <w:color w:val="000000"/>
      <w:spacing w:val="-20"/>
      <w:sz w:val="48"/>
      <w:szCs w:val="48"/>
    </w:rPr>
  </w:style>
  <w:style w:type="character" w:customStyle="1" w:styleId="650">
    <w:name w:val="ca-481"/>
    <w:qFormat/>
    <w:uiPriority w:val="0"/>
    <w:rPr>
      <w:rFonts w:ascii="宋体" w:hAnsi="宋体" w:eastAsia="宋体" w:cs="Times New Roman"/>
      <w:color w:val="000000"/>
      <w:sz w:val="26"/>
      <w:szCs w:val="26"/>
    </w:rPr>
  </w:style>
  <w:style w:type="character" w:customStyle="1" w:styleId="651">
    <w:name w:val="页眉 Char2"/>
    <w:qFormat/>
    <w:uiPriority w:val="0"/>
    <w:rPr>
      <w:rFonts w:eastAsia="宋体" w:cs="Times New Roman"/>
      <w:kern w:val="2"/>
      <w:sz w:val="18"/>
      <w:szCs w:val="18"/>
      <w:lang w:val="en-US" w:eastAsia="zh-CN" w:bidi="ar-SA"/>
    </w:rPr>
  </w:style>
  <w:style w:type="character" w:customStyle="1" w:styleId="652">
    <w:name w:val="文档结构图 Char1"/>
    <w:qFormat/>
    <w:uiPriority w:val="0"/>
    <w:rPr>
      <w:rFonts w:ascii="宋体"/>
      <w:kern w:val="2"/>
      <w:sz w:val="18"/>
    </w:rPr>
  </w:style>
  <w:style w:type="character" w:customStyle="1" w:styleId="653">
    <w:name w:val="正文文本 Char1"/>
    <w:qFormat/>
    <w:uiPriority w:val="0"/>
    <w:rPr>
      <w:kern w:val="2"/>
      <w:sz w:val="22"/>
    </w:rPr>
  </w:style>
  <w:style w:type="character" w:customStyle="1" w:styleId="654">
    <w:name w:val="个人答复风格"/>
    <w:qFormat/>
    <w:uiPriority w:val="0"/>
    <w:rPr>
      <w:rFonts w:ascii="Arial" w:hAnsi="Arial" w:eastAsia="宋体" w:cs="Arial"/>
      <w:color w:val="auto"/>
      <w:sz w:val="20"/>
    </w:rPr>
  </w:style>
  <w:style w:type="character" w:customStyle="1" w:styleId="655">
    <w:name w:val="ca-401"/>
    <w:qFormat/>
    <w:uiPriority w:val="0"/>
    <w:rPr>
      <w:rFonts w:ascii="Times New Roman" w:hAnsi="Times New Roman" w:cs="Times New Roman"/>
      <w:sz w:val="20"/>
      <w:szCs w:val="20"/>
    </w:rPr>
  </w:style>
  <w:style w:type="character" w:customStyle="1" w:styleId="656">
    <w:name w:val="ca-341"/>
    <w:qFormat/>
    <w:uiPriority w:val="0"/>
    <w:rPr>
      <w:rFonts w:ascii="宋体" w:hAnsi="宋体" w:eastAsia="宋体" w:cs="Times New Roman"/>
      <w:color w:val="000000"/>
      <w:sz w:val="20"/>
      <w:szCs w:val="20"/>
    </w:rPr>
  </w:style>
  <w:style w:type="character" w:customStyle="1" w:styleId="657">
    <w:name w:val="普通文字 Char Char1"/>
    <w:qFormat/>
    <w:uiPriority w:val="0"/>
    <w:rPr>
      <w:rFonts w:ascii="宋体" w:hAnsi="Courier New" w:eastAsia="宋体" w:cs="Times New Roman"/>
      <w:kern w:val="2"/>
      <w:sz w:val="21"/>
      <w:lang w:val="en-US" w:eastAsia="zh-CN" w:bidi="ar-SA"/>
    </w:rPr>
  </w:style>
  <w:style w:type="character" w:customStyle="1" w:styleId="658">
    <w:name w:val="ca-91"/>
    <w:qFormat/>
    <w:uiPriority w:val="0"/>
    <w:rPr>
      <w:rFonts w:ascii="楷体_GB2312" w:eastAsia="楷体_GB2312" w:cs="Times New Roman"/>
      <w:color w:val="000000"/>
      <w:spacing w:val="20"/>
      <w:sz w:val="96"/>
      <w:szCs w:val="96"/>
    </w:rPr>
  </w:style>
  <w:style w:type="character" w:customStyle="1" w:styleId="659">
    <w:name w:val="ca-231"/>
    <w:qFormat/>
    <w:uiPriority w:val="0"/>
    <w:rPr>
      <w:rFonts w:ascii="Times New Roman" w:hAnsi="Times New Roman" w:cs="Times New Roman"/>
      <w:sz w:val="21"/>
      <w:szCs w:val="21"/>
    </w:rPr>
  </w:style>
  <w:style w:type="character" w:customStyle="1" w:styleId="660">
    <w:name w:val="by jerry Char Char"/>
    <w:qFormat/>
    <w:uiPriority w:val="0"/>
    <w:rPr>
      <w:rFonts w:eastAsia="宋体" w:cs="Times New Roman"/>
      <w:b/>
      <w:bCs/>
      <w:kern w:val="44"/>
      <w:sz w:val="44"/>
      <w:szCs w:val="44"/>
      <w:lang w:val="en-US" w:eastAsia="zh-CN" w:bidi="ar-SA"/>
    </w:rPr>
  </w:style>
  <w:style w:type="character" w:customStyle="1" w:styleId="661">
    <w:name w:val="批注主题 Char2"/>
    <w:qFormat/>
    <w:uiPriority w:val="0"/>
    <w:rPr>
      <w:rFonts w:ascii="宋体" w:hAnsi="宋体" w:eastAsia="宋体"/>
      <w:b/>
      <w:kern w:val="2"/>
      <w:sz w:val="24"/>
      <w:lang w:val="en-US" w:eastAsia="zh-CN"/>
    </w:rPr>
  </w:style>
  <w:style w:type="character" w:customStyle="1" w:styleId="662">
    <w:name w:val="hour_pm"/>
    <w:basedOn w:val="57"/>
    <w:qFormat/>
    <w:uiPriority w:val="0"/>
  </w:style>
  <w:style w:type="character" w:customStyle="1" w:styleId="663">
    <w:name w:val="ca-71"/>
    <w:qFormat/>
    <w:uiPriority w:val="0"/>
    <w:rPr>
      <w:rFonts w:ascii="Times New Roman" w:hAnsi="Times New Roman" w:cs="Times New Roman"/>
      <w:color w:val="000000"/>
      <w:sz w:val="28"/>
      <w:szCs w:val="28"/>
    </w:rPr>
  </w:style>
  <w:style w:type="character" w:customStyle="1" w:styleId="664">
    <w:name w:val="Char Char8"/>
    <w:qFormat/>
    <w:uiPriority w:val="0"/>
    <w:rPr>
      <w:rFonts w:ascii="Arial" w:hAnsi="Arial" w:eastAsia="黑体" w:cs="Times New Roman"/>
      <w:b/>
      <w:bCs/>
      <w:kern w:val="2"/>
      <w:sz w:val="32"/>
      <w:szCs w:val="32"/>
      <w:lang w:val="en-US" w:eastAsia="zh-CN" w:bidi="ar-SA"/>
    </w:rPr>
  </w:style>
  <w:style w:type="character" w:customStyle="1" w:styleId="665">
    <w:name w:val="Heading 3 Char"/>
    <w:qFormat/>
    <w:locked/>
    <w:uiPriority w:val="0"/>
    <w:rPr>
      <w:rFonts w:eastAsia="宋体"/>
      <w:b/>
      <w:kern w:val="2"/>
      <w:sz w:val="32"/>
      <w:lang w:val="en-US" w:eastAsia="zh-CN"/>
    </w:rPr>
  </w:style>
  <w:style w:type="character" w:customStyle="1" w:styleId="666">
    <w:name w:val="ca-131"/>
    <w:qFormat/>
    <w:uiPriority w:val="0"/>
    <w:rPr>
      <w:rFonts w:ascii="宋体" w:hAnsi="宋体" w:eastAsia="宋体" w:cs="Times New Roman"/>
      <w:color w:val="000000"/>
      <w:sz w:val="32"/>
      <w:szCs w:val="32"/>
    </w:rPr>
  </w:style>
  <w:style w:type="character" w:customStyle="1" w:styleId="667">
    <w:name w:val="Char Char121"/>
    <w:qFormat/>
    <w:uiPriority w:val="0"/>
    <w:rPr>
      <w:rFonts w:ascii="Arial" w:hAnsi="Arial" w:eastAsia="宋体" w:cs="Times New Roman"/>
      <w:b/>
      <w:sz w:val="32"/>
      <w:lang w:val="en-US" w:eastAsia="zh-CN" w:bidi="ar-SA"/>
    </w:rPr>
  </w:style>
  <w:style w:type="character" w:customStyle="1" w:styleId="668">
    <w:name w:val="ca-61"/>
    <w:qFormat/>
    <w:uiPriority w:val="0"/>
    <w:rPr>
      <w:rFonts w:ascii="宋体" w:hAnsi="宋体" w:eastAsia="宋体" w:cs="Times New Roman"/>
      <w:color w:val="000000"/>
      <w:sz w:val="30"/>
      <w:szCs w:val="30"/>
    </w:rPr>
  </w:style>
  <w:style w:type="character" w:customStyle="1" w:styleId="669">
    <w:name w:val="ca-241"/>
    <w:qFormat/>
    <w:uiPriority w:val="0"/>
    <w:rPr>
      <w:rFonts w:ascii="宋体" w:hAnsi="宋体" w:eastAsia="宋体" w:cs="Times New Roman"/>
      <w:sz w:val="24"/>
      <w:szCs w:val="24"/>
    </w:rPr>
  </w:style>
  <w:style w:type="character" w:customStyle="1" w:styleId="670">
    <w:name w:val="Heading 6 Char"/>
    <w:qFormat/>
    <w:locked/>
    <w:uiPriority w:val="0"/>
    <w:rPr>
      <w:rFonts w:ascii="Arial" w:hAnsi="Arial" w:eastAsia="黑体"/>
      <w:b/>
      <w:sz w:val="24"/>
      <w:lang w:val="en-US" w:eastAsia="zh-CN"/>
    </w:rPr>
  </w:style>
  <w:style w:type="character" w:customStyle="1" w:styleId="671">
    <w:name w:val="ca-351"/>
    <w:qFormat/>
    <w:uiPriority w:val="0"/>
    <w:rPr>
      <w:rFonts w:ascii="Times New Roman" w:hAnsi="Times New Roman" w:cs="Times New Roman"/>
      <w:sz w:val="10"/>
      <w:szCs w:val="10"/>
    </w:rPr>
  </w:style>
  <w:style w:type="character" w:customStyle="1" w:styleId="672">
    <w:name w:val="ca-251"/>
    <w:qFormat/>
    <w:uiPriority w:val="0"/>
    <w:rPr>
      <w:rFonts w:ascii="Times New Roman" w:hAnsi="Times New Roman" w:cs="Times New Roman"/>
      <w:sz w:val="21"/>
      <w:szCs w:val="21"/>
    </w:rPr>
  </w:style>
  <w:style w:type="character" w:customStyle="1" w:styleId="673">
    <w:name w:val="hour_am"/>
    <w:basedOn w:val="57"/>
    <w:qFormat/>
    <w:uiPriority w:val="0"/>
  </w:style>
  <w:style w:type="character" w:customStyle="1" w:styleId="674">
    <w:name w:val="标题 Char1"/>
    <w:qFormat/>
    <w:uiPriority w:val="0"/>
    <w:rPr>
      <w:rFonts w:ascii="Arial" w:hAnsi="Arial" w:eastAsia="宋体" w:cs="Times New Roman"/>
      <w:b/>
      <w:sz w:val="32"/>
      <w:lang w:val="en-US" w:eastAsia="zh-CN" w:bidi="ar-SA"/>
    </w:rPr>
  </w:style>
  <w:style w:type="character" w:customStyle="1" w:styleId="675">
    <w:name w:val="署名 Char"/>
    <w:qFormat/>
    <w:uiPriority w:val="0"/>
    <w:rPr>
      <w:rFonts w:ascii="宋体" w:eastAsia="宋体" w:cs="Times New Roman"/>
      <w:snapToGrid w:val="0"/>
      <w:color w:val="000000"/>
      <w:kern w:val="28"/>
      <w:sz w:val="28"/>
      <w:lang w:val="en-US" w:eastAsia="zh-CN" w:bidi="ar-SA"/>
    </w:rPr>
  </w:style>
  <w:style w:type="character" w:customStyle="1" w:styleId="676">
    <w:name w:val="样式 正文缩进正文（首行缩进两字）特点ALT+Z表正文正文非缩进四号段1Normal Indent Char2... Char"/>
    <w:qFormat/>
    <w:uiPriority w:val="0"/>
    <w:rPr>
      <w:rFonts w:ascii="Arial" w:hAnsi="Arial" w:eastAsia="宋体"/>
      <w:b/>
      <w:bCs/>
      <w:kern w:val="2"/>
      <w:sz w:val="32"/>
      <w:szCs w:val="32"/>
      <w:lang w:val="en-US" w:eastAsia="zh-CN" w:bidi="ar-SA"/>
    </w:rPr>
  </w:style>
  <w:style w:type="character" w:customStyle="1" w:styleId="677">
    <w:name w:val="明显引用 Char1"/>
    <w:qFormat/>
    <w:uiPriority w:val="0"/>
    <w:rPr>
      <w:rFonts w:cs="Times New Roman"/>
      <w:b/>
      <w:bCs/>
      <w:i/>
      <w:iCs/>
      <w:color w:val="4F81BD"/>
      <w:kern w:val="2"/>
      <w:sz w:val="24"/>
      <w:szCs w:val="24"/>
    </w:rPr>
  </w:style>
  <w:style w:type="character" w:customStyle="1" w:styleId="678">
    <w:name w:val="apple-style-span"/>
    <w:qFormat/>
    <w:uiPriority w:val="0"/>
    <w:rPr>
      <w:rFonts w:cs="Times New Roman"/>
    </w:rPr>
  </w:style>
  <w:style w:type="character" w:customStyle="1" w:styleId="679">
    <w:name w:val="标书1 Char"/>
    <w:qFormat/>
    <w:uiPriority w:val="0"/>
    <w:rPr>
      <w:rFonts w:ascii="宋体" w:hAnsi="Times New Roman" w:eastAsia="宋体" w:cs="Times New Roman"/>
      <w:b/>
      <w:kern w:val="44"/>
      <w:sz w:val="24"/>
      <w:szCs w:val="20"/>
    </w:rPr>
  </w:style>
  <w:style w:type="character" w:customStyle="1" w:styleId="680">
    <w:name w:val="ca-171"/>
    <w:qFormat/>
    <w:uiPriority w:val="0"/>
    <w:rPr>
      <w:rFonts w:ascii="Times New Roman" w:hAnsi="Times New Roman" w:cs="Times New Roman"/>
      <w:b/>
      <w:bCs/>
      <w:spacing w:val="-20"/>
      <w:sz w:val="24"/>
      <w:szCs w:val="24"/>
    </w:rPr>
  </w:style>
  <w:style w:type="character" w:customStyle="1" w:styleId="681">
    <w:name w:val="手改 Char Char"/>
    <w:qFormat/>
    <w:uiPriority w:val="0"/>
    <w:rPr>
      <w:rFonts w:eastAsia="宋体" w:cs="Times New Roman"/>
      <w:kern w:val="2"/>
      <w:sz w:val="24"/>
      <w:szCs w:val="24"/>
      <w:lang w:val="en-US" w:eastAsia="zh-CN" w:bidi="ar-SA"/>
    </w:rPr>
  </w:style>
  <w:style w:type="character" w:customStyle="1" w:styleId="682">
    <w:name w:val="Footer-Even Char"/>
    <w:qFormat/>
    <w:uiPriority w:val="0"/>
    <w:rPr>
      <w:rFonts w:eastAsia="宋体" w:cs="Times New Roman"/>
      <w:kern w:val="2"/>
      <w:sz w:val="18"/>
      <w:szCs w:val="18"/>
      <w:lang w:val="en-US" w:eastAsia="zh-CN" w:bidi="ar-SA"/>
    </w:rPr>
  </w:style>
  <w:style w:type="character" w:customStyle="1" w:styleId="683">
    <w:name w:val="ca-151"/>
    <w:qFormat/>
    <w:uiPriority w:val="0"/>
    <w:rPr>
      <w:rFonts w:ascii="宋体" w:hAnsi="宋体" w:eastAsia="宋体" w:cs="Times New Roman"/>
      <w:caps/>
      <w:color w:val="000000"/>
      <w:sz w:val="24"/>
      <w:szCs w:val="24"/>
    </w:rPr>
  </w:style>
  <w:style w:type="character" w:customStyle="1" w:styleId="684">
    <w:name w:val="Char Char"/>
    <w:qFormat/>
    <w:uiPriority w:val="0"/>
    <w:rPr>
      <w:rFonts w:ascii="楷体_GB2312" w:hAnsi="Times New Roman" w:eastAsia="楷体_GB2312"/>
      <w:kern w:val="2"/>
      <w:sz w:val="32"/>
    </w:rPr>
  </w:style>
  <w:style w:type="character" w:customStyle="1" w:styleId="685">
    <w:name w:val="标题 Char3"/>
    <w:qFormat/>
    <w:uiPriority w:val="0"/>
    <w:rPr>
      <w:rFonts w:ascii="Cambria" w:hAnsi="Cambria" w:cs="Times New Roman"/>
      <w:b/>
      <w:bCs/>
      <w:sz w:val="32"/>
      <w:szCs w:val="32"/>
    </w:rPr>
  </w:style>
  <w:style w:type="character" w:customStyle="1" w:styleId="686">
    <w:name w:val="Book Title1"/>
    <w:qFormat/>
    <w:uiPriority w:val="0"/>
    <w:rPr>
      <w:b/>
      <w:smallCaps/>
      <w:spacing w:val="5"/>
    </w:rPr>
  </w:style>
  <w:style w:type="character" w:customStyle="1" w:styleId="687">
    <w:name w:val="ca-101"/>
    <w:qFormat/>
    <w:uiPriority w:val="0"/>
    <w:rPr>
      <w:rFonts w:ascii="Times New Roman" w:hAnsi="Times New Roman" w:cs="Times New Roman"/>
      <w:color w:val="000000"/>
      <w:sz w:val="52"/>
      <w:szCs w:val="52"/>
    </w:rPr>
  </w:style>
  <w:style w:type="character" w:customStyle="1" w:styleId="688">
    <w:name w:val="Header Char1"/>
    <w:qFormat/>
    <w:locked/>
    <w:uiPriority w:val="0"/>
    <w:rPr>
      <w:rFonts w:eastAsia="宋体" w:cs="Times New Roman"/>
      <w:kern w:val="2"/>
      <w:sz w:val="18"/>
      <w:szCs w:val="18"/>
      <w:lang w:val="en-US" w:eastAsia="zh-CN" w:bidi="ar-SA"/>
    </w:rPr>
  </w:style>
  <w:style w:type="character" w:customStyle="1" w:styleId="689">
    <w:name w:val="正文文本缩进 2 Char"/>
    <w:qFormat/>
    <w:uiPriority w:val="0"/>
    <w:rPr>
      <w:sz w:val="21"/>
    </w:rPr>
  </w:style>
  <w:style w:type="character" w:customStyle="1" w:styleId="690">
    <w:name w:val="ca-54"/>
    <w:qFormat/>
    <w:uiPriority w:val="0"/>
    <w:rPr>
      <w:rFonts w:ascii="宋体" w:hAnsi="宋体" w:eastAsia="宋体" w:cs="Times New Roman"/>
      <w:b/>
      <w:bCs/>
      <w:color w:val="000000"/>
      <w:spacing w:val="40"/>
      <w:sz w:val="48"/>
      <w:szCs w:val="48"/>
    </w:rPr>
  </w:style>
  <w:style w:type="character" w:customStyle="1" w:styleId="691">
    <w:name w:val="h Char Char"/>
    <w:qFormat/>
    <w:uiPriority w:val="0"/>
    <w:rPr>
      <w:rFonts w:eastAsia="宋体"/>
      <w:kern w:val="2"/>
      <w:sz w:val="18"/>
      <w:szCs w:val="18"/>
      <w:lang w:val="en-US" w:eastAsia="zh-CN" w:bidi="ar-SA"/>
    </w:rPr>
  </w:style>
  <w:style w:type="character" w:customStyle="1" w:styleId="692">
    <w:name w:val="ca-121"/>
    <w:qFormat/>
    <w:uiPriority w:val="0"/>
    <w:rPr>
      <w:rFonts w:ascii="Times New Roman" w:hAnsi="Times New Roman" w:cs="Times New Roman"/>
      <w:color w:val="000000"/>
      <w:sz w:val="32"/>
      <w:szCs w:val="32"/>
    </w:rPr>
  </w:style>
  <w:style w:type="character" w:customStyle="1" w:styleId="693">
    <w:name w:val="font51"/>
    <w:qFormat/>
    <w:uiPriority w:val="0"/>
    <w:rPr>
      <w:rFonts w:hint="eastAsia" w:ascii="宋体" w:hAnsi="宋体" w:eastAsia="宋体" w:cs="宋体"/>
      <w:color w:val="000000"/>
      <w:sz w:val="22"/>
      <w:szCs w:val="22"/>
      <w:u w:val="none"/>
    </w:rPr>
  </w:style>
  <w:style w:type="character" w:customStyle="1" w:styleId="694">
    <w:name w:val="Heading 7 Char1"/>
    <w:qFormat/>
    <w:locked/>
    <w:uiPriority w:val="0"/>
    <w:rPr>
      <w:rFonts w:cs="Times New Roman"/>
      <w:b/>
      <w:bCs/>
      <w:kern w:val="2"/>
      <w:sz w:val="24"/>
      <w:szCs w:val="24"/>
    </w:rPr>
  </w:style>
  <w:style w:type="character" w:customStyle="1" w:styleId="695">
    <w:name w:val="批注文字 Char Char"/>
    <w:qFormat/>
    <w:uiPriority w:val="0"/>
    <w:rPr>
      <w:rFonts w:ascii="宋体" w:hAnsi="Times New Roman" w:eastAsia="宋体"/>
      <w:sz w:val="20"/>
    </w:rPr>
  </w:style>
  <w:style w:type="character" w:customStyle="1" w:styleId="696">
    <w:name w:val="Balloon Text Char"/>
    <w:qFormat/>
    <w:locked/>
    <w:uiPriority w:val="0"/>
    <w:rPr>
      <w:rFonts w:eastAsia="宋体"/>
      <w:kern w:val="2"/>
      <w:sz w:val="18"/>
      <w:lang w:val="en-US" w:eastAsia="zh-CN"/>
    </w:rPr>
  </w:style>
  <w:style w:type="character" w:customStyle="1" w:styleId="697">
    <w:name w:val="Document Map Char"/>
    <w:qFormat/>
    <w:locked/>
    <w:uiPriority w:val="0"/>
    <w:rPr>
      <w:rFonts w:eastAsia="宋体"/>
      <w:kern w:val="2"/>
      <w:sz w:val="24"/>
      <w:lang w:val="en-US" w:eastAsia="zh-CN"/>
    </w:rPr>
  </w:style>
  <w:style w:type="character" w:customStyle="1" w:styleId="698">
    <w:name w:val="ca-471"/>
    <w:qFormat/>
    <w:uiPriority w:val="0"/>
    <w:rPr>
      <w:rFonts w:ascii="宋体" w:hAnsi="宋体" w:eastAsia="宋体" w:cs="Times New Roman"/>
      <w:b/>
      <w:bCs/>
      <w:color w:val="000000"/>
      <w:spacing w:val="-20"/>
      <w:sz w:val="24"/>
      <w:szCs w:val="24"/>
    </w:rPr>
  </w:style>
  <w:style w:type="character" w:customStyle="1" w:styleId="699">
    <w:name w:val="ca-410"/>
    <w:qFormat/>
    <w:uiPriority w:val="0"/>
    <w:rPr>
      <w:rFonts w:ascii="宋体" w:hAnsi="宋体" w:eastAsia="宋体" w:cs="Times New Roman"/>
      <w:b/>
      <w:bCs/>
      <w:color w:val="000000"/>
      <w:spacing w:val="-20"/>
      <w:sz w:val="48"/>
      <w:szCs w:val="48"/>
    </w:rPr>
  </w:style>
  <w:style w:type="character" w:customStyle="1" w:styleId="700">
    <w:name w:val="ca-441"/>
    <w:qFormat/>
    <w:uiPriority w:val="0"/>
    <w:rPr>
      <w:rFonts w:ascii="宋体" w:hAnsi="宋体" w:eastAsia="宋体" w:cs="Times New Roman"/>
      <w:color w:val="000000"/>
      <w:sz w:val="52"/>
      <w:szCs w:val="52"/>
    </w:rPr>
  </w:style>
  <w:style w:type="character" w:customStyle="1" w:styleId="701">
    <w:name w:val="个人撰写风格"/>
    <w:qFormat/>
    <w:uiPriority w:val="0"/>
    <w:rPr>
      <w:rFonts w:ascii="Arial" w:hAnsi="Arial" w:eastAsia="宋体" w:cs="Arial"/>
      <w:color w:val="auto"/>
      <w:sz w:val="20"/>
    </w:rPr>
  </w:style>
  <w:style w:type="character" w:customStyle="1" w:styleId="702">
    <w:name w:val="ca-281"/>
    <w:qFormat/>
    <w:uiPriority w:val="0"/>
    <w:rPr>
      <w:rFonts w:ascii="宋体" w:hAnsi="宋体" w:eastAsia="宋体" w:cs="Times New Roman"/>
      <w:color w:val="FF0000"/>
      <w:sz w:val="21"/>
      <w:szCs w:val="21"/>
    </w:rPr>
  </w:style>
  <w:style w:type="character" w:customStyle="1" w:styleId="703">
    <w:name w:val="Plain Text Char"/>
    <w:qFormat/>
    <w:locked/>
    <w:uiPriority w:val="0"/>
    <w:rPr>
      <w:rFonts w:ascii="宋体" w:hAnsi="Courier New" w:eastAsia="宋体" w:cs="Times New Roman"/>
      <w:kern w:val="2"/>
      <w:sz w:val="21"/>
      <w:lang w:val="en-US" w:eastAsia="zh-CN" w:bidi="ar-SA"/>
    </w:rPr>
  </w:style>
  <w:style w:type="character" w:customStyle="1" w:styleId="704">
    <w:name w:val="Body Text Char"/>
    <w:qFormat/>
    <w:locked/>
    <w:uiPriority w:val="0"/>
    <w:rPr>
      <w:rFonts w:eastAsia="宋体"/>
      <w:kern w:val="2"/>
      <w:sz w:val="24"/>
      <w:lang w:val="en-US" w:eastAsia="zh-CN"/>
    </w:rPr>
  </w:style>
  <w:style w:type="character" w:customStyle="1" w:styleId="705">
    <w:name w:val="Date Char"/>
    <w:qFormat/>
    <w:locked/>
    <w:uiPriority w:val="0"/>
    <w:rPr>
      <w:rFonts w:eastAsia="宋体"/>
      <w:kern w:val="2"/>
      <w:sz w:val="24"/>
      <w:lang w:val="en-US" w:eastAsia="zh-CN"/>
    </w:rPr>
  </w:style>
  <w:style w:type="character" w:customStyle="1" w:styleId="706">
    <w:name w:val="Footer Char"/>
    <w:qFormat/>
    <w:locked/>
    <w:uiPriority w:val="0"/>
    <w:rPr>
      <w:rFonts w:eastAsia="宋体"/>
      <w:kern w:val="2"/>
      <w:sz w:val="18"/>
      <w:lang w:val="en-US" w:eastAsia="zh-CN"/>
    </w:rPr>
  </w:style>
  <w:style w:type="character" w:customStyle="1" w:styleId="707">
    <w:name w:val="ca-331"/>
    <w:qFormat/>
    <w:uiPriority w:val="0"/>
    <w:rPr>
      <w:rFonts w:ascii="宋体" w:hAnsi="宋体" w:eastAsia="宋体" w:cs="Times New Roman"/>
      <w:b/>
      <w:bCs/>
      <w:color w:val="002060"/>
      <w:spacing w:val="-20"/>
      <w:sz w:val="20"/>
      <w:szCs w:val="20"/>
    </w:rPr>
  </w:style>
  <w:style w:type="character" w:customStyle="1" w:styleId="708">
    <w:name w:val="Char Char3"/>
    <w:qFormat/>
    <w:uiPriority w:val="0"/>
    <w:rPr>
      <w:rFonts w:ascii="Arial" w:hAnsi="Arial" w:eastAsia="黑体" w:cs="Times New Roman"/>
      <w:b/>
      <w:bCs/>
      <w:kern w:val="2"/>
      <w:sz w:val="32"/>
      <w:szCs w:val="32"/>
      <w:lang w:val="en-US" w:eastAsia="zh-CN" w:bidi="ar-SA"/>
    </w:rPr>
  </w:style>
  <w:style w:type="character" w:customStyle="1" w:styleId="709">
    <w:name w:val="Subtle Reference1"/>
    <w:qFormat/>
    <w:uiPriority w:val="0"/>
    <w:rPr>
      <w:smallCaps/>
      <w:color w:val="C0504D"/>
      <w:u w:val="single"/>
    </w:rPr>
  </w:style>
  <w:style w:type="character" w:customStyle="1" w:styleId="710">
    <w:name w:val="样式 正文（首行缩进两字） + 宋体 Char"/>
    <w:qFormat/>
    <w:uiPriority w:val="0"/>
    <w:rPr>
      <w:rFonts w:ascii="宋体" w:hAnsi="宋体" w:eastAsia="宋体" w:cs="Times New Roman"/>
      <w:spacing w:val="6"/>
      <w:kern w:val="24"/>
      <w:sz w:val="24"/>
      <w:szCs w:val="24"/>
      <w:lang w:val="en-US" w:eastAsia="zh-CN" w:bidi="ar-SA"/>
    </w:rPr>
  </w:style>
  <w:style w:type="character" w:customStyle="1" w:styleId="711">
    <w:name w:val="ca-221"/>
    <w:qFormat/>
    <w:uiPriority w:val="0"/>
    <w:rPr>
      <w:rFonts w:ascii="宋体" w:hAnsi="宋体" w:eastAsia="宋体" w:cs="Times New Roman"/>
      <w:sz w:val="21"/>
      <w:szCs w:val="21"/>
    </w:rPr>
  </w:style>
  <w:style w:type="character" w:customStyle="1" w:styleId="712">
    <w:name w:val="Heading 3 - old Char"/>
    <w:qFormat/>
    <w:uiPriority w:val="0"/>
    <w:rPr>
      <w:rFonts w:eastAsia="宋体" w:cs="Times New Roman"/>
      <w:b/>
      <w:bCs/>
      <w:kern w:val="2"/>
      <w:sz w:val="32"/>
      <w:szCs w:val="32"/>
      <w:lang w:val="en-US" w:eastAsia="zh-CN" w:bidi="ar-SA"/>
    </w:rPr>
  </w:style>
  <w:style w:type="character" w:customStyle="1" w:styleId="713">
    <w:name w:val="样式 标题 4 + 非加粗 Char"/>
    <w:qFormat/>
    <w:uiPriority w:val="0"/>
    <w:rPr>
      <w:rFonts w:ascii="Arial" w:hAnsi="Arial" w:eastAsia="宋体" w:cs="Times New Roman"/>
      <w:b/>
      <w:bCs/>
      <w:spacing w:val="4"/>
      <w:kern w:val="2"/>
      <w:sz w:val="24"/>
      <w:szCs w:val="24"/>
      <w:lang w:val="en-US" w:eastAsia="zh-CN" w:bidi="ar-SA"/>
    </w:rPr>
  </w:style>
  <w:style w:type="character" w:customStyle="1" w:styleId="714">
    <w:name w:val="country-name"/>
    <w:qFormat/>
    <w:uiPriority w:val="0"/>
    <w:rPr>
      <w:rFonts w:cs="Times New Roman"/>
    </w:rPr>
  </w:style>
  <w:style w:type="character" w:customStyle="1" w:styleId="715">
    <w:name w:val="street-address"/>
    <w:qFormat/>
    <w:uiPriority w:val="0"/>
    <w:rPr>
      <w:rFonts w:cs="Times New Roman"/>
    </w:rPr>
  </w:style>
  <w:style w:type="character" w:customStyle="1" w:styleId="716">
    <w:name w:val="批注框文本 Char1"/>
    <w:qFormat/>
    <w:uiPriority w:val="0"/>
    <w:rPr>
      <w:kern w:val="2"/>
      <w:sz w:val="18"/>
    </w:rPr>
  </w:style>
  <w:style w:type="character" w:customStyle="1" w:styleId="717">
    <w:name w:val="表正文 Char1"/>
    <w:qFormat/>
    <w:uiPriority w:val="0"/>
    <w:rPr>
      <w:rFonts w:eastAsia="宋体" w:cs="Times New Roman"/>
      <w:kern w:val="2"/>
      <w:sz w:val="24"/>
      <w:szCs w:val="24"/>
      <w:lang w:val="en-US" w:eastAsia="zh-CN" w:bidi="ar-SA"/>
    </w:rPr>
  </w:style>
  <w:style w:type="character" w:customStyle="1" w:styleId="718">
    <w:name w:val="ca-411"/>
    <w:qFormat/>
    <w:uiPriority w:val="0"/>
    <w:rPr>
      <w:rFonts w:ascii="宋体" w:hAnsi="宋体" w:eastAsia="宋体" w:cs="Times New Roman"/>
      <w:b/>
      <w:bCs/>
      <w:color w:val="000000"/>
      <w:spacing w:val="-20"/>
      <w:sz w:val="32"/>
      <w:szCs w:val="32"/>
    </w:rPr>
  </w:style>
  <w:style w:type="character" w:customStyle="1" w:styleId="719">
    <w:name w:val="ca-461"/>
    <w:qFormat/>
    <w:uiPriority w:val="0"/>
    <w:rPr>
      <w:rFonts w:ascii="宋体" w:hAnsi="宋体" w:eastAsia="宋体" w:cs="Times New Roman"/>
      <w:color w:val="000000"/>
      <w:spacing w:val="-20"/>
      <w:sz w:val="28"/>
      <w:szCs w:val="28"/>
    </w:rPr>
  </w:style>
  <w:style w:type="character" w:customStyle="1" w:styleId="720">
    <w:name w:val="font31"/>
    <w:qFormat/>
    <w:uiPriority w:val="0"/>
    <w:rPr>
      <w:rFonts w:hint="default" w:ascii="Times New Roman" w:hAnsi="Times New Roman" w:cs="Times New Roman"/>
      <w:color w:val="000000"/>
      <w:sz w:val="21"/>
      <w:szCs w:val="21"/>
      <w:u w:val="none"/>
    </w:rPr>
  </w:style>
  <w:style w:type="character" w:customStyle="1" w:styleId="721">
    <w:name w:val="ca-521"/>
    <w:qFormat/>
    <w:uiPriority w:val="0"/>
    <w:rPr>
      <w:rFonts w:ascii="宋体" w:hAnsi="宋体" w:eastAsia="宋体" w:cs="Times New Roman"/>
      <w:b/>
      <w:bCs/>
      <w:spacing w:val="-20"/>
      <w:sz w:val="36"/>
      <w:szCs w:val="36"/>
    </w:rPr>
  </w:style>
  <w:style w:type="character" w:customStyle="1" w:styleId="722">
    <w:name w:val="正文首行缩进 Char"/>
    <w:qFormat/>
    <w:uiPriority w:val="0"/>
    <w:rPr>
      <w:rFonts w:ascii="宋体" w:eastAsia="宋体" w:cs="Times New Roman"/>
      <w:kern w:val="2"/>
      <w:sz w:val="24"/>
      <w:szCs w:val="24"/>
      <w:lang w:val="zh-CN" w:eastAsia="zh-CN" w:bidi="ar-SA"/>
    </w:rPr>
  </w:style>
  <w:style w:type="character" w:customStyle="1" w:styleId="723">
    <w:name w:val="Intense Reference1"/>
    <w:qFormat/>
    <w:uiPriority w:val="0"/>
    <w:rPr>
      <w:b/>
      <w:smallCaps/>
      <w:color w:val="C0504D"/>
      <w:spacing w:val="5"/>
      <w:u w:val="single"/>
    </w:rPr>
  </w:style>
  <w:style w:type="character" w:customStyle="1" w:styleId="724">
    <w:name w:val="old"/>
    <w:qFormat/>
    <w:uiPriority w:val="0"/>
    <w:rPr>
      <w:color w:val="999999"/>
    </w:rPr>
  </w:style>
  <w:style w:type="character" w:customStyle="1" w:styleId="725">
    <w:name w:val="批注框文本 Char2"/>
    <w:qFormat/>
    <w:uiPriority w:val="0"/>
    <w:rPr>
      <w:rFonts w:ascii="宋体"/>
      <w:kern w:val="2"/>
      <w:sz w:val="18"/>
    </w:rPr>
  </w:style>
  <w:style w:type="character" w:customStyle="1" w:styleId="726">
    <w:name w:val="页眉 Char1"/>
    <w:qFormat/>
    <w:uiPriority w:val="0"/>
    <w:rPr>
      <w:rFonts w:eastAsia="宋体" w:cs="Times New Roman"/>
      <w:kern w:val="2"/>
      <w:sz w:val="18"/>
      <w:szCs w:val="18"/>
      <w:lang w:val="en-US" w:eastAsia="zh-CN" w:bidi="ar-SA"/>
    </w:rPr>
  </w:style>
  <w:style w:type="character" w:customStyle="1" w:styleId="727">
    <w:name w:val="Normal Indent Char"/>
    <w:qFormat/>
    <w:locked/>
    <w:uiPriority w:val="0"/>
    <w:rPr>
      <w:rFonts w:ascii="宋体" w:eastAsia="宋体" w:cs="Times New Roman"/>
      <w:snapToGrid w:val="0"/>
      <w:color w:val="000000"/>
      <w:kern w:val="28"/>
      <w:sz w:val="28"/>
      <w:lang w:val="en-US" w:eastAsia="zh-CN" w:bidi="ar-SA"/>
    </w:rPr>
  </w:style>
  <w:style w:type="character" w:customStyle="1" w:styleId="728">
    <w:name w:val="ca-431"/>
    <w:qFormat/>
    <w:uiPriority w:val="0"/>
    <w:rPr>
      <w:rFonts w:ascii="宋体" w:hAnsi="宋体" w:eastAsia="宋体" w:cs="Times New Roman"/>
      <w:color w:val="000000"/>
      <w:sz w:val="44"/>
      <w:szCs w:val="44"/>
    </w:rPr>
  </w:style>
  <w:style w:type="character" w:customStyle="1" w:styleId="729">
    <w:name w:val="日期 Char1"/>
    <w:qFormat/>
    <w:uiPriority w:val="0"/>
    <w:rPr>
      <w:kern w:val="2"/>
      <w:sz w:val="22"/>
    </w:rPr>
  </w:style>
  <w:style w:type="character" w:customStyle="1" w:styleId="730">
    <w:name w:val="ca-201"/>
    <w:qFormat/>
    <w:uiPriority w:val="0"/>
    <w:rPr>
      <w:rFonts w:ascii="??" w:hAnsi="??" w:cs="Times New Roman"/>
      <w:color w:val="000000"/>
      <w:sz w:val="18"/>
      <w:szCs w:val="18"/>
    </w:rPr>
  </w:style>
  <w:style w:type="character" w:customStyle="1" w:styleId="731">
    <w:name w:val="引用 Char1"/>
    <w:qFormat/>
    <w:uiPriority w:val="0"/>
    <w:rPr>
      <w:rFonts w:cs="Times New Roman"/>
      <w:i/>
      <w:iCs/>
      <w:color w:val="000000"/>
      <w:kern w:val="2"/>
      <w:sz w:val="24"/>
      <w:szCs w:val="24"/>
    </w:rPr>
  </w:style>
  <w:style w:type="character" w:customStyle="1" w:styleId="732">
    <w:name w:val="纯文本 字符1"/>
    <w:qFormat/>
    <w:uiPriority w:val="99"/>
    <w:rPr>
      <w:rFonts w:ascii="宋体" w:hAnsi="Courier New" w:eastAsia="宋体"/>
      <w:kern w:val="2"/>
      <w:sz w:val="24"/>
      <w:szCs w:val="24"/>
      <w:lang w:val="en-US" w:eastAsia="zh-CN" w:bidi="ar-SA"/>
    </w:rPr>
  </w:style>
  <w:style w:type="character" w:customStyle="1" w:styleId="733">
    <w:name w:val="标题 2 Char1"/>
    <w:qFormat/>
    <w:uiPriority w:val="0"/>
    <w:rPr>
      <w:rFonts w:ascii="仿宋_GB2312" w:eastAsia="仿宋_GB2312"/>
      <w:b/>
      <w:sz w:val="36"/>
      <w:lang w:val="en-US" w:eastAsia="zh-CN" w:bidi="ar-SA"/>
    </w:rPr>
  </w:style>
  <w:style w:type="character" w:customStyle="1" w:styleId="734">
    <w:name w:val="正文文本缩进 Char1"/>
    <w:qFormat/>
    <w:uiPriority w:val="0"/>
    <w:rPr>
      <w:rFonts w:ascii="宋体" w:hAnsi="Courier New" w:eastAsia="宋体"/>
      <w:spacing w:val="-4"/>
      <w:kern w:val="2"/>
      <w:sz w:val="18"/>
      <w:lang w:val="en-US" w:eastAsia="zh-CN" w:bidi="ar-SA"/>
    </w:rPr>
  </w:style>
  <w:style w:type="character" w:customStyle="1" w:styleId="735">
    <w:name w:val="正文缩进 Char1"/>
    <w:qFormat/>
    <w:uiPriority w:val="0"/>
    <w:rPr>
      <w:rFonts w:eastAsia="宋体"/>
      <w:kern w:val="2"/>
      <w:sz w:val="21"/>
      <w:lang w:val="en-US" w:eastAsia="zh-CN" w:bidi="ar-SA"/>
    </w:rPr>
  </w:style>
  <w:style w:type="character" w:customStyle="1" w:styleId="736">
    <w:name w:val="正文文本缩进 字符"/>
    <w:qFormat/>
    <w:uiPriority w:val="0"/>
    <w:rPr>
      <w:rFonts w:ascii="宋体" w:hAnsi="Courier New" w:eastAsia="宋体"/>
      <w:spacing w:val="-4"/>
      <w:kern w:val="2"/>
      <w:sz w:val="18"/>
      <w:lang w:val="en-US" w:eastAsia="zh-CN" w:bidi="ar-SA"/>
    </w:rPr>
  </w:style>
  <w:style w:type="character" w:customStyle="1" w:styleId="737">
    <w:name w:val="纯文本 字符2"/>
    <w:qFormat/>
    <w:uiPriority w:val="0"/>
    <w:rPr>
      <w:rFonts w:ascii="宋体" w:hAnsi="Courier New" w:eastAsia="宋体"/>
      <w:kern w:val="2"/>
      <w:sz w:val="24"/>
      <w:szCs w:val="24"/>
      <w:lang w:val="en-US" w:eastAsia="zh-CN" w:bidi="ar-SA"/>
    </w:rPr>
  </w:style>
  <w:style w:type="character" w:customStyle="1" w:styleId="738">
    <w:name w:val="纯文本 字符"/>
    <w:qFormat/>
    <w:uiPriority w:val="0"/>
    <w:rPr>
      <w:rFonts w:ascii="宋体" w:hAnsi="Courier New" w:eastAsia="宋体"/>
      <w:kern w:val="2"/>
      <w:sz w:val="21"/>
      <w:lang w:val="en-US" w:eastAsia="zh-CN" w:bidi="ar-SA"/>
    </w:rPr>
  </w:style>
  <w:style w:type="character" w:customStyle="1" w:styleId="739">
    <w:name w:val="标题 2 Char"/>
    <w:qFormat/>
    <w:uiPriority w:val="9"/>
    <w:rPr>
      <w:rFonts w:ascii="Cambria" w:hAnsi="Cambria" w:eastAsia="宋体" w:cs="Times New Roman"/>
      <w:b/>
      <w:bCs/>
      <w:sz w:val="32"/>
      <w:szCs w:val="32"/>
    </w:rPr>
  </w:style>
  <w:style w:type="character" w:customStyle="1" w:styleId="740">
    <w:name w:val="批注文字 Char"/>
    <w:qFormat/>
    <w:uiPriority w:val="0"/>
    <w:rPr>
      <w:rFonts w:ascii="Calibri" w:hAnsi="Calibri"/>
      <w:kern w:val="2"/>
      <w:sz w:val="21"/>
      <w:szCs w:val="22"/>
    </w:rPr>
  </w:style>
  <w:style w:type="character" w:customStyle="1" w:styleId="741">
    <w:name w:val="slider_ctrl_con"/>
    <w:qFormat/>
    <w:uiPriority w:val="99"/>
    <w:rPr>
      <w:shd w:val="clear" w:color="auto" w:fill="666666"/>
    </w:rPr>
  </w:style>
  <w:style w:type="character" w:customStyle="1" w:styleId="742">
    <w:name w:val="current"/>
    <w:qFormat/>
    <w:uiPriority w:val="99"/>
    <w:rPr>
      <w:shd w:val="clear" w:color="auto" w:fill="A00303"/>
    </w:rPr>
  </w:style>
  <w:style w:type="character" w:customStyle="1" w:styleId="743">
    <w:name w:val="textcolor1"/>
    <w:qFormat/>
    <w:uiPriority w:val="99"/>
    <w:rPr>
      <w:color w:val="FF6600"/>
    </w:rPr>
  </w:style>
  <w:style w:type="character" w:customStyle="1" w:styleId="744">
    <w:name w:val="纯文本 Char2"/>
    <w:qFormat/>
    <w:uiPriority w:val="99"/>
    <w:rPr>
      <w:rFonts w:ascii="宋体" w:hAnsi="Courier New" w:eastAsia="宋体"/>
      <w:kern w:val="2"/>
      <w:sz w:val="20"/>
      <w:lang w:val="en-US" w:eastAsia="zh-CN"/>
    </w:rPr>
  </w:style>
  <w:style w:type="character" w:customStyle="1" w:styleId="745">
    <w:name w:val="标题 2 字符"/>
    <w:semiHidden/>
    <w:qFormat/>
    <w:uiPriority w:val="9"/>
    <w:rPr>
      <w:rFonts w:ascii="等线 Light" w:hAnsi="等线 Light" w:eastAsia="等线 Light" w:cs="Times New Roman"/>
      <w:b/>
      <w:bCs/>
      <w:sz w:val="32"/>
      <w:szCs w:val="32"/>
    </w:rPr>
  </w:style>
  <w:style w:type="character" w:customStyle="1" w:styleId="746">
    <w:name w:val="列出段落 Char1"/>
    <w:qFormat/>
    <w:uiPriority w:val="34"/>
    <w:rPr>
      <w:rFonts w:ascii="Calibri" w:hAnsi="Calibri"/>
      <w:kern w:val="2"/>
      <w:sz w:val="24"/>
      <w:szCs w:val="22"/>
    </w:rPr>
  </w:style>
  <w:style w:type="character" w:customStyle="1" w:styleId="747">
    <w:name w:val="纯文本 Char4"/>
    <w:qFormat/>
    <w:uiPriority w:val="0"/>
    <w:rPr>
      <w:rFonts w:ascii="宋体" w:hAnsi="Courier New" w:eastAsia="宋体"/>
      <w:kern w:val="2"/>
      <w:sz w:val="24"/>
      <w:szCs w:val="24"/>
      <w:lang w:val="en-US" w:eastAsia="zh-CN" w:bidi="ar-SA"/>
    </w:rPr>
  </w:style>
  <w:style w:type="paragraph" w:customStyle="1" w:styleId="748">
    <w:name w:val="修订1"/>
    <w:hidden/>
    <w:semiHidden/>
    <w:qFormat/>
    <w:uiPriority w:val="99"/>
    <w:rPr>
      <w:rFonts w:ascii="Times New Roman" w:hAnsi="Times New Roman" w:eastAsia="宋体" w:cs="Times New Roman"/>
      <w:sz w:val="21"/>
      <w:lang w:val="en-US" w:eastAsia="zh-CN" w:bidi="ar-SA"/>
    </w:rPr>
  </w:style>
  <w:style w:type="character" w:customStyle="1" w:styleId="749">
    <w:name w:val="NormalCharacter"/>
    <w:qFormat/>
    <w:uiPriority w:val="0"/>
  </w:style>
  <w:style w:type="character" w:customStyle="1" w:styleId="750">
    <w:name w:val="纯文本 Char5"/>
    <w:qFormat/>
    <w:uiPriority w:val="0"/>
    <w:rPr>
      <w:rFonts w:ascii="宋体" w:hAnsi="Courier New" w:eastAsia="宋体"/>
      <w:sz w:val="24"/>
      <w:szCs w:val="24"/>
    </w:rPr>
  </w:style>
  <w:style w:type="paragraph" w:customStyle="1" w:styleId="751">
    <w:name w:val="表格文字2"/>
    <w:basedOn w:val="1"/>
    <w:qFormat/>
    <w:uiPriority w:val="0"/>
    <w:pPr>
      <w:widowControl w:val="0"/>
      <w:spacing w:beforeLines="50" w:afterLines="50" w:line="360" w:lineRule="auto"/>
      <w:jc w:val="both"/>
    </w:pPr>
    <w:rPr>
      <w:rFonts w:ascii="宋体" w:hAnsi="宋体"/>
      <w:kern w:val="2"/>
      <w:sz w:val="24"/>
      <w:szCs w:val="21"/>
    </w:rPr>
  </w:style>
  <w:style w:type="character" w:customStyle="1" w:styleId="752">
    <w:name w:val="UserStyle_117"/>
    <w:link w:val="753"/>
    <w:qFormat/>
    <w:locked/>
    <w:uiPriority w:val="0"/>
    <w:rPr>
      <w:rFonts w:ascii="宋体" w:hAnsi="Courier New"/>
      <w:sz w:val="24"/>
      <w:szCs w:val="24"/>
    </w:rPr>
  </w:style>
  <w:style w:type="paragraph" w:customStyle="1" w:styleId="753">
    <w:name w:val="PlainText"/>
    <w:basedOn w:val="1"/>
    <w:link w:val="752"/>
    <w:qFormat/>
    <w:uiPriority w:val="0"/>
    <w:pPr>
      <w:spacing w:before="156" w:after="156" w:line="400" w:lineRule="exact"/>
      <w:jc w:val="both"/>
    </w:pPr>
    <w:rPr>
      <w:rFonts w:ascii="宋体" w:hAnsi="Courier New"/>
      <w:sz w:val="24"/>
      <w:szCs w:val="24"/>
    </w:rPr>
  </w:style>
  <w:style w:type="character" w:customStyle="1" w:styleId="754">
    <w:name w:val="UserStyle_20"/>
    <w:link w:val="755"/>
    <w:qFormat/>
    <w:locked/>
    <w:uiPriority w:val="0"/>
    <w:rPr>
      <w:rFonts w:ascii="宋体" w:hAnsi="宋体" w:eastAsia="仿宋_GB2312"/>
      <w:b/>
      <w:bCs/>
      <w:sz w:val="24"/>
    </w:rPr>
  </w:style>
  <w:style w:type="paragraph" w:customStyle="1" w:styleId="755">
    <w:name w:val="BodyText3"/>
    <w:basedOn w:val="1"/>
    <w:link w:val="754"/>
    <w:qFormat/>
    <w:uiPriority w:val="0"/>
    <w:pPr>
      <w:snapToGrid w:val="0"/>
      <w:spacing w:before="50" w:after="50"/>
      <w:jc w:val="both"/>
    </w:pPr>
    <w:rPr>
      <w:rFonts w:ascii="宋体" w:hAnsi="宋体" w:eastAsia="仿宋_GB2312"/>
      <w:b/>
      <w:bCs/>
      <w:sz w:val="24"/>
    </w:rPr>
  </w:style>
  <w:style w:type="paragraph" w:customStyle="1" w:styleId="756">
    <w:name w:val="UserStyle_260"/>
    <w:basedOn w:val="1"/>
    <w:qFormat/>
    <w:uiPriority w:val="0"/>
    <w:pPr>
      <w:jc w:val="both"/>
    </w:pPr>
    <w:rPr>
      <w:rFonts w:ascii="宋体" w:hAnsi="Courier New" w:eastAsia="楷体_GB2312"/>
      <w:kern w:val="2"/>
      <w:sz w:val="26"/>
    </w:rPr>
  </w:style>
  <w:style w:type="paragraph" w:customStyle="1" w:styleId="757">
    <w:name w:val="列出段落3"/>
    <w:basedOn w:val="1"/>
    <w:qFormat/>
    <w:uiPriority w:val="0"/>
    <w:pPr>
      <w:ind w:firstLine="420" w:firstLineChars="200"/>
    </w:pPr>
    <w:rPr>
      <w:sz w:val="24"/>
    </w:rPr>
  </w:style>
  <w:style w:type="paragraph" w:customStyle="1" w:styleId="758">
    <w:name w:val="列表段落2"/>
    <w:basedOn w:val="1"/>
    <w:qFormat/>
    <w:uiPriority w:val="99"/>
    <w:pPr>
      <w:widowControl w:val="0"/>
      <w:spacing w:beforeLines="50" w:afterLines="50" w:line="288" w:lineRule="auto"/>
      <w:ind w:firstLine="420" w:firstLineChars="200"/>
      <w:jc w:val="both"/>
    </w:pPr>
    <w:rPr>
      <w:rFonts w:eastAsia="方正兰亭黑简体" w:cstheme="minorBidi"/>
      <w:kern w:val="2"/>
      <w:szCs w:val="24"/>
    </w:rPr>
  </w:style>
  <w:style w:type="paragraph" w:customStyle="1" w:styleId="759">
    <w:name w:val="正文缩近"/>
    <w:basedOn w:val="1"/>
    <w:qFormat/>
    <w:uiPriority w:val="0"/>
    <w:pPr>
      <w:widowControl w:val="0"/>
      <w:spacing w:line="360" w:lineRule="auto"/>
      <w:ind w:firstLine="200" w:firstLineChars="200"/>
      <w:jc w:val="both"/>
    </w:pPr>
    <w:rPr>
      <w:rFonts w:ascii="Calibri" w:hAnsi="Calibri"/>
      <w:kern w:val="2"/>
      <w:sz w:val="24"/>
      <w:szCs w:val="24"/>
    </w:rPr>
  </w:style>
  <w:style w:type="paragraph" w:customStyle="1" w:styleId="760">
    <w:name w:val="列表内容"/>
    <w:basedOn w:val="1"/>
    <w:next w:val="1"/>
    <w:qFormat/>
    <w:uiPriority w:val="0"/>
    <w:pPr>
      <w:numPr>
        <w:ilvl w:val="0"/>
        <w:numId w:val="2"/>
      </w:numPr>
      <w:tabs>
        <w:tab w:val="left" w:pos="840"/>
      </w:tabs>
    </w:pPr>
    <w:rPr>
      <w:sz w:val="18"/>
    </w:rPr>
  </w:style>
  <w:style w:type="paragraph" w:customStyle="1" w:styleId="761">
    <w:name w:val="正文360首行缩进"/>
    <w:basedOn w:val="1"/>
    <w:link w:val="762"/>
    <w:qFormat/>
    <w:uiPriority w:val="0"/>
    <w:pPr>
      <w:spacing w:before="120" w:line="300" w:lineRule="auto"/>
      <w:ind w:firstLine="200" w:firstLineChars="200"/>
    </w:pPr>
    <w:rPr>
      <w:kern w:val="2"/>
      <w:sz w:val="24"/>
    </w:rPr>
  </w:style>
  <w:style w:type="character" w:customStyle="1" w:styleId="762">
    <w:name w:val="正文360首行缩进 Char"/>
    <w:basedOn w:val="57"/>
    <w:link w:val="761"/>
    <w:qFormat/>
    <w:uiPriority w:val="0"/>
    <w:rPr>
      <w:rFonts w:ascii="Times New Roman" w:hAnsi="Times New Roman"/>
      <w:kern w:val="2"/>
      <w:sz w:val="24"/>
    </w:rPr>
  </w:style>
  <w:style w:type="paragraph" w:customStyle="1" w:styleId="763">
    <w:name w:val="强调文字"/>
    <w:basedOn w:val="127"/>
    <w:link w:val="764"/>
    <w:qFormat/>
    <w:uiPriority w:val="0"/>
    <w:pPr>
      <w:numPr>
        <w:ilvl w:val="0"/>
        <w:numId w:val="3"/>
      </w:numPr>
      <w:spacing w:before="120" w:line="300" w:lineRule="auto"/>
      <w:ind w:firstLine="0" w:firstLineChars="0"/>
    </w:pPr>
    <w:rPr>
      <w:kern w:val="2"/>
      <w:sz w:val="24"/>
    </w:rPr>
  </w:style>
  <w:style w:type="character" w:customStyle="1" w:styleId="764">
    <w:name w:val="强调文字 Char"/>
    <w:basedOn w:val="57"/>
    <w:link w:val="763"/>
    <w:qFormat/>
    <w:uiPriority w:val="0"/>
    <w:rPr>
      <w:rFonts w:ascii="Times New Roman" w:hAnsi="Times New Roman"/>
      <w:kern w:val="2"/>
      <w:sz w:val="24"/>
    </w:rPr>
  </w:style>
  <w:style w:type="character" w:customStyle="1" w:styleId="765">
    <w:name w:val="UserStyle_2"/>
    <w:qFormat/>
    <w:uiPriority w:val="0"/>
    <w:rPr>
      <w:rFonts w:ascii="宋体" w:hAnsi="宋体" w:eastAsia="宋体" w:cs="Times New Roman"/>
      <w:b/>
      <w:bCs/>
      <w:color w:val="000000"/>
      <w:spacing w:val="-20"/>
      <w:sz w:val="24"/>
      <w:szCs w:val="24"/>
    </w:rPr>
  </w:style>
  <w:style w:type="character" w:customStyle="1" w:styleId="766">
    <w:name w:val="纯文本 Char6"/>
    <w:qFormat/>
    <w:uiPriority w:val="0"/>
    <w:rPr>
      <w:rFonts w:ascii="宋体" w:hAnsi="Courier New" w:eastAsia="宋体"/>
      <w:sz w:val="24"/>
      <w:szCs w:val="24"/>
    </w:rPr>
  </w:style>
  <w:style w:type="character" w:customStyle="1" w:styleId="767">
    <w:name w:val="正文文本缩进 Char3"/>
    <w:basedOn w:val="57"/>
    <w:qFormat/>
    <w:uiPriority w:val="0"/>
    <w:rPr>
      <w:rFonts w:ascii="Calibri" w:hAnsi="Calibri" w:eastAsia="宋体" w:cs="Times New Roman"/>
      <w:szCs w:val="24"/>
    </w:rPr>
  </w:style>
  <w:style w:type="character" w:customStyle="1" w:styleId="768">
    <w:name w:val="正文首行缩进 2 字符"/>
    <w:basedOn w:val="89"/>
    <w:link w:val="54"/>
    <w:qFormat/>
    <w:uiPriority w:val="99"/>
    <w:rPr>
      <w:rFonts w:ascii="Times New Roman" w:hAnsi="Times New Roman" w:cs="宋体"/>
      <w:sz w:val="21"/>
      <w:szCs w:val="21"/>
    </w:rPr>
  </w:style>
  <w:style w:type="table" w:customStyle="1" w:styleId="76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71</Pages>
  <Words>43862</Words>
  <Characters>46671</Characters>
  <Lines>197</Lines>
  <Paragraphs>55</Paragraphs>
  <TotalTime>9</TotalTime>
  <ScaleCrop>false</ScaleCrop>
  <LinksUpToDate>false</LinksUpToDate>
  <CharactersWithSpaces>50950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2024-02-05T06:21:00Z</dcterms:created>
  <dc:creator>zgcc</dc:creator>
  <cp:lastModifiedBy>Administrator</cp:lastModifiedBy>
  <cp:lastPrinted>2020-12-12T06:05:00Z</cp:lastPrinted>
  <dcterms:modified xsi:type="dcterms:W3CDTF">2024-08-07T03:33:10Z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AAAAA</vt:lpwstr>
  </property>
  <property fmtid="{D5CDD505-2E9C-101B-9397-08002B2CF9AE}" pid="3" name="KSOProductBuildVer">
    <vt:lpwstr>2052-12.1.0.17147</vt:lpwstr>
  </property>
  <property fmtid="{D5CDD505-2E9C-101B-9397-08002B2CF9AE}" pid="4" name="ICV">
    <vt:lpwstr>CA3C4B53A75649F1B3D176E201B6A29F</vt:lpwstr>
  </property>
</Properties>
</file>