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839B4">
      <w:pPr>
        <w:adjustRightInd w:val="0"/>
        <w:snapToGrid w:val="0"/>
        <w:spacing w:after="240" w:line="360" w:lineRule="auto"/>
        <w:jc w:val="center"/>
        <w:rPr>
          <w:rFonts w:ascii="宋体" w:hAnsi="宋体" w:eastAsia="宋体" w:cs="宋体"/>
          <w:b/>
          <w:bCs/>
          <w:color w:val="auto"/>
          <w:sz w:val="40"/>
          <w:szCs w:val="52"/>
          <w:highlight w:val="none"/>
        </w:rPr>
      </w:pPr>
    </w:p>
    <w:p w14:paraId="1B8D511E">
      <w:pPr>
        <w:adjustRightInd w:val="0"/>
        <w:snapToGrid w:val="0"/>
        <w:spacing w:after="240" w:line="360" w:lineRule="auto"/>
        <w:jc w:val="center"/>
        <w:rPr>
          <w:rFonts w:ascii="宋体" w:hAnsi="宋体" w:eastAsia="宋体" w:cs="宋体"/>
          <w:b/>
          <w:bCs/>
          <w:color w:val="auto"/>
          <w:sz w:val="40"/>
          <w:szCs w:val="52"/>
          <w:highlight w:val="none"/>
        </w:rPr>
      </w:pPr>
      <w:r>
        <w:rPr>
          <w:rFonts w:hint="eastAsia" w:ascii="宋体" w:hAnsi="宋体" w:eastAsia="宋体" w:cs="宋体"/>
          <w:b/>
          <w:bCs/>
          <w:color w:val="auto"/>
          <w:sz w:val="40"/>
          <w:szCs w:val="52"/>
          <w:highlight w:val="none"/>
        </w:rPr>
        <w:t>嘉兴市南湖区2025年1月至2026年12月政府投资项目初步设计概算审核服务框架协议单位采购项目</w:t>
      </w:r>
    </w:p>
    <w:p w14:paraId="2305A645">
      <w:pPr>
        <w:adjustRightInd w:val="0"/>
        <w:snapToGrid w:val="0"/>
        <w:spacing w:line="360" w:lineRule="auto"/>
        <w:jc w:val="center"/>
        <w:rPr>
          <w:rFonts w:ascii="宋体" w:hAnsi="宋体" w:eastAsia="宋体" w:cs="宋体"/>
          <w:b/>
          <w:bCs/>
          <w:color w:val="auto"/>
          <w:sz w:val="44"/>
          <w:szCs w:val="44"/>
          <w:highlight w:val="none"/>
        </w:rPr>
      </w:pPr>
    </w:p>
    <w:p w14:paraId="67E77197">
      <w:pPr>
        <w:spacing w:before="156" w:beforeLines="50"/>
        <w:jc w:val="center"/>
        <w:rPr>
          <w:rFonts w:ascii="宋体" w:hAnsi="宋体" w:eastAsia="宋体" w:cs="宋体"/>
          <w:b/>
          <w:color w:val="auto"/>
          <w:sz w:val="48"/>
          <w:szCs w:val="48"/>
          <w:highlight w:val="none"/>
        </w:rPr>
      </w:pPr>
      <w:r>
        <w:rPr>
          <w:rFonts w:hint="eastAsia" w:ascii="宋体" w:hAnsi="宋体" w:eastAsia="宋体" w:cs="宋体"/>
          <w:b/>
          <w:color w:val="auto"/>
          <w:sz w:val="48"/>
          <w:szCs w:val="48"/>
          <w:highlight w:val="none"/>
        </w:rPr>
        <w:t>征 集 文 件</w:t>
      </w:r>
    </w:p>
    <w:p w14:paraId="09726165">
      <w:pPr>
        <w:spacing w:line="360" w:lineRule="auto"/>
        <w:jc w:val="center"/>
        <w:rPr>
          <w:rFonts w:ascii="宋体" w:hAnsi="宋体" w:eastAsia="宋体" w:cs="宋体"/>
          <w:b/>
          <w:bCs/>
          <w:color w:val="auto"/>
          <w:sz w:val="72"/>
          <w:szCs w:val="72"/>
          <w:highlight w:val="none"/>
        </w:rPr>
      </w:pPr>
    </w:p>
    <w:p w14:paraId="095D868F">
      <w:pPr>
        <w:spacing w:line="360" w:lineRule="auto"/>
        <w:jc w:val="center"/>
        <w:rPr>
          <w:rFonts w:ascii="宋体" w:hAnsi="宋体" w:eastAsia="宋体" w:cs="宋体"/>
          <w:b/>
          <w:bCs/>
          <w:color w:val="auto"/>
          <w:sz w:val="72"/>
          <w:szCs w:val="72"/>
          <w:highlight w:val="none"/>
        </w:rPr>
      </w:pPr>
    </w:p>
    <w:p w14:paraId="45AAFDCA">
      <w:pPr>
        <w:keepNext/>
        <w:keepLines/>
        <w:spacing w:before="260" w:after="260" w:line="415" w:lineRule="auto"/>
        <w:outlineLvl w:val="1"/>
        <w:rPr>
          <w:rFonts w:ascii="宋体" w:hAnsi="宋体" w:eastAsia="宋体" w:cs="宋体"/>
          <w:color w:val="auto"/>
          <w:kern w:val="0"/>
          <w:sz w:val="72"/>
          <w:szCs w:val="72"/>
          <w:highlight w:val="none"/>
        </w:rPr>
      </w:pPr>
    </w:p>
    <w:p w14:paraId="51188E06">
      <w:pPr>
        <w:rPr>
          <w:rFonts w:ascii="Calibri" w:hAnsi="Calibri" w:eastAsia="宋体" w:cs="Calibri"/>
          <w:color w:val="auto"/>
          <w:szCs w:val="21"/>
          <w:highlight w:val="none"/>
        </w:rPr>
      </w:pPr>
    </w:p>
    <w:p w14:paraId="380E5FBB">
      <w:pPr>
        <w:widowControl/>
        <w:jc w:val="left"/>
        <w:rPr>
          <w:rFonts w:ascii="宋体" w:hAnsi="宋体" w:eastAsia="宋体" w:cs="宋体"/>
          <w:color w:val="auto"/>
          <w:sz w:val="44"/>
          <w:szCs w:val="44"/>
          <w:highlight w:val="none"/>
          <w:u w:val="single"/>
        </w:rPr>
      </w:pPr>
      <w:r>
        <w:rPr>
          <w:rFonts w:hint="eastAsia" w:ascii="宋体" w:hAnsi="宋体" w:eastAsia="宋体" w:cs="宋体"/>
          <w:b/>
          <w:color w:val="auto"/>
          <w:sz w:val="30"/>
          <w:szCs w:val="30"/>
          <w:highlight w:val="none"/>
        </w:rPr>
        <w:t>项目编号：2024003-ZJJY</w:t>
      </w:r>
    </w:p>
    <w:p w14:paraId="04FB8657">
      <w:pPr>
        <w:spacing w:line="360" w:lineRule="auto"/>
        <w:ind w:left="1506" w:hanging="1506" w:hangingChars="500"/>
        <w:jc w:val="lef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项目名称：嘉兴市南湖区202</w:t>
      </w: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年1月至202</w:t>
      </w:r>
      <w:r>
        <w:rPr>
          <w:rFonts w:hint="eastAsia" w:ascii="宋体" w:hAnsi="宋体" w:eastAsia="宋体" w:cs="宋体"/>
          <w:b/>
          <w:color w:val="auto"/>
          <w:sz w:val="30"/>
          <w:szCs w:val="30"/>
          <w:highlight w:val="none"/>
          <w:lang w:val="en-US" w:eastAsia="zh-CN"/>
        </w:rPr>
        <w:t>6</w:t>
      </w:r>
      <w:r>
        <w:rPr>
          <w:rFonts w:hint="eastAsia" w:ascii="宋体" w:hAnsi="宋体" w:eastAsia="宋体" w:cs="宋体"/>
          <w:b/>
          <w:color w:val="auto"/>
          <w:sz w:val="30"/>
          <w:szCs w:val="30"/>
          <w:highlight w:val="none"/>
        </w:rPr>
        <w:t>年12月政府投资项目初步设计概算审核服务框架协议单位采购项目</w:t>
      </w:r>
    </w:p>
    <w:p w14:paraId="1C8D9F03">
      <w:pPr>
        <w:widowControl/>
        <w:jc w:val="lef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征 集 人：嘉兴市南湖区政务服务和数据资源管理局</w:t>
      </w:r>
    </w:p>
    <w:p w14:paraId="22AEA80D">
      <w:pPr>
        <w:widowControl/>
        <w:jc w:val="left"/>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代理机构：浙江建业工程管理有限公司</w:t>
      </w:r>
    </w:p>
    <w:p w14:paraId="5962FF6C">
      <w:pPr>
        <w:spacing w:line="360" w:lineRule="auto"/>
        <w:jc w:val="center"/>
        <w:rPr>
          <w:rFonts w:ascii="宋体" w:hAnsi="宋体" w:eastAsia="宋体" w:cs="宋体"/>
          <w:color w:val="auto"/>
          <w:sz w:val="36"/>
          <w:szCs w:val="36"/>
          <w:highlight w:val="none"/>
        </w:rPr>
        <w:sectPr>
          <w:footerReference r:id="rId3" w:type="default"/>
          <w:pgSz w:w="11906" w:h="16838"/>
          <w:pgMar w:top="1440" w:right="2326" w:bottom="1440" w:left="1380" w:header="930" w:footer="992" w:gutter="0"/>
          <w:cols w:space="720" w:num="1"/>
          <w:docGrid w:type="lines" w:linePitch="312" w:charSpace="0"/>
        </w:sectPr>
      </w:pPr>
      <w:r>
        <w:rPr>
          <w:rFonts w:hint="eastAsia" w:ascii="宋体" w:hAnsi="宋体" w:eastAsia="宋体" w:cs="宋体"/>
          <w:b/>
          <w:bCs/>
          <w:color w:val="auto"/>
          <w:sz w:val="36"/>
          <w:szCs w:val="36"/>
          <w:highlight w:val="none"/>
        </w:rPr>
        <w:t>2024年1</w:t>
      </w: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月</w:t>
      </w:r>
    </w:p>
    <w:p w14:paraId="2F0EB282">
      <w:pPr>
        <w:spacing w:line="360" w:lineRule="auto"/>
        <w:ind w:firstLine="964" w:firstLineChars="200"/>
        <w:jc w:val="center"/>
        <w:rPr>
          <w:rFonts w:ascii="宋体" w:hAnsi="宋体" w:eastAsia="宋体" w:cs="宋体"/>
          <w:b/>
          <w:bCs/>
          <w:color w:val="auto"/>
          <w:sz w:val="48"/>
          <w:szCs w:val="48"/>
          <w:highlight w:val="none"/>
        </w:rPr>
      </w:pPr>
    </w:p>
    <w:p w14:paraId="0CBCF29A">
      <w:pPr>
        <w:spacing w:line="360" w:lineRule="auto"/>
        <w:ind w:firstLine="964" w:firstLineChars="200"/>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715FF5E2">
      <w:pPr>
        <w:spacing w:line="360" w:lineRule="auto"/>
        <w:ind w:firstLine="964" w:firstLineChars="200"/>
        <w:jc w:val="center"/>
        <w:rPr>
          <w:rFonts w:ascii="宋体" w:hAnsi="宋体" w:eastAsia="宋体" w:cs="宋体"/>
          <w:b/>
          <w:bCs/>
          <w:color w:val="auto"/>
          <w:sz w:val="48"/>
          <w:szCs w:val="48"/>
          <w:highlight w:val="none"/>
        </w:rPr>
      </w:pPr>
    </w:p>
    <w:p w14:paraId="6A7E55BF">
      <w:pPr>
        <w:spacing w:line="360" w:lineRule="auto"/>
        <w:ind w:left="1680" w:leftChars="8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框架协议采购公告</w:t>
      </w:r>
    </w:p>
    <w:p w14:paraId="4A1686ED">
      <w:pPr>
        <w:spacing w:line="360" w:lineRule="auto"/>
        <w:ind w:left="1680" w:leftChars="8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框架协议采购需求</w:t>
      </w:r>
    </w:p>
    <w:p w14:paraId="15FCD360">
      <w:pPr>
        <w:spacing w:line="360" w:lineRule="auto"/>
        <w:ind w:left="1680" w:leftChars="8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05BA9C99">
      <w:pPr>
        <w:spacing w:line="360" w:lineRule="auto"/>
        <w:ind w:left="1680" w:leftChars="8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评标办法及标准</w:t>
      </w:r>
    </w:p>
    <w:p w14:paraId="75607B95">
      <w:pPr>
        <w:spacing w:line="360" w:lineRule="auto"/>
        <w:ind w:left="1680" w:leftChars="8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框架协议主要条款</w:t>
      </w:r>
    </w:p>
    <w:p w14:paraId="3B3A394B">
      <w:pPr>
        <w:spacing w:line="360" w:lineRule="auto"/>
        <w:ind w:left="1680" w:leftChars="800"/>
        <w:jc w:val="left"/>
        <w:rPr>
          <w:rFonts w:ascii="宋体" w:hAnsi="宋体" w:eastAsia="宋体" w:cs="宋体"/>
          <w:color w:val="auto"/>
          <w:sz w:val="32"/>
          <w:szCs w:val="32"/>
          <w:highlight w:val="none"/>
        </w:rPr>
        <w:sectPr>
          <w:pgSz w:w="11906" w:h="16838"/>
          <w:pgMar w:top="1440" w:right="1800" w:bottom="1440" w:left="1800" w:header="930" w:footer="992" w:gutter="0"/>
          <w:cols w:space="720" w:num="1"/>
          <w:docGrid w:type="lines" w:linePitch="312" w:charSpace="0"/>
        </w:sectPr>
      </w:pPr>
      <w:r>
        <w:rPr>
          <w:rFonts w:hint="eastAsia" w:ascii="宋体" w:hAnsi="宋体" w:eastAsia="宋体" w:cs="宋体"/>
          <w:color w:val="auto"/>
          <w:sz w:val="32"/>
          <w:szCs w:val="32"/>
          <w:highlight w:val="none"/>
        </w:rPr>
        <w:t>第六部分      响应文件格式</w:t>
      </w:r>
    </w:p>
    <w:p w14:paraId="43B5DC91">
      <w:pPr>
        <w:spacing w:line="360" w:lineRule="auto"/>
        <w:ind w:firstLine="723" w:firstLineChars="200"/>
        <w:jc w:val="center"/>
        <w:outlineLvl w:val="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框架协议采购公告</w:t>
      </w:r>
    </w:p>
    <w:p w14:paraId="4E0ABB99">
      <w:pPr>
        <w:pBdr>
          <w:top w:val="single" w:color="auto" w:sz="4" w:space="1"/>
          <w:left w:val="single" w:color="auto" w:sz="4" w:space="4"/>
          <w:bottom w:val="single" w:color="auto" w:sz="4" w:space="1"/>
          <w:right w:val="single" w:color="auto" w:sz="4" w:space="4"/>
        </w:pBd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7C7B8BD">
      <w:pPr>
        <w:pBdr>
          <w:top w:val="single" w:color="auto" w:sz="4" w:space="1"/>
          <w:left w:val="single" w:color="auto" w:sz="4" w:space="4"/>
          <w:bottom w:val="single" w:color="auto" w:sz="4" w:space="1"/>
          <w:right w:val="single" w:color="auto" w:sz="4" w:space="4"/>
        </w:pBdr>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嘉兴市南湖区2025年1月至2026年12月政府投资项目初步设计概算审核服务框架协议单位采购项目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政府采购云平台（</w:t>
      </w:r>
      <w:r>
        <w:rPr>
          <w:color w:val="auto"/>
          <w:highlight w:val="none"/>
        </w:rPr>
        <w:fldChar w:fldCharType="begin"/>
      </w:r>
      <w:r>
        <w:rPr>
          <w:color w:val="auto"/>
          <w:highlight w:val="none"/>
        </w:rPr>
        <w:instrText xml:space="preserve"> HYPERLINK "https://www.zcygov.cn/）获取（下载）招标文件，并于2024年11月" </w:instrText>
      </w:r>
      <w:r>
        <w:rPr>
          <w:color w:val="auto"/>
          <w:highlight w:val="none"/>
        </w:rPr>
        <w:fldChar w:fldCharType="separate"/>
      </w:r>
      <w:r>
        <w:rPr>
          <w:rFonts w:ascii="宋体" w:hAnsi="宋体" w:eastAsia="宋体" w:cs="宋体"/>
          <w:color w:val="auto"/>
          <w:sz w:val="24"/>
          <w:szCs w:val="24"/>
          <w:highlight w:val="none"/>
          <w:u w:val="single"/>
        </w:rPr>
        <w:t>https://www.zcygov.cn/）获取（下载）招标文件，并于2024年1</w:t>
      </w:r>
      <w:r>
        <w:rPr>
          <w:rFonts w:hint="eastAsia" w:ascii="宋体" w:hAnsi="宋体" w:eastAsia="宋体" w:cs="宋体"/>
          <w:color w:val="auto"/>
          <w:sz w:val="24"/>
          <w:szCs w:val="24"/>
          <w:highlight w:val="none"/>
          <w:u w:val="single"/>
          <w:lang w:val="en-US" w:eastAsia="zh-CN"/>
        </w:rPr>
        <w:t>2</w:t>
      </w:r>
      <w:r>
        <w:rPr>
          <w:rFonts w:ascii="宋体" w:hAnsi="宋体" w:eastAsia="宋体" w:cs="宋体"/>
          <w:color w:val="auto"/>
          <w:sz w:val="24"/>
          <w:szCs w:val="24"/>
          <w:highlight w:val="none"/>
          <w:u w:val="single"/>
        </w:rPr>
        <w:t>月</w:t>
      </w:r>
      <w:r>
        <w:rPr>
          <w:rFonts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分0</w:t>
      </w:r>
      <w:r>
        <w:rPr>
          <w:rFonts w:hint="eastAsia" w:ascii="宋体" w:hAnsi="宋体" w:eastAsia="宋体" w:cs="宋体"/>
          <w:color w:val="auto"/>
          <w:sz w:val="24"/>
          <w:szCs w:val="24"/>
          <w:highlight w:val="none"/>
          <w:u w:val="single"/>
        </w:rPr>
        <w:t>0秒</w:t>
      </w:r>
      <w:r>
        <w:rPr>
          <w:rFonts w:hint="eastAsia" w:ascii="宋体" w:hAnsi="宋体" w:eastAsia="宋体" w:cs="宋体"/>
          <w:color w:val="auto"/>
          <w:sz w:val="24"/>
          <w:szCs w:val="24"/>
          <w:highlight w:val="none"/>
        </w:rPr>
        <w:t>（北京时间）前递交（上传）投标文件。</w:t>
      </w:r>
    </w:p>
    <w:p w14:paraId="333AC501">
      <w:pPr>
        <w:keepNext/>
        <w:keepLines/>
        <w:adjustRightInd w:val="0"/>
        <w:snapToGrid w:val="0"/>
        <w:spacing w:line="360" w:lineRule="auto"/>
        <w:ind w:firstLine="420" w:firstLineChars="200"/>
        <w:outlineLvl w:val="1"/>
        <w:rPr>
          <w:rFonts w:ascii="宋体" w:hAnsi="宋体" w:eastAsia="宋体" w:cs="宋体"/>
          <w:b/>
          <w:bCs/>
          <w:color w:val="auto"/>
          <w:kern w:val="0"/>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color w:val="auto"/>
          <w:kern w:val="0"/>
          <w:szCs w:val="21"/>
          <w:highlight w:val="none"/>
        </w:rPr>
        <w:t>一、项目基本情况</w:t>
      </w:r>
      <w:bookmarkEnd w:id="0"/>
      <w:bookmarkEnd w:id="1"/>
      <w:bookmarkEnd w:id="2"/>
      <w:bookmarkEnd w:id="3"/>
    </w:p>
    <w:p w14:paraId="148D6CF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bidi="ar"/>
        </w:rPr>
        <w:t>2024003-ZJJY</w:t>
      </w:r>
    </w:p>
    <w:p w14:paraId="4372A8E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2.项目名称：嘉兴市南湖区2025年1月至2026年12月政府投资项目初步设计概算审核服务框架协议单位采购项目</w:t>
      </w:r>
    </w:p>
    <w:bookmarkEnd w:id="4"/>
    <w:p w14:paraId="6CF9B62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3.报 价：本项目预算价（最高限价）为：浙价服[2009]84号文件规定的收费*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8%（单个项目收费不足0.1万元的按照0.1万计取）</w:t>
      </w:r>
      <w:r>
        <w:rPr>
          <w:rFonts w:hint="eastAsia" w:ascii="宋体" w:hAnsi="宋体" w:eastAsia="宋体" w:cs="仿宋"/>
          <w:b/>
          <w:bCs/>
          <w:color w:val="auto"/>
          <w:szCs w:val="21"/>
          <w:highlight w:val="none"/>
        </w:rPr>
        <w:t>，</w:t>
      </w:r>
      <w:r>
        <w:rPr>
          <w:rFonts w:hint="eastAsia" w:ascii="宋体" w:hAnsi="宋体" w:eastAsia="宋体" w:cs="宋体"/>
          <w:color w:val="auto"/>
          <w:szCs w:val="21"/>
          <w:highlight w:val="none"/>
        </w:rPr>
        <w:t>投标参考浙价服[2009]84号文件规定的收费内容，自行确定初步设计概算审核服务费率进行投标费率报价；</w:t>
      </w:r>
    </w:p>
    <w:p w14:paraId="672A40D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4.采购需求：</w:t>
      </w:r>
    </w:p>
    <w:tbl>
      <w:tblPr>
        <w:tblStyle w:val="7"/>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30"/>
        <w:gridCol w:w="520"/>
        <w:gridCol w:w="510"/>
        <w:gridCol w:w="1380"/>
        <w:gridCol w:w="3670"/>
        <w:gridCol w:w="1746"/>
      </w:tblGrid>
      <w:tr w14:paraId="1AE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 w:type="dxa"/>
            <w:vAlign w:val="center"/>
          </w:tcPr>
          <w:p w14:paraId="7DAF8193">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830" w:type="dxa"/>
            <w:vAlign w:val="center"/>
          </w:tcPr>
          <w:p w14:paraId="69E451A1">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标项名称</w:t>
            </w:r>
          </w:p>
        </w:tc>
        <w:tc>
          <w:tcPr>
            <w:tcW w:w="520" w:type="dxa"/>
            <w:vAlign w:val="center"/>
          </w:tcPr>
          <w:p w14:paraId="1F5AD52C">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10" w:type="dxa"/>
            <w:vAlign w:val="center"/>
          </w:tcPr>
          <w:p w14:paraId="40FD0ADE">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380" w:type="dxa"/>
            <w:vAlign w:val="center"/>
          </w:tcPr>
          <w:p w14:paraId="7CCEFDDD">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入围供应商最多数量(家）</w:t>
            </w:r>
          </w:p>
        </w:tc>
        <w:tc>
          <w:tcPr>
            <w:tcW w:w="3670" w:type="dxa"/>
            <w:vAlign w:val="center"/>
          </w:tcPr>
          <w:p w14:paraId="3422B32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招标范围具体及要求</w:t>
            </w:r>
          </w:p>
        </w:tc>
        <w:tc>
          <w:tcPr>
            <w:tcW w:w="1746" w:type="dxa"/>
            <w:vAlign w:val="center"/>
          </w:tcPr>
          <w:p w14:paraId="26828019">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DE8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851CE54">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30" w:type="dxa"/>
            <w:vAlign w:val="center"/>
          </w:tcPr>
          <w:p w14:paraId="6DACF20F">
            <w:pPr>
              <w:adjustRightInd w:val="0"/>
              <w:snapToGrid w:val="0"/>
              <w:rPr>
                <w:rFonts w:ascii="宋体" w:hAnsi="宋体" w:eastAsia="宋体" w:cs="宋体"/>
                <w:color w:val="auto"/>
                <w:szCs w:val="21"/>
                <w:highlight w:val="none"/>
              </w:rPr>
            </w:pPr>
            <w:r>
              <w:rPr>
                <w:rFonts w:hint="eastAsia" w:ascii="宋体" w:hAnsi="宋体" w:eastAsia="宋体" w:cs="宋体"/>
                <w:color w:val="auto"/>
                <w:kern w:val="0"/>
                <w:szCs w:val="21"/>
                <w:highlight w:val="none"/>
              </w:rPr>
              <w:t>政府投资项目初步设计概算审 核</w:t>
            </w:r>
          </w:p>
        </w:tc>
        <w:tc>
          <w:tcPr>
            <w:tcW w:w="520" w:type="dxa"/>
            <w:vAlign w:val="center"/>
          </w:tcPr>
          <w:p w14:paraId="1BADAE27">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10" w:type="dxa"/>
            <w:vAlign w:val="center"/>
          </w:tcPr>
          <w:p w14:paraId="143B6B7B">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380" w:type="dxa"/>
            <w:vAlign w:val="center"/>
          </w:tcPr>
          <w:p w14:paraId="3317217E">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670" w:type="dxa"/>
            <w:vAlign w:val="center"/>
          </w:tcPr>
          <w:p w14:paraId="5552DE25">
            <w:pPr>
              <w:widowControl/>
              <w:adjustRightInd w:val="0"/>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通过框架协议采购方式，公开征集嘉兴市南湖区政务服务和数据资源管理局政府投资项目中属于集中采购目录以外，采购限额标准以上，且单笔采购金额符合小额零星采购的初步设计概算审核服务供应商。具体详见招标文件第二部分采购需求</w:t>
            </w:r>
          </w:p>
        </w:tc>
        <w:tc>
          <w:tcPr>
            <w:tcW w:w="1746" w:type="dxa"/>
            <w:vAlign w:val="center"/>
          </w:tcPr>
          <w:p w14:paraId="6C69A75C">
            <w:pPr>
              <w:adjustRightInd w:val="0"/>
              <w:snapToGrid w:val="0"/>
              <w:rPr>
                <w:rFonts w:ascii="宋体" w:hAnsi="宋体" w:eastAsia="宋体" w:cs="宋体"/>
                <w:color w:val="auto"/>
                <w:szCs w:val="21"/>
                <w:highlight w:val="none"/>
              </w:rPr>
            </w:pPr>
            <w:bookmarkStart w:id="5" w:name="_Toc291450147"/>
            <w:bookmarkStart w:id="6" w:name="_Toc155322447"/>
            <w:r>
              <w:rPr>
                <w:rFonts w:hint="eastAsia" w:ascii="宋体" w:hAnsi="宋体" w:eastAsia="宋体" w:cs="宋体"/>
                <w:color w:val="auto"/>
                <w:szCs w:val="21"/>
                <w:highlight w:val="none"/>
              </w:rPr>
              <w:t>从签订合同之日起两年。根据考核情况可以按规定续签合同。</w:t>
            </w:r>
            <w:bookmarkEnd w:id="5"/>
            <w:bookmarkEnd w:id="6"/>
          </w:p>
        </w:tc>
      </w:tr>
    </w:tbl>
    <w:p w14:paraId="2A11741B">
      <w:pPr>
        <w:adjustRightInd w:val="0"/>
        <w:snapToGrid w:val="0"/>
        <w:spacing w:line="360" w:lineRule="auto"/>
        <w:ind w:firstLine="420" w:firstLineChars="200"/>
        <w:rPr>
          <w:rFonts w:ascii="宋体" w:hAnsi="宋体" w:eastAsia="宋体" w:cs="宋体"/>
          <w:color w:val="auto"/>
          <w:szCs w:val="21"/>
          <w:highlight w:val="none"/>
        </w:rPr>
      </w:pPr>
      <w:bookmarkStart w:id="7" w:name="_Toc35393622"/>
      <w:bookmarkStart w:id="8" w:name="_Toc28359080"/>
      <w:bookmarkStart w:id="9" w:name="_Toc28359003"/>
      <w:bookmarkStart w:id="10" w:name="_Toc35393791"/>
      <w:r>
        <w:rPr>
          <w:rFonts w:hint="eastAsia" w:ascii="宋体" w:hAnsi="宋体" w:eastAsia="宋体" w:cs="宋体"/>
          <w:color w:val="auto"/>
          <w:szCs w:val="21"/>
          <w:highlight w:val="none"/>
        </w:rPr>
        <w:t xml:space="preserve"> 二、投标供应商资格要求：</w:t>
      </w:r>
      <w:bookmarkEnd w:id="7"/>
      <w:bookmarkEnd w:id="8"/>
      <w:bookmarkEnd w:id="9"/>
      <w:bookmarkEnd w:id="10"/>
    </w:p>
    <w:p w14:paraId="0A6E5AE0">
      <w:pPr>
        <w:adjustRightInd w:val="0"/>
        <w:snapToGrid w:val="0"/>
        <w:spacing w:line="360" w:lineRule="auto"/>
        <w:ind w:firstLine="420" w:firstLineChars="200"/>
        <w:rPr>
          <w:rFonts w:ascii="宋体" w:hAnsi="宋体" w:eastAsia="宋体" w:cs="宋体"/>
          <w:color w:val="auto"/>
          <w:szCs w:val="21"/>
          <w:highlight w:val="none"/>
        </w:rPr>
      </w:pPr>
      <w:bookmarkStart w:id="11" w:name="_Toc35393792"/>
      <w:bookmarkStart w:id="12" w:name="_Toc35393623"/>
      <w:bookmarkStart w:id="13" w:name="_Toc28359004"/>
      <w:bookmarkStart w:id="14" w:name="_Toc28359081"/>
      <w:r>
        <w:rPr>
          <w:rFonts w:hint="eastAsia" w:ascii="宋体" w:hAnsi="宋体" w:eastAsia="宋体" w:cs="宋体"/>
          <w:color w:val="auto"/>
          <w:szCs w:val="21"/>
          <w:highlight w:val="none"/>
        </w:rPr>
        <w:t>1.符合《中华人民共和国政府采购法》第二十二条的规定：</w:t>
      </w:r>
    </w:p>
    <w:p w14:paraId="3D6C157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57249F5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378E5FC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21FD786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191421E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4160FD4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2.符合政府采购法实施条例第十八条规定：单位负责人为同一人或者存在直接控股、管理关系的不同供应商，不得参加同一合同项下的政府采购活动。</w:t>
      </w:r>
    </w:p>
    <w:p w14:paraId="7F315EA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满足《中华人民共和国政府采购法》第二十二条规定，且未被“信用中国”（www.creditchina.gov.cn）、中国政府采购网（www.ccgp.gov.cn）列入失信被执行人、重大税收违法案件当事人名单、政府采购严重违法失信行为记录名单；</w:t>
      </w:r>
    </w:p>
    <w:p w14:paraId="5C2A24E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4.公益一类事业单位、使用事业编制且由财政拨款保障的群团组织不属于政府购买服务的承接主体，不得参与承接购买服务；</w:t>
      </w:r>
    </w:p>
    <w:p w14:paraId="7E8CBED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5.落实政府采购政策需满足的资格要求：本项目为专门面向中小微企业采购（投标时提供中小企业声明函）；</w:t>
      </w:r>
    </w:p>
    <w:p w14:paraId="6D41DC0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6.供应商的特定资格条件：无</w:t>
      </w:r>
    </w:p>
    <w:p w14:paraId="20BD3AF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7.本项目不接受联合体投标。</w:t>
      </w:r>
    </w:p>
    <w:p w14:paraId="048AAB77">
      <w:pPr>
        <w:keepNext/>
        <w:keepLines/>
        <w:adjustRightInd w:val="0"/>
        <w:snapToGrid w:val="0"/>
        <w:spacing w:line="360" w:lineRule="auto"/>
        <w:ind w:firstLine="420" w:firstLineChars="200"/>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三、招标文件</w:t>
      </w:r>
      <w:bookmarkEnd w:id="11"/>
      <w:bookmarkEnd w:id="12"/>
      <w:bookmarkEnd w:id="13"/>
      <w:bookmarkEnd w:id="14"/>
      <w:r>
        <w:rPr>
          <w:rFonts w:hint="eastAsia" w:ascii="宋体" w:hAnsi="宋体" w:eastAsia="宋体" w:cs="宋体"/>
          <w:color w:val="auto"/>
          <w:kern w:val="0"/>
          <w:szCs w:val="21"/>
          <w:highlight w:val="none"/>
        </w:rPr>
        <w:t>的获取</w:t>
      </w:r>
    </w:p>
    <w:p w14:paraId="6F7F1CB8">
      <w:pPr>
        <w:adjustRightInd w:val="0"/>
        <w:snapToGrid w:val="0"/>
        <w:spacing w:line="360" w:lineRule="auto"/>
        <w:ind w:firstLine="420" w:firstLineChars="200"/>
        <w:rPr>
          <w:rFonts w:ascii="宋体" w:hAnsi="宋体" w:eastAsia="宋体" w:cs="宋体"/>
          <w:color w:val="auto"/>
          <w:szCs w:val="21"/>
          <w:highlight w:val="none"/>
        </w:rPr>
      </w:pPr>
      <w:bookmarkStart w:id="15" w:name="_Toc28359005"/>
      <w:bookmarkStart w:id="16" w:name="_Toc28359082"/>
      <w:bookmarkStart w:id="17" w:name="_Toc35393793"/>
      <w:bookmarkStart w:id="18" w:name="_Toc35393624"/>
      <w:r>
        <w:rPr>
          <w:rFonts w:hint="eastAsia" w:ascii="宋体" w:hAnsi="宋体" w:eastAsia="宋体" w:cs="宋体"/>
          <w:color w:val="auto"/>
          <w:szCs w:val="21"/>
          <w:highlight w:val="none"/>
        </w:rPr>
        <w:t>1.本项目招标文件实行“浙江政采云平台（以下简称“政采云平台”）”在线获取，不提供招标文件纸质版。供应商自行完成“政采云平台”的账号注册；</w:t>
      </w:r>
    </w:p>
    <w:p w14:paraId="6527CB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2.招标文件获取地址及时间：</w:t>
      </w:r>
    </w:p>
    <w:p w14:paraId="5100785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2024年11月29日</w:t>
      </w:r>
      <w:r>
        <w:rPr>
          <w:rFonts w:hint="eastAsia" w:ascii="宋体" w:hAnsi="宋体" w:eastAsia="宋体" w:cs="宋体"/>
          <w:color w:val="auto"/>
          <w:szCs w:val="21"/>
          <w:highlight w:val="none"/>
        </w:rPr>
        <w:t>至2024年1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，每天上午00:00至12:00 ，下午12:00至23:59（北京时间，线上获取法定节假日均可）；</w:t>
      </w:r>
    </w:p>
    <w:p w14:paraId="2776228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地点（网址）：政采云平台（https://www.zcygov.cn/）；</w:t>
      </w:r>
    </w:p>
    <w:p w14:paraId="2F9BE12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方式：潜在供应商登陆政采云平台https://www.zcygov.cn/，在线申请获取招标文件（进入“项目采购”应用，在获取招标文件菜单中选择项目，申请获取招标文件，本项目招标文件不收取工本费；仅需浏览招标文件的供应商可点击“游客，浏览招标文件”直接下载招标文件浏览）； </w:t>
      </w:r>
    </w:p>
    <w:p w14:paraId="0A1EE02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4.供应商获取招标文件时须提交的文件资料：无；</w:t>
      </w:r>
    </w:p>
    <w:p w14:paraId="6E82050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提示：框架协议采购公告附件内的招标文件（或采购需求）仅供阅览使用，供应商只有在“政采云平台”完成获取招标文件申请并下载了招标文件后才视作依法获取招标文件（法律法规所指的供应商获取招标文件时间以供应商完成获取招标文件申请后下载招标文件的时间为准）。</w:t>
      </w:r>
    </w:p>
    <w:p w14:paraId="19033F9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注：请供应商按上述要求获取招标文件，如未在“政采云平台”系统内完成相关流程，引起的投标无效责任自负。</w:t>
      </w:r>
    </w:p>
    <w:p w14:paraId="5D7CE7E8">
      <w:pPr>
        <w:keepNext/>
        <w:keepLines/>
        <w:numPr>
          <w:ilvl w:val="0"/>
          <w:numId w:val="1"/>
        </w:numPr>
        <w:adjustRightInd w:val="0"/>
        <w:snapToGrid w:val="0"/>
        <w:spacing w:line="360" w:lineRule="auto"/>
        <w:ind w:firstLine="420" w:firstLineChars="200"/>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w:t>
      </w:r>
      <w:bookmarkEnd w:id="15"/>
      <w:bookmarkEnd w:id="16"/>
      <w:r>
        <w:rPr>
          <w:rFonts w:hint="eastAsia" w:ascii="宋体" w:hAnsi="宋体" w:eastAsia="宋体" w:cs="宋体"/>
          <w:color w:val="auto"/>
          <w:kern w:val="0"/>
          <w:szCs w:val="21"/>
          <w:highlight w:val="none"/>
        </w:rPr>
        <w:t>截止时间和地址、开标时间和地点</w:t>
      </w:r>
      <w:bookmarkEnd w:id="17"/>
      <w:bookmarkEnd w:id="18"/>
    </w:p>
    <w:p w14:paraId="1BB6663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1.投标截止时间：</w:t>
      </w:r>
      <w:r>
        <w:rPr>
          <w:rFonts w:hint="eastAsia" w:ascii="宋体" w:hAnsi="宋体" w:eastAsia="宋体" w:cs="宋体"/>
          <w:color w:val="auto"/>
          <w:szCs w:val="21"/>
          <w:highlight w:val="none"/>
        </w:rPr>
        <w:t>2024年1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0分00秒</w:t>
      </w:r>
      <w:r>
        <w:rPr>
          <w:rFonts w:hint="eastAsia" w:ascii="宋体" w:hAnsi="宋体" w:eastAsia="宋体" w:cs="宋体"/>
          <w:color w:val="auto"/>
          <w:szCs w:val="21"/>
          <w:highlight w:val="none"/>
        </w:rPr>
        <w:t>（北京时间）前将加密的电子投标文件上传至政采云平台，逾期上传则投标无效。本项目实行政府采购电子化交易，不接受纸质投标文件。</w:t>
      </w:r>
    </w:p>
    <w:p w14:paraId="3F27D9C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特别提示：为了保证投标成功，供应商应预留充足时间上传加密电子投标文件（建议提前一天，供应商解密电子投标文件前处于加密状态）；</w:t>
      </w:r>
    </w:p>
    <w:p w14:paraId="128F493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2.投标地址：“政采云平台”（https://www.zcygov.cn/）在线投标；</w:t>
      </w:r>
    </w:p>
    <w:p w14:paraId="7493215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3.开标时间：</w:t>
      </w:r>
      <w:r>
        <w:rPr>
          <w:rFonts w:hint="eastAsia" w:ascii="宋体" w:hAnsi="宋体" w:eastAsia="宋体" w:cs="宋体"/>
          <w:color w:val="auto"/>
          <w:szCs w:val="21"/>
          <w:highlight w:val="none"/>
        </w:rPr>
        <w:t>2024年1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分00秒（北京时间）</w:t>
      </w:r>
      <w:r>
        <w:rPr>
          <w:rFonts w:hint="eastAsia" w:ascii="宋体" w:hAnsi="宋体" w:eastAsia="宋体" w:cs="宋体"/>
          <w:color w:val="auto"/>
          <w:szCs w:val="21"/>
          <w:highlight w:val="none"/>
        </w:rPr>
        <w:t>；</w:t>
      </w:r>
    </w:p>
    <w:p w14:paraId="7ECD2AA0">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4.开标地点: </w:t>
      </w:r>
    </w:p>
    <w:p w14:paraId="5E5A1CC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线上：政采云平台（https://www.zcygov.cn/）</w:t>
      </w:r>
    </w:p>
    <w:p w14:paraId="192B412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线下：浙江省嘉兴市经济技术开发区晶晖广场11楼开标室。</w:t>
      </w:r>
    </w:p>
    <w:p w14:paraId="1FE1E32F">
      <w:pPr>
        <w:keepNext/>
        <w:keepLines/>
        <w:adjustRightInd w:val="0"/>
        <w:snapToGrid w:val="0"/>
        <w:spacing w:line="360" w:lineRule="auto"/>
        <w:ind w:firstLine="420" w:firstLineChars="200"/>
        <w:outlineLvl w:val="1"/>
        <w:rPr>
          <w:rFonts w:ascii="宋体" w:hAnsi="宋体" w:eastAsia="宋体" w:cs="宋体"/>
          <w:color w:val="auto"/>
          <w:kern w:val="0"/>
          <w:szCs w:val="21"/>
          <w:highlight w:val="none"/>
        </w:rPr>
      </w:pPr>
      <w:bookmarkStart w:id="19" w:name="_Toc35393625"/>
      <w:bookmarkStart w:id="20" w:name="_Toc35393794"/>
      <w:bookmarkStart w:id="21" w:name="_Toc28359007"/>
      <w:bookmarkStart w:id="22" w:name="_Toc28359084"/>
      <w:r>
        <w:rPr>
          <w:rFonts w:hint="eastAsia" w:ascii="宋体" w:hAnsi="宋体" w:eastAsia="宋体" w:cs="宋体"/>
          <w:color w:val="auto"/>
          <w:kern w:val="0"/>
          <w:szCs w:val="21"/>
          <w:highlight w:val="none"/>
        </w:rPr>
        <w:t>五、公告期限</w:t>
      </w:r>
      <w:bookmarkEnd w:id="19"/>
      <w:bookmarkEnd w:id="20"/>
      <w:bookmarkEnd w:id="21"/>
      <w:bookmarkEnd w:id="22"/>
    </w:p>
    <w:p w14:paraId="2B8F36D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自本公告发布之日起5个工作日，本项目招标文件的公告期限与采购公告期限一致。</w:t>
      </w:r>
    </w:p>
    <w:p w14:paraId="57F0E79C">
      <w:pPr>
        <w:adjustRightInd w:val="0"/>
        <w:snapToGrid w:val="0"/>
        <w:spacing w:line="360" w:lineRule="auto"/>
        <w:ind w:firstLine="420" w:firstLineChars="200"/>
        <w:rPr>
          <w:rFonts w:ascii="宋体" w:hAnsi="宋体" w:eastAsia="宋体" w:cs="宋体"/>
          <w:color w:val="auto"/>
          <w:szCs w:val="21"/>
          <w:highlight w:val="none"/>
        </w:rPr>
      </w:pPr>
      <w:bookmarkStart w:id="23" w:name="_Toc35393795"/>
      <w:bookmarkStart w:id="24" w:name="_Toc35393626"/>
      <w:r>
        <w:rPr>
          <w:rFonts w:hint="eastAsia" w:ascii="宋体" w:hAnsi="宋体" w:eastAsia="宋体" w:cs="宋体"/>
          <w:color w:val="auto"/>
          <w:szCs w:val="21"/>
          <w:highlight w:val="none"/>
        </w:rPr>
        <w:t>六、在线投标响应（电子投标）说明：</w:t>
      </w:r>
    </w:p>
    <w:p w14:paraId="6D131C5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通过“政采云平台（http://www.zcygov.cn/）”实行在线投标响应（电子投标），供应商应先安装“政采云电子交易客户端”，并按照本招标文件和“政采云平台”的要求，通过“政采云电子交易客户端”编制并加密投标文件。供应商未按规定加密的投标文件，“政采云平台”将予以拒收。</w:t>
      </w:r>
    </w:p>
    <w:p w14:paraId="5E3EFEA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“政采云电子交易客户端”请自行前往“浙江政府采购网-下载专区-电子交易客户端”进行下载；电子投标具体操作流程详见：供应商-政府采购项目电子交易操作指南：“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eastAsia="宋体" w:cs="宋体"/>
          <w:color w:val="auto"/>
          <w:kern w:val="0"/>
          <w:szCs w:val="21"/>
          <w:highlight w:val="none"/>
        </w:rPr>
        <w:t>https://help.zcygov.cn/web/site_2/2018/12-28/2573.html”；</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关于提醒供应商熟悉“不见面开评标”系统的通知“http://zfcg.czt.zj.gov.cn/importantAdvise/2020-03-10/13302.html”；通过“政采云平台”参与在线投标时如遇平台技术问题详询400-881-7190。</w:t>
      </w:r>
    </w:p>
    <w:p w14:paraId="36117FA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为确保网上操作合法、有效和安全，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color w:val="auto"/>
          <w:szCs w:val="21"/>
          <w:highlight w:val="none"/>
        </w:rPr>
        <w:t>CA问题联系电话（人工）：汇信CA 400-888-4636；天谷CA 400-087-8198。</w:t>
      </w:r>
    </w:p>
    <w:p w14:paraId="2C53CA7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3.投标供应商应当在投标截止时间前，将生成的“电子加密投标文件”上传递交至“政采云平台”。投标截止时间以后上传递交的投标文件将被“政采云平台”拒收。</w:t>
      </w:r>
    </w:p>
    <w:p w14:paraId="5537038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4.投标供应商在“政采云平台”完成“电子加密投标文件”的上传递交后，还可以（EMS邮寄形式）在</w:t>
      </w:r>
      <w:r>
        <w:rPr>
          <w:rFonts w:hint="eastAsia" w:ascii="宋体" w:hAnsi="宋体" w:eastAsia="宋体" w:cs="宋体"/>
          <w:color w:val="auto"/>
          <w:szCs w:val="21"/>
          <w:highlight w:val="none"/>
        </w:rPr>
        <w:t>2024年1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0分00秒</w:t>
      </w:r>
      <w:r>
        <w:rPr>
          <w:rFonts w:hint="eastAsia" w:ascii="宋体" w:hAnsi="宋体" w:eastAsia="宋体" w:cs="宋体"/>
          <w:color w:val="auto"/>
          <w:szCs w:val="21"/>
          <w:highlight w:val="none"/>
        </w:rPr>
        <w:t>（北京时间）之前</w:t>
      </w:r>
      <w:r>
        <w:rPr>
          <w:rFonts w:hint="eastAsia" w:ascii="宋体" w:hAnsi="宋体" w:eastAsia="宋体" w:cs="宋体"/>
          <w:color w:val="auto"/>
          <w:kern w:val="0"/>
          <w:szCs w:val="21"/>
          <w:highlight w:val="none"/>
        </w:rPr>
        <w:t>递交以介质（U盘）存储的数据电文形式的“备份投标文件”，“备份投标文件”应当密封包装并在包装上标注投标项目名称、授权代表、联系电话、联系地址、供应商名称并电子签章。</w:t>
      </w:r>
    </w:p>
    <w:p w14:paraId="6BB5EC3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3BE2F7E0">
      <w:pPr>
        <w:keepNext/>
        <w:keepLines/>
        <w:adjustRightInd w:val="0"/>
        <w:snapToGrid w:val="0"/>
        <w:spacing w:line="360" w:lineRule="auto"/>
        <w:ind w:firstLine="420" w:firstLineChars="200"/>
        <w:outlineLvl w:val="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七、其他</w:t>
      </w:r>
      <w:bookmarkEnd w:id="23"/>
      <w:bookmarkEnd w:id="24"/>
      <w:r>
        <w:rPr>
          <w:rFonts w:hint="eastAsia" w:ascii="宋体" w:hAnsi="宋体" w:eastAsia="宋体" w:cs="宋体"/>
          <w:color w:val="auto"/>
          <w:kern w:val="0"/>
          <w:szCs w:val="21"/>
          <w:highlight w:val="none"/>
        </w:rPr>
        <w:t>事项</w:t>
      </w:r>
    </w:p>
    <w:p w14:paraId="1763E45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9E45D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框架协议采购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采购代理机构将拒绝接受未按上述要求获取招标文件的供应商的投标文件（如以联合体形式参加政府采购活动的，获取招标文件时须以联合体名义进行）。</w:t>
      </w:r>
    </w:p>
    <w:p w14:paraId="33A65B29">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3.采购项目需要落实的政府采购政策：无。</w:t>
      </w:r>
    </w:p>
    <w:p w14:paraId="7CB13854">
      <w:pPr>
        <w:adjustRightInd w:val="0"/>
        <w:snapToGrid w:val="0"/>
        <w:spacing w:line="360" w:lineRule="auto"/>
        <w:ind w:firstLine="420" w:firstLineChars="200"/>
        <w:rPr>
          <w:rFonts w:ascii="宋体" w:hAnsi="宋体" w:eastAsia="宋体" w:cs="宋体"/>
          <w:color w:val="auto"/>
          <w:szCs w:val="21"/>
          <w:highlight w:val="none"/>
          <w:lang w:val="zh-CN"/>
        </w:rPr>
      </w:pPr>
      <w:bookmarkStart w:id="25" w:name="_Toc30654"/>
      <w:bookmarkEnd w:id="25"/>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信用记录：根据财库[2016]125号《关于在政府采购活动中查询及使用信用记录有关问题的通知》要求，采购代理机构会对响应供应商信用记录进行查询并甄别。</w:t>
      </w:r>
    </w:p>
    <w:p w14:paraId="52B5567F">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（1）信用信息查询的截止时点 ：投标响应文件提交截止时间；</w:t>
      </w:r>
    </w:p>
    <w:p w14:paraId="52316425">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（2）查询渠道：“信用中国”（www.creditchina.gov.cn）、“中国政府采购网”（www.ccgp.gov.cn ）；</w:t>
      </w:r>
    </w:p>
    <w:p w14:paraId="69212F23">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（3）信用信息查询记录和证据留存具体方式：采购代理机构将查询网页打印并与其他招标文件一并保存；</w:t>
      </w:r>
    </w:p>
    <w:p w14:paraId="0106109B">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（4）信用信息的使用规则：供应商存在不良信用记录的，其响应将被作为无效投标处理。</w:t>
      </w:r>
    </w:p>
    <w:p w14:paraId="4580CFA4">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（5）不良信用记录指：被列入失信被执行人、重大税收违法案件当事人名单、政府采购严重违法失信行为记录名单。</w:t>
      </w:r>
    </w:p>
    <w:p w14:paraId="77152C84">
      <w:pPr>
        <w:keepNext/>
        <w:keepLines/>
        <w:adjustRightInd w:val="0"/>
        <w:snapToGrid w:val="0"/>
        <w:spacing w:line="360" w:lineRule="auto"/>
        <w:ind w:firstLine="420" w:firstLineChars="200"/>
        <w:outlineLvl w:val="1"/>
        <w:rPr>
          <w:rFonts w:ascii="宋体" w:hAnsi="宋体" w:eastAsia="宋体" w:cs="宋体"/>
          <w:color w:val="auto"/>
          <w:kern w:val="0"/>
          <w:szCs w:val="21"/>
          <w:highlight w:val="none"/>
        </w:rPr>
      </w:pPr>
      <w:bookmarkStart w:id="26" w:name="_Toc28359008"/>
      <w:bookmarkStart w:id="27" w:name="_Toc35393627"/>
      <w:bookmarkStart w:id="28" w:name="_Toc35393796"/>
      <w:bookmarkStart w:id="29" w:name="_Toc28359085"/>
      <w:r>
        <w:rPr>
          <w:rFonts w:hint="eastAsia" w:ascii="宋体" w:hAnsi="宋体" w:eastAsia="宋体" w:cs="宋体"/>
          <w:color w:val="auto"/>
          <w:kern w:val="0"/>
          <w:szCs w:val="21"/>
          <w:highlight w:val="none"/>
        </w:rPr>
        <w:t>七、联系方式</w:t>
      </w:r>
      <w:bookmarkEnd w:id="26"/>
      <w:bookmarkEnd w:id="27"/>
      <w:bookmarkEnd w:id="28"/>
      <w:bookmarkEnd w:id="29"/>
    </w:p>
    <w:p w14:paraId="50993773">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1.采</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购</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人：</w:t>
      </w:r>
      <w:r>
        <w:rPr>
          <w:rFonts w:hint="eastAsia" w:ascii="宋体" w:hAnsi="宋体" w:eastAsia="宋体" w:cs="宋体"/>
          <w:color w:val="auto"/>
          <w:szCs w:val="21"/>
          <w:highlight w:val="none"/>
        </w:rPr>
        <w:t>嘉兴市南湖区政务服务和数据资源管理局</w:t>
      </w:r>
    </w:p>
    <w:p w14:paraId="36A0787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联系人：印先生      </w:t>
      </w:r>
    </w:p>
    <w:p w14:paraId="7430C0F6">
      <w:pPr>
        <w:adjustRightInd w:val="0"/>
        <w:snapToGrid w:val="0"/>
        <w:spacing w:line="360" w:lineRule="auto"/>
        <w:ind w:firstLine="630" w:firstLineChars="300"/>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联系电话：0</w:t>
      </w:r>
      <w:r>
        <w:rPr>
          <w:rFonts w:ascii="宋体" w:hAnsi="宋体" w:eastAsia="宋体" w:cs="宋体"/>
          <w:color w:val="auto"/>
          <w:szCs w:val="21"/>
          <w:highlight w:val="none"/>
        </w:rPr>
        <w:t>573</w:t>
      </w:r>
      <w:r>
        <w:rPr>
          <w:rFonts w:hint="eastAsia" w:ascii="宋体" w:hAnsi="宋体" w:eastAsia="宋体" w:cs="宋体"/>
          <w:color w:val="auto"/>
          <w:szCs w:val="21"/>
          <w:highlight w:val="none"/>
        </w:rPr>
        <w:t>-</w:t>
      </w:r>
      <w:r>
        <w:rPr>
          <w:rFonts w:ascii="宋体" w:hAnsi="宋体" w:eastAsia="宋体" w:cs="宋体"/>
          <w:color w:val="auto"/>
          <w:szCs w:val="21"/>
          <w:highlight w:val="none"/>
        </w:rPr>
        <w:t>82720215</w:t>
      </w:r>
    </w:p>
    <w:p w14:paraId="223566B2">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2.代理机构名称：浙江建业工程管理有限公司</w:t>
      </w:r>
    </w:p>
    <w:p w14:paraId="4B94E9E4">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址：浙江省嘉兴市经济技术开发区晶晖广场13楼          </w:t>
      </w:r>
    </w:p>
    <w:p w14:paraId="506C8501">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项目联系人（询问）：张嘉诚         </w:t>
      </w:r>
    </w:p>
    <w:p w14:paraId="3DC5FD82">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Times New Roman"/>
          <w:color w:val="auto"/>
          <w:szCs w:val="21"/>
          <w:highlight w:val="none"/>
        </w:rPr>
        <w:t>0573-82080929</w:t>
      </w:r>
    </w:p>
    <w:p w14:paraId="08852BA6">
      <w:pPr>
        <w:adjustRightInd w:val="0"/>
        <w:snapToGrid w:val="0"/>
        <w:spacing w:line="360" w:lineRule="auto"/>
        <w:ind w:firstLine="630" w:firstLineChars="3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质疑联系人：</w:t>
      </w:r>
      <w:r>
        <w:rPr>
          <w:rFonts w:hint="eastAsia" w:ascii="宋体" w:hAnsi="宋体" w:eastAsia="宋体" w:cs="宋体"/>
          <w:color w:val="auto"/>
          <w:szCs w:val="21"/>
          <w:highlight w:val="none"/>
        </w:rPr>
        <w:t xml:space="preserve">张辉 </w:t>
      </w:r>
    </w:p>
    <w:p w14:paraId="1BBC61DF">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质疑联系方式</w:t>
      </w:r>
      <w:r>
        <w:rPr>
          <w:rFonts w:hint="eastAsia" w:ascii="宋体" w:hAnsi="宋体" w:eastAsia="宋体" w:cs="宋体"/>
          <w:color w:val="auto"/>
          <w:szCs w:val="21"/>
          <w:highlight w:val="none"/>
        </w:rPr>
        <w:t xml:space="preserve">： </w:t>
      </w:r>
      <w:r>
        <w:rPr>
          <w:rFonts w:hint="eastAsia" w:ascii="宋体" w:hAnsi="宋体" w:eastAsia="宋体" w:cs="Times New Roman"/>
          <w:color w:val="auto"/>
          <w:szCs w:val="21"/>
          <w:highlight w:val="none"/>
        </w:rPr>
        <w:t>0573-82080929</w:t>
      </w:r>
    </w:p>
    <w:p w14:paraId="28774747">
      <w:pPr>
        <w:adjustRightInd w:val="0"/>
        <w:snapToGrid w:val="0"/>
        <w:spacing w:line="360" w:lineRule="auto"/>
        <w:ind w:firstLine="630" w:firstLineChars="3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.同级政府采购监督管理部门：</w:t>
      </w:r>
    </w:p>
    <w:p w14:paraId="2C05346F">
      <w:pPr>
        <w:adjustRightInd w:val="0"/>
        <w:snapToGrid w:val="0"/>
        <w:spacing w:line="360" w:lineRule="auto"/>
        <w:ind w:firstLine="630" w:firstLineChars="3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  称：</w:t>
      </w:r>
      <w:r>
        <w:rPr>
          <w:rFonts w:hint="eastAsia" w:ascii="宋体" w:hAnsi="宋体" w:eastAsia="宋体" w:cs="宋体"/>
          <w:color w:val="auto"/>
          <w:szCs w:val="21"/>
          <w:highlight w:val="none"/>
        </w:rPr>
        <w:t>嘉兴市南湖区财政局</w:t>
      </w:r>
    </w:p>
    <w:p w14:paraId="7F7F59DB">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rPr>
        <w:t>/</w:t>
      </w:r>
    </w:p>
    <w:p w14:paraId="5298DE62">
      <w:pPr>
        <w:adjustRightInd w:val="0"/>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联系人：乔先生         </w:t>
      </w:r>
      <w:r>
        <w:rPr>
          <w:rFonts w:hint="eastAsia" w:ascii="宋体" w:hAnsi="宋体" w:eastAsia="宋体" w:cs="宋体"/>
          <w:color w:val="auto"/>
          <w:szCs w:val="21"/>
          <w:highlight w:val="none"/>
        </w:rPr>
        <w:t xml:space="preserve">   </w:t>
      </w:r>
    </w:p>
    <w:p w14:paraId="6F02999D">
      <w:pPr>
        <w:adjustRightInd w:val="0"/>
        <w:snapToGrid w:val="0"/>
        <w:spacing w:line="360" w:lineRule="auto"/>
        <w:ind w:firstLine="630" w:firstLineChars="3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监督投诉电话： 0573-82838543      </w:t>
      </w:r>
    </w:p>
    <w:p w14:paraId="3EA034A4">
      <w:pPr>
        <w:adjustRightInd w:val="0"/>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若对项目采购交易系统操作有疑问，可登录政采云（https://www.zcygov.cn/），点击右侧咨询小采，获取采小蜜智能服务管家帮助，或拨打政采云服务热线400-881-7190获取热线服务帮助。</w:t>
      </w:r>
    </w:p>
    <w:p w14:paraId="193816E2">
      <w:pPr>
        <w:adjustRightInd w:val="0"/>
        <w:snapToGrid w:val="0"/>
        <w:spacing w:line="360" w:lineRule="auto"/>
        <w:ind w:firstLine="420" w:firstLineChars="2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CA问题联系电话（人工）：汇信CA 400-888-4636；天谷CA 400-087-8198。</w:t>
      </w:r>
    </w:p>
    <w:p w14:paraId="54F02C61">
      <w:pPr>
        <w:rPr>
          <w:rFonts w:ascii="宋体" w:hAnsi="宋体" w:eastAsia="宋体" w:cs="宋体"/>
          <w:color w:val="auto"/>
          <w:szCs w:val="21"/>
          <w:highlight w:val="none"/>
        </w:rPr>
      </w:pPr>
    </w:p>
    <w:p w14:paraId="1F468AB3">
      <w:pPr>
        <w:rPr>
          <w:rFonts w:ascii="Calibri" w:hAnsi="Calibri" w:eastAsia="宋体" w:cs="Calibri"/>
          <w:color w:val="auto"/>
          <w:szCs w:val="21"/>
          <w:highlight w:val="none"/>
        </w:rPr>
        <w:sectPr>
          <w:footerReference r:id="rId4" w:type="default"/>
          <w:pgSz w:w="11906" w:h="16838"/>
          <w:pgMar w:top="1361" w:right="1361" w:bottom="1361" w:left="1587" w:header="930" w:footer="992" w:gutter="0"/>
          <w:cols w:space="720" w:num="1"/>
          <w:docGrid w:type="lines" w:linePitch="312" w:charSpace="0"/>
        </w:sectPr>
      </w:pPr>
    </w:p>
    <w:p w14:paraId="342F382B">
      <w:pPr>
        <w:spacing w:line="360" w:lineRule="auto"/>
        <w:jc w:val="center"/>
        <w:outlineLvl w:val="0"/>
        <w:rPr>
          <w:rFonts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 xml:space="preserve">第二部分  </w:t>
      </w:r>
      <w:bookmarkStart w:id="30" w:name="_Toc52627899"/>
      <w:bookmarkStart w:id="31" w:name="_Toc51920275"/>
      <w:bookmarkStart w:id="32" w:name="_Toc56350427"/>
      <w:bookmarkStart w:id="33" w:name="_Toc51953086"/>
      <w:bookmarkStart w:id="34" w:name="_Toc56173112"/>
      <w:bookmarkStart w:id="35" w:name="_Toc52632004"/>
      <w:bookmarkStart w:id="36" w:name="_Toc56326105"/>
      <w:bookmarkStart w:id="37" w:name="_Toc51923037"/>
      <w:bookmarkStart w:id="38" w:name="_Toc55820804"/>
      <w:bookmarkStart w:id="39" w:name="_Toc55824120"/>
      <w:bookmarkStart w:id="40" w:name="_Toc56351002"/>
      <w:bookmarkStart w:id="41" w:name="_Toc55827036"/>
      <w:r>
        <w:rPr>
          <w:rFonts w:hint="eastAsia" w:ascii="宋体" w:hAnsi="宋体" w:eastAsia="宋体" w:cs="宋体"/>
          <w:b/>
          <w:bCs/>
          <w:color w:val="auto"/>
          <w:sz w:val="36"/>
          <w:szCs w:val="36"/>
          <w:highlight w:val="none"/>
        </w:rPr>
        <w:t>框架协议采购需求</w:t>
      </w:r>
    </w:p>
    <w:bookmarkEnd w:id="30"/>
    <w:bookmarkEnd w:id="31"/>
    <w:bookmarkEnd w:id="32"/>
    <w:bookmarkEnd w:id="33"/>
    <w:bookmarkEnd w:id="34"/>
    <w:bookmarkEnd w:id="35"/>
    <w:bookmarkEnd w:id="36"/>
    <w:bookmarkEnd w:id="37"/>
    <w:bookmarkEnd w:id="38"/>
    <w:bookmarkEnd w:id="39"/>
    <w:bookmarkEnd w:id="40"/>
    <w:bookmarkEnd w:id="41"/>
    <w:p w14:paraId="0C61998C">
      <w:pPr>
        <w:spacing w:line="360" w:lineRule="auto"/>
        <w:ind w:firstLine="482" w:firstLineChars="200"/>
        <w:rPr>
          <w:rFonts w:ascii="宋体" w:hAnsi="宋体" w:eastAsia="宋体" w:cs="宋体"/>
          <w:b/>
          <w:color w:val="auto"/>
          <w:sz w:val="24"/>
          <w:szCs w:val="21"/>
          <w:highlight w:val="none"/>
        </w:rPr>
      </w:pPr>
      <w:bookmarkStart w:id="42" w:name="_Toc155322445"/>
      <w:bookmarkStart w:id="43" w:name="_Toc291450145"/>
      <w:r>
        <w:rPr>
          <w:rFonts w:hint="eastAsia" w:ascii="宋体" w:hAnsi="宋体" w:eastAsia="宋体" w:cs="宋体"/>
          <w:b/>
          <w:color w:val="auto"/>
          <w:sz w:val="24"/>
          <w:szCs w:val="21"/>
          <w:highlight w:val="none"/>
        </w:rPr>
        <w:t>一、采购内容及</w:t>
      </w:r>
      <w:bookmarkEnd w:id="42"/>
      <w:bookmarkEnd w:id="43"/>
      <w:r>
        <w:rPr>
          <w:rFonts w:hint="eastAsia" w:ascii="宋体" w:hAnsi="宋体" w:eastAsia="宋体" w:cs="宋体"/>
          <w:b/>
          <w:color w:val="auto"/>
          <w:sz w:val="24"/>
          <w:szCs w:val="21"/>
          <w:highlight w:val="none"/>
        </w:rPr>
        <w:t>范围</w:t>
      </w:r>
    </w:p>
    <w:p w14:paraId="41C7526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1"/>
          <w:highlight w:val="none"/>
        </w:rPr>
        <w:t>通过框架协议采购方式，公开征集嘉兴市南湖区政务服务和数据资源管理局政府投资项目中属于集中采购目录以外，采购限额标准以上，且单笔采购金额符合小额零星采购的初步设计概算审核服务供应商</w:t>
      </w:r>
      <w:r>
        <w:rPr>
          <w:rFonts w:hint="eastAsia" w:ascii="宋体" w:hAnsi="宋体" w:eastAsia="宋体" w:cs="宋体"/>
          <w:color w:val="auto"/>
          <w:sz w:val="24"/>
          <w:szCs w:val="24"/>
          <w:highlight w:val="none"/>
        </w:rPr>
        <w:t>。</w:t>
      </w:r>
    </w:p>
    <w:p w14:paraId="43BF6AB6">
      <w:pPr>
        <w:spacing w:line="360" w:lineRule="auto"/>
        <w:ind w:firstLine="482" w:firstLineChars="200"/>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二、项目组人员组成及技术保障要求</w:t>
      </w:r>
    </w:p>
    <w:p w14:paraId="4563132B">
      <w:pPr>
        <w:spacing w:line="360" w:lineRule="auto"/>
        <w:ind w:firstLine="480" w:firstLineChars="200"/>
        <w:rPr>
          <w:rFonts w:ascii="宋体" w:hAnsi="宋体" w:eastAsia="宋体" w:cs="宋体"/>
          <w:color w:val="auto"/>
          <w:sz w:val="24"/>
          <w:szCs w:val="21"/>
          <w:highlight w:val="none"/>
        </w:rPr>
      </w:pPr>
      <w:bookmarkStart w:id="44" w:name="_Toc155322446"/>
      <w:bookmarkStart w:id="45" w:name="_Toc291450146"/>
      <w:r>
        <w:rPr>
          <w:rFonts w:hint="eastAsia" w:ascii="宋体" w:hAnsi="宋体" w:eastAsia="宋体" w:cs="宋体"/>
          <w:color w:val="auto"/>
          <w:sz w:val="24"/>
          <w:szCs w:val="21"/>
          <w:highlight w:val="none"/>
        </w:rPr>
        <w:t>1、服务团队项目负责人具有一级注册造价师执业资格；</w:t>
      </w:r>
    </w:p>
    <w:p w14:paraId="0217EBBF">
      <w:pPr>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服务团队成员不少于八人（含项目负责人），服务团队具有土建专业注册造价师的成员不少于一人，具有安装专业注册造价师的成员不少于一人，具有交通运输工程专业造价师（中华人民共和国交通运输部颁发的甲级造价师(或水运工程造价师)证书）的成员不少于一人；具有水利专业注册造价师的成员不少于一人；</w:t>
      </w:r>
    </w:p>
    <w:p w14:paraId="6CE30F0C">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服务标准及服务要求</w:t>
      </w:r>
    </w:p>
    <w:p w14:paraId="0DF31600">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1、在承办项目概算审核时, 主要审查：</w:t>
      </w:r>
    </w:p>
    <w:p w14:paraId="73C49E4A">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（1）、设计单位编制概算及编制人员是否具有相应的编制资格；</w:t>
      </w:r>
    </w:p>
    <w:p w14:paraId="2F8F50F9">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（2）、投资规模、设计内容等是否符合可行性研究报告批复要求；</w:t>
      </w:r>
    </w:p>
    <w:p w14:paraId="1A84EFA6">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（3）、概算采用的各种编制依据，如定额、指标、价格、取费标准等，是否符合相关规定和项目所在地实际；</w:t>
      </w:r>
    </w:p>
    <w:p w14:paraId="6BAF53B0">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（4）、编制说明、总概算表、单项工程概算表、单位工程概算表、分项工程概算表等是否完整，是否达到有关规定的深度要求；</w:t>
      </w:r>
    </w:p>
    <w:p w14:paraId="38BBC4FA">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（5）、工程量计算是否与初步设计图纸、概算定额及其规则等相符合；</w:t>
      </w:r>
    </w:p>
    <w:p w14:paraId="7EC56543">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对于一些对造价影响比较大的项目内容，须重点加以注意。如钢筋的平方米含量、基坑围护单价等，既要以概算定额中的经济指标为依据，同时更要结合当地同类型工程的结算情况和图纸内容进行投资控制；</w:t>
      </w:r>
    </w:p>
    <w:p w14:paraId="31ABD506">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（7）、技术变数较大的单元工程；</w:t>
      </w:r>
    </w:p>
    <w:p w14:paraId="66DDB118">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（8）、其他应审核的内容。</w:t>
      </w:r>
    </w:p>
    <w:p w14:paraId="07D24C92">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2、依据审查结果，出具《工程概算审核报告》，主要包括以下内容：</w:t>
      </w:r>
    </w:p>
    <w:p w14:paraId="56BCB69A">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（1）、工程概况；</w:t>
      </w:r>
    </w:p>
    <w:p w14:paraId="23E09C86">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（2）、审核依据，应列出概算审核的主要依据清单；</w:t>
      </w:r>
    </w:p>
    <w:p w14:paraId="204197FF">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概算调整情况说明，应从材料单价、工程数量、定额运用、取费标准和费率取用、各组成部分费用（包括建筑安装工程费，设备及工具、器具购置费，工程建设其他费用等）五个方面对具体的审查调整情况进行叙述；</w:t>
      </w:r>
    </w:p>
    <w:p w14:paraId="5BE2D3BD">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（4）、审核结论，概述概算审核时调整的主要内容及原因，说明项目原编制总概算、审核后总概算，审核增减总额、增减比例等内容，并附上概算审核对照表；</w:t>
      </w:r>
    </w:p>
    <w:p w14:paraId="6A82B0D1">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（5）、需说明的其他相关情况；</w:t>
      </w:r>
    </w:p>
    <w:p w14:paraId="52BB41BC">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（6）、概算审核人员签名及资格章。</w:t>
      </w:r>
    </w:p>
    <w:p w14:paraId="77633D4D">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接到项目服务通知和相关资料后，应及时安排人员展开工作，在确保工作质量和进度，对采购人的需求作出迅速反应，在委托工作过程中有关人员保持24小时通信联络，为采购人提供优良的服务。并在规定时间内完成咨询服务任务。</w:t>
      </w:r>
    </w:p>
    <w:p w14:paraId="10ED9438">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非嘉兴市企业入围后须一个月内在嘉兴市区设立办公场所并驻点办公，配备必要的办公设备，办公场所面积不少于10平米/人*拟派团队成员人数。办公场所及驻点拟派团队成员到位情况经采购人检查符合要求后才可以开展业务。同时采购人将不定期进行检查。</w:t>
      </w:r>
    </w:p>
    <w:p w14:paraId="34C445F3">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工程咨询服务过程中，必须严格按照《浙江省建设工程造价咨询执业操作规程》及嘉兴市建设工程造价的有关法律、法规等进行规范操作。并严格保守采购人和委托项目的经济秘密和技术秘密，遵守职业道德并签订廉政协议。</w:t>
      </w:r>
    </w:p>
    <w:p w14:paraId="0B371F07">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6、组织思想品德好、综合能力强且经验丰富的咨询人员，咨询工作开展过程中若碰到问题需招标人协调的，需向采购人及时反映，并加强主动性、积极性及协调能力，以确保咨询工作的顺利完成。</w:t>
      </w:r>
    </w:p>
    <w:p w14:paraId="2B4E1465">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7、具体项目由采购人统一安排，原则上根据各中标人的专业特长、项目的时间空间安排及项目的实际情况等综合考虑，各中标人需无条件服从，不得干涉，否则视为自动放弃。</w:t>
      </w:r>
    </w:p>
    <w:p w14:paraId="46D06392">
      <w:pPr>
        <w:spacing w:line="324"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必须遵守《嘉兴市南湖区政府投资项目管理办法》《嘉兴市南湖区政府投资项目初步设计概算审核管理办法》《南湖区政府投资项目变更及概算调整审批实施意见（试行）》（见附件）等相关规定，概算审核对象政府投资项目及其他招标人认为有必要审核的项目。</w:t>
      </w:r>
    </w:p>
    <w:p w14:paraId="1732D302">
      <w:pPr>
        <w:spacing w:line="324"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9、本项目的概算审核误差率要求不得超过±2%，各投标人在投标文件里承诺。质量控制保证赔偿合计最高不应超过该建设工程造价咨询酬金总额（除去税金）。</w:t>
      </w:r>
    </w:p>
    <w:p w14:paraId="15A8FF06">
      <w:pPr>
        <w:spacing w:line="324"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10、对于概算审核质量较差或严重违纪违规的,按照《嘉兴市南湖区政府投资项目初步设计概算审核管理办法》第二十条规定执行。</w:t>
      </w:r>
    </w:p>
    <w:p w14:paraId="6D24380F">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bookmarkEnd w:id="44"/>
      <w:bookmarkEnd w:id="45"/>
    </w:p>
    <w:p w14:paraId="414336C7">
      <w:pPr>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从签订合同之日起两年。根据考核情况可以按规定续签合同。</w:t>
      </w:r>
    </w:p>
    <w:p w14:paraId="19A31287">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审核时限</w:t>
      </w:r>
    </w:p>
    <w:p w14:paraId="650AFC80">
      <w:pPr>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概算审核单位应按照委托合同约定的时间完成概算审核（一般3～7天，具体项目按照采购人委托时要求的期限完成），出具《概算审核报告》，并报南湖区政务服务和数据资源管理局。</w:t>
      </w:r>
    </w:p>
    <w:p w14:paraId="7DB78E88">
      <w:pPr>
        <w:numPr>
          <w:ilvl w:val="0"/>
          <w:numId w:val="2"/>
        </w:numPr>
        <w:spacing w:line="360" w:lineRule="auto"/>
        <w:ind w:firstLine="482" w:firstLineChars="200"/>
        <w:outlineLvl w:val="1"/>
        <w:rPr>
          <w:rFonts w:ascii="宋体" w:hAnsi="宋体" w:eastAsia="宋体" w:cs="宋体"/>
          <w:b/>
          <w:bCs/>
          <w:color w:val="auto"/>
          <w:sz w:val="24"/>
          <w:szCs w:val="24"/>
          <w:highlight w:val="none"/>
        </w:rPr>
      </w:pPr>
      <w:bookmarkStart w:id="46" w:name="_Toc291450149"/>
      <w:bookmarkStart w:id="47" w:name="_Toc155322448"/>
      <w:r>
        <w:rPr>
          <w:rFonts w:hint="eastAsia" w:ascii="宋体" w:hAnsi="宋体" w:eastAsia="宋体" w:cs="宋体"/>
          <w:b/>
          <w:bCs/>
          <w:color w:val="auto"/>
          <w:sz w:val="24"/>
          <w:szCs w:val="24"/>
          <w:highlight w:val="none"/>
        </w:rPr>
        <w:t>咨询费用</w:t>
      </w:r>
      <w:bookmarkEnd w:id="46"/>
      <w:bookmarkEnd w:id="47"/>
    </w:p>
    <w:p w14:paraId="762E3541">
      <w:pPr>
        <w:spacing w:line="324"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1、按照《浙江省建设工程造价咨询服务基准收费标准》（浙价服[2009] 84号）规定的收费内容，收费基数为最终送审总概算扣减土地及相关的政策处理费用后的概算价。投标人根据各企业的自身的实力、管理成本等因素自行确定本项目的投标折扣率（非下浮率），但不得超过最高限价。</w:t>
      </w:r>
    </w:p>
    <w:p w14:paraId="7FB62BA1">
      <w:pPr>
        <w:spacing w:line="324"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2、投标报价应是招标文件所确定的招标内容及范围内全部工作内容的价格表现。</w:t>
      </w:r>
    </w:p>
    <w:p w14:paraId="7B732EFF">
      <w:pPr>
        <w:spacing w:line="324"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3、初步设计概算审核服务费包括人员工资和各类社会保险、办公设备耗材费、资料费、印刷费、交通费、服务咨询费、管理费、利润、税金及政策性文件规定等一切费用。</w:t>
      </w:r>
    </w:p>
    <w:p w14:paraId="57E0D329">
      <w:pPr>
        <w:spacing w:line="324"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4、因项目终止取消，采购人不支付概算审核咨询服务费。</w:t>
      </w:r>
    </w:p>
    <w:p w14:paraId="2B7B19AA">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费用支付</w:t>
      </w:r>
    </w:p>
    <w:p w14:paraId="7E4B5FCE">
      <w:pPr>
        <w:adjustRightInd w:val="0"/>
        <w:snapToGrid w:val="0"/>
        <w:spacing w:line="360" w:lineRule="auto"/>
        <w:ind w:right="-25"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总费用参照浙价服[2009]84号文件及中标费率计算，由采购单位根据相关规定和实施项目。</w:t>
      </w:r>
    </w:p>
    <w:p w14:paraId="53571AFF">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中标方式</w:t>
      </w:r>
    </w:p>
    <w:p w14:paraId="51405556">
      <w:pPr>
        <w:adjustRightInd w:val="0"/>
        <w:snapToGrid w:val="0"/>
        <w:spacing w:line="360" w:lineRule="auto"/>
        <w:ind w:right="-25"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评标委员会按评审后汇总得分由高到低顺序排列。汇总得分相同的，按投标报价</w:t>
      </w:r>
      <w:r>
        <w:rPr>
          <w:rFonts w:hint="eastAsia" w:ascii="宋体" w:hAnsi="宋体" w:eastAsia="宋体" w:cs="宋体"/>
          <w:bCs/>
          <w:color w:val="auto"/>
          <w:kern w:val="0"/>
          <w:sz w:val="24"/>
          <w:szCs w:val="24"/>
          <w:highlight w:val="none"/>
        </w:rPr>
        <w:t>（是小微企业的按照扣除后的价格计算）</w:t>
      </w:r>
      <w:r>
        <w:rPr>
          <w:rFonts w:hint="eastAsia" w:ascii="宋体" w:hAnsi="宋体" w:eastAsia="宋体" w:cs="宋体"/>
          <w:color w:val="auto"/>
          <w:sz w:val="24"/>
          <w:szCs w:val="21"/>
          <w:highlight w:val="none"/>
        </w:rPr>
        <w:t>由低到高顺序排列；汇总得分且投标报价相同的，按照客观分得分由高到低顺序排列，客观分得分也相同的则由评标委员会投票表决确定排序。</w:t>
      </w:r>
    </w:p>
    <w:p w14:paraId="332FB4A9">
      <w:pPr>
        <w:adjustRightInd w:val="0"/>
        <w:snapToGrid w:val="0"/>
        <w:spacing w:line="360" w:lineRule="auto"/>
        <w:ind w:right="-25"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评标委员会根据排序从后往前淘汰单位至最多入围10家单位（淘汰比例须满足进入排序单位数量的20%（含）以上，而且至少要淘汰一家供应商）。</w:t>
      </w:r>
    </w:p>
    <w:p w14:paraId="1373E77E">
      <w:pPr>
        <w:adjustRightInd w:val="0"/>
        <w:snapToGrid w:val="0"/>
        <w:spacing w:line="360" w:lineRule="auto"/>
        <w:ind w:right="-25"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入围供应商数量：概算审核服务供应商最多10家。</w:t>
      </w:r>
    </w:p>
    <w:p w14:paraId="157213E3">
      <w:pPr>
        <w:adjustRightInd w:val="0"/>
        <w:snapToGrid w:val="0"/>
        <w:spacing w:line="360" w:lineRule="auto"/>
        <w:ind w:right="-25"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1"/>
          <w:highlight w:val="none"/>
        </w:rPr>
        <w:t>入围供应商无正当理由，不得主动放弃入围资格或者退出框架协议，无故退出的单位禁止其参与下一次框架协议的签订同时也不得作为非入围供应商承接本区域内相关项目。</w:t>
      </w:r>
    </w:p>
    <w:p w14:paraId="7F9D4467">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补充征集供应商</w:t>
      </w:r>
    </w:p>
    <w:p w14:paraId="0BA508F7">
      <w:pPr>
        <w:spacing w:line="480" w:lineRule="exact"/>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果框架协议年度内，因供应商退出或被采购人清退造成除剩余入围供应商不足入围供应商总数70%且影响框架协议执行的情形时，采购人将补充征集供应商，补充征集的条件、程序、评审方法和淘汰比例与初次征集相同。补充征集期间，原框架协议继续履行。</w:t>
      </w:r>
    </w:p>
    <w:p w14:paraId="14453B0D">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第二阶段成交供应商的确定</w:t>
      </w:r>
    </w:p>
    <w:p w14:paraId="095B2202">
      <w:pPr>
        <w:spacing w:line="480" w:lineRule="exact"/>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采用直接选定法确定供应商。</w:t>
      </w:r>
    </w:p>
    <w:p w14:paraId="1C6D7D51">
      <w:pPr>
        <w:numPr>
          <w:ilvl w:val="0"/>
          <w:numId w:val="2"/>
        </w:numPr>
        <w:spacing w:line="360" w:lineRule="auto"/>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p w14:paraId="5BF728B2">
      <w:pPr>
        <w:numPr>
          <w:ilvl w:val="0"/>
          <w:numId w:val="3"/>
        </w:num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投标人应认真、如实地填写投标书的有关内容，如弄虚作假或虚报有关业绩、数据，评标委员会一经发现查实，取消其投标资格。</w:t>
      </w:r>
    </w:p>
    <w:p w14:paraId="6724C743">
      <w:pPr>
        <w:adjustRightInd w:val="0"/>
        <w:snapToGrid w:val="0"/>
        <w:spacing w:line="360" w:lineRule="auto"/>
        <w:ind w:firstLine="422" w:firstLineChars="200"/>
        <w:jc w:val="center"/>
        <w:rPr>
          <w:rFonts w:ascii="宋体" w:hAnsi="宋体" w:eastAsia="宋体" w:cs="宋体"/>
          <w:b/>
          <w:bCs/>
          <w:color w:val="auto"/>
          <w:sz w:val="36"/>
          <w:szCs w:val="36"/>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 w:val="36"/>
          <w:szCs w:val="36"/>
          <w:highlight w:val="none"/>
        </w:rPr>
        <w:t>第三部分 供应商须知</w:t>
      </w:r>
    </w:p>
    <w:p w14:paraId="54953089">
      <w:pPr>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前附表</w:t>
      </w:r>
    </w:p>
    <w:tbl>
      <w:tblPr>
        <w:tblStyle w:val="7"/>
        <w:tblW w:w="8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09"/>
        <w:gridCol w:w="6298"/>
      </w:tblGrid>
      <w:tr w14:paraId="675C2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 w:hRule="atLeast"/>
          <w:jc w:val="center"/>
        </w:trPr>
        <w:tc>
          <w:tcPr>
            <w:tcW w:w="651" w:type="dxa"/>
            <w:tcBorders>
              <w:top w:val="single" w:color="auto" w:sz="4" w:space="0"/>
              <w:bottom w:val="single" w:color="auto" w:sz="4" w:space="0"/>
              <w:right w:val="single" w:color="auto" w:sz="4" w:space="0"/>
            </w:tcBorders>
            <w:vAlign w:val="center"/>
          </w:tcPr>
          <w:p w14:paraId="38F0C08E">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09" w:type="dxa"/>
            <w:tcBorders>
              <w:top w:val="single" w:color="000000" w:sz="8" w:space="0"/>
              <w:left w:val="single" w:color="auto" w:sz="4" w:space="0"/>
              <w:bottom w:val="single" w:color="000000" w:sz="8" w:space="0"/>
              <w:right w:val="single" w:color="000000" w:sz="8" w:space="0"/>
            </w:tcBorders>
            <w:vAlign w:val="center"/>
          </w:tcPr>
          <w:p w14:paraId="48DF6DC7">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160C22C7">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本项目的特别规定</w:t>
            </w:r>
          </w:p>
        </w:tc>
      </w:tr>
      <w:tr w14:paraId="3E69C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4" w:hRule="atLeast"/>
          <w:jc w:val="center"/>
        </w:trPr>
        <w:tc>
          <w:tcPr>
            <w:tcW w:w="651" w:type="dxa"/>
            <w:tcBorders>
              <w:top w:val="single" w:color="auto" w:sz="4" w:space="0"/>
              <w:bottom w:val="single" w:color="auto" w:sz="4" w:space="0"/>
              <w:right w:val="single" w:color="auto" w:sz="4" w:space="0"/>
            </w:tcBorders>
            <w:vAlign w:val="center"/>
          </w:tcPr>
          <w:p w14:paraId="527EE9E7">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909" w:type="dxa"/>
            <w:tcBorders>
              <w:top w:val="single" w:color="000000" w:sz="8" w:space="0"/>
              <w:left w:val="single" w:color="auto" w:sz="4" w:space="0"/>
              <w:bottom w:val="single" w:color="000000" w:sz="8" w:space="0"/>
              <w:right w:val="single" w:color="000000" w:sz="8" w:space="0"/>
            </w:tcBorders>
            <w:vAlign w:val="center"/>
          </w:tcPr>
          <w:p w14:paraId="0E497A04">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供应商信用信息</w:t>
            </w:r>
          </w:p>
        </w:tc>
        <w:tc>
          <w:tcPr>
            <w:tcW w:w="6298" w:type="dxa"/>
            <w:tcBorders>
              <w:top w:val="single" w:color="000000" w:sz="8" w:space="0"/>
              <w:left w:val="single" w:color="000000" w:sz="2" w:space="0"/>
              <w:bottom w:val="single" w:color="000000" w:sz="8" w:space="0"/>
              <w:right w:val="single" w:color="000000" w:sz="8" w:space="0"/>
            </w:tcBorders>
            <w:vAlign w:val="center"/>
          </w:tcPr>
          <w:p w14:paraId="4BF97DD3">
            <w:pPr>
              <w:widowControl/>
              <w:adjustRightInd w:val="0"/>
              <w:snapToGrid w:val="0"/>
              <w:spacing w:line="360" w:lineRule="auto"/>
              <w:ind w:firstLine="458" w:firstLineChars="200"/>
              <w:jc w:val="left"/>
              <w:rPr>
                <w:rFonts w:ascii="宋体" w:hAnsi="宋体" w:eastAsia="宋体" w:cs="宋体"/>
                <w:color w:val="auto"/>
                <w:spacing w:val="-6"/>
                <w:kern w:val="0"/>
                <w:sz w:val="24"/>
                <w:szCs w:val="24"/>
                <w:highlight w:val="none"/>
              </w:rPr>
            </w:pPr>
            <w:r>
              <w:rPr>
                <w:rFonts w:hint="eastAsia" w:ascii="宋体" w:hAnsi="宋体" w:eastAsia="宋体" w:cs="宋体"/>
                <w:b/>
                <w:color w:val="auto"/>
                <w:spacing w:val="-6"/>
                <w:kern w:val="0"/>
                <w:sz w:val="24"/>
                <w:szCs w:val="24"/>
                <w:highlight w:val="none"/>
              </w:rPr>
              <w:t>（1）信用信息查询渠道及截止时间：</w:t>
            </w:r>
            <w:r>
              <w:rPr>
                <w:rFonts w:hint="eastAsia" w:ascii="宋体" w:hAnsi="宋体" w:eastAsia="宋体" w:cs="宋体"/>
                <w:color w:val="auto"/>
                <w:spacing w:val="-6"/>
                <w:kern w:val="0"/>
                <w:sz w:val="24"/>
                <w:szCs w:val="24"/>
                <w:highlight w:val="none"/>
              </w:rPr>
              <w:t>项目评审组织人员将通过“信用中国”网站(www.creditchina.gov.cn)、中国政府采购网(www.ccgp.gov.cn)渠道查询供应商</w:t>
            </w:r>
            <w:r>
              <w:rPr>
                <w:rFonts w:hint="eastAsia" w:ascii="宋体" w:hAnsi="宋体" w:eastAsia="宋体" w:cs="宋体"/>
                <w:b/>
                <w:color w:val="auto"/>
                <w:spacing w:val="-6"/>
                <w:kern w:val="0"/>
                <w:sz w:val="24"/>
                <w:szCs w:val="24"/>
                <w:highlight w:val="none"/>
              </w:rPr>
              <w:t>投标截止时间前</w:t>
            </w:r>
            <w:r>
              <w:rPr>
                <w:rFonts w:hint="eastAsia" w:ascii="宋体" w:hAnsi="宋体" w:eastAsia="宋体" w:cs="宋体"/>
                <w:color w:val="auto"/>
                <w:spacing w:val="-6"/>
                <w:kern w:val="0"/>
                <w:sz w:val="24"/>
                <w:szCs w:val="24"/>
                <w:highlight w:val="none"/>
              </w:rPr>
              <w:t>的信用记录。</w:t>
            </w:r>
          </w:p>
          <w:p w14:paraId="6B64C530">
            <w:pPr>
              <w:widowControl/>
              <w:adjustRightInd w:val="0"/>
              <w:snapToGrid w:val="0"/>
              <w:spacing w:line="360" w:lineRule="auto"/>
              <w:ind w:firstLine="458" w:firstLineChars="200"/>
              <w:jc w:val="left"/>
              <w:rPr>
                <w:rFonts w:ascii="宋体" w:hAnsi="宋体" w:eastAsia="宋体" w:cs="宋体"/>
                <w:color w:val="auto"/>
                <w:spacing w:val="-6"/>
                <w:kern w:val="0"/>
                <w:sz w:val="24"/>
                <w:szCs w:val="24"/>
                <w:highlight w:val="none"/>
              </w:rPr>
            </w:pPr>
            <w:r>
              <w:rPr>
                <w:rFonts w:hint="eastAsia" w:ascii="宋体" w:hAnsi="宋体" w:eastAsia="宋体" w:cs="宋体"/>
                <w:b/>
                <w:color w:val="auto"/>
                <w:spacing w:val="-6"/>
                <w:kern w:val="0"/>
                <w:sz w:val="24"/>
                <w:szCs w:val="24"/>
                <w:highlight w:val="none"/>
              </w:rPr>
              <w:t>（2）信用信息查询记录和证据留存的具体方式：</w:t>
            </w:r>
            <w:r>
              <w:rPr>
                <w:rFonts w:hint="eastAsia" w:ascii="宋体" w:hAnsi="宋体" w:eastAsia="宋体" w:cs="宋体"/>
                <w:color w:val="auto"/>
                <w:spacing w:val="-6"/>
                <w:kern w:val="0"/>
                <w:sz w:val="24"/>
                <w:szCs w:val="24"/>
                <w:highlight w:val="none"/>
              </w:rPr>
              <w:t>项目评审组织人员现场查询供应商的信用记录，查询结果经确认后与招标文件一起存档。</w:t>
            </w:r>
          </w:p>
          <w:p w14:paraId="7F492CE0">
            <w:pPr>
              <w:widowControl/>
              <w:snapToGrid w:val="0"/>
              <w:spacing w:line="460" w:lineRule="exact"/>
              <w:ind w:firstLine="458" w:firstLineChars="200"/>
              <w:jc w:val="left"/>
              <w:rPr>
                <w:rFonts w:ascii="宋体" w:hAnsi="宋体" w:eastAsia="宋体" w:cs="宋体"/>
                <w:bCs/>
                <w:color w:val="auto"/>
                <w:sz w:val="24"/>
                <w:szCs w:val="24"/>
                <w:highlight w:val="none"/>
              </w:rPr>
            </w:pPr>
            <w:r>
              <w:rPr>
                <w:rFonts w:hint="eastAsia" w:ascii="宋体" w:hAnsi="宋体" w:eastAsia="宋体" w:cs="宋体"/>
                <w:b/>
                <w:color w:val="auto"/>
                <w:spacing w:val="-6"/>
                <w:kern w:val="0"/>
                <w:sz w:val="24"/>
                <w:szCs w:val="24"/>
                <w:highlight w:val="none"/>
              </w:rPr>
              <w:t>（3）信用信息的使用规则：</w:t>
            </w:r>
            <w:r>
              <w:rPr>
                <w:rFonts w:hint="eastAsia" w:ascii="宋体" w:hAnsi="宋体" w:eastAsia="宋体" w:cs="宋体"/>
                <w:bCs/>
                <w:color w:val="auto"/>
                <w:sz w:val="24"/>
                <w:szCs w:val="24"/>
                <w:highlight w:val="none"/>
              </w:rPr>
              <w:t>经查询列入失信被执行人名单、重大税收违法案件当事人名单、政府采购严重违法失信行为记录名单的供应商的投标文件将做无效标处理。</w:t>
            </w:r>
          </w:p>
          <w:p w14:paraId="3619298E">
            <w:pPr>
              <w:widowControl/>
              <w:snapToGrid w:val="0"/>
              <w:spacing w:line="460" w:lineRule="exact"/>
              <w:ind w:firstLine="482" w:firstLineChars="200"/>
              <w:jc w:val="lef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（4）查询时间为投标截止当天</w:t>
            </w:r>
          </w:p>
        </w:tc>
      </w:tr>
      <w:tr w14:paraId="72402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1" w:hRule="atLeast"/>
          <w:jc w:val="center"/>
        </w:trPr>
        <w:tc>
          <w:tcPr>
            <w:tcW w:w="651" w:type="dxa"/>
            <w:tcBorders>
              <w:top w:val="single" w:color="auto" w:sz="4" w:space="0"/>
              <w:bottom w:val="single" w:color="auto" w:sz="4" w:space="0"/>
              <w:right w:val="single" w:color="auto" w:sz="4" w:space="0"/>
            </w:tcBorders>
            <w:vAlign w:val="center"/>
          </w:tcPr>
          <w:p w14:paraId="6CF26CEE">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909" w:type="dxa"/>
            <w:tcBorders>
              <w:top w:val="single" w:color="000000" w:sz="8" w:space="0"/>
              <w:left w:val="single" w:color="auto" w:sz="4" w:space="0"/>
              <w:bottom w:val="single" w:color="000000" w:sz="8" w:space="0"/>
              <w:right w:val="single" w:color="000000" w:sz="8" w:space="0"/>
            </w:tcBorders>
            <w:vAlign w:val="center"/>
          </w:tcPr>
          <w:p w14:paraId="6440D8EA">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中小企业预留份额情况</w:t>
            </w:r>
          </w:p>
        </w:tc>
        <w:tc>
          <w:tcPr>
            <w:tcW w:w="6298" w:type="dxa"/>
            <w:tcBorders>
              <w:top w:val="single" w:color="000000" w:sz="8" w:space="0"/>
              <w:left w:val="single" w:color="000000" w:sz="2" w:space="0"/>
              <w:bottom w:val="single" w:color="000000" w:sz="8" w:space="0"/>
              <w:right w:val="single" w:color="000000" w:sz="8" w:space="0"/>
            </w:tcBorders>
            <w:vAlign w:val="center"/>
          </w:tcPr>
          <w:p w14:paraId="3D3D4830">
            <w:pPr>
              <w:snapToGrid w:val="0"/>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本项目属于预留份额专门面向中小企业采购的项目。</w:t>
            </w:r>
          </w:p>
        </w:tc>
      </w:tr>
      <w:tr w14:paraId="2BE3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jc w:val="center"/>
        </w:trPr>
        <w:tc>
          <w:tcPr>
            <w:tcW w:w="651" w:type="dxa"/>
            <w:tcBorders>
              <w:top w:val="single" w:color="auto" w:sz="4" w:space="0"/>
              <w:bottom w:val="single" w:color="auto" w:sz="4" w:space="0"/>
              <w:right w:val="single" w:color="auto" w:sz="4" w:space="0"/>
            </w:tcBorders>
            <w:vAlign w:val="center"/>
          </w:tcPr>
          <w:p w14:paraId="5F44B471">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909" w:type="dxa"/>
            <w:tcBorders>
              <w:top w:val="single" w:color="000000" w:sz="8" w:space="0"/>
              <w:left w:val="single" w:color="auto" w:sz="4" w:space="0"/>
              <w:bottom w:val="single" w:color="000000" w:sz="8" w:space="0"/>
              <w:right w:val="single" w:color="000000" w:sz="8" w:space="0"/>
            </w:tcBorders>
            <w:vAlign w:val="center"/>
          </w:tcPr>
          <w:p w14:paraId="6F5A568F">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小微企业优惠措施</w:t>
            </w:r>
          </w:p>
        </w:tc>
        <w:tc>
          <w:tcPr>
            <w:tcW w:w="6298" w:type="dxa"/>
            <w:tcBorders>
              <w:top w:val="single" w:color="000000" w:sz="8" w:space="0"/>
              <w:left w:val="single" w:color="000000" w:sz="2" w:space="0"/>
              <w:bottom w:val="single" w:color="000000" w:sz="8" w:space="0"/>
              <w:right w:val="single" w:color="000000" w:sz="8" w:space="0"/>
            </w:tcBorders>
            <w:vAlign w:val="center"/>
          </w:tcPr>
          <w:p w14:paraId="08B5784B">
            <w:pPr>
              <w:snapToGrid w:val="0"/>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无</w:t>
            </w:r>
          </w:p>
        </w:tc>
      </w:tr>
      <w:tr w14:paraId="56FB2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5" w:hRule="atLeast"/>
          <w:jc w:val="center"/>
        </w:trPr>
        <w:tc>
          <w:tcPr>
            <w:tcW w:w="651" w:type="dxa"/>
            <w:tcBorders>
              <w:top w:val="single" w:color="auto" w:sz="4" w:space="0"/>
              <w:bottom w:val="single" w:color="auto" w:sz="4" w:space="0"/>
              <w:right w:val="single" w:color="auto" w:sz="4" w:space="0"/>
            </w:tcBorders>
            <w:vAlign w:val="center"/>
          </w:tcPr>
          <w:p w14:paraId="7CF6B0DF">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09" w:type="dxa"/>
            <w:tcBorders>
              <w:top w:val="single" w:color="000000" w:sz="8" w:space="0"/>
              <w:left w:val="single" w:color="auto" w:sz="4" w:space="0"/>
              <w:bottom w:val="single" w:color="auto" w:sz="4" w:space="0"/>
              <w:right w:val="single" w:color="000000" w:sz="8" w:space="0"/>
            </w:tcBorders>
            <w:vAlign w:val="center"/>
          </w:tcPr>
          <w:p w14:paraId="4766D980">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报价要求</w:t>
            </w:r>
          </w:p>
        </w:tc>
        <w:tc>
          <w:tcPr>
            <w:tcW w:w="6298" w:type="dxa"/>
            <w:tcBorders>
              <w:top w:val="single" w:color="000000" w:sz="8" w:space="0"/>
              <w:left w:val="single" w:color="000000" w:sz="2" w:space="0"/>
              <w:bottom w:val="single" w:color="auto" w:sz="4" w:space="0"/>
              <w:right w:val="single" w:color="000000" w:sz="8" w:space="0"/>
            </w:tcBorders>
            <w:vAlign w:val="center"/>
          </w:tcPr>
          <w:p w14:paraId="2276E46D">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有关本项目开展所需的费用均计入报价。招标文件未列明，而供应商认为必需的费用也需列入报价。本项目投标参照浙价服[2009]84号文件规定的收费内容，自行确定基本咨询费率进行投标费率报价。</w:t>
            </w:r>
          </w:p>
          <w:p w14:paraId="3E7F623A">
            <w:pPr>
              <w:snapToGrid w:val="0"/>
              <w:spacing w:line="360" w:lineRule="auto"/>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14:paraId="7621522B">
            <w:pPr>
              <w:snapToGrid w:val="0"/>
              <w:spacing w:line="360" w:lineRule="auto"/>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投标文件出现不是唯一的、有选择性投标报价的；</w:t>
            </w:r>
          </w:p>
          <w:p w14:paraId="5AD44855">
            <w:pPr>
              <w:snapToGrid w:val="0"/>
              <w:spacing w:line="360" w:lineRule="auto"/>
              <w:ind w:firstLine="480" w:firstLineChars="200"/>
              <w:jc w:val="lef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报价超过招标文件中规定的预算金额或者最高限价的；</w:t>
            </w:r>
          </w:p>
          <w:p w14:paraId="52C4EEB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▲《开标一览表》填写不完整或字迹不能辨认或有漏项的；</w:t>
            </w:r>
          </w:p>
          <w:p w14:paraId="7D865F1A">
            <w:pPr>
              <w:spacing w:line="360" w:lineRule="auto"/>
              <w:ind w:firstLine="480" w:firstLineChars="200"/>
              <w:rPr>
                <w:rFonts w:ascii="宋体" w:hAnsi="宋体" w:eastAsia="宋体" w:cs="宋体"/>
                <w:color w:val="auto"/>
                <w:szCs w:val="21"/>
                <w:highlight w:val="none"/>
              </w:rPr>
            </w:pPr>
            <w:r>
              <w:rPr>
                <w:rFonts w:hint="eastAsia" w:ascii="宋体" w:hAnsi="宋体" w:eastAsia="宋体" w:cs="宋体"/>
                <w:color w:val="auto"/>
                <w:sz w:val="24"/>
                <w:szCs w:val="24"/>
                <w:highlight w:val="none"/>
              </w:rPr>
              <w:t>▲供应商对根据修正原则修正后的报价不确认的。</w:t>
            </w:r>
          </w:p>
        </w:tc>
      </w:tr>
      <w:tr w14:paraId="49C50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7" w:hRule="atLeast"/>
          <w:jc w:val="center"/>
        </w:trPr>
        <w:tc>
          <w:tcPr>
            <w:tcW w:w="651" w:type="dxa"/>
            <w:tcBorders>
              <w:top w:val="single" w:color="auto" w:sz="4" w:space="0"/>
              <w:bottom w:val="single" w:color="auto" w:sz="4" w:space="0"/>
              <w:right w:val="single" w:color="auto" w:sz="4" w:space="0"/>
            </w:tcBorders>
            <w:vAlign w:val="center"/>
          </w:tcPr>
          <w:p w14:paraId="03FC4D13">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09" w:type="dxa"/>
            <w:tcBorders>
              <w:top w:val="single" w:color="000000" w:sz="8" w:space="0"/>
              <w:left w:val="single" w:color="auto" w:sz="4" w:space="0"/>
              <w:bottom w:val="single" w:color="000000" w:sz="8" w:space="0"/>
              <w:right w:val="single" w:color="000000" w:sz="8" w:space="0"/>
            </w:tcBorders>
            <w:vAlign w:val="center"/>
          </w:tcPr>
          <w:p w14:paraId="15104B35">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分包或转包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558112AF">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b/>
                <w:bCs/>
                <w:color w:val="auto"/>
                <w:sz w:val="24"/>
                <w:szCs w:val="24"/>
                <w:highlight w:val="none"/>
              </w:rPr>
              <w:t>不同意</w:t>
            </w:r>
            <w:r>
              <w:rPr>
                <w:rFonts w:hint="eastAsia" w:ascii="宋体" w:hAnsi="宋体" w:eastAsia="宋体" w:cs="宋体"/>
                <w:color w:val="auto"/>
                <w:sz w:val="24"/>
                <w:szCs w:val="24"/>
                <w:highlight w:val="none"/>
              </w:rPr>
              <w:t>分包。</w:t>
            </w:r>
          </w:p>
          <w:p w14:paraId="68F7C97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（2）本项目不得转包。</w:t>
            </w:r>
          </w:p>
        </w:tc>
      </w:tr>
      <w:tr w14:paraId="51972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2" w:hRule="atLeast"/>
          <w:jc w:val="center"/>
        </w:trPr>
        <w:tc>
          <w:tcPr>
            <w:tcW w:w="651" w:type="dxa"/>
            <w:tcBorders>
              <w:top w:val="single" w:color="auto" w:sz="4" w:space="0"/>
              <w:bottom w:val="single" w:color="auto" w:sz="4" w:space="0"/>
              <w:right w:val="single" w:color="auto" w:sz="4" w:space="0"/>
            </w:tcBorders>
            <w:vAlign w:val="center"/>
          </w:tcPr>
          <w:p w14:paraId="68A6ACC5">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09" w:type="dxa"/>
            <w:tcBorders>
              <w:top w:val="single" w:color="000000" w:sz="8" w:space="0"/>
              <w:left w:val="single" w:color="auto" w:sz="4" w:space="0"/>
              <w:bottom w:val="single" w:color="000000" w:sz="8" w:space="0"/>
              <w:right w:val="single" w:color="000000" w:sz="8" w:space="0"/>
            </w:tcBorders>
            <w:vAlign w:val="center"/>
          </w:tcPr>
          <w:p w14:paraId="1ACB1520">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供应商应当提供的资格、资信证明文件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0D5E5B4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（1）资格证明文件：见招标文件第三部分11.1。</w:t>
            </w:r>
          </w:p>
          <w:p w14:paraId="440A2B7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（2）资信证明文件：根据招标文件第四部分具体评标标准提供。</w:t>
            </w:r>
          </w:p>
          <w:p w14:paraId="42157709">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供应商未提供有效的资格证明文件的，视为供应商不具备招标文件中规定的资格要求，资格审查不予通过。</w:t>
            </w:r>
          </w:p>
        </w:tc>
      </w:tr>
      <w:tr w14:paraId="00901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jc w:val="center"/>
        </w:trPr>
        <w:tc>
          <w:tcPr>
            <w:tcW w:w="651" w:type="dxa"/>
            <w:tcBorders>
              <w:top w:val="single" w:color="auto" w:sz="4" w:space="0"/>
              <w:bottom w:val="single" w:color="auto" w:sz="4" w:space="0"/>
              <w:right w:val="single" w:color="auto" w:sz="4" w:space="0"/>
            </w:tcBorders>
            <w:vAlign w:val="center"/>
          </w:tcPr>
          <w:p w14:paraId="0B3C7582">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09" w:type="dxa"/>
            <w:tcBorders>
              <w:top w:val="single" w:color="000000" w:sz="8" w:space="0"/>
              <w:left w:val="single" w:color="auto" w:sz="4" w:space="0"/>
              <w:bottom w:val="single" w:color="000000" w:sz="8" w:space="0"/>
              <w:right w:val="single" w:color="000000" w:sz="8" w:space="0"/>
            </w:tcBorders>
            <w:vAlign w:val="center"/>
          </w:tcPr>
          <w:p w14:paraId="6A34365E">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投标文件的组成、递交、接受和解密</w:t>
            </w:r>
          </w:p>
        </w:tc>
        <w:tc>
          <w:tcPr>
            <w:tcW w:w="6298" w:type="dxa"/>
            <w:tcBorders>
              <w:top w:val="single" w:color="000000" w:sz="8" w:space="0"/>
              <w:left w:val="single" w:color="000000" w:sz="2" w:space="0"/>
              <w:bottom w:val="single" w:color="000000" w:sz="8" w:space="0"/>
              <w:right w:val="single" w:color="000000" w:sz="8" w:space="0"/>
            </w:tcBorders>
            <w:vAlign w:val="center"/>
          </w:tcPr>
          <w:p w14:paraId="7A693179">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投标文件的组成：</w:t>
            </w:r>
            <w:r>
              <w:rPr>
                <w:rFonts w:hint="eastAsia" w:ascii="宋体" w:hAnsi="宋体" w:eastAsia="宋体" w:cs="宋体"/>
                <w:color w:val="auto"/>
                <w:sz w:val="24"/>
                <w:szCs w:val="24"/>
                <w:highlight w:val="none"/>
              </w:rPr>
              <w:t>投标文件均由资格文件、报价文件及商务技术文件组成。</w:t>
            </w:r>
            <w:r>
              <w:rPr>
                <w:rFonts w:hint="eastAsia" w:ascii="宋体" w:hAnsi="宋体" w:eastAsia="宋体" w:cs="宋体"/>
                <w:b/>
                <w:bCs/>
                <w:color w:val="auto"/>
                <w:sz w:val="24"/>
                <w:szCs w:val="24"/>
                <w:highlight w:val="none"/>
              </w:rPr>
              <w:t>投标文件的递交：</w:t>
            </w:r>
            <w:r>
              <w:rPr>
                <w:rFonts w:hint="eastAsia" w:ascii="宋体" w:hAnsi="宋体" w:eastAsia="宋体" w:cs="宋体"/>
                <w:color w:val="auto"/>
                <w:sz w:val="24"/>
                <w:szCs w:val="24"/>
                <w:highlight w:val="none"/>
              </w:rPr>
              <w:t>目前政府采购全流程电子化交易，供应商应准备电子投标文件。电子投标文件按政采云平台项目采购-电子招投标操作指南及本招标文件要求递交。</w:t>
            </w:r>
            <w:r>
              <w:rPr>
                <w:rFonts w:hint="eastAsia" w:ascii="宋体" w:hAnsi="宋体" w:eastAsia="宋体" w:cs="宋体"/>
                <w:b/>
                <w:bCs/>
                <w:color w:val="auto"/>
                <w:sz w:val="24"/>
                <w:szCs w:val="24"/>
                <w:highlight w:val="none"/>
              </w:rPr>
              <w:t>投标文件的接受：</w:t>
            </w:r>
            <w:r>
              <w:rPr>
                <w:rFonts w:hint="eastAsia" w:ascii="宋体" w:hAnsi="宋体" w:eastAsia="宋体" w:cs="宋体"/>
                <w:color w:val="auto"/>
                <w:sz w:val="24"/>
                <w:szCs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5D5D94F">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投标文件的解密：</w:t>
            </w:r>
            <w:r>
              <w:rPr>
                <w:rFonts w:hint="eastAsia" w:ascii="宋体" w:hAnsi="宋体" w:eastAsia="宋体" w:cs="宋体"/>
                <w:color w:val="auto"/>
                <w:sz w:val="24"/>
                <w:szCs w:val="24"/>
                <w:highlight w:val="none"/>
              </w:rPr>
              <w:t>供应商务必按时自行解密。</w:t>
            </w:r>
          </w:p>
          <w:p w14:paraId="1ACDE1D6">
            <w:pPr>
              <w:spacing w:line="36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rPr>
              <w:t>提醒：由于本项目可能供应商比较多，供应商投标文件内容比较大，解密需要时间，各供应商尽早解密，防止因解密不及时造成解密失败。另请供应商编制投标文件尽量言简意赅，切中要点，不要为了篇幅而上传不需要的资料以及大量摘抄规范文件。</w:t>
            </w:r>
          </w:p>
        </w:tc>
      </w:tr>
      <w:tr w14:paraId="1D199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jc w:val="center"/>
        </w:trPr>
        <w:tc>
          <w:tcPr>
            <w:tcW w:w="651" w:type="dxa"/>
            <w:tcBorders>
              <w:top w:val="single" w:color="auto" w:sz="4" w:space="0"/>
              <w:bottom w:val="single" w:color="auto" w:sz="4" w:space="0"/>
              <w:right w:val="single" w:color="auto" w:sz="4" w:space="0"/>
            </w:tcBorders>
            <w:vAlign w:val="center"/>
          </w:tcPr>
          <w:p w14:paraId="6F898A50">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09" w:type="dxa"/>
            <w:tcBorders>
              <w:top w:val="single" w:color="000000" w:sz="8" w:space="0"/>
              <w:left w:val="single" w:color="auto" w:sz="4" w:space="0"/>
              <w:bottom w:val="single" w:color="000000" w:sz="8" w:space="0"/>
              <w:right w:val="single" w:color="000000" w:sz="8" w:space="0"/>
            </w:tcBorders>
            <w:vAlign w:val="center"/>
          </w:tcPr>
          <w:p w14:paraId="5748F21A">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6ED7AD6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不组织。</w:t>
            </w:r>
          </w:p>
        </w:tc>
      </w:tr>
      <w:tr w14:paraId="6245B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jc w:val="center"/>
        </w:trPr>
        <w:tc>
          <w:tcPr>
            <w:tcW w:w="651" w:type="dxa"/>
            <w:tcBorders>
              <w:top w:val="single" w:color="auto" w:sz="4" w:space="0"/>
              <w:bottom w:val="single" w:color="auto" w:sz="4" w:space="0"/>
              <w:right w:val="single" w:color="auto" w:sz="4" w:space="0"/>
            </w:tcBorders>
            <w:vAlign w:val="center"/>
          </w:tcPr>
          <w:p w14:paraId="5460C308">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09" w:type="dxa"/>
            <w:tcBorders>
              <w:top w:val="single" w:color="000000" w:sz="8" w:space="0"/>
              <w:left w:val="single" w:color="auto" w:sz="4" w:space="0"/>
              <w:bottom w:val="single" w:color="000000" w:sz="8" w:space="0"/>
              <w:right w:val="single" w:color="000000" w:sz="8" w:space="0"/>
            </w:tcBorders>
            <w:vAlign w:val="center"/>
          </w:tcPr>
          <w:p w14:paraId="571560AF">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1CC697D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7A68E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22D019EA">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09" w:type="dxa"/>
            <w:tcBorders>
              <w:top w:val="single" w:color="000000" w:sz="8" w:space="0"/>
              <w:left w:val="single" w:color="000000" w:sz="2" w:space="0"/>
              <w:bottom w:val="single" w:color="000000" w:sz="8" w:space="0"/>
              <w:right w:val="single" w:color="000000" w:sz="8" w:space="0"/>
            </w:tcBorders>
            <w:vAlign w:val="center"/>
          </w:tcPr>
          <w:p w14:paraId="609300FE">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6D0D66BB">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69E17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796E359E">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09" w:type="dxa"/>
            <w:tcBorders>
              <w:top w:val="single" w:color="000000" w:sz="8" w:space="0"/>
              <w:left w:val="single" w:color="000000" w:sz="2" w:space="0"/>
              <w:bottom w:val="single" w:color="000000" w:sz="8" w:space="0"/>
              <w:right w:val="single" w:color="000000" w:sz="8" w:space="0"/>
            </w:tcBorders>
            <w:vAlign w:val="center"/>
          </w:tcPr>
          <w:p w14:paraId="6CBBD404">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采购代理机构代理费用</w:t>
            </w:r>
          </w:p>
        </w:tc>
        <w:tc>
          <w:tcPr>
            <w:tcW w:w="6298" w:type="dxa"/>
            <w:tcBorders>
              <w:top w:val="single" w:color="000000" w:sz="8" w:space="0"/>
              <w:left w:val="single" w:color="000000" w:sz="2" w:space="0"/>
              <w:bottom w:val="single" w:color="000000" w:sz="8" w:space="0"/>
              <w:right w:val="single" w:color="000000" w:sz="8" w:space="0"/>
            </w:tcBorders>
            <w:vAlign w:val="center"/>
          </w:tcPr>
          <w:p w14:paraId="15A261DB">
            <w:pPr>
              <w:spacing w:line="360" w:lineRule="auto"/>
              <w:ind w:firstLine="480" w:firstLineChars="200"/>
              <w:rPr>
                <w:rFonts w:ascii="宋体" w:hAnsi="宋体" w:eastAsia="宋体" w:cs="宋体"/>
                <w:color w:val="auto"/>
                <w:szCs w:val="21"/>
                <w:highlight w:val="none"/>
              </w:rPr>
            </w:pPr>
            <w:r>
              <w:rPr>
                <w:rFonts w:hint="eastAsia" w:ascii="宋体" w:hAnsi="宋体" w:eastAsia="宋体" w:cs="宋体"/>
                <w:color w:val="auto"/>
                <w:sz w:val="24"/>
                <w:szCs w:val="24"/>
                <w:highlight w:val="none"/>
              </w:rPr>
              <w:t>10000元，费用由入围单位平均支付。</w:t>
            </w:r>
          </w:p>
        </w:tc>
      </w:tr>
      <w:tr w14:paraId="666F0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6" w:hRule="atLeast"/>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14818C8C">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09" w:type="dxa"/>
            <w:tcBorders>
              <w:top w:val="single" w:color="auto" w:sz="4" w:space="0"/>
              <w:left w:val="single" w:color="000000" w:sz="2" w:space="0"/>
              <w:bottom w:val="single" w:color="auto" w:sz="4" w:space="0"/>
              <w:right w:val="single" w:color="000000" w:sz="8" w:space="0"/>
            </w:tcBorders>
            <w:vAlign w:val="center"/>
          </w:tcPr>
          <w:p w14:paraId="51D089A6">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备份投标文件送达时间、地点和签收人员 </w:t>
            </w:r>
          </w:p>
        </w:tc>
        <w:tc>
          <w:tcPr>
            <w:tcW w:w="6298" w:type="dxa"/>
            <w:tcBorders>
              <w:top w:val="single" w:color="auto" w:sz="4" w:space="0"/>
              <w:left w:val="single" w:color="000000" w:sz="2" w:space="0"/>
              <w:bottom w:val="single" w:color="auto" w:sz="4" w:space="0"/>
              <w:right w:val="single" w:color="000000" w:sz="8" w:space="0"/>
            </w:tcBorders>
            <w:vAlign w:val="center"/>
          </w:tcPr>
          <w:p w14:paraId="47F6AC38">
            <w:pPr>
              <w:snapToGrid w:val="0"/>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截止时间：</w:t>
            </w:r>
            <w:r>
              <w:rPr>
                <w:rFonts w:hint="eastAsia" w:ascii="宋体" w:hAnsi="宋体" w:eastAsia="宋体" w:cs="宋体"/>
                <w:b/>
                <w:bCs/>
                <w:color w:val="auto"/>
                <w:sz w:val="24"/>
                <w:szCs w:val="24"/>
                <w:highlight w:val="none"/>
              </w:rPr>
              <w:t>2024年</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xml:space="preserve">0分00秒（北京时间） </w:t>
            </w:r>
            <w:r>
              <w:rPr>
                <w:rFonts w:hint="eastAsia" w:ascii="宋体" w:hAnsi="宋体" w:eastAsia="宋体" w:cs="宋体"/>
                <w:b/>
                <w:bCs/>
                <w:color w:val="auto"/>
                <w:sz w:val="24"/>
                <w:szCs w:val="24"/>
                <w:highlight w:val="none"/>
              </w:rPr>
              <w:t xml:space="preserve">   </w:t>
            </w:r>
          </w:p>
          <w:p w14:paraId="539A7ACA">
            <w:pPr>
              <w:snapToGrid w:val="0"/>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送达地点：</w:t>
            </w:r>
            <w:r>
              <w:rPr>
                <w:rFonts w:hint="eastAsia" w:ascii="宋体" w:hAnsi="宋体" w:eastAsia="宋体" w:cs="宋体"/>
                <w:b/>
                <w:bCs/>
                <w:color w:val="auto"/>
                <w:sz w:val="24"/>
                <w:szCs w:val="24"/>
                <w:highlight w:val="none"/>
                <w:lang w:val="zh-CN"/>
              </w:rPr>
              <w:t>浙江省嘉兴市经济技术开发区晶晖广场13楼</w:t>
            </w:r>
            <w:r>
              <w:rPr>
                <w:rFonts w:hint="eastAsia" w:ascii="宋体" w:hAnsi="宋体" w:eastAsia="宋体" w:cs="宋体"/>
                <w:b/>
                <w:bCs/>
                <w:color w:val="auto"/>
                <w:sz w:val="24"/>
                <w:szCs w:val="24"/>
                <w:highlight w:val="none"/>
              </w:rPr>
              <w:t>；备份投标文件签收人员联系电话：张嘉诚，0573-82080929。采购人、采购机构不强制或变相强制供应商提交备份投标文件。注：</w:t>
            </w:r>
            <w:r>
              <w:rPr>
                <w:rFonts w:hint="eastAsia" w:ascii="宋体" w:hAnsi="宋体" w:eastAsia="宋体" w:cs="Calibri"/>
                <w:b/>
                <w:bCs/>
                <w:color w:val="auto"/>
                <w:sz w:val="24"/>
                <w:szCs w:val="21"/>
                <w:highlight w:val="none"/>
              </w:rPr>
              <w:t>送达前还请务必请提前联系，以便代理单位妥善安排人员办好交接签收手续（节假日除外）。</w:t>
            </w:r>
          </w:p>
        </w:tc>
      </w:tr>
      <w:tr w14:paraId="0A81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0ABAED59">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09" w:type="dxa"/>
            <w:tcBorders>
              <w:top w:val="single" w:color="auto" w:sz="4" w:space="0"/>
              <w:left w:val="single" w:color="000000" w:sz="2" w:space="0"/>
              <w:bottom w:val="single" w:color="auto" w:sz="4" w:space="0"/>
              <w:right w:val="single" w:color="000000" w:sz="8" w:space="0"/>
            </w:tcBorders>
            <w:vAlign w:val="center"/>
          </w:tcPr>
          <w:p w14:paraId="2545F449">
            <w:pPr>
              <w:snapToGrid w:val="0"/>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电子签章或电子签名</w:t>
            </w:r>
          </w:p>
        </w:tc>
        <w:tc>
          <w:tcPr>
            <w:tcW w:w="6298" w:type="dxa"/>
            <w:tcBorders>
              <w:top w:val="single" w:color="auto" w:sz="4" w:space="0"/>
              <w:left w:val="single" w:color="000000" w:sz="2" w:space="0"/>
              <w:bottom w:val="single" w:color="auto" w:sz="4" w:space="0"/>
              <w:right w:val="single" w:color="000000" w:sz="8" w:space="0"/>
            </w:tcBorders>
            <w:vAlign w:val="center"/>
          </w:tcPr>
          <w:p w14:paraId="0FAEC5F1">
            <w:pPr>
              <w:snapToGrid w:val="0"/>
              <w:spacing w:line="360" w:lineRule="auto"/>
              <w:jc w:val="left"/>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供应商无法电子签章或电子签名的供应商可以在投标文件中予以说明采用签章或签名的扫描件的形式上传</w:t>
            </w:r>
          </w:p>
        </w:tc>
      </w:tr>
      <w:tr w14:paraId="413B2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1EDDFABB">
            <w:pPr>
              <w:snapToGrid w:val="0"/>
              <w:spacing w:line="360" w:lineRule="auto"/>
              <w:ind w:firstLine="241" w:firstLineChars="1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p>
        </w:tc>
        <w:tc>
          <w:tcPr>
            <w:tcW w:w="1909" w:type="dxa"/>
            <w:tcBorders>
              <w:top w:val="single" w:color="auto" w:sz="4" w:space="0"/>
              <w:left w:val="single" w:color="000000" w:sz="2" w:space="0"/>
              <w:bottom w:val="single" w:color="auto" w:sz="4" w:space="0"/>
              <w:right w:val="single" w:color="000000" w:sz="8" w:space="0"/>
            </w:tcBorders>
            <w:vAlign w:val="center"/>
          </w:tcPr>
          <w:p w14:paraId="6DF77EF5">
            <w:pPr>
              <w:snapToGrid w:val="0"/>
              <w:spacing w:line="360" w:lineRule="auto"/>
              <w:jc w:val="left"/>
              <w:rPr>
                <w:rFonts w:ascii="宋体" w:hAnsi="宋体" w:eastAsia="宋体" w:cs="宋体"/>
                <w:b/>
                <w:bCs/>
                <w:color w:val="auto"/>
                <w:sz w:val="24"/>
                <w:szCs w:val="24"/>
                <w:highlight w:val="none"/>
              </w:rPr>
            </w:pPr>
          </w:p>
        </w:tc>
        <w:tc>
          <w:tcPr>
            <w:tcW w:w="6298" w:type="dxa"/>
            <w:tcBorders>
              <w:top w:val="single" w:color="auto" w:sz="4" w:space="0"/>
              <w:left w:val="single" w:color="000000" w:sz="2" w:space="0"/>
              <w:bottom w:val="single" w:color="auto" w:sz="4" w:space="0"/>
              <w:right w:val="single" w:color="000000" w:sz="8" w:space="0"/>
            </w:tcBorders>
            <w:vAlign w:val="center"/>
          </w:tcPr>
          <w:p w14:paraId="4B224C2C">
            <w:pPr>
              <w:snapToGrid w:val="0"/>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开标时间后，采购组织机构将向各投标供应商发出“电子加密投标文件”的解密通知，各投标供应商代表应当在接到解密通知后30分钟内自行完成“电子加密投标文件”的在线解密。</w:t>
            </w:r>
          </w:p>
        </w:tc>
      </w:tr>
    </w:tbl>
    <w:p w14:paraId="62FB356D">
      <w:pPr>
        <w:spacing w:line="360" w:lineRule="auto"/>
        <w:ind w:firstLine="643" w:firstLineChars="200"/>
        <w:jc w:val="center"/>
        <w:outlineLvl w:val="1"/>
        <w:rPr>
          <w:rFonts w:ascii="宋体" w:hAnsi="宋体" w:eastAsia="宋体" w:cs="宋体"/>
          <w:b/>
          <w:bCs/>
          <w:color w:val="auto"/>
          <w:sz w:val="32"/>
          <w:szCs w:val="32"/>
          <w:highlight w:val="none"/>
        </w:rPr>
      </w:pPr>
    </w:p>
    <w:p w14:paraId="73491C1B">
      <w:pPr>
        <w:spacing w:line="360" w:lineRule="auto"/>
        <w:ind w:firstLine="643" w:firstLineChars="200"/>
        <w:jc w:val="center"/>
        <w:outlineLvl w:val="1"/>
        <w:rPr>
          <w:rFonts w:hint="eastAsia" w:ascii="宋体" w:hAnsi="宋体" w:eastAsia="宋体" w:cs="宋体"/>
          <w:b/>
          <w:bCs/>
          <w:color w:val="auto"/>
          <w:sz w:val="32"/>
          <w:szCs w:val="32"/>
          <w:highlight w:val="none"/>
        </w:rPr>
      </w:pPr>
    </w:p>
    <w:p w14:paraId="7CB9F4CE">
      <w:pPr>
        <w:spacing w:line="360" w:lineRule="auto"/>
        <w:ind w:firstLine="643" w:firstLineChars="200"/>
        <w:jc w:val="center"/>
        <w:outlineLvl w:val="1"/>
        <w:rPr>
          <w:rFonts w:hint="eastAsia" w:ascii="宋体" w:hAnsi="宋体" w:eastAsia="宋体" w:cs="宋体"/>
          <w:b/>
          <w:bCs/>
          <w:color w:val="auto"/>
          <w:sz w:val="32"/>
          <w:szCs w:val="32"/>
          <w:highlight w:val="none"/>
        </w:rPr>
      </w:pPr>
    </w:p>
    <w:p w14:paraId="57065847">
      <w:pPr>
        <w:spacing w:line="360" w:lineRule="auto"/>
        <w:ind w:firstLine="643" w:firstLineChars="200"/>
        <w:jc w:val="center"/>
        <w:outlineLvl w:val="1"/>
        <w:rPr>
          <w:rFonts w:hint="eastAsia" w:ascii="宋体" w:hAnsi="宋体" w:eastAsia="宋体" w:cs="宋体"/>
          <w:b/>
          <w:bCs/>
          <w:color w:val="auto"/>
          <w:sz w:val="32"/>
          <w:szCs w:val="32"/>
          <w:highlight w:val="none"/>
        </w:rPr>
      </w:pPr>
    </w:p>
    <w:p w14:paraId="7B7D310B">
      <w:pPr>
        <w:spacing w:line="360" w:lineRule="auto"/>
        <w:ind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一、总则</w:t>
      </w:r>
    </w:p>
    <w:p w14:paraId="716CD1E8">
      <w:pPr>
        <w:snapToGrid w:val="0"/>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73E5BC14">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本征集文件适用于该项目的招标、投标、开标、资格审查及信用信息查询、评标、定标、合同、验收等行为（法律、法规另有规定的，从其规定）。</w:t>
      </w:r>
    </w:p>
    <w:p w14:paraId="2E548E4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786222D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“采购人”系指框架协议采购公告中载明的本项目的采购人。</w:t>
      </w:r>
    </w:p>
    <w:p w14:paraId="257515F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2.2“采购代理机构”系指框架协议采购公告中载明的本项目的采购代理机构。</w:t>
      </w:r>
    </w:p>
    <w:p w14:paraId="10837DA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2.3“供应商”系指是指响应招标、参加投标竞争的法人、其他组织或者自然人。</w:t>
      </w:r>
    </w:p>
    <w:p w14:paraId="5B66F15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2.4“负责人”系指法人企业的法定负责人，或其他组织为法律、行政法规规定代表单位行使职权的主要负责人，或自然人本人。</w:t>
      </w:r>
    </w:p>
    <w:p w14:paraId="7EAEA32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2.5“公章”系指单位法定名称章。</w:t>
      </w:r>
    </w:p>
    <w:p w14:paraId="547353F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 系指实质性要求条款，“★”系产品采购项目中单一产品或核心产品，“※”系指重要技术指标。</w:t>
      </w:r>
    </w:p>
    <w:p w14:paraId="6CDA8E07">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3采购项目需要落实的政府采购政策</w:t>
      </w:r>
    </w:p>
    <w:p w14:paraId="54858A1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6D7C2A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节能环保要求</w:t>
      </w:r>
    </w:p>
    <w:p w14:paraId="1E55844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3F6A1A9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本次采购对属于节能产品政府采购品目清单规定的政府强制采购产品范围内的产品实施强制采购。供应商应当在投标文件中提供国家确定的认证机构出具的、处于有效期之内的节能产品认证证书（复制件）。</w:t>
      </w:r>
    </w:p>
    <w:p w14:paraId="36DCB0D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对属于品目清单范围但不属于政府强制采购产品的，实施优先采购，具体按评审办法。供应商在投标文件中提供国家确定的认证机构出具的、处于有效期之内的节能产品或环境标志产品认证证书（复制件）。</w:t>
      </w:r>
    </w:p>
    <w:p w14:paraId="00A66B4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14:paraId="6F745B90">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4询问、质疑、投诉</w:t>
      </w:r>
    </w:p>
    <w:p w14:paraId="267CFA88">
      <w:pPr>
        <w:autoSpaceDE w:val="0"/>
        <w:autoSpaceDN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4.1供应商询问</w:t>
      </w:r>
    </w:p>
    <w:p w14:paraId="5A8C7E4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D747D8C">
      <w:pPr>
        <w:autoSpaceDE w:val="0"/>
        <w:autoSpaceDN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5E16516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kern w:val="0"/>
          <w:sz w:val="24"/>
          <w:szCs w:val="24"/>
          <w:highlight w:val="none"/>
        </w:rPr>
        <w:t>.1提出质疑的供应商应当是参与所质疑项目采购活动的供应商。潜在供应商已依法获取其可质疑的招标文件的，可以对该文件提出质疑。</w:t>
      </w:r>
    </w:p>
    <w:p w14:paraId="012252D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kern w:val="0"/>
          <w:sz w:val="24"/>
          <w:szCs w:val="24"/>
          <w:highlight w:val="none"/>
        </w:rPr>
        <w:t>.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789FCF9D">
      <w:pPr>
        <w:widowControl/>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由采购人负责答复；对招标文件中其他内容提出的质疑，由采购代理机构负责答复。</w:t>
      </w:r>
    </w:p>
    <w:p w14:paraId="7588D1E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代理机构负责答复。</w:t>
      </w:r>
    </w:p>
    <w:p w14:paraId="1FA61CE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（3）对采购结果提出质疑的，质疑期限自采购结果公告期限届满之日起计算。对采购结果提出质疑的，采购代理机构负责答复。</w:t>
      </w:r>
    </w:p>
    <w:p w14:paraId="09964749">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kern w:val="0"/>
          <w:sz w:val="24"/>
          <w:szCs w:val="24"/>
          <w:highlight w:val="none"/>
        </w:rPr>
        <w:t>供应商提出质疑应当提交质疑函和必要的证明材料。质疑函应当包括下列内容：</w:t>
      </w:r>
    </w:p>
    <w:p w14:paraId="40367CC9">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4.2.3.1</w:t>
      </w:r>
      <w:r>
        <w:rPr>
          <w:rFonts w:hint="eastAsia" w:ascii="宋体" w:hAnsi="宋体" w:eastAsia="宋体" w:cs="宋体"/>
          <w:color w:val="auto"/>
          <w:kern w:val="0"/>
          <w:sz w:val="24"/>
          <w:szCs w:val="24"/>
          <w:highlight w:val="none"/>
        </w:rPr>
        <w:t>供应商的姓名或者名称、地址、邮编、联系人及联系电话；</w:t>
      </w:r>
    </w:p>
    <w:p w14:paraId="7349F61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4.2.3.2</w:t>
      </w:r>
      <w:r>
        <w:rPr>
          <w:rFonts w:hint="eastAsia" w:ascii="宋体" w:hAnsi="宋体" w:eastAsia="宋体" w:cs="宋体"/>
          <w:color w:val="auto"/>
          <w:kern w:val="0"/>
          <w:sz w:val="24"/>
          <w:szCs w:val="24"/>
          <w:highlight w:val="none"/>
        </w:rPr>
        <w:t>质疑项目的名称、编号；</w:t>
      </w:r>
    </w:p>
    <w:p w14:paraId="039912F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4.2.3.3</w:t>
      </w:r>
      <w:r>
        <w:rPr>
          <w:rFonts w:hint="eastAsia" w:ascii="宋体" w:hAnsi="宋体" w:eastAsia="宋体" w:cs="宋体"/>
          <w:color w:val="auto"/>
          <w:kern w:val="0"/>
          <w:sz w:val="24"/>
          <w:szCs w:val="24"/>
          <w:highlight w:val="none"/>
        </w:rPr>
        <w:t>具体、明确的质疑事项和与质疑事项相关的请求；</w:t>
      </w:r>
    </w:p>
    <w:p w14:paraId="0DA0625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4.2.3.4</w:t>
      </w:r>
      <w:r>
        <w:rPr>
          <w:rFonts w:hint="eastAsia" w:ascii="宋体" w:hAnsi="宋体" w:eastAsia="宋体" w:cs="宋体"/>
          <w:color w:val="auto"/>
          <w:kern w:val="0"/>
          <w:sz w:val="24"/>
          <w:szCs w:val="24"/>
          <w:highlight w:val="none"/>
        </w:rPr>
        <w:t>事实依据；</w:t>
      </w:r>
    </w:p>
    <w:p w14:paraId="30472839">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4.2.3.5</w:t>
      </w:r>
      <w:r>
        <w:rPr>
          <w:rFonts w:hint="eastAsia" w:ascii="宋体" w:hAnsi="宋体" w:eastAsia="宋体" w:cs="宋体"/>
          <w:color w:val="auto"/>
          <w:kern w:val="0"/>
          <w:sz w:val="24"/>
          <w:szCs w:val="24"/>
          <w:highlight w:val="none"/>
        </w:rPr>
        <w:t>必要的法律依据；</w:t>
      </w:r>
    </w:p>
    <w:p w14:paraId="3883EBB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4.2.3.6</w:t>
      </w:r>
      <w:r>
        <w:rPr>
          <w:rFonts w:hint="eastAsia" w:ascii="宋体" w:hAnsi="宋体" w:eastAsia="宋体" w:cs="宋体"/>
          <w:color w:val="auto"/>
          <w:kern w:val="0"/>
          <w:sz w:val="24"/>
          <w:szCs w:val="24"/>
          <w:highlight w:val="none"/>
        </w:rPr>
        <w:t>提出质疑的日期。</w:t>
      </w:r>
    </w:p>
    <w:p w14:paraId="174153B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供应商提交的质疑函需一式三份。供应商为自然人的，应当由本人签字；供应商为法人或者其他组织的，应当由法定代表人、主要负责人，或者其授权代表签字或者盖章，并电子签章。</w:t>
      </w:r>
    </w:p>
    <w:p w14:paraId="201CBAFE">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质疑函范本及制作说明详见附件2。</w:t>
      </w:r>
    </w:p>
    <w:p w14:paraId="2728B10B">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kern w:val="0"/>
          <w:sz w:val="24"/>
          <w:szCs w:val="24"/>
          <w:highlight w:val="none"/>
        </w:rPr>
        <w:t>.4采购人或者采购代理机构应当在收到供应商的书面质疑后</w:t>
      </w:r>
      <w:r>
        <w:rPr>
          <w:rFonts w:hint="eastAsia" w:ascii="宋体" w:hAnsi="宋体" w:eastAsia="宋体" w:cs="宋体"/>
          <w:b/>
          <w:bCs/>
          <w:color w:val="auto"/>
          <w:kern w:val="0"/>
          <w:sz w:val="24"/>
          <w:szCs w:val="24"/>
          <w:highlight w:val="none"/>
        </w:rPr>
        <w:t>三个工作日</w:t>
      </w:r>
      <w:r>
        <w:rPr>
          <w:rFonts w:hint="eastAsia" w:ascii="宋体" w:hAnsi="宋体" w:eastAsia="宋体" w:cs="宋体"/>
          <w:color w:val="auto"/>
          <w:kern w:val="0"/>
          <w:sz w:val="24"/>
          <w:szCs w:val="24"/>
          <w:highlight w:val="none"/>
        </w:rPr>
        <w:t>内作出答复，并以书面形式通知质疑供应商和其他与质疑处理结果有利害关系的政府采购当事人，</w:t>
      </w:r>
      <w:r>
        <w:rPr>
          <w:rFonts w:hint="eastAsia" w:ascii="宋体" w:hAnsi="宋体" w:eastAsia="宋体" w:cs="宋体"/>
          <w:b/>
          <w:bCs/>
          <w:color w:val="auto"/>
          <w:kern w:val="0"/>
          <w:sz w:val="24"/>
          <w:szCs w:val="24"/>
          <w:highlight w:val="none"/>
        </w:rPr>
        <w:t>质疑答复在浙江政府采购网公开。质疑答复公告时，如对招标文件质疑的，不公布质疑单位名称。涉及国家秘密、个人隐私、商业秘密以及法律法规规定应予保密的信息不公开。</w:t>
      </w:r>
    </w:p>
    <w:p w14:paraId="193C5339">
      <w:pPr>
        <w:widowControl/>
        <w:shd w:val="clear" w:color="auto" w:fill="FFFFFF"/>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kern w:val="0"/>
          <w:sz w:val="24"/>
          <w:szCs w:val="24"/>
          <w:highlight w:val="none"/>
        </w:rPr>
        <w:t>.5询问或者质疑事项可能影响采购结果的，采购人应当暂停签订合同，已经签订合同的，应当中止履行合同。</w:t>
      </w:r>
    </w:p>
    <w:p w14:paraId="1950993C">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4.3供应商投诉</w:t>
      </w:r>
    </w:p>
    <w:p w14:paraId="501FFF64">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14:paraId="29408713">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4.3.2供应商投诉的事项不得超出已质疑事项的范围，基于质疑答复内容提出的投诉事项除外。</w:t>
      </w:r>
    </w:p>
    <w:p w14:paraId="2BA2582D">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4.3.3供应商投诉应当有明确的请求和必要的证明材料。</w:t>
      </w:r>
    </w:p>
    <w:p w14:paraId="3BD5BBB0">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4.3.5 以联合体形式参加政府采购活动的，其投诉应当由组成联合体的所有供应商共同提出。</w:t>
      </w:r>
    </w:p>
    <w:p w14:paraId="1819AEAE">
      <w:pPr>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投诉书范本及制作说明详见附件3。</w:t>
      </w:r>
    </w:p>
    <w:p w14:paraId="5236F0A5">
      <w:pPr>
        <w:spacing w:line="360" w:lineRule="auto"/>
        <w:ind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二、招标文件的构成、澄清、修改</w:t>
      </w:r>
    </w:p>
    <w:p w14:paraId="2226CEA4">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5招标文件的构成</w:t>
      </w:r>
    </w:p>
    <w:p w14:paraId="0AC68F1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招标文件包括下列文件及附件</w:t>
      </w:r>
    </w:p>
    <w:p w14:paraId="5271D94C">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框架协议采购公告</w:t>
      </w:r>
    </w:p>
    <w:p w14:paraId="152F214C">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框架协议采购需求</w:t>
      </w:r>
    </w:p>
    <w:p w14:paraId="52A25698">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 供应商须知</w:t>
      </w:r>
    </w:p>
    <w:p w14:paraId="4A47A9CB">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第四部分 评标办法及标准</w:t>
      </w:r>
    </w:p>
    <w:p w14:paraId="5158D3C8">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 框架协议主要条款</w:t>
      </w:r>
    </w:p>
    <w:p w14:paraId="0960DAF5">
      <w:pPr>
        <w:numPr>
          <w:ilvl w:val="0"/>
          <w:numId w:val="4"/>
        </w:numPr>
        <w:spacing w:line="360" w:lineRule="auto"/>
        <w:ind w:left="416" w:leftChars="198" w:firstLine="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第六部分 响应文件格式</w:t>
      </w:r>
    </w:p>
    <w:p w14:paraId="410B0F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5.2与本项目有关的澄清或者修改的内容为招标文件的组成部分。</w:t>
      </w:r>
    </w:p>
    <w:p w14:paraId="0B55D7B5">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6招标文件的澄清、修改</w:t>
      </w:r>
    </w:p>
    <w:p w14:paraId="3A9018A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供应商，若有问题需要澄清，应于投标截止时间前，以书面形式向采购代理机构提出，采购代理机构与采购人研究后，对认为有必要回答的问题，将以书面解答形式通知所有招标文件收受人。</w:t>
      </w:r>
    </w:p>
    <w:p w14:paraId="093A6E5A">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6.2采购代理机构如对已发出的招标文件进行必要澄清或者修改的，将在发布框架协议采购公告的网站上发布更正公告，同时视情况延长投标截止时间和开标时间。该澄清或者修改的内容为招标文件的组成部分。</w:t>
      </w:r>
    </w:p>
    <w:p w14:paraId="414EF565">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▲投标文件未按招标文件的澄清、修改的内容编制，不符合实质性要求的，投标无效。</w:t>
      </w:r>
    </w:p>
    <w:p w14:paraId="462A60BF">
      <w:pPr>
        <w:spacing w:line="360" w:lineRule="auto"/>
        <w:ind w:firstLine="643" w:firstLineChars="200"/>
        <w:jc w:val="center"/>
        <w:outlineLvl w:val="1"/>
        <w:rPr>
          <w:rFonts w:ascii="宋体" w:hAnsi="宋体" w:eastAsia="宋体" w:cs="宋体"/>
          <w:b/>
          <w:bCs/>
          <w:color w:val="auto"/>
          <w:sz w:val="32"/>
          <w:szCs w:val="32"/>
          <w:highlight w:val="none"/>
        </w:rPr>
      </w:pPr>
      <w:bookmarkStart w:id="48" w:name="_Hlt75236011"/>
      <w:bookmarkEnd w:id="48"/>
      <w:bookmarkStart w:id="49" w:name="_Toc91899884"/>
      <w:r>
        <w:rPr>
          <w:rFonts w:hint="eastAsia" w:ascii="宋体" w:hAnsi="宋体" w:eastAsia="宋体" w:cs="宋体"/>
          <w:b/>
          <w:bCs/>
          <w:color w:val="auto"/>
          <w:sz w:val="32"/>
          <w:szCs w:val="32"/>
          <w:highlight w:val="none"/>
        </w:rPr>
        <w:t>三、投标</w:t>
      </w:r>
    </w:p>
    <w:p w14:paraId="758AEFA4">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7招标文件的获取</w:t>
      </w:r>
    </w:p>
    <w:p w14:paraId="41AD9348">
      <w:pPr>
        <w:spacing w:line="360" w:lineRule="auto"/>
        <w:ind w:firstLine="480" w:firstLineChars="200"/>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框架协议采购公告中获取招标文件。</w:t>
      </w:r>
    </w:p>
    <w:p w14:paraId="700DE746">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8开标前答疑会或现场考察</w:t>
      </w:r>
    </w:p>
    <w:p w14:paraId="72822F0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宋体" w:hAnsi="宋体" w:eastAsia="宋体" w:cs="宋体"/>
          <w:b/>
          <w:bCs/>
          <w:color w:val="auto"/>
          <w:kern w:val="0"/>
          <w:sz w:val="24"/>
          <w:szCs w:val="24"/>
          <w:highlight w:val="none"/>
        </w:rPr>
        <w:t>采购人不单独或分别组织只有一个供应商参加的现场考察和答疑会。</w:t>
      </w:r>
    </w:p>
    <w:p w14:paraId="00EF2ACA">
      <w:pPr>
        <w:spacing w:line="360" w:lineRule="auto"/>
        <w:ind w:firstLine="482" w:firstLineChars="200"/>
        <w:rPr>
          <w:rFonts w:ascii="宋体" w:hAnsi="宋体" w:eastAsia="宋体" w:cs="宋体"/>
          <w:b/>
          <w:bCs/>
          <w:color w:val="auto"/>
          <w:kern w:val="0"/>
          <w:sz w:val="20"/>
          <w:szCs w:val="21"/>
          <w:highlight w:val="none"/>
        </w:rPr>
      </w:pPr>
      <w:r>
        <w:rPr>
          <w:rFonts w:hint="eastAsia" w:ascii="宋体" w:hAnsi="宋体" w:eastAsia="宋体" w:cs="宋体"/>
          <w:b/>
          <w:bCs/>
          <w:color w:val="auto"/>
          <w:kern w:val="28"/>
          <w:sz w:val="24"/>
          <w:szCs w:val="24"/>
          <w:highlight w:val="none"/>
        </w:rPr>
        <w:t>9投标保证金</w:t>
      </w:r>
    </w:p>
    <w:p w14:paraId="25E0C09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本项目不需要交纳投标保证金。</w:t>
      </w:r>
    </w:p>
    <w:p w14:paraId="34E75450">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10投标文件的语言</w:t>
      </w:r>
    </w:p>
    <w:p w14:paraId="7A9E95E2">
      <w:pPr>
        <w:autoSpaceDE w:val="0"/>
        <w:autoSpaceDN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投标文件及供应商与采购有关的来往通知、函件和文件均应使用中文。</w:t>
      </w:r>
    </w:p>
    <w:p w14:paraId="082F464E">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11投标文件的组成</w:t>
      </w:r>
    </w:p>
    <w:p w14:paraId="4A949F12">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投标文件应当包括以下主要内容：</w:t>
      </w:r>
      <w:r>
        <w:rPr>
          <w:rFonts w:hint="eastAsia" w:ascii="宋体" w:hAnsi="宋体" w:eastAsia="宋体" w:cs="宋体"/>
          <w:b/>
          <w:bCs/>
          <w:color w:val="auto"/>
          <w:kern w:val="0"/>
          <w:sz w:val="24"/>
          <w:szCs w:val="24"/>
          <w:highlight w:val="none"/>
        </w:rPr>
        <w:t>资格文件、报价文件、商务技术文件</w:t>
      </w:r>
      <w:r>
        <w:rPr>
          <w:rFonts w:hint="eastAsia" w:ascii="宋体" w:hAnsi="宋体" w:eastAsia="宋体" w:cs="宋体"/>
          <w:color w:val="auto"/>
          <w:kern w:val="0"/>
          <w:sz w:val="24"/>
          <w:szCs w:val="24"/>
          <w:highlight w:val="none"/>
        </w:rPr>
        <w:t>。投标文件应当对招标文件提出的要求和条件作出明确响应。</w:t>
      </w:r>
    </w:p>
    <w:p w14:paraId="75F65C8E">
      <w:pPr>
        <w:snapToGrid w:val="0"/>
        <w:spacing w:line="360" w:lineRule="auto"/>
        <w:ind w:firstLine="480" w:firstLineChars="200"/>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bCs/>
          <w:color w:val="auto"/>
          <w:sz w:val="24"/>
          <w:szCs w:val="24"/>
          <w:highlight w:val="none"/>
        </w:rPr>
        <w:t>资格文件</w:t>
      </w:r>
      <w:r>
        <w:rPr>
          <w:rFonts w:hint="eastAsia" w:ascii="宋体" w:hAnsi="宋体" w:eastAsia="宋体" w:cs="宋体"/>
          <w:color w:val="auto"/>
          <w:sz w:val="24"/>
          <w:szCs w:val="24"/>
          <w:highlight w:val="none"/>
        </w:rPr>
        <w:t>应包括以下内容</w:t>
      </w:r>
      <w:r>
        <w:rPr>
          <w:rFonts w:hint="eastAsia" w:ascii="宋体" w:hAnsi="宋体" w:eastAsia="宋体" w:cs="宋体"/>
          <w:b/>
          <w:bCs/>
          <w:color w:val="auto"/>
          <w:sz w:val="24"/>
          <w:szCs w:val="24"/>
          <w:highlight w:val="none"/>
        </w:rPr>
        <w:t>（要求签章的需CA签章或电子签章扫描件上传）</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证明其符合《中华人民共和国政府采购法》规定的供应商基本条件和采购项目对供应商的特定条件</w:t>
      </w:r>
      <w:r>
        <w:rPr>
          <w:rFonts w:hint="eastAsia" w:ascii="宋体" w:hAnsi="宋体" w:eastAsia="宋体" w:cs="宋体"/>
          <w:color w:val="auto"/>
          <w:sz w:val="24"/>
          <w:szCs w:val="24"/>
          <w:highlight w:val="none"/>
        </w:rPr>
        <w:t>（如果项目要求）</w:t>
      </w:r>
      <w:r>
        <w:rPr>
          <w:rFonts w:hint="eastAsia" w:ascii="宋体" w:hAnsi="宋体" w:eastAsia="宋体" w:cs="宋体"/>
          <w:color w:val="auto"/>
          <w:kern w:val="0"/>
          <w:sz w:val="24"/>
          <w:szCs w:val="24"/>
          <w:highlight w:val="none"/>
        </w:rPr>
        <w:t>的有关资格证明文件。</w:t>
      </w:r>
      <w:r>
        <w:rPr>
          <w:rFonts w:hint="eastAsia" w:ascii="宋体" w:hAnsi="宋体" w:eastAsia="宋体" w:cs="宋体"/>
          <w:b/>
          <w:bCs/>
          <w:color w:val="auto"/>
          <w:kern w:val="0"/>
          <w:sz w:val="24"/>
          <w:szCs w:val="24"/>
          <w:highlight w:val="none"/>
        </w:rPr>
        <w:t>（以联合体形式进行政府采购的，参加联合体的供应商均应当提供）</w:t>
      </w:r>
    </w:p>
    <w:p w14:paraId="33F26961">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11.1.1符合参加政府采购活动应当具备的一般条件的承诺函</w:t>
      </w:r>
    </w:p>
    <w:p w14:paraId="77581BD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或事业法人登记证或其他工商等登记证明材料)扫描件（供应商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w:t>
      </w:r>
    </w:p>
    <w:p w14:paraId="17643BE6">
      <w:pPr>
        <w:snapToGrid w:val="0"/>
        <w:spacing w:line="360" w:lineRule="auto"/>
        <w:ind w:firstLine="482" w:firstLineChars="20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11.1.2</w:t>
      </w:r>
      <w:r>
        <w:rPr>
          <w:rFonts w:hint="eastAsia" w:ascii="宋体" w:hAnsi="宋体" w:eastAsia="宋体" w:cs="宋体"/>
          <w:b/>
          <w:bCs/>
          <w:color w:val="auto"/>
          <w:kern w:val="0"/>
          <w:sz w:val="24"/>
          <w:szCs w:val="24"/>
          <w:highlight w:val="none"/>
          <w:lang w:val="en-US" w:eastAsia="zh-CN"/>
        </w:rPr>
        <w:t>中小企业声明函</w:t>
      </w:r>
    </w:p>
    <w:p w14:paraId="049274AA">
      <w:pPr>
        <w:snapToGrid w:val="0"/>
        <w:spacing w:line="360" w:lineRule="auto"/>
        <w:ind w:firstLine="480" w:firstLineChars="200"/>
        <w:rPr>
          <w:rFonts w:ascii="宋体" w:hAnsi="宋体" w:eastAsia="宋体" w:cs="宋体"/>
          <w:color w:val="auto"/>
          <w:sz w:val="24"/>
          <w:szCs w:val="24"/>
          <w:highlight w:val="none"/>
          <w:u w:val="single"/>
          <w:lang w:val="zh-CN"/>
        </w:rPr>
      </w:pPr>
      <w:bookmarkStart w:id="476" w:name="_GoBack"/>
      <w:bookmarkEnd w:id="476"/>
      <w:r>
        <w:rPr>
          <w:rFonts w:hint="eastAsia" w:ascii="宋体" w:hAnsi="宋体" w:eastAsia="宋体" w:cs="宋体"/>
          <w:color w:val="auto"/>
          <w:kern w:val="0"/>
          <w:sz w:val="24"/>
          <w:szCs w:val="24"/>
          <w:highlight w:val="none"/>
          <w:lang w:val="zh-CN"/>
        </w:rPr>
        <w:t xml:space="preserve">11.2 </w:t>
      </w:r>
      <w:r>
        <w:rPr>
          <w:rFonts w:hint="eastAsia" w:ascii="宋体" w:hAnsi="宋体" w:eastAsia="宋体" w:cs="宋体"/>
          <w:color w:val="auto"/>
          <w:sz w:val="24"/>
          <w:szCs w:val="24"/>
          <w:highlight w:val="none"/>
        </w:rPr>
        <w:t>供应商的</w:t>
      </w:r>
      <w:r>
        <w:rPr>
          <w:rFonts w:hint="eastAsia" w:ascii="宋体" w:hAnsi="宋体" w:eastAsia="宋体" w:cs="宋体"/>
          <w:b/>
          <w:bCs/>
          <w:color w:val="auto"/>
          <w:sz w:val="24"/>
          <w:szCs w:val="24"/>
          <w:highlight w:val="none"/>
        </w:rPr>
        <w:t>报价文件</w:t>
      </w:r>
      <w:r>
        <w:rPr>
          <w:rFonts w:hint="eastAsia" w:ascii="宋体" w:hAnsi="宋体" w:eastAsia="宋体" w:cs="宋体"/>
          <w:color w:val="auto"/>
          <w:sz w:val="24"/>
          <w:szCs w:val="24"/>
          <w:highlight w:val="none"/>
        </w:rPr>
        <w:t>应包括以下内容</w:t>
      </w:r>
      <w:r>
        <w:rPr>
          <w:rFonts w:hint="eastAsia" w:ascii="宋体" w:hAnsi="宋体" w:eastAsia="宋体" w:cs="宋体"/>
          <w:b/>
          <w:bCs/>
          <w:color w:val="auto"/>
          <w:sz w:val="24"/>
          <w:szCs w:val="24"/>
          <w:highlight w:val="none"/>
        </w:rPr>
        <w:t>（要求签章的需CA签章或电子签章扫描件上传）</w:t>
      </w:r>
      <w:r>
        <w:rPr>
          <w:rFonts w:hint="eastAsia" w:ascii="宋体" w:hAnsi="宋体" w:eastAsia="宋体" w:cs="宋体"/>
          <w:color w:val="auto"/>
          <w:sz w:val="24"/>
          <w:szCs w:val="24"/>
          <w:highlight w:val="none"/>
        </w:rPr>
        <w:t>：</w:t>
      </w:r>
    </w:p>
    <w:p w14:paraId="1AEA83ED">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11.2.1开标一</w:t>
      </w:r>
      <w:r>
        <w:rPr>
          <w:rFonts w:hint="eastAsia" w:ascii="宋体" w:hAnsi="宋体" w:eastAsia="宋体" w:cs="宋体"/>
          <w:color w:val="auto"/>
          <w:kern w:val="0"/>
          <w:sz w:val="24"/>
          <w:szCs w:val="24"/>
          <w:highlight w:val="none"/>
        </w:rPr>
        <w:t>览表；</w:t>
      </w:r>
    </w:p>
    <w:p w14:paraId="7E098904">
      <w:pPr>
        <w:snapToGrid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 xml:space="preserve">  供应商的</w:t>
      </w:r>
      <w:r>
        <w:rPr>
          <w:rFonts w:hint="eastAsia" w:ascii="宋体" w:hAnsi="宋体" w:eastAsia="宋体" w:cs="宋体"/>
          <w:color w:val="auto"/>
          <w:kern w:val="0"/>
          <w:sz w:val="24"/>
          <w:szCs w:val="24"/>
          <w:highlight w:val="none"/>
        </w:rPr>
        <w:t>商务</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kern w:val="0"/>
          <w:sz w:val="24"/>
          <w:szCs w:val="24"/>
          <w:highlight w:val="none"/>
          <w:lang w:val="zh-CN"/>
        </w:rPr>
        <w:t>文件应</w:t>
      </w:r>
      <w:r>
        <w:rPr>
          <w:rFonts w:hint="eastAsia" w:ascii="宋体" w:hAnsi="宋体" w:eastAsia="宋体" w:cs="宋体"/>
          <w:color w:val="auto"/>
          <w:kern w:val="0"/>
          <w:sz w:val="24"/>
          <w:szCs w:val="24"/>
          <w:highlight w:val="none"/>
          <w:lang w:val="zh-CN"/>
        </w:rPr>
        <w:t>包括以下内容</w:t>
      </w:r>
      <w:r>
        <w:rPr>
          <w:rFonts w:hint="eastAsia" w:ascii="宋体" w:hAnsi="宋体" w:eastAsia="宋体" w:cs="宋体"/>
          <w:b/>
          <w:bCs/>
          <w:color w:val="auto"/>
          <w:sz w:val="24"/>
          <w:szCs w:val="24"/>
          <w:highlight w:val="none"/>
        </w:rPr>
        <w:t>（要求签章的需CA签章或电子签章扫描件上传）</w:t>
      </w:r>
      <w:r>
        <w:rPr>
          <w:rFonts w:hint="eastAsia" w:ascii="宋体" w:hAnsi="宋体" w:eastAsia="宋体" w:cs="宋体"/>
          <w:color w:val="auto"/>
          <w:kern w:val="0"/>
          <w:sz w:val="24"/>
          <w:szCs w:val="24"/>
          <w:highlight w:val="none"/>
          <w:lang w:val="zh-CN"/>
        </w:rPr>
        <w:t>：</w:t>
      </w:r>
    </w:p>
    <w:p w14:paraId="177A5023">
      <w:pPr>
        <w:snapToGrid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11.3.1</w:t>
      </w:r>
      <w:r>
        <w:rPr>
          <w:rFonts w:hint="eastAsia" w:ascii="宋体" w:hAnsi="宋体" w:eastAsia="宋体" w:cs="宋体"/>
          <w:color w:val="auto"/>
          <w:sz w:val="24"/>
          <w:szCs w:val="21"/>
          <w:highlight w:val="none"/>
        </w:rPr>
        <w:t>投标函</w:t>
      </w:r>
      <w:r>
        <w:rPr>
          <w:rFonts w:hint="eastAsia" w:ascii="宋体" w:hAnsi="宋体" w:eastAsia="宋体" w:cs="宋体"/>
          <w:color w:val="auto"/>
          <w:sz w:val="24"/>
          <w:szCs w:val="24"/>
          <w:highlight w:val="none"/>
          <w:lang w:val="zh-CN"/>
        </w:rPr>
        <w:t>；</w:t>
      </w:r>
    </w:p>
    <w:p w14:paraId="4471F32E">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1"/>
          <w:highlight w:val="none"/>
        </w:rPr>
        <w:t>授权委托书或法定代表人（单位负责人、自然人本人）身份证明</w:t>
      </w:r>
      <w:r>
        <w:rPr>
          <w:rFonts w:hint="eastAsia" w:ascii="宋体" w:hAnsi="宋体" w:eastAsia="宋体" w:cs="宋体"/>
          <w:color w:val="auto"/>
          <w:sz w:val="24"/>
          <w:szCs w:val="24"/>
          <w:highlight w:val="none"/>
        </w:rPr>
        <w:t>；</w:t>
      </w:r>
    </w:p>
    <w:p w14:paraId="7D68018C">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1"/>
          <w:highlight w:val="none"/>
        </w:rPr>
        <w:t>联合协议、分包协议（如果有）</w:t>
      </w:r>
    </w:p>
    <w:p w14:paraId="149FA19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本项目不接收联合体投标</w:t>
      </w:r>
    </w:p>
    <w:p w14:paraId="112EE4F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11.3.</w:t>
      </w: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1"/>
          <w:highlight w:val="none"/>
          <w:lang w:val="zh-CN"/>
        </w:rPr>
        <w:t>政府采购供应商廉洁自律承诺书</w:t>
      </w:r>
      <w:r>
        <w:rPr>
          <w:rFonts w:hint="eastAsia" w:ascii="宋体" w:hAnsi="宋体" w:eastAsia="宋体" w:cs="宋体"/>
          <w:color w:val="auto"/>
          <w:kern w:val="0"/>
          <w:sz w:val="24"/>
          <w:szCs w:val="24"/>
          <w:highlight w:val="none"/>
        </w:rPr>
        <w:t>；</w:t>
      </w:r>
    </w:p>
    <w:p w14:paraId="3E0BE724">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5商务技术偏离表</w:t>
      </w:r>
    </w:p>
    <w:p w14:paraId="60D67F04">
      <w:pPr>
        <w:snapToGrid w:val="0"/>
        <w:spacing w:line="360" w:lineRule="auto"/>
        <w:ind w:firstLine="480" w:firstLineChars="200"/>
        <w:rPr>
          <w:rFonts w:ascii="宋体" w:hAnsi="宋体" w:eastAsia="宋体" w:cs="宋体"/>
          <w:color w:val="auto"/>
          <w:sz w:val="24"/>
          <w:szCs w:val="21"/>
          <w:highlight w:val="none"/>
          <w:lang w:val="zh-CN"/>
        </w:rPr>
      </w:pPr>
      <w:r>
        <w:rPr>
          <w:rFonts w:hint="eastAsia" w:ascii="宋体" w:hAnsi="宋体" w:eastAsia="宋体" w:cs="宋体"/>
          <w:color w:val="auto"/>
          <w:kern w:val="0"/>
          <w:sz w:val="24"/>
          <w:szCs w:val="24"/>
          <w:highlight w:val="none"/>
        </w:rPr>
        <w:t>11.3.6</w:t>
      </w:r>
      <w:r>
        <w:rPr>
          <w:rFonts w:hint="eastAsia" w:ascii="宋体" w:hAnsi="宋体" w:eastAsia="宋体" w:cs="宋体"/>
          <w:color w:val="auto"/>
          <w:sz w:val="24"/>
          <w:szCs w:val="24"/>
          <w:highlight w:val="none"/>
        </w:rPr>
        <w:t>资信业绩及专业能力（客观）评标证</w:t>
      </w:r>
      <w:r>
        <w:rPr>
          <w:rFonts w:hint="eastAsia" w:ascii="宋体" w:hAnsi="宋体" w:eastAsia="宋体" w:cs="宋体"/>
          <w:color w:val="auto"/>
          <w:sz w:val="24"/>
          <w:szCs w:val="21"/>
          <w:highlight w:val="none"/>
        </w:rPr>
        <w:t>明材料：</w:t>
      </w:r>
      <w:r>
        <w:rPr>
          <w:rFonts w:hint="eastAsia" w:ascii="宋体" w:hAnsi="宋体" w:eastAsia="宋体" w:cs="宋体"/>
          <w:color w:val="auto"/>
          <w:sz w:val="24"/>
          <w:szCs w:val="21"/>
          <w:highlight w:val="none"/>
          <w:lang w:val="zh-CN"/>
        </w:rPr>
        <w:t>主要业绩证明（附证明材料扫描件）、认证证书扫描件、项目组成员情况表（附相关证书及缴纳社保凭证）；</w:t>
      </w:r>
    </w:p>
    <w:p w14:paraId="68CD826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7技术和服务方案资料：</w:t>
      </w:r>
      <w:r>
        <w:rPr>
          <w:rFonts w:hint="eastAsia" w:ascii="宋体" w:hAnsi="宋体" w:eastAsia="宋体" w:cs="宋体"/>
          <w:color w:val="auto"/>
          <w:sz w:val="24"/>
          <w:szCs w:val="24"/>
          <w:highlight w:val="none"/>
          <w:lang w:val="zh-CN"/>
        </w:rPr>
        <w:t>项目审核方案、</w:t>
      </w:r>
      <w:r>
        <w:rPr>
          <w:rFonts w:hint="eastAsia" w:ascii="宋体" w:hAnsi="宋体" w:eastAsia="宋体" w:cs="宋体"/>
          <w:color w:val="auto"/>
          <w:sz w:val="24"/>
          <w:szCs w:val="24"/>
          <w:highlight w:val="none"/>
        </w:rPr>
        <w:t>审计质量保证措施、应急预案、</w:t>
      </w:r>
      <w:r>
        <w:rPr>
          <w:rFonts w:hint="eastAsia" w:ascii="宋体" w:hAnsi="宋体" w:eastAsia="宋体" w:cs="宋体"/>
          <w:color w:val="auto"/>
          <w:kern w:val="0"/>
          <w:sz w:val="22"/>
          <w:szCs w:val="24"/>
          <w:highlight w:val="none"/>
        </w:rPr>
        <w:t>审核工作流程及各环节主要工作、服务团队人员安排、工作职责、工作界面、工作衔接、投标人的廉政措施、本地化服务能力、项目所在地政策处理措施、合理化建议</w:t>
      </w:r>
      <w:r>
        <w:rPr>
          <w:rFonts w:hint="eastAsia" w:ascii="宋体" w:hAnsi="宋体" w:eastAsia="宋体" w:cs="宋体"/>
          <w:color w:val="auto"/>
          <w:sz w:val="24"/>
          <w:szCs w:val="24"/>
          <w:highlight w:val="none"/>
          <w:lang w:val="zh-CN"/>
        </w:rPr>
        <w:t xml:space="preserve">； </w:t>
      </w:r>
    </w:p>
    <w:p w14:paraId="70DA0CDA">
      <w:pPr>
        <w:snapToGrid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供应商认为需要的其他技术文件或说明；</w:t>
      </w:r>
    </w:p>
    <w:p w14:paraId="260496B1">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▲投标文件含有采购人不能接受的附加条件的，投标无效；</w:t>
      </w:r>
    </w:p>
    <w:p w14:paraId="786F0B95">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▲供应商提供虚假材料投标的，投标无效。</w:t>
      </w:r>
    </w:p>
    <w:p w14:paraId="2FD3F2C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商务及技术文件供应商结合评标细则编制，供应商认为需要增加或调整的由供应商自行增加或调整。</w:t>
      </w:r>
    </w:p>
    <w:p w14:paraId="2D58F1E4">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12投标文件的编制</w:t>
      </w:r>
    </w:p>
    <w:p w14:paraId="75E5EADE">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投标文件为电子投标文件。按“政采云供应商项目采购-电子招投标操作指南”及本招标文件要求制作、加密并递交。</w:t>
      </w:r>
    </w:p>
    <w:p w14:paraId="6719183D">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13投标文件的签署、盖章</w:t>
      </w:r>
    </w:p>
    <w:p w14:paraId="1BCD2B37">
      <w:pPr>
        <w:snapToGrid w:val="0"/>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投标文件按照招标文件第六部分格式要求进行签署、CA签章。</w:t>
      </w:r>
    </w:p>
    <w:p w14:paraId="0963EED8">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14投标文件的提交</w:t>
      </w:r>
    </w:p>
    <w:p w14:paraId="5EC3FFE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应按“框架协议采购公告”规定的时间、方式将投标文件提交给采购代理机构，采购代理机构将拒绝接受逾期送达的投标文件。目前政府采购全流程电子化交易，供应商应准备电子投标文件。电子投标文件按政采云平台项目采购-电子招投标操作指南及本招标文件要求递交。</w:t>
      </w:r>
    </w:p>
    <w:p w14:paraId="05DA7B7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14.2采购代理机构可以视情况延长投标文件提交的截止时间。在上述情况下，采购代理机构与供应商以前在投标截止期方面的全部权利、责任和义务，将适用于延长至新的投标截止期。</w:t>
      </w:r>
    </w:p>
    <w:p w14:paraId="62399408">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15投标文件的补充、修改、撤回</w:t>
      </w:r>
    </w:p>
    <w:p w14:paraId="6C8B9267">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B78CF2B">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16投标文件的无效处理</w:t>
      </w:r>
    </w:p>
    <w:p w14:paraId="4C47CA56">
      <w:pPr>
        <w:spacing w:line="360" w:lineRule="auto"/>
        <w:ind w:firstLine="400" w:firstLineChars="20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有招标文件第四部分第13项规定的情形之一或招标文件中带“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0"/>
          <w:szCs w:val="21"/>
          <w:highlight w:val="none"/>
        </w:rPr>
        <w:t>”情形的，投标无效：</w:t>
      </w:r>
    </w:p>
    <w:p w14:paraId="58BDC0C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17投标有效期</w:t>
      </w:r>
    </w:p>
    <w:p w14:paraId="1AC30F41">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bCs/>
          <w:color w:val="auto"/>
          <w:sz w:val="24"/>
          <w:szCs w:val="24"/>
          <w:highlight w:val="none"/>
        </w:rPr>
        <w:t>供应商的投标文件中承诺的投标有效期少于招标文件中载明的投标有效期的，投标无效。</w:t>
      </w:r>
    </w:p>
    <w:p w14:paraId="5E26D50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0667DCA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6D68A024">
      <w:pPr>
        <w:spacing w:line="360" w:lineRule="auto"/>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四、开评标程序</w:t>
      </w:r>
    </w:p>
    <w:p w14:paraId="48862EFA">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18组织开标程序</w:t>
      </w:r>
    </w:p>
    <w:p w14:paraId="28F0E932">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招标方将按照招标文件规定的时间、地点和程序组织开标，各供应商无须参加现场开标会议，请自行登录政采云平台关注开标信息。</w:t>
      </w:r>
    </w:p>
    <w:p w14:paraId="7FCB7F97">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18.1.开标会由招标方主持，主持人介绍开标现场的人员情况，宣读递交投标文件的供应商名单、开标纪律、应当回避的情形等注意事项。</w:t>
      </w:r>
    </w:p>
    <w:p w14:paraId="5F008FE8">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18.2.电子招投标开标及评审程序</w:t>
      </w:r>
    </w:p>
    <w:p w14:paraId="4F947E0C">
      <w:pPr>
        <w:autoSpaceDE w:val="0"/>
        <w:autoSpaceDN w:val="0"/>
        <w:adjustRightIn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18.2.1投标截止时间后，供应商登录政采云平台，用“项目采购-开标评标”功能对电子投标文件进行在线解密。在线解密电子投标文件时间为开标时间30分钟内。</w:t>
      </w:r>
    </w:p>
    <w:p w14:paraId="5C8E93F2">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18.2.2采购人或代理机构对资格文件进行评审；</w:t>
      </w:r>
    </w:p>
    <w:p w14:paraId="22906A01">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18.2.3评标委员会对商务技术文件进行评审；</w:t>
      </w:r>
    </w:p>
    <w:p w14:paraId="7F569836">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18.2.4在系统上公开资格和商务技术评审结果；</w:t>
      </w:r>
    </w:p>
    <w:p w14:paraId="51259F8D">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18.2.5在系统上公开报价开标情况；</w:t>
      </w:r>
    </w:p>
    <w:p w14:paraId="5FA409C8">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18.2.6评标委员会对报价情况进行评审；</w:t>
      </w:r>
    </w:p>
    <w:p w14:paraId="6D8976BF">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18.2.7在系统上公布评审结果。</w:t>
      </w:r>
    </w:p>
    <w:p w14:paraId="47A0957C">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18.3.特别说明：</w:t>
      </w:r>
    </w:p>
    <w:p w14:paraId="727D4E90">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18.3.1政采云公司如对电子化开标及评审程序有调整的，按调整后的程序操作。</w:t>
      </w:r>
    </w:p>
    <w:p w14:paraId="32E01A1C">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18.3.2目前政府采购全流程电子化交易，供应商须在规定时间内自行解密。投标单位开标记录表网上签字时间为10分钟，逾期未签视为投标单位认同开标结果。</w:t>
      </w:r>
    </w:p>
    <w:p w14:paraId="02A87C62">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18.3.3本项目原则上采用政采云电子招投标开标及评审程序，但有下情形之一的，按以下情况处理：</w:t>
      </w:r>
    </w:p>
    <w:p w14:paraId="5558B662">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18.3.3.1若个别供应商在规定时间内无法解密或解密失败的作无效投标处理（投标供应商递交了备份投标文件的，以备份投标文件为依据，否则视为投标文件撤回。通过“政采云平台”上传递交的“电子加密投标文件”已按时解密的，“备份投标文件”自动失效。投标供应商仅递交备份投标文件的，投标无效）。解密成功的供应商不足三家的，本项目流标重新组织采购活动。</w:t>
      </w:r>
    </w:p>
    <w:p w14:paraId="55DB6B03">
      <w:pPr>
        <w:autoSpaceDE w:val="0"/>
        <w:autoSpaceDN w:val="0"/>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18.3.3.2若因政采云平台原因无法读取或电子开评标无法正常进行，代理机构将情况上报行业监管部门同意后，重新组织采购活动。</w:t>
      </w:r>
    </w:p>
    <w:p w14:paraId="299BB00C">
      <w:pPr>
        <w:snapToGrid w:val="0"/>
        <w:spacing w:line="360" w:lineRule="auto"/>
        <w:ind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五、评标</w:t>
      </w:r>
    </w:p>
    <w:p w14:paraId="2608363C">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评标委员会将根据招标文件和有关规定，履行评标工作职责，并按照评标方法及评分标准，全面衡量各供应商对招标文件的响应情况。对实质上响应招标文件的供应商，按照</w:t>
      </w:r>
      <w:r>
        <w:rPr>
          <w:rFonts w:hint="eastAsia" w:ascii="宋体" w:hAnsi="宋体" w:eastAsia="宋体" w:cs="宋体"/>
          <w:b/>
          <w:bCs/>
          <w:color w:val="auto"/>
          <w:sz w:val="24"/>
          <w:szCs w:val="24"/>
          <w:highlight w:val="none"/>
        </w:rPr>
        <w:t>招标文件第四部分“评标方法及评分标准”顺序排列与入围推荐中规定的方法推荐入围单位。</w:t>
      </w:r>
    </w:p>
    <w:p w14:paraId="4E604293">
      <w:pPr>
        <w:snapToGrid w:val="0"/>
        <w:spacing w:line="360" w:lineRule="auto"/>
        <w:ind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六、电子交易活动的中止</w:t>
      </w:r>
    </w:p>
    <w:p w14:paraId="32914788">
      <w:pPr>
        <w:widowControl/>
        <w:shd w:val="clear" w:color="auto" w:fill="FFFFFF"/>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20电子交易活动的中止</w:t>
      </w:r>
    </w:p>
    <w:p w14:paraId="3A9AE803">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采购过程中出现以下情形，导致电子交易平台无法正常运行，或者无法保证电子交易的公平、公正和安全时，采购机构可中止电子交易活动：</w:t>
      </w:r>
    </w:p>
    <w:p w14:paraId="6721CC56">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20.1电子交易平台发生故障而无法登录访问的； </w:t>
      </w:r>
    </w:p>
    <w:p w14:paraId="753A3DDB">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20.2电子交易平台应用或数据库出现错误，不能进行正常操作的；</w:t>
      </w:r>
    </w:p>
    <w:p w14:paraId="56C51953">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20.3电子交易平台发现严重安全漏洞，有潜在泄密危险的；</w:t>
      </w:r>
    </w:p>
    <w:p w14:paraId="6D5B2997">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20.4病毒发作导致不能进行正常操作的； </w:t>
      </w:r>
    </w:p>
    <w:p w14:paraId="4F054A4F">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20.5其他无法保证电子交易的公平、公正和安全的情况。</w:t>
      </w:r>
    </w:p>
    <w:p w14:paraId="51812156">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720CD91">
      <w:pPr>
        <w:snapToGrid w:val="0"/>
        <w:spacing w:line="360" w:lineRule="auto"/>
        <w:ind w:firstLine="643" w:firstLineChars="200"/>
        <w:jc w:val="center"/>
        <w:outlineLvl w:val="1"/>
        <w:rPr>
          <w:rFonts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 xml:space="preserve">七、入 围    </w:t>
      </w:r>
    </w:p>
    <w:p w14:paraId="76A7B350">
      <w:pPr>
        <w:snapToGrid w:val="0"/>
        <w:spacing w:line="360" w:lineRule="auto"/>
        <w:ind w:firstLine="480" w:firstLineChars="200"/>
        <w:rPr>
          <w:rFonts w:ascii="宋体" w:hAnsi="宋体" w:eastAsia="宋体" w:cs="宋体"/>
          <w:b/>
          <w:bCs/>
          <w:color w:val="auto"/>
          <w:spacing w:val="-6"/>
          <w:sz w:val="24"/>
          <w:szCs w:val="24"/>
          <w:highlight w:val="none"/>
        </w:rPr>
      </w:pPr>
      <w:r>
        <w:rPr>
          <w:rFonts w:hint="eastAsia" w:ascii="宋体" w:hAnsi="宋体" w:eastAsia="宋体" w:cs="宋体"/>
          <w:color w:val="auto"/>
          <w:sz w:val="24"/>
          <w:szCs w:val="24"/>
          <w:highlight w:val="none"/>
        </w:rPr>
        <w:t>采购代理机构将自评审结束之日起2个工作日内将评审报告送交采购人。采购人将自</w:t>
      </w:r>
      <w:r>
        <w:rPr>
          <w:rFonts w:hint="eastAsia" w:ascii="宋体" w:hAnsi="宋体" w:eastAsia="宋体" w:cs="宋体"/>
          <w:color w:val="auto"/>
          <w:spacing w:val="-6"/>
          <w:sz w:val="24"/>
          <w:szCs w:val="24"/>
          <w:highlight w:val="none"/>
        </w:rPr>
        <w:t>收到评审报告之日起5个工作日内按照评审报告推荐顺序确定入围供应商。</w:t>
      </w:r>
    </w:p>
    <w:p w14:paraId="4839B4FE">
      <w:pPr>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21入围通知与入围结果公告</w:t>
      </w:r>
    </w:p>
    <w:p w14:paraId="5ED5AE47">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21.1采购代理机构将在自中标人确定之日起2个工作日内，在发布框架协议采购公告的网站上公告入围结果,同时向入围供应商发出入围通知书。</w:t>
      </w:r>
    </w:p>
    <w:p w14:paraId="06C8E6FB">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入围结果公告内容包括采购人及其委托的采购代理机构的名称、地址、联系方式，项目名称和项目编号，入围供应商名称、地址和协议费率，主要入围标的的名称、规格型号、数量、单价、服务要求，入围公告期限以及评审专家名单。</w:t>
      </w:r>
    </w:p>
    <w:p w14:paraId="5C3E9C76">
      <w:pPr>
        <w:widowControl/>
        <w:shd w:val="clear" w:color="auto" w:fill="FFFFFF"/>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21.3入围公告期限为1个工作日。</w:t>
      </w:r>
    </w:p>
    <w:p w14:paraId="16AA8732">
      <w:pPr>
        <w:snapToGrid w:val="0"/>
        <w:spacing w:line="360" w:lineRule="auto"/>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八、框架协议签订</w:t>
      </w:r>
    </w:p>
    <w:p w14:paraId="6CDFB5DD">
      <w:pPr>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22</w:t>
      </w:r>
      <w:r>
        <w:rPr>
          <w:rFonts w:hint="eastAsia" w:ascii="宋体" w:hAnsi="宋体" w:eastAsia="宋体" w:cs="Times New Roman"/>
          <w:color w:val="auto"/>
          <w:kern w:val="0"/>
          <w:sz w:val="24"/>
          <w:szCs w:val="24"/>
          <w:highlight w:val="none"/>
        </w:rPr>
        <w:t>合同主要条款详见第五部分拟签订的</w:t>
      </w:r>
      <w:r>
        <w:rPr>
          <w:rFonts w:hint="eastAsia" w:ascii="宋体" w:hAnsi="宋体" w:eastAsia="宋体" w:cs="Times New Roman"/>
          <w:b/>
          <w:bCs/>
          <w:color w:val="auto"/>
          <w:kern w:val="0"/>
          <w:sz w:val="24"/>
          <w:szCs w:val="24"/>
          <w:highlight w:val="none"/>
        </w:rPr>
        <w:t>框架协议</w:t>
      </w:r>
      <w:r>
        <w:rPr>
          <w:rFonts w:hint="eastAsia" w:ascii="宋体" w:hAnsi="宋体" w:eastAsia="宋体" w:cs="Times New Roman"/>
          <w:color w:val="auto"/>
          <w:kern w:val="0"/>
          <w:sz w:val="24"/>
          <w:szCs w:val="24"/>
          <w:highlight w:val="none"/>
        </w:rPr>
        <w:t>文本。</w:t>
      </w:r>
    </w:p>
    <w:p w14:paraId="21B801B1">
      <w:pPr>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23框架协议的签订</w:t>
      </w:r>
    </w:p>
    <w:p w14:paraId="7D104286">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kern w:val="0"/>
          <w:sz w:val="24"/>
          <w:szCs w:val="24"/>
          <w:highlight w:val="none"/>
        </w:rPr>
        <w:t xml:space="preserve"> 采购人与入围供应商应当在入围通知书通知书发出之日起三十日内，按照招标文件确定的事项签订政府采购</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kern w:val="0"/>
          <w:sz w:val="24"/>
          <w:szCs w:val="24"/>
          <w:highlight w:val="none"/>
        </w:rPr>
        <w:t>。</w:t>
      </w:r>
    </w:p>
    <w:p w14:paraId="6A869580">
      <w:pPr>
        <w:widowControl/>
        <w:shd w:val="clear" w:color="auto" w:fill="FFFFFF"/>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采购人应当自政府采购</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sz w:val="24"/>
          <w:szCs w:val="24"/>
          <w:highlight w:val="none"/>
          <w:shd w:val="clear" w:color="auto" w:fill="FFFFFF"/>
        </w:rPr>
        <w:t>签订之日起2个工作日内，将</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sz w:val="24"/>
          <w:szCs w:val="24"/>
          <w:highlight w:val="none"/>
          <w:shd w:val="clear" w:color="auto" w:fill="FFFFFF"/>
        </w:rPr>
        <w:t>在省级以上人民政府财政部门指定的媒体上公告，但</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sz w:val="24"/>
          <w:szCs w:val="24"/>
          <w:highlight w:val="none"/>
          <w:shd w:val="clear" w:color="auto" w:fill="FFFFFF"/>
        </w:rPr>
        <w:t>中涉及国家秘密、商业秘密的内容除外。</w:t>
      </w:r>
      <w:r>
        <w:rPr>
          <w:rFonts w:hint="eastAsia" w:ascii="宋体" w:hAnsi="宋体" w:eastAsia="宋体" w:cs="宋体"/>
          <w:color w:val="auto"/>
          <w:kern w:val="0"/>
          <w:sz w:val="24"/>
          <w:szCs w:val="24"/>
          <w:highlight w:val="none"/>
        </w:rPr>
        <w:t>政府采购项目的</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kern w:val="0"/>
          <w:sz w:val="24"/>
          <w:szCs w:val="24"/>
          <w:highlight w:val="none"/>
        </w:rPr>
        <w:t>自签订之日起七个工作日内，采购人应当将</w:t>
      </w:r>
      <w:r>
        <w:rPr>
          <w:rFonts w:hint="eastAsia" w:ascii="宋体" w:hAnsi="宋体" w:eastAsia="宋体" w:cs="宋体"/>
          <w:b/>
          <w:bCs/>
          <w:color w:val="auto"/>
          <w:sz w:val="24"/>
          <w:szCs w:val="24"/>
          <w:highlight w:val="none"/>
        </w:rPr>
        <w:t>协议</w:t>
      </w:r>
      <w:r>
        <w:rPr>
          <w:rFonts w:hint="eastAsia" w:ascii="宋体" w:hAnsi="宋体" w:eastAsia="宋体" w:cs="宋体"/>
          <w:color w:val="auto"/>
          <w:kern w:val="0"/>
          <w:sz w:val="24"/>
          <w:szCs w:val="24"/>
          <w:highlight w:val="none"/>
        </w:rPr>
        <w:t>副本报同级政府采购监督管理部门和有关部门备案。</w:t>
      </w:r>
    </w:p>
    <w:p w14:paraId="7CCEC7E1">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rPr>
        <w:t>入围供应商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kern w:val="0"/>
          <w:sz w:val="24"/>
          <w:szCs w:val="24"/>
          <w:highlight w:val="none"/>
          <w:lang w:val="zh-CN"/>
        </w:rPr>
        <w:t>。如</w:t>
      </w:r>
      <w:r>
        <w:rPr>
          <w:rFonts w:hint="eastAsia" w:ascii="宋体" w:hAnsi="宋体" w:eastAsia="宋体" w:cs="宋体"/>
          <w:color w:val="auto"/>
          <w:kern w:val="0"/>
          <w:sz w:val="24"/>
          <w:szCs w:val="24"/>
          <w:highlight w:val="none"/>
        </w:rPr>
        <w:t>入围供应商</w:t>
      </w:r>
      <w:r>
        <w:rPr>
          <w:rFonts w:hint="eastAsia" w:ascii="宋体" w:hAnsi="宋体" w:eastAsia="宋体" w:cs="宋体"/>
          <w:color w:val="auto"/>
          <w:kern w:val="0"/>
          <w:sz w:val="24"/>
          <w:szCs w:val="24"/>
          <w:highlight w:val="none"/>
          <w:lang w:val="zh-CN"/>
        </w:rPr>
        <w:t>为联合体的，由联合体成员各方法定代表人或其授权代表与采购人代表签订</w:t>
      </w:r>
      <w:r>
        <w:rPr>
          <w:rFonts w:hint="eastAsia" w:ascii="宋体" w:hAnsi="宋体" w:eastAsia="宋体" w:cs="宋体"/>
          <w:b/>
          <w:bCs/>
          <w:color w:val="auto"/>
          <w:sz w:val="24"/>
          <w:szCs w:val="24"/>
          <w:highlight w:val="none"/>
        </w:rPr>
        <w:t>框架协议</w:t>
      </w:r>
      <w:r>
        <w:rPr>
          <w:rFonts w:hint="eastAsia" w:ascii="宋体" w:hAnsi="宋体" w:eastAsia="宋体" w:cs="宋体"/>
          <w:color w:val="auto"/>
          <w:kern w:val="0"/>
          <w:sz w:val="24"/>
          <w:szCs w:val="24"/>
          <w:highlight w:val="none"/>
          <w:lang w:val="zh-CN"/>
        </w:rPr>
        <w:t>。</w:t>
      </w:r>
    </w:p>
    <w:p w14:paraId="76871E27">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23.3如签订</w:t>
      </w:r>
      <w:r>
        <w:rPr>
          <w:rFonts w:hint="eastAsia" w:ascii="宋体" w:hAnsi="宋体" w:eastAsia="宋体" w:cs="宋体"/>
          <w:b/>
          <w:bCs/>
          <w:color w:val="auto"/>
          <w:sz w:val="24"/>
          <w:szCs w:val="24"/>
          <w:highlight w:val="none"/>
        </w:rPr>
        <w:t>协议</w:t>
      </w:r>
      <w:r>
        <w:rPr>
          <w:rFonts w:hint="eastAsia" w:ascii="宋体" w:hAnsi="宋体" w:eastAsia="宋体" w:cs="宋体"/>
          <w:color w:val="auto"/>
          <w:sz w:val="24"/>
          <w:szCs w:val="24"/>
          <w:highlight w:val="none"/>
        </w:rPr>
        <w:t>并生效后，</w:t>
      </w:r>
      <w:r>
        <w:rPr>
          <w:rFonts w:hint="eastAsia" w:ascii="宋体" w:hAnsi="宋体" w:eastAsia="宋体" w:cs="宋体"/>
          <w:b/>
          <w:bCs/>
          <w:color w:val="auto"/>
          <w:sz w:val="24"/>
          <w:szCs w:val="24"/>
          <w:highlight w:val="none"/>
        </w:rPr>
        <w:t>入围供应商不得主动放弃入围资格或者退出框架协议，无故退出的单位禁止其参与下一次框架协议的签订同时也不得作为非入围供应商承接本区域内相关项目。</w:t>
      </w:r>
    </w:p>
    <w:p w14:paraId="692E0087">
      <w:pPr>
        <w:snapToGrid w:val="0"/>
        <w:spacing w:line="360" w:lineRule="auto"/>
        <w:ind w:firstLine="482" w:firstLineChars="200"/>
        <w:rPr>
          <w:rFonts w:ascii="宋体" w:hAnsi="宋体" w:eastAsia="宋体" w:cs="宋体"/>
          <w:b/>
          <w:bCs/>
          <w:i/>
          <w:iCs/>
          <w:color w:val="auto"/>
          <w:sz w:val="24"/>
          <w:szCs w:val="24"/>
          <w:highlight w:val="none"/>
        </w:rPr>
      </w:pPr>
      <w:r>
        <w:rPr>
          <w:rFonts w:hint="eastAsia" w:ascii="宋体" w:hAnsi="宋体" w:eastAsia="宋体" w:cs="宋体"/>
          <w:b/>
          <w:bCs/>
          <w:color w:val="auto"/>
          <w:sz w:val="24"/>
          <w:szCs w:val="24"/>
          <w:highlight w:val="none"/>
        </w:rPr>
        <w:t>23.4针对每个初步设计概算审核项目按照招标文件约定的方式选择签订合同单位。签订合同并生效后，供应商无故拒绝或延期，除按照合同约定条款处理外，列入不良行为记录一次，并给予通报。拒绝签订合同的供应商予以清退且禁止其参与下一次框架协议的签订同时也不得作为非入围供应商承接本区域内相关项目。</w:t>
      </w:r>
    </w:p>
    <w:p w14:paraId="065CB0BA">
      <w:pPr>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24履约保证金</w:t>
      </w:r>
    </w:p>
    <w:p w14:paraId="6305CB4F">
      <w:pPr>
        <w:tabs>
          <w:tab w:val="left" w:pos="0"/>
        </w:tabs>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本项目不设履约保证金。</w:t>
      </w:r>
    </w:p>
    <w:p w14:paraId="10BB380D">
      <w:pPr>
        <w:snapToGrid w:val="0"/>
        <w:spacing w:line="360" w:lineRule="auto"/>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九、验收</w:t>
      </w:r>
    </w:p>
    <w:p w14:paraId="2A886E54">
      <w:pPr>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25验收</w:t>
      </w:r>
    </w:p>
    <w:p w14:paraId="746776C9">
      <w:pPr>
        <w:tabs>
          <w:tab w:val="left" w:pos="0"/>
        </w:tabs>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采购人定期或不定期组织对初步设计概算审核服务单位工作质量进行考核（考核办法另行制定），考核不合格的单位按照规定予以淘汰。</w:t>
      </w:r>
    </w:p>
    <w:p w14:paraId="6B92A535">
      <w:pPr>
        <w:snapToGrid w:val="0"/>
        <w:spacing w:line="360" w:lineRule="auto"/>
        <w:jc w:val="center"/>
        <w:rPr>
          <w:rFonts w:ascii="宋体" w:hAnsi="宋体" w:eastAsia="宋体" w:cs="宋体"/>
          <w:b/>
          <w:color w:val="auto"/>
          <w:sz w:val="32"/>
          <w:szCs w:val="21"/>
          <w:highlight w:val="none"/>
          <w:lang w:val="zh-CN"/>
        </w:rPr>
      </w:pPr>
      <w:r>
        <w:rPr>
          <w:rFonts w:hint="eastAsia" w:ascii="宋体" w:hAnsi="宋体" w:eastAsia="宋体" w:cs="宋体"/>
          <w:b/>
          <w:color w:val="auto"/>
          <w:sz w:val="32"/>
          <w:szCs w:val="21"/>
          <w:highlight w:val="none"/>
        </w:rPr>
        <w:t>十</w:t>
      </w:r>
      <w:r>
        <w:rPr>
          <w:rFonts w:hint="eastAsia" w:ascii="宋体" w:hAnsi="宋体" w:eastAsia="宋体" w:cs="宋体"/>
          <w:b/>
          <w:color w:val="auto"/>
          <w:sz w:val="32"/>
          <w:szCs w:val="21"/>
          <w:highlight w:val="none"/>
          <w:lang w:val="zh-CN"/>
        </w:rPr>
        <w:t>、解释权</w:t>
      </w:r>
    </w:p>
    <w:p w14:paraId="02C919CE">
      <w:pPr>
        <w:snapToGrid w:val="0"/>
        <w:spacing w:line="360" w:lineRule="auto"/>
        <w:ind w:firstLine="480" w:firstLineChars="200"/>
        <w:jc w:val="left"/>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26</w:t>
      </w:r>
      <w:r>
        <w:rPr>
          <w:rFonts w:hint="eastAsia" w:ascii="宋体" w:hAnsi="宋体" w:eastAsia="宋体" w:cs="宋体"/>
          <w:color w:val="auto"/>
          <w:sz w:val="24"/>
          <w:szCs w:val="21"/>
          <w:highlight w:val="none"/>
          <w:lang w:val="zh-CN"/>
        </w:rPr>
        <w:t>.解释权</w:t>
      </w:r>
    </w:p>
    <w:p w14:paraId="0824EA90">
      <w:pPr>
        <w:spacing w:line="360" w:lineRule="auto"/>
        <w:ind w:firstLine="480" w:firstLineChars="200"/>
        <w:rPr>
          <w:rFonts w:ascii="宋体" w:hAnsi="宋体" w:eastAsia="宋体" w:cs="Times New Roman"/>
          <w:b/>
          <w:color w:val="auto"/>
          <w:kern w:val="0"/>
          <w:sz w:val="24"/>
          <w:szCs w:val="21"/>
          <w:highlight w:val="none"/>
        </w:rPr>
      </w:pPr>
      <w:r>
        <w:rPr>
          <w:rFonts w:hint="eastAsia" w:ascii="宋体" w:hAnsi="宋体" w:eastAsia="宋体" w:cs="Times New Roman"/>
          <w:color w:val="auto"/>
          <w:kern w:val="0"/>
          <w:sz w:val="24"/>
          <w:szCs w:val="21"/>
          <w:highlight w:val="none"/>
          <w:lang w:val="zh-CN"/>
        </w:rPr>
        <w:t>凡涉及本招标文件的解释权均属于</w:t>
      </w:r>
      <w:r>
        <w:rPr>
          <w:rFonts w:hint="eastAsia" w:ascii="宋体" w:hAnsi="宋体" w:eastAsia="宋体" w:cs="Times New Roman"/>
          <w:color w:val="auto"/>
          <w:kern w:val="0"/>
          <w:sz w:val="24"/>
          <w:szCs w:val="21"/>
          <w:highlight w:val="none"/>
        </w:rPr>
        <w:t>采购人及代理机构</w:t>
      </w:r>
      <w:r>
        <w:rPr>
          <w:rFonts w:hint="eastAsia" w:ascii="宋体" w:hAnsi="宋体" w:eastAsia="宋体" w:cs="Times New Roman"/>
          <w:color w:val="auto"/>
          <w:kern w:val="0"/>
          <w:sz w:val="24"/>
          <w:szCs w:val="21"/>
          <w:highlight w:val="none"/>
          <w:lang w:val="zh-CN"/>
        </w:rPr>
        <w:t>。</w:t>
      </w:r>
    </w:p>
    <w:p w14:paraId="415E1E6F">
      <w:pPr>
        <w:spacing w:line="360" w:lineRule="auto"/>
        <w:ind w:firstLine="482" w:firstLineChars="200"/>
        <w:rPr>
          <w:rFonts w:ascii="宋体" w:hAnsi="宋体" w:eastAsia="宋体" w:cs="宋体"/>
          <w:b/>
          <w:color w:val="auto"/>
          <w:kern w:val="0"/>
          <w:sz w:val="24"/>
          <w:szCs w:val="21"/>
          <w:highlight w:val="none"/>
        </w:rPr>
      </w:pPr>
    </w:p>
    <w:bookmarkEnd w:id="49"/>
    <w:p w14:paraId="02425B1F">
      <w:pPr>
        <w:tabs>
          <w:tab w:val="left" w:pos="0"/>
        </w:tabs>
        <w:spacing w:line="360" w:lineRule="auto"/>
        <w:ind w:firstLine="480" w:firstLineChars="200"/>
        <w:rPr>
          <w:rFonts w:ascii="宋体" w:hAnsi="宋体" w:eastAsia="宋体" w:cs="宋体"/>
          <w:color w:val="auto"/>
          <w:kern w:val="0"/>
          <w:sz w:val="24"/>
          <w:szCs w:val="24"/>
          <w:highlight w:val="none"/>
        </w:rPr>
      </w:pPr>
    </w:p>
    <w:p w14:paraId="19F8929A">
      <w:pPr>
        <w:keepNext/>
        <w:keepLines/>
        <w:spacing w:before="260" w:after="260" w:line="415" w:lineRule="auto"/>
        <w:outlineLvl w:val="1"/>
        <w:rPr>
          <w:rFonts w:ascii="宋体" w:hAnsi="宋体" w:eastAsia="宋体" w:cs="宋体"/>
          <w:b/>
          <w:bCs/>
          <w:color w:val="auto"/>
          <w:kern w:val="0"/>
          <w:sz w:val="24"/>
          <w:szCs w:val="24"/>
          <w:highlight w:val="none"/>
        </w:rPr>
      </w:pPr>
    </w:p>
    <w:p w14:paraId="722B8797">
      <w:pPr>
        <w:rPr>
          <w:rFonts w:ascii="宋体" w:hAnsi="宋体" w:eastAsia="宋体" w:cs="宋体"/>
          <w:color w:val="auto"/>
          <w:szCs w:val="21"/>
          <w:highlight w:val="none"/>
        </w:rPr>
      </w:pPr>
    </w:p>
    <w:p w14:paraId="275AEDB4">
      <w:pPr>
        <w:spacing w:line="360" w:lineRule="auto"/>
        <w:jc w:val="center"/>
        <w:outlineLvl w:val="0"/>
        <w:rPr>
          <w:rFonts w:hint="eastAsia" w:ascii="宋体" w:hAnsi="宋体" w:eastAsia="宋体" w:cs="宋体"/>
          <w:b/>
          <w:bCs/>
          <w:color w:val="auto"/>
          <w:sz w:val="36"/>
          <w:szCs w:val="36"/>
          <w:highlight w:val="none"/>
        </w:rPr>
      </w:pPr>
    </w:p>
    <w:p w14:paraId="4A74BB94">
      <w:pPr>
        <w:spacing w:line="360" w:lineRule="auto"/>
        <w:jc w:val="center"/>
        <w:outlineLvl w:val="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第四部分   </w:t>
      </w:r>
      <w:bookmarkStart w:id="50" w:name="_Toc184310288"/>
      <w:bookmarkEnd w:id="50"/>
      <w:bookmarkStart w:id="51" w:name="_Toc184313268"/>
      <w:bookmarkEnd w:id="51"/>
      <w:bookmarkStart w:id="52" w:name="_Toc184310309"/>
      <w:bookmarkEnd w:id="52"/>
      <w:bookmarkStart w:id="53" w:name="_Toc184313309"/>
      <w:bookmarkEnd w:id="53"/>
      <w:bookmarkStart w:id="54" w:name="_Toc184312102"/>
      <w:bookmarkEnd w:id="54"/>
      <w:bookmarkStart w:id="55" w:name="_Toc184310293"/>
      <w:bookmarkEnd w:id="55"/>
      <w:bookmarkStart w:id="56" w:name="_Toc184308046"/>
      <w:bookmarkEnd w:id="56"/>
      <w:bookmarkStart w:id="57" w:name="_Toc184308087"/>
      <w:bookmarkEnd w:id="57"/>
      <w:bookmarkStart w:id="58" w:name="_Toc184314429"/>
      <w:bookmarkEnd w:id="58"/>
      <w:bookmarkStart w:id="59" w:name="_Toc184310310"/>
      <w:bookmarkEnd w:id="59"/>
      <w:bookmarkStart w:id="60" w:name="_Toc184310320"/>
      <w:bookmarkEnd w:id="60"/>
      <w:bookmarkStart w:id="61" w:name="_Toc184314422"/>
      <w:bookmarkEnd w:id="61"/>
      <w:bookmarkStart w:id="62" w:name="_Toc184313256"/>
      <w:bookmarkEnd w:id="62"/>
      <w:bookmarkStart w:id="63" w:name="_Toc184314410"/>
      <w:bookmarkEnd w:id="63"/>
      <w:bookmarkStart w:id="64" w:name="_Toc184313264"/>
      <w:bookmarkEnd w:id="64"/>
      <w:bookmarkStart w:id="65" w:name="_Toc184308107"/>
      <w:bookmarkEnd w:id="65"/>
      <w:bookmarkStart w:id="66" w:name="_Toc184310313"/>
      <w:bookmarkEnd w:id="66"/>
      <w:bookmarkStart w:id="67" w:name="_Toc184314434"/>
      <w:bookmarkEnd w:id="67"/>
      <w:bookmarkStart w:id="68" w:name="_Toc184312128"/>
      <w:bookmarkEnd w:id="68"/>
      <w:bookmarkStart w:id="69" w:name="_Toc184314445"/>
      <w:bookmarkEnd w:id="69"/>
      <w:bookmarkStart w:id="70" w:name="_Toc184313262"/>
      <w:bookmarkEnd w:id="70"/>
      <w:bookmarkStart w:id="71" w:name="_Toc184310328"/>
      <w:bookmarkEnd w:id="71"/>
      <w:bookmarkStart w:id="72" w:name="_Toc184310340"/>
      <w:bookmarkEnd w:id="72"/>
      <w:bookmarkStart w:id="73" w:name="_Toc184308053"/>
      <w:bookmarkEnd w:id="73"/>
      <w:bookmarkStart w:id="74" w:name="_Toc184310272"/>
      <w:bookmarkEnd w:id="74"/>
      <w:bookmarkStart w:id="75" w:name="_Toc184308078"/>
      <w:bookmarkEnd w:id="75"/>
      <w:bookmarkStart w:id="76" w:name="_Toc184313289"/>
      <w:bookmarkEnd w:id="76"/>
      <w:bookmarkStart w:id="77" w:name="_Toc184308105"/>
      <w:bookmarkEnd w:id="77"/>
      <w:bookmarkStart w:id="78" w:name="_Toc184312092"/>
      <w:bookmarkEnd w:id="78"/>
      <w:bookmarkStart w:id="79" w:name="_Toc184310282"/>
      <w:bookmarkEnd w:id="79"/>
      <w:bookmarkStart w:id="80" w:name="_Toc184312118"/>
      <w:bookmarkEnd w:id="80"/>
      <w:bookmarkStart w:id="81" w:name="_Toc184314416"/>
      <w:bookmarkEnd w:id="81"/>
      <w:bookmarkStart w:id="82" w:name="_Toc184310327"/>
      <w:bookmarkEnd w:id="82"/>
      <w:bookmarkStart w:id="83" w:name="_Toc184314443"/>
      <w:bookmarkEnd w:id="83"/>
      <w:bookmarkStart w:id="84" w:name="_Toc184313277"/>
      <w:bookmarkEnd w:id="84"/>
      <w:bookmarkStart w:id="85" w:name="_Toc184308037"/>
      <w:bookmarkEnd w:id="85"/>
      <w:bookmarkStart w:id="86" w:name="_Toc184313257"/>
      <w:bookmarkEnd w:id="86"/>
      <w:bookmarkStart w:id="87" w:name="_Toc184313261"/>
      <w:bookmarkEnd w:id="87"/>
      <w:bookmarkStart w:id="88" w:name="_Toc184312135"/>
      <w:bookmarkEnd w:id="88"/>
      <w:bookmarkStart w:id="89" w:name="_Toc184314418"/>
      <w:bookmarkEnd w:id="89"/>
      <w:bookmarkStart w:id="90" w:name="_Toc184313308"/>
      <w:bookmarkEnd w:id="90"/>
      <w:bookmarkStart w:id="91" w:name="_Toc184308102"/>
      <w:bookmarkEnd w:id="91"/>
      <w:bookmarkStart w:id="92" w:name="_Toc184312120"/>
      <w:bookmarkEnd w:id="92"/>
      <w:bookmarkStart w:id="93" w:name="_Toc184308056"/>
      <w:bookmarkEnd w:id="93"/>
      <w:bookmarkStart w:id="94" w:name="_Toc184310276"/>
      <w:bookmarkEnd w:id="94"/>
      <w:bookmarkStart w:id="95" w:name="_Toc184308104"/>
      <w:bookmarkEnd w:id="95"/>
      <w:bookmarkStart w:id="96" w:name="_Toc184313296"/>
      <w:bookmarkEnd w:id="96"/>
      <w:bookmarkStart w:id="97" w:name="_Toc184314438"/>
      <w:bookmarkEnd w:id="97"/>
      <w:bookmarkStart w:id="98" w:name="_Toc184310279"/>
      <w:bookmarkEnd w:id="98"/>
      <w:bookmarkStart w:id="99" w:name="_Toc184310304"/>
      <w:bookmarkEnd w:id="99"/>
      <w:bookmarkStart w:id="100" w:name="_Toc184312073"/>
      <w:bookmarkEnd w:id="100"/>
      <w:bookmarkStart w:id="101" w:name="_Toc184313278"/>
      <w:bookmarkEnd w:id="101"/>
      <w:bookmarkStart w:id="102" w:name="_Toc184313242"/>
      <w:bookmarkEnd w:id="102"/>
      <w:bookmarkStart w:id="103" w:name="_Toc184308077"/>
      <w:bookmarkEnd w:id="103"/>
      <w:bookmarkStart w:id="104" w:name="_Toc184310308"/>
      <w:bookmarkEnd w:id="104"/>
      <w:bookmarkStart w:id="105" w:name="_Toc184310283"/>
      <w:bookmarkEnd w:id="105"/>
      <w:bookmarkStart w:id="106" w:name="_Toc184308098"/>
      <w:bookmarkEnd w:id="106"/>
      <w:bookmarkStart w:id="107" w:name="_Toc184314481"/>
      <w:bookmarkEnd w:id="107"/>
      <w:bookmarkStart w:id="108" w:name="_Toc184312076"/>
      <w:bookmarkEnd w:id="108"/>
      <w:bookmarkStart w:id="109" w:name="_Toc184314435"/>
      <w:bookmarkEnd w:id="109"/>
      <w:bookmarkStart w:id="110" w:name="_Toc184312137"/>
      <w:bookmarkEnd w:id="110"/>
      <w:bookmarkStart w:id="111" w:name="_Toc184308094"/>
      <w:bookmarkEnd w:id="111"/>
      <w:bookmarkStart w:id="112" w:name="_Toc184314461"/>
      <w:bookmarkEnd w:id="112"/>
      <w:bookmarkStart w:id="113" w:name="_Toc184308051"/>
      <w:bookmarkEnd w:id="113"/>
      <w:bookmarkStart w:id="114" w:name="_Toc184312132"/>
      <w:bookmarkEnd w:id="114"/>
      <w:bookmarkStart w:id="115" w:name="_Toc184310286"/>
      <w:bookmarkEnd w:id="115"/>
      <w:bookmarkStart w:id="116" w:name="_Toc184308082"/>
      <w:bookmarkEnd w:id="116"/>
      <w:bookmarkStart w:id="117" w:name="_Toc184313276"/>
      <w:bookmarkEnd w:id="117"/>
      <w:bookmarkStart w:id="118" w:name="_Toc184314473"/>
      <w:bookmarkEnd w:id="118"/>
      <w:bookmarkStart w:id="119" w:name="_Toc184312083"/>
      <w:bookmarkEnd w:id="119"/>
      <w:bookmarkStart w:id="120" w:name="_Toc184312106"/>
      <w:bookmarkEnd w:id="120"/>
      <w:bookmarkStart w:id="121" w:name="_Toc184314432"/>
      <w:bookmarkEnd w:id="121"/>
      <w:bookmarkStart w:id="122" w:name="_Toc184308055"/>
      <w:bookmarkEnd w:id="122"/>
      <w:bookmarkStart w:id="123" w:name="_Toc184314446"/>
      <w:bookmarkEnd w:id="123"/>
      <w:bookmarkStart w:id="124" w:name="_Toc184308095"/>
      <w:bookmarkEnd w:id="124"/>
      <w:bookmarkStart w:id="125" w:name="_Toc184310297"/>
      <w:bookmarkEnd w:id="125"/>
      <w:bookmarkStart w:id="126" w:name="_Toc184312084"/>
      <w:bookmarkEnd w:id="126"/>
      <w:bookmarkStart w:id="127" w:name="_Toc184310336"/>
      <w:bookmarkEnd w:id="127"/>
      <w:bookmarkStart w:id="128" w:name="_Toc184313275"/>
      <w:bookmarkEnd w:id="128"/>
      <w:bookmarkStart w:id="129" w:name="_Toc184312098"/>
      <w:bookmarkEnd w:id="129"/>
      <w:bookmarkStart w:id="130" w:name="_Toc184312090"/>
      <w:bookmarkEnd w:id="130"/>
      <w:bookmarkStart w:id="131" w:name="_Toc184310303"/>
      <w:bookmarkEnd w:id="131"/>
      <w:bookmarkStart w:id="132" w:name="_Toc184308093"/>
      <w:bookmarkEnd w:id="132"/>
      <w:bookmarkStart w:id="133" w:name="_Toc184310278"/>
      <w:bookmarkEnd w:id="133"/>
      <w:bookmarkStart w:id="134" w:name="_Toc184314462"/>
      <w:bookmarkEnd w:id="134"/>
      <w:bookmarkStart w:id="135" w:name="_Toc184312116"/>
      <w:bookmarkEnd w:id="135"/>
      <w:bookmarkStart w:id="136" w:name="_Toc184313253"/>
      <w:bookmarkEnd w:id="136"/>
      <w:bookmarkStart w:id="137" w:name="_Toc184310307"/>
      <w:bookmarkEnd w:id="137"/>
      <w:bookmarkStart w:id="138" w:name="_Toc184310280"/>
      <w:bookmarkEnd w:id="138"/>
      <w:bookmarkStart w:id="139" w:name="_Toc184308091"/>
      <w:bookmarkEnd w:id="139"/>
      <w:bookmarkStart w:id="140" w:name="_Toc184312075"/>
      <w:bookmarkEnd w:id="140"/>
      <w:bookmarkStart w:id="141" w:name="_Toc184308097"/>
      <w:bookmarkEnd w:id="141"/>
      <w:bookmarkStart w:id="142" w:name="_Toc184310275"/>
      <w:bookmarkEnd w:id="142"/>
      <w:bookmarkStart w:id="143" w:name="_Toc184313255"/>
      <w:bookmarkEnd w:id="143"/>
      <w:bookmarkStart w:id="144" w:name="_Toc184314470"/>
      <w:bookmarkEnd w:id="144"/>
      <w:bookmarkStart w:id="145" w:name="_Toc184312077"/>
      <w:bookmarkEnd w:id="145"/>
      <w:bookmarkStart w:id="146" w:name="_Toc184312071"/>
      <w:bookmarkEnd w:id="146"/>
      <w:bookmarkStart w:id="147" w:name="_Toc184310285"/>
      <w:bookmarkEnd w:id="147"/>
      <w:bookmarkStart w:id="148" w:name="_Toc184308061"/>
      <w:bookmarkEnd w:id="148"/>
      <w:bookmarkStart w:id="149" w:name="_Toc184308073"/>
      <w:bookmarkEnd w:id="149"/>
      <w:bookmarkStart w:id="150" w:name="_Toc184314477"/>
      <w:bookmarkEnd w:id="150"/>
      <w:bookmarkStart w:id="151" w:name="_Toc184308090"/>
      <w:bookmarkEnd w:id="151"/>
      <w:bookmarkStart w:id="152" w:name="_Toc184313301"/>
      <w:bookmarkEnd w:id="152"/>
      <w:bookmarkStart w:id="153" w:name="_Toc184314459"/>
      <w:bookmarkEnd w:id="153"/>
      <w:bookmarkStart w:id="154" w:name="_Toc184313284"/>
      <w:bookmarkEnd w:id="154"/>
      <w:bookmarkStart w:id="155" w:name="_Toc184310335"/>
      <w:bookmarkEnd w:id="155"/>
      <w:bookmarkStart w:id="156" w:name="_Toc184314452"/>
      <w:bookmarkEnd w:id="156"/>
      <w:bookmarkStart w:id="157" w:name="_Toc184310322"/>
      <w:bookmarkEnd w:id="157"/>
      <w:bookmarkStart w:id="158" w:name="_Toc184313252"/>
      <w:bookmarkEnd w:id="158"/>
      <w:bookmarkStart w:id="159" w:name="_Toc184313246"/>
      <w:bookmarkEnd w:id="159"/>
      <w:bookmarkStart w:id="160" w:name="_Toc184308101"/>
      <w:bookmarkEnd w:id="160"/>
      <w:bookmarkStart w:id="161" w:name="_Toc184313269"/>
      <w:bookmarkEnd w:id="161"/>
      <w:bookmarkStart w:id="162" w:name="_Toc184312115"/>
      <w:bookmarkEnd w:id="162"/>
      <w:bookmarkStart w:id="163" w:name="_Toc184308085"/>
      <w:bookmarkEnd w:id="163"/>
      <w:bookmarkStart w:id="164" w:name="_Toc184314420"/>
      <w:bookmarkEnd w:id="164"/>
      <w:bookmarkStart w:id="165" w:name="_Toc184312108"/>
      <w:bookmarkEnd w:id="165"/>
      <w:bookmarkStart w:id="166" w:name="_Toc184314415"/>
      <w:bookmarkEnd w:id="166"/>
      <w:bookmarkStart w:id="167" w:name="_Toc184308092"/>
      <w:bookmarkEnd w:id="167"/>
      <w:bookmarkStart w:id="168" w:name="_Toc184313271"/>
      <w:bookmarkEnd w:id="168"/>
      <w:bookmarkStart w:id="169" w:name="_Toc184312138"/>
      <w:bookmarkEnd w:id="169"/>
      <w:bookmarkStart w:id="170" w:name="_Toc184314458"/>
      <w:bookmarkEnd w:id="170"/>
      <w:bookmarkStart w:id="171" w:name="_Toc184312109"/>
      <w:bookmarkEnd w:id="171"/>
      <w:bookmarkStart w:id="172" w:name="_Toc184312105"/>
      <w:bookmarkEnd w:id="172"/>
      <w:bookmarkStart w:id="173" w:name="_Toc184314427"/>
      <w:bookmarkEnd w:id="173"/>
      <w:bookmarkStart w:id="174" w:name="_Toc184313286"/>
      <w:bookmarkEnd w:id="174"/>
      <w:bookmarkStart w:id="175" w:name="_Toc184310299"/>
      <w:bookmarkEnd w:id="175"/>
      <w:bookmarkStart w:id="176" w:name="_Toc184313293"/>
      <w:bookmarkEnd w:id="176"/>
      <w:bookmarkStart w:id="177" w:name="_Toc184312113"/>
      <w:bookmarkEnd w:id="177"/>
      <w:bookmarkStart w:id="178" w:name="_Toc184314466"/>
      <w:bookmarkEnd w:id="178"/>
      <w:bookmarkStart w:id="179" w:name="_Toc184314467"/>
      <w:bookmarkEnd w:id="179"/>
      <w:bookmarkStart w:id="180" w:name="_Toc184313310"/>
      <w:bookmarkEnd w:id="180"/>
      <w:bookmarkStart w:id="181" w:name="_Toc184314471"/>
      <w:bookmarkEnd w:id="181"/>
      <w:bookmarkStart w:id="182" w:name="_Toc184314457"/>
      <w:bookmarkEnd w:id="182"/>
      <w:bookmarkStart w:id="183" w:name="_Toc184314475"/>
      <w:bookmarkEnd w:id="183"/>
      <w:bookmarkStart w:id="184" w:name="_Toc184308063"/>
      <w:bookmarkEnd w:id="184"/>
      <w:bookmarkStart w:id="185" w:name="_Toc184313299"/>
      <w:bookmarkEnd w:id="185"/>
      <w:bookmarkStart w:id="186" w:name="_Toc184310331"/>
      <w:bookmarkEnd w:id="186"/>
      <w:bookmarkStart w:id="187" w:name="_Toc184313238"/>
      <w:bookmarkEnd w:id="187"/>
      <w:bookmarkStart w:id="188" w:name="_Toc184308108"/>
      <w:bookmarkEnd w:id="188"/>
      <w:bookmarkStart w:id="189" w:name="_Toc184314413"/>
      <w:bookmarkEnd w:id="189"/>
      <w:bookmarkStart w:id="190" w:name="_Toc184310323"/>
      <w:bookmarkEnd w:id="190"/>
      <w:bookmarkStart w:id="191" w:name="_Toc184313273"/>
      <w:bookmarkEnd w:id="191"/>
      <w:bookmarkStart w:id="192" w:name="_Toc184308038"/>
      <w:bookmarkEnd w:id="192"/>
      <w:bookmarkStart w:id="193" w:name="_Toc184314468"/>
      <w:bookmarkEnd w:id="193"/>
      <w:bookmarkStart w:id="194" w:name="_Toc184312080"/>
      <w:bookmarkEnd w:id="194"/>
      <w:bookmarkStart w:id="195" w:name="_Toc184314417"/>
      <w:bookmarkEnd w:id="195"/>
      <w:bookmarkStart w:id="196" w:name="_Toc184308067"/>
      <w:bookmarkEnd w:id="196"/>
      <w:bookmarkStart w:id="197" w:name="_Toc184310302"/>
      <w:bookmarkEnd w:id="197"/>
      <w:bookmarkStart w:id="198" w:name="_Toc184313251"/>
      <w:bookmarkEnd w:id="198"/>
      <w:bookmarkStart w:id="199" w:name="_Toc184313287"/>
      <w:bookmarkEnd w:id="199"/>
      <w:bookmarkStart w:id="200" w:name="_Toc184308048"/>
      <w:bookmarkEnd w:id="200"/>
      <w:bookmarkStart w:id="201" w:name="_Toc184313272"/>
      <w:bookmarkEnd w:id="201"/>
      <w:bookmarkStart w:id="202" w:name="_Toc184314439"/>
      <w:bookmarkEnd w:id="202"/>
      <w:bookmarkStart w:id="203" w:name="_Toc184308059"/>
      <w:bookmarkEnd w:id="203"/>
      <w:bookmarkStart w:id="204" w:name="_Toc184312107"/>
      <w:bookmarkEnd w:id="204"/>
      <w:bookmarkStart w:id="205" w:name="_Toc184310337"/>
      <w:bookmarkEnd w:id="205"/>
      <w:bookmarkStart w:id="206" w:name="_Toc184310330"/>
      <w:bookmarkEnd w:id="206"/>
      <w:bookmarkStart w:id="207" w:name="_Toc184312126"/>
      <w:bookmarkEnd w:id="207"/>
      <w:bookmarkStart w:id="208" w:name="_Toc184312121"/>
      <w:bookmarkEnd w:id="208"/>
      <w:bookmarkStart w:id="209" w:name="_Toc184314412"/>
      <w:bookmarkEnd w:id="209"/>
      <w:bookmarkStart w:id="210" w:name="_Toc184308068"/>
      <w:bookmarkEnd w:id="210"/>
      <w:bookmarkStart w:id="211" w:name="_Toc184310289"/>
      <w:bookmarkEnd w:id="211"/>
      <w:bookmarkStart w:id="212" w:name="_Toc184312133"/>
      <w:bookmarkEnd w:id="212"/>
      <w:bookmarkStart w:id="213" w:name="_Toc184313249"/>
      <w:bookmarkEnd w:id="213"/>
      <w:bookmarkStart w:id="214" w:name="_Toc184313290"/>
      <w:bookmarkEnd w:id="214"/>
      <w:bookmarkStart w:id="215" w:name="_Toc184313267"/>
      <w:bookmarkEnd w:id="215"/>
      <w:bookmarkStart w:id="216" w:name="_Toc184308081"/>
      <w:bookmarkEnd w:id="216"/>
      <w:bookmarkStart w:id="217" w:name="_Toc184313258"/>
      <w:bookmarkEnd w:id="217"/>
      <w:bookmarkStart w:id="218" w:name="_Toc184310298"/>
      <w:bookmarkEnd w:id="218"/>
      <w:bookmarkStart w:id="219" w:name="_Toc184310311"/>
      <w:bookmarkEnd w:id="219"/>
      <w:bookmarkStart w:id="220" w:name="_Toc184313304"/>
      <w:bookmarkEnd w:id="220"/>
      <w:bookmarkStart w:id="221" w:name="_Toc184310287"/>
      <w:bookmarkEnd w:id="221"/>
      <w:bookmarkStart w:id="222" w:name="_Toc184310292"/>
      <w:bookmarkEnd w:id="222"/>
      <w:bookmarkStart w:id="223" w:name="_Toc184312101"/>
      <w:bookmarkEnd w:id="223"/>
      <w:bookmarkStart w:id="224" w:name="_Toc184314448"/>
      <w:bookmarkEnd w:id="224"/>
      <w:bookmarkStart w:id="225" w:name="_Toc184312124"/>
      <w:bookmarkEnd w:id="225"/>
      <w:bookmarkStart w:id="226" w:name="_Toc184308041"/>
      <w:bookmarkEnd w:id="226"/>
      <w:bookmarkStart w:id="227" w:name="_Toc184308045"/>
      <w:bookmarkEnd w:id="227"/>
      <w:bookmarkStart w:id="228" w:name="_Toc184312070"/>
      <w:bookmarkEnd w:id="228"/>
      <w:bookmarkStart w:id="229" w:name="_Toc184313263"/>
      <w:bookmarkEnd w:id="229"/>
      <w:bookmarkStart w:id="230" w:name="_Toc184310290"/>
      <w:bookmarkEnd w:id="230"/>
      <w:bookmarkStart w:id="231" w:name="_Toc184312104"/>
      <w:bookmarkEnd w:id="231"/>
      <w:bookmarkStart w:id="232" w:name="_Toc184314447"/>
      <w:bookmarkEnd w:id="232"/>
      <w:bookmarkStart w:id="233" w:name="_Toc184314431"/>
      <w:bookmarkEnd w:id="233"/>
      <w:bookmarkStart w:id="234" w:name="_Toc184308103"/>
      <w:bookmarkEnd w:id="234"/>
      <w:bookmarkStart w:id="235" w:name="_Toc184313247"/>
      <w:bookmarkEnd w:id="235"/>
      <w:bookmarkStart w:id="236" w:name="_Toc184312111"/>
      <w:bookmarkEnd w:id="236"/>
      <w:bookmarkStart w:id="237" w:name="_Toc184310325"/>
      <w:bookmarkEnd w:id="237"/>
      <w:bookmarkStart w:id="238" w:name="_Toc184312139"/>
      <w:bookmarkEnd w:id="238"/>
      <w:bookmarkStart w:id="239" w:name="_Toc184314433"/>
      <w:bookmarkEnd w:id="239"/>
      <w:bookmarkStart w:id="240" w:name="_Toc184313280"/>
      <w:bookmarkEnd w:id="240"/>
      <w:bookmarkStart w:id="241" w:name="_Toc184308070"/>
      <w:bookmarkEnd w:id="241"/>
      <w:bookmarkStart w:id="242" w:name="_Toc184310332"/>
      <w:bookmarkEnd w:id="242"/>
      <w:bookmarkStart w:id="243" w:name="_Toc184313254"/>
      <w:bookmarkEnd w:id="243"/>
      <w:bookmarkStart w:id="244" w:name="_Toc184313241"/>
      <w:bookmarkEnd w:id="244"/>
      <w:bookmarkStart w:id="245" w:name="_Toc184308080"/>
      <w:bookmarkEnd w:id="245"/>
      <w:bookmarkStart w:id="246" w:name="_Toc184314421"/>
      <w:bookmarkEnd w:id="246"/>
      <w:bookmarkStart w:id="247" w:name="_Toc184308042"/>
      <w:bookmarkEnd w:id="247"/>
      <w:bookmarkStart w:id="248" w:name="_Toc184313288"/>
      <w:bookmarkEnd w:id="248"/>
      <w:bookmarkStart w:id="249" w:name="_Toc184308039"/>
      <w:bookmarkEnd w:id="249"/>
      <w:bookmarkStart w:id="250" w:name="_Toc184313245"/>
      <w:bookmarkEnd w:id="250"/>
      <w:bookmarkStart w:id="251" w:name="_Toc184314465"/>
      <w:bookmarkEnd w:id="251"/>
      <w:bookmarkStart w:id="252" w:name="_Toc184313270"/>
      <w:bookmarkEnd w:id="252"/>
      <w:bookmarkStart w:id="253" w:name="_Toc184308086"/>
      <w:bookmarkEnd w:id="253"/>
      <w:bookmarkStart w:id="254" w:name="_Toc184310294"/>
      <w:bookmarkEnd w:id="254"/>
      <w:bookmarkStart w:id="255" w:name="_Toc184312067"/>
      <w:bookmarkEnd w:id="255"/>
      <w:bookmarkStart w:id="256" w:name="_Toc184310291"/>
      <w:bookmarkEnd w:id="256"/>
      <w:bookmarkStart w:id="257" w:name="_Toc184314436"/>
      <w:bookmarkEnd w:id="257"/>
      <w:bookmarkStart w:id="258" w:name="_Toc184312134"/>
      <w:bookmarkEnd w:id="258"/>
      <w:bookmarkStart w:id="259" w:name="_Toc184308052"/>
      <w:bookmarkEnd w:id="259"/>
      <w:bookmarkStart w:id="260" w:name="_Toc184314430"/>
      <w:bookmarkEnd w:id="260"/>
      <w:bookmarkStart w:id="261" w:name="_Toc184314440"/>
      <w:bookmarkEnd w:id="261"/>
      <w:bookmarkStart w:id="262" w:name="_Toc184313274"/>
      <w:bookmarkEnd w:id="262"/>
      <w:bookmarkStart w:id="263" w:name="_Toc184312082"/>
      <w:bookmarkEnd w:id="263"/>
      <w:bookmarkStart w:id="264" w:name="_Toc184313295"/>
      <w:bookmarkEnd w:id="264"/>
      <w:bookmarkStart w:id="265" w:name="_Toc184312086"/>
      <w:bookmarkEnd w:id="265"/>
      <w:bookmarkStart w:id="266" w:name="_Toc184308079"/>
      <w:bookmarkEnd w:id="266"/>
      <w:bookmarkStart w:id="267" w:name="_Toc184314478"/>
      <w:bookmarkEnd w:id="267"/>
      <w:bookmarkStart w:id="268" w:name="_Toc184308084"/>
      <w:bookmarkEnd w:id="268"/>
      <w:bookmarkStart w:id="269" w:name="_Toc184310273"/>
      <w:bookmarkEnd w:id="269"/>
      <w:bookmarkStart w:id="270" w:name="_Toc184310341"/>
      <w:bookmarkEnd w:id="270"/>
      <w:bookmarkStart w:id="271" w:name="_Toc184313298"/>
      <w:bookmarkEnd w:id="271"/>
      <w:bookmarkStart w:id="272" w:name="_Toc184314424"/>
      <w:bookmarkEnd w:id="272"/>
      <w:bookmarkStart w:id="273" w:name="_Toc184312096"/>
      <w:bookmarkEnd w:id="273"/>
      <w:bookmarkStart w:id="274" w:name="_Toc184312100"/>
      <w:bookmarkEnd w:id="274"/>
      <w:bookmarkStart w:id="275" w:name="_Toc184308062"/>
      <w:bookmarkEnd w:id="275"/>
      <w:bookmarkStart w:id="276" w:name="_Toc184313282"/>
      <w:bookmarkEnd w:id="276"/>
      <w:bookmarkStart w:id="277" w:name="_Toc184312110"/>
      <w:bookmarkEnd w:id="277"/>
      <w:bookmarkStart w:id="278" w:name="_Toc184313260"/>
      <w:bookmarkEnd w:id="278"/>
      <w:bookmarkStart w:id="279" w:name="_Toc184314425"/>
      <w:bookmarkEnd w:id="279"/>
      <w:bookmarkStart w:id="280" w:name="_Toc184313281"/>
      <w:bookmarkEnd w:id="280"/>
      <w:bookmarkStart w:id="281" w:name="_Toc184314460"/>
      <w:bookmarkEnd w:id="281"/>
      <w:bookmarkStart w:id="282" w:name="_Toc184313279"/>
      <w:bookmarkEnd w:id="282"/>
      <w:bookmarkStart w:id="283" w:name="_Toc184308074"/>
      <w:bookmarkEnd w:id="283"/>
      <w:bookmarkStart w:id="284" w:name="_Toc184310334"/>
      <w:bookmarkEnd w:id="284"/>
      <w:bookmarkStart w:id="285" w:name="_Toc184310344"/>
      <w:bookmarkEnd w:id="285"/>
      <w:bookmarkStart w:id="286" w:name="_Toc184310305"/>
      <w:bookmarkEnd w:id="286"/>
      <w:bookmarkStart w:id="287" w:name="_Toc184308049"/>
      <w:bookmarkEnd w:id="287"/>
      <w:bookmarkStart w:id="288" w:name="_Toc184310316"/>
      <w:bookmarkEnd w:id="288"/>
      <w:bookmarkStart w:id="289" w:name="_Toc184310339"/>
      <w:bookmarkEnd w:id="289"/>
      <w:bookmarkStart w:id="290" w:name="_Toc184310317"/>
      <w:bookmarkEnd w:id="290"/>
      <w:bookmarkStart w:id="291" w:name="_Toc184308050"/>
      <w:bookmarkEnd w:id="291"/>
      <w:bookmarkStart w:id="292" w:name="_Toc184314474"/>
      <w:bookmarkEnd w:id="292"/>
      <w:bookmarkStart w:id="293" w:name="_Toc184313239"/>
      <w:bookmarkEnd w:id="293"/>
      <w:bookmarkStart w:id="294" w:name="_Toc184314444"/>
      <w:bookmarkEnd w:id="294"/>
      <w:bookmarkStart w:id="295" w:name="_Toc184308076"/>
      <w:bookmarkEnd w:id="295"/>
      <w:bookmarkStart w:id="296" w:name="_Toc184314442"/>
      <w:bookmarkEnd w:id="296"/>
      <w:bookmarkStart w:id="297" w:name="_Toc184312112"/>
      <w:bookmarkEnd w:id="297"/>
      <w:bookmarkStart w:id="298" w:name="_Toc184314453"/>
      <w:bookmarkEnd w:id="298"/>
      <w:bookmarkStart w:id="299" w:name="_Toc184312117"/>
      <w:bookmarkEnd w:id="299"/>
      <w:bookmarkStart w:id="300" w:name="_Toc184308054"/>
      <w:bookmarkEnd w:id="300"/>
      <w:bookmarkStart w:id="301" w:name="_Toc184313302"/>
      <w:bookmarkEnd w:id="301"/>
      <w:bookmarkStart w:id="302" w:name="_Toc184312079"/>
      <w:bookmarkEnd w:id="302"/>
      <w:bookmarkStart w:id="303" w:name="_Toc184313259"/>
      <w:bookmarkEnd w:id="303"/>
      <w:bookmarkStart w:id="304" w:name="_Toc184312099"/>
      <w:bookmarkEnd w:id="304"/>
      <w:bookmarkStart w:id="305" w:name="_Toc184312103"/>
      <w:bookmarkEnd w:id="305"/>
      <w:bookmarkStart w:id="306" w:name="_Toc184310318"/>
      <w:bookmarkEnd w:id="306"/>
      <w:bookmarkStart w:id="307" w:name="_Toc184312068"/>
      <w:bookmarkEnd w:id="307"/>
      <w:bookmarkStart w:id="308" w:name="_Toc184314456"/>
      <w:bookmarkEnd w:id="308"/>
      <w:bookmarkStart w:id="309" w:name="_Toc184308065"/>
      <w:bookmarkEnd w:id="309"/>
      <w:bookmarkStart w:id="310" w:name="_Toc184310333"/>
      <w:bookmarkEnd w:id="310"/>
      <w:bookmarkStart w:id="311" w:name="_Toc184312091"/>
      <w:bookmarkEnd w:id="311"/>
      <w:bookmarkStart w:id="312" w:name="_Toc184310321"/>
      <w:bookmarkEnd w:id="312"/>
      <w:bookmarkStart w:id="313" w:name="_Toc184310274"/>
      <w:bookmarkEnd w:id="313"/>
      <w:bookmarkStart w:id="314" w:name="_Toc184312093"/>
      <w:bookmarkEnd w:id="314"/>
      <w:bookmarkStart w:id="315" w:name="_Toc184310281"/>
      <w:bookmarkEnd w:id="315"/>
      <w:bookmarkStart w:id="316" w:name="_Toc184313305"/>
      <w:bookmarkEnd w:id="316"/>
      <w:bookmarkStart w:id="317" w:name="_Toc184314423"/>
      <w:bookmarkEnd w:id="317"/>
      <w:bookmarkStart w:id="318" w:name="_Toc184313244"/>
      <w:bookmarkEnd w:id="318"/>
      <w:bookmarkStart w:id="319" w:name="_Toc184314441"/>
      <w:bookmarkEnd w:id="319"/>
      <w:bookmarkStart w:id="320" w:name="_Toc184314469"/>
      <w:bookmarkEnd w:id="320"/>
      <w:bookmarkStart w:id="321" w:name="_Toc184314451"/>
      <w:bookmarkEnd w:id="321"/>
      <w:bookmarkStart w:id="322" w:name="_Toc184308089"/>
      <w:bookmarkEnd w:id="322"/>
      <w:bookmarkStart w:id="323" w:name="_Toc184310326"/>
      <w:bookmarkEnd w:id="323"/>
      <w:bookmarkStart w:id="324" w:name="_Toc184314411"/>
      <w:bookmarkEnd w:id="324"/>
      <w:bookmarkStart w:id="325" w:name="_Toc184314426"/>
      <w:bookmarkEnd w:id="325"/>
      <w:bookmarkStart w:id="326" w:name="_Toc184308057"/>
      <w:bookmarkEnd w:id="326"/>
      <w:bookmarkStart w:id="327" w:name="_Toc184313285"/>
      <w:bookmarkEnd w:id="327"/>
      <w:bookmarkStart w:id="328" w:name="_Toc184310306"/>
      <w:bookmarkEnd w:id="328"/>
      <w:bookmarkStart w:id="329" w:name="_Toc184312127"/>
      <w:bookmarkEnd w:id="329"/>
      <w:bookmarkStart w:id="330" w:name="_Toc184308106"/>
      <w:bookmarkEnd w:id="330"/>
      <w:bookmarkStart w:id="331" w:name="_Toc184308072"/>
      <w:bookmarkEnd w:id="331"/>
      <w:bookmarkStart w:id="332" w:name="_Toc184310329"/>
      <w:bookmarkEnd w:id="332"/>
      <w:bookmarkStart w:id="333" w:name="_Toc184308083"/>
      <w:bookmarkEnd w:id="333"/>
      <w:bookmarkStart w:id="334" w:name="_Toc184310301"/>
      <w:bookmarkEnd w:id="334"/>
      <w:bookmarkStart w:id="335" w:name="_Toc184314472"/>
      <w:bookmarkEnd w:id="335"/>
      <w:bookmarkStart w:id="336" w:name="_Toc184312122"/>
      <w:bookmarkEnd w:id="336"/>
      <w:bookmarkStart w:id="337" w:name="_Toc184313303"/>
      <w:bookmarkEnd w:id="337"/>
      <w:bookmarkStart w:id="338" w:name="_Toc184312114"/>
      <w:bookmarkEnd w:id="338"/>
      <w:bookmarkStart w:id="339" w:name="_Toc184313266"/>
      <w:bookmarkEnd w:id="339"/>
      <w:bookmarkStart w:id="340" w:name="_Toc184312129"/>
      <w:bookmarkEnd w:id="340"/>
      <w:bookmarkStart w:id="341" w:name="_Toc184313294"/>
      <w:bookmarkEnd w:id="341"/>
      <w:bookmarkStart w:id="342" w:name="_Toc184312081"/>
      <w:bookmarkEnd w:id="342"/>
      <w:bookmarkStart w:id="343" w:name="_Toc184308064"/>
      <w:bookmarkEnd w:id="343"/>
      <w:bookmarkStart w:id="344" w:name="_Toc184314455"/>
      <w:bookmarkEnd w:id="344"/>
      <w:bookmarkStart w:id="345" w:name="_Toc184312131"/>
      <w:bookmarkEnd w:id="345"/>
      <w:bookmarkStart w:id="346" w:name="_Toc184310342"/>
      <w:bookmarkEnd w:id="346"/>
      <w:bookmarkStart w:id="347" w:name="_Toc184314437"/>
      <w:bookmarkEnd w:id="347"/>
      <w:bookmarkStart w:id="348" w:name="_Toc184312085"/>
      <w:bookmarkEnd w:id="348"/>
      <w:bookmarkStart w:id="349" w:name="_Toc184313292"/>
      <w:bookmarkEnd w:id="349"/>
      <w:bookmarkStart w:id="350" w:name="_Toc184314464"/>
      <w:bookmarkEnd w:id="350"/>
      <w:bookmarkStart w:id="351" w:name="_Toc184314449"/>
      <w:bookmarkEnd w:id="351"/>
      <w:bookmarkStart w:id="352" w:name="_Toc184310300"/>
      <w:bookmarkEnd w:id="352"/>
      <w:bookmarkStart w:id="353" w:name="_Toc184313250"/>
      <w:bookmarkEnd w:id="353"/>
      <w:bookmarkStart w:id="354" w:name="_Toc184308069"/>
      <w:bookmarkEnd w:id="354"/>
      <w:bookmarkStart w:id="355" w:name="_Toc184312089"/>
      <w:bookmarkEnd w:id="355"/>
      <w:bookmarkStart w:id="356" w:name="_Toc184310277"/>
      <w:bookmarkEnd w:id="356"/>
      <w:bookmarkStart w:id="357" w:name="_Toc184310338"/>
      <w:bookmarkEnd w:id="357"/>
      <w:bookmarkStart w:id="358" w:name="_Toc184308066"/>
      <w:bookmarkEnd w:id="358"/>
      <w:bookmarkStart w:id="359" w:name="_Toc184308060"/>
      <w:bookmarkEnd w:id="359"/>
      <w:bookmarkStart w:id="360" w:name="_Toc184312087"/>
      <w:bookmarkEnd w:id="360"/>
      <w:bookmarkStart w:id="361" w:name="_Toc184308100"/>
      <w:bookmarkEnd w:id="361"/>
      <w:bookmarkStart w:id="362" w:name="_Toc184308047"/>
      <w:bookmarkEnd w:id="362"/>
      <w:bookmarkStart w:id="363" w:name="_Toc184312095"/>
      <w:bookmarkEnd w:id="363"/>
      <w:bookmarkStart w:id="364" w:name="_Toc184308040"/>
      <w:bookmarkEnd w:id="364"/>
      <w:bookmarkStart w:id="365" w:name="_Toc184310324"/>
      <w:bookmarkEnd w:id="365"/>
      <w:bookmarkStart w:id="366" w:name="_Toc184314454"/>
      <w:bookmarkEnd w:id="366"/>
      <w:bookmarkStart w:id="367" w:name="_Toc184308099"/>
      <w:bookmarkEnd w:id="367"/>
      <w:bookmarkStart w:id="368" w:name="_Toc184313307"/>
      <w:bookmarkEnd w:id="368"/>
      <w:bookmarkStart w:id="369" w:name="_Toc184308075"/>
      <w:bookmarkEnd w:id="369"/>
      <w:bookmarkStart w:id="370" w:name="_Toc184308044"/>
      <w:bookmarkEnd w:id="370"/>
      <w:bookmarkStart w:id="371" w:name="_Toc184313243"/>
      <w:bookmarkEnd w:id="371"/>
      <w:bookmarkStart w:id="372" w:name="_Toc184314482"/>
      <w:bookmarkEnd w:id="372"/>
      <w:bookmarkStart w:id="373" w:name="_Toc184313306"/>
      <w:bookmarkEnd w:id="373"/>
      <w:bookmarkStart w:id="374" w:name="_Toc184308058"/>
      <w:bookmarkEnd w:id="374"/>
      <w:bookmarkStart w:id="375" w:name="_Toc184312130"/>
      <w:bookmarkEnd w:id="375"/>
      <w:bookmarkStart w:id="376" w:name="_Toc184312078"/>
      <w:bookmarkEnd w:id="376"/>
      <w:bookmarkStart w:id="377" w:name="_Toc184313297"/>
      <w:bookmarkEnd w:id="377"/>
      <w:bookmarkStart w:id="378" w:name="_Toc184312123"/>
      <w:bookmarkEnd w:id="378"/>
      <w:bookmarkStart w:id="379" w:name="_Toc184312125"/>
      <w:bookmarkEnd w:id="379"/>
      <w:bookmarkStart w:id="380" w:name="_Toc184313240"/>
      <w:bookmarkEnd w:id="380"/>
      <w:bookmarkStart w:id="381" w:name="_Toc184314479"/>
      <w:bookmarkEnd w:id="381"/>
      <w:bookmarkStart w:id="382" w:name="_Toc184312094"/>
      <w:bookmarkEnd w:id="382"/>
      <w:bookmarkStart w:id="383" w:name="_Toc184310296"/>
      <w:bookmarkEnd w:id="383"/>
      <w:bookmarkStart w:id="384" w:name="_Toc184314476"/>
      <w:bookmarkEnd w:id="384"/>
      <w:bookmarkStart w:id="385" w:name="_Toc184310343"/>
      <w:bookmarkEnd w:id="385"/>
      <w:bookmarkStart w:id="386" w:name="_Toc184314414"/>
      <w:bookmarkEnd w:id="386"/>
      <w:bookmarkStart w:id="387" w:name="_Toc184310319"/>
      <w:bookmarkEnd w:id="387"/>
      <w:bookmarkStart w:id="388" w:name="_Toc184312119"/>
      <w:bookmarkEnd w:id="388"/>
      <w:bookmarkStart w:id="389" w:name="_Toc184308071"/>
      <w:bookmarkEnd w:id="389"/>
      <w:bookmarkStart w:id="390" w:name="_Toc184313291"/>
      <w:bookmarkEnd w:id="390"/>
      <w:bookmarkStart w:id="391" w:name="_Toc184312074"/>
      <w:bookmarkEnd w:id="391"/>
      <w:bookmarkStart w:id="392" w:name="_Toc184313283"/>
      <w:bookmarkEnd w:id="392"/>
      <w:bookmarkStart w:id="393" w:name="_Toc184308043"/>
      <w:bookmarkEnd w:id="393"/>
      <w:bookmarkStart w:id="394" w:name="_Toc184312136"/>
      <w:bookmarkEnd w:id="394"/>
      <w:bookmarkStart w:id="395" w:name="_Toc184314463"/>
      <w:bookmarkEnd w:id="395"/>
      <w:bookmarkStart w:id="396" w:name="_Toc184310284"/>
      <w:bookmarkEnd w:id="396"/>
      <w:bookmarkStart w:id="397" w:name="_Toc184312088"/>
      <w:bookmarkEnd w:id="397"/>
      <w:bookmarkStart w:id="398" w:name="_Toc184312097"/>
      <w:bookmarkEnd w:id="398"/>
      <w:bookmarkStart w:id="399" w:name="_Toc184308088"/>
      <w:bookmarkEnd w:id="399"/>
      <w:bookmarkStart w:id="400" w:name="_Toc184308096"/>
      <w:bookmarkEnd w:id="400"/>
      <w:bookmarkStart w:id="401" w:name="_Toc184308036"/>
      <w:bookmarkEnd w:id="401"/>
      <w:bookmarkStart w:id="402" w:name="_Toc184312072"/>
      <w:bookmarkEnd w:id="402"/>
      <w:bookmarkStart w:id="403" w:name="_Toc184313248"/>
      <w:bookmarkEnd w:id="403"/>
      <w:bookmarkStart w:id="404" w:name="_Toc184314480"/>
      <w:bookmarkEnd w:id="404"/>
      <w:bookmarkStart w:id="405" w:name="_Toc184314450"/>
      <w:bookmarkEnd w:id="405"/>
      <w:bookmarkStart w:id="406" w:name="_Toc184314419"/>
      <w:bookmarkEnd w:id="406"/>
      <w:bookmarkStart w:id="407" w:name="_Toc184313265"/>
      <w:bookmarkEnd w:id="407"/>
      <w:bookmarkStart w:id="408" w:name="_Toc184312069"/>
      <w:bookmarkEnd w:id="408"/>
      <w:bookmarkStart w:id="409" w:name="_Toc184310312"/>
      <w:bookmarkEnd w:id="409"/>
      <w:bookmarkStart w:id="410" w:name="_Toc184314428"/>
      <w:bookmarkEnd w:id="410"/>
      <w:bookmarkStart w:id="411" w:name="_Toc184310295"/>
      <w:bookmarkEnd w:id="411"/>
      <w:bookmarkStart w:id="412" w:name="_Toc184310314"/>
      <w:bookmarkEnd w:id="412"/>
      <w:bookmarkStart w:id="413" w:name="_Toc184310315"/>
      <w:bookmarkEnd w:id="413"/>
      <w:bookmarkStart w:id="414" w:name="_Toc184313300"/>
      <w:bookmarkEnd w:id="414"/>
      <w:r>
        <w:rPr>
          <w:rFonts w:hint="eastAsia" w:ascii="宋体" w:hAnsi="宋体" w:eastAsia="宋体" w:cs="宋体"/>
          <w:b/>
          <w:bCs/>
          <w:color w:val="auto"/>
          <w:sz w:val="36"/>
          <w:szCs w:val="36"/>
          <w:highlight w:val="none"/>
        </w:rPr>
        <w:t>评标方法及标准</w:t>
      </w:r>
    </w:p>
    <w:p w14:paraId="7F2037CC">
      <w:pPr>
        <w:snapToGrid w:val="0"/>
        <w:spacing w:line="360" w:lineRule="auto"/>
        <w:ind w:firstLine="643" w:firstLineChars="200"/>
        <w:jc w:val="center"/>
        <w:outlineLvl w:val="1"/>
        <w:rPr>
          <w:rFonts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一、评标方法</w:t>
      </w:r>
    </w:p>
    <w:p w14:paraId="4B1E0E7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1采用政府采购框架协议采购方式管理暂行办法中规定的质量优先法。</w:t>
      </w:r>
    </w:p>
    <w:p w14:paraId="688BB7D2">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二、评标委员会的组成</w:t>
      </w:r>
    </w:p>
    <w:p w14:paraId="539E60DC">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2评标委员会的组成。评标委员会由采购人代表和评审专家组成，成员人数为5人及以上单数，其中评审专家不少于成员总数的三分之二。评标委员会集体推荐组长一名，采购人代表不得推荐为组长。</w:t>
      </w:r>
    </w:p>
    <w:p w14:paraId="131511A3">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3评标委员会的组成人员的回避。在政府采购活动中，评标委员会的组成人员与供应商有下列利害关系之一的，应当回避：</w:t>
      </w:r>
    </w:p>
    <w:p w14:paraId="58BE77BB">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3.1参加采购活动前3年内与供应商存在劳动关系；</w:t>
      </w:r>
    </w:p>
    <w:p w14:paraId="7BDCEF0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3.2参加采购活动前3年内担任供应商的董事、监事；</w:t>
      </w:r>
    </w:p>
    <w:p w14:paraId="53BEA8B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3.3参加采购活动前3年内是供应商的控股股东或者实际控制人；</w:t>
      </w:r>
    </w:p>
    <w:p w14:paraId="30EE46A3">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3.4与供应商的法定代表人或者负责人有夫妻、直系血亲、三代以内旁系血亲或者近姻亲关系；</w:t>
      </w:r>
    </w:p>
    <w:p w14:paraId="5312C25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3.5与供应商有其他可能影响政府采购活动公平、公正进行的关系。</w:t>
      </w:r>
    </w:p>
    <w:p w14:paraId="51C009F6">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三、评标委员会的职责</w:t>
      </w:r>
    </w:p>
    <w:p w14:paraId="3E7D2E47">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4评标委员会负责具体评标事务，并独立履行下列职责：</w:t>
      </w:r>
    </w:p>
    <w:p w14:paraId="62A6759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4.1审查、评价投标文件是否符合招标文件的商务、技术等实质性要求；</w:t>
      </w:r>
    </w:p>
    <w:p w14:paraId="26A0070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4.2要求供应商对投标文件有关事项作出澄清或者说明；</w:t>
      </w:r>
    </w:p>
    <w:p w14:paraId="0D0097A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4.3对投标文件进行比较和评价；</w:t>
      </w:r>
    </w:p>
    <w:p w14:paraId="07AE832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4.4确定中标候选人名单，以及根据采购人委托直接确定中标人；</w:t>
      </w:r>
    </w:p>
    <w:p w14:paraId="2D4A4EC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4.5向采购人、采购代理机构或者有关部门报告评标中发现的违法行为；</w:t>
      </w:r>
    </w:p>
    <w:p w14:paraId="11B94A8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4.6法律、法规、规章、招标文件等规定的其它事项。</w:t>
      </w:r>
    </w:p>
    <w:p w14:paraId="6E2D31F3">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5评标委员会及其成员不得有下列行为：</w:t>
      </w:r>
    </w:p>
    <w:p w14:paraId="639242C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5.1确定参与评标至评标结束前私自接触供应商；</w:t>
      </w:r>
    </w:p>
    <w:p w14:paraId="61BE500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5.2接受供应商提出的与投标文件不一致的澄清或者说明，本办法第五十一条规定的情形除外；</w:t>
      </w:r>
    </w:p>
    <w:p w14:paraId="2C62BEE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5.3违反评标纪律发表倾向性意见或者征询采购人的倾向性意见；</w:t>
      </w:r>
    </w:p>
    <w:p w14:paraId="4BF1F4A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5.4对需要专业判断的主观评审因素协商评分；</w:t>
      </w:r>
    </w:p>
    <w:p w14:paraId="7072575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5.5在评标过程中擅离职守，影响评标程序正常进行的；</w:t>
      </w:r>
    </w:p>
    <w:p w14:paraId="3768EC3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5.6记录、复制或者带走任何评标资料；</w:t>
      </w:r>
    </w:p>
    <w:p w14:paraId="60DF394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5.7其他不遵守评标纪律的行为。                                                                                                                                                                                                                                                                                                                                       </w:t>
      </w:r>
    </w:p>
    <w:p w14:paraId="50C9607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评标委员会成员有5.1-5.5行为之一的，其评审意见无效，并不得获取评审劳务报酬和报销异地评审差旅费。</w:t>
      </w:r>
    </w:p>
    <w:p w14:paraId="6BFAFA34">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四、评审程序</w:t>
      </w:r>
    </w:p>
    <w:p w14:paraId="04D822FE">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6资格及符合性审查。</w:t>
      </w:r>
      <w:r>
        <w:rPr>
          <w:rFonts w:hint="eastAsia" w:ascii="宋体" w:hAnsi="宋体" w:eastAsia="宋体" w:cs="宋体"/>
          <w:color w:val="auto"/>
          <w:kern w:val="0"/>
          <w:sz w:val="24"/>
          <w:szCs w:val="24"/>
          <w:highlight w:val="none"/>
        </w:rPr>
        <w:t>采购人代表或采购人委托的代理机构人员对供应商资格进行审查，评标委员会对符合资格的供应商的投标文件进行符合性审查，以确定其是否满足招标文件的实质性要求。出现投标无效情形的，投标无效。</w:t>
      </w:r>
    </w:p>
    <w:p w14:paraId="2C0BEFAA">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7供应商澄清、说明或者补正。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在规定时间内供应商如未作出相应的澄清、说明或者补正的，则视为放弃该项权利。供应商的澄清、说明或者补正不得超出投标文件的范围或者改变投标文件的实质性内容。</w:t>
      </w:r>
    </w:p>
    <w:p w14:paraId="7C1A21DC">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8比较与评价。</w:t>
      </w:r>
      <w:r>
        <w:rPr>
          <w:rFonts w:hint="eastAsia" w:ascii="宋体" w:hAnsi="宋体" w:eastAsia="宋体" w:cs="宋体"/>
          <w:color w:val="auto"/>
          <w:kern w:val="0"/>
          <w:sz w:val="24"/>
          <w:szCs w:val="24"/>
          <w:highlight w:val="none"/>
        </w:rPr>
        <w:t>评标委员会应当按照评标标准，对符合性审查合格的投标文件进行商务和技术评估，综合比较与评价。</w:t>
      </w:r>
    </w:p>
    <w:p w14:paraId="6CFF50BF">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9汇总（商务技术得分情况）。</w:t>
      </w:r>
      <w:r>
        <w:rPr>
          <w:rFonts w:hint="eastAsia" w:ascii="宋体" w:hAnsi="宋体" w:eastAsia="宋体" w:cs="宋体"/>
          <w:color w:val="auto"/>
          <w:kern w:val="0"/>
          <w:sz w:val="24"/>
          <w:szCs w:val="24"/>
          <w:highlight w:val="none"/>
        </w:rPr>
        <w:t>评标委员会各成员应当独立对每个供应商的商务和技术文件进行评价，并汇总商务技术得分情况。</w:t>
      </w:r>
    </w:p>
    <w:p w14:paraId="313BFACC">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10报价审核。</w:t>
      </w:r>
      <w:r>
        <w:rPr>
          <w:rFonts w:hint="eastAsia" w:ascii="宋体" w:hAnsi="宋体" w:eastAsia="宋体" w:cs="宋体"/>
          <w:color w:val="auto"/>
          <w:kern w:val="0"/>
          <w:sz w:val="24"/>
          <w:szCs w:val="24"/>
          <w:highlight w:val="none"/>
        </w:rPr>
        <w:t>对经商务和技术评审符合采购需求的供应商的报价的合理性、准确性等进行审查核实。</w:t>
      </w:r>
    </w:p>
    <w:p w14:paraId="6B31EE7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10.1评标委员会认为供应商的报价明显低于其他通过符合性审查供应商的报价，有可能影响产品质量或者不能诚信履约的，应当要求其在线上</w:t>
      </w:r>
      <w:r>
        <w:rPr>
          <w:rFonts w:hint="eastAsia" w:ascii="宋体" w:hAnsi="宋体" w:eastAsia="宋体" w:cs="宋体"/>
          <w:color w:val="auto"/>
          <w:sz w:val="24"/>
          <w:szCs w:val="24"/>
          <w:highlight w:val="none"/>
          <w:shd w:val="clear" w:color="auto" w:fill="FFFFFF"/>
        </w:rPr>
        <w:t>半小时内</w:t>
      </w:r>
      <w:r>
        <w:rPr>
          <w:rFonts w:hint="eastAsia" w:ascii="宋体" w:hAnsi="宋体" w:eastAsia="宋体" w:cs="宋体"/>
          <w:color w:val="auto"/>
          <w:kern w:val="0"/>
          <w:sz w:val="24"/>
          <w:szCs w:val="24"/>
          <w:highlight w:val="none"/>
        </w:rPr>
        <w:t>提供说明，必要时提交相关证明材料。</w:t>
      </w:r>
      <w:r>
        <w:rPr>
          <w:rFonts w:hint="eastAsia" w:ascii="宋体" w:hAnsi="宋体" w:eastAsia="宋体" w:cs="宋体"/>
          <w:b/>
          <w:bCs/>
          <w:color w:val="auto"/>
          <w:kern w:val="0"/>
          <w:sz w:val="24"/>
          <w:szCs w:val="24"/>
          <w:highlight w:val="none"/>
        </w:rPr>
        <w:t>供应商不能提供或提供的相关材料不被评标委员会接受的，评标委员会认定其报价低于成本价，该单位报价无效。</w:t>
      </w:r>
    </w:p>
    <w:p w14:paraId="3BE8EF8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10.2投标价格的修正原则。投标文件报价出现前后不一致的，按照下列规定修正：</w:t>
      </w:r>
    </w:p>
    <w:p w14:paraId="38130C6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10.2.1投标文件中开标一览表内容与投标文件中相应内容不一致的，以开标一览表为准；</w:t>
      </w:r>
    </w:p>
    <w:p w14:paraId="7205468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10.2.2大写金额和小写金额不一致的，以大写金额为准；</w:t>
      </w:r>
    </w:p>
    <w:p w14:paraId="52CAB9F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10.2.3政采云系统中的报价与上传的电子投标文件的开标一览表内容不一致的，以上传的电子投标文件的开标一览表为准；</w:t>
      </w:r>
    </w:p>
    <w:p w14:paraId="0492696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10.2.4同时出现两种以上不一致的，按照前款规定的顺序修正。修正后的报价按照经供应商加盖公章，或者由法定代表人或其授权的代表签字确认后产生约束力，供应商不确认的，其投标无效，供应商确认可按前款评审程序中供应商澄清、说明或者补正中的方式进行。</w:t>
      </w:r>
    </w:p>
    <w:p w14:paraId="3BF3CBFF">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供应商对根据修正原则修正后的报价不确认的，投标无效。</w:t>
      </w:r>
    </w:p>
    <w:p w14:paraId="64FA9896">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11汇总得分。</w:t>
      </w:r>
      <w:r>
        <w:rPr>
          <w:rFonts w:hint="eastAsia" w:ascii="宋体" w:hAnsi="宋体" w:eastAsia="宋体" w:cs="宋体"/>
          <w:color w:val="auto"/>
          <w:kern w:val="0"/>
          <w:sz w:val="24"/>
          <w:szCs w:val="24"/>
          <w:highlight w:val="none"/>
        </w:rPr>
        <w:t>评标委员会各成员应当独立对每个供应商的投标文件进行评价，并汇总每个供应商的得分。</w:t>
      </w:r>
    </w:p>
    <w:p w14:paraId="389BB0EC">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12顺序排列与入围推荐。</w:t>
      </w:r>
    </w:p>
    <w:p w14:paraId="08DAB74F">
      <w:pPr>
        <w:spacing w:line="360" w:lineRule="auto"/>
        <w:ind w:firstLine="480" w:firstLineChars="200"/>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
          <w:bCs/>
          <w:color w:val="auto"/>
          <w:kern w:val="0"/>
          <w:sz w:val="24"/>
          <w:szCs w:val="24"/>
          <w:highlight w:val="none"/>
        </w:rPr>
        <w:t>评标委员会按评审后汇总得分由高到低顺序排列。汇总得分相同的，按投标报价（是小微企业的按照扣除后的价格计算）由低到高顺序排列；汇总得分且投标报价相同的，按照客观分得分由高到低顺序排列，客观分得分也相同的则由评标委员会投票表决确定排序。</w:t>
      </w:r>
    </w:p>
    <w:p w14:paraId="26908827">
      <w:pPr>
        <w:adjustRightInd w:val="0"/>
        <w:snapToGrid w:val="0"/>
        <w:spacing w:line="360" w:lineRule="auto"/>
        <w:ind w:right="-25"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1"/>
          <w:highlight w:val="none"/>
        </w:rPr>
        <w:t>评标委员会根据排序从后往前淘汰单位至最多入围10家单位（淘汰比例须满足进入排序单位数量的20%以上，而且至少要淘汰一家供应商）。</w:t>
      </w:r>
    </w:p>
    <w:p w14:paraId="1641FB16">
      <w:pPr>
        <w:spacing w:line="480" w:lineRule="exact"/>
        <w:ind w:firstLine="480" w:firstLineChars="200"/>
        <w:rPr>
          <w:rFonts w:ascii="宋体" w:hAnsi="宋体" w:eastAsia="宋体" w:cs="Times New Roman"/>
          <w:b/>
          <w:bCs/>
          <w:color w:val="auto"/>
          <w:kern w:val="0"/>
          <w:sz w:val="24"/>
          <w:szCs w:val="24"/>
          <w:highlight w:val="none"/>
        </w:rPr>
      </w:pPr>
      <w:r>
        <w:rPr>
          <w:rFonts w:hint="eastAsia" w:ascii="宋体" w:hAnsi="宋体" w:eastAsia="宋体" w:cs="Times New Roman"/>
          <w:color w:val="auto"/>
          <w:kern w:val="0"/>
          <w:sz w:val="24"/>
          <w:szCs w:val="24"/>
          <w:highlight w:val="none"/>
        </w:rPr>
        <w:t>12.3</w:t>
      </w:r>
      <w:r>
        <w:rPr>
          <w:rFonts w:hint="eastAsia" w:ascii="宋体" w:hAnsi="宋体" w:eastAsia="宋体" w:cs="Times New Roman"/>
          <w:b/>
          <w:bCs/>
          <w:color w:val="auto"/>
          <w:kern w:val="0"/>
          <w:sz w:val="24"/>
          <w:szCs w:val="24"/>
          <w:highlight w:val="none"/>
        </w:rPr>
        <w:t>入围供应商数量：</w:t>
      </w:r>
      <w:r>
        <w:rPr>
          <w:rFonts w:hint="eastAsia" w:ascii="宋体" w:hAnsi="宋体" w:eastAsia="宋体" w:cs="Times New Roman"/>
          <w:color w:val="auto"/>
          <w:kern w:val="0"/>
          <w:sz w:val="24"/>
          <w:szCs w:val="24"/>
          <w:highlight w:val="none"/>
        </w:rPr>
        <w:t>概算审核服务供应商最多10家。</w:t>
      </w:r>
    </w:p>
    <w:p w14:paraId="65AE1B60">
      <w:pPr>
        <w:adjustRightInd w:val="0"/>
        <w:spacing w:line="360" w:lineRule="auto"/>
        <w:ind w:firstLine="562" w:firstLineChars="200"/>
        <w:rPr>
          <w:rFonts w:ascii="宋体" w:hAnsi="宋体" w:eastAsia="宋体" w:cs="宋体"/>
          <w:color w:val="auto"/>
          <w:kern w:val="0"/>
          <w:sz w:val="24"/>
          <w:szCs w:val="24"/>
          <w:highlight w:val="none"/>
        </w:rPr>
      </w:pPr>
      <w:r>
        <w:rPr>
          <w:rFonts w:hint="eastAsia" w:ascii="宋体" w:hAnsi="宋体" w:eastAsia="宋体" w:cs="宋体"/>
          <w:b/>
          <w:bCs/>
          <w:color w:val="auto"/>
          <w:spacing w:val="20"/>
          <w:kern w:val="0"/>
          <w:sz w:val="24"/>
          <w:szCs w:val="24"/>
          <w:highlight w:val="none"/>
        </w:rPr>
        <w:t>13投标无效。</w:t>
      </w:r>
      <w:r>
        <w:rPr>
          <w:rFonts w:hint="eastAsia" w:ascii="宋体" w:hAnsi="宋体" w:eastAsia="宋体" w:cs="宋体"/>
          <w:color w:val="auto"/>
          <w:kern w:val="0"/>
          <w:sz w:val="24"/>
          <w:szCs w:val="24"/>
          <w:highlight w:val="none"/>
        </w:rPr>
        <w:t>有下列情况之一的，投标无效：</w:t>
      </w:r>
    </w:p>
    <w:p w14:paraId="1DD954C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13.1单位负责人为同一人或者存在直接控股、管理关系的不同供应商参加同一合同项下的政府采购活动的（均无效）；</w:t>
      </w:r>
    </w:p>
    <w:p w14:paraId="6F8C3D1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13.2为采购项目提供整体设计、规范编制或者项目管理、监理、检测等服务的供应商再参加该采购项目的其他采购活动的；</w:t>
      </w:r>
    </w:p>
    <w:p w14:paraId="549A742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13.3供应商不具备招标文件中规定的资格要求的（供应商未提供有效的资格证明文件的，视为供应商不具备招标文件中规定的资格要求）；</w:t>
      </w:r>
    </w:p>
    <w:p w14:paraId="55D5C78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13.4如以联合体形式参加政府采购活动的，联合体协议不符合招标文件规定的联合体协议要求的；</w:t>
      </w:r>
    </w:p>
    <w:p w14:paraId="2A3C616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13.5投标文件未按招标文件的澄清、修改的内容编制，又不符合实质性要求的；</w:t>
      </w:r>
    </w:p>
    <w:p w14:paraId="106C6FD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13.6投标文件中法定代表人授权书所载内容与本项目内容有异的；</w:t>
      </w:r>
    </w:p>
    <w:p w14:paraId="48AF681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13.7投标文件未按照招标文件要求签署、盖章的；</w:t>
      </w:r>
    </w:p>
    <w:p w14:paraId="75751A1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13.8未传输递交电子投标文件的或规定时间内未解密或解密失败的（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04CF477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13.9采购人拟采购的产品属于政府强制采购的节能产品品目清单范围的，供应商未按招标文件要求提供国家确定的认证机构出具的、处于有效期之内的节能产品认证证书的；</w:t>
      </w:r>
    </w:p>
    <w:p w14:paraId="506FED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13.10投标文件含有采购人不能接受的附加条件的；</w:t>
      </w:r>
    </w:p>
    <w:p w14:paraId="0520458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13.11投标文件中承诺的投标有效期少于招标文件中载明的投标有效期的；</w:t>
      </w:r>
    </w:p>
    <w:p w14:paraId="4A33B32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13.12供应商所投内容不符合采购需求中实质性要求的；</w:t>
      </w:r>
    </w:p>
    <w:p w14:paraId="4E60E61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13.13投标文件出现不是唯一的、有选择性投标报价的;</w:t>
      </w:r>
    </w:p>
    <w:p w14:paraId="0D111C5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13.14投标报价超过预算价或最高限价的;</w:t>
      </w:r>
    </w:p>
    <w:p w14:paraId="3B936C5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13.15报价明显低于其他通过符合性审查供应商的报价，有可能影响产品质量或者不能诚信履约的，未能按要求提供书面说明或者提交相关证明材料，不能证明其报价合理性的，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b/>
          <w:bCs/>
          <w:color w:val="auto"/>
          <w:sz w:val="24"/>
          <w:szCs w:val="24"/>
          <w:highlight w:val="none"/>
        </w:rPr>
        <w:t>或提供的相关材料不被评标委员会认可的;</w:t>
      </w:r>
    </w:p>
    <w:p w14:paraId="40B5BA4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13.16《开标一览表》填写不完整或字迹不能辨认或有漏项的；</w:t>
      </w:r>
    </w:p>
    <w:p w14:paraId="2CEE26B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13.17供应商对根据修正原则修正后的报价不确认的；</w:t>
      </w:r>
    </w:p>
    <w:p w14:paraId="754DDA5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13.18供应商提供虚假材料投标的（包括但不限于以下情节）；</w:t>
      </w:r>
    </w:p>
    <w:p w14:paraId="7E7E9074">
      <w:pPr>
        <w:spacing w:line="360" w:lineRule="auto"/>
        <w:ind w:left="718" w:leftChars="342"/>
        <w:rPr>
          <w:rFonts w:ascii="宋体" w:hAnsi="宋体" w:eastAsia="宋体" w:cs="宋体"/>
          <w:color w:val="auto"/>
          <w:szCs w:val="21"/>
          <w:highlight w:val="none"/>
        </w:rPr>
      </w:pPr>
      <w:r>
        <w:rPr>
          <w:rFonts w:hint="eastAsia" w:ascii="宋体" w:hAnsi="宋体" w:eastAsia="宋体" w:cs="宋体"/>
          <w:color w:val="auto"/>
          <w:sz w:val="24"/>
          <w:szCs w:val="24"/>
          <w:highlight w:val="none"/>
        </w:rPr>
        <w:t>13.18.1使用伪造、变造的许可证件；</w:t>
      </w:r>
    </w:p>
    <w:p w14:paraId="73D1469C">
      <w:pPr>
        <w:spacing w:line="360" w:lineRule="auto"/>
        <w:ind w:left="718" w:leftChars="342"/>
        <w:rPr>
          <w:rFonts w:ascii="宋体" w:hAnsi="宋体" w:eastAsia="宋体" w:cs="宋体"/>
          <w:color w:val="auto"/>
          <w:szCs w:val="21"/>
          <w:highlight w:val="none"/>
        </w:rPr>
      </w:pPr>
      <w:r>
        <w:rPr>
          <w:rFonts w:hint="eastAsia" w:ascii="宋体" w:hAnsi="宋体" w:eastAsia="宋体" w:cs="宋体"/>
          <w:color w:val="auto"/>
          <w:sz w:val="24"/>
          <w:szCs w:val="24"/>
          <w:highlight w:val="none"/>
        </w:rPr>
        <w:t>13.18.2提供虚假的财务状况或者业绩；</w:t>
      </w:r>
    </w:p>
    <w:p w14:paraId="73CBFB39">
      <w:pPr>
        <w:spacing w:line="360" w:lineRule="auto"/>
        <w:ind w:left="718" w:leftChars="342"/>
        <w:rPr>
          <w:rFonts w:ascii="宋体" w:hAnsi="宋体" w:eastAsia="宋体" w:cs="宋体"/>
          <w:color w:val="auto"/>
          <w:szCs w:val="21"/>
          <w:highlight w:val="none"/>
        </w:rPr>
      </w:pPr>
      <w:r>
        <w:rPr>
          <w:rFonts w:hint="eastAsia" w:ascii="宋体" w:hAnsi="宋体" w:eastAsia="宋体" w:cs="宋体"/>
          <w:color w:val="auto"/>
          <w:sz w:val="24"/>
          <w:szCs w:val="24"/>
          <w:highlight w:val="none"/>
        </w:rPr>
        <w:t>13.18.3提供虚假的项目负责人或者主要技术人员简历、劳动关系证明；</w:t>
      </w:r>
    </w:p>
    <w:p w14:paraId="5DA025EA">
      <w:pPr>
        <w:spacing w:line="360" w:lineRule="auto"/>
        <w:ind w:left="718" w:leftChars="342"/>
        <w:rPr>
          <w:rFonts w:ascii="宋体" w:hAnsi="宋体" w:eastAsia="宋体" w:cs="宋体"/>
          <w:color w:val="auto"/>
          <w:szCs w:val="21"/>
          <w:highlight w:val="none"/>
        </w:rPr>
      </w:pPr>
      <w:r>
        <w:rPr>
          <w:rFonts w:hint="eastAsia" w:ascii="宋体" w:hAnsi="宋体" w:eastAsia="宋体" w:cs="宋体"/>
          <w:color w:val="auto"/>
          <w:sz w:val="24"/>
          <w:szCs w:val="24"/>
          <w:highlight w:val="none"/>
        </w:rPr>
        <w:t>13.18.4提供虚假的信用状况；</w:t>
      </w:r>
    </w:p>
    <w:p w14:paraId="7F55D11D">
      <w:pPr>
        <w:spacing w:line="360" w:lineRule="auto"/>
        <w:ind w:left="718" w:leftChars="34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13.18.5其他弄虚作假的行为。</w:t>
      </w:r>
    </w:p>
    <w:p w14:paraId="66F3819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13.19供应商有恶意串通、妨碍其他供应商的竞争行为、损害采购人或者其</w:t>
      </w:r>
    </w:p>
    <w:p w14:paraId="19F0939C">
      <w:pPr>
        <w:spacing w:line="360" w:lineRule="auto"/>
        <w:rPr>
          <w:rFonts w:ascii="宋体" w:hAnsi="宋体" w:eastAsia="宋体" w:cs="宋体"/>
          <w:color w:val="auto"/>
          <w:szCs w:val="21"/>
          <w:highlight w:val="none"/>
        </w:rPr>
      </w:pPr>
      <w:r>
        <w:rPr>
          <w:rFonts w:hint="eastAsia" w:ascii="宋体" w:hAnsi="宋体" w:eastAsia="宋体" w:cs="宋体"/>
          <w:color w:val="auto"/>
          <w:sz w:val="24"/>
          <w:szCs w:val="24"/>
          <w:highlight w:val="none"/>
        </w:rPr>
        <w:t>他供应商的合法权益情形的；有下列情形之一的，属于或视为恶意串通，其投标无效；</w:t>
      </w:r>
    </w:p>
    <w:p w14:paraId="5221DE8F">
      <w:pPr>
        <w:spacing w:line="360" w:lineRule="auto"/>
        <w:ind w:left="239" w:leftChars="114" w:firstLine="480" w:firstLineChars="200"/>
        <w:rPr>
          <w:rFonts w:ascii="宋体" w:hAnsi="宋体" w:eastAsia="宋体" w:cs="宋体"/>
          <w:color w:val="auto"/>
          <w:szCs w:val="21"/>
          <w:highlight w:val="none"/>
        </w:rPr>
      </w:pPr>
      <w:r>
        <w:rPr>
          <w:rFonts w:hint="eastAsia" w:ascii="宋体" w:hAnsi="宋体" w:eastAsia="宋体" w:cs="宋体"/>
          <w:color w:val="auto"/>
          <w:sz w:val="24"/>
          <w:szCs w:val="24"/>
          <w:highlight w:val="none"/>
        </w:rPr>
        <w:t>13.19.1供应商直接或者间接从采购人或者采购代理机构处获得其他供应商的相关情况并修改其投标文件或者响应文件；</w:t>
      </w:r>
    </w:p>
    <w:p w14:paraId="61FFA90E">
      <w:pPr>
        <w:spacing w:line="360" w:lineRule="auto"/>
        <w:ind w:left="239" w:leftChars="114"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13.19.2供应商按照采购人或者采购代理机构的授意撤换、修改投标文件或者响应文件；</w:t>
      </w:r>
    </w:p>
    <w:p w14:paraId="0842F079">
      <w:pPr>
        <w:spacing w:line="360" w:lineRule="auto"/>
        <w:ind w:left="239" w:leftChars="114"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13.19.3供应商之间协商报价、技术方案等投标文件或者响应文件的实质性内容；</w:t>
      </w:r>
    </w:p>
    <w:p w14:paraId="09D66A7C">
      <w:pPr>
        <w:spacing w:line="360" w:lineRule="auto"/>
        <w:ind w:left="239" w:leftChars="114"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13.19.4属于同一集团、协会、商会等组织成员的供应商按照该组织要求协同参加政府采购活动；</w:t>
      </w:r>
    </w:p>
    <w:p w14:paraId="786F3A43">
      <w:pPr>
        <w:spacing w:line="360" w:lineRule="auto"/>
        <w:ind w:firstLine="720" w:firstLineChars="300"/>
        <w:rPr>
          <w:rFonts w:ascii="宋体" w:hAnsi="宋体" w:eastAsia="宋体" w:cs="宋体"/>
          <w:color w:val="auto"/>
          <w:szCs w:val="21"/>
          <w:highlight w:val="none"/>
        </w:rPr>
      </w:pPr>
      <w:r>
        <w:rPr>
          <w:rFonts w:hint="eastAsia" w:ascii="宋体" w:hAnsi="宋体" w:eastAsia="宋体" w:cs="宋体"/>
          <w:color w:val="auto"/>
          <w:sz w:val="24"/>
          <w:szCs w:val="24"/>
          <w:highlight w:val="none"/>
        </w:rPr>
        <w:t>13.19.5供应商之间事先约定由某一特定供应商入围、成交；</w:t>
      </w:r>
    </w:p>
    <w:p w14:paraId="106FF558">
      <w:pPr>
        <w:spacing w:line="360" w:lineRule="auto"/>
        <w:ind w:left="239" w:leftChars="114"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13.19.6供应商之间商定部分供应商放弃参加政府采购活动或者放弃入围、成交；</w:t>
      </w:r>
    </w:p>
    <w:p w14:paraId="4DF66789">
      <w:pPr>
        <w:spacing w:line="360" w:lineRule="auto"/>
        <w:ind w:left="239" w:leftChars="114" w:firstLine="480" w:firstLineChars="200"/>
        <w:rPr>
          <w:rFonts w:ascii="宋体" w:hAnsi="宋体" w:eastAsia="宋体" w:cs="宋体"/>
          <w:color w:val="auto"/>
          <w:szCs w:val="21"/>
          <w:highlight w:val="none"/>
        </w:rPr>
      </w:pPr>
      <w:r>
        <w:rPr>
          <w:rFonts w:hint="eastAsia" w:ascii="宋体" w:hAnsi="宋体" w:eastAsia="宋体" w:cs="宋体"/>
          <w:color w:val="auto"/>
          <w:sz w:val="24"/>
          <w:szCs w:val="24"/>
          <w:highlight w:val="none"/>
        </w:rPr>
        <w:t>13.19.7供应商与采购人或者采购代理机构之间、供应商相互之间，为谋求特定供应商中标、成交或者排斥其他供应商的其他串通行为。</w:t>
      </w:r>
    </w:p>
    <w:p w14:paraId="3980B433">
      <w:pPr>
        <w:spacing w:line="360"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13.19.8不同供应商的投标文件由同一单位或者个人编制；</w:t>
      </w:r>
    </w:p>
    <w:p w14:paraId="3B030944">
      <w:pPr>
        <w:spacing w:line="360" w:lineRule="auto"/>
        <w:ind w:firstLine="720" w:firstLineChars="300"/>
        <w:rPr>
          <w:rFonts w:ascii="宋体" w:hAnsi="宋体" w:eastAsia="宋体" w:cs="宋体"/>
          <w:color w:val="auto"/>
          <w:szCs w:val="21"/>
          <w:highlight w:val="none"/>
        </w:rPr>
      </w:pPr>
      <w:r>
        <w:rPr>
          <w:rFonts w:hint="eastAsia" w:ascii="宋体" w:hAnsi="宋体" w:eastAsia="宋体" w:cs="宋体"/>
          <w:color w:val="auto"/>
          <w:sz w:val="24"/>
          <w:szCs w:val="24"/>
          <w:highlight w:val="none"/>
        </w:rPr>
        <w:t>13.19.9不同供应商委托同一单位或者个人办理投标事宜；</w:t>
      </w:r>
    </w:p>
    <w:p w14:paraId="09516A70">
      <w:pPr>
        <w:spacing w:line="360" w:lineRule="auto"/>
        <w:ind w:left="239" w:leftChars="114"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13.19.10不同供应商的投标文件载明的项目管理成员或者联系人员为同一人；</w:t>
      </w:r>
    </w:p>
    <w:p w14:paraId="15ECB95A">
      <w:pPr>
        <w:spacing w:line="360"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13.19.11不同供应商的投标文件异常一致或者投标报价呈规律性差异。</w:t>
      </w:r>
    </w:p>
    <w:p w14:paraId="6784B991">
      <w:pPr>
        <w:autoSpaceDE w:val="0"/>
        <w:autoSpaceDN w:val="0"/>
        <w:adjustRightInd w:val="0"/>
        <w:spacing w:line="360" w:lineRule="auto"/>
        <w:ind w:firstLine="480" w:firstLineChars="200"/>
        <w:rPr>
          <w:rFonts w:ascii="Calibri" w:hAnsi="宋体" w:eastAsia="宋体" w:cs="Times New Roman"/>
          <w:color w:val="auto"/>
          <w:kern w:val="0"/>
          <w:sz w:val="20"/>
          <w:szCs w:val="21"/>
          <w:highlight w:val="none"/>
        </w:rPr>
      </w:pPr>
      <w:r>
        <w:rPr>
          <w:rFonts w:hint="eastAsia" w:ascii="宋体" w:hAnsi="宋体" w:eastAsia="宋体" w:cs="宋体"/>
          <w:color w:val="auto"/>
          <w:kern w:val="0"/>
          <w:sz w:val="24"/>
          <w:szCs w:val="24"/>
          <w:highlight w:val="none"/>
        </w:rPr>
        <w:t>13.20供应商未按招标文件要求提供廉洁承诺书的；</w:t>
      </w:r>
    </w:p>
    <w:p w14:paraId="17ACB422">
      <w:pPr>
        <w:spacing w:line="360" w:lineRule="auto"/>
        <w:ind w:firstLine="480" w:firstLineChars="200"/>
        <w:rPr>
          <w:rFonts w:ascii="宋体" w:hAnsi="宋体" w:eastAsia="宋体" w:cs="宋体"/>
          <w:color w:val="auto"/>
          <w:szCs w:val="21"/>
          <w:highlight w:val="none"/>
        </w:rPr>
      </w:pPr>
      <w:r>
        <w:rPr>
          <w:rFonts w:hint="eastAsia" w:ascii="宋体" w:hAnsi="宋体" w:eastAsia="宋体" w:cs="宋体"/>
          <w:color w:val="auto"/>
          <w:sz w:val="24"/>
          <w:szCs w:val="24"/>
          <w:highlight w:val="none"/>
        </w:rPr>
        <w:t>13.21法律、法规、规章（适用本市的）及省级以上规范性文件（适用本市的）规定的其他无效情形。</w:t>
      </w:r>
    </w:p>
    <w:p w14:paraId="5A55E9F2">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五、评标报告</w:t>
      </w:r>
    </w:p>
    <w:p w14:paraId="35A61832">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14评标报告与推荐入围供应商。</w:t>
      </w:r>
      <w:r>
        <w:rPr>
          <w:rFonts w:hint="eastAsia" w:ascii="宋体" w:hAnsi="宋体" w:eastAsia="宋体" w:cs="宋体"/>
          <w:color w:val="auto"/>
          <w:sz w:val="24"/>
          <w:szCs w:val="24"/>
          <w:highlight w:val="none"/>
        </w:rPr>
        <w:t>评标委员会根据全体评标成员签字的原始评标记录和评标结果编写评标报告，并推荐</w:t>
      </w:r>
      <w:r>
        <w:rPr>
          <w:rFonts w:hint="eastAsia" w:ascii="宋体" w:hAnsi="宋体" w:eastAsia="宋体" w:cs="宋体"/>
          <w:b/>
          <w:bCs/>
          <w:color w:val="auto"/>
          <w:sz w:val="24"/>
          <w:szCs w:val="24"/>
          <w:highlight w:val="none"/>
        </w:rPr>
        <w:t>入围供应商</w:t>
      </w:r>
      <w:r>
        <w:rPr>
          <w:rFonts w:hint="eastAsia" w:ascii="宋体" w:hAnsi="宋体" w:eastAsia="宋体" w:cs="宋体"/>
          <w:color w:val="auto"/>
          <w:sz w:val="24"/>
          <w:szCs w:val="24"/>
          <w:highlight w:val="none"/>
        </w:rPr>
        <w:t>，评审报告由评标委员会成员签字确认提交。</w:t>
      </w:r>
    </w:p>
    <w:p w14:paraId="13F8854A">
      <w:pPr>
        <w:widowControl/>
        <w:spacing w:before="100" w:beforeAutospacing="1" w:after="100" w:afterAutospacing="1" w:line="360" w:lineRule="auto"/>
        <w:ind w:firstLine="482" w:firstLineChars="200"/>
        <w:jc w:val="left"/>
        <w:rPr>
          <w:rFonts w:ascii="宋体" w:hAnsi="宋体" w:eastAsia="宋体" w:cs="宋体"/>
          <w:color w:val="auto"/>
          <w:szCs w:val="21"/>
          <w:highlight w:val="none"/>
        </w:rPr>
      </w:pPr>
      <w:r>
        <w:rPr>
          <w:rFonts w:hint="eastAsia" w:ascii="宋体" w:hAnsi="宋体" w:eastAsia="宋体" w:cs="宋体"/>
          <w:b/>
          <w:bCs/>
          <w:color w:val="auto"/>
          <w:sz w:val="24"/>
          <w:szCs w:val="24"/>
          <w:highlight w:val="none"/>
        </w:rPr>
        <w:t>15评标争议事项处理。</w:t>
      </w: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20699DC">
      <w:pPr>
        <w:widowControl/>
        <w:spacing w:before="100" w:beforeAutospacing="1" w:after="100" w:afterAutospacing="1" w:line="360" w:lineRule="auto"/>
        <w:ind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 废标</w:t>
      </w:r>
    </w:p>
    <w:p w14:paraId="78BB9DA0">
      <w:pPr>
        <w:adjustRightInd w:val="0"/>
        <w:snapToGrid w:val="0"/>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16废标。</w:t>
      </w:r>
      <w:r>
        <w:rPr>
          <w:rFonts w:hint="eastAsia" w:ascii="宋体" w:hAnsi="宋体" w:eastAsia="宋体" w:cs="Times New Roman"/>
          <w:color w:val="auto"/>
          <w:kern w:val="0"/>
          <w:sz w:val="24"/>
          <w:szCs w:val="24"/>
          <w:highlight w:val="none"/>
        </w:rPr>
        <w:t>根据《中华人民共和国政府采购法》第三十六条之规定，在采购中，出现下列情形之一的，应予废标：</w:t>
      </w:r>
    </w:p>
    <w:p w14:paraId="626C69FF">
      <w:pPr>
        <w:adjustRightInd w:val="0"/>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16.1符合专业条件的供应商或者对招标文件作实质响应的供应商不足3家的；</w:t>
      </w:r>
    </w:p>
    <w:p w14:paraId="2CB49BAD">
      <w:pPr>
        <w:adjustRightInd w:val="0"/>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16.2出现影响采购公正的违法、违规行为的；</w:t>
      </w:r>
    </w:p>
    <w:p w14:paraId="58DD0587">
      <w:pPr>
        <w:adjustRightInd w:val="0"/>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16.3供应商的报价均超过了采购预算，采购人不能支付的；</w:t>
      </w:r>
    </w:p>
    <w:p w14:paraId="24432879">
      <w:pPr>
        <w:adjustRightInd w:val="0"/>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16.4因重大变故，采购任务取消的。</w:t>
      </w:r>
    </w:p>
    <w:p w14:paraId="30DF0889">
      <w:pPr>
        <w:adjustRightInd w:val="0"/>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废标后，采购代理机构应当将废标理由通知所有供应商。</w:t>
      </w:r>
    </w:p>
    <w:p w14:paraId="7B30E84D">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 重新组织采购或补充征集供应商</w:t>
      </w:r>
    </w:p>
    <w:p w14:paraId="4CE2FE65">
      <w:pPr>
        <w:adjustRightInd w:val="0"/>
        <w:snapToGrid w:val="0"/>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17修改招标文件，重新组织采购活动。</w:t>
      </w:r>
      <w:r>
        <w:rPr>
          <w:rFonts w:hint="eastAsia" w:ascii="宋体" w:hAnsi="宋体" w:eastAsia="宋体" w:cs="Times New Roman"/>
          <w:color w:val="auto"/>
          <w:kern w:val="0"/>
          <w:sz w:val="24"/>
          <w:szCs w:val="24"/>
          <w:highlight w:val="none"/>
        </w:rPr>
        <w:t>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14:paraId="18CC4690">
      <w:pPr>
        <w:adjustRightInd w:val="0"/>
        <w:snapToGrid w:val="0"/>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18重新开展采购。有政府采购法第七十一条、第七十二条规定的违法行为之一，影响或者可能影响入围结果的，依照下列规定处理：</w:t>
      </w:r>
    </w:p>
    <w:p w14:paraId="1E616E9D">
      <w:pPr>
        <w:adjustRightInd w:val="0"/>
        <w:snapToGrid w:val="0"/>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18.1未确定入围供应商的，终止本次政府采购活动，重新开展政府采购活动。</w:t>
      </w:r>
    </w:p>
    <w:p w14:paraId="4704C918">
      <w:pPr>
        <w:adjustRightInd w:val="0"/>
        <w:snapToGrid w:val="0"/>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18.2已确定入围供应商但尚未签订框架协议的，对违法单位直接取消其入围资格且禁止其参与下一次框架协议的签订。</w:t>
      </w:r>
    </w:p>
    <w:p w14:paraId="4CA46756">
      <w:pPr>
        <w:adjustRightInd w:val="0"/>
        <w:snapToGrid w:val="0"/>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18.3框架协议已签订但尚未履行的，取消其框架协议，被取消框架协议单位超过30%且影响框架协议执行的情形时，采购人将补充征集供应商，补充征集文件按照本次要求不得随意变更。</w:t>
      </w:r>
    </w:p>
    <w:p w14:paraId="024D1F53">
      <w:pPr>
        <w:adjustRightInd w:val="0"/>
        <w:snapToGrid w:val="0"/>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18.4单项服务合同已经履行，给采购人、供应商造成损失的，由责任人承担赔偿责任。</w:t>
      </w:r>
    </w:p>
    <w:p w14:paraId="06E80DBD">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八、评审过程的保密与录像</w:t>
      </w:r>
    </w:p>
    <w:p w14:paraId="66E02315">
      <w:pPr>
        <w:widowControl/>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19保密。</w:t>
      </w:r>
      <w:r>
        <w:rPr>
          <w:rFonts w:hint="eastAsia" w:ascii="宋体" w:hAnsi="宋体" w:eastAsia="宋体" w:cs="宋体"/>
          <w:color w:val="auto"/>
          <w:sz w:val="24"/>
          <w:szCs w:val="24"/>
          <w:highlight w:val="none"/>
        </w:rPr>
        <w:t>评审活动在严格保密的情况下进行。评审过程中凡是与采购响应文件评审和比较、中标供应商推荐等评审有关的情况，以及涉及国家秘密和商业秘密等信息，评审委员会成员、采购人和采购代理机构工作人员、相关监督人员等与评审有关的人员应当予以保密。</w:t>
      </w:r>
    </w:p>
    <w:p w14:paraId="37826579">
      <w:pPr>
        <w:widowControl/>
        <w:spacing w:line="360" w:lineRule="auto"/>
        <w:ind w:firstLine="482" w:firstLineChars="200"/>
        <w:rPr>
          <w:rFonts w:ascii="Calibri" w:hAnsi="Calibri" w:eastAsia="宋体" w:cs="Calibri"/>
          <w:color w:val="auto"/>
          <w:szCs w:val="21"/>
          <w:highlight w:val="none"/>
        </w:rPr>
      </w:pPr>
      <w:r>
        <w:rPr>
          <w:rFonts w:hint="eastAsia" w:ascii="宋体" w:hAnsi="宋体" w:eastAsia="宋体" w:cs="宋体"/>
          <w:b/>
          <w:bCs/>
          <w:color w:val="auto"/>
          <w:sz w:val="24"/>
          <w:szCs w:val="24"/>
          <w:highlight w:val="none"/>
        </w:rPr>
        <w:t>20录音录像。</w:t>
      </w:r>
      <w:r>
        <w:rPr>
          <w:rFonts w:hint="eastAsia" w:ascii="宋体" w:hAnsi="宋体" w:eastAsia="宋体" w:cs="宋体"/>
          <w:color w:val="auto"/>
          <w:sz w:val="24"/>
          <w:szCs w:val="24"/>
          <w:highlight w:val="none"/>
        </w:rPr>
        <w:t>采购代理机构对评审工作现场进行全过程录音录像，录音录像资料作为采购项目文件随其他文件一并存档。</w:t>
      </w:r>
    </w:p>
    <w:p w14:paraId="3206C7AA">
      <w:pPr>
        <w:snapToGrid w:val="0"/>
        <w:spacing w:line="360" w:lineRule="auto"/>
        <w:ind w:left="118" w:leftChars="56" w:firstLine="643" w:firstLineChars="200"/>
        <w:jc w:val="center"/>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九、具体评标标准</w:t>
      </w:r>
    </w:p>
    <w:p w14:paraId="3BD23FCD">
      <w:pPr>
        <w:widowControl/>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21本项目采用质量优先法，各供应商的最终得分为供应商的商务技术得分和报价得分的合计值，总分为100分</w:t>
      </w:r>
      <w:r>
        <w:rPr>
          <w:rFonts w:hint="eastAsia" w:ascii="宋体" w:hAnsi="宋体" w:eastAsia="宋体" w:cs="宋体"/>
          <w:b/>
          <w:bCs/>
          <w:color w:val="auto"/>
          <w:sz w:val="24"/>
          <w:szCs w:val="24"/>
          <w:highlight w:val="none"/>
        </w:rPr>
        <w:t>。</w:t>
      </w:r>
    </w:p>
    <w:p w14:paraId="1C52703F">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22各供应商的商务技术得分为：评标委员会各成员评分的算术平均值（四舍五入保留二位小数）。</w:t>
      </w:r>
    </w:p>
    <w:p w14:paraId="14BD2D2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23投标报价</w:t>
      </w:r>
      <w:r>
        <w:rPr>
          <w:rFonts w:hint="eastAsia" w:ascii="宋体" w:hAnsi="宋体" w:eastAsia="宋体" w:cs="宋体"/>
          <w:color w:val="auto"/>
          <w:sz w:val="24"/>
          <w:szCs w:val="24"/>
          <w:highlight w:val="none"/>
          <w:lang w:val="zh-CN"/>
        </w:rPr>
        <w:t>合理性</w:t>
      </w:r>
      <w:r>
        <w:rPr>
          <w:rFonts w:hint="eastAsia" w:ascii="宋体" w:hAnsi="宋体" w:eastAsia="宋体" w:cs="宋体"/>
          <w:color w:val="auto"/>
          <w:sz w:val="24"/>
          <w:szCs w:val="24"/>
          <w:highlight w:val="none"/>
        </w:rPr>
        <w:t>审查</w:t>
      </w:r>
      <w:r>
        <w:rPr>
          <w:rFonts w:hint="eastAsia" w:ascii="宋体" w:hAnsi="宋体" w:eastAsia="宋体" w:cs="宋体"/>
          <w:color w:val="auto"/>
          <w:sz w:val="24"/>
          <w:szCs w:val="24"/>
          <w:highlight w:val="none"/>
          <w:lang w:val="zh-CN"/>
        </w:rPr>
        <w:t>：分析总报价及各个分项报价是否合理，报价范围是否完整，有否重大错漏项</w:t>
      </w:r>
      <w:r>
        <w:rPr>
          <w:rFonts w:hint="eastAsia" w:ascii="宋体" w:hAnsi="宋体" w:eastAsia="宋体" w:cs="宋体"/>
          <w:color w:val="auto"/>
          <w:sz w:val="24"/>
          <w:szCs w:val="24"/>
          <w:highlight w:val="none"/>
        </w:rPr>
        <w:t>，评标委员会认为投标报价出现异常时，有权要求供应商在评标期间对投标报价的详细组成和投标产品的供应渠道等事项作出解释和澄清，并确认其投标报价是否有效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报价明显低于其他供应商报价可能导致服务质量问题的，评标委员会首先对报价进行评估，必要时要求供应商在规定的时间内对其报价进行解释，供应商不能证明其报价合理性的或经评标委员会讨论表决不被认可的报价无效。</w:t>
      </w:r>
    </w:p>
    <w:p w14:paraId="00038FD3">
      <w:pPr>
        <w:snapToGrid w:val="0"/>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24投标人评标综合得分=商务技术分（90分）+报价得分（10分）</w:t>
      </w:r>
    </w:p>
    <w:p w14:paraId="038B474D">
      <w:pPr>
        <w:snapToGrid w:val="0"/>
        <w:spacing w:line="460" w:lineRule="exact"/>
        <w:ind w:firstLine="482" w:firstLineChars="200"/>
        <w:rPr>
          <w:rFonts w:ascii="宋体" w:hAnsi="宋体" w:eastAsia="宋体" w:cs="宋体"/>
          <w:b/>
          <w:bCs/>
          <w:i/>
          <w:iCs/>
          <w:color w:val="auto"/>
          <w:sz w:val="24"/>
          <w:szCs w:val="24"/>
          <w:highlight w:val="none"/>
        </w:rPr>
      </w:pPr>
      <w:r>
        <w:rPr>
          <w:rFonts w:hint="eastAsia" w:ascii="宋体" w:hAnsi="宋体" w:eastAsia="宋体" w:cs="宋体"/>
          <w:b/>
          <w:bCs/>
          <w:color w:val="auto"/>
          <w:sz w:val="24"/>
          <w:szCs w:val="24"/>
          <w:highlight w:val="none"/>
        </w:rPr>
        <w:t>25评分细则：</w:t>
      </w:r>
    </w:p>
    <w:tbl>
      <w:tblPr>
        <w:tblStyle w:val="7"/>
        <w:tblW w:w="9541"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15" w:type="dxa"/>
          <w:left w:w="108" w:type="dxa"/>
          <w:bottom w:w="15" w:type="dxa"/>
          <w:right w:w="108" w:type="dxa"/>
        </w:tblCellMar>
      </w:tblPr>
      <w:tblGrid>
        <w:gridCol w:w="597"/>
        <w:gridCol w:w="1272"/>
        <w:gridCol w:w="1485"/>
        <w:gridCol w:w="6187"/>
      </w:tblGrid>
      <w:tr w14:paraId="50BA3AF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460" w:hRule="atLeast"/>
          <w:jc w:val="center"/>
        </w:trPr>
        <w:tc>
          <w:tcPr>
            <w:tcW w:w="597" w:type="dxa"/>
            <w:vAlign w:val="center"/>
          </w:tcPr>
          <w:p w14:paraId="01D5DA0E">
            <w:pPr>
              <w:widowControl/>
              <w:spacing w:line="300" w:lineRule="exact"/>
              <w:jc w:val="center"/>
              <w:rPr>
                <w:rFonts w:ascii="宋体" w:hAnsi="宋体" w:eastAsia="宋体" w:cs="宋体"/>
                <w:b/>
                <w:bCs/>
                <w:color w:val="auto"/>
                <w:kern w:val="0"/>
                <w:sz w:val="22"/>
                <w:szCs w:val="20"/>
                <w:highlight w:val="none"/>
              </w:rPr>
            </w:pPr>
            <w:r>
              <w:rPr>
                <w:rFonts w:hint="eastAsia" w:ascii="宋体" w:hAnsi="宋体" w:eastAsia="宋体" w:cs="宋体"/>
                <w:b/>
                <w:bCs/>
                <w:color w:val="auto"/>
                <w:kern w:val="0"/>
                <w:sz w:val="22"/>
                <w:szCs w:val="20"/>
                <w:highlight w:val="none"/>
              </w:rPr>
              <w:t>序号</w:t>
            </w:r>
          </w:p>
        </w:tc>
        <w:tc>
          <w:tcPr>
            <w:tcW w:w="1272" w:type="dxa"/>
            <w:vAlign w:val="center"/>
          </w:tcPr>
          <w:p w14:paraId="2B94BD0E">
            <w:pPr>
              <w:widowControl/>
              <w:spacing w:line="300" w:lineRule="exact"/>
              <w:jc w:val="center"/>
              <w:rPr>
                <w:rFonts w:ascii="宋体" w:hAnsi="宋体" w:eastAsia="宋体" w:cs="宋体"/>
                <w:b/>
                <w:bCs/>
                <w:color w:val="auto"/>
                <w:kern w:val="0"/>
                <w:sz w:val="22"/>
                <w:szCs w:val="20"/>
                <w:highlight w:val="none"/>
              </w:rPr>
            </w:pPr>
            <w:r>
              <w:rPr>
                <w:rFonts w:hint="eastAsia" w:ascii="宋体" w:hAnsi="宋体" w:eastAsia="宋体" w:cs="宋体"/>
                <w:b/>
                <w:bCs/>
                <w:color w:val="auto"/>
                <w:kern w:val="0"/>
                <w:sz w:val="22"/>
                <w:szCs w:val="20"/>
                <w:highlight w:val="none"/>
              </w:rPr>
              <w:t>评分大项</w:t>
            </w:r>
          </w:p>
        </w:tc>
        <w:tc>
          <w:tcPr>
            <w:tcW w:w="1485" w:type="dxa"/>
            <w:vAlign w:val="center"/>
          </w:tcPr>
          <w:p w14:paraId="2C876340">
            <w:pPr>
              <w:widowControl/>
              <w:spacing w:line="300" w:lineRule="exact"/>
              <w:rPr>
                <w:rFonts w:ascii="宋体" w:hAnsi="宋体" w:eastAsia="宋体" w:cs="宋体"/>
                <w:b/>
                <w:bCs/>
                <w:color w:val="auto"/>
                <w:kern w:val="0"/>
                <w:sz w:val="22"/>
                <w:szCs w:val="20"/>
                <w:highlight w:val="none"/>
              </w:rPr>
            </w:pPr>
            <w:r>
              <w:rPr>
                <w:rFonts w:hint="eastAsia" w:ascii="宋体" w:hAnsi="宋体" w:eastAsia="宋体" w:cs="宋体"/>
                <w:b/>
                <w:bCs/>
                <w:color w:val="auto"/>
                <w:kern w:val="0"/>
                <w:sz w:val="22"/>
                <w:szCs w:val="20"/>
                <w:highlight w:val="none"/>
              </w:rPr>
              <w:t>评分小项</w:t>
            </w:r>
          </w:p>
        </w:tc>
        <w:tc>
          <w:tcPr>
            <w:tcW w:w="6187" w:type="dxa"/>
            <w:vAlign w:val="center"/>
          </w:tcPr>
          <w:p w14:paraId="22A0A921">
            <w:pPr>
              <w:widowControl/>
              <w:spacing w:line="300" w:lineRule="exact"/>
              <w:ind w:firstLine="1546" w:firstLineChars="700"/>
              <w:rPr>
                <w:rFonts w:ascii="宋体" w:hAnsi="宋体" w:eastAsia="宋体" w:cs="宋体"/>
                <w:b/>
                <w:bCs/>
                <w:color w:val="auto"/>
                <w:kern w:val="0"/>
                <w:sz w:val="22"/>
                <w:szCs w:val="20"/>
                <w:highlight w:val="none"/>
              </w:rPr>
            </w:pPr>
            <w:r>
              <w:rPr>
                <w:rFonts w:hint="eastAsia" w:ascii="宋体" w:hAnsi="宋体" w:eastAsia="宋体" w:cs="宋体"/>
                <w:b/>
                <w:bCs/>
                <w:color w:val="auto"/>
                <w:kern w:val="0"/>
                <w:sz w:val="22"/>
                <w:szCs w:val="20"/>
                <w:highlight w:val="none"/>
              </w:rPr>
              <w:t>评分计算方法</w:t>
            </w:r>
          </w:p>
        </w:tc>
      </w:tr>
      <w:tr w14:paraId="5617B67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828" w:hRule="atLeast"/>
          <w:jc w:val="center"/>
        </w:trPr>
        <w:tc>
          <w:tcPr>
            <w:tcW w:w="597" w:type="dxa"/>
            <w:vMerge w:val="restart"/>
            <w:vAlign w:val="center"/>
          </w:tcPr>
          <w:p w14:paraId="7C30CCAE">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1</w:t>
            </w:r>
          </w:p>
        </w:tc>
        <w:tc>
          <w:tcPr>
            <w:tcW w:w="1272" w:type="dxa"/>
            <w:vMerge w:val="restart"/>
            <w:vAlign w:val="center"/>
          </w:tcPr>
          <w:p w14:paraId="22479D81">
            <w:pPr>
              <w:adjustRightInd w:val="0"/>
              <w:snapToGrid w:val="0"/>
              <w:jc w:val="center"/>
              <w:rPr>
                <w:rFonts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资信业绩</w:t>
            </w:r>
          </w:p>
          <w:p w14:paraId="6AADADA5">
            <w:pPr>
              <w:widowControl/>
              <w:spacing w:line="300" w:lineRule="exact"/>
              <w:jc w:val="center"/>
              <w:rPr>
                <w:rFonts w:ascii="宋体" w:hAnsi="宋体" w:eastAsia="宋体" w:cs="宋体"/>
                <w:b/>
                <w:bCs/>
                <w:color w:val="auto"/>
                <w:kern w:val="0"/>
                <w:sz w:val="22"/>
                <w:szCs w:val="24"/>
                <w:highlight w:val="none"/>
              </w:rPr>
            </w:pPr>
            <w:r>
              <w:rPr>
                <w:rFonts w:hint="eastAsia" w:ascii="宋体" w:hAnsi="宋体" w:eastAsia="宋体" w:cs="宋体"/>
                <w:b/>
                <w:bCs/>
                <w:color w:val="auto"/>
                <w:sz w:val="22"/>
                <w:szCs w:val="24"/>
                <w:highlight w:val="none"/>
              </w:rPr>
              <w:t>及专业能力（0-16分）</w:t>
            </w:r>
          </w:p>
        </w:tc>
        <w:tc>
          <w:tcPr>
            <w:tcW w:w="1485" w:type="dxa"/>
            <w:vAlign w:val="center"/>
          </w:tcPr>
          <w:p w14:paraId="798BA0FC">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工作实绩（0-1分）</w:t>
            </w:r>
          </w:p>
          <w:p w14:paraId="7D863DA8">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（客观）</w:t>
            </w:r>
          </w:p>
        </w:tc>
        <w:tc>
          <w:tcPr>
            <w:tcW w:w="6187" w:type="dxa"/>
            <w:vAlign w:val="center"/>
          </w:tcPr>
          <w:p w14:paraId="6B1830E4">
            <w:pPr>
              <w:widowControl/>
              <w:rPr>
                <w:rFonts w:ascii="宋体" w:hAnsi="宋体" w:eastAsia="宋体" w:cs="宋体"/>
                <w:color w:val="auto"/>
                <w:kern w:val="0"/>
                <w:sz w:val="22"/>
                <w:szCs w:val="24"/>
                <w:highlight w:val="none"/>
              </w:rPr>
            </w:pPr>
            <w:r>
              <w:rPr>
                <w:rFonts w:hint="eastAsia" w:ascii="宋体" w:hAnsi="宋体" w:eastAsia="宋体" w:cs="宋体"/>
                <w:bCs/>
                <w:color w:val="auto"/>
                <w:sz w:val="22"/>
                <w:szCs w:val="24"/>
                <w:highlight w:val="none"/>
              </w:rPr>
              <w:t>投标人自投标截止时间前3年以来（以中标通知书或委托合同时间为准），具有服务期限在2个服务年度及以上的政府投资初步设计概算审核项目或工程预算审核（招标控制价审核）入围项目业绩，按送审金额</w:t>
            </w:r>
            <w:r>
              <w:rPr>
                <w:rFonts w:ascii="宋体" w:hAnsi="宋体" w:eastAsia="宋体" w:cs="宋体"/>
                <w:bCs/>
                <w:color w:val="auto"/>
                <w:sz w:val="22"/>
                <w:szCs w:val="24"/>
                <w:highlight w:val="none"/>
              </w:rPr>
              <w:t>5000万</w:t>
            </w:r>
            <w:r>
              <w:rPr>
                <w:rFonts w:hint="eastAsia" w:ascii="宋体" w:hAnsi="宋体" w:eastAsia="宋体" w:cs="宋体"/>
                <w:bCs/>
                <w:color w:val="auto"/>
                <w:sz w:val="22"/>
                <w:szCs w:val="24"/>
                <w:highlight w:val="none"/>
              </w:rPr>
              <w:t>以上项目每个得0.2分，</w:t>
            </w:r>
            <w:r>
              <w:rPr>
                <w:rFonts w:ascii="宋体" w:hAnsi="宋体" w:eastAsia="宋体" w:cs="宋体"/>
                <w:bCs/>
                <w:color w:val="auto"/>
                <w:sz w:val="22"/>
                <w:szCs w:val="24"/>
                <w:highlight w:val="none"/>
              </w:rPr>
              <w:t>5000万</w:t>
            </w:r>
            <w:r>
              <w:rPr>
                <w:rFonts w:hint="eastAsia" w:ascii="宋体" w:hAnsi="宋体" w:eastAsia="宋体" w:cs="宋体"/>
                <w:bCs/>
                <w:color w:val="auto"/>
                <w:sz w:val="22"/>
                <w:szCs w:val="24"/>
                <w:highlight w:val="none"/>
              </w:rPr>
              <w:t>以下项目每个得0.1分，最高得1分。（0～1分）［提供集中类或框架类或入围类的年度中标通知书（或委托合同）复印件加盖单位公章］</w:t>
            </w:r>
          </w:p>
        </w:tc>
      </w:tr>
      <w:tr w14:paraId="7EAC535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97" w:type="dxa"/>
            <w:vMerge w:val="continue"/>
            <w:vAlign w:val="center"/>
          </w:tcPr>
          <w:p w14:paraId="63688CCD">
            <w:pPr>
              <w:widowControl/>
              <w:spacing w:line="300" w:lineRule="exact"/>
              <w:jc w:val="center"/>
              <w:rPr>
                <w:rFonts w:ascii="宋体" w:hAnsi="宋体" w:eastAsia="宋体" w:cs="宋体"/>
                <w:color w:val="auto"/>
                <w:kern w:val="0"/>
                <w:sz w:val="22"/>
                <w:szCs w:val="24"/>
                <w:highlight w:val="none"/>
              </w:rPr>
            </w:pPr>
          </w:p>
        </w:tc>
        <w:tc>
          <w:tcPr>
            <w:tcW w:w="1272" w:type="dxa"/>
            <w:vMerge w:val="continue"/>
            <w:vAlign w:val="center"/>
          </w:tcPr>
          <w:p w14:paraId="727A3A34">
            <w:pPr>
              <w:widowControl/>
              <w:spacing w:line="300" w:lineRule="exact"/>
              <w:rPr>
                <w:rFonts w:ascii="宋体" w:hAnsi="宋体" w:eastAsia="宋体" w:cs="宋体"/>
                <w:b/>
                <w:bCs/>
                <w:color w:val="auto"/>
                <w:kern w:val="0"/>
                <w:sz w:val="22"/>
                <w:szCs w:val="24"/>
                <w:highlight w:val="none"/>
              </w:rPr>
            </w:pPr>
          </w:p>
        </w:tc>
        <w:tc>
          <w:tcPr>
            <w:tcW w:w="1485" w:type="dxa"/>
            <w:tcBorders>
              <w:top w:val="single" w:color="auto" w:sz="4" w:space="0"/>
            </w:tcBorders>
            <w:vAlign w:val="center"/>
          </w:tcPr>
          <w:p w14:paraId="152FE228">
            <w:pPr>
              <w:spacing w:line="480" w:lineRule="exact"/>
              <w:jc w:val="center"/>
              <w:rPr>
                <w:rFonts w:ascii="宋体" w:hAnsi="宋体" w:eastAsia="宋体" w:cs="宋体"/>
                <w:color w:val="auto"/>
                <w:kern w:val="0"/>
                <w:sz w:val="22"/>
                <w:szCs w:val="24"/>
                <w:highlight w:val="none"/>
              </w:rPr>
            </w:pPr>
            <w:r>
              <w:rPr>
                <w:rFonts w:hint="eastAsia" w:ascii="宋体" w:hAnsi="宋体" w:eastAsia="宋体" w:cs="宋体"/>
                <w:color w:val="auto"/>
                <w:sz w:val="22"/>
                <w:szCs w:val="24"/>
                <w:highlight w:val="none"/>
              </w:rPr>
              <w:t>业务能力（0-10分）（客观）</w:t>
            </w:r>
          </w:p>
        </w:tc>
        <w:tc>
          <w:tcPr>
            <w:tcW w:w="6187" w:type="dxa"/>
            <w:tcBorders>
              <w:top w:val="single" w:color="auto" w:sz="4" w:space="0"/>
            </w:tcBorders>
            <w:vAlign w:val="center"/>
          </w:tcPr>
          <w:p w14:paraId="7ADE7B69">
            <w:pPr>
              <w:widowControl/>
              <w:spacing w:line="300" w:lineRule="exact"/>
              <w:jc w:val="left"/>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拟派团队基本质情况：</w:t>
            </w:r>
          </w:p>
          <w:p w14:paraId="48027C05">
            <w:pPr>
              <w:widowControl/>
              <w:spacing w:line="300" w:lineRule="exact"/>
              <w:jc w:val="left"/>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1、选派项目负责人情况：同时具备工程类高级职称和一级注册造价师资格的得1分；在此基础上具有其他建设类国家注册类资格证书的每个加</w:t>
            </w:r>
            <w:r>
              <w:rPr>
                <w:rFonts w:hint="eastAsia" w:ascii="宋体" w:hAnsi="宋体" w:eastAsia="宋体" w:cs="宋体"/>
                <w:color w:val="auto"/>
                <w:kern w:val="0"/>
                <w:sz w:val="22"/>
                <w:szCs w:val="24"/>
                <w:highlight w:val="none"/>
                <w:lang w:val="en-US" w:eastAsia="zh-CN"/>
              </w:rPr>
              <w:t>1</w:t>
            </w:r>
            <w:r>
              <w:rPr>
                <w:rFonts w:hint="eastAsia" w:ascii="宋体" w:hAnsi="宋体" w:eastAsia="宋体" w:cs="宋体"/>
                <w:color w:val="auto"/>
                <w:kern w:val="0"/>
                <w:sz w:val="22"/>
                <w:szCs w:val="24"/>
                <w:highlight w:val="none"/>
              </w:rPr>
              <w:t>分，最高加</w:t>
            </w:r>
            <w:r>
              <w:rPr>
                <w:rFonts w:hint="eastAsia" w:ascii="宋体" w:hAnsi="宋体" w:eastAsia="宋体" w:cs="宋体"/>
                <w:color w:val="auto"/>
                <w:kern w:val="0"/>
                <w:sz w:val="22"/>
                <w:szCs w:val="24"/>
                <w:highlight w:val="none"/>
                <w:lang w:val="en-US" w:eastAsia="zh-CN"/>
              </w:rPr>
              <w:t>2</w:t>
            </w:r>
            <w:r>
              <w:rPr>
                <w:rFonts w:hint="eastAsia" w:ascii="宋体" w:hAnsi="宋体" w:eastAsia="宋体" w:cs="宋体"/>
                <w:color w:val="auto"/>
                <w:kern w:val="0"/>
                <w:sz w:val="22"/>
                <w:szCs w:val="24"/>
                <w:highlight w:val="none"/>
              </w:rPr>
              <w:t>分。</w:t>
            </w:r>
          </w:p>
          <w:p w14:paraId="79AA1375">
            <w:pPr>
              <w:widowControl/>
              <w:spacing w:line="300" w:lineRule="exact"/>
              <w:jc w:val="left"/>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2、拟派项目组人员：</w:t>
            </w:r>
          </w:p>
          <w:p w14:paraId="434F14FF">
            <w:pPr>
              <w:widowControl/>
              <w:spacing w:line="300" w:lineRule="exact"/>
              <w:jc w:val="left"/>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要求各专业配置齐全，项目组人员不少</w:t>
            </w:r>
            <w:r>
              <w:rPr>
                <w:rFonts w:hint="eastAsia" w:ascii="宋体" w:hAnsi="宋体" w:eastAsia="宋体" w:cs="宋体"/>
                <w:color w:val="auto"/>
                <w:kern w:val="0"/>
                <w:sz w:val="22"/>
                <w:szCs w:val="24"/>
                <w:highlight w:val="none"/>
              </w:rPr>
              <w:t>于8</w:t>
            </w:r>
            <w:r>
              <w:rPr>
                <w:rFonts w:hint="eastAsia" w:ascii="宋体" w:hAnsi="宋体" w:eastAsia="宋体" w:cs="宋体"/>
                <w:color w:val="auto"/>
                <w:kern w:val="0"/>
                <w:sz w:val="22"/>
                <w:szCs w:val="24"/>
                <w:highlight w:val="none"/>
              </w:rPr>
              <w:t>人，退休返聘人员比例不超过40%，且土建、安装、水利、交通运输专业（或原中华人民共和国交通运输部颁发的甲级造价师(或水运工程造价师)证书）人员均具有造价工程师资格，本条基本分8分，少一个专业扣2分，扣完为止。[提供拟派专业人员的造价工程师证书复印件加盖单位公章；造价工程师证书不能体现专业的须提供资格证书]</w:t>
            </w:r>
          </w:p>
          <w:p w14:paraId="6A9B919D">
            <w:pPr>
              <w:widowControl/>
              <w:spacing w:line="300" w:lineRule="exact"/>
              <w:jc w:val="left"/>
              <w:rPr>
                <w:rFonts w:ascii="宋体" w:hAnsi="宋体" w:eastAsia="宋体" w:cs="宋体"/>
                <w:bCs/>
                <w:color w:val="auto"/>
                <w:sz w:val="22"/>
                <w:szCs w:val="24"/>
                <w:highlight w:val="none"/>
              </w:rPr>
            </w:pPr>
            <w:r>
              <w:rPr>
                <w:rFonts w:hint="eastAsia" w:ascii="宋体" w:hAnsi="宋体" w:eastAsia="宋体" w:cs="宋体"/>
                <w:color w:val="auto"/>
                <w:kern w:val="0"/>
                <w:sz w:val="22"/>
                <w:szCs w:val="24"/>
                <w:highlight w:val="none"/>
              </w:rPr>
              <w:t>项目组人员需要提供近6个月连续在本单位缴纳社保凭证（</w:t>
            </w:r>
            <w:r>
              <w:rPr>
                <w:rFonts w:hint="eastAsia" w:ascii="宋体" w:hAnsi="宋体" w:eastAsia="宋体" w:cs="宋体"/>
                <w:b/>
                <w:bCs/>
                <w:i/>
                <w:iCs/>
                <w:color w:val="auto"/>
                <w:sz w:val="22"/>
                <w:szCs w:val="24"/>
                <w:highlight w:val="none"/>
              </w:rPr>
              <w:t>退休返聘人员提供退休证和返聘合同</w:t>
            </w:r>
            <w:r>
              <w:rPr>
                <w:rFonts w:hint="eastAsia" w:ascii="宋体" w:hAnsi="宋体" w:eastAsia="宋体" w:cs="宋体"/>
                <w:color w:val="auto"/>
                <w:kern w:val="0"/>
                <w:sz w:val="22"/>
                <w:szCs w:val="24"/>
                <w:highlight w:val="none"/>
              </w:rPr>
              <w:t>）。</w:t>
            </w:r>
            <w:r>
              <w:rPr>
                <w:rFonts w:hint="eastAsia" w:ascii="宋体" w:hAnsi="宋体" w:eastAsia="宋体" w:cs="宋体"/>
                <w:b/>
                <w:bCs/>
                <w:i/>
                <w:iCs/>
                <w:color w:val="auto"/>
                <w:kern w:val="0"/>
                <w:sz w:val="22"/>
                <w:szCs w:val="24"/>
                <w:highlight w:val="none"/>
              </w:rPr>
              <w:t>以上资料提供原件扫描件或复印件</w:t>
            </w:r>
            <w:r>
              <w:rPr>
                <w:rFonts w:hint="eastAsia" w:ascii="宋体" w:hAnsi="宋体" w:eastAsia="宋体" w:cs="宋体"/>
                <w:b/>
                <w:bCs/>
                <w:i/>
                <w:iCs/>
                <w:color w:val="auto"/>
                <w:sz w:val="22"/>
                <w:szCs w:val="24"/>
                <w:highlight w:val="none"/>
              </w:rPr>
              <w:t>，复印件须加盖单位公章，否则不得分。</w:t>
            </w:r>
          </w:p>
        </w:tc>
      </w:tr>
      <w:tr w14:paraId="2EF2A58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2131" w:hRule="atLeast"/>
          <w:jc w:val="center"/>
        </w:trPr>
        <w:tc>
          <w:tcPr>
            <w:tcW w:w="597" w:type="dxa"/>
            <w:vMerge w:val="continue"/>
            <w:vAlign w:val="center"/>
          </w:tcPr>
          <w:p w14:paraId="6A43E5F7">
            <w:pPr>
              <w:widowControl/>
              <w:spacing w:line="300" w:lineRule="exact"/>
              <w:jc w:val="center"/>
              <w:rPr>
                <w:rFonts w:ascii="宋体" w:hAnsi="宋体" w:eastAsia="宋体" w:cs="宋体"/>
                <w:color w:val="auto"/>
                <w:kern w:val="0"/>
                <w:sz w:val="22"/>
                <w:szCs w:val="24"/>
                <w:highlight w:val="none"/>
              </w:rPr>
            </w:pPr>
          </w:p>
        </w:tc>
        <w:tc>
          <w:tcPr>
            <w:tcW w:w="1272" w:type="dxa"/>
            <w:vMerge w:val="continue"/>
            <w:vAlign w:val="center"/>
          </w:tcPr>
          <w:p w14:paraId="20A8FB3E">
            <w:pPr>
              <w:widowControl/>
              <w:spacing w:line="300" w:lineRule="exact"/>
              <w:rPr>
                <w:rFonts w:ascii="宋体" w:hAnsi="宋体" w:eastAsia="宋体" w:cs="宋体"/>
                <w:b/>
                <w:bCs/>
                <w:color w:val="auto"/>
                <w:kern w:val="0"/>
                <w:sz w:val="22"/>
                <w:szCs w:val="24"/>
                <w:highlight w:val="none"/>
              </w:rPr>
            </w:pPr>
          </w:p>
        </w:tc>
        <w:tc>
          <w:tcPr>
            <w:tcW w:w="1485" w:type="dxa"/>
            <w:tcBorders>
              <w:top w:val="single" w:color="auto" w:sz="4" w:space="0"/>
            </w:tcBorders>
            <w:vAlign w:val="center"/>
          </w:tcPr>
          <w:p w14:paraId="3AB66765">
            <w:pPr>
              <w:spacing w:line="48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拟派团队人员经验</w:t>
            </w:r>
          </w:p>
          <w:p w14:paraId="0AA066E4">
            <w:pPr>
              <w:spacing w:line="48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（0～5分）</w:t>
            </w:r>
          </w:p>
          <w:p w14:paraId="44EAF727">
            <w:pPr>
              <w:spacing w:line="48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（客观）</w:t>
            </w:r>
          </w:p>
        </w:tc>
        <w:tc>
          <w:tcPr>
            <w:tcW w:w="6187" w:type="dxa"/>
            <w:tcBorders>
              <w:top w:val="single" w:color="auto" w:sz="4" w:space="0"/>
            </w:tcBorders>
            <w:vAlign w:val="center"/>
          </w:tcPr>
          <w:p w14:paraId="61471830">
            <w:pPr>
              <w:widowControl/>
              <w:spacing w:line="300" w:lineRule="exact"/>
              <w:jc w:val="left"/>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拟派团队人员自投标截止时间前3年以来（以出具成果文件时间为准），成功完成5000万元以上涵盖土建或安装或市政或园林绿化项目的初步设计概算审核项目或工程预算审核（招标控制价审核）项目，每人得1分，最高得4分；成功完成5000万以上涵盖交通或水利项目的初步设计概算审核项目或工程预算审核项目，每人得1分，最高得1分。（提供合同和成果文件复印件加盖单位公章）。</w:t>
            </w:r>
          </w:p>
        </w:tc>
      </w:tr>
      <w:tr w14:paraId="051C365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341" w:hRule="atLeast"/>
          <w:jc w:val="center"/>
        </w:trPr>
        <w:tc>
          <w:tcPr>
            <w:tcW w:w="597" w:type="dxa"/>
            <w:vMerge w:val="restart"/>
            <w:tcBorders>
              <w:top w:val="single" w:color="auto" w:sz="4" w:space="0"/>
            </w:tcBorders>
            <w:vAlign w:val="center"/>
          </w:tcPr>
          <w:p w14:paraId="5F49F5B1">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2</w:t>
            </w:r>
          </w:p>
        </w:tc>
        <w:tc>
          <w:tcPr>
            <w:tcW w:w="1272" w:type="dxa"/>
            <w:vMerge w:val="restart"/>
            <w:tcBorders>
              <w:top w:val="single" w:color="auto" w:sz="4" w:space="0"/>
            </w:tcBorders>
            <w:vAlign w:val="center"/>
          </w:tcPr>
          <w:p w14:paraId="39A7CAB4">
            <w:pPr>
              <w:widowControl/>
              <w:spacing w:line="300" w:lineRule="exact"/>
              <w:jc w:val="center"/>
              <w:rPr>
                <w:rFonts w:ascii="宋体" w:hAnsi="宋体" w:eastAsia="宋体" w:cs="宋体"/>
                <w:b/>
                <w:bCs/>
                <w:color w:val="auto"/>
                <w:kern w:val="0"/>
                <w:sz w:val="22"/>
                <w:szCs w:val="24"/>
                <w:highlight w:val="none"/>
              </w:rPr>
            </w:pPr>
            <w:r>
              <w:rPr>
                <w:rFonts w:hint="eastAsia" w:ascii="宋体" w:hAnsi="宋体" w:eastAsia="宋体" w:cs="宋体"/>
                <w:b/>
                <w:bCs/>
                <w:color w:val="auto"/>
                <w:kern w:val="0"/>
                <w:sz w:val="22"/>
                <w:szCs w:val="24"/>
                <w:highlight w:val="none"/>
              </w:rPr>
              <w:t>技术和服务方案（0-74分）</w:t>
            </w:r>
          </w:p>
        </w:tc>
        <w:tc>
          <w:tcPr>
            <w:tcW w:w="1485" w:type="dxa"/>
            <w:tcBorders>
              <w:top w:val="single" w:color="auto" w:sz="4" w:space="0"/>
              <w:bottom w:val="single" w:color="auto" w:sz="4" w:space="0"/>
            </w:tcBorders>
            <w:vAlign w:val="center"/>
          </w:tcPr>
          <w:p w14:paraId="4A0A8F76">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审核方案（0-23分）（主观）</w:t>
            </w:r>
          </w:p>
        </w:tc>
        <w:tc>
          <w:tcPr>
            <w:tcW w:w="6187" w:type="dxa"/>
            <w:tcBorders>
              <w:top w:val="single" w:color="auto" w:sz="4" w:space="0"/>
              <w:bottom w:val="single" w:color="auto" w:sz="4" w:space="0"/>
            </w:tcBorders>
            <w:vAlign w:val="center"/>
          </w:tcPr>
          <w:p w14:paraId="746BFE1C">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1、投标人拟采用的政府投资初步设计概算审核工作方案（文字说明材料），从以下</w:t>
            </w:r>
            <w:r>
              <w:rPr>
                <w:rFonts w:hint="eastAsia" w:ascii="宋体" w:hAnsi="宋体" w:eastAsia="宋体" w:cs="宋体"/>
                <w:color w:val="auto"/>
                <w:kern w:val="0"/>
                <w:sz w:val="22"/>
                <w:szCs w:val="24"/>
                <w:highlight w:val="none"/>
                <w:lang w:val="en-US" w:eastAsia="zh-CN"/>
              </w:rPr>
              <w:t>五</w:t>
            </w:r>
            <w:r>
              <w:rPr>
                <w:rFonts w:hint="eastAsia" w:ascii="宋体" w:hAnsi="宋体" w:eastAsia="宋体" w:cs="宋体"/>
                <w:color w:val="auto"/>
                <w:kern w:val="0"/>
                <w:sz w:val="22"/>
                <w:szCs w:val="24"/>
                <w:highlight w:val="none"/>
              </w:rPr>
              <w:t>方面分别给予评定（0～23分）：</w:t>
            </w:r>
          </w:p>
          <w:p w14:paraId="790C7C7A">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（1）、合理性（0～5分）：</w:t>
            </w:r>
          </w:p>
          <w:p w14:paraId="5EED8FE4">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合理得3～5分，一般得2～3分，较差或缺项不得分；</w:t>
            </w:r>
          </w:p>
          <w:p w14:paraId="09C7B074">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（2）、可操作性（0～5分）：</w:t>
            </w:r>
          </w:p>
          <w:p w14:paraId="3FE217BB">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可操作性强得3～5分，一般得2～3分，较差或缺项不得分；</w:t>
            </w:r>
          </w:p>
          <w:p w14:paraId="46B09C38">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（3）、内控制度（0～4分）：</w:t>
            </w:r>
          </w:p>
          <w:p w14:paraId="4C70AFDE">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完善得2～4分，一般得1～2分，较差或缺项不得分；</w:t>
            </w:r>
          </w:p>
          <w:p w14:paraId="5D829E20">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（4）、风险措施（0～4分）：</w:t>
            </w:r>
          </w:p>
          <w:p w14:paraId="54F69C8B">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完善得2～4分，一般得1～2分，较差或缺项不得分；</w:t>
            </w:r>
          </w:p>
          <w:p w14:paraId="09B1B12A">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（5）、概算审核程序（0～5分）：</w:t>
            </w:r>
          </w:p>
          <w:p w14:paraId="7258C87B">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科学得3～5分，一般得2～3，较差或缺项不得分。</w:t>
            </w:r>
          </w:p>
        </w:tc>
      </w:tr>
      <w:tr w14:paraId="66B87E2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571" w:hRule="atLeast"/>
          <w:jc w:val="center"/>
        </w:trPr>
        <w:tc>
          <w:tcPr>
            <w:tcW w:w="597" w:type="dxa"/>
            <w:vMerge w:val="continue"/>
            <w:vAlign w:val="center"/>
          </w:tcPr>
          <w:p w14:paraId="2A94E4DD">
            <w:pPr>
              <w:widowControl/>
              <w:spacing w:line="300" w:lineRule="exact"/>
              <w:jc w:val="center"/>
              <w:rPr>
                <w:rFonts w:ascii="宋体" w:hAnsi="宋体" w:eastAsia="宋体" w:cs="宋体"/>
                <w:color w:val="auto"/>
                <w:kern w:val="0"/>
                <w:sz w:val="22"/>
                <w:szCs w:val="24"/>
                <w:highlight w:val="none"/>
              </w:rPr>
            </w:pPr>
          </w:p>
        </w:tc>
        <w:tc>
          <w:tcPr>
            <w:tcW w:w="1272" w:type="dxa"/>
            <w:vMerge w:val="continue"/>
            <w:vAlign w:val="center"/>
          </w:tcPr>
          <w:p w14:paraId="33FCEFD4">
            <w:pPr>
              <w:widowControl/>
              <w:spacing w:line="300" w:lineRule="exact"/>
              <w:jc w:val="center"/>
              <w:rPr>
                <w:rFonts w:ascii="宋体" w:hAnsi="宋体" w:eastAsia="宋体" w:cs="宋体"/>
                <w:b/>
                <w:bCs/>
                <w:color w:val="auto"/>
                <w:kern w:val="0"/>
                <w:sz w:val="22"/>
                <w:szCs w:val="24"/>
                <w:highlight w:val="none"/>
              </w:rPr>
            </w:pPr>
          </w:p>
        </w:tc>
        <w:tc>
          <w:tcPr>
            <w:tcW w:w="1485" w:type="dxa"/>
            <w:tcBorders>
              <w:top w:val="single" w:color="auto" w:sz="4" w:space="0"/>
            </w:tcBorders>
            <w:vAlign w:val="center"/>
          </w:tcPr>
          <w:p w14:paraId="7825CEE1">
            <w:pPr>
              <w:spacing w:before="63" w:beforeLines="20" w:after="63" w:afterLines="20"/>
              <w:jc w:val="center"/>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审计质量保证措施</w:t>
            </w:r>
          </w:p>
          <w:p w14:paraId="71307A3F">
            <w:pPr>
              <w:spacing w:before="63" w:beforeLines="20" w:after="63" w:afterLines="20"/>
              <w:jc w:val="center"/>
              <w:rPr>
                <w:rFonts w:ascii="宋体" w:hAnsi="宋体" w:eastAsia="宋体" w:cs="宋体"/>
                <w:color w:val="auto"/>
                <w:kern w:val="0"/>
                <w:sz w:val="22"/>
                <w:szCs w:val="24"/>
                <w:highlight w:val="none"/>
              </w:rPr>
            </w:pPr>
            <w:r>
              <w:rPr>
                <w:rFonts w:hint="eastAsia" w:ascii="宋体" w:hAnsi="宋体" w:eastAsia="宋体" w:cs="宋体"/>
                <w:bCs/>
                <w:color w:val="auto"/>
                <w:sz w:val="22"/>
                <w:szCs w:val="24"/>
                <w:highlight w:val="none"/>
              </w:rPr>
              <w:t>（0-12分）</w:t>
            </w:r>
            <w:r>
              <w:rPr>
                <w:rFonts w:hint="eastAsia" w:ascii="宋体" w:hAnsi="宋体" w:eastAsia="宋体" w:cs="宋体"/>
                <w:color w:val="auto"/>
                <w:kern w:val="0"/>
                <w:sz w:val="22"/>
                <w:szCs w:val="24"/>
                <w:highlight w:val="none"/>
              </w:rPr>
              <w:t>（主观）</w:t>
            </w:r>
          </w:p>
        </w:tc>
        <w:tc>
          <w:tcPr>
            <w:tcW w:w="6187" w:type="dxa"/>
            <w:tcBorders>
              <w:top w:val="single" w:color="auto" w:sz="4" w:space="0"/>
            </w:tcBorders>
            <w:vAlign w:val="center"/>
          </w:tcPr>
          <w:p w14:paraId="06501E83">
            <w:pPr>
              <w:spacing w:before="63" w:beforeLines="20" w:after="63" w:afterLines="20"/>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（1）、质量内控体系是否健全、完整（0～4分）：</w:t>
            </w:r>
          </w:p>
          <w:p w14:paraId="70E8914E">
            <w:pPr>
              <w:spacing w:before="63" w:beforeLines="20" w:after="63" w:afterLines="20"/>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健全、完整得2～4分，一般得1～2分，较差或缺项不得分；</w:t>
            </w:r>
          </w:p>
          <w:p w14:paraId="12F8F092">
            <w:pPr>
              <w:spacing w:before="63" w:beforeLines="20" w:after="63" w:afterLines="20"/>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（2）、质量管理制度建设是否到位，自我表现评价是否客观（0～4分）</w:t>
            </w:r>
          </w:p>
          <w:p w14:paraId="21BCFE65">
            <w:pPr>
              <w:spacing w:before="63" w:beforeLines="20" w:after="63" w:afterLines="20"/>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到位、客观得2～4分，一般得1～2分，较差或缺项不得分；</w:t>
            </w:r>
          </w:p>
          <w:p w14:paraId="15789656">
            <w:pPr>
              <w:spacing w:before="63" w:beforeLines="20" w:after="63" w:afterLines="20"/>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（3）、质量保证措施是否切实可行（0～4分）</w:t>
            </w:r>
          </w:p>
          <w:p w14:paraId="58DAA0EF">
            <w:pPr>
              <w:spacing w:before="63" w:beforeLines="20" w:after="63" w:afterLines="20"/>
              <w:rPr>
                <w:rFonts w:ascii="宋体" w:hAnsi="宋体" w:eastAsia="宋体" w:cs="宋体"/>
                <w:color w:val="auto"/>
                <w:kern w:val="0"/>
                <w:sz w:val="22"/>
                <w:szCs w:val="24"/>
                <w:highlight w:val="none"/>
              </w:rPr>
            </w:pPr>
            <w:r>
              <w:rPr>
                <w:rFonts w:hint="eastAsia" w:ascii="宋体" w:hAnsi="宋体" w:eastAsia="宋体" w:cs="宋体"/>
                <w:bCs/>
                <w:color w:val="auto"/>
                <w:sz w:val="22"/>
                <w:szCs w:val="24"/>
                <w:highlight w:val="none"/>
              </w:rPr>
              <w:t>切实可行得2～4分，一般得1～2分，较差或缺项不得分；</w:t>
            </w:r>
          </w:p>
        </w:tc>
      </w:tr>
      <w:tr w14:paraId="43A086A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413" w:hRule="atLeast"/>
          <w:jc w:val="center"/>
        </w:trPr>
        <w:tc>
          <w:tcPr>
            <w:tcW w:w="597" w:type="dxa"/>
            <w:vMerge w:val="continue"/>
            <w:vAlign w:val="center"/>
          </w:tcPr>
          <w:p w14:paraId="0440B6AE">
            <w:pPr>
              <w:widowControl/>
              <w:spacing w:line="300" w:lineRule="exact"/>
              <w:ind w:firstLine="441"/>
              <w:jc w:val="center"/>
              <w:rPr>
                <w:rFonts w:ascii="宋体" w:hAnsi="宋体" w:eastAsia="宋体" w:cs="宋体"/>
                <w:color w:val="auto"/>
                <w:kern w:val="0"/>
                <w:sz w:val="22"/>
                <w:szCs w:val="24"/>
                <w:highlight w:val="none"/>
              </w:rPr>
            </w:pPr>
          </w:p>
        </w:tc>
        <w:tc>
          <w:tcPr>
            <w:tcW w:w="1272" w:type="dxa"/>
            <w:vMerge w:val="continue"/>
            <w:vAlign w:val="center"/>
          </w:tcPr>
          <w:p w14:paraId="6EEA8093">
            <w:pPr>
              <w:widowControl/>
              <w:spacing w:line="300" w:lineRule="exact"/>
              <w:ind w:firstLine="441"/>
              <w:jc w:val="left"/>
              <w:rPr>
                <w:rFonts w:ascii="宋体" w:hAnsi="宋体" w:eastAsia="宋体" w:cs="宋体"/>
                <w:b/>
                <w:bCs/>
                <w:color w:val="auto"/>
                <w:kern w:val="0"/>
                <w:sz w:val="22"/>
                <w:szCs w:val="24"/>
                <w:highlight w:val="none"/>
              </w:rPr>
            </w:pPr>
          </w:p>
        </w:tc>
        <w:tc>
          <w:tcPr>
            <w:tcW w:w="1485" w:type="dxa"/>
            <w:vAlign w:val="center"/>
          </w:tcPr>
          <w:p w14:paraId="003B0178">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应急预案（0-6分）</w:t>
            </w:r>
          </w:p>
          <w:p w14:paraId="116146EE">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（主观）</w:t>
            </w:r>
          </w:p>
        </w:tc>
        <w:tc>
          <w:tcPr>
            <w:tcW w:w="6187" w:type="dxa"/>
            <w:vAlign w:val="center"/>
          </w:tcPr>
          <w:p w14:paraId="76141C06">
            <w:pPr>
              <w:widowControl/>
              <w:spacing w:line="300" w:lineRule="exact"/>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（1）、供应商根据招标需求，制定应对各种特殊情况下确保高标准履行合同的应急预案，合理可行得2～4分，一般得1～2分，较差或缺项不得分；</w:t>
            </w:r>
          </w:p>
          <w:p w14:paraId="4FE4B4C9">
            <w:pPr>
              <w:widowControl/>
              <w:spacing w:line="300" w:lineRule="exact"/>
              <w:rPr>
                <w:rFonts w:ascii="宋体" w:hAnsi="宋体" w:eastAsia="宋体" w:cs="宋体"/>
                <w:color w:val="auto"/>
                <w:kern w:val="0"/>
                <w:sz w:val="22"/>
                <w:szCs w:val="24"/>
                <w:highlight w:val="none"/>
              </w:rPr>
            </w:pPr>
            <w:r>
              <w:rPr>
                <w:rFonts w:hint="eastAsia" w:ascii="宋体" w:hAnsi="宋体" w:eastAsia="宋体" w:cs="宋体"/>
                <w:color w:val="auto"/>
                <w:sz w:val="22"/>
                <w:szCs w:val="24"/>
                <w:highlight w:val="none"/>
              </w:rPr>
              <w:t>（2）、供应商遇紧急情况，投标人需承诺2小时内赶到，得2分，不承诺不得分。</w:t>
            </w:r>
          </w:p>
        </w:tc>
      </w:tr>
      <w:tr w14:paraId="3791442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19" w:hRule="atLeast"/>
          <w:jc w:val="center"/>
        </w:trPr>
        <w:tc>
          <w:tcPr>
            <w:tcW w:w="597" w:type="dxa"/>
            <w:vMerge w:val="continue"/>
            <w:vAlign w:val="center"/>
          </w:tcPr>
          <w:p w14:paraId="7CA02E2F">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53808D15">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5562282C">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审核工作流程及各环节主要工作（0-6分）</w:t>
            </w:r>
          </w:p>
          <w:p w14:paraId="5CAF4D20">
            <w:pPr>
              <w:widowControl/>
              <w:spacing w:line="300" w:lineRule="exact"/>
              <w:jc w:val="center"/>
              <w:rPr>
                <w:rFonts w:ascii="宋体" w:hAnsi="宋体" w:eastAsia="宋体" w:cs="宋体"/>
                <w:color w:val="auto"/>
                <w:sz w:val="22"/>
                <w:szCs w:val="24"/>
                <w:highlight w:val="none"/>
              </w:rPr>
            </w:pPr>
            <w:r>
              <w:rPr>
                <w:rFonts w:hint="eastAsia" w:ascii="宋体" w:hAnsi="宋体" w:eastAsia="宋体" w:cs="宋体"/>
                <w:color w:val="auto"/>
                <w:kern w:val="0"/>
                <w:sz w:val="22"/>
                <w:szCs w:val="24"/>
                <w:highlight w:val="none"/>
              </w:rPr>
              <w:t>（主观）</w:t>
            </w:r>
          </w:p>
        </w:tc>
        <w:tc>
          <w:tcPr>
            <w:tcW w:w="6187" w:type="dxa"/>
            <w:tcBorders>
              <w:top w:val="single" w:color="auto" w:sz="4" w:space="0"/>
              <w:bottom w:val="single" w:color="auto" w:sz="4" w:space="0"/>
            </w:tcBorders>
            <w:vAlign w:val="center"/>
          </w:tcPr>
          <w:p w14:paraId="0A0571C3">
            <w:pPr>
              <w:spacing w:before="63" w:beforeLines="20" w:after="63" w:afterLines="20"/>
              <w:rPr>
                <w:rFonts w:ascii="宋体" w:hAnsi="宋体" w:eastAsia="宋体" w:cs="宋体"/>
                <w:color w:val="auto"/>
                <w:sz w:val="22"/>
                <w:szCs w:val="21"/>
                <w:highlight w:val="none"/>
              </w:rPr>
            </w:pPr>
            <w:r>
              <w:rPr>
                <w:rFonts w:hint="eastAsia" w:ascii="宋体" w:hAnsi="宋体" w:eastAsia="宋体" w:cs="宋体"/>
                <w:color w:val="auto"/>
                <w:sz w:val="22"/>
                <w:szCs w:val="24"/>
                <w:highlight w:val="none"/>
              </w:rPr>
              <w:t>审核的质量控制措施、质控重点与方法、质控体系、技术复核与管理，合理可行得</w:t>
            </w:r>
            <w:r>
              <w:rPr>
                <w:rFonts w:hint="eastAsia" w:ascii="宋体" w:hAnsi="宋体" w:eastAsia="宋体" w:cs="宋体"/>
                <w:bCs/>
                <w:color w:val="auto"/>
                <w:sz w:val="22"/>
                <w:szCs w:val="21"/>
                <w:highlight w:val="none"/>
              </w:rPr>
              <w:t>3～6</w:t>
            </w:r>
            <w:r>
              <w:rPr>
                <w:rFonts w:hint="eastAsia" w:ascii="宋体" w:hAnsi="宋体" w:eastAsia="宋体" w:cs="宋体"/>
                <w:color w:val="auto"/>
                <w:sz w:val="22"/>
                <w:szCs w:val="24"/>
                <w:highlight w:val="none"/>
              </w:rPr>
              <w:t>分，一般得</w:t>
            </w:r>
            <w:r>
              <w:rPr>
                <w:rFonts w:hint="eastAsia" w:ascii="宋体" w:hAnsi="宋体" w:eastAsia="宋体" w:cs="宋体"/>
                <w:bCs/>
                <w:color w:val="auto"/>
                <w:sz w:val="22"/>
                <w:szCs w:val="21"/>
                <w:highlight w:val="none"/>
              </w:rPr>
              <w:t>1～3</w:t>
            </w:r>
            <w:r>
              <w:rPr>
                <w:rFonts w:hint="eastAsia" w:ascii="宋体" w:hAnsi="宋体" w:eastAsia="宋体" w:cs="宋体"/>
                <w:color w:val="auto"/>
                <w:sz w:val="22"/>
                <w:szCs w:val="24"/>
                <w:highlight w:val="none"/>
              </w:rPr>
              <w:t>分，较差或缺项不得分；</w:t>
            </w:r>
          </w:p>
        </w:tc>
      </w:tr>
      <w:tr w14:paraId="38D4F97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19" w:hRule="atLeast"/>
          <w:jc w:val="center"/>
        </w:trPr>
        <w:tc>
          <w:tcPr>
            <w:tcW w:w="597" w:type="dxa"/>
            <w:vMerge w:val="continue"/>
            <w:vAlign w:val="center"/>
          </w:tcPr>
          <w:p w14:paraId="4A399F4C">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52076968">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0CBE504C">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服务团队人员安排、工作职责、工作界面、工作衔接</w:t>
            </w:r>
          </w:p>
          <w:p w14:paraId="4E5DB894">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（0-6分）</w:t>
            </w:r>
          </w:p>
          <w:p w14:paraId="0CABAEFD">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（主观）</w:t>
            </w:r>
          </w:p>
        </w:tc>
        <w:tc>
          <w:tcPr>
            <w:tcW w:w="6187" w:type="dxa"/>
            <w:tcBorders>
              <w:top w:val="single" w:color="auto" w:sz="4" w:space="0"/>
              <w:bottom w:val="single" w:color="auto" w:sz="4" w:space="0"/>
            </w:tcBorders>
            <w:vAlign w:val="center"/>
          </w:tcPr>
          <w:p w14:paraId="06F5095B">
            <w:pPr>
              <w:spacing w:before="63" w:beforeLines="20" w:after="63" w:afterLines="20"/>
              <w:rPr>
                <w:rFonts w:ascii="宋体" w:hAnsi="宋体" w:eastAsia="宋体" w:cs="宋体"/>
                <w:bCs/>
                <w:color w:val="auto"/>
                <w:sz w:val="22"/>
                <w:szCs w:val="21"/>
                <w:highlight w:val="none"/>
              </w:rPr>
            </w:pPr>
            <w:r>
              <w:rPr>
                <w:rFonts w:hint="eastAsia" w:ascii="宋体" w:hAnsi="宋体" w:eastAsia="宋体" w:cs="宋体"/>
                <w:bCs/>
                <w:color w:val="auto"/>
                <w:sz w:val="22"/>
                <w:szCs w:val="21"/>
                <w:highlight w:val="none"/>
              </w:rPr>
              <w:t>服务团队人员安排的合理性，工作职责的明确性，工作界面的清晰性，工作衔接的严密性，合理得3～6分，一般得1～3分，较差或缺项不得分；</w:t>
            </w:r>
          </w:p>
        </w:tc>
      </w:tr>
      <w:tr w14:paraId="3D70CAE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19" w:hRule="atLeast"/>
          <w:jc w:val="center"/>
        </w:trPr>
        <w:tc>
          <w:tcPr>
            <w:tcW w:w="597" w:type="dxa"/>
            <w:vMerge w:val="continue"/>
            <w:vAlign w:val="center"/>
          </w:tcPr>
          <w:p w14:paraId="5783380A">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167BBFBC">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4EE80459">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投标人的廉政措施</w:t>
            </w:r>
          </w:p>
          <w:p w14:paraId="7274C17A">
            <w:pPr>
              <w:widowControl/>
              <w:spacing w:line="300" w:lineRule="exact"/>
              <w:jc w:val="center"/>
              <w:rPr>
                <w:rFonts w:ascii="宋体" w:hAnsi="宋体" w:eastAsia="宋体" w:cs="宋体"/>
                <w:b/>
                <w:bCs/>
                <w:color w:val="auto"/>
                <w:sz w:val="22"/>
                <w:szCs w:val="24"/>
                <w:highlight w:val="none"/>
              </w:rPr>
            </w:pPr>
            <w:r>
              <w:rPr>
                <w:rFonts w:hint="eastAsia" w:ascii="宋体" w:hAnsi="宋体" w:eastAsia="宋体" w:cs="宋体"/>
                <w:color w:val="auto"/>
                <w:kern w:val="0"/>
                <w:sz w:val="22"/>
                <w:szCs w:val="24"/>
                <w:highlight w:val="none"/>
              </w:rPr>
              <w:t>（0～6分）（主观）</w:t>
            </w:r>
          </w:p>
        </w:tc>
        <w:tc>
          <w:tcPr>
            <w:tcW w:w="6187" w:type="dxa"/>
            <w:tcBorders>
              <w:top w:val="single" w:color="auto" w:sz="4" w:space="0"/>
              <w:bottom w:val="single" w:color="auto" w:sz="4" w:space="0"/>
            </w:tcBorders>
            <w:vAlign w:val="center"/>
          </w:tcPr>
          <w:p w14:paraId="2F467A7A">
            <w:pPr>
              <w:spacing w:before="63" w:beforeLines="20" w:after="63" w:afterLines="2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确保审核人员遵守职业道德和廉政审计的的措施，合理可行得3～6分，一般得1～3分，较差或缺项不得分。</w:t>
            </w:r>
          </w:p>
        </w:tc>
      </w:tr>
      <w:tr w14:paraId="5D4E745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19" w:hRule="atLeast"/>
          <w:jc w:val="center"/>
        </w:trPr>
        <w:tc>
          <w:tcPr>
            <w:tcW w:w="597" w:type="dxa"/>
            <w:vMerge w:val="continue"/>
            <w:vAlign w:val="center"/>
          </w:tcPr>
          <w:p w14:paraId="022CBAF0">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78075A36">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3B5713C8">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本地化服务能力</w:t>
            </w:r>
          </w:p>
          <w:p w14:paraId="7F95B08B">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（0～6分）（主观）</w:t>
            </w:r>
          </w:p>
        </w:tc>
        <w:tc>
          <w:tcPr>
            <w:tcW w:w="6187" w:type="dxa"/>
            <w:tcBorders>
              <w:top w:val="single" w:color="auto" w:sz="4" w:space="0"/>
              <w:bottom w:val="single" w:color="auto" w:sz="4" w:space="0"/>
            </w:tcBorders>
            <w:vAlign w:val="center"/>
          </w:tcPr>
          <w:p w14:paraId="0ADE465A">
            <w:pPr>
              <w:spacing w:before="63" w:beforeLines="20" w:after="63" w:afterLines="2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投标人或分支机构在嘉兴市区的营业场所、设施办公条件等情况比较打分（0～6分）。</w:t>
            </w:r>
          </w:p>
        </w:tc>
      </w:tr>
      <w:tr w14:paraId="222A804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19" w:hRule="atLeast"/>
          <w:jc w:val="center"/>
        </w:trPr>
        <w:tc>
          <w:tcPr>
            <w:tcW w:w="597" w:type="dxa"/>
            <w:vMerge w:val="continue"/>
            <w:vAlign w:val="center"/>
          </w:tcPr>
          <w:p w14:paraId="31869EE2">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04475EBF">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74F87EDC">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项目所在地政策处理措施（0～6分）（主观）</w:t>
            </w:r>
          </w:p>
        </w:tc>
        <w:tc>
          <w:tcPr>
            <w:tcW w:w="6187" w:type="dxa"/>
            <w:tcBorders>
              <w:top w:val="single" w:color="auto" w:sz="4" w:space="0"/>
              <w:bottom w:val="single" w:color="auto" w:sz="4" w:space="0"/>
            </w:tcBorders>
            <w:vAlign w:val="center"/>
          </w:tcPr>
          <w:p w14:paraId="78D524E0">
            <w:pPr>
              <w:spacing w:before="63" w:beforeLines="20" w:after="63" w:afterLines="2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投标人对本项目区域内的政策了解，及相应的处理措施，好的得3～6分，一般得1～3分，较差或缺项不得分。</w:t>
            </w:r>
          </w:p>
        </w:tc>
      </w:tr>
      <w:tr w14:paraId="14B10E1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383" w:hRule="atLeast"/>
          <w:jc w:val="center"/>
        </w:trPr>
        <w:tc>
          <w:tcPr>
            <w:tcW w:w="597" w:type="dxa"/>
            <w:vMerge w:val="continue"/>
            <w:vAlign w:val="center"/>
          </w:tcPr>
          <w:p w14:paraId="22A777D9">
            <w:pPr>
              <w:widowControl/>
              <w:spacing w:line="300" w:lineRule="exact"/>
              <w:ind w:firstLine="441"/>
              <w:jc w:val="center"/>
              <w:rPr>
                <w:rFonts w:ascii="宋体" w:hAnsi="宋体" w:eastAsia="宋体" w:cs="宋体"/>
                <w:color w:val="auto"/>
                <w:sz w:val="22"/>
                <w:szCs w:val="24"/>
                <w:highlight w:val="none"/>
              </w:rPr>
            </w:pPr>
          </w:p>
        </w:tc>
        <w:tc>
          <w:tcPr>
            <w:tcW w:w="1272" w:type="dxa"/>
            <w:vMerge w:val="continue"/>
            <w:vAlign w:val="center"/>
          </w:tcPr>
          <w:p w14:paraId="60391555">
            <w:pPr>
              <w:widowControl/>
              <w:spacing w:line="300" w:lineRule="exact"/>
              <w:ind w:firstLine="441"/>
              <w:jc w:val="center"/>
              <w:rPr>
                <w:rFonts w:ascii="宋体" w:hAnsi="宋体" w:eastAsia="宋体" w:cs="宋体"/>
                <w:color w:val="auto"/>
                <w:sz w:val="22"/>
                <w:szCs w:val="24"/>
                <w:highlight w:val="none"/>
              </w:rPr>
            </w:pPr>
          </w:p>
        </w:tc>
        <w:tc>
          <w:tcPr>
            <w:tcW w:w="1485" w:type="dxa"/>
            <w:tcBorders>
              <w:top w:val="single" w:color="auto" w:sz="4" w:space="0"/>
              <w:bottom w:val="single" w:color="auto" w:sz="4" w:space="0"/>
            </w:tcBorders>
            <w:vAlign w:val="center"/>
          </w:tcPr>
          <w:p w14:paraId="6B15CF72">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合理化建议（0-3分）</w:t>
            </w:r>
          </w:p>
          <w:p w14:paraId="75353931">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（主观）</w:t>
            </w:r>
          </w:p>
        </w:tc>
        <w:tc>
          <w:tcPr>
            <w:tcW w:w="6187" w:type="dxa"/>
            <w:tcBorders>
              <w:top w:val="single" w:color="auto" w:sz="4" w:space="0"/>
              <w:bottom w:val="single" w:color="auto" w:sz="4" w:space="0"/>
            </w:tcBorders>
            <w:vAlign w:val="center"/>
          </w:tcPr>
          <w:p w14:paraId="707B3E25">
            <w:pPr>
              <w:spacing w:before="63" w:beforeLines="20" w:after="63" w:afterLines="2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具有创新性和特色的审核程序、方法，以及对审核工作的合理化建议，经专家组评审后每一条得1分，最高得3分。</w:t>
            </w:r>
          </w:p>
        </w:tc>
      </w:tr>
      <w:tr w14:paraId="539A36A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383" w:hRule="atLeast"/>
          <w:jc w:val="center"/>
        </w:trPr>
        <w:tc>
          <w:tcPr>
            <w:tcW w:w="597" w:type="dxa"/>
            <w:vAlign w:val="center"/>
          </w:tcPr>
          <w:p w14:paraId="3BEEDC33">
            <w:pPr>
              <w:widowControl/>
              <w:spacing w:line="300" w:lineRule="exact"/>
              <w:ind w:firstLine="220" w:firstLineChars="10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3</w:t>
            </w:r>
          </w:p>
        </w:tc>
        <w:tc>
          <w:tcPr>
            <w:tcW w:w="1272" w:type="dxa"/>
            <w:vAlign w:val="center"/>
          </w:tcPr>
          <w:p w14:paraId="344D1014">
            <w:pPr>
              <w:widowControl/>
              <w:spacing w:line="300" w:lineRule="exact"/>
              <w:ind w:firstLine="442" w:firstLineChars="200"/>
              <w:rPr>
                <w:rFonts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报价</w:t>
            </w:r>
          </w:p>
          <w:p w14:paraId="46D84A47">
            <w:pPr>
              <w:widowControl/>
              <w:spacing w:line="300" w:lineRule="exact"/>
              <w:rPr>
                <w:rFonts w:ascii="宋体" w:hAnsi="宋体" w:eastAsia="宋体" w:cs="宋体"/>
                <w:color w:val="auto"/>
                <w:sz w:val="22"/>
                <w:szCs w:val="24"/>
                <w:highlight w:val="none"/>
              </w:rPr>
            </w:pPr>
            <w:r>
              <w:rPr>
                <w:rFonts w:hint="eastAsia" w:ascii="宋体" w:hAnsi="宋体" w:eastAsia="宋体" w:cs="宋体"/>
                <w:b/>
                <w:bCs/>
                <w:color w:val="auto"/>
                <w:sz w:val="22"/>
                <w:szCs w:val="24"/>
                <w:highlight w:val="none"/>
              </w:rPr>
              <w:t>（0-10分）</w:t>
            </w:r>
          </w:p>
        </w:tc>
        <w:tc>
          <w:tcPr>
            <w:tcW w:w="1485" w:type="dxa"/>
            <w:tcBorders>
              <w:top w:val="single" w:color="auto" w:sz="4" w:space="0"/>
            </w:tcBorders>
            <w:vAlign w:val="center"/>
          </w:tcPr>
          <w:p w14:paraId="6A4751CC">
            <w:pPr>
              <w:widowControl/>
              <w:spacing w:line="30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报价分</w:t>
            </w:r>
          </w:p>
          <w:p w14:paraId="772BBF26">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sz w:val="22"/>
                <w:szCs w:val="24"/>
                <w:highlight w:val="none"/>
              </w:rPr>
              <w:t>（0-10分）</w:t>
            </w:r>
          </w:p>
        </w:tc>
        <w:tc>
          <w:tcPr>
            <w:tcW w:w="6187" w:type="dxa"/>
            <w:tcBorders>
              <w:top w:val="single" w:color="auto" w:sz="4" w:space="0"/>
            </w:tcBorders>
            <w:vAlign w:val="center"/>
          </w:tcPr>
          <w:p w14:paraId="73BC0DAC">
            <w:pPr>
              <w:spacing w:before="63" w:beforeLines="20" w:after="63" w:afterLines="2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报价按浙价服[2009]84号文件规定的收费*</w:t>
            </w:r>
            <w:r>
              <w:rPr>
                <w:rFonts w:hint="eastAsia" w:ascii="宋体" w:hAnsi="宋体" w:eastAsia="宋体" w:cs="宋体"/>
                <w:color w:val="auto"/>
                <w:sz w:val="22"/>
                <w:szCs w:val="24"/>
                <w:highlight w:val="none"/>
                <w:lang w:val="en-US" w:eastAsia="zh-CN"/>
              </w:rPr>
              <w:t>3</w:t>
            </w:r>
            <w:r>
              <w:rPr>
                <w:rFonts w:hint="eastAsia" w:ascii="宋体" w:hAnsi="宋体" w:eastAsia="宋体" w:cs="宋体"/>
                <w:color w:val="auto"/>
                <w:sz w:val="22"/>
                <w:szCs w:val="24"/>
                <w:highlight w:val="none"/>
              </w:rPr>
              <w:t>8%（单个项目收费不足0.1万元的按照0.1万计取），响应的得</w:t>
            </w:r>
            <w:r>
              <w:rPr>
                <w:rFonts w:hint="eastAsia" w:ascii="宋体" w:hAnsi="宋体" w:eastAsia="宋体" w:cs="宋体"/>
                <w:color w:val="auto"/>
                <w:sz w:val="22"/>
                <w:szCs w:val="24"/>
                <w:highlight w:val="none"/>
                <w:lang w:val="en-US" w:eastAsia="zh-CN"/>
              </w:rPr>
              <w:t>1</w:t>
            </w:r>
            <w:r>
              <w:rPr>
                <w:rFonts w:hint="eastAsia" w:ascii="宋体" w:hAnsi="宋体" w:eastAsia="宋体" w:cs="宋体"/>
                <w:color w:val="auto"/>
                <w:sz w:val="22"/>
                <w:szCs w:val="24"/>
                <w:highlight w:val="none"/>
              </w:rPr>
              <w:t>0分，不响应的该项不得分。</w:t>
            </w:r>
          </w:p>
        </w:tc>
      </w:tr>
    </w:tbl>
    <w:p w14:paraId="66714BC0">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25.1上述内容，商务技术文件未涉及的得0分。</w:t>
      </w:r>
    </w:p>
    <w:p w14:paraId="5CDC252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766D6C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25.3供应商应提供权威部门认定的各类有效证明文件及资料,未提供或者资料无效不得分，凡由采购人提出的有关供应商条件和采购项目对供应商的特定要求，由采购人负责查验材料的真伪。</w:t>
      </w:r>
    </w:p>
    <w:p w14:paraId="026B6C05">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25.4投标人的投标报价超过采购人设定的最高限价，将作为无效标。评标委员会认为供应商的报价明显低于其他通过符合性审查供应商的报价，有可能影响产品质量或者不能诚信履约的，应当要求其在线上半小时内提供说明，必要时提交相关证明材料;供应商不能证明其报价合理性的，评标委员会应当将其作为无效投标处理。</w:t>
      </w:r>
    </w:p>
    <w:p w14:paraId="115F1205">
      <w:pPr>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26现场监督人员（无现场监督人员的由采购代理机构工作人员执行）</w:t>
      </w:r>
      <w:r>
        <w:rPr>
          <w:rFonts w:hint="eastAsia" w:ascii="宋体" w:hAnsi="宋体" w:eastAsia="宋体" w:cs="宋体"/>
          <w:color w:val="auto"/>
          <w:sz w:val="24"/>
          <w:szCs w:val="24"/>
          <w:highlight w:val="none"/>
        </w:rPr>
        <w:t>有权对评标委员会各成员的评分情况和评审意见进行合理性和合规性审查，如发现评标委员会成员的评审意见带有明显倾向性，或不按规定程序和标准评审、计分的，</w:t>
      </w:r>
      <w:r>
        <w:rPr>
          <w:rFonts w:hint="eastAsia" w:ascii="宋体" w:hAnsi="宋体" w:eastAsia="宋体" w:cs="宋体"/>
          <w:b/>
          <w:bCs/>
          <w:color w:val="auto"/>
          <w:sz w:val="24"/>
          <w:szCs w:val="24"/>
          <w:highlight w:val="none"/>
        </w:rPr>
        <w:t>现场监督人员（无现场监督人员的由采购代理机构工作人员执行）有权要求</w:t>
      </w:r>
      <w:r>
        <w:rPr>
          <w:rFonts w:hint="eastAsia" w:ascii="宋体" w:hAnsi="宋体" w:eastAsia="宋体" w:cs="宋体"/>
          <w:color w:val="auto"/>
          <w:sz w:val="24"/>
          <w:szCs w:val="24"/>
          <w:highlight w:val="none"/>
        </w:rPr>
        <w:t>评标委员会成员进行书面澄清和</w:t>
      </w:r>
    </w:p>
    <w:p w14:paraId="0743CC02">
      <w:pPr>
        <w:rPr>
          <w:rFonts w:ascii="Calibri" w:hAnsi="Calibri" w:eastAsia="宋体" w:cs="Calibri"/>
          <w:color w:val="auto"/>
          <w:szCs w:val="21"/>
          <w:highlight w:val="none"/>
        </w:rPr>
      </w:pPr>
      <w:r>
        <w:rPr>
          <w:rFonts w:hint="eastAsia" w:ascii="宋体" w:hAnsi="宋体" w:eastAsia="宋体" w:cs="宋体"/>
          <w:color w:val="auto"/>
          <w:sz w:val="24"/>
          <w:szCs w:val="24"/>
          <w:highlight w:val="none"/>
        </w:rPr>
        <w:t>说明；评标委员会成员拒不接受采购</w:t>
      </w:r>
      <w:r>
        <w:rPr>
          <w:rFonts w:hint="eastAsia" w:ascii="宋体" w:hAnsi="宋体" w:eastAsia="宋体" w:cs="宋体"/>
          <w:b/>
          <w:bCs/>
          <w:color w:val="auto"/>
          <w:sz w:val="24"/>
          <w:szCs w:val="24"/>
          <w:highlight w:val="none"/>
        </w:rPr>
        <w:t>现场监督人员（无现场监督人员的由采购代理机构工作人员执行）</w:t>
      </w:r>
      <w:r>
        <w:rPr>
          <w:rFonts w:hint="eastAsia" w:ascii="宋体" w:hAnsi="宋体" w:eastAsia="宋体" w:cs="宋体"/>
          <w:color w:val="auto"/>
          <w:sz w:val="24"/>
          <w:szCs w:val="24"/>
          <w:highlight w:val="none"/>
        </w:rPr>
        <w:t>审查的，</w:t>
      </w:r>
      <w:r>
        <w:rPr>
          <w:rFonts w:hint="eastAsia" w:ascii="宋体" w:hAnsi="宋体" w:eastAsia="宋体" w:cs="宋体"/>
          <w:b/>
          <w:bCs/>
          <w:color w:val="auto"/>
          <w:sz w:val="24"/>
          <w:szCs w:val="24"/>
          <w:highlight w:val="none"/>
        </w:rPr>
        <w:t>现场监督人员（无现场监督人员的由采购代理机构工作人员执行）</w:t>
      </w:r>
      <w:r>
        <w:rPr>
          <w:rFonts w:hint="eastAsia" w:ascii="宋体" w:hAnsi="宋体" w:eastAsia="宋体" w:cs="宋体"/>
          <w:color w:val="auto"/>
          <w:sz w:val="24"/>
          <w:szCs w:val="24"/>
          <w:highlight w:val="none"/>
        </w:rPr>
        <w:t>将向同级政府采购监督管理部门报告并予以处理。</w:t>
      </w:r>
    </w:p>
    <w:p w14:paraId="0A9A03AE">
      <w:pPr>
        <w:spacing w:line="360" w:lineRule="auto"/>
        <w:jc w:val="center"/>
        <w:outlineLvl w:val="0"/>
        <w:rPr>
          <w:rFonts w:ascii="宋体" w:hAnsi="宋体" w:eastAsia="宋体" w:cs="宋体"/>
          <w:b/>
          <w:bCs/>
          <w:color w:val="auto"/>
          <w:sz w:val="36"/>
          <w:szCs w:val="36"/>
          <w:highlight w:val="none"/>
        </w:rPr>
      </w:pPr>
    </w:p>
    <w:p w14:paraId="2191198F">
      <w:pPr>
        <w:widowControl/>
        <w:jc w:val="left"/>
        <w:rPr>
          <w:rFonts w:ascii="宋体" w:hAnsi="宋体" w:eastAsia="宋体" w:cs="宋体"/>
          <w:b/>
          <w:bCs/>
          <w:color w:val="auto"/>
          <w:sz w:val="36"/>
          <w:szCs w:val="36"/>
          <w:highlight w:val="none"/>
        </w:rPr>
      </w:pPr>
      <w:r>
        <w:rPr>
          <w:rFonts w:ascii="宋体" w:hAnsi="宋体" w:eastAsia="宋体" w:cs="宋体"/>
          <w:b/>
          <w:bCs/>
          <w:color w:val="auto"/>
          <w:sz w:val="36"/>
          <w:szCs w:val="36"/>
          <w:highlight w:val="none"/>
        </w:rPr>
        <w:br w:type="page"/>
      </w:r>
    </w:p>
    <w:p w14:paraId="1FFBB29B">
      <w:pPr>
        <w:spacing w:line="360" w:lineRule="auto"/>
        <w:jc w:val="center"/>
        <w:outlineLvl w:val="0"/>
        <w:rPr>
          <w:rFonts w:ascii="宋体" w:hAnsi="宋体" w:eastAsia="宋体" w:cs="宋体"/>
          <w:color w:val="auto"/>
          <w:szCs w:val="21"/>
          <w:highlight w:val="none"/>
        </w:rPr>
      </w:pPr>
      <w:r>
        <w:rPr>
          <w:rFonts w:hint="eastAsia" w:ascii="宋体" w:hAnsi="宋体" w:eastAsia="宋体" w:cs="宋体"/>
          <w:b/>
          <w:bCs/>
          <w:color w:val="auto"/>
          <w:sz w:val="36"/>
          <w:szCs w:val="36"/>
          <w:highlight w:val="none"/>
        </w:rPr>
        <w:t>第五部分 框架协议主要条款</w:t>
      </w:r>
    </w:p>
    <w:p w14:paraId="68D933EE">
      <w:pPr>
        <w:keepNext/>
        <w:keepLines/>
        <w:tabs>
          <w:tab w:val="left" w:pos="432"/>
        </w:tabs>
        <w:spacing w:before="340" w:after="330" w:line="578" w:lineRule="auto"/>
        <w:ind w:left="432" w:hanging="432"/>
        <w:outlineLvl w:val="0"/>
        <w:rPr>
          <w:rFonts w:ascii="宋体" w:hAnsi="宋体" w:eastAsia="宋体" w:cs="宋体"/>
          <w:b/>
          <w:bCs/>
          <w:color w:val="auto"/>
          <w:kern w:val="44"/>
          <w:sz w:val="32"/>
          <w:szCs w:val="32"/>
          <w:highlight w:val="none"/>
        </w:rPr>
      </w:pPr>
      <w:r>
        <w:rPr>
          <w:rFonts w:hint="eastAsia" w:ascii="宋体" w:hAnsi="宋体" w:eastAsia="宋体" w:cs="宋体"/>
          <w:b/>
          <w:bCs/>
          <w:color w:val="auto"/>
          <w:kern w:val="44"/>
          <w:sz w:val="32"/>
          <w:szCs w:val="32"/>
          <w:highlight w:val="none"/>
        </w:rPr>
        <w:t>嘉兴市政府采购合同(指引)</w:t>
      </w:r>
    </w:p>
    <w:p w14:paraId="77098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合同编号： </w:t>
      </w:r>
    </w:p>
    <w:p w14:paraId="4E58F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招标编号： </w:t>
      </w:r>
    </w:p>
    <w:p w14:paraId="1654BD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政府采购计划（预算）确认书号： </w:t>
      </w:r>
    </w:p>
    <w:p w14:paraId="1FF3A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采购人（以下称甲方）：嘉兴市</w:t>
      </w:r>
      <w:r>
        <w:rPr>
          <w:rFonts w:hint="eastAsia" w:ascii="宋体" w:hAnsi="宋体" w:eastAsia="宋体" w:cs="宋体"/>
          <w:color w:val="auto"/>
          <w:sz w:val="24"/>
          <w:szCs w:val="21"/>
          <w:highlight w:val="none"/>
        </w:rPr>
        <w:t>南湖区政务服务和数据资源管理局</w:t>
      </w:r>
    </w:p>
    <w:p w14:paraId="3FB1D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供应商（以下称乙方）：</w:t>
      </w:r>
    </w:p>
    <w:p w14:paraId="16E84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采购代理机构：浙江建业工程管理有限公司</w:t>
      </w:r>
    </w:p>
    <w:p w14:paraId="5F784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采购方式：公开招标</w:t>
      </w:r>
    </w:p>
    <w:p w14:paraId="2C3C5B0B">
      <w:pPr>
        <w:snapToGrid w:val="0"/>
        <w:spacing w:before="159" w:beforeLines="50" w:line="360" w:lineRule="auto"/>
        <w:ind w:firstLine="480" w:firstLineChars="200"/>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根据《中华人民共和国政府采购法》、《中华人民共和国民法典》等法律法规的规定，甲乙双方就嘉兴市南湖区2023年1月至2024年12月政府投资项目初步设计概算审核服务框架协议单位采购项目结果签订本合同。</w:t>
      </w:r>
    </w:p>
    <w:p w14:paraId="05C6D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第一条 合同组成</w:t>
      </w:r>
    </w:p>
    <w:p w14:paraId="5C348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本次政府采购活动的相关文件为本合同的组成部分，这些文件包括但不限于：</w:t>
      </w:r>
    </w:p>
    <w:p w14:paraId="1B738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（1）本合同文本；</w:t>
      </w:r>
    </w:p>
    <w:p w14:paraId="6C035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（2）采购文件与采购响应文件；</w:t>
      </w:r>
    </w:p>
    <w:p w14:paraId="67A22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（3）中标或成交通知书；</w:t>
      </w:r>
    </w:p>
    <w:p w14:paraId="51BB3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组成本合同的所有文件必须为书面形式。政府采购合同备案时，须提供以上（1）、（3）两项，如由社会中介机构代理，须提供代理协议，合同如有变更的，须提供变更协议。</w:t>
      </w:r>
    </w:p>
    <w:p w14:paraId="3C268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第二条 合同标的</w:t>
      </w:r>
    </w:p>
    <w:p w14:paraId="5290D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1、嘉兴市南湖区2023年1月至2024年12月政府投资项目初步设计概算审核服务框架协议单位采购项目  ；</w:t>
      </w:r>
    </w:p>
    <w:p w14:paraId="571F895A">
      <w:pPr>
        <w:keepNext/>
        <w:keepLines/>
        <w:spacing w:before="260" w:after="260" w:line="415" w:lineRule="auto"/>
        <w:outlineLvl w:val="1"/>
        <w:rPr>
          <w:rFonts w:ascii="Cambria" w:hAnsi="Cambria" w:eastAsia="宋体" w:cs="Times New Roman"/>
          <w:b/>
          <w:bCs/>
          <w:color w:val="auto"/>
          <w:kern w:val="0"/>
          <w:sz w:val="32"/>
          <w:szCs w:val="32"/>
          <w:highlight w:val="none"/>
        </w:rPr>
      </w:pPr>
    </w:p>
    <w:tbl>
      <w:tblPr>
        <w:tblStyle w:val="7"/>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
        <w:gridCol w:w="1129"/>
        <w:gridCol w:w="2009"/>
        <w:gridCol w:w="1010"/>
        <w:gridCol w:w="674"/>
        <w:gridCol w:w="1515"/>
        <w:gridCol w:w="1515"/>
      </w:tblGrid>
      <w:tr w14:paraId="29C6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3A3571B">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6D5046C9">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服务名称</w:t>
            </w:r>
          </w:p>
        </w:tc>
        <w:tc>
          <w:tcPr>
            <w:tcW w:w="2009" w:type="dxa"/>
            <w:tcBorders>
              <w:top w:val="single" w:color="auto" w:sz="4" w:space="0"/>
              <w:left w:val="single" w:color="auto" w:sz="4" w:space="0"/>
              <w:bottom w:val="single" w:color="auto" w:sz="4" w:space="0"/>
              <w:right w:val="single" w:color="auto" w:sz="4" w:space="0"/>
            </w:tcBorders>
            <w:vAlign w:val="center"/>
          </w:tcPr>
          <w:p w14:paraId="6166E985">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服务内容</w:t>
            </w:r>
          </w:p>
        </w:tc>
        <w:tc>
          <w:tcPr>
            <w:tcW w:w="1010" w:type="dxa"/>
            <w:tcBorders>
              <w:top w:val="single" w:color="auto" w:sz="4" w:space="0"/>
              <w:left w:val="single" w:color="auto" w:sz="4" w:space="0"/>
              <w:bottom w:val="single" w:color="auto" w:sz="4" w:space="0"/>
              <w:right w:val="single" w:color="auto" w:sz="4" w:space="0"/>
            </w:tcBorders>
            <w:vAlign w:val="center"/>
          </w:tcPr>
          <w:p w14:paraId="7B0A937D">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单位</w:t>
            </w:r>
          </w:p>
        </w:tc>
        <w:tc>
          <w:tcPr>
            <w:tcW w:w="674" w:type="dxa"/>
            <w:tcBorders>
              <w:top w:val="single" w:color="auto" w:sz="4" w:space="0"/>
              <w:left w:val="single" w:color="auto" w:sz="4" w:space="0"/>
              <w:bottom w:val="single" w:color="auto" w:sz="4" w:space="0"/>
              <w:right w:val="single" w:color="auto" w:sz="4" w:space="0"/>
            </w:tcBorders>
            <w:vAlign w:val="center"/>
          </w:tcPr>
          <w:p w14:paraId="1E39BA8F">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数量</w:t>
            </w:r>
          </w:p>
        </w:tc>
        <w:tc>
          <w:tcPr>
            <w:tcW w:w="1515" w:type="dxa"/>
            <w:tcBorders>
              <w:top w:val="single" w:color="auto" w:sz="4" w:space="0"/>
              <w:left w:val="single" w:color="auto" w:sz="4" w:space="0"/>
              <w:bottom w:val="single" w:color="auto" w:sz="4" w:space="0"/>
              <w:right w:val="single" w:color="auto" w:sz="4" w:space="0"/>
            </w:tcBorders>
            <w:vAlign w:val="center"/>
          </w:tcPr>
          <w:p w14:paraId="153FEFF6">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预算金额(元)</w:t>
            </w:r>
          </w:p>
        </w:tc>
        <w:tc>
          <w:tcPr>
            <w:tcW w:w="1515" w:type="dxa"/>
            <w:tcBorders>
              <w:top w:val="single" w:color="auto" w:sz="4" w:space="0"/>
              <w:left w:val="single" w:color="auto" w:sz="4" w:space="0"/>
              <w:bottom w:val="single" w:color="auto" w:sz="4" w:space="0"/>
              <w:right w:val="single" w:color="auto" w:sz="4" w:space="0"/>
            </w:tcBorders>
            <w:vAlign w:val="center"/>
          </w:tcPr>
          <w:p w14:paraId="3FEA1EAB">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采购金额(元)</w:t>
            </w:r>
          </w:p>
        </w:tc>
      </w:tr>
      <w:tr w14:paraId="028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63" w:type="dxa"/>
            <w:gridSpan w:val="2"/>
            <w:tcBorders>
              <w:top w:val="single" w:color="auto" w:sz="4" w:space="0"/>
              <w:left w:val="single" w:color="auto" w:sz="4" w:space="0"/>
              <w:bottom w:val="single" w:color="auto" w:sz="4" w:space="0"/>
              <w:right w:val="single" w:color="auto" w:sz="4" w:space="0"/>
            </w:tcBorders>
          </w:tcPr>
          <w:p w14:paraId="0AA1A98C">
            <w:pPr>
              <w:spacing w:before="156" w:after="156" w:line="360" w:lineRule="auto"/>
              <w:rPr>
                <w:rFonts w:ascii="宋体" w:hAnsi="宋体" w:eastAsia="宋体" w:cs="宋体"/>
                <w:color w:val="auto"/>
                <w:sz w:val="24"/>
                <w:szCs w:val="21"/>
                <w:highlight w:val="none"/>
              </w:rPr>
            </w:pPr>
          </w:p>
        </w:tc>
        <w:tc>
          <w:tcPr>
            <w:tcW w:w="1129" w:type="dxa"/>
            <w:tcBorders>
              <w:top w:val="single" w:color="auto" w:sz="4" w:space="0"/>
              <w:left w:val="single" w:color="auto" w:sz="4" w:space="0"/>
              <w:bottom w:val="single" w:color="auto" w:sz="4" w:space="0"/>
              <w:right w:val="single" w:color="auto" w:sz="4" w:space="0"/>
            </w:tcBorders>
          </w:tcPr>
          <w:p w14:paraId="5A5E9057">
            <w:pPr>
              <w:spacing w:before="156" w:after="156" w:line="360" w:lineRule="auto"/>
              <w:rPr>
                <w:rFonts w:ascii="宋体" w:hAnsi="宋体" w:eastAsia="宋体" w:cs="宋体"/>
                <w:color w:val="auto"/>
                <w:sz w:val="24"/>
                <w:szCs w:val="21"/>
                <w:highlight w:val="none"/>
              </w:rPr>
            </w:pPr>
          </w:p>
        </w:tc>
        <w:tc>
          <w:tcPr>
            <w:tcW w:w="2009" w:type="dxa"/>
            <w:tcBorders>
              <w:top w:val="single" w:color="auto" w:sz="4" w:space="0"/>
              <w:left w:val="single" w:color="auto" w:sz="4" w:space="0"/>
              <w:bottom w:val="single" w:color="auto" w:sz="4" w:space="0"/>
              <w:right w:val="single" w:color="auto" w:sz="4" w:space="0"/>
            </w:tcBorders>
          </w:tcPr>
          <w:p w14:paraId="5AE0D633">
            <w:pPr>
              <w:spacing w:before="156" w:after="156" w:line="360" w:lineRule="auto"/>
              <w:rPr>
                <w:rFonts w:ascii="宋体" w:hAnsi="宋体" w:eastAsia="宋体" w:cs="宋体"/>
                <w:color w:val="auto"/>
                <w:sz w:val="24"/>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83A4B10">
            <w:pPr>
              <w:spacing w:before="156" w:after="156" w:line="360" w:lineRule="auto"/>
              <w:rPr>
                <w:rFonts w:ascii="宋体" w:hAnsi="宋体" w:eastAsia="宋体" w:cs="宋体"/>
                <w:color w:val="auto"/>
                <w:sz w:val="24"/>
                <w:szCs w:val="21"/>
                <w:highlight w:val="none"/>
              </w:rPr>
            </w:pPr>
          </w:p>
        </w:tc>
        <w:tc>
          <w:tcPr>
            <w:tcW w:w="674" w:type="dxa"/>
            <w:tcBorders>
              <w:top w:val="single" w:color="auto" w:sz="4" w:space="0"/>
              <w:left w:val="single" w:color="auto" w:sz="4" w:space="0"/>
              <w:bottom w:val="single" w:color="auto" w:sz="4" w:space="0"/>
              <w:right w:val="single" w:color="auto" w:sz="4" w:space="0"/>
            </w:tcBorders>
          </w:tcPr>
          <w:p w14:paraId="46441C8C">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1F7CD46E">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112F1241">
            <w:pPr>
              <w:spacing w:before="156" w:after="156" w:line="360" w:lineRule="auto"/>
              <w:rPr>
                <w:rFonts w:ascii="宋体" w:hAnsi="宋体" w:eastAsia="宋体" w:cs="宋体"/>
                <w:color w:val="auto"/>
                <w:sz w:val="24"/>
                <w:szCs w:val="21"/>
                <w:highlight w:val="none"/>
              </w:rPr>
            </w:pPr>
          </w:p>
        </w:tc>
      </w:tr>
      <w:tr w14:paraId="1460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63" w:type="dxa"/>
            <w:gridSpan w:val="2"/>
            <w:tcBorders>
              <w:top w:val="single" w:color="auto" w:sz="4" w:space="0"/>
              <w:left w:val="single" w:color="auto" w:sz="4" w:space="0"/>
              <w:bottom w:val="single" w:color="auto" w:sz="4" w:space="0"/>
              <w:right w:val="single" w:color="auto" w:sz="4" w:space="0"/>
            </w:tcBorders>
          </w:tcPr>
          <w:p w14:paraId="08DE6F81">
            <w:pPr>
              <w:spacing w:before="156" w:after="156" w:line="360" w:lineRule="auto"/>
              <w:rPr>
                <w:rFonts w:ascii="宋体" w:hAnsi="宋体" w:eastAsia="宋体" w:cs="宋体"/>
                <w:color w:val="auto"/>
                <w:sz w:val="24"/>
                <w:szCs w:val="21"/>
                <w:highlight w:val="none"/>
              </w:rPr>
            </w:pPr>
          </w:p>
        </w:tc>
        <w:tc>
          <w:tcPr>
            <w:tcW w:w="1129" w:type="dxa"/>
            <w:tcBorders>
              <w:top w:val="single" w:color="auto" w:sz="4" w:space="0"/>
              <w:left w:val="single" w:color="auto" w:sz="4" w:space="0"/>
              <w:bottom w:val="single" w:color="auto" w:sz="4" w:space="0"/>
              <w:right w:val="single" w:color="auto" w:sz="4" w:space="0"/>
            </w:tcBorders>
          </w:tcPr>
          <w:p w14:paraId="5CE039FD">
            <w:pPr>
              <w:spacing w:before="156" w:after="156" w:line="360" w:lineRule="auto"/>
              <w:rPr>
                <w:rFonts w:ascii="宋体" w:hAnsi="宋体" w:eastAsia="宋体" w:cs="宋体"/>
                <w:color w:val="auto"/>
                <w:sz w:val="24"/>
                <w:szCs w:val="21"/>
                <w:highlight w:val="none"/>
              </w:rPr>
            </w:pPr>
          </w:p>
        </w:tc>
        <w:tc>
          <w:tcPr>
            <w:tcW w:w="2009" w:type="dxa"/>
            <w:tcBorders>
              <w:top w:val="single" w:color="auto" w:sz="4" w:space="0"/>
              <w:left w:val="single" w:color="auto" w:sz="4" w:space="0"/>
              <w:bottom w:val="single" w:color="auto" w:sz="4" w:space="0"/>
              <w:right w:val="single" w:color="auto" w:sz="4" w:space="0"/>
            </w:tcBorders>
          </w:tcPr>
          <w:p w14:paraId="33D51B33">
            <w:pPr>
              <w:spacing w:before="156" w:after="156" w:line="360" w:lineRule="auto"/>
              <w:rPr>
                <w:rFonts w:ascii="宋体" w:hAnsi="宋体" w:eastAsia="宋体" w:cs="宋体"/>
                <w:color w:val="auto"/>
                <w:sz w:val="24"/>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7E058EB9">
            <w:pPr>
              <w:spacing w:before="156" w:after="156" w:line="360" w:lineRule="auto"/>
              <w:rPr>
                <w:rFonts w:ascii="宋体" w:hAnsi="宋体" w:eastAsia="宋体" w:cs="宋体"/>
                <w:color w:val="auto"/>
                <w:sz w:val="24"/>
                <w:szCs w:val="21"/>
                <w:highlight w:val="none"/>
              </w:rPr>
            </w:pPr>
          </w:p>
        </w:tc>
        <w:tc>
          <w:tcPr>
            <w:tcW w:w="674" w:type="dxa"/>
            <w:tcBorders>
              <w:top w:val="single" w:color="auto" w:sz="4" w:space="0"/>
              <w:left w:val="single" w:color="auto" w:sz="4" w:space="0"/>
              <w:bottom w:val="single" w:color="auto" w:sz="4" w:space="0"/>
              <w:right w:val="single" w:color="auto" w:sz="4" w:space="0"/>
            </w:tcBorders>
          </w:tcPr>
          <w:p w14:paraId="646ECBB9">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43E7FF9F">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23646A4B">
            <w:pPr>
              <w:spacing w:before="156" w:after="156" w:line="360" w:lineRule="auto"/>
              <w:rPr>
                <w:rFonts w:ascii="宋体" w:hAnsi="宋体" w:eastAsia="宋体" w:cs="宋体"/>
                <w:color w:val="auto"/>
                <w:sz w:val="24"/>
                <w:szCs w:val="21"/>
                <w:highlight w:val="none"/>
              </w:rPr>
            </w:pPr>
          </w:p>
        </w:tc>
      </w:tr>
      <w:tr w14:paraId="0E91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911" w:type="dxa"/>
            <w:gridSpan w:val="5"/>
            <w:tcBorders>
              <w:top w:val="single" w:color="auto" w:sz="4" w:space="0"/>
              <w:left w:val="single" w:color="auto" w:sz="4" w:space="0"/>
              <w:bottom w:val="single" w:color="auto" w:sz="4" w:space="0"/>
              <w:right w:val="single" w:color="auto" w:sz="4" w:space="0"/>
            </w:tcBorders>
          </w:tcPr>
          <w:p w14:paraId="34DBE620">
            <w:pPr>
              <w:spacing w:before="156" w:after="156" w:line="360" w:lineRule="auto"/>
              <w:jc w:val="center"/>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合 计</w:t>
            </w:r>
          </w:p>
        </w:tc>
        <w:tc>
          <w:tcPr>
            <w:tcW w:w="674" w:type="dxa"/>
            <w:tcBorders>
              <w:top w:val="single" w:color="auto" w:sz="4" w:space="0"/>
              <w:left w:val="single" w:color="auto" w:sz="4" w:space="0"/>
              <w:bottom w:val="single" w:color="auto" w:sz="4" w:space="0"/>
              <w:right w:val="single" w:color="auto" w:sz="4" w:space="0"/>
            </w:tcBorders>
          </w:tcPr>
          <w:p w14:paraId="3BD6F289">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49906BF0">
            <w:pPr>
              <w:spacing w:before="156" w:after="156" w:line="360" w:lineRule="auto"/>
              <w:rPr>
                <w:rFonts w:ascii="宋体" w:hAnsi="宋体" w:eastAsia="宋体" w:cs="宋体"/>
                <w:color w:val="auto"/>
                <w:sz w:val="24"/>
                <w:szCs w:val="21"/>
                <w:highlight w:val="none"/>
              </w:rPr>
            </w:pPr>
          </w:p>
        </w:tc>
        <w:tc>
          <w:tcPr>
            <w:tcW w:w="1515" w:type="dxa"/>
            <w:tcBorders>
              <w:top w:val="single" w:color="auto" w:sz="4" w:space="0"/>
              <w:left w:val="single" w:color="auto" w:sz="4" w:space="0"/>
              <w:bottom w:val="single" w:color="auto" w:sz="4" w:space="0"/>
              <w:right w:val="single" w:color="auto" w:sz="4" w:space="0"/>
            </w:tcBorders>
          </w:tcPr>
          <w:p w14:paraId="46331422">
            <w:pPr>
              <w:spacing w:before="156" w:after="156" w:line="360" w:lineRule="auto"/>
              <w:rPr>
                <w:rFonts w:ascii="宋体" w:hAnsi="宋体" w:eastAsia="宋体" w:cs="宋体"/>
                <w:color w:val="auto"/>
                <w:sz w:val="24"/>
                <w:szCs w:val="21"/>
                <w:highlight w:val="none"/>
              </w:rPr>
            </w:pPr>
          </w:p>
        </w:tc>
      </w:tr>
    </w:tbl>
    <w:p w14:paraId="0346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2、乙方是否属于中小微企业：□是□否；</w:t>
      </w:r>
    </w:p>
    <w:p w14:paraId="1212A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3、本合同项下产品属于（可多选）：□环保产品；□节能产品；□进口产品。</w:t>
      </w:r>
    </w:p>
    <w:p w14:paraId="33BF8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第三条 合同价款</w:t>
      </w:r>
    </w:p>
    <w:p w14:paraId="52E88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1、本合同项下总价款为（大写）人民币，分项价款见“价格清单”（如有）”。</w:t>
      </w:r>
    </w:p>
    <w:p w14:paraId="3359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2、初步设计概算审核服务费包括人员工资和各类社会保险、办公设备耗材费、资料费、印刷费、交通费、服务咨询费、管理费、利润、税金及政策性文件规定等一切费用。</w:t>
      </w:r>
    </w:p>
    <w:p w14:paraId="605D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3、本合同付款方式为以下第</w:t>
      </w:r>
      <w:r>
        <w:rPr>
          <w:rFonts w:hint="eastAsia" w:ascii="宋体" w:hAnsi="宋体" w:eastAsia="宋体" w:cs="宋体"/>
          <w:color w:val="auto"/>
          <w:kern w:val="0"/>
          <w:sz w:val="24"/>
          <w:szCs w:val="21"/>
          <w:highlight w:val="none"/>
          <w:u w:val="single"/>
        </w:rPr>
        <w:t xml:space="preserve">   1  </w:t>
      </w:r>
      <w:r>
        <w:rPr>
          <w:rFonts w:hint="eastAsia" w:ascii="宋体" w:hAnsi="宋体" w:eastAsia="宋体" w:cs="宋体"/>
          <w:color w:val="auto"/>
          <w:kern w:val="0"/>
          <w:sz w:val="24"/>
          <w:szCs w:val="21"/>
          <w:highlight w:val="none"/>
        </w:rPr>
        <w:t>项：</w:t>
      </w:r>
    </w:p>
    <w:p w14:paraId="213FF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（1）本合同项下的采购资金系甲方自行支付，付款程序为</w:t>
      </w:r>
      <w:r>
        <w:rPr>
          <w:rFonts w:hint="eastAsia" w:ascii="宋体" w:hAnsi="宋体" w:eastAsia="宋体" w:cs="宋体"/>
          <w:color w:val="auto"/>
          <w:sz w:val="24"/>
          <w:szCs w:val="21"/>
          <w:highlight w:val="none"/>
          <w:u w:val="single"/>
        </w:rPr>
        <w:t>根据相关规定和实施项目</w:t>
      </w:r>
      <w:r>
        <w:rPr>
          <w:rFonts w:hint="eastAsia" w:ascii="宋体" w:hAnsi="宋体" w:eastAsia="宋体" w:cs="宋体"/>
          <w:color w:val="auto"/>
          <w:kern w:val="0"/>
          <w:sz w:val="24"/>
          <w:szCs w:val="21"/>
          <w:highlight w:val="none"/>
        </w:rPr>
        <w:t>；</w:t>
      </w:r>
    </w:p>
    <w:p w14:paraId="6EFC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（2）本合同项下的采购资金须财政直接支付，付款程序为</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w:t>
      </w:r>
    </w:p>
    <w:p w14:paraId="1C378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（3）其他方式：</w:t>
      </w:r>
    </w:p>
    <w:p w14:paraId="0CF2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678" w:leftChars="285" w:hanging="1080" w:hangingChars="45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4、本合同项下的采购资金付款进度按招投标文件规定，未规定时按以下</w:t>
      </w:r>
    </w:p>
    <w:p w14:paraId="5C9C7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678" w:leftChars="285" w:hanging="1080" w:hangingChars="45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第</w:t>
      </w:r>
      <w:r>
        <w:rPr>
          <w:rFonts w:hint="eastAsia" w:ascii="宋体" w:hAnsi="宋体" w:eastAsia="宋体" w:cs="宋体"/>
          <w:color w:val="auto"/>
          <w:kern w:val="0"/>
          <w:sz w:val="24"/>
          <w:szCs w:val="21"/>
          <w:highlight w:val="none"/>
          <w:u w:val="single"/>
        </w:rPr>
        <w:t xml:space="preserve">   1   </w:t>
      </w:r>
      <w:r>
        <w:rPr>
          <w:rFonts w:hint="eastAsia" w:ascii="宋体" w:hAnsi="宋体" w:eastAsia="宋体" w:cs="宋体"/>
          <w:color w:val="auto"/>
          <w:kern w:val="0"/>
          <w:sz w:val="24"/>
          <w:szCs w:val="21"/>
          <w:highlight w:val="none"/>
        </w:rPr>
        <w:t>项支付：</w:t>
      </w:r>
    </w:p>
    <w:p w14:paraId="7F91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（1）一次性付款：乙方合同履行达到</w:t>
      </w:r>
      <w:r>
        <w:rPr>
          <w:rFonts w:hint="eastAsia" w:ascii="宋体" w:hAnsi="宋体" w:eastAsia="宋体" w:cs="宋体"/>
          <w:color w:val="auto"/>
          <w:kern w:val="0"/>
          <w:sz w:val="24"/>
          <w:szCs w:val="21"/>
          <w:highlight w:val="none"/>
          <w:u w:val="single"/>
        </w:rPr>
        <w:t xml:space="preserve"> 概算审核审核报告出具</w:t>
      </w:r>
      <w:r>
        <w:rPr>
          <w:rFonts w:hint="eastAsia" w:ascii="宋体" w:hAnsi="宋体" w:eastAsia="宋体" w:cs="宋体"/>
          <w:color w:val="auto"/>
          <w:kern w:val="0"/>
          <w:sz w:val="24"/>
          <w:szCs w:val="21"/>
          <w:highlight w:val="none"/>
        </w:rPr>
        <w:t>（条件）时，一次性付款；</w:t>
      </w:r>
    </w:p>
    <w:p w14:paraId="0DEAE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319" w:leftChars="228" w:hanging="840" w:hangingChars="35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（2）分期付款</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时</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支付；</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时支付</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时支付</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 xml:space="preserve"> ；</w:t>
      </w:r>
    </w:p>
    <w:p w14:paraId="6C8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若收取了履约保证金，则不应重复设置尾款支付条件。</w:t>
      </w:r>
    </w:p>
    <w:p w14:paraId="65D79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第四条 履约保证金</w:t>
      </w:r>
    </w:p>
    <w:p w14:paraId="3A45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b/>
          <w:color w:val="auto"/>
          <w:kern w:val="0"/>
          <w:sz w:val="24"/>
          <w:szCs w:val="21"/>
          <w:highlight w:val="none"/>
        </w:rPr>
      </w:pPr>
      <w:r>
        <w:rPr>
          <w:rFonts w:hint="eastAsia" w:ascii="宋体" w:hAnsi="宋体" w:eastAsia="宋体" w:cs="宋体"/>
          <w:color w:val="auto"/>
          <w:kern w:val="0"/>
          <w:sz w:val="24"/>
          <w:szCs w:val="21"/>
          <w:highlight w:val="none"/>
        </w:rPr>
        <w:t>按以下第</w:t>
      </w:r>
      <w:r>
        <w:rPr>
          <w:rFonts w:hint="eastAsia" w:ascii="宋体" w:hAnsi="宋体" w:eastAsia="宋体" w:cs="宋体"/>
          <w:color w:val="auto"/>
          <w:kern w:val="0"/>
          <w:sz w:val="24"/>
          <w:szCs w:val="21"/>
          <w:highlight w:val="none"/>
          <w:u w:val="single"/>
        </w:rPr>
        <w:t xml:space="preserve">  2   </w:t>
      </w:r>
      <w:r>
        <w:rPr>
          <w:rFonts w:hint="eastAsia" w:ascii="宋体" w:hAnsi="宋体" w:eastAsia="宋体" w:cs="宋体"/>
          <w:color w:val="auto"/>
          <w:kern w:val="0"/>
          <w:sz w:val="24"/>
          <w:szCs w:val="21"/>
          <w:highlight w:val="none"/>
        </w:rPr>
        <w:t>项处理：</w:t>
      </w:r>
    </w:p>
    <w:p w14:paraId="499DD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1、本项目设置履约保证金，乙方应于</w:t>
      </w:r>
      <w:r>
        <w:rPr>
          <w:rFonts w:hint="eastAsia" w:ascii="宋体" w:hAnsi="宋体" w:eastAsia="宋体" w:cs="宋体"/>
          <w:color w:val="auto"/>
          <w:kern w:val="0"/>
          <w:sz w:val="24"/>
          <w:szCs w:val="21"/>
          <w:highlight w:val="none"/>
          <w:u w:val="single"/>
        </w:rPr>
        <w:t xml:space="preserve"> 签订合同时</w:t>
      </w:r>
      <w:r>
        <w:rPr>
          <w:rFonts w:hint="eastAsia" w:ascii="宋体" w:hAnsi="宋体" w:eastAsia="宋体" w:cs="宋体"/>
          <w:color w:val="auto"/>
          <w:kern w:val="0"/>
          <w:sz w:val="24"/>
          <w:szCs w:val="21"/>
          <w:highlight w:val="none"/>
        </w:rPr>
        <w:t>（时间）向甲方提交履约保证金</w:t>
      </w:r>
      <w:r>
        <w:rPr>
          <w:rFonts w:hint="eastAsia" w:ascii="宋体" w:hAnsi="宋体" w:eastAsia="宋体" w:cs="宋体"/>
          <w:color w:val="auto"/>
          <w:kern w:val="0"/>
          <w:sz w:val="24"/>
          <w:szCs w:val="21"/>
          <w:highlight w:val="none"/>
          <w:u w:val="single"/>
        </w:rPr>
        <w:t>壹万元</w:t>
      </w:r>
      <w:r>
        <w:rPr>
          <w:rFonts w:hint="eastAsia" w:ascii="宋体" w:hAnsi="宋体" w:eastAsia="宋体" w:cs="宋体"/>
          <w:color w:val="auto"/>
          <w:kern w:val="0"/>
          <w:sz w:val="24"/>
          <w:szCs w:val="21"/>
          <w:highlight w:val="none"/>
        </w:rPr>
        <w:t>（10000元）。履约保证金在</w:t>
      </w:r>
      <w:r>
        <w:rPr>
          <w:rFonts w:hint="eastAsia" w:ascii="宋体" w:hAnsi="宋体" w:eastAsia="宋体" w:cs="宋体"/>
          <w:color w:val="auto"/>
          <w:kern w:val="0"/>
          <w:sz w:val="24"/>
          <w:szCs w:val="21"/>
          <w:highlight w:val="none"/>
          <w:u w:val="single"/>
        </w:rPr>
        <w:t>合同结束时（</w:t>
      </w:r>
      <w:r>
        <w:rPr>
          <w:rFonts w:hint="eastAsia" w:ascii="宋体" w:hAnsi="宋体" w:eastAsia="宋体" w:cs="宋体"/>
          <w:color w:val="auto"/>
          <w:kern w:val="0"/>
          <w:sz w:val="24"/>
          <w:szCs w:val="21"/>
          <w:highlight w:val="none"/>
        </w:rPr>
        <w:t>时间）退还乙方（无息）。</w:t>
      </w:r>
    </w:p>
    <w:p w14:paraId="36257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2、本项目不设置履约保证金。</w:t>
      </w:r>
    </w:p>
    <w:p w14:paraId="3E63F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第五条 质量保证及售后服务</w:t>
      </w:r>
    </w:p>
    <w:p w14:paraId="0C845050">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1、乙方应按</w:t>
      </w:r>
      <w:r>
        <w:rPr>
          <w:rFonts w:hint="eastAsia" w:ascii="宋体" w:hAnsi="宋体" w:eastAsia="宋体" w:cs="宋体"/>
          <w:color w:val="auto"/>
          <w:kern w:val="0"/>
          <w:sz w:val="24"/>
          <w:szCs w:val="21"/>
          <w:highlight w:val="none"/>
        </w:rPr>
        <w:t>招标</w:t>
      </w:r>
      <w:r>
        <w:rPr>
          <w:rFonts w:hint="eastAsia" w:ascii="宋体" w:hAnsi="宋体" w:eastAsia="宋体" w:cs="宋体"/>
          <w:color w:val="auto"/>
          <w:sz w:val="24"/>
          <w:szCs w:val="21"/>
          <w:highlight w:val="none"/>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7D0D3626">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2、上述的货物免费保修期为</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sz w:val="24"/>
          <w:szCs w:val="21"/>
          <w:highlight w:val="none"/>
        </w:rPr>
        <w:t>年，人为因素出现的故障不在免费保修范围内。超过保修期的机器设备实行终生维修，维修时只收部件成本费。</w:t>
      </w:r>
    </w:p>
    <w:p w14:paraId="422494F1">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3、乙方提供的货物在质保期内因货物本身的质量问题发生故障，乙方应负责免费更换。对达不到技术要求者，根据实际情况，经双方协商，可按以下办法处理：</w:t>
      </w:r>
    </w:p>
    <w:p w14:paraId="5EE5C858">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⑴更换：由乙方承担所发生的全部费用。</w:t>
      </w:r>
    </w:p>
    <w:p w14:paraId="40D94F83">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⑵贬值处理：由甲乙双方合议定价。</w:t>
      </w:r>
    </w:p>
    <w:p w14:paraId="4031D837">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⑶退货处理：乙方应退还甲方支付的合同款，同时应承担该货物的直接费用（运输、保险、检验、货款利息及银行手续费等）。</w:t>
      </w:r>
    </w:p>
    <w:p w14:paraId="1E525049">
      <w:pPr>
        <w:autoSpaceDE w:val="0"/>
        <w:autoSpaceDN w:val="0"/>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4、使用过程中发生质量问题，乙方在接到甲方通知后</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sz w:val="24"/>
          <w:szCs w:val="21"/>
          <w:highlight w:val="none"/>
        </w:rPr>
        <w:t>小时内到达甲方现场。</w:t>
      </w:r>
    </w:p>
    <w:p w14:paraId="0EC408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b/>
          <w:color w:val="auto"/>
          <w:kern w:val="0"/>
          <w:sz w:val="24"/>
          <w:szCs w:val="21"/>
          <w:highlight w:val="none"/>
        </w:rPr>
      </w:pPr>
      <w:r>
        <w:rPr>
          <w:rFonts w:hint="eastAsia" w:ascii="宋体" w:hAnsi="宋体" w:eastAsia="宋体" w:cs="宋体"/>
          <w:color w:val="auto"/>
          <w:sz w:val="24"/>
          <w:szCs w:val="21"/>
          <w:highlight w:val="none"/>
        </w:rPr>
        <w:t>5、质保期</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年。质保期内，乙方对货物出现的质量及安全问题负责处理解决并承担一切费用。</w:t>
      </w:r>
    </w:p>
    <w:p w14:paraId="13B04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第六条 交货</w:t>
      </w:r>
    </w:p>
    <w:p w14:paraId="7088D7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1、交货期：</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日前交货；</w:t>
      </w:r>
    </w:p>
    <w:p w14:paraId="407CE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2、交货地点：</w:t>
      </w:r>
      <w:r>
        <w:rPr>
          <w:rFonts w:hint="eastAsia" w:ascii="宋体" w:hAnsi="宋体" w:eastAsia="宋体" w:cs="宋体"/>
          <w:color w:val="auto"/>
          <w:kern w:val="0"/>
          <w:sz w:val="24"/>
          <w:szCs w:val="21"/>
          <w:highlight w:val="none"/>
          <w:u w:val="single"/>
        </w:rPr>
        <w:t xml:space="preserve">             /                       </w:t>
      </w:r>
    </w:p>
    <w:p w14:paraId="4A1D9B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3、安装、调试事宜：</w:t>
      </w:r>
      <w:r>
        <w:rPr>
          <w:rFonts w:hint="eastAsia" w:ascii="宋体" w:hAnsi="宋体" w:eastAsia="宋体" w:cs="宋体"/>
          <w:color w:val="auto"/>
          <w:kern w:val="0"/>
          <w:sz w:val="24"/>
          <w:szCs w:val="21"/>
          <w:highlight w:val="none"/>
          <w:u w:val="single"/>
        </w:rPr>
        <w:t xml:space="preserve">        /                                            </w:t>
      </w:r>
    </w:p>
    <w:p w14:paraId="55575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4、乙方在交货同时，应向甲方提供使用货物的有关技术资料。</w:t>
      </w:r>
    </w:p>
    <w:p w14:paraId="2CBD16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第七条 调试和验收</w:t>
      </w:r>
    </w:p>
    <w:p w14:paraId="0F683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1、乙方交货前应对产品作出全面检查，对验收文件进行整理，并列出清单，作为甲方收货验收和使用的技术条件依据，检验的结果应随货物交甲方。</w:t>
      </w:r>
    </w:p>
    <w:p w14:paraId="29C42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2、提供的货物在使用前需进行调试的，乙方需负责安装并培训甲方的使用操作人员，并协助甲方一起调试，直到符合技术要求，甲方才做最终验收。</w:t>
      </w:r>
    </w:p>
    <w:p w14:paraId="0346A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23E80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4、验收完毕乙方应出具验收结果报告，符合要求的给予签收，验收不合格的不予签收。</w:t>
      </w:r>
    </w:p>
    <w:p w14:paraId="43B732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第八条 合同的变更和终止</w:t>
      </w:r>
    </w:p>
    <w:p w14:paraId="767BA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除《政府采购法》第19条、第50条第二款规定的情形外，本合同一经签订，甲乙双方不得擅自终止合同或对合同实质性条款进行变更。确有特殊情况的，须经同级财政部门批准。</w:t>
      </w:r>
    </w:p>
    <w:p w14:paraId="47D55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第九条 合同的转让与分包</w:t>
      </w:r>
    </w:p>
    <w:p w14:paraId="6F3E5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乙方不得擅自部分或全部转让其应履行的合同义务。乙方分包的，应经过甲方书面同意。</w:t>
      </w:r>
    </w:p>
    <w:p w14:paraId="7C8D1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第十条 违约责任</w:t>
      </w:r>
    </w:p>
    <w:p w14:paraId="65AD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1、甲方无正当理由拒收货物的，甲方应向乙方偿付拒收货款总值的百分之五违约金。</w:t>
      </w:r>
    </w:p>
    <w:p w14:paraId="12763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2、甲方无故逾期验收和办理货款支付手续的，甲方应按逾期付款总额每日万分之五向乙方支付违约金。</w:t>
      </w:r>
    </w:p>
    <w:p w14:paraId="44F3A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171F9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5307B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第十一条 不可抗力事件处理</w:t>
      </w:r>
    </w:p>
    <w:p w14:paraId="4FC60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1、在合同有效期内，任何一方因不可抗力事件导致不能履行合同的，合同履行期可延长，其延长期与不可抗力影响期相同。</w:t>
      </w:r>
    </w:p>
    <w:p w14:paraId="3A021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2、不可抗力事件发生后，应立即通知对方，并寄送有关权威机构出具的证明。</w:t>
      </w:r>
    </w:p>
    <w:p w14:paraId="7B9A8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3、不可抗力事件延续120天以上，双方应通过友好协商，确定是否继续履行合同。</w:t>
      </w:r>
    </w:p>
    <w:p w14:paraId="4114A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第十二条 争议的解决</w:t>
      </w:r>
    </w:p>
    <w:p w14:paraId="62429D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 w:val="24"/>
          <w:szCs w:val="21"/>
          <w:highlight w:val="none"/>
          <w:u w:val="single"/>
        </w:rPr>
        <w:t xml:space="preserve">   1   </w:t>
      </w:r>
      <w:r>
        <w:rPr>
          <w:rFonts w:hint="eastAsia" w:ascii="宋体" w:hAnsi="宋体" w:eastAsia="宋体" w:cs="宋体"/>
          <w:color w:val="auto"/>
          <w:kern w:val="0"/>
          <w:sz w:val="24"/>
          <w:szCs w:val="21"/>
          <w:highlight w:val="none"/>
        </w:rPr>
        <w:t>种方式解决争议：</w:t>
      </w:r>
    </w:p>
    <w:p w14:paraId="73BA3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（1）向甲方所在地有管辖权的人民法院提起诉讼；</w:t>
      </w:r>
    </w:p>
    <w:p w14:paraId="091AB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（2）向</w:t>
      </w:r>
      <w:r>
        <w:rPr>
          <w:rFonts w:hint="eastAsia" w:ascii="宋体" w:hAnsi="宋体" w:eastAsia="宋体" w:cs="宋体"/>
          <w:color w:val="auto"/>
          <w:kern w:val="0"/>
          <w:sz w:val="24"/>
          <w:szCs w:val="21"/>
          <w:highlight w:val="none"/>
          <w:u w:val="single"/>
        </w:rPr>
        <w:t xml:space="preserve">  /    </w:t>
      </w:r>
      <w:r>
        <w:rPr>
          <w:rFonts w:hint="eastAsia" w:ascii="宋体" w:hAnsi="宋体" w:eastAsia="宋体" w:cs="宋体"/>
          <w:color w:val="auto"/>
          <w:kern w:val="0"/>
          <w:sz w:val="24"/>
          <w:szCs w:val="21"/>
          <w:highlight w:val="none"/>
        </w:rPr>
        <w:t>仲裁委员申请仲裁。</w:t>
      </w:r>
    </w:p>
    <w:p w14:paraId="62E4B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第十三条 合同生效及备案</w:t>
      </w:r>
    </w:p>
    <w:p w14:paraId="7C3BB0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1、合同经双方法定代表人或被授权人签字并加电子签章后生效。</w:t>
      </w:r>
    </w:p>
    <w:p w14:paraId="27A2C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2、合同执行中涉及采购资金和采购内容修改或补充的，须经财政部门审批，并签书面补充协议报政府部门备案，方可作为主合同不可分割的一部分。</w:t>
      </w:r>
    </w:p>
    <w:p w14:paraId="24BA5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3、本合同未尽事宜，遵照《中华人民共和国政府民法典》有关条文执行。</w:t>
      </w:r>
    </w:p>
    <w:p w14:paraId="6A47F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4、本合同一式</w:t>
      </w:r>
      <w:r>
        <w:rPr>
          <w:rFonts w:hint="eastAsia" w:ascii="宋体" w:hAnsi="宋体" w:eastAsia="宋体" w:cs="宋体"/>
          <w:color w:val="auto"/>
          <w:kern w:val="0"/>
          <w:sz w:val="24"/>
          <w:szCs w:val="21"/>
          <w:highlight w:val="none"/>
          <w:u w:val="single"/>
        </w:rPr>
        <w:t xml:space="preserve"> 五 </w:t>
      </w:r>
      <w:r>
        <w:rPr>
          <w:rFonts w:hint="eastAsia" w:ascii="宋体" w:hAnsi="宋体" w:eastAsia="宋体" w:cs="宋体"/>
          <w:color w:val="auto"/>
          <w:kern w:val="0"/>
          <w:sz w:val="24"/>
          <w:szCs w:val="21"/>
          <w:highlight w:val="none"/>
        </w:rPr>
        <w:t>份，甲乙双方各执</w:t>
      </w:r>
      <w:r>
        <w:rPr>
          <w:rFonts w:hint="eastAsia" w:ascii="宋体" w:hAnsi="宋体" w:eastAsia="宋体" w:cs="宋体"/>
          <w:color w:val="auto"/>
          <w:kern w:val="0"/>
          <w:sz w:val="24"/>
          <w:szCs w:val="21"/>
          <w:highlight w:val="none"/>
          <w:u w:val="single"/>
        </w:rPr>
        <w:t xml:space="preserve"> 一 </w:t>
      </w:r>
      <w:r>
        <w:rPr>
          <w:rFonts w:hint="eastAsia" w:ascii="宋体" w:hAnsi="宋体" w:eastAsia="宋体" w:cs="宋体"/>
          <w:color w:val="auto"/>
          <w:kern w:val="0"/>
          <w:sz w:val="24"/>
          <w:szCs w:val="21"/>
          <w:highlight w:val="none"/>
        </w:rPr>
        <w:t>份，</w:t>
      </w:r>
      <w:r>
        <w:rPr>
          <w:rFonts w:hint="eastAsia" w:ascii="宋体" w:hAnsi="宋体" w:eastAsia="宋体" w:cs="宋体"/>
          <w:color w:val="auto"/>
          <w:kern w:val="0"/>
          <w:sz w:val="24"/>
          <w:szCs w:val="21"/>
          <w:highlight w:val="none"/>
          <w:u w:val="single"/>
        </w:rPr>
        <w:t xml:space="preserve"> 一 </w:t>
      </w:r>
      <w:r>
        <w:rPr>
          <w:rFonts w:hint="eastAsia" w:ascii="宋体" w:hAnsi="宋体" w:eastAsia="宋体" w:cs="宋体"/>
          <w:color w:val="auto"/>
          <w:kern w:val="0"/>
          <w:sz w:val="24"/>
          <w:szCs w:val="21"/>
          <w:highlight w:val="none"/>
        </w:rPr>
        <w:t>份报送政府采购监督管理部门备案，</w:t>
      </w:r>
      <w:r>
        <w:rPr>
          <w:rFonts w:hint="eastAsia" w:ascii="宋体" w:hAnsi="宋体" w:eastAsia="宋体" w:cs="宋体"/>
          <w:color w:val="auto"/>
          <w:kern w:val="0"/>
          <w:sz w:val="24"/>
          <w:szCs w:val="21"/>
          <w:highlight w:val="none"/>
          <w:u w:val="single"/>
        </w:rPr>
        <w:t xml:space="preserve"> 一 </w:t>
      </w:r>
      <w:r>
        <w:rPr>
          <w:rFonts w:hint="eastAsia" w:ascii="宋体" w:hAnsi="宋体" w:eastAsia="宋体" w:cs="宋体"/>
          <w:color w:val="auto"/>
          <w:kern w:val="0"/>
          <w:sz w:val="24"/>
          <w:szCs w:val="21"/>
          <w:highlight w:val="none"/>
        </w:rPr>
        <w:t>份留嘉兴市公共资源交易中心备查，</w:t>
      </w:r>
      <w:r>
        <w:rPr>
          <w:rFonts w:hint="eastAsia" w:ascii="宋体" w:hAnsi="宋体" w:eastAsia="宋体" w:cs="宋体"/>
          <w:color w:val="auto"/>
          <w:kern w:val="0"/>
          <w:sz w:val="24"/>
          <w:szCs w:val="21"/>
          <w:highlight w:val="none"/>
          <w:u w:val="single"/>
        </w:rPr>
        <w:t xml:space="preserve"> 一 </w:t>
      </w:r>
      <w:r>
        <w:rPr>
          <w:rFonts w:hint="eastAsia" w:ascii="宋体" w:hAnsi="宋体" w:eastAsia="宋体" w:cs="宋体"/>
          <w:color w:val="auto"/>
          <w:kern w:val="0"/>
          <w:sz w:val="24"/>
          <w:szCs w:val="21"/>
          <w:highlight w:val="none"/>
        </w:rPr>
        <w:t>份送</w:t>
      </w:r>
      <w:r>
        <w:rPr>
          <w:rFonts w:hint="eastAsia" w:ascii="宋体" w:hAnsi="宋体" w:eastAsia="宋体" w:cs="宋体"/>
          <w:color w:val="auto"/>
          <w:sz w:val="24"/>
          <w:szCs w:val="21"/>
          <w:highlight w:val="none"/>
        </w:rPr>
        <w:t>财政核算支付中心</w:t>
      </w:r>
      <w:r>
        <w:rPr>
          <w:rFonts w:hint="eastAsia" w:ascii="宋体" w:hAnsi="宋体" w:eastAsia="宋体" w:cs="宋体"/>
          <w:color w:val="auto"/>
          <w:kern w:val="0"/>
          <w:sz w:val="24"/>
          <w:szCs w:val="21"/>
          <w:highlight w:val="none"/>
        </w:rPr>
        <w:t>。</w:t>
      </w:r>
      <w:r>
        <w:rPr>
          <w:rFonts w:hint="eastAsia" w:ascii="宋体" w:hAnsi="宋体" w:eastAsia="宋体" w:cs="宋体"/>
          <w:b/>
          <w:color w:val="auto"/>
          <w:kern w:val="0"/>
          <w:sz w:val="24"/>
          <w:szCs w:val="21"/>
          <w:highlight w:val="none"/>
          <w:u w:val="single"/>
        </w:rPr>
        <w:t>（若执行“政采贷”，另加二份）</w:t>
      </w:r>
    </w:p>
    <w:p w14:paraId="075FDDE5">
      <w:pPr>
        <w:rPr>
          <w:rFonts w:ascii="宋体" w:hAnsi="宋体" w:eastAsia="宋体" w:cs="宋体"/>
          <w:color w:val="auto"/>
          <w:sz w:val="24"/>
          <w:szCs w:val="21"/>
          <w:highlight w:val="none"/>
        </w:rPr>
      </w:pPr>
    </w:p>
    <w:p w14:paraId="20628DA3">
      <w:pPr>
        <w:rPr>
          <w:rFonts w:ascii="宋体" w:hAnsi="宋体" w:eastAsia="宋体" w:cs="宋体"/>
          <w:color w:val="auto"/>
          <w:sz w:val="24"/>
          <w:szCs w:val="21"/>
          <w:highlight w:val="none"/>
        </w:rPr>
      </w:pPr>
    </w:p>
    <w:p w14:paraId="42D7F37E">
      <w:pPr>
        <w:numPr>
          <w:ilvl w:val="0"/>
          <w:numId w:val="5"/>
        </w:numPr>
        <w:snapToGrid w:val="0"/>
        <w:spacing w:before="159" w:beforeLines="50" w:after="159" w:afterLines="50" w:line="360" w:lineRule="auto"/>
        <w:jc w:val="center"/>
        <w:rPr>
          <w:rFonts w:ascii="宋体" w:hAnsi="宋体" w:eastAsia="宋体" w:cs="宋体"/>
          <w:color w:val="auto"/>
          <w:sz w:val="24"/>
          <w:szCs w:val="21"/>
          <w:highlight w:val="none"/>
        </w:rPr>
      </w:pPr>
      <w:r>
        <w:rPr>
          <w:rFonts w:hint="eastAsia" w:ascii="宋体" w:hAnsi="宋体" w:eastAsia="宋体" w:cs="宋体"/>
          <w:b/>
          <w:color w:val="auto"/>
          <w:kern w:val="0"/>
          <w:sz w:val="24"/>
          <w:szCs w:val="21"/>
          <w:highlight w:val="none"/>
        </w:rPr>
        <w:t>特殊专用条款部分</w:t>
      </w:r>
    </w:p>
    <w:p w14:paraId="15279182">
      <w:pPr>
        <w:keepNext/>
        <w:keepLines/>
        <w:spacing w:line="360" w:lineRule="auto"/>
        <w:jc w:val="center"/>
        <w:outlineLvl w:val="1"/>
        <w:rPr>
          <w:rFonts w:ascii="宋体" w:hAnsi="宋体" w:eastAsia="宋体" w:cs="宋体"/>
          <w:b/>
          <w:bCs/>
          <w:color w:val="auto"/>
          <w:sz w:val="28"/>
          <w:szCs w:val="28"/>
          <w:highlight w:val="none"/>
        </w:rPr>
      </w:pPr>
      <w:bookmarkStart w:id="415" w:name="_Toc46142323"/>
      <w:bookmarkStart w:id="416" w:name="_Toc516477218"/>
      <w:r>
        <w:rPr>
          <w:rFonts w:hint="eastAsia" w:ascii="宋体" w:hAnsi="宋体" w:eastAsia="宋体" w:cs="宋体"/>
          <w:b/>
          <w:bCs/>
          <w:color w:val="auto"/>
          <w:sz w:val="28"/>
          <w:szCs w:val="28"/>
          <w:highlight w:val="none"/>
        </w:rPr>
        <w:t>第一部分协议书</w:t>
      </w:r>
      <w:bookmarkEnd w:id="415"/>
      <w:bookmarkEnd w:id="416"/>
    </w:p>
    <w:p w14:paraId="3D0BA6D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委托人（全称）：_</w:t>
      </w:r>
      <w:r>
        <w:rPr>
          <w:rFonts w:hint="eastAsia" w:ascii="宋体" w:hAnsi="宋体" w:eastAsia="宋体" w:cs="宋体"/>
          <w:color w:val="auto"/>
          <w:kern w:val="0"/>
          <w:szCs w:val="21"/>
          <w:highlight w:val="none"/>
          <w:u w:val="single"/>
        </w:rPr>
        <w:t xml:space="preserve">嘉兴市南湖区政务服务和数据资源管理局         </w:t>
      </w:r>
    </w:p>
    <w:p w14:paraId="5CD903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咨询人（全称）：__________________________________</w:t>
      </w:r>
    </w:p>
    <w:p w14:paraId="6B4D6F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根据《中华人民共和国民典法》及其他有关法律、法规，遵循平等、自愿、公平和诚实信用的原则，双方就下述建设工程委托造价咨询与其他服务事项协商一致，订立本合同。</w:t>
      </w:r>
    </w:p>
    <w:p w14:paraId="41F5270E">
      <w:pPr>
        <w:keepNext/>
        <w:spacing w:line="360" w:lineRule="auto"/>
        <w:outlineLvl w:val="2"/>
        <w:rPr>
          <w:rFonts w:ascii="宋体" w:hAnsi="宋体" w:eastAsia="宋体" w:cs="宋体"/>
          <w:b/>
          <w:bCs/>
          <w:color w:val="auto"/>
          <w:kern w:val="0"/>
          <w:szCs w:val="21"/>
          <w:highlight w:val="none"/>
        </w:rPr>
      </w:pPr>
      <w:bookmarkStart w:id="417" w:name="_Toc46142324"/>
      <w:bookmarkStart w:id="418" w:name="_Toc516477219"/>
      <w:r>
        <w:rPr>
          <w:rFonts w:hint="eastAsia" w:ascii="宋体" w:hAnsi="宋体" w:eastAsia="宋体" w:cs="宋体"/>
          <w:b/>
          <w:bCs/>
          <w:color w:val="auto"/>
          <w:kern w:val="0"/>
          <w:szCs w:val="21"/>
          <w:highlight w:val="none"/>
        </w:rPr>
        <w:t>一、工程概况</w:t>
      </w:r>
      <w:bookmarkEnd w:id="417"/>
      <w:bookmarkEnd w:id="418"/>
    </w:p>
    <w:p w14:paraId="736E03A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1、项目名称：</w:t>
      </w:r>
      <w:r>
        <w:rPr>
          <w:rFonts w:hint="eastAsia" w:ascii="宋体" w:hAnsi="宋体" w:eastAsia="宋体" w:cs="宋体"/>
          <w:color w:val="auto"/>
          <w:kern w:val="0"/>
          <w:szCs w:val="21"/>
          <w:highlight w:val="none"/>
          <w:u w:val="single"/>
        </w:rPr>
        <w:t>嘉兴市南湖区2023年1月至2024年12月政府投资项目初步设计概算审核服务框架协议单位采购项目</w:t>
      </w:r>
      <w:r>
        <w:rPr>
          <w:rFonts w:hint="eastAsia" w:ascii="宋体" w:hAnsi="宋体" w:eastAsia="宋体" w:cs="宋体"/>
          <w:color w:val="auto"/>
          <w:kern w:val="0"/>
          <w:szCs w:val="21"/>
          <w:highlight w:val="none"/>
        </w:rPr>
        <w:t>。</w:t>
      </w:r>
    </w:p>
    <w:p w14:paraId="6912487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2、工程地点：</w:t>
      </w:r>
      <w:r>
        <w:rPr>
          <w:rFonts w:hint="eastAsia" w:ascii="宋体" w:hAnsi="宋体" w:eastAsia="宋体" w:cs="宋体"/>
          <w:color w:val="auto"/>
          <w:kern w:val="0"/>
          <w:szCs w:val="21"/>
          <w:highlight w:val="none"/>
          <w:u w:val="single"/>
        </w:rPr>
        <w:t xml:space="preserve"> 嘉兴市南湖区                                </w:t>
      </w:r>
      <w:r>
        <w:rPr>
          <w:rFonts w:hint="eastAsia" w:ascii="宋体" w:hAnsi="宋体" w:eastAsia="宋体" w:cs="宋体"/>
          <w:color w:val="auto"/>
          <w:kern w:val="0"/>
          <w:szCs w:val="21"/>
          <w:highlight w:val="none"/>
        </w:rPr>
        <w:t>。</w:t>
      </w:r>
    </w:p>
    <w:p w14:paraId="0BB7E3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3、工程规模：</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17E866F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4、投资金额：</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08B984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5、资金来源：</w:t>
      </w:r>
      <w:r>
        <w:rPr>
          <w:rFonts w:hint="eastAsia" w:ascii="宋体" w:hAnsi="宋体" w:eastAsia="宋体" w:cs="宋体"/>
          <w:color w:val="auto"/>
          <w:kern w:val="0"/>
          <w:szCs w:val="21"/>
          <w:highlight w:val="none"/>
          <w:u w:val="single"/>
        </w:rPr>
        <w:t xml:space="preserve"> 财政资金                                    </w:t>
      </w:r>
      <w:r>
        <w:rPr>
          <w:rFonts w:hint="eastAsia" w:ascii="宋体" w:hAnsi="宋体" w:eastAsia="宋体" w:cs="宋体"/>
          <w:color w:val="auto"/>
          <w:kern w:val="0"/>
          <w:szCs w:val="21"/>
          <w:highlight w:val="none"/>
        </w:rPr>
        <w:t>。</w:t>
      </w:r>
    </w:p>
    <w:p w14:paraId="7E05886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6、建设工期或周期：</w:t>
      </w:r>
      <w:r>
        <w:rPr>
          <w:rFonts w:hint="eastAsia" w:ascii="宋体" w:hAnsi="宋体" w:eastAsia="宋体" w:cs="宋体"/>
          <w:color w:val="auto"/>
          <w:kern w:val="0"/>
          <w:szCs w:val="21"/>
          <w:highlight w:val="none"/>
          <w:u w:val="single"/>
        </w:rPr>
        <w:t xml:space="preserve">2年，2023年1月至2024年12月              </w:t>
      </w:r>
      <w:r>
        <w:rPr>
          <w:rFonts w:hint="eastAsia" w:ascii="宋体" w:hAnsi="宋体" w:eastAsia="宋体" w:cs="宋体"/>
          <w:color w:val="auto"/>
          <w:kern w:val="0"/>
          <w:szCs w:val="21"/>
          <w:highlight w:val="none"/>
        </w:rPr>
        <w:t>。</w:t>
      </w:r>
    </w:p>
    <w:p w14:paraId="619C73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合同内容为初步设计概算审核，本合同为中标合同，具体项目以委托人的委托项目为准。                                            </w:t>
      </w:r>
      <w:r>
        <w:rPr>
          <w:rFonts w:hint="eastAsia" w:ascii="宋体" w:hAnsi="宋体" w:eastAsia="宋体" w:cs="宋体"/>
          <w:color w:val="auto"/>
          <w:kern w:val="0"/>
          <w:szCs w:val="21"/>
          <w:highlight w:val="none"/>
        </w:rPr>
        <w:t>。</w:t>
      </w:r>
    </w:p>
    <w:p w14:paraId="4D994B6F">
      <w:pPr>
        <w:keepNext/>
        <w:spacing w:line="360" w:lineRule="auto"/>
        <w:outlineLvl w:val="2"/>
        <w:rPr>
          <w:rFonts w:ascii="宋体" w:hAnsi="宋体" w:eastAsia="宋体" w:cs="宋体"/>
          <w:b/>
          <w:bCs/>
          <w:color w:val="auto"/>
          <w:kern w:val="0"/>
          <w:szCs w:val="21"/>
          <w:highlight w:val="none"/>
        </w:rPr>
      </w:pPr>
      <w:bookmarkStart w:id="419" w:name="_Toc46142325"/>
      <w:bookmarkStart w:id="420" w:name="_Toc516477220"/>
      <w:r>
        <w:rPr>
          <w:rFonts w:hint="eastAsia" w:ascii="宋体" w:hAnsi="宋体" w:eastAsia="宋体" w:cs="宋体"/>
          <w:b/>
          <w:bCs/>
          <w:color w:val="auto"/>
          <w:kern w:val="0"/>
          <w:szCs w:val="21"/>
          <w:highlight w:val="none"/>
        </w:rPr>
        <w:t>二、服务范围及工作内容</w:t>
      </w:r>
      <w:bookmarkEnd w:id="419"/>
      <w:bookmarkEnd w:id="420"/>
    </w:p>
    <w:p w14:paraId="2BE99BB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双方约定的服务范围及工作内容：</w:t>
      </w:r>
      <w:r>
        <w:rPr>
          <w:rFonts w:hint="eastAsia" w:ascii="宋体" w:hAnsi="宋体" w:eastAsia="宋体" w:cs="宋体"/>
          <w:color w:val="auto"/>
          <w:kern w:val="0"/>
          <w:szCs w:val="21"/>
          <w:highlight w:val="none"/>
          <w:u w:val="single"/>
        </w:rPr>
        <w:t>嘉兴市南湖区政府投资项目初步设计概算审核工作，具体以委托人的委托项目为准。</w:t>
      </w:r>
    </w:p>
    <w:p w14:paraId="716EF65E">
      <w:pPr>
        <w:keepNext/>
        <w:spacing w:line="360" w:lineRule="auto"/>
        <w:outlineLvl w:val="2"/>
        <w:rPr>
          <w:rFonts w:ascii="宋体" w:hAnsi="宋体" w:eastAsia="宋体" w:cs="宋体"/>
          <w:b/>
          <w:bCs/>
          <w:color w:val="auto"/>
          <w:kern w:val="0"/>
          <w:szCs w:val="21"/>
          <w:highlight w:val="none"/>
        </w:rPr>
      </w:pPr>
      <w:bookmarkStart w:id="421" w:name="_Toc516477221"/>
      <w:bookmarkStart w:id="422" w:name="_Toc46142326"/>
      <w:r>
        <w:rPr>
          <w:rFonts w:hint="eastAsia" w:ascii="宋体" w:hAnsi="宋体" w:eastAsia="宋体" w:cs="宋体"/>
          <w:b/>
          <w:bCs/>
          <w:color w:val="auto"/>
          <w:kern w:val="0"/>
          <w:szCs w:val="21"/>
          <w:highlight w:val="none"/>
        </w:rPr>
        <w:t>三、服务期限</w:t>
      </w:r>
      <w:bookmarkEnd w:id="421"/>
      <w:bookmarkEnd w:id="422"/>
    </w:p>
    <w:p w14:paraId="011702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本合同约定的建设工程造价咨询服务自______年______月______日开始实施，至______年______月______日终结。</w:t>
      </w:r>
    </w:p>
    <w:p w14:paraId="582A5BC5">
      <w:pPr>
        <w:keepNext/>
        <w:spacing w:line="360" w:lineRule="auto"/>
        <w:outlineLvl w:val="2"/>
        <w:rPr>
          <w:rFonts w:ascii="宋体" w:hAnsi="宋体" w:eastAsia="宋体" w:cs="宋体"/>
          <w:b/>
          <w:bCs/>
          <w:color w:val="auto"/>
          <w:kern w:val="0"/>
          <w:szCs w:val="21"/>
          <w:highlight w:val="none"/>
        </w:rPr>
      </w:pPr>
      <w:bookmarkStart w:id="423" w:name="_Toc516477222"/>
      <w:bookmarkStart w:id="424" w:name="_Toc46142327"/>
      <w:r>
        <w:rPr>
          <w:rFonts w:hint="eastAsia" w:ascii="宋体" w:hAnsi="宋体" w:eastAsia="宋体" w:cs="宋体"/>
          <w:b/>
          <w:bCs/>
          <w:color w:val="auto"/>
          <w:kern w:val="0"/>
          <w:szCs w:val="21"/>
          <w:highlight w:val="none"/>
        </w:rPr>
        <w:t>四、质量标准</w:t>
      </w:r>
      <w:bookmarkEnd w:id="423"/>
      <w:bookmarkEnd w:id="424"/>
    </w:p>
    <w:p w14:paraId="627E62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工程造价咨询成果文件应符合： _________。</w:t>
      </w:r>
    </w:p>
    <w:p w14:paraId="3EE650AD">
      <w:pPr>
        <w:keepNext/>
        <w:spacing w:line="360" w:lineRule="auto"/>
        <w:outlineLvl w:val="2"/>
        <w:rPr>
          <w:rFonts w:ascii="宋体" w:hAnsi="宋体" w:eastAsia="宋体" w:cs="宋体"/>
          <w:b/>
          <w:bCs/>
          <w:color w:val="auto"/>
          <w:kern w:val="0"/>
          <w:szCs w:val="21"/>
          <w:highlight w:val="none"/>
        </w:rPr>
      </w:pPr>
      <w:bookmarkStart w:id="425" w:name="_Toc46142328"/>
      <w:bookmarkStart w:id="426" w:name="_Toc516477223"/>
      <w:r>
        <w:rPr>
          <w:rFonts w:hint="eastAsia" w:ascii="宋体" w:hAnsi="宋体" w:eastAsia="宋体" w:cs="宋体"/>
          <w:b/>
          <w:bCs/>
          <w:color w:val="auto"/>
          <w:kern w:val="0"/>
          <w:szCs w:val="21"/>
          <w:highlight w:val="none"/>
        </w:rPr>
        <w:t>五、酬金或计取方式</w:t>
      </w:r>
      <w:bookmarkEnd w:id="425"/>
      <w:bookmarkEnd w:id="426"/>
    </w:p>
    <w:p w14:paraId="5919C2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1、酬金：</w:t>
      </w:r>
      <w:r>
        <w:rPr>
          <w:rFonts w:hint="eastAsia" w:ascii="宋体" w:hAnsi="宋体" w:eastAsia="宋体" w:cs="宋体"/>
          <w:color w:val="auto"/>
          <w:kern w:val="0"/>
          <w:szCs w:val="21"/>
          <w:highlight w:val="none"/>
          <w:u w:val="single"/>
        </w:rPr>
        <w:t>浙价服[2009]84号文件规定的收费标准的    计取，</w:t>
      </w:r>
      <w:r>
        <w:rPr>
          <w:rFonts w:hint="eastAsia" w:ascii="宋体" w:hAnsi="宋体" w:eastAsia="宋体" w:cs="宋体"/>
          <w:color w:val="auto"/>
          <w:kern w:val="0"/>
          <w:szCs w:val="21"/>
          <w:highlight w:val="none"/>
          <w:u w:val="single"/>
        </w:rPr>
        <w:t>附加咨询费按项目概算的最终净核增额或净核减额的0.1%收取</w:t>
      </w:r>
      <w:r>
        <w:rPr>
          <w:rFonts w:hint="eastAsia" w:ascii="宋体" w:hAnsi="宋体" w:eastAsia="宋体" w:cs="宋体"/>
          <w:color w:val="auto"/>
          <w:kern w:val="0"/>
          <w:szCs w:val="21"/>
          <w:highlight w:val="none"/>
          <w:u w:val="single"/>
        </w:rPr>
        <w:t>。</w:t>
      </w:r>
    </w:p>
    <w:p w14:paraId="5487DC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2、计取方式：</w:t>
      </w:r>
      <w:r>
        <w:rPr>
          <w:rFonts w:hint="eastAsia" w:ascii="宋体" w:hAnsi="宋体" w:eastAsia="宋体" w:cs="宋体"/>
          <w:color w:val="auto"/>
          <w:kern w:val="0"/>
          <w:szCs w:val="21"/>
          <w:highlight w:val="none"/>
          <w:u w:val="single"/>
        </w:rPr>
        <w:t>按照浙价服[2009]84号文件的规定的收费内容，收费基数为最终送审总概算扣减土地及相关的政策处理费用后的概算价，经计算后乘以中标折扣率。</w:t>
      </w:r>
    </w:p>
    <w:p w14:paraId="5B9330B0">
      <w:pPr>
        <w:keepNext/>
        <w:spacing w:line="360" w:lineRule="auto"/>
        <w:outlineLvl w:val="2"/>
        <w:rPr>
          <w:rFonts w:ascii="宋体" w:hAnsi="宋体" w:eastAsia="宋体" w:cs="宋体"/>
          <w:b/>
          <w:bCs/>
          <w:color w:val="auto"/>
          <w:kern w:val="0"/>
          <w:szCs w:val="21"/>
          <w:highlight w:val="none"/>
        </w:rPr>
      </w:pPr>
      <w:bookmarkStart w:id="427" w:name="_Toc46142329"/>
      <w:bookmarkStart w:id="428" w:name="_Toc516477224"/>
      <w:r>
        <w:rPr>
          <w:rFonts w:hint="eastAsia" w:ascii="宋体" w:hAnsi="宋体" w:eastAsia="宋体" w:cs="宋体"/>
          <w:b/>
          <w:bCs/>
          <w:color w:val="auto"/>
          <w:kern w:val="0"/>
          <w:szCs w:val="21"/>
          <w:highlight w:val="none"/>
        </w:rPr>
        <w:t>六、合同文件的构成</w:t>
      </w:r>
      <w:bookmarkEnd w:id="427"/>
      <w:bookmarkEnd w:id="428"/>
    </w:p>
    <w:p w14:paraId="2A97A54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本协议书与下列文件一起构成合同文件:</w:t>
      </w:r>
    </w:p>
    <w:p w14:paraId="42E66D6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1、中标通知书或委托书（如果有）；</w:t>
      </w:r>
    </w:p>
    <w:p w14:paraId="7CFEA0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2、投标函及投标函附录或造价咨询服务建议书（如果有）；</w:t>
      </w:r>
    </w:p>
    <w:p w14:paraId="27950A6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3、专用条件及附录；</w:t>
      </w:r>
    </w:p>
    <w:p w14:paraId="796A39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4、通用条件；</w:t>
      </w:r>
    </w:p>
    <w:p w14:paraId="6562978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5、其他合同文件。</w:t>
      </w:r>
    </w:p>
    <w:p w14:paraId="4193B9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上述各项合同文件包括合同当事人就该项合同文件所作出的补充和修改，属于同一类内容的文件，应以最新签署的为准。</w:t>
      </w:r>
    </w:p>
    <w:p w14:paraId="549004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在合同订立及履行过程中形成的与合同有关的文件（包括补充协议）均构成合同文件的组成部分。</w:t>
      </w:r>
    </w:p>
    <w:p w14:paraId="6EF045B6">
      <w:pPr>
        <w:keepNext/>
        <w:spacing w:line="360" w:lineRule="auto"/>
        <w:outlineLvl w:val="2"/>
        <w:rPr>
          <w:rFonts w:ascii="宋体" w:hAnsi="宋体" w:eastAsia="宋体" w:cs="宋体"/>
          <w:b/>
          <w:bCs/>
          <w:color w:val="auto"/>
          <w:kern w:val="0"/>
          <w:szCs w:val="21"/>
          <w:highlight w:val="none"/>
        </w:rPr>
      </w:pPr>
      <w:bookmarkStart w:id="429" w:name="_Toc516477225"/>
      <w:bookmarkStart w:id="430" w:name="_Toc46142330"/>
      <w:r>
        <w:rPr>
          <w:rFonts w:hint="eastAsia" w:ascii="宋体" w:hAnsi="宋体" w:eastAsia="宋体" w:cs="宋体"/>
          <w:b/>
          <w:bCs/>
          <w:color w:val="auto"/>
          <w:kern w:val="0"/>
          <w:szCs w:val="21"/>
          <w:highlight w:val="none"/>
        </w:rPr>
        <w:t>七、词语定义</w:t>
      </w:r>
      <w:bookmarkEnd w:id="429"/>
      <w:bookmarkEnd w:id="430"/>
    </w:p>
    <w:p w14:paraId="3149A7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协议书中相关词语的含义与通用条件中的定义与解释相同。</w:t>
      </w:r>
    </w:p>
    <w:p w14:paraId="4FF4059E">
      <w:pPr>
        <w:keepNext/>
        <w:spacing w:line="360" w:lineRule="auto"/>
        <w:outlineLvl w:val="2"/>
        <w:rPr>
          <w:rFonts w:ascii="宋体" w:hAnsi="宋体" w:eastAsia="宋体" w:cs="宋体"/>
          <w:b/>
          <w:bCs/>
          <w:color w:val="auto"/>
          <w:kern w:val="0"/>
          <w:szCs w:val="21"/>
          <w:highlight w:val="none"/>
        </w:rPr>
      </w:pPr>
      <w:bookmarkStart w:id="431" w:name="_Toc46142331"/>
      <w:bookmarkStart w:id="432" w:name="_Toc516477226"/>
      <w:r>
        <w:rPr>
          <w:rFonts w:hint="eastAsia" w:ascii="宋体" w:hAnsi="宋体" w:eastAsia="宋体" w:cs="宋体"/>
          <w:b/>
          <w:bCs/>
          <w:color w:val="auto"/>
          <w:kern w:val="0"/>
          <w:szCs w:val="21"/>
          <w:highlight w:val="none"/>
        </w:rPr>
        <w:t>八、合同订立</w:t>
      </w:r>
      <w:bookmarkEnd w:id="431"/>
      <w:bookmarkEnd w:id="432"/>
    </w:p>
    <w:p w14:paraId="4871951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1、订立时间：</w:t>
      </w:r>
      <w:r>
        <w:rPr>
          <w:rFonts w:hint="eastAsia" w:ascii="宋体" w:hAnsi="宋体" w:eastAsia="宋体" w:cs="宋体"/>
          <w:color w:val="auto"/>
          <w:kern w:val="0"/>
          <w:szCs w:val="21"/>
          <w:highlight w:val="none"/>
          <w:u w:val="single"/>
        </w:rPr>
        <w:t xml:space="preserve"> 2022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3E1D1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2、订立地点：</w:t>
      </w:r>
      <w:r>
        <w:rPr>
          <w:rFonts w:hint="eastAsia" w:ascii="宋体" w:hAnsi="宋体" w:eastAsia="宋体" w:cs="宋体"/>
          <w:color w:val="auto"/>
          <w:kern w:val="0"/>
          <w:szCs w:val="21"/>
          <w:highlight w:val="none"/>
          <w:u w:val="single"/>
        </w:rPr>
        <w:t xml:space="preserve"> 嘉兴 </w:t>
      </w:r>
      <w:r>
        <w:rPr>
          <w:rFonts w:hint="eastAsia" w:ascii="宋体" w:hAnsi="宋体" w:eastAsia="宋体" w:cs="宋体"/>
          <w:color w:val="auto"/>
          <w:kern w:val="0"/>
          <w:szCs w:val="21"/>
          <w:highlight w:val="none"/>
        </w:rPr>
        <w:t>。</w:t>
      </w:r>
    </w:p>
    <w:p w14:paraId="517166C5">
      <w:pPr>
        <w:keepNext/>
        <w:spacing w:line="360" w:lineRule="auto"/>
        <w:outlineLvl w:val="2"/>
        <w:rPr>
          <w:rFonts w:ascii="宋体" w:hAnsi="宋体" w:eastAsia="宋体" w:cs="宋体"/>
          <w:b/>
          <w:bCs/>
          <w:color w:val="auto"/>
          <w:kern w:val="0"/>
          <w:szCs w:val="21"/>
          <w:highlight w:val="none"/>
        </w:rPr>
      </w:pPr>
      <w:bookmarkStart w:id="433" w:name="_Toc516477227"/>
      <w:bookmarkStart w:id="434" w:name="_Toc46142332"/>
      <w:r>
        <w:rPr>
          <w:rFonts w:hint="eastAsia" w:ascii="宋体" w:hAnsi="宋体" w:eastAsia="宋体" w:cs="宋体"/>
          <w:b/>
          <w:bCs/>
          <w:color w:val="auto"/>
          <w:kern w:val="0"/>
          <w:szCs w:val="21"/>
          <w:highlight w:val="none"/>
        </w:rPr>
        <w:t>九、合同生效</w:t>
      </w:r>
      <w:bookmarkEnd w:id="433"/>
      <w:bookmarkEnd w:id="434"/>
    </w:p>
    <w:p w14:paraId="5BD7CB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本合同自 </w:t>
      </w:r>
      <w:r>
        <w:rPr>
          <w:rFonts w:hint="eastAsia" w:ascii="宋体" w:hAnsi="宋体" w:eastAsia="宋体" w:cs="宋体"/>
          <w:color w:val="auto"/>
          <w:kern w:val="0"/>
          <w:szCs w:val="21"/>
          <w:highlight w:val="none"/>
          <w:u w:val="single"/>
        </w:rPr>
        <w:t xml:space="preserve">双方盖章签字后 </w:t>
      </w:r>
      <w:r>
        <w:rPr>
          <w:rFonts w:hint="eastAsia" w:ascii="宋体" w:hAnsi="宋体" w:eastAsia="宋体" w:cs="宋体"/>
          <w:color w:val="auto"/>
          <w:kern w:val="0"/>
          <w:szCs w:val="21"/>
          <w:highlight w:val="none"/>
        </w:rPr>
        <w:t>生效。</w:t>
      </w:r>
    </w:p>
    <w:p w14:paraId="113675BB">
      <w:pPr>
        <w:keepNext/>
        <w:spacing w:line="360" w:lineRule="auto"/>
        <w:outlineLvl w:val="2"/>
        <w:rPr>
          <w:rFonts w:ascii="宋体" w:hAnsi="宋体" w:eastAsia="宋体" w:cs="宋体"/>
          <w:b/>
          <w:bCs/>
          <w:color w:val="auto"/>
          <w:kern w:val="0"/>
          <w:szCs w:val="21"/>
          <w:highlight w:val="none"/>
        </w:rPr>
      </w:pPr>
      <w:bookmarkStart w:id="435" w:name="_Toc46142333"/>
      <w:bookmarkStart w:id="436" w:name="_Toc516477228"/>
      <w:r>
        <w:rPr>
          <w:rFonts w:hint="eastAsia" w:ascii="宋体" w:hAnsi="宋体" w:eastAsia="宋体" w:cs="宋体"/>
          <w:b/>
          <w:bCs/>
          <w:color w:val="auto"/>
          <w:kern w:val="0"/>
          <w:szCs w:val="21"/>
          <w:highlight w:val="none"/>
        </w:rPr>
        <w:t>十、合同份数</w:t>
      </w:r>
      <w:bookmarkEnd w:id="435"/>
      <w:bookmarkEnd w:id="436"/>
    </w:p>
    <w:p w14:paraId="1B54EFD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份，具有同等法律效力，其中委托人执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份，咨询人执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4EE1A55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（盖章）        咨询人：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（盖章）</w:t>
      </w:r>
    </w:p>
    <w:p w14:paraId="314C0A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                法定代表人或其授权的</w:t>
      </w:r>
    </w:p>
    <w:p w14:paraId="26EA71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代理人：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签字）      代理人：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签字）</w:t>
      </w:r>
    </w:p>
    <w:p w14:paraId="294C4E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纳税人识别码：                      纳税人识别码：</w:t>
      </w:r>
    </w:p>
    <w:p w14:paraId="41CBB65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住所：                              住所：</w:t>
      </w:r>
    </w:p>
    <w:p w14:paraId="1462F3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                              账号：</w:t>
      </w:r>
    </w:p>
    <w:p w14:paraId="75E6D4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                          开户银行：</w:t>
      </w:r>
    </w:p>
    <w:p w14:paraId="372AF2E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                          邮政编码：</w:t>
      </w:r>
    </w:p>
    <w:p w14:paraId="0320918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                              电话：</w:t>
      </w:r>
    </w:p>
    <w:p w14:paraId="781313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                              传真：</w:t>
      </w:r>
    </w:p>
    <w:p w14:paraId="1125E8F7">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                          电子信箱：</w:t>
      </w:r>
    </w:p>
    <w:p w14:paraId="350585CB">
      <w:pPr>
        <w:spacing w:line="360" w:lineRule="auto"/>
        <w:rPr>
          <w:rFonts w:ascii="宋体" w:hAnsi="宋体" w:eastAsia="宋体" w:cs="宋体"/>
          <w:color w:val="auto"/>
          <w:kern w:val="0"/>
          <w:szCs w:val="21"/>
          <w:highlight w:val="none"/>
        </w:rPr>
      </w:pPr>
    </w:p>
    <w:p w14:paraId="589D4372">
      <w:pPr>
        <w:keepNext/>
        <w:keepLines/>
        <w:spacing w:line="360" w:lineRule="auto"/>
        <w:jc w:val="center"/>
        <w:outlineLvl w:val="1"/>
        <w:rPr>
          <w:rFonts w:ascii="宋体" w:hAnsi="宋体" w:eastAsia="宋体" w:cs="宋体"/>
          <w:b/>
          <w:bCs/>
          <w:color w:val="auto"/>
          <w:szCs w:val="21"/>
          <w:highlight w:val="none"/>
        </w:rPr>
      </w:pPr>
      <w:bookmarkStart w:id="437" w:name="_Toc46142334"/>
      <w:bookmarkStart w:id="438" w:name="_Toc516477229"/>
      <w:r>
        <w:rPr>
          <w:rFonts w:hint="eastAsia" w:ascii="宋体" w:hAnsi="宋体" w:eastAsia="宋体" w:cs="宋体"/>
          <w:b/>
          <w:bCs/>
          <w:color w:val="auto"/>
          <w:sz w:val="28"/>
          <w:szCs w:val="28"/>
          <w:highlight w:val="none"/>
        </w:rPr>
        <w:t>第二部分   通用条件</w:t>
      </w:r>
      <w:bookmarkEnd w:id="437"/>
      <w:bookmarkEnd w:id="438"/>
    </w:p>
    <w:p w14:paraId="7830465C">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（略），执行建设工程造价咨询合同(示范文本)[GF-2015-0212] 通用条款内容</w:t>
      </w:r>
    </w:p>
    <w:p w14:paraId="6989C632">
      <w:pPr>
        <w:keepNext/>
        <w:keepLines/>
        <w:spacing w:line="360" w:lineRule="auto"/>
        <w:jc w:val="center"/>
        <w:outlineLvl w:val="1"/>
        <w:rPr>
          <w:rFonts w:ascii="宋体" w:hAnsi="宋体" w:eastAsia="宋体" w:cs="宋体"/>
          <w:b/>
          <w:bCs/>
          <w:color w:val="auto"/>
          <w:sz w:val="28"/>
          <w:szCs w:val="28"/>
          <w:highlight w:val="none"/>
        </w:rPr>
      </w:pPr>
      <w:bookmarkStart w:id="439" w:name="_Toc46142335"/>
      <w:bookmarkStart w:id="440" w:name="_Toc516477230"/>
      <w:bookmarkStart w:id="441" w:name="_Toc498015681"/>
      <w:bookmarkStart w:id="442" w:name="_Toc498013695"/>
      <w:bookmarkStart w:id="443" w:name="_Toc489638584"/>
      <w:bookmarkStart w:id="444" w:name="_Toc498014333"/>
      <w:bookmarkStart w:id="445" w:name="_Toc484628266"/>
      <w:bookmarkStart w:id="446" w:name="_Toc475999060"/>
      <w:r>
        <w:rPr>
          <w:rFonts w:hint="eastAsia" w:ascii="宋体" w:hAnsi="宋体" w:eastAsia="宋体" w:cs="宋体"/>
          <w:b/>
          <w:bCs/>
          <w:color w:val="auto"/>
          <w:sz w:val="28"/>
          <w:szCs w:val="28"/>
          <w:highlight w:val="none"/>
        </w:rPr>
        <w:t>第三部分   专用条件</w:t>
      </w:r>
      <w:bookmarkEnd w:id="439"/>
      <w:bookmarkEnd w:id="440"/>
      <w:bookmarkEnd w:id="441"/>
      <w:bookmarkEnd w:id="442"/>
      <w:bookmarkEnd w:id="443"/>
      <w:bookmarkEnd w:id="444"/>
      <w:bookmarkEnd w:id="445"/>
      <w:bookmarkEnd w:id="446"/>
    </w:p>
    <w:p w14:paraId="3F86F43F">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47" w:name="_Toc475999061"/>
      <w:bookmarkStart w:id="448" w:name="_Toc46142336"/>
      <w:bookmarkStart w:id="449" w:name="_Toc516477231"/>
      <w:r>
        <w:rPr>
          <w:rFonts w:hint="eastAsia" w:ascii="宋体" w:hAnsi="宋体" w:eastAsia="宋体" w:cs="宋体"/>
          <w:color w:val="auto"/>
          <w:kern w:val="0"/>
          <w:szCs w:val="21"/>
          <w:highlight w:val="none"/>
        </w:rPr>
        <w:t>1、词语定义、语言、解释顺序与适用法律</w:t>
      </w:r>
      <w:bookmarkEnd w:id="447"/>
      <w:bookmarkEnd w:id="448"/>
      <w:bookmarkEnd w:id="449"/>
    </w:p>
    <w:p w14:paraId="46B16D7B">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 语言</w:t>
      </w:r>
    </w:p>
    <w:p w14:paraId="56A4A74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本合同文件除使用中文外，还可用_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w:t>
      </w:r>
    </w:p>
    <w:p w14:paraId="4EC749F9">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 合同文件的优先顺序</w:t>
      </w:r>
    </w:p>
    <w:p w14:paraId="5518E4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本合同文件的解释顺序为：</w:t>
      </w:r>
      <w:r>
        <w:rPr>
          <w:rFonts w:hint="eastAsia" w:ascii="宋体" w:hAnsi="宋体" w:eastAsia="宋体" w:cs="宋体"/>
          <w:color w:val="auto"/>
          <w:kern w:val="0"/>
          <w:szCs w:val="21"/>
          <w:highlight w:val="none"/>
          <w:u w:val="single"/>
        </w:rPr>
        <w:t xml:space="preserve">_按通用条款 </w:t>
      </w:r>
      <w:r>
        <w:rPr>
          <w:rFonts w:hint="eastAsia" w:ascii="宋体" w:hAnsi="宋体" w:eastAsia="宋体" w:cs="宋体"/>
          <w:color w:val="auto"/>
          <w:kern w:val="0"/>
          <w:szCs w:val="21"/>
          <w:highlight w:val="none"/>
        </w:rPr>
        <w:t>。</w:t>
      </w:r>
    </w:p>
    <w:p w14:paraId="2CDF72C1">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 适用法律</w:t>
      </w:r>
    </w:p>
    <w:p w14:paraId="48994B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本合同适用的其他规范性文件包括:</w:t>
      </w:r>
      <w:r>
        <w:rPr>
          <w:rFonts w:hint="eastAsia" w:ascii="宋体" w:hAnsi="宋体" w:eastAsia="宋体" w:cs="宋体"/>
          <w:color w:val="auto"/>
          <w:kern w:val="0"/>
          <w:szCs w:val="21"/>
          <w:highlight w:val="none"/>
          <w:u w:val="single"/>
        </w:rPr>
        <w:t xml:space="preserve"> 《中华人民共和国民法典》、《浙江省建设工程造价管理办法》（浙江省人民政府令第296号）、《浙江省建设工程造价咨询执业操作规程》（浙建站市[2010]9号）、《浙江省建设工程造价咨询质量导则（试行）》（浙建站市[2013]5号）、《浙江省建设工程造价咨询服务基准收费标准》（浙价服[2009] 84号文）、《嘉兴市南湖区政府投资项目管理办法》（南政发[2017]83号）、《嘉兴市南湖区政府投资项目初步设计概算审核管理办法》（南政办发〔2009〕120号）以及国家、浙江省、嘉兴市、秀洲区以及中国电信有关造价咨询方面的法规规定。</w:t>
      </w:r>
    </w:p>
    <w:p w14:paraId="67C87C4A">
      <w:pPr>
        <w:keepNext/>
        <w:keepLines/>
        <w:tabs>
          <w:tab w:val="left" w:pos="1275"/>
          <w:tab w:val="left" w:pos="7230"/>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50" w:name="_Toc516477232"/>
      <w:bookmarkStart w:id="451" w:name="_Toc46142337"/>
      <w:bookmarkStart w:id="452" w:name="_Toc475999062"/>
      <w:r>
        <w:rPr>
          <w:rFonts w:hint="eastAsia" w:ascii="宋体" w:hAnsi="宋体" w:eastAsia="宋体" w:cs="宋体"/>
          <w:color w:val="auto"/>
          <w:kern w:val="0"/>
          <w:szCs w:val="21"/>
          <w:highlight w:val="none"/>
        </w:rPr>
        <w:t>2、委托人的义务</w:t>
      </w:r>
      <w:bookmarkEnd w:id="450"/>
      <w:bookmarkEnd w:id="451"/>
      <w:bookmarkEnd w:id="452"/>
    </w:p>
    <w:p w14:paraId="7ADDDAF4">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2.1 提供资料</w:t>
      </w:r>
    </w:p>
    <w:p w14:paraId="6C507A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委托人按照约定无偿向咨询人提供与本合同咨询业务有关资料的时间为：</w:t>
      </w:r>
      <w:r>
        <w:rPr>
          <w:rFonts w:hint="eastAsia" w:ascii="宋体" w:hAnsi="宋体" w:eastAsia="宋体" w:cs="宋体"/>
          <w:color w:val="auto"/>
          <w:kern w:val="0"/>
          <w:szCs w:val="21"/>
          <w:highlight w:val="none"/>
          <w:u w:val="single"/>
        </w:rPr>
        <w:t>审核工作前1日_</w:t>
      </w:r>
      <w:r>
        <w:rPr>
          <w:rFonts w:hint="eastAsia" w:ascii="宋体" w:hAnsi="宋体" w:eastAsia="宋体" w:cs="宋体"/>
          <w:color w:val="auto"/>
          <w:kern w:val="0"/>
          <w:szCs w:val="21"/>
          <w:highlight w:val="none"/>
        </w:rPr>
        <w:t>。</w:t>
      </w:r>
    </w:p>
    <w:p w14:paraId="3B22DE53">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 提供工作条件</w:t>
      </w:r>
    </w:p>
    <w:p w14:paraId="574399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 项目咨询人员使用由委托人提供的房屋及设备，支付使用费的标准为：</w:t>
      </w:r>
      <w:r>
        <w:rPr>
          <w:rFonts w:hint="eastAsia" w:ascii="宋体" w:hAnsi="宋体" w:eastAsia="宋体" w:cs="宋体"/>
          <w:color w:val="auto"/>
          <w:kern w:val="0"/>
          <w:szCs w:val="21"/>
          <w:highlight w:val="none"/>
          <w:u w:val="single"/>
        </w:rPr>
        <w:t xml:space="preserve"> 无（本项目委托人不提供的房屋及设备） 。</w:t>
      </w:r>
    </w:p>
    <w:p w14:paraId="01D30A74">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委托人代表</w:t>
      </w:r>
    </w:p>
    <w:p w14:paraId="227B39D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委托人代表为：_______。</w:t>
      </w:r>
    </w:p>
    <w:p w14:paraId="19C07DE4">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 答复</w:t>
      </w:r>
    </w:p>
    <w:p w14:paraId="050A767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委托人同意在</w:t>
      </w:r>
      <w:r>
        <w:rPr>
          <w:rFonts w:hint="eastAsia" w:ascii="宋体" w:hAnsi="宋体" w:eastAsia="宋体" w:cs="宋体"/>
          <w:color w:val="auto"/>
          <w:kern w:val="0"/>
          <w:szCs w:val="21"/>
          <w:highlight w:val="none"/>
          <w:u w:val="single"/>
        </w:rPr>
        <w:t xml:space="preserve"> 3个工作</w:t>
      </w:r>
      <w:r>
        <w:rPr>
          <w:rFonts w:hint="eastAsia" w:ascii="宋体" w:hAnsi="宋体" w:eastAsia="宋体" w:cs="宋体"/>
          <w:color w:val="auto"/>
          <w:kern w:val="0"/>
          <w:szCs w:val="21"/>
          <w:highlight w:val="none"/>
        </w:rPr>
        <w:t>_日内，对咨询人书面提交并要求做出决定的事宜给予书面答复。逾期未答复的，视为委托人认可。</w:t>
      </w:r>
    </w:p>
    <w:p w14:paraId="16DC9FA3">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53" w:name="_Toc475999063"/>
      <w:bookmarkStart w:id="454" w:name="_Toc46142338"/>
      <w:bookmarkStart w:id="455" w:name="_Toc516477233"/>
      <w:r>
        <w:rPr>
          <w:rFonts w:hint="eastAsia" w:ascii="宋体" w:hAnsi="宋体" w:eastAsia="宋体" w:cs="宋体"/>
          <w:color w:val="auto"/>
          <w:kern w:val="0"/>
          <w:szCs w:val="21"/>
          <w:highlight w:val="none"/>
        </w:rPr>
        <w:t>3、咨询人的义务</w:t>
      </w:r>
      <w:bookmarkEnd w:id="453"/>
      <w:bookmarkEnd w:id="454"/>
      <w:bookmarkEnd w:id="455"/>
    </w:p>
    <w:p w14:paraId="30C1C4FC">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3.1 项目咨询团队及人员</w:t>
      </w:r>
    </w:p>
    <w:p w14:paraId="6EC97C7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 项目咨询团队的主要人员应具有资格条件，团队人员的数量为</w:t>
      </w:r>
      <w:r>
        <w:rPr>
          <w:rFonts w:hint="eastAsia" w:ascii="宋体" w:hAnsi="宋体" w:eastAsia="宋体" w:cs="宋体"/>
          <w:color w:val="auto"/>
          <w:kern w:val="0"/>
          <w:szCs w:val="21"/>
          <w:highlight w:val="none"/>
          <w:u w:val="single"/>
        </w:rPr>
        <w:t xml:space="preserve">_     </w:t>
      </w:r>
      <w:r>
        <w:rPr>
          <w:rFonts w:hint="eastAsia" w:ascii="宋体" w:hAnsi="宋体" w:eastAsia="宋体" w:cs="宋体"/>
          <w:color w:val="auto"/>
          <w:kern w:val="0"/>
          <w:szCs w:val="21"/>
          <w:highlight w:val="none"/>
        </w:rPr>
        <w:t>人。</w:t>
      </w:r>
    </w:p>
    <w:p w14:paraId="0BCD2443">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3.1.2 项目负责人为：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，项目负责人为履行本合同的权限为：</w:t>
      </w:r>
      <w:r>
        <w:rPr>
          <w:rFonts w:hint="eastAsia" w:ascii="宋体" w:hAnsi="宋体" w:eastAsia="宋体" w:cs="宋体"/>
          <w:color w:val="auto"/>
          <w:kern w:val="0"/>
          <w:szCs w:val="21"/>
          <w:highlight w:val="none"/>
          <w:u w:val="single"/>
        </w:rPr>
        <w:t xml:space="preserve">            。</w:t>
      </w:r>
    </w:p>
    <w:p w14:paraId="07B566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3.1.3 咨询人更换项目咨询团队其他咨询人员的约定：</w:t>
      </w:r>
      <w:r>
        <w:rPr>
          <w:rFonts w:hint="eastAsia" w:ascii="宋体" w:hAnsi="宋体" w:eastAsia="宋体" w:cs="宋体"/>
          <w:color w:val="auto"/>
          <w:kern w:val="0"/>
          <w:szCs w:val="21"/>
          <w:highlight w:val="none"/>
          <w:u w:val="single"/>
        </w:rPr>
        <w:t>不得变更（除不可抗力外）</w:t>
      </w:r>
      <w:r>
        <w:rPr>
          <w:rFonts w:hint="eastAsia" w:ascii="宋体" w:hAnsi="宋体" w:eastAsia="宋体" w:cs="宋体"/>
          <w:color w:val="auto"/>
          <w:kern w:val="0"/>
          <w:szCs w:val="21"/>
          <w:highlight w:val="none"/>
        </w:rPr>
        <w:t xml:space="preserve"> 。</w:t>
      </w:r>
    </w:p>
    <w:p w14:paraId="1FC0BB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3.1.4 委托人要求更换咨询人员的情形还包括：</w:t>
      </w:r>
      <w:r>
        <w:rPr>
          <w:rFonts w:hint="eastAsia" w:ascii="宋体" w:hAnsi="宋体" w:eastAsia="宋体" w:cs="宋体"/>
          <w:color w:val="auto"/>
          <w:kern w:val="0"/>
          <w:szCs w:val="21"/>
          <w:highlight w:val="none"/>
          <w:u w:val="single"/>
        </w:rPr>
        <w:t xml:space="preserve"> 按通用条款 </w:t>
      </w:r>
      <w:r>
        <w:rPr>
          <w:rFonts w:hint="eastAsia" w:ascii="宋体" w:hAnsi="宋体" w:eastAsia="宋体" w:cs="宋体"/>
          <w:color w:val="auto"/>
          <w:kern w:val="0"/>
          <w:szCs w:val="21"/>
          <w:highlight w:val="none"/>
        </w:rPr>
        <w:t>。</w:t>
      </w:r>
    </w:p>
    <w:p w14:paraId="5840DB26">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 咨询人的工作要求</w:t>
      </w:r>
    </w:p>
    <w:p w14:paraId="006CFD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 咨询人向委托人提供有关资料的时间：</w:t>
      </w:r>
      <w:r>
        <w:rPr>
          <w:rFonts w:hint="eastAsia" w:ascii="宋体" w:hAnsi="宋体" w:eastAsia="宋体" w:cs="宋体"/>
          <w:color w:val="auto"/>
          <w:kern w:val="0"/>
          <w:szCs w:val="21"/>
          <w:highlight w:val="none"/>
          <w:u w:val="single"/>
        </w:rPr>
        <w:t>_</w:t>
      </w:r>
      <w:r>
        <w:rPr>
          <w:rFonts w:hint="eastAsia" w:ascii="宋体" w:hAnsi="宋体" w:eastAsia="宋体" w:cs="宋体"/>
          <w:color w:val="auto"/>
          <w:szCs w:val="21"/>
          <w:highlight w:val="none"/>
          <w:u w:val="single"/>
        </w:rPr>
        <w:t xml:space="preserve">不得超过《浙江省建设工程造价咨询质量导则（试行）》（浙建站市[2013]5号）规定的期限、投标文件承诺期限以及委托人委托项目时要求的期限 </w:t>
      </w:r>
      <w:r>
        <w:rPr>
          <w:rFonts w:hint="eastAsia" w:ascii="宋体" w:hAnsi="宋体" w:eastAsia="宋体" w:cs="宋体"/>
          <w:color w:val="auto"/>
          <w:szCs w:val="21"/>
          <w:highlight w:val="none"/>
        </w:rPr>
        <w:t>。</w:t>
      </w:r>
    </w:p>
    <w:p w14:paraId="12025D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咨询人向委托人提供的资料还包括：</w:t>
      </w:r>
      <w:r>
        <w:rPr>
          <w:rFonts w:hint="eastAsia" w:ascii="宋体" w:hAnsi="宋体" w:eastAsia="宋体" w:cs="宋体"/>
          <w:color w:val="auto"/>
          <w:kern w:val="0"/>
          <w:szCs w:val="21"/>
          <w:highlight w:val="none"/>
          <w:u w:val="single"/>
        </w:rPr>
        <w:t xml:space="preserve"> 按委托人要求 </w:t>
      </w:r>
      <w:r>
        <w:rPr>
          <w:rFonts w:hint="eastAsia" w:ascii="宋体" w:hAnsi="宋体" w:eastAsia="宋体" w:cs="宋体"/>
          <w:color w:val="auto"/>
          <w:kern w:val="0"/>
          <w:szCs w:val="21"/>
          <w:highlight w:val="none"/>
        </w:rPr>
        <w:t>。</w:t>
      </w:r>
    </w:p>
    <w:p w14:paraId="3B4B25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 咨询人向委托人提供咨询成果文件的名称、组成、时间、份数及质量标准：</w:t>
      </w:r>
      <w:r>
        <w:rPr>
          <w:rFonts w:hint="eastAsia" w:ascii="宋体" w:hAnsi="宋体" w:eastAsia="宋体" w:cs="宋体"/>
          <w:color w:val="auto"/>
          <w:kern w:val="0"/>
          <w:szCs w:val="21"/>
          <w:highlight w:val="none"/>
          <w:u w:val="single"/>
        </w:rPr>
        <w:t xml:space="preserve">按委托人要求 </w:t>
      </w:r>
      <w:r>
        <w:rPr>
          <w:rFonts w:hint="eastAsia" w:ascii="宋体" w:hAnsi="宋体" w:eastAsia="宋体" w:cs="宋体"/>
          <w:color w:val="auto"/>
          <w:kern w:val="0"/>
          <w:szCs w:val="21"/>
          <w:highlight w:val="none"/>
        </w:rPr>
        <w:t xml:space="preserve">。 </w:t>
      </w:r>
    </w:p>
    <w:p w14:paraId="2B7E06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 咨询人应在收到委托人以书面形式提出的建议或者异议后__</w:t>
      </w:r>
      <w:r>
        <w:rPr>
          <w:rFonts w:hint="eastAsia" w:ascii="宋体" w:hAnsi="宋体" w:eastAsia="宋体" w:cs="宋体"/>
          <w:color w:val="auto"/>
          <w:kern w:val="0"/>
          <w:szCs w:val="21"/>
          <w:highlight w:val="none"/>
          <w:u w:val="single"/>
        </w:rPr>
        <w:t>3个工作</w:t>
      </w:r>
      <w:r>
        <w:rPr>
          <w:rFonts w:hint="eastAsia" w:ascii="宋体" w:hAnsi="宋体" w:eastAsia="宋体" w:cs="宋体"/>
          <w:color w:val="auto"/>
          <w:kern w:val="0"/>
          <w:szCs w:val="21"/>
          <w:highlight w:val="none"/>
        </w:rPr>
        <w:t>__日内给予书面答复。</w:t>
      </w:r>
    </w:p>
    <w:p w14:paraId="798BAB77">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 咨询人的工作依据</w:t>
      </w:r>
    </w:p>
    <w:p w14:paraId="40361F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经双方协商，本合同约定的造价咨询服务适用的技术标准、规范、定额等工作依据为：_</w:t>
      </w:r>
      <w:r>
        <w:rPr>
          <w:rFonts w:hint="eastAsia" w:ascii="宋体" w:hAnsi="宋体" w:eastAsia="宋体" w:cs="宋体"/>
          <w:color w:val="auto"/>
          <w:kern w:val="0"/>
          <w:szCs w:val="21"/>
          <w:highlight w:val="none"/>
          <w:u w:val="single"/>
        </w:rPr>
        <w:t>浙江省现行定额及嘉兴市、秀洲区以及委托人的相关规定</w:t>
      </w:r>
      <w:r>
        <w:rPr>
          <w:rFonts w:hint="eastAsia" w:ascii="宋体" w:hAnsi="宋体" w:eastAsia="宋体" w:cs="宋体"/>
          <w:color w:val="auto"/>
          <w:kern w:val="0"/>
          <w:szCs w:val="21"/>
          <w:highlight w:val="none"/>
        </w:rPr>
        <w:t>___。</w:t>
      </w:r>
    </w:p>
    <w:p w14:paraId="103AC30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 使用委托人房屋及设备的返还</w:t>
      </w:r>
    </w:p>
    <w:p w14:paraId="495417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咨询人应在本合同终止后__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_日内移交委托人提供的房屋及设备，移交的方式为_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w:t>
      </w:r>
    </w:p>
    <w:p w14:paraId="475BEF01">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56" w:name="_Toc516477234"/>
      <w:bookmarkStart w:id="457" w:name="_Toc475999064"/>
      <w:bookmarkStart w:id="458" w:name="_Toc46142339"/>
      <w:r>
        <w:rPr>
          <w:rFonts w:hint="eastAsia" w:ascii="宋体" w:hAnsi="宋体" w:eastAsia="宋体" w:cs="宋体"/>
          <w:color w:val="auto"/>
          <w:kern w:val="0"/>
          <w:szCs w:val="21"/>
          <w:highlight w:val="none"/>
        </w:rPr>
        <w:t>4、违约责任</w:t>
      </w:r>
      <w:bookmarkEnd w:id="456"/>
      <w:bookmarkEnd w:id="457"/>
      <w:bookmarkEnd w:id="458"/>
    </w:p>
    <w:p w14:paraId="493541FE">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4.1 委托人的违约责任</w:t>
      </w:r>
    </w:p>
    <w:p w14:paraId="5E1625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4.1.1 委托人违约金的计算及支付方法：</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508D67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4.1.2 委托人赔偿金额按下列方法确定并支付：__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__。</w:t>
      </w:r>
    </w:p>
    <w:p w14:paraId="041028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4.1.3 委托人逾期付款利息按下列方法计算并支付：__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__。</w:t>
      </w:r>
    </w:p>
    <w:p w14:paraId="706DC41F">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4.2 咨询人的违约责任</w:t>
      </w:r>
    </w:p>
    <w:p w14:paraId="70B49B9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 咨询人违约金的计算及支付方法：</w:t>
      </w:r>
    </w:p>
    <w:p w14:paraId="4B3B4C0A">
      <w:pPr>
        <w:autoSpaceDE w:val="0"/>
        <w:autoSpaceDN w:val="0"/>
        <w:adjustRightIn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本项目的概算审核误差率要求不得超过2%。质量控制保证赔偿合计最高不应超过该建设工程造价咨询酬金总额（除去税金）。</w:t>
      </w:r>
      <w:r>
        <w:rPr>
          <w:rFonts w:hint="eastAsia" w:ascii="宋体" w:hAnsi="宋体" w:eastAsia="宋体" w:cs="宋体"/>
          <w:color w:val="auto"/>
          <w:sz w:val="24"/>
          <w:szCs w:val="24"/>
          <w:highlight w:val="none"/>
        </w:rPr>
        <w:t>对于概算审核质量较差或严重违纪违规的,按照《嘉兴市南湖区政府投资项目初步设计概算审核管理办法》第二十条规定执行</w:t>
      </w:r>
      <w:r>
        <w:rPr>
          <w:rFonts w:hint="eastAsia" w:ascii="宋体" w:hAnsi="宋体" w:eastAsia="宋体" w:cs="宋体"/>
          <w:color w:val="auto"/>
          <w:szCs w:val="21"/>
          <w:highlight w:val="none"/>
          <w:u w:val="single"/>
        </w:rPr>
        <w:t>。</w:t>
      </w:r>
    </w:p>
    <w:p w14:paraId="73EF08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4.2.2 咨询人赔偿金额按下列方法确定并支付：</w:t>
      </w:r>
      <w:r>
        <w:rPr>
          <w:rFonts w:hint="eastAsia" w:ascii="宋体" w:hAnsi="宋体" w:eastAsia="宋体" w:cs="宋体"/>
          <w:color w:val="auto"/>
          <w:kern w:val="0"/>
          <w:szCs w:val="21"/>
          <w:highlight w:val="none"/>
          <w:u w:val="single"/>
        </w:rPr>
        <w:t xml:space="preserve"> 咨询人</w:t>
      </w:r>
      <w:r>
        <w:rPr>
          <w:rFonts w:hint="eastAsia" w:ascii="宋体" w:hAnsi="宋体" w:eastAsia="宋体" w:cs="宋体"/>
          <w:color w:val="auto"/>
          <w:szCs w:val="21"/>
          <w:highlight w:val="none"/>
          <w:u w:val="single"/>
        </w:rPr>
        <w:t>在服务期内，应当履行本项目造价咨询服务合同的义务。</w:t>
      </w:r>
      <w:r>
        <w:rPr>
          <w:rFonts w:hint="eastAsia" w:ascii="宋体" w:hAnsi="宋体" w:eastAsia="宋体" w:cs="宋体"/>
          <w:color w:val="auto"/>
          <w:kern w:val="0"/>
          <w:szCs w:val="21"/>
          <w:highlight w:val="none"/>
        </w:rPr>
        <w:t xml:space="preserve">因咨询人原因未履行审核义务，未在服务期限内约定时限提供审核报告的，应当赔偿委托人损失10000元 。 </w:t>
      </w:r>
    </w:p>
    <w:p w14:paraId="1FDB0FD7">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59" w:name="_Toc475999065"/>
      <w:bookmarkStart w:id="460" w:name="_Toc516477235"/>
      <w:bookmarkStart w:id="461" w:name="_Toc46142340"/>
      <w:r>
        <w:rPr>
          <w:rFonts w:hint="eastAsia" w:ascii="宋体" w:hAnsi="宋体" w:eastAsia="宋体" w:cs="宋体"/>
          <w:color w:val="auto"/>
          <w:kern w:val="0"/>
          <w:szCs w:val="21"/>
          <w:highlight w:val="none"/>
        </w:rPr>
        <w:t>5、支付</w:t>
      </w:r>
      <w:bookmarkEnd w:id="459"/>
      <w:bookmarkEnd w:id="460"/>
      <w:bookmarkEnd w:id="461"/>
    </w:p>
    <w:p w14:paraId="7324E9DB">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5.1 支付货币</w:t>
      </w:r>
    </w:p>
    <w:p w14:paraId="47CEB2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币种为：_</w:t>
      </w:r>
      <w:r>
        <w:rPr>
          <w:rFonts w:hint="eastAsia" w:ascii="宋体" w:hAnsi="宋体" w:eastAsia="宋体" w:cs="宋体"/>
          <w:color w:val="auto"/>
          <w:kern w:val="0"/>
          <w:szCs w:val="21"/>
          <w:highlight w:val="none"/>
          <w:u w:val="single"/>
        </w:rPr>
        <w:t>人民币</w:t>
      </w:r>
      <w:r>
        <w:rPr>
          <w:rFonts w:hint="eastAsia" w:ascii="宋体" w:hAnsi="宋体" w:eastAsia="宋体" w:cs="宋体"/>
          <w:color w:val="auto"/>
          <w:kern w:val="0"/>
          <w:szCs w:val="21"/>
          <w:highlight w:val="none"/>
        </w:rPr>
        <w:t>_，汇率为：_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_，其他约定：_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w:t>
      </w:r>
    </w:p>
    <w:p w14:paraId="73D9E6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 支付申请</w:t>
      </w:r>
    </w:p>
    <w:p w14:paraId="0DF0A9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咨询人应在本合同约定的每次应付款日期</w:t>
      </w:r>
      <w:r>
        <w:rPr>
          <w:rFonts w:hint="eastAsia" w:ascii="宋体" w:hAnsi="宋体" w:eastAsia="宋体" w:cs="宋体"/>
          <w:color w:val="auto"/>
          <w:kern w:val="0"/>
          <w:szCs w:val="21"/>
          <w:highlight w:val="none"/>
          <w:u w:val="single"/>
        </w:rPr>
        <w:t xml:space="preserve">_28 </w:t>
      </w:r>
      <w:r>
        <w:rPr>
          <w:rFonts w:hint="eastAsia" w:ascii="宋体" w:hAnsi="宋体" w:eastAsia="宋体" w:cs="宋体"/>
          <w:color w:val="auto"/>
          <w:kern w:val="0"/>
          <w:szCs w:val="21"/>
          <w:highlight w:val="none"/>
        </w:rPr>
        <w:t>日前，向委托人提交支付申请书。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咨询人应在委托人支付费用前，依据委托人批准的金额，在委托人验收合格后，先行向委托人提供足额合法且符合税法规定的发票，并在发票开具后的3个工作日内送达委托人。</w:t>
      </w:r>
    </w:p>
    <w:p w14:paraId="5B0C689B">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5.3 支付酬金</w:t>
      </w:r>
    </w:p>
    <w:p w14:paraId="211EB68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正常工作酬金的支付：</w:t>
      </w:r>
    </w:p>
    <w:p w14:paraId="0E36958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由委托人在收到成果文件和准确无误的发票后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日一次性支付给咨询人。</w:t>
      </w:r>
    </w:p>
    <w:p w14:paraId="2C11EAC2">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62" w:name="_Toc516477236"/>
      <w:bookmarkStart w:id="463" w:name="_Toc46142341"/>
      <w:bookmarkStart w:id="464" w:name="_Toc475999066"/>
      <w:r>
        <w:rPr>
          <w:rFonts w:hint="eastAsia" w:ascii="宋体" w:hAnsi="宋体" w:eastAsia="宋体" w:cs="宋体"/>
          <w:color w:val="auto"/>
          <w:kern w:val="0"/>
          <w:szCs w:val="21"/>
          <w:highlight w:val="none"/>
        </w:rPr>
        <w:t>6、合同变更、解除与终止</w:t>
      </w:r>
      <w:bookmarkEnd w:id="462"/>
      <w:bookmarkEnd w:id="463"/>
      <w:bookmarkEnd w:id="464"/>
    </w:p>
    <w:p w14:paraId="5F842A7C">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6.1 合同变更</w:t>
      </w:r>
    </w:p>
    <w:p w14:paraId="5A6B33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6.1.2 除不可抗力外，因非咨询人原因导致本合同履行期限延长、内容增加时，附加工作酬金按下列方法确定：_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w:t>
      </w:r>
    </w:p>
    <w:p w14:paraId="34F0F6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6.1.4 因工程规模、服务范围及内容的变化等导致咨询人的工作量增减时，服务酬金的调整方法：_</w:t>
      </w:r>
      <w:r>
        <w:rPr>
          <w:rFonts w:hint="eastAsia" w:ascii="宋体" w:hAnsi="宋体" w:eastAsia="宋体" w:cs="宋体"/>
          <w:color w:val="auto"/>
          <w:kern w:val="0"/>
          <w:szCs w:val="21"/>
          <w:highlight w:val="none"/>
          <w:u w:val="single"/>
        </w:rPr>
        <w:t>按本合同</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第一部分协议书</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五、酬金或计取方式执行</w:t>
      </w:r>
      <w:r>
        <w:rPr>
          <w:rFonts w:hint="eastAsia" w:ascii="宋体" w:hAnsi="宋体" w:eastAsia="宋体" w:cs="宋体"/>
          <w:color w:val="auto"/>
          <w:kern w:val="0"/>
          <w:szCs w:val="21"/>
          <w:highlight w:val="none"/>
        </w:rPr>
        <w:t>_。</w:t>
      </w:r>
    </w:p>
    <w:p w14:paraId="1E954E80">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 合同解除</w:t>
      </w:r>
    </w:p>
    <w:p w14:paraId="49E55F2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6.2.2 双方约定解除合同的条件还包括：</w:t>
      </w:r>
      <w:r>
        <w:rPr>
          <w:rFonts w:hint="eastAsia" w:ascii="宋体" w:hAnsi="宋体" w:eastAsia="宋体" w:cs="宋体"/>
          <w:color w:val="auto"/>
          <w:kern w:val="0"/>
          <w:szCs w:val="21"/>
          <w:highlight w:val="none"/>
          <w:u w:val="single"/>
        </w:rPr>
        <w:t>_工作期间发生违法违规问题的以及《秀洲区政府投资项目初步设计概算审核操作办法（试行）》第二十七条规定。</w:t>
      </w:r>
    </w:p>
    <w:p w14:paraId="3DC9E3EF">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6.2.4 因不可抗力导致的合同解除，双方约定损失的分担如下：</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7A2B157E">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65" w:name="_Toc516477237"/>
      <w:bookmarkStart w:id="466" w:name="_Toc46142342"/>
      <w:bookmarkStart w:id="467" w:name="_Toc475999067"/>
      <w:r>
        <w:rPr>
          <w:rFonts w:hint="eastAsia" w:ascii="宋体" w:hAnsi="宋体" w:eastAsia="宋体" w:cs="宋体"/>
          <w:color w:val="auto"/>
          <w:kern w:val="0"/>
          <w:szCs w:val="21"/>
          <w:highlight w:val="none"/>
        </w:rPr>
        <w:t>7、 争议解决</w:t>
      </w:r>
      <w:bookmarkEnd w:id="465"/>
      <w:bookmarkEnd w:id="466"/>
      <w:bookmarkEnd w:id="467"/>
    </w:p>
    <w:p w14:paraId="4BE55F8C">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7.2 调解</w:t>
      </w:r>
    </w:p>
    <w:p w14:paraId="573288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如果双方不能在__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_____日内解决本合同争议，可以将其提交____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____进行调解。</w:t>
      </w:r>
    </w:p>
    <w:p w14:paraId="62DE3DB0">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仲裁或诉讼</w:t>
      </w:r>
    </w:p>
    <w:p w14:paraId="25F831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合同争议的最终解决方式为下列第_</w:t>
      </w:r>
      <w:r>
        <w:rPr>
          <w:rFonts w:hint="eastAsia" w:ascii="宋体" w:hAnsi="宋体" w:eastAsia="宋体" w:cs="宋体"/>
          <w:color w:val="auto"/>
          <w:kern w:val="0"/>
          <w:szCs w:val="21"/>
          <w:highlight w:val="none"/>
          <w:u w:val="single"/>
        </w:rPr>
        <w:t>（2）</w:t>
      </w:r>
      <w:r>
        <w:rPr>
          <w:rFonts w:hint="eastAsia" w:ascii="宋体" w:hAnsi="宋体" w:eastAsia="宋体" w:cs="宋体"/>
          <w:color w:val="auto"/>
          <w:kern w:val="0"/>
          <w:szCs w:val="21"/>
          <w:highlight w:val="none"/>
        </w:rPr>
        <w:t>_种方式：</w:t>
      </w:r>
    </w:p>
    <w:p w14:paraId="27B853E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（1）提请_______________</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____</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仲裁委员会进行仲裁。</w:t>
      </w:r>
    </w:p>
    <w:p w14:paraId="1C4C7C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（2）向_</w:t>
      </w:r>
      <w:r>
        <w:rPr>
          <w:rFonts w:hint="eastAsia" w:ascii="宋体" w:hAnsi="宋体" w:eastAsia="宋体" w:cs="宋体"/>
          <w:color w:val="auto"/>
          <w:kern w:val="0"/>
          <w:szCs w:val="21"/>
          <w:highlight w:val="none"/>
          <w:u w:val="single"/>
        </w:rPr>
        <w:t>委托人所在地</w:t>
      </w:r>
      <w:r>
        <w:rPr>
          <w:rFonts w:hint="eastAsia" w:ascii="宋体" w:hAnsi="宋体" w:eastAsia="宋体" w:cs="宋体"/>
          <w:color w:val="auto"/>
          <w:kern w:val="0"/>
          <w:szCs w:val="21"/>
          <w:highlight w:val="none"/>
        </w:rPr>
        <w:t>_人民法院提起诉讼。</w:t>
      </w:r>
    </w:p>
    <w:p w14:paraId="12E6AD69">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rPr>
      </w:pPr>
      <w:bookmarkStart w:id="468" w:name="_Toc46142343"/>
      <w:bookmarkStart w:id="469" w:name="_Toc516477238"/>
      <w:bookmarkStart w:id="470" w:name="_Toc475999068"/>
      <w:r>
        <w:rPr>
          <w:rFonts w:hint="eastAsia" w:ascii="宋体" w:hAnsi="宋体" w:eastAsia="宋体" w:cs="宋体"/>
          <w:color w:val="auto"/>
          <w:kern w:val="0"/>
          <w:szCs w:val="21"/>
          <w:highlight w:val="none"/>
        </w:rPr>
        <w:t>8、其他</w:t>
      </w:r>
      <w:bookmarkEnd w:id="468"/>
      <w:bookmarkEnd w:id="469"/>
      <w:bookmarkEnd w:id="470"/>
    </w:p>
    <w:p w14:paraId="303F8F53">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8.1 考察及相关费用</w:t>
      </w:r>
    </w:p>
    <w:p w14:paraId="382E17E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咨询人经委托人同意进行考察发生的费用由_</w:t>
      </w:r>
      <w:r>
        <w:rPr>
          <w:rFonts w:hint="eastAsia" w:ascii="宋体" w:hAnsi="宋体" w:eastAsia="宋体" w:cs="宋体"/>
          <w:color w:val="auto"/>
          <w:kern w:val="0"/>
          <w:szCs w:val="21"/>
          <w:highlight w:val="none"/>
          <w:u w:val="single"/>
        </w:rPr>
        <w:t>咨询人</w:t>
      </w:r>
      <w:r>
        <w:rPr>
          <w:rFonts w:hint="eastAsia" w:ascii="宋体" w:hAnsi="宋体" w:eastAsia="宋体" w:cs="宋体"/>
          <w:color w:val="auto"/>
          <w:kern w:val="0"/>
          <w:szCs w:val="21"/>
          <w:highlight w:val="none"/>
        </w:rPr>
        <w:t>_支付。</w:t>
      </w:r>
    </w:p>
    <w:p w14:paraId="6FEB39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差旅费及相关费用的支付：_</w:t>
      </w:r>
      <w:r>
        <w:rPr>
          <w:rFonts w:hint="eastAsia" w:ascii="宋体" w:hAnsi="宋体" w:eastAsia="宋体" w:cs="宋体"/>
          <w:color w:val="auto"/>
          <w:kern w:val="0"/>
          <w:szCs w:val="21"/>
          <w:highlight w:val="none"/>
          <w:u w:val="single"/>
        </w:rPr>
        <w:t>/_</w:t>
      </w:r>
      <w:r>
        <w:rPr>
          <w:rFonts w:hint="eastAsia" w:ascii="宋体" w:hAnsi="宋体" w:eastAsia="宋体" w:cs="宋体"/>
          <w:color w:val="auto"/>
          <w:kern w:val="0"/>
          <w:szCs w:val="21"/>
          <w:highlight w:val="none"/>
        </w:rPr>
        <w:t>_。</w:t>
      </w:r>
    </w:p>
    <w:p w14:paraId="7532A3FC">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8.2 奖励</w:t>
      </w:r>
    </w:p>
    <w:p w14:paraId="1BE840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合理化建议的奖励金额按下列方法确定：_</w:t>
      </w:r>
      <w:r>
        <w:rPr>
          <w:rFonts w:hint="eastAsia" w:ascii="宋体" w:hAnsi="宋体" w:eastAsia="宋体" w:cs="宋体"/>
          <w:color w:val="auto"/>
          <w:kern w:val="0"/>
          <w:szCs w:val="21"/>
          <w:highlight w:val="none"/>
          <w:u w:val="single"/>
        </w:rPr>
        <w:t>无_</w:t>
      </w:r>
      <w:r>
        <w:rPr>
          <w:rFonts w:hint="eastAsia" w:ascii="宋体" w:hAnsi="宋体" w:eastAsia="宋体" w:cs="宋体"/>
          <w:color w:val="auto"/>
          <w:kern w:val="0"/>
          <w:szCs w:val="21"/>
          <w:highlight w:val="none"/>
        </w:rPr>
        <w:t>。</w:t>
      </w:r>
    </w:p>
    <w:p w14:paraId="27B2B6A0">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8.3 保密</w:t>
      </w:r>
    </w:p>
    <w:p w14:paraId="672B0A2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委托人申明的保密事项和期限：_</w:t>
      </w:r>
      <w:r>
        <w:rPr>
          <w:rFonts w:hint="eastAsia" w:ascii="宋体" w:hAnsi="宋体" w:eastAsia="宋体" w:cs="宋体"/>
          <w:color w:val="auto"/>
          <w:kern w:val="0"/>
          <w:szCs w:val="21"/>
          <w:highlight w:val="none"/>
          <w:u w:val="single"/>
        </w:rPr>
        <w:t>按相关规定</w:t>
      </w:r>
      <w:r>
        <w:rPr>
          <w:rFonts w:hint="eastAsia" w:ascii="宋体" w:hAnsi="宋体" w:eastAsia="宋体" w:cs="宋体"/>
          <w:color w:val="auto"/>
          <w:kern w:val="0"/>
          <w:szCs w:val="21"/>
          <w:highlight w:val="none"/>
        </w:rPr>
        <w:t>__。</w:t>
      </w:r>
    </w:p>
    <w:p w14:paraId="73C8F0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咨询人申明的保密事项和期限：_</w:t>
      </w:r>
      <w:r>
        <w:rPr>
          <w:rFonts w:hint="eastAsia" w:ascii="宋体" w:hAnsi="宋体" w:eastAsia="宋体" w:cs="宋体"/>
          <w:color w:val="auto"/>
          <w:kern w:val="0"/>
          <w:szCs w:val="21"/>
          <w:highlight w:val="none"/>
          <w:u w:val="single"/>
        </w:rPr>
        <w:t>按相关规定</w:t>
      </w:r>
      <w:r>
        <w:rPr>
          <w:rFonts w:hint="eastAsia" w:ascii="宋体" w:hAnsi="宋体" w:eastAsia="宋体" w:cs="宋体"/>
          <w:color w:val="auto"/>
          <w:kern w:val="0"/>
          <w:szCs w:val="21"/>
          <w:highlight w:val="none"/>
        </w:rPr>
        <w:t>__。</w:t>
      </w:r>
    </w:p>
    <w:p w14:paraId="3ACCE3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第三人申明的保密事项和期限：_</w:t>
      </w:r>
      <w:r>
        <w:rPr>
          <w:rFonts w:hint="eastAsia" w:ascii="宋体" w:hAnsi="宋体" w:eastAsia="宋体" w:cs="宋体"/>
          <w:color w:val="auto"/>
          <w:kern w:val="0"/>
          <w:szCs w:val="21"/>
          <w:highlight w:val="none"/>
          <w:u w:val="single"/>
        </w:rPr>
        <w:t>按相关规定</w:t>
      </w:r>
      <w:r>
        <w:rPr>
          <w:rFonts w:hint="eastAsia" w:ascii="宋体" w:hAnsi="宋体" w:eastAsia="宋体" w:cs="宋体"/>
          <w:color w:val="auto"/>
          <w:kern w:val="0"/>
          <w:szCs w:val="21"/>
          <w:highlight w:val="none"/>
        </w:rPr>
        <w:t>__。</w:t>
      </w:r>
    </w:p>
    <w:p w14:paraId="3C0188CC">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8.4 联络</w:t>
      </w:r>
    </w:p>
    <w:p w14:paraId="44B5D3E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8.4.1 任何一方与合同有关的通知、指示、要求、决定等，均应在</w:t>
      </w:r>
      <w:r>
        <w:rPr>
          <w:rFonts w:hint="eastAsia" w:ascii="宋体" w:hAnsi="宋体" w:eastAsia="宋体" w:cs="宋体"/>
          <w:color w:val="auto"/>
          <w:kern w:val="0"/>
          <w:szCs w:val="21"/>
          <w:highlight w:val="none"/>
          <w:u w:val="single"/>
        </w:rPr>
        <w:t xml:space="preserve"> 2 </w:t>
      </w:r>
      <w:r>
        <w:rPr>
          <w:rFonts w:hint="eastAsia" w:ascii="宋体" w:hAnsi="宋体" w:eastAsia="宋体" w:cs="宋体"/>
          <w:color w:val="auto"/>
          <w:kern w:val="0"/>
          <w:szCs w:val="21"/>
          <w:highlight w:val="none"/>
        </w:rPr>
        <w:t>日内送达对方指定的接收人和送达地点。</w:t>
      </w:r>
    </w:p>
    <w:p w14:paraId="20F9A0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8.4.2 委托人指定的送达接收人：_</w:t>
      </w:r>
      <w:r>
        <w:rPr>
          <w:rFonts w:hint="eastAsia" w:ascii="宋体" w:hAnsi="宋体" w:eastAsia="宋体" w:cs="宋体"/>
          <w:color w:val="auto"/>
          <w:kern w:val="0"/>
          <w:szCs w:val="21"/>
          <w:highlight w:val="none"/>
          <w:u w:val="single"/>
        </w:rPr>
        <w:t>_ _</w:t>
      </w:r>
      <w:r>
        <w:rPr>
          <w:rFonts w:hint="eastAsia" w:ascii="宋体" w:hAnsi="宋体" w:eastAsia="宋体" w:cs="宋体"/>
          <w:color w:val="auto"/>
          <w:kern w:val="0"/>
          <w:szCs w:val="21"/>
          <w:highlight w:val="none"/>
        </w:rPr>
        <w:t>_，送达地点：_</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_。</w:t>
      </w:r>
    </w:p>
    <w:p w14:paraId="68CDEF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咨询人指定的送达接收人：</w:t>
      </w:r>
      <w:r>
        <w:rPr>
          <w:rFonts w:hint="eastAsia" w:ascii="宋体" w:hAnsi="宋体" w:eastAsia="宋体" w:cs="宋体"/>
          <w:color w:val="auto"/>
          <w:kern w:val="0"/>
          <w:szCs w:val="21"/>
          <w:highlight w:val="none"/>
          <w:u w:val="single"/>
        </w:rPr>
        <w:t xml:space="preserve">_       </w:t>
      </w:r>
      <w:r>
        <w:rPr>
          <w:rFonts w:hint="eastAsia" w:ascii="宋体" w:hAnsi="宋体" w:eastAsia="宋体" w:cs="宋体"/>
          <w:color w:val="auto"/>
          <w:kern w:val="0"/>
          <w:szCs w:val="21"/>
          <w:highlight w:val="none"/>
        </w:rPr>
        <w:t>_，送达地点：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37E954D">
      <w:pPr>
        <w:keepNext/>
        <w:tabs>
          <w:tab w:val="left" w:pos="1035"/>
        </w:tabs>
        <w:spacing w:line="360" w:lineRule="auto"/>
        <w:ind w:firstLine="422" w:firstLineChars="200"/>
        <w:outlineLvl w:val="3"/>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8.5 知识产权</w:t>
      </w:r>
    </w:p>
    <w:p w14:paraId="3CBAC4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委托人提供给咨询人的图纸、委托人为实施工程自行编制或委托编制的技术规范以及反映委托人要求的或其他类似性质文件的著作权属于_</w:t>
      </w:r>
      <w:r>
        <w:rPr>
          <w:rFonts w:hint="eastAsia" w:ascii="宋体" w:hAnsi="宋体" w:eastAsia="宋体" w:cs="宋体"/>
          <w:color w:val="auto"/>
          <w:kern w:val="0"/>
          <w:szCs w:val="21"/>
          <w:highlight w:val="none"/>
          <w:u w:val="single"/>
        </w:rPr>
        <w:t>委托人</w:t>
      </w:r>
      <w:r>
        <w:rPr>
          <w:rFonts w:hint="eastAsia" w:ascii="宋体" w:hAnsi="宋体" w:eastAsia="宋体" w:cs="宋体"/>
          <w:color w:val="auto"/>
          <w:kern w:val="0"/>
          <w:szCs w:val="21"/>
          <w:highlight w:val="none"/>
        </w:rPr>
        <w:t>_。</w:t>
      </w:r>
    </w:p>
    <w:p w14:paraId="5D69EA0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咨询人为履行本合同约定而编制的成果文件，其著作权属于_</w:t>
      </w:r>
      <w:r>
        <w:rPr>
          <w:rFonts w:hint="eastAsia" w:ascii="宋体" w:hAnsi="宋体" w:eastAsia="宋体" w:cs="宋体"/>
          <w:color w:val="auto"/>
          <w:kern w:val="0"/>
          <w:szCs w:val="21"/>
          <w:highlight w:val="none"/>
          <w:u w:val="single"/>
        </w:rPr>
        <w:t>委托人</w:t>
      </w:r>
      <w:r>
        <w:rPr>
          <w:rFonts w:hint="eastAsia" w:ascii="宋体" w:hAnsi="宋体" w:eastAsia="宋体" w:cs="宋体"/>
          <w:color w:val="auto"/>
          <w:kern w:val="0"/>
          <w:szCs w:val="21"/>
          <w:highlight w:val="none"/>
        </w:rPr>
        <w:t>_。</w:t>
      </w:r>
    </w:p>
    <w:p w14:paraId="76ADA8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双方将履行本合同形成的有关成果文件用于企业宣传、申报奖项以及接受上级主管部门的检查须遵守以下约定：___</w:t>
      </w:r>
      <w:r>
        <w:rPr>
          <w:rFonts w:hint="eastAsia" w:ascii="宋体" w:hAnsi="宋体" w:eastAsia="宋体" w:cs="宋体"/>
          <w:color w:val="auto"/>
          <w:kern w:val="0"/>
          <w:szCs w:val="21"/>
          <w:highlight w:val="none"/>
          <w:u w:val="single"/>
        </w:rPr>
        <w:t>_双方不得透露对方的商业机密，需经对方同意后方可使用___</w:t>
      </w:r>
      <w:r>
        <w:rPr>
          <w:rFonts w:hint="eastAsia" w:ascii="宋体" w:hAnsi="宋体" w:eastAsia="宋体" w:cs="宋体"/>
          <w:color w:val="auto"/>
          <w:kern w:val="0"/>
          <w:szCs w:val="21"/>
          <w:highlight w:val="none"/>
        </w:rPr>
        <w:t>_。</w:t>
      </w:r>
    </w:p>
    <w:p w14:paraId="45C0FBC8">
      <w:pPr>
        <w:keepNext/>
        <w:keepLines/>
        <w:tabs>
          <w:tab w:val="left" w:pos="1275"/>
        </w:tabs>
        <w:autoSpaceDE w:val="0"/>
        <w:autoSpaceDN w:val="0"/>
        <w:adjustRightInd w:val="0"/>
        <w:spacing w:line="360" w:lineRule="auto"/>
        <w:ind w:firstLine="420" w:firstLineChars="200"/>
        <w:outlineLvl w:val="2"/>
        <w:rPr>
          <w:rFonts w:ascii="宋体" w:hAnsi="宋体" w:eastAsia="宋体" w:cs="宋体"/>
          <w:color w:val="auto"/>
          <w:kern w:val="0"/>
          <w:szCs w:val="21"/>
          <w:highlight w:val="none"/>
          <w:u w:val="single"/>
        </w:rPr>
      </w:pPr>
      <w:bookmarkStart w:id="471" w:name="_Toc516477239"/>
      <w:bookmarkStart w:id="472" w:name="_Toc46142344"/>
      <w:r>
        <w:rPr>
          <w:rFonts w:hint="eastAsia" w:ascii="宋体" w:hAnsi="宋体" w:eastAsia="宋体" w:cs="宋体"/>
          <w:color w:val="auto"/>
          <w:kern w:val="0"/>
          <w:szCs w:val="21"/>
          <w:highlight w:val="none"/>
        </w:rPr>
        <w:t>9</w:t>
      </w:r>
      <w:bookmarkStart w:id="473" w:name="_Toc475999069"/>
      <w:r>
        <w:rPr>
          <w:rFonts w:hint="eastAsia" w:ascii="宋体" w:hAnsi="宋体" w:eastAsia="宋体" w:cs="宋体"/>
          <w:color w:val="auto"/>
          <w:kern w:val="0"/>
          <w:szCs w:val="21"/>
          <w:highlight w:val="none"/>
        </w:rPr>
        <w:t>、补充条款</w:t>
      </w:r>
      <w:bookmarkEnd w:id="473"/>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概算审核内容：</w:t>
      </w:r>
      <w:bookmarkEnd w:id="471"/>
      <w:bookmarkEnd w:id="472"/>
    </w:p>
    <w:p w14:paraId="409AB5AC">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（一）在承办项目概算审核时, 主要审查：</w:t>
      </w:r>
    </w:p>
    <w:p w14:paraId="19156775">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1、设计单位编制概算及编制人员是否具有相应的编制资格；</w:t>
      </w:r>
    </w:p>
    <w:p w14:paraId="3F216D1E">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2、投资规模、设计内容等是否符合可行性研究报告批复要求；</w:t>
      </w:r>
    </w:p>
    <w:p w14:paraId="17385BBD">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3、概算采用的各种编制依据，如定额、指标、价格、取费标准等，是否符合相关规定和项目所在地实际；</w:t>
      </w:r>
    </w:p>
    <w:p w14:paraId="18C90E9B">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4、编制说明、总概算表、单项工程概算表、单位工程概算表、分项工程概算表等是否完整，是否达到有关规定的深度要求；</w:t>
      </w:r>
    </w:p>
    <w:p w14:paraId="7815A366">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5、工程量计算是否与初步设计图纸、概算定额及其规则等相符合；</w:t>
      </w:r>
    </w:p>
    <w:p w14:paraId="5E0DE458">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6、对于一些对造价影响比较大的项目内容，须重点加以注意。如钢筋的平方米含量、基坑围护单价等，既要以概算定额中的经济指标为依据，同时更要结合当地同类型工程的结算情况和图纸内容进行投资控制；</w:t>
      </w:r>
    </w:p>
    <w:p w14:paraId="2B3BDD12">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7、技术变数较大的单元工程；</w:t>
      </w:r>
    </w:p>
    <w:p w14:paraId="6745E528">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8、其他应审核的内容。</w:t>
      </w:r>
    </w:p>
    <w:p w14:paraId="63390E4C">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（二）依据审查结果，出具《工程概算审核报告》，主要包括以下内容：</w:t>
      </w:r>
    </w:p>
    <w:p w14:paraId="424E7EDC">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1、工程概况；</w:t>
      </w:r>
    </w:p>
    <w:p w14:paraId="34868F3A">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2、审核依据，应列出概算审核的主要依据清单；</w:t>
      </w:r>
    </w:p>
    <w:p w14:paraId="67900318">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3、概算调整情况说明，应从材料单价、工程数量、定额运用、取费标准和费率取用、各组成部分费用（包括建筑安装工程费，设备及工具、器具购置费，工程建设其他费用等）五个方面对具体的审查调整情况进行叙述；</w:t>
      </w:r>
    </w:p>
    <w:p w14:paraId="786FA837">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4、审核结论，概述概算审核时调整的主要内容及原因，说明项目原编制总概算、审核后总概算，审核增减总额、增减比例等内容，并附上概算审核对照表；</w:t>
      </w:r>
    </w:p>
    <w:p w14:paraId="66C34803">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5、需说明的其他相关情况；</w:t>
      </w:r>
    </w:p>
    <w:p w14:paraId="5F257699">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6、概算审核人员签名及资格章。</w:t>
      </w:r>
    </w:p>
    <w:p w14:paraId="21FF1A25">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（三）项目分派原则</w:t>
      </w:r>
    </w:p>
    <w:p w14:paraId="351F5083">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审核业务分配按照公开公平公正原则，在本次确定的中标供应商中以抽签方式确定分派。</w:t>
      </w:r>
    </w:p>
    <w:p w14:paraId="56E3815A">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（四）其它要求</w:t>
      </w:r>
    </w:p>
    <w:p w14:paraId="1CE59792">
      <w:pPr>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供应商遇紧急情况，投标人需承诺2小时内赶到。（如未按采购人要求到达，每次扣除10%的审核服务费）。</w:t>
      </w:r>
    </w:p>
    <w:p w14:paraId="211A9DF4">
      <w:pPr>
        <w:spacing w:line="360" w:lineRule="auto"/>
        <w:ind w:firstLine="420" w:firstLineChars="200"/>
        <w:rPr>
          <w:rFonts w:ascii="宋体" w:hAnsi="宋体" w:eastAsia="宋体" w:cs="宋体"/>
          <w:color w:val="auto"/>
          <w:kern w:val="0"/>
          <w:szCs w:val="21"/>
          <w:highlight w:val="none"/>
          <w:u w:val="single"/>
        </w:rPr>
      </w:pPr>
    </w:p>
    <w:p w14:paraId="67DD130F">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 xml:space="preserve">甲方：                             乙方： </w:t>
      </w:r>
    </w:p>
    <w:p w14:paraId="5DB08F8A">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 xml:space="preserve">地址：                             地址： </w:t>
      </w:r>
    </w:p>
    <w:p w14:paraId="189B27FF">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法定代表人或被授权人：             法定代表人或被授权人：</w:t>
      </w:r>
    </w:p>
    <w:p w14:paraId="7F3A9C97">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 xml:space="preserve">签订地点：                  </w:t>
      </w:r>
    </w:p>
    <w:p w14:paraId="3770C59E">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签订日期：      年  月  日</w:t>
      </w:r>
    </w:p>
    <w:p w14:paraId="48D1560B">
      <w:pPr>
        <w:snapToGrid w:val="0"/>
        <w:spacing w:before="120" w:after="120" w:line="360" w:lineRule="auto"/>
        <w:rPr>
          <w:rFonts w:ascii="宋体" w:hAnsi="宋体" w:eastAsia="宋体" w:cs="Times New Roman"/>
          <w:color w:val="auto"/>
          <w:kern w:val="0"/>
          <w:sz w:val="20"/>
          <w:szCs w:val="21"/>
          <w:highlight w:val="none"/>
        </w:rPr>
      </w:pPr>
    </w:p>
    <w:p w14:paraId="3DB62E7A">
      <w:pPr>
        <w:spacing w:before="120" w:after="120" w:line="360" w:lineRule="auto"/>
        <w:rPr>
          <w:rFonts w:ascii="宋体" w:hAnsi="宋体" w:eastAsia="宋体" w:cs="Times New Roman"/>
          <w:bCs/>
          <w:color w:val="auto"/>
          <w:kern w:val="0"/>
          <w:sz w:val="20"/>
          <w:szCs w:val="21"/>
          <w:highlight w:val="none"/>
        </w:rPr>
      </w:pPr>
      <w:r>
        <w:rPr>
          <w:rFonts w:hint="eastAsia" w:ascii="宋体" w:hAnsi="宋体" w:eastAsia="宋体" w:cs="Times New Roman"/>
          <w:bCs/>
          <w:color w:val="auto"/>
          <w:kern w:val="0"/>
          <w:sz w:val="20"/>
          <w:szCs w:val="21"/>
          <w:highlight w:val="none"/>
        </w:rPr>
        <w:t>合同鉴证方：（代理机购）</w:t>
      </w:r>
    </w:p>
    <w:p w14:paraId="4265E179">
      <w:pPr>
        <w:spacing w:before="120" w:after="120" w:line="360" w:lineRule="auto"/>
        <w:rPr>
          <w:rFonts w:ascii="宋体" w:hAnsi="宋体" w:eastAsia="宋体" w:cs="Times New Roman"/>
          <w:bCs/>
          <w:color w:val="auto"/>
          <w:kern w:val="0"/>
          <w:sz w:val="20"/>
          <w:szCs w:val="21"/>
          <w:highlight w:val="none"/>
        </w:rPr>
      </w:pPr>
      <w:r>
        <w:rPr>
          <w:rFonts w:hint="eastAsia" w:ascii="宋体" w:hAnsi="宋体" w:eastAsia="宋体" w:cs="Times New Roman"/>
          <w:bCs/>
          <w:color w:val="auto"/>
          <w:kern w:val="0"/>
          <w:sz w:val="20"/>
          <w:szCs w:val="21"/>
          <w:highlight w:val="none"/>
        </w:rPr>
        <w:t>项目负责人：</w:t>
      </w:r>
    </w:p>
    <w:p w14:paraId="4E45E426">
      <w:pPr>
        <w:snapToGrid w:val="0"/>
        <w:spacing w:before="120" w:after="120" w:line="360" w:lineRule="auto"/>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鉴证日期：      年  月  日</w:t>
      </w:r>
    </w:p>
    <w:p w14:paraId="03F6766E">
      <w:pPr>
        <w:widowControl/>
        <w:spacing w:line="360" w:lineRule="auto"/>
        <w:jc w:val="center"/>
        <w:rPr>
          <w:rFonts w:ascii="宋体" w:hAnsi="宋体" w:eastAsia="宋体" w:cs="宋体"/>
          <w:color w:val="auto"/>
          <w:sz w:val="30"/>
          <w:szCs w:val="30"/>
          <w:highlight w:val="none"/>
        </w:rPr>
      </w:pPr>
    </w:p>
    <w:p w14:paraId="38C7B266">
      <w:pPr>
        <w:keepNext/>
        <w:widowControl/>
        <w:tabs>
          <w:tab w:val="left" w:pos="1140"/>
        </w:tabs>
        <w:adjustRightInd w:val="0"/>
        <w:snapToGrid w:val="0"/>
        <w:spacing w:before="159" w:beforeLines="50" w:after="60" w:line="360" w:lineRule="auto"/>
        <w:ind w:left="1140" w:hanging="720"/>
        <w:jc w:val="center"/>
        <w:outlineLvl w:val="1"/>
        <w:rPr>
          <w:rFonts w:ascii="宋体" w:hAnsi="宋体" w:eastAsia="宋体" w:cs="宋体"/>
          <w:b/>
          <w:bCs/>
          <w:color w:val="auto"/>
          <w:szCs w:val="21"/>
          <w:highlight w:val="none"/>
          <w:shd w:val="clear" w:color="auto" w:fill="FFFFFF"/>
        </w:rPr>
      </w:pPr>
      <w:r>
        <w:rPr>
          <w:rFonts w:hint="eastAsia" w:ascii="宋体" w:hAnsi="宋体" w:eastAsia="宋体" w:cs="宋体"/>
          <w:b/>
          <w:color w:val="auto"/>
          <w:kern w:val="0"/>
          <w:szCs w:val="21"/>
          <w:highlight w:val="none"/>
          <w:u w:val="single"/>
        </w:rPr>
        <w:br w:type="page"/>
      </w:r>
      <w:bookmarkStart w:id="474" w:name="_Toc516477240"/>
      <w:bookmarkStart w:id="475" w:name="_Toc46142345"/>
      <w:r>
        <w:rPr>
          <w:rFonts w:ascii="宋体" w:hAnsi="宋体" w:eastAsia="宋体" w:cs="宋体"/>
          <w:b/>
          <w:color w:val="auto"/>
          <w:szCs w:val="21"/>
          <w:highlight w:val="none"/>
          <w:shd w:val="clear" w:color="auto" w:fill="FFFFFF"/>
          <w:lang w:eastAsia="en-US"/>
        </w:rPr>
        <w:t>廉政合同</w:t>
      </w:r>
      <w:bookmarkEnd w:id="474"/>
      <w:bookmarkEnd w:id="475"/>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1370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26" w:type="dxa"/>
            <w:tcBorders>
              <w:top w:val="single" w:color="auto" w:sz="4" w:space="0"/>
              <w:left w:val="single" w:color="auto" w:sz="4" w:space="0"/>
              <w:bottom w:val="single" w:color="auto" w:sz="4" w:space="0"/>
              <w:right w:val="single" w:color="auto" w:sz="4" w:space="0"/>
            </w:tcBorders>
            <w:vAlign w:val="center"/>
          </w:tcPr>
          <w:p w14:paraId="358E0AE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项目合同名称：嘉兴市南湖区2023年1月至2024年12月政府投资项目初步设计概算审核服务框架协议单位采购项目</w:t>
            </w:r>
          </w:p>
        </w:tc>
      </w:tr>
      <w:tr w14:paraId="6963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26" w:type="dxa"/>
            <w:tcBorders>
              <w:top w:val="single" w:color="auto" w:sz="4" w:space="0"/>
              <w:left w:val="single" w:color="auto" w:sz="4" w:space="0"/>
              <w:bottom w:val="single" w:color="auto" w:sz="4" w:space="0"/>
              <w:right w:val="single" w:color="auto" w:sz="4" w:space="0"/>
            </w:tcBorders>
            <w:vAlign w:val="center"/>
          </w:tcPr>
          <w:p w14:paraId="52218A6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委托人（甲方）：嘉兴市南湖区政务服务和数据资源管理局</w:t>
            </w:r>
          </w:p>
        </w:tc>
      </w:tr>
      <w:tr w14:paraId="5C4B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26" w:type="dxa"/>
            <w:tcBorders>
              <w:top w:val="single" w:color="auto" w:sz="4" w:space="0"/>
              <w:left w:val="single" w:color="auto" w:sz="4" w:space="0"/>
              <w:bottom w:val="single" w:color="auto" w:sz="4" w:space="0"/>
              <w:right w:val="single" w:color="auto" w:sz="4" w:space="0"/>
            </w:tcBorders>
            <w:vAlign w:val="center"/>
          </w:tcPr>
          <w:p w14:paraId="5522085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咨询人（乙方）：</w:t>
            </w:r>
          </w:p>
        </w:tc>
      </w:tr>
      <w:tr w14:paraId="059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26" w:type="dxa"/>
            <w:tcBorders>
              <w:top w:val="single" w:color="auto" w:sz="4" w:space="0"/>
              <w:left w:val="single" w:color="auto" w:sz="4" w:space="0"/>
              <w:bottom w:val="single" w:color="auto" w:sz="4" w:space="0"/>
              <w:right w:val="single" w:color="auto" w:sz="4" w:space="0"/>
            </w:tcBorders>
            <w:vAlign w:val="center"/>
          </w:tcPr>
          <w:p w14:paraId="136253F9">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投标报价（洽谈价格）：             合同价：</w:t>
            </w:r>
          </w:p>
        </w:tc>
      </w:tr>
      <w:tr w14:paraId="2E8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926" w:type="dxa"/>
            <w:tcBorders>
              <w:top w:val="single" w:color="auto" w:sz="4" w:space="0"/>
              <w:left w:val="single" w:color="auto" w:sz="4" w:space="0"/>
              <w:bottom w:val="single" w:color="auto" w:sz="4" w:space="0"/>
              <w:right w:val="single" w:color="auto" w:sz="4" w:space="0"/>
            </w:tcBorders>
            <w:vAlign w:val="center"/>
          </w:tcPr>
          <w:p w14:paraId="7F03E501">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合同有效期：</w:t>
            </w:r>
          </w:p>
        </w:tc>
      </w:tr>
      <w:tr w14:paraId="4B14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26" w:type="dxa"/>
            <w:tcBorders>
              <w:top w:val="single" w:color="auto" w:sz="4" w:space="0"/>
              <w:left w:val="single" w:color="auto" w:sz="4" w:space="0"/>
              <w:bottom w:val="single" w:color="auto" w:sz="4" w:space="0"/>
              <w:right w:val="single" w:color="auto" w:sz="4" w:space="0"/>
            </w:tcBorders>
            <w:vAlign w:val="center"/>
          </w:tcPr>
          <w:p w14:paraId="56109BA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咨询人负责人：                    电话：</w:t>
            </w:r>
          </w:p>
        </w:tc>
      </w:tr>
      <w:tr w14:paraId="5FA9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26" w:type="dxa"/>
            <w:tcBorders>
              <w:top w:val="single" w:color="auto" w:sz="4" w:space="0"/>
              <w:left w:val="single" w:color="auto" w:sz="4" w:space="0"/>
              <w:bottom w:val="single" w:color="auto" w:sz="4" w:space="0"/>
              <w:right w:val="single" w:color="auto" w:sz="4" w:space="0"/>
            </w:tcBorders>
            <w:vAlign w:val="center"/>
          </w:tcPr>
          <w:p w14:paraId="40C1AE14">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实施部门负责人：                  电话：</w:t>
            </w:r>
          </w:p>
        </w:tc>
      </w:tr>
      <w:tr w14:paraId="6084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26" w:type="dxa"/>
            <w:tcBorders>
              <w:top w:val="single" w:color="auto" w:sz="4" w:space="0"/>
              <w:left w:val="single" w:color="auto" w:sz="4" w:space="0"/>
              <w:bottom w:val="single" w:color="auto" w:sz="4" w:space="0"/>
              <w:right w:val="single" w:color="auto" w:sz="4" w:space="0"/>
            </w:tcBorders>
            <w:vAlign w:val="center"/>
          </w:tcPr>
          <w:p w14:paraId="7F520B85">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监督部门联系人：                  电话：</w:t>
            </w:r>
          </w:p>
        </w:tc>
      </w:tr>
    </w:tbl>
    <w:p w14:paraId="1E0B9758">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88A5605">
      <w:pPr>
        <w:snapToGrid w:val="0"/>
        <w:spacing w:line="360" w:lineRule="auto"/>
        <w:ind w:firstLine="315" w:firstLineChars="150"/>
        <w:jc w:val="left"/>
        <w:rPr>
          <w:rFonts w:ascii="宋体" w:hAnsi="宋体" w:eastAsia="宋体" w:cs="宋体"/>
          <w:color w:val="auto"/>
          <w:szCs w:val="21"/>
          <w:highlight w:val="none"/>
        </w:rPr>
      </w:pPr>
      <w:r>
        <w:rPr>
          <w:rFonts w:hint="eastAsia" w:ascii="宋体" w:hAnsi="宋体" w:eastAsia="宋体" w:cs="宋体"/>
          <w:color w:val="auto"/>
          <w:szCs w:val="21"/>
          <w:highlight w:val="none"/>
        </w:rPr>
        <w:t>为加强三项工作中的廉政建设，规范三项工作实施中供需双方的各项活动，防止发生各种谋取不正当利益的违法违纪行为，保护国家、集体和当事人的合法权益，根据国家有关法律法规和廉政建设责任制度规定，特签订廉政合同。</w:t>
      </w:r>
    </w:p>
    <w:p w14:paraId="373603E1">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第一条  甲、乙双方约定：</w:t>
      </w:r>
    </w:p>
    <w:p w14:paraId="4434BE1C">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（一）甲、乙双方应共同严格遵守国家和省市主管部门关于市场准入、招标投标和市场经济活动等有关法律、法规和相关政策，以及廉政建设的各项规定。</w:t>
      </w:r>
    </w:p>
    <w:p w14:paraId="3119591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（二）甲、乙双方应认真执行双方签订的合同文件，自觉按合同约定履行责任。</w:t>
      </w:r>
    </w:p>
    <w:p w14:paraId="3A697336">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（三）甲、乙双方的业务活动必须坚持公开、公平、公正、诚信、透明的原则（除法律法规另有规定者外）。不得为获取不正当的利益，损害国家、集体和对方利益；不得违反经济建设管理相关规章制度。</w:t>
      </w:r>
    </w:p>
    <w:p w14:paraId="17A5B009">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（四）甲、乙双方有对本方人员开展廉政告知、廉政教育和职业道德教育的义务。</w:t>
      </w:r>
    </w:p>
    <w:p w14:paraId="11850E42">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（五）甲、乙双方应加强对本方人员廉政监督，建立健全廉政制度，认真严肃查处本方人员违法违纪行为。</w:t>
      </w:r>
    </w:p>
    <w:p w14:paraId="45DCB0D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（六）甲、乙双方如发现对方人员在业务活动中有违规、违纪、违法行为的，应及时提醒对方并督促其纠正，或直接向对方法人代表、纪检监察部门及检察机关如实反映情况。</w:t>
      </w:r>
    </w:p>
    <w:p w14:paraId="75ADB8E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第二条  乙方的廉政责任</w:t>
      </w:r>
    </w:p>
    <w:p w14:paraId="4F8F601D">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（一）乙方不得以任何理由向甲方工作人员赠送礼金、有价证券、贵重物品、信用卡及其他支付凭证。</w:t>
      </w:r>
    </w:p>
    <w:p w14:paraId="7B8ED658">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（二）乙方不得以任何理由或名义向甲方及其工作人员支付回扣、好处费、感谢费等。</w:t>
      </w:r>
    </w:p>
    <w:p w14:paraId="3395533F">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（三）乙方不得以任何理由或名义为甲方及其工作人员报销任何应由甲方个人支付的费用。</w:t>
      </w:r>
    </w:p>
    <w:p w14:paraId="41E18947">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（四）乙方不得以任何理由为甲方及其工作人员购置或长期提供通信工具、交通工具等。</w:t>
      </w:r>
    </w:p>
    <w:p w14:paraId="0560A36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（五）乙方不得以任何理由为甲方及其工作人员的个人装修住房、婚丧嫁娶、配偶子女的工作安排以及出国（境）、旅游等提供方便。</w:t>
      </w:r>
    </w:p>
    <w:p w14:paraId="201C874B">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（六）乙方不得以任何理由为甲方及其工作人员组织有可能影响公正执行公务的宴请和各类休闲娱乐等活动。</w:t>
      </w:r>
    </w:p>
    <w:p w14:paraId="0579D26D">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（七）乙方及其工作人员必须严格按照有关规程办事，不得与其他单位互相串通，损害甲方利益。</w:t>
      </w:r>
    </w:p>
    <w:p w14:paraId="14491A0E">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第三条  违约责任</w:t>
      </w:r>
    </w:p>
    <w:p w14:paraId="70866F87">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一）乙方工作人员有违反本合同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情节严重的，将报行业主管部门列入违约黑名单。</w:t>
      </w:r>
    </w:p>
    <w:p w14:paraId="43D3AE06">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（二）乙方在项目实施中贿赂甲方人员的，被纪检监察部门或检察机关立案查处的，甲方有权中止项目合同，由此造成甲方的损失以及一切费用均由乙方承担。</w:t>
      </w:r>
    </w:p>
    <w:p w14:paraId="7D31A628">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第四条  工程投资项目中凡未按规定签订《廉政合同》的工程项目，不得办理施工（勘察、设计、监理）许可证等相关手续，任何人不得擅自同意或者进行施工（勘察、设计、监理）。</w:t>
      </w:r>
    </w:p>
    <w:p w14:paraId="5479BB5C">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第五条  签署《廉政合同》时，甲乙双方项目负责人（委托人）必须现场亲笔签署。</w:t>
      </w:r>
    </w:p>
    <w:p w14:paraId="1FBAA3D1">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第六条  工程投资项目各参建方应定期或在项目实施完毕时，根据规定向甲方监察部或两厂监察科提交执行《廉政合同》的书面情况总结；其他项目应根据项目内容结合货物验收、咨询人资质认证以及年度考评等相关工作对咨询人执行廉政合同的情况进行考核。</w:t>
      </w:r>
    </w:p>
    <w:p w14:paraId="1900BEB2">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第七条  本合同作为项目合同的附件，与项目合同具有同等法律效力，经双方签署后立即生效。</w:t>
      </w:r>
    </w:p>
    <w:p w14:paraId="701E175D">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第八条  本合同的有效期为双方签署之日起至该项目实施完毕时止。</w:t>
      </w:r>
    </w:p>
    <w:p w14:paraId="27487B58">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第九条  本合同一式四份，由甲、乙双方，公司监察部，合同主管部门各执一份。</w:t>
      </w:r>
    </w:p>
    <w:p w14:paraId="1DD954B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8876554">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F4D7146">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甲方单位：（盖章）             乙方单位：（盖章）</w:t>
      </w:r>
    </w:p>
    <w:p w14:paraId="120E92DD">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1303104">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394766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甲方代表：（签字）             乙方代表：（签字）</w:t>
      </w:r>
    </w:p>
    <w:p w14:paraId="1C326225">
      <w:pPr>
        <w:spacing w:line="360" w:lineRule="auto"/>
        <w:ind w:firstLine="480" w:firstLineChars="200"/>
        <w:rPr>
          <w:rFonts w:ascii="宋体" w:hAnsi="宋体" w:eastAsia="宋体" w:cs="宋体"/>
          <w:color w:val="auto"/>
          <w:sz w:val="24"/>
          <w:szCs w:val="21"/>
          <w:highlight w:val="none"/>
        </w:rPr>
      </w:pPr>
    </w:p>
    <w:p w14:paraId="4C00572E">
      <w:pPr>
        <w:widowControl/>
        <w:spacing w:line="360" w:lineRule="auto"/>
        <w:jc w:val="center"/>
        <w:rPr>
          <w:rFonts w:ascii="宋体" w:hAnsi="宋体" w:eastAsia="宋体" w:cs="宋体"/>
          <w:color w:val="auto"/>
          <w:sz w:val="30"/>
          <w:szCs w:val="30"/>
          <w:highlight w:val="none"/>
        </w:rPr>
      </w:pPr>
    </w:p>
    <w:p w14:paraId="1BF00944">
      <w:pPr>
        <w:snapToGrid w:val="0"/>
        <w:spacing w:line="360" w:lineRule="auto"/>
        <w:jc w:val="center"/>
        <w:outlineLvl w:val="0"/>
        <w:rPr>
          <w:rFonts w:ascii="宋体" w:hAnsi="宋体" w:eastAsia="宋体" w:cs="宋体"/>
          <w:color w:val="auto"/>
          <w:sz w:val="24"/>
          <w:szCs w:val="24"/>
          <w:highlight w:val="none"/>
        </w:rPr>
      </w:pPr>
      <w:r>
        <w:rPr>
          <w:rFonts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第六部分 响应文件格式</w:t>
      </w:r>
    </w:p>
    <w:p w14:paraId="67AE7232">
      <w:pPr>
        <w:snapToGrid w:val="0"/>
        <w:spacing w:before="159" w:beforeLines="50" w:after="50"/>
        <w:jc w:val="center"/>
        <w:rPr>
          <w:rFonts w:ascii="宋体" w:hAnsi="宋体" w:eastAsia="宋体" w:cs="Calibri"/>
          <w:b/>
          <w:bCs/>
          <w:color w:val="auto"/>
          <w:sz w:val="24"/>
          <w:szCs w:val="21"/>
          <w:highlight w:val="none"/>
        </w:rPr>
      </w:pPr>
      <w:r>
        <w:rPr>
          <w:rFonts w:hint="eastAsia" w:ascii="宋体" w:hAnsi="宋体" w:eastAsia="宋体" w:cs="Calibri"/>
          <w:b/>
          <w:bCs/>
          <w:color w:val="auto"/>
          <w:sz w:val="24"/>
          <w:szCs w:val="21"/>
          <w:highlight w:val="none"/>
        </w:rPr>
        <w:t>一、投标文件外层包装封面格式</w:t>
      </w:r>
    </w:p>
    <w:p w14:paraId="2B91B8F4">
      <w:pPr>
        <w:snapToGrid w:val="0"/>
        <w:spacing w:before="159" w:beforeLines="50" w:after="50"/>
        <w:jc w:val="center"/>
        <w:rPr>
          <w:rFonts w:ascii="宋体" w:hAnsi="宋体" w:eastAsia="宋体" w:cs="Calibri"/>
          <w:b/>
          <w:bCs/>
          <w:color w:val="auto"/>
          <w:sz w:val="24"/>
          <w:szCs w:val="20"/>
          <w:highlight w:val="none"/>
        </w:rPr>
      </w:pPr>
    </w:p>
    <w:p w14:paraId="4BA27AFF">
      <w:pPr>
        <w:snapToGrid w:val="0"/>
        <w:spacing w:before="159" w:beforeLines="50" w:after="50"/>
        <w:rPr>
          <w:rFonts w:ascii="宋体" w:hAnsi="宋体" w:eastAsia="宋体" w:cs="Calibri"/>
          <w:b/>
          <w:color w:val="auto"/>
          <w:sz w:val="24"/>
          <w:szCs w:val="21"/>
          <w:highlight w:val="none"/>
        </w:rPr>
      </w:pPr>
      <w:r>
        <w:rPr>
          <w:rFonts w:ascii="宋体" w:hAnsi="宋体" w:eastAsia="宋体" w:cs="Calibri"/>
          <w:b/>
          <w:color w:val="auto"/>
          <w:sz w:val="24"/>
          <w:szCs w:val="21"/>
          <w:highlight w:val="none"/>
        </w:rPr>
        <w:t>1.</w:t>
      </w:r>
      <w:r>
        <w:rPr>
          <w:rFonts w:hint="eastAsia" w:ascii="宋体" w:hAnsi="宋体" w:eastAsia="宋体" w:cs="Calibri"/>
          <w:b/>
          <w:color w:val="auto"/>
          <w:sz w:val="24"/>
          <w:szCs w:val="21"/>
          <w:highlight w:val="none"/>
        </w:rPr>
        <w:t>所有投标文件的外包装封面格式：</w:t>
      </w:r>
    </w:p>
    <w:p w14:paraId="1DFCEF10">
      <w:pPr>
        <w:snapToGrid w:val="0"/>
        <w:spacing w:before="159" w:beforeLines="50" w:after="50"/>
        <w:jc w:val="center"/>
        <w:rPr>
          <w:rFonts w:ascii="宋体" w:hAnsi="宋体" w:eastAsia="宋体" w:cs="Calibri"/>
          <w:b/>
          <w:bCs/>
          <w:color w:val="auto"/>
          <w:sz w:val="32"/>
          <w:szCs w:val="32"/>
          <w:highlight w:val="none"/>
        </w:rPr>
      </w:pPr>
      <w:r>
        <w:rPr>
          <w:rFonts w:hint="eastAsia" w:ascii="宋体" w:hAnsi="宋体" w:eastAsia="宋体" w:cs="Calibri"/>
          <w:b/>
          <w:bCs/>
          <w:color w:val="auto"/>
          <w:sz w:val="32"/>
          <w:szCs w:val="32"/>
          <w:highlight w:val="none"/>
        </w:rPr>
        <w:t>投</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标</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文</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件</w:t>
      </w:r>
    </w:p>
    <w:p w14:paraId="541BA823">
      <w:pPr>
        <w:snapToGrid w:val="0"/>
        <w:spacing w:before="159" w:beforeLines="50" w:after="50"/>
        <w:rPr>
          <w:rFonts w:ascii="宋体" w:hAnsi="宋体" w:eastAsia="宋体" w:cs="Calibri"/>
          <w:bCs/>
          <w:color w:val="auto"/>
          <w:sz w:val="24"/>
          <w:szCs w:val="20"/>
          <w:highlight w:val="none"/>
        </w:rPr>
      </w:pPr>
    </w:p>
    <w:p w14:paraId="08D32CB6">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项目名称：</w:t>
      </w:r>
    </w:p>
    <w:p w14:paraId="322E56E9">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项目编号：</w:t>
      </w:r>
      <w:r>
        <w:rPr>
          <w:rFonts w:ascii="宋体" w:hAnsi="宋体" w:eastAsia="宋体" w:cs="Calibri"/>
          <w:bCs/>
          <w:color w:val="auto"/>
          <w:sz w:val="24"/>
          <w:szCs w:val="21"/>
          <w:highlight w:val="none"/>
        </w:rPr>
        <w:t xml:space="preserve"> </w:t>
      </w:r>
    </w:p>
    <w:p w14:paraId="3FA0579D">
      <w:pPr>
        <w:widowControl/>
        <w:adjustRightInd w:val="0"/>
        <w:snapToGrid w:val="0"/>
        <w:spacing w:before="50" w:after="50" w:line="480" w:lineRule="exact"/>
        <w:ind w:firstLine="1068" w:firstLineChars="445"/>
        <w:rPr>
          <w:rFonts w:ascii="宋体" w:hAnsi="宋体" w:eastAsia="宋体" w:cs="Times New Roman"/>
          <w:bCs/>
          <w:color w:val="auto"/>
          <w:kern w:val="28"/>
          <w:sz w:val="24"/>
          <w:szCs w:val="24"/>
          <w:highlight w:val="none"/>
        </w:rPr>
      </w:pPr>
      <w:r>
        <w:rPr>
          <w:rFonts w:hint="eastAsia" w:ascii="宋体" w:hAnsi="宋体" w:eastAsia="宋体" w:cs="宋体"/>
          <w:bCs/>
          <w:color w:val="auto"/>
          <w:kern w:val="28"/>
          <w:sz w:val="24"/>
          <w:szCs w:val="24"/>
          <w:highlight w:val="none"/>
        </w:rPr>
        <w:t>投标文件名称：</w:t>
      </w:r>
      <w:r>
        <w:rPr>
          <w:rFonts w:hint="eastAsia" w:ascii="宋体" w:hAnsi="宋体" w:eastAsia="宋体" w:cs="Times New Roman"/>
          <w:bCs/>
          <w:color w:val="auto"/>
          <w:kern w:val="28"/>
          <w:sz w:val="24"/>
          <w:szCs w:val="24"/>
          <w:highlight w:val="none"/>
        </w:rPr>
        <w:t>资格文件、报价文件、商务及技术文件</w:t>
      </w:r>
    </w:p>
    <w:p w14:paraId="6F018B2D">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投标人名称：</w:t>
      </w:r>
    </w:p>
    <w:p w14:paraId="0F229458">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投标人地址：</w:t>
      </w:r>
    </w:p>
    <w:p w14:paraId="16CD68A5">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在</w:t>
      </w:r>
      <w:r>
        <w:rPr>
          <w:rFonts w:ascii="宋体" w:hAnsi="宋体" w:eastAsia="宋体" w:cs="宋体"/>
          <w:bCs/>
          <w:color w:val="auto"/>
          <w:kern w:val="28"/>
          <w:sz w:val="24"/>
          <w:szCs w:val="24"/>
          <w:highlight w:val="none"/>
        </w:rPr>
        <w:t xml:space="preserve">  </w:t>
      </w:r>
      <w:r>
        <w:rPr>
          <w:rFonts w:hint="eastAsia" w:ascii="宋体" w:hAnsi="宋体" w:eastAsia="宋体" w:cs="宋体"/>
          <w:bCs/>
          <w:color w:val="auto"/>
          <w:kern w:val="28"/>
          <w:sz w:val="24"/>
          <w:szCs w:val="24"/>
          <w:highlight w:val="none"/>
        </w:rPr>
        <w:t>年</w:t>
      </w:r>
      <w:r>
        <w:rPr>
          <w:rFonts w:ascii="宋体" w:hAnsi="宋体" w:eastAsia="宋体" w:cs="宋体"/>
          <w:bCs/>
          <w:color w:val="auto"/>
          <w:kern w:val="28"/>
          <w:sz w:val="24"/>
          <w:szCs w:val="24"/>
          <w:highlight w:val="none"/>
        </w:rPr>
        <w:t xml:space="preserve">  </w:t>
      </w:r>
      <w:r>
        <w:rPr>
          <w:rFonts w:hint="eastAsia" w:ascii="宋体" w:hAnsi="宋体" w:eastAsia="宋体" w:cs="宋体"/>
          <w:bCs/>
          <w:color w:val="auto"/>
          <w:kern w:val="28"/>
          <w:sz w:val="24"/>
          <w:szCs w:val="24"/>
          <w:highlight w:val="none"/>
        </w:rPr>
        <w:t>月</w:t>
      </w:r>
      <w:r>
        <w:rPr>
          <w:rFonts w:ascii="宋体" w:hAnsi="宋体" w:eastAsia="宋体" w:cs="宋体"/>
          <w:bCs/>
          <w:color w:val="auto"/>
          <w:kern w:val="28"/>
          <w:sz w:val="24"/>
          <w:szCs w:val="24"/>
          <w:highlight w:val="none"/>
        </w:rPr>
        <w:t xml:space="preserve">  </w:t>
      </w:r>
      <w:r>
        <w:rPr>
          <w:rFonts w:hint="eastAsia" w:ascii="宋体" w:hAnsi="宋体" w:eastAsia="宋体" w:cs="宋体"/>
          <w:bCs/>
          <w:color w:val="auto"/>
          <w:kern w:val="28"/>
          <w:sz w:val="24"/>
          <w:szCs w:val="24"/>
          <w:highlight w:val="none"/>
        </w:rPr>
        <w:t>日</w:t>
      </w:r>
      <w:r>
        <w:rPr>
          <w:rFonts w:ascii="宋体" w:hAnsi="宋体" w:eastAsia="宋体" w:cs="宋体"/>
          <w:bCs/>
          <w:color w:val="auto"/>
          <w:kern w:val="28"/>
          <w:sz w:val="24"/>
          <w:szCs w:val="24"/>
          <w:highlight w:val="none"/>
        </w:rPr>
        <w:t xml:space="preserve">  </w:t>
      </w:r>
      <w:r>
        <w:rPr>
          <w:rFonts w:hint="eastAsia" w:ascii="宋体" w:hAnsi="宋体" w:eastAsia="宋体" w:cs="宋体"/>
          <w:bCs/>
          <w:color w:val="auto"/>
          <w:kern w:val="28"/>
          <w:sz w:val="24"/>
          <w:szCs w:val="24"/>
          <w:highlight w:val="none"/>
        </w:rPr>
        <w:t>时</w:t>
      </w:r>
      <w:r>
        <w:rPr>
          <w:rFonts w:ascii="宋体" w:hAnsi="宋体" w:eastAsia="宋体" w:cs="宋体"/>
          <w:bCs/>
          <w:color w:val="auto"/>
          <w:kern w:val="28"/>
          <w:sz w:val="24"/>
          <w:szCs w:val="24"/>
          <w:highlight w:val="none"/>
        </w:rPr>
        <w:t xml:space="preserve">  </w:t>
      </w:r>
      <w:r>
        <w:rPr>
          <w:rFonts w:hint="eastAsia" w:ascii="宋体" w:hAnsi="宋体" w:eastAsia="宋体" w:cs="宋体"/>
          <w:bCs/>
          <w:color w:val="auto"/>
          <w:kern w:val="28"/>
          <w:sz w:val="24"/>
          <w:szCs w:val="24"/>
          <w:highlight w:val="none"/>
        </w:rPr>
        <w:t>分之前不得启封</w:t>
      </w:r>
    </w:p>
    <w:p w14:paraId="12FA7774">
      <w:pPr>
        <w:snapToGrid w:val="0"/>
        <w:spacing w:before="159" w:beforeLines="50" w:after="50"/>
        <w:ind w:firstLine="1068" w:firstLineChars="445"/>
        <w:rPr>
          <w:rFonts w:ascii="宋体" w:hAnsi="宋体" w:eastAsia="宋体" w:cs="Calibri"/>
          <w:bCs/>
          <w:color w:val="auto"/>
          <w:sz w:val="24"/>
          <w:szCs w:val="20"/>
          <w:highlight w:val="none"/>
        </w:rPr>
      </w:pPr>
    </w:p>
    <w:p w14:paraId="6AA59C00">
      <w:pPr>
        <w:snapToGrid w:val="0"/>
        <w:spacing w:before="159" w:beforeLines="50" w:after="50"/>
        <w:ind w:firstLine="645"/>
        <w:jc w:val="center"/>
        <w:rPr>
          <w:rFonts w:ascii="宋体" w:hAnsi="宋体" w:eastAsia="宋体" w:cs="Calibri"/>
          <w:color w:val="auto"/>
          <w:sz w:val="24"/>
          <w:szCs w:val="20"/>
          <w:highlight w:val="none"/>
        </w:rPr>
      </w:pPr>
      <w:r>
        <w:rPr>
          <w:rFonts w:ascii="宋体" w:hAnsi="宋体" w:eastAsia="宋体" w:cs="Calibri"/>
          <w:bCs/>
          <w:color w:val="auto"/>
          <w:sz w:val="24"/>
          <w:szCs w:val="21"/>
          <w:highlight w:val="none"/>
        </w:rPr>
        <w:t xml:space="preserve">                        </w:t>
      </w:r>
      <w:r>
        <w:rPr>
          <w:rFonts w:hint="eastAsia" w:ascii="宋体" w:hAnsi="宋体" w:eastAsia="宋体" w:cs="Calibri"/>
          <w:bCs/>
          <w:color w:val="auto"/>
          <w:sz w:val="24"/>
          <w:szCs w:val="21"/>
          <w:highlight w:val="none"/>
        </w:rPr>
        <w:t>年</w:t>
      </w:r>
      <w:r>
        <w:rPr>
          <w:rFonts w:ascii="宋体" w:hAnsi="宋体" w:eastAsia="宋体" w:cs="Calibri"/>
          <w:bCs/>
          <w:color w:val="auto"/>
          <w:sz w:val="24"/>
          <w:szCs w:val="21"/>
          <w:highlight w:val="none"/>
        </w:rPr>
        <w:t xml:space="preserve">  </w:t>
      </w:r>
      <w:r>
        <w:rPr>
          <w:rFonts w:hint="eastAsia" w:ascii="宋体" w:hAnsi="宋体" w:eastAsia="宋体" w:cs="Calibri"/>
          <w:bCs/>
          <w:color w:val="auto"/>
          <w:sz w:val="24"/>
          <w:szCs w:val="21"/>
          <w:highlight w:val="none"/>
        </w:rPr>
        <w:t xml:space="preserve"> 月</w:t>
      </w:r>
      <w:r>
        <w:rPr>
          <w:rFonts w:ascii="宋体" w:hAnsi="宋体" w:eastAsia="宋体" w:cs="Calibri"/>
          <w:bCs/>
          <w:color w:val="auto"/>
          <w:sz w:val="24"/>
          <w:szCs w:val="21"/>
          <w:highlight w:val="none"/>
        </w:rPr>
        <w:t xml:space="preserve"> </w:t>
      </w:r>
      <w:r>
        <w:rPr>
          <w:rFonts w:hint="eastAsia" w:ascii="宋体" w:hAnsi="宋体" w:eastAsia="宋体" w:cs="Calibri"/>
          <w:bCs/>
          <w:color w:val="auto"/>
          <w:sz w:val="24"/>
          <w:szCs w:val="21"/>
          <w:highlight w:val="none"/>
        </w:rPr>
        <w:t xml:space="preserve"> </w:t>
      </w:r>
      <w:r>
        <w:rPr>
          <w:rFonts w:ascii="宋体" w:hAnsi="宋体" w:eastAsia="宋体" w:cs="Calibri"/>
          <w:bCs/>
          <w:color w:val="auto"/>
          <w:sz w:val="24"/>
          <w:szCs w:val="21"/>
          <w:highlight w:val="none"/>
        </w:rPr>
        <w:t xml:space="preserve"> </w:t>
      </w:r>
      <w:r>
        <w:rPr>
          <w:rFonts w:hint="eastAsia" w:ascii="宋体" w:hAnsi="宋体" w:eastAsia="宋体" w:cs="Calibri"/>
          <w:bCs/>
          <w:color w:val="auto"/>
          <w:sz w:val="24"/>
          <w:szCs w:val="21"/>
          <w:highlight w:val="none"/>
        </w:rPr>
        <w:t>日</w:t>
      </w:r>
    </w:p>
    <w:p w14:paraId="4E75C4E7">
      <w:pPr>
        <w:jc w:val="left"/>
        <w:rPr>
          <w:rFonts w:ascii="宋体" w:hAnsi="宋体" w:eastAsia="宋体" w:cs="Times New Roman"/>
          <w:b/>
          <w:color w:val="auto"/>
          <w:kern w:val="0"/>
          <w:sz w:val="24"/>
          <w:szCs w:val="21"/>
          <w:highlight w:val="none"/>
        </w:rPr>
      </w:pPr>
    </w:p>
    <w:p w14:paraId="4C00BB1B">
      <w:pPr>
        <w:jc w:val="left"/>
        <w:rPr>
          <w:rFonts w:ascii="宋体" w:hAnsi="宋体" w:eastAsia="宋体" w:cs="Times New Roman"/>
          <w:b/>
          <w:color w:val="auto"/>
          <w:kern w:val="0"/>
          <w:sz w:val="24"/>
          <w:szCs w:val="21"/>
          <w:highlight w:val="none"/>
        </w:rPr>
      </w:pPr>
    </w:p>
    <w:p w14:paraId="5FECCD4A">
      <w:pPr>
        <w:jc w:val="left"/>
        <w:rPr>
          <w:rFonts w:ascii="宋体" w:hAnsi="宋体" w:eastAsia="宋体" w:cs="Times New Roman"/>
          <w:b/>
          <w:color w:val="auto"/>
          <w:kern w:val="0"/>
          <w:sz w:val="24"/>
          <w:szCs w:val="21"/>
          <w:highlight w:val="none"/>
        </w:rPr>
      </w:pPr>
    </w:p>
    <w:p w14:paraId="67298409">
      <w:pPr>
        <w:snapToGrid w:val="0"/>
        <w:spacing w:before="159" w:beforeLines="50" w:after="50"/>
        <w:rPr>
          <w:rFonts w:ascii="宋体" w:hAnsi="宋体" w:eastAsia="宋体" w:cs="Calibri"/>
          <w:color w:val="auto"/>
          <w:sz w:val="24"/>
          <w:szCs w:val="20"/>
          <w:highlight w:val="none"/>
        </w:rPr>
      </w:pPr>
      <w:r>
        <w:rPr>
          <w:rFonts w:hint="eastAsia" w:ascii="宋体" w:hAnsi="宋体" w:eastAsia="宋体" w:cs="Calibri"/>
          <w:b/>
          <w:color w:val="auto"/>
          <w:sz w:val="24"/>
          <w:szCs w:val="21"/>
          <w:highlight w:val="none"/>
        </w:rPr>
        <w:t>2．</w:t>
      </w:r>
      <w:r>
        <w:rPr>
          <w:rFonts w:hint="eastAsia" w:ascii="Calibri" w:hAnsi="宋体" w:eastAsia="宋体" w:cs="Times New Roman"/>
          <w:bCs/>
          <w:color w:val="auto"/>
          <w:sz w:val="24"/>
          <w:szCs w:val="24"/>
          <w:highlight w:val="none"/>
        </w:rPr>
        <w:t>资格</w:t>
      </w:r>
      <w:r>
        <w:rPr>
          <w:rFonts w:hint="eastAsia" w:ascii="宋体" w:hAnsi="宋体" w:eastAsia="宋体" w:cs="Calibri"/>
          <w:b/>
          <w:color w:val="auto"/>
          <w:sz w:val="24"/>
          <w:szCs w:val="21"/>
          <w:highlight w:val="none"/>
        </w:rPr>
        <w:t>文件封面格式：</w:t>
      </w:r>
      <w:r>
        <w:rPr>
          <w:rFonts w:ascii="宋体" w:hAnsi="宋体" w:eastAsia="宋体" w:cs="Calibri"/>
          <w:b/>
          <w:color w:val="auto"/>
          <w:sz w:val="24"/>
          <w:szCs w:val="21"/>
          <w:highlight w:val="none"/>
        </w:rPr>
        <w:t xml:space="preserve"> </w:t>
      </w:r>
    </w:p>
    <w:p w14:paraId="1B7636CD">
      <w:pPr>
        <w:snapToGrid w:val="0"/>
        <w:spacing w:before="159" w:beforeLines="50" w:after="50"/>
        <w:rPr>
          <w:rFonts w:ascii="宋体" w:hAnsi="宋体" w:eastAsia="宋体" w:cs="Calibri"/>
          <w:b/>
          <w:bCs/>
          <w:color w:val="auto"/>
          <w:sz w:val="32"/>
          <w:szCs w:val="20"/>
          <w:highlight w:val="none"/>
        </w:rPr>
      </w:pPr>
      <w:r>
        <w:rPr>
          <w:rFonts w:ascii="宋体" w:hAnsi="宋体" w:eastAsia="宋体" w:cs="Calibri"/>
          <w:color w:val="auto"/>
          <w:sz w:val="24"/>
          <w:szCs w:val="21"/>
          <w:highlight w:val="none"/>
        </w:rPr>
        <w:t xml:space="preserve">                                                    </w:t>
      </w:r>
      <w:r>
        <w:rPr>
          <w:rFonts w:hint="eastAsia" w:ascii="宋体" w:hAnsi="宋体" w:eastAsia="宋体" w:cs="Calibri"/>
          <w:b/>
          <w:bCs/>
          <w:color w:val="auto"/>
          <w:szCs w:val="21"/>
          <w:highlight w:val="none"/>
        </w:rPr>
        <w:t>正本</w:t>
      </w:r>
      <w:r>
        <w:rPr>
          <w:rFonts w:ascii="宋体" w:hAnsi="宋体" w:eastAsia="宋体" w:cs="Calibri"/>
          <w:b/>
          <w:bCs/>
          <w:color w:val="auto"/>
          <w:szCs w:val="21"/>
          <w:highlight w:val="none"/>
        </w:rPr>
        <w:t>/</w:t>
      </w:r>
      <w:r>
        <w:rPr>
          <w:rFonts w:hint="eastAsia" w:ascii="宋体" w:hAnsi="宋体" w:eastAsia="宋体" w:cs="Calibri"/>
          <w:b/>
          <w:bCs/>
          <w:color w:val="auto"/>
          <w:szCs w:val="21"/>
          <w:highlight w:val="none"/>
        </w:rPr>
        <w:t>或副本</w:t>
      </w:r>
    </w:p>
    <w:p w14:paraId="0270259C">
      <w:pPr>
        <w:snapToGrid w:val="0"/>
        <w:spacing w:before="159" w:beforeLines="50" w:after="50"/>
        <w:rPr>
          <w:rFonts w:ascii="宋体" w:hAnsi="宋体" w:eastAsia="宋体" w:cs="Calibri"/>
          <w:color w:val="auto"/>
          <w:sz w:val="24"/>
          <w:szCs w:val="20"/>
          <w:highlight w:val="none"/>
        </w:rPr>
      </w:pPr>
    </w:p>
    <w:p w14:paraId="2A21CD4F">
      <w:pPr>
        <w:snapToGrid w:val="0"/>
        <w:spacing w:before="159" w:beforeLines="50" w:after="50"/>
        <w:jc w:val="center"/>
        <w:rPr>
          <w:rFonts w:ascii="宋体" w:hAnsi="宋体" w:eastAsia="宋体" w:cs="Calibri"/>
          <w:b/>
          <w:bCs/>
          <w:color w:val="auto"/>
          <w:sz w:val="32"/>
          <w:szCs w:val="32"/>
          <w:highlight w:val="none"/>
        </w:rPr>
      </w:pPr>
      <w:r>
        <w:rPr>
          <w:rFonts w:hint="eastAsia" w:ascii="宋体" w:hAnsi="宋体" w:eastAsia="宋体" w:cs="Calibri"/>
          <w:b/>
          <w:bCs/>
          <w:color w:val="auto"/>
          <w:sz w:val="32"/>
          <w:szCs w:val="32"/>
          <w:highlight w:val="none"/>
        </w:rPr>
        <w:t>资 格</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文</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件</w:t>
      </w:r>
    </w:p>
    <w:p w14:paraId="1392000D">
      <w:pPr>
        <w:snapToGrid w:val="0"/>
        <w:spacing w:before="159" w:beforeLines="50" w:after="50"/>
        <w:rPr>
          <w:rFonts w:ascii="宋体" w:hAnsi="宋体" w:eastAsia="宋体" w:cs="Calibri"/>
          <w:bCs/>
          <w:color w:val="auto"/>
          <w:sz w:val="24"/>
          <w:szCs w:val="20"/>
          <w:highlight w:val="none"/>
        </w:rPr>
      </w:pPr>
    </w:p>
    <w:p w14:paraId="7E2B209C">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项目名称：</w:t>
      </w:r>
      <w:r>
        <w:rPr>
          <w:rFonts w:ascii="宋体" w:hAnsi="宋体" w:eastAsia="宋体" w:cs="Calibri"/>
          <w:bCs/>
          <w:color w:val="auto"/>
          <w:sz w:val="24"/>
          <w:szCs w:val="20"/>
          <w:highlight w:val="none"/>
        </w:rPr>
        <w:t xml:space="preserve"> </w:t>
      </w:r>
    </w:p>
    <w:p w14:paraId="5C390090">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项目编号：</w:t>
      </w:r>
      <w:r>
        <w:rPr>
          <w:rFonts w:ascii="宋体" w:hAnsi="宋体" w:eastAsia="宋体" w:cs="Calibri"/>
          <w:bCs/>
          <w:color w:val="auto"/>
          <w:sz w:val="24"/>
          <w:szCs w:val="21"/>
          <w:highlight w:val="none"/>
        </w:rPr>
        <w:t xml:space="preserve"> </w:t>
      </w:r>
    </w:p>
    <w:p w14:paraId="5A708A07">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投标人名称：</w:t>
      </w:r>
    </w:p>
    <w:p w14:paraId="0F4CF8F3">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投标人地址：</w:t>
      </w:r>
    </w:p>
    <w:p w14:paraId="4C2EBC2B">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p>
    <w:p w14:paraId="4834FB55">
      <w:pPr>
        <w:snapToGrid w:val="0"/>
        <w:spacing w:before="159" w:beforeLines="50" w:after="50"/>
        <w:jc w:val="center"/>
        <w:rPr>
          <w:rFonts w:ascii="宋体" w:hAnsi="宋体" w:eastAsia="宋体" w:cs="Calibri"/>
          <w:color w:val="auto"/>
          <w:sz w:val="24"/>
          <w:szCs w:val="21"/>
          <w:highlight w:val="none"/>
        </w:rPr>
      </w:pP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 xml:space="preserve">                       年</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月</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日</w:t>
      </w:r>
    </w:p>
    <w:p w14:paraId="2A608202">
      <w:pPr>
        <w:jc w:val="left"/>
        <w:rPr>
          <w:rFonts w:ascii="宋体" w:hAnsi="宋体" w:eastAsia="宋体" w:cs="Times New Roman"/>
          <w:b/>
          <w:color w:val="auto"/>
          <w:kern w:val="0"/>
          <w:sz w:val="24"/>
          <w:szCs w:val="21"/>
          <w:highlight w:val="none"/>
        </w:rPr>
      </w:pPr>
    </w:p>
    <w:p w14:paraId="0E2EDEC3">
      <w:pPr>
        <w:snapToGrid w:val="0"/>
        <w:spacing w:before="159" w:beforeLines="50" w:after="50"/>
        <w:rPr>
          <w:rFonts w:ascii="宋体" w:hAnsi="宋体" w:eastAsia="宋体" w:cs="Calibri"/>
          <w:color w:val="auto"/>
          <w:sz w:val="24"/>
          <w:szCs w:val="20"/>
          <w:highlight w:val="none"/>
        </w:rPr>
      </w:pPr>
      <w:r>
        <w:rPr>
          <w:rFonts w:hint="eastAsia" w:ascii="宋体" w:hAnsi="宋体" w:eastAsia="宋体" w:cs="Calibri"/>
          <w:b/>
          <w:color w:val="auto"/>
          <w:sz w:val="24"/>
          <w:szCs w:val="21"/>
          <w:highlight w:val="none"/>
        </w:rPr>
        <w:t>3．报价文件封面格式：</w:t>
      </w:r>
      <w:r>
        <w:rPr>
          <w:rFonts w:ascii="宋体" w:hAnsi="宋体" w:eastAsia="宋体" w:cs="Calibri"/>
          <w:b/>
          <w:color w:val="auto"/>
          <w:sz w:val="24"/>
          <w:szCs w:val="21"/>
          <w:highlight w:val="none"/>
        </w:rPr>
        <w:t xml:space="preserve"> </w:t>
      </w:r>
    </w:p>
    <w:p w14:paraId="0E19F16D">
      <w:pPr>
        <w:snapToGrid w:val="0"/>
        <w:spacing w:before="159" w:beforeLines="50" w:after="50"/>
        <w:rPr>
          <w:rFonts w:ascii="宋体" w:hAnsi="宋体" w:eastAsia="宋体" w:cs="Calibri"/>
          <w:b/>
          <w:bCs/>
          <w:color w:val="auto"/>
          <w:sz w:val="32"/>
          <w:szCs w:val="20"/>
          <w:highlight w:val="none"/>
        </w:rPr>
      </w:pPr>
      <w:r>
        <w:rPr>
          <w:rFonts w:ascii="宋体" w:hAnsi="宋体" w:eastAsia="宋体" w:cs="Calibri"/>
          <w:color w:val="auto"/>
          <w:sz w:val="24"/>
          <w:szCs w:val="21"/>
          <w:highlight w:val="none"/>
        </w:rPr>
        <w:t xml:space="preserve">                                                    </w:t>
      </w:r>
      <w:r>
        <w:rPr>
          <w:rFonts w:hint="eastAsia" w:ascii="宋体" w:hAnsi="宋体" w:eastAsia="宋体" w:cs="Calibri"/>
          <w:b/>
          <w:bCs/>
          <w:color w:val="auto"/>
          <w:szCs w:val="21"/>
          <w:highlight w:val="none"/>
        </w:rPr>
        <w:t>正本</w:t>
      </w:r>
      <w:r>
        <w:rPr>
          <w:rFonts w:ascii="宋体" w:hAnsi="宋体" w:eastAsia="宋体" w:cs="Calibri"/>
          <w:b/>
          <w:bCs/>
          <w:color w:val="auto"/>
          <w:szCs w:val="21"/>
          <w:highlight w:val="none"/>
        </w:rPr>
        <w:t>/</w:t>
      </w:r>
      <w:r>
        <w:rPr>
          <w:rFonts w:hint="eastAsia" w:ascii="宋体" w:hAnsi="宋体" w:eastAsia="宋体" w:cs="Calibri"/>
          <w:b/>
          <w:bCs/>
          <w:color w:val="auto"/>
          <w:szCs w:val="21"/>
          <w:highlight w:val="none"/>
        </w:rPr>
        <w:t>或副本</w:t>
      </w:r>
    </w:p>
    <w:p w14:paraId="3C49D8CB">
      <w:pPr>
        <w:snapToGrid w:val="0"/>
        <w:spacing w:before="159" w:beforeLines="50" w:after="50"/>
        <w:rPr>
          <w:rFonts w:ascii="宋体" w:hAnsi="宋体" w:eastAsia="宋体" w:cs="Calibri"/>
          <w:color w:val="auto"/>
          <w:sz w:val="24"/>
          <w:szCs w:val="20"/>
          <w:highlight w:val="none"/>
        </w:rPr>
      </w:pPr>
    </w:p>
    <w:p w14:paraId="5E465356">
      <w:pPr>
        <w:snapToGrid w:val="0"/>
        <w:spacing w:before="159" w:beforeLines="50" w:after="50"/>
        <w:jc w:val="center"/>
        <w:rPr>
          <w:rFonts w:ascii="宋体" w:hAnsi="宋体" w:eastAsia="宋体" w:cs="Calibri"/>
          <w:b/>
          <w:bCs/>
          <w:color w:val="auto"/>
          <w:sz w:val="32"/>
          <w:szCs w:val="32"/>
          <w:highlight w:val="none"/>
        </w:rPr>
      </w:pPr>
      <w:r>
        <w:rPr>
          <w:rFonts w:hint="eastAsia" w:ascii="宋体" w:hAnsi="宋体" w:eastAsia="宋体" w:cs="Calibri"/>
          <w:b/>
          <w:bCs/>
          <w:color w:val="auto"/>
          <w:sz w:val="32"/>
          <w:szCs w:val="32"/>
          <w:highlight w:val="none"/>
        </w:rPr>
        <w:t>报 价</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文</w:t>
      </w:r>
      <w:r>
        <w:rPr>
          <w:rFonts w:ascii="宋体" w:hAnsi="宋体" w:eastAsia="宋体" w:cs="Calibri"/>
          <w:b/>
          <w:bCs/>
          <w:color w:val="auto"/>
          <w:sz w:val="32"/>
          <w:szCs w:val="32"/>
          <w:highlight w:val="none"/>
        </w:rPr>
        <w:t xml:space="preserve"> </w:t>
      </w:r>
      <w:r>
        <w:rPr>
          <w:rFonts w:hint="eastAsia" w:ascii="宋体" w:hAnsi="宋体" w:eastAsia="宋体" w:cs="Calibri"/>
          <w:b/>
          <w:bCs/>
          <w:color w:val="auto"/>
          <w:sz w:val="32"/>
          <w:szCs w:val="32"/>
          <w:highlight w:val="none"/>
        </w:rPr>
        <w:t>件</w:t>
      </w:r>
    </w:p>
    <w:p w14:paraId="6045C3CC">
      <w:pPr>
        <w:snapToGrid w:val="0"/>
        <w:spacing w:before="159" w:beforeLines="50" w:after="50"/>
        <w:rPr>
          <w:rFonts w:ascii="宋体" w:hAnsi="宋体" w:eastAsia="宋体" w:cs="Calibri"/>
          <w:bCs/>
          <w:color w:val="auto"/>
          <w:sz w:val="24"/>
          <w:szCs w:val="20"/>
          <w:highlight w:val="none"/>
        </w:rPr>
      </w:pPr>
    </w:p>
    <w:p w14:paraId="2D8B8745">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项目名称：</w:t>
      </w:r>
      <w:r>
        <w:rPr>
          <w:rFonts w:ascii="宋体" w:hAnsi="宋体" w:eastAsia="宋体" w:cs="Calibri"/>
          <w:bCs/>
          <w:color w:val="auto"/>
          <w:sz w:val="24"/>
          <w:szCs w:val="20"/>
          <w:highlight w:val="none"/>
        </w:rPr>
        <w:t xml:space="preserve"> </w:t>
      </w:r>
    </w:p>
    <w:p w14:paraId="29EF0571">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项目编号：</w:t>
      </w:r>
      <w:r>
        <w:rPr>
          <w:rFonts w:ascii="宋体" w:hAnsi="宋体" w:eastAsia="宋体" w:cs="Calibri"/>
          <w:bCs/>
          <w:color w:val="auto"/>
          <w:sz w:val="24"/>
          <w:szCs w:val="21"/>
          <w:highlight w:val="none"/>
        </w:rPr>
        <w:t xml:space="preserve"> </w:t>
      </w:r>
    </w:p>
    <w:p w14:paraId="714BDAB7">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投标人名称：</w:t>
      </w:r>
    </w:p>
    <w:p w14:paraId="20F16202">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投标人地址：</w:t>
      </w:r>
    </w:p>
    <w:p w14:paraId="3475B950">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p>
    <w:p w14:paraId="7C93396C">
      <w:pPr>
        <w:snapToGrid w:val="0"/>
        <w:spacing w:before="159" w:beforeLines="50" w:after="50"/>
        <w:jc w:val="center"/>
        <w:rPr>
          <w:rFonts w:ascii="宋体" w:hAnsi="宋体" w:eastAsia="宋体" w:cs="Calibri"/>
          <w:color w:val="auto"/>
          <w:sz w:val="24"/>
          <w:szCs w:val="21"/>
          <w:highlight w:val="none"/>
        </w:rPr>
      </w:pP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 xml:space="preserve">                       年</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月</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日</w:t>
      </w:r>
    </w:p>
    <w:p w14:paraId="60DA4792">
      <w:pPr>
        <w:snapToGrid w:val="0"/>
        <w:spacing w:before="159" w:beforeLines="50" w:after="50"/>
        <w:jc w:val="center"/>
        <w:rPr>
          <w:rFonts w:ascii="宋体" w:hAnsi="宋体" w:eastAsia="宋体" w:cs="Calibri"/>
          <w:color w:val="auto"/>
          <w:sz w:val="24"/>
          <w:szCs w:val="21"/>
          <w:highlight w:val="none"/>
        </w:rPr>
      </w:pPr>
    </w:p>
    <w:p w14:paraId="7CA48606">
      <w:pPr>
        <w:jc w:val="left"/>
        <w:rPr>
          <w:rFonts w:ascii="宋体" w:hAnsi="宋体" w:eastAsia="宋体" w:cs="Times New Roman"/>
          <w:b/>
          <w:color w:val="auto"/>
          <w:kern w:val="0"/>
          <w:sz w:val="24"/>
          <w:szCs w:val="21"/>
          <w:highlight w:val="none"/>
        </w:rPr>
      </w:pPr>
    </w:p>
    <w:p w14:paraId="489D04C4">
      <w:pPr>
        <w:jc w:val="left"/>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4.</w:t>
      </w:r>
      <w:r>
        <w:rPr>
          <w:rFonts w:hint="eastAsia" w:ascii="Calibri" w:hAnsi="Calibri" w:eastAsia="宋体" w:cs="Times New Roman"/>
          <w:color w:val="auto"/>
          <w:kern w:val="0"/>
          <w:sz w:val="20"/>
          <w:szCs w:val="21"/>
          <w:highlight w:val="none"/>
        </w:rPr>
        <w:t xml:space="preserve"> </w:t>
      </w:r>
      <w:r>
        <w:rPr>
          <w:rFonts w:hint="eastAsia" w:ascii="宋体" w:hAnsi="宋体" w:eastAsia="宋体" w:cs="Times New Roman"/>
          <w:b/>
          <w:color w:val="auto"/>
          <w:kern w:val="0"/>
          <w:sz w:val="24"/>
          <w:szCs w:val="21"/>
          <w:highlight w:val="none"/>
        </w:rPr>
        <w:t>商务及技术文件封面格式：</w:t>
      </w:r>
      <w:r>
        <w:rPr>
          <w:rFonts w:ascii="宋体" w:hAnsi="宋体" w:eastAsia="宋体" w:cs="Times New Roman"/>
          <w:b/>
          <w:color w:val="auto"/>
          <w:kern w:val="0"/>
          <w:sz w:val="24"/>
          <w:szCs w:val="21"/>
          <w:highlight w:val="none"/>
        </w:rPr>
        <w:t xml:space="preserve"> </w:t>
      </w:r>
    </w:p>
    <w:p w14:paraId="3947F7D3">
      <w:pPr>
        <w:snapToGrid w:val="0"/>
        <w:spacing w:before="159" w:beforeLines="50" w:after="50"/>
        <w:rPr>
          <w:rFonts w:ascii="宋体" w:hAnsi="宋体" w:eastAsia="宋体" w:cs="Calibri"/>
          <w:b/>
          <w:bCs/>
          <w:color w:val="auto"/>
          <w:sz w:val="32"/>
          <w:szCs w:val="20"/>
          <w:highlight w:val="none"/>
        </w:rPr>
      </w:pPr>
      <w:r>
        <w:rPr>
          <w:rFonts w:ascii="宋体" w:hAnsi="宋体" w:eastAsia="宋体" w:cs="Calibri"/>
          <w:b/>
          <w:color w:val="auto"/>
          <w:sz w:val="24"/>
          <w:szCs w:val="21"/>
          <w:highlight w:val="none"/>
        </w:rPr>
        <w:t xml:space="preserve">               </w:t>
      </w:r>
      <w:r>
        <w:rPr>
          <w:rFonts w:ascii="宋体" w:hAnsi="宋体" w:eastAsia="宋体" w:cs="Calibri"/>
          <w:color w:val="auto"/>
          <w:sz w:val="24"/>
          <w:szCs w:val="21"/>
          <w:highlight w:val="none"/>
        </w:rPr>
        <w:t xml:space="preserve">                                     </w:t>
      </w:r>
      <w:r>
        <w:rPr>
          <w:rFonts w:hint="eastAsia" w:ascii="宋体" w:hAnsi="宋体" w:eastAsia="宋体" w:cs="Calibri"/>
          <w:b/>
          <w:bCs/>
          <w:color w:val="auto"/>
          <w:szCs w:val="21"/>
          <w:highlight w:val="none"/>
        </w:rPr>
        <w:t>正本</w:t>
      </w:r>
      <w:r>
        <w:rPr>
          <w:rFonts w:ascii="宋体" w:hAnsi="宋体" w:eastAsia="宋体" w:cs="Calibri"/>
          <w:b/>
          <w:bCs/>
          <w:color w:val="auto"/>
          <w:szCs w:val="21"/>
          <w:highlight w:val="none"/>
        </w:rPr>
        <w:t>/</w:t>
      </w:r>
      <w:r>
        <w:rPr>
          <w:rFonts w:hint="eastAsia" w:ascii="宋体" w:hAnsi="宋体" w:eastAsia="宋体" w:cs="Calibri"/>
          <w:b/>
          <w:bCs/>
          <w:color w:val="auto"/>
          <w:szCs w:val="21"/>
          <w:highlight w:val="none"/>
        </w:rPr>
        <w:t>或副本</w:t>
      </w:r>
    </w:p>
    <w:p w14:paraId="134291CE">
      <w:pPr>
        <w:snapToGrid w:val="0"/>
        <w:spacing w:before="159" w:beforeLines="50" w:after="50"/>
        <w:jc w:val="center"/>
        <w:rPr>
          <w:rFonts w:ascii="宋体" w:hAnsi="宋体" w:eastAsia="宋体" w:cs="Calibri"/>
          <w:b/>
          <w:bCs/>
          <w:color w:val="auto"/>
          <w:sz w:val="32"/>
          <w:szCs w:val="32"/>
          <w:highlight w:val="none"/>
        </w:rPr>
      </w:pPr>
      <w:r>
        <w:rPr>
          <w:rFonts w:hint="eastAsia" w:ascii="宋体" w:hAnsi="宋体" w:eastAsia="宋体" w:cs="Calibri"/>
          <w:b/>
          <w:color w:val="auto"/>
          <w:sz w:val="32"/>
          <w:szCs w:val="32"/>
          <w:highlight w:val="none"/>
        </w:rPr>
        <w:t>商务及技术文件</w:t>
      </w:r>
    </w:p>
    <w:p w14:paraId="1436EDF4">
      <w:pPr>
        <w:snapToGrid w:val="0"/>
        <w:spacing w:before="159" w:beforeLines="50" w:after="50"/>
        <w:rPr>
          <w:rFonts w:ascii="宋体" w:hAnsi="宋体" w:eastAsia="宋体" w:cs="Calibri"/>
          <w:bCs/>
          <w:color w:val="auto"/>
          <w:sz w:val="24"/>
          <w:szCs w:val="20"/>
          <w:highlight w:val="none"/>
        </w:rPr>
      </w:pPr>
    </w:p>
    <w:p w14:paraId="78A26AAC">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项目名称：</w:t>
      </w:r>
      <w:r>
        <w:rPr>
          <w:rFonts w:ascii="宋体" w:hAnsi="宋体" w:eastAsia="宋体" w:cs="Calibri"/>
          <w:bCs/>
          <w:color w:val="auto"/>
          <w:sz w:val="24"/>
          <w:szCs w:val="20"/>
          <w:highlight w:val="none"/>
        </w:rPr>
        <w:t xml:space="preserve"> </w:t>
      </w:r>
    </w:p>
    <w:p w14:paraId="612E5168">
      <w:pPr>
        <w:snapToGrid w:val="0"/>
        <w:spacing w:before="159" w:beforeLines="50" w:after="50"/>
        <w:ind w:firstLine="1068" w:firstLineChars="445"/>
        <w:rPr>
          <w:rFonts w:ascii="宋体" w:hAnsi="宋体" w:eastAsia="宋体" w:cs="Calibri"/>
          <w:bCs/>
          <w:color w:val="auto"/>
          <w:sz w:val="24"/>
          <w:szCs w:val="20"/>
          <w:highlight w:val="none"/>
        </w:rPr>
      </w:pPr>
      <w:r>
        <w:rPr>
          <w:rFonts w:hint="eastAsia" w:ascii="宋体" w:hAnsi="宋体" w:eastAsia="宋体" w:cs="Calibri"/>
          <w:bCs/>
          <w:color w:val="auto"/>
          <w:sz w:val="24"/>
          <w:szCs w:val="21"/>
          <w:highlight w:val="none"/>
        </w:rPr>
        <w:t>项目编号：</w:t>
      </w:r>
      <w:r>
        <w:rPr>
          <w:rFonts w:ascii="宋体" w:hAnsi="宋体" w:eastAsia="宋体" w:cs="Calibri"/>
          <w:bCs/>
          <w:color w:val="auto"/>
          <w:sz w:val="24"/>
          <w:szCs w:val="21"/>
          <w:highlight w:val="none"/>
        </w:rPr>
        <w:t xml:space="preserve"> </w:t>
      </w:r>
    </w:p>
    <w:p w14:paraId="09B78997">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投标人名称：</w:t>
      </w:r>
    </w:p>
    <w:p w14:paraId="289038A5">
      <w:pPr>
        <w:widowControl/>
        <w:adjustRightInd w:val="0"/>
        <w:snapToGrid w:val="0"/>
        <w:spacing w:before="50" w:after="50" w:line="480" w:lineRule="exact"/>
        <w:ind w:firstLine="1068" w:firstLineChars="445"/>
        <w:rPr>
          <w:rFonts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投标人地址：</w:t>
      </w:r>
    </w:p>
    <w:p w14:paraId="0081A2AD">
      <w:pPr>
        <w:snapToGrid w:val="0"/>
        <w:spacing w:before="159" w:beforeLines="50" w:after="50"/>
        <w:ind w:firstLine="4080" w:firstLineChars="1700"/>
        <w:rPr>
          <w:rFonts w:ascii="宋体" w:hAnsi="宋体" w:eastAsia="宋体" w:cs="Calibri"/>
          <w:color w:val="auto"/>
          <w:sz w:val="24"/>
          <w:szCs w:val="20"/>
          <w:highlight w:val="none"/>
        </w:rPr>
      </w:pPr>
    </w:p>
    <w:p w14:paraId="24A456B9">
      <w:pPr>
        <w:snapToGrid w:val="0"/>
        <w:spacing w:before="159" w:beforeLines="50" w:after="50"/>
        <w:ind w:firstLine="645"/>
        <w:jc w:val="center"/>
        <w:rPr>
          <w:rFonts w:ascii="宋体" w:hAnsi="宋体" w:eastAsia="宋体" w:cs="Calibri"/>
          <w:color w:val="auto"/>
          <w:sz w:val="24"/>
          <w:szCs w:val="21"/>
          <w:highlight w:val="none"/>
        </w:rPr>
      </w:pP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年</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月</w:t>
      </w:r>
      <w:r>
        <w:rPr>
          <w:rFonts w:ascii="宋体" w:hAnsi="宋体" w:eastAsia="宋体" w:cs="Calibri"/>
          <w:color w:val="auto"/>
          <w:sz w:val="24"/>
          <w:szCs w:val="21"/>
          <w:highlight w:val="none"/>
        </w:rPr>
        <w:t xml:space="preserve">  </w:t>
      </w:r>
      <w:r>
        <w:rPr>
          <w:rFonts w:hint="eastAsia" w:ascii="宋体" w:hAnsi="宋体" w:eastAsia="宋体" w:cs="Calibri"/>
          <w:color w:val="auto"/>
          <w:sz w:val="24"/>
          <w:szCs w:val="21"/>
          <w:highlight w:val="none"/>
        </w:rPr>
        <w:t>日</w:t>
      </w:r>
    </w:p>
    <w:p w14:paraId="6D959B56">
      <w:pPr>
        <w:spacing w:line="360" w:lineRule="auto"/>
        <w:ind w:firstLine="480" w:firstLineChars="200"/>
        <w:rPr>
          <w:rFonts w:ascii="宋体" w:hAnsi="宋体" w:eastAsia="宋体" w:cs="宋体"/>
          <w:color w:val="auto"/>
          <w:sz w:val="24"/>
          <w:szCs w:val="24"/>
          <w:highlight w:val="none"/>
        </w:rPr>
      </w:pPr>
    </w:p>
    <w:p w14:paraId="74BE3ADA">
      <w:pPr>
        <w:spacing w:line="360" w:lineRule="auto"/>
        <w:ind w:firstLine="480" w:firstLineChars="200"/>
        <w:rPr>
          <w:rFonts w:ascii="宋体" w:hAnsi="宋体" w:eastAsia="宋体" w:cs="宋体"/>
          <w:color w:val="auto"/>
          <w:sz w:val="24"/>
          <w:szCs w:val="24"/>
          <w:highlight w:val="none"/>
        </w:rPr>
      </w:pPr>
    </w:p>
    <w:p w14:paraId="0FC87400">
      <w:pPr>
        <w:spacing w:line="360" w:lineRule="auto"/>
        <w:ind w:firstLine="480" w:firstLineChars="200"/>
        <w:rPr>
          <w:rFonts w:ascii="宋体" w:hAnsi="宋体" w:eastAsia="宋体" w:cs="宋体"/>
          <w:color w:val="auto"/>
          <w:sz w:val="24"/>
          <w:szCs w:val="24"/>
          <w:highlight w:val="none"/>
        </w:rPr>
      </w:pPr>
    </w:p>
    <w:p w14:paraId="3B8F741C">
      <w:pPr>
        <w:spacing w:line="360" w:lineRule="auto"/>
        <w:ind w:firstLine="480" w:firstLineChars="200"/>
        <w:rPr>
          <w:rFonts w:ascii="仿宋" w:hAnsi="仿宋" w:eastAsia="仿宋" w:cs="Times New Roman"/>
          <w:color w:val="auto"/>
          <w:sz w:val="36"/>
          <w:szCs w:val="36"/>
          <w:highlight w:val="none"/>
          <w:lang w:val="zh-CN"/>
        </w:rPr>
      </w:pPr>
      <w:r>
        <w:rPr>
          <w:rFonts w:hint="eastAsia" w:ascii="仿宋" w:hAnsi="仿宋" w:eastAsia="仿宋" w:cs="仿宋"/>
          <w:color w:val="auto"/>
          <w:sz w:val="24"/>
          <w:szCs w:val="24"/>
          <w:highlight w:val="none"/>
        </w:rPr>
        <w:t>供应商按照以下格式编制投标文件，并将资格文件、报价文件、商务技术文件分别装订成册。</w:t>
      </w:r>
    </w:p>
    <w:p w14:paraId="1954517A">
      <w:pPr>
        <w:spacing w:line="360" w:lineRule="auto"/>
        <w:jc w:val="center"/>
        <w:outlineLvl w:val="1"/>
        <w:rPr>
          <w:rFonts w:ascii="仿宋" w:hAnsi="仿宋" w:eastAsia="仿宋" w:cs="仿宋"/>
          <w:b/>
          <w:bCs/>
          <w:color w:val="auto"/>
          <w:kern w:val="0"/>
          <w:sz w:val="36"/>
          <w:szCs w:val="36"/>
          <w:highlight w:val="none"/>
        </w:rPr>
      </w:pPr>
    </w:p>
    <w:p w14:paraId="240F7350">
      <w:pPr>
        <w:spacing w:line="360" w:lineRule="auto"/>
        <w:jc w:val="center"/>
        <w:outlineLvl w:val="1"/>
        <w:rPr>
          <w:rFonts w:ascii="仿宋" w:hAnsi="仿宋" w:eastAsia="仿宋" w:cs="Times New Roman"/>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14:paraId="23B8B0E5">
      <w:pPr>
        <w:spacing w:line="360" w:lineRule="auto"/>
        <w:jc w:val="center"/>
        <w:rPr>
          <w:rFonts w:ascii="仿宋" w:hAnsi="仿宋" w:eastAsia="仿宋" w:cs="Times New Roman"/>
          <w:b/>
          <w:bCs/>
          <w:color w:val="auto"/>
          <w:kern w:val="0"/>
          <w:sz w:val="36"/>
          <w:szCs w:val="36"/>
          <w:highlight w:val="none"/>
        </w:rPr>
      </w:pPr>
      <w:r>
        <w:rPr>
          <w:rFonts w:hint="eastAsia" w:ascii="仿宋" w:hAnsi="仿宋" w:eastAsia="仿宋" w:cs="仿宋"/>
          <w:b/>
          <w:bCs/>
          <w:color w:val="auto"/>
          <w:kern w:val="0"/>
          <w:sz w:val="36"/>
          <w:szCs w:val="36"/>
          <w:highlight w:val="none"/>
        </w:rPr>
        <w:t>目录</w:t>
      </w:r>
    </w:p>
    <w:p w14:paraId="59CF3208">
      <w:pPr>
        <w:spacing w:line="360" w:lineRule="auto"/>
        <w:jc w:val="center"/>
        <w:rPr>
          <w:rFonts w:ascii="仿宋" w:hAnsi="仿宋" w:eastAsia="仿宋" w:cs="Times New Roman"/>
          <w:b/>
          <w:bCs/>
          <w:color w:val="auto"/>
          <w:kern w:val="0"/>
          <w:sz w:val="36"/>
          <w:szCs w:val="36"/>
          <w:highlight w:val="none"/>
        </w:rPr>
      </w:pPr>
    </w:p>
    <w:p w14:paraId="510302B2">
      <w:pPr>
        <w:snapToGrid w:val="0"/>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1）符合参加政府采购活动应当具备的一般条件的承诺函……</w:t>
      </w:r>
      <w:r>
        <w:rPr>
          <w:rFonts w:hint="eastAsia" w:ascii="仿宋_GB2312" w:hAnsi="仿宋" w:eastAsia="仿宋_GB2312" w:cs="仿宋_GB2312"/>
          <w:color w:val="auto"/>
          <w:sz w:val="24"/>
          <w:szCs w:val="21"/>
          <w:highlight w:val="none"/>
        </w:rPr>
        <w:t>………（页码）</w:t>
      </w:r>
    </w:p>
    <w:p w14:paraId="50EA248C">
      <w:pPr>
        <w:snapToGrid w:val="0"/>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2）落实政府采购政策需满足的资格要求……</w:t>
      </w:r>
      <w:r>
        <w:rPr>
          <w:rFonts w:hint="eastAsia" w:ascii="仿宋_GB2312" w:hAnsi="仿宋" w:eastAsia="仿宋_GB2312" w:cs="仿宋_GB2312"/>
          <w:color w:val="auto"/>
          <w:sz w:val="24"/>
          <w:szCs w:val="21"/>
          <w:highlight w:val="none"/>
        </w:rPr>
        <w:t>…………………………（页码）</w:t>
      </w:r>
    </w:p>
    <w:p w14:paraId="6A31638F">
      <w:pPr>
        <w:snapToGrid w:val="0"/>
        <w:spacing w:line="360" w:lineRule="auto"/>
        <w:ind w:left="480" w:hanging="480" w:hangingChars="200"/>
        <w:rPr>
          <w:rFonts w:ascii="仿宋" w:hAnsi="仿宋" w:eastAsia="仿宋" w:cs="仿宋"/>
          <w:color w:val="auto"/>
          <w:kern w:val="0"/>
          <w:sz w:val="24"/>
          <w:szCs w:val="24"/>
          <w:highlight w:val="none"/>
        </w:rPr>
      </w:pPr>
    </w:p>
    <w:p w14:paraId="60ED8FEE">
      <w:pPr>
        <w:snapToGrid w:val="0"/>
        <w:spacing w:line="360" w:lineRule="auto"/>
        <w:ind w:left="480" w:hanging="480" w:hangingChars="200"/>
        <w:rPr>
          <w:rFonts w:ascii="仿宋" w:hAnsi="仿宋" w:eastAsia="仿宋" w:cs="仿宋"/>
          <w:color w:val="auto"/>
          <w:kern w:val="0"/>
          <w:sz w:val="24"/>
          <w:szCs w:val="24"/>
          <w:highlight w:val="none"/>
        </w:rPr>
      </w:pPr>
    </w:p>
    <w:p w14:paraId="4CCEE229">
      <w:pPr>
        <w:snapToGrid w:val="0"/>
        <w:spacing w:line="360" w:lineRule="auto"/>
        <w:ind w:left="480" w:hanging="480" w:hangingChars="200"/>
        <w:rPr>
          <w:rFonts w:ascii="仿宋" w:hAnsi="仿宋" w:eastAsia="仿宋" w:cs="仿宋"/>
          <w:color w:val="auto"/>
          <w:kern w:val="0"/>
          <w:sz w:val="24"/>
          <w:szCs w:val="24"/>
          <w:highlight w:val="none"/>
        </w:rPr>
      </w:pPr>
    </w:p>
    <w:p w14:paraId="64B325D3">
      <w:pPr>
        <w:snapToGrid w:val="0"/>
        <w:spacing w:line="360" w:lineRule="auto"/>
        <w:ind w:left="480" w:hanging="480" w:hangingChars="200"/>
        <w:rPr>
          <w:rFonts w:ascii="仿宋" w:hAnsi="仿宋" w:eastAsia="仿宋" w:cs="仿宋"/>
          <w:color w:val="auto"/>
          <w:kern w:val="0"/>
          <w:sz w:val="24"/>
          <w:szCs w:val="24"/>
          <w:highlight w:val="none"/>
        </w:rPr>
      </w:pPr>
    </w:p>
    <w:p w14:paraId="1743F1BC">
      <w:pPr>
        <w:spacing w:line="360" w:lineRule="auto"/>
        <w:ind w:firstLine="480" w:firstLineChars="200"/>
        <w:rPr>
          <w:rFonts w:ascii="仿宋" w:hAnsi="仿宋" w:eastAsia="仿宋" w:cs="Times New Roman"/>
          <w:color w:val="auto"/>
          <w:sz w:val="24"/>
          <w:szCs w:val="24"/>
          <w:highlight w:val="none"/>
        </w:rPr>
      </w:pPr>
    </w:p>
    <w:p w14:paraId="5546A300">
      <w:pPr>
        <w:keepNext/>
        <w:keepLines/>
        <w:spacing w:before="260" w:after="260" w:line="415" w:lineRule="auto"/>
        <w:outlineLvl w:val="1"/>
        <w:rPr>
          <w:rFonts w:ascii="仿宋" w:hAnsi="仿宋" w:eastAsia="仿宋" w:cs="Times New Roman"/>
          <w:b/>
          <w:bCs/>
          <w:color w:val="auto"/>
          <w:kern w:val="0"/>
          <w:sz w:val="24"/>
          <w:szCs w:val="24"/>
          <w:highlight w:val="none"/>
        </w:rPr>
      </w:pPr>
    </w:p>
    <w:p w14:paraId="5B8B91E6">
      <w:pPr>
        <w:rPr>
          <w:rFonts w:ascii="仿宋" w:hAnsi="仿宋" w:eastAsia="仿宋" w:cs="Times New Roman"/>
          <w:color w:val="auto"/>
          <w:sz w:val="24"/>
          <w:szCs w:val="24"/>
          <w:highlight w:val="none"/>
        </w:rPr>
      </w:pPr>
    </w:p>
    <w:p w14:paraId="7CC9EE76">
      <w:pPr>
        <w:keepNext/>
        <w:keepLines/>
        <w:spacing w:before="260" w:after="260" w:line="415" w:lineRule="auto"/>
        <w:outlineLvl w:val="1"/>
        <w:rPr>
          <w:rFonts w:ascii="仿宋" w:hAnsi="仿宋" w:eastAsia="仿宋" w:cs="Times New Roman"/>
          <w:b/>
          <w:bCs/>
          <w:color w:val="auto"/>
          <w:kern w:val="0"/>
          <w:sz w:val="24"/>
          <w:szCs w:val="24"/>
          <w:highlight w:val="none"/>
        </w:rPr>
      </w:pPr>
    </w:p>
    <w:p w14:paraId="725CBF71">
      <w:pPr>
        <w:rPr>
          <w:rFonts w:ascii="仿宋" w:hAnsi="仿宋" w:eastAsia="仿宋" w:cs="Times New Roman"/>
          <w:color w:val="auto"/>
          <w:sz w:val="24"/>
          <w:szCs w:val="24"/>
          <w:highlight w:val="none"/>
        </w:rPr>
      </w:pPr>
    </w:p>
    <w:p w14:paraId="2232F9EA">
      <w:pPr>
        <w:snapToGrid w:val="0"/>
        <w:spacing w:line="360" w:lineRule="auto"/>
        <w:ind w:right="-100"/>
        <w:jc w:val="center"/>
        <w:rPr>
          <w:rFonts w:ascii="仿宋_GB2312" w:hAnsi="仿宋" w:eastAsia="仿宋_GB2312" w:cs="仿宋_GB2312"/>
          <w:b/>
          <w:color w:val="auto"/>
          <w:kern w:val="0"/>
          <w:sz w:val="32"/>
          <w:szCs w:val="32"/>
          <w:highlight w:val="none"/>
        </w:rPr>
      </w:pPr>
    </w:p>
    <w:p w14:paraId="41F8DFD2">
      <w:pPr>
        <w:snapToGrid w:val="0"/>
        <w:spacing w:line="360" w:lineRule="auto"/>
        <w:ind w:right="-10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14:paraId="52E0D6DC">
      <w:pPr>
        <w:snapToGrid w:val="0"/>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u w:val="single"/>
        </w:rPr>
        <w:t>（采购人）、（采购代理机构）</w:t>
      </w:r>
      <w:r>
        <w:rPr>
          <w:rFonts w:hint="eastAsia" w:ascii="仿宋_GB2312" w:hAnsi="仿宋" w:eastAsia="仿宋_GB2312" w:cs="仿宋_GB2312"/>
          <w:color w:val="auto"/>
          <w:sz w:val="24"/>
          <w:szCs w:val="21"/>
          <w:highlight w:val="none"/>
        </w:rPr>
        <w:t>：</w:t>
      </w:r>
    </w:p>
    <w:p w14:paraId="20109F3C">
      <w:pPr>
        <w:snapToGrid w:val="0"/>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我方参与</w:t>
      </w:r>
      <w:r>
        <w:rPr>
          <w:rFonts w:hint="eastAsia" w:ascii="仿宋_GB2312" w:hAnsi="仿宋" w:eastAsia="仿宋_GB2312" w:cs="仿宋_GB2312"/>
          <w:color w:val="auto"/>
          <w:sz w:val="24"/>
          <w:szCs w:val="21"/>
          <w:highlight w:val="none"/>
          <w:u w:val="single"/>
        </w:rPr>
        <w:t xml:space="preserve">    （项目名称）    </w:t>
      </w:r>
      <w:r>
        <w:rPr>
          <w:rFonts w:hint="eastAsia"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u w:val="single"/>
        </w:rPr>
        <w:t>招标编号：</w:t>
      </w:r>
      <w:r>
        <w:rPr>
          <w:rFonts w:hint="eastAsia" w:ascii="仿宋_GB2312" w:hAnsi="仿宋" w:eastAsia="仿宋_GB2312" w:cs="Calibri"/>
          <w:color w:val="auto"/>
          <w:sz w:val="24"/>
          <w:szCs w:val="21"/>
          <w:highlight w:val="none"/>
          <w:u w:val="single"/>
        </w:rPr>
        <w:t>（采购编号）</w:t>
      </w:r>
      <w:r>
        <w:rPr>
          <w:rFonts w:hint="eastAsia" w:ascii="仿宋_GB2312" w:hAnsi="仿宋" w:eastAsia="仿宋_GB2312" w:cs="仿宋_GB2312"/>
          <w:color w:val="auto"/>
          <w:sz w:val="24"/>
          <w:szCs w:val="21"/>
          <w:highlight w:val="none"/>
        </w:rPr>
        <w:t>】政府采购活动，郑重承诺：</w:t>
      </w:r>
    </w:p>
    <w:p w14:paraId="31B7A3A7">
      <w:pPr>
        <w:snapToGrid w:val="0"/>
        <w:spacing w:line="360" w:lineRule="auto"/>
        <w:ind w:firstLine="360" w:firstLineChars="15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（一）具备《中华人民共和国政府采购法》第二十二条第一款规定的条件：</w:t>
      </w:r>
    </w:p>
    <w:p w14:paraId="7F428B07">
      <w:pPr>
        <w:snapToGrid w:val="0"/>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具有独立承担民事责任的能力；</w:t>
      </w:r>
    </w:p>
    <w:p w14:paraId="393D75D1">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2、</w:t>
      </w:r>
      <w:r>
        <w:rPr>
          <w:rFonts w:ascii="仿宋_GB2312" w:hAnsi="仿宋" w:eastAsia="仿宋_GB2312" w:cs="Calibri"/>
          <w:color w:val="auto"/>
          <w:sz w:val="24"/>
          <w:szCs w:val="21"/>
          <w:highlight w:val="none"/>
        </w:rPr>
        <w:t xml:space="preserve">具有良好的商业信誉和健全的财务会计制度； </w:t>
      </w:r>
    </w:p>
    <w:p w14:paraId="24692889">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3、</w:t>
      </w:r>
      <w:r>
        <w:rPr>
          <w:rFonts w:ascii="仿宋_GB2312" w:hAnsi="仿宋" w:eastAsia="仿宋_GB2312" w:cs="Calibri"/>
          <w:color w:val="auto"/>
          <w:sz w:val="24"/>
          <w:szCs w:val="21"/>
          <w:highlight w:val="none"/>
        </w:rPr>
        <w:t>具有履行合同所必需的设备和专业技术能力；</w:t>
      </w:r>
    </w:p>
    <w:p w14:paraId="05147D7B">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4、</w:t>
      </w:r>
      <w:r>
        <w:rPr>
          <w:rFonts w:ascii="仿宋_GB2312" w:hAnsi="仿宋" w:eastAsia="仿宋_GB2312" w:cs="Calibri"/>
          <w:color w:val="auto"/>
          <w:sz w:val="24"/>
          <w:szCs w:val="21"/>
          <w:highlight w:val="none"/>
        </w:rPr>
        <w:t>有依法缴纳税收和社会保障资金的良好记录；</w:t>
      </w:r>
    </w:p>
    <w:p w14:paraId="48C40C18">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5、</w:t>
      </w:r>
      <w:r>
        <w:rPr>
          <w:rFonts w:ascii="仿宋_GB2312" w:hAnsi="仿宋" w:eastAsia="仿宋_GB2312" w:cs="Calibri"/>
          <w:color w:val="auto"/>
          <w:sz w:val="24"/>
          <w:szCs w:val="21"/>
          <w:highlight w:val="none"/>
        </w:rPr>
        <w:t>参加政府采购活动前三年内，在经营活动中没有重大违法记录；</w:t>
      </w:r>
    </w:p>
    <w:p w14:paraId="03F5AA63">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6、</w:t>
      </w:r>
      <w:r>
        <w:rPr>
          <w:rFonts w:ascii="仿宋_GB2312" w:hAnsi="仿宋" w:eastAsia="仿宋_GB2312" w:cs="Calibri"/>
          <w:color w:val="auto"/>
          <w:sz w:val="24"/>
          <w:szCs w:val="21"/>
          <w:highlight w:val="none"/>
        </w:rPr>
        <w:t>具有法律、行政法规规定的其他条件。</w:t>
      </w:r>
    </w:p>
    <w:p w14:paraId="1DA4FF8A">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（二）未被信用中国（</w:t>
      </w:r>
      <w:r>
        <w:rPr>
          <w:rFonts w:ascii="仿宋_GB2312" w:hAnsi="仿宋" w:eastAsia="仿宋_GB2312" w:cs="Calibri"/>
          <w:color w:val="auto"/>
          <w:sz w:val="24"/>
          <w:szCs w:val="21"/>
          <w:highlight w:val="none"/>
        </w:rPr>
        <w:t>www.creditchina.gov.cn)、中国政府采购网（www.ccgp.gov.cn）列入失信被执行人、重大税收违法案件当事人名单、政府采购严重违法失信行为记录名单。</w:t>
      </w:r>
    </w:p>
    <w:p w14:paraId="6ED3C6E5">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（三）不存在以下情况：</w:t>
      </w:r>
    </w:p>
    <w:p w14:paraId="615DB183">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单位负责人为同一人或者存在直接控股、管理关系的不同供应商参加同一合同项下的政府采</w:t>
      </w:r>
      <w:r>
        <w:rPr>
          <w:rFonts w:hint="eastAsia" w:ascii="仿宋_GB2312" w:hAnsi="仿宋" w:eastAsia="仿宋_GB2312" w:cs="Calibri"/>
          <w:color w:val="auto"/>
          <w:sz w:val="24"/>
          <w:szCs w:val="21"/>
          <w:highlight w:val="none"/>
        </w:rPr>
        <w:t>购活动的；</w:t>
      </w:r>
    </w:p>
    <w:p w14:paraId="48A5FF6B">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2、为采购项目提供整体设计、规范编制或者项目管理、监理、检测等服务后再参加该采购项目的其他采购活动的。</w:t>
      </w:r>
    </w:p>
    <w:p w14:paraId="34928FA5">
      <w:pPr>
        <w:snapToGrid w:val="0"/>
        <w:spacing w:line="360" w:lineRule="auto"/>
        <w:ind w:firstLine="480" w:firstLineChars="200"/>
        <w:rPr>
          <w:rFonts w:ascii="仿宋_GB2312" w:hAnsi="仿宋" w:eastAsia="仿宋_GB2312" w:cs="Calibri"/>
          <w:color w:val="auto"/>
          <w:sz w:val="24"/>
          <w:szCs w:val="21"/>
          <w:highlight w:val="none"/>
        </w:rPr>
      </w:pPr>
      <w:r>
        <w:rPr>
          <w:rFonts w:hint="eastAsia" w:ascii="仿宋_GB2312" w:hAnsi="仿宋" w:eastAsia="仿宋_GB2312" w:cs="Calibri"/>
          <w:color w:val="auto"/>
          <w:sz w:val="24"/>
          <w:szCs w:val="21"/>
          <w:highlight w:val="none"/>
        </w:rPr>
        <w:t>（四）本单位不属于公益一类事业单位以及使用事业编制且由财政拨款保障的群团组织；</w:t>
      </w:r>
    </w:p>
    <w:p w14:paraId="170173B3">
      <w:pPr>
        <w:snapToGrid w:val="0"/>
        <w:spacing w:line="360" w:lineRule="auto"/>
        <w:ind w:firstLine="5520" w:firstLineChars="230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kern w:val="0"/>
          <w:sz w:val="24"/>
          <w:szCs w:val="21"/>
          <w:highlight w:val="none"/>
          <w:lang w:val="zh-CN"/>
        </w:rPr>
        <w:t>供应商名称</w:t>
      </w:r>
      <w:r>
        <w:rPr>
          <w:rFonts w:ascii="仿宋_GB2312" w:hAnsi="仿宋" w:eastAsia="仿宋_GB2312" w:cs="仿宋_GB2312"/>
          <w:color w:val="auto"/>
          <w:kern w:val="0"/>
          <w:sz w:val="24"/>
          <w:szCs w:val="21"/>
          <w:highlight w:val="none"/>
          <w:lang w:val="zh-CN"/>
        </w:rPr>
        <w:t>(</w:t>
      </w:r>
      <w:r>
        <w:rPr>
          <w:rFonts w:hint="eastAsia" w:ascii="仿宋_GB2312" w:hAnsi="仿宋" w:eastAsia="仿宋_GB2312" w:cs="仿宋_GB2312"/>
          <w:color w:val="auto"/>
          <w:kern w:val="0"/>
          <w:sz w:val="24"/>
          <w:szCs w:val="21"/>
          <w:highlight w:val="none"/>
        </w:rPr>
        <w:t>盖章</w:t>
      </w:r>
      <w:r>
        <w:rPr>
          <w:rFonts w:ascii="仿宋_GB2312" w:hAnsi="仿宋" w:eastAsia="仿宋_GB2312" w:cs="仿宋_GB2312"/>
          <w:color w:val="auto"/>
          <w:kern w:val="0"/>
          <w:sz w:val="24"/>
          <w:szCs w:val="21"/>
          <w:highlight w:val="none"/>
          <w:lang w:val="zh-CN"/>
        </w:rPr>
        <w:t>)：</w:t>
      </w:r>
    </w:p>
    <w:p w14:paraId="53B22603">
      <w:pPr>
        <w:snapToGrid w:val="0"/>
        <w:spacing w:line="360" w:lineRule="auto"/>
        <w:rPr>
          <w:rFonts w:ascii="仿宋_GB2312" w:hAnsi="仿宋" w:eastAsia="仿宋_GB2312" w:cs="仿宋_GB2312"/>
          <w:color w:val="auto"/>
          <w:kern w:val="0"/>
          <w:sz w:val="24"/>
          <w:szCs w:val="21"/>
          <w:highlight w:val="none"/>
        </w:rPr>
      </w:pPr>
      <w:r>
        <w:rPr>
          <w:rFonts w:ascii="仿宋_GB2312" w:hAnsi="仿宋" w:eastAsia="仿宋_GB2312" w:cs="仿宋_GB2312"/>
          <w:color w:val="auto"/>
          <w:kern w:val="0"/>
          <w:sz w:val="24"/>
          <w:szCs w:val="21"/>
          <w:highlight w:val="none"/>
          <w:lang w:val="zh-CN"/>
        </w:rPr>
        <w:t xml:space="preserve">                        </w:t>
      </w:r>
      <w:r>
        <w:rPr>
          <w:rFonts w:ascii="仿宋_GB2312" w:hAnsi="仿宋" w:eastAsia="仿宋_GB2312" w:cs="仿宋_GB2312"/>
          <w:color w:val="auto"/>
          <w:kern w:val="0"/>
          <w:sz w:val="24"/>
          <w:szCs w:val="21"/>
          <w:highlight w:val="none"/>
        </w:rPr>
        <w:t xml:space="preserve">                      </w:t>
      </w:r>
      <w:r>
        <w:rPr>
          <w:rFonts w:hint="eastAsia" w:ascii="仿宋_GB2312" w:hAnsi="仿宋" w:eastAsia="仿宋_GB2312" w:cs="仿宋_GB2312"/>
          <w:color w:val="auto"/>
          <w:kern w:val="0"/>
          <w:sz w:val="24"/>
          <w:szCs w:val="21"/>
          <w:highlight w:val="none"/>
          <w:lang w:val="zh-CN"/>
        </w:rPr>
        <w:t>日期</w:t>
      </w:r>
      <w:r>
        <w:rPr>
          <w:rFonts w:hint="eastAsia" w:ascii="仿宋_GB2312" w:hAnsi="仿宋" w:eastAsia="仿宋_GB2312" w:cs="仿宋_GB2312"/>
          <w:color w:val="auto"/>
          <w:kern w:val="0"/>
          <w:sz w:val="24"/>
          <w:szCs w:val="21"/>
          <w:highlight w:val="none"/>
        </w:rPr>
        <w:t>：</w:t>
      </w:r>
      <w:r>
        <w:rPr>
          <w:rFonts w:ascii="仿宋_GB2312" w:hAnsi="仿宋" w:eastAsia="仿宋_GB2312" w:cs="仿宋_GB2312"/>
          <w:color w:val="auto"/>
          <w:kern w:val="0"/>
          <w:sz w:val="24"/>
          <w:szCs w:val="21"/>
          <w:highlight w:val="none"/>
        </w:rPr>
        <w:t xml:space="preserve">  年  </w:t>
      </w:r>
      <w:r>
        <w:rPr>
          <w:rFonts w:hint="eastAsia" w:ascii="仿宋_GB2312" w:hAnsi="仿宋" w:eastAsia="仿宋_GB2312" w:cs="仿宋_GB2312"/>
          <w:color w:val="auto"/>
          <w:kern w:val="0"/>
          <w:sz w:val="24"/>
          <w:szCs w:val="21"/>
          <w:highlight w:val="none"/>
          <w:lang w:val="zh-CN"/>
        </w:rPr>
        <w:t>月</w:t>
      </w:r>
      <w:r>
        <w:rPr>
          <w:rFonts w:ascii="仿宋_GB2312" w:hAnsi="仿宋" w:eastAsia="仿宋_GB2312" w:cs="仿宋_GB2312"/>
          <w:color w:val="auto"/>
          <w:kern w:val="0"/>
          <w:sz w:val="24"/>
          <w:szCs w:val="21"/>
          <w:highlight w:val="none"/>
        </w:rPr>
        <w:t xml:space="preserve">   </w:t>
      </w:r>
      <w:r>
        <w:rPr>
          <w:rFonts w:hint="eastAsia" w:ascii="仿宋_GB2312" w:hAnsi="仿宋" w:eastAsia="仿宋_GB2312" w:cs="仿宋_GB2312"/>
          <w:color w:val="auto"/>
          <w:kern w:val="0"/>
          <w:sz w:val="24"/>
          <w:szCs w:val="21"/>
          <w:highlight w:val="none"/>
          <w:lang w:val="zh-CN"/>
        </w:rPr>
        <w:t>日</w:t>
      </w:r>
    </w:p>
    <w:p w14:paraId="28624B6F">
      <w:pPr>
        <w:spacing w:line="360" w:lineRule="auto"/>
        <w:jc w:val="left"/>
        <w:rPr>
          <w:rFonts w:ascii="仿宋" w:hAnsi="仿宋" w:eastAsia="仿宋" w:cs="仿宋"/>
          <w:color w:val="auto"/>
          <w:sz w:val="24"/>
          <w:szCs w:val="24"/>
          <w:highlight w:val="none"/>
        </w:rPr>
      </w:pPr>
    </w:p>
    <w:p w14:paraId="273FC297">
      <w:pPr>
        <w:spacing w:line="360" w:lineRule="auto"/>
        <w:jc w:val="left"/>
        <w:rPr>
          <w:rFonts w:ascii="仿宋" w:hAnsi="仿宋" w:eastAsia="仿宋" w:cs="仿宋"/>
          <w:color w:val="auto"/>
          <w:sz w:val="24"/>
          <w:szCs w:val="24"/>
          <w:highlight w:val="none"/>
        </w:rPr>
      </w:pPr>
    </w:p>
    <w:p w14:paraId="71E679AA">
      <w:pPr>
        <w:spacing w:line="360" w:lineRule="auto"/>
        <w:jc w:val="left"/>
        <w:rPr>
          <w:rFonts w:ascii="仿宋" w:hAnsi="仿宋" w:eastAsia="仿宋" w:cs="仿宋"/>
          <w:color w:val="auto"/>
          <w:sz w:val="24"/>
          <w:szCs w:val="24"/>
          <w:highlight w:val="none"/>
        </w:rPr>
      </w:pPr>
    </w:p>
    <w:p w14:paraId="092414EB">
      <w:pPr>
        <w:spacing w:line="360" w:lineRule="auto"/>
        <w:jc w:val="left"/>
        <w:rPr>
          <w:rFonts w:ascii="仿宋" w:hAnsi="仿宋" w:eastAsia="仿宋" w:cs="仿宋"/>
          <w:color w:val="auto"/>
          <w:sz w:val="24"/>
          <w:szCs w:val="24"/>
          <w:highlight w:val="none"/>
        </w:rPr>
      </w:pPr>
    </w:p>
    <w:p w14:paraId="374B71AA">
      <w:pPr>
        <w:spacing w:line="360" w:lineRule="auto"/>
        <w:jc w:val="left"/>
        <w:rPr>
          <w:rFonts w:ascii="仿宋" w:hAnsi="仿宋" w:eastAsia="仿宋" w:cs="仿宋"/>
          <w:color w:val="auto"/>
          <w:sz w:val="24"/>
          <w:szCs w:val="24"/>
          <w:highlight w:val="none"/>
        </w:rPr>
      </w:pPr>
    </w:p>
    <w:p w14:paraId="39677699">
      <w:pPr>
        <w:spacing w:line="360" w:lineRule="auto"/>
        <w:jc w:val="left"/>
        <w:rPr>
          <w:rFonts w:ascii="仿宋" w:hAnsi="仿宋" w:eastAsia="仿宋" w:cs="仿宋"/>
          <w:color w:val="auto"/>
          <w:sz w:val="24"/>
          <w:szCs w:val="24"/>
          <w:highlight w:val="none"/>
        </w:rPr>
      </w:pPr>
    </w:p>
    <w:p w14:paraId="56B86CC0">
      <w:pPr>
        <w:spacing w:line="360" w:lineRule="auto"/>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证明材料</w:t>
      </w:r>
      <w:r>
        <w:rPr>
          <w:rFonts w:hint="eastAsia" w:ascii="仿宋" w:hAnsi="仿宋" w:eastAsia="仿宋" w:cs="仿宋"/>
          <w:color w:val="auto"/>
          <w:sz w:val="24"/>
          <w:szCs w:val="24"/>
          <w:highlight w:val="none"/>
          <w:lang w:val="zh-CN"/>
        </w:rPr>
        <w:t>：</w:t>
      </w:r>
    </w:p>
    <w:p w14:paraId="6C9785B0">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或事业法人登记证或其他工商等登记证明材料)扫描件或复印件（供应商为自然人的，提供自然人的身份证明）、税务登记证(或其它依法缴纳税收的相关材料)扫描件或复印件、社保登记证（或其它依法缴纳社会保障资金的相关材料）扫描件或复印件；实施“多证合一、一照一码”登记制度改革的，只需提供改革后取得的营业执照扫描件或复印件</w:t>
      </w:r>
    </w:p>
    <w:p w14:paraId="02EADAC8">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2、资产负债表等财务报表资料文件（扫描件或复印件）</w:t>
      </w:r>
    </w:p>
    <w:p w14:paraId="7832D0A9">
      <w:pPr>
        <w:rPr>
          <w:rFonts w:ascii="仿宋" w:hAnsi="仿宋" w:eastAsia="仿宋" w:cs="仿宋"/>
          <w:b/>
          <w:bCs/>
          <w:color w:val="auto"/>
          <w:sz w:val="30"/>
          <w:szCs w:val="30"/>
          <w:highlight w:val="none"/>
        </w:rPr>
      </w:pPr>
    </w:p>
    <w:p w14:paraId="36A6FADF">
      <w:pPr>
        <w:snapToGrid w:val="0"/>
        <w:spacing w:line="360" w:lineRule="auto"/>
        <w:jc w:val="center"/>
        <w:rPr>
          <w:rFonts w:ascii="仿宋" w:hAnsi="仿宋" w:eastAsia="仿宋" w:cs="Times New Roman"/>
          <w:b/>
          <w:bCs/>
          <w:color w:val="auto"/>
          <w:sz w:val="32"/>
          <w:szCs w:val="32"/>
          <w:highlight w:val="none"/>
        </w:rPr>
      </w:pPr>
    </w:p>
    <w:p w14:paraId="28166AC4">
      <w:pPr>
        <w:keepNext/>
        <w:keepLines/>
        <w:spacing w:before="260" w:after="260" w:line="415" w:lineRule="auto"/>
        <w:outlineLvl w:val="1"/>
        <w:rPr>
          <w:rFonts w:ascii="仿宋" w:hAnsi="仿宋" w:eastAsia="仿宋" w:cs="Times New Roman"/>
          <w:b/>
          <w:bCs/>
          <w:color w:val="auto"/>
          <w:kern w:val="0"/>
          <w:sz w:val="32"/>
          <w:szCs w:val="32"/>
          <w:highlight w:val="none"/>
        </w:rPr>
      </w:pPr>
    </w:p>
    <w:p w14:paraId="4BC177DB">
      <w:pPr>
        <w:rPr>
          <w:rFonts w:ascii="仿宋" w:hAnsi="仿宋" w:eastAsia="仿宋" w:cs="Times New Roman"/>
          <w:b/>
          <w:bCs/>
          <w:color w:val="auto"/>
          <w:sz w:val="32"/>
          <w:szCs w:val="32"/>
          <w:highlight w:val="none"/>
        </w:rPr>
      </w:pPr>
    </w:p>
    <w:p w14:paraId="1678C64C">
      <w:pPr>
        <w:keepNext/>
        <w:keepLines/>
        <w:spacing w:before="260" w:after="260" w:line="415" w:lineRule="auto"/>
        <w:outlineLvl w:val="1"/>
        <w:rPr>
          <w:rFonts w:ascii="仿宋" w:hAnsi="仿宋" w:eastAsia="仿宋" w:cs="Times New Roman"/>
          <w:b/>
          <w:bCs/>
          <w:color w:val="auto"/>
          <w:kern w:val="0"/>
          <w:sz w:val="32"/>
          <w:szCs w:val="32"/>
          <w:highlight w:val="none"/>
        </w:rPr>
      </w:pPr>
    </w:p>
    <w:p w14:paraId="3369C5ED">
      <w:pPr>
        <w:rPr>
          <w:rFonts w:ascii="仿宋" w:hAnsi="仿宋" w:eastAsia="仿宋" w:cs="Times New Roman"/>
          <w:b/>
          <w:bCs/>
          <w:color w:val="auto"/>
          <w:sz w:val="32"/>
          <w:szCs w:val="32"/>
          <w:highlight w:val="none"/>
        </w:rPr>
      </w:pPr>
    </w:p>
    <w:p w14:paraId="742A82DC">
      <w:pPr>
        <w:rPr>
          <w:rFonts w:ascii="仿宋" w:hAnsi="仿宋" w:eastAsia="仿宋" w:cs="Times New Roman"/>
          <w:b/>
          <w:bCs/>
          <w:color w:val="auto"/>
          <w:sz w:val="32"/>
          <w:szCs w:val="32"/>
          <w:highlight w:val="none"/>
        </w:rPr>
      </w:pPr>
    </w:p>
    <w:p w14:paraId="48630340">
      <w:pPr>
        <w:keepNext/>
        <w:keepLines/>
        <w:spacing w:before="260" w:after="260" w:line="415" w:lineRule="auto"/>
        <w:outlineLvl w:val="1"/>
        <w:rPr>
          <w:rFonts w:ascii="Cambria" w:hAnsi="Cambria" w:eastAsia="宋体" w:cs="Times New Roman"/>
          <w:b/>
          <w:bCs/>
          <w:color w:val="auto"/>
          <w:kern w:val="0"/>
          <w:sz w:val="32"/>
          <w:szCs w:val="32"/>
          <w:highlight w:val="none"/>
        </w:rPr>
      </w:pPr>
    </w:p>
    <w:p w14:paraId="529775CD">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rPr>
        <w:t>二、落实政府采购政策需满足的资格要求</w:t>
      </w:r>
    </w:p>
    <w:p w14:paraId="2EBFEE3E">
      <w:pPr>
        <w:keepNext w:val="0"/>
        <w:keepLines w:val="0"/>
        <w:widowControl/>
        <w:suppressLineNumbers w:val="0"/>
        <w:spacing w:before="0" w:beforeAutospacing="0" w:after="0" w:afterAutospacing="0" w:line="360" w:lineRule="auto"/>
        <w:ind w:left="0" w:right="42" w:rightChars="20" w:firstLine="562" w:firstLineChars="200"/>
        <w:jc w:val="center"/>
        <w:rPr>
          <w:rFonts w:hint="eastAsia" w:ascii="宋体" w:hAnsi="宋体" w:eastAsia="宋体" w:cs="宋体"/>
          <w:b/>
          <w:bCs w:val="0"/>
          <w:sz w:val="28"/>
          <w:szCs w:val="28"/>
          <w:lang w:val="en-US"/>
        </w:rPr>
      </w:pPr>
      <w:r>
        <w:rPr>
          <w:rFonts w:hint="eastAsia" w:ascii="宋体" w:hAnsi="宋体" w:eastAsia="宋体" w:cs="宋体"/>
          <w:b/>
          <w:bCs w:val="0"/>
          <w:kern w:val="0"/>
          <w:sz w:val="28"/>
          <w:szCs w:val="28"/>
          <w:lang w:val="en-US" w:eastAsia="zh-CN" w:bidi="ar"/>
        </w:rPr>
        <w:t>中小企业声明函（工程、服务）</w:t>
      </w:r>
    </w:p>
    <w:p w14:paraId="4A4BCCA8">
      <w:pPr>
        <w:pStyle w:val="9"/>
        <w:widowControl/>
        <w:spacing w:line="360" w:lineRule="auto"/>
        <w:ind w:left="0" w:right="157" w:firstLine="875" w:firstLineChars="417"/>
        <w:rPr>
          <w:rFonts w:hAnsi="宋体"/>
          <w:color w:val="auto"/>
          <w:sz w:val="21"/>
          <w:szCs w:val="21"/>
          <w:lang w:val="en-US"/>
        </w:rPr>
      </w:pPr>
      <w:r>
        <w:rPr>
          <w:rFonts w:hAnsi="宋体"/>
          <w:color w:val="auto"/>
          <w:sz w:val="21"/>
          <w:szCs w:val="21"/>
          <w:lang w:eastAsia="zh-CN"/>
        </w:rPr>
        <w:t>本公司（联合体）郑重声明，根据《政府采购促进中小企业发展管理办法》（财库﹝</w:t>
      </w:r>
      <w:r>
        <w:rPr>
          <w:rFonts w:hAnsi="宋体"/>
          <w:color w:val="auto"/>
          <w:sz w:val="21"/>
          <w:szCs w:val="21"/>
          <w:lang w:val="en-US"/>
        </w:rPr>
        <w:t>2020</w:t>
      </w:r>
      <w:r>
        <w:rPr>
          <w:rFonts w:hAnsi="宋体"/>
          <w:color w:val="auto"/>
          <w:sz w:val="21"/>
          <w:szCs w:val="21"/>
          <w:lang w:eastAsia="zh-CN"/>
        </w:rPr>
        <w:t>﹞</w:t>
      </w:r>
      <w:r>
        <w:rPr>
          <w:rFonts w:hAnsi="宋体"/>
          <w:color w:val="auto"/>
          <w:sz w:val="21"/>
          <w:szCs w:val="21"/>
          <w:lang w:val="en-US"/>
        </w:rPr>
        <w:t xml:space="preserve">46 </w:t>
      </w:r>
      <w:r>
        <w:rPr>
          <w:rFonts w:hAnsi="宋体"/>
          <w:color w:val="auto"/>
          <w:sz w:val="21"/>
          <w:szCs w:val="21"/>
          <w:lang w:eastAsia="zh-CN"/>
        </w:rPr>
        <w:t xml:space="preserve">号）的规定，本公司（联合体）参加 </w:t>
      </w:r>
      <w:r>
        <w:rPr>
          <w:rFonts w:hAnsi="宋体"/>
          <w:color w:val="auto"/>
          <w:sz w:val="21"/>
          <w:szCs w:val="21"/>
          <w:u w:val="single"/>
          <w:lang w:eastAsia="zh-CN"/>
        </w:rPr>
        <w:t>（单位名称）</w:t>
      </w:r>
      <w:r>
        <w:rPr>
          <w:rFonts w:hAnsi="宋体"/>
          <w:color w:val="auto"/>
          <w:sz w:val="21"/>
          <w:szCs w:val="21"/>
          <w:lang w:eastAsia="zh-CN"/>
        </w:rPr>
        <w:t xml:space="preserve"> 的 </w:t>
      </w:r>
      <w:r>
        <w:rPr>
          <w:rFonts w:hAnsi="宋体"/>
          <w:color w:val="auto"/>
          <w:sz w:val="21"/>
          <w:szCs w:val="21"/>
          <w:u w:val="single"/>
          <w:lang w:eastAsia="zh-CN"/>
        </w:rPr>
        <w:t>（项目名称）</w:t>
      </w:r>
      <w:r>
        <w:rPr>
          <w:rFonts w:hAnsi="宋体"/>
          <w:color w:val="auto"/>
          <w:sz w:val="21"/>
          <w:szCs w:val="21"/>
          <w:lang w:eastAsia="zh-CN"/>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52339EED">
      <w:pPr>
        <w:pStyle w:val="9"/>
        <w:widowControl/>
        <w:spacing w:line="360" w:lineRule="auto"/>
        <w:ind w:left="0" w:right="157" w:firstLine="875" w:firstLineChars="417"/>
        <w:rPr>
          <w:rFonts w:hAnsi="宋体"/>
          <w:color w:val="auto"/>
          <w:sz w:val="21"/>
          <w:szCs w:val="21"/>
          <w:lang w:val="en-US"/>
        </w:rPr>
      </w:pPr>
      <w:r>
        <w:rPr>
          <w:rFonts w:hAnsi="宋体"/>
          <w:color w:val="auto"/>
          <w:sz w:val="21"/>
          <w:szCs w:val="21"/>
          <w:lang w:val="en-US"/>
        </w:rPr>
        <w:t xml:space="preserve">1. </w:t>
      </w:r>
      <w:r>
        <w:rPr>
          <w:rFonts w:hAnsi="宋体"/>
          <w:color w:val="auto"/>
          <w:sz w:val="21"/>
          <w:szCs w:val="21"/>
          <w:u w:val="single"/>
          <w:lang w:eastAsia="zh-CN"/>
        </w:rPr>
        <w:t xml:space="preserve">（标的名称） </w:t>
      </w:r>
      <w:r>
        <w:rPr>
          <w:rFonts w:hAnsi="宋体"/>
          <w:color w:val="auto"/>
          <w:sz w:val="21"/>
          <w:szCs w:val="21"/>
          <w:lang w:eastAsia="zh-CN"/>
        </w:rPr>
        <w:t>，属于</w:t>
      </w:r>
      <w:r>
        <w:rPr>
          <w:rFonts w:hAnsi="宋体"/>
          <w:color w:val="auto"/>
          <w:sz w:val="21"/>
          <w:szCs w:val="21"/>
          <w:u w:val="single"/>
          <w:lang w:eastAsia="zh-CN"/>
        </w:rPr>
        <w:t xml:space="preserve"> （采购文件中明确的所属行业）</w:t>
      </w:r>
      <w:r>
        <w:rPr>
          <w:rFonts w:hAnsi="宋体"/>
          <w:color w:val="auto"/>
          <w:sz w:val="21"/>
          <w:szCs w:val="21"/>
          <w:lang w:eastAsia="zh-CN"/>
        </w:rPr>
        <w:t xml:space="preserve"> ；承建（承接）企业为 </w:t>
      </w:r>
      <w:r>
        <w:rPr>
          <w:rFonts w:hAnsi="宋体"/>
          <w:color w:val="auto"/>
          <w:sz w:val="21"/>
          <w:szCs w:val="21"/>
          <w:u w:val="single"/>
          <w:lang w:eastAsia="zh-CN"/>
        </w:rPr>
        <w:t>（企业名称）</w:t>
      </w:r>
      <w:r>
        <w:rPr>
          <w:rFonts w:hAnsi="宋体"/>
          <w:color w:val="auto"/>
          <w:sz w:val="21"/>
          <w:szCs w:val="21"/>
          <w:lang w:eastAsia="zh-CN"/>
        </w:rPr>
        <w:t xml:space="preserve"> ，从业人员</w:t>
      </w:r>
      <w:r>
        <w:rPr>
          <w:rFonts w:hAnsi="宋体"/>
          <w:color w:val="auto"/>
          <w:sz w:val="21"/>
          <w:szCs w:val="21"/>
          <w:u w:val="single"/>
          <w:lang w:val="en-US"/>
        </w:rPr>
        <w:t xml:space="preserve">  </w:t>
      </w:r>
      <w:r>
        <w:rPr>
          <w:rFonts w:hAnsi="宋体"/>
          <w:color w:val="auto"/>
          <w:sz w:val="21"/>
          <w:szCs w:val="21"/>
          <w:lang w:eastAsia="zh-CN"/>
        </w:rPr>
        <w:t>人，营业收入为</w:t>
      </w:r>
      <w:r>
        <w:rPr>
          <w:rFonts w:hAnsi="宋体"/>
          <w:color w:val="auto"/>
          <w:sz w:val="21"/>
          <w:szCs w:val="21"/>
          <w:u w:val="single"/>
          <w:lang w:val="en-US"/>
        </w:rPr>
        <w:t xml:space="preserve">  </w:t>
      </w:r>
      <w:r>
        <w:rPr>
          <w:rFonts w:hAnsi="宋体"/>
          <w:color w:val="auto"/>
          <w:sz w:val="21"/>
          <w:szCs w:val="21"/>
          <w:lang w:eastAsia="zh-CN"/>
        </w:rPr>
        <w:t>万元，资产总额为</w:t>
      </w:r>
      <w:r>
        <w:rPr>
          <w:rFonts w:hAnsi="宋体"/>
          <w:color w:val="auto"/>
          <w:sz w:val="21"/>
          <w:szCs w:val="21"/>
          <w:u w:val="single"/>
          <w:lang w:val="en-US"/>
        </w:rPr>
        <w:t xml:space="preserve">  </w:t>
      </w:r>
      <w:r>
        <w:rPr>
          <w:rFonts w:hAnsi="宋体"/>
          <w:color w:val="auto"/>
          <w:sz w:val="21"/>
          <w:szCs w:val="21"/>
          <w:lang w:eastAsia="zh-CN"/>
        </w:rPr>
        <w:t>万元 ，属于</w:t>
      </w:r>
      <w:r>
        <w:rPr>
          <w:rFonts w:hAnsi="宋体"/>
          <w:color w:val="auto"/>
          <w:sz w:val="21"/>
          <w:szCs w:val="21"/>
          <w:u w:val="single"/>
          <w:lang w:val="en-US"/>
        </w:rPr>
        <w:t xml:space="preserve">  </w:t>
      </w:r>
      <w:r>
        <w:rPr>
          <w:rFonts w:hAnsi="宋体"/>
          <w:color w:val="auto"/>
          <w:sz w:val="21"/>
          <w:szCs w:val="21"/>
          <w:lang w:eastAsia="zh-CN"/>
        </w:rPr>
        <w:t>（中型企业、小型企业、微型企业） ；</w:t>
      </w:r>
    </w:p>
    <w:p w14:paraId="6278B867">
      <w:pPr>
        <w:pStyle w:val="9"/>
        <w:widowControl/>
        <w:spacing w:line="360" w:lineRule="auto"/>
        <w:ind w:left="0" w:right="157" w:firstLine="875" w:firstLineChars="417"/>
        <w:rPr>
          <w:rFonts w:hAnsi="宋体"/>
          <w:color w:val="auto"/>
          <w:sz w:val="21"/>
          <w:szCs w:val="21"/>
          <w:lang w:val="en-US"/>
        </w:rPr>
      </w:pPr>
      <w:r>
        <w:rPr>
          <w:rFonts w:hAnsi="宋体"/>
          <w:color w:val="auto"/>
          <w:sz w:val="21"/>
          <w:szCs w:val="21"/>
          <w:lang w:val="en-US"/>
        </w:rPr>
        <w:t xml:space="preserve">2. </w:t>
      </w:r>
      <w:r>
        <w:rPr>
          <w:rFonts w:hAnsi="宋体"/>
          <w:color w:val="auto"/>
          <w:sz w:val="21"/>
          <w:szCs w:val="21"/>
          <w:u w:val="single"/>
          <w:lang w:eastAsia="zh-CN"/>
        </w:rPr>
        <w:t xml:space="preserve">（标的名称） </w:t>
      </w:r>
      <w:r>
        <w:rPr>
          <w:rFonts w:hAnsi="宋体"/>
          <w:color w:val="auto"/>
          <w:sz w:val="21"/>
          <w:szCs w:val="21"/>
          <w:lang w:eastAsia="zh-CN"/>
        </w:rPr>
        <w:t xml:space="preserve">，属于 </w:t>
      </w:r>
      <w:r>
        <w:rPr>
          <w:rFonts w:hAnsi="宋体"/>
          <w:color w:val="auto"/>
          <w:sz w:val="21"/>
          <w:szCs w:val="21"/>
          <w:u w:val="single"/>
          <w:lang w:eastAsia="zh-CN"/>
        </w:rPr>
        <w:t>（采购文件中明确的所属行业）</w:t>
      </w:r>
      <w:r>
        <w:rPr>
          <w:rFonts w:hAnsi="宋体"/>
          <w:color w:val="auto"/>
          <w:sz w:val="21"/>
          <w:szCs w:val="21"/>
          <w:lang w:eastAsia="zh-CN"/>
        </w:rPr>
        <w:t xml:space="preserve"> ；承建（承接）企业为 </w:t>
      </w:r>
      <w:r>
        <w:rPr>
          <w:rFonts w:hAnsi="宋体"/>
          <w:color w:val="auto"/>
          <w:sz w:val="21"/>
          <w:szCs w:val="21"/>
          <w:u w:val="single"/>
          <w:lang w:eastAsia="zh-CN"/>
        </w:rPr>
        <w:t>（企业名称）</w:t>
      </w:r>
      <w:r>
        <w:rPr>
          <w:rFonts w:hAnsi="宋体"/>
          <w:color w:val="auto"/>
          <w:sz w:val="21"/>
          <w:szCs w:val="21"/>
          <w:lang w:eastAsia="zh-CN"/>
        </w:rPr>
        <w:t xml:space="preserve"> ，从业人员</w:t>
      </w:r>
      <w:r>
        <w:rPr>
          <w:rFonts w:hAnsi="宋体"/>
          <w:color w:val="auto"/>
          <w:sz w:val="21"/>
          <w:szCs w:val="21"/>
          <w:u w:val="single"/>
          <w:lang w:val="en-US"/>
        </w:rPr>
        <w:t xml:space="preserve">  </w:t>
      </w:r>
      <w:r>
        <w:rPr>
          <w:rFonts w:hAnsi="宋体"/>
          <w:color w:val="auto"/>
          <w:sz w:val="21"/>
          <w:szCs w:val="21"/>
          <w:lang w:eastAsia="zh-CN"/>
        </w:rPr>
        <w:t>人，营业收入为</w:t>
      </w:r>
      <w:r>
        <w:rPr>
          <w:rFonts w:hAnsi="宋体"/>
          <w:color w:val="auto"/>
          <w:sz w:val="21"/>
          <w:szCs w:val="21"/>
          <w:u w:val="single"/>
          <w:lang w:val="en-US"/>
        </w:rPr>
        <w:t xml:space="preserve">  </w:t>
      </w:r>
      <w:r>
        <w:rPr>
          <w:rFonts w:hAnsi="宋体"/>
          <w:color w:val="auto"/>
          <w:sz w:val="21"/>
          <w:szCs w:val="21"/>
          <w:lang w:eastAsia="zh-CN"/>
        </w:rPr>
        <w:t>万元，资产总额为</w:t>
      </w:r>
      <w:r>
        <w:rPr>
          <w:rFonts w:hAnsi="宋体"/>
          <w:color w:val="auto"/>
          <w:sz w:val="21"/>
          <w:szCs w:val="21"/>
          <w:u w:val="single"/>
          <w:lang w:val="en-US"/>
        </w:rPr>
        <w:t xml:space="preserve">  </w:t>
      </w:r>
      <w:r>
        <w:rPr>
          <w:rFonts w:hAnsi="宋体"/>
          <w:color w:val="auto"/>
          <w:sz w:val="21"/>
          <w:szCs w:val="21"/>
          <w:lang w:eastAsia="zh-CN"/>
        </w:rPr>
        <w:t>万元 ，属于</w:t>
      </w:r>
      <w:r>
        <w:rPr>
          <w:rFonts w:hAnsi="宋体"/>
          <w:color w:val="auto"/>
          <w:sz w:val="21"/>
          <w:szCs w:val="21"/>
          <w:u w:val="single"/>
          <w:lang w:val="en-US"/>
        </w:rPr>
        <w:t xml:space="preserve">  </w:t>
      </w:r>
      <w:r>
        <w:rPr>
          <w:rFonts w:hAnsi="宋体"/>
          <w:color w:val="auto"/>
          <w:sz w:val="21"/>
          <w:szCs w:val="21"/>
          <w:lang w:eastAsia="zh-CN"/>
        </w:rPr>
        <w:t>（中型企业、小型企业、微型企业）；</w:t>
      </w:r>
    </w:p>
    <w:p w14:paraId="5EC6882A">
      <w:pPr>
        <w:pStyle w:val="9"/>
        <w:widowControl/>
        <w:spacing w:line="360" w:lineRule="auto"/>
        <w:ind w:left="0" w:right="157" w:firstLine="875" w:firstLineChars="417"/>
        <w:rPr>
          <w:rFonts w:hAnsi="宋体"/>
          <w:color w:val="auto"/>
          <w:sz w:val="21"/>
          <w:szCs w:val="21"/>
          <w:lang w:val="en-US"/>
        </w:rPr>
      </w:pPr>
      <w:r>
        <w:rPr>
          <w:rFonts w:hAnsi="宋体"/>
          <w:color w:val="auto"/>
          <w:sz w:val="21"/>
          <w:szCs w:val="21"/>
          <w:lang w:eastAsia="zh-CN"/>
        </w:rPr>
        <w:t>……</w:t>
      </w:r>
    </w:p>
    <w:p w14:paraId="7A960B84">
      <w:pPr>
        <w:pStyle w:val="9"/>
        <w:widowControl/>
        <w:spacing w:line="360" w:lineRule="auto"/>
        <w:ind w:left="0" w:right="157" w:firstLine="642"/>
        <w:rPr>
          <w:rFonts w:hAnsi="宋体"/>
          <w:color w:val="auto"/>
          <w:sz w:val="21"/>
          <w:szCs w:val="21"/>
          <w:lang w:val="en-US"/>
        </w:rPr>
      </w:pPr>
      <w:r>
        <w:rPr>
          <w:rFonts w:hAnsi="宋体"/>
          <w:color w:val="auto"/>
          <w:sz w:val="21"/>
          <w:szCs w:val="21"/>
          <w:lang w:eastAsia="zh-CN"/>
        </w:rPr>
        <w:t>以上企业，不属于大企业的分支机构，不存在控股股东为大企业的情形，也不存在与大企业的负责人为同一人的情形。</w:t>
      </w:r>
    </w:p>
    <w:p w14:paraId="4F847F07">
      <w:pPr>
        <w:pStyle w:val="9"/>
        <w:widowControl/>
        <w:spacing w:line="360" w:lineRule="auto"/>
        <w:ind w:left="0" w:right="157" w:firstLine="642"/>
        <w:rPr>
          <w:rFonts w:hAnsi="宋体"/>
          <w:color w:val="auto"/>
          <w:sz w:val="21"/>
          <w:szCs w:val="21"/>
          <w:lang w:val="en-US"/>
        </w:rPr>
      </w:pPr>
      <w:r>
        <w:rPr>
          <w:rFonts w:hAnsi="宋体"/>
          <w:color w:val="auto"/>
          <w:sz w:val="21"/>
          <w:szCs w:val="21"/>
          <w:lang w:eastAsia="zh-CN"/>
        </w:rPr>
        <w:t>本企业对上述声明内容的真实性负责。如有虚假，将依法承担相应责任。</w:t>
      </w:r>
    </w:p>
    <w:p w14:paraId="4C99298E">
      <w:pPr>
        <w:pStyle w:val="10"/>
        <w:widowControl/>
        <w:spacing w:line="360" w:lineRule="auto"/>
        <w:rPr>
          <w:rFonts w:hAnsi="宋体"/>
          <w:color w:val="auto"/>
          <w:sz w:val="21"/>
          <w:szCs w:val="21"/>
          <w:lang w:val="en-US"/>
        </w:rPr>
      </w:pPr>
    </w:p>
    <w:p w14:paraId="189B0487">
      <w:pPr>
        <w:pStyle w:val="10"/>
        <w:widowControl/>
        <w:spacing w:line="360" w:lineRule="auto"/>
        <w:rPr>
          <w:rFonts w:hAnsi="宋体"/>
          <w:color w:val="auto"/>
          <w:sz w:val="21"/>
          <w:szCs w:val="21"/>
          <w:lang w:val="en-US"/>
        </w:rPr>
      </w:pPr>
    </w:p>
    <w:p w14:paraId="6EA97F22">
      <w:pPr>
        <w:pStyle w:val="9"/>
        <w:widowControl/>
        <w:spacing w:line="360" w:lineRule="auto"/>
        <w:ind w:left="0" w:right="157" w:firstLine="642"/>
        <w:rPr>
          <w:rFonts w:hAnsi="宋体"/>
          <w:color w:val="auto"/>
          <w:spacing w:val="20"/>
          <w:sz w:val="21"/>
          <w:szCs w:val="21"/>
          <w:u w:val="single"/>
          <w:lang w:val="en-US"/>
        </w:rPr>
      </w:pPr>
      <w:r>
        <w:rPr>
          <w:rFonts w:hAnsi="宋体"/>
          <w:color w:val="auto"/>
          <w:spacing w:val="20"/>
          <w:sz w:val="21"/>
          <w:szCs w:val="21"/>
          <w:lang w:eastAsia="zh-CN"/>
        </w:rPr>
        <w:t>供应商名称：</w:t>
      </w:r>
      <w:r>
        <w:rPr>
          <w:rFonts w:hAnsi="宋体"/>
          <w:color w:val="auto"/>
          <w:spacing w:val="20"/>
          <w:sz w:val="21"/>
          <w:szCs w:val="21"/>
          <w:u w:val="single"/>
          <w:lang w:val="en-US"/>
        </w:rPr>
        <w:t xml:space="preserve">       </w:t>
      </w:r>
      <w:r>
        <w:rPr>
          <w:rFonts w:hAnsi="宋体"/>
          <w:color w:val="auto"/>
          <w:spacing w:val="20"/>
          <w:sz w:val="21"/>
          <w:szCs w:val="21"/>
          <w:u w:val="single"/>
          <w:lang w:eastAsia="zh-CN"/>
        </w:rPr>
        <w:t>（盖章）</w:t>
      </w:r>
      <w:r>
        <w:rPr>
          <w:rFonts w:hAnsi="宋体"/>
          <w:color w:val="auto"/>
          <w:spacing w:val="20"/>
          <w:sz w:val="21"/>
          <w:szCs w:val="21"/>
          <w:u w:val="single"/>
          <w:lang w:val="en-US"/>
        </w:rPr>
        <w:t xml:space="preserve">   </w:t>
      </w:r>
      <w:r>
        <w:rPr>
          <w:rFonts w:hAnsi="宋体"/>
          <w:color w:val="auto"/>
          <w:spacing w:val="20"/>
          <w:sz w:val="21"/>
          <w:szCs w:val="21"/>
          <w:lang w:val="en-US"/>
        </w:rPr>
        <w:t xml:space="preserve">      </w:t>
      </w:r>
      <w:r>
        <w:rPr>
          <w:rFonts w:hAnsi="宋体"/>
          <w:color w:val="auto"/>
          <w:spacing w:val="20"/>
          <w:sz w:val="21"/>
          <w:szCs w:val="21"/>
          <w:lang w:eastAsia="zh-CN"/>
        </w:rPr>
        <w:t>日</w:t>
      </w:r>
      <w:r>
        <w:rPr>
          <w:rFonts w:hAnsi="宋体"/>
          <w:color w:val="auto"/>
          <w:spacing w:val="20"/>
          <w:sz w:val="21"/>
          <w:szCs w:val="21"/>
          <w:lang w:val="en-US"/>
        </w:rPr>
        <w:t xml:space="preserve">  </w:t>
      </w:r>
      <w:r>
        <w:rPr>
          <w:rFonts w:hAnsi="宋体"/>
          <w:color w:val="auto"/>
          <w:spacing w:val="20"/>
          <w:sz w:val="21"/>
          <w:szCs w:val="21"/>
          <w:lang w:eastAsia="zh-CN"/>
        </w:rPr>
        <w:t>期：</w:t>
      </w:r>
    </w:p>
    <w:p w14:paraId="69B7416C">
      <w:pPr>
        <w:pStyle w:val="10"/>
        <w:widowControl/>
        <w:spacing w:line="360" w:lineRule="auto"/>
        <w:rPr>
          <w:rFonts w:hAnsi="宋体"/>
          <w:color w:val="auto"/>
          <w:sz w:val="21"/>
          <w:szCs w:val="21"/>
          <w:lang w:val="en-US"/>
        </w:rPr>
      </w:pPr>
    </w:p>
    <w:p w14:paraId="5730D7C8">
      <w:pPr>
        <w:pStyle w:val="6"/>
        <w:widowControl/>
        <w:spacing w:line="360" w:lineRule="auto"/>
        <w:ind w:left="840" w:hanging="420"/>
        <w:rPr>
          <w:rFonts w:hint="eastAsia" w:ascii="宋体" w:hAnsi="宋体" w:eastAsia="宋体" w:cs="宋体"/>
          <w:sz w:val="21"/>
          <w:szCs w:val="21"/>
          <w:lang w:val="en-US"/>
        </w:rPr>
      </w:pPr>
      <w:r>
        <w:rPr>
          <w:rFonts w:hint="eastAsia" w:ascii="宋体" w:hAnsi="宋体" w:eastAsia="宋体" w:cs="宋体"/>
          <w:sz w:val="21"/>
          <w:szCs w:val="21"/>
          <w:lang w:eastAsia="zh-CN"/>
        </w:rPr>
        <w:t>从业人员、营业收入、资产总额填报上一年度数据，无上一年度数据的新成立企业可不填报。</w:t>
      </w:r>
    </w:p>
    <w:p w14:paraId="1B3970E3">
      <w:pPr>
        <w:keepNext w:val="0"/>
        <w:keepLines w:val="0"/>
        <w:widowControl/>
        <w:suppressLineNumbers w:val="0"/>
        <w:snapToGrid w:val="0"/>
        <w:spacing w:before="0" w:beforeAutospacing="0" w:after="0" w:afterAutospacing="0" w:line="360" w:lineRule="auto"/>
        <w:ind w:left="0" w:right="0"/>
        <w:jc w:val="left"/>
        <w:rPr>
          <w:rFonts w:hint="eastAsia" w:ascii="微软雅黑" w:hAnsi="微软雅黑" w:eastAsia="微软雅黑" w:cs="微软雅黑"/>
          <w:szCs w:val="21"/>
          <w:lang w:val="en-US"/>
        </w:rPr>
      </w:pPr>
    </w:p>
    <w:p w14:paraId="0781F1D7">
      <w:pPr>
        <w:snapToGrid w:val="0"/>
        <w:spacing w:before="50" w:after="50" w:line="360" w:lineRule="auto"/>
        <w:jc w:val="center"/>
        <w:rPr>
          <w:rFonts w:ascii="宋体" w:hAnsi="宋体" w:eastAsia="宋体" w:cs="宋体"/>
          <w:b/>
          <w:color w:val="auto"/>
          <w:sz w:val="24"/>
          <w:szCs w:val="21"/>
          <w:highlight w:val="none"/>
        </w:rPr>
      </w:pPr>
    </w:p>
    <w:p w14:paraId="3C52A575">
      <w:pPr>
        <w:snapToGrid w:val="0"/>
        <w:spacing w:before="50" w:after="50" w:line="360" w:lineRule="auto"/>
        <w:jc w:val="center"/>
        <w:rPr>
          <w:rFonts w:ascii="宋体" w:hAnsi="宋体" w:eastAsia="宋体" w:cs="宋体"/>
          <w:b/>
          <w:color w:val="auto"/>
          <w:sz w:val="24"/>
          <w:szCs w:val="21"/>
          <w:highlight w:val="none"/>
        </w:rPr>
      </w:pPr>
    </w:p>
    <w:p w14:paraId="080353CD">
      <w:pPr>
        <w:snapToGrid w:val="0"/>
        <w:spacing w:before="50" w:after="50" w:line="360" w:lineRule="auto"/>
        <w:jc w:val="center"/>
        <w:rPr>
          <w:rFonts w:ascii="宋体" w:hAnsi="宋体" w:eastAsia="宋体" w:cs="宋体"/>
          <w:b/>
          <w:color w:val="auto"/>
          <w:sz w:val="24"/>
          <w:szCs w:val="21"/>
          <w:highlight w:val="none"/>
        </w:rPr>
      </w:pPr>
    </w:p>
    <w:p w14:paraId="27923A2F">
      <w:pPr>
        <w:snapToGrid w:val="0"/>
        <w:spacing w:before="50" w:after="50" w:line="360" w:lineRule="auto"/>
        <w:jc w:val="center"/>
        <w:rPr>
          <w:rFonts w:ascii="宋体" w:hAnsi="宋体" w:eastAsia="宋体" w:cs="宋体"/>
          <w:b/>
          <w:color w:val="auto"/>
          <w:sz w:val="24"/>
          <w:szCs w:val="21"/>
          <w:highlight w:val="none"/>
        </w:rPr>
      </w:pPr>
    </w:p>
    <w:p w14:paraId="296F4457">
      <w:pPr>
        <w:snapToGrid w:val="0"/>
        <w:spacing w:before="50" w:after="50" w:line="360" w:lineRule="auto"/>
        <w:jc w:val="center"/>
        <w:rPr>
          <w:rFonts w:ascii="宋体" w:hAnsi="宋体" w:eastAsia="宋体" w:cs="宋体"/>
          <w:b/>
          <w:color w:val="auto"/>
          <w:sz w:val="24"/>
          <w:szCs w:val="21"/>
          <w:highlight w:val="none"/>
        </w:rPr>
      </w:pPr>
    </w:p>
    <w:p w14:paraId="57B851F4">
      <w:pPr>
        <w:snapToGrid w:val="0"/>
        <w:spacing w:before="50" w:after="50" w:line="360" w:lineRule="auto"/>
        <w:jc w:val="center"/>
        <w:rPr>
          <w:rFonts w:ascii="宋体" w:hAnsi="宋体" w:eastAsia="宋体" w:cs="宋体"/>
          <w:b/>
          <w:color w:val="auto"/>
          <w:sz w:val="24"/>
          <w:szCs w:val="21"/>
          <w:highlight w:val="none"/>
        </w:rPr>
      </w:pPr>
    </w:p>
    <w:p w14:paraId="3A200029">
      <w:pPr>
        <w:snapToGrid w:val="0"/>
        <w:spacing w:before="50" w:after="50" w:line="360" w:lineRule="auto"/>
        <w:jc w:val="center"/>
        <w:rPr>
          <w:rFonts w:ascii="宋体" w:hAnsi="宋体" w:eastAsia="宋体" w:cs="宋体"/>
          <w:b/>
          <w:color w:val="auto"/>
          <w:sz w:val="24"/>
          <w:szCs w:val="21"/>
          <w:highlight w:val="none"/>
        </w:rPr>
      </w:pPr>
    </w:p>
    <w:p w14:paraId="715FBF04">
      <w:pPr>
        <w:snapToGrid w:val="0"/>
        <w:spacing w:before="50" w:after="50" w:line="360" w:lineRule="auto"/>
        <w:jc w:val="center"/>
        <w:rPr>
          <w:rFonts w:ascii="宋体" w:hAnsi="宋体" w:eastAsia="宋体" w:cs="宋体"/>
          <w:b/>
          <w:color w:val="auto"/>
          <w:sz w:val="24"/>
          <w:szCs w:val="21"/>
          <w:highlight w:val="none"/>
        </w:rPr>
      </w:pPr>
    </w:p>
    <w:p w14:paraId="6CF6487C">
      <w:pPr>
        <w:snapToGrid w:val="0"/>
        <w:spacing w:before="50" w:after="50" w:line="360" w:lineRule="auto"/>
        <w:jc w:val="center"/>
        <w:rPr>
          <w:rFonts w:ascii="宋体" w:hAnsi="宋体" w:eastAsia="宋体" w:cs="宋体"/>
          <w:b/>
          <w:color w:val="auto"/>
          <w:sz w:val="24"/>
          <w:szCs w:val="21"/>
          <w:highlight w:val="none"/>
        </w:rPr>
      </w:pPr>
    </w:p>
    <w:p w14:paraId="153CC700">
      <w:pPr>
        <w:snapToGrid w:val="0"/>
        <w:spacing w:line="360" w:lineRule="auto"/>
        <w:jc w:val="center"/>
        <w:outlineLvl w:val="1"/>
        <w:rPr>
          <w:rFonts w:ascii="宋体" w:hAnsi="宋体" w:eastAsia="宋体" w:cs="宋体"/>
          <w:b/>
          <w:bCs/>
          <w:color w:val="auto"/>
          <w:kern w:val="0"/>
          <w:sz w:val="36"/>
          <w:szCs w:val="36"/>
          <w:highlight w:val="none"/>
        </w:rPr>
      </w:pPr>
      <w:r>
        <w:rPr>
          <w:rFonts w:ascii="宋体" w:hAnsi="宋体" w:eastAsia="宋体" w:cs="宋体"/>
          <w:b/>
          <w:bCs/>
          <w:color w:val="auto"/>
          <w:kern w:val="0"/>
          <w:sz w:val="36"/>
          <w:szCs w:val="36"/>
          <w:highlight w:val="none"/>
        </w:rPr>
        <w:br w:type="page"/>
      </w:r>
      <w:r>
        <w:rPr>
          <w:rFonts w:hint="eastAsia" w:ascii="宋体" w:hAnsi="宋体" w:eastAsia="宋体" w:cs="宋体"/>
          <w:b/>
          <w:bCs/>
          <w:color w:val="auto"/>
          <w:kern w:val="0"/>
          <w:sz w:val="36"/>
          <w:szCs w:val="36"/>
          <w:highlight w:val="none"/>
        </w:rPr>
        <w:t>报价文件部分</w:t>
      </w:r>
    </w:p>
    <w:p w14:paraId="493320B2">
      <w:pPr>
        <w:spacing w:line="360" w:lineRule="auto"/>
        <w:jc w:val="center"/>
        <w:rPr>
          <w:rFonts w:ascii="宋体" w:hAnsi="宋体" w:eastAsia="宋体" w:cs="宋体"/>
          <w:b/>
          <w:bCs/>
          <w:color w:val="auto"/>
          <w:kern w:val="0"/>
          <w:sz w:val="24"/>
          <w:szCs w:val="24"/>
          <w:highlight w:val="none"/>
        </w:rPr>
      </w:pPr>
    </w:p>
    <w:p w14:paraId="285F81C8">
      <w:pPr>
        <w:spacing w:line="360" w:lineRule="auto"/>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2CE56BE0">
      <w:pP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（1）开标一览表……………………………………………………（页码）</w:t>
      </w:r>
    </w:p>
    <w:p w14:paraId="0CF056DF">
      <w:pPr>
        <w:spacing w:line="360" w:lineRule="auto"/>
        <w:ind w:left="2" w:firstLine="480" w:firstLineChars="200"/>
        <w:rPr>
          <w:rFonts w:ascii="宋体" w:hAnsi="宋体" w:eastAsia="宋体" w:cs="宋体"/>
          <w:color w:val="auto"/>
          <w:sz w:val="24"/>
          <w:szCs w:val="24"/>
          <w:highlight w:val="none"/>
        </w:rPr>
      </w:pPr>
    </w:p>
    <w:p w14:paraId="1AC3C957">
      <w:pPr>
        <w:snapToGrid w:val="0"/>
        <w:spacing w:line="360" w:lineRule="auto"/>
        <w:rPr>
          <w:rFonts w:ascii="宋体" w:hAnsi="宋体" w:eastAsia="宋体" w:cs="宋体"/>
          <w:b/>
          <w:bCs/>
          <w:color w:val="auto"/>
          <w:kern w:val="0"/>
          <w:sz w:val="24"/>
          <w:szCs w:val="24"/>
          <w:highlight w:val="none"/>
          <w:lang w:val="zh-CN"/>
        </w:rPr>
        <w:sectPr>
          <w:footerReference r:id="rId5" w:type="default"/>
          <w:pgSz w:w="11906" w:h="16838"/>
          <w:pgMar w:top="1440" w:right="1803" w:bottom="1440" w:left="1803" w:header="930" w:footer="992" w:gutter="0"/>
          <w:cols w:space="720" w:num="1"/>
          <w:docGrid w:type="lines" w:linePitch="319" w:charSpace="0"/>
        </w:sectPr>
      </w:pPr>
    </w:p>
    <w:p w14:paraId="25F29756">
      <w:pPr>
        <w:snapToGrid w:val="0"/>
        <w:spacing w:before="120" w:after="120"/>
        <w:jc w:val="center"/>
        <w:outlineLvl w:val="2"/>
        <w:rPr>
          <w:rFonts w:ascii="宋体" w:hAnsi="宋体" w:eastAsia="宋体" w:cs="Times New Roman"/>
          <w:b/>
          <w:bCs/>
          <w:color w:val="auto"/>
          <w:kern w:val="0"/>
          <w:sz w:val="32"/>
          <w:szCs w:val="32"/>
          <w:highlight w:val="none"/>
        </w:rPr>
      </w:pPr>
    </w:p>
    <w:p w14:paraId="244F48F5">
      <w:pPr>
        <w:snapToGrid w:val="0"/>
        <w:spacing w:before="120" w:after="120"/>
        <w:jc w:val="center"/>
        <w:outlineLvl w:val="2"/>
        <w:rPr>
          <w:rFonts w:ascii="宋体" w:hAnsi="宋体" w:eastAsia="宋体" w:cs="Times New Roman"/>
          <w:b/>
          <w:bCs/>
          <w:color w:val="auto"/>
          <w:kern w:val="0"/>
          <w:sz w:val="32"/>
          <w:szCs w:val="32"/>
          <w:highlight w:val="none"/>
        </w:rPr>
      </w:pPr>
      <w:r>
        <w:rPr>
          <w:rFonts w:hint="eastAsia" w:ascii="宋体" w:hAnsi="宋体" w:eastAsia="宋体" w:cs="Times New Roman"/>
          <w:b/>
          <w:bCs/>
          <w:color w:val="auto"/>
          <w:kern w:val="0"/>
          <w:sz w:val="32"/>
          <w:szCs w:val="32"/>
          <w:highlight w:val="none"/>
        </w:rPr>
        <w:t>二、开标一览表</w:t>
      </w:r>
    </w:p>
    <w:p w14:paraId="1EB97A45">
      <w:pPr>
        <w:snapToGrid w:val="0"/>
        <w:spacing w:line="360" w:lineRule="auto"/>
        <w:ind w:firstLine="480" w:firstLineChars="200"/>
        <w:rPr>
          <w:rFonts w:ascii="宋体" w:hAnsi="宋体" w:eastAsia="宋体" w:cs="宋体"/>
          <w:color w:val="auto"/>
          <w:sz w:val="24"/>
          <w:szCs w:val="24"/>
          <w:highlight w:val="none"/>
        </w:rPr>
      </w:pPr>
    </w:p>
    <w:p w14:paraId="485EC6EF">
      <w:pPr>
        <w:spacing w:line="360" w:lineRule="atLeas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投标单位全称(公章)：____________________________</w:t>
      </w:r>
    </w:p>
    <w:p w14:paraId="6ECED82E">
      <w:pPr>
        <w:spacing w:line="360" w:lineRule="atLeas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招标编号：_______________________________________________</w:t>
      </w:r>
    </w:p>
    <w:tbl>
      <w:tblPr>
        <w:tblStyle w:val="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82"/>
        <w:gridCol w:w="5313"/>
      </w:tblGrid>
      <w:tr w14:paraId="7E75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06C1D504">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序号</w:t>
            </w:r>
          </w:p>
        </w:tc>
        <w:tc>
          <w:tcPr>
            <w:tcW w:w="1982" w:type="dxa"/>
            <w:tcBorders>
              <w:top w:val="single" w:color="auto" w:sz="4" w:space="0"/>
              <w:left w:val="single" w:color="auto" w:sz="4" w:space="0"/>
              <w:bottom w:val="single" w:color="auto" w:sz="4" w:space="0"/>
              <w:right w:val="single" w:color="auto" w:sz="4" w:space="0"/>
            </w:tcBorders>
            <w:vAlign w:val="center"/>
          </w:tcPr>
          <w:p w14:paraId="0F919D6E">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w:t>
            </w:r>
          </w:p>
        </w:tc>
        <w:tc>
          <w:tcPr>
            <w:tcW w:w="5313" w:type="dxa"/>
            <w:tcBorders>
              <w:top w:val="single" w:color="auto" w:sz="4" w:space="0"/>
              <w:left w:val="single" w:color="auto" w:sz="4" w:space="0"/>
              <w:bottom w:val="single" w:color="auto" w:sz="4" w:space="0"/>
              <w:right w:val="single" w:color="auto" w:sz="4" w:space="0"/>
            </w:tcBorders>
            <w:vAlign w:val="center"/>
          </w:tcPr>
          <w:p w14:paraId="16053A9E">
            <w:pPr>
              <w:spacing w:line="360" w:lineRule="atLeast"/>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内容</w:t>
            </w:r>
          </w:p>
        </w:tc>
      </w:tr>
      <w:tr w14:paraId="035F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1AA0CE9C">
            <w:pPr>
              <w:spacing w:line="360" w:lineRule="atLeast"/>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1982" w:type="dxa"/>
            <w:tcBorders>
              <w:top w:val="single" w:color="auto" w:sz="4" w:space="0"/>
              <w:left w:val="single" w:color="auto" w:sz="4" w:space="0"/>
              <w:bottom w:val="single" w:color="auto" w:sz="4" w:space="0"/>
              <w:right w:val="single" w:color="auto" w:sz="4" w:space="0"/>
            </w:tcBorders>
            <w:vAlign w:val="center"/>
          </w:tcPr>
          <w:p w14:paraId="45627AB2">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审核结果误差率</w:t>
            </w:r>
          </w:p>
        </w:tc>
        <w:tc>
          <w:tcPr>
            <w:tcW w:w="5313" w:type="dxa"/>
            <w:tcBorders>
              <w:top w:val="single" w:color="auto" w:sz="4" w:space="0"/>
              <w:left w:val="single" w:color="auto" w:sz="4" w:space="0"/>
              <w:bottom w:val="single" w:color="auto" w:sz="4" w:space="0"/>
              <w:right w:val="single" w:color="auto" w:sz="4" w:space="0"/>
            </w:tcBorders>
            <w:vAlign w:val="center"/>
          </w:tcPr>
          <w:p w14:paraId="208F7CEF">
            <w:pPr>
              <w:spacing w:line="360" w:lineRule="atLeast"/>
              <w:jc w:val="center"/>
              <w:rPr>
                <w:rFonts w:ascii="宋体" w:hAnsi="宋体" w:eastAsia="宋体" w:cs="宋体"/>
                <w:color w:val="auto"/>
                <w:sz w:val="24"/>
                <w:szCs w:val="21"/>
                <w:highlight w:val="none"/>
              </w:rPr>
            </w:pP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%（保留两位小数）</w:t>
            </w:r>
          </w:p>
        </w:tc>
      </w:tr>
      <w:tr w14:paraId="118D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jc w:val="center"/>
        </w:trPr>
        <w:tc>
          <w:tcPr>
            <w:tcW w:w="1861" w:type="dxa"/>
            <w:tcBorders>
              <w:top w:val="single" w:color="auto" w:sz="4" w:space="0"/>
              <w:left w:val="single" w:color="auto" w:sz="4" w:space="0"/>
              <w:right w:val="single" w:color="auto" w:sz="4" w:space="0"/>
            </w:tcBorders>
            <w:vAlign w:val="center"/>
          </w:tcPr>
          <w:p w14:paraId="3741E4D2">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p>
        </w:tc>
        <w:tc>
          <w:tcPr>
            <w:tcW w:w="1982" w:type="dxa"/>
            <w:tcBorders>
              <w:top w:val="single" w:color="auto" w:sz="4" w:space="0"/>
              <w:left w:val="single" w:color="auto" w:sz="4" w:space="0"/>
              <w:right w:val="single" w:color="auto" w:sz="4" w:space="0"/>
            </w:tcBorders>
            <w:vAlign w:val="center"/>
          </w:tcPr>
          <w:p w14:paraId="6D9BBE22">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投标费率报价</w:t>
            </w:r>
          </w:p>
        </w:tc>
        <w:tc>
          <w:tcPr>
            <w:tcW w:w="5313" w:type="dxa"/>
            <w:tcBorders>
              <w:top w:val="single" w:color="auto" w:sz="4" w:space="0"/>
              <w:left w:val="single" w:color="auto" w:sz="4" w:space="0"/>
              <w:bottom w:val="single" w:color="auto" w:sz="4" w:space="0"/>
              <w:right w:val="single" w:color="auto" w:sz="4" w:space="0"/>
            </w:tcBorders>
            <w:vAlign w:val="center"/>
          </w:tcPr>
          <w:p w14:paraId="66C674E9">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参照浙价服[2009]84号文收费</w:t>
            </w:r>
          </w:p>
          <w:p w14:paraId="0FAE2A56">
            <w:pPr>
              <w:spacing w:line="360" w:lineRule="atLeast"/>
              <w:jc w:val="center"/>
              <w:rPr>
                <w:rFonts w:ascii="宋体" w:hAnsi="宋体" w:eastAsia="宋体" w:cs="宋体"/>
                <w:color w:val="auto"/>
                <w:sz w:val="24"/>
                <w:szCs w:val="21"/>
                <w:highlight w:val="none"/>
              </w:rPr>
            </w:pPr>
            <w:r>
              <w:rPr>
                <w:rFonts w:hint="eastAsia" w:ascii="宋体" w:hAnsi="宋体" w:eastAsia="宋体" w:cs="宋体"/>
                <w:bCs/>
                <w:color w:val="auto"/>
                <w:sz w:val="24"/>
                <w:szCs w:val="21"/>
                <w:highlight w:val="none"/>
              </w:rPr>
              <w:t>标准的</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%计，</w:t>
            </w:r>
            <w:r>
              <w:rPr>
                <w:rFonts w:hint="eastAsia" w:ascii="宋体" w:hAnsi="宋体" w:eastAsia="宋体" w:cs="宋体"/>
                <w:bCs/>
                <w:color w:val="auto"/>
                <w:sz w:val="24"/>
                <w:szCs w:val="21"/>
                <w:highlight w:val="none"/>
              </w:rPr>
              <w:t>附加咨询费按项目概算的最终净核增额或净核减额的0.1%收取。</w:t>
            </w:r>
          </w:p>
        </w:tc>
      </w:tr>
      <w:tr w14:paraId="6796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22C5561B">
            <w:pPr>
              <w:spacing w:line="360" w:lineRule="atLeast"/>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1982" w:type="dxa"/>
            <w:tcBorders>
              <w:top w:val="single" w:color="auto" w:sz="4" w:space="0"/>
              <w:left w:val="single" w:color="auto" w:sz="4" w:space="0"/>
              <w:bottom w:val="single" w:color="auto" w:sz="4" w:space="0"/>
              <w:right w:val="single" w:color="auto" w:sz="4" w:space="0"/>
            </w:tcBorders>
            <w:vAlign w:val="center"/>
          </w:tcPr>
          <w:p w14:paraId="4AF02686">
            <w:pPr>
              <w:spacing w:line="360" w:lineRule="atLeast"/>
              <w:jc w:val="center"/>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项目总负责人</w:t>
            </w:r>
          </w:p>
        </w:tc>
        <w:tc>
          <w:tcPr>
            <w:tcW w:w="5313" w:type="dxa"/>
            <w:tcBorders>
              <w:top w:val="single" w:color="auto" w:sz="4" w:space="0"/>
              <w:left w:val="single" w:color="auto" w:sz="4" w:space="0"/>
              <w:bottom w:val="single" w:color="auto" w:sz="4" w:space="0"/>
              <w:right w:val="single" w:color="auto" w:sz="4" w:space="0"/>
            </w:tcBorders>
            <w:vAlign w:val="center"/>
          </w:tcPr>
          <w:p w14:paraId="57BA8AD8">
            <w:pPr>
              <w:spacing w:line="360" w:lineRule="atLeast"/>
              <w:jc w:val="center"/>
              <w:rPr>
                <w:rFonts w:ascii="宋体" w:hAnsi="宋体" w:eastAsia="宋体" w:cs="宋体"/>
                <w:color w:val="auto"/>
                <w:sz w:val="24"/>
                <w:szCs w:val="21"/>
                <w:highlight w:val="none"/>
              </w:rPr>
            </w:pPr>
          </w:p>
        </w:tc>
      </w:tr>
    </w:tbl>
    <w:p w14:paraId="23F3E9BB">
      <w:pPr>
        <w:spacing w:line="360" w:lineRule="atLeast"/>
        <w:rPr>
          <w:rFonts w:ascii="宋体" w:hAnsi="宋体" w:eastAsia="宋体" w:cs="宋体"/>
          <w:color w:val="auto"/>
          <w:sz w:val="24"/>
          <w:szCs w:val="21"/>
          <w:highlight w:val="none"/>
        </w:rPr>
      </w:pPr>
    </w:p>
    <w:p w14:paraId="22524568">
      <w:pPr>
        <w:spacing w:line="360" w:lineRule="atLeast"/>
        <w:rPr>
          <w:rFonts w:ascii="宋体" w:hAnsi="宋体" w:eastAsia="宋体" w:cs="宋体"/>
          <w:bCs/>
          <w:color w:val="auto"/>
          <w:sz w:val="24"/>
          <w:szCs w:val="21"/>
          <w:highlight w:val="none"/>
        </w:rPr>
      </w:pPr>
      <w:r>
        <w:rPr>
          <w:rFonts w:hint="eastAsia" w:ascii="宋体" w:hAnsi="宋体" w:eastAsia="宋体" w:cs="宋体"/>
          <w:color w:val="auto"/>
          <w:sz w:val="24"/>
          <w:szCs w:val="21"/>
          <w:highlight w:val="none"/>
        </w:rPr>
        <w:t>注：此表在不改变表式的情况下，可自行制作。</w:t>
      </w:r>
    </w:p>
    <w:p w14:paraId="360AD69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法定代表人或被授权人签字（或盖章）：________________  </w:t>
      </w:r>
    </w:p>
    <w:p w14:paraId="125EC7CD">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日  期:________________</w:t>
      </w:r>
    </w:p>
    <w:p w14:paraId="1C4264EF">
      <w:pPr>
        <w:rPr>
          <w:rFonts w:ascii="宋体" w:hAnsi="宋体" w:eastAsia="宋体" w:cs="宋体"/>
          <w:color w:val="auto"/>
          <w:szCs w:val="21"/>
          <w:highlight w:val="none"/>
        </w:rPr>
      </w:pPr>
      <w:r>
        <w:rPr>
          <w:rFonts w:hint="eastAsia" w:ascii="宋体" w:hAnsi="宋体" w:eastAsia="宋体" w:cs="宋体"/>
          <w:color w:val="auto"/>
          <w:sz w:val="32"/>
          <w:szCs w:val="32"/>
          <w:highlight w:val="none"/>
        </w:rPr>
        <w:t xml:space="preserve"> </w:t>
      </w:r>
    </w:p>
    <w:p w14:paraId="30C63469">
      <w:pPr>
        <w:spacing w:line="360" w:lineRule="auto"/>
        <w:outlineLvl w:val="0"/>
        <w:rPr>
          <w:rFonts w:ascii="宋体" w:hAnsi="宋体" w:eastAsia="宋体" w:cs="宋体"/>
          <w:color w:val="auto"/>
          <w:sz w:val="36"/>
          <w:szCs w:val="36"/>
          <w:highlight w:val="none"/>
        </w:rPr>
        <w:sectPr>
          <w:type w:val="continuous"/>
          <w:pgSz w:w="11906" w:h="16838"/>
          <w:pgMar w:top="1440" w:right="1803" w:bottom="1440" w:left="1803" w:header="930" w:footer="992" w:gutter="0"/>
          <w:cols w:space="720" w:num="1"/>
          <w:docGrid w:type="lines" w:linePitch="319" w:charSpace="0"/>
        </w:sectPr>
      </w:pPr>
    </w:p>
    <w:p w14:paraId="0D3C90F9">
      <w:pPr>
        <w:spacing w:line="360" w:lineRule="auto"/>
        <w:jc w:val="center"/>
        <w:outlineLvl w:val="1"/>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商务技术文件部分</w:t>
      </w:r>
    </w:p>
    <w:p w14:paraId="03A58417">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目录</w:t>
      </w:r>
    </w:p>
    <w:p w14:paraId="3D5383ED">
      <w:pPr>
        <w:numPr>
          <w:ilvl w:val="0"/>
          <w:numId w:val="6"/>
        </w:num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投标函</w:t>
      </w:r>
      <w:r>
        <w:rPr>
          <w:rFonts w:hint="eastAsia" w:ascii="宋体" w:hAnsi="宋体" w:eastAsia="宋体" w:cs="宋体"/>
          <w:color w:val="auto"/>
          <w:szCs w:val="21"/>
          <w:highlight w:val="none"/>
        </w:rPr>
        <w:t>………………………………………………………………………………（页码）</w:t>
      </w:r>
    </w:p>
    <w:p w14:paraId="733DC000">
      <w:pPr>
        <w:numPr>
          <w:ilvl w:val="0"/>
          <w:numId w:val="6"/>
        </w:num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授权委托书或法定代表人（单位负责人、自然人本人）身份证明</w:t>
      </w:r>
      <w:r>
        <w:rPr>
          <w:rFonts w:hint="eastAsia" w:ascii="宋体" w:hAnsi="宋体" w:eastAsia="宋体" w:cs="宋体"/>
          <w:color w:val="auto"/>
          <w:szCs w:val="21"/>
          <w:highlight w:val="none"/>
        </w:rPr>
        <w:t>……（页码）</w:t>
      </w:r>
    </w:p>
    <w:p w14:paraId="44100B6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（3）联合协议</w:t>
      </w:r>
      <w:r>
        <w:rPr>
          <w:rFonts w:hint="eastAsia" w:ascii="宋体" w:hAnsi="宋体" w:eastAsia="宋体" w:cs="宋体"/>
          <w:color w:val="auto"/>
          <w:szCs w:val="21"/>
          <w:highlight w:val="none"/>
        </w:rPr>
        <w:t>……………………………………………………………………………（页码）</w:t>
      </w:r>
    </w:p>
    <w:p w14:paraId="1E2DD70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（4）分包意向协议</w:t>
      </w:r>
      <w:r>
        <w:rPr>
          <w:rFonts w:hint="eastAsia" w:ascii="宋体" w:hAnsi="宋体" w:eastAsia="宋体" w:cs="宋体"/>
          <w:color w:val="auto"/>
          <w:szCs w:val="21"/>
          <w:highlight w:val="none"/>
        </w:rPr>
        <w:t>………………………………………………………………………（页码）</w:t>
      </w:r>
    </w:p>
    <w:p w14:paraId="7D8BA540">
      <w:pPr>
        <w:snapToGrid w:val="0"/>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w:t>
      </w:r>
      <w:r>
        <w:rPr>
          <w:rFonts w:hint="eastAsia" w:ascii="宋体" w:hAnsi="宋体" w:eastAsia="宋体" w:cs="宋体"/>
          <w:color w:val="auto"/>
          <w:sz w:val="24"/>
          <w:szCs w:val="21"/>
          <w:highlight w:val="none"/>
        </w:rPr>
        <w:t>5</w:t>
      </w:r>
      <w:r>
        <w:rPr>
          <w:rFonts w:hint="eastAsia" w:ascii="宋体" w:hAnsi="宋体" w:eastAsia="宋体" w:cs="宋体"/>
          <w:color w:val="auto"/>
          <w:sz w:val="24"/>
          <w:szCs w:val="21"/>
          <w:highlight w:val="none"/>
          <w:lang w:val="zh-CN"/>
        </w:rPr>
        <w:t>）政府采购供应商廉洁自律承诺书</w:t>
      </w:r>
      <w:r>
        <w:rPr>
          <w:rFonts w:hint="eastAsia" w:ascii="宋体" w:hAnsi="宋体" w:eastAsia="宋体" w:cs="宋体"/>
          <w:color w:val="auto"/>
          <w:szCs w:val="21"/>
          <w:highlight w:val="none"/>
        </w:rPr>
        <w:t>………………………………………………（页码）</w:t>
      </w:r>
    </w:p>
    <w:p w14:paraId="065F5594">
      <w:pPr>
        <w:snapToGrid w:val="0"/>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（6）商务技术偏离表</w:t>
      </w:r>
      <w:r>
        <w:rPr>
          <w:rFonts w:hint="eastAsia" w:ascii="宋体" w:hAnsi="宋体" w:eastAsia="宋体" w:cs="宋体"/>
          <w:color w:val="auto"/>
          <w:szCs w:val="21"/>
          <w:highlight w:val="none"/>
        </w:rPr>
        <w:t>……………………………………………………………………（页码）</w:t>
      </w:r>
    </w:p>
    <w:p w14:paraId="523CC959">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（7）资信等客观评标证明材料</w:t>
      </w:r>
      <w:r>
        <w:rPr>
          <w:rFonts w:hint="eastAsia" w:ascii="宋体" w:hAnsi="宋体" w:eastAsia="宋体" w:cs="宋体"/>
          <w:color w:val="auto"/>
          <w:szCs w:val="21"/>
          <w:highlight w:val="none"/>
        </w:rPr>
        <w:t>………………………………………………………（页码）</w:t>
      </w:r>
    </w:p>
    <w:p w14:paraId="7EDD9FB0">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1"/>
          <w:highlight w:val="none"/>
        </w:rPr>
        <w:t>（8）技术方案资料</w:t>
      </w:r>
      <w:r>
        <w:rPr>
          <w:rFonts w:hint="eastAsia" w:ascii="宋体" w:hAnsi="宋体" w:eastAsia="宋体" w:cs="宋体"/>
          <w:color w:val="auto"/>
          <w:szCs w:val="21"/>
          <w:highlight w:val="none"/>
        </w:rPr>
        <w:t>…………………………</w:t>
      </w:r>
      <w:r>
        <w:rPr>
          <w:rFonts w:hint="eastAsia" w:ascii="宋体" w:hAnsi="宋体" w:eastAsia="宋体" w:cs="宋体"/>
          <w:color w:val="auto"/>
          <w:sz w:val="24"/>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 w:val="24"/>
          <w:szCs w:val="21"/>
          <w:highlight w:val="none"/>
        </w:rPr>
        <w:t>…</w:t>
      </w:r>
      <w:r>
        <w:rPr>
          <w:rFonts w:hint="eastAsia" w:ascii="宋体" w:hAnsi="宋体" w:eastAsia="宋体" w:cs="宋体"/>
          <w:color w:val="auto"/>
          <w:szCs w:val="21"/>
          <w:highlight w:val="none"/>
        </w:rPr>
        <w:t>………（页码）</w:t>
      </w:r>
    </w:p>
    <w:p w14:paraId="0B13A646">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注：以上目录是基本格式要求，各供应商可根据自身情况进一步细化。</w:t>
      </w:r>
    </w:p>
    <w:p w14:paraId="4FB6C2A2">
      <w:pPr>
        <w:snapToGrid w:val="0"/>
        <w:spacing w:line="360" w:lineRule="auto"/>
        <w:jc w:val="center"/>
        <w:rPr>
          <w:rFonts w:ascii="宋体" w:hAnsi="宋体" w:eastAsia="宋体" w:cs="宋体"/>
          <w:b/>
          <w:bCs/>
          <w:color w:val="auto"/>
          <w:kern w:val="0"/>
          <w:sz w:val="30"/>
          <w:szCs w:val="30"/>
          <w:highlight w:val="none"/>
          <w:lang w:val="zh-CN"/>
        </w:rPr>
      </w:pPr>
    </w:p>
    <w:p w14:paraId="445A1097">
      <w:pPr>
        <w:snapToGrid w:val="0"/>
        <w:spacing w:line="360" w:lineRule="auto"/>
        <w:jc w:val="center"/>
        <w:rPr>
          <w:rFonts w:ascii="宋体" w:hAnsi="宋体" w:eastAsia="宋体" w:cs="宋体"/>
          <w:b/>
          <w:bCs/>
          <w:color w:val="auto"/>
          <w:kern w:val="0"/>
          <w:sz w:val="30"/>
          <w:szCs w:val="30"/>
          <w:highlight w:val="none"/>
          <w:lang w:val="zh-CN"/>
        </w:rPr>
      </w:pPr>
    </w:p>
    <w:p w14:paraId="29B26003">
      <w:pPr>
        <w:snapToGrid w:val="0"/>
        <w:spacing w:line="360" w:lineRule="auto"/>
        <w:jc w:val="center"/>
        <w:rPr>
          <w:rFonts w:ascii="宋体" w:hAnsi="宋体" w:eastAsia="宋体" w:cs="宋体"/>
          <w:b/>
          <w:bCs/>
          <w:color w:val="auto"/>
          <w:kern w:val="0"/>
          <w:sz w:val="30"/>
          <w:szCs w:val="30"/>
          <w:highlight w:val="none"/>
          <w:lang w:val="zh-CN"/>
        </w:rPr>
      </w:pPr>
    </w:p>
    <w:p w14:paraId="1DFBB8F0">
      <w:pPr>
        <w:snapToGrid w:val="0"/>
        <w:spacing w:line="360" w:lineRule="auto"/>
        <w:jc w:val="center"/>
        <w:rPr>
          <w:rFonts w:ascii="宋体" w:hAnsi="宋体" w:eastAsia="宋体" w:cs="宋体"/>
          <w:b/>
          <w:bCs/>
          <w:color w:val="auto"/>
          <w:kern w:val="0"/>
          <w:sz w:val="30"/>
          <w:szCs w:val="30"/>
          <w:highlight w:val="none"/>
          <w:lang w:val="zh-CN"/>
        </w:rPr>
      </w:pPr>
    </w:p>
    <w:p w14:paraId="22B190E5">
      <w:pPr>
        <w:snapToGrid w:val="0"/>
        <w:spacing w:line="360" w:lineRule="auto"/>
        <w:jc w:val="center"/>
        <w:rPr>
          <w:rFonts w:ascii="宋体" w:hAnsi="宋体" w:eastAsia="宋体" w:cs="宋体"/>
          <w:b/>
          <w:bCs/>
          <w:color w:val="auto"/>
          <w:kern w:val="0"/>
          <w:sz w:val="30"/>
          <w:szCs w:val="30"/>
          <w:highlight w:val="none"/>
          <w:lang w:val="zh-CN"/>
        </w:rPr>
      </w:pPr>
    </w:p>
    <w:p w14:paraId="39870265">
      <w:pPr>
        <w:snapToGrid w:val="0"/>
        <w:spacing w:line="360" w:lineRule="auto"/>
        <w:jc w:val="center"/>
        <w:rPr>
          <w:rFonts w:ascii="宋体" w:hAnsi="宋体" w:eastAsia="宋体" w:cs="宋体"/>
          <w:b/>
          <w:bCs/>
          <w:color w:val="auto"/>
          <w:kern w:val="0"/>
          <w:sz w:val="30"/>
          <w:szCs w:val="30"/>
          <w:highlight w:val="none"/>
          <w:lang w:val="zh-CN"/>
        </w:rPr>
      </w:pPr>
    </w:p>
    <w:p w14:paraId="2428FE44">
      <w:pPr>
        <w:snapToGrid w:val="0"/>
        <w:spacing w:line="360" w:lineRule="auto"/>
        <w:jc w:val="center"/>
        <w:rPr>
          <w:rFonts w:ascii="宋体" w:hAnsi="宋体" w:eastAsia="宋体" w:cs="宋体"/>
          <w:b/>
          <w:bCs/>
          <w:color w:val="auto"/>
          <w:kern w:val="0"/>
          <w:sz w:val="30"/>
          <w:szCs w:val="30"/>
          <w:highlight w:val="none"/>
          <w:lang w:val="zh-CN"/>
        </w:rPr>
      </w:pPr>
    </w:p>
    <w:p w14:paraId="5156163A">
      <w:pPr>
        <w:keepNext/>
        <w:keepLines/>
        <w:spacing w:before="260" w:after="260" w:line="415" w:lineRule="auto"/>
        <w:outlineLvl w:val="1"/>
        <w:rPr>
          <w:rFonts w:ascii="宋体" w:hAnsi="宋体" w:eastAsia="宋体" w:cs="宋体"/>
          <w:b/>
          <w:bCs/>
          <w:color w:val="auto"/>
          <w:kern w:val="0"/>
          <w:sz w:val="30"/>
          <w:szCs w:val="30"/>
          <w:highlight w:val="none"/>
          <w:lang w:val="zh-CN"/>
        </w:rPr>
      </w:pPr>
    </w:p>
    <w:p w14:paraId="277774DB">
      <w:pPr>
        <w:rPr>
          <w:rFonts w:ascii="宋体" w:hAnsi="宋体" w:eastAsia="宋体" w:cs="宋体"/>
          <w:b/>
          <w:bCs/>
          <w:color w:val="auto"/>
          <w:kern w:val="0"/>
          <w:sz w:val="30"/>
          <w:szCs w:val="30"/>
          <w:highlight w:val="none"/>
          <w:lang w:val="zh-CN"/>
        </w:rPr>
      </w:pPr>
    </w:p>
    <w:p w14:paraId="4DC6B257">
      <w:pPr>
        <w:keepNext/>
        <w:keepLines/>
        <w:spacing w:before="260" w:after="260" w:line="415" w:lineRule="auto"/>
        <w:outlineLvl w:val="1"/>
        <w:rPr>
          <w:rFonts w:ascii="宋体" w:hAnsi="宋体" w:eastAsia="宋体" w:cs="宋体"/>
          <w:b/>
          <w:bCs/>
          <w:color w:val="auto"/>
          <w:kern w:val="0"/>
          <w:sz w:val="30"/>
          <w:szCs w:val="30"/>
          <w:highlight w:val="none"/>
          <w:lang w:val="zh-CN"/>
        </w:rPr>
      </w:pPr>
    </w:p>
    <w:p w14:paraId="6D9B0CC2">
      <w:pPr>
        <w:rPr>
          <w:rFonts w:ascii="宋体" w:hAnsi="宋体" w:eastAsia="宋体" w:cs="宋体"/>
          <w:b/>
          <w:bCs/>
          <w:color w:val="auto"/>
          <w:kern w:val="0"/>
          <w:sz w:val="30"/>
          <w:szCs w:val="30"/>
          <w:highlight w:val="none"/>
          <w:lang w:val="zh-CN"/>
        </w:rPr>
      </w:pPr>
    </w:p>
    <w:p w14:paraId="17B233BF">
      <w:pPr>
        <w:keepNext/>
        <w:keepLines/>
        <w:spacing w:before="260" w:after="260" w:line="415" w:lineRule="auto"/>
        <w:jc w:val="center"/>
        <w:outlineLvl w:val="1"/>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供应商自评分表</w:t>
      </w:r>
    </w:p>
    <w:tbl>
      <w:tblPr>
        <w:tblStyle w:val="7"/>
        <w:tblW w:w="8277"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15" w:type="dxa"/>
          <w:left w:w="108" w:type="dxa"/>
          <w:bottom w:w="15" w:type="dxa"/>
          <w:right w:w="108" w:type="dxa"/>
        </w:tblCellMar>
      </w:tblPr>
      <w:tblGrid>
        <w:gridCol w:w="352"/>
        <w:gridCol w:w="1055"/>
        <w:gridCol w:w="1662"/>
        <w:gridCol w:w="2915"/>
        <w:gridCol w:w="1172"/>
        <w:gridCol w:w="1121"/>
      </w:tblGrid>
      <w:tr w14:paraId="2C8426B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163" w:hRule="atLeast"/>
          <w:jc w:val="center"/>
        </w:trPr>
        <w:tc>
          <w:tcPr>
            <w:tcW w:w="352" w:type="dxa"/>
            <w:vAlign w:val="center"/>
          </w:tcPr>
          <w:p w14:paraId="5AC8967D">
            <w:pPr>
              <w:widowControl/>
              <w:spacing w:line="300" w:lineRule="exact"/>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1055" w:type="dxa"/>
            <w:vAlign w:val="center"/>
          </w:tcPr>
          <w:p w14:paraId="0FDB69A9">
            <w:pPr>
              <w:widowControl/>
              <w:spacing w:line="300" w:lineRule="exact"/>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评分大项</w:t>
            </w:r>
          </w:p>
        </w:tc>
        <w:tc>
          <w:tcPr>
            <w:tcW w:w="1662" w:type="dxa"/>
            <w:vAlign w:val="center"/>
          </w:tcPr>
          <w:p w14:paraId="32EAFE01">
            <w:pPr>
              <w:widowControl/>
              <w:spacing w:line="300" w:lineRule="exact"/>
              <w:ind w:firstLine="602" w:firstLineChars="300"/>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评分小项</w:t>
            </w:r>
          </w:p>
        </w:tc>
        <w:tc>
          <w:tcPr>
            <w:tcW w:w="2915" w:type="dxa"/>
            <w:vAlign w:val="center"/>
          </w:tcPr>
          <w:p w14:paraId="738F15F1">
            <w:pPr>
              <w:widowControl/>
              <w:spacing w:line="300" w:lineRule="exact"/>
              <w:ind w:firstLine="803" w:firstLineChars="400"/>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评分计算方法</w:t>
            </w:r>
          </w:p>
        </w:tc>
        <w:tc>
          <w:tcPr>
            <w:tcW w:w="1172" w:type="dxa"/>
            <w:vAlign w:val="center"/>
          </w:tcPr>
          <w:p w14:paraId="2CC4F93A">
            <w:pPr>
              <w:rPr>
                <w:rFonts w:ascii="宋体" w:hAnsi="宋体" w:eastAsia="宋体" w:cs="Calibri"/>
                <w:color w:val="auto"/>
                <w:szCs w:val="21"/>
                <w:highlight w:val="none"/>
              </w:rPr>
            </w:pPr>
            <w:r>
              <w:rPr>
                <w:rFonts w:ascii="宋体" w:hAnsi="宋体" w:eastAsia="宋体" w:cs="Calibri"/>
                <w:color w:val="auto"/>
                <w:szCs w:val="21"/>
                <w:highlight w:val="none"/>
              </w:rPr>
              <w:t>投标文件</w:t>
            </w:r>
          </w:p>
          <w:p w14:paraId="1E1F1355">
            <w:pPr>
              <w:widowControl/>
              <w:spacing w:line="300" w:lineRule="exact"/>
              <w:rPr>
                <w:rFonts w:ascii="宋体" w:hAnsi="宋体" w:eastAsia="宋体" w:cs="宋体"/>
                <w:b/>
                <w:bCs/>
                <w:color w:val="auto"/>
                <w:kern w:val="0"/>
                <w:sz w:val="20"/>
                <w:szCs w:val="20"/>
                <w:highlight w:val="none"/>
              </w:rPr>
            </w:pPr>
            <w:r>
              <w:rPr>
                <w:rFonts w:ascii="宋体" w:hAnsi="宋体" w:eastAsia="宋体" w:cs="Calibri"/>
                <w:color w:val="auto"/>
                <w:szCs w:val="21"/>
                <w:highlight w:val="none"/>
              </w:rPr>
              <w:t>对应页码</w:t>
            </w:r>
          </w:p>
        </w:tc>
        <w:tc>
          <w:tcPr>
            <w:tcW w:w="1121" w:type="dxa"/>
            <w:vAlign w:val="center"/>
          </w:tcPr>
          <w:p w14:paraId="752C85C7">
            <w:pPr>
              <w:widowControl/>
              <w:spacing w:line="300" w:lineRule="exact"/>
              <w:ind w:firstLine="210" w:firstLineChars="100"/>
              <w:rPr>
                <w:rFonts w:ascii="Calibri" w:hAnsi="Calibri" w:eastAsia="宋体" w:cs="Calibri"/>
                <w:color w:val="auto"/>
                <w:szCs w:val="21"/>
                <w:highlight w:val="none"/>
              </w:rPr>
            </w:pPr>
            <w:r>
              <w:rPr>
                <w:rFonts w:hint="eastAsia" w:ascii="Calibri" w:hAnsi="Calibri" w:eastAsia="宋体" w:cs="Calibri"/>
                <w:color w:val="auto"/>
                <w:szCs w:val="21"/>
                <w:highlight w:val="none"/>
              </w:rPr>
              <w:t>自评分</w:t>
            </w:r>
          </w:p>
        </w:tc>
      </w:tr>
      <w:tr w14:paraId="1A76E6F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909" w:hRule="atLeast"/>
          <w:jc w:val="center"/>
        </w:trPr>
        <w:tc>
          <w:tcPr>
            <w:tcW w:w="352" w:type="dxa"/>
            <w:vMerge w:val="restart"/>
            <w:vAlign w:val="center"/>
          </w:tcPr>
          <w:p w14:paraId="5D040E69">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55" w:type="dxa"/>
            <w:vMerge w:val="restart"/>
            <w:vAlign w:val="center"/>
          </w:tcPr>
          <w:p w14:paraId="4E361AF6">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w:t>
            </w:r>
          </w:p>
          <w:p w14:paraId="705D8102">
            <w:pPr>
              <w:widowControl/>
              <w:spacing w:line="300" w:lineRule="exact"/>
              <w:jc w:val="center"/>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及专业能力（0-</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6分）</w:t>
            </w:r>
          </w:p>
        </w:tc>
        <w:tc>
          <w:tcPr>
            <w:tcW w:w="1662" w:type="dxa"/>
            <w:vMerge w:val="restart"/>
            <w:vAlign w:val="center"/>
          </w:tcPr>
          <w:p w14:paraId="0222B82B">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2"/>
                <w:szCs w:val="24"/>
                <w:highlight w:val="none"/>
              </w:rPr>
              <w:t>工作实绩（0-1分）（客观）</w:t>
            </w:r>
          </w:p>
        </w:tc>
        <w:tc>
          <w:tcPr>
            <w:tcW w:w="2915" w:type="dxa"/>
            <w:vAlign w:val="center"/>
          </w:tcPr>
          <w:p w14:paraId="791763DD">
            <w:pPr>
              <w:widowControl/>
              <w:rPr>
                <w:rFonts w:ascii="宋体" w:hAnsi="宋体" w:eastAsia="宋体" w:cs="宋体"/>
                <w:color w:val="auto"/>
                <w:kern w:val="0"/>
                <w:sz w:val="24"/>
                <w:szCs w:val="24"/>
                <w:highlight w:val="none"/>
              </w:rPr>
            </w:pPr>
          </w:p>
        </w:tc>
        <w:tc>
          <w:tcPr>
            <w:tcW w:w="1172" w:type="dxa"/>
            <w:vAlign w:val="center"/>
          </w:tcPr>
          <w:p w14:paraId="115DBD80">
            <w:pPr>
              <w:widowControl/>
              <w:rPr>
                <w:rFonts w:ascii="宋体" w:hAnsi="宋体" w:eastAsia="宋体" w:cs="宋体"/>
                <w:bCs/>
                <w:color w:val="auto"/>
                <w:sz w:val="24"/>
                <w:szCs w:val="24"/>
                <w:highlight w:val="none"/>
              </w:rPr>
            </w:pPr>
          </w:p>
        </w:tc>
        <w:tc>
          <w:tcPr>
            <w:tcW w:w="1121" w:type="dxa"/>
            <w:tcBorders>
              <w:bottom w:val="single" w:color="auto" w:sz="4" w:space="0"/>
            </w:tcBorders>
            <w:vAlign w:val="center"/>
          </w:tcPr>
          <w:p w14:paraId="13B42882">
            <w:pPr>
              <w:widowControl/>
              <w:rPr>
                <w:rFonts w:ascii="宋体" w:hAnsi="宋体" w:eastAsia="宋体" w:cs="宋体"/>
                <w:bCs/>
                <w:color w:val="auto"/>
                <w:sz w:val="24"/>
                <w:szCs w:val="24"/>
                <w:highlight w:val="none"/>
              </w:rPr>
            </w:pPr>
          </w:p>
        </w:tc>
      </w:tr>
      <w:tr w14:paraId="2F85772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62" w:hRule="atLeast"/>
          <w:jc w:val="center"/>
        </w:trPr>
        <w:tc>
          <w:tcPr>
            <w:tcW w:w="352" w:type="dxa"/>
            <w:vMerge w:val="continue"/>
            <w:vAlign w:val="center"/>
          </w:tcPr>
          <w:p w14:paraId="231FE8EB">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2FD80E0A">
            <w:pPr>
              <w:widowControl/>
              <w:spacing w:line="300" w:lineRule="exact"/>
              <w:jc w:val="center"/>
              <w:rPr>
                <w:rFonts w:ascii="宋体" w:hAnsi="宋体" w:eastAsia="宋体" w:cs="宋体"/>
                <w:color w:val="auto"/>
                <w:sz w:val="24"/>
                <w:szCs w:val="24"/>
                <w:highlight w:val="none"/>
              </w:rPr>
            </w:pPr>
          </w:p>
        </w:tc>
        <w:tc>
          <w:tcPr>
            <w:tcW w:w="1662" w:type="dxa"/>
            <w:vMerge w:val="continue"/>
            <w:vAlign w:val="center"/>
          </w:tcPr>
          <w:p w14:paraId="3AC9253D">
            <w:pPr>
              <w:widowControl/>
              <w:spacing w:line="300" w:lineRule="exact"/>
              <w:jc w:val="center"/>
              <w:rPr>
                <w:rFonts w:ascii="宋体" w:hAnsi="宋体" w:eastAsia="宋体" w:cs="宋体"/>
                <w:color w:val="auto"/>
                <w:kern w:val="0"/>
                <w:sz w:val="24"/>
                <w:szCs w:val="24"/>
                <w:highlight w:val="none"/>
              </w:rPr>
            </w:pPr>
          </w:p>
        </w:tc>
        <w:tc>
          <w:tcPr>
            <w:tcW w:w="2915" w:type="dxa"/>
            <w:tcBorders>
              <w:top w:val="single" w:color="auto" w:sz="4" w:space="0"/>
              <w:bottom w:val="single" w:color="auto" w:sz="4" w:space="0"/>
            </w:tcBorders>
            <w:vAlign w:val="center"/>
          </w:tcPr>
          <w:p w14:paraId="12A9D1DC">
            <w:pPr>
              <w:widowControl/>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59226EF2">
            <w:pPr>
              <w:widowControl/>
              <w:rPr>
                <w:rFonts w:ascii="宋体" w:hAnsi="宋体" w:eastAsia="宋体" w:cs="宋体"/>
                <w:bCs/>
                <w:color w:val="auto"/>
                <w:sz w:val="24"/>
                <w:szCs w:val="24"/>
                <w:highlight w:val="none"/>
              </w:rPr>
            </w:pPr>
          </w:p>
        </w:tc>
        <w:tc>
          <w:tcPr>
            <w:tcW w:w="1121" w:type="dxa"/>
            <w:tcBorders>
              <w:top w:val="single" w:color="auto" w:sz="4" w:space="0"/>
              <w:bottom w:val="single" w:color="auto" w:sz="4" w:space="0"/>
            </w:tcBorders>
            <w:vAlign w:val="center"/>
          </w:tcPr>
          <w:p w14:paraId="51DC7727">
            <w:pPr>
              <w:widowControl/>
              <w:rPr>
                <w:rFonts w:ascii="宋体" w:hAnsi="宋体" w:eastAsia="宋体" w:cs="宋体"/>
                <w:bCs/>
                <w:color w:val="auto"/>
                <w:sz w:val="24"/>
                <w:szCs w:val="24"/>
                <w:highlight w:val="none"/>
              </w:rPr>
            </w:pPr>
          </w:p>
        </w:tc>
      </w:tr>
      <w:tr w14:paraId="14BADF5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08" w:hRule="atLeast"/>
          <w:jc w:val="center"/>
        </w:trPr>
        <w:tc>
          <w:tcPr>
            <w:tcW w:w="352" w:type="dxa"/>
            <w:vMerge w:val="continue"/>
            <w:vAlign w:val="center"/>
          </w:tcPr>
          <w:p w14:paraId="4B77DDAF">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64310EB0">
            <w:pPr>
              <w:widowControl/>
              <w:spacing w:line="300" w:lineRule="exact"/>
              <w:jc w:val="center"/>
              <w:rPr>
                <w:rFonts w:ascii="宋体" w:hAnsi="宋体" w:eastAsia="宋体" w:cs="宋体"/>
                <w:color w:val="auto"/>
                <w:sz w:val="24"/>
                <w:szCs w:val="24"/>
                <w:highlight w:val="none"/>
              </w:rPr>
            </w:pPr>
          </w:p>
        </w:tc>
        <w:tc>
          <w:tcPr>
            <w:tcW w:w="1662" w:type="dxa"/>
            <w:vMerge w:val="continue"/>
            <w:vAlign w:val="center"/>
          </w:tcPr>
          <w:p w14:paraId="05CA1331">
            <w:pPr>
              <w:widowControl/>
              <w:spacing w:line="300" w:lineRule="exact"/>
              <w:jc w:val="center"/>
              <w:rPr>
                <w:rFonts w:ascii="宋体" w:hAnsi="宋体" w:eastAsia="宋体" w:cs="宋体"/>
                <w:color w:val="auto"/>
                <w:kern w:val="0"/>
                <w:sz w:val="24"/>
                <w:szCs w:val="24"/>
                <w:highlight w:val="none"/>
              </w:rPr>
            </w:pPr>
          </w:p>
        </w:tc>
        <w:tc>
          <w:tcPr>
            <w:tcW w:w="2915" w:type="dxa"/>
            <w:tcBorders>
              <w:top w:val="single" w:color="auto" w:sz="4" w:space="0"/>
            </w:tcBorders>
            <w:vAlign w:val="center"/>
          </w:tcPr>
          <w:p w14:paraId="0EC8B31F">
            <w:pPr>
              <w:keepNext/>
              <w:keepLines/>
              <w:outlineLvl w:val="1"/>
              <w:rPr>
                <w:rFonts w:ascii="宋体" w:hAnsi="宋体" w:eastAsia="黑体" w:cs="宋体"/>
                <w:b/>
                <w:bCs/>
                <w:color w:val="auto"/>
                <w:kern w:val="0"/>
                <w:sz w:val="24"/>
                <w:szCs w:val="24"/>
                <w:highlight w:val="none"/>
              </w:rPr>
            </w:pPr>
          </w:p>
        </w:tc>
        <w:tc>
          <w:tcPr>
            <w:tcW w:w="1172" w:type="dxa"/>
            <w:tcBorders>
              <w:top w:val="single" w:color="auto" w:sz="4" w:space="0"/>
            </w:tcBorders>
            <w:vAlign w:val="center"/>
          </w:tcPr>
          <w:p w14:paraId="60983A32">
            <w:pPr>
              <w:widowControl/>
              <w:rPr>
                <w:rFonts w:ascii="宋体" w:hAnsi="宋体" w:eastAsia="宋体" w:cs="宋体"/>
                <w:bCs/>
                <w:color w:val="auto"/>
                <w:sz w:val="24"/>
                <w:szCs w:val="24"/>
                <w:highlight w:val="none"/>
              </w:rPr>
            </w:pPr>
          </w:p>
        </w:tc>
        <w:tc>
          <w:tcPr>
            <w:tcW w:w="1121" w:type="dxa"/>
            <w:tcBorders>
              <w:top w:val="single" w:color="auto" w:sz="4" w:space="0"/>
              <w:bottom w:val="single" w:color="auto" w:sz="4" w:space="0"/>
            </w:tcBorders>
            <w:vAlign w:val="center"/>
          </w:tcPr>
          <w:p w14:paraId="1567A080">
            <w:pPr>
              <w:widowControl/>
              <w:rPr>
                <w:rFonts w:ascii="宋体" w:hAnsi="宋体" w:eastAsia="宋体" w:cs="宋体"/>
                <w:bCs/>
                <w:color w:val="auto"/>
                <w:sz w:val="24"/>
                <w:szCs w:val="24"/>
                <w:highlight w:val="none"/>
              </w:rPr>
            </w:pPr>
          </w:p>
        </w:tc>
      </w:tr>
      <w:tr w14:paraId="2A4116F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484" w:hRule="atLeast"/>
          <w:jc w:val="center"/>
        </w:trPr>
        <w:tc>
          <w:tcPr>
            <w:tcW w:w="352" w:type="dxa"/>
            <w:vMerge w:val="continue"/>
            <w:vAlign w:val="center"/>
          </w:tcPr>
          <w:p w14:paraId="173AD1CE">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764E8610">
            <w:pPr>
              <w:widowControl/>
              <w:spacing w:line="300" w:lineRule="exact"/>
              <w:rPr>
                <w:rFonts w:ascii="宋体" w:hAnsi="宋体" w:eastAsia="宋体" w:cs="宋体"/>
                <w:b/>
                <w:bCs/>
                <w:color w:val="auto"/>
                <w:kern w:val="0"/>
                <w:sz w:val="24"/>
                <w:szCs w:val="24"/>
                <w:highlight w:val="none"/>
              </w:rPr>
            </w:pPr>
          </w:p>
        </w:tc>
        <w:tc>
          <w:tcPr>
            <w:tcW w:w="1662" w:type="dxa"/>
            <w:vMerge w:val="restart"/>
            <w:tcBorders>
              <w:top w:val="single" w:color="auto" w:sz="4" w:space="0"/>
            </w:tcBorders>
            <w:vAlign w:val="center"/>
          </w:tcPr>
          <w:p w14:paraId="02ACBBFF">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2"/>
                <w:szCs w:val="24"/>
                <w:highlight w:val="none"/>
              </w:rPr>
              <w:t>业务能力（0-1</w:t>
            </w:r>
            <w:r>
              <w:rPr>
                <w:rFonts w:ascii="宋体" w:hAnsi="宋体" w:eastAsia="宋体" w:cs="宋体"/>
                <w:color w:val="auto"/>
                <w:sz w:val="22"/>
                <w:szCs w:val="24"/>
                <w:highlight w:val="none"/>
              </w:rPr>
              <w:t>0</w:t>
            </w:r>
            <w:r>
              <w:rPr>
                <w:rFonts w:hint="eastAsia" w:ascii="宋体" w:hAnsi="宋体" w:eastAsia="宋体" w:cs="宋体"/>
                <w:color w:val="auto"/>
                <w:sz w:val="22"/>
                <w:szCs w:val="24"/>
                <w:highlight w:val="none"/>
              </w:rPr>
              <w:t>分）（客观）</w:t>
            </w:r>
          </w:p>
        </w:tc>
        <w:tc>
          <w:tcPr>
            <w:tcW w:w="2915" w:type="dxa"/>
            <w:tcBorders>
              <w:top w:val="single" w:color="auto" w:sz="4" w:space="0"/>
              <w:bottom w:val="single" w:color="auto" w:sz="4" w:space="0"/>
            </w:tcBorders>
            <w:vAlign w:val="center"/>
          </w:tcPr>
          <w:p w14:paraId="2ECAA682">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18EF4A96">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264BF9E0">
            <w:pPr>
              <w:widowControl/>
              <w:spacing w:line="300" w:lineRule="exact"/>
              <w:jc w:val="left"/>
              <w:rPr>
                <w:rFonts w:ascii="宋体" w:hAnsi="宋体" w:eastAsia="宋体" w:cs="宋体"/>
                <w:color w:val="auto"/>
                <w:kern w:val="0"/>
                <w:sz w:val="24"/>
                <w:szCs w:val="24"/>
                <w:highlight w:val="none"/>
              </w:rPr>
            </w:pPr>
          </w:p>
        </w:tc>
      </w:tr>
      <w:tr w14:paraId="0B5FD2C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857" w:hRule="atLeast"/>
          <w:jc w:val="center"/>
        </w:trPr>
        <w:tc>
          <w:tcPr>
            <w:tcW w:w="352" w:type="dxa"/>
            <w:vMerge w:val="continue"/>
            <w:vAlign w:val="center"/>
          </w:tcPr>
          <w:p w14:paraId="2380D6BC">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4E38567D">
            <w:pPr>
              <w:widowControl/>
              <w:spacing w:line="300" w:lineRule="exact"/>
              <w:rPr>
                <w:rFonts w:ascii="宋体" w:hAnsi="宋体" w:eastAsia="宋体" w:cs="宋体"/>
                <w:b/>
                <w:bCs/>
                <w:color w:val="auto"/>
                <w:kern w:val="0"/>
                <w:sz w:val="24"/>
                <w:szCs w:val="24"/>
                <w:highlight w:val="none"/>
              </w:rPr>
            </w:pPr>
          </w:p>
        </w:tc>
        <w:tc>
          <w:tcPr>
            <w:tcW w:w="1662" w:type="dxa"/>
            <w:vMerge w:val="continue"/>
            <w:vAlign w:val="center"/>
          </w:tcPr>
          <w:p w14:paraId="5E7995FC">
            <w:pPr>
              <w:spacing w:line="480" w:lineRule="exact"/>
              <w:jc w:val="center"/>
              <w:rPr>
                <w:rFonts w:ascii="宋体" w:hAnsi="宋体" w:eastAsia="宋体" w:cs="宋体"/>
                <w:color w:val="auto"/>
                <w:sz w:val="24"/>
                <w:szCs w:val="24"/>
                <w:highlight w:val="none"/>
              </w:rPr>
            </w:pPr>
          </w:p>
        </w:tc>
        <w:tc>
          <w:tcPr>
            <w:tcW w:w="2915" w:type="dxa"/>
            <w:tcBorders>
              <w:top w:val="single" w:color="auto" w:sz="4" w:space="0"/>
              <w:bottom w:val="single" w:color="auto" w:sz="4" w:space="0"/>
            </w:tcBorders>
            <w:vAlign w:val="center"/>
          </w:tcPr>
          <w:p w14:paraId="5A4DF471">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26711744">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47C6B89A">
            <w:pPr>
              <w:widowControl/>
              <w:spacing w:line="300" w:lineRule="exact"/>
              <w:jc w:val="left"/>
              <w:rPr>
                <w:rFonts w:ascii="宋体" w:hAnsi="宋体" w:eastAsia="宋体" w:cs="宋体"/>
                <w:color w:val="auto"/>
                <w:kern w:val="0"/>
                <w:sz w:val="24"/>
                <w:szCs w:val="24"/>
                <w:highlight w:val="none"/>
              </w:rPr>
            </w:pPr>
          </w:p>
        </w:tc>
      </w:tr>
      <w:tr w14:paraId="73727F0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678" w:hRule="atLeast"/>
          <w:jc w:val="center"/>
        </w:trPr>
        <w:tc>
          <w:tcPr>
            <w:tcW w:w="352" w:type="dxa"/>
            <w:vMerge w:val="continue"/>
            <w:vAlign w:val="center"/>
          </w:tcPr>
          <w:p w14:paraId="0D41020B">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15A0E557">
            <w:pPr>
              <w:widowControl/>
              <w:spacing w:line="300" w:lineRule="exact"/>
              <w:rPr>
                <w:rFonts w:ascii="宋体" w:hAnsi="宋体" w:eastAsia="宋体" w:cs="宋体"/>
                <w:b/>
                <w:bCs/>
                <w:color w:val="auto"/>
                <w:kern w:val="0"/>
                <w:sz w:val="24"/>
                <w:szCs w:val="24"/>
                <w:highlight w:val="none"/>
              </w:rPr>
            </w:pPr>
          </w:p>
        </w:tc>
        <w:tc>
          <w:tcPr>
            <w:tcW w:w="1662" w:type="dxa"/>
            <w:vMerge w:val="continue"/>
            <w:tcBorders>
              <w:bottom w:val="single" w:color="auto" w:sz="4" w:space="0"/>
            </w:tcBorders>
            <w:vAlign w:val="center"/>
          </w:tcPr>
          <w:p w14:paraId="0233249D">
            <w:pPr>
              <w:spacing w:line="480" w:lineRule="exact"/>
              <w:jc w:val="center"/>
              <w:rPr>
                <w:rFonts w:ascii="宋体" w:hAnsi="宋体" w:eastAsia="宋体" w:cs="宋体"/>
                <w:color w:val="auto"/>
                <w:sz w:val="24"/>
                <w:szCs w:val="24"/>
                <w:highlight w:val="none"/>
              </w:rPr>
            </w:pPr>
          </w:p>
        </w:tc>
        <w:tc>
          <w:tcPr>
            <w:tcW w:w="2915" w:type="dxa"/>
            <w:tcBorders>
              <w:top w:val="single" w:color="auto" w:sz="4" w:space="0"/>
              <w:bottom w:val="single" w:color="auto" w:sz="4" w:space="0"/>
            </w:tcBorders>
            <w:vAlign w:val="center"/>
          </w:tcPr>
          <w:p w14:paraId="25D61CF5">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24D2254B">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5C7F989F">
            <w:pPr>
              <w:widowControl/>
              <w:spacing w:line="300" w:lineRule="exact"/>
              <w:jc w:val="left"/>
              <w:rPr>
                <w:rFonts w:ascii="宋体" w:hAnsi="宋体" w:eastAsia="宋体" w:cs="宋体"/>
                <w:color w:val="auto"/>
                <w:kern w:val="0"/>
                <w:sz w:val="24"/>
                <w:szCs w:val="24"/>
                <w:highlight w:val="none"/>
              </w:rPr>
            </w:pPr>
          </w:p>
        </w:tc>
      </w:tr>
      <w:tr w14:paraId="7639391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58" w:hRule="atLeast"/>
          <w:jc w:val="center"/>
        </w:trPr>
        <w:tc>
          <w:tcPr>
            <w:tcW w:w="352" w:type="dxa"/>
            <w:vMerge w:val="continue"/>
            <w:vAlign w:val="center"/>
          </w:tcPr>
          <w:p w14:paraId="792E6F06">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315F3314">
            <w:pPr>
              <w:widowControl/>
              <w:spacing w:line="300" w:lineRule="exact"/>
              <w:rPr>
                <w:rFonts w:ascii="宋体" w:hAnsi="宋体" w:eastAsia="宋体" w:cs="宋体"/>
                <w:b/>
                <w:bCs/>
                <w:color w:val="auto"/>
                <w:kern w:val="0"/>
                <w:sz w:val="24"/>
                <w:szCs w:val="24"/>
                <w:highlight w:val="none"/>
              </w:rPr>
            </w:pPr>
          </w:p>
        </w:tc>
        <w:tc>
          <w:tcPr>
            <w:tcW w:w="1662" w:type="dxa"/>
            <w:vMerge w:val="restart"/>
            <w:tcBorders>
              <w:top w:val="single" w:color="auto" w:sz="4" w:space="0"/>
            </w:tcBorders>
            <w:vAlign w:val="center"/>
          </w:tcPr>
          <w:p w14:paraId="27F0932B">
            <w:pPr>
              <w:spacing w:line="48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拟派团队人员经验</w:t>
            </w:r>
          </w:p>
          <w:p w14:paraId="3558092F">
            <w:pPr>
              <w:spacing w:line="48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（0～5分）</w:t>
            </w:r>
          </w:p>
          <w:p w14:paraId="050ADACE">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2"/>
                <w:szCs w:val="24"/>
                <w:highlight w:val="none"/>
              </w:rPr>
              <w:t>（客观）</w:t>
            </w:r>
          </w:p>
        </w:tc>
        <w:tc>
          <w:tcPr>
            <w:tcW w:w="2915" w:type="dxa"/>
            <w:tcBorders>
              <w:top w:val="single" w:color="auto" w:sz="4" w:space="0"/>
              <w:bottom w:val="single" w:color="auto" w:sz="4" w:space="0"/>
            </w:tcBorders>
            <w:vAlign w:val="center"/>
          </w:tcPr>
          <w:p w14:paraId="75559C6E">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52434456">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64C0464D">
            <w:pPr>
              <w:widowControl/>
              <w:spacing w:line="300" w:lineRule="exact"/>
              <w:jc w:val="left"/>
              <w:rPr>
                <w:rFonts w:ascii="宋体" w:hAnsi="宋体" w:eastAsia="宋体" w:cs="宋体"/>
                <w:color w:val="auto"/>
                <w:kern w:val="0"/>
                <w:sz w:val="24"/>
                <w:szCs w:val="24"/>
                <w:highlight w:val="none"/>
              </w:rPr>
            </w:pPr>
          </w:p>
        </w:tc>
      </w:tr>
      <w:tr w14:paraId="1B9D7D6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87" w:hRule="atLeast"/>
          <w:jc w:val="center"/>
        </w:trPr>
        <w:tc>
          <w:tcPr>
            <w:tcW w:w="352" w:type="dxa"/>
            <w:vMerge w:val="continue"/>
            <w:vAlign w:val="center"/>
          </w:tcPr>
          <w:p w14:paraId="16C15863">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0DE91B65">
            <w:pPr>
              <w:widowControl/>
              <w:spacing w:line="300" w:lineRule="exact"/>
              <w:rPr>
                <w:rFonts w:ascii="宋体" w:hAnsi="宋体" w:eastAsia="宋体" w:cs="宋体"/>
                <w:b/>
                <w:bCs/>
                <w:color w:val="auto"/>
                <w:kern w:val="0"/>
                <w:sz w:val="24"/>
                <w:szCs w:val="24"/>
                <w:highlight w:val="none"/>
              </w:rPr>
            </w:pPr>
          </w:p>
        </w:tc>
        <w:tc>
          <w:tcPr>
            <w:tcW w:w="1662" w:type="dxa"/>
            <w:vMerge w:val="continue"/>
            <w:vAlign w:val="center"/>
          </w:tcPr>
          <w:p w14:paraId="1FE4A41A">
            <w:pPr>
              <w:spacing w:line="480" w:lineRule="exact"/>
              <w:jc w:val="center"/>
              <w:rPr>
                <w:rFonts w:ascii="宋体" w:hAnsi="宋体" w:eastAsia="宋体" w:cs="宋体"/>
                <w:color w:val="auto"/>
                <w:sz w:val="24"/>
                <w:szCs w:val="24"/>
                <w:highlight w:val="none"/>
              </w:rPr>
            </w:pPr>
          </w:p>
        </w:tc>
        <w:tc>
          <w:tcPr>
            <w:tcW w:w="2915" w:type="dxa"/>
            <w:tcBorders>
              <w:top w:val="single" w:color="auto" w:sz="4" w:space="0"/>
              <w:bottom w:val="single" w:color="auto" w:sz="4" w:space="0"/>
            </w:tcBorders>
            <w:vAlign w:val="center"/>
          </w:tcPr>
          <w:p w14:paraId="2C1FB8D3">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278DEBC8">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73681B3D">
            <w:pPr>
              <w:widowControl/>
              <w:spacing w:line="300" w:lineRule="exact"/>
              <w:jc w:val="left"/>
              <w:rPr>
                <w:rFonts w:ascii="宋体" w:hAnsi="宋体" w:eastAsia="宋体" w:cs="宋体"/>
                <w:color w:val="auto"/>
                <w:kern w:val="0"/>
                <w:sz w:val="24"/>
                <w:szCs w:val="24"/>
                <w:highlight w:val="none"/>
              </w:rPr>
            </w:pPr>
          </w:p>
        </w:tc>
      </w:tr>
      <w:tr w14:paraId="0579A8A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37" w:hRule="atLeast"/>
          <w:jc w:val="center"/>
        </w:trPr>
        <w:tc>
          <w:tcPr>
            <w:tcW w:w="352" w:type="dxa"/>
            <w:vMerge w:val="continue"/>
            <w:vAlign w:val="center"/>
          </w:tcPr>
          <w:p w14:paraId="15C1CA13">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456AF2EB">
            <w:pPr>
              <w:widowControl/>
              <w:spacing w:line="300" w:lineRule="exact"/>
              <w:rPr>
                <w:rFonts w:ascii="宋体" w:hAnsi="宋体" w:eastAsia="宋体" w:cs="宋体"/>
                <w:b/>
                <w:bCs/>
                <w:color w:val="auto"/>
                <w:kern w:val="0"/>
                <w:sz w:val="24"/>
                <w:szCs w:val="24"/>
                <w:highlight w:val="none"/>
              </w:rPr>
            </w:pPr>
          </w:p>
        </w:tc>
        <w:tc>
          <w:tcPr>
            <w:tcW w:w="1662" w:type="dxa"/>
            <w:vMerge w:val="continue"/>
            <w:vAlign w:val="center"/>
          </w:tcPr>
          <w:p w14:paraId="522944CA">
            <w:pPr>
              <w:spacing w:line="480" w:lineRule="exact"/>
              <w:jc w:val="center"/>
              <w:rPr>
                <w:rFonts w:ascii="宋体" w:hAnsi="宋体" w:eastAsia="宋体" w:cs="宋体"/>
                <w:color w:val="auto"/>
                <w:sz w:val="24"/>
                <w:szCs w:val="24"/>
                <w:highlight w:val="none"/>
              </w:rPr>
            </w:pPr>
          </w:p>
        </w:tc>
        <w:tc>
          <w:tcPr>
            <w:tcW w:w="2915" w:type="dxa"/>
            <w:tcBorders>
              <w:top w:val="single" w:color="auto" w:sz="4" w:space="0"/>
              <w:bottom w:val="single" w:color="auto" w:sz="4" w:space="0"/>
            </w:tcBorders>
            <w:vAlign w:val="center"/>
          </w:tcPr>
          <w:p w14:paraId="1FF89CD0">
            <w:pPr>
              <w:widowControl/>
              <w:spacing w:line="300" w:lineRule="exact"/>
              <w:jc w:val="left"/>
              <w:rPr>
                <w:rFonts w:ascii="宋体" w:hAnsi="宋体" w:eastAsia="宋体" w:cs="宋体"/>
                <w:color w:val="auto"/>
                <w:kern w:val="0"/>
                <w:sz w:val="24"/>
                <w:szCs w:val="24"/>
                <w:highlight w:val="none"/>
              </w:rPr>
            </w:pPr>
          </w:p>
        </w:tc>
        <w:tc>
          <w:tcPr>
            <w:tcW w:w="1172" w:type="dxa"/>
            <w:tcBorders>
              <w:top w:val="single" w:color="auto" w:sz="4" w:space="0"/>
              <w:bottom w:val="single" w:color="auto" w:sz="4" w:space="0"/>
            </w:tcBorders>
            <w:vAlign w:val="center"/>
          </w:tcPr>
          <w:p w14:paraId="7444E429">
            <w:pPr>
              <w:widowControl/>
              <w:spacing w:line="300" w:lineRule="exact"/>
              <w:jc w:val="left"/>
              <w:rPr>
                <w:rFonts w:ascii="宋体" w:hAnsi="宋体" w:eastAsia="宋体" w:cs="宋体"/>
                <w:color w:val="auto"/>
                <w:kern w:val="0"/>
                <w:sz w:val="24"/>
                <w:szCs w:val="24"/>
                <w:highlight w:val="none"/>
              </w:rPr>
            </w:pPr>
          </w:p>
        </w:tc>
        <w:tc>
          <w:tcPr>
            <w:tcW w:w="1121" w:type="dxa"/>
            <w:tcBorders>
              <w:top w:val="single" w:color="auto" w:sz="4" w:space="0"/>
              <w:bottom w:val="single" w:color="auto" w:sz="4" w:space="0"/>
            </w:tcBorders>
            <w:vAlign w:val="center"/>
          </w:tcPr>
          <w:p w14:paraId="5367A99E">
            <w:pPr>
              <w:widowControl/>
              <w:spacing w:line="300" w:lineRule="exact"/>
              <w:jc w:val="left"/>
              <w:rPr>
                <w:rFonts w:ascii="宋体" w:hAnsi="宋体" w:eastAsia="宋体" w:cs="宋体"/>
                <w:color w:val="auto"/>
                <w:kern w:val="0"/>
                <w:sz w:val="24"/>
                <w:szCs w:val="24"/>
                <w:highlight w:val="none"/>
              </w:rPr>
            </w:pPr>
          </w:p>
        </w:tc>
      </w:tr>
      <w:tr w14:paraId="0CF50B2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962" w:hRule="atLeast"/>
          <w:jc w:val="center"/>
        </w:trPr>
        <w:tc>
          <w:tcPr>
            <w:tcW w:w="352" w:type="dxa"/>
            <w:vMerge w:val="restart"/>
            <w:tcBorders>
              <w:top w:val="single" w:color="auto" w:sz="4" w:space="0"/>
            </w:tcBorders>
            <w:vAlign w:val="center"/>
          </w:tcPr>
          <w:p w14:paraId="08844C19">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55" w:type="dxa"/>
            <w:vMerge w:val="restart"/>
            <w:tcBorders>
              <w:top w:val="single" w:color="auto" w:sz="4" w:space="0"/>
            </w:tcBorders>
            <w:vAlign w:val="center"/>
          </w:tcPr>
          <w:p w14:paraId="7780C3EA">
            <w:pPr>
              <w:widowControl/>
              <w:spacing w:line="3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技术和服务方案（0-</w:t>
            </w:r>
            <w:r>
              <w:rPr>
                <w:rFonts w:ascii="宋体" w:hAnsi="宋体" w:eastAsia="宋体" w:cs="宋体"/>
                <w:b/>
                <w:bCs/>
                <w:color w:val="auto"/>
                <w:kern w:val="0"/>
                <w:sz w:val="24"/>
                <w:szCs w:val="24"/>
                <w:highlight w:val="none"/>
              </w:rPr>
              <w:t>7</w:t>
            </w:r>
            <w:r>
              <w:rPr>
                <w:rFonts w:hint="eastAsia" w:ascii="宋体" w:hAnsi="宋体" w:eastAsia="宋体" w:cs="宋体"/>
                <w:b/>
                <w:bCs/>
                <w:color w:val="auto"/>
                <w:kern w:val="0"/>
                <w:sz w:val="24"/>
                <w:szCs w:val="24"/>
                <w:highlight w:val="none"/>
              </w:rPr>
              <w:t>4分）</w:t>
            </w:r>
          </w:p>
        </w:tc>
        <w:tc>
          <w:tcPr>
            <w:tcW w:w="1662" w:type="dxa"/>
            <w:vMerge w:val="restart"/>
            <w:tcBorders>
              <w:top w:val="single" w:color="auto" w:sz="4" w:space="0"/>
            </w:tcBorders>
            <w:vAlign w:val="center"/>
          </w:tcPr>
          <w:p w14:paraId="194DF4E9">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2"/>
                <w:szCs w:val="24"/>
                <w:highlight w:val="none"/>
              </w:rPr>
              <w:t>审核方案（0-23分）（主观）</w:t>
            </w:r>
          </w:p>
        </w:tc>
        <w:tc>
          <w:tcPr>
            <w:tcW w:w="2915" w:type="dxa"/>
            <w:tcBorders>
              <w:top w:val="single" w:color="auto" w:sz="4" w:space="0"/>
            </w:tcBorders>
            <w:vAlign w:val="center"/>
          </w:tcPr>
          <w:p w14:paraId="42086A9B">
            <w:pPr>
              <w:spacing w:before="63" w:beforeLines="20" w:after="63" w:afterLines="20"/>
              <w:rPr>
                <w:rFonts w:ascii="宋体" w:hAnsi="宋体" w:eastAsia="宋体" w:cs="宋体"/>
                <w:bCs/>
                <w:color w:val="auto"/>
                <w:sz w:val="24"/>
                <w:szCs w:val="24"/>
                <w:highlight w:val="none"/>
              </w:rPr>
            </w:pPr>
          </w:p>
        </w:tc>
        <w:tc>
          <w:tcPr>
            <w:tcW w:w="1172" w:type="dxa"/>
            <w:tcBorders>
              <w:top w:val="single" w:color="auto" w:sz="4" w:space="0"/>
            </w:tcBorders>
            <w:vAlign w:val="center"/>
          </w:tcPr>
          <w:p w14:paraId="67699567">
            <w:pPr>
              <w:spacing w:before="63" w:beforeLines="20" w:after="63" w:afterLines="20"/>
              <w:rPr>
                <w:rFonts w:ascii="宋体" w:hAnsi="宋体" w:eastAsia="宋体" w:cs="宋体"/>
                <w:bCs/>
                <w:color w:val="auto"/>
                <w:sz w:val="24"/>
                <w:szCs w:val="24"/>
                <w:highlight w:val="none"/>
              </w:rPr>
            </w:pPr>
          </w:p>
        </w:tc>
        <w:tc>
          <w:tcPr>
            <w:tcW w:w="1121" w:type="dxa"/>
            <w:tcBorders>
              <w:top w:val="single" w:color="auto" w:sz="4" w:space="0"/>
              <w:bottom w:val="single" w:color="auto" w:sz="4" w:space="0"/>
            </w:tcBorders>
            <w:vAlign w:val="center"/>
          </w:tcPr>
          <w:p w14:paraId="6F84BA22">
            <w:pPr>
              <w:spacing w:before="63" w:beforeLines="20" w:after="63" w:afterLines="20"/>
              <w:rPr>
                <w:rFonts w:ascii="宋体" w:hAnsi="宋体" w:eastAsia="宋体" w:cs="宋体"/>
                <w:bCs/>
                <w:color w:val="auto"/>
                <w:sz w:val="24"/>
                <w:szCs w:val="24"/>
                <w:highlight w:val="none"/>
              </w:rPr>
            </w:pPr>
          </w:p>
        </w:tc>
      </w:tr>
      <w:tr w14:paraId="0DF49F9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821" w:hRule="atLeast"/>
          <w:jc w:val="center"/>
        </w:trPr>
        <w:tc>
          <w:tcPr>
            <w:tcW w:w="352" w:type="dxa"/>
            <w:vMerge w:val="continue"/>
            <w:vAlign w:val="center"/>
          </w:tcPr>
          <w:p w14:paraId="6FD945E3">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2D020183">
            <w:pPr>
              <w:widowControl/>
              <w:spacing w:line="300" w:lineRule="exact"/>
              <w:jc w:val="center"/>
              <w:rPr>
                <w:rFonts w:ascii="宋体" w:hAnsi="宋体" w:eastAsia="宋体" w:cs="宋体"/>
                <w:b/>
                <w:bCs/>
                <w:color w:val="auto"/>
                <w:kern w:val="0"/>
                <w:sz w:val="24"/>
                <w:szCs w:val="24"/>
                <w:highlight w:val="none"/>
              </w:rPr>
            </w:pPr>
          </w:p>
        </w:tc>
        <w:tc>
          <w:tcPr>
            <w:tcW w:w="1662" w:type="dxa"/>
            <w:vMerge w:val="continue"/>
            <w:tcBorders>
              <w:bottom w:val="single" w:color="auto" w:sz="4" w:space="0"/>
            </w:tcBorders>
            <w:vAlign w:val="center"/>
          </w:tcPr>
          <w:p w14:paraId="4DAE13E1">
            <w:pPr>
              <w:widowControl/>
              <w:spacing w:line="300" w:lineRule="exact"/>
              <w:jc w:val="center"/>
              <w:rPr>
                <w:rFonts w:ascii="宋体" w:hAnsi="宋体" w:eastAsia="宋体" w:cs="宋体"/>
                <w:color w:val="auto"/>
                <w:kern w:val="0"/>
                <w:sz w:val="24"/>
                <w:szCs w:val="24"/>
                <w:highlight w:val="none"/>
              </w:rPr>
            </w:pPr>
          </w:p>
        </w:tc>
        <w:tc>
          <w:tcPr>
            <w:tcW w:w="2915" w:type="dxa"/>
            <w:tcBorders>
              <w:top w:val="single" w:color="auto" w:sz="4" w:space="0"/>
              <w:bottom w:val="single" w:color="auto" w:sz="4" w:space="0"/>
            </w:tcBorders>
            <w:vAlign w:val="center"/>
          </w:tcPr>
          <w:p w14:paraId="6180E68D">
            <w:pPr>
              <w:spacing w:before="63" w:beforeLines="20" w:after="63" w:afterLines="20"/>
              <w:rPr>
                <w:rFonts w:ascii="宋体" w:hAnsi="宋体" w:eastAsia="宋体" w:cs="宋体"/>
                <w:bCs/>
                <w:color w:val="auto"/>
                <w:sz w:val="24"/>
                <w:szCs w:val="24"/>
                <w:highlight w:val="none"/>
              </w:rPr>
            </w:pPr>
          </w:p>
        </w:tc>
        <w:tc>
          <w:tcPr>
            <w:tcW w:w="1172" w:type="dxa"/>
            <w:tcBorders>
              <w:top w:val="single" w:color="auto" w:sz="4" w:space="0"/>
              <w:bottom w:val="single" w:color="auto" w:sz="4" w:space="0"/>
            </w:tcBorders>
            <w:vAlign w:val="center"/>
          </w:tcPr>
          <w:p w14:paraId="2400CA3E">
            <w:pPr>
              <w:spacing w:before="63" w:beforeLines="20" w:after="63" w:afterLines="20"/>
              <w:rPr>
                <w:rFonts w:ascii="宋体" w:hAnsi="宋体" w:eastAsia="宋体" w:cs="宋体"/>
                <w:bCs/>
                <w:color w:val="auto"/>
                <w:sz w:val="24"/>
                <w:szCs w:val="24"/>
                <w:highlight w:val="none"/>
              </w:rPr>
            </w:pPr>
          </w:p>
        </w:tc>
        <w:tc>
          <w:tcPr>
            <w:tcW w:w="1121" w:type="dxa"/>
            <w:tcBorders>
              <w:top w:val="single" w:color="auto" w:sz="4" w:space="0"/>
              <w:bottom w:val="single" w:color="auto" w:sz="4" w:space="0"/>
            </w:tcBorders>
            <w:vAlign w:val="center"/>
          </w:tcPr>
          <w:p w14:paraId="6DE67B1A">
            <w:pPr>
              <w:spacing w:before="63" w:beforeLines="20" w:after="63" w:afterLines="20"/>
              <w:rPr>
                <w:rFonts w:ascii="宋体" w:hAnsi="宋体" w:eastAsia="宋体" w:cs="宋体"/>
                <w:bCs/>
                <w:color w:val="auto"/>
                <w:sz w:val="24"/>
                <w:szCs w:val="24"/>
                <w:highlight w:val="none"/>
              </w:rPr>
            </w:pPr>
          </w:p>
        </w:tc>
      </w:tr>
      <w:tr w14:paraId="1233E38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782" w:hRule="atLeast"/>
          <w:jc w:val="center"/>
        </w:trPr>
        <w:tc>
          <w:tcPr>
            <w:tcW w:w="352" w:type="dxa"/>
            <w:vMerge w:val="continue"/>
            <w:vAlign w:val="center"/>
          </w:tcPr>
          <w:p w14:paraId="2D806614">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78EFB241">
            <w:pPr>
              <w:widowControl/>
              <w:spacing w:line="300" w:lineRule="exact"/>
              <w:jc w:val="center"/>
              <w:rPr>
                <w:rFonts w:ascii="宋体" w:hAnsi="宋体" w:eastAsia="宋体" w:cs="宋体"/>
                <w:b/>
                <w:bCs/>
                <w:color w:val="auto"/>
                <w:kern w:val="0"/>
                <w:sz w:val="24"/>
                <w:szCs w:val="24"/>
                <w:highlight w:val="none"/>
              </w:rPr>
            </w:pPr>
          </w:p>
        </w:tc>
        <w:tc>
          <w:tcPr>
            <w:tcW w:w="1662" w:type="dxa"/>
            <w:vMerge w:val="continue"/>
            <w:tcBorders>
              <w:bottom w:val="single" w:color="auto" w:sz="4" w:space="0"/>
            </w:tcBorders>
            <w:vAlign w:val="center"/>
          </w:tcPr>
          <w:p w14:paraId="50FC3C2E">
            <w:pPr>
              <w:widowControl/>
              <w:spacing w:line="300" w:lineRule="exact"/>
              <w:jc w:val="center"/>
              <w:rPr>
                <w:rFonts w:ascii="宋体" w:hAnsi="宋体" w:eastAsia="宋体" w:cs="宋体"/>
                <w:color w:val="auto"/>
                <w:kern w:val="0"/>
                <w:sz w:val="24"/>
                <w:szCs w:val="24"/>
                <w:highlight w:val="none"/>
              </w:rPr>
            </w:pPr>
          </w:p>
        </w:tc>
        <w:tc>
          <w:tcPr>
            <w:tcW w:w="2915" w:type="dxa"/>
            <w:tcBorders>
              <w:top w:val="single" w:color="auto" w:sz="4" w:space="0"/>
              <w:bottom w:val="single" w:color="auto" w:sz="4" w:space="0"/>
            </w:tcBorders>
            <w:vAlign w:val="center"/>
          </w:tcPr>
          <w:p w14:paraId="78F88E71">
            <w:pPr>
              <w:spacing w:before="63" w:beforeLines="20" w:after="63" w:afterLines="20"/>
              <w:rPr>
                <w:rFonts w:ascii="宋体" w:hAnsi="宋体" w:eastAsia="宋体" w:cs="宋体"/>
                <w:bCs/>
                <w:color w:val="auto"/>
                <w:sz w:val="24"/>
                <w:szCs w:val="24"/>
                <w:highlight w:val="none"/>
              </w:rPr>
            </w:pPr>
          </w:p>
        </w:tc>
        <w:tc>
          <w:tcPr>
            <w:tcW w:w="1172" w:type="dxa"/>
            <w:tcBorders>
              <w:top w:val="single" w:color="auto" w:sz="4" w:space="0"/>
              <w:bottom w:val="single" w:color="auto" w:sz="4" w:space="0"/>
            </w:tcBorders>
            <w:vAlign w:val="center"/>
          </w:tcPr>
          <w:p w14:paraId="098D2D07">
            <w:pPr>
              <w:spacing w:before="63" w:beforeLines="20" w:after="63" w:afterLines="20"/>
              <w:rPr>
                <w:rFonts w:ascii="宋体" w:hAnsi="宋体" w:eastAsia="宋体" w:cs="宋体"/>
                <w:bCs/>
                <w:color w:val="auto"/>
                <w:sz w:val="24"/>
                <w:szCs w:val="24"/>
                <w:highlight w:val="none"/>
              </w:rPr>
            </w:pPr>
          </w:p>
        </w:tc>
        <w:tc>
          <w:tcPr>
            <w:tcW w:w="1121" w:type="dxa"/>
            <w:tcBorders>
              <w:top w:val="single" w:color="auto" w:sz="4" w:space="0"/>
              <w:bottom w:val="single" w:color="auto" w:sz="4" w:space="0"/>
            </w:tcBorders>
            <w:vAlign w:val="center"/>
          </w:tcPr>
          <w:p w14:paraId="71BD95A2">
            <w:pPr>
              <w:spacing w:before="63" w:beforeLines="20" w:after="63" w:afterLines="20"/>
              <w:rPr>
                <w:rFonts w:ascii="宋体" w:hAnsi="宋体" w:eastAsia="宋体" w:cs="宋体"/>
                <w:bCs/>
                <w:color w:val="auto"/>
                <w:sz w:val="24"/>
                <w:szCs w:val="24"/>
                <w:highlight w:val="none"/>
              </w:rPr>
            </w:pPr>
          </w:p>
        </w:tc>
      </w:tr>
      <w:tr w14:paraId="3742BF4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302" w:hRule="atLeast"/>
          <w:jc w:val="center"/>
        </w:trPr>
        <w:tc>
          <w:tcPr>
            <w:tcW w:w="352" w:type="dxa"/>
            <w:vMerge w:val="continue"/>
            <w:vAlign w:val="center"/>
          </w:tcPr>
          <w:p w14:paraId="482B89C3">
            <w:pPr>
              <w:widowControl/>
              <w:spacing w:line="300" w:lineRule="exact"/>
              <w:jc w:val="center"/>
              <w:rPr>
                <w:rFonts w:ascii="宋体" w:hAnsi="宋体" w:eastAsia="宋体" w:cs="宋体"/>
                <w:color w:val="auto"/>
                <w:kern w:val="0"/>
                <w:sz w:val="24"/>
                <w:szCs w:val="24"/>
                <w:highlight w:val="none"/>
              </w:rPr>
            </w:pPr>
          </w:p>
        </w:tc>
        <w:tc>
          <w:tcPr>
            <w:tcW w:w="1055" w:type="dxa"/>
            <w:vMerge w:val="continue"/>
            <w:vAlign w:val="center"/>
          </w:tcPr>
          <w:p w14:paraId="7F2B3793">
            <w:pPr>
              <w:widowControl/>
              <w:spacing w:line="300" w:lineRule="exact"/>
              <w:jc w:val="center"/>
              <w:rPr>
                <w:rFonts w:ascii="宋体" w:hAnsi="宋体" w:eastAsia="宋体" w:cs="宋体"/>
                <w:b/>
                <w:bCs/>
                <w:color w:val="auto"/>
                <w:kern w:val="0"/>
                <w:sz w:val="24"/>
                <w:szCs w:val="24"/>
                <w:highlight w:val="none"/>
              </w:rPr>
            </w:pPr>
          </w:p>
        </w:tc>
        <w:tc>
          <w:tcPr>
            <w:tcW w:w="1662" w:type="dxa"/>
            <w:tcBorders>
              <w:top w:val="single" w:color="auto" w:sz="4" w:space="0"/>
            </w:tcBorders>
            <w:vAlign w:val="center"/>
          </w:tcPr>
          <w:p w14:paraId="7341C4CE">
            <w:pPr>
              <w:spacing w:before="63" w:beforeLines="20" w:after="63" w:afterLines="20"/>
              <w:jc w:val="center"/>
              <w:rPr>
                <w:rFonts w:ascii="宋体" w:hAnsi="宋体" w:eastAsia="宋体" w:cs="宋体"/>
                <w:bCs/>
                <w:color w:val="auto"/>
                <w:sz w:val="22"/>
                <w:szCs w:val="24"/>
                <w:highlight w:val="none"/>
              </w:rPr>
            </w:pPr>
            <w:r>
              <w:rPr>
                <w:rFonts w:hint="eastAsia" w:ascii="宋体" w:hAnsi="宋体" w:eastAsia="宋体" w:cs="宋体"/>
                <w:bCs/>
                <w:color w:val="auto"/>
                <w:sz w:val="22"/>
                <w:szCs w:val="24"/>
                <w:highlight w:val="none"/>
              </w:rPr>
              <w:t>审计质量保证措施</w:t>
            </w:r>
          </w:p>
          <w:p w14:paraId="427AD717">
            <w:pPr>
              <w:spacing w:before="63" w:beforeLines="20" w:after="63" w:afterLines="20"/>
              <w:jc w:val="center"/>
              <w:rPr>
                <w:rFonts w:ascii="宋体" w:hAnsi="宋体" w:eastAsia="宋体" w:cs="宋体"/>
                <w:color w:val="auto"/>
                <w:kern w:val="0"/>
                <w:sz w:val="24"/>
                <w:szCs w:val="24"/>
                <w:highlight w:val="none"/>
              </w:rPr>
            </w:pPr>
            <w:r>
              <w:rPr>
                <w:rFonts w:hint="eastAsia" w:ascii="宋体" w:hAnsi="宋体" w:eastAsia="宋体" w:cs="宋体"/>
                <w:bCs/>
                <w:color w:val="auto"/>
                <w:sz w:val="22"/>
                <w:szCs w:val="24"/>
                <w:highlight w:val="none"/>
              </w:rPr>
              <w:t>（0-12分）</w:t>
            </w:r>
            <w:r>
              <w:rPr>
                <w:rFonts w:hint="eastAsia" w:ascii="宋体" w:hAnsi="宋体" w:eastAsia="宋体" w:cs="宋体"/>
                <w:color w:val="auto"/>
                <w:kern w:val="0"/>
                <w:sz w:val="22"/>
                <w:szCs w:val="24"/>
                <w:highlight w:val="none"/>
              </w:rPr>
              <w:t>（主观）</w:t>
            </w:r>
          </w:p>
        </w:tc>
        <w:tc>
          <w:tcPr>
            <w:tcW w:w="2915" w:type="dxa"/>
            <w:tcBorders>
              <w:top w:val="single" w:color="auto" w:sz="4" w:space="0"/>
            </w:tcBorders>
            <w:vAlign w:val="center"/>
          </w:tcPr>
          <w:p w14:paraId="3A86F75D">
            <w:pPr>
              <w:spacing w:before="63" w:beforeLines="20" w:after="63" w:afterLines="20"/>
              <w:rPr>
                <w:rFonts w:ascii="宋体" w:hAnsi="宋体" w:eastAsia="宋体" w:cs="宋体"/>
                <w:color w:val="auto"/>
                <w:kern w:val="0"/>
                <w:sz w:val="24"/>
                <w:szCs w:val="24"/>
                <w:highlight w:val="none"/>
              </w:rPr>
            </w:pPr>
          </w:p>
        </w:tc>
        <w:tc>
          <w:tcPr>
            <w:tcW w:w="1172" w:type="dxa"/>
            <w:tcBorders>
              <w:top w:val="single" w:color="auto" w:sz="4" w:space="0"/>
            </w:tcBorders>
            <w:vAlign w:val="center"/>
          </w:tcPr>
          <w:p w14:paraId="68A8F9A6">
            <w:pPr>
              <w:spacing w:before="63" w:beforeLines="20" w:after="63" w:afterLines="20"/>
              <w:rPr>
                <w:rFonts w:ascii="宋体" w:hAnsi="宋体" w:eastAsia="宋体" w:cs="宋体"/>
                <w:bCs/>
                <w:color w:val="auto"/>
                <w:sz w:val="24"/>
                <w:szCs w:val="24"/>
                <w:highlight w:val="none"/>
              </w:rPr>
            </w:pPr>
          </w:p>
        </w:tc>
        <w:tc>
          <w:tcPr>
            <w:tcW w:w="1121" w:type="dxa"/>
            <w:tcBorders>
              <w:top w:val="single" w:color="auto" w:sz="4" w:space="0"/>
            </w:tcBorders>
            <w:vAlign w:val="center"/>
          </w:tcPr>
          <w:p w14:paraId="4F85F864">
            <w:pPr>
              <w:spacing w:before="63" w:beforeLines="20" w:after="63" w:afterLines="20"/>
              <w:rPr>
                <w:rFonts w:ascii="宋体" w:hAnsi="宋体" w:eastAsia="宋体" w:cs="宋体"/>
                <w:bCs/>
                <w:color w:val="auto"/>
                <w:sz w:val="24"/>
                <w:szCs w:val="24"/>
                <w:highlight w:val="none"/>
              </w:rPr>
            </w:pPr>
          </w:p>
        </w:tc>
      </w:tr>
      <w:tr w14:paraId="7B23867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095" w:hRule="atLeast"/>
          <w:jc w:val="center"/>
        </w:trPr>
        <w:tc>
          <w:tcPr>
            <w:tcW w:w="352" w:type="dxa"/>
            <w:vMerge w:val="continue"/>
            <w:vAlign w:val="center"/>
          </w:tcPr>
          <w:p w14:paraId="53EF386E">
            <w:pPr>
              <w:widowControl/>
              <w:spacing w:line="300" w:lineRule="exact"/>
              <w:ind w:firstLine="441"/>
              <w:jc w:val="center"/>
              <w:rPr>
                <w:rFonts w:ascii="宋体" w:hAnsi="宋体" w:eastAsia="宋体" w:cs="宋体"/>
                <w:color w:val="auto"/>
                <w:kern w:val="0"/>
                <w:sz w:val="24"/>
                <w:szCs w:val="24"/>
                <w:highlight w:val="none"/>
              </w:rPr>
            </w:pPr>
          </w:p>
        </w:tc>
        <w:tc>
          <w:tcPr>
            <w:tcW w:w="1055" w:type="dxa"/>
            <w:vMerge w:val="continue"/>
            <w:vAlign w:val="center"/>
          </w:tcPr>
          <w:p w14:paraId="63466E10">
            <w:pPr>
              <w:widowControl/>
              <w:spacing w:line="300" w:lineRule="exact"/>
              <w:ind w:firstLine="441"/>
              <w:jc w:val="left"/>
              <w:rPr>
                <w:rFonts w:ascii="宋体" w:hAnsi="宋体" w:eastAsia="宋体" w:cs="宋体"/>
                <w:b/>
                <w:bCs/>
                <w:color w:val="auto"/>
                <w:kern w:val="0"/>
                <w:sz w:val="24"/>
                <w:szCs w:val="24"/>
                <w:highlight w:val="none"/>
              </w:rPr>
            </w:pPr>
          </w:p>
        </w:tc>
        <w:tc>
          <w:tcPr>
            <w:tcW w:w="1662" w:type="dxa"/>
            <w:vAlign w:val="center"/>
          </w:tcPr>
          <w:p w14:paraId="120AE70F">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2"/>
                <w:szCs w:val="24"/>
                <w:highlight w:val="none"/>
              </w:rPr>
              <w:t>应急预案（0-6分）（主观）</w:t>
            </w:r>
          </w:p>
        </w:tc>
        <w:tc>
          <w:tcPr>
            <w:tcW w:w="2915" w:type="dxa"/>
            <w:vAlign w:val="center"/>
          </w:tcPr>
          <w:p w14:paraId="4715F8CE">
            <w:pPr>
              <w:widowControl/>
              <w:spacing w:line="300" w:lineRule="exact"/>
              <w:rPr>
                <w:rFonts w:ascii="宋体" w:hAnsi="宋体" w:eastAsia="宋体" w:cs="宋体"/>
                <w:color w:val="auto"/>
                <w:kern w:val="0"/>
                <w:sz w:val="24"/>
                <w:szCs w:val="24"/>
                <w:highlight w:val="none"/>
              </w:rPr>
            </w:pPr>
          </w:p>
        </w:tc>
        <w:tc>
          <w:tcPr>
            <w:tcW w:w="1172" w:type="dxa"/>
            <w:vAlign w:val="center"/>
          </w:tcPr>
          <w:p w14:paraId="34A81C71">
            <w:pPr>
              <w:widowControl/>
              <w:spacing w:line="300" w:lineRule="exact"/>
              <w:rPr>
                <w:rFonts w:ascii="宋体" w:hAnsi="宋体" w:eastAsia="宋体" w:cs="宋体"/>
                <w:color w:val="auto"/>
                <w:sz w:val="24"/>
                <w:szCs w:val="24"/>
                <w:highlight w:val="none"/>
              </w:rPr>
            </w:pPr>
          </w:p>
        </w:tc>
        <w:tc>
          <w:tcPr>
            <w:tcW w:w="1121" w:type="dxa"/>
            <w:vAlign w:val="center"/>
          </w:tcPr>
          <w:p w14:paraId="39231CF4">
            <w:pPr>
              <w:widowControl/>
              <w:spacing w:line="300" w:lineRule="exact"/>
              <w:rPr>
                <w:rFonts w:ascii="宋体" w:hAnsi="宋体" w:eastAsia="宋体" w:cs="宋体"/>
                <w:color w:val="auto"/>
                <w:sz w:val="24"/>
                <w:szCs w:val="24"/>
                <w:highlight w:val="none"/>
              </w:rPr>
            </w:pPr>
          </w:p>
        </w:tc>
      </w:tr>
      <w:tr w14:paraId="45BEF74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355" w:hRule="atLeast"/>
          <w:jc w:val="center"/>
        </w:trPr>
        <w:tc>
          <w:tcPr>
            <w:tcW w:w="352" w:type="dxa"/>
            <w:vMerge w:val="continue"/>
            <w:vAlign w:val="center"/>
          </w:tcPr>
          <w:p w14:paraId="654B2CD5">
            <w:pPr>
              <w:widowControl/>
              <w:spacing w:line="300" w:lineRule="exact"/>
              <w:ind w:firstLine="441"/>
              <w:jc w:val="center"/>
              <w:rPr>
                <w:rFonts w:ascii="宋体" w:hAnsi="宋体" w:eastAsia="宋体" w:cs="宋体"/>
                <w:color w:val="auto"/>
                <w:sz w:val="24"/>
                <w:szCs w:val="24"/>
                <w:highlight w:val="none"/>
              </w:rPr>
            </w:pPr>
          </w:p>
        </w:tc>
        <w:tc>
          <w:tcPr>
            <w:tcW w:w="1055" w:type="dxa"/>
            <w:vMerge w:val="continue"/>
            <w:vAlign w:val="center"/>
          </w:tcPr>
          <w:p w14:paraId="44D5CAA1">
            <w:pPr>
              <w:widowControl/>
              <w:spacing w:line="300" w:lineRule="exact"/>
              <w:ind w:firstLine="441"/>
              <w:jc w:val="center"/>
              <w:rPr>
                <w:rFonts w:ascii="宋体" w:hAnsi="宋体" w:eastAsia="宋体" w:cs="宋体"/>
                <w:color w:val="auto"/>
                <w:sz w:val="24"/>
                <w:szCs w:val="24"/>
                <w:highlight w:val="none"/>
              </w:rPr>
            </w:pPr>
          </w:p>
        </w:tc>
        <w:tc>
          <w:tcPr>
            <w:tcW w:w="1662" w:type="dxa"/>
            <w:tcBorders>
              <w:bottom w:val="single" w:color="auto" w:sz="4" w:space="0"/>
            </w:tcBorders>
            <w:vAlign w:val="center"/>
          </w:tcPr>
          <w:p w14:paraId="0A481FC0">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2"/>
                <w:szCs w:val="24"/>
                <w:highlight w:val="none"/>
              </w:rPr>
              <w:t>审核工作流程及各环节主要工作（0-</w:t>
            </w:r>
            <w:r>
              <w:rPr>
                <w:rFonts w:ascii="宋体" w:hAnsi="宋体" w:eastAsia="宋体" w:cs="宋体"/>
                <w:color w:val="auto"/>
                <w:kern w:val="0"/>
                <w:sz w:val="22"/>
                <w:szCs w:val="24"/>
                <w:highlight w:val="none"/>
              </w:rPr>
              <w:t>6</w:t>
            </w:r>
            <w:r>
              <w:rPr>
                <w:rFonts w:hint="eastAsia" w:ascii="宋体" w:hAnsi="宋体" w:eastAsia="宋体" w:cs="宋体"/>
                <w:color w:val="auto"/>
                <w:kern w:val="0"/>
                <w:sz w:val="22"/>
                <w:szCs w:val="24"/>
                <w:highlight w:val="none"/>
              </w:rPr>
              <w:t>分）（主观）</w:t>
            </w:r>
          </w:p>
        </w:tc>
        <w:tc>
          <w:tcPr>
            <w:tcW w:w="2915" w:type="dxa"/>
            <w:tcBorders>
              <w:bottom w:val="single" w:color="auto" w:sz="4" w:space="0"/>
            </w:tcBorders>
            <w:vAlign w:val="center"/>
          </w:tcPr>
          <w:p w14:paraId="57FF60B9">
            <w:pPr>
              <w:spacing w:before="63" w:beforeLines="20" w:after="63" w:afterLines="20"/>
              <w:rPr>
                <w:rFonts w:ascii="宋体" w:hAnsi="宋体" w:eastAsia="宋体" w:cs="宋体"/>
                <w:color w:val="auto"/>
                <w:szCs w:val="21"/>
                <w:highlight w:val="none"/>
              </w:rPr>
            </w:pPr>
          </w:p>
        </w:tc>
        <w:tc>
          <w:tcPr>
            <w:tcW w:w="1172" w:type="dxa"/>
            <w:tcBorders>
              <w:bottom w:val="single" w:color="auto" w:sz="4" w:space="0"/>
            </w:tcBorders>
            <w:vAlign w:val="center"/>
          </w:tcPr>
          <w:p w14:paraId="1289B572">
            <w:pPr>
              <w:spacing w:before="63" w:beforeLines="20" w:after="63" w:afterLines="20"/>
              <w:rPr>
                <w:rFonts w:ascii="宋体" w:hAnsi="宋体" w:eastAsia="宋体" w:cs="宋体"/>
                <w:color w:val="auto"/>
                <w:sz w:val="24"/>
                <w:szCs w:val="24"/>
                <w:highlight w:val="none"/>
              </w:rPr>
            </w:pPr>
          </w:p>
        </w:tc>
        <w:tc>
          <w:tcPr>
            <w:tcW w:w="1121" w:type="dxa"/>
            <w:tcBorders>
              <w:bottom w:val="single" w:color="auto" w:sz="4" w:space="0"/>
            </w:tcBorders>
            <w:vAlign w:val="center"/>
          </w:tcPr>
          <w:p w14:paraId="67ADC999">
            <w:pPr>
              <w:spacing w:before="63" w:beforeLines="20" w:after="63" w:afterLines="20"/>
              <w:rPr>
                <w:rFonts w:ascii="宋体" w:hAnsi="宋体" w:eastAsia="宋体" w:cs="宋体"/>
                <w:color w:val="auto"/>
                <w:sz w:val="24"/>
                <w:szCs w:val="24"/>
                <w:highlight w:val="none"/>
              </w:rPr>
            </w:pPr>
          </w:p>
        </w:tc>
      </w:tr>
      <w:tr w14:paraId="1B893AE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201" w:hRule="atLeast"/>
          <w:jc w:val="center"/>
        </w:trPr>
        <w:tc>
          <w:tcPr>
            <w:tcW w:w="352" w:type="dxa"/>
            <w:vMerge w:val="continue"/>
            <w:vAlign w:val="center"/>
          </w:tcPr>
          <w:p w14:paraId="129B83F6">
            <w:pPr>
              <w:widowControl/>
              <w:spacing w:line="300" w:lineRule="exact"/>
              <w:ind w:firstLine="441"/>
              <w:jc w:val="center"/>
              <w:rPr>
                <w:rFonts w:ascii="宋体" w:hAnsi="宋体" w:eastAsia="宋体" w:cs="宋体"/>
                <w:color w:val="auto"/>
                <w:sz w:val="24"/>
                <w:szCs w:val="24"/>
                <w:highlight w:val="none"/>
              </w:rPr>
            </w:pPr>
          </w:p>
        </w:tc>
        <w:tc>
          <w:tcPr>
            <w:tcW w:w="1055" w:type="dxa"/>
            <w:vMerge w:val="continue"/>
            <w:vAlign w:val="center"/>
          </w:tcPr>
          <w:p w14:paraId="7902988E">
            <w:pPr>
              <w:widowControl/>
              <w:spacing w:line="300" w:lineRule="exact"/>
              <w:ind w:firstLine="441"/>
              <w:jc w:val="center"/>
              <w:rPr>
                <w:rFonts w:ascii="宋体" w:hAnsi="宋体" w:eastAsia="宋体" w:cs="宋体"/>
                <w:color w:val="auto"/>
                <w:sz w:val="24"/>
                <w:szCs w:val="24"/>
                <w:highlight w:val="none"/>
              </w:rPr>
            </w:pPr>
          </w:p>
        </w:tc>
        <w:tc>
          <w:tcPr>
            <w:tcW w:w="1662" w:type="dxa"/>
            <w:tcBorders>
              <w:top w:val="single" w:color="auto" w:sz="4" w:space="0"/>
              <w:bottom w:val="single" w:color="auto" w:sz="4" w:space="0"/>
            </w:tcBorders>
            <w:vAlign w:val="center"/>
          </w:tcPr>
          <w:p w14:paraId="1E01CE68">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服务团队人员安排、工作职责、工作界面、工作衔接</w:t>
            </w:r>
          </w:p>
          <w:p w14:paraId="5909BE2E">
            <w:pPr>
              <w:widowControl/>
              <w:spacing w:line="300" w:lineRule="exact"/>
              <w:jc w:val="center"/>
              <w:rPr>
                <w:rFonts w:ascii="宋体" w:hAnsi="宋体" w:eastAsia="宋体" w:cs="宋体"/>
                <w:color w:val="auto"/>
                <w:sz w:val="24"/>
                <w:szCs w:val="24"/>
                <w:highlight w:val="none"/>
              </w:rPr>
            </w:pPr>
            <w:r>
              <w:rPr>
                <w:rFonts w:hint="eastAsia" w:ascii="宋体" w:hAnsi="宋体" w:eastAsia="宋体" w:cs="宋体"/>
                <w:color w:val="auto"/>
                <w:kern w:val="0"/>
                <w:sz w:val="22"/>
                <w:szCs w:val="24"/>
                <w:highlight w:val="none"/>
              </w:rPr>
              <w:t>（0-</w:t>
            </w:r>
            <w:r>
              <w:rPr>
                <w:rFonts w:ascii="宋体" w:hAnsi="宋体" w:eastAsia="宋体" w:cs="宋体"/>
                <w:color w:val="auto"/>
                <w:kern w:val="0"/>
                <w:sz w:val="22"/>
                <w:szCs w:val="24"/>
                <w:highlight w:val="none"/>
              </w:rPr>
              <w:t>6</w:t>
            </w:r>
            <w:r>
              <w:rPr>
                <w:rFonts w:hint="eastAsia" w:ascii="宋体" w:hAnsi="宋体" w:eastAsia="宋体" w:cs="宋体"/>
                <w:color w:val="auto"/>
                <w:kern w:val="0"/>
                <w:sz w:val="22"/>
                <w:szCs w:val="24"/>
                <w:highlight w:val="none"/>
              </w:rPr>
              <w:t>分）（主观）</w:t>
            </w:r>
          </w:p>
        </w:tc>
        <w:tc>
          <w:tcPr>
            <w:tcW w:w="2915" w:type="dxa"/>
            <w:tcBorders>
              <w:top w:val="single" w:color="auto" w:sz="4" w:space="0"/>
              <w:bottom w:val="single" w:color="auto" w:sz="4" w:space="0"/>
            </w:tcBorders>
            <w:vAlign w:val="center"/>
          </w:tcPr>
          <w:p w14:paraId="27016A37">
            <w:pPr>
              <w:spacing w:before="63" w:beforeLines="20" w:after="63" w:afterLines="20"/>
              <w:rPr>
                <w:rFonts w:ascii="宋体" w:hAnsi="宋体" w:eastAsia="宋体" w:cs="宋体"/>
                <w:color w:val="auto"/>
                <w:szCs w:val="21"/>
                <w:highlight w:val="none"/>
              </w:rPr>
            </w:pPr>
          </w:p>
        </w:tc>
        <w:tc>
          <w:tcPr>
            <w:tcW w:w="1172" w:type="dxa"/>
            <w:tcBorders>
              <w:top w:val="single" w:color="auto" w:sz="4" w:space="0"/>
              <w:bottom w:val="single" w:color="auto" w:sz="4" w:space="0"/>
            </w:tcBorders>
            <w:vAlign w:val="center"/>
          </w:tcPr>
          <w:p w14:paraId="2E5EC485">
            <w:pPr>
              <w:spacing w:before="63" w:beforeLines="20" w:after="63" w:afterLines="20"/>
              <w:rPr>
                <w:rFonts w:ascii="宋体" w:hAnsi="宋体" w:eastAsia="宋体" w:cs="宋体"/>
                <w:color w:val="auto"/>
                <w:sz w:val="24"/>
                <w:szCs w:val="24"/>
                <w:highlight w:val="none"/>
              </w:rPr>
            </w:pPr>
          </w:p>
        </w:tc>
        <w:tc>
          <w:tcPr>
            <w:tcW w:w="1121" w:type="dxa"/>
            <w:tcBorders>
              <w:top w:val="single" w:color="auto" w:sz="4" w:space="0"/>
              <w:bottom w:val="single" w:color="auto" w:sz="4" w:space="0"/>
            </w:tcBorders>
            <w:vAlign w:val="center"/>
          </w:tcPr>
          <w:p w14:paraId="3210366F">
            <w:pPr>
              <w:spacing w:before="63" w:beforeLines="20" w:after="63" w:afterLines="20"/>
              <w:rPr>
                <w:rFonts w:ascii="宋体" w:hAnsi="宋体" w:eastAsia="宋体" w:cs="宋体"/>
                <w:color w:val="auto"/>
                <w:sz w:val="24"/>
                <w:szCs w:val="24"/>
                <w:highlight w:val="none"/>
              </w:rPr>
            </w:pPr>
          </w:p>
        </w:tc>
      </w:tr>
      <w:tr w14:paraId="166E4B6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2122" w:hRule="atLeast"/>
          <w:jc w:val="center"/>
        </w:trPr>
        <w:tc>
          <w:tcPr>
            <w:tcW w:w="352" w:type="dxa"/>
            <w:vMerge w:val="continue"/>
            <w:vAlign w:val="center"/>
          </w:tcPr>
          <w:p w14:paraId="193C7DF8">
            <w:pPr>
              <w:widowControl/>
              <w:spacing w:line="300" w:lineRule="exact"/>
              <w:ind w:firstLine="441"/>
              <w:jc w:val="center"/>
              <w:rPr>
                <w:rFonts w:ascii="宋体" w:hAnsi="宋体" w:eastAsia="宋体" w:cs="宋体"/>
                <w:color w:val="auto"/>
                <w:szCs w:val="21"/>
                <w:highlight w:val="none"/>
              </w:rPr>
            </w:pPr>
          </w:p>
        </w:tc>
        <w:tc>
          <w:tcPr>
            <w:tcW w:w="1055" w:type="dxa"/>
            <w:vMerge w:val="continue"/>
            <w:vAlign w:val="center"/>
          </w:tcPr>
          <w:p w14:paraId="19590AC2">
            <w:pPr>
              <w:widowControl/>
              <w:spacing w:line="300" w:lineRule="exact"/>
              <w:ind w:firstLine="441"/>
              <w:jc w:val="center"/>
              <w:rPr>
                <w:rFonts w:ascii="宋体" w:hAnsi="宋体" w:eastAsia="宋体" w:cs="宋体"/>
                <w:color w:val="auto"/>
                <w:szCs w:val="21"/>
                <w:highlight w:val="none"/>
              </w:rPr>
            </w:pPr>
          </w:p>
        </w:tc>
        <w:tc>
          <w:tcPr>
            <w:tcW w:w="1662" w:type="dxa"/>
            <w:tcBorders>
              <w:top w:val="single" w:color="auto" w:sz="4" w:space="0"/>
              <w:bottom w:val="single" w:color="auto" w:sz="4" w:space="0"/>
            </w:tcBorders>
            <w:vAlign w:val="center"/>
          </w:tcPr>
          <w:p w14:paraId="4309041E">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投标人的廉政措施</w:t>
            </w:r>
          </w:p>
          <w:p w14:paraId="2B3B9275">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 w:val="22"/>
                <w:szCs w:val="24"/>
                <w:highlight w:val="none"/>
              </w:rPr>
              <w:t>（0～6分）（主观）</w:t>
            </w:r>
          </w:p>
        </w:tc>
        <w:tc>
          <w:tcPr>
            <w:tcW w:w="2915" w:type="dxa"/>
            <w:tcBorders>
              <w:top w:val="single" w:color="auto" w:sz="4" w:space="0"/>
              <w:bottom w:val="single" w:color="auto" w:sz="4" w:space="0"/>
            </w:tcBorders>
            <w:vAlign w:val="center"/>
          </w:tcPr>
          <w:p w14:paraId="61AEF0D6">
            <w:pPr>
              <w:spacing w:before="63" w:beforeLines="20" w:after="63" w:afterLines="20"/>
              <w:rPr>
                <w:rFonts w:ascii="宋体" w:hAnsi="宋体" w:eastAsia="宋体" w:cs="宋体"/>
                <w:bCs/>
                <w:color w:val="auto"/>
                <w:sz w:val="24"/>
                <w:szCs w:val="21"/>
                <w:highlight w:val="none"/>
              </w:rPr>
            </w:pPr>
          </w:p>
        </w:tc>
        <w:tc>
          <w:tcPr>
            <w:tcW w:w="1172" w:type="dxa"/>
            <w:tcBorders>
              <w:top w:val="single" w:color="auto" w:sz="4" w:space="0"/>
              <w:bottom w:val="single" w:color="auto" w:sz="4" w:space="0"/>
            </w:tcBorders>
            <w:vAlign w:val="center"/>
          </w:tcPr>
          <w:p w14:paraId="6B3DB456">
            <w:pPr>
              <w:spacing w:before="63" w:beforeLines="20" w:after="63" w:afterLines="20"/>
              <w:rPr>
                <w:rFonts w:ascii="宋体" w:hAnsi="宋体" w:eastAsia="宋体" w:cs="宋体"/>
                <w:bCs/>
                <w:color w:val="auto"/>
                <w:sz w:val="24"/>
                <w:szCs w:val="21"/>
                <w:highlight w:val="none"/>
              </w:rPr>
            </w:pPr>
          </w:p>
        </w:tc>
        <w:tc>
          <w:tcPr>
            <w:tcW w:w="1121" w:type="dxa"/>
            <w:tcBorders>
              <w:top w:val="single" w:color="auto" w:sz="4" w:space="0"/>
              <w:bottom w:val="single" w:color="auto" w:sz="4" w:space="0"/>
            </w:tcBorders>
            <w:vAlign w:val="center"/>
          </w:tcPr>
          <w:p w14:paraId="04827237">
            <w:pPr>
              <w:spacing w:before="63" w:beforeLines="20" w:after="63" w:afterLines="20"/>
              <w:rPr>
                <w:rFonts w:ascii="宋体" w:hAnsi="宋体" w:eastAsia="宋体" w:cs="宋体"/>
                <w:bCs/>
                <w:color w:val="auto"/>
                <w:sz w:val="24"/>
                <w:szCs w:val="21"/>
                <w:highlight w:val="none"/>
              </w:rPr>
            </w:pPr>
          </w:p>
        </w:tc>
      </w:tr>
      <w:tr w14:paraId="5A3C266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352" w:hRule="atLeast"/>
          <w:jc w:val="center"/>
        </w:trPr>
        <w:tc>
          <w:tcPr>
            <w:tcW w:w="352" w:type="dxa"/>
            <w:vMerge w:val="continue"/>
            <w:vAlign w:val="center"/>
          </w:tcPr>
          <w:p w14:paraId="45F1EB4E">
            <w:pPr>
              <w:widowControl/>
              <w:spacing w:line="300" w:lineRule="exact"/>
              <w:ind w:firstLine="441"/>
              <w:jc w:val="center"/>
              <w:rPr>
                <w:rFonts w:ascii="宋体" w:hAnsi="宋体" w:eastAsia="宋体" w:cs="宋体"/>
                <w:color w:val="auto"/>
                <w:szCs w:val="21"/>
                <w:highlight w:val="none"/>
              </w:rPr>
            </w:pPr>
          </w:p>
        </w:tc>
        <w:tc>
          <w:tcPr>
            <w:tcW w:w="1055" w:type="dxa"/>
            <w:vMerge w:val="continue"/>
            <w:vAlign w:val="center"/>
          </w:tcPr>
          <w:p w14:paraId="2DF3E9CE">
            <w:pPr>
              <w:widowControl/>
              <w:spacing w:line="300" w:lineRule="exact"/>
              <w:ind w:firstLine="441"/>
              <w:jc w:val="center"/>
              <w:rPr>
                <w:rFonts w:ascii="宋体" w:hAnsi="宋体" w:eastAsia="宋体" w:cs="宋体"/>
                <w:color w:val="auto"/>
                <w:szCs w:val="21"/>
                <w:highlight w:val="none"/>
              </w:rPr>
            </w:pPr>
          </w:p>
        </w:tc>
        <w:tc>
          <w:tcPr>
            <w:tcW w:w="1662" w:type="dxa"/>
            <w:tcBorders>
              <w:top w:val="single" w:color="auto" w:sz="4" w:space="0"/>
              <w:bottom w:val="single" w:color="auto" w:sz="4" w:space="0"/>
            </w:tcBorders>
            <w:vAlign w:val="center"/>
          </w:tcPr>
          <w:p w14:paraId="3131FB39">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本地化服务能力</w:t>
            </w:r>
          </w:p>
          <w:p w14:paraId="2C23496F">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（0～6分）（主观）</w:t>
            </w:r>
          </w:p>
        </w:tc>
        <w:tc>
          <w:tcPr>
            <w:tcW w:w="2915" w:type="dxa"/>
            <w:tcBorders>
              <w:top w:val="single" w:color="auto" w:sz="4" w:space="0"/>
              <w:bottom w:val="single" w:color="auto" w:sz="4" w:space="0"/>
            </w:tcBorders>
            <w:vAlign w:val="center"/>
          </w:tcPr>
          <w:p w14:paraId="08913B09">
            <w:pPr>
              <w:spacing w:before="63" w:beforeLines="20" w:after="63" w:afterLines="20"/>
              <w:rPr>
                <w:rFonts w:ascii="宋体" w:hAnsi="宋体" w:eastAsia="宋体" w:cs="宋体"/>
                <w:bCs/>
                <w:color w:val="auto"/>
                <w:sz w:val="24"/>
                <w:szCs w:val="21"/>
                <w:highlight w:val="none"/>
              </w:rPr>
            </w:pPr>
          </w:p>
        </w:tc>
        <w:tc>
          <w:tcPr>
            <w:tcW w:w="1172" w:type="dxa"/>
            <w:tcBorders>
              <w:top w:val="single" w:color="auto" w:sz="4" w:space="0"/>
              <w:bottom w:val="single" w:color="auto" w:sz="4" w:space="0"/>
            </w:tcBorders>
            <w:vAlign w:val="center"/>
          </w:tcPr>
          <w:p w14:paraId="551580F0">
            <w:pPr>
              <w:spacing w:before="63" w:beforeLines="20" w:after="63" w:afterLines="20"/>
              <w:rPr>
                <w:rFonts w:ascii="宋体" w:hAnsi="宋体" w:eastAsia="宋体" w:cs="宋体"/>
                <w:bCs/>
                <w:color w:val="auto"/>
                <w:sz w:val="24"/>
                <w:szCs w:val="21"/>
                <w:highlight w:val="none"/>
              </w:rPr>
            </w:pPr>
          </w:p>
        </w:tc>
        <w:tc>
          <w:tcPr>
            <w:tcW w:w="1121" w:type="dxa"/>
            <w:tcBorders>
              <w:top w:val="single" w:color="auto" w:sz="4" w:space="0"/>
              <w:bottom w:val="single" w:color="auto" w:sz="4" w:space="0"/>
            </w:tcBorders>
            <w:vAlign w:val="center"/>
          </w:tcPr>
          <w:p w14:paraId="6A185ED2">
            <w:pPr>
              <w:spacing w:before="63" w:beforeLines="20" w:after="63" w:afterLines="20"/>
              <w:rPr>
                <w:rFonts w:ascii="宋体" w:hAnsi="宋体" w:eastAsia="宋体" w:cs="宋体"/>
                <w:bCs/>
                <w:color w:val="auto"/>
                <w:sz w:val="24"/>
                <w:szCs w:val="21"/>
                <w:highlight w:val="none"/>
              </w:rPr>
            </w:pPr>
          </w:p>
        </w:tc>
      </w:tr>
      <w:tr w14:paraId="6B37368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585" w:hRule="atLeast"/>
          <w:jc w:val="center"/>
        </w:trPr>
        <w:tc>
          <w:tcPr>
            <w:tcW w:w="352" w:type="dxa"/>
            <w:vMerge w:val="continue"/>
            <w:vAlign w:val="center"/>
          </w:tcPr>
          <w:p w14:paraId="07655221">
            <w:pPr>
              <w:widowControl/>
              <w:spacing w:line="300" w:lineRule="exact"/>
              <w:ind w:firstLine="441"/>
              <w:jc w:val="center"/>
              <w:rPr>
                <w:rFonts w:ascii="宋体" w:hAnsi="宋体" w:eastAsia="宋体" w:cs="宋体"/>
                <w:color w:val="auto"/>
                <w:szCs w:val="21"/>
                <w:highlight w:val="none"/>
              </w:rPr>
            </w:pPr>
          </w:p>
        </w:tc>
        <w:tc>
          <w:tcPr>
            <w:tcW w:w="1055" w:type="dxa"/>
            <w:vMerge w:val="continue"/>
            <w:vAlign w:val="center"/>
          </w:tcPr>
          <w:p w14:paraId="794FD6C7">
            <w:pPr>
              <w:widowControl/>
              <w:spacing w:line="300" w:lineRule="exact"/>
              <w:ind w:firstLine="441"/>
              <w:jc w:val="center"/>
              <w:rPr>
                <w:rFonts w:ascii="宋体" w:hAnsi="宋体" w:eastAsia="宋体" w:cs="宋体"/>
                <w:color w:val="auto"/>
                <w:szCs w:val="21"/>
                <w:highlight w:val="none"/>
              </w:rPr>
            </w:pPr>
          </w:p>
        </w:tc>
        <w:tc>
          <w:tcPr>
            <w:tcW w:w="1662" w:type="dxa"/>
            <w:tcBorders>
              <w:top w:val="single" w:color="auto" w:sz="4" w:space="0"/>
              <w:bottom w:val="single" w:color="auto" w:sz="4" w:space="0"/>
            </w:tcBorders>
            <w:vAlign w:val="center"/>
          </w:tcPr>
          <w:p w14:paraId="729EBC1A">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项目所在地政策处理措施（0～6分）（主观）</w:t>
            </w:r>
          </w:p>
        </w:tc>
        <w:tc>
          <w:tcPr>
            <w:tcW w:w="2915" w:type="dxa"/>
            <w:tcBorders>
              <w:top w:val="single" w:color="auto" w:sz="4" w:space="0"/>
              <w:bottom w:val="single" w:color="auto" w:sz="4" w:space="0"/>
            </w:tcBorders>
            <w:vAlign w:val="center"/>
          </w:tcPr>
          <w:p w14:paraId="66277470">
            <w:pPr>
              <w:spacing w:before="63" w:beforeLines="20" w:after="63" w:afterLines="20"/>
              <w:rPr>
                <w:rFonts w:ascii="宋体" w:hAnsi="宋体" w:eastAsia="宋体" w:cs="宋体"/>
                <w:bCs/>
                <w:color w:val="auto"/>
                <w:sz w:val="24"/>
                <w:szCs w:val="21"/>
                <w:highlight w:val="none"/>
              </w:rPr>
            </w:pPr>
          </w:p>
        </w:tc>
        <w:tc>
          <w:tcPr>
            <w:tcW w:w="1172" w:type="dxa"/>
            <w:tcBorders>
              <w:top w:val="single" w:color="auto" w:sz="4" w:space="0"/>
              <w:bottom w:val="single" w:color="auto" w:sz="4" w:space="0"/>
            </w:tcBorders>
            <w:vAlign w:val="center"/>
          </w:tcPr>
          <w:p w14:paraId="30326376">
            <w:pPr>
              <w:spacing w:before="63" w:beforeLines="20" w:after="63" w:afterLines="20"/>
              <w:rPr>
                <w:rFonts w:ascii="宋体" w:hAnsi="宋体" w:eastAsia="宋体" w:cs="宋体"/>
                <w:bCs/>
                <w:color w:val="auto"/>
                <w:sz w:val="24"/>
                <w:szCs w:val="21"/>
                <w:highlight w:val="none"/>
              </w:rPr>
            </w:pPr>
          </w:p>
        </w:tc>
        <w:tc>
          <w:tcPr>
            <w:tcW w:w="1121" w:type="dxa"/>
            <w:tcBorders>
              <w:top w:val="single" w:color="auto" w:sz="4" w:space="0"/>
              <w:bottom w:val="single" w:color="auto" w:sz="4" w:space="0"/>
            </w:tcBorders>
            <w:vAlign w:val="center"/>
          </w:tcPr>
          <w:p w14:paraId="08FEF58D">
            <w:pPr>
              <w:spacing w:before="63" w:beforeLines="20" w:after="63" w:afterLines="20"/>
              <w:rPr>
                <w:rFonts w:ascii="宋体" w:hAnsi="宋体" w:eastAsia="宋体" w:cs="宋体"/>
                <w:bCs/>
                <w:color w:val="auto"/>
                <w:sz w:val="24"/>
                <w:szCs w:val="21"/>
                <w:highlight w:val="none"/>
              </w:rPr>
            </w:pPr>
          </w:p>
        </w:tc>
      </w:tr>
      <w:tr w14:paraId="4FA70D2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429" w:hRule="atLeast"/>
          <w:jc w:val="center"/>
        </w:trPr>
        <w:tc>
          <w:tcPr>
            <w:tcW w:w="352" w:type="dxa"/>
            <w:vMerge w:val="continue"/>
            <w:vAlign w:val="center"/>
          </w:tcPr>
          <w:p w14:paraId="27BC4D3D">
            <w:pPr>
              <w:widowControl/>
              <w:spacing w:line="300" w:lineRule="exact"/>
              <w:ind w:firstLine="441"/>
              <w:jc w:val="center"/>
              <w:rPr>
                <w:rFonts w:ascii="宋体" w:hAnsi="宋体" w:eastAsia="宋体" w:cs="宋体"/>
                <w:color w:val="auto"/>
                <w:szCs w:val="21"/>
                <w:highlight w:val="none"/>
              </w:rPr>
            </w:pPr>
          </w:p>
        </w:tc>
        <w:tc>
          <w:tcPr>
            <w:tcW w:w="1055" w:type="dxa"/>
            <w:vMerge w:val="continue"/>
            <w:vAlign w:val="center"/>
          </w:tcPr>
          <w:p w14:paraId="491DB387">
            <w:pPr>
              <w:widowControl/>
              <w:spacing w:line="300" w:lineRule="exact"/>
              <w:ind w:firstLine="441"/>
              <w:jc w:val="center"/>
              <w:rPr>
                <w:rFonts w:ascii="宋体" w:hAnsi="宋体" w:eastAsia="宋体" w:cs="宋体"/>
                <w:color w:val="auto"/>
                <w:szCs w:val="21"/>
                <w:highlight w:val="none"/>
              </w:rPr>
            </w:pPr>
          </w:p>
        </w:tc>
        <w:tc>
          <w:tcPr>
            <w:tcW w:w="1662" w:type="dxa"/>
            <w:tcBorders>
              <w:top w:val="single" w:color="auto" w:sz="4" w:space="0"/>
              <w:bottom w:val="single" w:color="auto" w:sz="4" w:space="0"/>
            </w:tcBorders>
            <w:vAlign w:val="center"/>
          </w:tcPr>
          <w:p w14:paraId="3C1A20C3">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kern w:val="0"/>
                <w:sz w:val="22"/>
                <w:szCs w:val="24"/>
                <w:highlight w:val="none"/>
              </w:rPr>
              <w:t>合理化建议（0-3分）（主观）</w:t>
            </w:r>
          </w:p>
        </w:tc>
        <w:tc>
          <w:tcPr>
            <w:tcW w:w="2915" w:type="dxa"/>
            <w:tcBorders>
              <w:top w:val="single" w:color="auto" w:sz="4" w:space="0"/>
              <w:bottom w:val="single" w:color="auto" w:sz="4" w:space="0"/>
            </w:tcBorders>
            <w:vAlign w:val="center"/>
          </w:tcPr>
          <w:p w14:paraId="7659124B">
            <w:pPr>
              <w:spacing w:before="63" w:beforeLines="20" w:after="63" w:afterLines="20"/>
              <w:rPr>
                <w:rFonts w:ascii="宋体" w:hAnsi="宋体" w:eastAsia="宋体" w:cs="宋体"/>
                <w:bCs/>
                <w:color w:val="auto"/>
                <w:sz w:val="24"/>
                <w:szCs w:val="21"/>
                <w:highlight w:val="none"/>
              </w:rPr>
            </w:pPr>
          </w:p>
        </w:tc>
        <w:tc>
          <w:tcPr>
            <w:tcW w:w="1172" w:type="dxa"/>
            <w:tcBorders>
              <w:top w:val="single" w:color="auto" w:sz="4" w:space="0"/>
              <w:bottom w:val="single" w:color="auto" w:sz="4" w:space="0"/>
            </w:tcBorders>
            <w:vAlign w:val="center"/>
          </w:tcPr>
          <w:p w14:paraId="21CC74F6">
            <w:pPr>
              <w:spacing w:before="63" w:beforeLines="20" w:after="63" w:afterLines="20"/>
              <w:rPr>
                <w:rFonts w:ascii="宋体" w:hAnsi="宋体" w:eastAsia="宋体" w:cs="宋体"/>
                <w:bCs/>
                <w:color w:val="auto"/>
                <w:sz w:val="24"/>
                <w:szCs w:val="21"/>
                <w:highlight w:val="none"/>
              </w:rPr>
            </w:pPr>
          </w:p>
        </w:tc>
        <w:tc>
          <w:tcPr>
            <w:tcW w:w="1121" w:type="dxa"/>
            <w:tcBorders>
              <w:top w:val="single" w:color="auto" w:sz="4" w:space="0"/>
              <w:bottom w:val="single" w:color="auto" w:sz="4" w:space="0"/>
            </w:tcBorders>
            <w:vAlign w:val="center"/>
          </w:tcPr>
          <w:p w14:paraId="0899416D">
            <w:pPr>
              <w:spacing w:before="63" w:beforeLines="20" w:after="63" w:afterLines="20"/>
              <w:rPr>
                <w:rFonts w:ascii="宋体" w:hAnsi="宋体" w:eastAsia="宋体" w:cs="宋体"/>
                <w:bCs/>
                <w:color w:val="auto"/>
                <w:sz w:val="24"/>
                <w:szCs w:val="21"/>
                <w:highlight w:val="none"/>
              </w:rPr>
            </w:pPr>
          </w:p>
        </w:tc>
      </w:tr>
      <w:tr w14:paraId="190EA3F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15" w:type="dxa"/>
            <w:left w:w="108" w:type="dxa"/>
            <w:bottom w:w="15" w:type="dxa"/>
            <w:right w:w="108" w:type="dxa"/>
          </w:tblCellMar>
        </w:tblPrEx>
        <w:trPr>
          <w:trHeight w:val="1429" w:hRule="atLeast"/>
          <w:jc w:val="center"/>
        </w:trPr>
        <w:tc>
          <w:tcPr>
            <w:tcW w:w="352" w:type="dxa"/>
            <w:vAlign w:val="center"/>
          </w:tcPr>
          <w:p w14:paraId="6524D6B7">
            <w:pPr>
              <w:widowControl/>
              <w:spacing w:line="3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55" w:type="dxa"/>
            <w:vAlign w:val="center"/>
          </w:tcPr>
          <w:p w14:paraId="414BE4D1">
            <w:pPr>
              <w:widowControl/>
              <w:spacing w:line="3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w:t>
            </w:r>
          </w:p>
          <w:p w14:paraId="1076D215">
            <w:pPr>
              <w:widowControl/>
              <w:spacing w:line="300" w:lineRule="exact"/>
              <w:jc w:val="center"/>
              <w:rPr>
                <w:rFonts w:ascii="Calibri" w:hAnsi="Calibri" w:eastAsia="宋体" w:cs="Calibri"/>
                <w:color w:val="auto"/>
                <w:szCs w:val="21"/>
                <w:highlight w:val="none"/>
              </w:rPr>
            </w:pPr>
            <w:r>
              <w:rPr>
                <w:rFonts w:hint="eastAsia" w:ascii="宋体" w:hAnsi="宋体" w:eastAsia="宋体" w:cs="宋体"/>
                <w:b/>
                <w:bCs/>
                <w:color w:val="auto"/>
                <w:kern w:val="0"/>
                <w:sz w:val="24"/>
                <w:szCs w:val="24"/>
                <w:highlight w:val="none"/>
              </w:rPr>
              <w:t>（0-10分）</w:t>
            </w:r>
          </w:p>
        </w:tc>
        <w:tc>
          <w:tcPr>
            <w:tcW w:w="1662" w:type="dxa"/>
            <w:tcBorders>
              <w:top w:val="single" w:color="auto" w:sz="4" w:space="0"/>
              <w:bottom w:val="single" w:color="auto" w:sz="4" w:space="0"/>
            </w:tcBorders>
            <w:vAlign w:val="center"/>
          </w:tcPr>
          <w:p w14:paraId="53931003">
            <w:pPr>
              <w:widowControl/>
              <w:spacing w:line="300" w:lineRule="exact"/>
              <w:jc w:val="cente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报价分</w:t>
            </w:r>
          </w:p>
          <w:p w14:paraId="69FCCD47">
            <w:pPr>
              <w:widowControl/>
              <w:spacing w:line="300" w:lineRule="exact"/>
              <w:jc w:val="center"/>
              <w:rPr>
                <w:rFonts w:ascii="宋体" w:hAnsi="宋体" w:eastAsia="宋体" w:cs="宋体"/>
                <w:color w:val="auto"/>
                <w:kern w:val="0"/>
                <w:sz w:val="22"/>
                <w:szCs w:val="24"/>
                <w:highlight w:val="none"/>
              </w:rPr>
            </w:pPr>
            <w:r>
              <w:rPr>
                <w:rFonts w:hint="eastAsia" w:ascii="宋体" w:hAnsi="宋体" w:eastAsia="宋体" w:cs="宋体"/>
                <w:color w:val="auto"/>
                <w:sz w:val="22"/>
                <w:szCs w:val="24"/>
                <w:highlight w:val="none"/>
              </w:rPr>
              <w:t>（0-10分）</w:t>
            </w:r>
          </w:p>
        </w:tc>
        <w:tc>
          <w:tcPr>
            <w:tcW w:w="2915" w:type="dxa"/>
            <w:tcBorders>
              <w:top w:val="single" w:color="auto" w:sz="4" w:space="0"/>
              <w:bottom w:val="single" w:color="auto" w:sz="4" w:space="0"/>
            </w:tcBorders>
            <w:vAlign w:val="center"/>
          </w:tcPr>
          <w:p w14:paraId="438C0479">
            <w:pPr>
              <w:spacing w:before="63" w:beforeLines="20" w:after="63" w:afterLines="20"/>
              <w:rPr>
                <w:rFonts w:ascii="宋体" w:hAnsi="宋体" w:eastAsia="宋体" w:cs="宋体"/>
                <w:bCs/>
                <w:color w:val="auto"/>
                <w:sz w:val="24"/>
                <w:szCs w:val="21"/>
                <w:highlight w:val="none"/>
              </w:rPr>
            </w:pPr>
          </w:p>
        </w:tc>
        <w:tc>
          <w:tcPr>
            <w:tcW w:w="1172" w:type="dxa"/>
            <w:tcBorders>
              <w:top w:val="single" w:color="auto" w:sz="4" w:space="0"/>
              <w:bottom w:val="single" w:color="auto" w:sz="4" w:space="0"/>
            </w:tcBorders>
            <w:vAlign w:val="center"/>
          </w:tcPr>
          <w:p w14:paraId="6BFAEFB0">
            <w:pPr>
              <w:spacing w:before="63" w:beforeLines="20" w:after="63" w:afterLines="20"/>
              <w:rPr>
                <w:rFonts w:ascii="宋体" w:hAnsi="宋体" w:eastAsia="宋体" w:cs="宋体"/>
                <w:bCs/>
                <w:color w:val="auto"/>
                <w:sz w:val="24"/>
                <w:szCs w:val="21"/>
                <w:highlight w:val="none"/>
              </w:rPr>
            </w:pPr>
          </w:p>
        </w:tc>
        <w:tc>
          <w:tcPr>
            <w:tcW w:w="1121" w:type="dxa"/>
            <w:tcBorders>
              <w:top w:val="single" w:color="auto" w:sz="4" w:space="0"/>
              <w:bottom w:val="single" w:color="auto" w:sz="4" w:space="0"/>
            </w:tcBorders>
            <w:vAlign w:val="center"/>
          </w:tcPr>
          <w:p w14:paraId="5A11CB2A">
            <w:pPr>
              <w:spacing w:before="63" w:beforeLines="20" w:after="63" w:afterLines="20"/>
              <w:rPr>
                <w:rFonts w:ascii="宋体" w:hAnsi="宋体" w:eastAsia="宋体" w:cs="宋体"/>
                <w:bCs/>
                <w:color w:val="auto"/>
                <w:sz w:val="24"/>
                <w:szCs w:val="21"/>
                <w:highlight w:val="none"/>
              </w:rPr>
            </w:pPr>
          </w:p>
        </w:tc>
      </w:tr>
    </w:tbl>
    <w:p w14:paraId="651AE71B">
      <w:pPr>
        <w:snapToGrid w:val="0"/>
        <w:spacing w:line="360" w:lineRule="auto"/>
        <w:jc w:val="center"/>
        <w:outlineLvl w:val="0"/>
        <w:rPr>
          <w:rFonts w:ascii="宋体" w:hAnsi="宋体" w:eastAsia="宋体" w:cs="宋体"/>
          <w:b/>
          <w:color w:val="auto"/>
          <w:kern w:val="0"/>
          <w:sz w:val="32"/>
          <w:szCs w:val="32"/>
          <w:highlight w:val="none"/>
        </w:rPr>
      </w:pPr>
    </w:p>
    <w:p w14:paraId="0531D383">
      <w:pPr>
        <w:snapToGrid w:val="0"/>
        <w:spacing w:line="360" w:lineRule="auto"/>
        <w:jc w:val="center"/>
        <w:outlineLvl w:val="0"/>
        <w:rPr>
          <w:rFonts w:ascii="宋体" w:hAnsi="宋体" w:eastAsia="宋体" w:cs="宋体"/>
          <w:b/>
          <w:color w:val="auto"/>
          <w:kern w:val="0"/>
          <w:sz w:val="32"/>
          <w:szCs w:val="32"/>
          <w:highlight w:val="none"/>
        </w:rPr>
      </w:pPr>
    </w:p>
    <w:p w14:paraId="3B01A0BC">
      <w:pPr>
        <w:snapToGrid w:val="0"/>
        <w:spacing w:line="360" w:lineRule="auto"/>
        <w:jc w:val="center"/>
        <w:outlineLvl w:val="0"/>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CB0CEDB">
      <w:pPr>
        <w:snapToGrid w:val="0"/>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（采购人）、（采购代理机构）：</w:t>
      </w:r>
    </w:p>
    <w:p w14:paraId="6F6A69A0">
      <w:pPr>
        <w:snapToGri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我方参加你方组织的（项目名称）【招标编号：（采购编号）】招标的有关活动，并对此项目进行投标。为此：</w:t>
      </w:r>
    </w:p>
    <w:p w14:paraId="498C9940">
      <w:pPr>
        <w:snapToGri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1、我方承诺投标有效期从提交投标文件的截止之日起</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天（不少于90天）</w:t>
      </w:r>
      <w:r>
        <w:rPr>
          <w:rFonts w:hint="eastAsia" w:ascii="宋体" w:hAnsi="宋体" w:eastAsia="宋体" w:cs="宋体"/>
          <w:color w:val="auto"/>
          <w:szCs w:val="21"/>
          <w:highlight w:val="none"/>
        </w:rPr>
        <w:t>，</w:t>
      </w:r>
      <w:r>
        <w:rPr>
          <w:rFonts w:hint="eastAsia" w:ascii="宋体" w:hAnsi="宋体" w:eastAsia="宋体" w:cs="宋体"/>
          <w:color w:val="auto"/>
          <w:sz w:val="24"/>
          <w:szCs w:val="21"/>
          <w:highlight w:val="none"/>
        </w:rPr>
        <w:t>本投标文件在投标有效期满之前均具有约束力。</w:t>
      </w:r>
    </w:p>
    <w:p w14:paraId="115088A0">
      <w:pPr>
        <w:snapToGri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2、我方的投标文件包括以下内容：</w:t>
      </w:r>
    </w:p>
    <w:p w14:paraId="62F00393">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2.1资格文件：</w:t>
      </w:r>
    </w:p>
    <w:p w14:paraId="12A5574B">
      <w:pPr>
        <w:snapToGrid w:val="0"/>
        <w:spacing w:line="360" w:lineRule="auto"/>
        <w:ind w:left="210" w:leftChars="100" w:firstLine="480" w:firstLineChars="200"/>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 xml:space="preserve"> </w:t>
      </w:r>
      <w:r>
        <w:rPr>
          <w:rFonts w:hint="eastAsia" w:ascii="宋体" w:hAnsi="宋体" w:eastAsia="宋体" w:cs="宋体"/>
          <w:color w:val="auto"/>
          <w:sz w:val="24"/>
          <w:szCs w:val="21"/>
          <w:highlight w:val="none"/>
        </w:rPr>
        <w:t>商务技术</w:t>
      </w:r>
      <w:r>
        <w:rPr>
          <w:rFonts w:hint="eastAsia" w:ascii="宋体" w:hAnsi="宋体" w:eastAsia="宋体" w:cs="宋体"/>
          <w:color w:val="auto"/>
          <w:sz w:val="24"/>
          <w:szCs w:val="21"/>
          <w:highlight w:val="none"/>
          <w:lang w:val="zh-CN"/>
        </w:rPr>
        <w:t>文件：</w:t>
      </w:r>
    </w:p>
    <w:p w14:paraId="5068E1FB">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w:t>
      </w:r>
      <w:r>
        <w:rPr>
          <w:rFonts w:hint="eastAsia" w:ascii="宋体" w:hAnsi="宋体" w:eastAsia="宋体" w:cs="宋体"/>
          <w:color w:val="auto"/>
          <w:sz w:val="24"/>
          <w:szCs w:val="21"/>
          <w:highlight w:val="none"/>
        </w:rPr>
        <w:t>3报价文件</w:t>
      </w:r>
    </w:p>
    <w:p w14:paraId="784138CD">
      <w:pPr>
        <w:snapToGri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3、我方承诺除商务技术偏离表列出的偏离外，我方响应招标文件的全部要求。</w:t>
      </w:r>
    </w:p>
    <w:p w14:paraId="43577883">
      <w:pPr>
        <w:snapToGri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4、如我方中标，我方承诺：</w:t>
      </w:r>
    </w:p>
    <w:p w14:paraId="437FC1EF">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4.1在收到中标通知后，在中标通知书规定的期限内与你方签订框架协议； </w:t>
      </w:r>
    </w:p>
    <w:p w14:paraId="0BAC109D">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4.2在签订框架协议及单项委托合同时不向委托方提出附加条件； </w:t>
      </w:r>
    </w:p>
    <w:p w14:paraId="07EB135B">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4.3在协议或合同约定的期限内完成规定的全部义务。 </w:t>
      </w:r>
    </w:p>
    <w:p w14:paraId="3678C46A">
      <w:pPr>
        <w:snapToGrid w:val="0"/>
        <w:spacing w:line="360" w:lineRule="auto"/>
        <w:ind w:left="210" w:leftChars="100"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5、其他补充说明:</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p>
    <w:p w14:paraId="66A5DAE4">
      <w:pPr>
        <w:spacing w:line="360" w:lineRule="auto"/>
        <w:ind w:firstLine="3600" w:firstLineChars="15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供应商名称（电子签章）：                          </w:t>
      </w:r>
    </w:p>
    <w:p w14:paraId="1CB5837A">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日期：  年   月   日</w:t>
      </w:r>
    </w:p>
    <w:p w14:paraId="66E7F7CF">
      <w:pPr>
        <w:snapToGrid w:val="0"/>
        <w:spacing w:line="360" w:lineRule="auto"/>
        <w:ind w:left="420" w:leftChars="200" w:firstLine="4200" w:firstLineChars="1750"/>
        <w:rPr>
          <w:rFonts w:ascii="宋体" w:hAnsi="宋体" w:eastAsia="宋体" w:cs="宋体"/>
          <w:color w:val="auto"/>
          <w:kern w:val="0"/>
          <w:sz w:val="24"/>
          <w:szCs w:val="21"/>
          <w:highlight w:val="none"/>
          <w:u w:val="single"/>
          <w:lang w:val="zh-CN"/>
        </w:rPr>
      </w:pPr>
    </w:p>
    <w:p w14:paraId="7D1C990D">
      <w:pPr>
        <w:snapToGrid w:val="0"/>
        <w:spacing w:line="360" w:lineRule="auto"/>
        <w:jc w:val="center"/>
        <w:rPr>
          <w:rFonts w:ascii="宋体" w:hAnsi="宋体" w:eastAsia="宋体" w:cs="宋体"/>
          <w:b/>
          <w:color w:val="auto"/>
          <w:kern w:val="0"/>
          <w:sz w:val="32"/>
          <w:szCs w:val="32"/>
          <w:highlight w:val="none"/>
          <w:lang w:val="zh-CN"/>
        </w:rPr>
      </w:pPr>
    </w:p>
    <w:p w14:paraId="2312FB62">
      <w:pPr>
        <w:snapToGrid w:val="0"/>
        <w:spacing w:line="360" w:lineRule="auto"/>
        <w:rPr>
          <w:rFonts w:ascii="宋体" w:hAnsi="宋体" w:eastAsia="宋体" w:cs="宋体"/>
          <w:color w:val="auto"/>
          <w:sz w:val="24"/>
          <w:szCs w:val="21"/>
          <w:highlight w:val="none"/>
        </w:rPr>
      </w:pPr>
    </w:p>
    <w:p w14:paraId="09F278FC">
      <w:pPr>
        <w:jc w:val="center"/>
        <w:rPr>
          <w:rFonts w:ascii="宋体" w:hAnsi="宋体" w:eastAsia="宋体" w:cs="宋体"/>
          <w:b/>
          <w:color w:val="auto"/>
          <w:kern w:val="0"/>
          <w:sz w:val="32"/>
          <w:szCs w:val="32"/>
          <w:highlight w:val="none"/>
          <w:lang w:val="zh-CN"/>
        </w:rPr>
      </w:pPr>
    </w:p>
    <w:p w14:paraId="331BB28B">
      <w:pPr>
        <w:keepNext/>
        <w:keepLines/>
        <w:spacing w:before="260" w:after="260" w:line="415" w:lineRule="auto"/>
        <w:outlineLvl w:val="1"/>
        <w:rPr>
          <w:rFonts w:ascii="Cambria" w:hAnsi="Cambria" w:eastAsia="宋体" w:cs="Times New Roman"/>
          <w:b/>
          <w:bCs/>
          <w:color w:val="auto"/>
          <w:kern w:val="0"/>
          <w:sz w:val="32"/>
          <w:szCs w:val="32"/>
          <w:highlight w:val="none"/>
          <w:lang w:val="zh-CN"/>
        </w:rPr>
      </w:pPr>
    </w:p>
    <w:p w14:paraId="26F3346F">
      <w:pPr>
        <w:jc w:val="center"/>
        <w:rPr>
          <w:rFonts w:ascii="宋体" w:hAnsi="宋体" w:eastAsia="宋体" w:cs="宋体"/>
          <w:b/>
          <w:color w:val="auto"/>
          <w:kern w:val="0"/>
          <w:sz w:val="32"/>
          <w:szCs w:val="32"/>
          <w:highlight w:val="none"/>
          <w:lang w:val="zh-CN"/>
        </w:rPr>
      </w:pPr>
    </w:p>
    <w:p w14:paraId="4FAC888C">
      <w:pPr>
        <w:jc w:val="center"/>
        <w:rPr>
          <w:rFonts w:ascii="宋体" w:hAnsi="宋体" w:eastAsia="宋体" w:cs="宋体"/>
          <w:b/>
          <w:color w:val="auto"/>
          <w:kern w:val="0"/>
          <w:sz w:val="32"/>
          <w:szCs w:val="32"/>
          <w:highlight w:val="none"/>
          <w:lang w:val="zh-CN"/>
        </w:rPr>
      </w:pPr>
    </w:p>
    <w:p w14:paraId="3BCEA123">
      <w:pPr>
        <w:jc w:val="center"/>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CECA3D7">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szCs w:val="21"/>
          <w:highlight w:val="none"/>
        </w:rPr>
        <w:t xml:space="preserve">                               </w:t>
      </w:r>
    </w:p>
    <w:p w14:paraId="54BE4A06">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sz w:val="24"/>
          <w:szCs w:val="21"/>
          <w:highlight w:val="none"/>
        </w:rPr>
        <w:t>（采购人）、（采购代理机构）</w:t>
      </w:r>
      <w:r>
        <w:rPr>
          <w:rFonts w:hint="eastAsia" w:ascii="宋体" w:hAnsi="宋体" w:eastAsia="宋体" w:cs="宋体"/>
          <w:color w:val="auto"/>
          <w:kern w:val="0"/>
          <w:sz w:val="24"/>
          <w:szCs w:val="21"/>
          <w:highlight w:val="none"/>
          <w:lang w:val="zh-CN"/>
        </w:rPr>
        <w:t>：</w:t>
      </w:r>
    </w:p>
    <w:p w14:paraId="4C28738F">
      <w:pPr>
        <w:snapToGrid w:val="0"/>
        <w:spacing w:line="360" w:lineRule="auto"/>
        <w:ind w:firstLine="576"/>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现</w:t>
      </w:r>
      <w:r>
        <w:rPr>
          <w:rFonts w:hint="eastAsia" w:ascii="宋体" w:hAnsi="宋体" w:eastAsia="宋体" w:cs="宋体"/>
          <w:color w:val="auto"/>
          <w:kern w:val="0"/>
          <w:sz w:val="24"/>
          <w:szCs w:val="21"/>
          <w:highlight w:val="none"/>
          <w:lang w:val="zh-CN"/>
        </w:rPr>
        <w:t>委托</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（姓名）为我方代理人（身份证号码：</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，手机：</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），以我方名义处理</w:t>
      </w:r>
      <w:r>
        <w:rPr>
          <w:rFonts w:hint="eastAsia" w:ascii="宋体" w:hAnsi="宋体" w:eastAsia="宋体" w:cs="宋体"/>
          <w:color w:val="auto"/>
          <w:sz w:val="24"/>
          <w:szCs w:val="21"/>
          <w:highlight w:val="none"/>
        </w:rPr>
        <w:t>（项目名称）【招标编号：（采购编号）】</w:t>
      </w:r>
      <w:r>
        <w:rPr>
          <w:rFonts w:hint="eastAsia" w:ascii="宋体" w:hAnsi="宋体" w:eastAsia="宋体" w:cs="宋体"/>
          <w:color w:val="auto"/>
          <w:kern w:val="0"/>
          <w:sz w:val="24"/>
          <w:szCs w:val="21"/>
          <w:highlight w:val="none"/>
          <w:lang w:val="zh-CN"/>
        </w:rPr>
        <w:t>政府采购投标的一切事项，其法律后果由我方承担。</w:t>
      </w:r>
    </w:p>
    <w:p w14:paraId="2ACEFD87">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委托期限</w:t>
      </w:r>
      <w:r>
        <w:rPr>
          <w:rFonts w:hint="eastAsia" w:ascii="宋体" w:hAnsi="宋体" w:eastAsia="宋体" w:cs="宋体"/>
          <w:color w:val="auto"/>
          <w:kern w:val="0"/>
          <w:sz w:val="24"/>
          <w:szCs w:val="21"/>
          <w:highlight w:val="none"/>
        </w:rPr>
        <w:t>：</w:t>
      </w:r>
      <w:r>
        <w:rPr>
          <w:rFonts w:hint="eastAsia" w:ascii="宋体" w:hAnsi="宋体" w:eastAsia="宋体" w:cs="宋体"/>
          <w:color w:val="auto"/>
          <w:kern w:val="0"/>
          <w:sz w:val="24"/>
          <w:szCs w:val="21"/>
          <w:highlight w:val="none"/>
          <w:lang w:val="zh-CN"/>
        </w:rPr>
        <w:t>自</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年</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月</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日起至</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年</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月</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日止。</w:t>
      </w:r>
    </w:p>
    <w:p w14:paraId="7E2751BA">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特此告知。</w:t>
      </w:r>
    </w:p>
    <w:p w14:paraId="7215DC36">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lang w:val="zh-CN"/>
        </w:rPr>
        <w:t xml:space="preserve">                                                供应商名称(电子签章)：</w:t>
      </w:r>
    </w:p>
    <w:p w14:paraId="52262176">
      <w:pPr>
        <w:snapToGrid w:val="0"/>
        <w:spacing w:line="360" w:lineRule="auto"/>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签发日期：  年  月   日</w:t>
      </w:r>
    </w:p>
    <w:p w14:paraId="78233781">
      <w:pPr>
        <w:snapToGrid w:val="0"/>
        <w:spacing w:line="360" w:lineRule="auto"/>
        <w:rPr>
          <w:rFonts w:ascii="宋体" w:hAnsi="宋体" w:eastAsia="宋体" w:cs="宋体"/>
          <w:color w:val="auto"/>
          <w:sz w:val="24"/>
          <w:szCs w:val="21"/>
          <w:highlight w:val="none"/>
        </w:rPr>
      </w:pPr>
    </w:p>
    <w:p w14:paraId="61EF74F8">
      <w:pPr>
        <w:snapToGrid w:val="0"/>
        <w:spacing w:line="360" w:lineRule="auto"/>
        <w:rPr>
          <w:rFonts w:ascii="宋体" w:hAnsi="宋体" w:eastAsia="宋体" w:cs="宋体"/>
          <w:color w:val="auto"/>
          <w:sz w:val="24"/>
          <w:szCs w:val="21"/>
          <w:highlight w:val="none"/>
        </w:rPr>
      </w:pPr>
    </w:p>
    <w:p w14:paraId="73CF3A05">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5E9ADF8">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sz w:val="24"/>
          <w:szCs w:val="21"/>
          <w:highlight w:val="none"/>
        </w:rPr>
        <w:t>（采购人）、（采购代理机构）</w:t>
      </w:r>
      <w:r>
        <w:rPr>
          <w:rFonts w:hint="eastAsia" w:ascii="宋体" w:hAnsi="宋体" w:eastAsia="宋体" w:cs="宋体"/>
          <w:color w:val="auto"/>
          <w:kern w:val="0"/>
          <w:sz w:val="24"/>
          <w:szCs w:val="21"/>
          <w:highlight w:val="none"/>
          <w:lang w:val="zh-CN"/>
        </w:rPr>
        <w:t>：</w:t>
      </w:r>
    </w:p>
    <w:p w14:paraId="5B61D6F6">
      <w:pPr>
        <w:snapToGrid w:val="0"/>
        <w:spacing w:line="360" w:lineRule="auto"/>
        <w:ind w:firstLine="576"/>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现</w:t>
      </w:r>
      <w:r>
        <w:rPr>
          <w:rFonts w:hint="eastAsia" w:ascii="宋体" w:hAnsi="宋体" w:eastAsia="宋体" w:cs="宋体"/>
          <w:color w:val="auto"/>
          <w:kern w:val="0"/>
          <w:sz w:val="24"/>
          <w:szCs w:val="21"/>
          <w:highlight w:val="none"/>
          <w:lang w:val="zh-CN"/>
        </w:rPr>
        <w:t>委托</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（姓名）为我方代理人（身份证号码：</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，手机：</w:t>
      </w:r>
      <w:r>
        <w:rPr>
          <w:rFonts w:hint="eastAsia" w:ascii="宋体" w:hAnsi="宋体" w:eastAsia="宋体" w:cs="宋体"/>
          <w:color w:val="auto"/>
          <w:kern w:val="0"/>
          <w:sz w:val="24"/>
          <w:szCs w:val="21"/>
          <w:highlight w:val="none"/>
          <w:u w:val="single"/>
          <w:lang w:val="zh-CN"/>
        </w:rPr>
        <w:t xml:space="preserve">          </w:t>
      </w:r>
      <w:r>
        <w:rPr>
          <w:rFonts w:hint="eastAsia" w:ascii="宋体" w:hAnsi="宋体" w:eastAsia="宋体" w:cs="宋体"/>
          <w:color w:val="auto"/>
          <w:kern w:val="0"/>
          <w:sz w:val="24"/>
          <w:szCs w:val="21"/>
          <w:highlight w:val="none"/>
          <w:lang w:val="zh-CN"/>
        </w:rPr>
        <w:t>），以我方名义处理</w:t>
      </w:r>
      <w:r>
        <w:rPr>
          <w:rFonts w:hint="eastAsia" w:ascii="宋体" w:hAnsi="宋体" w:eastAsia="宋体" w:cs="宋体"/>
          <w:color w:val="auto"/>
          <w:sz w:val="24"/>
          <w:szCs w:val="21"/>
          <w:highlight w:val="none"/>
        </w:rPr>
        <w:t>（项目名称）【招标编号：（采购编号）】</w:t>
      </w:r>
      <w:r>
        <w:rPr>
          <w:rFonts w:hint="eastAsia" w:ascii="宋体" w:hAnsi="宋体" w:eastAsia="宋体" w:cs="宋体"/>
          <w:color w:val="auto"/>
          <w:kern w:val="0"/>
          <w:sz w:val="24"/>
          <w:szCs w:val="21"/>
          <w:highlight w:val="none"/>
          <w:lang w:val="zh-CN"/>
        </w:rPr>
        <w:t>政府采购投标的一切事项，其法律后果由我方承担。</w:t>
      </w:r>
    </w:p>
    <w:p w14:paraId="74DB8B86">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委托期限</w:t>
      </w:r>
      <w:r>
        <w:rPr>
          <w:rFonts w:hint="eastAsia" w:ascii="宋体" w:hAnsi="宋体" w:eastAsia="宋体" w:cs="宋体"/>
          <w:color w:val="auto"/>
          <w:kern w:val="0"/>
          <w:sz w:val="24"/>
          <w:szCs w:val="21"/>
          <w:highlight w:val="none"/>
        </w:rPr>
        <w:t>：</w:t>
      </w:r>
      <w:r>
        <w:rPr>
          <w:rFonts w:hint="eastAsia" w:ascii="宋体" w:hAnsi="宋体" w:eastAsia="宋体" w:cs="宋体"/>
          <w:color w:val="auto"/>
          <w:kern w:val="0"/>
          <w:sz w:val="24"/>
          <w:szCs w:val="21"/>
          <w:highlight w:val="none"/>
          <w:lang w:val="zh-CN"/>
        </w:rPr>
        <w:t>自</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年</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月</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日起至</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年</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月</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日止。</w:t>
      </w:r>
    </w:p>
    <w:p w14:paraId="0A64E505">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特此告知。</w:t>
      </w:r>
    </w:p>
    <w:p w14:paraId="2F87921D">
      <w:pPr>
        <w:rPr>
          <w:rFonts w:ascii="宋体" w:hAnsi="宋体" w:eastAsia="宋体" w:cs="宋体"/>
          <w:color w:val="auto"/>
          <w:szCs w:val="21"/>
          <w:highlight w:val="none"/>
        </w:rPr>
      </w:pPr>
    </w:p>
    <w:p w14:paraId="58FB8202">
      <w:pPr>
        <w:snapToGrid w:val="0"/>
        <w:spacing w:line="360" w:lineRule="auto"/>
        <w:jc w:val="center"/>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联合体成员名称(电子签章)：</w:t>
      </w:r>
    </w:p>
    <w:p w14:paraId="08BB1ECE">
      <w:pPr>
        <w:snapToGrid w:val="0"/>
        <w:spacing w:line="360" w:lineRule="auto"/>
        <w:jc w:val="center"/>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联合体成员名称(电子签章)：</w:t>
      </w:r>
    </w:p>
    <w:p w14:paraId="4EB90F49">
      <w:pPr>
        <w:snapToGrid w:val="0"/>
        <w:spacing w:line="360" w:lineRule="auto"/>
        <w:ind w:firstLine="5760" w:firstLineChars="2400"/>
        <w:rPr>
          <w:rFonts w:ascii="宋体" w:hAnsi="宋体" w:eastAsia="宋体" w:cs="宋体"/>
          <w:color w:val="auto"/>
          <w:szCs w:val="21"/>
          <w:highlight w:val="none"/>
        </w:rPr>
      </w:pPr>
      <w:r>
        <w:rPr>
          <w:rFonts w:hint="eastAsia" w:ascii="宋体" w:hAnsi="宋体" w:eastAsia="宋体" w:cs="宋体"/>
          <w:color w:val="auto"/>
          <w:kern w:val="0"/>
          <w:sz w:val="24"/>
          <w:szCs w:val="21"/>
          <w:highlight w:val="none"/>
          <w:lang w:val="zh-CN"/>
        </w:rPr>
        <w:t>……</w:t>
      </w:r>
    </w:p>
    <w:p w14:paraId="07955294">
      <w:pPr>
        <w:snapToGrid w:val="0"/>
        <w:spacing w:line="360" w:lineRule="auto"/>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日期：  年  月   日</w:t>
      </w:r>
    </w:p>
    <w:p w14:paraId="55BB2EBF">
      <w:pPr>
        <w:keepNext/>
        <w:keepLines/>
        <w:tabs>
          <w:tab w:val="left" w:pos="432"/>
        </w:tabs>
        <w:spacing w:before="340" w:after="330" w:line="578" w:lineRule="auto"/>
        <w:outlineLvl w:val="0"/>
        <w:rPr>
          <w:rFonts w:ascii="Calibri" w:hAnsi="Calibri" w:eastAsia="宋体" w:cs="Times New Roman"/>
          <w:b/>
          <w:bCs/>
          <w:color w:val="auto"/>
          <w:kern w:val="44"/>
          <w:sz w:val="44"/>
          <w:szCs w:val="44"/>
          <w:highlight w:val="none"/>
          <w:lang w:val="zh-CN"/>
        </w:rPr>
      </w:pPr>
    </w:p>
    <w:p w14:paraId="24824BD0">
      <w:pPr>
        <w:autoSpaceDE w:val="0"/>
        <w:autoSpaceDN w:val="0"/>
        <w:spacing w:line="360" w:lineRule="auto"/>
        <w:jc w:val="center"/>
        <w:rPr>
          <w:rFonts w:ascii="宋体" w:hAnsi="宋体" w:eastAsia="宋体" w:cs="宋体"/>
          <w:b/>
          <w:color w:val="auto"/>
          <w:sz w:val="24"/>
          <w:szCs w:val="21"/>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的身份证明（适用于法定代表人、单位负责人或者自然人本人代表供应商参加投标）</w:t>
      </w:r>
    </w:p>
    <w:p w14:paraId="409BB2D6">
      <w:pPr>
        <w:spacing w:line="360" w:lineRule="auto"/>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身份证件扫描件或复印件：</w:t>
      </w:r>
    </w:p>
    <w:tbl>
      <w:tblPr>
        <w:tblStyle w:val="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B6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1681B">
            <w:pPr>
              <w:adjustRightInd w:val="0"/>
              <w:spacing w:line="360" w:lineRule="auto"/>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正面：                                 反面：</w:t>
            </w:r>
          </w:p>
          <w:p w14:paraId="7DF7F3B7">
            <w:pPr>
              <w:adjustRightInd w:val="0"/>
              <w:spacing w:line="360" w:lineRule="auto"/>
              <w:rPr>
                <w:rFonts w:ascii="宋体" w:hAnsi="宋体" w:eastAsia="宋体" w:cs="宋体"/>
                <w:bCs/>
                <w:color w:val="auto"/>
                <w:sz w:val="24"/>
                <w:szCs w:val="21"/>
                <w:highlight w:val="none"/>
              </w:rPr>
            </w:pPr>
          </w:p>
        </w:tc>
      </w:tr>
    </w:tbl>
    <w:p w14:paraId="01C6C486">
      <w:pPr>
        <w:snapToGrid w:val="0"/>
        <w:spacing w:line="360" w:lineRule="auto"/>
        <w:ind w:firstLine="576"/>
        <w:jc w:val="center"/>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w:t>
      </w:r>
    </w:p>
    <w:p w14:paraId="1035C8FC">
      <w:pPr>
        <w:snapToGrid w:val="0"/>
        <w:spacing w:line="360" w:lineRule="auto"/>
        <w:ind w:firstLine="576"/>
        <w:jc w:val="center"/>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供应商名称(电子签章)：                              </w:t>
      </w:r>
    </w:p>
    <w:p w14:paraId="76B45D42">
      <w:pPr>
        <w:spacing w:line="360" w:lineRule="auto"/>
        <w:jc w:val="center"/>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日期：  年  月  日</w:t>
      </w:r>
    </w:p>
    <w:p w14:paraId="4499DE34">
      <w:pPr>
        <w:keepNext/>
        <w:keepLines/>
        <w:spacing w:before="260" w:after="260" w:line="415" w:lineRule="auto"/>
        <w:outlineLvl w:val="1"/>
        <w:rPr>
          <w:rFonts w:ascii="宋体" w:hAnsi="宋体" w:eastAsia="宋体" w:cs="宋体"/>
          <w:b/>
          <w:bCs/>
          <w:color w:val="auto"/>
          <w:kern w:val="0"/>
          <w:sz w:val="32"/>
          <w:szCs w:val="32"/>
          <w:highlight w:val="none"/>
          <w:lang w:val="zh-CN"/>
        </w:rPr>
      </w:pPr>
    </w:p>
    <w:p w14:paraId="62DA0311">
      <w:pPr>
        <w:rPr>
          <w:rFonts w:ascii="宋体" w:hAnsi="宋体" w:eastAsia="宋体" w:cs="宋体"/>
          <w:color w:val="auto"/>
          <w:szCs w:val="21"/>
          <w:highlight w:val="none"/>
          <w:lang w:val="zh-CN"/>
        </w:rPr>
      </w:pPr>
    </w:p>
    <w:p w14:paraId="207E863C">
      <w:pPr>
        <w:keepNext/>
        <w:keepLines/>
        <w:spacing w:before="260" w:after="260" w:line="415" w:lineRule="auto"/>
        <w:outlineLvl w:val="1"/>
        <w:rPr>
          <w:rFonts w:ascii="宋体" w:hAnsi="宋体" w:eastAsia="宋体" w:cs="宋体"/>
          <w:b/>
          <w:bCs/>
          <w:color w:val="auto"/>
          <w:kern w:val="0"/>
          <w:sz w:val="32"/>
          <w:szCs w:val="32"/>
          <w:highlight w:val="none"/>
          <w:lang w:val="zh-CN"/>
        </w:rPr>
      </w:pPr>
    </w:p>
    <w:p w14:paraId="34607C16">
      <w:pPr>
        <w:rPr>
          <w:rFonts w:ascii="宋体" w:hAnsi="宋体" w:eastAsia="宋体" w:cs="宋体"/>
          <w:color w:val="auto"/>
          <w:szCs w:val="21"/>
          <w:highlight w:val="none"/>
          <w:lang w:val="zh-CN"/>
        </w:rPr>
      </w:pPr>
    </w:p>
    <w:p w14:paraId="77FFEE81">
      <w:pPr>
        <w:snapToGrid w:val="0"/>
        <w:spacing w:line="360" w:lineRule="auto"/>
        <w:jc w:val="center"/>
        <w:rPr>
          <w:rFonts w:ascii="宋体" w:hAnsi="宋体" w:eastAsia="宋体" w:cs="宋体"/>
          <w:b/>
          <w:bCs/>
          <w:color w:val="auto"/>
          <w:kern w:val="0"/>
          <w:sz w:val="30"/>
          <w:szCs w:val="30"/>
          <w:highlight w:val="none"/>
          <w:lang w:val="zh-CN"/>
        </w:rPr>
        <w:sectPr>
          <w:pgSz w:w="11906" w:h="16838"/>
          <w:pgMar w:top="1440" w:right="1803" w:bottom="1440" w:left="1803" w:header="930" w:footer="992" w:gutter="0"/>
          <w:cols w:space="720" w:num="1"/>
          <w:docGrid w:type="lines" w:linePitch="319" w:charSpace="0"/>
        </w:sectPr>
      </w:pPr>
    </w:p>
    <w:p w14:paraId="2425B884">
      <w:pPr>
        <w:jc w:val="center"/>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r>
        <w:rPr>
          <w:rFonts w:hint="eastAsia" w:ascii="宋体" w:hAnsi="宋体" w:eastAsia="宋体" w:cs="宋体"/>
          <w:b/>
          <w:color w:val="auto"/>
          <w:kern w:val="0"/>
          <w:sz w:val="32"/>
          <w:szCs w:val="32"/>
          <w:highlight w:val="none"/>
        </w:rPr>
        <w:t>（本项目不适用）</w:t>
      </w:r>
    </w:p>
    <w:p w14:paraId="49118A00">
      <w:pPr>
        <w:widowControl/>
        <w:spacing w:line="360" w:lineRule="auto"/>
        <w:ind w:firstLine="482" w:firstLineChars="200"/>
        <w:jc w:val="left"/>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（以联合体形式投标的，提供联合协议；本项目不接受联合体投标或者供应商不以联合体形式投标的，则不需要提供）</w:t>
      </w:r>
    </w:p>
    <w:p w14:paraId="20B7C17E">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u w:val="single"/>
        </w:rPr>
        <w:t>（联合体所有成员名称）</w:t>
      </w:r>
      <w:r>
        <w:rPr>
          <w:rFonts w:hint="eastAsia" w:ascii="宋体" w:hAnsi="宋体" w:eastAsia="宋体" w:cs="宋体"/>
          <w:color w:val="auto"/>
          <w:kern w:val="0"/>
          <w:sz w:val="24"/>
          <w:szCs w:val="21"/>
          <w:highlight w:val="none"/>
        </w:rPr>
        <w:t>自愿</w:t>
      </w:r>
      <w:r>
        <w:rPr>
          <w:rFonts w:hint="eastAsia" w:ascii="宋体" w:hAnsi="宋体" w:eastAsia="宋体" w:cs="宋体"/>
          <w:color w:val="auto"/>
          <w:kern w:val="0"/>
          <w:sz w:val="24"/>
          <w:szCs w:val="21"/>
          <w:highlight w:val="none"/>
          <w:lang w:val="zh-CN"/>
        </w:rPr>
        <w:t>组成一个联合体，以一个供应商的身份</w:t>
      </w:r>
      <w:r>
        <w:rPr>
          <w:rFonts w:hint="eastAsia" w:ascii="宋体" w:hAnsi="宋体" w:eastAsia="宋体" w:cs="宋体"/>
          <w:color w:val="auto"/>
          <w:kern w:val="0"/>
          <w:sz w:val="24"/>
          <w:szCs w:val="21"/>
          <w:highlight w:val="none"/>
        </w:rPr>
        <w:t>参加</w:t>
      </w:r>
      <w:r>
        <w:rPr>
          <w:rFonts w:hint="eastAsia" w:ascii="宋体" w:hAnsi="宋体" w:eastAsia="宋体" w:cs="宋体"/>
          <w:color w:val="auto"/>
          <w:sz w:val="24"/>
          <w:szCs w:val="21"/>
          <w:highlight w:val="none"/>
        </w:rPr>
        <w:t>（项目名称）【招标编号：（采购编号）】</w:t>
      </w:r>
      <w:r>
        <w:rPr>
          <w:rFonts w:hint="eastAsia" w:ascii="宋体" w:hAnsi="宋体" w:eastAsia="宋体" w:cs="宋体"/>
          <w:color w:val="auto"/>
          <w:kern w:val="0"/>
          <w:sz w:val="24"/>
          <w:szCs w:val="21"/>
          <w:highlight w:val="none"/>
          <w:lang w:val="zh-CN"/>
        </w:rPr>
        <w:t xml:space="preserve">投标。 </w:t>
      </w:r>
    </w:p>
    <w:p w14:paraId="0FD093F0">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一、各方一致决定，</w:t>
      </w:r>
      <w:r>
        <w:rPr>
          <w:rFonts w:hint="eastAsia" w:ascii="宋体" w:hAnsi="宋体" w:eastAsia="宋体" w:cs="宋体"/>
          <w:color w:val="auto"/>
          <w:kern w:val="0"/>
          <w:sz w:val="24"/>
          <w:szCs w:val="21"/>
          <w:highlight w:val="none"/>
          <w:u w:val="single"/>
        </w:rPr>
        <w:t>（某联合体成员名称）</w:t>
      </w:r>
      <w:r>
        <w:rPr>
          <w:rFonts w:hint="eastAsia" w:ascii="宋体" w:hAnsi="宋体" w:eastAsia="宋体" w:cs="宋体"/>
          <w:color w:val="auto"/>
          <w:kern w:val="0"/>
          <w:sz w:val="24"/>
          <w:szCs w:val="21"/>
          <w:highlight w:val="none"/>
        </w:rPr>
        <w:t>为联合体</w:t>
      </w:r>
      <w:r>
        <w:rPr>
          <w:rFonts w:hint="eastAsia" w:ascii="宋体" w:hAnsi="宋体" w:eastAsia="宋体" w:cs="宋体"/>
          <w:color w:val="auto"/>
          <w:kern w:val="0"/>
          <w:sz w:val="24"/>
          <w:szCs w:val="21"/>
          <w:highlight w:val="none"/>
          <w:lang w:val="zh-CN"/>
        </w:rPr>
        <w:t>牵头人</w:t>
      </w:r>
      <w:r>
        <w:rPr>
          <w:rFonts w:hint="eastAsia" w:ascii="宋体" w:hAnsi="宋体" w:eastAsia="宋体" w:cs="宋体"/>
          <w:color w:val="auto"/>
          <w:sz w:val="24"/>
          <w:szCs w:val="21"/>
          <w:highlight w:val="none"/>
        </w:rPr>
        <w:t>，代表所有联合体成员负责投标和合同实施阶段的主办、协调工作</w:t>
      </w:r>
      <w:r>
        <w:rPr>
          <w:rFonts w:hint="eastAsia" w:ascii="宋体" w:hAnsi="宋体" w:eastAsia="宋体" w:cs="宋体"/>
          <w:color w:val="auto"/>
          <w:kern w:val="0"/>
          <w:sz w:val="24"/>
          <w:szCs w:val="21"/>
          <w:highlight w:val="none"/>
          <w:lang w:val="zh-CN"/>
        </w:rPr>
        <w:t>。</w:t>
      </w:r>
    </w:p>
    <w:p w14:paraId="027DDC49">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二、</w:t>
      </w:r>
      <w:r>
        <w:rPr>
          <w:rFonts w:hint="eastAsia" w:ascii="宋体" w:hAnsi="宋体" w:eastAsia="宋体" w:cs="宋体"/>
          <w:color w:val="auto"/>
          <w:sz w:val="24"/>
          <w:szCs w:val="21"/>
          <w:highlight w:val="none"/>
        </w:rPr>
        <w:t>所有联合体成员各方签署授权书，授权书载明的</w:t>
      </w:r>
      <w:r>
        <w:rPr>
          <w:rFonts w:hint="eastAsia" w:ascii="宋体" w:hAnsi="宋体" w:eastAsia="宋体" w:cs="宋体"/>
          <w:color w:val="auto"/>
          <w:kern w:val="0"/>
          <w:sz w:val="24"/>
          <w:szCs w:val="21"/>
          <w:highlight w:val="none"/>
          <w:lang w:val="zh-CN"/>
        </w:rPr>
        <w:t>授权代表根据招标文件规定及投标内容而对采购人、采购机构所作的任何合法承诺，包括书面澄清及相应等均对联合投标各方产生约束力。</w:t>
      </w:r>
    </w:p>
    <w:p w14:paraId="367EA627">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三、本次联合投标中，分工如下：</w:t>
      </w:r>
      <w:r>
        <w:rPr>
          <w:rFonts w:hint="eastAsia" w:ascii="宋体" w:hAnsi="宋体" w:eastAsia="宋体" w:cs="宋体"/>
          <w:color w:val="auto"/>
          <w:kern w:val="0"/>
          <w:sz w:val="24"/>
          <w:szCs w:val="21"/>
          <w:highlight w:val="none"/>
          <w:u w:val="single"/>
        </w:rPr>
        <w:t>（联合体其中一方成员名称）</w:t>
      </w:r>
      <w:r>
        <w:rPr>
          <w:rFonts w:hint="eastAsia" w:ascii="宋体" w:hAnsi="宋体" w:eastAsia="宋体" w:cs="宋体"/>
          <w:color w:val="auto"/>
          <w:kern w:val="0"/>
          <w:sz w:val="24"/>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 w:val="24"/>
          <w:szCs w:val="21"/>
          <w:highlight w:val="none"/>
          <w:lang w:val="zh-CN"/>
        </w:rPr>
        <w:t>；……。</w:t>
      </w:r>
    </w:p>
    <w:p w14:paraId="75BB69F6">
      <w:pPr>
        <w:snapToGrid w:val="0"/>
        <w:spacing w:line="360" w:lineRule="auto"/>
        <w:ind w:firstLine="576"/>
        <w:rPr>
          <w:rFonts w:ascii="宋体" w:hAnsi="宋体" w:eastAsia="宋体" w:cs="宋体"/>
          <w:b/>
          <w:color w:val="auto"/>
          <w:kern w:val="0"/>
          <w:sz w:val="24"/>
          <w:szCs w:val="21"/>
          <w:highlight w:val="none"/>
          <w:lang w:val="zh-CN"/>
        </w:rPr>
      </w:pPr>
      <w:r>
        <w:rPr>
          <w:rFonts w:hint="eastAsia" w:ascii="宋体" w:hAnsi="宋体" w:eastAsia="宋体" w:cs="宋体"/>
          <w:color w:val="auto"/>
          <w:kern w:val="0"/>
          <w:sz w:val="24"/>
          <w:szCs w:val="21"/>
          <w:highlight w:val="none"/>
          <w:lang w:val="zh-CN"/>
        </w:rPr>
        <w:t>四、</w:t>
      </w:r>
      <w:r>
        <w:rPr>
          <w:rFonts w:hint="eastAsia" w:ascii="宋体" w:hAnsi="宋体" w:eastAsia="宋体" w:cs="宋体"/>
          <w:color w:val="auto"/>
          <w:kern w:val="0"/>
          <w:sz w:val="24"/>
          <w:szCs w:val="21"/>
          <w:highlight w:val="none"/>
          <w:u w:val="single"/>
        </w:rPr>
        <w:t>（联合体其中一方成员名称）</w:t>
      </w:r>
      <w:r>
        <w:rPr>
          <w:rFonts w:hint="eastAsia" w:ascii="宋体" w:hAnsi="宋体" w:eastAsia="宋体" w:cs="宋体"/>
          <w:color w:val="auto"/>
          <w:kern w:val="0"/>
          <w:sz w:val="24"/>
          <w:szCs w:val="21"/>
          <w:highlight w:val="none"/>
        </w:rPr>
        <w:t>提供的全部货物由小微企业制造，其合同份额占到合同总金额</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%以上；</w:t>
      </w:r>
      <w:r>
        <w:rPr>
          <w:rFonts w:hint="eastAsia" w:ascii="宋体" w:hAnsi="宋体" w:eastAsia="宋体" w:cs="宋体"/>
          <w:color w:val="auto"/>
          <w:kern w:val="0"/>
          <w:sz w:val="24"/>
          <w:szCs w:val="21"/>
          <w:highlight w:val="none"/>
          <w:lang w:val="zh-CN"/>
        </w:rPr>
        <w:t>……。</w:t>
      </w:r>
      <w:r>
        <w:rPr>
          <w:rFonts w:hint="eastAsia" w:ascii="宋体" w:hAnsi="宋体" w:eastAsia="宋体" w:cs="宋体"/>
          <w:b/>
          <w:color w:val="auto"/>
          <w:kern w:val="0"/>
          <w:sz w:val="24"/>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20ED3588">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五、如果</w:t>
      </w:r>
      <w:r>
        <w:rPr>
          <w:rFonts w:hint="eastAsia" w:ascii="宋体" w:hAnsi="宋体" w:eastAsia="宋体" w:cs="宋体"/>
          <w:color w:val="auto"/>
          <w:kern w:val="0"/>
          <w:sz w:val="24"/>
          <w:szCs w:val="21"/>
          <w:highlight w:val="none"/>
        </w:rPr>
        <w:t>中标</w:t>
      </w:r>
      <w:r>
        <w:rPr>
          <w:rFonts w:hint="eastAsia" w:ascii="宋体" w:hAnsi="宋体" w:eastAsia="宋体" w:cs="宋体"/>
          <w:color w:val="auto"/>
          <w:kern w:val="0"/>
          <w:sz w:val="24"/>
          <w:szCs w:val="21"/>
          <w:highlight w:val="none"/>
          <w:lang w:val="zh-CN"/>
        </w:rPr>
        <w:t>，</w:t>
      </w:r>
      <w:r>
        <w:rPr>
          <w:rFonts w:hint="eastAsia" w:ascii="宋体" w:hAnsi="宋体" w:eastAsia="宋体" w:cs="宋体"/>
          <w:color w:val="auto"/>
          <w:sz w:val="24"/>
          <w:szCs w:val="21"/>
          <w:highlight w:val="none"/>
        </w:rPr>
        <w:t>联合体各成员方共同与采购人签订框架协议或服务合同，并就框架协议或服务合同约定的事项对采购人承担连带责任。</w:t>
      </w:r>
    </w:p>
    <w:p w14:paraId="25B23EE4">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六、有关本次联合投标的其他事宜：</w:t>
      </w:r>
    </w:p>
    <w:p w14:paraId="36CCAB26">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1、联合体各方不再单独参加或者与其他供应商另外组成联合体参加同一合同项下的政府采购活动。</w:t>
      </w:r>
    </w:p>
    <w:p w14:paraId="7E102FDC">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2、联合体中有同类资质的各方按照联合体分工承担相同工作的，按照资质等级较低的供应商确定资质等级。</w:t>
      </w:r>
    </w:p>
    <w:p w14:paraId="22153AAE">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3、本协议提交采购人、采购机构后，联合体各方不得以任何形式对上述内容进行修改或撤销。</w:t>
      </w:r>
    </w:p>
    <w:p w14:paraId="495861CE">
      <w:pPr>
        <w:snapToGrid w:val="0"/>
        <w:spacing w:line="360" w:lineRule="auto"/>
        <w:ind w:firstLine="5040" w:firstLineChars="2100"/>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联合体成员名称(电子签章)：</w:t>
      </w:r>
    </w:p>
    <w:p w14:paraId="052F02BD">
      <w:pPr>
        <w:snapToGrid w:val="0"/>
        <w:spacing w:line="360" w:lineRule="auto"/>
        <w:ind w:firstLine="5760" w:firstLineChars="2400"/>
        <w:rPr>
          <w:rFonts w:ascii="宋体" w:hAnsi="宋体" w:eastAsia="宋体" w:cs="宋体"/>
          <w:color w:val="auto"/>
          <w:szCs w:val="21"/>
          <w:highlight w:val="none"/>
        </w:rPr>
      </w:pPr>
      <w:r>
        <w:rPr>
          <w:rFonts w:hint="eastAsia" w:ascii="宋体" w:hAnsi="宋体" w:eastAsia="宋体" w:cs="宋体"/>
          <w:color w:val="auto"/>
          <w:kern w:val="0"/>
          <w:sz w:val="24"/>
          <w:szCs w:val="21"/>
          <w:highlight w:val="none"/>
          <w:lang w:val="zh-CN"/>
        </w:rPr>
        <w:t>……</w:t>
      </w:r>
    </w:p>
    <w:p w14:paraId="660E43E7">
      <w:pPr>
        <w:snapToGrid w:val="0"/>
        <w:spacing w:line="360" w:lineRule="auto"/>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日期：  年  月   日</w:t>
      </w:r>
    </w:p>
    <w:p w14:paraId="4E6B4934">
      <w:pPr>
        <w:snapToGrid w:val="0"/>
        <w:spacing w:line="360" w:lineRule="auto"/>
        <w:ind w:right="480"/>
        <w:rPr>
          <w:rFonts w:ascii="宋体" w:hAnsi="宋体" w:eastAsia="宋体" w:cs="宋体"/>
          <w:b/>
          <w:color w:val="auto"/>
          <w:kern w:val="0"/>
          <w:sz w:val="32"/>
          <w:szCs w:val="32"/>
          <w:highlight w:val="none"/>
          <w:lang w:val="zh-CN"/>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2259D9C5">
      <w:pPr>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四、分包意向协议（本项目不适用）</w:t>
      </w:r>
    </w:p>
    <w:p w14:paraId="7B915E31">
      <w:pPr>
        <w:widowControl/>
        <w:spacing w:line="360" w:lineRule="auto"/>
        <w:ind w:firstLine="120" w:firstLineChars="5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w:t>
      </w:r>
      <w:r>
        <w:rPr>
          <w:rFonts w:hint="eastAsia" w:ascii="宋体" w:hAnsi="宋体" w:eastAsia="宋体" w:cs="宋体"/>
          <w:b/>
          <w:color w:val="auto"/>
          <w:sz w:val="24"/>
          <w:szCs w:val="21"/>
          <w:highlight w:val="none"/>
        </w:rPr>
        <w:t>中标后以分包方式履行协议的，提供分包意向协议；采购人不同意分包或者供应商中标后不以分包方式履行协议的，则不需要提供。</w:t>
      </w:r>
      <w:r>
        <w:rPr>
          <w:rFonts w:hint="eastAsia" w:ascii="宋体" w:hAnsi="宋体" w:eastAsia="宋体" w:cs="宋体"/>
          <w:color w:val="auto"/>
          <w:sz w:val="24"/>
          <w:szCs w:val="21"/>
          <w:highlight w:val="none"/>
        </w:rPr>
        <w:t>）</w:t>
      </w:r>
    </w:p>
    <w:p w14:paraId="5FE575CB">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u w:val="single"/>
        </w:rPr>
        <w:t>（供应商名称）</w:t>
      </w:r>
      <w:r>
        <w:rPr>
          <w:rFonts w:hint="eastAsia" w:ascii="宋体" w:hAnsi="宋体" w:eastAsia="宋体" w:cs="宋体"/>
          <w:color w:val="auto"/>
          <w:kern w:val="0"/>
          <w:sz w:val="24"/>
          <w:szCs w:val="21"/>
          <w:highlight w:val="none"/>
          <w:lang w:val="zh-CN"/>
        </w:rPr>
        <w:t>若成为</w:t>
      </w:r>
      <w:r>
        <w:rPr>
          <w:rFonts w:hint="eastAsia" w:ascii="宋体" w:hAnsi="宋体" w:eastAsia="宋体" w:cs="宋体"/>
          <w:color w:val="auto"/>
          <w:sz w:val="24"/>
          <w:szCs w:val="21"/>
          <w:highlight w:val="none"/>
        </w:rPr>
        <w:t>（项目名称）【招标编号：（采购编号）】</w:t>
      </w:r>
      <w:r>
        <w:rPr>
          <w:rFonts w:hint="eastAsia" w:ascii="宋体" w:hAnsi="宋体" w:eastAsia="宋体" w:cs="宋体"/>
          <w:color w:val="auto"/>
          <w:kern w:val="0"/>
          <w:sz w:val="24"/>
          <w:szCs w:val="21"/>
          <w:highlight w:val="none"/>
          <w:lang w:val="zh-CN"/>
        </w:rPr>
        <w:t>的</w:t>
      </w:r>
      <w:r>
        <w:rPr>
          <w:rFonts w:hint="eastAsia" w:ascii="宋体" w:hAnsi="宋体" w:eastAsia="宋体" w:cs="宋体"/>
          <w:color w:val="auto"/>
          <w:kern w:val="0"/>
          <w:sz w:val="24"/>
          <w:szCs w:val="21"/>
          <w:highlight w:val="none"/>
        </w:rPr>
        <w:t>中标</w:t>
      </w:r>
      <w:r>
        <w:rPr>
          <w:rFonts w:hint="eastAsia" w:ascii="宋体" w:hAnsi="宋体" w:eastAsia="宋体" w:cs="宋体"/>
          <w:color w:val="auto"/>
          <w:kern w:val="0"/>
          <w:sz w:val="24"/>
          <w:szCs w:val="21"/>
          <w:highlight w:val="none"/>
          <w:lang w:val="zh-CN"/>
        </w:rPr>
        <w:t>供应商，将依法采取分包方式履行</w:t>
      </w:r>
      <w:r>
        <w:rPr>
          <w:rFonts w:hint="eastAsia" w:ascii="宋体" w:hAnsi="宋体" w:eastAsia="宋体" w:cs="宋体"/>
          <w:color w:val="auto"/>
          <w:kern w:val="0"/>
          <w:sz w:val="24"/>
          <w:szCs w:val="21"/>
          <w:highlight w:val="none"/>
        </w:rPr>
        <w:t>协议</w:t>
      </w:r>
      <w:r>
        <w:rPr>
          <w:rFonts w:hint="eastAsia" w:ascii="宋体" w:hAnsi="宋体" w:eastAsia="宋体" w:cs="宋体"/>
          <w:color w:val="auto"/>
          <w:kern w:val="0"/>
          <w:sz w:val="24"/>
          <w:szCs w:val="21"/>
          <w:highlight w:val="none"/>
          <w:lang w:val="zh-CN"/>
        </w:rPr>
        <w:t>。</w:t>
      </w:r>
      <w:r>
        <w:rPr>
          <w:rFonts w:hint="eastAsia" w:ascii="宋体" w:hAnsi="宋体" w:eastAsia="宋体" w:cs="宋体"/>
          <w:color w:val="auto"/>
          <w:kern w:val="0"/>
          <w:sz w:val="24"/>
          <w:szCs w:val="21"/>
          <w:highlight w:val="none"/>
          <w:u w:val="single"/>
        </w:rPr>
        <w:t>（供应商名称）</w:t>
      </w:r>
      <w:r>
        <w:rPr>
          <w:rFonts w:hint="eastAsia" w:ascii="宋体" w:hAnsi="宋体" w:eastAsia="宋体" w:cs="宋体"/>
          <w:color w:val="auto"/>
          <w:kern w:val="0"/>
          <w:sz w:val="24"/>
          <w:szCs w:val="21"/>
          <w:highlight w:val="none"/>
        </w:rPr>
        <w:t>与</w:t>
      </w:r>
      <w:r>
        <w:rPr>
          <w:rFonts w:hint="eastAsia" w:ascii="宋体" w:hAnsi="宋体" w:eastAsia="宋体" w:cs="宋体"/>
          <w:color w:val="auto"/>
          <w:kern w:val="0"/>
          <w:sz w:val="24"/>
          <w:szCs w:val="21"/>
          <w:highlight w:val="none"/>
          <w:u w:val="single"/>
        </w:rPr>
        <w:t>（所有分包供应商名称）</w:t>
      </w:r>
      <w:r>
        <w:rPr>
          <w:rFonts w:hint="eastAsia" w:ascii="宋体" w:hAnsi="宋体" w:eastAsia="宋体" w:cs="宋体"/>
          <w:color w:val="auto"/>
          <w:kern w:val="0"/>
          <w:sz w:val="24"/>
          <w:szCs w:val="21"/>
          <w:highlight w:val="none"/>
        </w:rPr>
        <w:t>达成分包意向协议</w:t>
      </w:r>
      <w:r>
        <w:rPr>
          <w:rFonts w:hint="eastAsia" w:ascii="宋体" w:hAnsi="宋体" w:eastAsia="宋体" w:cs="宋体"/>
          <w:color w:val="auto"/>
          <w:kern w:val="0"/>
          <w:sz w:val="24"/>
          <w:szCs w:val="21"/>
          <w:highlight w:val="none"/>
          <w:lang w:val="zh-CN"/>
        </w:rPr>
        <w:t xml:space="preserve">。 </w:t>
      </w:r>
    </w:p>
    <w:p w14:paraId="0B6B9CC1">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一、分包标的及数量</w:t>
      </w:r>
    </w:p>
    <w:p w14:paraId="239B0E63">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u w:val="single"/>
        </w:rPr>
        <w:t>（供应商名称）</w:t>
      </w:r>
      <w:r>
        <w:rPr>
          <w:rFonts w:hint="eastAsia" w:ascii="宋体" w:hAnsi="宋体" w:eastAsia="宋体" w:cs="宋体"/>
          <w:color w:val="auto"/>
          <w:kern w:val="0"/>
          <w:sz w:val="24"/>
          <w:szCs w:val="21"/>
          <w:highlight w:val="none"/>
          <w:lang w:val="zh-CN"/>
        </w:rPr>
        <w:t>将</w:t>
      </w:r>
      <w:r>
        <w:rPr>
          <w:rFonts w:hint="eastAsia" w:ascii="宋体" w:hAnsi="宋体" w:eastAsia="宋体" w:cs="宋体"/>
          <w:color w:val="auto"/>
          <w:szCs w:val="21"/>
          <w:highlight w:val="none"/>
          <w:u w:val="single"/>
        </w:rPr>
        <w:t xml:space="preserve">   XX工作内容   </w:t>
      </w:r>
      <w:r>
        <w:rPr>
          <w:rFonts w:hint="eastAsia" w:ascii="宋体" w:hAnsi="宋体" w:eastAsia="宋体" w:cs="宋体"/>
          <w:color w:val="auto"/>
          <w:sz w:val="24"/>
          <w:szCs w:val="21"/>
          <w:highlight w:val="none"/>
        </w:rPr>
        <w:t>分包给</w:t>
      </w:r>
      <w:r>
        <w:rPr>
          <w:rFonts w:hint="eastAsia" w:ascii="宋体" w:hAnsi="宋体" w:eastAsia="宋体" w:cs="宋体"/>
          <w:color w:val="auto"/>
          <w:kern w:val="0"/>
          <w:sz w:val="24"/>
          <w:szCs w:val="21"/>
          <w:highlight w:val="none"/>
          <w:u w:val="single"/>
        </w:rPr>
        <w:t>（某分包供应商名称）</w:t>
      </w:r>
      <w:r>
        <w:rPr>
          <w:rFonts w:hint="eastAsia" w:ascii="宋体" w:hAnsi="宋体" w:eastAsia="宋体" w:cs="宋体"/>
          <w:color w:val="auto"/>
          <w:kern w:val="0"/>
          <w:sz w:val="24"/>
          <w:szCs w:val="21"/>
          <w:highlight w:val="none"/>
          <w:lang w:val="zh-CN"/>
        </w:rPr>
        <w:t>，</w:t>
      </w:r>
      <w:r>
        <w:rPr>
          <w:rFonts w:hint="eastAsia" w:ascii="宋体" w:hAnsi="宋体" w:eastAsia="宋体" w:cs="宋体"/>
          <w:color w:val="auto"/>
          <w:kern w:val="0"/>
          <w:sz w:val="24"/>
          <w:szCs w:val="21"/>
          <w:highlight w:val="none"/>
          <w:u w:val="single"/>
        </w:rPr>
        <w:t>（某分包供应商名称），</w:t>
      </w:r>
      <w:r>
        <w:rPr>
          <w:rFonts w:hint="eastAsia" w:ascii="宋体" w:hAnsi="宋体" w:eastAsia="宋体" w:cs="宋体"/>
          <w:color w:val="auto"/>
          <w:kern w:val="0"/>
          <w:sz w:val="24"/>
          <w:szCs w:val="21"/>
          <w:highlight w:val="none"/>
          <w:lang w:val="zh-CN"/>
        </w:rPr>
        <w:t>具备承</w:t>
      </w:r>
      <w:r>
        <w:rPr>
          <w:rFonts w:hint="eastAsia" w:ascii="宋体" w:hAnsi="宋体" w:eastAsia="宋体" w:cs="宋体"/>
          <w:color w:val="auto"/>
          <w:kern w:val="0"/>
          <w:sz w:val="24"/>
          <w:szCs w:val="21"/>
          <w:highlight w:val="none"/>
        </w:rPr>
        <w:t>担</w:t>
      </w:r>
      <w:r>
        <w:rPr>
          <w:rFonts w:hint="eastAsia" w:ascii="宋体" w:hAnsi="宋体" w:eastAsia="宋体" w:cs="宋体"/>
          <w:color w:val="auto"/>
          <w:kern w:val="0"/>
          <w:sz w:val="24"/>
          <w:szCs w:val="21"/>
          <w:highlight w:val="none"/>
          <w:u w:val="single"/>
          <w:lang w:val="zh-CN"/>
        </w:rPr>
        <w:t>XX工作内容</w:t>
      </w:r>
      <w:r>
        <w:rPr>
          <w:rFonts w:hint="eastAsia" w:ascii="宋体" w:hAnsi="宋体" w:eastAsia="宋体" w:cs="宋体"/>
          <w:color w:val="auto"/>
          <w:kern w:val="0"/>
          <w:sz w:val="24"/>
          <w:szCs w:val="21"/>
          <w:highlight w:val="none"/>
          <w:lang w:val="zh-CN"/>
        </w:rPr>
        <w:t>相应资质条件且不得再次分包；</w:t>
      </w:r>
    </w:p>
    <w:p w14:paraId="5FFB4981">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二、分包工作履行期限、地点、方式</w:t>
      </w:r>
    </w:p>
    <w:p w14:paraId="647119BE">
      <w:pPr>
        <w:snapToGrid w:val="0"/>
        <w:spacing w:line="360" w:lineRule="auto"/>
        <w:ind w:firstLine="576"/>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4905F2A">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三、质量</w:t>
      </w:r>
    </w:p>
    <w:p w14:paraId="0333AD64">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szCs w:val="21"/>
          <w:highlight w:val="none"/>
          <w:u w:val="single"/>
        </w:rPr>
        <w:t xml:space="preserve">                                                                                       </w:t>
      </w:r>
    </w:p>
    <w:p w14:paraId="592F32B8">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四、价款或者报酬</w:t>
      </w:r>
    </w:p>
    <w:p w14:paraId="2206289A">
      <w:pPr>
        <w:snapToGrid w:val="0"/>
        <w:spacing w:line="360" w:lineRule="auto"/>
        <w:ind w:left="573" w:leftChars="273"/>
        <w:rPr>
          <w:rFonts w:ascii="宋体" w:hAnsi="宋体" w:eastAsia="宋体" w:cs="宋体"/>
          <w:color w:val="auto"/>
          <w:kern w:val="0"/>
          <w:sz w:val="24"/>
          <w:szCs w:val="21"/>
          <w:highlight w:val="none"/>
          <w:lang w:val="zh-CN"/>
        </w:rPr>
      </w:pPr>
      <w:r>
        <w:rPr>
          <w:rFonts w:hint="eastAsia" w:ascii="宋体" w:hAnsi="宋体" w:eastAsia="宋体" w:cs="宋体"/>
          <w:color w:val="auto"/>
          <w:szCs w:val="21"/>
          <w:highlight w:val="none"/>
          <w:u w:val="single"/>
        </w:rPr>
        <w:t xml:space="preserve">                                                                                     </w:t>
      </w:r>
    </w:p>
    <w:p w14:paraId="5FDC9A69">
      <w:pPr>
        <w:snapToGrid w:val="0"/>
        <w:spacing w:line="360" w:lineRule="auto"/>
        <w:ind w:left="573" w:leftChars="273"/>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五、违约责任</w:t>
      </w:r>
    </w:p>
    <w:p w14:paraId="24B39D4F">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szCs w:val="21"/>
          <w:highlight w:val="none"/>
          <w:u w:val="single"/>
        </w:rPr>
        <w:t xml:space="preserve">                                                                                     </w:t>
      </w:r>
    </w:p>
    <w:p w14:paraId="5559FBA4">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六、争议解决的办法</w:t>
      </w:r>
    </w:p>
    <w:p w14:paraId="7E15BDD3">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szCs w:val="21"/>
          <w:highlight w:val="none"/>
          <w:u w:val="single"/>
        </w:rPr>
        <w:t xml:space="preserve">                                                                                  </w:t>
      </w:r>
    </w:p>
    <w:p w14:paraId="59687D0D">
      <w:pPr>
        <w:snapToGrid w:val="0"/>
        <w:spacing w:line="360" w:lineRule="auto"/>
        <w:ind w:firstLine="576"/>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七、其他</w:t>
      </w:r>
    </w:p>
    <w:p w14:paraId="57E980CF">
      <w:pPr>
        <w:snapToGrid w:val="0"/>
        <w:spacing w:line="360" w:lineRule="auto"/>
        <w:ind w:firstLine="576"/>
        <w:rPr>
          <w:rFonts w:ascii="宋体" w:hAnsi="宋体" w:eastAsia="宋体" w:cs="宋体"/>
          <w:b/>
          <w:color w:val="auto"/>
          <w:kern w:val="0"/>
          <w:sz w:val="24"/>
          <w:szCs w:val="21"/>
          <w:highlight w:val="none"/>
          <w:lang w:val="zh-CN"/>
        </w:rPr>
      </w:pPr>
      <w:r>
        <w:rPr>
          <w:rFonts w:hint="eastAsia" w:ascii="宋体" w:hAnsi="宋体" w:eastAsia="宋体" w:cs="宋体"/>
          <w:color w:val="auto"/>
          <w:kern w:val="0"/>
          <w:sz w:val="24"/>
          <w:szCs w:val="21"/>
          <w:highlight w:val="none"/>
          <w:u w:val="single"/>
        </w:rPr>
        <w:t>（分包供应商名称）提供的货物全部由小微企业制造，</w:t>
      </w:r>
      <w:r>
        <w:rPr>
          <w:rFonts w:hint="eastAsia" w:ascii="宋体" w:hAnsi="宋体" w:eastAsia="宋体" w:cs="宋体"/>
          <w:color w:val="auto"/>
          <w:kern w:val="0"/>
          <w:sz w:val="24"/>
          <w:szCs w:val="21"/>
          <w:highlight w:val="none"/>
        </w:rPr>
        <w:t>其合同份额占到合同总金额</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%以上</w:t>
      </w:r>
      <w:r>
        <w:rPr>
          <w:rFonts w:hint="eastAsia" w:ascii="宋体" w:hAnsi="宋体" w:eastAsia="宋体" w:cs="宋体"/>
          <w:color w:val="auto"/>
          <w:szCs w:val="21"/>
          <w:highlight w:val="none"/>
        </w:rPr>
        <w:t>。</w:t>
      </w:r>
      <w:r>
        <w:rPr>
          <w:rFonts w:hint="eastAsia" w:ascii="宋体" w:hAnsi="宋体" w:eastAsia="宋体" w:cs="宋体"/>
          <w:b/>
          <w:color w:val="auto"/>
          <w:kern w:val="0"/>
          <w:sz w:val="24"/>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11B906A1">
      <w:pPr>
        <w:snapToGrid w:val="0"/>
        <w:spacing w:line="360" w:lineRule="auto"/>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                                              供应商名称(电子签章)：</w:t>
      </w:r>
    </w:p>
    <w:p w14:paraId="0E169CD6">
      <w:pPr>
        <w:snapToGrid w:val="0"/>
        <w:spacing w:line="360" w:lineRule="auto"/>
        <w:ind w:firstLine="5640" w:firstLineChars="2350"/>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分包供应商名称：</w:t>
      </w:r>
    </w:p>
    <w:p w14:paraId="621EB0FD">
      <w:pPr>
        <w:snapToGrid w:val="0"/>
        <w:spacing w:line="360" w:lineRule="auto"/>
        <w:ind w:firstLine="5760" w:firstLineChars="2400"/>
        <w:rPr>
          <w:rFonts w:ascii="宋体" w:hAnsi="宋体" w:eastAsia="宋体" w:cs="宋体"/>
          <w:color w:val="auto"/>
          <w:szCs w:val="21"/>
          <w:highlight w:val="none"/>
        </w:rPr>
      </w:pPr>
      <w:r>
        <w:rPr>
          <w:rFonts w:hint="eastAsia" w:ascii="宋体" w:hAnsi="宋体" w:eastAsia="宋体" w:cs="宋体"/>
          <w:color w:val="auto"/>
          <w:kern w:val="0"/>
          <w:sz w:val="24"/>
          <w:szCs w:val="21"/>
          <w:highlight w:val="none"/>
          <w:lang w:val="zh-CN"/>
        </w:rPr>
        <w:t>……</w:t>
      </w:r>
    </w:p>
    <w:p w14:paraId="49FD1026">
      <w:pPr>
        <w:snapToGrid w:val="0"/>
        <w:spacing w:line="360" w:lineRule="auto"/>
        <w:rPr>
          <w:rFonts w:ascii="宋体" w:hAnsi="宋体" w:eastAsia="宋体" w:cs="宋体"/>
          <w:b/>
          <w:bCs/>
          <w:color w:val="auto"/>
          <w:sz w:val="30"/>
          <w:szCs w:val="30"/>
          <w:highlight w:val="none"/>
        </w:rPr>
      </w:pPr>
      <w:r>
        <w:rPr>
          <w:rFonts w:hint="eastAsia" w:ascii="宋体" w:hAnsi="宋体" w:eastAsia="宋体" w:cs="宋体"/>
          <w:color w:val="auto"/>
          <w:kern w:val="0"/>
          <w:sz w:val="24"/>
          <w:szCs w:val="21"/>
          <w:highlight w:val="none"/>
          <w:lang w:val="zh-CN"/>
        </w:rPr>
        <w:t xml:space="preserve">                                               日期：  年  月   日</w:t>
      </w:r>
    </w:p>
    <w:p w14:paraId="32C3D114">
      <w:pPr>
        <w:ind w:firstLine="1911" w:firstLineChars="595"/>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w:t>
      </w:r>
      <w:r>
        <w:rPr>
          <w:rFonts w:hint="eastAsia" w:ascii="宋体" w:hAnsi="宋体" w:eastAsia="宋体" w:cs="宋体"/>
          <w:b/>
          <w:color w:val="auto"/>
          <w:kern w:val="0"/>
          <w:sz w:val="32"/>
          <w:szCs w:val="32"/>
          <w:highlight w:val="none"/>
          <w:lang w:val="zh-CN"/>
        </w:rPr>
        <w:t>政府采购供应商廉洁自律承诺书</w:t>
      </w:r>
    </w:p>
    <w:p w14:paraId="046750C2">
      <w:pPr>
        <w:snapToGrid w:val="0"/>
        <w:spacing w:line="360" w:lineRule="auto"/>
        <w:rPr>
          <w:rFonts w:ascii="宋体" w:hAnsi="宋体" w:eastAsia="宋体" w:cs="宋体"/>
          <w:color w:val="auto"/>
          <w:sz w:val="24"/>
          <w:szCs w:val="21"/>
          <w:highlight w:val="none"/>
        </w:rPr>
      </w:pPr>
    </w:p>
    <w:p w14:paraId="088D908D">
      <w:pPr>
        <w:snapToGrid w:val="0"/>
        <w:spacing w:line="360" w:lineRule="auto"/>
        <w:rPr>
          <w:rFonts w:ascii="宋体" w:hAnsi="宋体" w:eastAsia="宋体" w:cs="宋体"/>
          <w:color w:val="auto"/>
          <w:kern w:val="0"/>
          <w:sz w:val="24"/>
          <w:szCs w:val="21"/>
          <w:highlight w:val="none"/>
        </w:rPr>
      </w:pPr>
      <w:r>
        <w:rPr>
          <w:rFonts w:hint="eastAsia" w:ascii="宋体" w:hAnsi="宋体" w:eastAsia="宋体" w:cs="宋体"/>
          <w:color w:val="auto"/>
          <w:sz w:val="24"/>
          <w:szCs w:val="21"/>
          <w:highlight w:val="none"/>
        </w:rPr>
        <w:t>（采购人）、（采购代理机构）</w:t>
      </w:r>
      <w:r>
        <w:rPr>
          <w:rFonts w:hint="eastAsia" w:ascii="宋体" w:hAnsi="宋体" w:eastAsia="宋体" w:cs="宋体"/>
          <w:color w:val="auto"/>
          <w:kern w:val="0"/>
          <w:sz w:val="24"/>
          <w:szCs w:val="21"/>
          <w:highlight w:val="none"/>
          <w:lang w:val="zh-CN"/>
        </w:rPr>
        <w:t>：</w:t>
      </w:r>
    </w:p>
    <w:p w14:paraId="798289D1">
      <w:pPr>
        <w:autoSpaceDE w:val="0"/>
        <w:autoSpaceDN w:val="0"/>
        <w:spacing w:line="360" w:lineRule="auto"/>
        <w:ind w:left="2" w:leftChars="1"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我单位响应你</w:t>
      </w:r>
      <w:r>
        <w:rPr>
          <w:rFonts w:hint="eastAsia" w:ascii="宋体" w:hAnsi="宋体" w:eastAsia="宋体" w:cs="宋体"/>
          <w:color w:val="auto"/>
          <w:sz w:val="24"/>
          <w:szCs w:val="21"/>
          <w:highlight w:val="none"/>
        </w:rPr>
        <w:t>单位</w:t>
      </w:r>
      <w:r>
        <w:rPr>
          <w:rFonts w:hint="eastAsia" w:ascii="宋体" w:hAnsi="宋体" w:eastAsia="宋体" w:cs="宋体"/>
          <w:color w:val="auto"/>
          <w:kern w:val="0"/>
          <w:sz w:val="24"/>
          <w:szCs w:val="21"/>
          <w:highlight w:val="none"/>
          <w:lang w:val="zh-CN"/>
        </w:rPr>
        <w:t>项目招标要求参加投标。在这次投标过程中和</w:t>
      </w:r>
      <w:r>
        <w:rPr>
          <w:rFonts w:hint="eastAsia" w:ascii="宋体" w:hAnsi="宋体" w:eastAsia="宋体" w:cs="宋体"/>
          <w:color w:val="auto"/>
          <w:kern w:val="0"/>
          <w:sz w:val="24"/>
          <w:szCs w:val="21"/>
          <w:highlight w:val="none"/>
        </w:rPr>
        <w:t>中标</w:t>
      </w:r>
      <w:r>
        <w:rPr>
          <w:rFonts w:hint="eastAsia" w:ascii="宋体" w:hAnsi="宋体" w:eastAsia="宋体" w:cs="宋体"/>
          <w:color w:val="auto"/>
          <w:kern w:val="0"/>
          <w:sz w:val="24"/>
          <w:szCs w:val="21"/>
          <w:highlight w:val="none"/>
          <w:lang w:val="zh-CN"/>
        </w:rPr>
        <w:t>后，我们将严格遵守国家法律法规要求，并郑重承诺：</w:t>
      </w:r>
    </w:p>
    <w:p w14:paraId="5B52C648">
      <w:pPr>
        <w:autoSpaceDE w:val="0"/>
        <w:autoSpaceDN w:val="0"/>
        <w:spacing w:line="360" w:lineRule="auto"/>
        <w:ind w:left="2" w:leftChars="1"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一、不向项目有关人员及部门赠送礼金礼物、有价证券、回扣以及中介费、介绍费、咨询费等好处费； </w:t>
      </w:r>
    </w:p>
    <w:p w14:paraId="1B38763F">
      <w:pPr>
        <w:autoSpaceDE w:val="0"/>
        <w:autoSpaceDN w:val="0"/>
        <w:spacing w:line="360" w:lineRule="auto"/>
        <w:ind w:left="2" w:leftChars="1"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二、不为项目有关人员及部门报销应由你方单位或个人支付的费用； </w:t>
      </w:r>
    </w:p>
    <w:p w14:paraId="5620D486">
      <w:pPr>
        <w:autoSpaceDE w:val="0"/>
        <w:autoSpaceDN w:val="0"/>
        <w:spacing w:line="360" w:lineRule="auto"/>
        <w:ind w:left="2" w:leftChars="1"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 xml:space="preserve">三、不向项目有关人员及部门提供有可能影响公正的宴请和健身娱乐等活动； </w:t>
      </w:r>
    </w:p>
    <w:p w14:paraId="73CAE2A1">
      <w:pPr>
        <w:autoSpaceDE w:val="0"/>
        <w:autoSpaceDN w:val="0"/>
        <w:spacing w:line="360" w:lineRule="auto"/>
        <w:ind w:left="2" w:leftChars="1"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四、不为项目有关人员及部门出国（境）、旅游等提供方便；</w:t>
      </w:r>
    </w:p>
    <w:p w14:paraId="54B2550C">
      <w:pPr>
        <w:autoSpaceDE w:val="0"/>
        <w:autoSpaceDN w:val="0"/>
        <w:spacing w:line="360" w:lineRule="auto"/>
        <w:ind w:left="481" w:leftChars="229"/>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五、不为项目有关人员个人装修住房、婚丧嫁娶、配偶子女工作安排等提供</w:t>
      </w:r>
    </w:p>
    <w:p w14:paraId="2A0A3D52">
      <w:pPr>
        <w:autoSpaceDE w:val="0"/>
        <w:autoSpaceDN w:val="0"/>
        <w:spacing w:line="360" w:lineRule="auto"/>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好处；</w:t>
      </w:r>
    </w:p>
    <w:p w14:paraId="726545FF">
      <w:pPr>
        <w:autoSpaceDE w:val="0"/>
        <w:autoSpaceDN w:val="0"/>
        <w:spacing w:line="360" w:lineRule="auto"/>
        <w:ind w:left="481" w:leftChars="229"/>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六、严格遵守《</w:t>
      </w:r>
      <w:r>
        <w:rPr>
          <w:rFonts w:hint="eastAsia" w:ascii="宋体" w:hAnsi="宋体" w:eastAsia="宋体" w:cs="宋体"/>
          <w:color w:val="auto"/>
          <w:sz w:val="24"/>
          <w:szCs w:val="21"/>
          <w:highlight w:val="none"/>
          <w:lang w:val="zh-CN"/>
        </w:rPr>
        <w:t>中华人民共和国</w:t>
      </w:r>
      <w:r>
        <w:rPr>
          <w:rFonts w:hint="eastAsia" w:ascii="宋体" w:hAnsi="宋体" w:eastAsia="宋体" w:cs="宋体"/>
          <w:color w:val="auto"/>
          <w:kern w:val="0"/>
          <w:sz w:val="24"/>
          <w:szCs w:val="21"/>
          <w:highlight w:val="none"/>
          <w:lang w:val="zh-CN"/>
        </w:rPr>
        <w:t>政府采购法》《</w:t>
      </w:r>
      <w:r>
        <w:rPr>
          <w:rFonts w:hint="eastAsia" w:ascii="宋体" w:hAnsi="宋体" w:eastAsia="宋体" w:cs="宋体"/>
          <w:color w:val="auto"/>
          <w:sz w:val="24"/>
          <w:szCs w:val="21"/>
          <w:highlight w:val="none"/>
          <w:lang w:val="zh-CN"/>
        </w:rPr>
        <w:t>中华人民共和国</w:t>
      </w:r>
      <w:r>
        <w:rPr>
          <w:rFonts w:hint="eastAsia" w:ascii="宋体" w:hAnsi="宋体" w:eastAsia="宋体" w:cs="宋体"/>
          <w:color w:val="auto"/>
          <w:kern w:val="0"/>
          <w:sz w:val="24"/>
          <w:szCs w:val="21"/>
          <w:highlight w:val="none"/>
          <w:lang w:val="zh-CN"/>
        </w:rPr>
        <w:t>招标投标</w:t>
      </w:r>
    </w:p>
    <w:p w14:paraId="18E60E34">
      <w:pPr>
        <w:autoSpaceDE w:val="0"/>
        <w:autoSpaceDN w:val="0"/>
        <w:spacing w:line="360" w:lineRule="auto"/>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法》</w:t>
      </w:r>
      <w:r>
        <w:rPr>
          <w:rFonts w:hint="eastAsia" w:ascii="宋体" w:hAnsi="宋体" w:eastAsia="宋体" w:cs="宋体"/>
          <w:color w:val="auto"/>
          <w:sz w:val="24"/>
          <w:szCs w:val="21"/>
          <w:highlight w:val="none"/>
          <w:lang w:val="zh-CN"/>
        </w:rPr>
        <w:t>《中华人民共和国民法典》</w:t>
      </w:r>
      <w:r>
        <w:rPr>
          <w:rFonts w:hint="eastAsia" w:ascii="宋体" w:hAnsi="宋体" w:eastAsia="宋体" w:cs="宋体"/>
          <w:color w:val="auto"/>
          <w:kern w:val="0"/>
          <w:sz w:val="24"/>
          <w:szCs w:val="21"/>
          <w:highlight w:val="none"/>
          <w:lang w:val="zh-CN"/>
        </w:rPr>
        <w:t xml:space="preserve">等法律法规，诚实守信，合法经营，坚决抵制各种违法违纪行为。 </w:t>
      </w:r>
    </w:p>
    <w:p w14:paraId="2E7CA6D1">
      <w:pPr>
        <w:autoSpaceDE w:val="0"/>
        <w:autoSpaceDN w:val="0"/>
        <w:spacing w:line="360" w:lineRule="auto"/>
        <w:ind w:firstLine="480" w:firstLineChars="2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如违反上述承诺，你</w:t>
      </w:r>
      <w:r>
        <w:rPr>
          <w:rFonts w:hint="eastAsia" w:ascii="宋体" w:hAnsi="宋体" w:eastAsia="宋体" w:cs="宋体"/>
          <w:color w:val="auto"/>
          <w:sz w:val="24"/>
          <w:szCs w:val="21"/>
          <w:highlight w:val="none"/>
        </w:rPr>
        <w:t>单位</w:t>
      </w:r>
      <w:r>
        <w:rPr>
          <w:rFonts w:hint="eastAsia" w:ascii="宋体" w:hAnsi="宋体" w:eastAsia="宋体" w:cs="宋体"/>
          <w:color w:val="auto"/>
          <w:kern w:val="0"/>
          <w:sz w:val="24"/>
          <w:szCs w:val="21"/>
          <w:highlight w:val="none"/>
          <w:lang w:val="zh-CN"/>
        </w:rPr>
        <w:t>有权立即取消我单位投标、</w:t>
      </w:r>
      <w:r>
        <w:rPr>
          <w:rFonts w:hint="eastAsia" w:ascii="宋体" w:hAnsi="宋体" w:eastAsia="宋体" w:cs="宋体"/>
          <w:color w:val="auto"/>
          <w:kern w:val="0"/>
          <w:sz w:val="24"/>
          <w:szCs w:val="21"/>
          <w:highlight w:val="none"/>
        </w:rPr>
        <w:t>中标</w:t>
      </w:r>
      <w:r>
        <w:rPr>
          <w:rFonts w:hint="eastAsia" w:ascii="宋体" w:hAnsi="宋体" w:eastAsia="宋体" w:cs="宋体"/>
          <w:color w:val="auto"/>
          <w:kern w:val="0"/>
          <w:sz w:val="24"/>
          <w:szCs w:val="21"/>
          <w:highlight w:val="none"/>
          <w:lang w:val="zh-CN"/>
        </w:rPr>
        <w:t>资格，有权拒绝我单位在一定时期内进入你</w:t>
      </w:r>
      <w:r>
        <w:rPr>
          <w:rFonts w:hint="eastAsia" w:ascii="宋体" w:hAnsi="宋体" w:eastAsia="宋体" w:cs="宋体"/>
          <w:color w:val="auto"/>
          <w:sz w:val="24"/>
          <w:szCs w:val="21"/>
          <w:highlight w:val="none"/>
        </w:rPr>
        <w:t>单位</w:t>
      </w:r>
      <w:r>
        <w:rPr>
          <w:rFonts w:hint="eastAsia" w:ascii="宋体" w:hAnsi="宋体" w:eastAsia="宋体" w:cs="宋体"/>
          <w:color w:val="auto"/>
          <w:kern w:val="0"/>
          <w:sz w:val="24"/>
          <w:szCs w:val="21"/>
          <w:highlight w:val="none"/>
          <w:lang w:val="zh-CN"/>
        </w:rPr>
        <w:t>进行项目建设或其他经营活动，并通报市财政局。由此引起的相应损失均由我单位承担。</w:t>
      </w:r>
    </w:p>
    <w:p w14:paraId="0469298C">
      <w:pPr>
        <w:autoSpaceDE w:val="0"/>
        <w:autoSpaceDN w:val="0"/>
        <w:spacing w:line="360" w:lineRule="auto"/>
        <w:ind w:left="2"/>
        <w:jc w:val="left"/>
        <w:rPr>
          <w:rFonts w:ascii="宋体" w:hAnsi="宋体" w:eastAsia="宋体" w:cs="宋体"/>
          <w:color w:val="auto"/>
          <w:kern w:val="0"/>
          <w:sz w:val="24"/>
          <w:szCs w:val="21"/>
          <w:highlight w:val="none"/>
          <w:lang w:val="zh-CN"/>
        </w:rPr>
      </w:pPr>
    </w:p>
    <w:p w14:paraId="27B262C2">
      <w:pPr>
        <w:autoSpaceDE w:val="0"/>
        <w:autoSpaceDN w:val="0"/>
        <w:spacing w:line="360" w:lineRule="auto"/>
        <w:ind w:left="2"/>
        <w:jc w:val="left"/>
        <w:rPr>
          <w:rFonts w:ascii="宋体" w:hAnsi="宋体" w:eastAsia="宋体" w:cs="宋体"/>
          <w:color w:val="auto"/>
          <w:kern w:val="0"/>
          <w:sz w:val="24"/>
          <w:szCs w:val="21"/>
          <w:highlight w:val="none"/>
          <w:lang w:val="zh-CN"/>
        </w:rPr>
      </w:pPr>
    </w:p>
    <w:p w14:paraId="0E40FE04">
      <w:pPr>
        <w:autoSpaceDE w:val="0"/>
        <w:autoSpaceDN w:val="0"/>
        <w:spacing w:line="360" w:lineRule="auto"/>
        <w:ind w:right="1120" w:firstLine="4080" w:firstLineChars="1700"/>
        <w:jc w:val="left"/>
        <w:rPr>
          <w:rFonts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供应商名称（</w:t>
      </w:r>
      <w:r>
        <w:rPr>
          <w:rFonts w:hint="eastAsia" w:ascii="宋体" w:hAnsi="宋体" w:eastAsia="宋体" w:cs="宋体"/>
          <w:color w:val="auto"/>
          <w:sz w:val="24"/>
          <w:szCs w:val="21"/>
          <w:highlight w:val="none"/>
        </w:rPr>
        <w:t>电子签章</w:t>
      </w:r>
      <w:r>
        <w:rPr>
          <w:rFonts w:hint="eastAsia" w:ascii="宋体" w:hAnsi="宋体" w:eastAsia="宋体" w:cs="宋体"/>
          <w:color w:val="auto"/>
          <w:kern w:val="0"/>
          <w:sz w:val="24"/>
          <w:szCs w:val="21"/>
          <w:highlight w:val="none"/>
          <w:lang w:val="zh-CN"/>
        </w:rPr>
        <w:t xml:space="preserve">）：                                                                                                                                                                                                               </w:t>
      </w:r>
    </w:p>
    <w:p w14:paraId="58BD18EA">
      <w:pPr>
        <w:spacing w:line="360" w:lineRule="auto"/>
        <w:ind w:left="4620" w:leftChars="2200"/>
        <w:rPr>
          <w:rFonts w:ascii="宋体" w:hAnsi="宋体" w:eastAsia="宋体" w:cs="宋体"/>
          <w:color w:val="auto"/>
          <w:sz w:val="24"/>
          <w:szCs w:val="21"/>
          <w:highlight w:val="none"/>
        </w:rPr>
      </w:pPr>
      <w:r>
        <w:rPr>
          <w:rFonts w:hint="eastAsia" w:ascii="宋体" w:hAnsi="宋体" w:eastAsia="宋体" w:cs="宋体"/>
          <w:color w:val="auto"/>
          <w:kern w:val="0"/>
          <w:sz w:val="24"/>
          <w:szCs w:val="21"/>
          <w:highlight w:val="none"/>
          <w:lang w:val="zh-CN"/>
        </w:rPr>
        <w:t>日期</w:t>
      </w:r>
      <w:r>
        <w:rPr>
          <w:rFonts w:hint="eastAsia" w:ascii="宋体" w:hAnsi="宋体" w:eastAsia="宋体" w:cs="宋体"/>
          <w:color w:val="auto"/>
          <w:kern w:val="0"/>
          <w:sz w:val="24"/>
          <w:szCs w:val="21"/>
          <w:highlight w:val="none"/>
        </w:rPr>
        <w:t>：</w:t>
      </w:r>
      <w:r>
        <w:rPr>
          <w:rFonts w:hint="eastAsia" w:ascii="宋体" w:hAnsi="宋体" w:eastAsia="宋体" w:cs="宋体"/>
          <w:color w:val="auto"/>
          <w:kern w:val="0"/>
          <w:sz w:val="24"/>
          <w:szCs w:val="21"/>
          <w:highlight w:val="none"/>
          <w:lang w:val="zh-CN"/>
        </w:rPr>
        <w:t xml:space="preserve">   年   月   日</w:t>
      </w:r>
    </w:p>
    <w:p w14:paraId="76F263BE">
      <w:pPr>
        <w:snapToGrid w:val="0"/>
        <w:spacing w:line="360" w:lineRule="auto"/>
        <w:jc w:val="center"/>
        <w:rPr>
          <w:rFonts w:ascii="宋体" w:hAnsi="宋体" w:eastAsia="宋体" w:cs="宋体"/>
          <w:b/>
          <w:bCs/>
          <w:color w:val="auto"/>
          <w:sz w:val="30"/>
          <w:szCs w:val="30"/>
          <w:highlight w:val="none"/>
        </w:rPr>
      </w:pPr>
    </w:p>
    <w:p w14:paraId="0B50B06E">
      <w:pPr>
        <w:snapToGrid w:val="0"/>
        <w:spacing w:line="360" w:lineRule="auto"/>
        <w:jc w:val="center"/>
        <w:rPr>
          <w:rFonts w:ascii="宋体" w:hAnsi="宋体" w:eastAsia="宋体" w:cs="宋体"/>
          <w:b/>
          <w:bCs/>
          <w:color w:val="auto"/>
          <w:sz w:val="30"/>
          <w:szCs w:val="30"/>
          <w:highlight w:val="none"/>
        </w:rPr>
      </w:pPr>
    </w:p>
    <w:p w14:paraId="493A8576">
      <w:pPr>
        <w:snapToGrid w:val="0"/>
        <w:spacing w:line="360" w:lineRule="auto"/>
        <w:jc w:val="center"/>
        <w:rPr>
          <w:rFonts w:ascii="宋体" w:hAnsi="宋体" w:eastAsia="宋体" w:cs="宋体"/>
          <w:b/>
          <w:bCs/>
          <w:color w:val="auto"/>
          <w:sz w:val="30"/>
          <w:szCs w:val="30"/>
          <w:highlight w:val="none"/>
        </w:rPr>
      </w:pPr>
    </w:p>
    <w:p w14:paraId="272DE035">
      <w:pPr>
        <w:snapToGrid w:val="0"/>
        <w:spacing w:line="360" w:lineRule="auto"/>
        <w:jc w:val="center"/>
        <w:rPr>
          <w:rFonts w:ascii="宋体" w:hAnsi="宋体" w:eastAsia="宋体" w:cs="宋体"/>
          <w:b/>
          <w:bCs/>
          <w:color w:val="auto"/>
          <w:sz w:val="30"/>
          <w:szCs w:val="30"/>
          <w:highlight w:val="none"/>
        </w:rPr>
      </w:pPr>
    </w:p>
    <w:p w14:paraId="026E8E7D">
      <w:pPr>
        <w:snapToGrid w:val="0"/>
        <w:spacing w:line="360" w:lineRule="auto"/>
        <w:jc w:val="center"/>
        <w:rPr>
          <w:rFonts w:ascii="宋体" w:hAnsi="宋体" w:eastAsia="宋体" w:cs="宋体"/>
          <w:b/>
          <w:bCs/>
          <w:color w:val="auto"/>
          <w:kern w:val="0"/>
          <w:sz w:val="30"/>
          <w:szCs w:val="30"/>
          <w:highlight w:val="none"/>
          <w:lang w:val="zh-CN"/>
        </w:rPr>
        <w:sectPr>
          <w:pgSz w:w="11906" w:h="16838"/>
          <w:pgMar w:top="1440" w:right="1803" w:bottom="1440" w:left="1803" w:header="930" w:footer="992" w:gutter="0"/>
          <w:cols w:space="720" w:num="1"/>
          <w:docGrid w:type="lines" w:linePitch="319" w:charSpace="0"/>
        </w:sectPr>
      </w:pPr>
    </w:p>
    <w:p w14:paraId="7E8701F4">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7"/>
        <w:tblW w:w="845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89"/>
        <w:gridCol w:w="3030"/>
        <w:gridCol w:w="1560"/>
      </w:tblGrid>
      <w:tr w14:paraId="38C2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0C7DC7BB">
            <w:pPr>
              <w:jc w:val="center"/>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序号</w:t>
            </w:r>
          </w:p>
        </w:tc>
        <w:tc>
          <w:tcPr>
            <w:tcW w:w="2989" w:type="dxa"/>
          </w:tcPr>
          <w:p w14:paraId="275C1D66">
            <w:pPr>
              <w:jc w:val="center"/>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招标文件章节及具体内容</w:t>
            </w:r>
          </w:p>
        </w:tc>
        <w:tc>
          <w:tcPr>
            <w:tcW w:w="3030" w:type="dxa"/>
          </w:tcPr>
          <w:p w14:paraId="3E89B8A0">
            <w:pPr>
              <w:jc w:val="center"/>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投标文件章节及具体内容</w:t>
            </w:r>
          </w:p>
        </w:tc>
        <w:tc>
          <w:tcPr>
            <w:tcW w:w="1560" w:type="dxa"/>
          </w:tcPr>
          <w:p w14:paraId="364BE74F">
            <w:pPr>
              <w:jc w:val="center"/>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偏离说明</w:t>
            </w:r>
          </w:p>
        </w:tc>
      </w:tr>
      <w:tr w14:paraId="1D81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A26E7C1">
            <w:pPr>
              <w:jc w:val="center"/>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p>
        </w:tc>
        <w:tc>
          <w:tcPr>
            <w:tcW w:w="2989" w:type="dxa"/>
          </w:tcPr>
          <w:p w14:paraId="01E833B7">
            <w:pPr>
              <w:jc w:val="center"/>
              <w:rPr>
                <w:rFonts w:ascii="宋体" w:hAnsi="宋体" w:eastAsia="宋体" w:cs="宋体"/>
                <w:b/>
                <w:color w:val="auto"/>
                <w:kern w:val="0"/>
                <w:sz w:val="32"/>
                <w:szCs w:val="32"/>
                <w:highlight w:val="none"/>
              </w:rPr>
            </w:pPr>
          </w:p>
        </w:tc>
        <w:tc>
          <w:tcPr>
            <w:tcW w:w="3030" w:type="dxa"/>
          </w:tcPr>
          <w:p w14:paraId="31C369C2">
            <w:pPr>
              <w:jc w:val="center"/>
              <w:rPr>
                <w:rFonts w:ascii="宋体" w:hAnsi="宋体" w:eastAsia="宋体" w:cs="宋体"/>
                <w:b/>
                <w:color w:val="auto"/>
                <w:kern w:val="0"/>
                <w:sz w:val="32"/>
                <w:szCs w:val="32"/>
                <w:highlight w:val="none"/>
              </w:rPr>
            </w:pPr>
          </w:p>
        </w:tc>
        <w:tc>
          <w:tcPr>
            <w:tcW w:w="1560" w:type="dxa"/>
          </w:tcPr>
          <w:p w14:paraId="6292A3F6">
            <w:pPr>
              <w:jc w:val="center"/>
              <w:rPr>
                <w:rFonts w:ascii="宋体" w:hAnsi="宋体" w:eastAsia="宋体" w:cs="宋体"/>
                <w:b/>
                <w:color w:val="auto"/>
                <w:kern w:val="0"/>
                <w:sz w:val="32"/>
                <w:szCs w:val="32"/>
                <w:highlight w:val="none"/>
              </w:rPr>
            </w:pPr>
          </w:p>
        </w:tc>
      </w:tr>
      <w:tr w14:paraId="44D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6397D89">
            <w:pPr>
              <w:jc w:val="center"/>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w:t>
            </w:r>
          </w:p>
        </w:tc>
        <w:tc>
          <w:tcPr>
            <w:tcW w:w="2989" w:type="dxa"/>
          </w:tcPr>
          <w:p w14:paraId="4B4B8CC6">
            <w:pPr>
              <w:jc w:val="center"/>
              <w:rPr>
                <w:rFonts w:ascii="宋体" w:hAnsi="宋体" w:eastAsia="宋体" w:cs="宋体"/>
                <w:b/>
                <w:color w:val="auto"/>
                <w:kern w:val="0"/>
                <w:sz w:val="32"/>
                <w:szCs w:val="32"/>
                <w:highlight w:val="none"/>
              </w:rPr>
            </w:pPr>
          </w:p>
        </w:tc>
        <w:tc>
          <w:tcPr>
            <w:tcW w:w="3030" w:type="dxa"/>
          </w:tcPr>
          <w:p w14:paraId="4A6CB97C">
            <w:pPr>
              <w:jc w:val="center"/>
              <w:rPr>
                <w:rFonts w:ascii="宋体" w:hAnsi="宋体" w:eastAsia="宋体" w:cs="宋体"/>
                <w:b/>
                <w:color w:val="auto"/>
                <w:kern w:val="0"/>
                <w:sz w:val="32"/>
                <w:szCs w:val="32"/>
                <w:highlight w:val="none"/>
              </w:rPr>
            </w:pPr>
          </w:p>
        </w:tc>
        <w:tc>
          <w:tcPr>
            <w:tcW w:w="1560" w:type="dxa"/>
          </w:tcPr>
          <w:p w14:paraId="3E0F493C">
            <w:pPr>
              <w:jc w:val="center"/>
              <w:rPr>
                <w:rFonts w:ascii="宋体" w:hAnsi="宋体" w:eastAsia="宋体" w:cs="宋体"/>
                <w:b/>
                <w:color w:val="auto"/>
                <w:kern w:val="0"/>
                <w:sz w:val="32"/>
                <w:szCs w:val="32"/>
                <w:highlight w:val="none"/>
              </w:rPr>
            </w:pPr>
          </w:p>
        </w:tc>
      </w:tr>
      <w:tr w14:paraId="7C67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F81A0F3">
            <w:pPr>
              <w:jc w:val="center"/>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w:t>
            </w:r>
          </w:p>
        </w:tc>
        <w:tc>
          <w:tcPr>
            <w:tcW w:w="2989" w:type="dxa"/>
          </w:tcPr>
          <w:p w14:paraId="7968DEC9">
            <w:pPr>
              <w:jc w:val="center"/>
              <w:rPr>
                <w:rFonts w:ascii="宋体" w:hAnsi="宋体" w:eastAsia="宋体" w:cs="宋体"/>
                <w:b/>
                <w:color w:val="auto"/>
                <w:kern w:val="0"/>
                <w:sz w:val="32"/>
                <w:szCs w:val="32"/>
                <w:highlight w:val="none"/>
              </w:rPr>
            </w:pPr>
          </w:p>
        </w:tc>
        <w:tc>
          <w:tcPr>
            <w:tcW w:w="3030" w:type="dxa"/>
          </w:tcPr>
          <w:p w14:paraId="66571004">
            <w:pPr>
              <w:jc w:val="center"/>
              <w:rPr>
                <w:rFonts w:ascii="宋体" w:hAnsi="宋体" w:eastAsia="宋体" w:cs="宋体"/>
                <w:b/>
                <w:color w:val="auto"/>
                <w:kern w:val="0"/>
                <w:sz w:val="32"/>
                <w:szCs w:val="32"/>
                <w:highlight w:val="none"/>
              </w:rPr>
            </w:pPr>
          </w:p>
        </w:tc>
        <w:tc>
          <w:tcPr>
            <w:tcW w:w="1560" w:type="dxa"/>
          </w:tcPr>
          <w:p w14:paraId="6114448E">
            <w:pPr>
              <w:jc w:val="center"/>
              <w:rPr>
                <w:rFonts w:ascii="宋体" w:hAnsi="宋体" w:eastAsia="宋体" w:cs="宋体"/>
                <w:b/>
                <w:color w:val="auto"/>
                <w:kern w:val="0"/>
                <w:sz w:val="32"/>
                <w:szCs w:val="32"/>
                <w:highlight w:val="none"/>
              </w:rPr>
            </w:pPr>
          </w:p>
        </w:tc>
      </w:tr>
    </w:tbl>
    <w:p w14:paraId="0CC00C33">
      <w:pPr>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供应商保证：除商务技术偏离表列出的偏离外，供应商响应招标文件的全部要求</w:t>
      </w:r>
    </w:p>
    <w:p w14:paraId="5BBC84E4">
      <w:pPr>
        <w:jc w:val="center"/>
        <w:rPr>
          <w:rFonts w:ascii="宋体" w:hAnsi="宋体" w:eastAsia="宋体" w:cs="宋体"/>
          <w:b/>
          <w:color w:val="auto"/>
          <w:kern w:val="0"/>
          <w:sz w:val="32"/>
          <w:szCs w:val="32"/>
          <w:highlight w:val="none"/>
        </w:rPr>
      </w:pPr>
    </w:p>
    <w:p w14:paraId="02DC47F7">
      <w:pPr>
        <w:ind w:left="48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七、资信等客观评标证明材料</w:t>
      </w:r>
    </w:p>
    <w:p w14:paraId="32509C3E">
      <w:pPr>
        <w:spacing w:line="360" w:lineRule="auto"/>
        <w:jc w:val="center"/>
        <w:rPr>
          <w:rFonts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rPr>
        <w:t>1、</w:t>
      </w:r>
      <w:r>
        <w:rPr>
          <w:rFonts w:hint="eastAsia" w:ascii="宋体" w:hAnsi="宋体" w:eastAsia="宋体" w:cs="宋体"/>
          <w:b/>
          <w:bCs/>
          <w:color w:val="auto"/>
          <w:kern w:val="0"/>
          <w:sz w:val="30"/>
          <w:szCs w:val="30"/>
          <w:highlight w:val="none"/>
          <w:lang w:val="zh-CN"/>
        </w:rPr>
        <w:t>主要业绩证明（</w:t>
      </w:r>
      <w:r>
        <w:rPr>
          <w:rFonts w:hint="eastAsia" w:ascii="宋体" w:hAnsi="宋体" w:eastAsia="宋体" w:cs="宋体"/>
          <w:b/>
          <w:bCs/>
          <w:color w:val="auto"/>
          <w:kern w:val="0"/>
          <w:sz w:val="30"/>
          <w:szCs w:val="30"/>
          <w:highlight w:val="none"/>
        </w:rPr>
        <w:t>附证明材料扫描件或复印件</w:t>
      </w:r>
      <w:r>
        <w:rPr>
          <w:rFonts w:hint="eastAsia" w:ascii="宋体" w:hAnsi="宋体" w:eastAsia="宋体" w:cs="宋体"/>
          <w:b/>
          <w:bCs/>
          <w:color w:val="auto"/>
          <w:kern w:val="0"/>
          <w:sz w:val="30"/>
          <w:szCs w:val="30"/>
          <w:highlight w:val="none"/>
          <w:lang w:val="zh-CN"/>
        </w:rPr>
        <w:t>）</w:t>
      </w:r>
    </w:p>
    <w:tbl>
      <w:tblPr>
        <w:tblStyle w:val="7"/>
        <w:tblW w:w="8460" w:type="dxa"/>
        <w:tblInd w:w="108" w:type="dxa"/>
        <w:tblLayout w:type="fixed"/>
        <w:tblCellMar>
          <w:top w:w="0" w:type="dxa"/>
          <w:left w:w="108" w:type="dxa"/>
          <w:bottom w:w="0" w:type="dxa"/>
          <w:right w:w="108" w:type="dxa"/>
        </w:tblCellMar>
      </w:tblPr>
      <w:tblGrid>
        <w:gridCol w:w="2210"/>
        <w:gridCol w:w="1110"/>
        <w:gridCol w:w="1430"/>
        <w:gridCol w:w="1180"/>
        <w:gridCol w:w="1060"/>
        <w:gridCol w:w="1470"/>
      </w:tblGrid>
      <w:tr w14:paraId="5ECFED85">
        <w:tblPrEx>
          <w:tblCellMar>
            <w:top w:w="0" w:type="dxa"/>
            <w:left w:w="108" w:type="dxa"/>
            <w:bottom w:w="0" w:type="dxa"/>
            <w:right w:w="108" w:type="dxa"/>
          </w:tblCellMar>
        </w:tblPrEx>
        <w:trPr>
          <w:trHeight w:val="1177" w:hRule="atLeast"/>
        </w:trPr>
        <w:tc>
          <w:tcPr>
            <w:tcW w:w="2210" w:type="dxa"/>
            <w:tcBorders>
              <w:top w:val="single" w:color="auto" w:sz="6" w:space="0"/>
              <w:left w:val="single" w:color="auto" w:sz="6" w:space="0"/>
              <w:bottom w:val="single" w:color="auto" w:sz="6" w:space="0"/>
              <w:right w:val="single" w:color="auto" w:sz="6" w:space="0"/>
            </w:tcBorders>
            <w:vAlign w:val="center"/>
          </w:tcPr>
          <w:p w14:paraId="659BAF91">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项目名称</w:t>
            </w:r>
          </w:p>
        </w:tc>
        <w:tc>
          <w:tcPr>
            <w:tcW w:w="1110" w:type="dxa"/>
            <w:tcBorders>
              <w:top w:val="single" w:color="auto" w:sz="6" w:space="0"/>
              <w:left w:val="single" w:color="auto" w:sz="6" w:space="0"/>
              <w:bottom w:val="single" w:color="auto" w:sz="6" w:space="0"/>
              <w:right w:val="single" w:color="auto" w:sz="6" w:space="0"/>
            </w:tcBorders>
            <w:vAlign w:val="center"/>
          </w:tcPr>
          <w:p w14:paraId="3BB6D6B5">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p w14:paraId="57D573F7">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类型</w:t>
            </w:r>
          </w:p>
        </w:tc>
        <w:tc>
          <w:tcPr>
            <w:tcW w:w="1430" w:type="dxa"/>
            <w:tcBorders>
              <w:top w:val="single" w:color="auto" w:sz="6" w:space="0"/>
              <w:left w:val="single" w:color="auto" w:sz="6" w:space="0"/>
              <w:bottom w:val="single" w:color="auto" w:sz="6" w:space="0"/>
              <w:right w:val="single" w:color="auto" w:sz="6" w:space="0"/>
            </w:tcBorders>
            <w:vAlign w:val="center"/>
          </w:tcPr>
          <w:p w14:paraId="7C686A41">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委托单位</w:t>
            </w:r>
          </w:p>
        </w:tc>
        <w:tc>
          <w:tcPr>
            <w:tcW w:w="1180" w:type="dxa"/>
            <w:tcBorders>
              <w:top w:val="single" w:color="auto" w:sz="6" w:space="0"/>
              <w:left w:val="single" w:color="auto" w:sz="6" w:space="0"/>
              <w:bottom w:val="single" w:color="auto" w:sz="6" w:space="0"/>
              <w:right w:val="single" w:color="auto" w:sz="6" w:space="0"/>
            </w:tcBorders>
            <w:vAlign w:val="center"/>
          </w:tcPr>
          <w:p w14:paraId="0AF2E4A4">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合同金额（万元）</w:t>
            </w:r>
          </w:p>
        </w:tc>
        <w:tc>
          <w:tcPr>
            <w:tcW w:w="1060" w:type="dxa"/>
            <w:tcBorders>
              <w:top w:val="single" w:color="auto" w:sz="6" w:space="0"/>
              <w:left w:val="single" w:color="auto" w:sz="6" w:space="0"/>
              <w:bottom w:val="single" w:color="auto" w:sz="6" w:space="0"/>
              <w:right w:val="single" w:color="auto" w:sz="6" w:space="0"/>
            </w:tcBorders>
            <w:vAlign w:val="center"/>
          </w:tcPr>
          <w:p w14:paraId="45E1690E">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合同签订时间</w:t>
            </w:r>
          </w:p>
        </w:tc>
        <w:tc>
          <w:tcPr>
            <w:tcW w:w="1470" w:type="dxa"/>
            <w:tcBorders>
              <w:top w:val="single" w:color="auto" w:sz="6" w:space="0"/>
              <w:left w:val="single" w:color="auto" w:sz="6" w:space="0"/>
              <w:bottom w:val="single" w:color="auto" w:sz="6" w:space="0"/>
              <w:right w:val="single" w:color="auto" w:sz="6" w:space="0"/>
            </w:tcBorders>
            <w:vAlign w:val="center"/>
          </w:tcPr>
          <w:p w14:paraId="19BCB961">
            <w:pPr>
              <w:autoSpaceDE w:val="0"/>
              <w:autoSpaceDN w:val="0"/>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业主单位联系人及电话</w:t>
            </w:r>
          </w:p>
        </w:tc>
      </w:tr>
      <w:tr w14:paraId="6548C67E">
        <w:tblPrEx>
          <w:tblCellMar>
            <w:top w:w="0" w:type="dxa"/>
            <w:left w:w="108" w:type="dxa"/>
            <w:bottom w:w="0" w:type="dxa"/>
            <w:right w:w="108" w:type="dxa"/>
          </w:tblCellMar>
        </w:tblPrEx>
        <w:trPr>
          <w:trHeight w:val="671" w:hRule="atLeast"/>
        </w:trPr>
        <w:tc>
          <w:tcPr>
            <w:tcW w:w="2210" w:type="dxa"/>
            <w:tcBorders>
              <w:top w:val="single" w:color="auto" w:sz="6" w:space="0"/>
              <w:left w:val="single" w:color="auto" w:sz="6" w:space="0"/>
              <w:bottom w:val="single" w:color="auto" w:sz="6" w:space="0"/>
              <w:right w:val="single" w:color="auto" w:sz="6" w:space="0"/>
            </w:tcBorders>
          </w:tcPr>
          <w:p w14:paraId="65D923A8">
            <w:pPr>
              <w:keepNext/>
              <w:keepLines/>
              <w:tabs>
                <w:tab w:val="left" w:pos="432"/>
              </w:tabs>
              <w:autoSpaceDE w:val="0"/>
              <w:autoSpaceDN w:val="0"/>
              <w:spacing w:before="340" w:after="330"/>
              <w:outlineLvl w:val="0"/>
              <w:rPr>
                <w:rFonts w:ascii="宋体" w:hAnsi="宋体" w:eastAsia="宋体" w:cs="宋体"/>
                <w:color w:val="auto"/>
                <w:sz w:val="24"/>
                <w:szCs w:val="21"/>
                <w:highlight w:val="none"/>
              </w:rPr>
            </w:pPr>
          </w:p>
        </w:tc>
        <w:tc>
          <w:tcPr>
            <w:tcW w:w="1110" w:type="dxa"/>
            <w:tcBorders>
              <w:top w:val="single" w:color="auto" w:sz="6" w:space="0"/>
              <w:left w:val="single" w:color="auto" w:sz="6" w:space="0"/>
              <w:bottom w:val="single" w:color="auto" w:sz="6" w:space="0"/>
              <w:right w:val="single" w:color="auto" w:sz="6" w:space="0"/>
            </w:tcBorders>
          </w:tcPr>
          <w:p w14:paraId="1BC6BEE1">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30" w:type="dxa"/>
            <w:tcBorders>
              <w:top w:val="single" w:color="auto" w:sz="6" w:space="0"/>
              <w:left w:val="single" w:color="auto" w:sz="6" w:space="0"/>
              <w:bottom w:val="single" w:color="auto" w:sz="6" w:space="0"/>
              <w:right w:val="single" w:color="auto" w:sz="6" w:space="0"/>
            </w:tcBorders>
          </w:tcPr>
          <w:p w14:paraId="6FBF8FB5">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80" w:type="dxa"/>
            <w:tcBorders>
              <w:top w:val="single" w:color="auto" w:sz="6" w:space="0"/>
              <w:left w:val="single" w:color="auto" w:sz="6" w:space="0"/>
              <w:bottom w:val="single" w:color="auto" w:sz="6" w:space="0"/>
              <w:right w:val="single" w:color="auto" w:sz="6" w:space="0"/>
            </w:tcBorders>
          </w:tcPr>
          <w:p w14:paraId="7CC8861F">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060" w:type="dxa"/>
            <w:tcBorders>
              <w:top w:val="single" w:color="auto" w:sz="6" w:space="0"/>
              <w:left w:val="single" w:color="auto" w:sz="6" w:space="0"/>
              <w:bottom w:val="single" w:color="auto" w:sz="6" w:space="0"/>
              <w:right w:val="single" w:color="auto" w:sz="6" w:space="0"/>
            </w:tcBorders>
          </w:tcPr>
          <w:p w14:paraId="62A86155">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344A26E">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r>
      <w:tr w14:paraId="7937AA51">
        <w:tblPrEx>
          <w:tblCellMar>
            <w:top w:w="0" w:type="dxa"/>
            <w:left w:w="108" w:type="dxa"/>
            <w:bottom w:w="0" w:type="dxa"/>
            <w:right w:w="108" w:type="dxa"/>
          </w:tblCellMar>
        </w:tblPrEx>
        <w:trPr>
          <w:trHeight w:val="657" w:hRule="atLeast"/>
        </w:trPr>
        <w:tc>
          <w:tcPr>
            <w:tcW w:w="2210" w:type="dxa"/>
            <w:tcBorders>
              <w:top w:val="single" w:color="auto" w:sz="6" w:space="0"/>
              <w:left w:val="single" w:color="auto" w:sz="6" w:space="0"/>
              <w:bottom w:val="single" w:color="auto" w:sz="6" w:space="0"/>
              <w:right w:val="single" w:color="auto" w:sz="6" w:space="0"/>
            </w:tcBorders>
          </w:tcPr>
          <w:p w14:paraId="761D1DE4">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10" w:type="dxa"/>
            <w:tcBorders>
              <w:top w:val="single" w:color="auto" w:sz="6" w:space="0"/>
              <w:left w:val="single" w:color="auto" w:sz="6" w:space="0"/>
              <w:bottom w:val="single" w:color="auto" w:sz="6" w:space="0"/>
              <w:right w:val="single" w:color="auto" w:sz="6" w:space="0"/>
            </w:tcBorders>
          </w:tcPr>
          <w:p w14:paraId="63B337B3">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30" w:type="dxa"/>
            <w:tcBorders>
              <w:top w:val="single" w:color="auto" w:sz="6" w:space="0"/>
              <w:left w:val="single" w:color="auto" w:sz="6" w:space="0"/>
              <w:bottom w:val="single" w:color="auto" w:sz="6" w:space="0"/>
              <w:right w:val="single" w:color="auto" w:sz="6" w:space="0"/>
            </w:tcBorders>
          </w:tcPr>
          <w:p w14:paraId="3FE92E31">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80" w:type="dxa"/>
            <w:tcBorders>
              <w:top w:val="single" w:color="auto" w:sz="6" w:space="0"/>
              <w:left w:val="single" w:color="auto" w:sz="6" w:space="0"/>
              <w:bottom w:val="single" w:color="auto" w:sz="6" w:space="0"/>
              <w:right w:val="single" w:color="auto" w:sz="6" w:space="0"/>
            </w:tcBorders>
          </w:tcPr>
          <w:p w14:paraId="276A93CD">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060" w:type="dxa"/>
            <w:tcBorders>
              <w:top w:val="single" w:color="auto" w:sz="6" w:space="0"/>
              <w:left w:val="single" w:color="auto" w:sz="6" w:space="0"/>
              <w:bottom w:val="single" w:color="auto" w:sz="6" w:space="0"/>
              <w:right w:val="single" w:color="auto" w:sz="6" w:space="0"/>
            </w:tcBorders>
          </w:tcPr>
          <w:p w14:paraId="32CFACFE">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50DDBAA">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r>
      <w:tr w14:paraId="3CA058B3">
        <w:tblPrEx>
          <w:tblCellMar>
            <w:top w:w="0" w:type="dxa"/>
            <w:left w:w="108" w:type="dxa"/>
            <w:bottom w:w="0" w:type="dxa"/>
            <w:right w:w="108" w:type="dxa"/>
          </w:tblCellMar>
        </w:tblPrEx>
        <w:trPr>
          <w:trHeight w:val="933" w:hRule="atLeast"/>
        </w:trPr>
        <w:tc>
          <w:tcPr>
            <w:tcW w:w="2210" w:type="dxa"/>
            <w:tcBorders>
              <w:top w:val="single" w:color="auto" w:sz="6" w:space="0"/>
              <w:left w:val="single" w:color="auto" w:sz="6" w:space="0"/>
              <w:bottom w:val="single" w:color="auto" w:sz="6" w:space="0"/>
              <w:right w:val="single" w:color="auto" w:sz="6" w:space="0"/>
            </w:tcBorders>
          </w:tcPr>
          <w:p w14:paraId="524C5083">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10" w:type="dxa"/>
            <w:tcBorders>
              <w:top w:val="single" w:color="auto" w:sz="6" w:space="0"/>
              <w:left w:val="single" w:color="auto" w:sz="6" w:space="0"/>
              <w:bottom w:val="single" w:color="auto" w:sz="6" w:space="0"/>
              <w:right w:val="single" w:color="auto" w:sz="6" w:space="0"/>
            </w:tcBorders>
          </w:tcPr>
          <w:p w14:paraId="73D5EFDE">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30" w:type="dxa"/>
            <w:tcBorders>
              <w:top w:val="single" w:color="auto" w:sz="6" w:space="0"/>
              <w:left w:val="single" w:color="auto" w:sz="6" w:space="0"/>
              <w:bottom w:val="single" w:color="auto" w:sz="6" w:space="0"/>
              <w:right w:val="single" w:color="auto" w:sz="6" w:space="0"/>
            </w:tcBorders>
          </w:tcPr>
          <w:p w14:paraId="68359412">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80" w:type="dxa"/>
            <w:tcBorders>
              <w:top w:val="single" w:color="auto" w:sz="6" w:space="0"/>
              <w:left w:val="single" w:color="auto" w:sz="6" w:space="0"/>
              <w:bottom w:val="single" w:color="auto" w:sz="6" w:space="0"/>
              <w:right w:val="single" w:color="auto" w:sz="6" w:space="0"/>
            </w:tcBorders>
          </w:tcPr>
          <w:p w14:paraId="25B1DF5D">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060" w:type="dxa"/>
            <w:tcBorders>
              <w:top w:val="single" w:color="auto" w:sz="6" w:space="0"/>
              <w:left w:val="single" w:color="auto" w:sz="6" w:space="0"/>
              <w:bottom w:val="single" w:color="auto" w:sz="6" w:space="0"/>
              <w:right w:val="single" w:color="auto" w:sz="6" w:space="0"/>
            </w:tcBorders>
          </w:tcPr>
          <w:p w14:paraId="04FCB1E6">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2E80B015">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r>
      <w:tr w14:paraId="416FC124">
        <w:tblPrEx>
          <w:tblCellMar>
            <w:top w:w="0" w:type="dxa"/>
            <w:left w:w="108" w:type="dxa"/>
            <w:bottom w:w="0" w:type="dxa"/>
            <w:right w:w="108" w:type="dxa"/>
          </w:tblCellMar>
        </w:tblPrEx>
        <w:trPr>
          <w:trHeight w:val="933" w:hRule="atLeast"/>
        </w:trPr>
        <w:tc>
          <w:tcPr>
            <w:tcW w:w="2210" w:type="dxa"/>
            <w:tcBorders>
              <w:top w:val="single" w:color="auto" w:sz="6" w:space="0"/>
              <w:left w:val="single" w:color="auto" w:sz="6" w:space="0"/>
              <w:bottom w:val="single" w:color="auto" w:sz="6" w:space="0"/>
              <w:right w:val="single" w:color="auto" w:sz="6" w:space="0"/>
            </w:tcBorders>
          </w:tcPr>
          <w:p w14:paraId="65882D69">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10" w:type="dxa"/>
            <w:tcBorders>
              <w:top w:val="single" w:color="auto" w:sz="6" w:space="0"/>
              <w:left w:val="single" w:color="auto" w:sz="6" w:space="0"/>
              <w:bottom w:val="single" w:color="auto" w:sz="6" w:space="0"/>
              <w:right w:val="single" w:color="auto" w:sz="6" w:space="0"/>
            </w:tcBorders>
          </w:tcPr>
          <w:p w14:paraId="07B35C1D">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30" w:type="dxa"/>
            <w:tcBorders>
              <w:top w:val="single" w:color="auto" w:sz="6" w:space="0"/>
              <w:left w:val="single" w:color="auto" w:sz="6" w:space="0"/>
              <w:bottom w:val="single" w:color="auto" w:sz="6" w:space="0"/>
              <w:right w:val="single" w:color="auto" w:sz="6" w:space="0"/>
            </w:tcBorders>
          </w:tcPr>
          <w:p w14:paraId="4B786758">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180" w:type="dxa"/>
            <w:tcBorders>
              <w:top w:val="single" w:color="auto" w:sz="6" w:space="0"/>
              <w:left w:val="single" w:color="auto" w:sz="6" w:space="0"/>
              <w:bottom w:val="single" w:color="auto" w:sz="6" w:space="0"/>
              <w:right w:val="single" w:color="auto" w:sz="6" w:space="0"/>
            </w:tcBorders>
          </w:tcPr>
          <w:p w14:paraId="57D4F559">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060" w:type="dxa"/>
            <w:tcBorders>
              <w:top w:val="single" w:color="auto" w:sz="6" w:space="0"/>
              <w:left w:val="single" w:color="auto" w:sz="6" w:space="0"/>
              <w:bottom w:val="single" w:color="auto" w:sz="6" w:space="0"/>
              <w:right w:val="single" w:color="auto" w:sz="6" w:space="0"/>
            </w:tcBorders>
          </w:tcPr>
          <w:p w14:paraId="2D4423C1">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5A628B30">
            <w:pPr>
              <w:keepNext/>
              <w:keepLines/>
              <w:tabs>
                <w:tab w:val="left" w:pos="432"/>
              </w:tabs>
              <w:autoSpaceDE w:val="0"/>
              <w:autoSpaceDN w:val="0"/>
              <w:spacing w:before="340" w:after="330"/>
              <w:ind w:left="432" w:hanging="432"/>
              <w:outlineLvl w:val="0"/>
              <w:rPr>
                <w:rFonts w:ascii="宋体" w:hAnsi="宋体" w:eastAsia="宋体" w:cs="宋体"/>
                <w:color w:val="auto"/>
                <w:sz w:val="24"/>
                <w:szCs w:val="21"/>
                <w:highlight w:val="none"/>
              </w:rPr>
            </w:pPr>
          </w:p>
        </w:tc>
      </w:tr>
    </w:tbl>
    <w:p w14:paraId="20624413">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注：供应商可按上述的格式自行编制，须随表提交相应的证明文件。</w:t>
      </w:r>
    </w:p>
    <w:p w14:paraId="76B9B997">
      <w:pPr>
        <w:autoSpaceDE w:val="0"/>
        <w:autoSpaceDN w:val="0"/>
        <w:spacing w:line="360" w:lineRule="auto"/>
        <w:ind w:firstLine="4560" w:firstLineChars="19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sz w:val="24"/>
          <w:szCs w:val="21"/>
          <w:highlight w:val="none"/>
        </w:rPr>
        <w:t>电子签章</w:t>
      </w:r>
      <w:r>
        <w:rPr>
          <w:rFonts w:hint="eastAsia" w:ascii="宋体" w:hAnsi="宋体" w:eastAsia="宋体" w:cs="宋体"/>
          <w:color w:val="auto"/>
          <w:kern w:val="0"/>
          <w:sz w:val="24"/>
          <w:szCs w:val="24"/>
          <w:highlight w:val="none"/>
        </w:rPr>
        <w:t xml:space="preserve">）：                       </w:t>
      </w:r>
    </w:p>
    <w:p w14:paraId="3AC7D141">
      <w:pPr>
        <w:autoSpaceDE w:val="0"/>
        <w:autoSpaceDN w:val="0"/>
        <w:spacing w:line="360" w:lineRule="auto"/>
        <w:rPr>
          <w:rFonts w:ascii="宋体" w:hAnsi="宋体" w:eastAsia="宋体" w:cs="宋体"/>
          <w:color w:val="auto"/>
          <w:szCs w:val="21"/>
          <w:highlight w:val="none"/>
        </w:rPr>
      </w:pPr>
      <w:r>
        <w:rPr>
          <w:rFonts w:hint="eastAsia" w:ascii="宋体" w:hAnsi="宋体" w:eastAsia="宋体" w:cs="宋体"/>
          <w:color w:val="auto"/>
          <w:kern w:val="0"/>
          <w:sz w:val="24"/>
          <w:szCs w:val="24"/>
          <w:highlight w:val="none"/>
        </w:rPr>
        <w:t xml:space="preserve">                                     日期：  年  月   日</w:t>
      </w:r>
    </w:p>
    <w:p w14:paraId="7B4F8B7B">
      <w:pPr>
        <w:jc w:val="center"/>
        <w:rPr>
          <w:rFonts w:ascii="宋体" w:hAnsi="宋体" w:eastAsia="宋体" w:cs="宋体"/>
          <w:b/>
          <w:color w:val="auto"/>
          <w:kern w:val="0"/>
          <w:sz w:val="32"/>
          <w:szCs w:val="32"/>
          <w:highlight w:val="none"/>
        </w:rPr>
      </w:pPr>
    </w:p>
    <w:p w14:paraId="5DD0FB62">
      <w:pPr>
        <w:jc w:val="center"/>
        <w:rPr>
          <w:rFonts w:ascii="宋体" w:hAnsi="宋体" w:eastAsia="宋体" w:cs="宋体"/>
          <w:b/>
          <w:bCs/>
          <w:color w:val="auto"/>
          <w:kern w:val="0"/>
          <w:sz w:val="30"/>
          <w:szCs w:val="30"/>
          <w:highlight w:val="none"/>
        </w:rPr>
      </w:pPr>
    </w:p>
    <w:p w14:paraId="56C9FAB2">
      <w:pPr>
        <w:jc w:val="center"/>
        <w:rPr>
          <w:rFonts w:ascii="宋体" w:hAnsi="宋体" w:eastAsia="宋体" w:cs="宋体"/>
          <w:b/>
          <w:bCs/>
          <w:color w:val="auto"/>
          <w:kern w:val="0"/>
          <w:sz w:val="30"/>
          <w:szCs w:val="30"/>
          <w:highlight w:val="none"/>
        </w:rPr>
      </w:pPr>
    </w:p>
    <w:p w14:paraId="47065CA1">
      <w:pPr>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2、认证证书扫描件或复印件</w:t>
      </w:r>
    </w:p>
    <w:p w14:paraId="529B4E1B">
      <w:pPr>
        <w:keepNext/>
        <w:keepLines/>
        <w:numPr>
          <w:ilvl w:val="0"/>
          <w:numId w:val="7"/>
        </w:numPr>
        <w:spacing w:before="260" w:after="260" w:line="415" w:lineRule="auto"/>
        <w:jc w:val="center"/>
        <w:outlineLvl w:val="1"/>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获奖情况（证明材料扫描件或复印件）</w:t>
      </w:r>
    </w:p>
    <w:p w14:paraId="3DDAD46B">
      <w:pPr>
        <w:numPr>
          <w:ilvl w:val="0"/>
          <w:numId w:val="7"/>
        </w:numPr>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项目组成员情况表</w:t>
      </w:r>
    </w:p>
    <w:tbl>
      <w:tblPr>
        <w:tblStyle w:val="7"/>
        <w:tblW w:w="8319" w:type="dxa"/>
        <w:jc w:val="center"/>
        <w:tblLayout w:type="fixed"/>
        <w:tblCellMar>
          <w:top w:w="0" w:type="dxa"/>
          <w:left w:w="108" w:type="dxa"/>
          <w:bottom w:w="0" w:type="dxa"/>
          <w:right w:w="108" w:type="dxa"/>
        </w:tblCellMar>
      </w:tblPr>
      <w:tblGrid>
        <w:gridCol w:w="356"/>
        <w:gridCol w:w="667"/>
        <w:gridCol w:w="807"/>
        <w:gridCol w:w="570"/>
        <w:gridCol w:w="600"/>
        <w:gridCol w:w="900"/>
        <w:gridCol w:w="980"/>
        <w:gridCol w:w="1030"/>
        <w:gridCol w:w="1200"/>
        <w:gridCol w:w="1209"/>
      </w:tblGrid>
      <w:tr w14:paraId="19B8B0E3">
        <w:tblPrEx>
          <w:tblCellMar>
            <w:top w:w="0" w:type="dxa"/>
            <w:left w:w="108" w:type="dxa"/>
            <w:bottom w:w="0" w:type="dxa"/>
            <w:right w:w="108" w:type="dxa"/>
          </w:tblCellMar>
        </w:tblPrEx>
        <w:trPr>
          <w:jc w:val="center"/>
        </w:trPr>
        <w:tc>
          <w:tcPr>
            <w:tcW w:w="356" w:type="dxa"/>
            <w:tcBorders>
              <w:top w:val="single" w:color="auto" w:sz="6" w:space="0"/>
              <w:left w:val="single" w:color="auto" w:sz="6" w:space="0"/>
              <w:bottom w:val="single" w:color="auto" w:sz="6" w:space="0"/>
              <w:right w:val="single" w:color="auto" w:sz="6" w:space="0"/>
            </w:tcBorders>
            <w:vAlign w:val="center"/>
          </w:tcPr>
          <w:p w14:paraId="46D5D88B">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7" w:type="dxa"/>
            <w:tcBorders>
              <w:top w:val="single" w:color="auto" w:sz="6" w:space="0"/>
              <w:left w:val="single" w:color="auto" w:sz="6" w:space="0"/>
              <w:bottom w:val="single" w:color="auto" w:sz="6" w:space="0"/>
              <w:right w:val="single" w:color="auto" w:sz="6" w:space="0"/>
            </w:tcBorders>
            <w:vAlign w:val="center"/>
          </w:tcPr>
          <w:p w14:paraId="0B0D1BDF">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7" w:type="dxa"/>
            <w:tcBorders>
              <w:top w:val="single" w:color="auto" w:sz="6" w:space="0"/>
              <w:left w:val="single" w:color="auto" w:sz="6" w:space="0"/>
              <w:bottom w:val="single" w:color="auto" w:sz="6" w:space="0"/>
              <w:right w:val="single" w:color="auto" w:sz="6" w:space="0"/>
            </w:tcBorders>
            <w:vAlign w:val="center"/>
          </w:tcPr>
          <w:p w14:paraId="23ECC3C3">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570" w:type="dxa"/>
            <w:tcBorders>
              <w:top w:val="single" w:color="auto" w:sz="6" w:space="0"/>
              <w:left w:val="single" w:color="auto" w:sz="6" w:space="0"/>
              <w:bottom w:val="single" w:color="auto" w:sz="6" w:space="0"/>
              <w:right w:val="single" w:color="auto" w:sz="6" w:space="0"/>
            </w:tcBorders>
            <w:vAlign w:val="center"/>
          </w:tcPr>
          <w:p w14:paraId="0BA5B864">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600" w:type="dxa"/>
            <w:tcBorders>
              <w:top w:val="single" w:color="auto" w:sz="6" w:space="0"/>
              <w:left w:val="single" w:color="auto" w:sz="6" w:space="0"/>
              <w:bottom w:val="single" w:color="auto" w:sz="6" w:space="0"/>
              <w:right w:val="single" w:color="auto" w:sz="6" w:space="0"/>
            </w:tcBorders>
            <w:vAlign w:val="center"/>
          </w:tcPr>
          <w:p w14:paraId="23D96953">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900" w:type="dxa"/>
            <w:tcBorders>
              <w:top w:val="single" w:color="auto" w:sz="6" w:space="0"/>
              <w:left w:val="single" w:color="auto" w:sz="6" w:space="0"/>
              <w:bottom w:val="single" w:color="auto" w:sz="6" w:space="0"/>
              <w:right w:val="single" w:color="auto" w:sz="6" w:space="0"/>
            </w:tcBorders>
            <w:vAlign w:val="center"/>
          </w:tcPr>
          <w:p w14:paraId="79A4C663">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10FF9250">
            <w:pPr>
              <w:autoSpaceDE w:val="0"/>
              <w:autoSpaceDN w:val="0"/>
              <w:jc w:val="center"/>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vAlign w:val="center"/>
          </w:tcPr>
          <w:p w14:paraId="7326E3BB">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191DD7FE">
            <w:pPr>
              <w:autoSpaceDE w:val="0"/>
              <w:autoSpaceDN w:val="0"/>
              <w:jc w:val="center"/>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vAlign w:val="center"/>
          </w:tcPr>
          <w:p w14:paraId="31FB5908">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70598CAD">
            <w:pPr>
              <w:autoSpaceDE w:val="0"/>
              <w:autoSpaceDN w:val="0"/>
              <w:jc w:val="center"/>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vAlign w:val="center"/>
          </w:tcPr>
          <w:p w14:paraId="2982DE0B">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执业注册资格</w:t>
            </w:r>
          </w:p>
        </w:tc>
        <w:tc>
          <w:tcPr>
            <w:tcW w:w="1209" w:type="dxa"/>
            <w:tcBorders>
              <w:top w:val="single" w:color="auto" w:sz="6" w:space="0"/>
              <w:left w:val="single" w:color="auto" w:sz="6" w:space="0"/>
              <w:bottom w:val="single" w:color="auto" w:sz="6" w:space="0"/>
              <w:right w:val="single" w:color="auto" w:sz="6" w:space="0"/>
            </w:tcBorders>
            <w:vAlign w:val="center"/>
          </w:tcPr>
          <w:p w14:paraId="28F4F8D5">
            <w:pPr>
              <w:autoSpaceDE w:val="0"/>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r>
      <w:tr w14:paraId="7A89A7FC">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45299D52">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111480FC">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5BE548A5">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4F15E44A">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3FA9C499">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C27ED3">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1CDA7E72">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74879543">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2EA41652">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4F1EEC82">
            <w:pPr>
              <w:autoSpaceDE w:val="0"/>
              <w:autoSpaceDN w:val="0"/>
              <w:rPr>
                <w:rFonts w:ascii="宋体" w:hAnsi="宋体" w:eastAsia="宋体" w:cs="宋体"/>
                <w:color w:val="auto"/>
                <w:sz w:val="24"/>
                <w:szCs w:val="24"/>
                <w:highlight w:val="none"/>
              </w:rPr>
            </w:pPr>
          </w:p>
        </w:tc>
      </w:tr>
      <w:tr w14:paraId="72D46108">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0B82BED6">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644864EF">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4A49129B">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6FE9D3B4">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6EB57A76">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712919">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0F12C864">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7EDAA7A0">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514BDF30">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7A781EE9">
            <w:pPr>
              <w:autoSpaceDE w:val="0"/>
              <w:autoSpaceDN w:val="0"/>
              <w:rPr>
                <w:rFonts w:ascii="宋体" w:hAnsi="宋体" w:eastAsia="宋体" w:cs="宋体"/>
                <w:color w:val="auto"/>
                <w:sz w:val="24"/>
                <w:szCs w:val="24"/>
                <w:highlight w:val="none"/>
              </w:rPr>
            </w:pPr>
          </w:p>
        </w:tc>
      </w:tr>
      <w:tr w14:paraId="676FE90A">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51AC50A0">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1ACA1C1B">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29ED8AFA">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7C42C420">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57E7B77F">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BF6AFE">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11E69D53">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3B1CF1A7">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2C40259B">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388C33E9">
            <w:pPr>
              <w:autoSpaceDE w:val="0"/>
              <w:autoSpaceDN w:val="0"/>
              <w:rPr>
                <w:rFonts w:ascii="宋体" w:hAnsi="宋体" w:eastAsia="宋体" w:cs="宋体"/>
                <w:color w:val="auto"/>
                <w:sz w:val="24"/>
                <w:szCs w:val="24"/>
                <w:highlight w:val="none"/>
              </w:rPr>
            </w:pPr>
          </w:p>
        </w:tc>
      </w:tr>
      <w:tr w14:paraId="0E662D0E">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433F3ED5">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4869FDC1">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50F6DF69">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242573AF">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11DE055E">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A94B11">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726F4C9F">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3AB8850D">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74FFC08B">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0C91C522">
            <w:pPr>
              <w:autoSpaceDE w:val="0"/>
              <w:autoSpaceDN w:val="0"/>
              <w:rPr>
                <w:rFonts w:ascii="宋体" w:hAnsi="宋体" w:eastAsia="宋体" w:cs="宋体"/>
                <w:color w:val="auto"/>
                <w:sz w:val="24"/>
                <w:szCs w:val="24"/>
                <w:highlight w:val="none"/>
              </w:rPr>
            </w:pPr>
          </w:p>
        </w:tc>
      </w:tr>
      <w:tr w14:paraId="6CC45E4A">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19861FFA">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26B9885B">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596A62F0">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3D980CB1">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70A2AE88">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9FB6BC">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5F2DF3FB">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0F4B13B5">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210EC5B2">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690A00D6">
            <w:pPr>
              <w:autoSpaceDE w:val="0"/>
              <w:autoSpaceDN w:val="0"/>
              <w:rPr>
                <w:rFonts w:ascii="宋体" w:hAnsi="宋体" w:eastAsia="宋体" w:cs="宋体"/>
                <w:color w:val="auto"/>
                <w:sz w:val="24"/>
                <w:szCs w:val="24"/>
                <w:highlight w:val="none"/>
              </w:rPr>
            </w:pPr>
          </w:p>
        </w:tc>
      </w:tr>
      <w:tr w14:paraId="295029AD">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290E7CF0">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767FC243">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73636912">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33B60A96">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6617D11B">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EF36017">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7C4F471C">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58A4FEAC">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2F268740">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602F0FD9">
            <w:pPr>
              <w:autoSpaceDE w:val="0"/>
              <w:autoSpaceDN w:val="0"/>
              <w:rPr>
                <w:rFonts w:ascii="宋体" w:hAnsi="宋体" w:eastAsia="宋体" w:cs="宋体"/>
                <w:color w:val="auto"/>
                <w:sz w:val="24"/>
                <w:szCs w:val="24"/>
                <w:highlight w:val="none"/>
              </w:rPr>
            </w:pPr>
          </w:p>
        </w:tc>
      </w:tr>
      <w:tr w14:paraId="26B143A9">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29229F45">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49BC6549">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58BB2F48">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22C02AC6">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3E0DBBB4">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1998F28">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2A0C10BC">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6F791F3E">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66A907F3">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72E5129A">
            <w:pPr>
              <w:autoSpaceDE w:val="0"/>
              <w:autoSpaceDN w:val="0"/>
              <w:rPr>
                <w:rFonts w:ascii="宋体" w:hAnsi="宋体" w:eastAsia="宋体" w:cs="宋体"/>
                <w:color w:val="auto"/>
                <w:sz w:val="24"/>
                <w:szCs w:val="24"/>
                <w:highlight w:val="none"/>
              </w:rPr>
            </w:pPr>
          </w:p>
        </w:tc>
      </w:tr>
      <w:tr w14:paraId="322FF40E">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11749680">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4FC9753F">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198AAAB9">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142413FA">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1B566F3C">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2C15F6">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198902BE">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17F598C5">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497A63EA">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1D55E545">
            <w:pPr>
              <w:autoSpaceDE w:val="0"/>
              <w:autoSpaceDN w:val="0"/>
              <w:rPr>
                <w:rFonts w:ascii="宋体" w:hAnsi="宋体" w:eastAsia="宋体" w:cs="宋体"/>
                <w:color w:val="auto"/>
                <w:sz w:val="24"/>
                <w:szCs w:val="24"/>
                <w:highlight w:val="none"/>
              </w:rPr>
            </w:pPr>
          </w:p>
        </w:tc>
      </w:tr>
      <w:tr w14:paraId="784124E6">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2A527C47">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0868F47D">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35C62404">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0A457B35">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50A513A9">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905C77">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779DA797">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3C14FAC4">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14797BA6">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2BC85720">
            <w:pPr>
              <w:autoSpaceDE w:val="0"/>
              <w:autoSpaceDN w:val="0"/>
              <w:rPr>
                <w:rFonts w:ascii="宋体" w:hAnsi="宋体" w:eastAsia="宋体" w:cs="宋体"/>
                <w:color w:val="auto"/>
                <w:sz w:val="24"/>
                <w:szCs w:val="24"/>
                <w:highlight w:val="none"/>
              </w:rPr>
            </w:pPr>
          </w:p>
        </w:tc>
      </w:tr>
      <w:tr w14:paraId="7A83EA68">
        <w:tblPrEx>
          <w:tblCellMar>
            <w:top w:w="0" w:type="dxa"/>
            <w:left w:w="108" w:type="dxa"/>
            <w:bottom w:w="0" w:type="dxa"/>
            <w:right w:w="108" w:type="dxa"/>
          </w:tblCellMar>
        </w:tblPrEx>
        <w:trPr>
          <w:trHeight w:val="473" w:hRule="atLeast"/>
          <w:jc w:val="center"/>
        </w:trPr>
        <w:tc>
          <w:tcPr>
            <w:tcW w:w="356" w:type="dxa"/>
            <w:tcBorders>
              <w:top w:val="single" w:color="auto" w:sz="6" w:space="0"/>
              <w:left w:val="single" w:color="auto" w:sz="6" w:space="0"/>
              <w:bottom w:val="single" w:color="auto" w:sz="6" w:space="0"/>
              <w:right w:val="single" w:color="auto" w:sz="6" w:space="0"/>
            </w:tcBorders>
          </w:tcPr>
          <w:p w14:paraId="180DF82D">
            <w:pPr>
              <w:autoSpaceDE w:val="0"/>
              <w:autoSpaceDN w:val="0"/>
              <w:jc w:val="center"/>
              <w:rPr>
                <w:rFonts w:ascii="宋体" w:hAnsi="宋体" w:eastAsia="宋体" w:cs="宋体"/>
                <w:color w:val="auto"/>
                <w:sz w:val="24"/>
                <w:szCs w:val="24"/>
                <w:highlight w:val="none"/>
              </w:rPr>
            </w:pPr>
          </w:p>
        </w:tc>
        <w:tc>
          <w:tcPr>
            <w:tcW w:w="667" w:type="dxa"/>
            <w:tcBorders>
              <w:top w:val="single" w:color="auto" w:sz="6" w:space="0"/>
              <w:left w:val="single" w:color="auto" w:sz="6" w:space="0"/>
              <w:bottom w:val="single" w:color="auto" w:sz="6" w:space="0"/>
              <w:right w:val="single" w:color="auto" w:sz="6" w:space="0"/>
            </w:tcBorders>
          </w:tcPr>
          <w:p w14:paraId="3C0DCA1E">
            <w:pPr>
              <w:autoSpaceDE w:val="0"/>
              <w:autoSpaceDN w:val="0"/>
              <w:rPr>
                <w:rFonts w:ascii="宋体" w:hAnsi="宋体" w:eastAsia="宋体" w:cs="宋体"/>
                <w:color w:val="auto"/>
                <w:sz w:val="24"/>
                <w:szCs w:val="24"/>
                <w:highlight w:val="none"/>
              </w:rPr>
            </w:pPr>
          </w:p>
        </w:tc>
        <w:tc>
          <w:tcPr>
            <w:tcW w:w="807" w:type="dxa"/>
            <w:tcBorders>
              <w:top w:val="single" w:color="auto" w:sz="6" w:space="0"/>
              <w:left w:val="single" w:color="auto" w:sz="6" w:space="0"/>
              <w:bottom w:val="single" w:color="auto" w:sz="6" w:space="0"/>
              <w:right w:val="single" w:color="auto" w:sz="6" w:space="0"/>
            </w:tcBorders>
          </w:tcPr>
          <w:p w14:paraId="04F98044">
            <w:pPr>
              <w:autoSpaceDE w:val="0"/>
              <w:autoSpaceDN w:val="0"/>
              <w:rPr>
                <w:rFonts w:ascii="宋体" w:hAnsi="宋体" w:eastAsia="宋体" w:cs="宋体"/>
                <w:color w:val="auto"/>
                <w:sz w:val="24"/>
                <w:szCs w:val="24"/>
                <w:highlight w:val="none"/>
              </w:rPr>
            </w:pPr>
          </w:p>
        </w:tc>
        <w:tc>
          <w:tcPr>
            <w:tcW w:w="570" w:type="dxa"/>
            <w:tcBorders>
              <w:top w:val="single" w:color="auto" w:sz="6" w:space="0"/>
              <w:left w:val="single" w:color="auto" w:sz="6" w:space="0"/>
              <w:bottom w:val="single" w:color="auto" w:sz="6" w:space="0"/>
              <w:right w:val="single" w:color="auto" w:sz="6" w:space="0"/>
            </w:tcBorders>
          </w:tcPr>
          <w:p w14:paraId="63559E1D">
            <w:pPr>
              <w:autoSpaceDE w:val="0"/>
              <w:autoSpaceDN w:val="0"/>
              <w:rPr>
                <w:rFonts w:ascii="宋体" w:hAnsi="宋体" w:eastAsia="宋体" w:cs="宋体"/>
                <w:color w:val="auto"/>
                <w:sz w:val="24"/>
                <w:szCs w:val="24"/>
                <w:highlight w:val="none"/>
              </w:rPr>
            </w:pPr>
          </w:p>
        </w:tc>
        <w:tc>
          <w:tcPr>
            <w:tcW w:w="600" w:type="dxa"/>
            <w:tcBorders>
              <w:top w:val="single" w:color="auto" w:sz="6" w:space="0"/>
              <w:left w:val="single" w:color="auto" w:sz="6" w:space="0"/>
              <w:bottom w:val="single" w:color="auto" w:sz="6" w:space="0"/>
              <w:right w:val="single" w:color="auto" w:sz="6" w:space="0"/>
            </w:tcBorders>
          </w:tcPr>
          <w:p w14:paraId="3A04BA31">
            <w:pPr>
              <w:autoSpaceDE w:val="0"/>
              <w:autoSpaceDN w:val="0"/>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D550DA3">
            <w:pPr>
              <w:autoSpaceDE w:val="0"/>
              <w:autoSpaceDN w:val="0"/>
              <w:rPr>
                <w:rFonts w:ascii="宋体" w:hAnsi="宋体" w:eastAsia="宋体" w:cs="宋体"/>
                <w:color w:val="auto"/>
                <w:sz w:val="24"/>
                <w:szCs w:val="24"/>
                <w:highlight w:val="none"/>
              </w:rPr>
            </w:pPr>
          </w:p>
        </w:tc>
        <w:tc>
          <w:tcPr>
            <w:tcW w:w="980" w:type="dxa"/>
            <w:tcBorders>
              <w:top w:val="single" w:color="auto" w:sz="6" w:space="0"/>
              <w:left w:val="single" w:color="auto" w:sz="6" w:space="0"/>
              <w:bottom w:val="single" w:color="auto" w:sz="6" w:space="0"/>
              <w:right w:val="single" w:color="auto" w:sz="6" w:space="0"/>
            </w:tcBorders>
          </w:tcPr>
          <w:p w14:paraId="5DECC246">
            <w:pPr>
              <w:autoSpaceDE w:val="0"/>
              <w:autoSpaceDN w:val="0"/>
              <w:rPr>
                <w:rFonts w:ascii="宋体" w:hAnsi="宋体" w:eastAsia="宋体" w:cs="宋体"/>
                <w:color w:val="auto"/>
                <w:sz w:val="24"/>
                <w:szCs w:val="24"/>
                <w:highlight w:val="none"/>
              </w:rPr>
            </w:pPr>
          </w:p>
        </w:tc>
        <w:tc>
          <w:tcPr>
            <w:tcW w:w="1030" w:type="dxa"/>
            <w:tcBorders>
              <w:top w:val="single" w:color="auto" w:sz="6" w:space="0"/>
              <w:left w:val="single" w:color="auto" w:sz="6" w:space="0"/>
              <w:bottom w:val="single" w:color="auto" w:sz="6" w:space="0"/>
              <w:right w:val="single" w:color="auto" w:sz="6" w:space="0"/>
            </w:tcBorders>
          </w:tcPr>
          <w:p w14:paraId="15816D73">
            <w:pPr>
              <w:autoSpaceDE w:val="0"/>
              <w:autoSpaceDN w:val="0"/>
              <w:rPr>
                <w:rFonts w:ascii="宋体" w:hAnsi="宋体" w:eastAsia="宋体" w:cs="宋体"/>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tcPr>
          <w:p w14:paraId="257B2174">
            <w:pPr>
              <w:autoSpaceDE w:val="0"/>
              <w:autoSpaceDN w:val="0"/>
              <w:rPr>
                <w:rFonts w:ascii="宋体" w:hAnsi="宋体" w:eastAsia="宋体" w:cs="宋体"/>
                <w:color w:val="auto"/>
                <w:sz w:val="24"/>
                <w:szCs w:val="24"/>
                <w:highlight w:val="none"/>
              </w:rPr>
            </w:pPr>
          </w:p>
        </w:tc>
        <w:tc>
          <w:tcPr>
            <w:tcW w:w="1209" w:type="dxa"/>
            <w:tcBorders>
              <w:top w:val="single" w:color="auto" w:sz="6" w:space="0"/>
              <w:left w:val="single" w:color="auto" w:sz="6" w:space="0"/>
              <w:bottom w:val="single" w:color="auto" w:sz="6" w:space="0"/>
              <w:right w:val="single" w:color="auto" w:sz="6" w:space="0"/>
            </w:tcBorders>
          </w:tcPr>
          <w:p w14:paraId="62561FFD">
            <w:pPr>
              <w:autoSpaceDE w:val="0"/>
              <w:autoSpaceDN w:val="0"/>
              <w:rPr>
                <w:rFonts w:ascii="宋体" w:hAnsi="宋体" w:eastAsia="宋体" w:cs="宋体"/>
                <w:color w:val="auto"/>
                <w:sz w:val="24"/>
                <w:szCs w:val="24"/>
                <w:highlight w:val="none"/>
              </w:rPr>
            </w:pPr>
          </w:p>
        </w:tc>
      </w:tr>
    </w:tbl>
    <w:p w14:paraId="696B3C7F">
      <w:pPr>
        <w:adjustRightInd w:val="0"/>
        <w:snapToGrid w:val="0"/>
        <w:spacing w:line="54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注：1.供应商可按上述的格式的基础上拓展编制。</w:t>
      </w:r>
    </w:p>
    <w:p w14:paraId="42D5D7FF">
      <w:pPr>
        <w:spacing w:line="480" w:lineRule="exact"/>
        <w:ind w:left="479" w:leftChars="228" w:firstLine="402" w:firstLineChars="200"/>
        <w:rPr>
          <w:rFonts w:ascii="Calibri" w:hAnsi="Calibri" w:eastAsia="宋体" w:cs="Times New Roman"/>
          <w:color w:val="auto"/>
          <w:kern w:val="0"/>
          <w:sz w:val="20"/>
          <w:szCs w:val="21"/>
          <w:highlight w:val="none"/>
        </w:rPr>
      </w:pPr>
      <w:r>
        <w:rPr>
          <w:rFonts w:hint="eastAsia" w:ascii="Calibri" w:hAnsi="Calibri" w:eastAsia="宋体" w:cs="Times New Roman"/>
          <w:b/>
          <w:bCs/>
          <w:color w:val="auto"/>
          <w:kern w:val="0"/>
          <w:sz w:val="20"/>
          <w:szCs w:val="21"/>
          <w:highlight w:val="none"/>
        </w:rPr>
        <w:t>2.本表人员应提供相应的职称证书及资格证书扫描件或复印件，提供近3个月任意一个月在本单位缴纳社保凭证（退休返聘人员提供退休证和返聘合同）的扫描件或复印件。</w:t>
      </w:r>
    </w:p>
    <w:p w14:paraId="5782FBC5">
      <w:pPr>
        <w:autoSpaceDE w:val="0"/>
        <w:autoSpaceDN w:val="0"/>
        <w:spacing w:line="360" w:lineRule="auto"/>
        <w:ind w:firstLine="4800" w:firstLineChars="20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w:t>
      </w:r>
      <w:r>
        <w:rPr>
          <w:rFonts w:hint="eastAsia" w:ascii="宋体" w:hAnsi="宋体" w:eastAsia="宋体" w:cs="宋体"/>
          <w:color w:val="auto"/>
          <w:sz w:val="24"/>
          <w:szCs w:val="21"/>
          <w:highlight w:val="none"/>
        </w:rPr>
        <w:t>电子签章</w:t>
      </w:r>
      <w:r>
        <w:rPr>
          <w:rFonts w:hint="eastAsia" w:ascii="宋体" w:hAnsi="宋体" w:eastAsia="宋体" w:cs="宋体"/>
          <w:color w:val="auto"/>
          <w:kern w:val="0"/>
          <w:sz w:val="24"/>
          <w:szCs w:val="24"/>
          <w:highlight w:val="none"/>
          <w:lang w:val="zh-CN"/>
        </w:rPr>
        <w:t xml:space="preserve">）：      </w:t>
      </w:r>
    </w:p>
    <w:p w14:paraId="2835D3D5">
      <w:pPr>
        <w:autoSpaceDE w:val="0"/>
        <w:autoSpaceDN w:val="0"/>
        <w:spacing w:line="360" w:lineRule="auto"/>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3B7B6C3C">
      <w:pPr>
        <w:spacing w:line="360" w:lineRule="auto"/>
        <w:jc w:val="center"/>
        <w:rPr>
          <w:rFonts w:ascii="宋体" w:hAnsi="宋体" w:eastAsia="宋体" w:cs="宋体"/>
          <w:b/>
          <w:bCs/>
          <w:color w:val="auto"/>
          <w:sz w:val="32"/>
          <w:szCs w:val="32"/>
          <w:highlight w:val="none"/>
          <w:lang w:val="zh-CN"/>
        </w:rPr>
      </w:pPr>
    </w:p>
    <w:p w14:paraId="41FE4B14">
      <w:pPr>
        <w:keepNext/>
        <w:keepLines/>
        <w:spacing w:before="260" w:after="260" w:line="415" w:lineRule="auto"/>
        <w:outlineLvl w:val="1"/>
        <w:rPr>
          <w:rFonts w:ascii="宋体" w:hAnsi="宋体" w:eastAsia="宋体" w:cs="宋体"/>
          <w:b/>
          <w:bCs/>
          <w:color w:val="auto"/>
          <w:kern w:val="0"/>
          <w:sz w:val="32"/>
          <w:szCs w:val="32"/>
          <w:highlight w:val="none"/>
        </w:rPr>
      </w:pPr>
    </w:p>
    <w:p w14:paraId="570362BC">
      <w:pPr>
        <w:jc w:val="center"/>
        <w:rPr>
          <w:rFonts w:ascii="宋体" w:hAnsi="宋体" w:eastAsia="宋体" w:cs="宋体"/>
          <w:b/>
          <w:color w:val="auto"/>
          <w:kern w:val="0"/>
          <w:sz w:val="32"/>
          <w:szCs w:val="32"/>
          <w:highlight w:val="none"/>
        </w:rPr>
      </w:pPr>
    </w:p>
    <w:p w14:paraId="3C4024D4">
      <w:pPr>
        <w:rPr>
          <w:rFonts w:ascii="宋体" w:hAnsi="宋体" w:eastAsia="宋体" w:cs="宋体"/>
          <w:color w:val="auto"/>
          <w:szCs w:val="21"/>
          <w:highlight w:val="none"/>
        </w:rPr>
      </w:pPr>
    </w:p>
    <w:p w14:paraId="2F1CDCDA">
      <w:pPr>
        <w:keepNext/>
        <w:keepLines/>
        <w:spacing w:before="260" w:after="260" w:line="415" w:lineRule="auto"/>
        <w:ind w:firstLine="3213" w:firstLineChars="1000"/>
        <w:outlineLvl w:val="1"/>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八、技术方案资料</w:t>
      </w:r>
    </w:p>
    <w:p w14:paraId="553DD076">
      <w:pPr>
        <w:keepNext/>
        <w:keepLines/>
        <w:spacing w:before="260" w:after="260" w:line="415" w:lineRule="auto"/>
        <w:ind w:firstLine="3012" w:firstLineChars="1000"/>
        <w:outlineLvl w:val="1"/>
        <w:rPr>
          <w:rFonts w:ascii="宋体" w:hAnsi="宋体" w:eastAsia="宋体" w:cs="宋体"/>
          <w:bCs/>
          <w:color w:val="auto"/>
          <w:kern w:val="0"/>
          <w:sz w:val="32"/>
          <w:szCs w:val="32"/>
          <w:highlight w:val="none"/>
        </w:rPr>
      </w:pPr>
      <w:r>
        <w:rPr>
          <w:rFonts w:hint="eastAsia" w:ascii="宋体" w:hAnsi="宋体" w:eastAsia="宋体" w:cs="宋体"/>
          <w:b/>
          <w:bCs/>
          <w:color w:val="auto"/>
          <w:kern w:val="0"/>
          <w:sz w:val="30"/>
          <w:szCs w:val="30"/>
          <w:highlight w:val="none"/>
        </w:rPr>
        <w:t>（以下格式自拟）</w:t>
      </w:r>
    </w:p>
    <w:p w14:paraId="5DFBA2B2">
      <w:pPr>
        <w:spacing w:line="360" w:lineRule="auto"/>
        <w:ind w:firstLine="602" w:firstLineChars="200"/>
        <w:rPr>
          <w:rFonts w:ascii="宋体" w:hAnsi="宋体" w:eastAsia="宋体" w:cs="宋体"/>
          <w:color w:val="auto"/>
          <w:sz w:val="24"/>
          <w:szCs w:val="24"/>
          <w:highlight w:val="none"/>
        </w:rPr>
      </w:pPr>
      <w:r>
        <w:rPr>
          <w:rFonts w:hint="eastAsia" w:ascii="宋体" w:hAnsi="宋体" w:eastAsia="宋体" w:cs="宋体"/>
          <w:b/>
          <w:bCs/>
          <w:color w:val="auto"/>
          <w:sz w:val="30"/>
          <w:szCs w:val="30"/>
          <w:highlight w:val="none"/>
        </w:rPr>
        <w:t>根据评分点内容编制</w:t>
      </w:r>
    </w:p>
    <w:p w14:paraId="641D6DA9">
      <w:pPr>
        <w:spacing w:line="360" w:lineRule="auto"/>
        <w:ind w:firstLine="420" w:firstLineChars="200"/>
        <w:rPr>
          <w:rFonts w:ascii="宋体" w:hAnsi="宋体" w:eastAsia="宋体" w:cs="宋体"/>
          <w:color w:val="auto"/>
          <w:szCs w:val="21"/>
          <w:highlight w:val="none"/>
        </w:rPr>
      </w:pPr>
    </w:p>
    <w:p w14:paraId="1C23BB6D">
      <w:pPr>
        <w:spacing w:line="360" w:lineRule="auto"/>
        <w:ind w:firstLine="420" w:firstLineChars="200"/>
        <w:rPr>
          <w:rFonts w:ascii="宋体" w:hAnsi="宋体" w:eastAsia="宋体" w:cs="宋体"/>
          <w:color w:val="auto"/>
          <w:szCs w:val="21"/>
          <w:highlight w:val="none"/>
        </w:rPr>
      </w:pPr>
    </w:p>
    <w:p w14:paraId="228F2FC5">
      <w:pPr>
        <w:spacing w:line="360" w:lineRule="auto"/>
        <w:ind w:firstLine="420" w:firstLineChars="200"/>
        <w:rPr>
          <w:rFonts w:ascii="宋体" w:hAnsi="宋体" w:eastAsia="宋体" w:cs="宋体"/>
          <w:color w:val="auto"/>
          <w:szCs w:val="21"/>
          <w:highlight w:val="none"/>
        </w:rPr>
      </w:pPr>
    </w:p>
    <w:p w14:paraId="74C480D8">
      <w:pPr>
        <w:spacing w:line="360" w:lineRule="auto"/>
        <w:ind w:firstLine="420" w:firstLineChars="200"/>
        <w:rPr>
          <w:rFonts w:ascii="宋体" w:hAnsi="宋体" w:eastAsia="宋体" w:cs="宋体"/>
          <w:color w:val="auto"/>
          <w:szCs w:val="21"/>
          <w:highlight w:val="none"/>
        </w:rPr>
      </w:pPr>
    </w:p>
    <w:p w14:paraId="78615C8C">
      <w:pPr>
        <w:spacing w:line="360" w:lineRule="auto"/>
        <w:rPr>
          <w:rFonts w:ascii="宋体" w:hAnsi="宋体" w:eastAsia="宋体" w:cs="宋体"/>
          <w:b/>
          <w:bCs/>
          <w:color w:val="auto"/>
          <w:sz w:val="24"/>
          <w:szCs w:val="24"/>
          <w:highlight w:val="none"/>
        </w:rPr>
      </w:pPr>
    </w:p>
    <w:p w14:paraId="13221B09">
      <w:pPr>
        <w:spacing w:line="360" w:lineRule="auto"/>
        <w:rPr>
          <w:rFonts w:ascii="宋体" w:hAnsi="宋体" w:eastAsia="宋体" w:cs="宋体"/>
          <w:b/>
          <w:bCs/>
          <w:color w:val="auto"/>
          <w:sz w:val="24"/>
          <w:szCs w:val="24"/>
          <w:highlight w:val="none"/>
        </w:rPr>
      </w:pPr>
    </w:p>
    <w:p w14:paraId="6443EFB0">
      <w:pPr>
        <w:spacing w:line="360" w:lineRule="auto"/>
        <w:rPr>
          <w:rFonts w:ascii="宋体" w:hAnsi="宋体" w:eastAsia="宋体" w:cs="宋体"/>
          <w:b/>
          <w:bCs/>
          <w:color w:val="auto"/>
          <w:sz w:val="24"/>
          <w:szCs w:val="24"/>
          <w:highlight w:val="none"/>
        </w:rPr>
      </w:pPr>
    </w:p>
    <w:p w14:paraId="2A58627B">
      <w:pPr>
        <w:spacing w:line="360" w:lineRule="auto"/>
        <w:rPr>
          <w:rFonts w:ascii="宋体" w:hAnsi="宋体" w:eastAsia="宋体" w:cs="宋体"/>
          <w:b/>
          <w:bCs/>
          <w:color w:val="auto"/>
          <w:sz w:val="24"/>
          <w:szCs w:val="24"/>
          <w:highlight w:val="none"/>
        </w:rPr>
      </w:pPr>
    </w:p>
    <w:p w14:paraId="1C767CB6">
      <w:pPr>
        <w:spacing w:line="360" w:lineRule="auto"/>
        <w:rPr>
          <w:rFonts w:ascii="宋体" w:hAnsi="宋体" w:eastAsia="宋体" w:cs="宋体"/>
          <w:b/>
          <w:bCs/>
          <w:color w:val="auto"/>
          <w:sz w:val="24"/>
          <w:szCs w:val="24"/>
          <w:highlight w:val="none"/>
        </w:rPr>
      </w:pPr>
    </w:p>
    <w:p w14:paraId="74D0BD92">
      <w:pPr>
        <w:spacing w:line="360" w:lineRule="auto"/>
        <w:rPr>
          <w:rFonts w:ascii="宋体" w:hAnsi="宋体" w:eastAsia="宋体" w:cs="宋体"/>
          <w:b/>
          <w:bCs/>
          <w:color w:val="auto"/>
          <w:sz w:val="24"/>
          <w:szCs w:val="24"/>
          <w:highlight w:val="none"/>
        </w:rPr>
      </w:pPr>
    </w:p>
    <w:p w14:paraId="221F4861">
      <w:pPr>
        <w:spacing w:line="360" w:lineRule="auto"/>
        <w:rPr>
          <w:rFonts w:ascii="宋体" w:hAnsi="宋体" w:eastAsia="宋体" w:cs="宋体"/>
          <w:b/>
          <w:bCs/>
          <w:color w:val="auto"/>
          <w:sz w:val="24"/>
          <w:szCs w:val="24"/>
          <w:highlight w:val="none"/>
        </w:rPr>
      </w:pPr>
    </w:p>
    <w:p w14:paraId="60AEE09F">
      <w:pPr>
        <w:spacing w:line="360" w:lineRule="auto"/>
        <w:rPr>
          <w:rFonts w:ascii="宋体" w:hAnsi="宋体" w:eastAsia="宋体" w:cs="宋体"/>
          <w:b/>
          <w:bCs/>
          <w:color w:val="auto"/>
          <w:sz w:val="24"/>
          <w:szCs w:val="24"/>
          <w:highlight w:val="none"/>
        </w:rPr>
      </w:pPr>
    </w:p>
    <w:p w14:paraId="6D204D4E">
      <w:pPr>
        <w:spacing w:line="360" w:lineRule="auto"/>
        <w:rPr>
          <w:rFonts w:ascii="宋体" w:hAnsi="宋体" w:eastAsia="宋体" w:cs="宋体"/>
          <w:b/>
          <w:bCs/>
          <w:color w:val="auto"/>
          <w:sz w:val="24"/>
          <w:szCs w:val="24"/>
          <w:highlight w:val="none"/>
        </w:rPr>
      </w:pPr>
    </w:p>
    <w:p w14:paraId="0C018F5C">
      <w:pPr>
        <w:spacing w:line="360" w:lineRule="auto"/>
        <w:jc w:val="left"/>
        <w:rPr>
          <w:rFonts w:ascii="宋体" w:hAnsi="宋体" w:eastAsia="宋体" w:cs="宋体"/>
          <w:b/>
          <w:bCs/>
          <w:color w:val="auto"/>
          <w:spacing w:val="6"/>
          <w:sz w:val="32"/>
          <w:szCs w:val="32"/>
          <w:highlight w:val="none"/>
        </w:rPr>
      </w:pPr>
      <w:r>
        <w:rPr>
          <w:rFonts w:ascii="宋体" w:hAnsi="宋体" w:eastAsia="宋体" w:cs="宋体"/>
          <w:b/>
          <w:bCs/>
          <w:color w:val="auto"/>
          <w:spacing w:val="6"/>
          <w:sz w:val="32"/>
          <w:szCs w:val="32"/>
          <w:highlight w:val="none"/>
        </w:rPr>
        <w:br w:type="page"/>
      </w:r>
      <w:r>
        <w:rPr>
          <w:rFonts w:hint="eastAsia" w:ascii="宋体" w:hAnsi="宋体" w:eastAsia="宋体" w:cs="宋体"/>
          <w:b/>
          <w:bCs/>
          <w:color w:val="auto"/>
          <w:spacing w:val="6"/>
          <w:sz w:val="32"/>
          <w:szCs w:val="32"/>
          <w:highlight w:val="none"/>
        </w:rPr>
        <w:t>附件1：质疑函范本及制作说明</w:t>
      </w:r>
    </w:p>
    <w:p w14:paraId="1A5A3370">
      <w:pPr>
        <w:spacing w:line="360" w:lineRule="auto"/>
        <w:jc w:val="center"/>
        <w:rPr>
          <w:rFonts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质疑函范本</w:t>
      </w:r>
    </w:p>
    <w:p w14:paraId="5FF10D80">
      <w:pPr>
        <w:snapToGrid w:val="0"/>
        <w:spacing w:before="319" w:beforeLines="10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65410593">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4D1A8CB8">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  联系人：联系电话：</w:t>
      </w:r>
    </w:p>
    <w:p w14:paraId="53EABB0B">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联系电话：</w:t>
      </w:r>
    </w:p>
    <w:p w14:paraId="667AE593">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453475FA">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51E557AE">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309CD454">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07F90065">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416C7913">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招标文件获取日期：</w:t>
      </w:r>
    </w:p>
    <w:p w14:paraId="2735FF76">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三、质疑事项具体内容</w:t>
      </w:r>
    </w:p>
    <w:p w14:paraId="0323FE27">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1DA8E78E">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09292C1D">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2862FEC2">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1F57330">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0DF3D6A">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9387D03">
      <w:pPr>
        <w:snapToGrid w:val="0"/>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76455BF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9FCF33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4C99760">
      <w:pPr>
        <w:spacing w:line="360" w:lineRule="auto"/>
        <w:jc w:val="center"/>
        <w:rPr>
          <w:rFonts w:ascii="宋体" w:hAnsi="宋体" w:eastAsia="宋体" w:cs="宋体"/>
          <w:b/>
          <w:bCs/>
          <w:color w:val="auto"/>
          <w:sz w:val="24"/>
          <w:szCs w:val="24"/>
          <w:highlight w:val="none"/>
        </w:rPr>
      </w:pPr>
    </w:p>
    <w:p w14:paraId="2A8BC002">
      <w:pPr>
        <w:keepNext/>
        <w:keepLines/>
        <w:spacing w:before="260" w:after="260" w:line="415" w:lineRule="auto"/>
        <w:outlineLvl w:val="1"/>
        <w:rPr>
          <w:rFonts w:ascii="宋体" w:hAnsi="宋体" w:eastAsia="宋体" w:cs="宋体"/>
          <w:b/>
          <w:bCs/>
          <w:color w:val="auto"/>
          <w:kern w:val="0"/>
          <w:sz w:val="24"/>
          <w:szCs w:val="24"/>
          <w:highlight w:val="none"/>
        </w:rPr>
      </w:pPr>
    </w:p>
    <w:p w14:paraId="657CCFFD">
      <w:pPr>
        <w:rPr>
          <w:rFonts w:ascii="宋体" w:hAnsi="宋体" w:eastAsia="宋体" w:cs="宋体"/>
          <w:b/>
          <w:bCs/>
          <w:color w:val="auto"/>
          <w:sz w:val="24"/>
          <w:szCs w:val="24"/>
          <w:highlight w:val="none"/>
        </w:rPr>
      </w:pPr>
    </w:p>
    <w:p w14:paraId="67259763">
      <w:pPr>
        <w:rPr>
          <w:rFonts w:ascii="宋体" w:hAnsi="宋体" w:eastAsia="宋体" w:cs="宋体"/>
          <w:b/>
          <w:bCs/>
          <w:color w:val="auto"/>
          <w:sz w:val="24"/>
          <w:szCs w:val="24"/>
          <w:highlight w:val="none"/>
        </w:rPr>
      </w:pPr>
    </w:p>
    <w:p w14:paraId="50D42E7D">
      <w:pPr>
        <w:spacing w:line="360" w:lineRule="auto"/>
        <w:rPr>
          <w:rFonts w:ascii="宋体" w:hAnsi="宋体" w:eastAsia="宋体" w:cs="宋体"/>
          <w:b/>
          <w:bCs/>
          <w:color w:val="auto"/>
          <w:sz w:val="24"/>
          <w:szCs w:val="24"/>
          <w:highlight w:val="none"/>
        </w:rPr>
      </w:pPr>
    </w:p>
    <w:p w14:paraId="345FCE7D">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质疑函制作说明：</w:t>
      </w:r>
    </w:p>
    <w:p w14:paraId="59D7AC6B">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0CBA687">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C9BB53">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30C7301C">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081FFB27">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50647DB6">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6.质疑供应商为自然人的，质疑函应由本人签字；质疑供应商为法人或者其他组织的，质疑函应由法定代表人、主要负责人，或者其授权代表签字或者盖章，并电子签章。</w:t>
      </w:r>
    </w:p>
    <w:p w14:paraId="18045FAD">
      <w:pPr>
        <w:widowControl/>
        <w:spacing w:line="360" w:lineRule="auto"/>
        <w:ind w:firstLine="600" w:firstLineChars="200"/>
        <w:jc w:val="left"/>
        <w:rPr>
          <w:rFonts w:ascii="宋体" w:hAnsi="宋体" w:eastAsia="宋体" w:cs="宋体"/>
          <w:color w:val="auto"/>
          <w:sz w:val="30"/>
          <w:szCs w:val="30"/>
          <w:highlight w:val="none"/>
        </w:rPr>
      </w:pPr>
    </w:p>
    <w:p w14:paraId="24CE0456">
      <w:pPr>
        <w:spacing w:line="360" w:lineRule="auto"/>
        <w:jc w:val="center"/>
        <w:rPr>
          <w:rFonts w:ascii="宋体" w:hAnsi="宋体" w:eastAsia="宋体" w:cs="宋体"/>
          <w:b/>
          <w:bCs/>
          <w:color w:val="auto"/>
          <w:spacing w:val="6"/>
          <w:sz w:val="32"/>
          <w:szCs w:val="32"/>
          <w:highlight w:val="none"/>
        </w:rPr>
      </w:pPr>
    </w:p>
    <w:p w14:paraId="2444B061">
      <w:pPr>
        <w:spacing w:line="360" w:lineRule="auto"/>
        <w:jc w:val="center"/>
        <w:rPr>
          <w:rFonts w:ascii="宋体" w:hAnsi="宋体" w:eastAsia="宋体" w:cs="宋体"/>
          <w:b/>
          <w:bCs/>
          <w:color w:val="auto"/>
          <w:spacing w:val="6"/>
          <w:sz w:val="32"/>
          <w:szCs w:val="32"/>
          <w:highlight w:val="none"/>
        </w:rPr>
      </w:pPr>
    </w:p>
    <w:p w14:paraId="0CFCA40E">
      <w:pPr>
        <w:spacing w:line="360" w:lineRule="auto"/>
        <w:jc w:val="center"/>
        <w:rPr>
          <w:rFonts w:ascii="宋体" w:hAnsi="宋体" w:eastAsia="宋体" w:cs="宋体"/>
          <w:b/>
          <w:bCs/>
          <w:color w:val="auto"/>
          <w:spacing w:val="6"/>
          <w:sz w:val="32"/>
          <w:szCs w:val="32"/>
          <w:highlight w:val="none"/>
        </w:rPr>
      </w:pPr>
    </w:p>
    <w:p w14:paraId="43F62321">
      <w:pPr>
        <w:spacing w:line="360" w:lineRule="auto"/>
        <w:jc w:val="center"/>
        <w:rPr>
          <w:rFonts w:ascii="宋体" w:hAnsi="宋体" w:eastAsia="宋体" w:cs="宋体"/>
          <w:b/>
          <w:bCs/>
          <w:color w:val="auto"/>
          <w:spacing w:val="6"/>
          <w:sz w:val="32"/>
          <w:szCs w:val="32"/>
          <w:highlight w:val="none"/>
        </w:rPr>
      </w:pPr>
    </w:p>
    <w:p w14:paraId="0A241D6E">
      <w:pPr>
        <w:spacing w:line="360" w:lineRule="auto"/>
        <w:jc w:val="center"/>
        <w:rPr>
          <w:rFonts w:ascii="宋体" w:hAnsi="宋体" w:eastAsia="宋体" w:cs="宋体"/>
          <w:b/>
          <w:bCs/>
          <w:color w:val="auto"/>
          <w:spacing w:val="6"/>
          <w:sz w:val="32"/>
          <w:szCs w:val="32"/>
          <w:highlight w:val="none"/>
        </w:rPr>
      </w:pPr>
    </w:p>
    <w:p w14:paraId="4046A7C1">
      <w:pPr>
        <w:spacing w:line="360" w:lineRule="auto"/>
        <w:jc w:val="center"/>
        <w:rPr>
          <w:rFonts w:ascii="宋体" w:hAnsi="宋体" w:eastAsia="宋体" w:cs="宋体"/>
          <w:b/>
          <w:bCs/>
          <w:color w:val="auto"/>
          <w:spacing w:val="6"/>
          <w:sz w:val="32"/>
          <w:szCs w:val="32"/>
          <w:highlight w:val="none"/>
        </w:rPr>
      </w:pPr>
    </w:p>
    <w:p w14:paraId="1C41B126">
      <w:pPr>
        <w:spacing w:line="360" w:lineRule="auto"/>
        <w:jc w:val="center"/>
        <w:rPr>
          <w:rFonts w:ascii="宋体" w:hAnsi="宋体" w:eastAsia="宋体" w:cs="宋体"/>
          <w:b/>
          <w:bCs/>
          <w:color w:val="auto"/>
          <w:spacing w:val="6"/>
          <w:sz w:val="32"/>
          <w:szCs w:val="32"/>
          <w:highlight w:val="none"/>
        </w:rPr>
      </w:pPr>
    </w:p>
    <w:p w14:paraId="55E6808A">
      <w:pPr>
        <w:spacing w:line="360" w:lineRule="auto"/>
        <w:jc w:val="center"/>
        <w:rPr>
          <w:rFonts w:ascii="宋体" w:hAnsi="宋体" w:eastAsia="宋体" w:cs="宋体"/>
          <w:b/>
          <w:bCs/>
          <w:color w:val="auto"/>
          <w:spacing w:val="6"/>
          <w:sz w:val="32"/>
          <w:szCs w:val="32"/>
          <w:highlight w:val="none"/>
        </w:rPr>
      </w:pPr>
    </w:p>
    <w:p w14:paraId="74457F4D">
      <w:pPr>
        <w:spacing w:line="360" w:lineRule="auto"/>
        <w:jc w:val="center"/>
        <w:rPr>
          <w:rFonts w:ascii="宋体" w:hAnsi="宋体" w:eastAsia="宋体" w:cs="宋体"/>
          <w:b/>
          <w:bCs/>
          <w:color w:val="auto"/>
          <w:spacing w:val="6"/>
          <w:sz w:val="32"/>
          <w:szCs w:val="32"/>
          <w:highlight w:val="none"/>
        </w:rPr>
      </w:pPr>
    </w:p>
    <w:p w14:paraId="1A3921D1">
      <w:pPr>
        <w:spacing w:line="360" w:lineRule="auto"/>
        <w:jc w:val="center"/>
        <w:rPr>
          <w:rFonts w:ascii="宋体" w:hAnsi="宋体" w:eastAsia="宋体" w:cs="宋体"/>
          <w:b/>
          <w:bCs/>
          <w:color w:val="auto"/>
          <w:spacing w:val="6"/>
          <w:sz w:val="32"/>
          <w:szCs w:val="32"/>
          <w:highlight w:val="none"/>
        </w:rPr>
      </w:pPr>
    </w:p>
    <w:p w14:paraId="1445EC99">
      <w:pPr>
        <w:spacing w:line="360" w:lineRule="auto"/>
        <w:jc w:val="left"/>
        <w:rPr>
          <w:rFonts w:ascii="宋体" w:hAnsi="宋体" w:eastAsia="宋体" w:cs="宋体"/>
          <w:b/>
          <w:bCs/>
          <w:color w:val="auto"/>
          <w:spacing w:val="6"/>
          <w:sz w:val="32"/>
          <w:szCs w:val="32"/>
          <w:highlight w:val="none"/>
        </w:rPr>
      </w:pPr>
    </w:p>
    <w:p w14:paraId="0E8491EC">
      <w:pPr>
        <w:spacing w:line="360" w:lineRule="auto"/>
        <w:jc w:val="left"/>
        <w:rPr>
          <w:rFonts w:ascii="宋体" w:hAnsi="宋体" w:eastAsia="宋体" w:cs="宋体"/>
          <w:b/>
          <w:bCs/>
          <w:color w:val="auto"/>
          <w:spacing w:val="6"/>
          <w:sz w:val="32"/>
          <w:szCs w:val="32"/>
          <w:highlight w:val="none"/>
        </w:rPr>
      </w:pPr>
    </w:p>
    <w:p w14:paraId="38A271A2">
      <w:pPr>
        <w:spacing w:line="360" w:lineRule="auto"/>
        <w:jc w:val="left"/>
        <w:rPr>
          <w:rFonts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附件2：投诉书范本及制作说明</w:t>
      </w:r>
    </w:p>
    <w:p w14:paraId="18C0087E">
      <w:pPr>
        <w:spacing w:line="360" w:lineRule="auto"/>
        <w:jc w:val="center"/>
        <w:rPr>
          <w:rFonts w:ascii="宋体" w:hAnsi="宋体" w:eastAsia="宋体" w:cs="宋体"/>
          <w:b/>
          <w:bCs/>
          <w:color w:val="auto"/>
          <w:sz w:val="24"/>
          <w:szCs w:val="24"/>
          <w:highlight w:val="none"/>
        </w:rPr>
      </w:pPr>
    </w:p>
    <w:p w14:paraId="4FAD0E79">
      <w:pPr>
        <w:spacing w:line="360" w:lineRule="auto"/>
        <w:jc w:val="center"/>
        <w:rPr>
          <w:rFonts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投诉书范本</w:t>
      </w:r>
    </w:p>
    <w:p w14:paraId="6DF21ED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00D0330">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p>
    <w:p w14:paraId="2E168792">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址：邮编：</w:t>
      </w:r>
    </w:p>
    <w:p w14:paraId="08D0EE51">
      <w:pPr>
        <w:tabs>
          <w:tab w:val="left" w:pos="6510"/>
        </w:tabs>
        <w:spacing w:line="360" w:lineRule="auto"/>
        <w:jc w:val="lef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法定代表人/主要负责人：      联系电话：</w:t>
      </w:r>
    </w:p>
    <w:p w14:paraId="1A889E48">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授权代表：联系电话</w:t>
      </w:r>
      <w:r>
        <w:rPr>
          <w:rFonts w:hint="eastAsia" w:ascii="宋体" w:hAnsi="宋体" w:eastAsia="宋体" w:cs="宋体"/>
          <w:color w:val="auto"/>
          <w:sz w:val="24"/>
          <w:szCs w:val="24"/>
          <w:highlight w:val="none"/>
          <w:u w:val="dotted"/>
        </w:rPr>
        <w:t xml:space="preserve">：                  </w:t>
      </w:r>
    </w:p>
    <w:p w14:paraId="5C09B5E8">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址：邮编：</w:t>
      </w:r>
    </w:p>
    <w:p w14:paraId="62AD14D1">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p>
    <w:p w14:paraId="469E8CAC">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址：邮编：</w:t>
      </w:r>
    </w:p>
    <w:p w14:paraId="2733ABA2">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联系人：联系电话：</w:t>
      </w:r>
    </w:p>
    <w:p w14:paraId="632C094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7C7DE2AB">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C9CB1AA">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p>
    <w:p w14:paraId="10263FDC">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址：邮编：</w:t>
      </w:r>
    </w:p>
    <w:p w14:paraId="254D0350">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联系人：联系电话：</w:t>
      </w:r>
    </w:p>
    <w:p w14:paraId="1B4A1D9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3DBD9BB2">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p>
    <w:p w14:paraId="06559BED">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采购项目编号：包号：</w:t>
      </w:r>
    </w:p>
    <w:p w14:paraId="0C93CF6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44411683">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p>
    <w:p w14:paraId="370B31BD">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招标文件公告: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p>
    <w:p w14:paraId="302B98DC">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p>
    <w:p w14:paraId="488534D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0F32680C">
      <w:pPr>
        <w:spacing w:line="360" w:lineRule="auto"/>
        <w:ind w:firstLine="480" w:firstLineChars="200"/>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投诉人于年月日,向提出质疑，质疑事项为：</w:t>
      </w:r>
    </w:p>
    <w:p w14:paraId="528B3E0B">
      <w:pPr>
        <w:spacing w:line="360" w:lineRule="auto"/>
        <w:ind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于年月日,就质疑事项作出了答复/没有在法定期限内作出答复。</w:t>
      </w:r>
    </w:p>
    <w:p w14:paraId="0A3B8D3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784EB55">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p>
    <w:p w14:paraId="7F9C5C78">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p>
    <w:p w14:paraId="267071B3">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3085931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14246792">
      <w:pPr>
        <w:spacing w:line="360" w:lineRule="auto"/>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73E7F1F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99BA04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29BF88EC">
      <w:pPr>
        <w:spacing w:line="360" w:lineRule="auto"/>
        <w:rPr>
          <w:rFonts w:ascii="宋体" w:hAnsi="宋体" w:eastAsia="宋体" w:cs="宋体"/>
          <w:color w:val="auto"/>
          <w:sz w:val="24"/>
          <w:szCs w:val="24"/>
          <w:highlight w:val="none"/>
          <w:u w:val="single"/>
        </w:rPr>
      </w:pPr>
    </w:p>
    <w:p w14:paraId="22BD948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w:t>
      </w:r>
      <w:r>
        <w:rPr>
          <w:rFonts w:hint="eastAsia" w:ascii="宋体" w:hAnsi="宋体" w:eastAsia="宋体" w:cs="宋体"/>
          <w:color w:val="auto"/>
          <w:sz w:val="24"/>
          <w:szCs w:val="21"/>
          <w:highlight w:val="none"/>
        </w:rPr>
        <w:t>电子签章</w:t>
      </w:r>
      <w:r>
        <w:rPr>
          <w:rFonts w:hint="eastAsia" w:ascii="宋体" w:hAnsi="宋体" w:eastAsia="宋体" w:cs="宋体"/>
          <w:color w:val="auto"/>
          <w:sz w:val="24"/>
          <w:szCs w:val="24"/>
          <w:highlight w:val="none"/>
        </w:rPr>
        <w:t xml:space="preserve">：                      </w:t>
      </w:r>
    </w:p>
    <w:p w14:paraId="233D0F48">
      <w:pPr>
        <w:spacing w:line="36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日期：    </w:t>
      </w:r>
    </w:p>
    <w:p w14:paraId="6CF133FA">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投诉书制作说明：</w:t>
      </w:r>
    </w:p>
    <w:p w14:paraId="7F24F256">
      <w:pPr>
        <w:widowControl/>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1F20A8B1">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0AB5E947">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67387758">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304B9172">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22C312A5">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689E5AB1">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7.投诉人为自然人的，投诉书应当由本人签字；投诉人为法人或者其他组织的，投诉书应当由法定代表人、主要负责人，或者其授权代表签字或者盖章，并电子签章。</w:t>
      </w:r>
    </w:p>
    <w:p w14:paraId="0FB07C52">
      <w:pPr>
        <w:keepNext/>
        <w:keepLines/>
        <w:spacing w:before="260" w:after="260" w:line="415" w:lineRule="auto"/>
        <w:outlineLvl w:val="1"/>
        <w:rPr>
          <w:rFonts w:ascii="Cambria" w:hAnsi="Cambria" w:eastAsia="宋体" w:cs="Times New Roman"/>
          <w:b/>
          <w:bCs/>
          <w:color w:val="auto"/>
          <w:kern w:val="0"/>
          <w:sz w:val="32"/>
          <w:szCs w:val="32"/>
          <w:highlight w:val="none"/>
        </w:rPr>
      </w:pPr>
    </w:p>
    <w:p w14:paraId="044306E9">
      <w:pPr>
        <w:rPr>
          <w:color w:val="auto"/>
          <w:highlight w:val="none"/>
        </w:rPr>
      </w:pPr>
    </w:p>
    <w:p w14:paraId="71C2FD6C">
      <w:pPr>
        <w:rPr>
          <w:color w:val="auto"/>
          <w:highlight w:val="none"/>
        </w:rPr>
      </w:pPr>
    </w:p>
    <w:sectPr>
      <w:headerReference r:id="rId10" w:type="default"/>
      <w:footerReference r:id="rId11" w:type="default"/>
      <w:pgSz w:w="11906" w:h="16838"/>
      <w:pgMar w:top="1440" w:right="1803" w:bottom="1440" w:left="1803" w:header="930"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D6E9">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FC2F4D7">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AFjHCRCgIAAAEEAAAOAAAAAAAAAAEAIAAAAB8BAABk&#10;cnMvZTJvRG9jLnhtbFBLBQYAAAAABgAGAFkBAACbBQAAAAA=&#10;">
              <v:fill on="f" focussize="0,0"/>
              <v:stroke on="f"/>
              <v:imagedata o:title=""/>
              <o:lock v:ext="edit" aspectratio="f"/>
              <v:textbox inset="0mm,0mm,0mm,0mm" style="mso-fit-shape-to-text:t;">
                <w:txbxContent>
                  <w:p w14:paraId="7FC2F4D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23C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1"/>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14:paraId="15FB3BC5">
                          <w:pPr>
                            <w:pStyle w:val="4"/>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GW2XQAAAAAgEAAA8AAAAAAAAAAQAgAAAAIgAAAGRycy9kb3ducmV2&#10;LnhtbFBLAQIUABQAAAAIAIdO4kBHmRP+BAIAAPcDAAAOAAAAAAAAAAEAIAAAAB8BAABkcnMvZTJv&#10;RG9jLnhtbFBLBQYAAAAABgAGAFkBAACVBQAAAAA=&#10;">
              <v:fill on="f" focussize="0,0"/>
              <v:stroke on="f"/>
              <v:imagedata o:title=""/>
              <o:lock v:ext="edit" aspectratio="f"/>
              <v:textbox inset="0mm,0mm,0mm,0mm" style="mso-fit-shape-to-text:t;">
                <w:txbxContent>
                  <w:p w14:paraId="15FB3BC5">
                    <w:pPr>
                      <w:pStyle w:val="4"/>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D536">
    <w:pPr>
      <w:pStyle w:val="4"/>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3"/>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a:effectLst/>
                    </wps:spPr>
                    <wps:txbx>
                      <w:txbxContent>
                        <w:p w14:paraId="6C149A46">
                          <w:pPr>
                            <w:pStyle w:val="4"/>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0Op/RAAAAAwEAAA8AAAAAAAAAAQAgAAAAIgAAAGRycy9k&#10;b3ducmV2LnhtbFBLAQIUABQAAAAIAIdO4kAmHgD4CQIAAAYEAAAOAAAAAAAAAAEAIAAAACABAABk&#10;cnMvZTJvRG9jLnhtbFBLBQYAAAAABgAGAFkBAACbBQAAAAA=&#10;">
              <v:fill on="f" focussize="0,0"/>
              <v:stroke on="f"/>
              <v:imagedata o:title=""/>
              <o:lock v:ext="edit" aspectratio="f"/>
              <v:textbox inset="0mm,0mm,0mm,0mm" style="mso-fit-shape-to-text:t;">
                <w:txbxContent>
                  <w:p w14:paraId="6C149A46">
                    <w:pPr>
                      <w:pStyle w:val="4"/>
                    </w:pPr>
                    <w:r>
                      <w:fldChar w:fldCharType="begin"/>
                    </w:r>
                    <w:r>
                      <w:instrText xml:space="preserve"> PAGE  \* MERGEFORMAT </w:instrText>
                    </w:r>
                    <w:r>
                      <w:fldChar w:fldCharType="separate"/>
                    </w:r>
                    <w:r>
                      <w:t>35</w:t>
                    </w:r>
                    <w:r>
                      <w:fldChar w:fldCharType="end"/>
                    </w:r>
                  </w:p>
                </w:txbxContent>
              </v:textbox>
            </v:rect>
          </w:pict>
        </mc:Fallback>
      </mc:AlternateContent>
    </w:r>
  </w:p>
  <w:p w14:paraId="5553AF14">
    <w:pPr>
      <w:rPr>
        <w:rFonts w:ascii="仿宋_GB2312" w:eastAsia="仿宋_GB2312"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CBB7">
    <w:pPr>
      <w:pStyle w:val="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0226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14:paraId="2FCBDC5E">
                          <w:pPr>
                            <w:pStyle w:val="4"/>
                            <w:jc w:val="center"/>
                          </w:pPr>
                        </w:p>
                        <w:p w14:paraId="2042F5BC"/>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23.8pt;width:9.05pt;mso-position-horizontal:center;mso-position-horizontal-relative:margin;mso-wrap-style:none;z-index:251663360;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uWJ0QAAAAMBAAAPAAAAAAAAAAEAIAAAACIAAABkcnMv&#10;ZG93bnJldi54bWxQSwECFAAUAAAACACHTuJAgK8XIwoCAAACBAAADgAAAAAAAAABACAAAAAgAQAA&#10;ZHJzL2Uyb0RvYy54bWxQSwUGAAAAAAYABgBZAQAAnAUAAAAA&#10;">
              <v:fill on="f" focussize="0,0"/>
              <v:stroke on="f"/>
              <v:imagedata o:title=""/>
              <o:lock v:ext="edit" aspectratio="f"/>
              <v:textbox inset="0mm,0mm,0mm,0mm" style="mso-fit-shape-to-text:t;">
                <w:txbxContent>
                  <w:p w14:paraId="2FCBDC5E">
                    <w:pPr>
                      <w:pStyle w:val="4"/>
                      <w:jc w:val="center"/>
                    </w:pPr>
                  </w:p>
                  <w:p w14:paraId="2042F5BC"/>
                </w:txbxContent>
              </v:textbox>
            </v:shape>
          </w:pict>
        </mc:Fallback>
      </mc:AlternateContent>
    </w:r>
  </w:p>
  <w:p w14:paraId="7E31C1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5E5F">
    <w:pPr>
      <w:pStyle w:val="4"/>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302260"/>
              <wp:effectExtent l="0" t="0" r="0"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14:paraId="4765B36D">
                          <w:pPr>
                            <w:pStyle w:val="4"/>
                            <w:jc w:val="center"/>
                          </w:pPr>
                        </w:p>
                        <w:p w14:paraId="34B251A2"/>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23.8pt;width:9.05pt;mso-position-horizontal:center;mso-position-horizontal-relative:margin;mso-wrap-style:none;z-index:25166438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blidEAAAADAQAADwAAAAAAAAABACAAAAAiAAAAZHJz&#10;L2Rvd25yZXYueG1sUEsBAhQAFAAAAAgAh07iQPgapGELAgAAAgQAAA4AAAAAAAAAAQAgAAAAIAEA&#10;AGRycy9lMm9Eb2MueG1sUEsFBgAAAAAGAAYAWQEAAJ0FAAAAAA==&#10;">
              <v:fill on="f" focussize="0,0"/>
              <v:stroke on="f"/>
              <v:imagedata o:title=""/>
              <o:lock v:ext="edit" aspectratio="f"/>
              <v:textbox inset="0mm,0mm,0mm,0mm" style="mso-fit-shape-to-text:t;">
                <w:txbxContent>
                  <w:p w14:paraId="4765B36D">
                    <w:pPr>
                      <w:pStyle w:val="4"/>
                      <w:jc w:val="center"/>
                    </w:pPr>
                  </w:p>
                  <w:p w14:paraId="34B251A2"/>
                </w:txbxContent>
              </v:textbox>
            </v:shape>
          </w:pict>
        </mc:Fallback>
      </mc:AlternateContent>
    </w:r>
  </w:p>
  <w:p w14:paraId="1F45A1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B887">
    <w:pPr>
      <w:pStyle w:val="4"/>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29"/>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a:effectLst/>
                    </wps:spPr>
                    <wps:txbx>
                      <w:txbxContent>
                        <w:p w14:paraId="7E661F68">
                          <w:pPr>
                            <w:pStyle w:val="4"/>
                          </w:pPr>
                          <w:r>
                            <w:fldChar w:fldCharType="begin"/>
                          </w:r>
                          <w:r>
                            <w:instrText xml:space="preserve"> PAGE  \* MERGEFORMAT </w:instrText>
                          </w:r>
                          <w:r>
                            <w:fldChar w:fldCharType="separate"/>
                          </w:r>
                          <w:r>
                            <w:t>71</w:t>
                          </w:r>
                          <w:r>
                            <w:fldChar w:fldCharType="end"/>
                          </w:r>
                        </w:p>
                      </w:txbxContent>
                    </wps:txbx>
                    <wps:bodyPr rot="0" vert="horz" wrap="none" lIns="0" tIns="0" rIns="0" bIns="0" anchor="t" anchorCtr="0" upright="1">
                      <a:spAutoFit/>
                    </wps:bodyPr>
                  </wps:wsp>
                </a:graphicData>
              </a:graphic>
            </wp:anchor>
          </w:drawing>
        </mc:Choice>
        <mc:Fallback>
          <w:pict>
            <v:rect id="文本框 1029"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XQ6n9EAAAADAQAADwAAAAAAAAABACAAAAAiAAAAZHJz&#10;L2Rvd25yZXYueG1sUEsBAhQAFAAAAAgAh07iQPmNOgcLAgAACQQAAA4AAAAAAAAAAQAgAAAAIAEA&#10;AGRycy9lMm9Eb2MueG1sUEsFBgAAAAAGAAYAWQEAAJ0FAAAAAA==&#10;">
              <v:fill on="f" focussize="0,0"/>
              <v:stroke on="f"/>
              <v:imagedata o:title=""/>
              <o:lock v:ext="edit" aspectratio="f"/>
              <v:textbox inset="0mm,0mm,0mm,0mm" style="mso-fit-shape-to-text:t;">
                <w:txbxContent>
                  <w:p w14:paraId="7E661F68">
                    <w:pPr>
                      <w:pStyle w:val="4"/>
                    </w:pPr>
                    <w:r>
                      <w:fldChar w:fldCharType="begin"/>
                    </w:r>
                    <w:r>
                      <w:instrText xml:space="preserve"> PAGE  \* MERGEFORMAT </w:instrText>
                    </w:r>
                    <w:r>
                      <w:fldChar w:fldCharType="separate"/>
                    </w:r>
                    <w:r>
                      <w:t>71</w:t>
                    </w:r>
                    <w:r>
                      <w:fldChar w:fldCharType="end"/>
                    </w:r>
                  </w:p>
                </w:txbxContent>
              </v:textbox>
            </v:rect>
          </w:pict>
        </mc:Fallback>
      </mc:AlternateContent>
    </w:r>
  </w:p>
  <w:p w14:paraId="5E26B605">
    <w:pPr>
      <w:rPr>
        <w:rFonts w:ascii="仿宋_GB2312" w:eastAsia="仿宋_GB2312"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D04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358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4A3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A4589"/>
    <w:multiLevelType w:val="singleLevel"/>
    <w:tmpl w:val="8B4A4589"/>
    <w:lvl w:ilvl="0" w:tentative="0">
      <w:start w:val="3"/>
      <w:numFmt w:val="chineseCounting"/>
      <w:suff w:val="nothing"/>
      <w:lvlText w:val="%1、"/>
      <w:lvlJc w:val="left"/>
      <w:rPr>
        <w:rFonts w:hint="eastAsia"/>
      </w:rPr>
    </w:lvl>
  </w:abstractNum>
  <w:abstractNum w:abstractNumId="1">
    <w:nsid w:val="DBD7221D"/>
    <w:multiLevelType w:val="singleLevel"/>
    <w:tmpl w:val="DBD7221D"/>
    <w:lvl w:ilvl="0" w:tentative="0">
      <w:start w:val="1"/>
      <w:numFmt w:val="decimal"/>
      <w:suff w:val="nothing"/>
      <w:lvlText w:val="%1、"/>
      <w:lvlJc w:val="left"/>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3">
    <w:nsid w:val="0C7F23B8"/>
    <w:multiLevelType w:val="multilevel"/>
    <w:tmpl w:val="0C7F23B8"/>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E1434F"/>
    <w:multiLevelType w:val="singleLevel"/>
    <w:tmpl w:val="21E1434F"/>
    <w:lvl w:ilvl="0" w:tentative="0">
      <w:start w:val="1"/>
      <w:numFmt w:val="decimal"/>
      <w:suff w:val="nothing"/>
      <w:lvlText w:val="（%1）"/>
      <w:lvlJc w:val="left"/>
    </w:lvl>
  </w:abstractNum>
  <w:abstractNum w:abstractNumId="5">
    <w:nsid w:val="4D7BE85D"/>
    <w:multiLevelType w:val="singleLevel"/>
    <w:tmpl w:val="4D7BE85D"/>
    <w:lvl w:ilvl="0" w:tentative="0">
      <w:start w:val="1"/>
      <w:numFmt w:val="decimal"/>
      <w:lvlText w:val="%1."/>
      <w:lvlJc w:val="left"/>
      <w:pPr>
        <w:tabs>
          <w:tab w:val="left" w:pos="312"/>
        </w:tabs>
      </w:pPr>
    </w:lvl>
  </w:abstractNum>
  <w:abstractNum w:abstractNumId="6">
    <w:nsid w:val="61CEF98B"/>
    <w:multiLevelType w:val="singleLevel"/>
    <w:tmpl w:val="61CEF98B"/>
    <w:lvl w:ilvl="0" w:tentative="0">
      <w:start w:val="4"/>
      <w:numFmt w:val="chineseCounting"/>
      <w:suff w:val="nothing"/>
      <w:lvlText w:val="%1、"/>
      <w:lvlJc w:val="left"/>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MmRmN2ZhMTljZDAzMDMwNjdhNzVjZWExMDg1ZjMifQ=="/>
  </w:docVars>
  <w:rsids>
    <w:rsidRoot w:val="26B2276B"/>
    <w:rsid w:val="013E2686"/>
    <w:rsid w:val="01C25065"/>
    <w:rsid w:val="0C656E60"/>
    <w:rsid w:val="12633048"/>
    <w:rsid w:val="2699073B"/>
    <w:rsid w:val="26B2276B"/>
    <w:rsid w:val="299A76E6"/>
    <w:rsid w:val="2D0856E1"/>
    <w:rsid w:val="360D3E1D"/>
    <w:rsid w:val="6DA712CF"/>
    <w:rsid w:val="6E5102A3"/>
    <w:rsid w:val="70353A99"/>
    <w:rsid w:val="75310107"/>
    <w:rsid w:val="773307B1"/>
    <w:rsid w:val="779B5BC9"/>
    <w:rsid w:val="79C63C31"/>
    <w:rsid w:val="7D90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suppressLineNumbers w:val="0"/>
      <w:spacing w:before="260" w:beforeAutospacing="0" w:after="260" w:afterAutospacing="0" w:line="415" w:lineRule="auto"/>
      <w:ind w:left="0" w:right="0"/>
      <w:jc w:val="left"/>
      <w:outlineLvl w:val="1"/>
    </w:pPr>
    <w:rPr>
      <w:rFonts w:hint="default" w:ascii="Cambria" w:hAnsi="Cambria" w:eastAsia="宋体" w:cs="Times New Roman"/>
      <w:b/>
      <w:bCs/>
      <w:kern w:val="0"/>
      <w:sz w:val="32"/>
      <w:szCs w:val="3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pPr>
      <w:jc w:val="left"/>
    </w:pPr>
    <w:rPr>
      <w:rFonts w:ascii="Calibri" w:hAnsi="Calibri" w:eastAsia="宋体" w:cs="Times New Roman"/>
      <w:kern w:val="0"/>
      <w:sz w:val="20"/>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0"/>
      <w:szCs w:val="20"/>
      <w:lang w:val="en-US" w:eastAsia="zh-CN" w:bidi="ar"/>
    </w:rPr>
  </w:style>
  <w:style w:type="paragraph" w:customStyle="1" w:styleId="9">
    <w:name w:val="CM11"/>
    <w:basedOn w:val="10"/>
    <w:uiPriority w:val="0"/>
    <w:pPr>
      <w:keepNext w:val="0"/>
      <w:keepLines w:val="0"/>
      <w:widowControl w:val="0"/>
      <w:suppressLineNumbers w:val="0"/>
      <w:autoSpaceDE w:val="0"/>
      <w:autoSpaceDN w:val="0"/>
      <w:adjustRightInd w:val="0"/>
      <w:spacing w:before="0" w:beforeAutospacing="0" w:after="0" w:afterAutospacing="0" w:line="520" w:lineRule="atLeast"/>
      <w:ind w:left="0" w:right="0"/>
      <w:jc w:val="left"/>
    </w:pPr>
    <w:rPr>
      <w:rFonts w:hint="eastAsia" w:ascii="宋体" w:hAnsi="Times New Roman" w:eastAsia="宋体" w:cs="宋体"/>
      <w:color w:val="000000"/>
      <w:kern w:val="0"/>
      <w:sz w:val="24"/>
      <w:szCs w:val="24"/>
      <w:lang w:val="en-US" w:eastAsia="zh-CN" w:bidi="ar"/>
    </w:rPr>
  </w:style>
  <w:style w:type="paragraph" w:customStyle="1" w:styleId="1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25361</Words>
  <Characters>27002</Characters>
  <Lines>0</Lines>
  <Paragraphs>0</Paragraphs>
  <TotalTime>5</TotalTime>
  <ScaleCrop>false</ScaleCrop>
  <LinksUpToDate>false</LinksUpToDate>
  <CharactersWithSpaces>28324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2024-11-12T01:02:00Z</dcterms:created>
  <dc:creator>七</dc:creator>
  <cp:lastModifiedBy>七</cp:lastModifiedBy>
  <dcterms:modified xsi:type="dcterms:W3CDTF">2024-11-29T08:30:21Z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F18D65D0825B485BBBB29691573830BD_11</vt:lpwstr>
  </property>
</Properties>
</file>