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13307">
      <w:pPr>
        <w:spacing w:line="360" w:lineRule="auto"/>
        <w:jc w:val="center"/>
        <w:rPr>
          <w:rFonts w:hint="eastAsia" w:ascii="宋体" w:hAnsi="宋体" w:cs="宋体"/>
          <w:b/>
          <w:color w:val="auto"/>
          <w:sz w:val="48"/>
          <w:szCs w:val="48"/>
          <w:highlight w:val="none"/>
          <w:shd w:val="clear" w:color="auto" w:fill="FFFFFF"/>
          <w:lang w:eastAsia="zh-CN"/>
        </w:rPr>
      </w:pPr>
      <w:r>
        <w:rPr>
          <w:rFonts w:hint="eastAsia" w:ascii="宋体" w:hAnsi="宋体" w:cs="宋体"/>
          <w:b/>
          <w:color w:val="auto"/>
          <w:sz w:val="48"/>
          <w:szCs w:val="48"/>
          <w:highlight w:val="none"/>
          <w:shd w:val="clear" w:color="auto" w:fill="FFFFFF"/>
          <w:lang w:eastAsia="zh-CN"/>
        </w:rPr>
        <w:t>嘉兴市公安局南湖区分局2025年度DP</w:t>
      </w:r>
    </w:p>
    <w:p w14:paraId="5AAE1E48">
      <w:pPr>
        <w:spacing w:line="360" w:lineRule="auto"/>
        <w:jc w:val="center"/>
        <w:rPr>
          <w:rFonts w:hint="eastAsia" w:ascii="宋体" w:hAnsi="宋体" w:eastAsia="宋体" w:cs="宋体"/>
          <w:b/>
          <w:color w:val="auto"/>
          <w:sz w:val="48"/>
          <w:szCs w:val="48"/>
          <w:highlight w:val="none"/>
          <w:shd w:val="clear" w:color="auto" w:fill="FFFFFF"/>
          <w:lang w:eastAsia="zh-CN"/>
        </w:rPr>
      </w:pPr>
      <w:r>
        <w:rPr>
          <w:rFonts w:hint="eastAsia" w:ascii="宋体" w:hAnsi="宋体" w:eastAsia="宋体" w:cs="宋体"/>
          <w:b/>
          <w:color w:val="auto"/>
          <w:sz w:val="48"/>
          <w:szCs w:val="48"/>
          <w:highlight w:val="none"/>
          <w:shd w:val="clear" w:color="auto" w:fill="FFFFFF"/>
          <w:lang w:eastAsia="zh-CN"/>
        </w:rPr>
        <w:t>试剂耗材（胶体碳）采购项目</w:t>
      </w:r>
    </w:p>
    <w:p w14:paraId="34BA82FC">
      <w:pPr>
        <w:spacing w:line="360" w:lineRule="auto"/>
        <w:ind w:firstLine="643" w:firstLineChars="200"/>
        <w:jc w:val="left"/>
        <w:rPr>
          <w:rFonts w:hint="eastAsia" w:ascii="宋体" w:hAnsi="宋体" w:eastAsia="宋体" w:cs="宋体"/>
          <w:b/>
          <w:bCs/>
          <w:color w:val="auto"/>
          <w:kern w:val="0"/>
          <w:sz w:val="32"/>
          <w:szCs w:val="32"/>
          <w:highlight w:val="none"/>
          <w:shd w:val="clear" w:color="auto" w:fill="FFFFFF"/>
        </w:rPr>
      </w:pPr>
    </w:p>
    <w:p w14:paraId="0E4BA2C2">
      <w:pPr>
        <w:pStyle w:val="80"/>
        <w:rPr>
          <w:rFonts w:hint="eastAsia" w:ascii="宋体" w:hAnsi="宋体" w:eastAsia="宋体" w:cs="宋体"/>
          <w:color w:val="auto"/>
          <w:highlight w:val="none"/>
        </w:rPr>
      </w:pPr>
    </w:p>
    <w:p w14:paraId="726CD3B2">
      <w:pPr>
        <w:pStyle w:val="80"/>
        <w:rPr>
          <w:rFonts w:hint="eastAsia" w:ascii="宋体" w:hAnsi="宋体" w:eastAsia="宋体" w:cs="宋体"/>
          <w:color w:val="auto"/>
          <w:highlight w:val="none"/>
        </w:rPr>
      </w:pPr>
    </w:p>
    <w:p w14:paraId="50FF50DA">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公</w:t>
      </w:r>
    </w:p>
    <w:p w14:paraId="6D64A211">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开</w:t>
      </w:r>
    </w:p>
    <w:p w14:paraId="4681F9B9">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招</w:t>
      </w:r>
    </w:p>
    <w:p w14:paraId="47FCDEB2">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标</w:t>
      </w:r>
    </w:p>
    <w:p w14:paraId="7FBF6D80">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文</w:t>
      </w:r>
    </w:p>
    <w:p w14:paraId="267E912F">
      <w:pPr>
        <w:spacing w:line="276" w:lineRule="auto"/>
        <w:jc w:val="center"/>
        <w:rPr>
          <w:rFonts w:hint="eastAsia" w:ascii="宋体" w:hAnsi="宋体" w:eastAsia="宋体" w:cs="宋体"/>
          <w:b/>
          <w:color w:val="auto"/>
          <w:sz w:val="72"/>
          <w:szCs w:val="72"/>
          <w:highlight w:val="none"/>
          <w:shd w:val="clear" w:color="auto" w:fill="FFFFFF"/>
        </w:rPr>
      </w:pPr>
      <w:r>
        <w:rPr>
          <w:rFonts w:hint="eastAsia" w:ascii="宋体" w:hAnsi="宋体" w:eastAsia="宋体" w:cs="宋体"/>
          <w:b/>
          <w:color w:val="auto"/>
          <w:sz w:val="72"/>
          <w:szCs w:val="72"/>
          <w:highlight w:val="none"/>
          <w:shd w:val="clear" w:color="auto" w:fill="FFFFFF"/>
        </w:rPr>
        <w:t>件</w:t>
      </w:r>
    </w:p>
    <w:p w14:paraId="5240101F">
      <w:pPr>
        <w:spacing w:line="360" w:lineRule="auto"/>
        <w:jc w:val="left"/>
        <w:rPr>
          <w:rFonts w:hint="eastAsia" w:ascii="宋体" w:hAnsi="宋体" w:eastAsia="宋体" w:cs="宋体"/>
          <w:b/>
          <w:bCs/>
          <w:color w:val="auto"/>
          <w:kern w:val="44"/>
          <w:sz w:val="30"/>
          <w:szCs w:val="30"/>
          <w:highlight w:val="none"/>
          <w:shd w:val="clear" w:color="auto" w:fill="FFFFFF"/>
        </w:rPr>
      </w:pPr>
    </w:p>
    <w:p w14:paraId="56B11032">
      <w:pPr>
        <w:pStyle w:val="80"/>
        <w:rPr>
          <w:rFonts w:hint="eastAsia" w:ascii="宋体" w:hAnsi="宋体" w:eastAsia="宋体" w:cs="宋体"/>
          <w:color w:val="auto"/>
          <w:highlight w:val="none"/>
        </w:rPr>
      </w:pPr>
    </w:p>
    <w:p w14:paraId="31EAA3F6">
      <w:pPr>
        <w:pStyle w:val="80"/>
        <w:rPr>
          <w:rFonts w:hint="eastAsia" w:ascii="宋体" w:hAnsi="宋体" w:eastAsia="宋体" w:cs="宋体"/>
          <w:color w:val="auto"/>
          <w:highlight w:val="none"/>
        </w:rPr>
      </w:pPr>
    </w:p>
    <w:p w14:paraId="1BCBB1BC">
      <w:pPr>
        <w:rPr>
          <w:rFonts w:hint="eastAsia" w:ascii="宋体" w:hAnsi="宋体" w:eastAsia="宋体" w:cs="宋体"/>
          <w:color w:val="auto"/>
          <w:highlight w:val="none"/>
        </w:rPr>
      </w:pPr>
    </w:p>
    <w:p w14:paraId="4DFAB3B6">
      <w:pPr>
        <w:spacing w:line="360" w:lineRule="auto"/>
        <w:ind w:firstLine="643" w:firstLineChars="200"/>
        <w:jc w:val="left"/>
        <w:rPr>
          <w:rFonts w:hint="eastAsia" w:ascii="宋体" w:hAnsi="宋体" w:eastAsia="宋体" w:cs="宋体"/>
          <w:b/>
          <w:bCs/>
          <w:color w:val="auto"/>
          <w:kern w:val="0"/>
          <w:sz w:val="32"/>
          <w:szCs w:val="32"/>
          <w:highlight w:val="none"/>
          <w:shd w:val="clear" w:color="auto" w:fill="FFFFFF"/>
          <w:lang w:eastAsia="zh-CN"/>
        </w:rPr>
      </w:pPr>
      <w:r>
        <w:rPr>
          <w:rFonts w:hint="eastAsia" w:ascii="宋体" w:hAnsi="宋体" w:eastAsia="宋体" w:cs="宋体"/>
          <w:b/>
          <w:bCs/>
          <w:color w:val="auto"/>
          <w:kern w:val="0"/>
          <w:sz w:val="32"/>
          <w:szCs w:val="32"/>
          <w:highlight w:val="none"/>
          <w:shd w:val="clear" w:color="auto" w:fill="FFFFFF"/>
        </w:rPr>
        <w:t>项目编号：</w:t>
      </w:r>
      <w:r>
        <w:rPr>
          <w:rFonts w:hint="eastAsia" w:ascii="宋体" w:hAnsi="宋体" w:cs="宋体"/>
          <w:b/>
          <w:bCs/>
          <w:color w:val="auto"/>
          <w:kern w:val="0"/>
          <w:sz w:val="32"/>
          <w:szCs w:val="32"/>
          <w:highlight w:val="none"/>
          <w:shd w:val="clear" w:color="auto" w:fill="FFFFFF"/>
          <w:lang w:eastAsia="zh-CN"/>
        </w:rPr>
        <w:t>中诚-JXZCZX(2025)第03号</w:t>
      </w:r>
    </w:p>
    <w:p w14:paraId="648974BF">
      <w:pPr>
        <w:spacing w:line="360" w:lineRule="auto"/>
        <w:ind w:firstLine="643" w:firstLineChars="200"/>
        <w:jc w:val="left"/>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采购单位：嘉兴市公安局南湖区分局</w:t>
      </w:r>
    </w:p>
    <w:p w14:paraId="62C769FB">
      <w:pPr>
        <w:spacing w:line="360" w:lineRule="auto"/>
        <w:ind w:firstLine="643" w:firstLineChars="200"/>
        <w:jc w:val="left"/>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代理机构：嘉兴市中诚建设咨询有限公司</w:t>
      </w:r>
    </w:p>
    <w:p w14:paraId="55413395">
      <w:pPr>
        <w:pStyle w:val="22"/>
        <w:spacing w:line="360" w:lineRule="auto"/>
        <w:jc w:val="center"/>
        <w:rPr>
          <w:rFonts w:hint="eastAsia" w:ascii="宋体" w:hAnsi="宋体" w:eastAsia="宋体" w:cs="宋体"/>
          <w:b/>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202</w:t>
      </w:r>
      <w:r>
        <w:rPr>
          <w:rFonts w:hint="eastAsia" w:hAnsi="宋体" w:cs="宋体"/>
          <w:b/>
          <w:bCs/>
          <w:color w:val="auto"/>
          <w:sz w:val="32"/>
          <w:szCs w:val="32"/>
          <w:highlight w:val="none"/>
          <w:shd w:val="clear" w:color="auto" w:fill="FFFFFF"/>
          <w:lang w:val="en-US" w:eastAsia="zh-CN"/>
        </w:rPr>
        <w:t>5</w:t>
      </w:r>
      <w:r>
        <w:rPr>
          <w:rFonts w:hint="eastAsia" w:ascii="宋体" w:hAnsi="宋体" w:eastAsia="宋体" w:cs="宋体"/>
          <w:b/>
          <w:bCs/>
          <w:color w:val="auto"/>
          <w:sz w:val="32"/>
          <w:szCs w:val="32"/>
          <w:highlight w:val="none"/>
          <w:shd w:val="clear" w:color="auto" w:fill="FFFFFF"/>
        </w:rPr>
        <w:t>年</w:t>
      </w:r>
      <w:r>
        <w:rPr>
          <w:rFonts w:hint="eastAsia" w:hAnsi="宋体" w:cs="宋体"/>
          <w:b/>
          <w:bCs/>
          <w:color w:val="auto"/>
          <w:sz w:val="32"/>
          <w:szCs w:val="32"/>
          <w:highlight w:val="none"/>
          <w:shd w:val="clear" w:color="auto" w:fill="FFFFFF"/>
          <w:lang w:val="en-US" w:eastAsia="zh-CN"/>
        </w:rPr>
        <w:t>1</w:t>
      </w:r>
      <w:r>
        <w:rPr>
          <w:rFonts w:hint="eastAsia" w:ascii="宋体" w:hAnsi="宋体" w:eastAsia="宋体" w:cs="宋体"/>
          <w:b/>
          <w:bCs/>
          <w:color w:val="auto"/>
          <w:sz w:val="32"/>
          <w:szCs w:val="32"/>
          <w:highlight w:val="none"/>
          <w:shd w:val="clear" w:color="auto" w:fill="FFFFFF"/>
        </w:rPr>
        <w:t>月</w:t>
      </w:r>
      <w:r>
        <w:rPr>
          <w:rFonts w:hint="eastAsia" w:ascii="宋体" w:hAnsi="宋体" w:eastAsia="宋体" w:cs="宋体"/>
          <w:b/>
          <w:color w:val="auto"/>
          <w:sz w:val="48"/>
          <w:szCs w:val="48"/>
          <w:highlight w:val="none"/>
          <w:shd w:val="clear" w:color="auto" w:fill="FFFFFF"/>
        </w:rPr>
        <w:br w:type="page"/>
      </w:r>
      <w:r>
        <w:rPr>
          <w:rFonts w:hint="eastAsia" w:ascii="宋体" w:hAnsi="宋体" w:eastAsia="宋体" w:cs="宋体"/>
          <w:b/>
          <w:color w:val="auto"/>
          <w:sz w:val="48"/>
          <w:szCs w:val="48"/>
          <w:highlight w:val="none"/>
          <w:shd w:val="clear" w:color="auto" w:fill="FFFFFF"/>
        </w:rPr>
        <w:t>目  录</w:t>
      </w:r>
    </w:p>
    <w:p w14:paraId="705D784A">
      <w:pPr>
        <w:pStyle w:val="171"/>
        <w:tabs>
          <w:tab w:val="right" w:leader="dot" w:pos="8312"/>
        </w:tabs>
        <w:spacing w:line="360" w:lineRule="auto"/>
        <w:rPr>
          <w:rFonts w:hint="eastAsia" w:ascii="宋体" w:hAnsi="宋体" w:eastAsia="宋体" w:cs="宋体"/>
          <w:color w:val="auto"/>
          <w:sz w:val="28"/>
          <w:szCs w:val="28"/>
          <w:highlight w:val="none"/>
          <w:shd w:val="clear" w:color="auto" w:fill="FFFFFF"/>
        </w:rPr>
      </w:pPr>
      <w:bookmarkStart w:id="0" w:name="_Toc31930_WPSOffice_Type1"/>
    </w:p>
    <w:p w14:paraId="0D84FBC6">
      <w:pPr>
        <w:pStyle w:val="171"/>
        <w:tabs>
          <w:tab w:val="right" w:leader="dot" w:pos="8312"/>
        </w:tabs>
        <w:spacing w:line="480" w:lineRule="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fldChar w:fldCharType="begin"/>
      </w:r>
      <w:r>
        <w:rPr>
          <w:rFonts w:hint="eastAsia" w:ascii="宋体" w:hAnsi="宋体" w:eastAsia="宋体" w:cs="宋体"/>
          <w:color w:val="auto"/>
          <w:sz w:val="28"/>
          <w:szCs w:val="28"/>
          <w:highlight w:val="none"/>
          <w:shd w:val="clear" w:color="auto" w:fill="FFFFFF"/>
        </w:rPr>
        <w:instrText xml:space="preserve"> HYPERLINK \l _Toc1722_WPSOffice_Level1 </w:instrText>
      </w:r>
      <w:r>
        <w:rPr>
          <w:rFonts w:hint="eastAsia" w:ascii="宋体" w:hAnsi="宋体" w:eastAsia="宋体" w:cs="宋体"/>
          <w:color w:val="auto"/>
          <w:sz w:val="28"/>
          <w:szCs w:val="28"/>
          <w:highlight w:val="none"/>
          <w:shd w:val="clear" w:color="auto" w:fill="FFFFFF"/>
        </w:rPr>
        <w:fldChar w:fldCharType="separate"/>
      </w:r>
      <w:r>
        <w:rPr>
          <w:rFonts w:hint="eastAsia" w:ascii="宋体" w:hAnsi="宋体" w:eastAsia="宋体" w:cs="宋体"/>
          <w:color w:val="auto"/>
          <w:sz w:val="28"/>
          <w:szCs w:val="28"/>
          <w:highlight w:val="none"/>
          <w:shd w:val="clear" w:color="auto" w:fill="FFFFFF"/>
        </w:rPr>
        <w:t>第一章  公开招标采购公告</w:t>
      </w:r>
      <w:bookmarkStart w:id="1" w:name="_Hlt25247105"/>
      <w:bookmarkEnd w:id="1"/>
      <w:bookmarkStart w:id="2" w:name="_Hlt25247104"/>
      <w:bookmarkEnd w:id="2"/>
      <w:r>
        <w:rPr>
          <w:rFonts w:hint="eastAsia" w:ascii="宋体" w:hAnsi="宋体" w:eastAsia="宋体" w:cs="宋体"/>
          <w:color w:val="auto"/>
          <w:sz w:val="28"/>
          <w:szCs w:val="28"/>
          <w:highlight w:val="none"/>
          <w:shd w:val="clear" w:color="auto" w:fill="FFFFFF"/>
        </w:rPr>
        <w:tab/>
      </w:r>
      <w:bookmarkStart w:id="3" w:name="_Hlt40365225"/>
      <w:bookmarkEnd w:id="3"/>
      <w:bookmarkStart w:id="4" w:name="_Toc1722_WPSOffice_Level1Page"/>
      <w:r>
        <w:rPr>
          <w:rFonts w:hint="eastAsia" w:ascii="宋体" w:hAnsi="宋体" w:eastAsia="宋体" w:cs="宋体"/>
          <w:color w:val="auto"/>
          <w:sz w:val="28"/>
          <w:szCs w:val="28"/>
          <w:highlight w:val="none"/>
          <w:shd w:val="clear" w:color="auto" w:fill="FFFFFF"/>
        </w:rPr>
        <w:t>3</w:t>
      </w:r>
      <w:bookmarkEnd w:id="4"/>
      <w:r>
        <w:rPr>
          <w:rFonts w:hint="eastAsia" w:ascii="宋体" w:hAnsi="宋体" w:eastAsia="宋体" w:cs="宋体"/>
          <w:color w:val="auto"/>
          <w:sz w:val="28"/>
          <w:szCs w:val="28"/>
          <w:highlight w:val="none"/>
          <w:shd w:val="clear" w:color="auto" w:fill="FFFFFF"/>
        </w:rPr>
        <w:fldChar w:fldCharType="end"/>
      </w:r>
    </w:p>
    <w:p w14:paraId="01793571">
      <w:pPr>
        <w:pStyle w:val="171"/>
        <w:tabs>
          <w:tab w:val="right" w:leader="dot" w:pos="8312"/>
        </w:tabs>
        <w:spacing w:line="480" w:lineRule="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fldChar w:fldCharType="begin"/>
      </w:r>
      <w:r>
        <w:rPr>
          <w:rFonts w:hint="eastAsia" w:ascii="宋体" w:hAnsi="宋体" w:eastAsia="宋体" w:cs="宋体"/>
          <w:color w:val="auto"/>
          <w:sz w:val="28"/>
          <w:szCs w:val="28"/>
          <w:highlight w:val="none"/>
          <w:shd w:val="clear" w:color="auto" w:fill="FFFFFF"/>
        </w:rPr>
        <w:instrText xml:space="preserve"> HYPERLINK \l _Toc16276_WPSOffice_Level1 </w:instrText>
      </w:r>
      <w:r>
        <w:rPr>
          <w:rFonts w:hint="eastAsia" w:ascii="宋体" w:hAnsi="宋体" w:eastAsia="宋体" w:cs="宋体"/>
          <w:color w:val="auto"/>
          <w:sz w:val="28"/>
          <w:szCs w:val="28"/>
          <w:highlight w:val="none"/>
          <w:shd w:val="clear" w:color="auto" w:fill="FFFFFF"/>
        </w:rPr>
        <w:fldChar w:fldCharType="separate"/>
      </w:r>
      <w:r>
        <w:rPr>
          <w:rFonts w:hint="eastAsia" w:ascii="宋体" w:hAnsi="宋体" w:eastAsia="宋体" w:cs="宋体"/>
          <w:color w:val="auto"/>
          <w:sz w:val="28"/>
          <w:szCs w:val="28"/>
          <w:highlight w:val="none"/>
          <w:shd w:val="clear" w:color="auto" w:fill="FFFFFF"/>
        </w:rPr>
        <w:t>第二章  公开招标项目需</w:t>
      </w:r>
      <w:bookmarkStart w:id="5" w:name="_Hlt40365243"/>
      <w:bookmarkEnd w:id="5"/>
      <w:r>
        <w:rPr>
          <w:rFonts w:hint="eastAsia" w:ascii="宋体" w:hAnsi="宋体" w:eastAsia="宋体" w:cs="宋体"/>
          <w:color w:val="auto"/>
          <w:sz w:val="28"/>
          <w:szCs w:val="28"/>
          <w:highlight w:val="none"/>
          <w:shd w:val="clear" w:color="auto" w:fill="FFFFFF"/>
        </w:rPr>
        <w:t>求</w:t>
      </w:r>
      <w:bookmarkStart w:id="6" w:name="_Hlt25247108"/>
      <w:bookmarkEnd w:id="6"/>
      <w:r>
        <w:rPr>
          <w:rFonts w:hint="eastAsia" w:ascii="宋体" w:hAnsi="宋体" w:eastAsia="宋体" w:cs="宋体"/>
          <w:color w:val="auto"/>
          <w:sz w:val="28"/>
          <w:szCs w:val="28"/>
          <w:highlight w:val="none"/>
          <w:shd w:val="clear" w:color="auto" w:fill="FFFFFF"/>
        </w:rPr>
        <w:tab/>
      </w:r>
      <w:bookmarkStart w:id="7" w:name="_Hlt25247110"/>
      <w:bookmarkEnd w:id="7"/>
      <w:r>
        <w:rPr>
          <w:rFonts w:hint="eastAsia" w:ascii="宋体" w:hAnsi="宋体" w:eastAsia="宋体" w:cs="宋体"/>
          <w:color w:val="auto"/>
          <w:sz w:val="28"/>
          <w:szCs w:val="28"/>
          <w:highlight w:val="none"/>
          <w:shd w:val="clear" w:color="auto" w:fill="FFFFFF"/>
        </w:rPr>
        <w:t>7</w:t>
      </w:r>
      <w:r>
        <w:rPr>
          <w:rFonts w:hint="eastAsia" w:ascii="宋体" w:hAnsi="宋体" w:eastAsia="宋体" w:cs="宋体"/>
          <w:color w:val="auto"/>
          <w:sz w:val="28"/>
          <w:szCs w:val="28"/>
          <w:highlight w:val="none"/>
          <w:shd w:val="clear" w:color="auto" w:fill="FFFFFF"/>
        </w:rPr>
        <w:fldChar w:fldCharType="end"/>
      </w:r>
    </w:p>
    <w:p w14:paraId="133A43A0">
      <w:pPr>
        <w:pStyle w:val="171"/>
        <w:tabs>
          <w:tab w:val="right" w:leader="dot" w:pos="8312"/>
        </w:tabs>
        <w:spacing w:line="480" w:lineRule="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fldChar w:fldCharType="begin"/>
      </w:r>
      <w:r>
        <w:rPr>
          <w:rFonts w:hint="eastAsia" w:ascii="宋体" w:hAnsi="宋体" w:eastAsia="宋体" w:cs="宋体"/>
          <w:color w:val="auto"/>
          <w:sz w:val="28"/>
          <w:szCs w:val="28"/>
          <w:highlight w:val="none"/>
          <w:shd w:val="clear" w:color="auto" w:fill="FFFFFF"/>
        </w:rPr>
        <w:instrText xml:space="preserve"> HYPERLINK \l _Toc7091_WPSOffice_Level1 </w:instrText>
      </w:r>
      <w:r>
        <w:rPr>
          <w:rFonts w:hint="eastAsia" w:ascii="宋体" w:hAnsi="宋体" w:eastAsia="宋体" w:cs="宋体"/>
          <w:color w:val="auto"/>
          <w:sz w:val="28"/>
          <w:szCs w:val="28"/>
          <w:highlight w:val="none"/>
          <w:shd w:val="clear" w:color="auto" w:fill="FFFFFF"/>
        </w:rPr>
        <w:fldChar w:fldCharType="separate"/>
      </w:r>
      <w:r>
        <w:rPr>
          <w:rFonts w:hint="eastAsia" w:ascii="宋体" w:hAnsi="宋体" w:eastAsia="宋体" w:cs="宋体"/>
          <w:color w:val="auto"/>
          <w:sz w:val="28"/>
          <w:szCs w:val="28"/>
          <w:highlight w:val="none"/>
          <w:shd w:val="clear" w:color="auto" w:fill="FFFFFF"/>
        </w:rPr>
        <w:t>第三章  供应商须知</w:t>
      </w:r>
      <w:bookmarkStart w:id="8" w:name="_Hlt40365250"/>
      <w:bookmarkEnd w:id="8"/>
      <w:r>
        <w:rPr>
          <w:rFonts w:hint="eastAsia" w:ascii="宋体" w:hAnsi="宋体" w:eastAsia="宋体" w:cs="宋体"/>
          <w:color w:val="auto"/>
          <w:sz w:val="28"/>
          <w:szCs w:val="28"/>
          <w:highlight w:val="none"/>
          <w:shd w:val="clear" w:color="auto" w:fill="FFFFFF"/>
        </w:rPr>
        <w:tab/>
      </w:r>
      <w:bookmarkStart w:id="9" w:name="_Hlt25247128"/>
      <w:bookmarkEnd w:id="9"/>
      <w:bookmarkStart w:id="10" w:name="_Hlt25247120"/>
      <w:bookmarkEnd w:id="10"/>
      <w:r>
        <w:rPr>
          <w:rFonts w:hint="eastAsia" w:ascii="宋体" w:hAnsi="宋体" w:eastAsia="宋体" w:cs="宋体"/>
          <w:color w:val="auto"/>
          <w:sz w:val="28"/>
          <w:szCs w:val="28"/>
          <w:highlight w:val="none"/>
          <w:shd w:val="clear" w:color="auto" w:fill="FFFFFF"/>
        </w:rPr>
        <w:t>18</w:t>
      </w:r>
      <w:r>
        <w:rPr>
          <w:rFonts w:hint="eastAsia" w:ascii="宋体" w:hAnsi="宋体" w:eastAsia="宋体" w:cs="宋体"/>
          <w:color w:val="auto"/>
          <w:sz w:val="28"/>
          <w:szCs w:val="28"/>
          <w:highlight w:val="none"/>
          <w:shd w:val="clear" w:color="auto" w:fill="FFFFFF"/>
        </w:rPr>
        <w:fldChar w:fldCharType="end"/>
      </w:r>
    </w:p>
    <w:p w14:paraId="0033394D">
      <w:pPr>
        <w:pStyle w:val="171"/>
        <w:tabs>
          <w:tab w:val="right" w:leader="dot" w:pos="8312"/>
        </w:tabs>
        <w:spacing w:line="480" w:lineRule="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fldChar w:fldCharType="begin"/>
      </w:r>
      <w:r>
        <w:rPr>
          <w:rFonts w:hint="eastAsia" w:ascii="宋体" w:hAnsi="宋体" w:eastAsia="宋体" w:cs="宋体"/>
          <w:color w:val="auto"/>
          <w:sz w:val="28"/>
          <w:szCs w:val="28"/>
          <w:highlight w:val="none"/>
          <w:shd w:val="clear" w:color="auto" w:fill="FFFFFF"/>
        </w:rPr>
        <w:instrText xml:space="preserve"> HYPERLINK \l _Toc10184_WPSOffice_Level1 </w:instrText>
      </w:r>
      <w:r>
        <w:rPr>
          <w:rFonts w:hint="eastAsia" w:ascii="宋体" w:hAnsi="宋体" w:eastAsia="宋体" w:cs="宋体"/>
          <w:color w:val="auto"/>
          <w:sz w:val="28"/>
          <w:szCs w:val="28"/>
          <w:highlight w:val="none"/>
          <w:shd w:val="clear" w:color="auto" w:fill="FFFFFF"/>
        </w:rPr>
        <w:fldChar w:fldCharType="separate"/>
      </w:r>
      <w:r>
        <w:rPr>
          <w:rFonts w:hint="eastAsia" w:ascii="宋体" w:hAnsi="宋体" w:eastAsia="宋体" w:cs="宋体"/>
          <w:color w:val="auto"/>
          <w:sz w:val="28"/>
          <w:szCs w:val="28"/>
          <w:highlight w:val="none"/>
          <w:shd w:val="clear" w:color="auto" w:fill="FFFFFF"/>
        </w:rPr>
        <w:t>第四章  嘉兴市政府采购合同</w:t>
      </w:r>
      <w:bookmarkStart w:id="11" w:name="_Hlt40365159"/>
      <w:bookmarkEnd w:id="11"/>
      <w:r>
        <w:rPr>
          <w:rFonts w:hint="eastAsia" w:ascii="宋体" w:hAnsi="宋体" w:eastAsia="宋体" w:cs="宋体"/>
          <w:color w:val="auto"/>
          <w:sz w:val="28"/>
          <w:szCs w:val="28"/>
          <w:highlight w:val="none"/>
          <w:shd w:val="clear" w:color="auto" w:fill="FFFFFF"/>
        </w:rPr>
        <w:tab/>
      </w:r>
      <w:bookmarkStart w:id="12" w:name="_Hlt25247189"/>
      <w:bookmarkEnd w:id="12"/>
      <w:r>
        <w:rPr>
          <w:rFonts w:hint="eastAsia" w:ascii="宋体" w:hAnsi="宋体" w:eastAsia="宋体" w:cs="宋体"/>
          <w:color w:val="auto"/>
          <w:sz w:val="28"/>
          <w:szCs w:val="28"/>
          <w:highlight w:val="none"/>
          <w:shd w:val="clear" w:color="auto" w:fill="FFFFFF"/>
        </w:rPr>
        <w:t>34</w:t>
      </w:r>
      <w:r>
        <w:rPr>
          <w:rFonts w:hint="eastAsia" w:ascii="宋体" w:hAnsi="宋体" w:eastAsia="宋体" w:cs="宋体"/>
          <w:color w:val="auto"/>
          <w:sz w:val="28"/>
          <w:szCs w:val="28"/>
          <w:highlight w:val="none"/>
          <w:shd w:val="clear" w:color="auto" w:fill="FFFFFF"/>
        </w:rPr>
        <w:fldChar w:fldCharType="end"/>
      </w:r>
    </w:p>
    <w:p w14:paraId="14E825A4">
      <w:pPr>
        <w:pStyle w:val="171"/>
        <w:tabs>
          <w:tab w:val="right" w:leader="dot" w:pos="8312"/>
        </w:tabs>
        <w:spacing w:line="480" w:lineRule="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fldChar w:fldCharType="begin"/>
      </w:r>
      <w:r>
        <w:rPr>
          <w:rFonts w:hint="eastAsia" w:ascii="宋体" w:hAnsi="宋体" w:eastAsia="宋体" w:cs="宋体"/>
          <w:color w:val="auto"/>
          <w:sz w:val="28"/>
          <w:szCs w:val="28"/>
          <w:highlight w:val="none"/>
          <w:shd w:val="clear" w:color="auto" w:fill="FFFFFF"/>
        </w:rPr>
        <w:instrText xml:space="preserve"> HYPERLINK \l _Toc30997_WPSOffice_Level1 </w:instrText>
      </w:r>
      <w:r>
        <w:rPr>
          <w:rFonts w:hint="eastAsia" w:ascii="宋体" w:hAnsi="宋体" w:eastAsia="宋体" w:cs="宋体"/>
          <w:color w:val="auto"/>
          <w:sz w:val="28"/>
          <w:szCs w:val="28"/>
          <w:highlight w:val="none"/>
          <w:shd w:val="clear" w:color="auto" w:fill="FFFFFF"/>
        </w:rPr>
        <w:fldChar w:fldCharType="separate"/>
      </w:r>
      <w:r>
        <w:rPr>
          <w:rFonts w:hint="eastAsia" w:ascii="宋体" w:hAnsi="宋体" w:eastAsia="宋体" w:cs="宋体"/>
          <w:color w:val="auto"/>
          <w:sz w:val="28"/>
          <w:szCs w:val="28"/>
          <w:highlight w:val="none"/>
          <w:shd w:val="clear" w:color="auto" w:fill="FFFFFF"/>
        </w:rPr>
        <w:t>第五章  评审办法</w:t>
      </w:r>
      <w:r>
        <w:rPr>
          <w:rFonts w:hint="eastAsia" w:ascii="宋体" w:hAnsi="宋体" w:eastAsia="宋体" w:cs="宋体"/>
          <w:color w:val="auto"/>
          <w:sz w:val="28"/>
          <w:szCs w:val="28"/>
          <w:highlight w:val="none"/>
          <w:shd w:val="clear" w:color="auto" w:fill="FFFFFF"/>
        </w:rPr>
        <w:tab/>
      </w:r>
      <w:bookmarkStart w:id="13" w:name="_Hlt25247196"/>
      <w:bookmarkEnd w:id="13"/>
      <w:r>
        <w:rPr>
          <w:rFonts w:hint="eastAsia" w:ascii="宋体" w:hAnsi="宋体" w:eastAsia="宋体" w:cs="宋体"/>
          <w:color w:val="auto"/>
          <w:sz w:val="28"/>
          <w:szCs w:val="28"/>
          <w:highlight w:val="none"/>
          <w:shd w:val="clear" w:color="auto" w:fill="FFFFFF"/>
        </w:rPr>
        <w:t>39</w:t>
      </w:r>
      <w:r>
        <w:rPr>
          <w:rFonts w:hint="eastAsia" w:ascii="宋体" w:hAnsi="宋体" w:eastAsia="宋体" w:cs="宋体"/>
          <w:color w:val="auto"/>
          <w:sz w:val="28"/>
          <w:szCs w:val="28"/>
          <w:highlight w:val="none"/>
          <w:shd w:val="clear" w:color="auto" w:fill="FFFFFF"/>
        </w:rPr>
        <w:fldChar w:fldCharType="end"/>
      </w:r>
    </w:p>
    <w:p w14:paraId="5C4947A8">
      <w:pPr>
        <w:pStyle w:val="171"/>
        <w:tabs>
          <w:tab w:val="right" w:leader="dot" w:pos="8312"/>
        </w:tabs>
        <w:spacing w:line="480" w:lineRule="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fldChar w:fldCharType="begin"/>
      </w:r>
      <w:r>
        <w:rPr>
          <w:rFonts w:hint="eastAsia" w:ascii="宋体" w:hAnsi="宋体" w:eastAsia="宋体" w:cs="宋体"/>
          <w:color w:val="auto"/>
          <w:sz w:val="28"/>
          <w:szCs w:val="28"/>
          <w:highlight w:val="none"/>
          <w:shd w:val="clear" w:color="auto" w:fill="FFFFFF"/>
        </w:rPr>
        <w:instrText xml:space="preserve"> HYPERLINK \l _Toc21903_WPSOffice_Level1 </w:instrText>
      </w:r>
      <w:r>
        <w:rPr>
          <w:rFonts w:hint="eastAsia" w:ascii="宋体" w:hAnsi="宋体" w:eastAsia="宋体" w:cs="宋体"/>
          <w:color w:val="auto"/>
          <w:sz w:val="28"/>
          <w:szCs w:val="28"/>
          <w:highlight w:val="none"/>
          <w:shd w:val="clear" w:color="auto" w:fill="FFFFFF"/>
        </w:rPr>
        <w:fldChar w:fldCharType="separate"/>
      </w:r>
      <w:r>
        <w:rPr>
          <w:rFonts w:hint="eastAsia" w:ascii="宋体" w:hAnsi="宋体" w:eastAsia="宋体" w:cs="宋体"/>
          <w:color w:val="auto"/>
          <w:sz w:val="28"/>
          <w:szCs w:val="28"/>
          <w:highlight w:val="none"/>
          <w:shd w:val="clear" w:color="auto" w:fill="FFFFFF"/>
        </w:rPr>
        <w:t>第六章  响应相</w:t>
      </w:r>
      <w:bookmarkStart w:id="14" w:name="_Hlt40343810"/>
      <w:bookmarkStart w:id="15" w:name="_Hlt40343811"/>
      <w:r>
        <w:rPr>
          <w:rFonts w:hint="eastAsia" w:ascii="宋体" w:hAnsi="宋体" w:eastAsia="宋体" w:cs="宋体"/>
          <w:color w:val="auto"/>
          <w:sz w:val="28"/>
          <w:szCs w:val="28"/>
          <w:highlight w:val="none"/>
          <w:shd w:val="clear" w:color="auto" w:fill="FFFFFF"/>
        </w:rPr>
        <w:t>关</w:t>
      </w:r>
      <w:bookmarkEnd w:id="14"/>
      <w:bookmarkEnd w:id="15"/>
      <w:r>
        <w:rPr>
          <w:rFonts w:hint="eastAsia" w:ascii="宋体" w:hAnsi="宋体" w:eastAsia="宋体" w:cs="宋体"/>
          <w:color w:val="auto"/>
          <w:sz w:val="28"/>
          <w:szCs w:val="28"/>
          <w:highlight w:val="none"/>
          <w:shd w:val="clear" w:color="auto" w:fill="FFFFFF"/>
        </w:rPr>
        <w:t>文件格式</w:t>
      </w:r>
      <w:r>
        <w:rPr>
          <w:rFonts w:hint="eastAsia" w:ascii="宋体" w:hAnsi="宋体" w:eastAsia="宋体" w:cs="宋体"/>
          <w:color w:val="auto"/>
          <w:sz w:val="28"/>
          <w:szCs w:val="28"/>
          <w:highlight w:val="none"/>
          <w:shd w:val="clear" w:color="auto" w:fill="FFFFFF"/>
        </w:rPr>
        <w:tab/>
      </w:r>
      <w:bookmarkStart w:id="16" w:name="_Hlt25247203"/>
      <w:bookmarkEnd w:id="16"/>
      <w:r>
        <w:rPr>
          <w:rFonts w:hint="eastAsia" w:ascii="宋体" w:hAnsi="宋体" w:eastAsia="宋体" w:cs="宋体"/>
          <w:color w:val="auto"/>
          <w:sz w:val="28"/>
          <w:szCs w:val="28"/>
          <w:highlight w:val="none"/>
          <w:shd w:val="clear" w:color="auto" w:fill="FFFFFF"/>
        </w:rPr>
        <w:t>43</w:t>
      </w:r>
      <w:r>
        <w:rPr>
          <w:rFonts w:hint="eastAsia" w:ascii="宋体" w:hAnsi="宋体" w:eastAsia="宋体" w:cs="宋体"/>
          <w:color w:val="auto"/>
          <w:sz w:val="28"/>
          <w:szCs w:val="28"/>
          <w:highlight w:val="none"/>
          <w:shd w:val="clear" w:color="auto" w:fill="FFFFFF"/>
        </w:rPr>
        <w:fldChar w:fldCharType="end"/>
      </w:r>
    </w:p>
    <w:bookmarkEnd w:id="0"/>
    <w:p w14:paraId="4B107221">
      <w:pPr>
        <w:pStyle w:val="2"/>
        <w:spacing w:before="0" w:after="0" w:line="360" w:lineRule="auto"/>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4"/>
          <w:szCs w:val="24"/>
          <w:highlight w:val="none"/>
          <w:shd w:val="clear" w:color="auto" w:fill="FFFFFF"/>
        </w:rPr>
        <w:br w:type="page"/>
      </w:r>
      <w:bookmarkStart w:id="17" w:name="_Toc1722_WPSOffice_Level1"/>
      <w:r>
        <w:rPr>
          <w:rFonts w:hint="eastAsia" w:ascii="宋体" w:hAnsi="宋体" w:eastAsia="宋体" w:cs="宋体"/>
          <w:color w:val="auto"/>
          <w:sz w:val="28"/>
          <w:szCs w:val="28"/>
          <w:highlight w:val="none"/>
          <w:shd w:val="clear" w:color="auto" w:fill="FFFFFF"/>
        </w:rPr>
        <w:t>第一章  公开招标采购公告</w:t>
      </w:r>
      <w:bookmarkEnd w:id="17"/>
    </w:p>
    <w:p w14:paraId="2B2EF3C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3DB015E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嘉兴市公安局南湖区分局2025年度DP试剂耗材（胶体碳）采购项目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的潜在投标供应商应在</w:t>
      </w:r>
      <w:r>
        <w:rPr>
          <w:rFonts w:hint="eastAsia" w:ascii="宋体" w:hAnsi="宋体" w:eastAsia="宋体" w:cs="宋体"/>
          <w:color w:val="auto"/>
          <w:szCs w:val="21"/>
          <w:highlight w:val="none"/>
          <w:u w:val="single"/>
        </w:rPr>
        <w:t>浙江政府采购网</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HYPERLINK "http://zfcg.czt.zj.gov.cn）获取招标文件，并于2021年"</w:instrText>
      </w:r>
      <w:r>
        <w:rPr>
          <w:rFonts w:hint="eastAsia" w:ascii="宋体" w:hAnsi="宋体" w:eastAsia="宋体" w:cs="宋体"/>
          <w:color w:val="auto"/>
          <w:szCs w:val="21"/>
          <w:highlight w:val="none"/>
          <w:u w:val="single"/>
        </w:rPr>
        <w:fldChar w:fldCharType="separate"/>
      </w:r>
      <w:r>
        <w:rPr>
          <w:rStyle w:val="50"/>
          <w:rFonts w:hint="eastAsia" w:ascii="宋体" w:hAnsi="宋体" w:eastAsia="宋体" w:cs="宋体"/>
          <w:color w:val="auto"/>
          <w:szCs w:val="21"/>
          <w:highlight w:val="none"/>
        </w:rPr>
        <w:t>http://zfcg.czt.zj.go</w:t>
      </w:r>
      <w:bookmarkStart w:id="210" w:name="_GoBack"/>
      <w:bookmarkEnd w:id="210"/>
      <w:r>
        <w:rPr>
          <w:rStyle w:val="50"/>
          <w:rFonts w:hint="eastAsia" w:ascii="宋体" w:hAnsi="宋体" w:eastAsia="宋体" w:cs="宋体"/>
          <w:color w:val="auto"/>
          <w:szCs w:val="21"/>
          <w:highlight w:val="none"/>
        </w:rPr>
        <w:t>v.cn）获取招标文件，并于</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lang w:eastAsia="zh-CN"/>
        </w:rPr>
        <w:t>日下</w:t>
      </w:r>
      <w:r>
        <w:rPr>
          <w:rFonts w:hint="eastAsia" w:ascii="宋体" w:hAnsi="宋体" w:eastAsia="宋体" w:cs="宋体"/>
          <w:color w:val="auto"/>
          <w:szCs w:val="21"/>
          <w:highlight w:val="none"/>
          <w:u w:val="single"/>
        </w:rPr>
        <w:t>午</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0时</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北京时间）前递交投标文件</w:t>
      </w:r>
      <w:r>
        <w:rPr>
          <w:rFonts w:hint="eastAsia" w:ascii="宋体" w:hAnsi="宋体" w:eastAsia="宋体" w:cs="宋体"/>
          <w:color w:val="auto"/>
          <w:szCs w:val="21"/>
          <w:highlight w:val="none"/>
        </w:rPr>
        <w:t>。</w:t>
      </w:r>
    </w:p>
    <w:p w14:paraId="78EBB5D5">
      <w:pPr>
        <w:adjustRightInd w:val="0"/>
        <w:snapToGrid w:val="0"/>
        <w:spacing w:line="39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2BB35E7F">
      <w:pPr>
        <w:adjustRightInd w:val="0"/>
        <w:snapToGrid w:val="0"/>
        <w:spacing w:line="39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政府采购计划编号：</w:t>
      </w:r>
      <w:r>
        <w:rPr>
          <w:rFonts w:hint="eastAsia" w:ascii="宋体" w:hAnsi="宋体" w:cs="宋体"/>
          <w:color w:val="auto"/>
          <w:szCs w:val="21"/>
          <w:highlight w:val="none"/>
          <w:lang w:eastAsia="zh-CN"/>
        </w:rPr>
        <w:t>临[2025]68号</w:t>
      </w:r>
    </w:p>
    <w:p w14:paraId="6268E551">
      <w:pPr>
        <w:adjustRightInd w:val="0"/>
        <w:snapToGrid w:val="0"/>
        <w:spacing w:line="39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中诚-JXZCZX(202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)第</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eastAsia="zh-CN"/>
        </w:rPr>
        <w:t>号</w:t>
      </w:r>
    </w:p>
    <w:p w14:paraId="470F484E">
      <w:pPr>
        <w:adjustRightInd w:val="0"/>
        <w:snapToGrid w:val="0"/>
        <w:spacing w:line="39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嘉兴市公安局南湖区分局2025年度DP试剂耗材（胶体碳）采购项目</w:t>
      </w:r>
    </w:p>
    <w:p w14:paraId="0AF2FFF3">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预算金额：人民币</w:t>
      </w:r>
      <w:r>
        <w:rPr>
          <w:rFonts w:hint="eastAsia" w:ascii="宋体" w:hAnsi="宋体" w:cs="宋体"/>
          <w:color w:val="auto"/>
          <w:szCs w:val="21"/>
          <w:highlight w:val="none"/>
          <w:lang w:val="en-US" w:eastAsia="zh-CN"/>
        </w:rPr>
        <w:t>57.0000</w:t>
      </w:r>
      <w:r>
        <w:rPr>
          <w:rFonts w:hint="eastAsia" w:ascii="宋体" w:hAnsi="宋体" w:eastAsia="宋体" w:cs="宋体"/>
          <w:color w:val="auto"/>
          <w:szCs w:val="21"/>
          <w:highlight w:val="none"/>
        </w:rPr>
        <w:t>万元</w:t>
      </w:r>
    </w:p>
    <w:p w14:paraId="319B0408">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cs="宋体"/>
          <w:color w:val="auto"/>
          <w:szCs w:val="21"/>
          <w:highlight w:val="none"/>
          <w:lang w:val="en-US" w:eastAsia="zh-CN"/>
        </w:rPr>
        <w:t>陆拾</w:t>
      </w:r>
      <w:r>
        <w:rPr>
          <w:rFonts w:hint="eastAsia" w:ascii="宋体" w:hAnsi="宋体" w:cs="宋体"/>
          <w:color w:val="auto"/>
          <w:szCs w:val="21"/>
          <w:highlight w:val="none"/>
        </w:rPr>
        <w:t>元</w:t>
      </w:r>
      <w:r>
        <w:rPr>
          <w:rFonts w:hint="eastAsia" w:ascii="宋体" w:hAnsi="宋体" w:cs="宋体"/>
          <w:color w:val="auto"/>
          <w:szCs w:val="21"/>
          <w:highlight w:val="none"/>
          <w:lang w:val="en-US" w:eastAsia="zh-CN"/>
        </w:rPr>
        <w:t>整</w:t>
      </w:r>
      <w:r>
        <w:rPr>
          <w:rFonts w:hint="eastAsia" w:ascii="宋体" w:hAnsi="宋体" w:cs="宋体"/>
          <w:color w:val="auto"/>
          <w:szCs w:val="21"/>
          <w:highlight w:val="none"/>
        </w:rPr>
        <w:t>/份</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元/份</w:t>
      </w:r>
      <w:r>
        <w:rPr>
          <w:rFonts w:hint="eastAsia" w:ascii="宋体" w:hAnsi="宋体" w:eastAsia="宋体" w:cs="宋体"/>
          <w:color w:val="auto"/>
          <w:szCs w:val="21"/>
          <w:highlight w:val="none"/>
        </w:rPr>
        <w:t>），凡投标报价高于或等于最高限价的将否决其投标，其投标文件不予进行评审。</w:t>
      </w:r>
    </w:p>
    <w:p w14:paraId="0202A137">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r>
        <w:rPr>
          <w:rFonts w:hint="eastAsia" w:ascii="宋体" w:hAnsi="宋体" w:cs="宋体"/>
          <w:color w:val="auto"/>
          <w:szCs w:val="21"/>
          <w:highlight w:val="none"/>
          <w:lang w:eastAsia="zh-CN"/>
        </w:rPr>
        <w:t>嘉兴市公安局南湖区分局2025年度DP试剂耗材（胶体碳）采购项目</w:t>
      </w:r>
      <w:r>
        <w:rPr>
          <w:rFonts w:hint="eastAsia" w:ascii="宋体" w:hAnsi="宋体" w:eastAsia="宋体" w:cs="宋体"/>
          <w:color w:val="auto"/>
          <w:szCs w:val="21"/>
          <w:highlight w:val="none"/>
        </w:rPr>
        <w:t>。（详见公开招标项目需求）</w:t>
      </w:r>
    </w:p>
    <w:p w14:paraId="55CC304F">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数量：1项；</w:t>
      </w:r>
    </w:p>
    <w:p w14:paraId="54CA627E">
      <w:pPr>
        <w:adjustRightInd w:val="0"/>
        <w:snapToGrid w:val="0"/>
        <w:spacing w:line="39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服务期限</w:t>
      </w:r>
      <w:r>
        <w:rPr>
          <w:rFonts w:hint="eastAsia" w:ascii="宋体" w:hAnsi="宋体" w:eastAsia="宋体" w:cs="宋体"/>
          <w:color w:val="auto"/>
          <w:highlight w:val="none"/>
        </w:rPr>
        <w:t>：</w:t>
      </w:r>
      <w:r>
        <w:rPr>
          <w:rFonts w:hint="eastAsia" w:ascii="宋体" w:hAnsi="宋体" w:eastAsia="宋体" w:cs="宋体"/>
          <w:color w:val="auto"/>
          <w:kern w:val="0"/>
          <w:szCs w:val="24"/>
          <w:highlight w:val="none"/>
          <w:lang w:eastAsia="zh-CN" w:bidi="ar"/>
        </w:rPr>
        <w:t>本项目服务期限为自合同签订之日起</w:t>
      </w:r>
      <w:r>
        <w:rPr>
          <w:rFonts w:hint="eastAsia" w:ascii="宋体" w:hAnsi="宋体" w:cs="宋体"/>
          <w:color w:val="auto"/>
          <w:kern w:val="0"/>
          <w:szCs w:val="24"/>
          <w:highlight w:val="none"/>
          <w:lang w:val="en-US" w:eastAsia="zh-CN" w:bidi="ar"/>
        </w:rPr>
        <w:t>1</w:t>
      </w:r>
      <w:r>
        <w:rPr>
          <w:rFonts w:hint="eastAsia" w:ascii="宋体" w:hAnsi="宋体" w:eastAsia="宋体" w:cs="宋体"/>
          <w:color w:val="auto"/>
          <w:kern w:val="0"/>
          <w:szCs w:val="24"/>
          <w:highlight w:val="none"/>
          <w:lang w:eastAsia="zh-CN" w:bidi="ar"/>
        </w:rPr>
        <w:t>年，若结算价款满合同限额后则提前自动解除。</w:t>
      </w:r>
    </w:p>
    <w:p w14:paraId="10D00F54">
      <w:pPr>
        <w:adjustRightInd w:val="0"/>
        <w:snapToGrid w:val="0"/>
        <w:spacing w:line="39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质保期：自</w:t>
      </w:r>
      <w:r>
        <w:rPr>
          <w:rFonts w:hint="eastAsia" w:ascii="宋体" w:hAnsi="宋体" w:eastAsia="宋体" w:cs="宋体"/>
          <w:color w:val="auto"/>
          <w:highlight w:val="none"/>
          <w:lang w:eastAsia="zh-CN"/>
        </w:rPr>
        <w:t>交货</w:t>
      </w:r>
      <w:r>
        <w:rPr>
          <w:rFonts w:hint="eastAsia" w:ascii="宋体" w:hAnsi="宋体" w:eastAsia="宋体" w:cs="宋体"/>
          <w:color w:val="auto"/>
          <w:highlight w:val="none"/>
        </w:rPr>
        <w:t>验收</w:t>
      </w:r>
      <w:r>
        <w:rPr>
          <w:rFonts w:hint="eastAsia" w:ascii="宋体" w:hAnsi="宋体" w:eastAsia="宋体" w:cs="宋体"/>
          <w:color w:val="auto"/>
          <w:highlight w:val="none"/>
          <w:lang w:eastAsia="zh-CN"/>
        </w:rPr>
        <w:t>之日起一年</w:t>
      </w:r>
      <w:r>
        <w:rPr>
          <w:rFonts w:hint="eastAsia" w:ascii="宋体" w:hAnsi="宋体" w:eastAsia="宋体" w:cs="宋体"/>
          <w:color w:val="auto"/>
          <w:highlight w:val="none"/>
        </w:rPr>
        <w:t>，在保修期内所产生的相关费用由中标人承担，合同内的所有货物要求中标人提供上门服务。</w:t>
      </w:r>
    </w:p>
    <w:p w14:paraId="1A7DA3E1">
      <w:pPr>
        <w:adjustRightInd w:val="0"/>
        <w:snapToGrid w:val="0"/>
        <w:spacing w:line="39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本项目接受联合体投标：</w:t>
      </w:r>
      <w:r>
        <w:rPr>
          <w:rFonts w:hint="eastAsia" w:ascii="宋体" w:hAnsi="宋体" w:eastAsia="宋体" w:cs="宋体"/>
          <w:color w:val="auto"/>
          <w:szCs w:val="21"/>
          <w:highlight w:val="none"/>
        </w:rPr>
        <w:sym w:font="Wingdings" w:char="00A8"/>
      </w:r>
      <w:r>
        <w:rPr>
          <w:rFonts w:hint="eastAsia" w:ascii="宋体" w:hAnsi="宋体" w:eastAsia="宋体" w:cs="宋体"/>
          <w:color w:val="auto"/>
          <w:highlight w:val="none"/>
        </w:rPr>
        <w:t>是，</w:t>
      </w:r>
      <w:r>
        <w:rPr>
          <w:rFonts w:hint="eastAsia" w:ascii="宋体" w:hAnsi="宋体" w:eastAsia="宋体" w:cs="宋体"/>
          <w:color w:val="auto"/>
          <w:szCs w:val="21"/>
          <w:highlight w:val="none"/>
        </w:rPr>
        <w:sym w:font="Wingdings" w:char="00FE"/>
      </w:r>
      <w:r>
        <w:rPr>
          <w:rFonts w:hint="eastAsia" w:ascii="宋体" w:hAnsi="宋体" w:eastAsia="宋体" w:cs="宋体"/>
          <w:color w:val="auto"/>
          <w:highlight w:val="none"/>
        </w:rPr>
        <w:t>否。</w:t>
      </w:r>
    </w:p>
    <w:p w14:paraId="4FBB1F30">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18" w:name="_Toc28359080"/>
      <w:bookmarkStart w:id="19" w:name="_Toc28359003"/>
      <w:bookmarkStart w:id="20" w:name="_Toc35393622"/>
      <w:bookmarkStart w:id="21" w:name="_Toc35393791"/>
      <w:r>
        <w:rPr>
          <w:rFonts w:hint="eastAsia" w:ascii="宋体" w:hAnsi="宋体" w:eastAsia="宋体" w:cs="宋体"/>
          <w:b/>
          <w:color w:val="auto"/>
          <w:szCs w:val="21"/>
          <w:highlight w:val="none"/>
        </w:rPr>
        <w:t>二、申请人的资格要求：</w:t>
      </w:r>
      <w:bookmarkEnd w:id="18"/>
      <w:bookmarkEnd w:id="19"/>
      <w:bookmarkEnd w:id="20"/>
      <w:bookmarkEnd w:id="21"/>
    </w:p>
    <w:p w14:paraId="5A88EF86">
      <w:pPr>
        <w:spacing w:line="360" w:lineRule="auto"/>
        <w:ind w:firstLine="420" w:firstLineChars="200"/>
        <w:rPr>
          <w:rFonts w:hint="eastAsia" w:ascii="宋体" w:hAnsi="宋体" w:eastAsia="宋体" w:cs="宋体"/>
          <w:color w:val="auto"/>
          <w:szCs w:val="21"/>
          <w:highlight w:val="none"/>
        </w:rPr>
      </w:pPr>
      <w:bookmarkStart w:id="22" w:name="_Toc28359081"/>
      <w:bookmarkStart w:id="23" w:name="_Toc28359004"/>
      <w:r>
        <w:rPr>
          <w:rFonts w:hint="eastAsia" w:ascii="宋体" w:hAnsi="宋体" w:eastAsia="宋体" w:cs="宋体"/>
          <w:color w:val="auto"/>
          <w:szCs w:val="21"/>
          <w:highlight w:val="none"/>
        </w:rPr>
        <w:t>1、符合《中华人民共和国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66D3F1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highlight w:val="none"/>
        </w:rPr>
        <w:t>提供自招标公告发布之日起至提交首次响应文件截止日内任意时间</w:t>
      </w:r>
      <w:r>
        <w:rPr>
          <w:rFonts w:hint="eastAsia" w:ascii="宋体" w:hAnsi="宋体" w:eastAsia="宋体" w:cs="宋体"/>
          <w:color w:val="auto"/>
          <w:szCs w:val="21"/>
          <w:highlight w:val="none"/>
        </w:rPr>
        <w:t>的“信用中国”网站（www.creditchina.gov.cn）、中国政府采购网（www.ccgp.gov.cn）供应商信用查询网页截图）；</w:t>
      </w:r>
    </w:p>
    <w:p w14:paraId="4BAB62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3.落实政府采购支持中小企业政策需满足的资格要求：</w:t>
      </w:r>
    </w:p>
    <w:p w14:paraId="1EB90EF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rPr>
        <w:sym w:font="Wingdings" w:char="00A8"/>
      </w:r>
      <w:r>
        <w:rPr>
          <w:rFonts w:hint="eastAsia" w:ascii="宋体" w:hAnsi="宋体" w:eastAsia="宋体" w:cs="宋体"/>
          <w:color w:val="auto"/>
          <w:highlight w:val="none"/>
        </w:rPr>
        <w:t xml:space="preserve"> 无需落实；</w:t>
      </w:r>
    </w:p>
    <w:p w14:paraId="5E300E25">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3.2</w:t>
      </w:r>
      <w:r>
        <w:rPr>
          <w:rFonts w:hint="eastAsia" w:ascii="宋体" w:hAnsi="宋体" w:eastAsia="宋体" w:cs="宋体"/>
          <w:color w:val="auto"/>
          <w:kern w:val="0"/>
          <w:highlight w:val="none"/>
        </w:rPr>
        <w:sym w:font="Wingdings" w:char="00FE"/>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需要落实：</w:t>
      </w:r>
    </w:p>
    <w:p w14:paraId="045A0F0C">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3.2.1专门面向中小企业</w:t>
      </w:r>
    </w:p>
    <w:p w14:paraId="1EA3316A">
      <w:pPr>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kern w:val="0"/>
          <w:highlight w:val="none"/>
        </w:rPr>
        <w:sym w:font="Wingdings" w:char="00FE"/>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货物全部由符合政策要求的中小企业制造，提供中小企业声明函；</w:t>
      </w:r>
    </w:p>
    <w:p w14:paraId="6649FA40">
      <w:pPr>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kern w:val="0"/>
          <w:highlight w:val="none"/>
        </w:rPr>
        <w:sym w:font="Wingdings" w:char="00A8"/>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货物全部由符合政策要求的小微企业制造，提供中小企业声明函；</w:t>
      </w:r>
    </w:p>
    <w:p w14:paraId="6D87BBFC">
      <w:pPr>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kern w:val="0"/>
          <w:highlight w:val="none"/>
        </w:rPr>
        <w:sym w:font="Wingdings" w:char="00A8"/>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服务全部由符合政策要求的中小企业承接，提供中小企业声明函；</w:t>
      </w:r>
    </w:p>
    <w:p w14:paraId="0DD9E864">
      <w:pPr>
        <w:tabs>
          <w:tab w:val="left" w:pos="47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kern w:val="0"/>
          <w:highlight w:val="none"/>
        </w:rPr>
        <w:sym w:font="Wingdings" w:char="00A8"/>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服务全部由符合政策要求的小微企业承接，提供中小企业声明函；</w:t>
      </w:r>
    </w:p>
    <w:p w14:paraId="2012E1DF">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3.2.2</w:t>
      </w:r>
      <w:r>
        <w:rPr>
          <w:rFonts w:hint="eastAsia" w:ascii="宋体" w:hAnsi="宋体" w:eastAsia="宋体" w:cs="宋体"/>
          <w:color w:val="auto"/>
          <w:kern w:val="0"/>
          <w:highlight w:val="none"/>
        </w:rPr>
        <w:sym w:font="Wingdings" w:char="00A8"/>
      </w:r>
      <w:r>
        <w:rPr>
          <w:rFonts w:hint="eastAsia" w:ascii="宋体" w:hAnsi="宋体" w:eastAsia="宋体" w:cs="宋体"/>
          <w:color w:val="auto"/>
          <w:kern w:val="0"/>
          <w:highlight w:val="none"/>
        </w:rPr>
        <w:t xml:space="preserve"> </w:t>
      </w:r>
      <w:r>
        <w:rPr>
          <w:rFonts w:hint="eastAsia" w:ascii="宋体" w:hAnsi="宋体" w:eastAsia="宋体" w:cs="宋体"/>
          <w:color w:val="auto"/>
          <w:highlight w:val="none"/>
        </w:rPr>
        <w:t>要求以联合体形式参加，提供联合协议和中小企业声明函，联合协议中中小企业合同金额应当达到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%（不得低于30%），小微企业合同金额应当达到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%（不得低于60%）;如果供应商本身提供所有标的均由中小企业制造、承建或承接，视同符合了资格条件，无需再与其他中小企业组成联合体参加政府采购活动，无需提供联合协议；</w:t>
      </w:r>
    </w:p>
    <w:p w14:paraId="1804968A">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rPr>
        <w:sym w:font="Wingdings" w:char="00A8"/>
      </w:r>
      <w:r>
        <w:rPr>
          <w:rFonts w:hint="eastAsia" w:ascii="宋体" w:hAnsi="宋体" w:eastAsia="宋体" w:cs="宋体"/>
          <w:color w:val="auto"/>
          <w:highlight w:val="none"/>
        </w:rPr>
        <w:t>要求合同分包，提供分包意向协议和中小企业声明函，分包意向协议中中小企业合同金额应当达到</w:t>
      </w:r>
      <w:r>
        <w:rPr>
          <w:rFonts w:hint="eastAsia" w:ascii="宋体" w:hAnsi="宋体" w:eastAsia="宋体" w:cs="宋体"/>
          <w:color w:val="auto"/>
          <w:highlight w:val="none"/>
          <w:u w:val="single"/>
        </w:rPr>
        <w:t>30</w:t>
      </w:r>
      <w:r>
        <w:rPr>
          <w:rFonts w:hint="eastAsia" w:ascii="宋体" w:hAnsi="宋体" w:eastAsia="宋体" w:cs="宋体"/>
          <w:color w:val="auto"/>
          <w:highlight w:val="none"/>
        </w:rPr>
        <w:t>% ，其中小微企业合同金额应当达到</w:t>
      </w:r>
      <w:r>
        <w:rPr>
          <w:rFonts w:hint="eastAsia" w:ascii="宋体" w:hAnsi="宋体" w:eastAsia="宋体" w:cs="宋体"/>
          <w:color w:val="auto"/>
          <w:highlight w:val="none"/>
          <w:u w:val="single"/>
        </w:rPr>
        <w:t>60</w:t>
      </w:r>
      <w:r>
        <w:rPr>
          <w:rFonts w:hint="eastAsia" w:ascii="宋体" w:hAnsi="宋体" w:eastAsia="宋体" w:cs="宋体"/>
          <w:color w:val="auto"/>
          <w:highlight w:val="none"/>
        </w:rPr>
        <w:t>% ;如果供应商本身提供所有标的均由中小企业制造、承建或承接，视同符合了资格条件，无需再向中小企业分包，无需提供分包意向协议；</w:t>
      </w:r>
    </w:p>
    <w:p w14:paraId="6940F6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4.本项目的特定资格要求：为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B2BB3B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1AA8F5">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szCs w:val="21"/>
          <w:highlight w:val="none"/>
        </w:rPr>
        <w:t>本项目不接受联合体投标。</w:t>
      </w:r>
    </w:p>
    <w:p w14:paraId="618DF2BD">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24" w:name="_Toc35393623"/>
      <w:bookmarkStart w:id="25" w:name="_Toc35393792"/>
      <w:r>
        <w:rPr>
          <w:rFonts w:hint="eastAsia" w:ascii="宋体" w:hAnsi="宋体" w:eastAsia="宋体" w:cs="宋体"/>
          <w:b/>
          <w:color w:val="auto"/>
          <w:szCs w:val="21"/>
          <w:highlight w:val="none"/>
        </w:rPr>
        <w:t>三、获取招标文件</w:t>
      </w:r>
      <w:bookmarkEnd w:id="22"/>
      <w:bookmarkEnd w:id="23"/>
      <w:bookmarkEnd w:id="24"/>
      <w:bookmarkEnd w:id="25"/>
    </w:p>
    <w:p w14:paraId="06408272">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lang w:eastAsia="zh-CN"/>
        </w:rPr>
        <w:t>日</w:t>
      </w:r>
      <w:r>
        <w:rPr>
          <w:rFonts w:hint="eastAsia" w:ascii="宋体" w:hAnsi="宋体" w:eastAsia="宋体" w:cs="宋体"/>
          <w:color w:val="auto"/>
          <w:szCs w:val="21"/>
          <w:highlight w:val="none"/>
          <w:u w:val="single"/>
        </w:rPr>
        <w:t>至</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lang w:eastAsia="zh-CN"/>
        </w:rPr>
        <w:t>日下</w:t>
      </w:r>
      <w:r>
        <w:rPr>
          <w:rFonts w:hint="eastAsia" w:ascii="宋体" w:hAnsi="宋体" w:eastAsia="宋体" w:cs="宋体"/>
          <w:color w:val="auto"/>
          <w:szCs w:val="21"/>
          <w:highlight w:val="none"/>
          <w:u w:val="single"/>
        </w:rPr>
        <w:t>午</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p>
    <w:p w14:paraId="7A873DCA">
      <w:pPr>
        <w:adjustRightInd w:val="0"/>
        <w:snapToGrid w:val="0"/>
        <w:spacing w:line="39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地点（网址）：政采云平台（https://www.zcygov.cn/）</w:t>
      </w:r>
    </w:p>
    <w:p w14:paraId="26755F8C">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方式：供应商登录政采云平台https://www.zcygov.cn/在线申请获取采购文件（进入“项目采购”应用，在获取采购文件菜单中选择项目，申请获取采购文件）。</w:t>
      </w:r>
    </w:p>
    <w:p w14:paraId="21C2CDBB">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售价：免费。</w:t>
      </w:r>
    </w:p>
    <w:p w14:paraId="58008F23">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26" w:name="_Toc28359005"/>
      <w:bookmarkStart w:id="27" w:name="_Toc28359082"/>
      <w:bookmarkStart w:id="28" w:name="_Toc35393793"/>
      <w:bookmarkStart w:id="29" w:name="_Toc35393624"/>
      <w:r>
        <w:rPr>
          <w:rFonts w:hint="eastAsia" w:ascii="宋体" w:hAnsi="宋体" w:eastAsia="宋体" w:cs="宋体"/>
          <w:b/>
          <w:color w:val="auto"/>
          <w:szCs w:val="21"/>
          <w:highlight w:val="none"/>
        </w:rPr>
        <w:t>四、提交投标文件</w:t>
      </w:r>
      <w:bookmarkEnd w:id="26"/>
      <w:bookmarkEnd w:id="27"/>
      <w:r>
        <w:rPr>
          <w:rFonts w:hint="eastAsia" w:ascii="宋体" w:hAnsi="宋体" w:eastAsia="宋体" w:cs="宋体"/>
          <w:b/>
          <w:color w:val="auto"/>
          <w:szCs w:val="21"/>
          <w:highlight w:val="none"/>
        </w:rPr>
        <w:t>截止时间、开标时间和地点</w:t>
      </w:r>
      <w:bookmarkEnd w:id="28"/>
      <w:bookmarkEnd w:id="29"/>
    </w:p>
    <w:p w14:paraId="642630EF">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投标文件截止时间、开标时间：</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lang w:eastAsia="zh-CN"/>
        </w:rPr>
        <w:t>日下</w:t>
      </w:r>
      <w:r>
        <w:rPr>
          <w:rFonts w:hint="eastAsia" w:ascii="宋体" w:hAnsi="宋体" w:eastAsia="宋体" w:cs="宋体"/>
          <w:color w:val="auto"/>
          <w:szCs w:val="21"/>
          <w:highlight w:val="none"/>
          <w:u w:val="single"/>
        </w:rPr>
        <w:t>午</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bCs/>
          <w:color w:val="auto"/>
          <w:szCs w:val="21"/>
          <w:highlight w:val="none"/>
        </w:rPr>
        <w:t>（北京时间）</w:t>
      </w:r>
    </w:p>
    <w:p w14:paraId="6BB6D0E9">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投标地点（网址）：政采云平台（</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"https://www.zcygov.cn/" </w:instrText>
      </w:r>
      <w:r>
        <w:rPr>
          <w:rFonts w:hint="eastAsia" w:ascii="宋体" w:hAnsi="宋体" w:eastAsia="宋体" w:cs="宋体"/>
          <w:color w:val="auto"/>
          <w:szCs w:val="21"/>
          <w:highlight w:val="none"/>
        </w:rPr>
        <w:fldChar w:fldCharType="separate"/>
      </w:r>
      <w:r>
        <w:rPr>
          <w:rStyle w:val="50"/>
          <w:rFonts w:hint="eastAsia" w:ascii="宋体" w:hAnsi="宋体" w:eastAsia="宋体" w:cs="宋体"/>
          <w:color w:val="auto"/>
          <w:szCs w:val="21"/>
          <w:highlight w:val="none"/>
        </w:rPr>
        <w:t>https://www.zcygov.cn/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B33A955">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开标地点：嘉兴市中诚建设咨询有限公司四楼会议室（城东路83号浙中房大厦）</w:t>
      </w:r>
    </w:p>
    <w:p w14:paraId="520A4512">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30" w:name="_Toc28359007"/>
      <w:bookmarkStart w:id="31" w:name="_Toc35393625"/>
      <w:bookmarkStart w:id="32" w:name="_Toc35393794"/>
      <w:bookmarkStart w:id="33" w:name="_Toc28359084"/>
      <w:r>
        <w:rPr>
          <w:rFonts w:hint="eastAsia" w:ascii="宋体" w:hAnsi="宋体" w:eastAsia="宋体" w:cs="宋体"/>
          <w:b/>
          <w:color w:val="auto"/>
          <w:szCs w:val="21"/>
          <w:highlight w:val="none"/>
        </w:rPr>
        <w:t>五、公告期限</w:t>
      </w:r>
      <w:bookmarkEnd w:id="30"/>
      <w:bookmarkEnd w:id="31"/>
      <w:bookmarkEnd w:id="32"/>
      <w:bookmarkEnd w:id="33"/>
    </w:p>
    <w:p w14:paraId="4B2E2FE2">
      <w:pPr>
        <w:adjustRightInd w:val="0"/>
        <w:snapToGrid w:val="0"/>
        <w:spacing w:line="39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EF48334">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34" w:name="_Toc35393795"/>
      <w:bookmarkStart w:id="35" w:name="_Toc35393626"/>
      <w:r>
        <w:rPr>
          <w:rFonts w:hint="eastAsia" w:ascii="宋体" w:hAnsi="宋体" w:eastAsia="宋体" w:cs="宋体"/>
          <w:b/>
          <w:color w:val="auto"/>
          <w:szCs w:val="21"/>
          <w:highlight w:val="none"/>
        </w:rPr>
        <w:t>六、其他补充事宜</w:t>
      </w:r>
      <w:bookmarkEnd w:id="34"/>
      <w:bookmarkEnd w:id="35"/>
    </w:p>
    <w:p w14:paraId="3DD7FCF9">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000833">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2.其他事项：</w:t>
      </w:r>
    </w:p>
    <w:p w14:paraId="3EEE332B">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（1）需要落实的政府采购政策：包括节约资源、保护环境、支持创新、促进中小企业发展等。</w:t>
      </w:r>
    </w:p>
    <w:p w14:paraId="285D283D">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（2）电子招投标的说明：</w:t>
      </w:r>
    </w:p>
    <w:p w14:paraId="73510343">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①电子招投标：本项目以数据电文形式，依托“政府采购云平台（www.zcygov.cn）”进行招投标活动，不接受纸质投标文件；</w:t>
      </w:r>
    </w:p>
    <w:p w14:paraId="1C220D01">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D12AFE9">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CA驱动和申领流程</w:t>
      </w:r>
    </w:p>
    <w:p w14:paraId="1D61735B">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https://zfcg.czt.zj.gov.cn/bidClientTemplate/2019-05-27/12945.html    </w:t>
      </w:r>
    </w:p>
    <w:p w14:paraId="081A1E75">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注：ＣＡ证书遗失补办、延期、解锁、质保等业务可以在联连客户端上进行操作；使用政采云投标客户端时，建议使用windows7以上且64位的操作系统。</w:t>
      </w:r>
    </w:p>
    <w:p w14:paraId="1A82C408">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CA证书办理操作视频</w:t>
      </w:r>
    </w:p>
    <w:p w14:paraId="5F70A554">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https://service.zcygov.cn/#/knowledges/UgcbC3EBiyELHE-opz1b/EWqqyXEByNnJ3A2CPyDI</w:t>
      </w:r>
    </w:p>
    <w:p w14:paraId="61BFA7EA">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CA绑定登录操作视频</w:t>
      </w:r>
    </w:p>
    <w:p w14:paraId="4AD07893">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https://service.zcygov.cn/#/knowledges/UgcbC3EBiyELHE-opz1b/nAkmyXEBiyELHE-o-983</w:t>
      </w:r>
    </w:p>
    <w:p w14:paraId="7095EC46">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③招标文件的获取：使用账号登录或者使用CA登录政采云平台；进入“项目采购”应用，在获取采购文件菜单中选择项目，获取招标文件；</w:t>
      </w:r>
    </w:p>
    <w:p w14:paraId="49084F06">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④投标文件的制作：在“政采云电子交易客户端”中完成“填写基本信息”、“导入投标文件”、“标书关联”、“标书检查”、“电子签名”、“生成电子标书”等操作；</w:t>
      </w:r>
    </w:p>
    <w:p w14:paraId="287C6B05">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⑤采购人、采购机构将依托政采云平台完成本项目的电子交易活动，平台不接受未按上述方式获取招标文件的供应商进行投标活动； </w:t>
      </w:r>
    </w:p>
    <w:p w14:paraId="4AFE029D">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⑥对未按上述方式获取招标文件的供应商对该文件提出的质疑，采购人或采购代理机构将不予处理；</w:t>
      </w:r>
    </w:p>
    <w:p w14:paraId="18EF187F">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⑦不提供招标文件纸质版；</w:t>
      </w:r>
    </w:p>
    <w:p w14:paraId="39921AB6">
      <w:pPr>
        <w:adjustRightInd w:val="0"/>
        <w:snapToGrid w:val="0"/>
        <w:spacing w:line="39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⑧投标文件的传输递交：投标供应商在投标截止时间前将加密的投标文件上传至政府采购云平台，</w:t>
      </w:r>
      <w:r>
        <w:rPr>
          <w:rFonts w:hint="eastAsia" w:ascii="宋体" w:hAnsi="宋体" w:eastAsia="宋体" w:cs="宋体"/>
          <w:b/>
          <w:bCs/>
          <w:color w:val="auto"/>
          <w:szCs w:val="21"/>
          <w:highlight w:val="none"/>
        </w:rPr>
        <w:t>还可以在投标截止时间前直接提交或者以邮政快递方式递交备份投标文件1份【地址：</w:t>
      </w:r>
      <w:r>
        <w:rPr>
          <w:rFonts w:hint="eastAsia" w:ascii="宋体" w:hAnsi="宋体" w:eastAsia="宋体" w:cs="宋体"/>
          <w:b/>
          <w:color w:val="auto"/>
          <w:szCs w:val="21"/>
          <w:highlight w:val="none"/>
        </w:rPr>
        <w:t>嘉兴市中诚建设咨询有限公司四楼会议室（城东路83号浙中房大厦）</w:t>
      </w:r>
      <w:r>
        <w:rPr>
          <w:rFonts w:hint="eastAsia" w:ascii="宋体" w:hAnsi="宋体" w:eastAsia="宋体" w:cs="宋体"/>
          <w:b/>
          <w:bCs/>
          <w:color w:val="auto"/>
          <w:szCs w:val="21"/>
          <w:highlight w:val="none"/>
        </w:rPr>
        <w:t>；收件人：</w:t>
      </w:r>
      <w:r>
        <w:rPr>
          <w:rFonts w:hint="eastAsia" w:ascii="宋体" w:hAnsi="宋体" w:eastAsia="宋体" w:cs="宋体"/>
          <w:b/>
          <w:color w:val="auto"/>
          <w:szCs w:val="21"/>
          <w:highlight w:val="none"/>
          <w:lang w:eastAsia="zh-CN"/>
        </w:rPr>
        <w:t>方乐晨</w:t>
      </w:r>
      <w:r>
        <w:rPr>
          <w:rFonts w:hint="eastAsia" w:ascii="宋体" w:hAnsi="宋体" w:eastAsia="宋体" w:cs="宋体"/>
          <w:b/>
          <w:bCs/>
          <w:color w:val="auto"/>
          <w:szCs w:val="21"/>
          <w:highlight w:val="none"/>
        </w:rPr>
        <w:t>；电话：0573-82087792/</w:t>
      </w:r>
      <w:r>
        <w:rPr>
          <w:rFonts w:hint="eastAsia" w:ascii="宋体" w:hAnsi="宋体" w:eastAsia="宋体" w:cs="宋体"/>
          <w:b/>
          <w:bCs/>
          <w:color w:val="auto"/>
          <w:szCs w:val="21"/>
          <w:highlight w:val="none"/>
          <w:lang w:val="en-US" w:eastAsia="zh-CN"/>
        </w:rPr>
        <w:t>17338587428</w:t>
      </w:r>
      <w:r>
        <w:rPr>
          <w:rFonts w:hint="eastAsia" w:ascii="宋体" w:hAnsi="宋体" w:eastAsia="宋体" w:cs="宋体"/>
          <w:b/>
          <w:bCs/>
          <w:color w:val="auto"/>
          <w:szCs w:val="21"/>
          <w:highlight w:val="none"/>
        </w:rPr>
        <w:t>；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宋体" w:hAnsi="宋体" w:eastAsia="宋体" w:cs="宋体"/>
          <w:b/>
          <w:bCs/>
          <w:color w:val="auto"/>
          <w:szCs w:val="21"/>
          <w:highlight w:val="none"/>
          <w:lang w:val="en-US" w:eastAsia="zh-CN"/>
        </w:rPr>
        <w:t>1584665255</w:t>
      </w:r>
      <w:r>
        <w:rPr>
          <w:rFonts w:hint="eastAsia" w:ascii="宋体" w:hAnsi="宋体" w:eastAsia="宋体" w:cs="宋体"/>
          <w:b/>
          <w:bCs/>
          <w:color w:val="auto"/>
          <w:szCs w:val="21"/>
          <w:highlight w:val="none"/>
        </w:rPr>
        <w:t>@qq.com)。如供应商选择快递费到付，代理采购机构将拒签。】；</w:t>
      </w:r>
    </w:p>
    <w:p w14:paraId="1CA4740C">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7A11790F">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⑩具体操作指南：详见政采云平台“服务中心-帮助文档-项目采购-操作流程-电子招投标-政府采购项目电子交易管理操作指南-供应商”（浙江省“项目采购电子交易系统/不见面开评标”学习专题：https://edu.zcygov.cn/luban/e-biding）。</w:t>
      </w:r>
    </w:p>
    <w:p w14:paraId="4DCCBB71">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5.惠企政策</w:t>
      </w:r>
    </w:p>
    <w:p w14:paraId="7AFB2FD7">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5.1本采购项目，中标供应商与采购人签订的政府采购合同适用于嘉兴市政府采购贷款政策（简称“政采贷”），具体内容可参阅政府采购贷款流程：</w:t>
      </w:r>
    </w:p>
    <w:p w14:paraId="2E3AA97A">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http://jxszwsjb.jiaxing.gov.cn/zxfw/005001/005001004/20190315/76d484f7-8fac-497f-9359-4df81cc086da.html</w:t>
      </w:r>
    </w:p>
    <w:p w14:paraId="453C04F7">
      <w:pPr>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5.2本采购项目，中标供应商与采购人签订的政府采购合同适用于浙江省政府采购履约保函政策，具体内容可登录政采云平台（https://www.zcygov.cn/），点击右侧咨询小采。</w:t>
      </w:r>
    </w:p>
    <w:p w14:paraId="355408DB">
      <w:pPr>
        <w:adjustRightInd w:val="0"/>
        <w:snapToGrid w:val="0"/>
        <w:spacing w:line="390" w:lineRule="exact"/>
        <w:ind w:firstLine="422" w:firstLineChars="200"/>
        <w:jc w:val="left"/>
        <w:rPr>
          <w:rFonts w:hint="eastAsia" w:ascii="宋体" w:hAnsi="宋体" w:eastAsia="宋体" w:cs="宋体"/>
          <w:b/>
          <w:color w:val="auto"/>
          <w:szCs w:val="21"/>
          <w:highlight w:val="none"/>
        </w:rPr>
      </w:pPr>
      <w:bookmarkStart w:id="36" w:name="_Toc28359008"/>
      <w:bookmarkStart w:id="37" w:name="_Toc35393627"/>
      <w:bookmarkStart w:id="38" w:name="_Toc28359085"/>
      <w:bookmarkStart w:id="39" w:name="_Toc35393796"/>
      <w:r>
        <w:rPr>
          <w:rFonts w:hint="eastAsia" w:ascii="宋体" w:hAnsi="宋体" w:eastAsia="宋体" w:cs="宋体"/>
          <w:b/>
          <w:color w:val="auto"/>
          <w:szCs w:val="21"/>
          <w:highlight w:val="none"/>
        </w:rPr>
        <w:t>七、对本次招标提出询问，请按以下方式联系</w:t>
      </w:r>
      <w:bookmarkEnd w:id="36"/>
      <w:bookmarkEnd w:id="37"/>
      <w:bookmarkEnd w:id="38"/>
      <w:bookmarkEnd w:id="39"/>
      <w:r>
        <w:rPr>
          <w:rFonts w:hint="eastAsia" w:ascii="宋体" w:hAnsi="宋体" w:eastAsia="宋体" w:cs="宋体"/>
          <w:b/>
          <w:color w:val="auto"/>
          <w:szCs w:val="21"/>
          <w:highlight w:val="none"/>
        </w:rPr>
        <w:t>:</w:t>
      </w:r>
    </w:p>
    <w:p w14:paraId="2C04F7AE">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13DF974F">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嘉兴市公安局南湖区分局　</w:t>
      </w:r>
      <w:r>
        <w:rPr>
          <w:rFonts w:hint="eastAsia" w:ascii="宋体" w:hAnsi="宋体" w:eastAsia="宋体" w:cs="宋体"/>
          <w:color w:val="auto"/>
          <w:szCs w:val="21"/>
          <w:highlight w:val="none"/>
        </w:rPr>
        <w:t>　</w:t>
      </w:r>
    </w:p>
    <w:p w14:paraId="71F98970">
      <w:pPr>
        <w:widowControl/>
        <w:adjustRightInd w:val="0"/>
        <w:snapToGrid w:val="0"/>
        <w:spacing w:line="39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rPr>
        <w:t>李先生</w:t>
      </w:r>
    </w:p>
    <w:p w14:paraId="3A9E7624">
      <w:pPr>
        <w:widowControl/>
        <w:adjustRightInd w:val="0"/>
        <w:snapToGrid w:val="0"/>
        <w:spacing w:line="39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0573-8209691</w:t>
      </w:r>
    </w:p>
    <w:p w14:paraId="6B26C615">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bookmarkStart w:id="40" w:name="_Toc28359086"/>
      <w:bookmarkStart w:id="41" w:name="_Toc28359009"/>
      <w:r>
        <w:rPr>
          <w:rFonts w:hint="eastAsia" w:ascii="宋体" w:hAnsi="宋体" w:eastAsia="宋体" w:cs="宋体"/>
          <w:color w:val="auto"/>
          <w:szCs w:val="21"/>
          <w:highlight w:val="none"/>
        </w:rPr>
        <w:t>2.代理机构信息</w:t>
      </w:r>
      <w:bookmarkEnd w:id="40"/>
      <w:bookmarkEnd w:id="41"/>
    </w:p>
    <w:p w14:paraId="650CA277">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嘉兴市中诚建设咨询有限公司</w:t>
      </w:r>
    </w:p>
    <w:p w14:paraId="37F47B27">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嘉兴市城东路83号</w:t>
      </w:r>
    </w:p>
    <w:p w14:paraId="5FD52545">
      <w:pPr>
        <w:widowControl/>
        <w:adjustRightInd w:val="0"/>
        <w:snapToGrid w:val="0"/>
        <w:spacing w:line="39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u w:val="single"/>
          <w:lang w:eastAsia="zh-CN"/>
        </w:rPr>
        <w:t>方乐晨</w:t>
      </w:r>
      <w:r>
        <w:rPr>
          <w:rFonts w:hint="eastAsia" w:ascii="宋体" w:hAnsi="宋体" w:eastAsia="宋体" w:cs="宋体"/>
          <w:color w:val="auto"/>
          <w:szCs w:val="21"/>
          <w:highlight w:val="none"/>
          <w:u w:val="single"/>
        </w:rPr>
        <w:t>　</w:t>
      </w:r>
    </w:p>
    <w:p w14:paraId="40AB12A3">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电话、传真：</w:t>
      </w:r>
      <w:r>
        <w:rPr>
          <w:rFonts w:hint="eastAsia" w:ascii="宋体" w:hAnsi="宋体" w:eastAsia="宋体" w:cs="宋体"/>
          <w:color w:val="auto"/>
          <w:szCs w:val="21"/>
          <w:highlight w:val="none"/>
          <w:u w:val="single"/>
        </w:rPr>
        <w:t>0573-82087792、82231850</w:t>
      </w:r>
    </w:p>
    <w:p w14:paraId="6C16B270">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50C60CC0">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政府采购行政监管及投诉受理部门：</w:t>
      </w:r>
      <w:r>
        <w:rPr>
          <w:rFonts w:hint="eastAsia" w:ascii="宋体" w:hAnsi="宋体" w:eastAsia="宋体" w:cs="宋体"/>
          <w:color w:val="auto"/>
          <w:szCs w:val="21"/>
          <w:highlight w:val="none"/>
          <w:u w:val="single"/>
        </w:rPr>
        <w:t>嘉兴市南湖区财政局</w:t>
      </w:r>
    </w:p>
    <w:p w14:paraId="29ABBC20">
      <w:pPr>
        <w:widowControl/>
        <w:adjustRightInd w:val="0"/>
        <w:snapToGrid w:val="0"/>
        <w:spacing w:line="39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0573-82838543 </w:t>
      </w:r>
    </w:p>
    <w:p w14:paraId="3A433B23">
      <w:pPr>
        <w:adjustRightInd w:val="0"/>
        <w:snapToGrid w:val="0"/>
        <w:spacing w:line="390" w:lineRule="exact"/>
        <w:ind w:firstLine="420" w:firstLineChars="200"/>
        <w:rPr>
          <w:rFonts w:hint="eastAsia" w:ascii="宋体" w:hAnsi="宋体" w:eastAsia="宋体" w:cs="宋体"/>
          <w:color w:val="auto"/>
          <w:szCs w:val="21"/>
          <w:highlight w:val="none"/>
        </w:rPr>
      </w:pPr>
    </w:p>
    <w:p w14:paraId="7CB81784">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6FF0014E">
      <w:pPr>
        <w:adjustRightInd w:val="0"/>
        <w:snapToGrid w:val="0"/>
        <w:spacing w:line="39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CA问题联系电话（人工）：汇信CA 400-888-4636；天谷CA 400-087-8198。</w:t>
      </w:r>
    </w:p>
    <w:p w14:paraId="3485DB5F">
      <w:pPr>
        <w:adjustRightInd w:val="0"/>
        <w:snapToGrid w:val="0"/>
        <w:spacing w:line="390" w:lineRule="exact"/>
        <w:ind w:firstLine="420" w:firstLineChars="200"/>
        <w:jc w:val="right"/>
        <w:rPr>
          <w:rFonts w:hint="eastAsia" w:ascii="宋体" w:hAnsi="宋体" w:eastAsia="宋体" w:cs="宋体"/>
          <w:color w:val="auto"/>
          <w:szCs w:val="21"/>
          <w:highlight w:val="none"/>
        </w:rPr>
      </w:pPr>
    </w:p>
    <w:p w14:paraId="3496F406">
      <w:pPr>
        <w:autoSpaceDE w:val="0"/>
        <w:autoSpaceDN w:val="0"/>
        <w:spacing w:line="380" w:lineRule="exact"/>
        <w:ind w:firstLine="315" w:firstLineChars="150"/>
        <w:jc w:val="right"/>
        <w:textAlignment w:val="bottom"/>
        <w:rPr>
          <w:rFonts w:hint="eastAsia" w:ascii="宋体" w:hAnsi="宋体" w:eastAsia="宋体" w:cs="宋体"/>
          <w:color w:val="auto"/>
          <w:szCs w:val="21"/>
          <w:highlight w:val="none"/>
          <w:shd w:val="clear" w:color="auto" w:fill="FFFFFF"/>
        </w:rPr>
      </w:pPr>
    </w:p>
    <w:p w14:paraId="6DF7EA85">
      <w:pPr>
        <w:spacing w:line="276" w:lineRule="auto"/>
        <w:jc w:val="center"/>
        <w:rPr>
          <w:rFonts w:hint="eastAsia" w:ascii="宋体" w:hAnsi="宋体" w:eastAsia="宋体" w:cs="宋体"/>
          <w:b/>
          <w:color w:val="auto"/>
          <w:sz w:val="28"/>
          <w:szCs w:val="28"/>
          <w:highlight w:val="none"/>
          <w:shd w:val="clear" w:color="auto" w:fill="FFFFFF"/>
        </w:rPr>
      </w:pPr>
      <w:r>
        <w:rPr>
          <w:rFonts w:hint="eastAsia" w:ascii="宋体" w:hAnsi="宋体" w:eastAsia="宋体" w:cs="宋体"/>
          <w:color w:val="auto"/>
          <w:szCs w:val="21"/>
          <w:highlight w:val="none"/>
          <w:shd w:val="clear" w:color="auto" w:fill="FFFFFF"/>
        </w:rPr>
        <w:br w:type="page"/>
      </w:r>
      <w:bookmarkStart w:id="42" w:name="_Toc7091_WPSOffice_Level1"/>
      <w:r>
        <w:rPr>
          <w:rFonts w:hint="eastAsia" w:ascii="宋体" w:hAnsi="宋体" w:eastAsia="宋体" w:cs="宋体"/>
          <w:b/>
          <w:color w:val="auto"/>
          <w:sz w:val="28"/>
          <w:szCs w:val="28"/>
          <w:highlight w:val="none"/>
          <w:shd w:val="clear" w:color="auto" w:fill="FFFFFF"/>
        </w:rPr>
        <w:t>第二章  公开招标项目需求</w:t>
      </w:r>
    </w:p>
    <w:p w14:paraId="7C4E9608">
      <w:pPr>
        <w:snapToGrid w:val="0"/>
        <w:spacing w:line="360" w:lineRule="auto"/>
        <w:ind w:firstLine="422"/>
        <w:rPr>
          <w:rFonts w:hint="eastAsia" w:ascii="宋体" w:hAnsi="宋体" w:eastAsia="宋体" w:cs="宋体"/>
          <w:b/>
          <w:color w:val="auto"/>
          <w:sz w:val="21"/>
          <w:szCs w:val="21"/>
          <w:highlight w:val="none"/>
        </w:rPr>
      </w:pPr>
      <w:bookmarkStart w:id="43" w:name="_Toc355959986"/>
      <w:r>
        <w:rPr>
          <w:rFonts w:hint="eastAsia" w:ascii="宋体" w:hAnsi="宋体" w:eastAsia="宋体" w:cs="宋体"/>
          <w:b/>
          <w:color w:val="auto"/>
          <w:sz w:val="21"/>
          <w:szCs w:val="21"/>
          <w:highlight w:val="none"/>
        </w:rPr>
        <w:t>一、项目</w:t>
      </w:r>
      <w:bookmarkEnd w:id="43"/>
      <w:r>
        <w:rPr>
          <w:rFonts w:hint="eastAsia" w:ascii="宋体" w:hAnsi="宋体" w:eastAsia="宋体" w:cs="宋体"/>
          <w:b/>
          <w:color w:val="auto"/>
          <w:sz w:val="21"/>
          <w:szCs w:val="21"/>
          <w:highlight w:val="none"/>
        </w:rPr>
        <w:t>需求</w:t>
      </w:r>
    </w:p>
    <w:tbl>
      <w:tblPr>
        <w:tblStyle w:val="4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834"/>
        <w:gridCol w:w="1137"/>
        <w:gridCol w:w="1857"/>
      </w:tblGrid>
      <w:tr w14:paraId="16AF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103" w:type="dxa"/>
            <w:tcBorders>
              <w:top w:val="single" w:color="auto" w:sz="4" w:space="0"/>
              <w:left w:val="single" w:color="auto" w:sz="4" w:space="0"/>
              <w:bottom w:val="single" w:color="auto" w:sz="4" w:space="0"/>
              <w:right w:val="single" w:color="auto" w:sz="4" w:space="0"/>
            </w:tcBorders>
            <w:noWrap w:val="0"/>
            <w:vAlign w:val="center"/>
          </w:tcPr>
          <w:p w14:paraId="08DE6E5C">
            <w:pPr>
              <w:widowControl/>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21C7705C">
            <w:pPr>
              <w:widowControl/>
              <w:spacing w:line="276" w:lineRule="auto"/>
              <w:ind w:right="-107" w:rightChars="-5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03BA10D0">
            <w:pPr>
              <w:widowControl/>
              <w:spacing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5E3DFE85">
            <w:pPr>
              <w:widowControl/>
              <w:spacing w:line="276"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预算金额</w:t>
            </w:r>
          </w:p>
        </w:tc>
      </w:tr>
      <w:tr w14:paraId="2571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103" w:type="dxa"/>
            <w:tcBorders>
              <w:top w:val="single" w:color="auto" w:sz="4" w:space="0"/>
              <w:left w:val="single" w:color="auto" w:sz="4" w:space="0"/>
              <w:bottom w:val="single" w:color="auto" w:sz="4" w:space="0"/>
              <w:right w:val="single" w:color="auto" w:sz="4" w:space="0"/>
            </w:tcBorders>
            <w:noWrap w:val="0"/>
            <w:vAlign w:val="center"/>
          </w:tcPr>
          <w:p w14:paraId="344CD223">
            <w:pPr>
              <w:widowControl/>
              <w:spacing w:line="276"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嘉兴市公安局南湖区分局2025年度DP</w:t>
            </w:r>
            <w:r>
              <w:rPr>
                <w:rFonts w:hint="eastAsia" w:ascii="宋体" w:hAnsi="宋体" w:eastAsia="宋体" w:cs="宋体"/>
                <w:color w:val="auto"/>
                <w:kern w:val="0"/>
                <w:sz w:val="21"/>
                <w:szCs w:val="21"/>
                <w:highlight w:val="none"/>
                <w:lang w:val="en-US" w:eastAsia="zh-CN"/>
              </w:rPr>
              <w:t>试剂耗材</w:t>
            </w:r>
          </w:p>
          <w:p w14:paraId="5A9C8505">
            <w:pPr>
              <w:widowControl/>
              <w:spacing w:line="276"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（胶体碳）采购项目</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5A26F4F">
            <w:pPr>
              <w:widowControl/>
              <w:spacing w:line="276"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批</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42EBB3A">
            <w:pPr>
              <w:widowControl/>
              <w:spacing w:line="276" w:lineRule="auto"/>
              <w:jc w:val="center"/>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1</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32BD7F16">
            <w:pPr>
              <w:widowControl/>
              <w:spacing w:line="276" w:lineRule="auto"/>
              <w:jc w:val="center"/>
              <w:rPr>
                <w:rFonts w:hint="default" w:ascii="宋体" w:hAnsi="宋体" w:eastAsia="宋体" w:cs="宋体"/>
                <w:color w:val="auto"/>
                <w:kern w:val="0"/>
                <w:sz w:val="21"/>
                <w:szCs w:val="21"/>
                <w:highlight w:val="none"/>
                <w:lang w:val="en-US"/>
              </w:rPr>
            </w:pPr>
            <w:r>
              <w:rPr>
                <w:rFonts w:hint="eastAsia" w:ascii="宋体" w:hAnsi="宋体" w:cs="宋体"/>
                <w:color w:val="auto"/>
                <w:szCs w:val="21"/>
                <w:highlight w:val="none"/>
                <w:lang w:val="en-US" w:eastAsia="zh-CN"/>
              </w:rPr>
              <w:t>57.0000万元</w:t>
            </w:r>
          </w:p>
        </w:tc>
      </w:tr>
      <w:bookmarkEnd w:id="42"/>
    </w:tbl>
    <w:p w14:paraId="232DC28D">
      <w:pPr>
        <w:spacing w:line="400" w:lineRule="exact"/>
        <w:ind w:firstLine="480"/>
        <w:rPr>
          <w:rFonts w:hint="eastAsia" w:ascii="宋体" w:hAnsi="宋体" w:cs="宋体"/>
          <w:b/>
          <w:bCs/>
          <w:color w:val="auto"/>
          <w:sz w:val="21"/>
          <w:szCs w:val="21"/>
          <w:highlight w:val="none"/>
        </w:rPr>
      </w:pPr>
      <w:bookmarkStart w:id="44" w:name="_Toc177870535"/>
      <w:bookmarkStart w:id="45" w:name="_Toc17088_WPSOffice_Level1"/>
      <w:r>
        <w:rPr>
          <w:rFonts w:hint="eastAsia" w:ascii="宋体" w:hAnsi="宋体" w:cs="宋体"/>
          <w:b/>
          <w:bCs/>
          <w:color w:val="auto"/>
          <w:sz w:val="21"/>
          <w:szCs w:val="21"/>
          <w:highlight w:val="none"/>
        </w:rPr>
        <w:t>二、</w:t>
      </w:r>
      <w:r>
        <w:rPr>
          <w:rFonts w:hint="eastAsia" w:ascii="宋体" w:hAnsi="宋体" w:cs="宋体"/>
          <w:color w:val="auto"/>
          <w:sz w:val="21"/>
          <w:szCs w:val="21"/>
          <w:highlight w:val="none"/>
        </w:rPr>
        <w:t xml:space="preserve"> </w:t>
      </w:r>
      <w:r>
        <w:rPr>
          <w:rFonts w:hint="eastAsia" w:ascii="宋体" w:cs="宋体"/>
          <w:b/>
          <w:bCs/>
          <w:color w:val="auto"/>
          <w:szCs w:val="24"/>
          <w:highlight w:val="none"/>
        </w:rPr>
        <w:t>专用检测耗材</w:t>
      </w:r>
      <w:r>
        <w:rPr>
          <w:rFonts w:ascii="宋体" w:cs="宋体"/>
          <w:b/>
          <w:bCs/>
          <w:color w:val="auto"/>
          <w:szCs w:val="24"/>
          <w:highlight w:val="none"/>
        </w:rPr>
        <w:t>（单测，双测，三测参数相同）</w:t>
      </w:r>
    </w:p>
    <w:p w14:paraId="0EC9DA58">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（1）检测技术：★冰毒（甲基苯丙胺）、★吗啡、★氯胺酮、★依托咪酯胶体产品均为胶体碳技术（</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446B5541">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（2）★试剂卡膜条宽度不得小于3mm（</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6B8881F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3）★三合一毒品毛发检测试剂（胶体碳检测法）采用三联卡形式，有3个加样孔；二合一毒品毛发检测试剂（胶体碳检测法）采用两联卡形式，有2个加样孔；单项毒品毛发检测试剂（胶体碳法）采用单卡形式，有1个加样孔（提供相关证明材料）；</w:t>
      </w:r>
    </w:p>
    <w:p w14:paraId="1BCE6F82">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（4）试纸条爬行速度：大于等于40mm/min（</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119E8C25">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（5）检测试剂卡上具有二维码，扫描设备能扫描识别（提供相关证明材料）；</w:t>
      </w:r>
    </w:p>
    <w:p w14:paraId="221B42DC">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（6）★检测样本前处理方式为：研磨（提供相关证明材料）；</w:t>
      </w:r>
    </w:p>
    <w:p w14:paraId="7960258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（7）★试剂卡结果能进行肉眼结果判定（肉眼判读）（</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654C2D83">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①对浓度为 20ng/mL，进样量为 80μL,进样质量为 1.60ng 的吗啡溶液进行采样分析，检测结果应显示吗啡阳性；</w:t>
      </w:r>
    </w:p>
    <w:p w14:paraId="6C5FF37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②对浓度为 20ng/mL，进样量为80μL，进样质量为1.60ng 的氯胺酮溶液进行采样分析，检测结果应显示氯胺酮阳性；</w:t>
      </w:r>
    </w:p>
    <w:p w14:paraId="0A8AC5BF">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③对浓度为 20ng/mL，进样量为 80μL,进样质量为1.60ng 的甲基安非他明溶液进行采样分析，检测结果应显示甲基安非他明阳性；</w:t>
      </w:r>
    </w:p>
    <w:p w14:paraId="4BB1016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④对浓度为40ng/mL，进样量为100μL，进样质量为4ng的依托咪酯溶液进行采样分析，检测结果应显示依托咪酯阳性。</w:t>
      </w:r>
    </w:p>
    <w:p w14:paraId="5865ED4B">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（8）抗干扰性（</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0A42C61A">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①★在浓度为1μg/ml（其中地西泮浓度为 500 μg/ml，甲氧那明浓度为100 ng/ml）的下列物质：雷尼替丁、甲氧那明、伪麻黄碱、美沙酮、苯巴比妥、加替沙星、可卡因、四氢大麻酚酸、地西泮、盐酸曲马多、普鲁卡因，对产品进行测试、检测结果显示为：吗啡阴性、甲基安非他明阴性、氯胺酮阴性；</w:t>
      </w:r>
    </w:p>
    <w:p w14:paraId="1A104F5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②在浓度为1μg/mL的布洛芬、阿司匹林、阿莫西林、对乙酰氨基酚、和麻黄碱标准溶液，对产品进行测试，检测结果显示为 依托咪酯阴性。</w:t>
      </w:r>
    </w:p>
    <w:p w14:paraId="444C256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（9）试剂卡的检测结果有效判读时间跨度应大于等于3min。（</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036AFBF0">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（10）对已确认的吗啡吸食者的毛发样本裂解后通过吗啡试剂条进行检测，检测结果应显示为吗啡阳性。（</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0B08AF6E">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（11）对已确认的甲基安非他明吸食者的毛发样本裂解后通过甲基安非他明试剂条进行检测，检测结果应显示为甲基安非他明阳性。（</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080BBA66">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（12）对已确认的氯胺酮吸食者的毛发样本裂解后通过氯胺酮试剂条进行检测，检测结果应显示为氯胺酮阳性。（</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76A503C6">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（13）对已确认的依托咪酯吸食者的毛发样本裂解后通过依托咪酯试剂条进行检测，检测结果应显示为依托咪酯阳性。（</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616E5CD8">
      <w:pPr>
        <w:tabs>
          <w:tab w:val="left" w:pos="3060"/>
        </w:tabs>
        <w:spacing w:line="300" w:lineRule="auto"/>
        <w:ind w:firstLine="482"/>
        <w:contextualSpacing/>
        <w:rPr>
          <w:rFonts w:hint="eastAsia" w:ascii="宋体" w:hAnsi="宋体" w:cs="宋体"/>
          <w:color w:val="auto"/>
          <w:szCs w:val="24"/>
          <w:highlight w:val="none"/>
        </w:rPr>
      </w:pPr>
      <w:r>
        <w:rPr>
          <w:rFonts w:hint="eastAsia" w:ascii="宋体" w:hAnsi="宋体" w:cs="宋体"/>
          <w:color w:val="auto"/>
          <w:szCs w:val="24"/>
          <w:highlight w:val="none"/>
        </w:rPr>
        <w:t>（14）毛发裂解液通用性：检测多种不同毒品时，只需对毛发样品进行一次裂解，多次检测，无需重复取样，不需冷链运输存储（</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2C20D6F9">
      <w:pPr>
        <w:tabs>
          <w:tab w:val="left" w:pos="3060"/>
        </w:tabs>
        <w:spacing w:line="300" w:lineRule="auto"/>
        <w:ind w:firstLine="482"/>
        <w:contextualSpacing/>
        <w:rPr>
          <w:rFonts w:ascii="宋体" w:hAnsi="宋体" w:cs="宋体"/>
          <w:b/>
          <w:color w:val="auto"/>
          <w:szCs w:val="24"/>
          <w:highlight w:val="none"/>
        </w:rPr>
      </w:pPr>
      <w:r>
        <w:rPr>
          <w:rFonts w:hint="eastAsia" w:ascii="宋体" w:hAnsi="宋体" w:cs="宋体"/>
          <w:b/>
          <w:color w:val="auto"/>
          <w:szCs w:val="24"/>
          <w:highlight w:val="none"/>
          <w:lang w:val="en-US" w:eastAsia="zh-CN"/>
        </w:rPr>
        <w:t>三、</w:t>
      </w:r>
      <w:r>
        <w:rPr>
          <w:rFonts w:hint="eastAsia" w:ascii="宋体" w:hAnsi="宋体" w:cs="宋体"/>
          <w:b/>
          <w:color w:val="auto"/>
          <w:szCs w:val="24"/>
          <w:highlight w:val="none"/>
        </w:rPr>
        <w:t>检测设备</w:t>
      </w:r>
    </w:p>
    <w:p w14:paraId="74ED693C">
      <w:pPr>
        <w:pStyle w:val="222"/>
        <w:tabs>
          <w:tab w:val="left" w:pos="0"/>
        </w:tabs>
        <w:spacing w:line="300" w:lineRule="auto"/>
        <w:ind w:firstLine="480"/>
        <w:jc w:val="left"/>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cs="宋体"/>
          <w:color w:val="auto"/>
          <w:szCs w:val="24"/>
          <w:highlight w:val="none"/>
        </w:rPr>
        <w:t>★手持式唾液尿液毒品检测仪</w:t>
      </w:r>
      <w:r>
        <w:rPr>
          <w:rFonts w:hint="eastAsia" w:ascii="宋体" w:hAnsi="宋体" w:cs="宋体"/>
          <w:color w:val="auto"/>
          <w:szCs w:val="24"/>
          <w:highlight w:val="none"/>
        </w:rPr>
        <w:t>【</w:t>
      </w:r>
      <w:r>
        <w:rPr>
          <w:rFonts w:hint="eastAsia" w:ascii="宋体" w:cs="宋体"/>
          <w:color w:val="auto"/>
          <w:szCs w:val="24"/>
          <w:highlight w:val="none"/>
          <w:lang w:val="en-US" w:eastAsia="zh-CN"/>
        </w:rPr>
        <w:t>需</w:t>
      </w:r>
      <w:r>
        <w:rPr>
          <w:rFonts w:hint="eastAsia" w:ascii="宋体" w:cs="宋体"/>
          <w:color w:val="auto"/>
          <w:szCs w:val="24"/>
          <w:highlight w:val="none"/>
        </w:rPr>
        <w:t>提供</w:t>
      </w:r>
      <w:r>
        <w:rPr>
          <w:rFonts w:ascii="宋体" w:cs="宋体"/>
          <w:color w:val="auto"/>
          <w:szCs w:val="24"/>
          <w:highlight w:val="none"/>
        </w:rPr>
        <w:t>台式</w:t>
      </w:r>
      <w:r>
        <w:rPr>
          <w:rFonts w:hint="eastAsia" w:ascii="宋体" w:cs="宋体"/>
          <w:color w:val="auto"/>
          <w:szCs w:val="24"/>
          <w:highlight w:val="none"/>
        </w:rPr>
        <w:t>检测设备、扫描设备、各20套供采购单位使用</w:t>
      </w:r>
      <w:r>
        <w:rPr>
          <w:rFonts w:hint="eastAsia" w:ascii="宋体" w:hAnsi="宋体" w:cs="宋体"/>
          <w:color w:val="auto"/>
          <w:szCs w:val="24"/>
          <w:highlight w:val="none"/>
        </w:rPr>
        <w:t>】；（提供承诺）</w:t>
      </w:r>
    </w:p>
    <w:p w14:paraId="43C2C82B">
      <w:pPr>
        <w:pStyle w:val="222"/>
        <w:tabs>
          <w:tab w:val="left" w:pos="0"/>
        </w:tabs>
        <w:spacing w:line="300" w:lineRule="auto"/>
        <w:ind w:firstLine="480"/>
        <w:jc w:val="left"/>
        <w:rPr>
          <w:rFonts w:ascii="宋体" w:hAnsi="宋体" w:cs="宋体"/>
          <w:color w:val="auto"/>
          <w:szCs w:val="24"/>
          <w:highlight w:val="none"/>
        </w:rPr>
      </w:pPr>
      <w:r>
        <w:rPr>
          <w:rFonts w:hint="eastAsia" w:ascii="宋体" w:hAnsi="宋体" w:cs="宋体"/>
          <w:color w:val="auto"/>
          <w:szCs w:val="24"/>
          <w:highlight w:val="none"/>
        </w:rPr>
        <w:t>（2</w:t>
      </w:r>
      <w:r>
        <w:rPr>
          <w:rFonts w:ascii="宋体" w:hAnsi="宋体" w:cs="宋体"/>
          <w:color w:val="auto"/>
          <w:szCs w:val="24"/>
          <w:highlight w:val="none"/>
        </w:rPr>
        <w:t>）</w:t>
      </w:r>
      <w:r>
        <w:rPr>
          <w:rFonts w:hint="eastAsia" w:ascii="宋体" w:hAnsi="宋体" w:cs="宋体"/>
          <w:color w:val="auto"/>
          <w:szCs w:val="24"/>
          <w:highlight w:val="none"/>
        </w:rPr>
        <w:t>★功能模块：仪器应包括唾液毒品检测和尿液毒品检测等功能模块</w:t>
      </w:r>
    </w:p>
    <w:p w14:paraId="18FDA70C">
      <w:pPr>
        <w:spacing w:line="300" w:lineRule="auto"/>
        <w:ind w:firstLine="480"/>
        <w:rPr>
          <w:rFonts w:ascii="宋体" w:hAnsi="宋体" w:cs="宋体"/>
          <w:color w:val="auto"/>
          <w:szCs w:val="24"/>
          <w:highlight w:val="none"/>
        </w:rPr>
      </w:pPr>
      <w:r>
        <w:rPr>
          <w:rFonts w:hint="eastAsia" w:ascii="宋体" w:hAnsi="宋体" w:cs="宋体"/>
          <w:color w:val="auto"/>
          <w:szCs w:val="24"/>
          <w:highlight w:val="none"/>
        </w:rPr>
        <w:t>（3）★试剂配套的检测仪器需提供公安部</w:t>
      </w:r>
      <w:r>
        <w:rPr>
          <w:rFonts w:hint="eastAsia" w:ascii="宋体" w:cs="宋体"/>
          <w:color w:val="auto"/>
          <w:szCs w:val="24"/>
          <w:highlight w:val="none"/>
        </w:rPr>
        <w:t>手持式唾液尿液毒品检测仪</w:t>
      </w:r>
      <w:r>
        <w:rPr>
          <w:rFonts w:hint="eastAsia" w:ascii="宋体" w:hAnsi="宋体" w:cs="宋体"/>
          <w:color w:val="auto"/>
          <w:szCs w:val="24"/>
          <w:highlight w:val="none"/>
        </w:rPr>
        <w:t>检验报告；（</w:t>
      </w:r>
      <w:r>
        <w:rPr>
          <w:rFonts w:hint="eastAsia" w:ascii="宋体" w:hAnsi="宋体" w:cs="宋体"/>
          <w:color w:val="auto"/>
          <w:szCs w:val="24"/>
          <w:highlight w:val="none"/>
          <w:lang w:val="en-US" w:eastAsia="zh-CN"/>
        </w:rPr>
        <w:t>需</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0667B33C">
      <w:pPr>
        <w:spacing w:line="300" w:lineRule="auto"/>
        <w:ind w:firstLine="480"/>
        <w:rPr>
          <w:rFonts w:ascii="宋体" w:hAnsi="宋体" w:cs="宋体"/>
          <w:color w:val="auto"/>
          <w:szCs w:val="24"/>
          <w:highlight w:val="none"/>
        </w:rPr>
      </w:pPr>
      <w:r>
        <w:rPr>
          <w:rFonts w:hint="eastAsia" w:ascii="宋体" w:hAnsi="宋体" w:cs="宋体"/>
          <w:color w:val="auto"/>
          <w:szCs w:val="24"/>
          <w:highlight w:val="none"/>
        </w:rPr>
        <w:t>（4）唾液尿液毒品分析仪有中华人民共和国国家版权局出具的软件著作权证书；（</w:t>
      </w:r>
      <w:r>
        <w:rPr>
          <w:rFonts w:hint="eastAsia" w:ascii="宋体" w:hAnsi="宋体" w:cs="宋体"/>
          <w:color w:val="auto"/>
          <w:szCs w:val="24"/>
          <w:highlight w:val="none"/>
          <w:lang w:val="en-US" w:eastAsia="zh-CN"/>
        </w:rPr>
        <w:t>需</w:t>
      </w:r>
      <w:r>
        <w:rPr>
          <w:rFonts w:hint="eastAsia" w:ascii="宋体" w:hAnsi="宋体" w:cs="宋体"/>
          <w:color w:val="auto"/>
          <w:szCs w:val="24"/>
          <w:highlight w:val="none"/>
        </w:rPr>
        <w:t>提供相应证书）</w:t>
      </w:r>
    </w:p>
    <w:p w14:paraId="703B0AC2">
      <w:pPr>
        <w:pStyle w:val="12"/>
        <w:spacing w:line="300" w:lineRule="auto"/>
        <w:ind w:left="0" w:leftChars="0" w:firstLine="420" w:firstLineChars="200"/>
        <w:rPr>
          <w:rFonts w:ascii="宋体" w:hAnsi="宋体" w:cs="宋体"/>
          <w:color w:val="auto"/>
          <w:szCs w:val="24"/>
          <w:highlight w:val="none"/>
        </w:rPr>
      </w:pPr>
      <w:r>
        <w:rPr>
          <w:rFonts w:hint="eastAsia" w:ascii="宋体" w:hAnsi="宋体" w:cs="宋体"/>
          <w:color w:val="auto"/>
          <w:szCs w:val="24"/>
          <w:highlight w:val="none"/>
        </w:rPr>
        <w:t>（5）★检测模式试验：仪器的毒品检测功能模块应具有快速检测(试剂板在仪器内完成自动检测)和标准检测(试剂板在仪器内完成孵育和自动检测)两种检测模式；（</w:t>
      </w:r>
      <w:r>
        <w:rPr>
          <w:rFonts w:hint="eastAsia" w:ascii="宋体" w:hAnsi="宋体" w:cs="宋体"/>
          <w:color w:val="auto"/>
          <w:szCs w:val="24"/>
          <w:highlight w:val="none"/>
          <w:lang w:val="en-US" w:eastAsia="zh-CN"/>
        </w:rPr>
        <w:t>需</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w:t>
      </w:r>
    </w:p>
    <w:p w14:paraId="62547B76">
      <w:pPr>
        <w:pStyle w:val="223"/>
        <w:spacing w:line="300" w:lineRule="auto"/>
        <w:ind w:firstLine="480"/>
        <w:rPr>
          <w:rFonts w:ascii="宋体" w:hAnsi="宋体" w:cs="宋体"/>
          <w:color w:val="auto"/>
          <w:szCs w:val="24"/>
          <w:highlight w:val="none"/>
        </w:rPr>
      </w:pPr>
      <w:r>
        <w:rPr>
          <w:rFonts w:hint="eastAsia" w:ascii="宋体" w:hAnsi="宋体" w:cs="宋体"/>
          <w:color w:val="auto"/>
          <w:szCs w:val="24"/>
          <w:highlight w:val="none"/>
        </w:rPr>
        <w:t xml:space="preserve">（6）仪器重量： 仪器重量应小于等于 1 Kg </w:t>
      </w:r>
    </w:p>
    <w:p w14:paraId="258C3610">
      <w:pPr>
        <w:pStyle w:val="223"/>
        <w:spacing w:line="300" w:lineRule="auto"/>
        <w:ind w:firstLine="480"/>
        <w:rPr>
          <w:rFonts w:ascii="宋体" w:hAnsi="宋体" w:cs="宋体"/>
          <w:color w:val="auto"/>
          <w:szCs w:val="24"/>
          <w:highlight w:val="none"/>
        </w:rPr>
      </w:pPr>
      <w:r>
        <w:rPr>
          <w:rFonts w:hint="eastAsia" w:ascii="宋体" w:hAnsi="宋体" w:cs="宋体"/>
          <w:color w:val="auto"/>
          <w:szCs w:val="24"/>
          <w:highlight w:val="none"/>
        </w:rPr>
        <w:t>（7）项目识别： 仪器应能识别毒品检测试剂卡上的二维码，并自动匹配待测样品名称</w:t>
      </w:r>
    </w:p>
    <w:p w14:paraId="7EFADB9A">
      <w:pPr>
        <w:pStyle w:val="223"/>
        <w:spacing w:line="300" w:lineRule="auto"/>
        <w:ind w:firstLine="480"/>
        <w:rPr>
          <w:rFonts w:ascii="宋体" w:hAnsi="宋体" w:cs="宋体"/>
          <w:color w:val="auto"/>
          <w:szCs w:val="24"/>
          <w:highlight w:val="none"/>
        </w:rPr>
      </w:pPr>
      <w:r>
        <w:rPr>
          <w:rFonts w:hint="eastAsia" w:ascii="宋体" w:hAnsi="宋体" w:cs="宋体"/>
          <w:color w:val="auto"/>
          <w:szCs w:val="24"/>
          <w:highlight w:val="none"/>
        </w:rPr>
        <w:t>（8）★语音提示： 仪器应具有语音提示功能，在测试模式下，仪器能根据测试操作步骤进行语音提示，并对异常测试结果告警提示</w:t>
      </w:r>
    </w:p>
    <w:p w14:paraId="6083A2C8">
      <w:pPr>
        <w:pStyle w:val="223"/>
        <w:spacing w:line="300" w:lineRule="auto"/>
        <w:ind w:firstLine="480"/>
        <w:rPr>
          <w:rFonts w:ascii="宋体" w:hAnsi="宋体" w:cs="宋体"/>
          <w:color w:val="auto"/>
          <w:szCs w:val="24"/>
          <w:highlight w:val="none"/>
        </w:rPr>
      </w:pPr>
      <w:r>
        <w:rPr>
          <w:rFonts w:hint="eastAsia" w:ascii="宋体" w:hAnsi="宋体" w:cs="宋体"/>
          <w:color w:val="auto"/>
          <w:szCs w:val="24"/>
          <w:highlight w:val="none"/>
        </w:rPr>
        <w:t xml:space="preserve">（9）★用户权限管理：仪器应具有用户权限管理功能，授权用户可设置使用单位及使用人信息 </w:t>
      </w:r>
    </w:p>
    <w:p w14:paraId="7D224C9A">
      <w:pPr>
        <w:pStyle w:val="223"/>
        <w:spacing w:line="300" w:lineRule="auto"/>
        <w:ind w:firstLine="480"/>
        <w:rPr>
          <w:rFonts w:ascii="宋体" w:hAnsi="宋体" w:cs="宋体"/>
          <w:color w:val="auto"/>
          <w:szCs w:val="24"/>
          <w:highlight w:val="none"/>
        </w:rPr>
      </w:pPr>
      <w:r>
        <w:rPr>
          <w:rFonts w:hint="eastAsia" w:ascii="宋体" w:hAnsi="宋体" w:cs="宋体"/>
          <w:color w:val="auto"/>
          <w:szCs w:val="24"/>
          <w:highlight w:val="none"/>
        </w:rPr>
        <w:t>（10）具有标准曲线导入功能，同时能通过云平台下发至本地设备，也可通过ID卡导入；（提供相关证明材料）</w:t>
      </w:r>
    </w:p>
    <w:p w14:paraId="3FD6ED00">
      <w:pPr>
        <w:pStyle w:val="223"/>
        <w:spacing w:line="300" w:lineRule="auto"/>
        <w:ind w:firstLine="480"/>
        <w:jc w:val="left"/>
        <w:rPr>
          <w:rFonts w:ascii="宋体" w:hAnsi="宋体" w:cs="宋体"/>
          <w:color w:val="auto"/>
          <w:szCs w:val="24"/>
          <w:highlight w:val="none"/>
        </w:rPr>
      </w:pPr>
      <w:r>
        <w:rPr>
          <w:rFonts w:hint="eastAsia" w:ascii="宋体" w:hAnsi="宋体" w:cs="宋体"/>
          <w:color w:val="auto"/>
          <w:szCs w:val="24"/>
          <w:highlight w:val="none"/>
        </w:rPr>
        <w:t>（11）检测时间：仪器的毒品检测单词分析时间应小于等于 10 min（</w:t>
      </w:r>
      <w:r>
        <w:rPr>
          <w:rFonts w:hint="eastAsia" w:ascii="宋体" w:hAnsi="宋体" w:cs="宋体"/>
          <w:color w:val="auto"/>
          <w:szCs w:val="24"/>
          <w:highlight w:val="none"/>
          <w:lang w:val="en-US" w:eastAsia="zh-CN"/>
        </w:rPr>
        <w:t>需</w:t>
      </w:r>
      <w:r>
        <w:rPr>
          <w:rFonts w:hint="eastAsia" w:ascii="宋体" w:hAnsi="宋体" w:cs="宋体"/>
          <w:color w:val="auto"/>
          <w:szCs w:val="24"/>
          <w:highlight w:val="none"/>
        </w:rPr>
        <w:t>提供相关证明材料）</w:t>
      </w:r>
    </w:p>
    <w:p w14:paraId="335F13C4">
      <w:pPr>
        <w:pStyle w:val="223"/>
        <w:spacing w:line="300" w:lineRule="auto"/>
        <w:ind w:firstLine="480"/>
        <w:jc w:val="left"/>
        <w:rPr>
          <w:rFonts w:ascii="宋体" w:hAnsi="宋体" w:cs="宋体"/>
          <w:color w:val="auto"/>
          <w:szCs w:val="24"/>
          <w:highlight w:val="none"/>
        </w:rPr>
      </w:pPr>
      <w:r>
        <w:rPr>
          <w:rFonts w:hint="eastAsia" w:ascii="宋体" w:hAnsi="宋体" w:cs="宋体"/>
          <w:color w:val="auto"/>
          <w:szCs w:val="24"/>
          <w:highlight w:val="none"/>
        </w:rPr>
        <w:t>（12）供电方式：具有内置锂电池供电和电源线供电两种方式；（</w:t>
      </w:r>
      <w:r>
        <w:rPr>
          <w:rFonts w:hint="eastAsia" w:ascii="宋体" w:hAnsi="宋体" w:cs="宋体"/>
          <w:color w:val="auto"/>
          <w:szCs w:val="24"/>
          <w:highlight w:val="none"/>
          <w:lang w:val="en-US" w:eastAsia="zh-CN"/>
        </w:rPr>
        <w:t>需</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或相关证明材料证明）</w:t>
      </w:r>
    </w:p>
    <w:p w14:paraId="43B52486">
      <w:pPr>
        <w:pStyle w:val="223"/>
        <w:spacing w:line="300" w:lineRule="auto"/>
        <w:ind w:firstLine="480"/>
        <w:jc w:val="left"/>
        <w:rPr>
          <w:rFonts w:ascii="宋体" w:hAnsi="宋体" w:cs="宋体"/>
          <w:color w:val="auto"/>
          <w:szCs w:val="24"/>
          <w:highlight w:val="none"/>
        </w:rPr>
      </w:pPr>
      <w:r>
        <w:rPr>
          <w:rFonts w:hint="eastAsia" w:ascii="宋体" w:hAnsi="宋体" w:cs="宋体"/>
          <w:color w:val="auto"/>
          <w:szCs w:val="24"/>
          <w:highlight w:val="none"/>
        </w:rPr>
        <w:t>（13）支持网络连接，WIFI，4G，蓝牙以上（</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或相关证明材料证明）</w:t>
      </w:r>
    </w:p>
    <w:p w14:paraId="4A62FD8C">
      <w:pPr>
        <w:pStyle w:val="223"/>
        <w:spacing w:line="300" w:lineRule="auto"/>
        <w:ind w:firstLine="480"/>
        <w:jc w:val="left"/>
        <w:rPr>
          <w:rFonts w:ascii="宋体" w:hAnsi="宋体" w:cs="宋体"/>
          <w:color w:val="auto"/>
          <w:szCs w:val="24"/>
          <w:highlight w:val="none"/>
        </w:rPr>
      </w:pPr>
      <w:r>
        <w:rPr>
          <w:rFonts w:hint="eastAsia" w:ascii="宋体" w:hAnsi="宋体" w:cs="宋体"/>
          <w:color w:val="auto"/>
          <w:szCs w:val="24"/>
          <w:highlight w:val="none"/>
        </w:rPr>
        <w:t>（14）WIFI连接：液晶屏幕选择WIFI热点，输入密码；（</w:t>
      </w:r>
      <w:r>
        <w:rPr>
          <w:rFonts w:hint="eastAsia" w:ascii="宋体" w:hAnsi="宋体" w:cs="宋体"/>
          <w:color w:val="auto"/>
          <w:szCs w:val="24"/>
          <w:highlight w:val="none"/>
          <w:lang w:val="en-US" w:eastAsia="zh-CN"/>
        </w:rPr>
        <w:t>需</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或相关证明材料证明）</w:t>
      </w:r>
    </w:p>
    <w:p w14:paraId="08DB4224">
      <w:pPr>
        <w:pStyle w:val="223"/>
        <w:spacing w:line="300" w:lineRule="auto"/>
        <w:ind w:firstLine="480"/>
        <w:jc w:val="left"/>
        <w:rPr>
          <w:rFonts w:ascii="宋体" w:hAnsi="宋体" w:cs="宋体"/>
          <w:color w:val="auto"/>
          <w:szCs w:val="24"/>
          <w:highlight w:val="none"/>
        </w:rPr>
      </w:pPr>
      <w:r>
        <w:rPr>
          <w:rFonts w:hint="eastAsia" w:ascii="宋体" w:hAnsi="宋体" w:cs="宋体"/>
          <w:color w:val="auto"/>
          <w:szCs w:val="24"/>
          <w:highlight w:val="none"/>
        </w:rPr>
        <w:t>（15）4G 连接：配置流量卡，自动连接4G及以上基站；（</w:t>
      </w:r>
      <w:r>
        <w:rPr>
          <w:rFonts w:hint="eastAsia" w:ascii="宋体" w:hAnsi="宋体" w:cs="宋体"/>
          <w:color w:val="auto"/>
          <w:szCs w:val="24"/>
          <w:highlight w:val="none"/>
          <w:lang w:val="en-US" w:eastAsia="zh-CN"/>
        </w:rPr>
        <w:t>需</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或相关证明材料证明）</w:t>
      </w:r>
    </w:p>
    <w:p w14:paraId="756CC3E5">
      <w:pPr>
        <w:spacing w:line="40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（16）设备应内置身份证阅读器，且身份证阅读器应符合GA 450 -2013《台式居民身份证阅读器通用技术要求》的相关要求。且能通过内置身份证阅读器获取被测人员的信息，信息应包含姓名、性别、身份证号等；（</w:t>
      </w:r>
      <w:r>
        <w:rPr>
          <w:rFonts w:hint="eastAsia" w:ascii="宋体" w:hAnsi="宋体" w:cs="宋体"/>
          <w:color w:val="auto"/>
          <w:szCs w:val="24"/>
          <w:highlight w:val="none"/>
          <w:lang w:val="en-US" w:eastAsia="zh-CN"/>
        </w:rPr>
        <w:t>需</w:t>
      </w:r>
      <w:r>
        <w:rPr>
          <w:rFonts w:hint="eastAsia" w:ascii="宋体" w:hAnsi="宋体" w:cs="宋体"/>
          <w:color w:val="auto"/>
          <w:szCs w:val="24"/>
          <w:highlight w:val="none"/>
          <w:lang w:eastAsia="zh-CN"/>
        </w:rPr>
        <w:t>提供相关证明材料</w:t>
      </w:r>
      <w:r>
        <w:rPr>
          <w:rFonts w:hint="eastAsia" w:ascii="宋体" w:hAnsi="宋体" w:cs="宋体"/>
          <w:color w:val="auto"/>
          <w:szCs w:val="24"/>
          <w:highlight w:val="none"/>
        </w:rPr>
        <w:t xml:space="preserve">或相关证明材料证明） </w:t>
      </w:r>
    </w:p>
    <w:p w14:paraId="1292B80A">
      <w:pPr>
        <w:spacing w:line="400" w:lineRule="exact"/>
        <w:ind w:firstLine="482"/>
        <w:rPr>
          <w:rFonts w:hint="eastAsia" w:ascii="宋体" w:hAnsi="宋体" w:cs="宋体"/>
          <w:b/>
          <w:bCs/>
          <w:color w:val="auto"/>
          <w:szCs w:val="21"/>
          <w:highlight w:val="none"/>
          <w:lang w:val="en-US" w:eastAsia="zh-CN"/>
        </w:rPr>
      </w:pPr>
      <w:r>
        <w:rPr>
          <w:rFonts w:hint="eastAsia" w:ascii="宋体" w:hAnsi="宋体" w:cs="宋体"/>
          <w:b/>
          <w:color w:val="auto"/>
          <w:kern w:val="2"/>
          <w:sz w:val="21"/>
          <w:szCs w:val="21"/>
          <w:highlight w:val="none"/>
          <w:lang w:val="en-US" w:eastAsia="zh-CN" w:bidi="ar-SA"/>
        </w:rPr>
        <w:t>注：</w:t>
      </w:r>
      <w:r>
        <w:rPr>
          <w:rFonts w:hint="eastAsia" w:ascii="宋体" w:hAnsi="宋体" w:eastAsia="宋体" w:cs="宋体"/>
          <w:b/>
          <w:color w:val="auto"/>
          <w:kern w:val="2"/>
          <w:sz w:val="21"/>
          <w:szCs w:val="21"/>
          <w:highlight w:val="none"/>
          <w:lang w:val="en-US" w:eastAsia="zh-CN" w:bidi="ar-SA"/>
        </w:rPr>
        <w:t>上述产品技术参数说明要求中，凡涉及开标时需提供相关产品认证及检测报告等内容（提供证明文件复印件加盖供应商公章），投标时均不做强制性要求</w:t>
      </w:r>
      <w:r>
        <w:rPr>
          <w:rFonts w:hint="eastAsia" w:ascii="宋体" w:hAnsi="宋体" w:cs="宋体"/>
          <w:b/>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进场前由中标单位按采购人要求提供相关证明文件。</w:t>
      </w:r>
    </w:p>
    <w:p w14:paraId="23D3CA60">
      <w:pPr>
        <w:spacing w:line="400" w:lineRule="exact"/>
        <w:ind w:firstLine="482"/>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 xml:space="preserve">、商务要求 </w:t>
      </w:r>
    </w:p>
    <w:p w14:paraId="35166E7C">
      <w:pPr>
        <w:spacing w:line="400" w:lineRule="exact"/>
        <w:ind w:firstLine="482"/>
        <w:rPr>
          <w:rFonts w:hint="eastAsia" w:ascii="宋体" w:hAnsi="宋体" w:cs="宋体"/>
          <w:color w:val="auto"/>
          <w:highlight w:val="none"/>
        </w:rPr>
      </w:pPr>
      <w:r>
        <w:rPr>
          <w:rFonts w:hint="eastAsia" w:ascii="宋体" w:hAnsi="宋体" w:cs="宋体"/>
          <w:b/>
          <w:bCs/>
          <w:color w:val="auto"/>
          <w:kern w:val="0"/>
          <w:szCs w:val="24"/>
          <w:highlight w:val="none"/>
          <w:lang w:bidi="ar"/>
        </w:rPr>
        <w:t>1、检测服务：</w:t>
      </w:r>
      <w:r>
        <w:rPr>
          <w:rFonts w:hint="eastAsia" w:ascii="宋体" w:hAnsi="宋体" w:cs="宋体"/>
          <w:color w:val="auto"/>
          <w:kern w:val="0"/>
          <w:szCs w:val="24"/>
          <w:highlight w:val="none"/>
          <w:lang w:bidi="ar"/>
        </w:rPr>
        <w:t>若采购人一次性样本超过50人次及以上要检测的由中标供应商提供上门进行</w:t>
      </w:r>
      <w:r>
        <w:rPr>
          <w:rFonts w:hint="eastAsia" w:ascii="宋体" w:hAnsi="宋体" w:cs="宋体"/>
          <w:color w:val="auto"/>
          <w:kern w:val="0"/>
          <w:szCs w:val="24"/>
          <w:highlight w:val="none"/>
          <w:lang w:eastAsia="zh-CN" w:bidi="ar"/>
        </w:rPr>
        <w:t>尿液</w:t>
      </w:r>
      <w:r>
        <w:rPr>
          <w:rFonts w:hint="eastAsia" w:ascii="宋体" w:hAnsi="宋体" w:cs="宋体"/>
          <w:color w:val="auto"/>
          <w:kern w:val="0"/>
          <w:szCs w:val="24"/>
          <w:highlight w:val="none"/>
          <w:lang w:bidi="ar"/>
        </w:rPr>
        <w:t xml:space="preserve">采样，进行现场检测或带回自有实验室检测。 </w:t>
      </w:r>
    </w:p>
    <w:p w14:paraId="6D0DCB9F">
      <w:pPr>
        <w:spacing w:line="400" w:lineRule="exact"/>
        <w:ind w:firstLine="480"/>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 xml:space="preserve">2、检测、结果报告及服务要求： </w:t>
      </w:r>
    </w:p>
    <w:p w14:paraId="06633CFA">
      <w:pPr>
        <w:spacing w:line="400" w:lineRule="exact"/>
        <w:ind w:firstLine="480"/>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 xml:space="preserve">1）检测 </w:t>
      </w:r>
    </w:p>
    <w:p w14:paraId="155AD08E">
      <w:pPr>
        <w:spacing w:line="400" w:lineRule="exact"/>
        <w:ind w:firstLine="480"/>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(1) 检测实验室：采购人委托的</w:t>
      </w:r>
      <w:r>
        <w:rPr>
          <w:rFonts w:hint="eastAsia" w:ascii="宋体" w:hAnsi="宋体" w:cs="宋体"/>
          <w:color w:val="auto"/>
          <w:kern w:val="0"/>
          <w:szCs w:val="24"/>
          <w:highlight w:val="none"/>
          <w:lang w:eastAsia="zh-CN" w:bidi="ar"/>
        </w:rPr>
        <w:t>毒品试剂耗材</w:t>
      </w:r>
      <w:r>
        <w:rPr>
          <w:rFonts w:hint="eastAsia" w:ascii="宋体" w:hAnsi="宋体" w:cs="宋体"/>
          <w:color w:val="auto"/>
          <w:kern w:val="0"/>
          <w:szCs w:val="24"/>
          <w:highlight w:val="none"/>
          <w:lang w:bidi="ar"/>
        </w:rPr>
        <w:t>中标人须在实验室环境下进行检测，以保证</w:t>
      </w:r>
      <w:r>
        <w:rPr>
          <w:rFonts w:hint="eastAsia" w:ascii="宋体" w:hAnsi="宋体" w:cs="宋体"/>
          <w:color w:val="auto"/>
          <w:kern w:val="0"/>
          <w:szCs w:val="24"/>
          <w:highlight w:val="none"/>
          <w:lang w:eastAsia="zh-CN" w:bidi="ar"/>
        </w:rPr>
        <w:t>检测</w:t>
      </w:r>
      <w:r>
        <w:rPr>
          <w:rFonts w:hint="eastAsia" w:ascii="宋体" w:hAnsi="宋体" w:cs="宋体"/>
          <w:color w:val="auto"/>
          <w:kern w:val="0"/>
          <w:szCs w:val="24"/>
          <w:highlight w:val="none"/>
          <w:lang w:bidi="ar"/>
        </w:rPr>
        <w:t xml:space="preserve">结果的准确及质控可控。 </w:t>
      </w:r>
    </w:p>
    <w:p w14:paraId="2A4577EB">
      <w:pPr>
        <w:spacing w:line="400" w:lineRule="exact"/>
        <w:ind w:firstLine="480"/>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 xml:space="preserve">(2) 检测人员：中标人须提供检测人员不得少于6人，24小时服务，检测人员必须经过司法鉴定机构毒物专业的相关培训并持证上岗。 </w:t>
      </w:r>
    </w:p>
    <w:p w14:paraId="7504B117">
      <w:pPr>
        <w:spacing w:line="400" w:lineRule="exact"/>
        <w:ind w:firstLine="480"/>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(3) 样本保管：由供应商负责，接收</w:t>
      </w:r>
      <w:r>
        <w:rPr>
          <w:rFonts w:hint="eastAsia" w:ascii="宋体" w:hAnsi="宋体" w:cs="宋体"/>
          <w:color w:val="auto"/>
          <w:kern w:val="0"/>
          <w:szCs w:val="24"/>
          <w:highlight w:val="none"/>
          <w:lang w:val="en-US" w:eastAsia="zh-CN" w:bidi="ar"/>
        </w:rPr>
        <w:t>毒品试剂耗材</w:t>
      </w:r>
      <w:r>
        <w:rPr>
          <w:rFonts w:hint="eastAsia" w:ascii="宋体" w:hAnsi="宋体" w:cs="宋体"/>
          <w:color w:val="auto"/>
          <w:kern w:val="0"/>
          <w:szCs w:val="24"/>
          <w:highlight w:val="none"/>
          <w:lang w:bidi="ar"/>
        </w:rPr>
        <w:t xml:space="preserve">时，应当查验、状态、封条有无破损以及其他可能对检验结论产生影响的情况，确保样本不遗失、不调换、不损坏。 </w:t>
      </w:r>
    </w:p>
    <w:p w14:paraId="189626F3">
      <w:pPr>
        <w:spacing w:line="400" w:lineRule="exact"/>
        <w:ind w:firstLine="480"/>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 xml:space="preserve">(4) 供应商要建立样本的管理规范，应有样本登记、编号等流转记录，配备必要的设备设施，在规定条件下保存备样，确保备样的有效性。 </w:t>
      </w:r>
    </w:p>
    <w:p w14:paraId="69F375EA">
      <w:pPr>
        <w:spacing w:line="400" w:lineRule="exact"/>
        <w:ind w:firstLine="480"/>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 xml:space="preserve">2） 检验及结果报告 </w:t>
      </w:r>
    </w:p>
    <w:p w14:paraId="206B70E7">
      <w:pPr>
        <w:spacing w:line="400" w:lineRule="exact"/>
        <w:ind w:firstLine="480"/>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 xml:space="preserve">（1）检验实验室：所有样本必须在投标文件中明确的承担本项目检测的实验室中进行检测。 </w:t>
      </w:r>
    </w:p>
    <w:p w14:paraId="1578515C">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（2）检验依据：检测过程严格按照公</w:t>
      </w:r>
      <w:r>
        <w:rPr>
          <w:rFonts w:hint="eastAsia" w:ascii="宋体" w:hAnsi="宋体" w:cs="宋体"/>
          <w:color w:val="auto"/>
          <w:kern w:val="0"/>
          <w:szCs w:val="24"/>
          <w:highlight w:val="none"/>
          <w:lang w:val="en-US" w:eastAsia="zh-CN" w:bidi="ar"/>
        </w:rPr>
        <w:t>安</w:t>
      </w:r>
      <w:r>
        <w:rPr>
          <w:rFonts w:hint="eastAsia" w:ascii="宋体" w:hAnsi="宋体" w:eastAsia="宋体" w:cs="宋体"/>
          <w:color w:val="auto"/>
          <w:kern w:val="0"/>
          <w:szCs w:val="24"/>
          <w:highlight w:val="none"/>
          <w:lang w:bidi="ar"/>
        </w:rPr>
        <w:t>禁毒 2018【938】号关于印发《涉毒人员</w:t>
      </w:r>
      <w:r>
        <w:rPr>
          <w:rFonts w:hint="eastAsia" w:ascii="宋体" w:hAnsi="宋体" w:cs="宋体"/>
          <w:color w:val="auto"/>
          <w:kern w:val="0"/>
          <w:szCs w:val="24"/>
          <w:highlight w:val="none"/>
          <w:lang w:eastAsia="zh-CN" w:bidi="ar"/>
        </w:rPr>
        <w:t>毒品试剂耗材</w:t>
      </w:r>
      <w:r>
        <w:rPr>
          <w:rFonts w:hint="eastAsia" w:ascii="宋体" w:hAnsi="宋体" w:eastAsia="宋体" w:cs="宋体"/>
          <w:color w:val="auto"/>
          <w:kern w:val="0"/>
          <w:szCs w:val="24"/>
          <w:highlight w:val="none"/>
          <w:lang w:bidi="ar"/>
        </w:rPr>
        <w:t>检测规范》及</w:t>
      </w:r>
      <w:r>
        <w:rPr>
          <w:rFonts w:hint="eastAsia" w:ascii="宋体" w:hAnsi="宋体" w:cs="宋体"/>
          <w:color w:val="auto"/>
          <w:kern w:val="0"/>
          <w:szCs w:val="24"/>
          <w:highlight w:val="none"/>
          <w:lang w:val="en-US" w:eastAsia="zh-CN" w:bidi="ar"/>
        </w:rPr>
        <w:t>相关</w:t>
      </w:r>
      <w:r>
        <w:rPr>
          <w:rFonts w:hint="eastAsia" w:ascii="宋体" w:hAnsi="宋体" w:eastAsia="宋体" w:cs="宋体"/>
          <w:color w:val="auto"/>
          <w:kern w:val="0"/>
          <w:szCs w:val="24"/>
          <w:highlight w:val="none"/>
          <w:lang w:bidi="ar"/>
        </w:rPr>
        <w:t>检测程序规定进行检测，履行法定手续，认真做好</w:t>
      </w:r>
      <w:r>
        <w:rPr>
          <w:rFonts w:hint="eastAsia" w:ascii="宋体" w:hAnsi="宋体" w:cs="宋体"/>
          <w:color w:val="auto"/>
          <w:kern w:val="0"/>
          <w:szCs w:val="24"/>
          <w:highlight w:val="none"/>
          <w:lang w:eastAsia="zh-CN" w:bidi="ar"/>
        </w:rPr>
        <w:t>毒品试剂耗材</w:t>
      </w:r>
      <w:r>
        <w:rPr>
          <w:rFonts w:hint="eastAsia" w:ascii="宋体" w:hAnsi="宋体" w:eastAsia="宋体" w:cs="宋体"/>
          <w:color w:val="auto"/>
          <w:kern w:val="0"/>
          <w:szCs w:val="24"/>
          <w:highlight w:val="none"/>
          <w:lang w:bidi="ar"/>
        </w:rPr>
        <w:t xml:space="preserve">检测、数据录入和报送等工作，确保检测结果准确可靠。 </w:t>
      </w:r>
    </w:p>
    <w:p w14:paraId="68502D45">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检验方法：供应商应当对检验工作负责，须按照法律法规、国家安全标准、行业标准、地方标准、备案有效的企业标准和检验技术要求开展检验工作，如实、准确、完整、及时地填写检验原始记录，保证检验工作的科学、独立、客观和规范。 </w:t>
      </w:r>
    </w:p>
    <w:p w14:paraId="235F00FA">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3）检验质量要求 </w:t>
      </w:r>
    </w:p>
    <w:p w14:paraId="68800EC3">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承检机构应保证检测结果的准确性与司法鉴定机构出具的结果误差率不得超过10%，如误差率超出10%，超出部分，采购人可扣除 3 倍的该批次检测费用进行处罚，否则甲方有权单方面终止合同。 </w:t>
      </w:r>
    </w:p>
    <w:p w14:paraId="2E0D84B7">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4）其他服务要求 </w:t>
      </w:r>
    </w:p>
    <w:p w14:paraId="065778E3">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供应商应当对检验过程负责，如实、准确、完整、及时地完成工作。不得随意更改样品信息，不得瞒报、谎报、漏报、错报检测数据，不得擅自发布有关抽检信息，不得牟取不正当利益，确保结果的真实客观和准确。 </w:t>
      </w:r>
    </w:p>
    <w:p w14:paraId="78AE2E5F">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（2）保密责任：涉及样本的全部情况包括数据及结果，供应商必须保密，不得向除委托方外的任何单位与个人透露情况。 </w:t>
      </w:r>
    </w:p>
    <w:p w14:paraId="1BD41689">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（3）失误责任：供应商对检验结果的真实性负责，如果因故意隐瞒、弄虚作假、错误检验数据和结论等行为而给被检验人造成损失的，或者给社会带来不良影响的，供应商应当负责赔偿，并承担相应法律责任。 </w:t>
      </w:r>
    </w:p>
    <w:p w14:paraId="742049D2">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（4）配合服务：供应商应积极配合委托方开展抽检及售后工作，应安排专人到采购人处配合开展检测工作。 </w:t>
      </w:r>
    </w:p>
    <w:p w14:paraId="36F0A949">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5）违规处理：采购人可在委托期间对供应商是否规范操作进行监督检查，如发生违规操作或其他违法行为，一经发现将立即终止该次检测活动，采购人将记录备案，并扣罚相应的违约赔偿费；情形严重的，采购人有权单方面终止合同，并将供应商列入不诚信供应商名单，拒绝其参加今后采购单位相关检测项目的投标资格。如有需要将依法追究供应商和相关人员的法律责任。 </w:t>
      </w:r>
    </w:p>
    <w:p w14:paraId="3B043470">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5）其他要求 </w:t>
      </w:r>
    </w:p>
    <w:p w14:paraId="5311F022">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（1）供应商要按时完成检测，认真做好样本信息登记、检验检测、数据汇总及分析报告等项工作，并及时将检测数据、检测报告及分析报告报委托方。如遇特殊情况需推迟，须提前通知委托方。 </w:t>
      </w:r>
    </w:p>
    <w:p w14:paraId="5C98EC2E">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（2）供应商在抽检过程中发现的问题及相关信息要及时通报委托方，未经委托方的同意，不得擅自发布本次抽检的相关信息。</w:t>
      </w:r>
    </w:p>
    <w:p w14:paraId="763F65A9">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（3）本项目必须由具备相关资质的检验检测机构完全承担，未经采购人同意，供应商不得分包，擅自分包检验任务，甚至转包检验任务的，将取消其本项目检测服务资格。 </w:t>
      </w:r>
    </w:p>
    <w:p w14:paraId="184A01AA">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3、当采购人对</w:t>
      </w:r>
      <w:r>
        <w:rPr>
          <w:rFonts w:hint="eastAsia" w:ascii="宋体" w:hAnsi="宋体" w:cs="宋体"/>
          <w:color w:val="auto"/>
          <w:kern w:val="0"/>
          <w:szCs w:val="24"/>
          <w:highlight w:val="none"/>
          <w:lang w:eastAsia="zh-CN" w:bidi="ar"/>
        </w:rPr>
        <w:t>尿液</w:t>
      </w:r>
      <w:r>
        <w:rPr>
          <w:rFonts w:hint="eastAsia" w:ascii="宋体" w:hAnsi="宋体" w:eastAsia="宋体" w:cs="宋体"/>
          <w:color w:val="auto"/>
          <w:kern w:val="0"/>
          <w:szCs w:val="24"/>
          <w:highlight w:val="none"/>
          <w:lang w:bidi="ar"/>
        </w:rPr>
        <w:t>检测试剂/样本提出疑问时，报价人有处理采购人提供的异样试剂/样本的能力，对采购人提出的可疑试剂/样本送到第三方司法鉴定机构实验室验证，验证机构应具有CMA认证</w:t>
      </w:r>
      <w:r>
        <w:rPr>
          <w:rFonts w:hint="eastAsia" w:ascii="宋体" w:hAnsi="宋体" w:eastAsia="宋体" w:cs="宋体"/>
          <w:color w:val="auto"/>
          <w:kern w:val="0"/>
          <w:szCs w:val="24"/>
          <w:highlight w:val="none"/>
          <w:lang w:eastAsia="zh-CN" w:bidi="ar"/>
        </w:rPr>
        <w:t>和</w:t>
      </w:r>
      <w:r>
        <w:rPr>
          <w:rFonts w:hint="eastAsia" w:ascii="宋体" w:hAnsi="宋体" w:eastAsia="宋体" w:cs="宋体"/>
          <w:color w:val="auto"/>
          <w:kern w:val="0"/>
          <w:szCs w:val="24"/>
          <w:highlight w:val="none"/>
          <w:lang w:bidi="ar"/>
        </w:rPr>
        <w:t xml:space="preserve">CNAS认可。 </w:t>
      </w:r>
    </w:p>
    <w:p w14:paraId="0A7585F7">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4</w:t>
      </w:r>
      <w:r>
        <w:rPr>
          <w:rFonts w:hint="eastAsia" w:ascii="宋体" w:hAnsi="宋体" w:eastAsia="宋体" w:cs="宋体"/>
          <w:color w:val="auto"/>
          <w:kern w:val="0"/>
          <w:szCs w:val="24"/>
          <w:highlight w:val="none"/>
          <w:lang w:bidi="ar"/>
        </w:rPr>
        <w:t>、</w:t>
      </w:r>
      <w:r>
        <w:rPr>
          <w:rFonts w:hint="eastAsia" w:ascii="宋体" w:hAnsi="宋体" w:eastAsia="宋体" w:cs="宋体"/>
          <w:color w:val="auto"/>
          <w:kern w:val="0"/>
          <w:szCs w:val="24"/>
          <w:highlight w:val="none"/>
          <w:lang w:eastAsia="zh-CN" w:bidi="ar"/>
        </w:rPr>
        <w:t xml:space="preserve">本项目服务期限为自合同签订之日起 </w:t>
      </w:r>
      <w:r>
        <w:rPr>
          <w:rFonts w:hint="eastAsia" w:ascii="宋体" w:hAnsi="宋体" w:cs="宋体"/>
          <w:color w:val="auto"/>
          <w:kern w:val="0"/>
          <w:szCs w:val="24"/>
          <w:highlight w:val="none"/>
          <w:lang w:val="en-US" w:eastAsia="zh-CN" w:bidi="ar"/>
        </w:rPr>
        <w:t>1</w:t>
      </w:r>
      <w:r>
        <w:rPr>
          <w:rFonts w:hint="eastAsia" w:ascii="宋体" w:hAnsi="宋体" w:eastAsia="宋体" w:cs="宋体"/>
          <w:color w:val="auto"/>
          <w:kern w:val="0"/>
          <w:szCs w:val="24"/>
          <w:highlight w:val="none"/>
          <w:lang w:eastAsia="zh-CN" w:bidi="ar"/>
        </w:rPr>
        <w:t>年，若结算价款满合同限额后则提前自动解除。</w:t>
      </w:r>
      <w:r>
        <w:rPr>
          <w:rFonts w:hint="eastAsia" w:ascii="宋体" w:hAnsi="宋体" w:eastAsia="宋体" w:cs="宋体"/>
          <w:color w:val="auto"/>
          <w:kern w:val="0"/>
          <w:szCs w:val="24"/>
          <w:highlight w:val="none"/>
          <w:lang w:bidi="ar"/>
        </w:rPr>
        <w:t xml:space="preserve"> </w:t>
      </w:r>
    </w:p>
    <w:p w14:paraId="10F8DFF5">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5</w:t>
      </w:r>
      <w:r>
        <w:rPr>
          <w:rFonts w:hint="eastAsia" w:ascii="宋体" w:hAnsi="宋体" w:eastAsia="宋体" w:cs="宋体"/>
          <w:color w:val="auto"/>
          <w:kern w:val="0"/>
          <w:szCs w:val="24"/>
          <w:highlight w:val="none"/>
          <w:lang w:bidi="ar"/>
        </w:rPr>
        <w:t xml:space="preserve">、以上货物如无特别注明的均为制造厂出厂的标准配置。 </w:t>
      </w:r>
    </w:p>
    <w:p w14:paraId="31FFC821">
      <w:pPr>
        <w:pStyle w:val="8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付款方式：</w:t>
      </w:r>
    </w:p>
    <w:p w14:paraId="63B094CE">
      <w:pPr>
        <w:pStyle w:val="8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1</w:t>
      </w:r>
      <w:r>
        <w:rPr>
          <w:rFonts w:hint="eastAsia" w:ascii="宋体" w:hAnsi="宋体"/>
          <w:bCs/>
          <w:color w:val="auto"/>
          <w:szCs w:val="21"/>
          <w:highlight w:val="none"/>
          <w:lang w:eastAsia="zh-CN"/>
        </w:rPr>
        <w:t>）</w:t>
      </w:r>
      <w:r>
        <w:rPr>
          <w:rFonts w:hint="eastAsia" w:ascii="宋体" w:hAnsi="宋体"/>
          <w:bCs/>
          <w:color w:val="auto"/>
          <w:szCs w:val="21"/>
          <w:highlight w:val="none"/>
        </w:rPr>
        <w:t>接到单批供货通知后，7个工作日内支付该批次合同价的</w:t>
      </w:r>
      <w:r>
        <w:rPr>
          <w:rFonts w:hint="eastAsia" w:ascii="宋体" w:hAnsi="宋体"/>
          <w:bCs/>
          <w:color w:val="auto"/>
          <w:szCs w:val="21"/>
          <w:highlight w:val="none"/>
          <w:lang w:val="en-US" w:eastAsia="zh-CN"/>
        </w:rPr>
        <w:t>60</w:t>
      </w:r>
      <w:r>
        <w:rPr>
          <w:rFonts w:hint="eastAsia" w:ascii="宋体" w:hAnsi="宋体"/>
          <w:bCs/>
          <w:color w:val="auto"/>
          <w:szCs w:val="21"/>
          <w:highlight w:val="none"/>
        </w:rPr>
        <w:t>%作为预付款</w:t>
      </w:r>
      <w:r>
        <w:rPr>
          <w:rFonts w:hint="eastAsia" w:ascii="宋体" w:hAnsi="宋体"/>
          <w:color w:val="auto"/>
          <w:szCs w:val="24"/>
          <w:highlight w:val="none"/>
        </w:rPr>
        <w:t>（需提供正式的税务发票）</w:t>
      </w:r>
      <w:r>
        <w:rPr>
          <w:rFonts w:hint="eastAsia" w:ascii="宋体" w:hAnsi="宋体"/>
          <w:bCs/>
          <w:color w:val="auto"/>
          <w:szCs w:val="21"/>
          <w:highlight w:val="none"/>
        </w:rPr>
        <w:t>，当前批次验收完成，支付至该批货物合同价的100%。</w:t>
      </w:r>
    </w:p>
    <w:p w14:paraId="46E73385">
      <w:pPr>
        <w:spacing w:line="400" w:lineRule="exact"/>
        <w:ind w:firstLine="480"/>
        <w:rPr>
          <w:rFonts w:hint="eastAsia" w:ascii="宋体" w:hAnsi="宋体" w:cs="宋体"/>
          <w:color w:val="auto"/>
          <w:kern w:val="0"/>
          <w:szCs w:val="24"/>
          <w:highlight w:val="none"/>
          <w:lang w:val="en-US" w:eastAsia="zh-CN" w:bidi="ar"/>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w:t>
      </w:r>
      <w:r>
        <w:rPr>
          <w:rFonts w:hint="eastAsia" w:ascii="宋体" w:hAnsi="宋体"/>
          <w:bCs/>
          <w:color w:val="auto"/>
          <w:szCs w:val="21"/>
          <w:highlight w:val="none"/>
        </w:rPr>
        <w:t>供应商每次供货须经采购人验收合格，且提供正式的税务发票，采购人凭税务发票付款。</w:t>
      </w:r>
    </w:p>
    <w:p w14:paraId="4B2BBEE0">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7</w:t>
      </w:r>
      <w:r>
        <w:rPr>
          <w:rFonts w:hint="eastAsia" w:ascii="宋体" w:hAnsi="宋体" w:eastAsia="宋体" w:cs="宋体"/>
          <w:color w:val="auto"/>
          <w:kern w:val="0"/>
          <w:szCs w:val="24"/>
          <w:highlight w:val="none"/>
          <w:lang w:bidi="ar"/>
        </w:rPr>
        <w:t xml:space="preserve">、交货时间地点 </w:t>
      </w:r>
    </w:p>
    <w:p w14:paraId="45698701">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（1）交货地点：业主指定地点 </w:t>
      </w:r>
    </w:p>
    <w:p w14:paraId="7E3B4704">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（2）交货时间：</w:t>
      </w:r>
      <w:r>
        <w:rPr>
          <w:rFonts w:hint="eastAsia" w:ascii="宋体" w:hAnsi="宋体" w:eastAsia="宋体" w:cs="宋体"/>
          <w:color w:val="auto"/>
          <w:kern w:val="0"/>
          <w:szCs w:val="24"/>
          <w:highlight w:val="none"/>
          <w:lang w:val="en-US" w:eastAsia="zh-CN" w:bidi="ar"/>
        </w:rPr>
        <w:t>接到采购人供货要求3日</w:t>
      </w:r>
      <w:r>
        <w:rPr>
          <w:rFonts w:hint="eastAsia" w:ascii="宋体" w:hAnsi="宋体" w:eastAsia="宋体" w:cs="宋体"/>
          <w:color w:val="auto"/>
          <w:kern w:val="0"/>
          <w:szCs w:val="24"/>
          <w:highlight w:val="none"/>
          <w:lang w:bidi="ar"/>
        </w:rPr>
        <w:t xml:space="preserve">内。货物到达现场后，中标人必须派员到现场与招标人一起开箱检验，按供货清单验收，若有缺少或损坏，中标人应立即补足或更换全新同规格货物，并承担相关费用直至招标人满意为止。 </w:t>
      </w:r>
    </w:p>
    <w:p w14:paraId="0E23DEF6">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（3）实验装置若有易耗品，请在投标文件中指明，另要求中标人供货时配备齐全，第一次使用时无需另配易耗品即可使用。 </w:t>
      </w:r>
    </w:p>
    <w:p w14:paraId="786B38A9">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8</w:t>
      </w:r>
      <w:r>
        <w:rPr>
          <w:rFonts w:hint="eastAsia" w:ascii="宋体" w:hAnsi="宋体" w:eastAsia="宋体" w:cs="宋体"/>
          <w:color w:val="auto"/>
          <w:kern w:val="0"/>
          <w:szCs w:val="24"/>
          <w:highlight w:val="none"/>
          <w:lang w:bidi="ar"/>
        </w:rPr>
        <w:t xml:space="preserve">、交货同时提供下列技术资料： </w:t>
      </w:r>
    </w:p>
    <w:p w14:paraId="119FA062">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（1）随机的易损件、备品备件及特殊专用工具及清单。（如有） </w:t>
      </w:r>
    </w:p>
    <w:p w14:paraId="7C1E1D10">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（2）货物生产厂家的货物检测证书、出厂检验报告、合格证书、货物说明书等。（如有） </w:t>
      </w:r>
    </w:p>
    <w:p w14:paraId="02C28F27">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（3） 货物随机提供的</w:t>
      </w:r>
      <w:r>
        <w:rPr>
          <w:rFonts w:hint="eastAsia" w:ascii="宋体" w:hAnsi="宋体" w:eastAsia="宋体" w:cs="宋体"/>
          <w:color w:val="auto"/>
          <w:kern w:val="0"/>
          <w:szCs w:val="24"/>
          <w:highlight w:val="none"/>
          <w:lang w:eastAsia="zh-CN" w:bidi="ar"/>
        </w:rPr>
        <w:t>货物</w:t>
      </w:r>
      <w:r>
        <w:rPr>
          <w:rFonts w:hint="eastAsia" w:ascii="宋体" w:hAnsi="宋体" w:eastAsia="宋体" w:cs="宋体"/>
          <w:color w:val="auto"/>
          <w:kern w:val="0"/>
          <w:szCs w:val="24"/>
          <w:highlight w:val="none"/>
          <w:lang w:bidi="ar"/>
        </w:rPr>
        <w:t xml:space="preserve">清单。 </w:t>
      </w:r>
    </w:p>
    <w:p w14:paraId="254B3C30">
      <w:pPr>
        <w:spacing w:line="400" w:lineRule="exact"/>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9</w:t>
      </w:r>
      <w:r>
        <w:rPr>
          <w:rFonts w:hint="eastAsia" w:ascii="宋体" w:hAnsi="宋体" w:eastAsia="宋体" w:cs="宋体"/>
          <w:color w:val="auto"/>
          <w:kern w:val="0"/>
          <w:szCs w:val="24"/>
          <w:highlight w:val="none"/>
          <w:lang w:bidi="ar"/>
        </w:rPr>
        <w:t xml:space="preserve">、包装、验收 </w:t>
      </w:r>
    </w:p>
    <w:p w14:paraId="4B07FF99">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（1）包装:均应有良好的防湿、防锈、防潮、防雨、防腐及防碰撞的措施。凡由于包装不良造成的损失和由此产生的费用均由中标人承担。 </w:t>
      </w:r>
    </w:p>
    <w:p w14:paraId="179CCDE2">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（2）货物的验收： </w:t>
      </w:r>
    </w:p>
    <w:p w14:paraId="278869F8">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①验收应在招标人和中标人双方共同参加下进行。</w:t>
      </w:r>
    </w:p>
    <w:p w14:paraId="0A99E966">
      <w:pPr>
        <w:spacing w:line="400" w:lineRule="exact"/>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②验收按国家有关的规定、规范进行。验收时如发现所交付的货物有短缺、次品、损坏等情形者，招标人应做出详尽的现场记录，或由招标人和中标人双方签署备忘录。此现场记录或备忘录可用作补充、缺失和更换损坏部件的有效证据。由此产生的有关费用由中标人承担。 </w:t>
      </w:r>
    </w:p>
    <w:p w14:paraId="0FAEB9C1">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（3）如果合同货物运输过程中因事故造成货物短缺、损坏，中标人应及时安排换货，以保证合同货物成功完整交付。换货的相关费用由中标人承担。 </w:t>
      </w:r>
    </w:p>
    <w:p w14:paraId="771205DA">
      <w:pPr>
        <w:spacing w:line="360" w:lineRule="auto"/>
        <w:ind w:firstLine="480"/>
        <w:rPr>
          <w:rFonts w:hint="eastAsia" w:ascii="宋体" w:hAnsi="宋体" w:eastAsia="宋体" w:cs="宋体"/>
          <w:color w:val="auto"/>
          <w:kern w:val="0"/>
          <w:szCs w:val="24"/>
          <w:highlight w:val="none"/>
          <w:lang w:bidi="ar"/>
        </w:rPr>
      </w:pPr>
      <w:r>
        <w:rPr>
          <w:rFonts w:hint="eastAsia" w:ascii="宋体" w:hAnsi="宋体" w:cs="宋体"/>
          <w:color w:val="auto"/>
          <w:kern w:val="0"/>
          <w:szCs w:val="24"/>
          <w:highlight w:val="none"/>
          <w:lang w:val="en-US" w:eastAsia="zh-CN" w:bidi="ar"/>
        </w:rPr>
        <w:t>10</w:t>
      </w:r>
      <w:r>
        <w:rPr>
          <w:rFonts w:hint="eastAsia" w:ascii="宋体" w:hAnsi="宋体" w:eastAsia="宋体" w:cs="宋体"/>
          <w:color w:val="auto"/>
          <w:kern w:val="0"/>
          <w:szCs w:val="24"/>
          <w:highlight w:val="none"/>
          <w:lang w:bidi="ar"/>
        </w:rPr>
        <w:t xml:space="preserve">、售后服务 </w:t>
      </w:r>
    </w:p>
    <w:p w14:paraId="12A9A7BE">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（1）在货物质保期内中标人提供咨询、更换损坏的（用户人为原因造成的损坏除外），一旦发生质量问题，中标人响应时间为 4 小时，必要时应在接到通知工作日的 24 小时内到现场，48 小时内解决问题，必要时中标人应提供应急备用品。若中标人不在规定的时间内达到并处理问题，则视为中标人承认质量问题并承担由此而造成的一切后果和损失由中标人承担。质保期间货物的一切质量问题原因造成的直接经济损失应全部由中标人自行负责。 </w:t>
      </w:r>
    </w:p>
    <w:p w14:paraId="44EBC54C">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（2）中标人应提供中标货物齐全的资料（包括使用说明、操作手册、合格证明、专用工具和相应质检手续证明文件等）。 </w:t>
      </w:r>
    </w:p>
    <w:p w14:paraId="41F3656C">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（3）投标人必须制定详细而周详的售后服务计划（包括对所投货物的操作培训、日常使用保养与管理，常见故障排除，紧急情况的处理等），费用含入投标报价。 </w:t>
      </w:r>
    </w:p>
    <w:p w14:paraId="456F01DF">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val="en-US" w:eastAsia="zh-CN" w:bidi="ar"/>
        </w:rPr>
        <w:t>11</w:t>
      </w:r>
      <w:r>
        <w:rPr>
          <w:rFonts w:hint="eastAsia" w:ascii="宋体" w:hAnsi="宋体" w:eastAsia="宋体" w:cs="宋体"/>
          <w:color w:val="auto"/>
          <w:kern w:val="0"/>
          <w:szCs w:val="24"/>
          <w:highlight w:val="none"/>
          <w:lang w:bidi="ar"/>
        </w:rPr>
        <w:t xml:space="preserve">、质量保证和标准 </w:t>
      </w:r>
    </w:p>
    <w:p w14:paraId="7E577ED5">
      <w:pPr>
        <w:spacing w:line="360" w:lineRule="auto"/>
        <w:ind w:firstLine="480"/>
        <w:rPr>
          <w:rFonts w:hint="eastAsia" w:ascii="宋体" w:hAnsi="宋体" w:eastAsia="宋体" w:cs="宋体"/>
          <w:color w:val="auto"/>
          <w:kern w:val="0"/>
          <w:szCs w:val="24"/>
          <w:highlight w:val="none"/>
          <w:lang w:bidi="ar"/>
        </w:rPr>
      </w:pPr>
      <w:r>
        <w:rPr>
          <w:rFonts w:hint="eastAsia" w:ascii="宋体" w:hAnsi="宋体" w:eastAsia="宋体" w:cs="宋体"/>
          <w:color w:val="auto"/>
          <w:kern w:val="0"/>
          <w:szCs w:val="24"/>
          <w:highlight w:val="none"/>
          <w:lang w:bidi="ar"/>
        </w:rPr>
        <w:t xml:space="preserve">（1）本合同项下货物质量保证期为自货物通过最终验收，向招标人移交之日起1 年（12 个月）（货物另有超过质保期规定或招标文件另有规定的按就高原则执行），在保修期内所产生的相关费用由中标人承担，合同内的所有货物要求中标人提供上门服务。 </w:t>
      </w:r>
    </w:p>
    <w:p w14:paraId="59EFAC09">
      <w:pPr>
        <w:pStyle w:val="42"/>
        <w:spacing w:line="360" w:lineRule="auto"/>
        <w:ind w:left="0" w:leftChars="0" w:firstLine="560"/>
        <w:rPr>
          <w:rFonts w:hint="eastAsia" w:ascii="宋体" w:hAnsi="宋体" w:eastAsia="宋体" w:cs="宋体"/>
          <w:color w:val="auto"/>
          <w:sz w:val="24"/>
          <w:szCs w:val="24"/>
          <w:highlight w:val="none"/>
        </w:rPr>
      </w:pPr>
      <w:r>
        <w:rPr>
          <w:rFonts w:hint="eastAsia" w:ascii="宋体" w:hAnsi="宋体" w:eastAsia="宋体" w:cs="宋体"/>
          <w:color w:val="auto"/>
          <w:kern w:val="0"/>
          <w:szCs w:val="24"/>
          <w:highlight w:val="none"/>
          <w:lang w:bidi="ar"/>
        </w:rPr>
        <w:t>（2）货物的设计及制造标准均应符合中华人民共各国国家（或国际）最新颁布的有关标准/规范要求。</w:t>
      </w:r>
    </w:p>
    <w:p w14:paraId="331FCF33">
      <w:pPr>
        <w:pStyle w:val="2"/>
        <w:spacing w:before="0" w:after="0" w:line="520" w:lineRule="exact"/>
        <w:jc w:val="center"/>
        <w:rPr>
          <w:rFonts w:hint="eastAsia" w:ascii="宋体" w:hAnsi="宋体" w:eastAsia="宋体" w:cs="宋体"/>
          <w:b w:val="0"/>
          <w:color w:val="auto"/>
          <w:sz w:val="28"/>
          <w:highlight w:val="none"/>
          <w:shd w:val="clear" w:color="auto" w:fill="FFFFFF"/>
        </w:rPr>
      </w:pPr>
      <w:r>
        <w:rPr>
          <w:rFonts w:hint="eastAsia" w:ascii="宋体" w:hAnsi="宋体" w:eastAsia="宋体" w:cs="宋体"/>
          <w:color w:val="auto"/>
          <w:sz w:val="28"/>
          <w:highlight w:val="none"/>
          <w:shd w:val="clear" w:color="auto" w:fill="FFFFFF"/>
        </w:rPr>
        <w:br w:type="page"/>
      </w:r>
      <w:r>
        <w:rPr>
          <w:rFonts w:hint="eastAsia" w:ascii="宋体" w:hAnsi="宋体" w:eastAsia="宋体" w:cs="宋体"/>
          <w:color w:val="auto"/>
          <w:sz w:val="28"/>
          <w:highlight w:val="none"/>
          <w:shd w:val="clear" w:color="auto" w:fill="FFFFFF"/>
        </w:rPr>
        <w:t>第三章  供应商须知</w:t>
      </w:r>
    </w:p>
    <w:p w14:paraId="09FB70CE">
      <w:pPr>
        <w:ind w:firstLine="281" w:firstLineChars="100"/>
        <w:jc w:val="center"/>
        <w:rPr>
          <w:rFonts w:hint="eastAsia" w:ascii="宋体" w:hAnsi="宋体" w:eastAsia="宋体" w:cs="宋体"/>
          <w:b/>
          <w:bCs/>
          <w:color w:val="auto"/>
          <w:sz w:val="28"/>
          <w:szCs w:val="28"/>
          <w:highlight w:val="none"/>
          <w:shd w:val="clear" w:color="auto" w:fill="FFFFFF"/>
        </w:rPr>
      </w:pPr>
    </w:p>
    <w:p w14:paraId="24126DD7">
      <w:pPr>
        <w:spacing w:line="360" w:lineRule="auto"/>
        <w:ind w:firstLine="281" w:firstLineChars="100"/>
        <w:jc w:val="center"/>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电子交易注意事项</w:t>
      </w:r>
    </w:p>
    <w:p w14:paraId="677A4C96">
      <w:pPr>
        <w:spacing w:line="360" w:lineRule="auto"/>
        <w:ind w:firstLine="320" w:firstLineChars="1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32"/>
          <w:highlight w:val="none"/>
          <w:shd w:val="clear" w:color="auto" w:fill="FFFFFF"/>
        </w:rPr>
        <w:t>　</w:t>
      </w:r>
      <w:r>
        <w:rPr>
          <w:rFonts w:hint="eastAsia" w:ascii="宋体" w:hAnsi="宋体" w:eastAsia="宋体" w:cs="宋体"/>
          <w:color w:val="auto"/>
          <w:sz w:val="24"/>
          <w:highlight w:val="none"/>
          <w:shd w:val="clear" w:color="auto" w:fill="FFFFFF"/>
        </w:rPr>
        <w:t>政府采购项目电子交易活动适用《浙江省政府采购项目电子交易管理暂行办法》，现将相关注意事项告知如下：</w:t>
      </w:r>
    </w:p>
    <w:p w14:paraId="1A141A5D">
      <w:pPr>
        <w:spacing w:line="360" w:lineRule="auto"/>
        <w:ind w:firstLine="240" w:firstLineChars="1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1.招标代理机构按照招标文件规定的时间通过电子交易平台组织开标、开启投标文件，所有供应商均应当准时在线参加，直至评审结束。</w:t>
      </w:r>
    </w:p>
    <w:p w14:paraId="7679229F">
      <w:pPr>
        <w:pStyle w:val="38"/>
        <w:spacing w:beforeAutospacing="0" w:afterAutospacing="0" w:line="360" w:lineRule="auto"/>
        <w:ind w:firstLine="240" w:firstLineChars="100"/>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　2.投标文件未按时解密，供应商如提供备份投标文件的，以符合要求的备份投标文件作为依据，否则视为投标文件撤回。投标文件已按时解密的，备份投标文件自动失效。</w:t>
      </w:r>
    </w:p>
    <w:p w14:paraId="3388E59E">
      <w:pPr>
        <w:pStyle w:val="38"/>
        <w:spacing w:beforeAutospacing="0" w:afterAutospacing="0" w:line="360" w:lineRule="auto"/>
        <w:ind w:firstLine="240" w:firstLineChars="100"/>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　3.采购过程中出现以下情形，导致电子交易平台无法正常运行，或者无法保证电子交易的公平、公正和安全时，招标代理机构可中止电子交易活动：</w:t>
      </w:r>
    </w:p>
    <w:p w14:paraId="5E30BE8E">
      <w:pPr>
        <w:pStyle w:val="38"/>
        <w:spacing w:beforeAutospacing="0" w:afterAutospacing="0" w:line="360" w:lineRule="auto"/>
        <w:ind w:firstLine="645"/>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（一）电子交易平台发生故障而无法登录访问的； </w:t>
      </w:r>
    </w:p>
    <w:p w14:paraId="51D5C569">
      <w:pPr>
        <w:pStyle w:val="38"/>
        <w:spacing w:beforeAutospacing="0" w:afterAutospacing="0" w:line="360" w:lineRule="auto"/>
        <w:ind w:firstLine="645"/>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（二）电子交易平台应用或数据库出现错误，不能进行正常操作的；</w:t>
      </w:r>
    </w:p>
    <w:p w14:paraId="1D4779B8">
      <w:pPr>
        <w:pStyle w:val="38"/>
        <w:spacing w:beforeAutospacing="0" w:afterAutospacing="0" w:line="360" w:lineRule="auto"/>
        <w:ind w:firstLine="645"/>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（三）电子交易平台发现严重安全漏洞，有潜在泄密危险的；</w:t>
      </w:r>
    </w:p>
    <w:p w14:paraId="7B513051">
      <w:pPr>
        <w:pStyle w:val="38"/>
        <w:spacing w:beforeAutospacing="0" w:afterAutospacing="0" w:line="360" w:lineRule="auto"/>
        <w:ind w:firstLine="645"/>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（四）病毒发作导致不能进行正常操作的； </w:t>
      </w:r>
    </w:p>
    <w:p w14:paraId="14974434">
      <w:pPr>
        <w:pStyle w:val="38"/>
        <w:spacing w:beforeAutospacing="0" w:afterAutospacing="0" w:line="360" w:lineRule="auto"/>
        <w:ind w:firstLine="645"/>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（五）其他无法保证电子交易的公平、公正和安全的情况。</w:t>
      </w:r>
    </w:p>
    <w:p w14:paraId="5125ADBD">
      <w:pPr>
        <w:pStyle w:val="38"/>
        <w:spacing w:beforeAutospacing="0" w:afterAutospacing="0" w:line="360" w:lineRule="auto"/>
        <w:ind w:firstLine="480" w:firstLineChars="200"/>
        <w:rPr>
          <w:rFonts w:hint="eastAsia" w:ascii="宋体" w:hAnsi="宋体" w:eastAsia="宋体" w:cs="宋体"/>
          <w:color w:val="auto"/>
          <w:kern w:val="2"/>
          <w:highlight w:val="none"/>
          <w:shd w:val="clear" w:color="auto" w:fill="FFFFFF"/>
        </w:rPr>
      </w:pPr>
      <w:r>
        <w:rPr>
          <w:rFonts w:hint="eastAsia" w:ascii="宋体" w:hAnsi="宋体" w:eastAsia="宋体" w:cs="宋体"/>
          <w:color w:val="auto"/>
          <w:kern w:val="2"/>
          <w:highlight w:val="none"/>
          <w:shd w:val="clear" w:color="auto" w:fill="FFFFFF"/>
        </w:rPr>
        <w:t>出现前款规定情形，不影响采购公平、公正性的，招标代理机构可以待上述情形消除后继续组织电子交易活动，也可以决定某些环节以纸质形式进行；影响或可能影响采购公平、公正性的，应当重新采购。</w:t>
      </w:r>
    </w:p>
    <w:p w14:paraId="52862A0E">
      <w:pPr>
        <w:pStyle w:val="38"/>
        <w:spacing w:beforeAutospacing="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532A1708">
      <w:pPr>
        <w:pStyle w:val="2"/>
        <w:spacing w:before="0" w:after="0" w:line="520" w:lineRule="exact"/>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 </w:t>
      </w:r>
    </w:p>
    <w:p w14:paraId="40F8D0AE">
      <w:pPr>
        <w:pStyle w:val="3"/>
        <w:spacing w:before="0" w:after="0" w:line="520" w:lineRule="exact"/>
        <w:rPr>
          <w:rFonts w:hint="eastAsia" w:ascii="宋体" w:hAnsi="宋体" w:eastAsia="宋体" w:cs="宋体"/>
          <w:color w:val="auto"/>
          <w:sz w:val="28"/>
          <w:highlight w:val="none"/>
          <w:shd w:val="clear" w:color="auto" w:fill="FFFFFF"/>
        </w:rPr>
      </w:pPr>
      <w:r>
        <w:rPr>
          <w:rFonts w:hint="eastAsia" w:ascii="宋体" w:hAnsi="宋体" w:eastAsia="宋体" w:cs="宋体"/>
          <w:color w:val="auto"/>
          <w:sz w:val="28"/>
          <w:highlight w:val="none"/>
          <w:shd w:val="clear" w:color="auto" w:fill="FFFFFF"/>
        </w:rPr>
        <w:br w:type="page"/>
      </w:r>
      <w:r>
        <w:rPr>
          <w:rFonts w:hint="eastAsia" w:ascii="宋体" w:hAnsi="宋体" w:eastAsia="宋体" w:cs="宋体"/>
          <w:color w:val="auto"/>
          <w:sz w:val="32"/>
          <w:highlight w:val="none"/>
          <w:shd w:val="clear" w:color="auto" w:fill="FFFFFF"/>
        </w:rPr>
        <w:t>投标须知前附表</w:t>
      </w:r>
      <w:bookmarkEnd w:id="44"/>
      <w:bookmarkEnd w:id="45"/>
      <w:r>
        <w:rPr>
          <w:rFonts w:hint="eastAsia" w:ascii="宋体" w:hAnsi="宋体" w:eastAsia="宋体" w:cs="宋体"/>
          <w:color w:val="auto"/>
          <w:sz w:val="32"/>
          <w:highlight w:val="none"/>
          <w:shd w:val="clear" w:color="auto" w:fill="FFFFFF"/>
        </w:rPr>
        <w:t xml:space="preserve"> </w:t>
      </w:r>
    </w:p>
    <w:tbl>
      <w:tblPr>
        <w:tblStyle w:val="43"/>
        <w:tblW w:w="9073"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8440"/>
      </w:tblGrid>
      <w:tr w14:paraId="11122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717B3FBE">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1DB50CD2">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内容、要求</w:t>
            </w:r>
          </w:p>
        </w:tc>
      </w:tr>
      <w:tr w14:paraId="17224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F09F26B">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09479C8">
            <w:pPr>
              <w:spacing w:line="360" w:lineRule="auto"/>
              <w:ind w:right="-107" w:rightChars="-51"/>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项目名称：</w:t>
            </w:r>
            <w:r>
              <w:rPr>
                <w:rFonts w:hint="eastAsia" w:ascii="宋体" w:hAnsi="宋体" w:cs="宋体"/>
                <w:bCs/>
                <w:color w:val="auto"/>
                <w:szCs w:val="21"/>
                <w:highlight w:val="none"/>
                <w:lang w:eastAsia="zh-CN"/>
              </w:rPr>
              <w:t>嘉兴市公安局南湖区分局2025年度DP试剂耗材（胶体碳）采购项目</w:t>
            </w:r>
          </w:p>
        </w:tc>
      </w:tr>
      <w:tr w14:paraId="5D628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19A9B3A2">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A960CC0">
            <w:pPr>
              <w:spacing w:line="360" w:lineRule="auto"/>
              <w:ind w:right="-107" w:rightChars="-51"/>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招标编号：</w:t>
            </w:r>
            <w:r>
              <w:rPr>
                <w:rFonts w:hint="eastAsia" w:ascii="宋体" w:hAnsi="宋体" w:cs="宋体"/>
                <w:bCs/>
                <w:color w:val="auto"/>
                <w:szCs w:val="21"/>
                <w:highlight w:val="none"/>
                <w:lang w:eastAsia="zh-CN"/>
              </w:rPr>
              <w:t>中诚-JXZCZX(2025)第03号</w:t>
            </w:r>
          </w:p>
        </w:tc>
      </w:tr>
      <w:tr w14:paraId="7EB4A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4EDF12A">
            <w:pPr>
              <w:spacing w:line="360" w:lineRule="auto"/>
              <w:ind w:right="-107" w:rightChars="-5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543CFC79">
            <w:pPr>
              <w:spacing w:line="360" w:lineRule="auto"/>
              <w:ind w:right="-107" w:rightChars="-51"/>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投标报价及费用：1、本项目投标应以人民币报价；2、不论投标结果如何，供应商均应自行承担所有与投标有关的全部费用。</w:t>
            </w:r>
            <w:r>
              <w:rPr>
                <w:rFonts w:hint="eastAsia" w:ascii="宋体" w:hAnsi="宋体"/>
                <w:color w:val="auto"/>
                <w:szCs w:val="21"/>
                <w:highlight w:val="none"/>
              </w:rPr>
              <w:t>3、</w:t>
            </w:r>
            <w:r>
              <w:rPr>
                <w:rFonts w:hint="eastAsia" w:ascii="宋体" w:hAnsi="宋体"/>
                <w:bCs/>
                <w:color w:val="auto"/>
                <w:szCs w:val="21"/>
                <w:highlight w:val="none"/>
              </w:rPr>
              <w:t>中标单位将支付招标代理费，具体计费标准按《招标代理服务收费管理暂行办法》（计价格[2002]1980号）文件规定的70%计取</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不足</w:t>
            </w:r>
            <w:r>
              <w:rPr>
                <w:rFonts w:hint="eastAsia" w:ascii="宋体" w:hAnsi="宋体"/>
                <w:color w:val="auto"/>
                <w:szCs w:val="21"/>
                <w:highlight w:val="none"/>
              </w:rPr>
              <w:t>人民币4000元</w:t>
            </w:r>
            <w:r>
              <w:rPr>
                <w:rFonts w:hint="eastAsia" w:ascii="宋体" w:hAnsi="宋体"/>
                <w:color w:val="auto"/>
                <w:szCs w:val="21"/>
                <w:highlight w:val="none"/>
                <w:lang w:val="en-US" w:eastAsia="zh-CN"/>
              </w:rPr>
              <w:t>的按4000元</w:t>
            </w:r>
            <w:r>
              <w:rPr>
                <w:rFonts w:hint="eastAsia" w:ascii="宋体" w:hAnsi="宋体"/>
                <w:color w:val="auto"/>
                <w:szCs w:val="21"/>
                <w:highlight w:val="none"/>
              </w:rPr>
              <w:t>计取，由中标单位直接支付给招标代理单位，各单位报价时综合考虑。</w:t>
            </w:r>
          </w:p>
        </w:tc>
      </w:tr>
      <w:tr w14:paraId="374BD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0B3377">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4</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11F73F93">
            <w:pPr>
              <w:spacing w:line="360" w:lineRule="auto"/>
              <w:ind w:right="-107" w:rightChars="-51"/>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预算金额：</w:t>
            </w:r>
            <w:r>
              <w:rPr>
                <w:rFonts w:hint="eastAsia" w:ascii="宋体" w:hAnsi="宋体" w:cs="宋体"/>
                <w:color w:val="auto"/>
                <w:szCs w:val="21"/>
                <w:highlight w:val="none"/>
                <w:lang w:val="en-US" w:eastAsia="zh-CN"/>
              </w:rPr>
              <w:t>57.0000</w:t>
            </w:r>
            <w:r>
              <w:rPr>
                <w:rFonts w:hint="eastAsia" w:ascii="宋体" w:hAnsi="宋体" w:cs="宋体"/>
                <w:b/>
                <w:bCs/>
                <w:color w:val="auto"/>
                <w:szCs w:val="21"/>
                <w:highlight w:val="none"/>
                <w:shd w:val="clear" w:color="auto" w:fill="FFFFFF"/>
                <w:lang w:val="en-US" w:eastAsia="zh-CN"/>
              </w:rPr>
              <w:t>万元</w:t>
            </w:r>
          </w:p>
        </w:tc>
      </w:tr>
      <w:tr w14:paraId="698DC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37F63">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5</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E8E67F5">
            <w:pPr>
              <w:spacing w:line="360" w:lineRule="auto"/>
              <w:ind w:right="-107" w:rightChars="-51"/>
              <w:jc w:val="left"/>
              <w:rPr>
                <w:rFonts w:hint="eastAsia" w:ascii="宋体" w:hAnsi="宋体" w:eastAsia="宋体" w:cs="宋体"/>
                <w:b/>
                <w:color w:val="auto"/>
                <w:szCs w:val="21"/>
                <w:highlight w:val="none"/>
                <w:shd w:val="clear" w:color="auto" w:fill="FFFFFF"/>
              </w:rPr>
            </w:pPr>
            <w:r>
              <w:rPr>
                <w:rFonts w:hint="eastAsia" w:ascii="宋体" w:hAnsi="宋体" w:eastAsia="宋体" w:cs="宋体"/>
                <w:color w:val="auto"/>
                <w:szCs w:val="21"/>
                <w:highlight w:val="none"/>
                <w:shd w:val="clear" w:color="auto" w:fill="FFFFFF"/>
              </w:rPr>
              <w:t>最高限价：</w:t>
            </w:r>
            <w:r>
              <w:rPr>
                <w:rFonts w:hint="eastAsia" w:ascii="宋体" w:hAnsi="宋体" w:cs="宋体"/>
                <w:b/>
                <w:bCs/>
                <w:color w:val="auto"/>
                <w:szCs w:val="21"/>
                <w:highlight w:val="none"/>
                <w:shd w:val="clear" w:color="auto" w:fill="FFFFFF"/>
                <w:lang w:val="en-US" w:eastAsia="zh-CN"/>
              </w:rPr>
              <w:t>陆拾</w:t>
            </w:r>
            <w:r>
              <w:rPr>
                <w:rFonts w:hint="eastAsia" w:ascii="宋体" w:hAnsi="宋体" w:eastAsia="宋体" w:cs="宋体"/>
                <w:b/>
                <w:bCs/>
                <w:color w:val="auto"/>
                <w:szCs w:val="21"/>
                <w:highlight w:val="none"/>
                <w:shd w:val="clear" w:color="auto" w:fill="FFFFFF"/>
                <w:lang w:val="en-US" w:eastAsia="zh-CN"/>
              </w:rPr>
              <w:t>元整每份</w:t>
            </w:r>
            <w:r>
              <w:rPr>
                <w:rFonts w:hint="eastAsia" w:ascii="宋体" w:hAnsi="宋体" w:eastAsia="宋体" w:cs="宋体"/>
                <w:b/>
                <w:color w:val="auto"/>
                <w:szCs w:val="21"/>
                <w:highlight w:val="none"/>
                <w:shd w:val="clear" w:color="auto" w:fill="FFFFFF"/>
              </w:rPr>
              <w:t>（小写：人民币</w:t>
            </w:r>
            <w:r>
              <w:rPr>
                <w:rFonts w:hint="eastAsia" w:ascii="宋体" w:hAnsi="宋体" w:cs="宋体"/>
                <w:b/>
                <w:color w:val="auto"/>
                <w:szCs w:val="21"/>
                <w:highlight w:val="none"/>
                <w:shd w:val="clear" w:color="auto" w:fill="FFFFFF"/>
                <w:lang w:val="en-US" w:eastAsia="zh-CN"/>
              </w:rPr>
              <w:t>60</w:t>
            </w:r>
            <w:r>
              <w:rPr>
                <w:rFonts w:hint="eastAsia" w:ascii="宋体" w:hAnsi="宋体" w:eastAsia="宋体" w:cs="宋体"/>
                <w:b/>
                <w:color w:val="auto"/>
                <w:szCs w:val="21"/>
                <w:highlight w:val="none"/>
                <w:shd w:val="clear" w:color="auto" w:fill="FFFFFF"/>
              </w:rPr>
              <w:t>元/份）。</w:t>
            </w:r>
            <w:r>
              <w:rPr>
                <w:rFonts w:hint="eastAsia" w:ascii="宋体" w:hAnsi="宋体" w:eastAsia="宋体" w:cs="宋体"/>
                <w:bCs/>
                <w:color w:val="auto"/>
                <w:szCs w:val="21"/>
                <w:highlight w:val="none"/>
                <w:shd w:val="clear" w:color="auto" w:fill="FFFFFF"/>
              </w:rPr>
              <w:t>凡投标报价高于或等于最高限价的否决其投标，其投标文件不予进行评审。</w:t>
            </w:r>
          </w:p>
        </w:tc>
      </w:tr>
      <w:tr w14:paraId="101AA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D19078">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6</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1B25CFEB">
            <w:pPr>
              <w:spacing w:line="360" w:lineRule="auto"/>
              <w:ind w:right="-107" w:rightChars="-51"/>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lang w:val="en-US" w:eastAsia="zh-CN"/>
              </w:rPr>
              <w:t>服务期限</w:t>
            </w:r>
            <w:r>
              <w:rPr>
                <w:rFonts w:hint="eastAsia" w:ascii="宋体" w:hAnsi="宋体" w:eastAsia="宋体" w:cs="宋体"/>
                <w:b/>
                <w:color w:val="auto"/>
                <w:szCs w:val="21"/>
                <w:highlight w:val="none"/>
                <w:shd w:val="clear" w:color="auto" w:fill="FFFFFF"/>
              </w:rPr>
              <w:t>：</w:t>
            </w:r>
            <w:r>
              <w:rPr>
                <w:rFonts w:hint="eastAsia" w:ascii="宋体" w:hAnsi="宋体" w:eastAsia="宋体" w:cs="宋体"/>
                <w:b/>
                <w:bCs/>
                <w:color w:val="auto"/>
                <w:kern w:val="0"/>
                <w:szCs w:val="24"/>
                <w:highlight w:val="none"/>
                <w:lang w:eastAsia="zh-CN" w:bidi="ar"/>
              </w:rPr>
              <w:t xml:space="preserve">本项目服务期限为自合同签订之日起 </w:t>
            </w:r>
            <w:r>
              <w:rPr>
                <w:rFonts w:hint="eastAsia" w:ascii="宋体" w:hAnsi="宋体" w:cs="宋体"/>
                <w:b/>
                <w:bCs/>
                <w:color w:val="auto"/>
                <w:kern w:val="0"/>
                <w:szCs w:val="24"/>
                <w:highlight w:val="none"/>
                <w:lang w:val="en-US" w:eastAsia="zh-CN" w:bidi="ar"/>
              </w:rPr>
              <w:t>1</w:t>
            </w:r>
            <w:r>
              <w:rPr>
                <w:rFonts w:hint="eastAsia" w:ascii="宋体" w:hAnsi="宋体" w:eastAsia="宋体" w:cs="宋体"/>
                <w:b/>
                <w:bCs/>
                <w:color w:val="auto"/>
                <w:kern w:val="0"/>
                <w:szCs w:val="24"/>
                <w:highlight w:val="none"/>
                <w:lang w:eastAsia="zh-CN" w:bidi="ar"/>
              </w:rPr>
              <w:t>年，若结算价款满合同限额后则提前自动解除。</w:t>
            </w:r>
          </w:p>
        </w:tc>
      </w:tr>
      <w:tr w14:paraId="57C1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542595">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7</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EC9D247">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投标保证金：本项目不设置投标保证金</w:t>
            </w:r>
          </w:p>
        </w:tc>
      </w:tr>
      <w:tr w14:paraId="59572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D2DD6B">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8</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388602BD">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现场踏勘：自行前往</w:t>
            </w:r>
          </w:p>
        </w:tc>
      </w:tr>
      <w:tr w14:paraId="39F69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D76853">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9</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50813A50">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答疑与澄清：无</w:t>
            </w:r>
          </w:p>
        </w:tc>
      </w:tr>
      <w:tr w14:paraId="34208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CE4BA5">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10</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2827B668">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投标文件组成：电子投标文件和备份投标文件均由商务、资信及其他文件、技术文件及投标报价文件两部份组成。</w:t>
            </w:r>
          </w:p>
        </w:tc>
      </w:tr>
      <w:tr w14:paraId="08E40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98D962">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1CBE1AA2">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付款方式：</w:t>
            </w:r>
          </w:p>
          <w:p w14:paraId="78634B87">
            <w:pPr>
              <w:pStyle w:val="80"/>
              <w:spacing w:line="360" w:lineRule="auto"/>
              <w:rPr>
                <w:rFonts w:hint="eastAsia" w:ascii="宋体" w:hAnsi="宋体"/>
                <w:bCs/>
                <w:color w:val="auto"/>
                <w:szCs w:val="21"/>
                <w:highlight w:val="none"/>
              </w:rPr>
            </w:pPr>
            <w:r>
              <w:rPr>
                <w:rFonts w:hint="eastAsia" w:ascii="宋体" w:hAnsi="宋体"/>
                <w:bCs/>
                <w:color w:val="auto"/>
                <w:szCs w:val="21"/>
                <w:highlight w:val="none"/>
              </w:rPr>
              <w:t>1、接到单批供货通知后，7个工作日内支付该批次合同价的</w:t>
            </w:r>
            <w:r>
              <w:rPr>
                <w:rFonts w:hint="eastAsia" w:ascii="宋体" w:hAnsi="宋体"/>
                <w:bCs/>
                <w:color w:val="auto"/>
                <w:szCs w:val="21"/>
                <w:highlight w:val="none"/>
                <w:lang w:val="en-US" w:eastAsia="zh-CN"/>
              </w:rPr>
              <w:t>60</w:t>
            </w:r>
            <w:r>
              <w:rPr>
                <w:rFonts w:hint="eastAsia" w:ascii="宋体" w:hAnsi="宋体"/>
                <w:bCs/>
                <w:color w:val="auto"/>
                <w:szCs w:val="21"/>
                <w:highlight w:val="none"/>
              </w:rPr>
              <w:t>%作为预付款</w:t>
            </w:r>
            <w:r>
              <w:rPr>
                <w:rFonts w:hint="eastAsia" w:ascii="宋体" w:hAnsi="宋体"/>
                <w:color w:val="auto"/>
                <w:szCs w:val="24"/>
                <w:highlight w:val="none"/>
              </w:rPr>
              <w:t>（需提供正式的税务发票）</w:t>
            </w:r>
            <w:r>
              <w:rPr>
                <w:rFonts w:hint="eastAsia" w:ascii="宋体" w:hAnsi="宋体"/>
                <w:bCs/>
                <w:color w:val="auto"/>
                <w:szCs w:val="21"/>
                <w:highlight w:val="none"/>
              </w:rPr>
              <w:t>，当前批次验收完成，支付至该批货物合同价的100%。</w:t>
            </w:r>
          </w:p>
          <w:p w14:paraId="76347939">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bCs/>
                <w:color w:val="auto"/>
                <w:szCs w:val="21"/>
                <w:highlight w:val="none"/>
              </w:rPr>
              <w:t>2、供应商每次供货须经采购人验收合格，且提供正式的税务发票，采购人凭税务发票付款。</w:t>
            </w:r>
          </w:p>
        </w:tc>
      </w:tr>
      <w:tr w14:paraId="323B1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BCA864">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24E9AAF0">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开标时间及地点：</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lang w:eastAsia="zh-CN"/>
              </w:rPr>
              <w:t>日下</w:t>
            </w:r>
            <w:r>
              <w:rPr>
                <w:rFonts w:hint="eastAsia" w:ascii="宋体" w:hAnsi="宋体" w:eastAsia="宋体" w:cs="宋体"/>
                <w:color w:val="auto"/>
                <w:szCs w:val="21"/>
                <w:highlight w:val="none"/>
                <w:u w:val="single"/>
              </w:rPr>
              <w:t>午</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shd w:val="clear" w:color="auto" w:fill="FFFFFF"/>
              </w:rPr>
              <w:t>在</w:t>
            </w:r>
            <w:r>
              <w:rPr>
                <w:rFonts w:hint="eastAsia" w:ascii="宋体" w:hAnsi="宋体" w:eastAsia="宋体" w:cs="宋体"/>
                <w:b/>
                <w:bCs/>
                <w:color w:val="auto"/>
                <w:kern w:val="0"/>
                <w:szCs w:val="21"/>
                <w:highlight w:val="none"/>
                <w:shd w:val="clear" w:color="auto" w:fill="FFFFFF"/>
              </w:rPr>
              <w:t>嘉兴市中诚建设咨询有限公司四楼会议室（城东路83号浙中房大厦）</w:t>
            </w:r>
            <w:r>
              <w:rPr>
                <w:rFonts w:hint="eastAsia" w:ascii="宋体" w:hAnsi="宋体" w:eastAsia="宋体" w:cs="宋体"/>
                <w:bCs/>
                <w:color w:val="auto"/>
                <w:kern w:val="0"/>
                <w:szCs w:val="21"/>
                <w:highlight w:val="none"/>
                <w:shd w:val="clear" w:color="auto" w:fill="FFFFFF"/>
              </w:rPr>
              <w:t>开标</w:t>
            </w:r>
            <w:r>
              <w:rPr>
                <w:rFonts w:hint="eastAsia" w:ascii="宋体" w:hAnsi="宋体" w:eastAsia="宋体" w:cs="宋体"/>
                <w:color w:val="auto"/>
                <w:szCs w:val="21"/>
                <w:highlight w:val="none"/>
                <w:shd w:val="clear" w:color="auto" w:fill="FFFFFF"/>
              </w:rPr>
              <w:t>。</w:t>
            </w:r>
            <w:r>
              <w:rPr>
                <w:rFonts w:hint="eastAsia" w:ascii="宋体" w:hAnsi="宋体" w:eastAsia="宋体" w:cs="宋体"/>
                <w:b/>
                <w:color w:val="auto"/>
                <w:szCs w:val="21"/>
                <w:highlight w:val="none"/>
                <w:shd w:val="clear" w:color="auto" w:fill="FFFFFF"/>
              </w:rPr>
              <w:t>供应商无需到开标现场，但须准时在线参加，直至评审结束。</w:t>
            </w:r>
          </w:p>
        </w:tc>
      </w:tr>
      <w:tr w14:paraId="07FD4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FE568A">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13</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897D90D">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签订合同时间：中标通知书发出后30日内。建议采购人在对采购结果质疑期（自采购结果公告之日起七个工作日）后与中标人签订政府采购合同。</w:t>
            </w:r>
          </w:p>
        </w:tc>
      </w:tr>
      <w:tr w14:paraId="60D49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D25287">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14</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8CDC2AA">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投标文件有效期：90天</w:t>
            </w:r>
          </w:p>
        </w:tc>
      </w:tr>
      <w:tr w14:paraId="1FBDF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4F223D">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15</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1E186E0A">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评标办法及评分标准：详见第四章</w:t>
            </w:r>
          </w:p>
        </w:tc>
      </w:tr>
      <w:tr w14:paraId="0EC2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B15915">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16</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E6F53C4">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招标代理机构提出质疑。质疑供应商对采购人、招标代理采购机构的答复不满意或者采购人、招标代理机构未在规定的时间内作出答复的，可以</w:t>
            </w:r>
            <w:r>
              <w:rPr>
                <w:rFonts w:hint="eastAsia" w:ascii="宋体" w:hAnsi="宋体" w:cs="宋体"/>
                <w:color w:val="auto"/>
                <w:szCs w:val="21"/>
                <w:highlight w:val="none"/>
                <w:shd w:val="clear" w:color="auto" w:fill="FFFFFF"/>
                <w:lang w:eastAsia="zh-CN"/>
              </w:rPr>
              <w:t>在</w:t>
            </w:r>
            <w:r>
              <w:rPr>
                <w:rFonts w:hint="eastAsia" w:ascii="宋体" w:hAnsi="宋体" w:eastAsia="宋体" w:cs="宋体"/>
                <w:color w:val="auto"/>
                <w:szCs w:val="21"/>
                <w:highlight w:val="none"/>
                <w:shd w:val="clear" w:color="auto" w:fill="FFFFFF"/>
              </w:rPr>
              <w:t>答复期满后十五个工作日内向同级政府采购监督管理部门投诉。质疑函范本、投诉书范本请到浙江政府采购网下载专区下载。</w:t>
            </w:r>
          </w:p>
        </w:tc>
      </w:tr>
      <w:tr w14:paraId="7E159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01FB34">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17</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3B5D6485">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网上注册</w:t>
            </w:r>
            <w:r>
              <w:rPr>
                <w:rFonts w:hint="eastAsia" w:ascii="宋体" w:hAnsi="宋体" w:eastAsia="宋体" w:cs="宋体"/>
                <w:b/>
                <w:color w:val="auto"/>
                <w:szCs w:val="21"/>
                <w:highlight w:val="none"/>
                <w:shd w:val="clear" w:color="auto" w:fill="FFFFFF"/>
              </w:rPr>
              <w:t>：</w:t>
            </w:r>
            <w:r>
              <w:rPr>
                <w:rFonts w:hint="eastAsia" w:ascii="宋体" w:hAnsi="宋体" w:eastAsia="宋体" w:cs="宋体"/>
                <w:color w:val="auto"/>
                <w:szCs w:val="21"/>
                <w:highlight w:val="none"/>
                <w:shd w:val="clear" w:color="auto" w:fill="FFFFFF"/>
              </w:rPr>
              <w:t>投标供应商下载招标文件后，应当按照《浙江省政府采购供应商注册及诚信管理暂行办法》的规定，在“浙江政府采购网(</w:t>
            </w:r>
            <w:r>
              <w:rPr>
                <w:rFonts w:hint="eastAsia" w:ascii="宋体" w:hAnsi="宋体" w:eastAsia="宋体" w:cs="宋体"/>
                <w:color w:val="auto"/>
                <w:szCs w:val="21"/>
                <w:highlight w:val="none"/>
                <w:shd w:val="clear" w:color="auto" w:fill="FFFFFF"/>
              </w:rPr>
              <w:fldChar w:fldCharType="begin"/>
            </w:r>
            <w:r>
              <w:rPr>
                <w:rFonts w:hint="eastAsia" w:ascii="宋体" w:hAnsi="宋体" w:eastAsia="宋体" w:cs="宋体"/>
                <w:color w:val="auto"/>
                <w:szCs w:val="21"/>
                <w:highlight w:val="none"/>
                <w:shd w:val="clear" w:color="auto" w:fill="FFFFFF"/>
              </w:rPr>
              <w:instrText xml:space="preserve">HYPERLINK "http://www.zjzfcg.gov.cn"</w:instrText>
            </w:r>
            <w:r>
              <w:rPr>
                <w:rFonts w:hint="eastAsia" w:ascii="宋体" w:hAnsi="宋体" w:eastAsia="宋体" w:cs="宋体"/>
                <w:color w:val="auto"/>
                <w:szCs w:val="21"/>
                <w:highlight w:val="none"/>
                <w:shd w:val="clear" w:color="auto" w:fill="FFFFFF"/>
              </w:rPr>
              <w:fldChar w:fldCharType="separate"/>
            </w:r>
            <w:r>
              <w:rPr>
                <w:rStyle w:val="50"/>
                <w:rFonts w:hint="eastAsia" w:ascii="宋体" w:hAnsi="宋体" w:eastAsia="宋体" w:cs="宋体"/>
                <w:color w:val="auto"/>
                <w:szCs w:val="21"/>
                <w:highlight w:val="none"/>
                <w:shd w:val="clear" w:color="auto" w:fill="FFFFFF"/>
              </w:rPr>
              <w:t>http://www.zjzfcg.gov.cn</w:t>
            </w:r>
            <w:r>
              <w:rPr>
                <w:rFonts w:hint="eastAsia" w:ascii="宋体" w:hAnsi="宋体" w:eastAsia="宋体" w:cs="宋体"/>
                <w:color w:val="auto"/>
                <w:szCs w:val="21"/>
                <w:highlight w:val="none"/>
                <w:shd w:val="clear" w:color="auto" w:fill="FFFFFF"/>
              </w:rPr>
              <w:fldChar w:fldCharType="end"/>
            </w:r>
            <w:r>
              <w:rPr>
                <w:rFonts w:hint="eastAsia" w:ascii="宋体" w:hAnsi="宋体" w:eastAsia="宋体" w:cs="宋体"/>
                <w:color w:val="auto"/>
                <w:szCs w:val="21"/>
                <w:highlight w:val="none"/>
                <w:shd w:val="clear" w:color="auto" w:fill="FFFFFF"/>
              </w:rPr>
              <w:t>)”上进行供应商注册登记。中标供应商在签订合同前，如不注册，视为放弃。具体注册详见供应商注册流程。</w:t>
            </w:r>
          </w:p>
        </w:tc>
      </w:tr>
      <w:tr w14:paraId="786D5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1A6E65">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18</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049577C">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履约保证金：</w:t>
            </w:r>
            <w:r>
              <w:rPr>
                <w:rFonts w:hint="eastAsia" w:ascii="宋体" w:hAnsi="宋体" w:eastAsia="宋体" w:cs="宋体"/>
                <w:b/>
                <w:color w:val="auto"/>
                <w:szCs w:val="21"/>
                <w:highlight w:val="none"/>
                <w:shd w:val="clear" w:color="auto" w:fill="FFFFFF"/>
              </w:rPr>
              <w:t>本项目不设置履约保证金。</w:t>
            </w:r>
          </w:p>
        </w:tc>
      </w:tr>
      <w:tr w14:paraId="644BD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21A071">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19</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879CDD9">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网上注册：本项目不接受现场报名，须注册后进行网上报名。在浙江政府采购网进行供应商注册后完成报名；（详情请见第一章招标公告）</w:t>
            </w:r>
          </w:p>
        </w:tc>
      </w:tr>
      <w:tr w14:paraId="43A80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6FF329">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20</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36647BE2">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6A7FC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DE3239">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21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3EFC668">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w:t>
            </w:r>
          </w:p>
        </w:tc>
      </w:tr>
      <w:tr w14:paraId="2A3D2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44294">
            <w:pPr>
              <w:spacing w:line="360" w:lineRule="auto"/>
              <w:ind w:right="-107" w:rightChars="-51"/>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22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2779367">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一、说明</w:t>
            </w:r>
          </w:p>
          <w:p w14:paraId="218171EB">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1、中小企业</w:t>
            </w:r>
          </w:p>
          <w:p w14:paraId="28C5417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按照《政府采购促进中小企业发展管理办法》财库〔2020〕46号规定：</w:t>
            </w:r>
          </w:p>
          <w:p w14:paraId="520717D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28186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103FE253">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在政府采购活动中，供应商提供的货物、工程或者服务符合下列情形的，享受本办法规定的中小企业扶持政策：</w:t>
            </w:r>
          </w:p>
          <w:p w14:paraId="58781493">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(一)在货物采购项目中，货物由中小企业制造，即货物由中小企业生产且使用该中小企业商号或者注册商标；</w:t>
            </w:r>
          </w:p>
          <w:p w14:paraId="40372ED4">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(二)在工程采购项目中，工程由中小企业承建，即工程施工单位为中小企业；</w:t>
            </w:r>
          </w:p>
          <w:p w14:paraId="5F239675">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(三)在服务采购项目中，服务由中小企业承接，即提供服务的人员为中小企业依照《中华人民共和国劳动合同法》订立劳动合同的从业人员。</w:t>
            </w:r>
          </w:p>
          <w:p w14:paraId="7A292803">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在货物采购项目中，供应商提供的货物既有中小企业制造货物，也有大型企业制造货物的，不享受本办法规定的中小企业扶持政策。</w:t>
            </w:r>
          </w:p>
          <w:p w14:paraId="03DC81EE">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以联合体形式参加政府采购活动，联合体各方均为中小企业的，联合体视同中小企业。其中，联合体各方均为小微企业的，联合体视同小微企业。</w:t>
            </w:r>
          </w:p>
          <w:p w14:paraId="5467A204">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2、残疾人福利性单位</w:t>
            </w:r>
          </w:p>
          <w:p w14:paraId="55CE201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w:t>
            </w:r>
            <w:r>
              <w:rPr>
                <w:rFonts w:hint="eastAsia" w:ascii="宋体" w:hAnsi="宋体" w:cs="宋体"/>
                <w:color w:val="auto"/>
                <w:szCs w:val="21"/>
                <w:highlight w:val="none"/>
                <w:lang w:eastAsia="zh-CN"/>
              </w:rPr>
              <w:t>提供</w:t>
            </w:r>
            <w:r>
              <w:rPr>
                <w:rFonts w:hint="eastAsia" w:ascii="宋体" w:hAnsi="宋体" w:eastAsia="宋体" w:cs="宋体"/>
                <w:color w:val="auto"/>
                <w:szCs w:val="21"/>
                <w:highlight w:val="none"/>
              </w:rPr>
              <w:t>《残疾人福利性单位声明函》的残疾人福利性单位视同小型、微型企业，享受预留份额、评审中价格扣除等政府采购促进中小企业发展的政府采购政策。</w:t>
            </w:r>
          </w:p>
          <w:p w14:paraId="3622E64C">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3、监狱企业</w:t>
            </w:r>
          </w:p>
          <w:p w14:paraId="122F556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65AC2A00">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二、针对本项目的相关规定</w:t>
            </w:r>
          </w:p>
          <w:p w14:paraId="19390F4D">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项目对符合规定的小微企业报价给予20%的扣除，用扣除后的价格参加评审。本项目接受大中型企业与小微企业组成联合体参与投标；允许大中型企业向小微企业合理分包的，对于联合协议或者分包意向协议约定小微企业的合同份额占到合同总金额30%以上的联合体或者大中型企业的报价给予6%的扣除，用扣除后的价格参加评审。</w:t>
            </w:r>
          </w:p>
        </w:tc>
      </w:tr>
      <w:tr w14:paraId="3457D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B7810EC">
            <w:pPr>
              <w:spacing w:line="360" w:lineRule="auto"/>
              <w:ind w:right="-107" w:rightChars="-51"/>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23</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107543FC">
            <w:pPr>
              <w:spacing w:line="360" w:lineRule="auto"/>
              <w:ind w:right="-107" w:rightChars="-51"/>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解释：本招标文件的解释权属于采购单位。</w:t>
            </w:r>
          </w:p>
        </w:tc>
      </w:tr>
    </w:tbl>
    <w:p w14:paraId="5F44699D">
      <w:pPr>
        <w:pStyle w:val="3"/>
        <w:rPr>
          <w:rFonts w:hint="eastAsia" w:ascii="宋体" w:hAnsi="宋体" w:eastAsia="宋体" w:cs="宋体"/>
          <w:color w:val="auto"/>
          <w:sz w:val="28"/>
          <w:highlight w:val="none"/>
          <w:shd w:val="clear" w:color="auto" w:fill="FFFFFF"/>
        </w:rPr>
        <w:sectPr>
          <w:headerReference r:id="rId3" w:type="default"/>
          <w:footerReference r:id="rId4" w:type="default"/>
          <w:pgSz w:w="11906" w:h="16838"/>
          <w:pgMar w:top="1843" w:right="1700" w:bottom="1440" w:left="1701" w:header="851" w:footer="992" w:gutter="0"/>
          <w:cols w:space="720" w:num="1"/>
          <w:docGrid w:linePitch="312" w:charSpace="0"/>
        </w:sectPr>
      </w:pPr>
    </w:p>
    <w:p w14:paraId="160B1547">
      <w:pPr>
        <w:pStyle w:val="3"/>
        <w:spacing w:line="520" w:lineRule="exact"/>
        <w:rPr>
          <w:rFonts w:hint="eastAsia" w:ascii="宋体" w:hAnsi="宋体" w:eastAsia="宋体" w:cs="宋体"/>
          <w:color w:val="auto"/>
          <w:sz w:val="28"/>
          <w:highlight w:val="none"/>
          <w:shd w:val="clear" w:color="auto" w:fill="FFFFFF"/>
        </w:rPr>
      </w:pPr>
      <w:bookmarkStart w:id="46" w:name="_Toc27919_WPSOffice_Level1"/>
      <w:r>
        <w:rPr>
          <w:rFonts w:hint="eastAsia" w:ascii="宋体" w:hAnsi="宋体" w:eastAsia="宋体" w:cs="宋体"/>
          <w:color w:val="auto"/>
          <w:sz w:val="28"/>
          <w:highlight w:val="none"/>
          <w:shd w:val="clear" w:color="auto" w:fill="FFFFFF"/>
        </w:rPr>
        <w:t>一、总则</w:t>
      </w:r>
      <w:bookmarkEnd w:id="46"/>
    </w:p>
    <w:p w14:paraId="6CE83E43">
      <w:pPr>
        <w:snapToGrid w:val="0"/>
        <w:spacing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 适用范围</w:t>
      </w:r>
    </w:p>
    <w:p w14:paraId="1C0F0F35">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本招标文件适用于该项目的招标、投标、评标、定标、验收、合同履约、付款等行为（法律、法规另有规定的，从其规定）。</w:t>
      </w:r>
    </w:p>
    <w:p w14:paraId="2D7A8B05">
      <w:pPr>
        <w:snapToGrid w:val="0"/>
        <w:spacing w:before="120" w:beforeLines="50" w:line="360" w:lineRule="auto"/>
        <w:ind w:firstLine="310" w:firstLineChars="147"/>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（二）定义</w:t>
      </w:r>
    </w:p>
    <w:p w14:paraId="69933F59">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1.“采购人”指嘉兴市公安局南湖区分局。</w:t>
      </w:r>
    </w:p>
    <w:p w14:paraId="4B2DEB51">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2.“代理机构”指嘉兴市中诚建设咨询有限公司。</w:t>
      </w:r>
    </w:p>
    <w:p w14:paraId="154C2058">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3.“供应商”系指向采购人提交投标文件的单位或个人。</w:t>
      </w:r>
    </w:p>
    <w:p w14:paraId="4A3CFA75">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4.“产品”系指供方按招标文件规定，须向采购人提供的一切设备、保险、税金、备品备件、工具、手册及其它有关技术资料和材料。</w:t>
      </w:r>
    </w:p>
    <w:p w14:paraId="347BFE96">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5.“服务”系指招标文件规定供应商须承担的安装、调试、技术协助、校准、培训、技术指导以及其他类似的义务。</w:t>
      </w:r>
    </w:p>
    <w:p w14:paraId="30945B60">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6.“项目”系指供应商按招标文件规定向采购人提供的产品和服务。</w:t>
      </w:r>
    </w:p>
    <w:p w14:paraId="00AA6346">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7.“书面形式”包括信函、传真、电报等。</w:t>
      </w:r>
    </w:p>
    <w:p w14:paraId="64ADAAB4">
      <w:pPr>
        <w:snapToGrid w:val="0"/>
        <w:spacing w:before="120" w:beforeLines="50" w:line="360" w:lineRule="auto"/>
        <w:ind w:firstLine="411" w:firstLineChars="196"/>
        <w:jc w:val="left"/>
        <w:outlineLvl w:val="1"/>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8.“▲”系指实质性要求条款，不满足实行性要求条款的投标文件无效。</w:t>
      </w:r>
    </w:p>
    <w:p w14:paraId="1B7AE295">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（三）采购方式</w:t>
      </w:r>
    </w:p>
    <w:p w14:paraId="77F0048A">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本次招标采用公开招标方式进行。</w:t>
      </w:r>
    </w:p>
    <w:p w14:paraId="3DD7441E">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（四）投标费用</w:t>
      </w:r>
    </w:p>
    <w:p w14:paraId="3A268EB2">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不论投标结果如何，供应商均应自行承担所有与投标有关的全部费用（招标文件有相反规定除外）。</w:t>
      </w:r>
    </w:p>
    <w:p w14:paraId="5F0A718E">
      <w:pPr>
        <w:snapToGrid w:val="0"/>
        <w:spacing w:before="120" w:beforeLines="50" w:line="360" w:lineRule="auto"/>
        <w:ind w:firstLine="413" w:firstLineChars="196"/>
        <w:jc w:val="left"/>
        <w:outlineLvl w:val="2"/>
        <w:rPr>
          <w:rFonts w:hint="eastAsia" w:ascii="宋体" w:hAnsi="宋体" w:eastAsia="宋体" w:cs="宋体"/>
          <w:b/>
          <w:color w:val="auto"/>
          <w:highlight w:val="none"/>
        </w:rPr>
      </w:pPr>
      <w:r>
        <w:rPr>
          <w:rFonts w:hint="eastAsia" w:ascii="宋体" w:hAnsi="宋体" w:eastAsia="宋体" w:cs="宋体"/>
          <w:b/>
          <w:color w:val="auto"/>
          <w:highlight w:val="none"/>
        </w:rPr>
        <w:t>（五）相关政府采购政策</w:t>
      </w:r>
    </w:p>
    <w:p w14:paraId="626C75B5">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EC98B6">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2.支持绿色发展</w:t>
      </w:r>
    </w:p>
    <w:p w14:paraId="10AB825E">
      <w:pPr>
        <w:snapToGrid w:val="0"/>
        <w:spacing w:line="360" w:lineRule="auto"/>
        <w:ind w:firstLine="525" w:firstLineChars="250"/>
        <w:rPr>
          <w:rFonts w:hint="eastAsia" w:ascii="宋体" w:hAnsi="宋体" w:cs="宋体"/>
          <w:color w:val="auto"/>
          <w:szCs w:val="21"/>
          <w:highlight w:val="none"/>
        </w:rPr>
      </w:pPr>
      <w:r>
        <w:rPr>
          <w:rFonts w:hint="eastAsia" w:ascii="宋体" w:hAnsi="宋体"/>
          <w:color w:val="auto"/>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宋体" w:hAnsi="宋体"/>
          <w:b/>
          <w:color w:val="auto"/>
          <w:highlight w:val="none"/>
        </w:rPr>
        <w:t>采购人拟采购的产品属于政府强制采购的节能产品品目清单范围的，投标供应商未按招标文件要求提供国家确定的认证机构出具的、处于有效期之内的节能产品认证证书的，投标无效；投标人应保证系统维护备件（包括：整机、模块、部件、配件、线缆及随机软件等）必须为原厂商的产品，不得使用任何非原装产品，签订合同前无法提供原厂家质量保证函，投标无效。</w:t>
      </w:r>
    </w:p>
    <w:p w14:paraId="1EB51A8E">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2.2 修缮、装修类项目采购建材的，采购人应将绿色建筑和绿色建材性能、指标等作为实质性条件纳入招标文件和合同。</w:t>
      </w:r>
    </w:p>
    <w:p w14:paraId="24C87B3A">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A2C180B">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3.支持中小企业发展</w:t>
      </w:r>
    </w:p>
    <w:p w14:paraId="48A32BC5">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6D3133D">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符合中小企业划分标准的个体工商户，在政府采购活动中视同中小企业。</w:t>
      </w:r>
    </w:p>
    <w:p w14:paraId="5A95C980">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3.2在政府采购活动中，投标供应商提供的货物、工程或者服务符合下列情形的，享受中小企业扶持政策：</w:t>
      </w:r>
    </w:p>
    <w:p w14:paraId="3F601223">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3.2.1在货物采购项目中，货物由中小企业制造，即货物由中小企业生产且使用该中小企业商号或者注册商标；</w:t>
      </w:r>
    </w:p>
    <w:p w14:paraId="63A48C00">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3.2.2在工程采购项目中，工程由中小企业承建，即工程施工单位为中小企业；</w:t>
      </w:r>
    </w:p>
    <w:p w14:paraId="3A9BBA2F">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3.2.3在服务采购项目中，服务由中小企业承接，即提供服务的人员为中小企业依照《中华人民共和国劳动合同法》订立劳动合同的从业人员。</w:t>
      </w:r>
    </w:p>
    <w:p w14:paraId="03428348">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在货物采购项目中，投标供应商提供的货物既有中小企业制造货物，也有大型企业制造货物的，不享受中小企业扶持政策。</w:t>
      </w:r>
    </w:p>
    <w:p w14:paraId="29B30B58">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以联合体形式参加政府采购活动，联合体各方均为中小企业的，联合体视同中小企业。其中，联合体各方均为小微企业的，联合体视同小微企业。</w:t>
      </w:r>
    </w:p>
    <w:p w14:paraId="54C6EC90">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E6E26A1">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3.4符合《关于促进残疾人就业政府采购政策的通知》（财库〔2017〕141号）规定的条件并提供《残疾人福利性单位声明函》（附件1）的残疾人福利性单位视同小型、微型企业；</w:t>
      </w:r>
    </w:p>
    <w:p w14:paraId="12CCD1EC">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9DFFB5">
      <w:pPr>
        <w:snapToGrid w:val="0"/>
        <w:spacing w:line="360" w:lineRule="auto"/>
        <w:ind w:firstLine="420" w:firstLineChars="200"/>
        <w:jc w:val="left"/>
        <w:rPr>
          <w:rFonts w:hint="eastAsia" w:ascii="宋体" w:hAnsi="宋体"/>
          <w:b/>
          <w:bCs/>
          <w:color w:val="auto"/>
          <w:highlight w:val="none"/>
        </w:rPr>
      </w:pPr>
      <w:r>
        <w:rPr>
          <w:rFonts w:hint="eastAsia" w:ascii="宋体" w:hAnsi="宋体"/>
          <w:color w:val="auto"/>
          <w:highlight w:val="none"/>
        </w:rPr>
        <w:t>3.6可享受中小企业扶持政策的投标供应商应按照招标文件格式要求提供《中小企业声明函》，投标供应商提供的《中小企业声明函》与实际情况不符的，不享受中小企业扶持政策。</w:t>
      </w:r>
      <w:r>
        <w:rPr>
          <w:rFonts w:hint="eastAsia" w:ascii="宋体" w:hAnsi="宋体"/>
          <w:b/>
          <w:bCs/>
          <w:color w:val="auto"/>
          <w:highlight w:val="none"/>
        </w:rPr>
        <w:t>声明内容不实的，属于提供虚假材料谋取中标、成交的，依法承担法律责任。</w:t>
      </w:r>
    </w:p>
    <w:p w14:paraId="7368CF50">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color w:val="auto"/>
          <w:highlight w:val="none"/>
        </w:rPr>
        <w:t>3.7中小企业享受扶持政策获得政府采购合同的，小微企业不得将合同分包给大中型企业，中型企业不得将合同分包给大型企业。</w:t>
      </w:r>
    </w:p>
    <w:p w14:paraId="7B40214A">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（六）特别说明：</w:t>
      </w:r>
    </w:p>
    <w:p w14:paraId="1158D333">
      <w:pPr>
        <w:pStyle w:val="22"/>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0A33A6ED">
      <w:pPr>
        <w:pStyle w:val="22"/>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57F752CF">
      <w:pPr>
        <w:pStyle w:val="22"/>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非单一产品采购项目，采购人应当根据采购项目技术构成、产品价格比重等合理确定核心产品，并在招标文件中载明。多家投标供应商提供的核心产品品牌相同的，按前两款规定处理。</w:t>
      </w:r>
    </w:p>
    <w:p w14:paraId="6A4FC697">
      <w:pPr>
        <w:pStyle w:val="22"/>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2.供应商投标所使用的资格、信誉、荣誉、业绩与企业认证必须为本法人所拥有。供应商投标所使用的采购项目实施人员必须为本法人员工（或必须为本法人或控股公司正式员工）。</w:t>
      </w:r>
    </w:p>
    <w:p w14:paraId="3187AAFA">
      <w:pPr>
        <w:pStyle w:val="22"/>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3.供应商应仔细阅读招标文件的所有内容，按照招标文件的要求提交投标文件，并对所提供的全部资料的真实性承担法律责任。</w:t>
      </w:r>
    </w:p>
    <w:p w14:paraId="30C473C3">
      <w:pPr>
        <w:pStyle w:val="22"/>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6AD34F2F">
      <w:pPr>
        <w:snapToGrid w:val="0"/>
        <w:spacing w:before="120" w:beforeLines="50" w:line="360" w:lineRule="auto"/>
        <w:ind w:firstLine="413" w:firstLineChars="196"/>
        <w:jc w:val="left"/>
        <w:outlineLvl w:val="1"/>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（七）质疑和投诉</w:t>
      </w:r>
    </w:p>
    <w:p w14:paraId="787D5066">
      <w:pPr>
        <w:pStyle w:val="22"/>
        <w:snapToGrid w:val="0"/>
        <w:spacing w:line="360" w:lineRule="auto"/>
        <w:ind w:left="2" w:leftChars="1" w:firstLine="40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highlight w:val="none"/>
        </w:rPr>
        <w:t>1</w:t>
      </w:r>
      <w:r>
        <w:rPr>
          <w:rFonts w:hint="eastAsia" w:ascii="宋体" w:hAnsi="宋体" w:eastAsia="宋体" w:cs="宋体"/>
          <w:color w:val="auto"/>
          <w:sz w:val="21"/>
          <w:szCs w:val="21"/>
          <w:highlight w:val="none"/>
          <w:shd w:val="clear" w:color="auto" w:fill="FFFFFF"/>
        </w:rPr>
        <w:t>.质疑和投诉应当满足《政府采购质疑和投诉办法》（中华人民共和国财政部令第94号）要求。</w:t>
      </w:r>
    </w:p>
    <w:p w14:paraId="19C00DC5">
      <w:pPr>
        <w:pStyle w:val="22"/>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14:paraId="65C148D3">
      <w:pPr>
        <w:pStyle w:val="22"/>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3.供应商须在法定质疑期内一次性提出针对同一采购程序环节的质疑。</w:t>
      </w:r>
    </w:p>
    <w:p w14:paraId="53222A50">
      <w:pPr>
        <w:pStyle w:val="22"/>
        <w:snapToGrid w:val="0"/>
        <w:spacing w:line="360" w:lineRule="auto"/>
        <w:ind w:left="2" w:leftChars="1"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14:paraId="6DFE1EE7">
      <w:pPr>
        <w:pStyle w:val="3"/>
        <w:spacing w:line="520" w:lineRule="exact"/>
        <w:ind w:firstLine="3233" w:firstLineChars="1150"/>
        <w:jc w:val="both"/>
        <w:rPr>
          <w:rFonts w:hint="eastAsia" w:ascii="宋体" w:hAnsi="宋体" w:eastAsia="宋体" w:cs="宋体"/>
          <w:color w:val="auto"/>
          <w:sz w:val="28"/>
          <w:highlight w:val="none"/>
          <w:shd w:val="clear" w:color="auto" w:fill="FFFFFF"/>
        </w:rPr>
      </w:pPr>
      <w:bookmarkStart w:id="47" w:name="_Toc23216_WPSOffice_Level1"/>
      <w:r>
        <w:rPr>
          <w:rFonts w:hint="eastAsia" w:ascii="宋体" w:hAnsi="宋体" w:eastAsia="宋体" w:cs="宋体"/>
          <w:color w:val="auto"/>
          <w:sz w:val="28"/>
          <w:highlight w:val="none"/>
          <w:shd w:val="clear" w:color="auto" w:fill="FFFFFF"/>
        </w:rPr>
        <w:t>二、招标文件</w:t>
      </w:r>
      <w:bookmarkEnd w:id="47"/>
    </w:p>
    <w:p w14:paraId="76B0C4AC">
      <w:pPr>
        <w:snapToGrid w:val="0"/>
        <w:spacing w:line="420" w:lineRule="exact"/>
        <w:ind w:firstLine="413" w:firstLineChars="196"/>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（一）招标文件的构成。本招标文件由以下部份组成：</w:t>
      </w:r>
    </w:p>
    <w:p w14:paraId="45D5EC95">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1.招标公告</w:t>
      </w:r>
    </w:p>
    <w:p w14:paraId="589BF06E">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2.招标需求</w:t>
      </w:r>
    </w:p>
    <w:p w14:paraId="2C781EC2">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3.供应商须知</w:t>
      </w:r>
    </w:p>
    <w:p w14:paraId="7ADC325A">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4.评标办法及标准</w:t>
      </w:r>
    </w:p>
    <w:p w14:paraId="7FA7F696">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5.合同主要条款</w:t>
      </w:r>
    </w:p>
    <w:p w14:paraId="4069136A">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6.投标文件格式</w:t>
      </w:r>
    </w:p>
    <w:p w14:paraId="22744516">
      <w:pPr>
        <w:snapToGrid w:val="0"/>
        <w:spacing w:line="420" w:lineRule="exact"/>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7.本项目招标文件的澄清、答复、修改、补充的内容（所有内容将以电子文档形式上传于浙江省政府采购网(https://zfcg.czt.zj.gov.cn/)。澄清、答复、修改、补充的内容均作为招标文件的组成部分，具有约束作用。供应商必须自行下载。）</w:t>
      </w:r>
    </w:p>
    <w:p w14:paraId="1D9E2572">
      <w:pPr>
        <w:snapToGrid w:val="0"/>
        <w:spacing w:before="120" w:beforeLines="50" w:line="420" w:lineRule="exact"/>
        <w:ind w:firstLine="413" w:firstLineChars="196"/>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（二）供应商的风险</w:t>
      </w:r>
    </w:p>
    <w:p w14:paraId="3D9F124E">
      <w:pPr>
        <w:pStyle w:val="33"/>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供应商没有按照招标文件要求提供全部资料，或者供应商没有对招标文件在各方面作出实质性响应是供应商的风险，并可能导致其投标为无效标。</w:t>
      </w:r>
    </w:p>
    <w:p w14:paraId="6827D963">
      <w:pPr>
        <w:snapToGrid w:val="0"/>
        <w:spacing w:before="120" w:beforeLines="50" w:line="420" w:lineRule="exact"/>
        <w:ind w:firstLine="413" w:firstLineChars="196"/>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 xml:space="preserve">（三）招标文件的澄清与修改 </w:t>
      </w:r>
    </w:p>
    <w:p w14:paraId="5588FE7C">
      <w:pPr>
        <w:pStyle w:val="33"/>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140B9EE4">
      <w:pPr>
        <w:pStyle w:val="33"/>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2.招标文件澄清或者修改的内容为招标文件的组成部分。当招标文件与澄清或者修改就同一内容的表述不一致时，以最后发出的书面文件为准。</w:t>
      </w:r>
    </w:p>
    <w:p w14:paraId="3D963D1E">
      <w:pPr>
        <w:pStyle w:val="33"/>
        <w:spacing w:line="420" w:lineRule="exac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3.对招标文件的澄清、答复、修改或补充都应该通过招标代理机构以法定形式发布，采购人非通过本机构，不得擅自澄清、答复、修改或补充招标文件。</w:t>
      </w:r>
    </w:p>
    <w:p w14:paraId="2078C871">
      <w:pPr>
        <w:pStyle w:val="3"/>
        <w:spacing w:line="520" w:lineRule="exact"/>
        <w:rPr>
          <w:rFonts w:hint="eastAsia" w:ascii="宋体" w:hAnsi="宋体" w:eastAsia="宋体" w:cs="宋体"/>
          <w:color w:val="auto"/>
          <w:sz w:val="28"/>
          <w:highlight w:val="none"/>
          <w:shd w:val="clear" w:color="auto" w:fill="FFFFFF"/>
        </w:rPr>
      </w:pPr>
      <w:bookmarkStart w:id="48" w:name="_Toc11089_WPSOffice_Level1"/>
      <w:r>
        <w:rPr>
          <w:rFonts w:hint="eastAsia" w:ascii="宋体" w:hAnsi="宋体" w:eastAsia="宋体" w:cs="宋体"/>
          <w:color w:val="auto"/>
          <w:sz w:val="28"/>
          <w:highlight w:val="none"/>
          <w:shd w:val="clear" w:color="auto" w:fill="FFFFFF"/>
        </w:rPr>
        <w:t>三、投标文件的编制</w:t>
      </w:r>
      <w:bookmarkEnd w:id="48"/>
    </w:p>
    <w:p w14:paraId="75207207">
      <w:pPr>
        <w:snapToGrid w:val="0"/>
        <w:spacing w:line="360" w:lineRule="auto"/>
        <w:ind w:firstLine="413" w:firstLineChars="196"/>
        <w:jc w:val="left"/>
        <w:outlineLvl w:val="2"/>
        <w:rPr>
          <w:rFonts w:hint="eastAsia" w:ascii="宋体" w:hAnsi="宋体" w:eastAsia="宋体" w:cs="宋体"/>
          <w:b/>
          <w:color w:val="auto"/>
          <w:kern w:val="0"/>
          <w:szCs w:val="21"/>
          <w:highlight w:val="none"/>
          <w:shd w:val="clear" w:color="auto" w:fill="FFFFFF"/>
        </w:rPr>
      </w:pPr>
      <w:bookmarkStart w:id="49" w:name="_Toc178650929"/>
      <w:r>
        <w:rPr>
          <w:rFonts w:hint="eastAsia" w:ascii="宋体" w:hAnsi="宋体" w:eastAsia="宋体" w:cs="宋体"/>
          <w:b/>
          <w:color w:val="auto"/>
          <w:kern w:val="0"/>
          <w:szCs w:val="21"/>
          <w:highlight w:val="none"/>
          <w:shd w:val="clear" w:color="auto" w:fill="FFFFFF"/>
        </w:rPr>
        <w:t>本项目所涉投标文件格式请详见第六章，未给出的格式请自拟。商务、资信及其他及技术文件中不得出现报价，否则投标文件将被视为无效。</w:t>
      </w:r>
      <w:r>
        <w:rPr>
          <w:rFonts w:hint="eastAsia" w:ascii="宋体" w:hAnsi="宋体" w:eastAsia="宋体" w:cs="宋体"/>
          <w:b/>
          <w:color w:val="auto"/>
          <w:kern w:val="0"/>
          <w:szCs w:val="21"/>
          <w:highlight w:val="none"/>
          <w:shd w:val="clear" w:color="auto" w:fill="FFFFFF"/>
        </w:rPr>
        <w:br w:type="textWrapping"/>
      </w:r>
      <w:r>
        <w:rPr>
          <w:rFonts w:hint="eastAsia" w:ascii="宋体" w:hAnsi="宋体" w:eastAsia="宋体" w:cs="宋体"/>
          <w:b/>
          <w:color w:val="auto"/>
          <w:kern w:val="0"/>
          <w:szCs w:val="21"/>
          <w:highlight w:val="none"/>
          <w:shd w:val="clear" w:color="auto" w:fill="FFFFFF"/>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62E7EEA7">
      <w:pPr>
        <w:snapToGrid w:val="0"/>
        <w:spacing w:line="360" w:lineRule="auto"/>
        <w:ind w:firstLine="413" w:firstLineChars="196"/>
        <w:jc w:val="left"/>
        <w:outlineLvl w:val="2"/>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路径：浙江省“项目采购电子交易系统/不见面开评标”学习专题-操作指南-供应商</w:t>
      </w:r>
    </w:p>
    <w:p w14:paraId="02E184EF">
      <w:pPr>
        <w:snapToGrid w:val="0"/>
        <w:spacing w:line="360" w:lineRule="auto"/>
        <w:ind w:firstLine="413" w:firstLineChars="196"/>
        <w:jc w:val="left"/>
        <w:outlineLvl w:val="2"/>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网址：</w:t>
      </w:r>
      <w:r>
        <w:rPr>
          <w:rFonts w:hint="eastAsia" w:ascii="宋体" w:hAnsi="宋体" w:eastAsia="宋体" w:cs="宋体"/>
          <w:color w:val="auto"/>
          <w:szCs w:val="21"/>
          <w:highlight w:val="none"/>
          <w:shd w:val="clear" w:color="auto" w:fill="FFFFFF"/>
        </w:rPr>
        <w:fldChar w:fldCharType="begin"/>
      </w:r>
      <w:r>
        <w:rPr>
          <w:rFonts w:hint="eastAsia" w:ascii="宋体" w:hAnsi="宋体" w:eastAsia="宋体" w:cs="宋体"/>
          <w:color w:val="auto"/>
          <w:szCs w:val="21"/>
          <w:highlight w:val="none"/>
          <w:shd w:val="clear" w:color="auto" w:fill="FFFFFF"/>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宋体" w:hAnsi="宋体" w:eastAsia="宋体" w:cs="宋体"/>
          <w:color w:val="auto"/>
          <w:szCs w:val="21"/>
          <w:highlight w:val="none"/>
          <w:shd w:val="clear" w:color="auto" w:fill="FFFFFF"/>
        </w:rPr>
        <w:fldChar w:fldCharType="separate"/>
      </w:r>
      <w:r>
        <w:rPr>
          <w:rFonts w:hint="eastAsia" w:ascii="宋体" w:hAnsi="宋体" w:eastAsia="宋体" w:cs="宋体"/>
          <w:b/>
          <w:color w:val="auto"/>
          <w:szCs w:val="21"/>
          <w:highlight w:val="none"/>
          <w:shd w:val="clear" w:color="auto" w:fill="FFFFFF"/>
        </w:rPr>
        <w:t>https://edu.zcygov.cn/luban/e-biding</w:t>
      </w:r>
      <w:r>
        <w:rPr>
          <w:rFonts w:hint="eastAsia" w:ascii="宋体" w:hAnsi="宋体" w:eastAsia="宋体" w:cs="宋体"/>
          <w:b/>
          <w:color w:val="auto"/>
          <w:szCs w:val="21"/>
          <w:highlight w:val="none"/>
          <w:shd w:val="clear" w:color="auto" w:fill="FFFFFF"/>
        </w:rPr>
        <w:fldChar w:fldCharType="end"/>
      </w:r>
    </w:p>
    <w:p w14:paraId="34F7C948">
      <w:pPr>
        <w:snapToGrid w:val="0"/>
        <w:spacing w:line="360" w:lineRule="auto"/>
        <w:ind w:firstLine="413" w:firstLineChars="196"/>
        <w:jc w:val="left"/>
        <w:outlineLvl w:val="2"/>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总体要求：</w:t>
      </w:r>
    </w:p>
    <w:p w14:paraId="65C3724E">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14:paraId="4EB79CAD">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2.投标文件及供应商与采购有关的来往通知，函件和文件均应使用中文。</w:t>
      </w:r>
    </w:p>
    <w:p w14:paraId="1EFE8615">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3.供应商应按本文件中提供的文件格式、内容和要求制作投标文件。</w:t>
      </w:r>
    </w:p>
    <w:p w14:paraId="701BC526">
      <w:pPr>
        <w:snapToGrid w:val="0"/>
        <w:spacing w:line="360" w:lineRule="auto"/>
        <w:ind w:firstLine="413" w:firstLineChars="196"/>
        <w:jc w:val="left"/>
        <w:outlineLvl w:val="0"/>
        <w:rPr>
          <w:rFonts w:hint="eastAsia" w:ascii="宋体" w:hAnsi="宋体" w:eastAsia="宋体" w:cs="宋体"/>
          <w:b/>
          <w:color w:val="auto"/>
          <w:szCs w:val="21"/>
          <w:highlight w:val="none"/>
          <w:shd w:val="clear" w:color="auto" w:fill="FFFFFF"/>
        </w:rPr>
      </w:pPr>
      <w:bookmarkStart w:id="50" w:name="_Toc406402988"/>
      <w:bookmarkStart w:id="51" w:name="_Toc1773692000"/>
      <w:bookmarkStart w:id="52" w:name="_Toc406402944"/>
      <w:r>
        <w:rPr>
          <w:rFonts w:hint="eastAsia" w:ascii="宋体" w:hAnsi="宋体" w:eastAsia="宋体" w:cs="宋体"/>
          <w:b/>
          <w:color w:val="auto"/>
          <w:szCs w:val="21"/>
          <w:highlight w:val="none"/>
          <w:shd w:val="clear" w:color="auto" w:fill="FFFFFF"/>
        </w:rPr>
        <w:t>（一）投标文件的组成</w:t>
      </w:r>
      <w:bookmarkEnd w:id="50"/>
      <w:bookmarkEnd w:id="51"/>
      <w:bookmarkEnd w:id="52"/>
    </w:p>
    <w:p w14:paraId="388F7787">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电子投标文件和备份投标文件均由资信商务文件、技术文件及投标报价文件两部份组成。投标文件中所须加盖公章部分均采用CA签章。</w:t>
      </w:r>
    </w:p>
    <w:p w14:paraId="648910F3">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1.资格文件：</w:t>
      </w:r>
    </w:p>
    <w:p w14:paraId="2CD84DC7">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符合参加政府采购活动应当具备的一般条件的承诺函</w:t>
      </w:r>
    </w:p>
    <w:p w14:paraId="503F3930">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2.商务技术文件：</w:t>
      </w:r>
    </w:p>
    <w:p w14:paraId="12533408">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2.1投标函；</w:t>
      </w:r>
    </w:p>
    <w:p w14:paraId="44E251F9">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2.2法定代表人授权委托书；</w:t>
      </w:r>
    </w:p>
    <w:p w14:paraId="546CD032">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2.3符合性审查资料；</w:t>
      </w:r>
    </w:p>
    <w:p w14:paraId="41B3AD42">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2.4商务响应表；</w:t>
      </w:r>
    </w:p>
    <w:p w14:paraId="49B4831F">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2.5诚信承诺书；</w:t>
      </w:r>
    </w:p>
    <w:p w14:paraId="35CCBF33">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2.6评标标准相应的商务技术资料；</w:t>
      </w:r>
    </w:p>
    <w:p w14:paraId="5C062ED8">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2.6.1服务方案。</w:t>
      </w:r>
    </w:p>
    <w:p w14:paraId="698BA3ED">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2.6.2项目人员配置。</w:t>
      </w:r>
    </w:p>
    <w:p w14:paraId="1301CE25">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2.6.3培训方案。</w:t>
      </w:r>
    </w:p>
    <w:p w14:paraId="1F48FC7B">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2.6.4保证本项目实施的各种工作措施。</w:t>
      </w:r>
    </w:p>
    <w:p w14:paraId="3F28F5C8">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2.6.5针对本项目实施的各项管理制度</w:t>
      </w:r>
    </w:p>
    <w:p w14:paraId="5B792673">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2.6.6成功案例及业绩（提供合同复印件或中标通知书等证明材料加盖公章）。</w:t>
      </w:r>
    </w:p>
    <w:p w14:paraId="50D096D2">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2.6.7合理化建议。</w:t>
      </w:r>
    </w:p>
    <w:p w14:paraId="15A77A11">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2.7供应商需要说明的其他内容（未尽事宜可按评分细则部分制作）。</w:t>
      </w:r>
    </w:p>
    <w:p w14:paraId="562F4019">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3.投标报价文件：</w:t>
      </w:r>
    </w:p>
    <w:p w14:paraId="0141E43C">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3.1投标函。 </w:t>
      </w:r>
    </w:p>
    <w:p w14:paraId="57EAC616">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3.2开标一览表。 </w:t>
      </w:r>
    </w:p>
    <w:p w14:paraId="3A8E67F8">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3.3投标报价明细表。</w:t>
      </w:r>
    </w:p>
    <w:p w14:paraId="5AE703E0">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3.4中小企业声明函、残疾人福利性单位声明函及其他符合政策性加分条件的承诺函或证明材料（如有）。</w:t>
      </w:r>
    </w:p>
    <w:p w14:paraId="15689F23">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3.5投标供应商针对报价需要说明的其他文件和说明。</w:t>
      </w:r>
    </w:p>
    <w:p w14:paraId="2DBE2B4F">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bookmarkStart w:id="53" w:name="_Toc635652273"/>
      <w:bookmarkStart w:id="54" w:name="_Toc406402945"/>
      <w:bookmarkStart w:id="55" w:name="_Toc406402989"/>
      <w:r>
        <w:rPr>
          <w:rFonts w:hint="eastAsia" w:ascii="宋体" w:hAnsi="宋体" w:eastAsia="宋体" w:cs="宋体"/>
          <w:b/>
          <w:color w:val="auto"/>
          <w:szCs w:val="21"/>
          <w:highlight w:val="none"/>
          <w:shd w:val="clear" w:color="auto" w:fill="FFFFFF"/>
        </w:rPr>
        <w:t>▲</w:t>
      </w:r>
      <w:bookmarkEnd w:id="53"/>
      <w:bookmarkEnd w:id="54"/>
      <w:bookmarkEnd w:id="55"/>
      <w:r>
        <w:rPr>
          <w:rFonts w:hint="eastAsia" w:ascii="宋体" w:hAnsi="宋体" w:eastAsia="宋体" w:cs="宋体"/>
          <w:b/>
          <w:color w:val="auto"/>
          <w:szCs w:val="21"/>
          <w:highlight w:val="none"/>
          <w:shd w:val="clear" w:color="auto" w:fill="FFFFFF"/>
        </w:rPr>
        <w:t>法定代表人授权委托书、投标函、投标函、开标一览表必须有法定代表人或被授权人签字（或签章）并加盖单位公章。</w:t>
      </w:r>
    </w:p>
    <w:p w14:paraId="133CC76D">
      <w:pPr>
        <w:snapToGrid w:val="0"/>
        <w:spacing w:line="360" w:lineRule="auto"/>
        <w:ind w:firstLine="422" w:firstLineChars="200"/>
        <w:jc w:val="left"/>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（二）投标文件的编制</w:t>
      </w:r>
    </w:p>
    <w:p w14:paraId="5EC3713F">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投标文件分为资格文件、商务技术文件、报价文件三部分。各投标供应商在编制投标文件时请按照招标文件规定的格式进行，混乱的编排导致投标文件被误读或评标委员会查找不到有效文件是投标供应商的风险。</w:t>
      </w:r>
    </w:p>
    <w:p w14:paraId="6D911011">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2投标供应商进行电子投标应安装客户端软件—“政采云电子交易客户端”，并按照招标文件和电子交易平台的要求编制并加密投标文件。投标供应商未按规定加密的投标文件，电子交易平台将拒收并提示。</w:t>
      </w:r>
    </w:p>
    <w:p w14:paraId="2A336B71">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3使用“政采云电子交易客户端”需要提前申领CA数字证书，申领流程请自行前往“浙江政府采购网-下载专区-电子交易客户端-CA驱动和申领流程”进行查阅。</w:t>
      </w:r>
    </w:p>
    <w:p w14:paraId="68C7244F">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4投标文件按照招标文件要求进行签署、盖章。</w:t>
      </w:r>
    </w:p>
    <w:p w14:paraId="0BDF8D2A">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5为确保网上操作合法、有效和安全，投标供应商应当在投标截止时间前完成在“政府采购云平台”的身份认证，确保在电子投标过程中能够对相关数据电文进行加密和使用电子签名。</w:t>
      </w:r>
    </w:p>
    <w:p w14:paraId="5991B4E5">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6招标文件对投标文件签署、盖章的要求适用于电子签名。</w:t>
      </w:r>
    </w:p>
    <w:p w14:paraId="00A907A1">
      <w:pPr>
        <w:snapToGrid w:val="0"/>
        <w:spacing w:line="360" w:lineRule="auto"/>
        <w:ind w:firstLine="413" w:firstLineChars="196"/>
        <w:jc w:val="left"/>
        <w:outlineLvl w:val="0"/>
        <w:rPr>
          <w:rFonts w:hint="eastAsia" w:ascii="宋体" w:hAnsi="宋体" w:eastAsia="宋体" w:cs="宋体"/>
          <w:b/>
          <w:color w:val="auto"/>
          <w:szCs w:val="21"/>
          <w:highlight w:val="none"/>
          <w:shd w:val="clear" w:color="auto" w:fill="FFFFFF"/>
        </w:rPr>
      </w:pPr>
      <w:bookmarkStart w:id="56" w:name="_Toc402963084"/>
      <w:bookmarkStart w:id="57" w:name="_Toc406402946"/>
      <w:bookmarkStart w:id="58" w:name="_Toc385854100"/>
      <w:bookmarkStart w:id="59" w:name="_Toc654678800"/>
      <w:bookmarkStart w:id="60" w:name="_Toc406402990"/>
      <w:bookmarkStart w:id="61" w:name="_Toc402963117"/>
      <w:bookmarkStart w:id="62" w:name="_Toc385854146"/>
      <w:r>
        <w:rPr>
          <w:rFonts w:hint="eastAsia" w:ascii="宋体" w:hAnsi="宋体" w:eastAsia="宋体" w:cs="宋体"/>
          <w:b/>
          <w:color w:val="auto"/>
          <w:szCs w:val="21"/>
          <w:highlight w:val="none"/>
          <w:shd w:val="clear" w:color="auto" w:fill="FFFFFF"/>
        </w:rPr>
        <w:t>（三）投标文件的语言及计量</w:t>
      </w:r>
      <w:bookmarkEnd w:id="56"/>
      <w:bookmarkEnd w:id="57"/>
      <w:bookmarkEnd w:id="58"/>
      <w:bookmarkEnd w:id="59"/>
      <w:bookmarkEnd w:id="60"/>
      <w:bookmarkEnd w:id="61"/>
      <w:bookmarkEnd w:id="62"/>
    </w:p>
    <w:p w14:paraId="7BA37C32">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1．投标文件以及投标方与采购人就有关投标事宜的所有来往函电，均应以中文汉语书写。除签名、盖章、专用名称等特殊情形外，以中文汉语以外的文字表述的投标文件视同未提供。</w:t>
      </w:r>
    </w:p>
    <w:p w14:paraId="2D32244C">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2．投标计量单位，招标文件已有明确规定的，使用招标文件规定的计量单位；招标文件没有规定的，应采用中华人民共和国法定计量单位（货币单位：人民币元），否则视同未响应。</w:t>
      </w:r>
    </w:p>
    <w:p w14:paraId="5D460517">
      <w:pPr>
        <w:pStyle w:val="22"/>
        <w:snapToGrid w:val="0"/>
        <w:spacing w:line="360" w:lineRule="auto"/>
        <w:ind w:firstLine="422" w:firstLineChars="200"/>
        <w:jc w:val="left"/>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（四）投标文件的提交、补充、修改、撤回</w:t>
      </w:r>
    </w:p>
    <w:p w14:paraId="666B03C9">
      <w:pPr>
        <w:pStyle w:val="22"/>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61B9BB">
      <w:pPr>
        <w:pStyle w:val="22"/>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2.电子交易平台收到投标文件，将妥善保存并即时向供应商发出确认回执通知。在投标截止时间前，除供应商补充、修改或者撤回投标文件外，任何单位和个人不得解密或提取投标文件。</w:t>
      </w:r>
    </w:p>
    <w:p w14:paraId="7F744719">
      <w:pPr>
        <w:pStyle w:val="22"/>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3.采购人、采购机构可以视情况延长投标文件提交的截止时间。在上述情况下，采购机构与投标供应商以前在投标截止期方面的全部权利、责任和义务，将适用于延长至新的投标截止期。</w:t>
      </w:r>
    </w:p>
    <w:p w14:paraId="172409E4">
      <w:pPr>
        <w:pStyle w:val="22"/>
        <w:snapToGrid w:val="0"/>
        <w:spacing w:line="360" w:lineRule="auto"/>
        <w:ind w:firstLine="422" w:firstLineChars="200"/>
        <w:jc w:val="left"/>
        <w:rPr>
          <w:rFonts w:hint="eastAsia" w:ascii="宋体" w:hAnsi="宋体" w:eastAsia="宋体" w:cs="宋体"/>
          <w:b/>
          <w:color w:val="auto"/>
          <w:sz w:val="21"/>
          <w:szCs w:val="21"/>
          <w:highlight w:val="none"/>
          <w:shd w:val="clear" w:color="auto" w:fill="FFFFFF"/>
        </w:rPr>
      </w:pPr>
      <w:bookmarkStart w:id="63" w:name="_Toc402963118"/>
      <w:bookmarkStart w:id="64" w:name="_Toc385854147"/>
      <w:bookmarkStart w:id="65" w:name="_Toc385854101"/>
      <w:bookmarkStart w:id="66" w:name="_Toc361271002"/>
      <w:bookmarkStart w:id="67" w:name="_Toc402963085"/>
      <w:bookmarkStart w:id="68" w:name="_Toc406402991"/>
      <w:bookmarkStart w:id="69" w:name="_Toc406402947"/>
      <w:r>
        <w:rPr>
          <w:rFonts w:hint="eastAsia" w:ascii="宋体" w:hAnsi="宋体" w:eastAsia="宋体" w:cs="宋体"/>
          <w:b/>
          <w:color w:val="auto"/>
          <w:sz w:val="21"/>
          <w:szCs w:val="21"/>
          <w:highlight w:val="none"/>
          <w:shd w:val="clear" w:color="auto" w:fill="FFFFFF"/>
        </w:rPr>
        <w:t>（五）投标报价</w:t>
      </w:r>
      <w:bookmarkEnd w:id="63"/>
      <w:bookmarkEnd w:id="64"/>
      <w:bookmarkEnd w:id="65"/>
      <w:bookmarkEnd w:id="66"/>
      <w:bookmarkEnd w:id="67"/>
      <w:bookmarkEnd w:id="68"/>
      <w:bookmarkEnd w:id="69"/>
    </w:p>
    <w:p w14:paraId="02B51116">
      <w:pPr>
        <w:pStyle w:val="22"/>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1.投标报价应按招标文件中相关附表格式填写。</w:t>
      </w:r>
    </w:p>
    <w:p w14:paraId="13C16953">
      <w:pPr>
        <w:pStyle w:val="22"/>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供应商所填写的单价在合同实施期间不因市场因素而变动，供应商在计算报价时应考虑一定的风险系数（由供应商自行考虑）。供应商应根据本采购文件、国家有关标准规范，结合本项目特点及供应商自身实力和条件，自行报价并承担相应的风险。今后结算时，投标综合单价固定、</w:t>
      </w:r>
      <w:r>
        <w:rPr>
          <w:rFonts w:hint="eastAsia" w:hAnsi="宋体" w:eastAsia="宋体" w:cs="宋体"/>
          <w:color w:val="auto"/>
          <w:sz w:val="21"/>
          <w:szCs w:val="21"/>
          <w:highlight w:val="none"/>
          <w:shd w:val="clear" w:color="auto" w:fill="FFFFFF"/>
          <w:lang w:eastAsia="zh-CN"/>
        </w:rPr>
        <w:t>货物数量</w:t>
      </w:r>
      <w:r>
        <w:rPr>
          <w:rFonts w:hint="eastAsia" w:ascii="宋体" w:hAnsi="宋体" w:eastAsia="宋体" w:cs="宋体"/>
          <w:color w:val="auto"/>
          <w:sz w:val="21"/>
          <w:szCs w:val="21"/>
          <w:highlight w:val="none"/>
          <w:shd w:val="clear" w:color="auto" w:fill="FFFFFF"/>
        </w:rPr>
        <w:t>按实结算。</w:t>
      </w:r>
    </w:p>
    <w:p w14:paraId="2694EFD9">
      <w:pPr>
        <w:pStyle w:val="22"/>
        <w:snapToGrid w:val="0"/>
        <w:spacing w:line="360" w:lineRule="auto"/>
        <w:ind w:firstLine="40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 w:val="21"/>
          <w:szCs w:val="21"/>
          <w:highlight w:val="none"/>
          <w:shd w:val="clear" w:color="auto" w:fill="FFFFFF"/>
        </w:rPr>
        <w:t>投标报价是履行合同的最终价格，应包括</w:t>
      </w:r>
      <w:r>
        <w:rPr>
          <w:rFonts w:hint="eastAsia" w:hAnsi="宋体" w:eastAsia="宋体" w:cs="宋体"/>
          <w:color w:val="auto"/>
          <w:sz w:val="21"/>
          <w:szCs w:val="21"/>
          <w:highlight w:val="none"/>
          <w:shd w:val="clear" w:color="auto" w:fill="FFFFFF"/>
          <w:lang w:eastAsia="zh-CN"/>
        </w:rPr>
        <w:t>人工费，运输费等消耗费，利润，管理费，规费，税金，风险费以及政策性文件规定等</w:t>
      </w:r>
      <w:r>
        <w:rPr>
          <w:rFonts w:hint="eastAsia" w:ascii="宋体" w:hAnsi="宋体" w:eastAsia="宋体" w:cs="宋体"/>
          <w:color w:val="auto"/>
          <w:sz w:val="21"/>
          <w:szCs w:val="21"/>
          <w:highlight w:val="none"/>
          <w:shd w:val="clear" w:color="auto" w:fill="FFFFFF"/>
        </w:rPr>
        <w:t>为完成本项目所需的所有费用。</w:t>
      </w:r>
    </w:p>
    <w:p w14:paraId="6C0B91B3">
      <w:pPr>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 w:val="21"/>
          <w:szCs w:val="21"/>
          <w:highlight w:val="none"/>
          <w:shd w:val="clear" w:color="auto" w:fill="FFFFFF"/>
        </w:rPr>
        <w:t>4.</w:t>
      </w:r>
      <w:r>
        <w:rPr>
          <w:rFonts w:hint="eastAsia" w:ascii="宋体" w:hAnsi="宋体" w:eastAsia="宋体" w:cs="宋体"/>
          <w:color w:val="auto"/>
          <w:szCs w:val="21"/>
          <w:highlight w:val="none"/>
          <w:shd w:val="clear" w:color="auto" w:fill="FFFFFF"/>
        </w:rPr>
        <w:t>投标文件只允许有一个报价，有选择的或有条件的报价将不予接受。</w:t>
      </w:r>
    </w:p>
    <w:p w14:paraId="26B64C49">
      <w:pPr>
        <w:pStyle w:val="22"/>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中标单位将支付招标代理费4000元，由中标单位直接支付给招标代理单位，各单位报价时综合考虑。</w:t>
      </w:r>
    </w:p>
    <w:p w14:paraId="77C9E2F8">
      <w:pPr>
        <w:pStyle w:val="10"/>
        <w:widowControl w:val="0"/>
        <w:tabs>
          <w:tab w:val="clear" w:pos="454"/>
        </w:tabs>
        <w:snapToGrid w:val="0"/>
        <w:spacing w:before="120" w:beforeLines="50" w:afterLines="0" w:line="360" w:lineRule="auto"/>
        <w:ind w:left="0" w:firstLine="413" w:firstLineChars="196"/>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（六）投标文件的有效期</w:t>
      </w:r>
    </w:p>
    <w:p w14:paraId="68B2C767">
      <w:pPr>
        <w:pStyle w:val="22"/>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bookmarkStart w:id="70" w:name="_Toc406402995"/>
      <w:bookmarkStart w:id="71" w:name="_Toc402963122"/>
      <w:bookmarkStart w:id="72" w:name="_Toc385854151"/>
      <w:bookmarkStart w:id="73" w:name="_Toc402963089"/>
      <w:bookmarkStart w:id="74" w:name="_Toc406402951"/>
      <w:bookmarkStart w:id="75" w:name="_Toc385854105"/>
      <w:r>
        <w:rPr>
          <w:rFonts w:hint="eastAsia" w:ascii="宋体" w:hAnsi="宋体" w:eastAsia="宋体" w:cs="宋体"/>
          <w:color w:val="auto"/>
          <w:sz w:val="21"/>
          <w:szCs w:val="21"/>
          <w:highlight w:val="none"/>
          <w:shd w:val="clear" w:color="auto" w:fill="FFFFFF"/>
        </w:rPr>
        <w:t>1.自投标截止日起</w:t>
      </w:r>
      <w:r>
        <w:rPr>
          <w:rFonts w:hint="eastAsia" w:ascii="宋体" w:hAnsi="宋体" w:eastAsia="宋体" w:cs="宋体"/>
          <w:color w:val="auto"/>
          <w:sz w:val="21"/>
          <w:szCs w:val="21"/>
          <w:highlight w:val="none"/>
          <w:u w:val="single"/>
          <w:shd w:val="clear" w:color="auto" w:fill="FFFFFF"/>
        </w:rPr>
        <w:t>90</w:t>
      </w:r>
      <w:r>
        <w:rPr>
          <w:rFonts w:hint="eastAsia" w:ascii="宋体" w:hAnsi="宋体" w:eastAsia="宋体" w:cs="宋体"/>
          <w:color w:val="auto"/>
          <w:sz w:val="21"/>
          <w:szCs w:val="21"/>
          <w:highlight w:val="none"/>
          <w:shd w:val="clear" w:color="auto" w:fill="FFFFFF"/>
        </w:rPr>
        <w:t>天投标文件应保持有效。有效期不足的投标文件将被拒绝。</w:t>
      </w:r>
    </w:p>
    <w:p w14:paraId="491B71A2">
      <w:pPr>
        <w:pStyle w:val="22"/>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2.在特殊情况下，采购人可与投标供应商协商延长投标书的有效期，这种要求和答复均以书面形式进行。</w:t>
      </w:r>
    </w:p>
    <w:p w14:paraId="2DA5A584">
      <w:pPr>
        <w:pStyle w:val="22"/>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bookmarkStart w:id="76" w:name="_Toc402963120"/>
      <w:bookmarkStart w:id="77" w:name="_Toc402963087"/>
      <w:bookmarkStart w:id="78" w:name="_Toc385854149"/>
      <w:bookmarkStart w:id="79" w:name="_Toc406402949"/>
      <w:bookmarkStart w:id="80" w:name="_Toc532218229"/>
      <w:bookmarkStart w:id="81" w:name="_Toc385854103"/>
      <w:bookmarkStart w:id="82" w:name="_Toc406402993"/>
      <w:r>
        <w:rPr>
          <w:rFonts w:hint="eastAsia" w:ascii="宋体" w:hAnsi="宋体" w:eastAsia="宋体" w:cs="宋体"/>
          <w:color w:val="auto"/>
          <w:sz w:val="21"/>
          <w:szCs w:val="21"/>
          <w:highlight w:val="none"/>
          <w:shd w:val="clear" w:color="auto" w:fill="FFFFFF"/>
        </w:rPr>
        <w:t>3.中标供应商的投标文件自开标之日起至合同履行完毕止均应保持有效。</w:t>
      </w:r>
      <w:bookmarkEnd w:id="76"/>
      <w:bookmarkEnd w:id="77"/>
      <w:bookmarkEnd w:id="78"/>
      <w:bookmarkEnd w:id="79"/>
      <w:bookmarkEnd w:id="80"/>
      <w:bookmarkEnd w:id="81"/>
      <w:bookmarkEnd w:id="82"/>
    </w:p>
    <w:p w14:paraId="623F56CB">
      <w:pPr>
        <w:pStyle w:val="22"/>
        <w:snapToGrid w:val="0"/>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4.在原定投标有效期满之前，如果出现特殊情况，采购机构可以以书面形式通知投标供应商延长投标有效期。投标供应商同意延长的，不得要求或被允许修改其投标文件，投标供应商拒绝延长的，其投标无效。</w:t>
      </w:r>
      <w:bookmarkEnd w:id="70"/>
      <w:bookmarkEnd w:id="71"/>
      <w:bookmarkEnd w:id="72"/>
      <w:bookmarkEnd w:id="73"/>
      <w:bookmarkEnd w:id="74"/>
      <w:bookmarkEnd w:id="75"/>
    </w:p>
    <w:p w14:paraId="30AA907A">
      <w:pPr>
        <w:snapToGrid w:val="0"/>
        <w:spacing w:line="480" w:lineRule="exact"/>
        <w:ind w:firstLine="413" w:firstLineChars="196"/>
        <w:outlineLvl w:val="2"/>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（七）投标无效的情形</w:t>
      </w:r>
    </w:p>
    <w:p w14:paraId="4574B87E">
      <w:pPr>
        <w:pStyle w:val="17"/>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1.电子投标文件解密失败的，且未在规定时间内提交有效备份投标文件的。</w:t>
      </w:r>
    </w:p>
    <w:p w14:paraId="6E970413">
      <w:pPr>
        <w:pStyle w:val="17"/>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2.仅提交备份投标文件，没有在电子交易平台传输递交投标文件的。</w:t>
      </w:r>
    </w:p>
    <w:p w14:paraId="71CE57AA">
      <w:pPr>
        <w:pStyle w:val="17"/>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3.没有通过资格审查的，投标文件将被视为无效。</w:t>
      </w:r>
    </w:p>
    <w:p w14:paraId="13055F06">
      <w:pPr>
        <w:pStyle w:val="17"/>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4.在符合性审查和商务评审时，如发现下列情形之一的，投标文件将被视为无效：</w:t>
      </w:r>
    </w:p>
    <w:p w14:paraId="5A65E204">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（1）电子投标文件未按规定要求提供电子签章的。</w:t>
      </w:r>
    </w:p>
    <w:p w14:paraId="11A7F4AA">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（2）在资信商务技术文件中出现报价的。</w:t>
      </w:r>
    </w:p>
    <w:p w14:paraId="67D46A0F">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（3）未按要求对资格文件进行承诺，或虚假承诺的。</w:t>
      </w:r>
    </w:p>
    <w:p w14:paraId="44C91494">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（4）未提供法定代表人授权委托书、投标函或者填写项目不齐全的。</w:t>
      </w:r>
    </w:p>
    <w:p w14:paraId="46B15A3B">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（5）投标文件格式不规范、项目不齐全或者内容虚假的。</w:t>
      </w:r>
    </w:p>
    <w:p w14:paraId="16A01152">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（6）投标文件的实质性内容未使用中文表述、意思表述不明确、前后矛盾或者使用计量单位不符合招标文件要求的（经评标委员会认定并允许其当场更正的笔误除外）。</w:t>
      </w:r>
    </w:p>
    <w:p w14:paraId="5E7A798D">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（7）投标有效期、服务承诺等商务条款不能满足招标文件要求的。</w:t>
      </w:r>
    </w:p>
    <w:p w14:paraId="4E906BDD">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（8）未实质性响应招标文件要求或者投标文件有采购人不能接受的附加条件的。</w:t>
      </w:r>
    </w:p>
    <w:p w14:paraId="5AE5CA43">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（9）不符合本招标文件中的实质性要求条款。</w:t>
      </w:r>
    </w:p>
    <w:p w14:paraId="0DDA1A1B">
      <w:pPr>
        <w:pStyle w:val="17"/>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5.在技术评审时，如发现下列情形之一的，投标文件将被视为无效：</w:t>
      </w:r>
    </w:p>
    <w:p w14:paraId="65E4EF36">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（1）未提供或未如实提供投标货物的技术参数，或者投标文件标明的响应或偏离与事实不符或虚假投标的。</w:t>
      </w:r>
    </w:p>
    <w:p w14:paraId="4A579C0A">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（2）明显不符合招标文件要求的规格型号、质量标准，或者与招标文件中标“▲”的技术指标、主要功能项目发生实质性偏离的。</w:t>
      </w:r>
    </w:p>
    <w:p w14:paraId="571257B1">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（3）投标技术方案不明确，存在一个或一个以上备选（替代）投标方案的。</w:t>
      </w:r>
    </w:p>
    <w:p w14:paraId="2D74424C">
      <w:pPr>
        <w:pStyle w:val="17"/>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6.在报价评审时，如发现下列情形之一的，投标文件将被视为无效：</w:t>
      </w:r>
    </w:p>
    <w:p w14:paraId="68B00FC9">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（1）未采用人民币报价或者未按照招标文件标明的币种报价的。</w:t>
      </w:r>
    </w:p>
    <w:p w14:paraId="54F05363">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（2）报价等于或超出最高限价的。</w:t>
      </w:r>
    </w:p>
    <w:p w14:paraId="6BB5A34E">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 xml:space="preserve">（3）投标报价具有选择性，或者开标价格与投标文件承诺的优惠（折扣）价格不一致的。   </w:t>
      </w:r>
    </w:p>
    <w:p w14:paraId="4CDFB0FE">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 xml:space="preserve">（4）报价明显低于其他通过符合性审查投标供应商的报价，有可能影响产品质量或者不能诚信履约的，未能按要求提供书面说明或者提交相关证明材料，不能证明其报价合理性的;    </w:t>
      </w:r>
    </w:p>
    <w:p w14:paraId="2442059B">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（5）报价一经涂改，应在涂改处加盖单位公章或者由法定代表人或被授权人签字（或盖章），否则其投标作无效标处理；</w:t>
      </w:r>
    </w:p>
    <w:p w14:paraId="7FD6926F">
      <w:pPr>
        <w:pStyle w:val="17"/>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 xml:space="preserve">7.投标供应商有恶意串通、妨碍其他投标供应商的竞争行为、损害采购人或者其他投标供应商的合法权益情形的，投标文件将被视为无效； </w:t>
      </w:r>
    </w:p>
    <w:p w14:paraId="4FA0B8FB">
      <w:pPr>
        <w:pStyle w:val="17"/>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 xml:space="preserve">8.法律、法规、规章（适用本市的）及省级以上规范性文件（适用本市的）规定的其他无效情形。                                                                                    </w:t>
      </w:r>
    </w:p>
    <w:p w14:paraId="7F4746FA">
      <w:pPr>
        <w:pStyle w:val="17"/>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9.被拒绝的投标文件为无效。</w:t>
      </w:r>
    </w:p>
    <w:p w14:paraId="068834FC">
      <w:pPr>
        <w:pStyle w:val="17"/>
        <w:snapToGrid w:val="0"/>
        <w:spacing w:line="480" w:lineRule="exact"/>
        <w:ind w:firstLine="413" w:firstLineChars="196"/>
        <w:rPr>
          <w:rFonts w:hint="eastAsia" w:ascii="宋体" w:hAnsi="宋体" w:eastAsia="宋体" w:cs="宋体"/>
          <w:b/>
          <w:bCs/>
          <w:color w:val="auto"/>
          <w:spacing w:val="0"/>
          <w:kern w:val="2"/>
          <w:sz w:val="21"/>
          <w:szCs w:val="21"/>
          <w:highlight w:val="none"/>
          <w:shd w:val="clear" w:color="auto" w:fill="FFFFFF"/>
        </w:rPr>
      </w:pPr>
      <w:r>
        <w:rPr>
          <w:rFonts w:hint="eastAsia" w:ascii="宋体" w:hAnsi="宋体" w:eastAsia="宋体" w:cs="宋体"/>
          <w:b/>
          <w:bCs/>
          <w:color w:val="auto"/>
          <w:spacing w:val="0"/>
          <w:kern w:val="2"/>
          <w:sz w:val="21"/>
          <w:szCs w:val="21"/>
          <w:highlight w:val="none"/>
          <w:shd w:val="clear" w:color="auto" w:fill="FFFFFF"/>
        </w:rPr>
        <w:t>（八）废标的情形</w:t>
      </w:r>
    </w:p>
    <w:p w14:paraId="26989072">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根据《中华人民共和国政府采购法》第三十六条之规定，在采购中，出现下列情形之一的，应予废标：</w:t>
      </w:r>
    </w:p>
    <w:p w14:paraId="5D4CC883">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1.符合专业条件的供应商或者对招标文件作实质响应的供应商不足3家的；</w:t>
      </w:r>
    </w:p>
    <w:p w14:paraId="35328B94">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2.出现影响采购公正的违法、违规行为的；</w:t>
      </w:r>
    </w:p>
    <w:p w14:paraId="3AC8F367">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3.投标供应商的报价均超过了采购预算，采购人不能支付的；</w:t>
      </w:r>
    </w:p>
    <w:p w14:paraId="19EEF7CF">
      <w:pPr>
        <w:pStyle w:val="17"/>
        <w:snapToGrid w:val="0"/>
        <w:spacing w:line="480" w:lineRule="exact"/>
        <w:ind w:firstLine="411" w:firstLineChars="196"/>
        <w:rPr>
          <w:rFonts w:hint="eastAsia" w:ascii="宋体" w:hAnsi="宋体" w:eastAsia="宋体" w:cs="宋体"/>
          <w:bCs/>
          <w:color w:val="auto"/>
          <w:spacing w:val="0"/>
          <w:kern w:val="2"/>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4.因重大变故，采购任务取消的。</w:t>
      </w:r>
    </w:p>
    <w:p w14:paraId="1BA5A40B">
      <w:pPr>
        <w:pStyle w:val="17"/>
        <w:snapToGrid w:val="0"/>
        <w:spacing w:line="480" w:lineRule="exact"/>
        <w:ind w:firstLine="411" w:firstLineChars="196"/>
        <w:rPr>
          <w:rFonts w:hint="eastAsia" w:ascii="宋体" w:hAnsi="宋体" w:eastAsia="宋体" w:cs="宋体"/>
          <w:b/>
          <w:snapToGrid w:val="0"/>
          <w:color w:val="auto"/>
          <w:sz w:val="21"/>
          <w:szCs w:val="21"/>
          <w:highlight w:val="none"/>
          <w:shd w:val="clear" w:color="auto" w:fill="FFFFFF"/>
        </w:rPr>
      </w:pPr>
      <w:r>
        <w:rPr>
          <w:rFonts w:hint="eastAsia" w:ascii="宋体" w:hAnsi="宋体" w:eastAsia="宋体" w:cs="宋体"/>
          <w:bCs/>
          <w:color w:val="auto"/>
          <w:spacing w:val="0"/>
          <w:kern w:val="2"/>
          <w:sz w:val="21"/>
          <w:szCs w:val="21"/>
          <w:highlight w:val="none"/>
          <w:shd w:val="clear" w:color="auto" w:fill="FFFFFF"/>
        </w:rPr>
        <w:t>废标后，采购机构应当将废标理由通知所有投标供应商。</w:t>
      </w:r>
    </w:p>
    <w:bookmarkEnd w:id="49"/>
    <w:p w14:paraId="749D46DB">
      <w:pPr>
        <w:pStyle w:val="3"/>
        <w:spacing w:line="276" w:lineRule="auto"/>
        <w:rPr>
          <w:rFonts w:hint="eastAsia" w:ascii="宋体" w:hAnsi="宋体" w:eastAsia="宋体" w:cs="宋体"/>
          <w:color w:val="auto"/>
          <w:sz w:val="28"/>
          <w:highlight w:val="none"/>
          <w:shd w:val="clear" w:color="auto" w:fill="FFFFFF"/>
        </w:rPr>
      </w:pPr>
      <w:bookmarkStart w:id="83" w:name="_Toc177870554"/>
      <w:bookmarkStart w:id="84" w:name="_Toc27062_WPSOffice_Level1"/>
    </w:p>
    <w:p w14:paraId="4C4467D8">
      <w:pPr>
        <w:pStyle w:val="3"/>
        <w:spacing w:line="520" w:lineRule="exact"/>
        <w:rPr>
          <w:rFonts w:hint="eastAsia" w:ascii="宋体" w:hAnsi="宋体" w:eastAsia="宋体" w:cs="宋体"/>
          <w:color w:val="auto"/>
          <w:sz w:val="28"/>
          <w:highlight w:val="none"/>
          <w:shd w:val="clear" w:color="auto" w:fill="FFFFFF"/>
        </w:rPr>
      </w:pPr>
      <w:r>
        <w:rPr>
          <w:rFonts w:hint="eastAsia" w:ascii="宋体" w:hAnsi="宋体" w:eastAsia="宋体" w:cs="宋体"/>
          <w:color w:val="auto"/>
          <w:sz w:val="28"/>
          <w:highlight w:val="none"/>
          <w:shd w:val="clear" w:color="auto" w:fill="FFFFFF"/>
        </w:rPr>
        <w:t>四、</w:t>
      </w:r>
      <w:bookmarkEnd w:id="83"/>
      <w:r>
        <w:rPr>
          <w:rFonts w:hint="eastAsia" w:ascii="宋体" w:hAnsi="宋体" w:eastAsia="宋体" w:cs="宋体"/>
          <w:color w:val="auto"/>
          <w:sz w:val="28"/>
          <w:highlight w:val="none"/>
          <w:shd w:val="clear" w:color="auto" w:fill="FFFFFF"/>
        </w:rPr>
        <w:t>开标</w:t>
      </w:r>
      <w:bookmarkEnd w:id="84"/>
    </w:p>
    <w:p w14:paraId="07807B54">
      <w:pPr>
        <w:pStyle w:val="17"/>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1、本项目实行电子开评标，供应商无需到开标现场，但须准时在线参加，直至评审结束。</w:t>
      </w:r>
    </w:p>
    <w:p w14:paraId="49FC53B0">
      <w:pPr>
        <w:pStyle w:val="17"/>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2、电子开评标及评审程序</w:t>
      </w:r>
    </w:p>
    <w:p w14:paraId="7DCB5208">
      <w:pPr>
        <w:pStyle w:val="17"/>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2.1投标截止时间后的半小时内，由各供应商自行对电子投标文件进行解密（请各供应商务必在规定时间内完成电子投标文件的解密工作；开启报价环节，供应商须在15分钟内在系统里CA签字确认；</w:t>
      </w:r>
    </w:p>
    <w:p w14:paraId="2EC6665C">
      <w:pPr>
        <w:pStyle w:val="17"/>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2.2.采购人或招标代理机构对供应商的资格审查文件进行审查；评标委员会对供应商的资信商务及技术响应文件进行评审；</w:t>
      </w:r>
    </w:p>
    <w:p w14:paraId="7569078E">
      <w:pPr>
        <w:pStyle w:val="17"/>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2.3评标委员会对报价文件进行评审；</w:t>
      </w:r>
    </w:p>
    <w:p w14:paraId="5FF82A73">
      <w:pPr>
        <w:pStyle w:val="17"/>
        <w:snapToGrid w:val="0"/>
        <w:spacing w:line="480" w:lineRule="exact"/>
        <w:ind w:firstLine="395" w:firstLineChars="196"/>
        <w:rPr>
          <w:rFonts w:hint="eastAsia" w:ascii="宋体" w:hAnsi="宋体" w:eastAsia="宋体" w:cs="宋体"/>
          <w:color w:val="auto"/>
          <w:sz w:val="21"/>
          <w:szCs w:val="24"/>
          <w:highlight w:val="none"/>
          <w:shd w:val="clear" w:color="auto" w:fill="FFFFFF"/>
        </w:rPr>
      </w:pPr>
      <w:r>
        <w:rPr>
          <w:rFonts w:hint="eastAsia" w:ascii="宋体" w:hAnsi="宋体" w:eastAsia="宋体" w:cs="宋体"/>
          <w:color w:val="auto"/>
          <w:sz w:val="21"/>
          <w:szCs w:val="24"/>
          <w:highlight w:val="none"/>
          <w:shd w:val="clear" w:color="auto" w:fill="FFFFFF"/>
        </w:rPr>
        <w:t>2.4评标委员会撰写评审报告，推荐中标候选人。</w:t>
      </w:r>
    </w:p>
    <w:p w14:paraId="40D34FC1">
      <w:pPr>
        <w:spacing w:line="520" w:lineRule="exact"/>
        <w:ind w:firstLine="420" w:firstLineChars="200"/>
        <w:rPr>
          <w:rFonts w:hint="eastAsia" w:ascii="宋体" w:hAnsi="宋体" w:eastAsia="宋体" w:cs="宋体"/>
          <w:color w:val="auto"/>
          <w:szCs w:val="21"/>
          <w:highlight w:val="none"/>
          <w:shd w:val="clear" w:color="auto" w:fill="FFFFFF"/>
        </w:rPr>
      </w:pPr>
    </w:p>
    <w:p w14:paraId="0FA296FD">
      <w:pPr>
        <w:pStyle w:val="22"/>
        <w:snapToGrid w:val="0"/>
        <w:spacing w:line="360" w:lineRule="auto"/>
        <w:ind w:left="882" w:leftChars="267" w:hanging="321" w:hangingChars="100"/>
        <w:jc w:val="center"/>
        <w:rPr>
          <w:rFonts w:hint="eastAsia" w:ascii="宋体" w:hAnsi="宋体" w:eastAsia="宋体" w:cs="宋体"/>
          <w:b/>
          <w:bCs/>
          <w:color w:val="auto"/>
          <w:sz w:val="32"/>
          <w:szCs w:val="32"/>
          <w:highlight w:val="none"/>
          <w:shd w:val="clear" w:color="auto" w:fill="FFFFFF"/>
        </w:rPr>
      </w:pPr>
      <w:bookmarkStart w:id="85" w:name="_Toc26624_WPSOffice_Level1"/>
      <w:r>
        <w:rPr>
          <w:rFonts w:hint="eastAsia" w:ascii="宋体" w:hAnsi="宋体" w:eastAsia="宋体" w:cs="宋体"/>
          <w:b/>
          <w:bCs/>
          <w:color w:val="auto"/>
          <w:sz w:val="32"/>
          <w:szCs w:val="32"/>
          <w:highlight w:val="none"/>
          <w:shd w:val="clear" w:color="auto" w:fill="FFFFFF"/>
        </w:rPr>
        <w:t>五、评标</w:t>
      </w:r>
    </w:p>
    <w:p w14:paraId="399A361E">
      <w:pPr>
        <w:pStyle w:val="22"/>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（一）组建评标委员会</w:t>
      </w:r>
    </w:p>
    <w:p w14:paraId="6931B02B">
      <w:pPr>
        <w:pStyle w:val="22"/>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本项目评标委员会由政府采购评审专家</w:t>
      </w:r>
      <w:r>
        <w:rPr>
          <w:rFonts w:hint="eastAsia" w:ascii="宋体" w:hAnsi="宋体" w:eastAsia="宋体" w:cs="宋体"/>
          <w:color w:val="auto"/>
          <w:sz w:val="21"/>
          <w:szCs w:val="21"/>
          <w:highlight w:val="none"/>
          <w:u w:val="single"/>
          <w:shd w:val="clear" w:color="auto" w:fill="FFFFFF"/>
        </w:rPr>
        <w:t>4</w:t>
      </w:r>
      <w:r>
        <w:rPr>
          <w:rFonts w:hint="eastAsia" w:ascii="宋体" w:hAnsi="宋体" w:eastAsia="宋体" w:cs="宋体"/>
          <w:color w:val="auto"/>
          <w:sz w:val="21"/>
          <w:szCs w:val="21"/>
          <w:highlight w:val="none"/>
          <w:shd w:val="clear" w:color="auto" w:fill="FFFFFF"/>
        </w:rPr>
        <w:t>人和采购人代表</w:t>
      </w:r>
      <w:r>
        <w:rPr>
          <w:rFonts w:hint="eastAsia" w:ascii="宋体" w:hAnsi="宋体" w:eastAsia="宋体" w:cs="宋体"/>
          <w:color w:val="auto"/>
          <w:sz w:val="21"/>
          <w:szCs w:val="21"/>
          <w:highlight w:val="none"/>
          <w:u w:val="single"/>
          <w:shd w:val="clear" w:color="auto" w:fill="FFFFFF"/>
        </w:rPr>
        <w:t xml:space="preserve"> 1 </w:t>
      </w:r>
      <w:r>
        <w:rPr>
          <w:rFonts w:hint="eastAsia" w:ascii="宋体" w:hAnsi="宋体" w:eastAsia="宋体" w:cs="宋体"/>
          <w:color w:val="auto"/>
          <w:sz w:val="21"/>
          <w:szCs w:val="21"/>
          <w:highlight w:val="none"/>
          <w:shd w:val="clear" w:color="auto" w:fill="FFFFFF"/>
        </w:rPr>
        <w:t>人,共</w:t>
      </w:r>
      <w:r>
        <w:rPr>
          <w:rFonts w:hint="eastAsia" w:ascii="宋体" w:hAnsi="宋体" w:eastAsia="宋体" w:cs="宋体"/>
          <w:color w:val="auto"/>
          <w:sz w:val="21"/>
          <w:szCs w:val="21"/>
          <w:highlight w:val="none"/>
          <w:u w:val="single"/>
          <w:shd w:val="clear" w:color="auto" w:fill="FFFFFF"/>
        </w:rPr>
        <w:t xml:space="preserve"> 5 </w:t>
      </w:r>
      <w:r>
        <w:rPr>
          <w:rFonts w:hint="eastAsia" w:ascii="宋体" w:hAnsi="宋体" w:eastAsia="宋体" w:cs="宋体"/>
          <w:color w:val="auto"/>
          <w:sz w:val="21"/>
          <w:szCs w:val="21"/>
          <w:highlight w:val="none"/>
          <w:shd w:val="clear" w:color="auto" w:fill="FFFFFF"/>
        </w:rPr>
        <w:t>人组成。</w:t>
      </w:r>
    </w:p>
    <w:p w14:paraId="2A3CC1DD">
      <w:pPr>
        <w:pStyle w:val="22"/>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评标委员会负责具体评标事务，并独立履行下列职责：</w:t>
      </w:r>
    </w:p>
    <w:p w14:paraId="644A5CA7">
      <w:pPr>
        <w:pStyle w:val="22"/>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1、审查、评价投标文件是否符合招标文件的商务、技术等实质性要求;</w:t>
      </w:r>
    </w:p>
    <w:p w14:paraId="101E324B">
      <w:pPr>
        <w:pStyle w:val="22"/>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2、要求投标人对投标文件有关事项作出澄清或者说明;</w:t>
      </w:r>
    </w:p>
    <w:p w14:paraId="7BB91E7E">
      <w:pPr>
        <w:pStyle w:val="22"/>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3、对投标文件进行比较和评价;</w:t>
      </w:r>
    </w:p>
    <w:p w14:paraId="0562FC0F">
      <w:pPr>
        <w:pStyle w:val="22"/>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4、确定中标候选人名单，以及根据采购人委托直接确定中标人;</w:t>
      </w:r>
    </w:p>
    <w:p w14:paraId="55769836">
      <w:pPr>
        <w:pStyle w:val="22"/>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5、向采购人、代理机构或者有关部门报告评标中发现的违法行为。</w:t>
      </w:r>
    </w:p>
    <w:p w14:paraId="74D421C1">
      <w:pPr>
        <w:pStyle w:val="22"/>
        <w:adjustRightInd w:val="0"/>
        <w:snapToGrid w:val="0"/>
        <w:spacing w:line="360" w:lineRule="auto"/>
        <w:ind w:firstLine="422" w:firstLineChars="200"/>
        <w:rPr>
          <w:rFonts w:hint="eastAsia" w:ascii="宋体" w:hAnsi="宋体" w:eastAsia="宋体" w:cs="宋体"/>
          <w:b/>
          <w:color w:val="auto"/>
          <w:sz w:val="21"/>
          <w:szCs w:val="21"/>
          <w:highlight w:val="none"/>
          <w:u w:val="single"/>
          <w:shd w:val="clear" w:color="auto" w:fill="FFFFFF"/>
        </w:rPr>
      </w:pPr>
      <w:r>
        <w:rPr>
          <w:rFonts w:hint="eastAsia" w:ascii="宋体" w:hAnsi="宋体" w:eastAsia="宋体" w:cs="宋体"/>
          <w:b/>
          <w:color w:val="auto"/>
          <w:sz w:val="21"/>
          <w:szCs w:val="21"/>
          <w:highlight w:val="none"/>
          <w:u w:val="single"/>
          <w:shd w:val="clear" w:color="auto" w:fill="FFFFFF"/>
        </w:rPr>
        <w:t>除采购人代表、评标现场组织人员外，采购人的其他工作人员以及与评标工作无关的人员不得进入评标现场。</w:t>
      </w:r>
    </w:p>
    <w:p w14:paraId="0C58C797">
      <w:pPr>
        <w:pStyle w:val="22"/>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（二）评标的方式</w:t>
      </w:r>
    </w:p>
    <w:p w14:paraId="63D4B1F2">
      <w:pPr>
        <w:pStyle w:val="22"/>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本项目采用不公开方式评标，评标的依据为招标文件和投标文件。</w:t>
      </w:r>
    </w:p>
    <w:p w14:paraId="71A09BB2">
      <w:pPr>
        <w:pStyle w:val="22"/>
        <w:adjustRightInd w:val="0"/>
        <w:snapToGrid w:val="0"/>
        <w:spacing w:line="360" w:lineRule="auto"/>
        <w:ind w:firstLine="422" w:firstLineChars="200"/>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（三）</w:t>
      </w:r>
      <w:r>
        <w:rPr>
          <w:rFonts w:hint="eastAsia" w:ascii="宋体" w:hAnsi="宋体" w:eastAsia="宋体" w:cs="宋体"/>
          <w:b/>
          <w:bCs/>
          <w:color w:val="auto"/>
          <w:sz w:val="21"/>
          <w:szCs w:val="21"/>
          <w:highlight w:val="none"/>
          <w:shd w:val="clear" w:color="auto" w:fill="FFFFFF"/>
        </w:rPr>
        <w:t>评标程序</w:t>
      </w:r>
    </w:p>
    <w:p w14:paraId="46477EB0">
      <w:pPr>
        <w:pStyle w:val="22"/>
        <w:adjustRightInd w:val="0"/>
        <w:snapToGrid w:val="0"/>
        <w:spacing w:line="360" w:lineRule="auto"/>
        <w:ind w:firstLine="420"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采购人可以在评标前说明项目背景和采购需求，说明内容不得含有歧视性、倾向性意见，不得超出招标文件所述范围。说明应当提交书面材料，并随招标文件一并存档。</w:t>
      </w:r>
    </w:p>
    <w:p w14:paraId="19A6C69B">
      <w:pPr>
        <w:adjustRightInd w:val="0"/>
        <w:snapToGrid w:val="0"/>
        <w:spacing w:line="360" w:lineRule="auto"/>
        <w:ind w:firstLine="422" w:firstLineChars="200"/>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1.形式审查</w:t>
      </w:r>
    </w:p>
    <w:p w14:paraId="70215474">
      <w:pPr>
        <w:adjustRightInd w:val="0"/>
        <w:snapToGrid w:val="0"/>
        <w:spacing w:line="360" w:lineRule="auto"/>
        <w:ind w:firstLine="420"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Cs/>
          <w:color w:val="auto"/>
          <w:szCs w:val="21"/>
          <w:highlight w:val="none"/>
          <w:shd w:val="clear" w:color="auto" w:fill="FFFFFF"/>
        </w:rPr>
        <w:t>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14:paraId="63731B59">
      <w:pPr>
        <w:adjustRightInd w:val="0"/>
        <w:snapToGrid w:val="0"/>
        <w:spacing w:line="360" w:lineRule="auto"/>
        <w:ind w:firstLine="422" w:firstLineChars="200"/>
        <w:rPr>
          <w:rFonts w:hint="default" w:ascii="宋体" w:hAnsi="宋体" w:eastAsia="宋体" w:cs="宋体"/>
          <w:b/>
          <w:bCs/>
          <w:color w:val="auto"/>
          <w:szCs w:val="21"/>
          <w:highlight w:val="none"/>
          <w:shd w:val="clear" w:color="auto" w:fill="FFFFFF"/>
          <w:lang w:val="en-US" w:eastAsia="zh-CN"/>
        </w:rPr>
      </w:pPr>
      <w:r>
        <w:rPr>
          <w:rFonts w:hint="eastAsia" w:ascii="宋体" w:hAnsi="宋体" w:eastAsia="宋体" w:cs="宋体"/>
          <w:b/>
          <w:bCs/>
          <w:color w:val="auto"/>
          <w:szCs w:val="21"/>
          <w:highlight w:val="none"/>
          <w:shd w:val="clear" w:color="auto" w:fill="FFFFFF"/>
        </w:rPr>
        <w:t>2.</w:t>
      </w:r>
      <w:r>
        <w:rPr>
          <w:rFonts w:hint="eastAsia" w:ascii="宋体" w:hAnsi="宋体" w:cs="宋体"/>
          <w:b/>
          <w:bCs/>
          <w:color w:val="auto"/>
          <w:szCs w:val="21"/>
          <w:highlight w:val="none"/>
          <w:shd w:val="clear" w:color="auto" w:fill="FFFFFF"/>
          <w:lang w:val="en-US" w:eastAsia="zh-CN"/>
        </w:rPr>
        <w:t>初步审查</w:t>
      </w:r>
    </w:p>
    <w:p w14:paraId="789AF990">
      <w:pPr>
        <w:adjustRightInd w:val="0"/>
        <w:snapToGrid w:val="0"/>
        <w:spacing w:line="360" w:lineRule="auto"/>
        <w:ind w:firstLine="422" w:firstLineChars="200"/>
        <w:rPr>
          <w:rFonts w:hint="eastAsia" w:ascii="宋体" w:hAnsi="宋体" w:cs="宋体"/>
          <w:b/>
          <w:bCs/>
          <w:color w:val="auto"/>
          <w:szCs w:val="21"/>
          <w:highlight w:val="none"/>
          <w:shd w:val="clear" w:color="auto" w:fill="FFFFFF"/>
          <w:lang w:val="en-US" w:eastAsia="zh-CN"/>
        </w:rPr>
      </w:pPr>
      <w:r>
        <w:rPr>
          <w:rFonts w:hint="eastAsia" w:ascii="宋体" w:hAnsi="宋体" w:cs="宋体"/>
          <w:b/>
          <w:bCs/>
          <w:color w:val="auto"/>
          <w:szCs w:val="21"/>
          <w:highlight w:val="none"/>
          <w:shd w:val="clear" w:color="auto" w:fill="FFFFFF"/>
          <w:lang w:val="en-US" w:eastAsia="zh-CN"/>
        </w:rPr>
        <w:t>参与同一个采购包（标段）的供应商存在下列情形之一的，其投标（响应）文件无效</w:t>
      </w:r>
    </w:p>
    <w:p w14:paraId="5EEF4AA0">
      <w:pPr>
        <w:numPr>
          <w:ilvl w:val="0"/>
          <w:numId w:val="4"/>
        </w:numPr>
        <w:adjustRightInd w:val="0"/>
        <w:snapToGrid w:val="0"/>
        <w:spacing w:line="360" w:lineRule="auto"/>
        <w:ind w:firstLine="422" w:firstLineChars="200"/>
        <w:rPr>
          <w:rFonts w:hint="eastAsia" w:ascii="宋体" w:hAnsi="宋体" w:cs="宋体"/>
          <w:b/>
          <w:bCs/>
          <w:color w:val="auto"/>
          <w:szCs w:val="21"/>
          <w:highlight w:val="none"/>
          <w:shd w:val="clear" w:color="auto" w:fill="FFFFFF"/>
          <w:lang w:val="en-US" w:eastAsia="zh-CN"/>
        </w:rPr>
      </w:pPr>
      <w:r>
        <w:rPr>
          <w:rFonts w:hint="eastAsia" w:ascii="宋体" w:hAnsi="宋体" w:cs="宋体"/>
          <w:b/>
          <w:bCs/>
          <w:color w:val="auto"/>
          <w:szCs w:val="21"/>
          <w:highlight w:val="none"/>
          <w:shd w:val="clear" w:color="auto" w:fill="FFFFFF"/>
          <w:lang w:val="en-US" w:eastAsia="zh-CN"/>
        </w:rPr>
        <w:t>不同供应商的电子投标（响应）文件上传计算机的网卡 MAC 地址、 CPU 序列号和硬盘序列号等硬件信息相同的；</w:t>
      </w:r>
    </w:p>
    <w:p w14:paraId="57B2111D">
      <w:pPr>
        <w:numPr>
          <w:ilvl w:val="0"/>
          <w:numId w:val="4"/>
        </w:numPr>
        <w:adjustRightInd w:val="0"/>
        <w:snapToGrid w:val="0"/>
        <w:spacing w:line="360" w:lineRule="auto"/>
        <w:ind w:firstLine="422" w:firstLineChars="200"/>
        <w:rPr>
          <w:rFonts w:hint="eastAsia" w:ascii="宋体" w:hAnsi="宋体" w:cs="宋体"/>
          <w:b/>
          <w:bCs/>
          <w:color w:val="auto"/>
          <w:szCs w:val="21"/>
          <w:highlight w:val="none"/>
          <w:shd w:val="clear" w:color="auto" w:fill="FFFFFF"/>
          <w:lang w:val="en-US" w:eastAsia="zh-CN"/>
        </w:rPr>
      </w:pPr>
      <w:r>
        <w:rPr>
          <w:rFonts w:hint="eastAsia" w:ascii="宋体" w:hAnsi="宋体" w:cs="宋体"/>
          <w:b/>
          <w:bCs/>
          <w:color w:val="auto"/>
          <w:szCs w:val="21"/>
          <w:highlight w:val="none"/>
          <w:shd w:val="clear" w:color="auto" w:fill="FFFFFF"/>
          <w:lang w:val="en-US" w:eastAsia="zh-CN"/>
        </w:rPr>
        <w:t>上传的电子投标（响应）文件若出现使用本项目其他投标（响应）供应商的数字证书加息密的，或者加盖本项目其他投标（响应）供应商的电子印章的；</w:t>
      </w:r>
    </w:p>
    <w:p w14:paraId="2EA1C69C">
      <w:pPr>
        <w:numPr>
          <w:ilvl w:val="0"/>
          <w:numId w:val="4"/>
        </w:numPr>
        <w:adjustRightInd w:val="0"/>
        <w:snapToGrid w:val="0"/>
        <w:spacing w:line="360" w:lineRule="auto"/>
        <w:ind w:left="0" w:leftChars="0" w:firstLine="422" w:firstLineChars="200"/>
        <w:rPr>
          <w:rFonts w:hint="eastAsia" w:ascii="宋体" w:hAnsi="宋体" w:cs="宋体"/>
          <w:b/>
          <w:bCs/>
          <w:color w:val="auto"/>
          <w:szCs w:val="21"/>
          <w:highlight w:val="none"/>
          <w:shd w:val="clear" w:color="auto" w:fill="FFFFFF"/>
          <w:lang w:val="en-US" w:eastAsia="zh-CN"/>
        </w:rPr>
      </w:pPr>
      <w:r>
        <w:rPr>
          <w:rFonts w:hint="eastAsia" w:ascii="宋体" w:hAnsi="宋体" w:cs="宋体"/>
          <w:b/>
          <w:bCs/>
          <w:color w:val="auto"/>
          <w:szCs w:val="21"/>
          <w:highlight w:val="none"/>
          <w:shd w:val="clear" w:color="auto" w:fill="FFFFFF"/>
          <w:lang w:val="en-US" w:eastAsia="zh-CN"/>
        </w:rPr>
        <w:t>不同供应商的投标（响应）文件的内容存在三处（含）以上错误一致，且无法合理解释的；</w:t>
      </w:r>
    </w:p>
    <w:p w14:paraId="311ABC5C">
      <w:pPr>
        <w:numPr>
          <w:ilvl w:val="0"/>
          <w:numId w:val="0"/>
        </w:numPr>
        <w:adjustRightInd w:val="0"/>
        <w:snapToGrid w:val="0"/>
        <w:spacing w:line="360" w:lineRule="auto"/>
        <w:ind w:leftChars="200"/>
        <w:rPr>
          <w:rFonts w:hint="eastAsia" w:ascii="宋体" w:hAnsi="宋体" w:cs="宋体"/>
          <w:b/>
          <w:bCs/>
          <w:color w:val="auto"/>
          <w:szCs w:val="21"/>
          <w:highlight w:val="none"/>
          <w:shd w:val="clear" w:color="auto" w:fill="FFFFFF"/>
          <w:lang w:val="en-US" w:eastAsia="zh-CN"/>
        </w:rPr>
      </w:pPr>
      <w:r>
        <w:rPr>
          <w:rFonts w:hint="eastAsia" w:ascii="宋体" w:hAnsi="宋体" w:cs="宋体"/>
          <w:b/>
          <w:bCs/>
          <w:color w:val="auto"/>
          <w:szCs w:val="21"/>
          <w:highlight w:val="none"/>
          <w:shd w:val="clear" w:color="auto" w:fill="FFFFFF"/>
          <w:lang w:val="en-US" w:eastAsia="zh-CN"/>
        </w:rPr>
        <w:t>(4）不同供应商联系人为同一人或不同联系人的联系电话一致，且无法合理解释的。</w:t>
      </w:r>
    </w:p>
    <w:p w14:paraId="0024E61E">
      <w:pPr>
        <w:adjustRightInd w:val="0"/>
        <w:snapToGrid w:val="0"/>
        <w:spacing w:line="360" w:lineRule="auto"/>
        <w:ind w:firstLine="422" w:firstLineChars="200"/>
        <w:rPr>
          <w:rFonts w:hint="eastAsia" w:ascii="宋体" w:hAnsi="宋体" w:eastAsia="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lang w:val="en-US" w:eastAsia="zh-CN"/>
        </w:rPr>
        <w:t>3.</w:t>
      </w:r>
      <w:r>
        <w:rPr>
          <w:rFonts w:hint="eastAsia" w:ascii="宋体" w:hAnsi="宋体" w:eastAsia="宋体" w:cs="宋体"/>
          <w:b/>
          <w:bCs/>
          <w:color w:val="auto"/>
          <w:szCs w:val="21"/>
          <w:highlight w:val="none"/>
          <w:shd w:val="clear" w:color="auto" w:fill="FFFFFF"/>
        </w:rPr>
        <w:t>实质审查与比较</w:t>
      </w:r>
    </w:p>
    <w:p w14:paraId="62DCD010">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（1）评标委员会审查投标文件的实质性内容是否符合招标文件的实质性要求。</w:t>
      </w:r>
    </w:p>
    <w:p w14:paraId="6B7E31DA">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（2）评标委员会将根据投标人的投标文件进行审查、核对,如有疑问,将对投标人进行询标,投标人要向评标委员会澄清有关问题,并最终以书面形式进行答复。</w:t>
      </w:r>
    </w:p>
    <w:p w14:paraId="32E546FC">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询标时，投标人代表未到场或者拒绝澄清或者澄清的内容改变了投标文件的实质性内容的，评标委员会有权对该投标文件作出不利于投标人的评判。</w:t>
      </w:r>
    </w:p>
    <w:p w14:paraId="4105F9A0">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（3）各投标人的资信商务及技术分按照评标委员会成员的独立评分结果汇后的算术平均分计算。</w:t>
      </w:r>
    </w:p>
    <w:p w14:paraId="1626457A">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cs="宋体"/>
          <w:b/>
          <w:color w:val="auto"/>
          <w:szCs w:val="21"/>
          <w:highlight w:val="none"/>
          <w:shd w:val="clear" w:color="auto" w:fill="FFFFFF"/>
          <w:lang w:val="en-US" w:eastAsia="zh-CN"/>
        </w:rPr>
        <w:t>4</w:t>
      </w:r>
      <w:r>
        <w:rPr>
          <w:rFonts w:hint="eastAsia" w:ascii="宋体" w:hAnsi="宋体" w:eastAsia="宋体" w:cs="宋体"/>
          <w:b/>
          <w:color w:val="auto"/>
          <w:szCs w:val="21"/>
          <w:highlight w:val="none"/>
          <w:shd w:val="clear" w:color="auto" w:fill="FFFFFF"/>
        </w:rPr>
        <w:t>.报价审查</w:t>
      </w:r>
    </w:p>
    <w:p w14:paraId="425E5039">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（1）投标文件报价如果出现计算或表达上的错误，修正错误的原则如下：</w:t>
      </w:r>
    </w:p>
    <w:p w14:paraId="33A7B4D3">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1.开标一览表总价与投标报价明细表汇总数不一致的，以开标一览表为准。</w:t>
      </w:r>
    </w:p>
    <w:p w14:paraId="27E9685E">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2.投标文件的大写金额和小写金额不一致的，以大写金额为准。</w:t>
      </w:r>
    </w:p>
    <w:p w14:paraId="212AFF06">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3.总价金额与按单价汇总金额不一致的，以单价金额计算结果为准。</w:t>
      </w:r>
    </w:p>
    <w:p w14:paraId="64E1C5F1">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4.对不同文字文本投标文件的解释发生异议的，以中文文本为准。</w:t>
      </w:r>
    </w:p>
    <w:p w14:paraId="06AD92B6">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16E07F2D">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（2）评标委员会根据合格供应商报价得出得分汇总。</w:t>
      </w:r>
    </w:p>
    <w:p w14:paraId="37E10DEE">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cs="宋体"/>
          <w:b/>
          <w:color w:val="auto"/>
          <w:szCs w:val="21"/>
          <w:highlight w:val="none"/>
          <w:shd w:val="clear" w:color="auto" w:fill="FFFFFF"/>
          <w:lang w:val="en-US" w:eastAsia="zh-CN"/>
        </w:rPr>
        <w:t>5</w:t>
      </w:r>
      <w:r>
        <w:rPr>
          <w:rFonts w:hint="eastAsia" w:ascii="宋体" w:hAnsi="宋体" w:eastAsia="宋体" w:cs="宋体"/>
          <w:b/>
          <w:color w:val="auto"/>
          <w:szCs w:val="21"/>
          <w:highlight w:val="none"/>
          <w:shd w:val="clear" w:color="auto" w:fill="FFFFFF"/>
        </w:rPr>
        <w:t>.比较和推荐</w:t>
      </w:r>
    </w:p>
    <w:p w14:paraId="286B469A">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评标委员会按评标原则推荐中标供应商同时起草评标报告。</w:t>
      </w:r>
    </w:p>
    <w:p w14:paraId="0C87CB5E">
      <w:pPr>
        <w:adjustRightInd w:val="0"/>
        <w:snapToGrid w:val="0"/>
        <w:spacing w:line="360" w:lineRule="auto"/>
        <w:ind w:firstLine="422" w:firstLineChars="200"/>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（四）澄清问题的形式</w:t>
      </w:r>
    </w:p>
    <w:p w14:paraId="05ADD89D">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对投标文件中含义不明确、同类问题表述不一致或者有明显文字和计算错误的内容，评标委员会可要求供应商作出必要的澄清、说明或者纠正。</w:t>
      </w:r>
    </w:p>
    <w:p w14:paraId="68CC06C5">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2D17D0CB">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2、如果供应商代表拒绝或未按评标委员会要求在“政采云”平台作出在线回复且无其他有效回复方式的，评标委员会可以对其作出无效标处理。</w:t>
      </w:r>
    </w:p>
    <w:p w14:paraId="3545C6BE">
      <w:pPr>
        <w:pStyle w:val="22"/>
        <w:tabs>
          <w:tab w:val="left" w:pos="630"/>
        </w:tabs>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（六）评标原则和评标办法</w:t>
      </w:r>
    </w:p>
    <w:p w14:paraId="46B43AC0">
      <w:pPr>
        <w:pStyle w:val="22"/>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69230C90">
      <w:pPr>
        <w:pStyle w:val="22"/>
        <w:adjustRightInd w:val="0"/>
        <w:snapToGrid w:val="0"/>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2、评标办法。本项目的具体评标办法详见第五章的《评标办法及评分标准》。</w:t>
      </w:r>
    </w:p>
    <w:p w14:paraId="77316844">
      <w:pPr>
        <w:pStyle w:val="22"/>
        <w:tabs>
          <w:tab w:val="left" w:pos="630"/>
        </w:tabs>
        <w:adjustRightInd w:val="0"/>
        <w:snapToGrid w:val="0"/>
        <w:spacing w:line="360" w:lineRule="auto"/>
        <w:ind w:firstLine="422" w:firstLineChars="200"/>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（七）评标过程的监控</w:t>
      </w:r>
    </w:p>
    <w:p w14:paraId="24B30C11">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本项目评标过程实行全程录音、录像监控。投标人在评标过程中所进行的试图影响评标结果的不公正活动，可能导致其投标被拒绝。</w:t>
      </w:r>
    </w:p>
    <w:bookmarkEnd w:id="85"/>
    <w:p w14:paraId="6356B43D">
      <w:pPr>
        <w:pStyle w:val="22"/>
        <w:snapToGrid w:val="0"/>
        <w:spacing w:line="360" w:lineRule="auto"/>
        <w:jc w:val="center"/>
        <w:rPr>
          <w:rFonts w:hint="eastAsia" w:ascii="宋体" w:hAnsi="宋体" w:eastAsia="宋体" w:cs="宋体"/>
          <w:b/>
          <w:bCs/>
          <w:color w:val="auto"/>
          <w:sz w:val="32"/>
          <w:szCs w:val="32"/>
          <w:highlight w:val="none"/>
          <w:shd w:val="clear" w:color="auto" w:fill="FFFFFF"/>
        </w:rPr>
      </w:pPr>
      <w:bookmarkStart w:id="86" w:name="_Toc11843_WPSOffice_Level1"/>
    </w:p>
    <w:p w14:paraId="44A992DF">
      <w:pPr>
        <w:pStyle w:val="22"/>
        <w:snapToGrid w:val="0"/>
        <w:spacing w:line="360" w:lineRule="auto"/>
        <w:jc w:val="center"/>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六、定标</w:t>
      </w:r>
    </w:p>
    <w:p w14:paraId="2A2D2891">
      <w:pPr>
        <w:pStyle w:val="22"/>
        <w:adjustRightInd w:val="0"/>
        <w:snapToGrid w:val="0"/>
        <w:spacing w:line="440" w:lineRule="exact"/>
        <w:ind w:firstLine="413" w:firstLineChars="196"/>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（一）确定中标人。</w:t>
      </w:r>
    </w:p>
    <w:p w14:paraId="5571DB5D">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1.代理机构在评标结束后2个工作日内将评标报告交采购人确认，同时在发布招标公告的网站上对评标结果进行公告。</w:t>
      </w:r>
    </w:p>
    <w:p w14:paraId="23D0C84A">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2.投标人对评标结果无异议的，采购人应在收到评标报告后5个工作日内对评标结果进行确认。如有投标人对评标结果提出质疑的，采购人可在质疑处理完毕后确定中标人。</w:t>
      </w:r>
    </w:p>
    <w:p w14:paraId="3794A462">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3.采购人依法确定中标人后2个工作日内，嘉兴市中诚建设咨询有限公司以书面形式发出《中标通知书》。</w:t>
      </w:r>
    </w:p>
    <w:bookmarkEnd w:id="86"/>
    <w:p w14:paraId="29A4623F">
      <w:pPr>
        <w:pStyle w:val="22"/>
        <w:snapToGrid w:val="0"/>
        <w:spacing w:line="360" w:lineRule="auto"/>
        <w:jc w:val="center"/>
        <w:rPr>
          <w:rFonts w:hint="eastAsia" w:ascii="宋体" w:hAnsi="宋体" w:eastAsia="宋体" w:cs="宋体"/>
          <w:b/>
          <w:bCs/>
          <w:color w:val="auto"/>
          <w:sz w:val="32"/>
          <w:szCs w:val="32"/>
          <w:highlight w:val="none"/>
          <w:shd w:val="clear" w:color="auto" w:fill="FFFFFF"/>
        </w:rPr>
      </w:pPr>
      <w:bookmarkStart w:id="87" w:name="OLE_LINK1"/>
      <w:bookmarkStart w:id="88" w:name="OLE_LINK2"/>
      <w:bookmarkStart w:id="89" w:name="_Toc170792807"/>
      <w:bookmarkStart w:id="90" w:name="_Toc177870559"/>
    </w:p>
    <w:p w14:paraId="64CAFEB1">
      <w:pPr>
        <w:pStyle w:val="22"/>
        <w:snapToGrid w:val="0"/>
        <w:spacing w:line="360" w:lineRule="auto"/>
        <w:jc w:val="center"/>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2"/>
          <w:szCs w:val="32"/>
          <w:highlight w:val="none"/>
          <w:shd w:val="clear" w:color="auto" w:fill="FFFFFF"/>
        </w:rPr>
        <w:t>七、合同授予</w:t>
      </w:r>
    </w:p>
    <w:p w14:paraId="5A3D8266">
      <w:pPr>
        <w:adjustRightInd w:val="0"/>
        <w:snapToGrid w:val="0"/>
        <w:spacing w:line="440" w:lineRule="exact"/>
        <w:ind w:firstLine="413" w:firstLineChars="196"/>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（一）签订合同</w:t>
      </w:r>
    </w:p>
    <w:p w14:paraId="5CB436F8">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1.采购人与中标人应当在《中标通知书》发出之日起30日内签订政府采购合同。同时，采购代理机构对合同内容进行审查，如发现与采购结果和投标承诺内容不一致的，应予以纠正。</w:t>
      </w:r>
    </w:p>
    <w:p w14:paraId="620E2011">
      <w:pPr>
        <w:adjustRightInd w:val="0"/>
        <w:snapToGrid w:val="0"/>
        <w:spacing w:line="44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2.中标人拖延、拒签合同的,将被取消中标资格。</w:t>
      </w:r>
    </w:p>
    <w:p w14:paraId="2124F8B4">
      <w:pPr>
        <w:pStyle w:val="22"/>
        <w:snapToGrid w:val="0"/>
        <w:spacing w:line="360" w:lineRule="auto"/>
        <w:ind w:firstLine="630" w:firstLineChars="196"/>
        <w:jc w:val="center"/>
        <w:rPr>
          <w:rFonts w:hint="eastAsia" w:ascii="宋体" w:hAnsi="宋体" w:eastAsia="宋体" w:cs="宋体"/>
          <w:b/>
          <w:bCs/>
          <w:color w:val="auto"/>
          <w:sz w:val="32"/>
          <w:szCs w:val="32"/>
          <w:highlight w:val="none"/>
          <w:shd w:val="clear" w:color="auto" w:fill="FFFFFF"/>
        </w:rPr>
      </w:pPr>
      <w:bookmarkStart w:id="91" w:name="_Toc10184_WPSOffice_Level1"/>
    </w:p>
    <w:p w14:paraId="6F7B769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八、验收</w:t>
      </w:r>
    </w:p>
    <w:p w14:paraId="1F09D35E">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19895D">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2.采购人可以邀请参加本项目的其他供应商或者第三方机构参与验收。参与验收的供应商或者第三方机构的意见作为验收书的参考资料一并存档。</w:t>
      </w:r>
    </w:p>
    <w:p w14:paraId="6D06B3C8">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D3710D">
      <w:pPr>
        <w:adjustRightInd w:val="0"/>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92" w:name="_Hlt75236101"/>
      <w:bookmarkEnd w:id="92"/>
      <w:bookmarkStart w:id="93" w:name="_Hlt74730295"/>
      <w:bookmarkEnd w:id="93"/>
      <w:bookmarkStart w:id="94" w:name="_Hlt74729768"/>
      <w:bookmarkEnd w:id="94"/>
      <w:bookmarkStart w:id="95" w:name="_Hlt74714665"/>
      <w:bookmarkEnd w:id="95"/>
      <w:bookmarkStart w:id="96" w:name="_Hlt68072990"/>
      <w:bookmarkEnd w:id="96"/>
      <w:bookmarkStart w:id="97" w:name="_Hlt75236011"/>
      <w:bookmarkEnd w:id="97"/>
      <w:bookmarkStart w:id="98" w:name="_Hlt68072998"/>
      <w:bookmarkEnd w:id="98"/>
      <w:bookmarkStart w:id="99" w:name="_Hlt74707468"/>
      <w:bookmarkEnd w:id="99"/>
      <w:bookmarkStart w:id="100" w:name="_Hlt68057669"/>
      <w:bookmarkEnd w:id="100"/>
      <w:bookmarkStart w:id="101" w:name="_Hlt68403820"/>
      <w:bookmarkEnd w:id="101"/>
      <w:bookmarkStart w:id="102" w:name="_Hlt68073093"/>
      <w:bookmarkEnd w:id="102"/>
      <w:bookmarkStart w:id="103" w:name="_Hlt75236290"/>
      <w:bookmarkEnd w:id="103"/>
      <w:r>
        <w:rPr>
          <w:rFonts w:hint="eastAsia" w:ascii="宋体" w:hAnsi="宋体" w:eastAsia="宋体" w:cs="宋体"/>
          <w:color w:val="auto"/>
          <w:highlight w:val="none"/>
        </w:rPr>
        <w:t>部门。</w:t>
      </w:r>
    </w:p>
    <w:p w14:paraId="6A84A2F0">
      <w:pPr>
        <w:adjustRightInd w:val="0"/>
        <w:snapToGrid w:val="0"/>
        <w:spacing w:line="440" w:lineRule="exact"/>
        <w:ind w:firstLine="420" w:firstLineChars="200"/>
        <w:jc w:val="center"/>
        <w:rPr>
          <w:rFonts w:hint="eastAsia" w:ascii="宋体" w:hAnsi="宋体" w:eastAsia="宋体" w:cs="宋体"/>
          <w:b/>
          <w:color w:val="auto"/>
          <w:sz w:val="36"/>
          <w:szCs w:val="36"/>
          <w:highlight w:val="none"/>
          <w:shd w:val="clear" w:color="auto" w:fill="FFFFFF"/>
        </w:rPr>
      </w:pPr>
      <w:r>
        <w:rPr>
          <w:rFonts w:hint="eastAsia" w:ascii="宋体" w:hAnsi="宋体" w:eastAsia="宋体" w:cs="宋体"/>
          <w:color w:val="auto"/>
          <w:szCs w:val="21"/>
          <w:highlight w:val="none"/>
          <w:shd w:val="clear" w:color="auto" w:fill="FFFFFF"/>
        </w:rPr>
        <w:br w:type="page"/>
      </w:r>
      <w:r>
        <w:rPr>
          <w:rFonts w:hint="eastAsia" w:ascii="宋体" w:hAnsi="宋体" w:eastAsia="宋体" w:cs="宋体"/>
          <w:b/>
          <w:color w:val="auto"/>
          <w:sz w:val="36"/>
          <w:szCs w:val="36"/>
          <w:highlight w:val="none"/>
          <w:shd w:val="clear" w:color="auto" w:fill="FFFFFF"/>
        </w:rPr>
        <w:t>第四章  嘉兴市政府采购合同</w:t>
      </w:r>
      <w:bookmarkEnd w:id="91"/>
      <w:r>
        <w:rPr>
          <w:rFonts w:hint="eastAsia" w:ascii="宋体" w:hAnsi="宋体" w:eastAsia="宋体" w:cs="宋体"/>
          <w:b/>
          <w:color w:val="auto"/>
          <w:sz w:val="36"/>
          <w:szCs w:val="36"/>
          <w:highlight w:val="none"/>
          <w:shd w:val="clear" w:color="auto" w:fill="FFFFFF"/>
        </w:rPr>
        <w:t>（指引）</w:t>
      </w:r>
    </w:p>
    <w:p w14:paraId="45B486BA">
      <w:pPr>
        <w:spacing w:line="360" w:lineRule="auto"/>
        <w:ind w:firstLine="970" w:firstLineChars="345"/>
        <w:jc w:val="center"/>
        <w:rPr>
          <w:rFonts w:hint="eastAsia" w:ascii="宋体" w:hAnsi="宋体" w:eastAsia="宋体" w:cs="宋体"/>
          <w:b/>
          <w:color w:val="auto"/>
          <w:sz w:val="28"/>
          <w:szCs w:val="28"/>
          <w:highlight w:val="none"/>
          <w:shd w:val="clear" w:color="auto" w:fill="FFFFFF"/>
        </w:rPr>
      </w:pPr>
      <w:bookmarkStart w:id="104" w:name="_Toc26426_WPSOffice_Level1"/>
      <w:r>
        <w:rPr>
          <w:rFonts w:hint="eastAsia" w:ascii="宋体" w:hAnsi="宋体" w:eastAsia="宋体" w:cs="宋体"/>
          <w:b/>
          <w:color w:val="auto"/>
          <w:sz w:val="28"/>
          <w:szCs w:val="28"/>
          <w:highlight w:val="none"/>
          <w:shd w:val="clear" w:color="auto" w:fill="FFFFFF"/>
        </w:rPr>
        <w:t>（以最终合同为准）</w:t>
      </w:r>
      <w:bookmarkEnd w:id="104"/>
    </w:p>
    <w:p w14:paraId="295EBE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hint="eastAsia" w:ascii="宋体" w:hAnsi="宋体" w:eastAsia="宋体" w:cs="宋体"/>
          <w:color w:val="auto"/>
          <w:kern w:val="0"/>
          <w:sz w:val="32"/>
          <w:szCs w:val="32"/>
          <w:highlight w:val="none"/>
          <w:shd w:val="clear" w:color="auto" w:fill="FFFFFF"/>
        </w:rPr>
      </w:pPr>
      <w:bookmarkStart w:id="105" w:name="_Toc12815_WPSOffice_Level1"/>
      <w:r>
        <w:rPr>
          <w:rFonts w:hint="eastAsia" w:ascii="宋体" w:hAnsi="宋体" w:eastAsia="宋体" w:cs="宋体"/>
          <w:color w:val="auto"/>
          <w:kern w:val="0"/>
          <w:sz w:val="32"/>
          <w:szCs w:val="32"/>
          <w:highlight w:val="none"/>
          <w:shd w:val="clear" w:color="auto" w:fill="FFFFFF"/>
        </w:rPr>
        <w:t>一、通用必备条款部分</w:t>
      </w:r>
      <w:bookmarkEnd w:id="105"/>
    </w:p>
    <w:p w14:paraId="42E800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hint="eastAsia" w:ascii="宋体" w:hAnsi="宋体" w:eastAsia="宋体" w:cs="宋体"/>
          <w:b/>
          <w:color w:val="auto"/>
          <w:kern w:val="0"/>
          <w:sz w:val="24"/>
          <w:highlight w:val="none"/>
          <w:shd w:val="clear" w:color="auto" w:fill="FFFFFF"/>
        </w:rPr>
      </w:pPr>
    </w:p>
    <w:bookmarkEnd w:id="87"/>
    <w:bookmarkEnd w:id="88"/>
    <w:p w14:paraId="6EBE1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合同编号： </w:t>
      </w:r>
    </w:p>
    <w:p w14:paraId="44523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政府采购计划（预算）确认书号： </w:t>
      </w:r>
    </w:p>
    <w:p w14:paraId="16E6D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采购人（以下称甲方）：嘉兴市公安局南湖区分局</w:t>
      </w:r>
    </w:p>
    <w:p w14:paraId="2B3F5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供应商（以下称乙方）：</w:t>
      </w:r>
    </w:p>
    <w:p w14:paraId="4BC759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采购代理机构：嘉兴市中诚建设咨询有限公司</w:t>
      </w:r>
    </w:p>
    <w:p w14:paraId="606AF7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采购方式：公开招标</w:t>
      </w:r>
    </w:p>
    <w:p w14:paraId="69C8E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根据《中华人民共和国政府采购法》、《中华人民共和国民法典》等法律法规的规定，甲乙双方按照</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cs="宋体"/>
          <w:color w:val="auto"/>
          <w:kern w:val="0"/>
          <w:szCs w:val="21"/>
          <w:highlight w:val="none"/>
          <w:u w:val="single"/>
          <w:shd w:val="clear" w:color="auto" w:fill="FFFFFF"/>
          <w:lang w:eastAsia="zh-CN"/>
        </w:rPr>
        <w:t>嘉兴市公安局南湖区分局2025年度DP试剂耗材（胶体碳）采购项目</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采购结果签订本合同。</w:t>
      </w:r>
    </w:p>
    <w:p w14:paraId="08710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第一条 合同组成</w:t>
      </w:r>
    </w:p>
    <w:p w14:paraId="779E15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本次政府采购活动的相关文件为本合同的组成部分，这些文件包括但不限于：</w:t>
      </w:r>
    </w:p>
    <w:p w14:paraId="3B5F8B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（1）本合同文本；</w:t>
      </w:r>
    </w:p>
    <w:p w14:paraId="15F5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（2）采购文件与采购投标文件；</w:t>
      </w:r>
    </w:p>
    <w:p w14:paraId="4DB47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（3）中标或成交通知书；</w:t>
      </w:r>
    </w:p>
    <w:p w14:paraId="1EDA6B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组成本合同的所有文件必须为书面形式。政府采购合同备案时，须提供以上（1）、（3）两项，如由社会中介机构代理，须提供代理协议，合同如有变更的，须提供变更协议。</w:t>
      </w:r>
    </w:p>
    <w:p w14:paraId="6A5939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第二条 合同标的</w:t>
      </w:r>
    </w:p>
    <w:p w14:paraId="124397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u w:val="single"/>
          <w:shd w:val="clear" w:color="auto" w:fill="FFFFFF"/>
        </w:rPr>
      </w:pPr>
      <w:r>
        <w:rPr>
          <w:rFonts w:hint="eastAsia" w:ascii="宋体" w:hAnsi="宋体" w:eastAsia="宋体" w:cs="宋体"/>
          <w:color w:val="auto"/>
          <w:kern w:val="0"/>
          <w:szCs w:val="21"/>
          <w:highlight w:val="none"/>
          <w:shd w:val="clear" w:color="auto" w:fill="FFFFFF"/>
        </w:rPr>
        <w:t>本次采购的是</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cs="宋体"/>
          <w:color w:val="auto"/>
          <w:kern w:val="0"/>
          <w:szCs w:val="21"/>
          <w:highlight w:val="none"/>
          <w:u w:val="single"/>
          <w:shd w:val="clear" w:color="auto" w:fill="FFFFFF"/>
          <w:lang w:eastAsia="zh-CN"/>
        </w:rPr>
        <w:t>嘉兴市公安局南湖区分局2025年度DP试剂耗材（胶体碳）采购项目</w:t>
      </w:r>
      <w:r>
        <w:rPr>
          <w:rFonts w:hint="eastAsia" w:ascii="宋体" w:hAnsi="宋体" w:eastAsia="宋体" w:cs="宋体"/>
          <w:color w:val="auto"/>
          <w:kern w:val="0"/>
          <w:szCs w:val="21"/>
          <w:highlight w:val="none"/>
          <w:u w:val="single"/>
          <w:shd w:val="clear" w:color="auto" w:fill="FFFFFF"/>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
        <w:gridCol w:w="1433"/>
        <w:gridCol w:w="2207"/>
        <w:gridCol w:w="1188"/>
        <w:gridCol w:w="793"/>
        <w:gridCol w:w="1781"/>
        <w:gridCol w:w="1781"/>
      </w:tblGrid>
      <w:tr w14:paraId="7338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1" w:type="dxa"/>
            <w:gridSpan w:val="2"/>
            <w:tcBorders>
              <w:top w:val="single" w:color="auto" w:sz="4" w:space="0"/>
              <w:left w:val="single" w:color="auto" w:sz="4" w:space="0"/>
              <w:bottom w:val="single" w:color="auto" w:sz="4" w:space="0"/>
              <w:right w:val="single" w:color="auto" w:sz="4" w:space="0"/>
            </w:tcBorders>
            <w:noWrap w:val="0"/>
            <w:vAlign w:val="center"/>
          </w:tcPr>
          <w:p w14:paraId="336F7978">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序号</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D993AE7">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品目名称</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48876324">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规格型号、技术参数</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370EA804">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单位</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7399941">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数量</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36D8C69D">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预算金额(元)</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3FEE07C0">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采购金额(元)</w:t>
            </w:r>
          </w:p>
        </w:tc>
      </w:tr>
      <w:tr w14:paraId="0DB9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73697932">
            <w:pPr>
              <w:spacing w:before="156" w:after="156" w:line="360" w:lineRule="auto"/>
              <w:rPr>
                <w:rFonts w:hint="eastAsia" w:ascii="宋体" w:hAnsi="宋体" w:eastAsia="宋体" w:cs="宋体"/>
                <w:color w:val="auto"/>
                <w:szCs w:val="21"/>
                <w:highlight w:val="none"/>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noWrap w:val="0"/>
            <w:vAlign w:val="top"/>
          </w:tcPr>
          <w:p w14:paraId="794B4846">
            <w:pPr>
              <w:spacing w:before="156" w:after="156" w:line="360" w:lineRule="auto"/>
              <w:rPr>
                <w:rFonts w:hint="eastAsia" w:ascii="宋体" w:hAnsi="宋体" w:eastAsia="宋体" w:cs="宋体"/>
                <w:color w:val="auto"/>
                <w:szCs w:val="21"/>
                <w:highlight w:val="none"/>
                <w:shd w:val="clear" w:color="auto" w:fill="FFFFFF"/>
              </w:rPr>
            </w:pPr>
          </w:p>
        </w:tc>
        <w:tc>
          <w:tcPr>
            <w:tcW w:w="2207" w:type="dxa"/>
            <w:tcBorders>
              <w:top w:val="single" w:color="auto" w:sz="4" w:space="0"/>
              <w:left w:val="single" w:color="auto" w:sz="4" w:space="0"/>
              <w:bottom w:val="single" w:color="auto" w:sz="4" w:space="0"/>
              <w:right w:val="single" w:color="auto" w:sz="4" w:space="0"/>
            </w:tcBorders>
            <w:noWrap w:val="0"/>
            <w:vAlign w:val="top"/>
          </w:tcPr>
          <w:p w14:paraId="5B6C00F3">
            <w:pPr>
              <w:spacing w:before="156" w:after="156" w:line="360" w:lineRule="auto"/>
              <w:rPr>
                <w:rFonts w:hint="eastAsia" w:ascii="宋体" w:hAnsi="宋体" w:eastAsia="宋体" w:cs="宋体"/>
                <w:color w:val="auto"/>
                <w:szCs w:val="21"/>
                <w:highlight w:val="none"/>
                <w:shd w:val="clear" w:color="auto" w:fill="FFFFFF"/>
              </w:rPr>
            </w:pPr>
          </w:p>
        </w:tc>
        <w:tc>
          <w:tcPr>
            <w:tcW w:w="1188" w:type="dxa"/>
            <w:tcBorders>
              <w:top w:val="single" w:color="auto" w:sz="4" w:space="0"/>
              <w:left w:val="single" w:color="auto" w:sz="4" w:space="0"/>
              <w:bottom w:val="single" w:color="auto" w:sz="4" w:space="0"/>
              <w:right w:val="single" w:color="auto" w:sz="4" w:space="0"/>
            </w:tcBorders>
            <w:noWrap w:val="0"/>
            <w:vAlign w:val="top"/>
          </w:tcPr>
          <w:p w14:paraId="2A9C614A">
            <w:pPr>
              <w:spacing w:before="156" w:after="156" w:line="360" w:lineRule="auto"/>
              <w:rPr>
                <w:rFonts w:hint="eastAsia" w:ascii="宋体" w:hAnsi="宋体" w:eastAsia="宋体" w:cs="宋体"/>
                <w:color w:val="auto"/>
                <w:szCs w:val="21"/>
                <w:highlight w:val="none"/>
                <w:shd w:val="clear" w:color="auto" w:fill="FFFFFF"/>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140D8B43">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2EE5EBEF">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11DD54B5">
            <w:pPr>
              <w:spacing w:before="156" w:after="156" w:line="360" w:lineRule="auto"/>
              <w:rPr>
                <w:rFonts w:hint="eastAsia" w:ascii="宋体" w:hAnsi="宋体" w:eastAsia="宋体" w:cs="宋体"/>
                <w:color w:val="auto"/>
                <w:szCs w:val="21"/>
                <w:highlight w:val="none"/>
                <w:shd w:val="clear" w:color="auto" w:fill="FFFFFF"/>
              </w:rPr>
            </w:pPr>
          </w:p>
        </w:tc>
      </w:tr>
      <w:tr w14:paraId="369C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1563E162">
            <w:pPr>
              <w:spacing w:before="156" w:after="156" w:line="360" w:lineRule="auto"/>
              <w:rPr>
                <w:rFonts w:hint="eastAsia" w:ascii="宋体" w:hAnsi="宋体" w:eastAsia="宋体" w:cs="宋体"/>
                <w:color w:val="auto"/>
                <w:szCs w:val="21"/>
                <w:highlight w:val="none"/>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noWrap w:val="0"/>
            <w:vAlign w:val="top"/>
          </w:tcPr>
          <w:p w14:paraId="0508BBE0">
            <w:pPr>
              <w:spacing w:before="156" w:after="156" w:line="360" w:lineRule="auto"/>
              <w:rPr>
                <w:rFonts w:hint="eastAsia" w:ascii="宋体" w:hAnsi="宋体" w:eastAsia="宋体" w:cs="宋体"/>
                <w:color w:val="auto"/>
                <w:szCs w:val="21"/>
                <w:highlight w:val="none"/>
                <w:shd w:val="clear" w:color="auto" w:fill="FFFFFF"/>
              </w:rPr>
            </w:pPr>
          </w:p>
        </w:tc>
        <w:tc>
          <w:tcPr>
            <w:tcW w:w="2207" w:type="dxa"/>
            <w:tcBorders>
              <w:top w:val="single" w:color="auto" w:sz="4" w:space="0"/>
              <w:left w:val="single" w:color="auto" w:sz="4" w:space="0"/>
              <w:bottom w:val="single" w:color="auto" w:sz="4" w:space="0"/>
              <w:right w:val="single" w:color="auto" w:sz="4" w:space="0"/>
            </w:tcBorders>
            <w:noWrap w:val="0"/>
            <w:vAlign w:val="top"/>
          </w:tcPr>
          <w:p w14:paraId="0A6D54C6">
            <w:pPr>
              <w:spacing w:before="156" w:after="156" w:line="360" w:lineRule="auto"/>
              <w:rPr>
                <w:rFonts w:hint="eastAsia" w:ascii="宋体" w:hAnsi="宋体" w:eastAsia="宋体" w:cs="宋体"/>
                <w:color w:val="auto"/>
                <w:szCs w:val="21"/>
                <w:highlight w:val="none"/>
                <w:shd w:val="clear" w:color="auto" w:fill="FFFFFF"/>
              </w:rPr>
            </w:pPr>
          </w:p>
        </w:tc>
        <w:tc>
          <w:tcPr>
            <w:tcW w:w="1188" w:type="dxa"/>
            <w:tcBorders>
              <w:top w:val="single" w:color="auto" w:sz="4" w:space="0"/>
              <w:left w:val="single" w:color="auto" w:sz="4" w:space="0"/>
              <w:bottom w:val="single" w:color="auto" w:sz="4" w:space="0"/>
              <w:right w:val="single" w:color="auto" w:sz="4" w:space="0"/>
            </w:tcBorders>
            <w:noWrap w:val="0"/>
            <w:vAlign w:val="top"/>
          </w:tcPr>
          <w:p w14:paraId="1E088362">
            <w:pPr>
              <w:spacing w:before="156" w:after="156" w:line="360" w:lineRule="auto"/>
              <w:rPr>
                <w:rFonts w:hint="eastAsia" w:ascii="宋体" w:hAnsi="宋体" w:eastAsia="宋体" w:cs="宋体"/>
                <w:color w:val="auto"/>
                <w:szCs w:val="21"/>
                <w:highlight w:val="none"/>
                <w:shd w:val="clear" w:color="auto" w:fill="FFFFFF"/>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13CF85F0">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71A2BCD9">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3B38C13E">
            <w:pPr>
              <w:spacing w:before="156" w:after="156" w:line="360" w:lineRule="auto"/>
              <w:rPr>
                <w:rFonts w:hint="eastAsia" w:ascii="宋体" w:hAnsi="宋体" w:eastAsia="宋体" w:cs="宋体"/>
                <w:color w:val="auto"/>
                <w:szCs w:val="21"/>
                <w:highlight w:val="none"/>
                <w:shd w:val="clear" w:color="auto" w:fill="FFFFFF"/>
              </w:rPr>
            </w:pPr>
          </w:p>
        </w:tc>
      </w:tr>
      <w:tr w14:paraId="749B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5BB706C8">
            <w:pPr>
              <w:spacing w:before="156" w:after="156" w:line="360" w:lineRule="auto"/>
              <w:jc w:val="center"/>
              <w:rPr>
                <w:rFonts w:hint="eastAsia" w:ascii="宋体" w:hAnsi="宋体" w:eastAsia="宋体" w:cs="宋体"/>
                <w:b/>
                <w:color w:val="auto"/>
                <w:szCs w:val="21"/>
                <w:highlight w:val="none"/>
                <w:shd w:val="clear" w:color="auto" w:fill="FFFFFF"/>
              </w:rPr>
            </w:pPr>
          </w:p>
        </w:tc>
        <w:tc>
          <w:tcPr>
            <w:tcW w:w="4836" w:type="dxa"/>
            <w:gridSpan w:val="4"/>
            <w:tcBorders>
              <w:top w:val="single" w:color="auto" w:sz="4" w:space="0"/>
              <w:left w:val="single" w:color="auto" w:sz="4" w:space="0"/>
              <w:bottom w:val="single" w:color="auto" w:sz="4" w:space="0"/>
              <w:right w:val="single" w:color="auto" w:sz="4" w:space="0"/>
            </w:tcBorders>
            <w:noWrap w:val="0"/>
            <w:vAlign w:val="top"/>
          </w:tcPr>
          <w:p w14:paraId="51BB6D5B">
            <w:pPr>
              <w:spacing w:before="156" w:after="156" w:line="360" w:lineRule="auto"/>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合 计</w:t>
            </w:r>
          </w:p>
        </w:tc>
        <w:tc>
          <w:tcPr>
            <w:tcW w:w="793" w:type="dxa"/>
            <w:tcBorders>
              <w:top w:val="single" w:color="auto" w:sz="4" w:space="0"/>
              <w:left w:val="single" w:color="auto" w:sz="4" w:space="0"/>
              <w:bottom w:val="single" w:color="auto" w:sz="4" w:space="0"/>
              <w:right w:val="single" w:color="auto" w:sz="4" w:space="0"/>
            </w:tcBorders>
            <w:noWrap w:val="0"/>
            <w:vAlign w:val="top"/>
          </w:tcPr>
          <w:p w14:paraId="60680F8A">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24D4890C">
            <w:pPr>
              <w:spacing w:before="156" w:after="156" w:line="360" w:lineRule="auto"/>
              <w:rPr>
                <w:rFonts w:hint="eastAsia" w:ascii="宋体" w:hAnsi="宋体" w:eastAsia="宋体" w:cs="宋体"/>
                <w:color w:val="auto"/>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74D6D239">
            <w:pPr>
              <w:spacing w:before="156" w:after="156" w:line="360" w:lineRule="auto"/>
              <w:rPr>
                <w:rFonts w:hint="eastAsia" w:ascii="宋体" w:hAnsi="宋体" w:eastAsia="宋体" w:cs="宋体"/>
                <w:color w:val="auto"/>
                <w:szCs w:val="21"/>
                <w:highlight w:val="none"/>
                <w:shd w:val="clear" w:color="auto" w:fill="FFFFFF"/>
              </w:rPr>
            </w:pPr>
          </w:p>
        </w:tc>
      </w:tr>
    </w:tbl>
    <w:p w14:paraId="4E11D28F">
      <w:pPr>
        <w:pStyle w:val="80"/>
        <w:rPr>
          <w:rFonts w:hint="eastAsia" w:ascii="宋体" w:hAnsi="宋体" w:eastAsia="宋体" w:cs="宋体"/>
          <w:color w:val="auto"/>
          <w:highlight w:val="none"/>
        </w:rPr>
      </w:pPr>
    </w:p>
    <w:p w14:paraId="33945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第三条 合同价款及付款方式</w:t>
      </w:r>
    </w:p>
    <w:p w14:paraId="20BE30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1、本合同项下总价款为（大写）人民币</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，分项价款在“投标报价表”中明确。</w:t>
      </w:r>
    </w:p>
    <w:p w14:paraId="318F1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2、本合同总价款为完成本项目的所有费用，</w:t>
      </w:r>
      <w:r>
        <w:rPr>
          <w:rFonts w:hint="eastAsia" w:ascii="宋体" w:hAnsi="宋体" w:eastAsia="宋体" w:cs="宋体"/>
          <w:color w:val="auto"/>
          <w:szCs w:val="21"/>
          <w:highlight w:val="none"/>
          <w:shd w:val="clear" w:color="auto" w:fill="FFFFFF"/>
        </w:rPr>
        <w:t>应包括</w:t>
      </w:r>
      <w:r>
        <w:rPr>
          <w:rFonts w:hint="eastAsia" w:ascii="宋体" w:hAnsi="宋体" w:eastAsia="宋体" w:cs="宋体"/>
          <w:color w:val="auto"/>
          <w:szCs w:val="21"/>
          <w:highlight w:val="none"/>
          <w:shd w:val="clear" w:color="auto" w:fill="FFFFFF"/>
          <w:lang w:eastAsia="zh-CN"/>
        </w:rPr>
        <w:t>人工费，运输费等消耗费，利润，管理费，规费，税金，风险费以及政策性文件规定等</w:t>
      </w:r>
      <w:r>
        <w:rPr>
          <w:rFonts w:hint="eastAsia" w:ascii="宋体" w:hAnsi="宋体" w:eastAsia="宋体" w:cs="宋体"/>
          <w:color w:val="auto"/>
          <w:szCs w:val="21"/>
          <w:highlight w:val="none"/>
          <w:shd w:val="clear" w:color="auto" w:fill="FFFFFF"/>
        </w:rPr>
        <w:t>为完成本项目所需的所有费用</w:t>
      </w:r>
      <w:r>
        <w:rPr>
          <w:rFonts w:hint="eastAsia" w:ascii="宋体" w:hAnsi="宋体" w:eastAsia="宋体" w:cs="宋体"/>
          <w:color w:val="auto"/>
          <w:kern w:val="0"/>
          <w:szCs w:val="21"/>
          <w:highlight w:val="none"/>
          <w:shd w:val="clear" w:color="auto" w:fill="FFFFFF"/>
        </w:rPr>
        <w:t>。</w:t>
      </w:r>
    </w:p>
    <w:p w14:paraId="49C31C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3、本合同付款方式为以下第</w:t>
      </w:r>
      <w:r>
        <w:rPr>
          <w:rFonts w:hint="eastAsia" w:ascii="宋体" w:hAnsi="宋体" w:eastAsia="宋体" w:cs="宋体"/>
          <w:color w:val="auto"/>
          <w:kern w:val="0"/>
          <w:szCs w:val="21"/>
          <w:highlight w:val="none"/>
          <w:u w:val="single"/>
          <w:shd w:val="clear" w:color="auto" w:fill="FFFFFF"/>
        </w:rPr>
        <w:t xml:space="preserve">   （1）     </w:t>
      </w:r>
      <w:r>
        <w:rPr>
          <w:rFonts w:hint="eastAsia" w:ascii="宋体" w:hAnsi="宋体" w:eastAsia="宋体" w:cs="宋体"/>
          <w:color w:val="auto"/>
          <w:kern w:val="0"/>
          <w:szCs w:val="21"/>
          <w:highlight w:val="none"/>
          <w:shd w:val="clear" w:color="auto" w:fill="FFFFFF"/>
        </w:rPr>
        <w:t>项：</w:t>
      </w:r>
    </w:p>
    <w:p w14:paraId="2E244E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（1）本合同项下的采购资金系甲方自行支付，付款程序为：</w:t>
      </w:r>
    </w:p>
    <w:p w14:paraId="22329772">
      <w:pPr>
        <w:pStyle w:val="80"/>
        <w:spacing w:line="360" w:lineRule="auto"/>
        <w:rPr>
          <w:rFonts w:hint="eastAsia" w:ascii="宋体" w:hAnsi="宋体"/>
          <w:bCs/>
          <w:color w:val="auto"/>
          <w:szCs w:val="21"/>
          <w:highlight w:val="none"/>
        </w:rPr>
      </w:pPr>
      <w:r>
        <w:rPr>
          <w:rFonts w:hint="eastAsia" w:ascii="宋体" w:hAnsi="宋体"/>
          <w:bCs/>
          <w:color w:val="auto"/>
          <w:szCs w:val="21"/>
          <w:highlight w:val="none"/>
        </w:rPr>
        <w:t>1、接到单批供货通知后，7个工作日内支付该批次合同价的</w:t>
      </w:r>
      <w:r>
        <w:rPr>
          <w:rFonts w:hint="eastAsia" w:ascii="宋体" w:hAnsi="宋体"/>
          <w:bCs/>
          <w:color w:val="auto"/>
          <w:szCs w:val="21"/>
          <w:highlight w:val="none"/>
          <w:lang w:val="en-US" w:eastAsia="zh-CN"/>
        </w:rPr>
        <w:t>60</w:t>
      </w:r>
      <w:r>
        <w:rPr>
          <w:rFonts w:hint="eastAsia" w:ascii="宋体" w:hAnsi="宋体"/>
          <w:bCs/>
          <w:color w:val="auto"/>
          <w:szCs w:val="21"/>
          <w:highlight w:val="none"/>
        </w:rPr>
        <w:t>%作为预付款</w:t>
      </w:r>
      <w:r>
        <w:rPr>
          <w:rFonts w:hint="eastAsia" w:ascii="宋体" w:hAnsi="宋体"/>
          <w:color w:val="auto"/>
          <w:szCs w:val="24"/>
          <w:highlight w:val="none"/>
        </w:rPr>
        <w:t>（需提供正式的税务发票）</w:t>
      </w:r>
      <w:r>
        <w:rPr>
          <w:rFonts w:hint="eastAsia" w:ascii="宋体" w:hAnsi="宋体"/>
          <w:bCs/>
          <w:color w:val="auto"/>
          <w:szCs w:val="21"/>
          <w:highlight w:val="none"/>
        </w:rPr>
        <w:t>，当前批次验收完成，支付至该批货物合同价的100%。</w:t>
      </w:r>
    </w:p>
    <w:p w14:paraId="2416E3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
          <w:color w:val="auto"/>
          <w:szCs w:val="21"/>
          <w:highlight w:val="none"/>
        </w:rPr>
      </w:pPr>
      <w:r>
        <w:rPr>
          <w:rFonts w:hint="eastAsia" w:ascii="宋体" w:hAnsi="宋体"/>
          <w:bCs/>
          <w:color w:val="auto"/>
          <w:szCs w:val="21"/>
          <w:highlight w:val="none"/>
        </w:rPr>
        <w:t>2、供应商每次供货须经采购人验收合格，且提供正式的税务发票，采购人凭税务发票付款</w:t>
      </w:r>
    </w:p>
    <w:p w14:paraId="19398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（2）本合同项下的采购资金须财政直接支付，付款程序为</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w:t>
      </w:r>
    </w:p>
    <w:p w14:paraId="54CE2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（3）其他方式：</w:t>
      </w:r>
    </w:p>
    <w:p w14:paraId="45823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4、本合同项下的采购资金付款进度按招投标文件规定，未规定时按以下第_________项支付：</w:t>
      </w:r>
    </w:p>
    <w:p w14:paraId="7D29F1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（1）一次性付款：乙方合同履行达到_________（条件）时，一次性付款；</w:t>
      </w:r>
    </w:p>
    <w:p w14:paraId="4DF79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（2）分期付款：_________时支付_________；_________时支付_________；_________时支付_________；</w:t>
      </w:r>
    </w:p>
    <w:p w14:paraId="7239EC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w:t>
      </w:r>
    </w:p>
    <w:p w14:paraId="37217D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第四条 履约保证金</w:t>
      </w:r>
    </w:p>
    <w:p w14:paraId="1318FD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按以下第</w:t>
      </w:r>
      <w:r>
        <w:rPr>
          <w:rFonts w:hint="eastAsia" w:ascii="宋体" w:hAnsi="宋体" w:eastAsia="宋体" w:cs="宋体"/>
          <w:color w:val="auto"/>
          <w:kern w:val="0"/>
          <w:szCs w:val="21"/>
          <w:highlight w:val="none"/>
          <w:u w:val="single"/>
          <w:shd w:val="clear" w:color="auto" w:fill="FFFFFF"/>
        </w:rPr>
        <w:t>__ 2___</w:t>
      </w:r>
      <w:r>
        <w:rPr>
          <w:rFonts w:hint="eastAsia" w:ascii="宋体" w:hAnsi="宋体" w:eastAsia="宋体" w:cs="宋体"/>
          <w:color w:val="auto"/>
          <w:kern w:val="0"/>
          <w:szCs w:val="21"/>
          <w:highlight w:val="none"/>
          <w:shd w:val="clear" w:color="auto" w:fill="FFFFFF"/>
        </w:rPr>
        <w:t>项处理：</w:t>
      </w:r>
    </w:p>
    <w:p w14:paraId="2A1763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highlight w:val="none"/>
        </w:rPr>
        <w:t>1、本项目设置履约保证金，乙方应于_________（时间）向甲方提交履约保证金_________元（不得高于本合同金额的1%）。履约保证金在_________（时间）退还乙方。</w:t>
      </w:r>
    </w:p>
    <w:p w14:paraId="7B2ED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2、本项目不设置履约保证金。</w:t>
      </w:r>
    </w:p>
    <w:p w14:paraId="5CCC4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第五条 质量保证及售后服务</w:t>
      </w:r>
    </w:p>
    <w:p w14:paraId="6E250217">
      <w:pPr>
        <w:autoSpaceDE w:val="0"/>
        <w:autoSpaceDN w:val="0"/>
        <w:adjustRightIn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1、乙方应按</w:t>
      </w:r>
      <w:r>
        <w:rPr>
          <w:rFonts w:hint="eastAsia" w:ascii="宋体" w:hAnsi="宋体" w:eastAsia="宋体" w:cs="宋体"/>
          <w:color w:val="auto"/>
          <w:kern w:val="0"/>
          <w:szCs w:val="21"/>
          <w:highlight w:val="none"/>
          <w:shd w:val="clear" w:color="auto" w:fill="FFFFFF"/>
        </w:rPr>
        <w:t>招标文件</w:t>
      </w:r>
      <w:r>
        <w:rPr>
          <w:rFonts w:hint="eastAsia" w:ascii="宋体" w:hAnsi="宋体" w:eastAsia="宋体" w:cs="宋体"/>
          <w:color w:val="auto"/>
          <w:szCs w:val="21"/>
          <w:highlight w:val="none"/>
          <w:shd w:val="clear" w:color="auto" w:fill="FFFFFF"/>
        </w:rPr>
        <w:t>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3C65ADCA">
      <w:pPr>
        <w:autoSpaceDE w:val="0"/>
        <w:autoSpaceDN w:val="0"/>
        <w:adjustRightIn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2、上述的货物免费保修期为</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年，人为因素出现的故障不在免费保修范围内。超过保修期的机器设备实行终生维修，维修时只收部件成本费。</w:t>
      </w:r>
    </w:p>
    <w:p w14:paraId="1E568A99">
      <w:pPr>
        <w:autoSpaceDE w:val="0"/>
        <w:autoSpaceDN w:val="0"/>
        <w:adjustRightIn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3、乙方提供的货物在质保期内因货物本身的质量问题发生故障，乙方应负责免费更换。对达不到技术要求者，根据实际情况，经双方协商，可按以下办法处理：</w:t>
      </w:r>
    </w:p>
    <w:p w14:paraId="480F30EB">
      <w:pPr>
        <w:autoSpaceDE w:val="0"/>
        <w:autoSpaceDN w:val="0"/>
        <w:adjustRightIn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⑴更换：由乙方承担所发生的全部费用。</w:t>
      </w:r>
    </w:p>
    <w:p w14:paraId="56547CC1">
      <w:pPr>
        <w:autoSpaceDE w:val="0"/>
        <w:autoSpaceDN w:val="0"/>
        <w:adjustRightIn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⑵贬值处理：由甲乙双方合议定价。</w:t>
      </w:r>
    </w:p>
    <w:p w14:paraId="3DC7EC96">
      <w:pPr>
        <w:autoSpaceDE w:val="0"/>
        <w:autoSpaceDN w:val="0"/>
        <w:adjustRightIn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⑶退货处理：乙方应退还甲方支付的合同款，同时应承担该货物的直接费用（运输、保险、检验、货款利息及银行手续费等）。</w:t>
      </w:r>
    </w:p>
    <w:p w14:paraId="4D3340E0">
      <w:pPr>
        <w:autoSpaceDE w:val="0"/>
        <w:autoSpaceDN w:val="0"/>
        <w:adjustRightIn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4、使用过程中发生质量问题，乙方在接到甲方通知后</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小时内到达甲方现场。</w:t>
      </w:r>
    </w:p>
    <w:p w14:paraId="1DE682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color w:val="auto"/>
          <w:szCs w:val="21"/>
          <w:highlight w:val="none"/>
          <w:shd w:val="clear" w:color="auto" w:fill="FFFFFF"/>
        </w:rPr>
        <w:t>5、质保期</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年。质保期内，乙方对货物出现的质量及安全问题负责处理解决并承担一切费用。</w:t>
      </w:r>
    </w:p>
    <w:p w14:paraId="782082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第六条 交货（服务期）</w:t>
      </w:r>
    </w:p>
    <w:p w14:paraId="0750F2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1、交货期</w:t>
      </w:r>
      <w:r>
        <w:rPr>
          <w:rFonts w:hint="eastAsia" w:ascii="宋体" w:hAnsi="宋体" w:eastAsia="宋体" w:cs="宋体"/>
          <w:b/>
          <w:color w:val="auto"/>
          <w:kern w:val="0"/>
          <w:szCs w:val="21"/>
          <w:highlight w:val="none"/>
          <w:shd w:val="clear" w:color="auto" w:fill="FFFFFF"/>
        </w:rPr>
        <w:t>（服务期）</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日前交货；</w:t>
      </w:r>
    </w:p>
    <w:p w14:paraId="2582E0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2、交货（服务）地点：</w:t>
      </w:r>
      <w:r>
        <w:rPr>
          <w:rFonts w:hint="eastAsia" w:ascii="宋体" w:hAnsi="宋体" w:eastAsia="宋体" w:cs="宋体"/>
          <w:color w:val="auto"/>
          <w:kern w:val="0"/>
          <w:szCs w:val="21"/>
          <w:highlight w:val="none"/>
          <w:u w:val="single"/>
          <w:shd w:val="clear" w:color="auto" w:fill="FFFFFF"/>
        </w:rPr>
        <w:t xml:space="preserve">                                    </w:t>
      </w:r>
    </w:p>
    <w:p w14:paraId="3F1AA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3、安装、调试事宜：</w:t>
      </w:r>
      <w:r>
        <w:rPr>
          <w:rFonts w:hint="eastAsia" w:ascii="宋体" w:hAnsi="宋体" w:eastAsia="宋体" w:cs="宋体"/>
          <w:color w:val="auto"/>
          <w:kern w:val="0"/>
          <w:szCs w:val="21"/>
          <w:highlight w:val="none"/>
          <w:u w:val="single"/>
          <w:shd w:val="clear" w:color="auto" w:fill="FFFFFF"/>
        </w:rPr>
        <w:t xml:space="preserve">                                                    </w:t>
      </w:r>
    </w:p>
    <w:p w14:paraId="48A2F6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4、乙方在交货同时，应向甲方提供使用货物的有关技术资料。</w:t>
      </w:r>
    </w:p>
    <w:p w14:paraId="6DE5B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第七条 调试和验收</w:t>
      </w:r>
    </w:p>
    <w:p w14:paraId="157C8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1、乙方交货前应对产品作出全面检查，对验收文件进行整理，并列出清单，作为甲方收货验收和使用的技术条件依据，检验的结果应随货物交甲方。</w:t>
      </w:r>
    </w:p>
    <w:p w14:paraId="5C3FC8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2、提供的货物在使用前需进行调试的，乙方需负责安装并培训甲方的使用操作人员，并协助甲方一起调试，直到符合技术要求，甲方才做最终验收。</w:t>
      </w:r>
    </w:p>
    <w:p w14:paraId="36FBC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14:paraId="3A23C4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4、验收完毕乙方应出具验收结果报告，符合要求的给予签收，验收不合格的不予签收。</w:t>
      </w:r>
    </w:p>
    <w:p w14:paraId="17ECB7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第八条 合同的变更和终止</w:t>
      </w:r>
    </w:p>
    <w:p w14:paraId="334C0F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除《政府采购法》第49条、第50条第二款规定的情形外，本合同一经签订，甲乙双方不得擅自终止合同或对合同实质性条款进行变更。确有特殊情况的，须经同级财政部门批准。</w:t>
      </w:r>
    </w:p>
    <w:p w14:paraId="15709E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第九条 合同的转让与分包</w:t>
      </w:r>
    </w:p>
    <w:p w14:paraId="3D94F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乙方不得擅自部分或全部转让其应履行的合同义务。乙方分包的，应经过甲方书面同意。</w:t>
      </w:r>
    </w:p>
    <w:p w14:paraId="7978A5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第十条 违约责任</w:t>
      </w:r>
    </w:p>
    <w:p w14:paraId="2F59D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1、甲方无正当理由拒收货物的，甲方应向乙方偿付拒收货款总值的百分之五违约金。</w:t>
      </w:r>
    </w:p>
    <w:p w14:paraId="2C738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2、甲方无故逾期验收和办理货款支付手续的，甲方应按逾期付款总额每日万分之五向乙方支付违约金。</w:t>
      </w:r>
    </w:p>
    <w:p w14:paraId="2DD81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7CBFC6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乙方所交的货物品种、型号、规格、技术参数、质量不符合合同规定及磋商（或竞争性谈判、询价）文件规定标准的，甲方有权拒收该货物，乙方愿意更换货物但逾期交货的，按乙方逾期交货处理。乙方拒绝更换货物的，甲方可单方面解除合同。</w:t>
      </w:r>
    </w:p>
    <w:p w14:paraId="6C7429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第十一条 不可抗力事件处理</w:t>
      </w:r>
    </w:p>
    <w:p w14:paraId="56C54D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1、在合同有效期内，任何一方因不可抗力事件导致不能履行合同的，合同履行期可延长，其延长期与不可抗力影响期相同。</w:t>
      </w:r>
    </w:p>
    <w:p w14:paraId="0FC63A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2、不可抗力事件发生后，应立即通知对方，并寄送有关权威机构出具的证明。</w:t>
      </w:r>
    </w:p>
    <w:p w14:paraId="7D12DC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3、不可抗力事件延续120天以上，双方应通过友好协商，确定是否继续履行合同。</w:t>
      </w:r>
    </w:p>
    <w:p w14:paraId="6EFD9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第十二条 争议的解决</w:t>
      </w:r>
    </w:p>
    <w:p w14:paraId="5673C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1、因履行本合同引起的或与本合同有关的争议，甲、乙双方应首先通过友好协商解决，如果协商不能解决争议，则采取以下第</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种方式解决争议：</w:t>
      </w:r>
    </w:p>
    <w:p w14:paraId="7DAEB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（1）向甲方所在地有管辖权的人民法院提起诉讼；</w:t>
      </w:r>
    </w:p>
    <w:p w14:paraId="6ADA65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（2）向</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仲裁委员申请仲裁。</w:t>
      </w:r>
    </w:p>
    <w:p w14:paraId="7FCA7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rPr>
        <w:t>第十三条 合同生效及备案</w:t>
      </w:r>
    </w:p>
    <w:p w14:paraId="5C573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1、合同经双方法定代表人或被授权人签字并加盖单位公章后生效。</w:t>
      </w:r>
    </w:p>
    <w:p w14:paraId="1395E6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2、合同执行中涉及采购资金和采购内容修改或补充的，须经财政部门审批，并签书面补充协议报政府部门备案，方可作为主合同不可分割的一部分。</w:t>
      </w:r>
    </w:p>
    <w:p w14:paraId="74D7A9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3、本合同未尽事宜，遵照《中华人民共和国民法典》有关条文执行。</w:t>
      </w:r>
    </w:p>
    <w:p w14:paraId="0AFC53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4、本合同一式</w:t>
      </w:r>
      <w:r>
        <w:rPr>
          <w:rFonts w:hint="eastAsia" w:ascii="宋体" w:hAnsi="宋体" w:eastAsia="宋体" w:cs="宋体"/>
          <w:color w:val="auto"/>
          <w:kern w:val="0"/>
          <w:szCs w:val="21"/>
          <w:highlight w:val="none"/>
          <w:u w:val="single"/>
          <w:shd w:val="clear" w:color="auto" w:fill="FFFFFF"/>
        </w:rPr>
        <w:t xml:space="preserve"> 五 </w:t>
      </w:r>
      <w:r>
        <w:rPr>
          <w:rFonts w:hint="eastAsia" w:ascii="宋体" w:hAnsi="宋体" w:eastAsia="宋体" w:cs="宋体"/>
          <w:color w:val="auto"/>
          <w:kern w:val="0"/>
          <w:szCs w:val="21"/>
          <w:highlight w:val="none"/>
          <w:shd w:val="clear" w:color="auto" w:fill="FFFFFF"/>
        </w:rPr>
        <w:t>份，甲乙双方各执</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份报送政府采购监督管理部门备案，</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份留嘉兴市中诚建设咨询有限公司备查，</w:t>
      </w:r>
      <w:r>
        <w:rPr>
          <w:rFonts w:hint="eastAsia" w:ascii="宋体" w:hAnsi="宋体" w:eastAsia="宋体" w:cs="宋体"/>
          <w:color w:val="auto"/>
          <w:kern w:val="0"/>
          <w:szCs w:val="21"/>
          <w:highlight w:val="none"/>
          <w:u w:val="single"/>
          <w:shd w:val="clear" w:color="auto" w:fill="FFFFFF"/>
        </w:rPr>
        <w:t xml:space="preserve"> 一 </w:t>
      </w:r>
      <w:r>
        <w:rPr>
          <w:rFonts w:hint="eastAsia" w:ascii="宋体" w:hAnsi="宋体" w:eastAsia="宋体" w:cs="宋体"/>
          <w:color w:val="auto"/>
          <w:kern w:val="0"/>
          <w:szCs w:val="21"/>
          <w:highlight w:val="none"/>
          <w:shd w:val="clear" w:color="auto" w:fill="FFFFFF"/>
        </w:rPr>
        <w:t>份送</w:t>
      </w:r>
      <w:r>
        <w:rPr>
          <w:rFonts w:hint="eastAsia" w:ascii="宋体" w:hAnsi="宋体" w:eastAsia="宋体" w:cs="宋体"/>
          <w:color w:val="auto"/>
          <w:szCs w:val="21"/>
          <w:highlight w:val="none"/>
          <w:shd w:val="clear" w:color="auto" w:fill="FFFFFF"/>
        </w:rPr>
        <w:t>财政核算支付中心</w:t>
      </w:r>
      <w:r>
        <w:rPr>
          <w:rFonts w:hint="eastAsia" w:ascii="宋体" w:hAnsi="宋体" w:eastAsia="宋体" w:cs="宋体"/>
          <w:color w:val="auto"/>
          <w:kern w:val="0"/>
          <w:szCs w:val="21"/>
          <w:highlight w:val="none"/>
          <w:shd w:val="clear" w:color="auto" w:fill="FFFFFF"/>
        </w:rPr>
        <w:t>。（若执行政采贷，另加二份）</w:t>
      </w:r>
    </w:p>
    <w:p w14:paraId="6C06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hint="eastAsia" w:ascii="宋体" w:hAnsi="宋体" w:eastAsia="宋体" w:cs="宋体"/>
          <w:color w:val="auto"/>
          <w:kern w:val="0"/>
          <w:sz w:val="32"/>
          <w:szCs w:val="32"/>
          <w:highlight w:val="none"/>
          <w:shd w:val="clear" w:color="auto" w:fill="FFFFFF"/>
        </w:rPr>
      </w:pPr>
      <w:r>
        <w:rPr>
          <w:rFonts w:hint="eastAsia" w:ascii="宋体" w:hAnsi="宋体" w:eastAsia="宋体" w:cs="宋体"/>
          <w:color w:val="auto"/>
          <w:kern w:val="0"/>
          <w:sz w:val="32"/>
          <w:szCs w:val="32"/>
          <w:highlight w:val="none"/>
          <w:shd w:val="clear" w:color="auto" w:fill="FFFFFF"/>
        </w:rPr>
        <w:t>二、特殊专用条款部分</w:t>
      </w:r>
    </w:p>
    <w:p w14:paraId="266A106D">
      <w:pPr>
        <w:pStyle w:val="22"/>
        <w:snapToGrid w:val="0"/>
        <w:spacing w:before="120" w:after="120" w:line="360" w:lineRule="auto"/>
        <w:ind w:firstLine="420" w:firstLineChars="200"/>
        <w:rPr>
          <w:rFonts w:hint="eastAsia" w:ascii="宋体" w:hAnsi="宋体" w:eastAsia="宋体" w:cs="宋体"/>
          <w:color w:val="auto"/>
          <w:sz w:val="21"/>
          <w:szCs w:val="21"/>
          <w:highlight w:val="none"/>
          <w:shd w:val="clear" w:color="auto" w:fill="FFFFFF"/>
        </w:rPr>
      </w:pPr>
      <w:bookmarkStart w:id="106" w:name="_Toc13543224"/>
      <w:r>
        <w:rPr>
          <w:rFonts w:hint="eastAsia" w:ascii="宋体" w:hAnsi="宋体" w:eastAsia="宋体" w:cs="宋体"/>
          <w:color w:val="auto"/>
          <w:sz w:val="21"/>
          <w:szCs w:val="21"/>
          <w:highlight w:val="none"/>
          <w:shd w:val="clear" w:color="auto" w:fill="FFFFFF"/>
        </w:rPr>
        <w:t>……</w:t>
      </w:r>
      <w:bookmarkEnd w:id="106"/>
    </w:p>
    <w:p w14:paraId="39FDF854">
      <w:pPr>
        <w:pStyle w:val="22"/>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甲方：                             乙方： </w:t>
      </w:r>
    </w:p>
    <w:p w14:paraId="1BDFB90C">
      <w:pPr>
        <w:pStyle w:val="22"/>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地址：                             地址： </w:t>
      </w:r>
    </w:p>
    <w:p w14:paraId="145944A4">
      <w:pPr>
        <w:pStyle w:val="22"/>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法定代表人或被授权人：             法定代表人或被授权人：</w:t>
      </w:r>
    </w:p>
    <w:p w14:paraId="41621D3A">
      <w:pPr>
        <w:pStyle w:val="22"/>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签订地点：                  </w:t>
      </w:r>
    </w:p>
    <w:p w14:paraId="5BB78990">
      <w:pPr>
        <w:pStyle w:val="22"/>
        <w:snapToGrid w:val="0"/>
        <w:spacing w:before="120" w:after="12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签订日期：      年  月  日</w:t>
      </w:r>
    </w:p>
    <w:p w14:paraId="0485B89E">
      <w:pPr>
        <w:snapToGrid w:val="0"/>
        <w:spacing w:line="360" w:lineRule="auto"/>
        <w:ind w:firstLine="411" w:firstLineChars="196"/>
        <w:rPr>
          <w:rFonts w:hint="eastAsia" w:ascii="宋体" w:hAnsi="宋体" w:eastAsia="宋体" w:cs="宋体"/>
          <w:color w:val="auto"/>
          <w:szCs w:val="21"/>
          <w:highlight w:val="none"/>
          <w:shd w:val="clear" w:color="auto" w:fill="FFFFFF"/>
        </w:rPr>
        <w:sectPr>
          <w:headerReference r:id="rId5" w:type="default"/>
          <w:footerReference r:id="rId6" w:type="default"/>
          <w:pgSz w:w="11906" w:h="16838"/>
          <w:pgMar w:top="1474" w:right="1700" w:bottom="1247" w:left="1797" w:header="851" w:footer="851" w:gutter="0"/>
          <w:cols w:space="720" w:num="1"/>
          <w:docGrid w:linePitch="312" w:charSpace="0"/>
        </w:sectPr>
      </w:pPr>
    </w:p>
    <w:tbl>
      <w:tblPr>
        <w:tblStyle w:val="43"/>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14:paraId="00E0B2E8">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0"/>
            <w:vAlign w:val="center"/>
          </w:tcPr>
          <w:p w14:paraId="5627512E">
            <w:pPr>
              <w:widowControl/>
              <w:jc w:val="center"/>
              <w:rPr>
                <w:rFonts w:hint="eastAsia" w:ascii="宋体" w:hAnsi="宋体" w:eastAsia="宋体" w:cs="宋体"/>
                <w:b/>
                <w:bCs/>
                <w:color w:val="auto"/>
                <w:kern w:val="0"/>
                <w:sz w:val="48"/>
                <w:szCs w:val="48"/>
                <w:highlight w:val="none"/>
                <w:shd w:val="clear" w:color="auto" w:fill="FFFFFF"/>
              </w:rPr>
            </w:pPr>
            <w:r>
              <w:rPr>
                <w:rFonts w:hint="eastAsia" w:ascii="宋体" w:hAnsi="宋体" w:eastAsia="宋体" w:cs="宋体"/>
                <w:b/>
                <w:bCs/>
                <w:color w:val="auto"/>
                <w:kern w:val="0"/>
                <w:sz w:val="48"/>
                <w:szCs w:val="48"/>
                <w:highlight w:val="none"/>
                <w:shd w:val="clear" w:color="auto" w:fill="FFFFFF"/>
              </w:rPr>
              <w:t>政 府 采 购 项 目 验 收 单</w:t>
            </w:r>
          </w:p>
        </w:tc>
      </w:tr>
      <w:tr w14:paraId="27CD1A6A">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14:paraId="4754B316">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xml:space="preserve">按照《政府采购委托汇总确认书》         号，采购编号：      号 ,合同号：      号 </w:t>
            </w:r>
          </w:p>
        </w:tc>
      </w:tr>
      <w:tr w14:paraId="7622F3CD">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14:paraId="0AE8BB1A">
            <w:pPr>
              <w:widowControl/>
              <w:jc w:val="left"/>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以下项目已采购到位并验收合格。</w:t>
            </w:r>
          </w:p>
        </w:tc>
      </w:tr>
      <w:tr w14:paraId="5B229A35">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0"/>
            <w:vAlign w:val="center"/>
          </w:tcPr>
          <w:p w14:paraId="63CDB7EE">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采购货物（服务，工程）名称</w:t>
            </w:r>
          </w:p>
        </w:tc>
        <w:tc>
          <w:tcPr>
            <w:tcW w:w="4840" w:type="dxa"/>
            <w:tcBorders>
              <w:top w:val="single" w:color="auto" w:sz="4" w:space="0"/>
              <w:left w:val="nil"/>
              <w:bottom w:val="nil"/>
              <w:right w:val="single" w:color="auto" w:sz="4" w:space="0"/>
            </w:tcBorders>
            <w:noWrap w:val="0"/>
            <w:vAlign w:val="center"/>
          </w:tcPr>
          <w:p w14:paraId="0366B97B">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规格、型号</w:t>
            </w:r>
          </w:p>
        </w:tc>
        <w:tc>
          <w:tcPr>
            <w:tcW w:w="1280" w:type="dxa"/>
            <w:tcBorders>
              <w:top w:val="single" w:color="auto" w:sz="4" w:space="0"/>
              <w:left w:val="nil"/>
              <w:bottom w:val="nil"/>
              <w:right w:val="single" w:color="auto" w:sz="4" w:space="0"/>
            </w:tcBorders>
            <w:noWrap w:val="0"/>
            <w:vAlign w:val="center"/>
          </w:tcPr>
          <w:p w14:paraId="6F56C328">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数量</w:t>
            </w:r>
          </w:p>
        </w:tc>
        <w:tc>
          <w:tcPr>
            <w:tcW w:w="1600" w:type="dxa"/>
            <w:tcBorders>
              <w:top w:val="single" w:color="auto" w:sz="4" w:space="0"/>
              <w:left w:val="nil"/>
              <w:bottom w:val="nil"/>
              <w:right w:val="single" w:color="auto" w:sz="4" w:space="0"/>
            </w:tcBorders>
            <w:noWrap w:val="0"/>
            <w:vAlign w:val="center"/>
          </w:tcPr>
          <w:p w14:paraId="32C8E37A">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核定总价</w:t>
            </w:r>
          </w:p>
        </w:tc>
        <w:tc>
          <w:tcPr>
            <w:tcW w:w="1740" w:type="dxa"/>
            <w:tcBorders>
              <w:top w:val="single" w:color="auto" w:sz="4" w:space="0"/>
              <w:left w:val="nil"/>
              <w:bottom w:val="single" w:color="auto" w:sz="4" w:space="0"/>
              <w:right w:val="single" w:color="auto" w:sz="4" w:space="0"/>
            </w:tcBorders>
            <w:noWrap w:val="0"/>
            <w:vAlign w:val="center"/>
          </w:tcPr>
          <w:p w14:paraId="4B29EBDE">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采购人</w:t>
            </w:r>
            <w:r>
              <w:rPr>
                <w:rFonts w:hint="eastAsia" w:ascii="宋体" w:hAnsi="宋体" w:eastAsia="宋体" w:cs="宋体"/>
                <w:color w:val="auto"/>
                <w:kern w:val="0"/>
                <w:sz w:val="28"/>
                <w:szCs w:val="28"/>
                <w:highlight w:val="none"/>
                <w:shd w:val="clear" w:color="auto" w:fill="FFFFFF"/>
              </w:rPr>
              <w:br w:type="textWrapping"/>
            </w:r>
            <w:r>
              <w:rPr>
                <w:rFonts w:hint="eastAsia" w:ascii="宋体" w:hAnsi="宋体" w:eastAsia="宋体" w:cs="宋体"/>
                <w:color w:val="auto"/>
                <w:kern w:val="0"/>
                <w:sz w:val="28"/>
                <w:szCs w:val="28"/>
                <w:highlight w:val="none"/>
                <w:shd w:val="clear" w:color="auto" w:fill="FFFFFF"/>
              </w:rPr>
              <w:t>验收意见</w:t>
            </w:r>
          </w:p>
        </w:tc>
      </w:tr>
      <w:tr w14:paraId="17849E51">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14:paraId="4DD5BD4C">
            <w:pPr>
              <w:widowControl/>
              <w:jc w:val="center"/>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　</w:t>
            </w:r>
          </w:p>
        </w:tc>
        <w:tc>
          <w:tcPr>
            <w:tcW w:w="4840" w:type="dxa"/>
            <w:tcBorders>
              <w:top w:val="single" w:color="auto" w:sz="4" w:space="0"/>
              <w:left w:val="nil"/>
              <w:bottom w:val="single" w:color="auto" w:sz="4" w:space="0"/>
              <w:right w:val="single" w:color="auto" w:sz="4" w:space="0"/>
            </w:tcBorders>
            <w:noWrap w:val="0"/>
            <w:vAlign w:val="center"/>
          </w:tcPr>
          <w:p w14:paraId="746DE509">
            <w:pPr>
              <w:widowControl/>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c>
          <w:tcPr>
            <w:tcW w:w="1280" w:type="dxa"/>
            <w:tcBorders>
              <w:top w:val="single" w:color="auto" w:sz="4" w:space="0"/>
              <w:left w:val="nil"/>
              <w:bottom w:val="single" w:color="auto" w:sz="4" w:space="0"/>
              <w:right w:val="single" w:color="auto" w:sz="4" w:space="0"/>
            </w:tcBorders>
            <w:noWrap w:val="0"/>
            <w:vAlign w:val="center"/>
          </w:tcPr>
          <w:p w14:paraId="38222224">
            <w:pPr>
              <w:widowControl/>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c>
          <w:tcPr>
            <w:tcW w:w="1600" w:type="dxa"/>
            <w:tcBorders>
              <w:top w:val="single" w:color="auto" w:sz="4" w:space="0"/>
              <w:left w:val="nil"/>
              <w:bottom w:val="single" w:color="auto" w:sz="4" w:space="0"/>
              <w:right w:val="single" w:color="auto" w:sz="4" w:space="0"/>
            </w:tcBorders>
            <w:noWrap w:val="0"/>
            <w:vAlign w:val="center"/>
          </w:tcPr>
          <w:p w14:paraId="13291D2C">
            <w:pPr>
              <w:widowControl/>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c>
          <w:tcPr>
            <w:tcW w:w="1740" w:type="dxa"/>
            <w:tcBorders>
              <w:top w:val="nil"/>
              <w:left w:val="nil"/>
              <w:bottom w:val="single" w:color="auto" w:sz="4" w:space="0"/>
              <w:right w:val="single" w:color="auto" w:sz="4" w:space="0"/>
            </w:tcBorders>
            <w:noWrap w:val="0"/>
            <w:vAlign w:val="bottom"/>
          </w:tcPr>
          <w:p w14:paraId="58F157E5">
            <w:pPr>
              <w:widowControl/>
              <w:jc w:val="left"/>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　</w:t>
            </w:r>
          </w:p>
        </w:tc>
      </w:tr>
      <w:tr w14:paraId="301B0BD1">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0"/>
            <w:vAlign w:val="center"/>
          </w:tcPr>
          <w:p w14:paraId="34324B83">
            <w:pPr>
              <w:widowControl/>
              <w:jc w:val="center"/>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合计总价款（人民币）</w:t>
            </w:r>
          </w:p>
        </w:tc>
        <w:tc>
          <w:tcPr>
            <w:tcW w:w="9460" w:type="dxa"/>
            <w:gridSpan w:val="4"/>
            <w:tcBorders>
              <w:top w:val="nil"/>
              <w:left w:val="nil"/>
              <w:bottom w:val="single" w:color="auto" w:sz="4" w:space="0"/>
              <w:right w:val="single" w:color="000000" w:sz="4" w:space="0"/>
            </w:tcBorders>
            <w:noWrap w:val="0"/>
            <w:vAlign w:val="center"/>
          </w:tcPr>
          <w:p w14:paraId="78C20597">
            <w:pPr>
              <w:widowControl/>
              <w:jc w:val="left"/>
              <w:rPr>
                <w:rFonts w:hint="eastAsia" w:ascii="宋体" w:hAnsi="宋体" w:eastAsia="宋体" w:cs="宋体"/>
                <w:color w:val="auto"/>
                <w:kern w:val="0"/>
                <w:sz w:val="26"/>
                <w:szCs w:val="26"/>
                <w:highlight w:val="none"/>
                <w:shd w:val="clear" w:color="auto" w:fill="FFFFFF"/>
              </w:rPr>
            </w:pPr>
            <w:r>
              <w:rPr>
                <w:rFonts w:hint="eastAsia" w:ascii="宋体" w:hAnsi="宋体" w:eastAsia="宋体" w:cs="宋体"/>
                <w:color w:val="auto"/>
                <w:kern w:val="0"/>
                <w:sz w:val="26"/>
                <w:szCs w:val="26"/>
                <w:highlight w:val="none"/>
                <w:shd w:val="clear" w:color="auto" w:fill="FFFFFF"/>
              </w:rPr>
              <w:t>人民币</w:t>
            </w:r>
            <w:r>
              <w:rPr>
                <w:rFonts w:hint="eastAsia" w:ascii="宋体" w:hAnsi="宋体" w:eastAsia="宋体" w:cs="宋体"/>
                <w:color w:val="auto"/>
                <w:kern w:val="0"/>
                <w:sz w:val="26"/>
                <w:szCs w:val="26"/>
                <w:highlight w:val="none"/>
                <w:u w:val="single"/>
                <w:shd w:val="clear" w:color="auto" w:fill="FFFFFF"/>
              </w:rPr>
              <w:t xml:space="preserve">                 </w:t>
            </w:r>
            <w:r>
              <w:rPr>
                <w:rFonts w:hint="eastAsia" w:ascii="宋体" w:hAnsi="宋体" w:eastAsia="宋体" w:cs="宋体"/>
                <w:color w:val="auto"/>
                <w:kern w:val="0"/>
                <w:sz w:val="26"/>
                <w:szCs w:val="26"/>
                <w:highlight w:val="none"/>
                <w:shd w:val="clear" w:color="auto" w:fill="FFFFFF"/>
              </w:rPr>
              <w:t xml:space="preserve">元整。       ￥: </w:t>
            </w:r>
            <w:r>
              <w:rPr>
                <w:rFonts w:hint="eastAsia" w:ascii="宋体" w:hAnsi="宋体" w:eastAsia="宋体" w:cs="宋体"/>
                <w:color w:val="auto"/>
                <w:kern w:val="0"/>
                <w:sz w:val="26"/>
                <w:szCs w:val="26"/>
                <w:highlight w:val="none"/>
                <w:u w:val="single"/>
                <w:shd w:val="clear" w:color="auto" w:fill="FFFFFF"/>
              </w:rPr>
              <w:t xml:space="preserve">             </w:t>
            </w:r>
          </w:p>
        </w:tc>
      </w:tr>
      <w:tr w14:paraId="3F344B0C">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0"/>
            <w:vAlign w:val="bottom"/>
          </w:tcPr>
          <w:p w14:paraId="59618987">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xml:space="preserve">供货单位（盖章）：                     </w:t>
            </w:r>
          </w:p>
        </w:tc>
        <w:tc>
          <w:tcPr>
            <w:tcW w:w="4840" w:type="dxa"/>
            <w:tcBorders>
              <w:top w:val="nil"/>
              <w:left w:val="nil"/>
              <w:bottom w:val="nil"/>
              <w:right w:val="nil"/>
            </w:tcBorders>
            <w:noWrap w:val="0"/>
            <w:vAlign w:val="center"/>
          </w:tcPr>
          <w:p w14:paraId="640872F5">
            <w:pPr>
              <w:widowControl/>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采购人（盖章）:</w:t>
            </w:r>
          </w:p>
        </w:tc>
        <w:tc>
          <w:tcPr>
            <w:tcW w:w="2880" w:type="dxa"/>
            <w:gridSpan w:val="2"/>
            <w:tcBorders>
              <w:top w:val="nil"/>
              <w:left w:val="nil"/>
              <w:bottom w:val="nil"/>
              <w:right w:val="nil"/>
            </w:tcBorders>
            <w:noWrap w:val="0"/>
            <w:vAlign w:val="bottom"/>
          </w:tcPr>
          <w:p w14:paraId="13B20FA7">
            <w:pPr>
              <w:widowControl/>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noWrap w:val="0"/>
            <w:vAlign w:val="bottom"/>
          </w:tcPr>
          <w:p w14:paraId="12FC8CF5">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28627C57">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14:paraId="6D97077B">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经办项目负责人：</w:t>
            </w:r>
          </w:p>
        </w:tc>
        <w:tc>
          <w:tcPr>
            <w:tcW w:w="4840" w:type="dxa"/>
            <w:tcBorders>
              <w:top w:val="nil"/>
              <w:left w:val="nil"/>
              <w:bottom w:val="nil"/>
              <w:right w:val="nil"/>
            </w:tcBorders>
            <w:noWrap w:val="0"/>
            <w:vAlign w:val="center"/>
          </w:tcPr>
          <w:p w14:paraId="77E9A4A1">
            <w:pPr>
              <w:widowControl/>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项目验收组组长：</w:t>
            </w:r>
          </w:p>
        </w:tc>
        <w:tc>
          <w:tcPr>
            <w:tcW w:w="2880" w:type="dxa"/>
            <w:gridSpan w:val="2"/>
            <w:tcBorders>
              <w:top w:val="nil"/>
              <w:left w:val="nil"/>
              <w:bottom w:val="nil"/>
              <w:right w:val="nil"/>
            </w:tcBorders>
            <w:noWrap w:val="0"/>
            <w:vAlign w:val="bottom"/>
          </w:tcPr>
          <w:p w14:paraId="39B87A0F">
            <w:pPr>
              <w:widowControl/>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noWrap w:val="0"/>
            <w:vAlign w:val="bottom"/>
          </w:tcPr>
          <w:p w14:paraId="6D4D70C5">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256A170C">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14:paraId="2A1EA792">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联系电话：</w:t>
            </w:r>
          </w:p>
        </w:tc>
        <w:tc>
          <w:tcPr>
            <w:tcW w:w="4840" w:type="dxa"/>
            <w:tcBorders>
              <w:top w:val="nil"/>
              <w:left w:val="nil"/>
              <w:bottom w:val="nil"/>
              <w:right w:val="nil"/>
            </w:tcBorders>
            <w:noWrap w:val="0"/>
            <w:vAlign w:val="center"/>
          </w:tcPr>
          <w:p w14:paraId="100156F1">
            <w:pPr>
              <w:widowControl/>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联系电话：</w:t>
            </w:r>
          </w:p>
        </w:tc>
        <w:tc>
          <w:tcPr>
            <w:tcW w:w="1280" w:type="dxa"/>
            <w:tcBorders>
              <w:top w:val="nil"/>
              <w:left w:val="nil"/>
              <w:bottom w:val="nil"/>
              <w:right w:val="nil"/>
            </w:tcBorders>
            <w:noWrap w:val="0"/>
            <w:vAlign w:val="bottom"/>
          </w:tcPr>
          <w:p w14:paraId="1046FFF9">
            <w:pPr>
              <w:widowControl/>
              <w:jc w:val="left"/>
              <w:rPr>
                <w:rFonts w:hint="eastAsia" w:ascii="宋体" w:hAnsi="宋体" w:eastAsia="宋体" w:cs="宋体"/>
                <w:color w:val="auto"/>
                <w:kern w:val="0"/>
                <w:sz w:val="24"/>
                <w:highlight w:val="none"/>
                <w:shd w:val="clear" w:color="auto" w:fill="FFFFFF"/>
              </w:rPr>
            </w:pPr>
          </w:p>
        </w:tc>
        <w:tc>
          <w:tcPr>
            <w:tcW w:w="1600" w:type="dxa"/>
            <w:tcBorders>
              <w:top w:val="nil"/>
              <w:left w:val="nil"/>
              <w:bottom w:val="nil"/>
              <w:right w:val="nil"/>
            </w:tcBorders>
            <w:noWrap w:val="0"/>
            <w:vAlign w:val="bottom"/>
          </w:tcPr>
          <w:p w14:paraId="04294DB9">
            <w:pPr>
              <w:widowControl/>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noWrap w:val="0"/>
            <w:vAlign w:val="bottom"/>
          </w:tcPr>
          <w:p w14:paraId="17DDE241">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2FF5BC3E">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0"/>
            <w:vAlign w:val="bottom"/>
          </w:tcPr>
          <w:p w14:paraId="4AA9A8F2">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开户银行：</w:t>
            </w:r>
          </w:p>
        </w:tc>
        <w:tc>
          <w:tcPr>
            <w:tcW w:w="4840" w:type="dxa"/>
            <w:tcBorders>
              <w:top w:val="nil"/>
              <w:left w:val="nil"/>
              <w:bottom w:val="nil"/>
              <w:right w:val="nil"/>
            </w:tcBorders>
            <w:noWrap w:val="0"/>
            <w:vAlign w:val="center"/>
          </w:tcPr>
          <w:p w14:paraId="780D054D">
            <w:pPr>
              <w:widowControl/>
              <w:jc w:val="righ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项目验收组成员（签名）：</w:t>
            </w:r>
          </w:p>
        </w:tc>
        <w:tc>
          <w:tcPr>
            <w:tcW w:w="1280" w:type="dxa"/>
            <w:tcBorders>
              <w:top w:val="nil"/>
              <w:left w:val="nil"/>
              <w:bottom w:val="nil"/>
              <w:right w:val="nil"/>
            </w:tcBorders>
            <w:noWrap w:val="0"/>
            <w:vAlign w:val="bottom"/>
          </w:tcPr>
          <w:p w14:paraId="5D7BE22F">
            <w:pPr>
              <w:widowControl/>
              <w:jc w:val="left"/>
              <w:rPr>
                <w:rFonts w:hint="eastAsia" w:ascii="宋体" w:hAnsi="宋体" w:eastAsia="宋体" w:cs="宋体"/>
                <w:color w:val="auto"/>
                <w:kern w:val="0"/>
                <w:sz w:val="24"/>
                <w:highlight w:val="none"/>
                <w:shd w:val="clear" w:color="auto" w:fill="FFFFFF"/>
              </w:rPr>
            </w:pPr>
          </w:p>
        </w:tc>
        <w:tc>
          <w:tcPr>
            <w:tcW w:w="1600" w:type="dxa"/>
            <w:tcBorders>
              <w:top w:val="nil"/>
              <w:left w:val="nil"/>
              <w:bottom w:val="nil"/>
              <w:right w:val="nil"/>
            </w:tcBorders>
            <w:noWrap w:val="0"/>
            <w:vAlign w:val="bottom"/>
          </w:tcPr>
          <w:p w14:paraId="35AFB049">
            <w:pPr>
              <w:widowControl/>
              <w:jc w:val="left"/>
              <w:rPr>
                <w:rFonts w:hint="eastAsia" w:ascii="宋体" w:hAnsi="宋体" w:eastAsia="宋体" w:cs="宋体"/>
                <w:color w:val="auto"/>
                <w:kern w:val="0"/>
                <w:sz w:val="24"/>
                <w:highlight w:val="none"/>
                <w:shd w:val="clear" w:color="auto" w:fill="FFFFFF"/>
              </w:rPr>
            </w:pPr>
          </w:p>
        </w:tc>
        <w:tc>
          <w:tcPr>
            <w:tcW w:w="1740" w:type="dxa"/>
            <w:tcBorders>
              <w:top w:val="nil"/>
              <w:left w:val="nil"/>
              <w:bottom w:val="nil"/>
              <w:right w:val="single" w:color="auto" w:sz="4" w:space="0"/>
            </w:tcBorders>
            <w:noWrap w:val="0"/>
            <w:vAlign w:val="bottom"/>
          </w:tcPr>
          <w:p w14:paraId="7989FBE8">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r>
      <w:tr w14:paraId="00D4D332">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0"/>
            <w:vAlign w:val="center"/>
          </w:tcPr>
          <w:p w14:paraId="639C3502">
            <w:pPr>
              <w:widowControl/>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银行账号：</w:t>
            </w:r>
          </w:p>
        </w:tc>
        <w:tc>
          <w:tcPr>
            <w:tcW w:w="4840" w:type="dxa"/>
            <w:tcBorders>
              <w:top w:val="nil"/>
              <w:left w:val="nil"/>
              <w:bottom w:val="single" w:color="auto" w:sz="4" w:space="0"/>
              <w:right w:val="nil"/>
            </w:tcBorders>
            <w:noWrap w:val="0"/>
            <w:vAlign w:val="bottom"/>
          </w:tcPr>
          <w:p w14:paraId="58412371">
            <w:pPr>
              <w:widowControl/>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　</w:t>
            </w:r>
          </w:p>
        </w:tc>
        <w:tc>
          <w:tcPr>
            <w:tcW w:w="4620" w:type="dxa"/>
            <w:gridSpan w:val="3"/>
            <w:tcBorders>
              <w:top w:val="nil"/>
              <w:left w:val="nil"/>
              <w:bottom w:val="single" w:color="auto" w:sz="4" w:space="0"/>
              <w:right w:val="single" w:color="000000" w:sz="4" w:space="0"/>
            </w:tcBorders>
            <w:noWrap w:val="0"/>
            <w:vAlign w:val="center"/>
          </w:tcPr>
          <w:p w14:paraId="105C8C06">
            <w:pPr>
              <w:widowControl/>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验收时间：       年     月     日</w:t>
            </w:r>
          </w:p>
        </w:tc>
      </w:tr>
      <w:tr w14:paraId="1C9C37B4">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0"/>
            <w:vAlign w:val="center"/>
          </w:tcPr>
          <w:p w14:paraId="1447AB8C">
            <w:pPr>
              <w:widowControl/>
              <w:jc w:val="center"/>
              <w:rPr>
                <w:rFonts w:hint="eastAsia" w:ascii="宋体" w:hAnsi="宋体" w:eastAsia="宋体" w:cs="宋体"/>
                <w:color w:val="auto"/>
                <w:kern w:val="0"/>
                <w:sz w:val="22"/>
                <w:highlight w:val="none"/>
                <w:shd w:val="clear" w:color="auto" w:fill="FFFFFF"/>
              </w:rPr>
            </w:pPr>
            <w:r>
              <w:rPr>
                <w:rFonts w:hint="eastAsia" w:ascii="宋体" w:hAnsi="宋体" w:eastAsia="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62CD6A3D">
      <w:pPr>
        <w:tabs>
          <w:tab w:val="left" w:pos="6264"/>
        </w:tabs>
        <w:snapToGrid w:val="0"/>
        <w:spacing w:line="360" w:lineRule="auto"/>
        <w:rPr>
          <w:rFonts w:hint="eastAsia" w:ascii="宋体" w:hAnsi="宋体" w:eastAsia="宋体" w:cs="宋体"/>
          <w:color w:val="auto"/>
          <w:sz w:val="24"/>
          <w:highlight w:val="none"/>
          <w:shd w:val="clear" w:color="auto" w:fill="FFFFFF"/>
        </w:rPr>
        <w:sectPr>
          <w:pgSz w:w="16838" w:h="11906" w:orient="landscape"/>
          <w:pgMar w:top="1797" w:right="1202" w:bottom="1797" w:left="1440" w:header="851" w:footer="992" w:gutter="0"/>
          <w:cols w:space="720" w:num="1"/>
          <w:docGrid w:linePitch="312" w:charSpace="0"/>
        </w:sectPr>
      </w:pPr>
    </w:p>
    <w:p w14:paraId="77B72318">
      <w:pPr>
        <w:pStyle w:val="2"/>
        <w:spacing w:line="240" w:lineRule="auto"/>
        <w:jc w:val="center"/>
        <w:rPr>
          <w:rFonts w:hint="eastAsia" w:ascii="宋体" w:hAnsi="宋体" w:eastAsia="宋体" w:cs="宋体"/>
          <w:color w:val="auto"/>
          <w:sz w:val="28"/>
          <w:highlight w:val="none"/>
          <w:shd w:val="clear" w:color="auto" w:fill="FFFFFF"/>
        </w:rPr>
      </w:pPr>
      <w:bookmarkStart w:id="107" w:name="_Toc30997_WPSOffice_Level1"/>
      <w:r>
        <w:rPr>
          <w:rFonts w:hint="eastAsia" w:ascii="宋体" w:hAnsi="宋体" w:eastAsia="宋体" w:cs="宋体"/>
          <w:color w:val="auto"/>
          <w:sz w:val="28"/>
          <w:highlight w:val="none"/>
          <w:shd w:val="clear" w:color="auto" w:fill="FFFFFF"/>
        </w:rPr>
        <w:t>第五章  评</w:t>
      </w:r>
      <w:bookmarkEnd w:id="89"/>
      <w:r>
        <w:rPr>
          <w:rFonts w:hint="eastAsia" w:ascii="宋体" w:hAnsi="宋体" w:eastAsia="宋体" w:cs="宋体"/>
          <w:color w:val="auto"/>
          <w:sz w:val="28"/>
          <w:highlight w:val="none"/>
          <w:shd w:val="clear" w:color="auto" w:fill="FFFFFF"/>
        </w:rPr>
        <w:t>审办法</w:t>
      </w:r>
      <w:bookmarkEnd w:id="90"/>
      <w:bookmarkEnd w:id="107"/>
    </w:p>
    <w:p w14:paraId="5D70B561">
      <w:pPr>
        <w:spacing w:line="360" w:lineRule="auto"/>
        <w:ind w:firstLine="420"/>
        <w:rPr>
          <w:rFonts w:hint="eastAsia" w:ascii="宋体" w:hAnsi="宋体" w:eastAsia="宋体" w:cs="宋体"/>
          <w:color w:val="auto"/>
          <w:szCs w:val="21"/>
          <w:highlight w:val="none"/>
          <w:shd w:val="clear" w:color="auto" w:fill="FFFFFF"/>
        </w:rPr>
      </w:pPr>
      <w:bookmarkStart w:id="108" w:name="_Toc177870560"/>
      <w:bookmarkStart w:id="109" w:name="_Toc170792802"/>
      <w:r>
        <w:rPr>
          <w:rFonts w:hint="eastAsia" w:ascii="宋体" w:hAnsi="宋体" w:eastAsia="宋体" w:cs="宋体"/>
          <w:color w:val="auto"/>
          <w:szCs w:val="21"/>
          <w:highlight w:val="none"/>
          <w:shd w:val="clear" w:color="auto" w:fill="FFFFFF"/>
        </w:rPr>
        <w:t>为公正、公平、科学地选择中标人，根据《中华人民共和国政府采购法》等有关法律法规的规定，并结合本项目的实际，制定本办法。</w:t>
      </w:r>
    </w:p>
    <w:p w14:paraId="0FABC056">
      <w:pPr>
        <w:spacing w:line="360" w:lineRule="auto"/>
        <w:ind w:firstLine="42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本办法适用于</w:t>
      </w:r>
      <w:r>
        <w:rPr>
          <w:rFonts w:hint="eastAsia" w:ascii="宋体" w:hAnsi="宋体" w:cs="宋体"/>
          <w:color w:val="auto"/>
          <w:szCs w:val="21"/>
          <w:highlight w:val="none"/>
          <w:shd w:val="clear" w:color="auto" w:fill="FFFFFF"/>
          <w:lang w:eastAsia="zh-CN"/>
        </w:rPr>
        <w:t>嘉兴市公安局南湖区分局2025年度DP试剂耗材（胶体碳）采购项目</w:t>
      </w:r>
      <w:r>
        <w:rPr>
          <w:rFonts w:hint="eastAsia" w:ascii="宋体" w:hAnsi="宋体" w:eastAsia="宋体" w:cs="宋体"/>
          <w:color w:val="auto"/>
          <w:szCs w:val="21"/>
          <w:highlight w:val="none"/>
          <w:shd w:val="clear" w:color="auto" w:fill="FFFFFF"/>
        </w:rPr>
        <w:t>的评标。</w:t>
      </w:r>
    </w:p>
    <w:p w14:paraId="1CEA1AEE">
      <w:pPr>
        <w:spacing w:line="360" w:lineRule="auto"/>
        <w:ind w:firstLine="413" w:firstLineChars="196"/>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一、总则</w:t>
      </w:r>
    </w:p>
    <w:p w14:paraId="1376DA0E">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r>
        <w:rPr>
          <w:rFonts w:hint="eastAsia" w:ascii="宋体" w:hAnsi="宋体" w:eastAsia="宋体" w:cs="宋体"/>
          <w:b/>
          <w:bCs/>
          <w:color w:val="auto"/>
          <w:szCs w:val="21"/>
          <w:highlight w:val="none"/>
          <w:shd w:val="clear" w:color="auto" w:fill="FFFFFF"/>
        </w:rPr>
        <w:t>排名第一名供应商为成交候选人</w:t>
      </w:r>
      <w:r>
        <w:rPr>
          <w:rFonts w:hint="eastAsia" w:ascii="宋体" w:hAnsi="宋体" w:eastAsia="宋体" w:cs="宋体"/>
          <w:color w:val="auto"/>
          <w:szCs w:val="21"/>
          <w:highlight w:val="none"/>
          <w:shd w:val="clear" w:color="auto" w:fill="FFFFFF"/>
        </w:rPr>
        <w:t>。</w:t>
      </w:r>
      <w:r>
        <w:rPr>
          <w:rFonts w:hint="eastAsia" w:ascii="宋体" w:hAnsi="宋体" w:eastAsia="宋体" w:cs="宋体"/>
          <w:b/>
          <w:bCs/>
          <w:color w:val="auto"/>
          <w:szCs w:val="21"/>
          <w:highlight w:val="none"/>
          <w:shd w:val="clear" w:color="auto" w:fill="FFFFFF"/>
        </w:rPr>
        <w:t>中标人拒绝与采购人签订合同的，采购人可以按照评审报告推荐的中标候选人名单顺序，确定下一候选人为中标人，也可以重新开展政府采购活动。</w:t>
      </w:r>
      <w:r>
        <w:rPr>
          <w:rFonts w:hint="eastAsia" w:ascii="宋体" w:hAnsi="宋体" w:eastAsia="宋体" w:cs="宋体"/>
          <w:color w:val="auto"/>
          <w:szCs w:val="21"/>
          <w:highlight w:val="none"/>
          <w:shd w:val="clear" w:color="auto" w:fill="FFFFFF"/>
        </w:rPr>
        <w:t>评分过程中采用四舍五入法，并保留小数2位。</w:t>
      </w:r>
    </w:p>
    <w:p w14:paraId="390159A8">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投标人评标综合得分=价格分+技术、商务、资信及其他分</w:t>
      </w:r>
    </w:p>
    <w:p w14:paraId="706C01A9">
      <w:pPr>
        <w:spacing w:line="360" w:lineRule="auto"/>
        <w:ind w:firstLine="413" w:firstLineChars="196"/>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二 、评标内容及标准</w:t>
      </w:r>
    </w:p>
    <w:p w14:paraId="3C79BAAE">
      <w:pPr>
        <w:spacing w:line="360" w:lineRule="auto"/>
        <w:ind w:firstLine="310" w:firstLineChars="147"/>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（一）价格分（30分）</w:t>
      </w:r>
    </w:p>
    <w:p w14:paraId="6DA0EE98">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1.价格分采用低价优先法计算，即满足招标文件要求且投标价格最低的投标报价为评标基准价，其他投标人的价格分按照下列公式计算：</w:t>
      </w:r>
    </w:p>
    <w:p w14:paraId="03EACE04">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价格分=（评标基准价/投标报价）×30%×100</w:t>
      </w:r>
    </w:p>
    <w:p w14:paraId="6CA682D7">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C78CDC">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3、促进中小企业发展</w:t>
      </w:r>
    </w:p>
    <w:p w14:paraId="61DA979B">
      <w:pPr>
        <w:spacing w:line="360" w:lineRule="auto"/>
        <w:ind w:firstLine="420" w:firstLineChars="200"/>
        <w:rPr>
          <w:rFonts w:hint="eastAsia" w:ascii="宋体" w:hAnsi="宋体"/>
          <w:bCs/>
          <w:color w:val="auto"/>
          <w:szCs w:val="21"/>
          <w:highlight w:val="none"/>
          <w:shd w:val="clear" w:color="auto" w:fill="FFFFFF"/>
        </w:rPr>
      </w:pPr>
      <w:r>
        <w:rPr>
          <w:rFonts w:hint="eastAsia" w:ascii="宋体" w:hAnsi="宋体"/>
          <w:bCs/>
          <w:color w:val="auto"/>
          <w:szCs w:val="21"/>
          <w:highlight w:val="none"/>
          <w:shd w:val="clear" w:color="auto" w:fill="FFFFFF"/>
        </w:rPr>
        <w:t>(1)本次采购为</w:t>
      </w:r>
      <w:r>
        <w:rPr>
          <w:rFonts w:hint="eastAsia" w:ascii="宋体" w:hAnsi="宋体"/>
          <w:b/>
          <w:bCs/>
          <w:color w:val="auto"/>
          <w:szCs w:val="21"/>
          <w:highlight w:val="none"/>
          <w:u w:val="double"/>
          <w:shd w:val="clear" w:color="auto" w:fill="FFFFFF"/>
        </w:rPr>
        <w:t>专门面向中小企业</w:t>
      </w:r>
      <w:r>
        <w:rPr>
          <w:rFonts w:hint="eastAsia" w:ascii="宋体" w:hAnsi="宋体"/>
          <w:bCs/>
          <w:color w:val="auto"/>
          <w:szCs w:val="21"/>
          <w:highlight w:val="none"/>
          <w:shd w:val="clear" w:color="auto" w:fill="FFFFFF"/>
        </w:rPr>
        <w:t>预留采购份额的采购项目。</w:t>
      </w:r>
    </w:p>
    <w:p w14:paraId="7F84653F">
      <w:pPr>
        <w:spacing w:line="360" w:lineRule="auto"/>
        <w:ind w:firstLine="315" w:firstLineChars="150"/>
        <w:rPr>
          <w:rFonts w:hint="eastAsia" w:ascii="宋体" w:hAnsi="宋体"/>
          <w:bCs/>
          <w:color w:val="auto"/>
          <w:szCs w:val="21"/>
          <w:highlight w:val="none"/>
          <w:shd w:val="clear" w:color="auto" w:fill="FFFFFF"/>
        </w:rPr>
      </w:pPr>
      <w:r>
        <w:rPr>
          <w:rFonts w:hint="eastAsia" w:ascii="宋体" w:hAnsi="宋体"/>
          <w:bCs/>
          <w:color w:val="auto"/>
          <w:szCs w:val="21"/>
          <w:highlight w:val="none"/>
          <w:shd w:val="clear" w:color="auto" w:fill="FFFFFF"/>
        </w:rPr>
        <w:t>(2)本项目对应的中小企业划分标准所属行业：</w:t>
      </w:r>
      <w:r>
        <w:rPr>
          <w:rFonts w:hint="eastAsia" w:ascii="宋体" w:hAnsi="宋体"/>
          <w:bCs/>
          <w:color w:val="auto"/>
          <w:szCs w:val="21"/>
          <w:highlight w:val="none"/>
          <w:u w:val="single"/>
          <w:shd w:val="clear" w:color="auto" w:fill="FFFFFF"/>
        </w:rPr>
        <w:t>制造业</w:t>
      </w:r>
      <w:r>
        <w:rPr>
          <w:rFonts w:hint="eastAsia" w:ascii="宋体" w:hAnsi="宋体"/>
          <w:bCs/>
          <w:color w:val="auto"/>
          <w:szCs w:val="21"/>
          <w:highlight w:val="none"/>
          <w:shd w:val="clear" w:color="auto" w:fill="FFFFFF"/>
        </w:rPr>
        <w:t>。</w:t>
      </w:r>
    </w:p>
    <w:p w14:paraId="389718A5">
      <w:pPr>
        <w:spacing w:line="360" w:lineRule="auto"/>
        <w:ind w:firstLine="315" w:firstLineChars="150"/>
        <w:rPr>
          <w:rFonts w:hint="eastAsia" w:ascii="宋体" w:hAnsi="宋体"/>
          <w:bCs/>
          <w:color w:val="auto"/>
          <w:szCs w:val="21"/>
          <w:highlight w:val="none"/>
          <w:shd w:val="clear" w:color="auto" w:fill="FFFFFF"/>
        </w:rPr>
      </w:pPr>
      <w:r>
        <w:rPr>
          <w:rFonts w:hint="eastAsia" w:ascii="宋体" w:hAnsi="宋体"/>
          <w:bCs/>
          <w:color w:val="auto"/>
          <w:szCs w:val="21"/>
          <w:highlight w:val="none"/>
          <w:shd w:val="clear" w:color="auto" w:fill="FFFFFF"/>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F7DE965">
      <w:pPr>
        <w:spacing w:line="360" w:lineRule="auto"/>
        <w:ind w:firstLine="420" w:firstLineChars="200"/>
        <w:rPr>
          <w:rFonts w:hint="eastAsia" w:ascii="宋体" w:hAnsi="宋体"/>
          <w:bCs/>
          <w:color w:val="auto"/>
          <w:szCs w:val="21"/>
          <w:highlight w:val="none"/>
          <w:shd w:val="clear" w:color="auto" w:fill="FFFFFF"/>
        </w:rPr>
      </w:pPr>
      <w:r>
        <w:rPr>
          <w:rFonts w:hint="eastAsia" w:ascii="宋体" w:hAnsi="宋体"/>
          <w:bCs/>
          <w:color w:val="auto"/>
          <w:szCs w:val="21"/>
          <w:highlight w:val="none"/>
          <w:shd w:val="clear" w:color="auto" w:fill="FFFFFF"/>
        </w:rPr>
        <w:t xml:space="preserve">(4) </w:t>
      </w:r>
      <w:r>
        <w:rPr>
          <w:rFonts w:hint="eastAsia" w:ascii="宋体" w:hAnsi="宋体" w:cs="宋体"/>
          <w:bCs/>
          <w:color w:val="auto"/>
          <w:szCs w:val="21"/>
          <w:highlight w:val="none"/>
          <w:shd w:val="clear" w:color="auto" w:fill="FFFFFF"/>
        </w:rPr>
        <w:t>本项目按《浙江省财政厅关于进一步加大政府采购支持中小企业力度助力扎实稳住经济的通知》浙财采监〔2022〕8号、《关于进一步加大政府采购支持中小企业力度的通知》（财库〔2022〕19号）的相关规定</w:t>
      </w:r>
      <w:r>
        <w:rPr>
          <w:rFonts w:hint="eastAsia" w:ascii="宋体" w:hAnsi="宋体" w:cs="宋体"/>
          <w:color w:val="auto"/>
          <w:szCs w:val="21"/>
          <w:highlight w:val="none"/>
        </w:rPr>
        <w:t>，货物和服务项目中未预留份额专门面向中小企业采购的，以及预留份额项目中的非预留部分采购包，采购单位、采购代理机构应结合项目实际</w:t>
      </w:r>
      <w:r>
        <w:rPr>
          <w:rFonts w:hint="eastAsia" w:ascii="宋体" w:hAnsi="宋体" w:cs="宋体"/>
          <w:bCs/>
          <w:color w:val="auto"/>
          <w:szCs w:val="21"/>
          <w:highlight w:val="none"/>
          <w:shd w:val="clear" w:color="auto" w:fill="FFFFFF"/>
        </w:rPr>
        <w:t>，在评审时对小型和微型企业的投标报价给予10%的扣除，用扣除后的价格参与评审，对于联合协议或者分包意向协议约定小微企业的合同份额占到合同总金额 30%以上的，采购单位、采购代理机构应结合项目实际，对联合体或者大中型企业的报价原则上按4%给予扣除，用扣除后的价格参加评审。组成联合体或者接受分包的小微企业与联合体内其他企业、分包企业之间存在直接控股、管理关系的，不享受价格扣除优惠政策</w:t>
      </w:r>
      <w:r>
        <w:rPr>
          <w:rFonts w:hint="eastAsia" w:ascii="宋体" w:hAnsi="宋体"/>
          <w:bCs/>
          <w:color w:val="auto"/>
          <w:szCs w:val="21"/>
          <w:highlight w:val="none"/>
          <w:shd w:val="clear" w:color="auto" w:fill="FFFFFF"/>
        </w:rPr>
        <w:t>。</w:t>
      </w:r>
    </w:p>
    <w:p w14:paraId="563142CA">
      <w:pPr>
        <w:spacing w:line="360" w:lineRule="auto"/>
        <w:ind w:firstLine="420" w:firstLineChars="200"/>
        <w:rPr>
          <w:rFonts w:hint="eastAsia" w:ascii="宋体" w:hAnsi="宋体"/>
          <w:bCs/>
          <w:color w:val="auto"/>
          <w:szCs w:val="21"/>
          <w:highlight w:val="none"/>
          <w:shd w:val="clear" w:color="auto" w:fill="FFFFFF"/>
        </w:rPr>
      </w:pPr>
      <w:r>
        <w:rPr>
          <w:rFonts w:hint="eastAsia" w:ascii="宋体" w:hAnsi="宋体"/>
          <w:bCs/>
          <w:color w:val="auto"/>
          <w:szCs w:val="21"/>
          <w:highlight w:val="none"/>
          <w:shd w:val="clear" w:color="auto" w:fill="FFFFFF"/>
        </w:rPr>
        <w:t>(5)根据《政府采购促进中小企业发展管理办法》（财库 【2020】46号）的规定，小微企业（包括联合体内的小微企业和接受分包的小微企业）参加政府采购活动，应按当出具《中小企业声明函》，否则其报价不予扣除。</w:t>
      </w:r>
    </w:p>
    <w:p w14:paraId="665218F4">
      <w:pPr>
        <w:spacing w:line="360" w:lineRule="auto"/>
        <w:ind w:firstLine="420" w:firstLineChars="200"/>
        <w:rPr>
          <w:rFonts w:hint="eastAsia" w:ascii="宋体" w:hAnsi="宋体"/>
          <w:bCs/>
          <w:color w:val="auto"/>
          <w:szCs w:val="21"/>
          <w:highlight w:val="none"/>
          <w:shd w:val="clear" w:color="auto" w:fill="FFFFFF"/>
        </w:rPr>
      </w:pPr>
      <w:r>
        <w:rPr>
          <w:rFonts w:hint="eastAsia" w:ascii="宋体" w:hAnsi="宋体"/>
          <w:bCs/>
          <w:color w:val="auto"/>
          <w:szCs w:val="21"/>
          <w:highlight w:val="none"/>
          <w:shd w:val="clear" w:color="auto" w:fill="FFFFFF"/>
        </w:rPr>
        <w:t>(6)监狱企业和残疾人福利性单位视同小型、微型企业，按《财政部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5C75FA9D">
      <w:pPr>
        <w:spacing w:line="360" w:lineRule="auto"/>
        <w:ind w:firstLine="420" w:firstLineChars="200"/>
        <w:rPr>
          <w:rFonts w:hint="eastAsia" w:ascii="宋体" w:hAnsi="宋体" w:eastAsia="宋体" w:cs="宋体"/>
          <w:bCs/>
          <w:color w:val="auto"/>
          <w:szCs w:val="21"/>
          <w:highlight w:val="none"/>
          <w:shd w:val="clear" w:color="auto" w:fill="FFFFFF"/>
        </w:rPr>
      </w:pPr>
      <w:r>
        <w:rPr>
          <w:rFonts w:hint="eastAsia" w:hAnsi="宋体"/>
          <w:bCs/>
          <w:color w:val="auto"/>
          <w:sz w:val="21"/>
          <w:szCs w:val="21"/>
          <w:highlight w:val="none"/>
          <w:shd w:val="clear" w:color="auto" w:fill="FFFFFF"/>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B9A338A">
      <w:pPr>
        <w:spacing w:line="360" w:lineRule="auto"/>
        <w:ind w:firstLine="422" w:firstLineChars="200"/>
        <w:rPr>
          <w:rFonts w:hint="eastAsia" w:ascii="宋体" w:hAnsi="宋体" w:eastAsia="宋体" w:cs="宋体"/>
          <w:b/>
          <w:color w:val="auto"/>
          <w:highlight w:val="none"/>
          <w:u w:val="double"/>
        </w:rPr>
      </w:pPr>
      <w:r>
        <w:rPr>
          <w:rFonts w:hint="eastAsia" w:ascii="宋体" w:hAnsi="宋体" w:eastAsia="宋体" w:cs="宋体"/>
          <w:b/>
          <w:color w:val="auto"/>
          <w:szCs w:val="21"/>
          <w:highlight w:val="none"/>
          <w:u w:val="double"/>
          <w:shd w:val="clear" w:color="auto" w:fill="FFFFFF"/>
        </w:rPr>
        <w:t>注：中标、成交供应商为残疾人福利性单位的，采购单位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6D846900">
      <w:pPr>
        <w:pStyle w:val="22"/>
        <w:numPr>
          <w:ilvl w:val="0"/>
          <w:numId w:val="5"/>
        </w:numPr>
        <w:snapToGrid w:val="0"/>
        <w:spacing w:line="240" w:lineRule="exact"/>
        <w:ind w:firstLine="310" w:firstLineChars="147"/>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r>
        <w:rPr>
          <w:rFonts w:hint="eastAsia" w:ascii="宋体" w:hAnsi="宋体" w:eastAsia="宋体" w:cs="宋体"/>
          <w:b/>
          <w:color w:val="auto"/>
          <w:sz w:val="21"/>
          <w:szCs w:val="21"/>
          <w:highlight w:val="none"/>
          <w:lang w:val="en-US" w:eastAsia="zh-CN"/>
        </w:rPr>
        <w:t>67</w:t>
      </w:r>
      <w:r>
        <w:rPr>
          <w:rFonts w:hint="eastAsia" w:ascii="宋体" w:hAnsi="宋体" w:eastAsia="宋体" w:cs="宋体"/>
          <w:b/>
          <w:color w:val="auto"/>
          <w:sz w:val="21"/>
          <w:szCs w:val="21"/>
          <w:highlight w:val="none"/>
        </w:rPr>
        <w:t>分）</w:t>
      </w:r>
    </w:p>
    <w:p w14:paraId="2DA45270">
      <w:pPr>
        <w:pStyle w:val="22"/>
        <w:snapToGrid w:val="0"/>
        <w:spacing w:line="240" w:lineRule="exact"/>
        <w:outlineLvl w:val="0"/>
        <w:rPr>
          <w:rFonts w:hint="eastAsia" w:ascii="宋体" w:hAnsi="宋体" w:eastAsia="宋体" w:cs="宋体"/>
          <w:b/>
          <w:color w:val="auto"/>
          <w:sz w:val="21"/>
          <w:szCs w:val="21"/>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379"/>
        <w:gridCol w:w="5582"/>
        <w:gridCol w:w="1007"/>
      </w:tblGrid>
      <w:tr w14:paraId="3E2F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49" w:type="dxa"/>
            <w:noWrap w:val="0"/>
            <w:vAlign w:val="center"/>
          </w:tcPr>
          <w:p w14:paraId="36C49A23">
            <w:pPr>
              <w:spacing w:line="220" w:lineRule="exact"/>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序号</w:t>
            </w:r>
          </w:p>
        </w:tc>
        <w:tc>
          <w:tcPr>
            <w:tcW w:w="1379" w:type="dxa"/>
            <w:noWrap w:val="0"/>
            <w:vAlign w:val="center"/>
          </w:tcPr>
          <w:p w14:paraId="1CF47361">
            <w:pPr>
              <w:spacing w:line="220" w:lineRule="exact"/>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评分内容</w:t>
            </w:r>
          </w:p>
        </w:tc>
        <w:tc>
          <w:tcPr>
            <w:tcW w:w="5582" w:type="dxa"/>
            <w:noWrap w:val="0"/>
            <w:vAlign w:val="center"/>
          </w:tcPr>
          <w:p w14:paraId="260C5412">
            <w:pPr>
              <w:spacing w:line="240" w:lineRule="auto"/>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细则内容</w:t>
            </w:r>
          </w:p>
        </w:tc>
        <w:tc>
          <w:tcPr>
            <w:tcW w:w="1007" w:type="dxa"/>
            <w:noWrap w:val="0"/>
            <w:vAlign w:val="center"/>
          </w:tcPr>
          <w:p w14:paraId="0511CCA0">
            <w:pPr>
              <w:spacing w:line="220" w:lineRule="exact"/>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分值</w:t>
            </w:r>
          </w:p>
        </w:tc>
      </w:tr>
      <w:tr w14:paraId="6D70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49" w:type="dxa"/>
            <w:noWrap w:val="0"/>
            <w:vAlign w:val="center"/>
          </w:tcPr>
          <w:p w14:paraId="36C36083">
            <w:pPr>
              <w:spacing w:line="220" w:lineRule="exact"/>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val="0"/>
                <w:bCs/>
                <w:color w:val="auto"/>
                <w:sz w:val="21"/>
                <w:szCs w:val="21"/>
                <w:highlight w:val="none"/>
                <w:shd w:val="clear" w:color="auto" w:fill="FFFFFF"/>
              </w:rPr>
              <w:t>1</w:t>
            </w:r>
          </w:p>
        </w:tc>
        <w:tc>
          <w:tcPr>
            <w:tcW w:w="1379" w:type="dxa"/>
            <w:shd w:val="clear" w:color="auto" w:fill="auto"/>
            <w:noWrap w:val="0"/>
            <w:vAlign w:val="center"/>
          </w:tcPr>
          <w:p w14:paraId="49B37ADE">
            <w:pPr>
              <w:spacing w:line="300" w:lineRule="auto"/>
              <w:ind w:firstLine="0" w:firstLineChars="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szCs w:val="24"/>
                <w:highlight w:val="none"/>
              </w:rPr>
              <w:t>产品符合度</w:t>
            </w:r>
          </w:p>
        </w:tc>
        <w:tc>
          <w:tcPr>
            <w:tcW w:w="5582" w:type="dxa"/>
            <w:shd w:val="clear" w:color="auto" w:fill="auto"/>
            <w:noWrap w:val="0"/>
            <w:vAlign w:val="center"/>
          </w:tcPr>
          <w:p w14:paraId="141BA9AB">
            <w:pPr>
              <w:keepNext w:val="0"/>
              <w:keepLines w:val="0"/>
              <w:pageBreakBefore w:val="0"/>
              <w:widowControl w:val="0"/>
              <w:kinsoku/>
              <w:wordWrap/>
              <w:overflowPunct/>
              <w:topLinePunct w:val="0"/>
              <w:autoSpaceDE/>
              <w:autoSpaceDN/>
              <w:bidi w:val="0"/>
              <w:adjustRightInd/>
              <w:spacing w:line="300" w:lineRule="exact"/>
              <w:ind w:firstLine="0" w:firstLineChars="0"/>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rPr>
              <w:t>供应商提供的产品完全符合采购文件技术参数、性能（配置）及其他要求的得</w:t>
            </w:r>
            <w:r>
              <w:rPr>
                <w:rFonts w:hint="eastAsia" w:ascii="宋体" w:hAnsi="宋体" w:cs="宋体"/>
                <w:color w:val="auto"/>
                <w:szCs w:val="24"/>
                <w:highlight w:val="none"/>
                <w:lang w:val="en-US" w:eastAsia="zh-CN"/>
              </w:rPr>
              <w:t>15</w:t>
            </w:r>
            <w:r>
              <w:rPr>
                <w:rFonts w:hint="eastAsia" w:ascii="宋体" w:hAnsi="宋体" w:cs="宋体"/>
                <w:color w:val="auto"/>
                <w:szCs w:val="24"/>
                <w:highlight w:val="none"/>
              </w:rPr>
              <w:t>分，带“★”的重要技术要求负偏离或缺漏项的每项扣</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分，其他功能及技术要求负偏离或缺漏项的每项扣0.5分，扣完为止。</w:t>
            </w:r>
          </w:p>
        </w:tc>
        <w:tc>
          <w:tcPr>
            <w:tcW w:w="1007" w:type="dxa"/>
            <w:noWrap w:val="0"/>
            <w:vAlign w:val="center"/>
          </w:tcPr>
          <w:p w14:paraId="08944196">
            <w:pPr>
              <w:spacing w:line="220" w:lineRule="exact"/>
              <w:jc w:val="center"/>
              <w:rPr>
                <w:rFonts w:hint="default" w:ascii="宋体" w:hAnsi="宋体" w:eastAsia="宋体" w:cs="宋体"/>
                <w:b/>
                <w:color w:val="auto"/>
                <w:sz w:val="21"/>
                <w:szCs w:val="21"/>
                <w:highlight w:val="none"/>
                <w:shd w:val="clear" w:color="auto" w:fill="FFFFFF"/>
                <w:lang w:val="en-US" w:eastAsia="zh-CN"/>
              </w:rPr>
            </w:pPr>
            <w:r>
              <w:rPr>
                <w:rFonts w:hint="eastAsia" w:ascii="宋体" w:hAnsi="宋体" w:cs="宋体"/>
                <w:b w:val="0"/>
                <w:bCs/>
                <w:color w:val="auto"/>
                <w:sz w:val="21"/>
                <w:szCs w:val="21"/>
                <w:highlight w:val="none"/>
                <w:shd w:val="clear" w:color="auto" w:fill="FFFFFF"/>
                <w:lang w:val="en-US" w:eastAsia="zh-CN"/>
              </w:rPr>
              <w:t>0-15分</w:t>
            </w:r>
          </w:p>
        </w:tc>
      </w:tr>
      <w:tr w14:paraId="30EA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49" w:type="dxa"/>
            <w:vMerge w:val="restart"/>
            <w:noWrap w:val="0"/>
            <w:vAlign w:val="center"/>
          </w:tcPr>
          <w:p w14:paraId="74C1CD13">
            <w:pPr>
              <w:spacing w:line="276" w:lineRule="auto"/>
              <w:jc w:val="center"/>
              <w:rPr>
                <w:rFonts w:hint="eastAsia" w:ascii="宋体" w:hAnsi="宋体" w:eastAsia="宋体" w:cs="宋体"/>
                <w:b w:val="0"/>
                <w:bCs/>
                <w:color w:val="auto"/>
                <w:sz w:val="21"/>
                <w:szCs w:val="21"/>
                <w:highlight w:val="none"/>
                <w:shd w:val="clear" w:color="auto" w:fill="FFFFFF"/>
                <w:lang w:eastAsia="zh-CN"/>
              </w:rPr>
            </w:pPr>
            <w:r>
              <w:rPr>
                <w:rFonts w:hint="eastAsia" w:ascii="宋体" w:hAnsi="宋体" w:cs="宋体"/>
                <w:b w:val="0"/>
                <w:bCs/>
                <w:color w:val="auto"/>
                <w:sz w:val="21"/>
                <w:szCs w:val="21"/>
                <w:highlight w:val="none"/>
                <w:shd w:val="clear" w:color="auto" w:fill="FFFFFF"/>
                <w:lang w:val="en-US" w:eastAsia="zh-CN"/>
              </w:rPr>
              <w:t>2</w:t>
            </w:r>
          </w:p>
        </w:tc>
        <w:tc>
          <w:tcPr>
            <w:tcW w:w="1379" w:type="dxa"/>
            <w:vMerge w:val="restart"/>
            <w:noWrap w:val="0"/>
            <w:vAlign w:val="center"/>
          </w:tcPr>
          <w:p w14:paraId="2E929752">
            <w:pPr>
              <w:widowControl/>
              <w:spacing w:line="276"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产品技术符合性</w:t>
            </w:r>
          </w:p>
        </w:tc>
        <w:tc>
          <w:tcPr>
            <w:tcW w:w="5582" w:type="dxa"/>
            <w:noWrap w:val="0"/>
            <w:vAlign w:val="center"/>
          </w:tcPr>
          <w:p w14:paraId="340FB149">
            <w:pPr>
              <w:keepNext w:val="0"/>
              <w:keepLines w:val="0"/>
              <w:pageBreakBefore w:val="0"/>
              <w:widowControl w:val="0"/>
              <w:kinsoku/>
              <w:wordWrap/>
              <w:overflowPunct/>
              <w:topLinePunct w:val="0"/>
              <w:autoSpaceDE/>
              <w:autoSpaceDN/>
              <w:bidi w:val="0"/>
              <w:adjustRightInd/>
              <w:spacing w:line="300" w:lineRule="exact"/>
              <w:ind w:firstLine="0" w:firstLineChars="0"/>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投标产品的功能实现以及方案配置的合理性等方面与项目对应需求的满足程度等情况综合打分，</w:t>
            </w:r>
            <w:r>
              <w:rPr>
                <w:rFonts w:hint="eastAsia" w:ascii="宋体" w:hAnsi="宋体" w:cs="宋体"/>
                <w:color w:val="auto"/>
                <w:szCs w:val="24"/>
                <w:highlight w:val="none"/>
              </w:rPr>
              <w:t>方案切实可行、优于项目需求的，得</w:t>
            </w:r>
            <w:r>
              <w:rPr>
                <w:rFonts w:hint="eastAsia" w:ascii="宋体" w:hAnsi="宋体" w:cs="宋体"/>
                <w:color w:val="auto"/>
                <w:szCs w:val="24"/>
                <w:highlight w:val="none"/>
                <w:lang w:val="en-US" w:eastAsia="zh-CN"/>
              </w:rPr>
              <w:t>5-6分</w:t>
            </w:r>
            <w:r>
              <w:rPr>
                <w:rFonts w:hint="eastAsia" w:ascii="宋体" w:hAnsi="宋体" w:cs="宋体"/>
                <w:color w:val="auto"/>
                <w:szCs w:val="24"/>
                <w:highlight w:val="none"/>
              </w:rPr>
              <w:t>；基本可行，符合项目需求的，得</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分；方案存在不足的，得</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分；方案有重大缺陷的、未提供不得分。</w:t>
            </w:r>
          </w:p>
        </w:tc>
        <w:tc>
          <w:tcPr>
            <w:tcW w:w="1007" w:type="dxa"/>
            <w:noWrap w:val="0"/>
            <w:vAlign w:val="center"/>
          </w:tcPr>
          <w:p w14:paraId="56504277">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r>
      <w:tr w14:paraId="568A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49" w:type="dxa"/>
            <w:vMerge w:val="continue"/>
            <w:noWrap w:val="0"/>
            <w:vAlign w:val="center"/>
          </w:tcPr>
          <w:p w14:paraId="15F366D4">
            <w:pPr>
              <w:spacing w:line="276" w:lineRule="auto"/>
              <w:jc w:val="center"/>
              <w:rPr>
                <w:rFonts w:hint="eastAsia" w:ascii="宋体" w:hAnsi="宋体" w:eastAsia="宋体" w:cs="宋体"/>
                <w:b w:val="0"/>
                <w:bCs/>
                <w:color w:val="auto"/>
                <w:sz w:val="21"/>
                <w:szCs w:val="21"/>
                <w:highlight w:val="none"/>
                <w:shd w:val="clear" w:color="auto" w:fill="FFFFFF"/>
              </w:rPr>
            </w:pPr>
          </w:p>
        </w:tc>
        <w:tc>
          <w:tcPr>
            <w:tcW w:w="1379" w:type="dxa"/>
            <w:vMerge w:val="continue"/>
            <w:noWrap w:val="0"/>
            <w:vAlign w:val="center"/>
          </w:tcPr>
          <w:p w14:paraId="5F544A6E">
            <w:pPr>
              <w:widowControl/>
              <w:spacing w:line="276" w:lineRule="auto"/>
              <w:jc w:val="center"/>
              <w:textAlignment w:val="center"/>
              <w:rPr>
                <w:rFonts w:hint="eastAsia" w:ascii="宋体" w:hAnsi="宋体" w:eastAsia="宋体" w:cs="宋体"/>
                <w:color w:val="auto"/>
                <w:sz w:val="21"/>
                <w:szCs w:val="21"/>
                <w:highlight w:val="none"/>
              </w:rPr>
            </w:pPr>
          </w:p>
        </w:tc>
        <w:tc>
          <w:tcPr>
            <w:tcW w:w="5582" w:type="dxa"/>
            <w:noWrap w:val="0"/>
            <w:vAlign w:val="center"/>
          </w:tcPr>
          <w:p w14:paraId="3A38F743">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shd w:val="clear" w:color="auto" w:fill="FFFFFF"/>
              </w:rPr>
              <w:t>投标人对该项目的理解情况和所采取的措施情况，对重点、难点技术环节是否有先进、合理的建议，解决方案是否完整、经济、安全、切实可行</w:t>
            </w:r>
            <w:r>
              <w:rPr>
                <w:rFonts w:hint="eastAsia" w:ascii="宋体" w:hAnsi="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rPr>
              <w:t>方案切实可行、优于项目需求的，得</w:t>
            </w:r>
            <w:r>
              <w:rPr>
                <w:rFonts w:hint="eastAsia" w:ascii="宋体" w:hAnsi="宋体" w:cs="宋体"/>
                <w:color w:val="auto"/>
                <w:sz w:val="21"/>
                <w:szCs w:val="21"/>
                <w:highlight w:val="none"/>
                <w:lang w:val="en-US" w:eastAsia="zh-CN"/>
              </w:rPr>
              <w:t>5-6分</w:t>
            </w:r>
            <w:r>
              <w:rPr>
                <w:rFonts w:hint="eastAsia" w:ascii="宋体" w:hAnsi="宋体" w:eastAsia="宋体" w:cs="宋体"/>
                <w:color w:val="auto"/>
                <w:sz w:val="21"/>
                <w:szCs w:val="21"/>
                <w:highlight w:val="none"/>
              </w:rPr>
              <w:t>；基本可行，符合项目需求的，得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分；方案存在不足的，得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分；方案有重大缺陷的、未提供不得分。</w:t>
            </w:r>
          </w:p>
        </w:tc>
        <w:tc>
          <w:tcPr>
            <w:tcW w:w="1007" w:type="dxa"/>
            <w:noWrap w:val="0"/>
            <w:vAlign w:val="center"/>
          </w:tcPr>
          <w:p w14:paraId="4139AB89">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r>
      <w:tr w14:paraId="2A63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49" w:type="dxa"/>
            <w:vMerge w:val="continue"/>
            <w:noWrap w:val="0"/>
            <w:vAlign w:val="center"/>
          </w:tcPr>
          <w:p w14:paraId="7D244C3D">
            <w:pPr>
              <w:spacing w:line="276" w:lineRule="auto"/>
              <w:jc w:val="center"/>
              <w:rPr>
                <w:rFonts w:hint="eastAsia" w:ascii="宋体" w:hAnsi="宋体" w:eastAsia="宋体" w:cs="宋体"/>
                <w:b w:val="0"/>
                <w:bCs/>
                <w:color w:val="auto"/>
                <w:sz w:val="21"/>
                <w:szCs w:val="21"/>
                <w:highlight w:val="none"/>
                <w:shd w:val="clear" w:color="auto" w:fill="FFFFFF"/>
              </w:rPr>
            </w:pPr>
          </w:p>
        </w:tc>
        <w:tc>
          <w:tcPr>
            <w:tcW w:w="1379" w:type="dxa"/>
            <w:vMerge w:val="continue"/>
            <w:noWrap w:val="0"/>
            <w:vAlign w:val="center"/>
          </w:tcPr>
          <w:p w14:paraId="1C1C5769">
            <w:pPr>
              <w:widowControl/>
              <w:spacing w:line="276" w:lineRule="auto"/>
              <w:jc w:val="center"/>
              <w:textAlignment w:val="center"/>
              <w:rPr>
                <w:rFonts w:hint="eastAsia" w:ascii="宋体" w:hAnsi="宋体" w:eastAsia="宋体" w:cs="宋体"/>
                <w:color w:val="auto"/>
                <w:sz w:val="21"/>
                <w:szCs w:val="21"/>
                <w:highlight w:val="none"/>
              </w:rPr>
            </w:pPr>
          </w:p>
        </w:tc>
        <w:tc>
          <w:tcPr>
            <w:tcW w:w="5582" w:type="dxa"/>
            <w:noWrap w:val="0"/>
            <w:vAlign w:val="center"/>
          </w:tcPr>
          <w:p w14:paraId="59EDE358">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根据各投标供应商针对本项目的硬件设备配置合理性、符合性</w:t>
            </w:r>
            <w:r>
              <w:rPr>
                <w:rFonts w:hint="eastAsia" w:ascii="宋体" w:hAnsi="宋体"/>
                <w:color w:val="auto"/>
                <w:sz w:val="21"/>
                <w:szCs w:val="21"/>
                <w:highlight w:val="none"/>
                <w:shd w:val="clear" w:color="auto" w:fill="FFFFFF"/>
              </w:rPr>
              <w:t>等情况综合打分</w:t>
            </w:r>
            <w:r>
              <w:rPr>
                <w:rFonts w:hint="eastAsia" w:ascii="宋体" w:hAnsi="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lang w:eastAsia="zh-CN"/>
              </w:rPr>
              <w:t>配置</w:t>
            </w:r>
            <w:r>
              <w:rPr>
                <w:rFonts w:hint="eastAsia" w:ascii="宋体" w:hAnsi="宋体" w:eastAsia="宋体" w:cs="宋体"/>
                <w:color w:val="auto"/>
                <w:sz w:val="21"/>
                <w:szCs w:val="21"/>
                <w:highlight w:val="none"/>
              </w:rPr>
              <w:t>切实可行、优于项目需求的，得</w:t>
            </w:r>
            <w:r>
              <w:rPr>
                <w:rFonts w:hint="eastAsia" w:ascii="宋体" w:hAnsi="宋体" w:cs="宋体"/>
                <w:color w:val="auto"/>
                <w:sz w:val="21"/>
                <w:szCs w:val="21"/>
                <w:highlight w:val="none"/>
                <w:lang w:val="en-US" w:eastAsia="zh-CN"/>
              </w:rPr>
              <w:t>5-6分</w:t>
            </w:r>
            <w:r>
              <w:rPr>
                <w:rFonts w:hint="eastAsia" w:ascii="宋体" w:hAnsi="宋体" w:eastAsia="宋体" w:cs="宋体"/>
                <w:color w:val="auto"/>
                <w:sz w:val="21"/>
                <w:szCs w:val="21"/>
                <w:highlight w:val="none"/>
              </w:rPr>
              <w:t>；基本可行，符合项目需求的，得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配置</w:t>
            </w:r>
            <w:r>
              <w:rPr>
                <w:rFonts w:hint="eastAsia" w:ascii="宋体" w:hAnsi="宋体" w:eastAsia="宋体" w:cs="宋体"/>
                <w:color w:val="auto"/>
                <w:sz w:val="21"/>
                <w:szCs w:val="21"/>
                <w:highlight w:val="none"/>
              </w:rPr>
              <w:t>存在不足的，得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配置</w:t>
            </w:r>
            <w:r>
              <w:rPr>
                <w:rFonts w:hint="eastAsia" w:ascii="宋体" w:hAnsi="宋体" w:eastAsia="宋体" w:cs="宋体"/>
                <w:color w:val="auto"/>
                <w:sz w:val="21"/>
                <w:szCs w:val="21"/>
                <w:highlight w:val="none"/>
              </w:rPr>
              <w:t>有重大缺陷的、未提供不得分。</w:t>
            </w:r>
          </w:p>
        </w:tc>
        <w:tc>
          <w:tcPr>
            <w:tcW w:w="1007" w:type="dxa"/>
            <w:noWrap w:val="0"/>
            <w:vAlign w:val="center"/>
          </w:tcPr>
          <w:p w14:paraId="1DF6CF9A">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r>
      <w:tr w14:paraId="2C31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49" w:type="dxa"/>
            <w:vMerge w:val="restart"/>
            <w:noWrap w:val="0"/>
            <w:vAlign w:val="center"/>
          </w:tcPr>
          <w:p w14:paraId="4E33E4DF">
            <w:pPr>
              <w:spacing w:line="276" w:lineRule="auto"/>
              <w:jc w:val="center"/>
              <w:rPr>
                <w:rFonts w:hint="eastAsia" w:ascii="宋体" w:hAnsi="宋体" w:eastAsia="宋体" w:cs="宋体"/>
                <w:b w:val="0"/>
                <w:bCs/>
                <w:color w:val="auto"/>
                <w:sz w:val="21"/>
                <w:szCs w:val="21"/>
                <w:highlight w:val="none"/>
                <w:shd w:val="clear" w:color="auto" w:fill="FFFFFF"/>
                <w:lang w:val="en-US" w:eastAsia="zh-CN"/>
              </w:rPr>
            </w:pPr>
            <w:r>
              <w:rPr>
                <w:rFonts w:hint="eastAsia" w:ascii="宋体" w:hAnsi="宋体" w:cs="宋体"/>
                <w:b w:val="0"/>
                <w:bCs/>
                <w:color w:val="auto"/>
                <w:sz w:val="21"/>
                <w:szCs w:val="21"/>
                <w:highlight w:val="none"/>
                <w:shd w:val="clear" w:color="auto" w:fill="FFFFFF"/>
                <w:lang w:val="en-US" w:eastAsia="zh-CN"/>
              </w:rPr>
              <w:t>3</w:t>
            </w:r>
          </w:p>
        </w:tc>
        <w:tc>
          <w:tcPr>
            <w:tcW w:w="1379" w:type="dxa"/>
            <w:vMerge w:val="restart"/>
            <w:noWrap w:val="0"/>
            <w:vAlign w:val="center"/>
          </w:tcPr>
          <w:p w14:paraId="4CDBD654">
            <w:pPr>
              <w:widowControl/>
              <w:spacing w:line="276"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项目组织</w:t>
            </w:r>
          </w:p>
          <w:p w14:paraId="78468666">
            <w:pPr>
              <w:widowControl/>
              <w:spacing w:line="276"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方案</w:t>
            </w:r>
          </w:p>
        </w:tc>
        <w:tc>
          <w:tcPr>
            <w:tcW w:w="5582" w:type="dxa"/>
            <w:noWrap w:val="0"/>
            <w:vAlign w:val="center"/>
          </w:tcPr>
          <w:p w14:paraId="7E4E36CB">
            <w:pPr>
              <w:keepNext w:val="0"/>
              <w:keepLines w:val="0"/>
              <w:pageBreakBefore w:val="0"/>
              <w:widowControl w:val="0"/>
              <w:kinsoku/>
              <w:wordWrap/>
              <w:overflowPunct/>
              <w:topLinePunct w:val="0"/>
              <w:autoSpaceDE/>
              <w:autoSpaceDN/>
              <w:bidi w:val="0"/>
              <w:adjustRightInd/>
              <w:snapToGrid/>
              <w:spacing w:line="300" w:lineRule="exac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投标方案合理性：投标方案的合理性、科学性、全面性（根据对投标项目的理解程度、组织实施、突发事件处理、独到优势等情况综合评定）方案切实可行、优于项目需求的，得</w:t>
            </w:r>
            <w:r>
              <w:rPr>
                <w:rFonts w:hint="eastAsia" w:ascii="宋体" w:hAnsi="宋体" w:cs="宋体"/>
                <w:color w:val="auto"/>
                <w:sz w:val="21"/>
                <w:szCs w:val="21"/>
                <w:highlight w:val="none"/>
                <w:lang w:val="en-US" w:eastAsia="zh-CN"/>
              </w:rPr>
              <w:t>5-6分</w:t>
            </w:r>
            <w:r>
              <w:rPr>
                <w:rFonts w:hint="eastAsia" w:ascii="宋体" w:hAnsi="宋体" w:eastAsia="宋体" w:cs="宋体"/>
                <w:color w:val="auto"/>
                <w:sz w:val="21"/>
                <w:szCs w:val="21"/>
                <w:highlight w:val="none"/>
              </w:rPr>
              <w:t>；基本可行，符合项目需求的，得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分；方案存在不足的，得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分；方案有重大缺陷的、未提供不得分。</w:t>
            </w:r>
          </w:p>
        </w:tc>
        <w:tc>
          <w:tcPr>
            <w:tcW w:w="1007" w:type="dxa"/>
            <w:noWrap w:val="0"/>
            <w:vAlign w:val="center"/>
          </w:tcPr>
          <w:p w14:paraId="759C56DE">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r>
      <w:tr w14:paraId="23DC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49" w:type="dxa"/>
            <w:vMerge w:val="continue"/>
            <w:noWrap w:val="0"/>
            <w:vAlign w:val="center"/>
          </w:tcPr>
          <w:p w14:paraId="520821F1">
            <w:pPr>
              <w:spacing w:line="276" w:lineRule="auto"/>
              <w:jc w:val="center"/>
              <w:rPr>
                <w:rFonts w:hint="eastAsia" w:ascii="宋体" w:hAnsi="宋体" w:eastAsia="宋体" w:cs="宋体"/>
                <w:b w:val="0"/>
                <w:bCs/>
                <w:color w:val="auto"/>
                <w:sz w:val="21"/>
                <w:szCs w:val="21"/>
                <w:highlight w:val="none"/>
                <w:shd w:val="clear" w:color="auto" w:fill="FFFFFF"/>
              </w:rPr>
            </w:pPr>
          </w:p>
        </w:tc>
        <w:tc>
          <w:tcPr>
            <w:tcW w:w="1379" w:type="dxa"/>
            <w:vMerge w:val="continue"/>
            <w:noWrap w:val="0"/>
            <w:vAlign w:val="center"/>
          </w:tcPr>
          <w:p w14:paraId="4EC94DEE">
            <w:pPr>
              <w:widowControl/>
              <w:spacing w:line="276" w:lineRule="auto"/>
              <w:jc w:val="center"/>
              <w:textAlignment w:val="center"/>
              <w:rPr>
                <w:rFonts w:hint="eastAsia" w:ascii="宋体" w:hAnsi="宋体" w:eastAsia="宋体" w:cs="宋体"/>
                <w:color w:val="auto"/>
                <w:kern w:val="0"/>
                <w:sz w:val="21"/>
                <w:szCs w:val="21"/>
                <w:highlight w:val="none"/>
                <w:lang w:bidi="ar"/>
              </w:rPr>
            </w:pPr>
          </w:p>
        </w:tc>
        <w:tc>
          <w:tcPr>
            <w:tcW w:w="5582" w:type="dxa"/>
            <w:noWrap w:val="0"/>
            <w:vAlign w:val="center"/>
          </w:tcPr>
          <w:p w14:paraId="3EC20EDD">
            <w:pPr>
              <w:keepNext w:val="0"/>
              <w:keepLines w:val="0"/>
              <w:pageBreakBefore w:val="0"/>
              <w:widowControl w:val="0"/>
              <w:kinsoku/>
              <w:wordWrap/>
              <w:overflowPunct/>
              <w:topLinePunct w:val="0"/>
              <w:autoSpaceDE/>
              <w:autoSpaceDN/>
              <w:bidi w:val="0"/>
              <w:adjustRightInd/>
              <w:snapToGrid/>
              <w:spacing w:line="300" w:lineRule="exac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交货保证措施：交货保证措施完成到位、有效进行打分。方案切实可行、优于项目需求的，得</w:t>
            </w:r>
            <w:r>
              <w:rPr>
                <w:rFonts w:hint="eastAsia" w:ascii="宋体" w:hAnsi="宋体" w:cs="宋体"/>
                <w:color w:val="auto"/>
                <w:sz w:val="21"/>
                <w:szCs w:val="21"/>
                <w:highlight w:val="none"/>
                <w:lang w:val="en-US" w:eastAsia="zh-CN"/>
              </w:rPr>
              <w:t>5-6分</w:t>
            </w:r>
            <w:r>
              <w:rPr>
                <w:rFonts w:hint="eastAsia" w:ascii="宋体" w:hAnsi="宋体" w:eastAsia="宋体" w:cs="宋体"/>
                <w:color w:val="auto"/>
                <w:sz w:val="21"/>
                <w:szCs w:val="21"/>
                <w:highlight w:val="none"/>
              </w:rPr>
              <w:t>；基本可行，符合项目需求的，得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分；方案存在不足的，得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分；方案有重大缺陷的、未提供不得分。</w:t>
            </w:r>
          </w:p>
        </w:tc>
        <w:tc>
          <w:tcPr>
            <w:tcW w:w="1007" w:type="dxa"/>
            <w:noWrap w:val="0"/>
            <w:vAlign w:val="center"/>
          </w:tcPr>
          <w:p w14:paraId="6D86E796">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r>
      <w:tr w14:paraId="6594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49" w:type="dxa"/>
            <w:vMerge w:val="continue"/>
            <w:noWrap w:val="0"/>
            <w:vAlign w:val="center"/>
          </w:tcPr>
          <w:p w14:paraId="1823EA30">
            <w:pPr>
              <w:spacing w:line="276" w:lineRule="auto"/>
              <w:jc w:val="center"/>
              <w:rPr>
                <w:rFonts w:hint="eastAsia" w:ascii="宋体" w:hAnsi="宋体" w:eastAsia="宋体" w:cs="宋体"/>
                <w:b w:val="0"/>
                <w:bCs/>
                <w:color w:val="auto"/>
                <w:sz w:val="21"/>
                <w:szCs w:val="21"/>
                <w:highlight w:val="none"/>
                <w:shd w:val="clear" w:color="auto" w:fill="FFFFFF"/>
              </w:rPr>
            </w:pPr>
          </w:p>
        </w:tc>
        <w:tc>
          <w:tcPr>
            <w:tcW w:w="1379" w:type="dxa"/>
            <w:vMerge w:val="continue"/>
            <w:noWrap w:val="0"/>
            <w:vAlign w:val="center"/>
          </w:tcPr>
          <w:p w14:paraId="7DE322C5">
            <w:pPr>
              <w:widowControl/>
              <w:spacing w:line="276" w:lineRule="auto"/>
              <w:jc w:val="center"/>
              <w:textAlignment w:val="center"/>
              <w:rPr>
                <w:rFonts w:hint="eastAsia" w:ascii="宋体" w:hAnsi="宋体" w:eastAsia="宋体" w:cs="宋体"/>
                <w:color w:val="auto"/>
                <w:kern w:val="0"/>
                <w:sz w:val="21"/>
                <w:szCs w:val="21"/>
                <w:highlight w:val="none"/>
                <w:lang w:bidi="ar"/>
              </w:rPr>
            </w:pPr>
          </w:p>
        </w:tc>
        <w:tc>
          <w:tcPr>
            <w:tcW w:w="5582" w:type="dxa"/>
            <w:noWrap w:val="0"/>
            <w:vAlign w:val="center"/>
          </w:tcPr>
          <w:p w14:paraId="0102F8D5">
            <w:pPr>
              <w:keepNext w:val="0"/>
              <w:keepLines w:val="0"/>
              <w:pageBreakBefore w:val="0"/>
              <w:widowControl w:val="0"/>
              <w:kinsoku/>
              <w:wordWrap/>
              <w:overflowPunct/>
              <w:topLinePunct w:val="0"/>
              <w:autoSpaceDE/>
              <w:autoSpaceDN/>
              <w:bidi w:val="0"/>
              <w:adjustRightInd/>
              <w:snapToGrid/>
              <w:spacing w:line="300" w:lineRule="exac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管理措施及计划：对投标人提供的质量管理措施、设备、材料组织供应计划等方面进行打分。</w:t>
            </w:r>
            <w:r>
              <w:rPr>
                <w:rFonts w:hint="eastAsia" w:ascii="宋体" w:hAnsi="宋体" w:eastAsia="宋体" w:cs="宋体"/>
                <w:color w:val="auto"/>
                <w:sz w:val="21"/>
                <w:szCs w:val="21"/>
                <w:highlight w:val="none"/>
              </w:rPr>
              <w:t>方案切实可行、优于项目需求的，得</w:t>
            </w:r>
            <w:r>
              <w:rPr>
                <w:rFonts w:hint="eastAsia" w:ascii="宋体" w:hAnsi="宋体" w:cs="宋体"/>
                <w:color w:val="auto"/>
                <w:sz w:val="21"/>
                <w:szCs w:val="21"/>
                <w:highlight w:val="none"/>
                <w:lang w:val="en-US" w:eastAsia="zh-CN"/>
              </w:rPr>
              <w:t>5-6分</w:t>
            </w:r>
            <w:r>
              <w:rPr>
                <w:rFonts w:hint="eastAsia" w:ascii="宋体" w:hAnsi="宋体" w:eastAsia="宋体" w:cs="宋体"/>
                <w:color w:val="auto"/>
                <w:sz w:val="21"/>
                <w:szCs w:val="21"/>
                <w:highlight w:val="none"/>
              </w:rPr>
              <w:t>；基本可行，符合项目需求的，得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分；方案存在不足的，得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分；方案有重大缺陷的、未提供不得分。</w:t>
            </w:r>
          </w:p>
        </w:tc>
        <w:tc>
          <w:tcPr>
            <w:tcW w:w="1007" w:type="dxa"/>
            <w:noWrap w:val="0"/>
            <w:vAlign w:val="center"/>
          </w:tcPr>
          <w:p w14:paraId="6AB4B4C6">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r>
      <w:tr w14:paraId="7CE0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49" w:type="dxa"/>
            <w:vMerge w:val="restart"/>
            <w:noWrap w:val="0"/>
            <w:vAlign w:val="center"/>
          </w:tcPr>
          <w:p w14:paraId="429C20A6">
            <w:pPr>
              <w:spacing w:line="276" w:lineRule="auto"/>
              <w:jc w:val="center"/>
              <w:rPr>
                <w:rFonts w:hint="eastAsia" w:ascii="宋体" w:hAnsi="宋体" w:eastAsia="宋体" w:cs="宋体"/>
                <w:b w:val="0"/>
                <w:bCs/>
                <w:color w:val="auto"/>
                <w:sz w:val="21"/>
                <w:szCs w:val="21"/>
                <w:highlight w:val="none"/>
                <w:shd w:val="clear" w:color="auto" w:fill="FFFFFF"/>
              </w:rPr>
            </w:pPr>
            <w:r>
              <w:rPr>
                <w:rFonts w:hint="eastAsia" w:ascii="宋体" w:hAnsi="宋体" w:cs="宋体"/>
                <w:b w:val="0"/>
                <w:bCs/>
                <w:color w:val="auto"/>
                <w:sz w:val="21"/>
                <w:szCs w:val="21"/>
                <w:highlight w:val="none"/>
                <w:shd w:val="clear" w:color="auto" w:fill="FFFFFF"/>
                <w:lang w:val="en-US" w:eastAsia="zh-CN"/>
              </w:rPr>
              <w:t>4</w:t>
            </w:r>
          </w:p>
        </w:tc>
        <w:tc>
          <w:tcPr>
            <w:tcW w:w="1379" w:type="dxa"/>
            <w:vMerge w:val="restart"/>
            <w:noWrap w:val="0"/>
            <w:vAlign w:val="center"/>
          </w:tcPr>
          <w:p w14:paraId="31BA4B19">
            <w:pPr>
              <w:widowControl/>
              <w:spacing w:line="276"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售后服务</w:t>
            </w:r>
          </w:p>
        </w:tc>
        <w:tc>
          <w:tcPr>
            <w:tcW w:w="5582" w:type="dxa"/>
            <w:noWrap w:val="0"/>
            <w:vAlign w:val="center"/>
          </w:tcPr>
          <w:p w14:paraId="29A046B4">
            <w:pPr>
              <w:keepNext w:val="0"/>
              <w:keepLines w:val="0"/>
              <w:pageBreakBefore w:val="0"/>
              <w:widowControl w:val="0"/>
              <w:kinsoku/>
              <w:wordWrap/>
              <w:overflowPunct/>
              <w:topLinePunct w:val="0"/>
              <w:autoSpaceDE/>
              <w:autoSpaceDN/>
              <w:bidi w:val="0"/>
              <w:adjustRightInd/>
              <w:snapToGrid/>
              <w:spacing w:line="300" w:lineRule="exac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综合质保期、响应速度、服务内容、技术培训计划等方面；</w:t>
            </w:r>
            <w:r>
              <w:rPr>
                <w:rFonts w:hint="eastAsia" w:ascii="宋体" w:hAnsi="宋体" w:eastAsia="宋体" w:cs="宋体"/>
                <w:color w:val="auto"/>
                <w:sz w:val="21"/>
                <w:szCs w:val="21"/>
                <w:highlight w:val="none"/>
              </w:rPr>
              <w:t>方案切实可行、优于项目需求的，得</w:t>
            </w:r>
            <w:r>
              <w:rPr>
                <w:rFonts w:hint="eastAsia" w:ascii="宋体" w:hAnsi="宋体" w:cs="宋体"/>
                <w:color w:val="auto"/>
                <w:sz w:val="21"/>
                <w:szCs w:val="21"/>
                <w:highlight w:val="none"/>
                <w:lang w:val="en-US" w:eastAsia="zh-CN"/>
              </w:rPr>
              <w:t>5-6分</w:t>
            </w:r>
            <w:r>
              <w:rPr>
                <w:rFonts w:hint="eastAsia" w:ascii="宋体" w:hAnsi="宋体" w:eastAsia="宋体" w:cs="宋体"/>
                <w:color w:val="auto"/>
                <w:sz w:val="21"/>
                <w:szCs w:val="21"/>
                <w:highlight w:val="none"/>
              </w:rPr>
              <w:t>；基本可行，符合项目需求的，得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分；方案存在不足的，得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分；方案有重大缺陷的、未提供不得分。</w:t>
            </w:r>
          </w:p>
        </w:tc>
        <w:tc>
          <w:tcPr>
            <w:tcW w:w="1007" w:type="dxa"/>
            <w:noWrap w:val="0"/>
            <w:vAlign w:val="center"/>
          </w:tcPr>
          <w:p w14:paraId="4A08C194">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r>
      <w:tr w14:paraId="630D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849" w:type="dxa"/>
            <w:vMerge w:val="continue"/>
            <w:noWrap w:val="0"/>
            <w:vAlign w:val="center"/>
          </w:tcPr>
          <w:p w14:paraId="51D13762">
            <w:pPr>
              <w:spacing w:line="276" w:lineRule="auto"/>
              <w:jc w:val="center"/>
              <w:rPr>
                <w:rFonts w:hint="eastAsia" w:ascii="宋体" w:hAnsi="宋体" w:eastAsia="宋体" w:cs="宋体"/>
                <w:b w:val="0"/>
                <w:bCs/>
                <w:color w:val="auto"/>
                <w:sz w:val="21"/>
                <w:szCs w:val="21"/>
                <w:highlight w:val="none"/>
                <w:shd w:val="clear" w:color="auto" w:fill="FFFFFF"/>
              </w:rPr>
            </w:pPr>
          </w:p>
        </w:tc>
        <w:tc>
          <w:tcPr>
            <w:tcW w:w="1379" w:type="dxa"/>
            <w:vMerge w:val="continue"/>
            <w:noWrap w:val="0"/>
            <w:vAlign w:val="center"/>
          </w:tcPr>
          <w:p w14:paraId="45D0E1D3">
            <w:pPr>
              <w:widowControl/>
              <w:spacing w:line="276" w:lineRule="auto"/>
              <w:jc w:val="center"/>
              <w:textAlignment w:val="center"/>
              <w:rPr>
                <w:rFonts w:hint="eastAsia" w:ascii="宋体" w:hAnsi="宋体" w:eastAsia="宋体" w:cs="宋体"/>
                <w:color w:val="auto"/>
                <w:kern w:val="0"/>
                <w:sz w:val="21"/>
                <w:szCs w:val="21"/>
                <w:highlight w:val="none"/>
                <w:lang w:bidi="ar"/>
              </w:rPr>
            </w:pPr>
          </w:p>
        </w:tc>
        <w:tc>
          <w:tcPr>
            <w:tcW w:w="5582" w:type="dxa"/>
            <w:noWrap w:val="0"/>
            <w:vAlign w:val="center"/>
          </w:tcPr>
          <w:p w14:paraId="64018813">
            <w:pPr>
              <w:keepNext w:val="0"/>
              <w:keepLines w:val="0"/>
              <w:pageBreakBefore w:val="0"/>
              <w:widowControl w:val="0"/>
              <w:kinsoku/>
              <w:wordWrap/>
              <w:overflowPunct/>
              <w:topLinePunct w:val="0"/>
              <w:autoSpaceDE/>
              <w:autoSpaceDN/>
              <w:bidi w:val="0"/>
              <w:adjustRightInd/>
              <w:snapToGrid/>
              <w:spacing w:line="300" w:lineRule="exac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售后服务方案：投标人提供的售后服务方案、维护人员和机构等情况，服务承诺的可行性、完整性以及服务承诺落实的保障措施，后续技术支持和维护能力情况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方案切实可行、优于项目需求的，得</w:t>
            </w:r>
            <w:r>
              <w:rPr>
                <w:rFonts w:hint="eastAsia" w:ascii="宋体" w:hAnsi="宋体" w:cs="宋体"/>
                <w:color w:val="auto"/>
                <w:sz w:val="21"/>
                <w:szCs w:val="21"/>
                <w:highlight w:val="none"/>
                <w:lang w:val="en-US" w:eastAsia="zh-CN"/>
              </w:rPr>
              <w:t>5-6分</w:t>
            </w:r>
            <w:r>
              <w:rPr>
                <w:rFonts w:hint="eastAsia" w:ascii="宋体" w:hAnsi="宋体" w:eastAsia="宋体" w:cs="宋体"/>
                <w:color w:val="auto"/>
                <w:sz w:val="21"/>
                <w:szCs w:val="21"/>
                <w:highlight w:val="none"/>
              </w:rPr>
              <w:t>；基本可行，符合项目需求的，得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分；方案存在不足的，得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分；方案有重大缺陷的、未提供不得分。</w:t>
            </w:r>
          </w:p>
        </w:tc>
        <w:tc>
          <w:tcPr>
            <w:tcW w:w="1007" w:type="dxa"/>
            <w:noWrap w:val="0"/>
            <w:vAlign w:val="center"/>
          </w:tcPr>
          <w:p w14:paraId="6947E8C7">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r>
      <w:tr w14:paraId="33B4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49" w:type="dxa"/>
            <w:noWrap w:val="0"/>
            <w:vAlign w:val="center"/>
          </w:tcPr>
          <w:p w14:paraId="33186F9C">
            <w:pPr>
              <w:spacing w:line="276" w:lineRule="auto"/>
              <w:jc w:val="center"/>
              <w:rPr>
                <w:rFonts w:hint="eastAsia" w:ascii="宋体" w:hAnsi="宋体" w:eastAsia="宋体" w:cs="宋体"/>
                <w:b w:val="0"/>
                <w:bCs/>
                <w:color w:val="auto"/>
                <w:sz w:val="21"/>
                <w:szCs w:val="21"/>
                <w:highlight w:val="none"/>
                <w:shd w:val="clear" w:color="auto" w:fill="FFFFFF"/>
                <w:lang w:val="en-US" w:eastAsia="zh-CN"/>
              </w:rPr>
            </w:pPr>
            <w:r>
              <w:rPr>
                <w:rFonts w:hint="eastAsia" w:ascii="宋体" w:hAnsi="宋体" w:cs="宋体"/>
                <w:b w:val="0"/>
                <w:bCs/>
                <w:color w:val="auto"/>
                <w:sz w:val="21"/>
                <w:szCs w:val="21"/>
                <w:highlight w:val="none"/>
                <w:shd w:val="clear" w:color="auto" w:fill="FFFFFF"/>
                <w:lang w:val="en-US" w:eastAsia="zh-CN"/>
              </w:rPr>
              <w:t>5</w:t>
            </w:r>
          </w:p>
        </w:tc>
        <w:tc>
          <w:tcPr>
            <w:tcW w:w="1379" w:type="dxa"/>
            <w:shd w:val="clear" w:color="auto" w:fill="auto"/>
            <w:noWrap w:val="0"/>
            <w:vAlign w:val="center"/>
          </w:tcPr>
          <w:p w14:paraId="3F522238">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自检方案</w:t>
            </w:r>
          </w:p>
        </w:tc>
        <w:tc>
          <w:tcPr>
            <w:tcW w:w="5582" w:type="dxa"/>
            <w:shd w:val="clear" w:color="auto" w:fill="auto"/>
            <w:noWrap w:val="0"/>
            <w:vAlign w:val="center"/>
          </w:tcPr>
          <w:p w14:paraId="53BA9D19">
            <w:pPr>
              <w:keepNext w:val="0"/>
              <w:keepLines w:val="0"/>
              <w:pageBreakBefore w:val="0"/>
              <w:widowControl w:val="0"/>
              <w:kinsoku/>
              <w:wordWrap/>
              <w:overflowPunct/>
              <w:topLinePunct w:val="0"/>
              <w:autoSpaceDE/>
              <w:autoSpaceDN/>
              <w:bidi w:val="0"/>
              <w:adjustRightInd/>
              <w:snapToGrid/>
              <w:spacing w:line="300" w:lineRule="exac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供应商针对本项目在产品出厂前的自检方案.</w:t>
            </w:r>
            <w:r>
              <w:rPr>
                <w:rFonts w:hint="eastAsia" w:ascii="宋体" w:hAnsi="宋体" w:eastAsia="宋体" w:cs="宋体"/>
                <w:color w:val="auto"/>
                <w:sz w:val="21"/>
                <w:szCs w:val="21"/>
                <w:highlight w:val="none"/>
              </w:rPr>
              <w:t>方案切实可行、优于项目需求的，得</w:t>
            </w:r>
            <w:r>
              <w:rPr>
                <w:rFonts w:hint="eastAsia" w:ascii="宋体" w:hAnsi="宋体" w:cs="宋体"/>
                <w:color w:val="auto"/>
                <w:sz w:val="21"/>
                <w:szCs w:val="21"/>
                <w:highlight w:val="none"/>
                <w:lang w:val="en-US" w:eastAsia="zh-CN"/>
              </w:rPr>
              <w:t>3-4分</w:t>
            </w:r>
            <w:r>
              <w:rPr>
                <w:rFonts w:hint="eastAsia" w:ascii="宋体" w:hAnsi="宋体" w:eastAsia="宋体" w:cs="宋体"/>
                <w:color w:val="auto"/>
                <w:sz w:val="21"/>
                <w:szCs w:val="21"/>
                <w:highlight w:val="none"/>
              </w:rPr>
              <w:t>；基本可行，符合项目需求的，得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分；方案存在不足的，得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分；方案有重大缺陷的、未提供不得分。</w:t>
            </w:r>
          </w:p>
        </w:tc>
        <w:tc>
          <w:tcPr>
            <w:tcW w:w="1007" w:type="dxa"/>
            <w:shd w:val="clear" w:color="auto" w:fill="auto"/>
            <w:noWrap w:val="0"/>
            <w:vAlign w:val="center"/>
          </w:tcPr>
          <w:p w14:paraId="5D8B3D76">
            <w:pPr>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highlight w:val="none"/>
              </w:rPr>
              <w:t>0-</w:t>
            </w:r>
            <w:r>
              <w:rPr>
                <w:rFonts w:hint="eastAsia" w:ascii="宋体" w:hAnsi="宋体" w:cs="宋体"/>
                <w:color w:val="auto"/>
                <w:kern w:val="0"/>
                <w:highlight w:val="none"/>
                <w:lang w:val="en-US" w:eastAsia="zh-CN"/>
              </w:rPr>
              <w:t>4</w:t>
            </w:r>
            <w:r>
              <w:rPr>
                <w:rFonts w:hint="eastAsia" w:ascii="宋体" w:hAnsi="宋体" w:eastAsia="宋体" w:cs="宋体"/>
                <w:color w:val="auto"/>
                <w:kern w:val="0"/>
                <w:highlight w:val="none"/>
              </w:rPr>
              <w:t>分</w:t>
            </w:r>
          </w:p>
        </w:tc>
      </w:tr>
    </w:tbl>
    <w:p w14:paraId="567722E5">
      <w:pPr>
        <w:pStyle w:val="80"/>
        <w:rPr>
          <w:rFonts w:hint="eastAsia" w:ascii="宋体" w:hAnsi="宋体" w:eastAsia="宋体" w:cs="宋体"/>
          <w:color w:val="auto"/>
          <w:highlight w:val="none"/>
        </w:rPr>
      </w:pPr>
    </w:p>
    <w:p w14:paraId="7D419AD5">
      <w:pPr>
        <w:numPr>
          <w:ilvl w:val="0"/>
          <w:numId w:val="6"/>
        </w:numPr>
        <w:spacing w:before="120" w:beforeLines="50" w:after="120" w:afterLines="50" w:line="360" w:lineRule="auto"/>
        <w:ind w:firstLine="298"/>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商务、</w:t>
      </w:r>
      <w:r>
        <w:rPr>
          <w:rFonts w:hint="eastAsia" w:ascii="宋体" w:hAnsi="宋体" w:eastAsia="宋体" w:cs="宋体"/>
          <w:b/>
          <w:bCs/>
          <w:color w:val="auto"/>
          <w:spacing w:val="-4"/>
          <w:szCs w:val="21"/>
          <w:highlight w:val="none"/>
        </w:rPr>
        <w:t>资信及其他分（</w:t>
      </w:r>
      <w:r>
        <w:rPr>
          <w:rFonts w:hint="eastAsia" w:ascii="宋体" w:hAnsi="宋体" w:eastAsia="宋体" w:cs="宋体"/>
          <w:b/>
          <w:bCs/>
          <w:color w:val="auto"/>
          <w:spacing w:val="-4"/>
          <w:szCs w:val="21"/>
          <w:highlight w:val="none"/>
          <w:lang w:val="en-US" w:eastAsia="zh-CN"/>
        </w:rPr>
        <w:t>3</w:t>
      </w:r>
      <w:r>
        <w:rPr>
          <w:rFonts w:hint="eastAsia" w:ascii="宋体" w:hAnsi="宋体" w:eastAsia="宋体" w:cs="宋体"/>
          <w:b/>
          <w:bCs/>
          <w:color w:val="auto"/>
          <w:spacing w:val="-4"/>
          <w:szCs w:val="21"/>
          <w:highlight w:val="none"/>
        </w:rPr>
        <w:t>分</w:t>
      </w:r>
      <w:r>
        <w:rPr>
          <w:rFonts w:hint="eastAsia" w:ascii="宋体" w:hAnsi="宋体" w:eastAsia="宋体" w:cs="宋体"/>
          <w:b/>
          <w:color w:val="auto"/>
          <w:spacing w:val="-4"/>
          <w:szCs w:val="21"/>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8"/>
        <w:gridCol w:w="5956"/>
        <w:gridCol w:w="910"/>
      </w:tblGrid>
      <w:tr w14:paraId="2A19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5" w:type="dxa"/>
            <w:noWrap w:val="0"/>
            <w:vAlign w:val="center"/>
          </w:tcPr>
          <w:p w14:paraId="0EEAFCBA">
            <w:pPr>
              <w:widowControl/>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418" w:type="dxa"/>
            <w:noWrap w:val="0"/>
            <w:vAlign w:val="center"/>
          </w:tcPr>
          <w:p w14:paraId="7D1333AC">
            <w:pPr>
              <w:widowControl/>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评价要素</w:t>
            </w:r>
          </w:p>
        </w:tc>
        <w:tc>
          <w:tcPr>
            <w:tcW w:w="5956" w:type="dxa"/>
            <w:noWrap w:val="0"/>
            <w:vAlign w:val="center"/>
          </w:tcPr>
          <w:p w14:paraId="75367AC4">
            <w:pPr>
              <w:widowControl/>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评分细则</w:t>
            </w:r>
          </w:p>
        </w:tc>
        <w:tc>
          <w:tcPr>
            <w:tcW w:w="910" w:type="dxa"/>
            <w:noWrap w:val="0"/>
            <w:vAlign w:val="center"/>
          </w:tcPr>
          <w:p w14:paraId="500D6772">
            <w:pPr>
              <w:widowControl/>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得分</w:t>
            </w:r>
          </w:p>
        </w:tc>
      </w:tr>
      <w:tr w14:paraId="6A9D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5" w:type="dxa"/>
            <w:noWrap w:val="0"/>
            <w:vAlign w:val="center"/>
          </w:tcPr>
          <w:p w14:paraId="20D2D53B">
            <w:pPr>
              <w:widowControl/>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18" w:type="dxa"/>
            <w:noWrap w:val="0"/>
            <w:vAlign w:val="center"/>
          </w:tcPr>
          <w:p w14:paraId="48E3CF62">
            <w:pPr>
              <w:widowControl/>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成功案例业绩（3分）</w:t>
            </w:r>
          </w:p>
        </w:tc>
        <w:tc>
          <w:tcPr>
            <w:tcW w:w="5956" w:type="dxa"/>
            <w:noWrap w:val="0"/>
            <w:vAlign w:val="center"/>
          </w:tcPr>
          <w:p w14:paraId="2C5BEF0F">
            <w:pPr>
              <w:widowControl/>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投标人自202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1月1日以来承担过类似项目业绩的每个项目得1分，最高3分（评标时提供的中标通知书（含采用政府采购方式招标的中标（成交）结果通知书）复印件加盖公章或合同复印件加盖公章，时间计算以中标通知书（含采用政府采购方式招标的中标（成交）结果通知书）上标注时间或合同签订时间为准，公证书及证明不予认可。）</w:t>
            </w:r>
          </w:p>
        </w:tc>
        <w:tc>
          <w:tcPr>
            <w:tcW w:w="910" w:type="dxa"/>
            <w:noWrap w:val="0"/>
            <w:vAlign w:val="center"/>
          </w:tcPr>
          <w:p w14:paraId="3E5591C7">
            <w:pPr>
              <w:widowControl/>
              <w:spacing w:line="276" w:lineRule="auto"/>
              <w:jc w:val="center"/>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color w:val="auto"/>
                <w:kern w:val="0"/>
                <w:highlight w:val="none"/>
              </w:rPr>
              <w:t>0-3分</w:t>
            </w:r>
          </w:p>
        </w:tc>
      </w:tr>
    </w:tbl>
    <w:p w14:paraId="51219124">
      <w:pPr>
        <w:spacing w:line="360" w:lineRule="auto"/>
        <w:ind w:right="-225" w:rightChars="-107" w:firstLine="480"/>
        <w:rPr>
          <w:rFonts w:hint="eastAsia" w:ascii="宋体" w:hAnsi="宋体" w:eastAsia="宋体" w:cs="宋体"/>
          <w:b/>
          <w:color w:val="auto"/>
          <w:sz w:val="24"/>
          <w:highlight w:val="none"/>
          <w:shd w:val="clear" w:color="auto" w:fill="FFFFFF"/>
        </w:rPr>
      </w:pPr>
    </w:p>
    <w:p w14:paraId="38167B24">
      <w:pPr>
        <w:spacing w:line="360" w:lineRule="auto"/>
        <w:ind w:right="-225" w:rightChars="-107" w:firstLine="480"/>
        <w:rPr>
          <w:rFonts w:hint="eastAsia" w:ascii="宋体" w:hAnsi="宋体" w:eastAsia="宋体" w:cs="宋体"/>
          <w:b/>
          <w:color w:val="auto"/>
          <w:sz w:val="24"/>
          <w:highlight w:val="none"/>
          <w:u w:val="single"/>
          <w:shd w:val="clear" w:color="auto" w:fill="FFFFFF"/>
        </w:rPr>
      </w:pPr>
      <w:r>
        <w:rPr>
          <w:rFonts w:hint="eastAsia" w:ascii="宋体" w:hAnsi="宋体" w:eastAsia="宋体" w:cs="宋体"/>
          <w:b/>
          <w:color w:val="auto"/>
          <w:sz w:val="24"/>
          <w:highlight w:val="none"/>
          <w:shd w:val="clear" w:color="auto" w:fill="FFFFFF"/>
        </w:rPr>
        <w:t>注：</w:t>
      </w:r>
      <w:r>
        <w:rPr>
          <w:rFonts w:hint="eastAsia" w:ascii="宋体" w:hAnsi="宋体" w:eastAsia="宋体" w:cs="宋体"/>
          <w:b/>
          <w:color w:val="auto"/>
          <w:sz w:val="24"/>
          <w:highlight w:val="none"/>
          <w:u w:val="single"/>
          <w:shd w:val="clear" w:color="auto" w:fill="FFFFFF"/>
        </w:rPr>
        <w:t>1、评审时以提供上述承诺书、证明文件复印件加盖公章后为准（必须齐全），投标时要求提供的复印件必须做在投标文件中，否则评审时不予得分。</w:t>
      </w:r>
    </w:p>
    <w:p w14:paraId="6F88A21C">
      <w:pPr>
        <w:spacing w:line="360" w:lineRule="auto"/>
        <w:ind w:right="-225" w:rightChars="-107" w:firstLine="480"/>
        <w:rPr>
          <w:rFonts w:hint="eastAsia" w:ascii="宋体" w:hAnsi="宋体" w:eastAsia="宋体" w:cs="宋体"/>
          <w:b/>
          <w:color w:val="auto"/>
          <w:sz w:val="24"/>
          <w:highlight w:val="none"/>
          <w:u w:val="single"/>
          <w:shd w:val="clear" w:color="auto" w:fill="FFFFFF"/>
        </w:rPr>
      </w:pPr>
      <w:r>
        <w:rPr>
          <w:rFonts w:hint="eastAsia" w:ascii="宋体" w:hAnsi="宋体" w:eastAsia="宋体" w:cs="宋体"/>
          <w:b/>
          <w:color w:val="auto"/>
          <w:sz w:val="24"/>
          <w:highlight w:val="none"/>
          <w:u w:val="single"/>
          <w:shd w:val="clear" w:color="auto" w:fill="FFFFFF"/>
        </w:rPr>
        <w:t>2、若投标人提供虚假资料，一经查实，如若中标，取消其中标资格。</w:t>
      </w:r>
    </w:p>
    <w:p w14:paraId="72163028">
      <w:pPr>
        <w:spacing w:line="360" w:lineRule="auto"/>
        <w:ind w:right="-225" w:rightChars="-107" w:firstLine="480"/>
        <w:rPr>
          <w:rFonts w:hint="eastAsia" w:ascii="宋体" w:hAnsi="宋体" w:eastAsia="宋体" w:cs="宋体"/>
          <w:b/>
          <w:color w:val="auto"/>
          <w:sz w:val="24"/>
          <w:highlight w:val="none"/>
          <w:u w:val="single"/>
          <w:shd w:val="clear" w:color="auto" w:fill="FFFFFF"/>
        </w:rPr>
      </w:pPr>
      <w:r>
        <w:rPr>
          <w:rFonts w:hint="eastAsia" w:ascii="宋体" w:hAnsi="宋体" w:eastAsia="宋体" w:cs="宋体"/>
          <w:b/>
          <w:color w:val="auto"/>
          <w:sz w:val="24"/>
          <w:highlight w:val="none"/>
          <w:u w:val="single"/>
          <w:shd w:val="clear" w:color="auto" w:fill="FFFFFF"/>
        </w:rPr>
        <w:t>3、以上所有证明材料均需加盖投标单位公章，且所有证书均在有效期内，业绩时间以中标通知书上标注时间或合同签订时间为准，未按要求提供证明材料的不得分。对响应文件中存在含义不清楚的内容，必要时评审小组要求供应商作必要的澄清、说明或补正。询标记录需供应商授权代表签字确认，它将作为响应文件的一部分。</w:t>
      </w:r>
    </w:p>
    <w:p w14:paraId="7D81A431">
      <w:pPr>
        <w:spacing w:line="360" w:lineRule="auto"/>
        <w:ind w:right="-225" w:rightChars="-107" w:firstLine="480"/>
        <w:rPr>
          <w:rFonts w:hint="eastAsia" w:ascii="宋体" w:hAnsi="宋体"/>
          <w:b/>
          <w:color w:val="auto"/>
          <w:szCs w:val="21"/>
          <w:highlight w:val="none"/>
          <w:u w:val="single"/>
        </w:rPr>
      </w:pPr>
      <w:bookmarkStart w:id="110" w:name="_Toc21903_WPSOffice_Level1"/>
      <w:r>
        <w:rPr>
          <w:rFonts w:hint="eastAsia" w:ascii="宋体" w:hAnsi="宋体" w:eastAsia="宋体" w:cs="宋体"/>
          <w:b/>
          <w:color w:val="auto"/>
          <w:sz w:val="24"/>
          <w:highlight w:val="none"/>
          <w:u w:val="single"/>
          <w:shd w:val="clear" w:color="auto" w:fill="FFFFFF"/>
        </w:rPr>
        <w:t>4、评分表中所有涉及区间打分的高值均属于高区间（例如：最优的得</w:t>
      </w:r>
      <w:r>
        <w:rPr>
          <w:rFonts w:hint="eastAsia" w:ascii="宋体" w:hAnsi="宋体" w:cs="宋体"/>
          <w:b/>
          <w:color w:val="auto"/>
          <w:sz w:val="24"/>
          <w:highlight w:val="none"/>
          <w:u w:val="single"/>
          <w:shd w:val="clear" w:color="auto" w:fill="FFFFFF"/>
          <w:lang w:eastAsia="zh-CN"/>
        </w:rPr>
        <w:t>5-6分</w:t>
      </w:r>
      <w:r>
        <w:rPr>
          <w:rFonts w:hint="eastAsia" w:ascii="宋体" w:hAnsi="宋体" w:eastAsia="宋体" w:cs="宋体"/>
          <w:b/>
          <w:color w:val="auto"/>
          <w:sz w:val="24"/>
          <w:highlight w:val="none"/>
          <w:u w:val="single"/>
          <w:shd w:val="clear" w:color="auto" w:fill="FFFFFF"/>
        </w:rPr>
        <w:t>，较优秀的得4-5分，5分属于高区间）。</w:t>
      </w:r>
    </w:p>
    <w:p w14:paraId="64791F77">
      <w:pPr>
        <w:pStyle w:val="2"/>
        <w:spacing w:line="24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br w:type="page"/>
      </w:r>
      <w:r>
        <w:rPr>
          <w:rFonts w:hint="eastAsia" w:ascii="宋体" w:hAnsi="宋体" w:eastAsia="宋体" w:cs="宋体"/>
          <w:color w:val="auto"/>
          <w:sz w:val="32"/>
          <w:szCs w:val="24"/>
          <w:highlight w:val="none"/>
          <w:shd w:val="clear" w:color="auto" w:fill="FFFFFF"/>
        </w:rPr>
        <w:t>第六章  响应相关文件格式</w:t>
      </w:r>
      <w:bookmarkEnd w:id="108"/>
      <w:bookmarkEnd w:id="109"/>
      <w:bookmarkEnd w:id="110"/>
      <w:bookmarkStart w:id="111" w:name="_Toc15813259"/>
      <w:bookmarkStart w:id="112" w:name="_Toc47756041"/>
      <w:bookmarkStart w:id="113" w:name="_Toc45506740"/>
      <w:bookmarkStart w:id="114" w:name="_Toc15805942"/>
    </w:p>
    <w:bookmarkEnd w:id="111"/>
    <w:bookmarkEnd w:id="112"/>
    <w:bookmarkEnd w:id="113"/>
    <w:bookmarkEnd w:id="114"/>
    <w:p w14:paraId="36342C63">
      <w:pPr>
        <w:spacing w:line="360" w:lineRule="auto"/>
        <w:jc w:val="center"/>
        <w:outlineLvl w:val="0"/>
        <w:rPr>
          <w:rFonts w:hint="eastAsia" w:ascii="宋体" w:hAnsi="宋体" w:eastAsia="宋体" w:cs="宋体"/>
          <w:b/>
          <w:color w:val="auto"/>
          <w:kern w:val="0"/>
          <w:sz w:val="36"/>
          <w:szCs w:val="36"/>
          <w:highlight w:val="none"/>
        </w:rPr>
      </w:pPr>
      <w:bookmarkStart w:id="115" w:name="_Toc152528058"/>
      <w:bookmarkStart w:id="116" w:name="_Toc261731202"/>
      <w:bookmarkStart w:id="117" w:name="_Toc375539304"/>
      <w:r>
        <w:rPr>
          <w:rFonts w:hint="eastAsia" w:ascii="宋体" w:hAnsi="宋体" w:eastAsia="宋体" w:cs="宋体"/>
          <w:b/>
          <w:color w:val="auto"/>
          <w:kern w:val="0"/>
          <w:sz w:val="36"/>
          <w:szCs w:val="36"/>
          <w:highlight w:val="none"/>
        </w:rPr>
        <w:t>资格文件部分</w:t>
      </w:r>
      <w:bookmarkEnd w:id="115"/>
      <w:bookmarkEnd w:id="116"/>
      <w:bookmarkEnd w:id="117"/>
    </w:p>
    <w:p w14:paraId="2B69A915">
      <w:pPr>
        <w:spacing w:line="360" w:lineRule="auto"/>
        <w:jc w:val="center"/>
        <w:outlineLvl w:val="0"/>
        <w:rPr>
          <w:rFonts w:hint="eastAsia" w:ascii="宋体" w:hAnsi="宋体" w:eastAsia="宋体" w:cs="宋体"/>
          <w:b/>
          <w:color w:val="auto"/>
          <w:kern w:val="0"/>
          <w:sz w:val="36"/>
          <w:szCs w:val="36"/>
          <w:highlight w:val="none"/>
        </w:rPr>
      </w:pPr>
      <w:bookmarkStart w:id="118" w:name="_Toc815392793"/>
      <w:bookmarkStart w:id="119" w:name="_Toc2084735373"/>
      <w:bookmarkStart w:id="120" w:name="_Toc1836690478"/>
      <w:r>
        <w:rPr>
          <w:rFonts w:hint="eastAsia" w:ascii="宋体" w:hAnsi="宋体" w:eastAsia="宋体" w:cs="宋体"/>
          <w:b/>
          <w:color w:val="auto"/>
          <w:kern w:val="0"/>
          <w:sz w:val="36"/>
          <w:szCs w:val="36"/>
          <w:highlight w:val="none"/>
        </w:rPr>
        <w:t>目录</w:t>
      </w:r>
      <w:bookmarkEnd w:id="118"/>
      <w:bookmarkEnd w:id="119"/>
      <w:bookmarkEnd w:id="120"/>
    </w:p>
    <w:p w14:paraId="51DEA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（1）符合参加政府采购活动应当具备的一般条件的承诺函……………（页码）</w:t>
      </w:r>
    </w:p>
    <w:p w14:paraId="419BB723">
      <w:pPr>
        <w:pStyle w:val="17"/>
        <w:rPr>
          <w:rFonts w:hint="eastAsia" w:ascii="宋体" w:hAnsi="宋体" w:eastAsia="宋体" w:cs="宋体"/>
          <w:strike/>
          <w:color w:val="auto"/>
          <w:sz w:val="24"/>
          <w:highlight w:val="none"/>
        </w:rPr>
      </w:pPr>
    </w:p>
    <w:p w14:paraId="5BB275B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一、 符合参加政府采购活动应当具备的一般条件的承诺函</w:t>
      </w:r>
    </w:p>
    <w:p w14:paraId="321FFF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嘉兴市公安局南湖区分局、嘉兴市中诚建设咨询有限公司：</w:t>
      </w:r>
    </w:p>
    <w:p w14:paraId="17CC10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我方参与（项目名称）【招标编号：（采购编号）】政府采购活动，郑重承诺：</w:t>
      </w:r>
    </w:p>
    <w:p w14:paraId="7C9412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（一）具备《中华人民共和国政府采购法》第二十二条第一款规定的条件：</w:t>
      </w:r>
    </w:p>
    <w:p w14:paraId="5AA6E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1、具有独立承担民事责任的能力；</w:t>
      </w:r>
    </w:p>
    <w:p w14:paraId="2637C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2、具有良好的商业信誉和健全的财务会计制度； </w:t>
      </w:r>
    </w:p>
    <w:p w14:paraId="750DAF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3、具有履行合同所必需的设备和专业技术能力；</w:t>
      </w:r>
    </w:p>
    <w:p w14:paraId="10CECF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4、有依法缴纳税收和社会保障资金的良好记录；</w:t>
      </w:r>
    </w:p>
    <w:p w14:paraId="6DA19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5、参加政府采购活动前三年内，在经营活动中没有重大违法记录；</w:t>
      </w:r>
    </w:p>
    <w:p w14:paraId="0622D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6、具有法律、行政法规规定的其他条件。</w:t>
      </w:r>
    </w:p>
    <w:p w14:paraId="54F9E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（二）未被信用中国（www.creditchina.gov.cn)、中国政府采购网（www.ccgp.gov.cn）列入失信被执行人、重大税收违法案件当事人名单、政府采购严重违法失信行为记录名单。</w:t>
      </w:r>
    </w:p>
    <w:p w14:paraId="3AE99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（三）不存在以下情况：</w:t>
      </w:r>
    </w:p>
    <w:p w14:paraId="70F50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1、单位负责人为同一人或者存在直接控股、管理关系的不同供应商参加同一合同项下的政府采购活动的；</w:t>
      </w:r>
    </w:p>
    <w:p w14:paraId="79A92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2、为采购项目提供整体设计、规范编制或者项目管理、监理、检测等服务后再参加该采购项目的其他采购活动的。</w:t>
      </w:r>
    </w:p>
    <w:p w14:paraId="656C77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lang w:val="zh-CN"/>
        </w:rPr>
      </w:pPr>
    </w:p>
    <w:p w14:paraId="706ED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lang w:val="zh-CN"/>
        </w:rPr>
      </w:pPr>
    </w:p>
    <w:p w14:paraId="060E8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lang w:val="zh-CN"/>
        </w:rPr>
      </w:pPr>
    </w:p>
    <w:p w14:paraId="64DA7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投标供应商名称(电子签名)：</w:t>
      </w:r>
    </w:p>
    <w:p w14:paraId="125B7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日期</w:t>
      </w:r>
      <w:r>
        <w:rPr>
          <w:rFonts w:hint="eastAsia" w:ascii="宋体" w:hAnsi="宋体" w:eastAsia="宋体" w:cs="宋体"/>
          <w:color w:val="auto"/>
          <w:kern w:val="0"/>
          <w:highlight w:val="none"/>
        </w:rPr>
        <w:t xml:space="preserve">：  年  </w:t>
      </w:r>
      <w:r>
        <w:rPr>
          <w:rFonts w:hint="eastAsia" w:ascii="宋体" w:hAnsi="宋体" w:eastAsia="宋体" w:cs="宋体"/>
          <w:color w:val="auto"/>
          <w:kern w:val="0"/>
          <w:highlight w:val="none"/>
          <w:lang w:val="zh-CN"/>
        </w:rPr>
        <w:t>月</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w:t>
      </w:r>
    </w:p>
    <w:p w14:paraId="062E6E34">
      <w:pPr>
        <w:snapToGrid w:val="0"/>
        <w:spacing w:line="360" w:lineRule="auto"/>
        <w:ind w:right="480"/>
        <w:rPr>
          <w:rFonts w:hint="eastAsia" w:ascii="宋体" w:hAnsi="宋体" w:eastAsia="宋体" w:cs="宋体"/>
          <w:b/>
          <w:color w:val="auto"/>
          <w:kern w:val="0"/>
          <w:sz w:val="32"/>
          <w:szCs w:val="32"/>
          <w:highlight w:val="none"/>
        </w:rPr>
      </w:pPr>
    </w:p>
    <w:p w14:paraId="376CDB97">
      <w:pPr>
        <w:pStyle w:val="2"/>
        <w:rPr>
          <w:rFonts w:hint="eastAsia" w:ascii="宋体" w:hAnsi="宋体" w:eastAsia="宋体" w:cs="宋体"/>
          <w:color w:val="auto"/>
          <w:highlight w:val="none"/>
        </w:rPr>
      </w:pPr>
    </w:p>
    <w:p w14:paraId="66800D92">
      <w:pPr>
        <w:rPr>
          <w:rFonts w:hint="eastAsia" w:ascii="宋体" w:hAnsi="宋体" w:eastAsia="宋体" w:cs="宋体"/>
          <w:color w:val="auto"/>
          <w:highlight w:val="none"/>
        </w:rPr>
      </w:pPr>
    </w:p>
    <w:p w14:paraId="296596E6">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CC903E9">
      <w:pPr>
        <w:spacing w:line="360" w:lineRule="auto"/>
        <w:jc w:val="center"/>
        <w:outlineLvl w:val="0"/>
        <w:rPr>
          <w:rFonts w:hint="eastAsia" w:ascii="宋体" w:hAnsi="宋体" w:eastAsia="宋体" w:cs="宋体"/>
          <w:b/>
          <w:color w:val="auto"/>
          <w:kern w:val="0"/>
          <w:highlight w:val="none"/>
        </w:rPr>
      </w:pPr>
    </w:p>
    <w:p w14:paraId="618BFDAA">
      <w:pPr>
        <w:spacing w:line="360" w:lineRule="auto"/>
        <w:jc w:val="center"/>
        <w:outlineLvl w:val="0"/>
        <w:rPr>
          <w:rFonts w:hint="eastAsia" w:ascii="宋体" w:hAnsi="宋体" w:eastAsia="宋体" w:cs="宋体"/>
          <w:b/>
          <w:color w:val="auto"/>
          <w:kern w:val="0"/>
          <w:sz w:val="36"/>
          <w:szCs w:val="28"/>
          <w:highlight w:val="none"/>
        </w:rPr>
      </w:pPr>
      <w:bookmarkStart w:id="121" w:name="_Toc1976667023"/>
      <w:bookmarkStart w:id="122" w:name="_Toc1877598820"/>
      <w:bookmarkStart w:id="123" w:name="_Toc1790449120"/>
      <w:r>
        <w:rPr>
          <w:rFonts w:hint="eastAsia" w:ascii="宋体" w:hAnsi="宋体" w:eastAsia="宋体" w:cs="宋体"/>
          <w:b/>
          <w:color w:val="auto"/>
          <w:kern w:val="0"/>
          <w:sz w:val="36"/>
          <w:szCs w:val="28"/>
          <w:highlight w:val="none"/>
        </w:rPr>
        <w:t>目录</w:t>
      </w:r>
      <w:bookmarkEnd w:id="121"/>
      <w:bookmarkEnd w:id="122"/>
      <w:bookmarkEnd w:id="123"/>
    </w:p>
    <w:p w14:paraId="657285D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（1）投标函……………………………………………………………………………（页码）</w:t>
      </w:r>
    </w:p>
    <w:p w14:paraId="5A6FFA3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（2）法定代表人授权委托书…………………………………………………………（页码）</w:t>
      </w:r>
    </w:p>
    <w:p w14:paraId="3799EFF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（3）联合协议（如有）………………………………………………………………（页码）</w:t>
      </w:r>
    </w:p>
    <w:p w14:paraId="1416273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（4）分包意向协议（如有）…………………………………………………………（页码）</w:t>
      </w:r>
    </w:p>
    <w:p w14:paraId="054177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（5）符合性审查资料…………………………………………………………………（页码）</w:t>
      </w:r>
    </w:p>
    <w:p w14:paraId="4243187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（6）诚信承诺书………………………………………………………………………（页码）</w:t>
      </w:r>
    </w:p>
    <w:p w14:paraId="40710E1F">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t>（7）评标标准相应的商务技术资料…………………………………………………（页码）</w:t>
      </w:r>
    </w:p>
    <w:p w14:paraId="01C10130">
      <w:pPr>
        <w:spacing w:line="360" w:lineRule="auto"/>
        <w:jc w:val="center"/>
        <w:rPr>
          <w:rFonts w:hint="eastAsia" w:ascii="宋体" w:hAnsi="宋体" w:eastAsia="宋体" w:cs="宋体"/>
          <w:b/>
          <w:color w:val="auto"/>
          <w:kern w:val="0"/>
          <w:sz w:val="32"/>
          <w:szCs w:val="32"/>
          <w:highlight w:val="none"/>
        </w:rPr>
      </w:pPr>
    </w:p>
    <w:p w14:paraId="0FB57A2E">
      <w:pPr>
        <w:snapToGrid w:val="0"/>
        <w:spacing w:line="360" w:lineRule="auto"/>
        <w:jc w:val="center"/>
        <w:outlineLvl w:val="0"/>
        <w:rPr>
          <w:rFonts w:hint="eastAsia" w:ascii="宋体" w:hAnsi="宋体" w:eastAsia="宋体" w:cs="宋体"/>
          <w:b/>
          <w:color w:val="auto"/>
          <w:kern w:val="0"/>
          <w:sz w:val="32"/>
          <w:szCs w:val="32"/>
          <w:highlight w:val="none"/>
        </w:rPr>
      </w:pPr>
    </w:p>
    <w:p w14:paraId="6CA93791">
      <w:pPr>
        <w:snapToGrid w:val="0"/>
        <w:spacing w:line="360" w:lineRule="auto"/>
        <w:jc w:val="center"/>
        <w:outlineLvl w:val="0"/>
        <w:rPr>
          <w:rFonts w:hint="eastAsia" w:ascii="宋体" w:hAnsi="宋体" w:eastAsia="宋体" w:cs="宋体"/>
          <w:b/>
          <w:color w:val="auto"/>
          <w:sz w:val="32"/>
          <w:szCs w:val="32"/>
          <w:highlight w:val="none"/>
        </w:rPr>
      </w:pPr>
      <w:bookmarkStart w:id="124" w:name="_Toc1961361825"/>
      <w:bookmarkStart w:id="125" w:name="_Toc1747733778"/>
      <w:bookmarkStart w:id="126" w:name="_Toc754801739"/>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124"/>
      <w:bookmarkEnd w:id="125"/>
      <w:bookmarkEnd w:id="126"/>
    </w:p>
    <w:p w14:paraId="1306AD8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嘉兴市公安局南湖区分局、嘉兴市中诚建设咨询有限公司：</w:t>
      </w:r>
    </w:p>
    <w:p w14:paraId="2B41D53C">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我方参加你方组织的（项目名称）【招标编号：（采购编号）】招标的有关活动，并对此项目进行投标。为此：</w:t>
      </w:r>
    </w:p>
    <w:p w14:paraId="3F5339D6">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1、我方承诺投标有效期从提交投标文件的截止之日起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天（不少于90天），本投标文件在投标有效期满之前均具有约束力。</w:t>
      </w:r>
    </w:p>
    <w:p w14:paraId="4D348926">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2、我方的投标文件包括以下内容：</w:t>
      </w:r>
    </w:p>
    <w:p w14:paraId="459FA6FA">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2.1资格文件：</w:t>
      </w:r>
    </w:p>
    <w:p w14:paraId="2EDC08A8">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2.1.1承诺函；</w:t>
      </w:r>
    </w:p>
    <w:p w14:paraId="39FFBA01">
      <w:pPr>
        <w:snapToGrid w:val="0"/>
        <w:spacing w:line="360" w:lineRule="auto"/>
        <w:ind w:left="210" w:leftChars="100" w:firstLine="42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商务技术</w:t>
      </w:r>
      <w:r>
        <w:rPr>
          <w:rFonts w:hint="eastAsia" w:ascii="宋体" w:hAnsi="宋体" w:eastAsia="宋体" w:cs="宋体"/>
          <w:color w:val="auto"/>
          <w:highlight w:val="none"/>
          <w:lang w:val="zh-CN"/>
        </w:rPr>
        <w:t>文件：</w:t>
      </w:r>
    </w:p>
    <w:p w14:paraId="0AD6CCB2">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2.2.1投标函；</w:t>
      </w:r>
      <w:r>
        <w:rPr>
          <w:rFonts w:hint="eastAsia" w:ascii="宋体" w:hAnsi="宋体" w:eastAsia="宋体" w:cs="宋体"/>
          <w:color w:val="auto"/>
          <w:highlight w:val="none"/>
          <w:lang w:val="zh-CN"/>
        </w:rPr>
        <w:t xml:space="preserve"> </w:t>
      </w:r>
    </w:p>
    <w:p w14:paraId="1B64BEA4">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2.2.2授权委托书或法定代表人（单位负责人）身份证明；</w:t>
      </w:r>
    </w:p>
    <w:p w14:paraId="62E1DE18">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2.2.3符合性审查资料；</w:t>
      </w:r>
    </w:p>
    <w:p w14:paraId="7336DFDD">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2.2.4评标标准相应的商务技术资料；</w:t>
      </w:r>
    </w:p>
    <w:p w14:paraId="374837E8">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2.2.5商务技术偏离表；</w:t>
      </w:r>
    </w:p>
    <w:p w14:paraId="23FEA18E">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3报价文件</w:t>
      </w:r>
    </w:p>
    <w:p w14:paraId="08D21043">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2.3.1开标一览表（报价表）；</w:t>
      </w:r>
    </w:p>
    <w:p w14:paraId="5714F2BA">
      <w:pPr>
        <w:snapToGrid w:val="0"/>
        <w:spacing w:line="360" w:lineRule="auto"/>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2.3.2中小企业声明函（如果有）。</w:t>
      </w:r>
    </w:p>
    <w:p w14:paraId="5A964AB7">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3、我方承诺除商务技术偏离表列出的偏离外，我方响应招标文件的全部要求。</w:t>
      </w:r>
    </w:p>
    <w:p w14:paraId="04D82BEB">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4、如我方中标，我方承诺：</w:t>
      </w:r>
    </w:p>
    <w:p w14:paraId="28B09195">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4.1在收到中标通知书后，在中标通知书规定的期限内与你方签订合同； </w:t>
      </w:r>
    </w:p>
    <w:p w14:paraId="07179840">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4.2在签订合同时不向你方提出附加条件； </w:t>
      </w:r>
    </w:p>
    <w:p w14:paraId="04EBC59D">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4.3按照招标文件要求提交履约保证金； </w:t>
      </w:r>
    </w:p>
    <w:p w14:paraId="48D1B2DB">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4.4在合同约定的期限内完成合同规定的全部义务。 </w:t>
      </w:r>
    </w:p>
    <w:p w14:paraId="401AA3FF">
      <w:pPr>
        <w:snapToGrid w:val="0"/>
        <w:spacing w:line="360" w:lineRule="auto"/>
        <w:ind w:left="210" w:leftChars="10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5、其他补充说明: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4423B91">
      <w:pPr>
        <w:spacing w:line="360" w:lineRule="auto"/>
        <w:ind w:firstLine="3150" w:firstLineChars="1500"/>
        <w:rPr>
          <w:rFonts w:hint="eastAsia" w:ascii="宋体" w:hAnsi="宋体" w:eastAsia="宋体" w:cs="宋体"/>
          <w:color w:val="auto"/>
          <w:highlight w:val="none"/>
        </w:rPr>
      </w:pPr>
    </w:p>
    <w:p w14:paraId="140DF5DB">
      <w:pPr>
        <w:spacing w:line="360" w:lineRule="auto"/>
        <w:ind w:firstLine="3150" w:firstLineChars="1500"/>
        <w:rPr>
          <w:rFonts w:hint="eastAsia" w:ascii="宋体" w:hAnsi="宋体" w:eastAsia="宋体" w:cs="宋体"/>
          <w:color w:val="auto"/>
          <w:highlight w:val="none"/>
        </w:rPr>
      </w:pPr>
    </w:p>
    <w:p w14:paraId="64BB1474">
      <w:pPr>
        <w:spacing w:line="360" w:lineRule="auto"/>
        <w:ind w:firstLine="3150" w:firstLineChars="150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投标供应商名称（电子签名）：                          </w:t>
      </w:r>
    </w:p>
    <w:p w14:paraId="20095D87">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2ED559E8">
      <w:pPr>
        <w:jc w:val="right"/>
        <w:rPr>
          <w:rFonts w:hint="eastAsia" w:ascii="宋体" w:hAnsi="宋体" w:eastAsia="宋体" w:cs="宋体"/>
          <w:b/>
          <w:color w:val="auto"/>
          <w:kern w:val="0"/>
          <w:sz w:val="32"/>
          <w:szCs w:val="32"/>
          <w:highlight w:val="none"/>
          <w:lang w:val="zh-CN"/>
        </w:rPr>
      </w:pPr>
    </w:p>
    <w:p w14:paraId="4057B15B">
      <w:pPr>
        <w:jc w:val="right"/>
        <w:rPr>
          <w:rFonts w:hint="eastAsia" w:ascii="宋体" w:hAnsi="宋体" w:eastAsia="宋体" w:cs="宋体"/>
          <w:b/>
          <w:color w:val="auto"/>
          <w:kern w:val="0"/>
          <w:sz w:val="32"/>
          <w:szCs w:val="32"/>
          <w:highlight w:val="none"/>
          <w:lang w:val="zh-CN"/>
        </w:rPr>
      </w:pPr>
    </w:p>
    <w:p w14:paraId="6A3407B4">
      <w:pPr>
        <w:jc w:val="center"/>
        <w:rPr>
          <w:rFonts w:hint="eastAsia" w:ascii="宋体" w:hAnsi="宋体" w:eastAsia="宋体" w:cs="宋体"/>
          <w:b/>
          <w:color w:val="auto"/>
          <w:kern w:val="0"/>
          <w:sz w:val="32"/>
          <w:szCs w:val="32"/>
          <w:highlight w:val="none"/>
          <w:lang w:val="zh-CN"/>
        </w:rPr>
      </w:pPr>
    </w:p>
    <w:p w14:paraId="319D489B">
      <w:pPr>
        <w:jc w:val="center"/>
        <w:rPr>
          <w:rFonts w:hint="eastAsia" w:ascii="宋体" w:hAnsi="宋体" w:eastAsia="宋体" w:cs="宋体"/>
          <w:b/>
          <w:color w:val="auto"/>
          <w:kern w:val="0"/>
          <w:sz w:val="32"/>
          <w:szCs w:val="32"/>
          <w:highlight w:val="none"/>
          <w:lang w:val="zh-CN"/>
        </w:rPr>
      </w:pPr>
    </w:p>
    <w:p w14:paraId="1903C2E6">
      <w:pPr>
        <w:rPr>
          <w:rFonts w:hint="eastAsia" w:ascii="宋体" w:hAnsi="宋体" w:eastAsia="宋体" w:cs="宋体"/>
          <w:color w:val="auto"/>
          <w:highlight w:val="none"/>
        </w:rPr>
      </w:pPr>
    </w:p>
    <w:p w14:paraId="7EE98F09">
      <w:pPr>
        <w:snapToGrid w:val="0"/>
        <w:spacing w:before="120" w:beforeLines="50" w:after="50" w:line="360" w:lineRule="auto"/>
        <w:ind w:firstLine="2891" w:firstLineChars="9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二、法定代表人授权委托书</w:t>
      </w:r>
    </w:p>
    <w:p w14:paraId="437CDE30">
      <w:pPr>
        <w:snapToGrid w:val="0"/>
        <w:spacing w:before="120" w:beforeLines="50" w:after="50" w:line="360" w:lineRule="auto"/>
        <w:rPr>
          <w:rFonts w:hint="eastAsia" w:ascii="宋体" w:hAnsi="宋体" w:eastAsia="宋体" w:cs="宋体"/>
          <w:b/>
          <w:bCs/>
          <w:color w:val="auto"/>
          <w:highlight w:val="none"/>
        </w:rPr>
      </w:pPr>
      <w:r>
        <w:rPr>
          <w:rFonts w:hint="eastAsia" w:ascii="宋体" w:hAnsi="宋体" w:eastAsia="宋体" w:cs="宋体"/>
          <w:bCs/>
          <w:color w:val="auto"/>
          <w:highlight w:val="none"/>
        </w:rPr>
        <w:t>致</w:t>
      </w:r>
      <w:r>
        <w:rPr>
          <w:rFonts w:hint="eastAsia" w:ascii="宋体" w:hAnsi="宋体" w:eastAsia="宋体" w:cs="宋体"/>
          <w:b/>
          <w:color w:val="auto"/>
          <w:highlight w:val="none"/>
        </w:rPr>
        <w:t>嘉兴市公安局南湖区分局</w:t>
      </w:r>
      <w:r>
        <w:rPr>
          <w:rFonts w:hint="eastAsia" w:ascii="宋体" w:hAnsi="宋体" w:eastAsia="宋体" w:cs="宋体"/>
          <w:color w:val="auto"/>
          <w:highlight w:val="none"/>
        </w:rPr>
        <w:t>：</w:t>
      </w:r>
    </w:p>
    <w:p w14:paraId="65462D9C">
      <w:pPr>
        <w:snapToGrid w:val="0"/>
        <w:spacing w:before="120" w:beforeLines="50" w:after="50" w:line="360" w:lineRule="auto"/>
        <w:ind w:firstLine="630" w:firstLineChars="300"/>
        <w:rPr>
          <w:rFonts w:hint="eastAsia" w:ascii="宋体" w:hAnsi="宋体" w:eastAsia="宋体" w:cs="宋体"/>
          <w:color w:val="auto"/>
          <w:szCs w:val="20"/>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（投标供应商名称）的法定代表人，现授权委托（姓名）以我方的名义参加</w:t>
      </w:r>
      <w:r>
        <w:rPr>
          <w:rFonts w:hint="eastAsia" w:ascii="宋体" w:hAnsi="宋体" w:eastAsia="宋体" w:cs="宋体"/>
          <w:color w:val="auto"/>
          <w:highlight w:val="none"/>
          <w:u w:val="single"/>
        </w:rPr>
        <w:t xml:space="preserve">                项目</w:t>
      </w:r>
      <w:r>
        <w:rPr>
          <w:rFonts w:hint="eastAsia" w:ascii="宋体" w:hAnsi="宋体" w:eastAsia="宋体" w:cs="宋体"/>
          <w:color w:val="auto"/>
          <w:highlight w:val="none"/>
        </w:rPr>
        <w:t>的投标活动，并代表我方全权办理针对上述项目的投标、开标、评标、签约等具体事务和签署相关文件。</w:t>
      </w:r>
    </w:p>
    <w:p w14:paraId="76D9F92C">
      <w:pPr>
        <w:snapToGrid w:val="0"/>
        <w:spacing w:before="120" w:beforeLines="50" w:after="50"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rPr>
        <w:t>我方对被授权人的签字事项负全部责任。</w:t>
      </w:r>
    </w:p>
    <w:p w14:paraId="0A0A3482">
      <w:pPr>
        <w:snapToGrid w:val="0"/>
        <w:spacing w:before="120" w:beforeLines="50" w:after="50"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highlight w:val="none"/>
          <w:u w:val="single"/>
        </w:rPr>
        <w:t>在撤销授权的书面通知以前，本授权书一直有效。</w:t>
      </w:r>
      <w:r>
        <w:rPr>
          <w:rFonts w:hint="eastAsia" w:ascii="宋体" w:hAnsi="宋体" w:eastAsia="宋体" w:cs="宋体"/>
          <w:color w:val="auto"/>
          <w:highlight w:val="none"/>
        </w:rPr>
        <w:t>被授权人在授权书有效期内签署的所有文件不因授权的撤销而失效。</w:t>
      </w:r>
    </w:p>
    <w:p w14:paraId="1D60A912">
      <w:pPr>
        <w:snapToGrid w:val="0"/>
        <w:spacing w:before="120" w:beforeLines="50" w:after="5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被授权人无转委托权，特此委托。</w:t>
      </w:r>
    </w:p>
    <w:p w14:paraId="3B0244F0">
      <w:pPr>
        <w:snapToGrid w:val="0"/>
        <w:spacing w:before="120" w:beforeLines="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　身份证粘贴处：                   身份证粘贴处：</w:t>
      </w:r>
    </w:p>
    <w:p w14:paraId="41D76372">
      <w:pPr>
        <w:snapToGrid w:val="0"/>
        <w:spacing w:before="120" w:beforeLines="50" w:after="50" w:line="360" w:lineRule="auto"/>
        <w:ind w:firstLine="480"/>
        <w:rPr>
          <w:rFonts w:hint="eastAsia" w:ascii="宋体" w:hAnsi="宋体" w:eastAsia="宋体" w:cs="宋体"/>
          <w:color w:val="auto"/>
          <w:highlight w:val="none"/>
        </w:rPr>
      </w:pPr>
    </w:p>
    <w:p w14:paraId="6AA351B1">
      <w:pPr>
        <w:snapToGrid w:val="0"/>
        <w:spacing w:before="120" w:beforeLines="50" w:after="50" w:line="360" w:lineRule="auto"/>
        <w:rPr>
          <w:rFonts w:hint="eastAsia" w:ascii="宋体" w:hAnsi="宋体" w:eastAsia="宋体" w:cs="宋体"/>
          <w:color w:val="auto"/>
          <w:szCs w:val="20"/>
          <w:highlight w:val="none"/>
          <w:u w:val="single"/>
        </w:rPr>
      </w:pPr>
      <w:r>
        <w:rPr>
          <w:rFonts w:hint="eastAsia" w:ascii="宋体" w:hAnsi="宋体" w:eastAsia="宋体" w:cs="宋体"/>
          <w:color w:val="auto"/>
          <w:highlight w:val="none"/>
        </w:rPr>
        <w:t>法定代表人签字（或盖章）：          被授权人签字（或盖章）：</w:t>
      </w:r>
    </w:p>
    <w:p w14:paraId="6697F24C">
      <w:pPr>
        <w:snapToGrid w:val="0"/>
        <w:spacing w:before="120" w:beforeLines="50" w:after="50"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职务：                              职务：</w:t>
      </w:r>
    </w:p>
    <w:p w14:paraId="6ED78C56">
      <w:pPr>
        <w:snapToGrid w:val="0"/>
        <w:spacing w:before="120" w:beforeLines="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投标供应商公章：  年  月  日</w:t>
      </w:r>
    </w:p>
    <w:p w14:paraId="27727C68">
      <w:pPr>
        <w:jc w:val="center"/>
        <w:rPr>
          <w:rFonts w:hint="eastAsia" w:ascii="宋体" w:hAnsi="宋体" w:eastAsia="宋体" w:cs="宋体"/>
          <w:b/>
          <w:color w:val="auto"/>
          <w:kern w:val="0"/>
          <w:sz w:val="32"/>
          <w:szCs w:val="32"/>
          <w:highlight w:val="none"/>
        </w:rPr>
      </w:pPr>
    </w:p>
    <w:p w14:paraId="090A0862">
      <w:pPr>
        <w:jc w:val="center"/>
        <w:rPr>
          <w:rFonts w:hint="eastAsia" w:ascii="宋体" w:hAnsi="宋体" w:eastAsia="宋体" w:cs="宋体"/>
          <w:b/>
          <w:color w:val="auto"/>
          <w:kern w:val="0"/>
          <w:sz w:val="32"/>
          <w:szCs w:val="32"/>
          <w:highlight w:val="none"/>
        </w:rPr>
      </w:pPr>
    </w:p>
    <w:p w14:paraId="1175D53B">
      <w:pPr>
        <w:jc w:val="center"/>
        <w:rPr>
          <w:rFonts w:hint="eastAsia" w:ascii="宋体" w:hAnsi="宋体" w:eastAsia="宋体" w:cs="宋体"/>
          <w:b/>
          <w:color w:val="auto"/>
          <w:kern w:val="0"/>
          <w:sz w:val="32"/>
          <w:szCs w:val="32"/>
          <w:highlight w:val="none"/>
        </w:rPr>
      </w:pPr>
    </w:p>
    <w:p w14:paraId="36A396A4">
      <w:pPr>
        <w:jc w:val="center"/>
        <w:rPr>
          <w:rFonts w:hint="eastAsia" w:ascii="宋体" w:hAnsi="宋体" w:eastAsia="宋体" w:cs="宋体"/>
          <w:b/>
          <w:color w:val="auto"/>
          <w:kern w:val="0"/>
          <w:sz w:val="32"/>
          <w:szCs w:val="32"/>
          <w:highlight w:val="none"/>
        </w:rPr>
      </w:pPr>
    </w:p>
    <w:p w14:paraId="2FA11524">
      <w:pPr>
        <w:jc w:val="center"/>
        <w:rPr>
          <w:rFonts w:hint="eastAsia" w:ascii="宋体" w:hAnsi="宋体" w:eastAsia="宋体" w:cs="宋体"/>
          <w:b/>
          <w:color w:val="auto"/>
          <w:kern w:val="0"/>
          <w:sz w:val="32"/>
          <w:szCs w:val="32"/>
          <w:highlight w:val="none"/>
        </w:rPr>
      </w:pPr>
    </w:p>
    <w:p w14:paraId="071274A1">
      <w:pPr>
        <w:jc w:val="center"/>
        <w:rPr>
          <w:rFonts w:hint="eastAsia" w:ascii="宋体" w:hAnsi="宋体" w:eastAsia="宋体" w:cs="宋体"/>
          <w:b/>
          <w:color w:val="auto"/>
          <w:kern w:val="0"/>
          <w:sz w:val="32"/>
          <w:szCs w:val="32"/>
          <w:highlight w:val="none"/>
        </w:rPr>
      </w:pPr>
    </w:p>
    <w:p w14:paraId="6537CB1D">
      <w:pPr>
        <w:pStyle w:val="80"/>
        <w:rPr>
          <w:rFonts w:hint="eastAsia" w:ascii="宋体" w:hAnsi="宋体" w:eastAsia="宋体" w:cs="宋体"/>
          <w:color w:val="auto"/>
          <w:highlight w:val="none"/>
        </w:rPr>
      </w:pPr>
    </w:p>
    <w:p w14:paraId="6E276359">
      <w:pPr>
        <w:pStyle w:val="80"/>
        <w:rPr>
          <w:rFonts w:hint="eastAsia" w:ascii="宋体" w:hAnsi="宋体" w:eastAsia="宋体" w:cs="宋体"/>
          <w:color w:val="auto"/>
          <w:highlight w:val="none"/>
        </w:rPr>
      </w:pPr>
    </w:p>
    <w:p w14:paraId="3EF617B1">
      <w:pPr>
        <w:pStyle w:val="80"/>
        <w:rPr>
          <w:rFonts w:hint="eastAsia" w:ascii="宋体" w:hAnsi="宋体" w:eastAsia="宋体" w:cs="宋体"/>
          <w:color w:val="auto"/>
          <w:highlight w:val="none"/>
        </w:rPr>
      </w:pPr>
    </w:p>
    <w:p w14:paraId="12744F5D">
      <w:pPr>
        <w:pStyle w:val="80"/>
        <w:rPr>
          <w:rFonts w:hint="eastAsia" w:ascii="宋体" w:hAnsi="宋体" w:eastAsia="宋体" w:cs="宋体"/>
          <w:color w:val="auto"/>
          <w:highlight w:val="none"/>
        </w:rPr>
      </w:pPr>
    </w:p>
    <w:p w14:paraId="4BD492BF">
      <w:pPr>
        <w:pStyle w:val="80"/>
        <w:rPr>
          <w:rFonts w:hint="eastAsia" w:ascii="宋体" w:hAnsi="宋体" w:eastAsia="宋体" w:cs="宋体"/>
          <w:color w:val="auto"/>
          <w:highlight w:val="none"/>
        </w:rPr>
      </w:pPr>
    </w:p>
    <w:p w14:paraId="47861424">
      <w:pPr>
        <w:pStyle w:val="80"/>
        <w:rPr>
          <w:rFonts w:hint="eastAsia" w:ascii="宋体" w:hAnsi="宋体" w:eastAsia="宋体" w:cs="宋体"/>
          <w:color w:val="auto"/>
          <w:highlight w:val="none"/>
        </w:rPr>
      </w:pPr>
    </w:p>
    <w:p w14:paraId="13ED406D">
      <w:pPr>
        <w:pStyle w:val="80"/>
        <w:rPr>
          <w:rFonts w:hint="eastAsia" w:ascii="宋体" w:hAnsi="宋体" w:eastAsia="宋体" w:cs="宋体"/>
          <w:color w:val="auto"/>
          <w:highlight w:val="none"/>
        </w:rPr>
      </w:pPr>
    </w:p>
    <w:p w14:paraId="07DADF9F">
      <w:pPr>
        <w:pStyle w:val="80"/>
        <w:rPr>
          <w:rFonts w:hint="eastAsia" w:ascii="宋体" w:hAnsi="宋体" w:eastAsia="宋体" w:cs="宋体"/>
          <w:color w:val="auto"/>
          <w:highlight w:val="none"/>
        </w:rPr>
      </w:pPr>
    </w:p>
    <w:p w14:paraId="76E43124">
      <w:pPr>
        <w:pStyle w:val="80"/>
        <w:rPr>
          <w:rFonts w:hint="eastAsia" w:ascii="宋体" w:hAnsi="宋体" w:eastAsia="宋体" w:cs="宋体"/>
          <w:color w:val="auto"/>
          <w:highlight w:val="none"/>
        </w:rPr>
      </w:pPr>
    </w:p>
    <w:p w14:paraId="3131C914">
      <w:pPr>
        <w:pStyle w:val="80"/>
        <w:rPr>
          <w:rFonts w:hint="eastAsia" w:ascii="宋体" w:hAnsi="宋体" w:eastAsia="宋体" w:cs="宋体"/>
          <w:color w:val="auto"/>
          <w:highlight w:val="none"/>
        </w:rPr>
      </w:pPr>
    </w:p>
    <w:p w14:paraId="7945ECDB">
      <w:pPr>
        <w:pStyle w:val="80"/>
        <w:rPr>
          <w:rFonts w:hint="eastAsia" w:ascii="宋体" w:hAnsi="宋体" w:eastAsia="宋体" w:cs="宋体"/>
          <w:color w:val="auto"/>
          <w:highlight w:val="none"/>
        </w:rPr>
      </w:pPr>
    </w:p>
    <w:p w14:paraId="36F61715">
      <w:pPr>
        <w:pStyle w:val="80"/>
        <w:rPr>
          <w:rFonts w:hint="eastAsia" w:ascii="宋体" w:hAnsi="宋体" w:eastAsia="宋体" w:cs="宋体"/>
          <w:color w:val="auto"/>
          <w:highlight w:val="none"/>
        </w:rPr>
      </w:pPr>
    </w:p>
    <w:p w14:paraId="1EDD0474">
      <w:pPr>
        <w:pStyle w:val="80"/>
        <w:rPr>
          <w:rFonts w:hint="eastAsia" w:ascii="宋体" w:hAnsi="宋体" w:eastAsia="宋体" w:cs="宋体"/>
          <w:color w:val="auto"/>
          <w:highlight w:val="none"/>
        </w:rPr>
      </w:pPr>
    </w:p>
    <w:p w14:paraId="6D2CCB9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、符合性审查资料</w:t>
      </w:r>
    </w:p>
    <w:p w14:paraId="667CF569">
      <w:pPr>
        <w:jc w:val="center"/>
        <w:rPr>
          <w:rFonts w:hint="eastAsia" w:ascii="宋体" w:hAnsi="宋体" w:eastAsia="宋体" w:cs="宋体"/>
          <w:b/>
          <w:color w:val="auto"/>
          <w:kern w:val="0"/>
          <w:sz w:val="32"/>
          <w:szCs w:val="32"/>
          <w:highlight w:val="none"/>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7"/>
        <w:gridCol w:w="2835"/>
        <w:gridCol w:w="1418"/>
      </w:tblGrid>
      <w:tr w14:paraId="0F71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1DDA36DC">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4707" w:type="dxa"/>
            <w:noWrap w:val="0"/>
            <w:vAlign w:val="center"/>
          </w:tcPr>
          <w:p w14:paraId="5D48FCD4">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实质性要求</w:t>
            </w:r>
          </w:p>
        </w:tc>
        <w:tc>
          <w:tcPr>
            <w:tcW w:w="2835" w:type="dxa"/>
            <w:noWrap w:val="0"/>
            <w:vAlign w:val="center"/>
          </w:tcPr>
          <w:p w14:paraId="1F3CCDD0">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需要提供的符合性审查资料</w:t>
            </w:r>
          </w:p>
        </w:tc>
        <w:tc>
          <w:tcPr>
            <w:tcW w:w="1418" w:type="dxa"/>
            <w:noWrap w:val="0"/>
            <w:vAlign w:val="center"/>
          </w:tcPr>
          <w:p w14:paraId="0FFC67F5">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投标文件中的</w:t>
            </w:r>
          </w:p>
          <w:p w14:paraId="7B45B3AF">
            <w:pPr>
              <w:snapToGrid w:val="0"/>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页码位置</w:t>
            </w:r>
          </w:p>
        </w:tc>
      </w:tr>
      <w:tr w14:paraId="75B6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836E518">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707" w:type="dxa"/>
            <w:noWrap w:val="0"/>
            <w:vAlign w:val="center"/>
          </w:tcPr>
          <w:p w14:paraId="3E1222E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投标文件按照招标文件要求签署、盖章。</w:t>
            </w:r>
          </w:p>
        </w:tc>
        <w:tc>
          <w:tcPr>
            <w:tcW w:w="2835" w:type="dxa"/>
            <w:noWrap w:val="0"/>
            <w:vAlign w:val="center"/>
          </w:tcPr>
          <w:p w14:paraId="65EBCC64">
            <w:pPr>
              <w:rPr>
                <w:rFonts w:hint="eastAsia" w:ascii="宋体" w:hAnsi="宋体" w:eastAsia="宋体" w:cs="宋体"/>
                <w:color w:val="auto"/>
                <w:highlight w:val="none"/>
              </w:rPr>
            </w:pPr>
            <w:r>
              <w:rPr>
                <w:rFonts w:hint="eastAsia" w:ascii="宋体" w:hAnsi="宋体" w:eastAsia="宋体" w:cs="宋体"/>
                <w:color w:val="auto"/>
                <w:highlight w:val="none"/>
              </w:rPr>
              <w:t>需要使用电子签名或者签字盖章的投标文件的组成部分</w:t>
            </w:r>
          </w:p>
        </w:tc>
        <w:tc>
          <w:tcPr>
            <w:tcW w:w="1418" w:type="dxa"/>
            <w:noWrap w:val="0"/>
            <w:vAlign w:val="center"/>
          </w:tcPr>
          <w:p w14:paraId="206E4192">
            <w:pPr>
              <w:jc w:val="center"/>
              <w:rPr>
                <w:rFonts w:hint="eastAsia" w:ascii="宋体" w:hAnsi="宋体" w:eastAsia="宋体" w:cs="宋体"/>
                <w:color w:val="auto"/>
                <w:highlight w:val="none"/>
              </w:rPr>
            </w:pPr>
          </w:p>
          <w:p w14:paraId="477BD01E">
            <w:pPr>
              <w:jc w:val="center"/>
              <w:rPr>
                <w:rFonts w:hint="eastAsia" w:ascii="宋体" w:hAnsi="宋体" w:eastAsia="宋体" w:cs="宋体"/>
                <w:color w:val="auto"/>
                <w:highlight w:val="none"/>
              </w:rPr>
            </w:pPr>
            <w:r>
              <w:rPr>
                <w:rFonts w:hint="eastAsia" w:ascii="宋体" w:hAnsi="宋体" w:eastAsia="宋体" w:cs="宋体"/>
                <w:color w:val="auto"/>
                <w:highlight w:val="none"/>
              </w:rPr>
              <w:t>见投标文件</w:t>
            </w:r>
          </w:p>
          <w:p w14:paraId="5940684C">
            <w:pPr>
              <w:jc w:val="center"/>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14:paraId="7173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DC9F84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707" w:type="dxa"/>
            <w:noWrap w:val="0"/>
            <w:vAlign w:val="center"/>
          </w:tcPr>
          <w:p w14:paraId="2F5BDFF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投标文件中承诺的投标有效期不少于招标文件中载明的投标有效期。</w:t>
            </w:r>
          </w:p>
        </w:tc>
        <w:tc>
          <w:tcPr>
            <w:tcW w:w="2835" w:type="dxa"/>
            <w:noWrap w:val="0"/>
            <w:vAlign w:val="center"/>
          </w:tcPr>
          <w:p w14:paraId="182A8D89">
            <w:pPr>
              <w:rPr>
                <w:rFonts w:hint="eastAsia" w:ascii="宋体" w:hAnsi="宋体" w:eastAsia="宋体" w:cs="宋体"/>
                <w:color w:val="auto"/>
                <w:highlight w:val="none"/>
              </w:rPr>
            </w:pPr>
            <w:r>
              <w:rPr>
                <w:rFonts w:hint="eastAsia" w:ascii="宋体" w:hAnsi="宋体" w:eastAsia="宋体" w:cs="宋体"/>
                <w:color w:val="auto"/>
                <w:highlight w:val="none"/>
              </w:rPr>
              <w:t>投标函</w:t>
            </w:r>
          </w:p>
        </w:tc>
        <w:tc>
          <w:tcPr>
            <w:tcW w:w="1418" w:type="dxa"/>
            <w:noWrap w:val="0"/>
            <w:vAlign w:val="center"/>
          </w:tcPr>
          <w:p w14:paraId="03374C2B">
            <w:pPr>
              <w:jc w:val="center"/>
              <w:rPr>
                <w:rFonts w:hint="eastAsia" w:ascii="宋体" w:hAnsi="宋体" w:eastAsia="宋体" w:cs="宋体"/>
                <w:color w:val="auto"/>
                <w:highlight w:val="none"/>
              </w:rPr>
            </w:pPr>
            <w:r>
              <w:rPr>
                <w:rFonts w:hint="eastAsia" w:ascii="宋体" w:hAnsi="宋体" w:eastAsia="宋体" w:cs="宋体"/>
                <w:color w:val="auto"/>
                <w:highlight w:val="none"/>
              </w:rPr>
              <w:t>见投标文件第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14:paraId="4CCB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46" w:type="dxa"/>
            <w:noWrap w:val="0"/>
            <w:vAlign w:val="center"/>
          </w:tcPr>
          <w:p w14:paraId="0971DB01">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707" w:type="dxa"/>
            <w:noWrap w:val="0"/>
            <w:vAlign w:val="center"/>
          </w:tcPr>
          <w:p w14:paraId="0654650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投标文件满足招标文件的其它实质性要求。</w:t>
            </w:r>
          </w:p>
        </w:tc>
        <w:tc>
          <w:tcPr>
            <w:tcW w:w="2835" w:type="dxa"/>
            <w:noWrap w:val="0"/>
            <w:vAlign w:val="center"/>
          </w:tcPr>
          <w:p w14:paraId="32C73021">
            <w:pPr>
              <w:rPr>
                <w:rFonts w:hint="eastAsia" w:ascii="宋体" w:hAnsi="宋体" w:eastAsia="宋体" w:cs="宋体"/>
                <w:color w:val="auto"/>
                <w:highlight w:val="none"/>
              </w:rPr>
            </w:pPr>
            <w:r>
              <w:rPr>
                <w:rFonts w:hint="eastAsia" w:ascii="宋体" w:hAnsi="宋体" w:eastAsia="宋体" w:cs="宋体"/>
                <w:color w:val="auto"/>
                <w:kern w:val="0"/>
                <w:highlight w:val="none"/>
              </w:rPr>
              <w:t>招标文件其它实质性要求相应的材料（“▲” 系指实质性要求条款，招标文件无其它实质性要求的，无需提供）</w:t>
            </w:r>
          </w:p>
        </w:tc>
        <w:tc>
          <w:tcPr>
            <w:tcW w:w="1418" w:type="dxa"/>
            <w:noWrap w:val="0"/>
            <w:vAlign w:val="center"/>
          </w:tcPr>
          <w:p w14:paraId="53703971">
            <w:pPr>
              <w:jc w:val="center"/>
              <w:rPr>
                <w:rFonts w:hint="eastAsia" w:ascii="宋体" w:hAnsi="宋体" w:eastAsia="宋体" w:cs="宋体"/>
                <w:color w:val="auto"/>
                <w:highlight w:val="none"/>
              </w:rPr>
            </w:pPr>
            <w:r>
              <w:rPr>
                <w:rFonts w:hint="eastAsia" w:ascii="宋体" w:hAnsi="宋体" w:eastAsia="宋体" w:cs="宋体"/>
                <w:color w:val="auto"/>
                <w:highlight w:val="none"/>
              </w:rPr>
              <w:t>见投标文件第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bl>
    <w:p w14:paraId="1CEC4095">
      <w:pPr>
        <w:jc w:val="center"/>
        <w:rPr>
          <w:rFonts w:hint="eastAsia" w:ascii="宋体" w:hAnsi="宋体" w:eastAsia="宋体" w:cs="宋体"/>
          <w:b/>
          <w:color w:val="auto"/>
          <w:kern w:val="0"/>
          <w:sz w:val="32"/>
          <w:szCs w:val="32"/>
          <w:highlight w:val="none"/>
        </w:rPr>
      </w:pPr>
    </w:p>
    <w:p w14:paraId="5E0DF05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8681C98">
      <w:pPr>
        <w:jc w:val="center"/>
        <w:rPr>
          <w:rFonts w:hint="eastAsia" w:ascii="宋体" w:hAnsi="宋体" w:eastAsia="宋体" w:cs="宋体"/>
          <w:b/>
          <w:color w:val="auto"/>
          <w:kern w:val="0"/>
          <w:sz w:val="32"/>
          <w:szCs w:val="32"/>
          <w:highlight w:val="none"/>
        </w:rPr>
      </w:pPr>
    </w:p>
    <w:p w14:paraId="494E104E">
      <w:pPr>
        <w:jc w:val="center"/>
        <w:rPr>
          <w:rFonts w:hint="eastAsia" w:ascii="宋体" w:hAnsi="宋体" w:eastAsia="宋体" w:cs="宋体"/>
          <w:b/>
          <w:color w:val="auto"/>
          <w:kern w:val="0"/>
          <w:sz w:val="32"/>
          <w:szCs w:val="32"/>
          <w:highlight w:val="none"/>
        </w:rPr>
      </w:pPr>
    </w:p>
    <w:p w14:paraId="1A32328E">
      <w:pPr>
        <w:jc w:val="center"/>
        <w:rPr>
          <w:rFonts w:hint="eastAsia" w:ascii="宋体" w:hAnsi="宋体" w:eastAsia="宋体" w:cs="宋体"/>
          <w:b/>
          <w:color w:val="auto"/>
          <w:kern w:val="0"/>
          <w:sz w:val="32"/>
          <w:szCs w:val="32"/>
          <w:highlight w:val="none"/>
        </w:rPr>
      </w:pPr>
    </w:p>
    <w:p w14:paraId="0F044BEF">
      <w:pPr>
        <w:jc w:val="center"/>
        <w:rPr>
          <w:rFonts w:hint="eastAsia" w:ascii="宋体" w:hAnsi="宋体" w:eastAsia="宋体" w:cs="宋体"/>
          <w:b/>
          <w:color w:val="auto"/>
          <w:kern w:val="0"/>
          <w:sz w:val="32"/>
          <w:szCs w:val="32"/>
          <w:highlight w:val="none"/>
        </w:rPr>
      </w:pPr>
    </w:p>
    <w:p w14:paraId="5CEF1FDB">
      <w:pPr>
        <w:jc w:val="center"/>
        <w:rPr>
          <w:rFonts w:hint="eastAsia" w:ascii="宋体" w:hAnsi="宋体" w:eastAsia="宋体" w:cs="宋体"/>
          <w:b/>
          <w:color w:val="auto"/>
          <w:kern w:val="0"/>
          <w:sz w:val="32"/>
          <w:szCs w:val="32"/>
          <w:highlight w:val="none"/>
        </w:rPr>
      </w:pPr>
    </w:p>
    <w:p w14:paraId="4BAE7C2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B2C7E3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、诚信承诺书</w:t>
      </w:r>
    </w:p>
    <w:p w14:paraId="6C4E9D30">
      <w:pPr>
        <w:spacing w:line="360" w:lineRule="auto"/>
        <w:jc w:val="center"/>
        <w:rPr>
          <w:rFonts w:hint="eastAsia" w:ascii="宋体" w:hAnsi="宋体" w:eastAsia="宋体" w:cs="宋体"/>
          <w:b/>
          <w:color w:val="auto"/>
          <w:sz w:val="28"/>
          <w:szCs w:val="28"/>
          <w:highlight w:val="none"/>
        </w:rPr>
      </w:pPr>
    </w:p>
    <w:p w14:paraId="46841A4E">
      <w:pPr>
        <w:tabs>
          <w:tab w:val="left" w:pos="615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
          <w:color w:val="auto"/>
          <w:highlight w:val="none"/>
        </w:rPr>
        <w:t>嘉兴市公安局南湖区分局</w:t>
      </w:r>
      <w:r>
        <w:rPr>
          <w:rFonts w:hint="eastAsia" w:ascii="宋体" w:hAnsi="宋体" w:eastAsia="宋体" w:cs="宋体"/>
          <w:color w:val="auto"/>
          <w:highlight w:val="none"/>
        </w:rPr>
        <w:t>：</w:t>
      </w:r>
      <w:r>
        <w:rPr>
          <w:rFonts w:hint="eastAsia" w:ascii="宋体" w:hAnsi="宋体" w:eastAsia="宋体" w:cs="宋体"/>
          <w:color w:val="auto"/>
          <w:highlight w:val="none"/>
        </w:rPr>
        <w:tab/>
      </w:r>
    </w:p>
    <w:p w14:paraId="680700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我方在参加贵单位的＿＿＿＿＿＿＿＿政府采购项目的招投标活动中，郑重承诺如下：</w:t>
      </w:r>
    </w:p>
    <w:p w14:paraId="4F0C217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1.我方申报的所有资料都是真实、准确、完整的；</w:t>
      </w:r>
    </w:p>
    <w:p w14:paraId="39E344E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2.我方无资质挂靠情形，保证不参与串标、围标及抬标；</w:t>
      </w:r>
    </w:p>
    <w:p w14:paraId="15E12E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3.我方未处于被各级行政主管部门做出停止市场行为处罚的期限内；</w:t>
      </w:r>
    </w:p>
    <w:p w14:paraId="1E10EF0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4.我方参加本项目政府采购活动前3年内在经营活动中没有重大违法记录；</w:t>
      </w:r>
    </w:p>
    <w:p w14:paraId="2825AD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5.若我方中标，将严格按照规定及时与采购人签订合同；</w:t>
      </w:r>
    </w:p>
    <w:p w14:paraId="613C63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6.若我方中标，将严格按照招标文件要求及投标文件承诺的报价、质量、工期、投标方案、项目负责人等内容组织实施；</w:t>
      </w:r>
    </w:p>
    <w:p w14:paraId="6DC483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49AA1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7E6A7D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投标供应商（加盖公章）：＿＿＿＿＿＿＿＿＿＿＿＿＿＿＿</w:t>
      </w:r>
    </w:p>
    <w:p w14:paraId="3E80A2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投标供应商代表（签名）：＿＿＿＿＿＿＿＿＿＿＿＿＿＿＿</w:t>
      </w:r>
    </w:p>
    <w:p w14:paraId="0AB27656">
      <w:pPr>
        <w:spacing w:line="360" w:lineRule="auto"/>
        <w:ind w:firstLine="4305" w:firstLineChars="2050"/>
        <w:rPr>
          <w:rFonts w:hint="eastAsia" w:ascii="宋体" w:hAnsi="宋体" w:eastAsia="宋体" w:cs="宋体"/>
          <w:color w:val="auto"/>
          <w:highlight w:val="none"/>
        </w:rPr>
      </w:pPr>
    </w:p>
    <w:p w14:paraId="52902B20">
      <w:pPr>
        <w:spacing w:line="360" w:lineRule="auto"/>
        <w:ind w:firstLine="4305" w:firstLineChars="2050"/>
        <w:rPr>
          <w:rFonts w:hint="eastAsia" w:ascii="宋体" w:hAnsi="宋体" w:eastAsia="宋体" w:cs="宋体"/>
          <w:color w:val="auto"/>
          <w:highlight w:val="none"/>
        </w:rPr>
      </w:pPr>
      <w:r>
        <w:rPr>
          <w:rFonts w:hint="eastAsia" w:ascii="宋体" w:hAnsi="宋体" w:eastAsia="宋体" w:cs="宋体"/>
          <w:color w:val="auto"/>
          <w:highlight w:val="none"/>
        </w:rPr>
        <w:t>日期：年＿＿月＿＿日</w:t>
      </w:r>
    </w:p>
    <w:p w14:paraId="69177C99">
      <w:pPr>
        <w:jc w:val="center"/>
        <w:rPr>
          <w:rFonts w:hint="eastAsia" w:ascii="宋体" w:hAnsi="宋体" w:eastAsia="宋体" w:cs="宋体"/>
          <w:b/>
          <w:color w:val="auto"/>
          <w:kern w:val="0"/>
          <w:sz w:val="32"/>
          <w:szCs w:val="32"/>
          <w:highlight w:val="none"/>
        </w:rPr>
      </w:pPr>
    </w:p>
    <w:p w14:paraId="6918112C">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、评标标准相应的商务技术资料</w:t>
      </w:r>
    </w:p>
    <w:p w14:paraId="286DBFE7">
      <w:pPr>
        <w:snapToGrid w:val="0"/>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（按招标文件第三章供应商须知中“投标文件的编制”提供资料，除以下投标文件格式外相关资料由供应商自拟。）</w:t>
      </w:r>
    </w:p>
    <w:p w14:paraId="2D6AA171">
      <w:pPr>
        <w:jc w:val="center"/>
        <w:rPr>
          <w:rFonts w:hint="eastAsia" w:ascii="宋体" w:hAnsi="宋体" w:eastAsia="宋体" w:cs="宋体"/>
          <w:b/>
          <w:color w:val="auto"/>
          <w:kern w:val="0"/>
          <w:sz w:val="32"/>
          <w:szCs w:val="32"/>
          <w:highlight w:val="none"/>
        </w:rPr>
      </w:pPr>
    </w:p>
    <w:p w14:paraId="403EB766">
      <w:pPr>
        <w:pStyle w:val="122"/>
        <w:spacing w:line="360" w:lineRule="auto"/>
        <w:rPr>
          <w:rFonts w:hint="eastAsia" w:ascii="宋体" w:hAnsi="宋体" w:eastAsia="宋体" w:cs="宋体"/>
          <w:color w:val="auto"/>
          <w:highlight w:val="none"/>
        </w:rPr>
      </w:pPr>
      <w:r>
        <w:rPr>
          <w:rFonts w:hint="eastAsia" w:ascii="宋体" w:hAnsi="宋体" w:eastAsia="宋体" w:cs="宋体"/>
          <w:b/>
          <w:color w:val="auto"/>
          <w:sz w:val="24"/>
          <w:szCs w:val="24"/>
          <w:highlight w:val="none"/>
        </w:rPr>
        <w:t>1.同类项目业绩一览表</w:t>
      </w:r>
    </w:p>
    <w:p w14:paraId="65E51D5A">
      <w:pPr>
        <w:pStyle w:val="122"/>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同类项目业绩一览表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4C72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noWrap w:val="0"/>
            <w:vAlign w:val="center"/>
          </w:tcPr>
          <w:p w14:paraId="6C71672A">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578" w:type="dxa"/>
            <w:noWrap w:val="0"/>
            <w:vAlign w:val="center"/>
          </w:tcPr>
          <w:p w14:paraId="421D3EB0">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采购人</w:t>
            </w:r>
            <w:r>
              <w:rPr>
                <w:rFonts w:hint="eastAsia" w:ascii="宋体" w:hAnsi="宋体" w:eastAsia="宋体" w:cs="宋体"/>
                <w:b/>
                <w:color w:val="auto"/>
                <w:highlight w:val="none"/>
              </w:rPr>
              <w:br w:type="textWrapping"/>
            </w:r>
            <w:r>
              <w:rPr>
                <w:rFonts w:hint="eastAsia" w:ascii="宋体" w:hAnsi="宋体" w:eastAsia="宋体" w:cs="宋体"/>
                <w:b/>
                <w:color w:val="auto"/>
                <w:highlight w:val="none"/>
              </w:rPr>
              <w:t>名  称</w:t>
            </w:r>
          </w:p>
        </w:tc>
        <w:tc>
          <w:tcPr>
            <w:tcW w:w="2003" w:type="dxa"/>
            <w:noWrap w:val="0"/>
            <w:vAlign w:val="center"/>
          </w:tcPr>
          <w:p w14:paraId="21312C18">
            <w:pPr>
              <w:tabs>
                <w:tab w:val="left" w:pos="6252"/>
              </w:tabs>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1798" w:type="dxa"/>
            <w:noWrap w:val="0"/>
            <w:vAlign w:val="center"/>
          </w:tcPr>
          <w:p w14:paraId="304AD620">
            <w:pPr>
              <w:tabs>
                <w:tab w:val="left" w:pos="6252"/>
              </w:tabs>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项目起止时间</w:t>
            </w:r>
          </w:p>
        </w:tc>
        <w:tc>
          <w:tcPr>
            <w:tcW w:w="1291" w:type="dxa"/>
            <w:noWrap w:val="0"/>
            <w:vAlign w:val="center"/>
          </w:tcPr>
          <w:p w14:paraId="20805E74">
            <w:pPr>
              <w:tabs>
                <w:tab w:val="left" w:pos="6252"/>
              </w:tabs>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合同金额</w:t>
            </w:r>
          </w:p>
          <w:p w14:paraId="78D0E6AD">
            <w:pPr>
              <w:tabs>
                <w:tab w:val="left" w:pos="6252"/>
              </w:tabs>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2193" w:type="dxa"/>
            <w:noWrap w:val="0"/>
            <w:vAlign w:val="center"/>
          </w:tcPr>
          <w:p w14:paraId="0AE092C5">
            <w:pPr>
              <w:tabs>
                <w:tab w:val="left" w:pos="6252"/>
              </w:tabs>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采购人联系人及联系电话</w:t>
            </w:r>
          </w:p>
        </w:tc>
      </w:tr>
      <w:tr w14:paraId="74D6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noWrap w:val="0"/>
            <w:vAlign w:val="center"/>
          </w:tcPr>
          <w:p w14:paraId="3D9B992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78" w:type="dxa"/>
            <w:noWrap w:val="0"/>
            <w:vAlign w:val="center"/>
          </w:tcPr>
          <w:p w14:paraId="38783223">
            <w:pPr>
              <w:spacing w:line="360" w:lineRule="auto"/>
              <w:jc w:val="center"/>
              <w:rPr>
                <w:rFonts w:hint="eastAsia" w:ascii="宋体" w:hAnsi="宋体" w:eastAsia="宋体" w:cs="宋体"/>
                <w:color w:val="auto"/>
                <w:highlight w:val="none"/>
              </w:rPr>
            </w:pPr>
          </w:p>
        </w:tc>
        <w:tc>
          <w:tcPr>
            <w:tcW w:w="2003" w:type="dxa"/>
            <w:noWrap w:val="0"/>
            <w:vAlign w:val="top"/>
          </w:tcPr>
          <w:p w14:paraId="5F0C3745">
            <w:pPr>
              <w:spacing w:line="360" w:lineRule="auto"/>
              <w:jc w:val="center"/>
              <w:rPr>
                <w:rFonts w:hint="eastAsia" w:ascii="宋体" w:hAnsi="宋体" w:eastAsia="宋体" w:cs="宋体"/>
                <w:color w:val="auto"/>
                <w:highlight w:val="none"/>
              </w:rPr>
            </w:pPr>
          </w:p>
        </w:tc>
        <w:tc>
          <w:tcPr>
            <w:tcW w:w="1798" w:type="dxa"/>
            <w:noWrap w:val="0"/>
            <w:vAlign w:val="top"/>
          </w:tcPr>
          <w:p w14:paraId="11001711">
            <w:pPr>
              <w:spacing w:line="360" w:lineRule="auto"/>
              <w:jc w:val="center"/>
              <w:rPr>
                <w:rFonts w:hint="eastAsia" w:ascii="宋体" w:hAnsi="宋体" w:eastAsia="宋体" w:cs="宋体"/>
                <w:color w:val="auto"/>
                <w:highlight w:val="none"/>
              </w:rPr>
            </w:pPr>
          </w:p>
        </w:tc>
        <w:tc>
          <w:tcPr>
            <w:tcW w:w="1291" w:type="dxa"/>
            <w:noWrap w:val="0"/>
            <w:vAlign w:val="center"/>
          </w:tcPr>
          <w:p w14:paraId="10D0422B">
            <w:pPr>
              <w:spacing w:line="360" w:lineRule="auto"/>
              <w:jc w:val="center"/>
              <w:rPr>
                <w:rFonts w:hint="eastAsia" w:ascii="宋体" w:hAnsi="宋体" w:eastAsia="宋体" w:cs="宋体"/>
                <w:color w:val="auto"/>
                <w:highlight w:val="none"/>
              </w:rPr>
            </w:pPr>
          </w:p>
        </w:tc>
        <w:tc>
          <w:tcPr>
            <w:tcW w:w="2193" w:type="dxa"/>
            <w:noWrap w:val="0"/>
            <w:vAlign w:val="center"/>
          </w:tcPr>
          <w:p w14:paraId="41FF4E69">
            <w:pPr>
              <w:spacing w:line="360" w:lineRule="auto"/>
              <w:jc w:val="center"/>
              <w:rPr>
                <w:rFonts w:hint="eastAsia" w:ascii="宋体" w:hAnsi="宋体" w:eastAsia="宋体" w:cs="宋体"/>
                <w:color w:val="auto"/>
                <w:highlight w:val="none"/>
              </w:rPr>
            </w:pPr>
          </w:p>
        </w:tc>
      </w:tr>
      <w:tr w14:paraId="06F7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noWrap w:val="0"/>
            <w:vAlign w:val="center"/>
          </w:tcPr>
          <w:p w14:paraId="16747F0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78" w:type="dxa"/>
            <w:noWrap w:val="0"/>
            <w:vAlign w:val="center"/>
          </w:tcPr>
          <w:p w14:paraId="22EECB50">
            <w:pPr>
              <w:spacing w:line="360" w:lineRule="auto"/>
              <w:jc w:val="center"/>
              <w:rPr>
                <w:rFonts w:hint="eastAsia" w:ascii="宋体" w:hAnsi="宋体" w:eastAsia="宋体" w:cs="宋体"/>
                <w:color w:val="auto"/>
                <w:highlight w:val="none"/>
              </w:rPr>
            </w:pPr>
          </w:p>
        </w:tc>
        <w:tc>
          <w:tcPr>
            <w:tcW w:w="2003" w:type="dxa"/>
            <w:noWrap w:val="0"/>
            <w:vAlign w:val="top"/>
          </w:tcPr>
          <w:p w14:paraId="37BD773A">
            <w:pPr>
              <w:spacing w:line="360" w:lineRule="auto"/>
              <w:jc w:val="center"/>
              <w:rPr>
                <w:rFonts w:hint="eastAsia" w:ascii="宋体" w:hAnsi="宋体" w:eastAsia="宋体" w:cs="宋体"/>
                <w:color w:val="auto"/>
                <w:highlight w:val="none"/>
              </w:rPr>
            </w:pPr>
          </w:p>
        </w:tc>
        <w:tc>
          <w:tcPr>
            <w:tcW w:w="1798" w:type="dxa"/>
            <w:noWrap w:val="0"/>
            <w:vAlign w:val="top"/>
          </w:tcPr>
          <w:p w14:paraId="48073E4B">
            <w:pPr>
              <w:spacing w:line="360" w:lineRule="auto"/>
              <w:jc w:val="center"/>
              <w:rPr>
                <w:rFonts w:hint="eastAsia" w:ascii="宋体" w:hAnsi="宋体" w:eastAsia="宋体" w:cs="宋体"/>
                <w:color w:val="auto"/>
                <w:highlight w:val="none"/>
              </w:rPr>
            </w:pPr>
          </w:p>
        </w:tc>
        <w:tc>
          <w:tcPr>
            <w:tcW w:w="1291" w:type="dxa"/>
            <w:noWrap w:val="0"/>
            <w:vAlign w:val="center"/>
          </w:tcPr>
          <w:p w14:paraId="78FFD6C4">
            <w:pPr>
              <w:spacing w:line="360" w:lineRule="auto"/>
              <w:jc w:val="center"/>
              <w:rPr>
                <w:rFonts w:hint="eastAsia" w:ascii="宋体" w:hAnsi="宋体" w:eastAsia="宋体" w:cs="宋体"/>
                <w:color w:val="auto"/>
                <w:highlight w:val="none"/>
              </w:rPr>
            </w:pPr>
          </w:p>
        </w:tc>
        <w:tc>
          <w:tcPr>
            <w:tcW w:w="2193" w:type="dxa"/>
            <w:noWrap w:val="0"/>
            <w:vAlign w:val="center"/>
          </w:tcPr>
          <w:p w14:paraId="4EC84BD9">
            <w:pPr>
              <w:spacing w:line="360" w:lineRule="auto"/>
              <w:jc w:val="center"/>
              <w:rPr>
                <w:rFonts w:hint="eastAsia" w:ascii="宋体" w:hAnsi="宋体" w:eastAsia="宋体" w:cs="宋体"/>
                <w:color w:val="auto"/>
                <w:highlight w:val="none"/>
              </w:rPr>
            </w:pPr>
          </w:p>
        </w:tc>
      </w:tr>
      <w:tr w14:paraId="3168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noWrap w:val="0"/>
            <w:vAlign w:val="center"/>
          </w:tcPr>
          <w:p w14:paraId="4C074BD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78" w:type="dxa"/>
            <w:noWrap w:val="0"/>
            <w:vAlign w:val="center"/>
          </w:tcPr>
          <w:p w14:paraId="64B668F2">
            <w:pPr>
              <w:spacing w:line="360" w:lineRule="auto"/>
              <w:jc w:val="center"/>
              <w:rPr>
                <w:rFonts w:hint="eastAsia" w:ascii="宋体" w:hAnsi="宋体" w:eastAsia="宋体" w:cs="宋体"/>
                <w:color w:val="auto"/>
                <w:highlight w:val="none"/>
              </w:rPr>
            </w:pPr>
          </w:p>
        </w:tc>
        <w:tc>
          <w:tcPr>
            <w:tcW w:w="2003" w:type="dxa"/>
            <w:noWrap w:val="0"/>
            <w:vAlign w:val="top"/>
          </w:tcPr>
          <w:p w14:paraId="0F667A6A">
            <w:pPr>
              <w:spacing w:line="360" w:lineRule="auto"/>
              <w:jc w:val="center"/>
              <w:rPr>
                <w:rFonts w:hint="eastAsia" w:ascii="宋体" w:hAnsi="宋体" w:eastAsia="宋体" w:cs="宋体"/>
                <w:color w:val="auto"/>
                <w:highlight w:val="none"/>
              </w:rPr>
            </w:pPr>
          </w:p>
        </w:tc>
        <w:tc>
          <w:tcPr>
            <w:tcW w:w="1798" w:type="dxa"/>
            <w:noWrap w:val="0"/>
            <w:vAlign w:val="top"/>
          </w:tcPr>
          <w:p w14:paraId="325D2230">
            <w:pPr>
              <w:spacing w:line="360" w:lineRule="auto"/>
              <w:jc w:val="center"/>
              <w:rPr>
                <w:rFonts w:hint="eastAsia" w:ascii="宋体" w:hAnsi="宋体" w:eastAsia="宋体" w:cs="宋体"/>
                <w:color w:val="auto"/>
                <w:highlight w:val="none"/>
              </w:rPr>
            </w:pPr>
          </w:p>
        </w:tc>
        <w:tc>
          <w:tcPr>
            <w:tcW w:w="1291" w:type="dxa"/>
            <w:noWrap w:val="0"/>
            <w:vAlign w:val="center"/>
          </w:tcPr>
          <w:p w14:paraId="0AA350FB">
            <w:pPr>
              <w:spacing w:line="360" w:lineRule="auto"/>
              <w:jc w:val="center"/>
              <w:rPr>
                <w:rFonts w:hint="eastAsia" w:ascii="宋体" w:hAnsi="宋体" w:eastAsia="宋体" w:cs="宋体"/>
                <w:color w:val="auto"/>
                <w:highlight w:val="none"/>
              </w:rPr>
            </w:pPr>
          </w:p>
        </w:tc>
        <w:tc>
          <w:tcPr>
            <w:tcW w:w="2193" w:type="dxa"/>
            <w:noWrap w:val="0"/>
            <w:vAlign w:val="center"/>
          </w:tcPr>
          <w:p w14:paraId="2D9EEC56">
            <w:pPr>
              <w:spacing w:line="360" w:lineRule="auto"/>
              <w:jc w:val="center"/>
              <w:rPr>
                <w:rFonts w:hint="eastAsia" w:ascii="宋体" w:hAnsi="宋体" w:eastAsia="宋体" w:cs="宋体"/>
                <w:color w:val="auto"/>
                <w:highlight w:val="none"/>
              </w:rPr>
            </w:pPr>
          </w:p>
        </w:tc>
      </w:tr>
    </w:tbl>
    <w:p w14:paraId="6F8A0011">
      <w:pPr>
        <w:pStyle w:val="122"/>
        <w:spacing w:line="360" w:lineRule="auto"/>
        <w:jc w:val="center"/>
        <w:rPr>
          <w:rFonts w:hint="eastAsia" w:ascii="宋体" w:hAnsi="宋体" w:eastAsia="宋体" w:cs="宋体"/>
          <w:b/>
          <w:color w:val="auto"/>
          <w:sz w:val="24"/>
          <w:szCs w:val="24"/>
          <w:highlight w:val="none"/>
        </w:rPr>
      </w:pPr>
    </w:p>
    <w:p w14:paraId="0EB30662">
      <w:pPr>
        <w:snapToGrid w:val="0"/>
        <w:spacing w:before="120" w:beforeLines="50" w:line="400" w:lineRule="exact"/>
        <w:ind w:firstLine="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color w:val="auto"/>
          <w:highlight w:val="none"/>
        </w:rPr>
        <w:t>须同时提供中标通知书复印件或合同复印件等证明材料加盖公章</w:t>
      </w:r>
    </w:p>
    <w:p w14:paraId="5E54CF3D">
      <w:pPr>
        <w:snapToGrid w:val="0"/>
        <w:spacing w:before="120" w:beforeLines="50" w:line="480" w:lineRule="auto"/>
        <w:rPr>
          <w:rFonts w:hint="eastAsia" w:ascii="宋体" w:hAnsi="宋体" w:eastAsia="宋体" w:cs="宋体"/>
          <w:color w:val="auto"/>
          <w:szCs w:val="20"/>
          <w:highlight w:val="none"/>
          <w:u w:val="single"/>
        </w:rPr>
      </w:pPr>
      <w:r>
        <w:rPr>
          <w:rFonts w:hint="eastAsia" w:ascii="宋体" w:hAnsi="宋体" w:eastAsia="宋体" w:cs="宋体"/>
          <w:color w:val="auto"/>
          <w:highlight w:val="none"/>
        </w:rPr>
        <w:t>被授权人签字（或盖章）：</w:t>
      </w:r>
    </w:p>
    <w:p w14:paraId="753978DF">
      <w:pPr>
        <w:pStyle w:val="122"/>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投标供应商公章 ： </w:t>
      </w:r>
    </w:p>
    <w:p w14:paraId="2C427996">
      <w:pPr>
        <w:pStyle w:val="122"/>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C127E8A">
      <w:pPr>
        <w:pStyle w:val="17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2.商务响应表</w:t>
      </w:r>
    </w:p>
    <w:p w14:paraId="7A3B1AFC">
      <w:pPr>
        <w:pStyle w:val="175"/>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商务响应表</w:t>
      </w:r>
    </w:p>
    <w:p w14:paraId="22A36E40">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tbl>
      <w:tblPr>
        <w:tblStyle w:val="43"/>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2F696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1A36A412">
            <w:pPr>
              <w:spacing w:before="240" w:after="2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086" w:type="dxa"/>
            <w:noWrap w:val="0"/>
            <w:vAlign w:val="top"/>
          </w:tcPr>
          <w:p w14:paraId="1738A5C7">
            <w:pPr>
              <w:spacing w:before="240" w:after="2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招标文件的规定</w:t>
            </w:r>
          </w:p>
        </w:tc>
        <w:tc>
          <w:tcPr>
            <w:tcW w:w="3086" w:type="dxa"/>
            <w:noWrap w:val="0"/>
            <w:vAlign w:val="top"/>
          </w:tcPr>
          <w:p w14:paraId="7B6A0026">
            <w:pPr>
              <w:spacing w:before="240" w:after="2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投标文件的相应</w:t>
            </w:r>
          </w:p>
        </w:tc>
        <w:tc>
          <w:tcPr>
            <w:tcW w:w="1411" w:type="dxa"/>
            <w:noWrap w:val="0"/>
            <w:vAlign w:val="top"/>
          </w:tcPr>
          <w:p w14:paraId="32878104">
            <w:pPr>
              <w:spacing w:before="240" w:after="2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2EC2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5AB6F3CD">
            <w:pPr>
              <w:spacing w:before="240" w:after="240"/>
              <w:rPr>
                <w:rFonts w:hint="eastAsia" w:ascii="宋体" w:hAnsi="宋体" w:eastAsia="宋体" w:cs="宋体"/>
                <w:color w:val="auto"/>
                <w:szCs w:val="21"/>
                <w:highlight w:val="none"/>
              </w:rPr>
            </w:pPr>
          </w:p>
        </w:tc>
        <w:tc>
          <w:tcPr>
            <w:tcW w:w="3086" w:type="dxa"/>
            <w:noWrap w:val="0"/>
            <w:vAlign w:val="top"/>
          </w:tcPr>
          <w:p w14:paraId="31417DDA">
            <w:pPr>
              <w:spacing w:before="240" w:after="240"/>
              <w:rPr>
                <w:rFonts w:hint="eastAsia" w:ascii="宋体" w:hAnsi="宋体" w:eastAsia="宋体" w:cs="宋体"/>
                <w:color w:val="auto"/>
                <w:szCs w:val="21"/>
                <w:highlight w:val="none"/>
              </w:rPr>
            </w:pPr>
          </w:p>
        </w:tc>
        <w:tc>
          <w:tcPr>
            <w:tcW w:w="3086" w:type="dxa"/>
            <w:noWrap w:val="0"/>
            <w:vAlign w:val="top"/>
          </w:tcPr>
          <w:p w14:paraId="2795CFC0">
            <w:pPr>
              <w:spacing w:before="240" w:after="240"/>
              <w:rPr>
                <w:rFonts w:hint="eastAsia" w:ascii="宋体" w:hAnsi="宋体" w:eastAsia="宋体" w:cs="宋体"/>
                <w:color w:val="auto"/>
                <w:szCs w:val="21"/>
                <w:highlight w:val="none"/>
              </w:rPr>
            </w:pPr>
          </w:p>
        </w:tc>
        <w:tc>
          <w:tcPr>
            <w:tcW w:w="1411" w:type="dxa"/>
            <w:noWrap w:val="0"/>
            <w:vAlign w:val="top"/>
          </w:tcPr>
          <w:p w14:paraId="2668A0F4">
            <w:pPr>
              <w:spacing w:before="240" w:after="240"/>
              <w:rPr>
                <w:rFonts w:hint="eastAsia" w:ascii="宋体" w:hAnsi="宋体" w:eastAsia="宋体" w:cs="宋体"/>
                <w:color w:val="auto"/>
                <w:szCs w:val="21"/>
                <w:highlight w:val="none"/>
              </w:rPr>
            </w:pPr>
          </w:p>
        </w:tc>
      </w:tr>
      <w:tr w14:paraId="369E9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1283A577">
            <w:pPr>
              <w:spacing w:before="240" w:after="240"/>
              <w:rPr>
                <w:rFonts w:hint="eastAsia" w:ascii="宋体" w:hAnsi="宋体" w:eastAsia="宋体" w:cs="宋体"/>
                <w:color w:val="auto"/>
                <w:szCs w:val="21"/>
                <w:highlight w:val="none"/>
              </w:rPr>
            </w:pPr>
          </w:p>
        </w:tc>
        <w:tc>
          <w:tcPr>
            <w:tcW w:w="3086" w:type="dxa"/>
            <w:noWrap w:val="0"/>
            <w:vAlign w:val="top"/>
          </w:tcPr>
          <w:p w14:paraId="0F42F6B4">
            <w:pPr>
              <w:spacing w:before="240" w:after="240"/>
              <w:rPr>
                <w:rFonts w:hint="eastAsia" w:ascii="宋体" w:hAnsi="宋体" w:eastAsia="宋体" w:cs="宋体"/>
                <w:color w:val="auto"/>
                <w:szCs w:val="21"/>
                <w:highlight w:val="none"/>
              </w:rPr>
            </w:pPr>
          </w:p>
        </w:tc>
        <w:tc>
          <w:tcPr>
            <w:tcW w:w="3086" w:type="dxa"/>
            <w:noWrap w:val="0"/>
            <w:vAlign w:val="top"/>
          </w:tcPr>
          <w:p w14:paraId="34C86118">
            <w:pPr>
              <w:spacing w:before="240" w:after="240"/>
              <w:rPr>
                <w:rFonts w:hint="eastAsia" w:ascii="宋体" w:hAnsi="宋体" w:eastAsia="宋体" w:cs="宋体"/>
                <w:color w:val="auto"/>
                <w:szCs w:val="21"/>
                <w:highlight w:val="none"/>
              </w:rPr>
            </w:pPr>
          </w:p>
        </w:tc>
        <w:tc>
          <w:tcPr>
            <w:tcW w:w="1411" w:type="dxa"/>
            <w:noWrap w:val="0"/>
            <w:vAlign w:val="top"/>
          </w:tcPr>
          <w:p w14:paraId="6E585B4F">
            <w:pPr>
              <w:spacing w:before="240" w:after="240"/>
              <w:rPr>
                <w:rFonts w:hint="eastAsia" w:ascii="宋体" w:hAnsi="宋体" w:eastAsia="宋体" w:cs="宋体"/>
                <w:color w:val="auto"/>
                <w:szCs w:val="21"/>
                <w:highlight w:val="none"/>
              </w:rPr>
            </w:pPr>
          </w:p>
        </w:tc>
      </w:tr>
      <w:tr w14:paraId="053C9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2D5AE829">
            <w:pPr>
              <w:spacing w:before="240" w:after="240"/>
              <w:rPr>
                <w:rFonts w:hint="eastAsia" w:ascii="宋体" w:hAnsi="宋体" w:eastAsia="宋体" w:cs="宋体"/>
                <w:color w:val="auto"/>
                <w:szCs w:val="21"/>
                <w:highlight w:val="none"/>
              </w:rPr>
            </w:pPr>
          </w:p>
        </w:tc>
        <w:tc>
          <w:tcPr>
            <w:tcW w:w="3086" w:type="dxa"/>
            <w:noWrap w:val="0"/>
            <w:vAlign w:val="top"/>
          </w:tcPr>
          <w:p w14:paraId="1CAA966C">
            <w:pPr>
              <w:spacing w:before="240" w:after="240"/>
              <w:rPr>
                <w:rFonts w:hint="eastAsia" w:ascii="宋体" w:hAnsi="宋体" w:eastAsia="宋体" w:cs="宋体"/>
                <w:color w:val="auto"/>
                <w:szCs w:val="21"/>
                <w:highlight w:val="none"/>
              </w:rPr>
            </w:pPr>
          </w:p>
        </w:tc>
        <w:tc>
          <w:tcPr>
            <w:tcW w:w="3086" w:type="dxa"/>
            <w:noWrap w:val="0"/>
            <w:vAlign w:val="top"/>
          </w:tcPr>
          <w:p w14:paraId="05CD3DE4">
            <w:pPr>
              <w:spacing w:before="240" w:after="240"/>
              <w:rPr>
                <w:rFonts w:hint="eastAsia" w:ascii="宋体" w:hAnsi="宋体" w:eastAsia="宋体" w:cs="宋体"/>
                <w:color w:val="auto"/>
                <w:szCs w:val="21"/>
                <w:highlight w:val="none"/>
              </w:rPr>
            </w:pPr>
          </w:p>
        </w:tc>
        <w:tc>
          <w:tcPr>
            <w:tcW w:w="1411" w:type="dxa"/>
            <w:noWrap w:val="0"/>
            <w:vAlign w:val="top"/>
          </w:tcPr>
          <w:p w14:paraId="6C625FE8">
            <w:pPr>
              <w:spacing w:before="240" w:after="240"/>
              <w:rPr>
                <w:rFonts w:hint="eastAsia" w:ascii="宋体" w:hAnsi="宋体" w:eastAsia="宋体" w:cs="宋体"/>
                <w:color w:val="auto"/>
                <w:szCs w:val="21"/>
                <w:highlight w:val="none"/>
              </w:rPr>
            </w:pPr>
          </w:p>
        </w:tc>
      </w:tr>
    </w:tbl>
    <w:p w14:paraId="3C531BD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注：供应商的投标文件（除技术规格部分）与招标文件之规定存在偏离的，应在此表中如实说明。未在上表中说明的，将被认为完全响应招标文件的规定。</w:t>
      </w:r>
    </w:p>
    <w:p w14:paraId="676A98E5">
      <w:pPr>
        <w:snapToGrid w:val="0"/>
        <w:spacing w:before="120" w:beforeLines="50" w:line="400" w:lineRule="exact"/>
        <w:ind w:firstLine="200"/>
        <w:rPr>
          <w:rFonts w:hint="eastAsia" w:ascii="宋体" w:hAnsi="宋体" w:eastAsia="宋体" w:cs="宋体"/>
          <w:color w:val="auto"/>
          <w:szCs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highlight w:val="none"/>
          <w:u w:val="single"/>
        </w:rPr>
        <w:t xml:space="preserve">             </w:t>
      </w:r>
    </w:p>
    <w:p w14:paraId="29B90BB5">
      <w:pPr>
        <w:snapToGrid w:val="0"/>
        <w:spacing w:before="120" w:beforeLines="50" w:after="50" w:line="4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供应商公章：                                   </w:t>
      </w:r>
    </w:p>
    <w:p w14:paraId="2FC20223">
      <w:pPr>
        <w:snapToGrid w:val="0"/>
        <w:spacing w:before="120" w:beforeLines="50" w:after="50" w:line="4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73E6D3DC">
      <w:pPr>
        <w:snapToGrid w:val="0"/>
        <w:spacing w:before="120" w:beforeLines="50" w:after="50" w:line="400" w:lineRule="exact"/>
        <w:ind w:firstLine="210" w:firstLineChars="100"/>
        <w:rPr>
          <w:rFonts w:hint="eastAsia" w:ascii="宋体" w:hAnsi="宋体" w:eastAsia="宋体" w:cs="宋体"/>
          <w:color w:val="auto"/>
          <w:highlight w:val="none"/>
        </w:rPr>
      </w:pPr>
    </w:p>
    <w:p w14:paraId="4A243328">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3、提供服务的设备详细清单（不含报价）</w:t>
      </w:r>
    </w:p>
    <w:p w14:paraId="2655F15C">
      <w:pPr>
        <w:spacing w:line="360" w:lineRule="auto"/>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设备详细清单</w:t>
      </w:r>
    </w:p>
    <w:p w14:paraId="5D3AD4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80"/>
        <w:gridCol w:w="864"/>
        <w:gridCol w:w="773"/>
        <w:gridCol w:w="1276"/>
        <w:gridCol w:w="992"/>
        <w:gridCol w:w="2714"/>
      </w:tblGrid>
      <w:tr w14:paraId="0A3E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6C36ADB1">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80" w:type="dxa"/>
            <w:noWrap w:val="0"/>
            <w:vAlign w:val="center"/>
          </w:tcPr>
          <w:p w14:paraId="030E6787">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设备名称（服务名称）</w:t>
            </w:r>
          </w:p>
        </w:tc>
        <w:tc>
          <w:tcPr>
            <w:tcW w:w="864" w:type="dxa"/>
            <w:noWrap w:val="0"/>
            <w:vAlign w:val="center"/>
          </w:tcPr>
          <w:p w14:paraId="0DC29755">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73" w:type="dxa"/>
            <w:noWrap w:val="0"/>
            <w:vAlign w:val="center"/>
          </w:tcPr>
          <w:p w14:paraId="3A258556">
            <w:pPr>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276" w:type="dxa"/>
            <w:noWrap w:val="0"/>
            <w:vAlign w:val="center"/>
          </w:tcPr>
          <w:p w14:paraId="50F6831F">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92" w:type="dxa"/>
            <w:noWrap w:val="0"/>
            <w:vAlign w:val="center"/>
          </w:tcPr>
          <w:p w14:paraId="4B57DB41">
            <w:pPr>
              <w:jc w:val="center"/>
              <w:rPr>
                <w:rFonts w:hint="eastAsia" w:ascii="宋体" w:hAnsi="宋体" w:eastAsia="宋体" w:cs="宋体"/>
                <w:color w:val="auto"/>
                <w:highlight w:val="none"/>
              </w:rPr>
            </w:pPr>
            <w:r>
              <w:rPr>
                <w:rFonts w:hint="eastAsia" w:ascii="宋体" w:hAnsi="宋体" w:eastAsia="宋体" w:cs="宋体"/>
                <w:color w:val="auto"/>
                <w:highlight w:val="none"/>
              </w:rPr>
              <w:t>制造商</w:t>
            </w:r>
          </w:p>
        </w:tc>
        <w:tc>
          <w:tcPr>
            <w:tcW w:w="2714" w:type="dxa"/>
            <w:noWrap w:val="0"/>
            <w:vAlign w:val="top"/>
          </w:tcPr>
          <w:p w14:paraId="55F0AA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制造商是否属于小型企业、微型企业</w:t>
            </w:r>
          </w:p>
        </w:tc>
      </w:tr>
      <w:tr w14:paraId="6A5F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119C9CC9">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80" w:type="dxa"/>
            <w:noWrap w:val="0"/>
            <w:vAlign w:val="center"/>
          </w:tcPr>
          <w:p w14:paraId="4F783759">
            <w:pPr>
              <w:jc w:val="center"/>
              <w:rPr>
                <w:rFonts w:hint="eastAsia" w:ascii="宋体" w:hAnsi="宋体" w:eastAsia="宋体" w:cs="宋体"/>
                <w:color w:val="auto"/>
                <w:highlight w:val="none"/>
              </w:rPr>
            </w:pPr>
          </w:p>
        </w:tc>
        <w:tc>
          <w:tcPr>
            <w:tcW w:w="864" w:type="dxa"/>
            <w:noWrap w:val="0"/>
            <w:vAlign w:val="center"/>
          </w:tcPr>
          <w:p w14:paraId="63FB0C91">
            <w:pPr>
              <w:jc w:val="center"/>
              <w:rPr>
                <w:rFonts w:hint="eastAsia" w:ascii="宋体" w:hAnsi="宋体" w:eastAsia="宋体" w:cs="宋体"/>
                <w:color w:val="auto"/>
                <w:highlight w:val="none"/>
              </w:rPr>
            </w:pPr>
          </w:p>
        </w:tc>
        <w:tc>
          <w:tcPr>
            <w:tcW w:w="773" w:type="dxa"/>
            <w:noWrap w:val="0"/>
            <w:vAlign w:val="center"/>
          </w:tcPr>
          <w:p w14:paraId="026369E6">
            <w:pPr>
              <w:jc w:val="center"/>
              <w:rPr>
                <w:rFonts w:hint="eastAsia" w:ascii="宋体" w:hAnsi="宋体" w:eastAsia="宋体" w:cs="宋体"/>
                <w:color w:val="auto"/>
                <w:highlight w:val="none"/>
              </w:rPr>
            </w:pPr>
          </w:p>
        </w:tc>
        <w:tc>
          <w:tcPr>
            <w:tcW w:w="1276" w:type="dxa"/>
            <w:noWrap w:val="0"/>
            <w:vAlign w:val="center"/>
          </w:tcPr>
          <w:p w14:paraId="1F67F295">
            <w:pPr>
              <w:jc w:val="center"/>
              <w:rPr>
                <w:rFonts w:hint="eastAsia" w:ascii="宋体" w:hAnsi="宋体" w:eastAsia="宋体" w:cs="宋体"/>
                <w:color w:val="auto"/>
                <w:highlight w:val="none"/>
              </w:rPr>
            </w:pPr>
          </w:p>
        </w:tc>
        <w:tc>
          <w:tcPr>
            <w:tcW w:w="992" w:type="dxa"/>
            <w:noWrap w:val="0"/>
            <w:vAlign w:val="center"/>
          </w:tcPr>
          <w:p w14:paraId="29E48FF5">
            <w:pPr>
              <w:jc w:val="center"/>
              <w:rPr>
                <w:rFonts w:hint="eastAsia" w:ascii="宋体" w:hAnsi="宋体" w:eastAsia="宋体" w:cs="宋体"/>
                <w:color w:val="auto"/>
                <w:highlight w:val="none"/>
              </w:rPr>
            </w:pPr>
          </w:p>
        </w:tc>
        <w:tc>
          <w:tcPr>
            <w:tcW w:w="2714" w:type="dxa"/>
            <w:noWrap w:val="0"/>
            <w:vAlign w:val="top"/>
          </w:tcPr>
          <w:p w14:paraId="54CB4311">
            <w:pPr>
              <w:jc w:val="center"/>
              <w:rPr>
                <w:rFonts w:hint="eastAsia" w:ascii="宋体" w:hAnsi="宋体" w:eastAsia="宋体" w:cs="宋体"/>
                <w:color w:val="auto"/>
                <w:highlight w:val="none"/>
              </w:rPr>
            </w:pPr>
          </w:p>
        </w:tc>
      </w:tr>
      <w:tr w14:paraId="3E1A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noWrap w:val="0"/>
            <w:vAlign w:val="center"/>
          </w:tcPr>
          <w:p w14:paraId="1632AADE">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80" w:type="dxa"/>
            <w:noWrap w:val="0"/>
            <w:vAlign w:val="center"/>
          </w:tcPr>
          <w:p w14:paraId="5766840F">
            <w:pPr>
              <w:jc w:val="center"/>
              <w:rPr>
                <w:rFonts w:hint="eastAsia" w:ascii="宋体" w:hAnsi="宋体" w:eastAsia="宋体" w:cs="宋体"/>
                <w:color w:val="auto"/>
                <w:highlight w:val="none"/>
              </w:rPr>
            </w:pPr>
          </w:p>
        </w:tc>
        <w:tc>
          <w:tcPr>
            <w:tcW w:w="864" w:type="dxa"/>
            <w:noWrap w:val="0"/>
            <w:vAlign w:val="center"/>
          </w:tcPr>
          <w:p w14:paraId="47E13FC3">
            <w:pPr>
              <w:jc w:val="center"/>
              <w:rPr>
                <w:rFonts w:hint="eastAsia" w:ascii="宋体" w:hAnsi="宋体" w:eastAsia="宋体" w:cs="宋体"/>
                <w:color w:val="auto"/>
                <w:highlight w:val="none"/>
              </w:rPr>
            </w:pPr>
          </w:p>
        </w:tc>
        <w:tc>
          <w:tcPr>
            <w:tcW w:w="773" w:type="dxa"/>
            <w:noWrap w:val="0"/>
            <w:vAlign w:val="center"/>
          </w:tcPr>
          <w:p w14:paraId="0E19B568">
            <w:pPr>
              <w:jc w:val="center"/>
              <w:rPr>
                <w:rFonts w:hint="eastAsia" w:ascii="宋体" w:hAnsi="宋体" w:eastAsia="宋体" w:cs="宋体"/>
                <w:color w:val="auto"/>
                <w:highlight w:val="none"/>
              </w:rPr>
            </w:pPr>
          </w:p>
        </w:tc>
        <w:tc>
          <w:tcPr>
            <w:tcW w:w="1276" w:type="dxa"/>
            <w:noWrap w:val="0"/>
            <w:vAlign w:val="center"/>
          </w:tcPr>
          <w:p w14:paraId="34D105DF">
            <w:pPr>
              <w:jc w:val="center"/>
              <w:rPr>
                <w:rFonts w:hint="eastAsia" w:ascii="宋体" w:hAnsi="宋体" w:eastAsia="宋体" w:cs="宋体"/>
                <w:color w:val="auto"/>
                <w:highlight w:val="none"/>
              </w:rPr>
            </w:pPr>
          </w:p>
        </w:tc>
        <w:tc>
          <w:tcPr>
            <w:tcW w:w="992" w:type="dxa"/>
            <w:noWrap w:val="0"/>
            <w:vAlign w:val="center"/>
          </w:tcPr>
          <w:p w14:paraId="225F6ABC">
            <w:pPr>
              <w:jc w:val="center"/>
              <w:rPr>
                <w:rFonts w:hint="eastAsia" w:ascii="宋体" w:hAnsi="宋体" w:eastAsia="宋体" w:cs="宋体"/>
                <w:color w:val="auto"/>
                <w:highlight w:val="none"/>
              </w:rPr>
            </w:pPr>
          </w:p>
        </w:tc>
        <w:tc>
          <w:tcPr>
            <w:tcW w:w="2714" w:type="dxa"/>
            <w:noWrap w:val="0"/>
            <w:vAlign w:val="top"/>
          </w:tcPr>
          <w:p w14:paraId="1148DA28">
            <w:pPr>
              <w:jc w:val="center"/>
              <w:rPr>
                <w:rFonts w:hint="eastAsia" w:ascii="宋体" w:hAnsi="宋体" w:eastAsia="宋体" w:cs="宋体"/>
                <w:color w:val="auto"/>
                <w:highlight w:val="none"/>
              </w:rPr>
            </w:pPr>
          </w:p>
        </w:tc>
      </w:tr>
      <w:tr w14:paraId="31D2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1F8FF7BB">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80" w:type="dxa"/>
            <w:noWrap w:val="0"/>
            <w:vAlign w:val="center"/>
          </w:tcPr>
          <w:p w14:paraId="7AE7551C">
            <w:pPr>
              <w:jc w:val="center"/>
              <w:rPr>
                <w:rFonts w:hint="eastAsia" w:ascii="宋体" w:hAnsi="宋体" w:eastAsia="宋体" w:cs="宋体"/>
                <w:color w:val="auto"/>
                <w:highlight w:val="none"/>
              </w:rPr>
            </w:pPr>
          </w:p>
        </w:tc>
        <w:tc>
          <w:tcPr>
            <w:tcW w:w="864" w:type="dxa"/>
            <w:noWrap w:val="0"/>
            <w:vAlign w:val="center"/>
          </w:tcPr>
          <w:p w14:paraId="566860E7">
            <w:pPr>
              <w:jc w:val="center"/>
              <w:rPr>
                <w:rFonts w:hint="eastAsia" w:ascii="宋体" w:hAnsi="宋体" w:eastAsia="宋体" w:cs="宋体"/>
                <w:color w:val="auto"/>
                <w:highlight w:val="none"/>
              </w:rPr>
            </w:pPr>
          </w:p>
        </w:tc>
        <w:tc>
          <w:tcPr>
            <w:tcW w:w="773" w:type="dxa"/>
            <w:noWrap w:val="0"/>
            <w:vAlign w:val="center"/>
          </w:tcPr>
          <w:p w14:paraId="6A5A604A">
            <w:pPr>
              <w:jc w:val="center"/>
              <w:rPr>
                <w:rFonts w:hint="eastAsia" w:ascii="宋体" w:hAnsi="宋体" w:eastAsia="宋体" w:cs="宋体"/>
                <w:color w:val="auto"/>
                <w:highlight w:val="none"/>
              </w:rPr>
            </w:pPr>
          </w:p>
        </w:tc>
        <w:tc>
          <w:tcPr>
            <w:tcW w:w="1276" w:type="dxa"/>
            <w:noWrap w:val="0"/>
            <w:vAlign w:val="center"/>
          </w:tcPr>
          <w:p w14:paraId="5981A436">
            <w:pPr>
              <w:jc w:val="center"/>
              <w:rPr>
                <w:rFonts w:hint="eastAsia" w:ascii="宋体" w:hAnsi="宋体" w:eastAsia="宋体" w:cs="宋体"/>
                <w:color w:val="auto"/>
                <w:highlight w:val="none"/>
              </w:rPr>
            </w:pPr>
          </w:p>
        </w:tc>
        <w:tc>
          <w:tcPr>
            <w:tcW w:w="992" w:type="dxa"/>
            <w:noWrap w:val="0"/>
            <w:vAlign w:val="center"/>
          </w:tcPr>
          <w:p w14:paraId="4D38553B">
            <w:pPr>
              <w:jc w:val="center"/>
              <w:rPr>
                <w:rFonts w:hint="eastAsia" w:ascii="宋体" w:hAnsi="宋体" w:eastAsia="宋体" w:cs="宋体"/>
                <w:color w:val="auto"/>
                <w:highlight w:val="none"/>
              </w:rPr>
            </w:pPr>
          </w:p>
        </w:tc>
        <w:tc>
          <w:tcPr>
            <w:tcW w:w="2714" w:type="dxa"/>
            <w:noWrap w:val="0"/>
            <w:vAlign w:val="top"/>
          </w:tcPr>
          <w:p w14:paraId="01E22703">
            <w:pPr>
              <w:jc w:val="center"/>
              <w:rPr>
                <w:rFonts w:hint="eastAsia" w:ascii="宋体" w:hAnsi="宋体" w:eastAsia="宋体" w:cs="宋体"/>
                <w:color w:val="auto"/>
                <w:highlight w:val="none"/>
              </w:rPr>
            </w:pPr>
          </w:p>
        </w:tc>
      </w:tr>
      <w:tr w14:paraId="7B04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203C4835">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780" w:type="dxa"/>
            <w:noWrap w:val="0"/>
            <w:vAlign w:val="center"/>
          </w:tcPr>
          <w:p w14:paraId="10D07C50">
            <w:pPr>
              <w:jc w:val="center"/>
              <w:rPr>
                <w:rFonts w:hint="eastAsia" w:ascii="宋体" w:hAnsi="宋体" w:eastAsia="宋体" w:cs="宋体"/>
                <w:color w:val="auto"/>
                <w:highlight w:val="none"/>
              </w:rPr>
            </w:pPr>
          </w:p>
        </w:tc>
        <w:tc>
          <w:tcPr>
            <w:tcW w:w="864" w:type="dxa"/>
            <w:noWrap w:val="0"/>
            <w:vAlign w:val="center"/>
          </w:tcPr>
          <w:p w14:paraId="2FC2DDF2">
            <w:pPr>
              <w:jc w:val="center"/>
              <w:rPr>
                <w:rFonts w:hint="eastAsia" w:ascii="宋体" w:hAnsi="宋体" w:eastAsia="宋体" w:cs="宋体"/>
                <w:color w:val="auto"/>
                <w:highlight w:val="none"/>
              </w:rPr>
            </w:pPr>
          </w:p>
        </w:tc>
        <w:tc>
          <w:tcPr>
            <w:tcW w:w="773" w:type="dxa"/>
            <w:noWrap w:val="0"/>
            <w:vAlign w:val="center"/>
          </w:tcPr>
          <w:p w14:paraId="1FDD58B9">
            <w:pPr>
              <w:jc w:val="center"/>
              <w:rPr>
                <w:rFonts w:hint="eastAsia" w:ascii="宋体" w:hAnsi="宋体" w:eastAsia="宋体" w:cs="宋体"/>
                <w:color w:val="auto"/>
                <w:highlight w:val="none"/>
              </w:rPr>
            </w:pPr>
          </w:p>
        </w:tc>
        <w:tc>
          <w:tcPr>
            <w:tcW w:w="1276" w:type="dxa"/>
            <w:noWrap w:val="0"/>
            <w:vAlign w:val="center"/>
          </w:tcPr>
          <w:p w14:paraId="59070936">
            <w:pPr>
              <w:jc w:val="center"/>
              <w:rPr>
                <w:rFonts w:hint="eastAsia" w:ascii="宋体" w:hAnsi="宋体" w:eastAsia="宋体" w:cs="宋体"/>
                <w:color w:val="auto"/>
                <w:highlight w:val="none"/>
              </w:rPr>
            </w:pPr>
          </w:p>
        </w:tc>
        <w:tc>
          <w:tcPr>
            <w:tcW w:w="992" w:type="dxa"/>
            <w:noWrap w:val="0"/>
            <w:vAlign w:val="center"/>
          </w:tcPr>
          <w:p w14:paraId="3B6A2B43">
            <w:pPr>
              <w:jc w:val="center"/>
              <w:rPr>
                <w:rFonts w:hint="eastAsia" w:ascii="宋体" w:hAnsi="宋体" w:eastAsia="宋体" w:cs="宋体"/>
                <w:color w:val="auto"/>
                <w:highlight w:val="none"/>
              </w:rPr>
            </w:pPr>
          </w:p>
        </w:tc>
        <w:tc>
          <w:tcPr>
            <w:tcW w:w="2714" w:type="dxa"/>
            <w:noWrap w:val="0"/>
            <w:vAlign w:val="top"/>
          </w:tcPr>
          <w:p w14:paraId="1CDD3CBE">
            <w:pPr>
              <w:jc w:val="center"/>
              <w:rPr>
                <w:rFonts w:hint="eastAsia" w:ascii="宋体" w:hAnsi="宋体" w:eastAsia="宋体" w:cs="宋体"/>
                <w:color w:val="auto"/>
                <w:highlight w:val="none"/>
              </w:rPr>
            </w:pPr>
          </w:p>
        </w:tc>
      </w:tr>
      <w:tr w14:paraId="2AA4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noWrap w:val="0"/>
            <w:vAlign w:val="center"/>
          </w:tcPr>
          <w:p w14:paraId="2B1CBB0C">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80" w:type="dxa"/>
            <w:noWrap w:val="0"/>
            <w:vAlign w:val="center"/>
          </w:tcPr>
          <w:p w14:paraId="6ED0CE57">
            <w:pPr>
              <w:jc w:val="center"/>
              <w:rPr>
                <w:rFonts w:hint="eastAsia" w:ascii="宋体" w:hAnsi="宋体" w:eastAsia="宋体" w:cs="宋体"/>
                <w:color w:val="auto"/>
                <w:highlight w:val="none"/>
              </w:rPr>
            </w:pPr>
          </w:p>
        </w:tc>
        <w:tc>
          <w:tcPr>
            <w:tcW w:w="864" w:type="dxa"/>
            <w:noWrap w:val="0"/>
            <w:vAlign w:val="center"/>
          </w:tcPr>
          <w:p w14:paraId="11E79756">
            <w:pPr>
              <w:jc w:val="center"/>
              <w:rPr>
                <w:rFonts w:hint="eastAsia" w:ascii="宋体" w:hAnsi="宋体" w:eastAsia="宋体" w:cs="宋体"/>
                <w:color w:val="auto"/>
                <w:highlight w:val="none"/>
              </w:rPr>
            </w:pPr>
          </w:p>
        </w:tc>
        <w:tc>
          <w:tcPr>
            <w:tcW w:w="773" w:type="dxa"/>
            <w:noWrap w:val="0"/>
            <w:vAlign w:val="center"/>
          </w:tcPr>
          <w:p w14:paraId="544749B6">
            <w:pPr>
              <w:jc w:val="center"/>
              <w:rPr>
                <w:rFonts w:hint="eastAsia" w:ascii="宋体" w:hAnsi="宋体" w:eastAsia="宋体" w:cs="宋体"/>
                <w:color w:val="auto"/>
                <w:highlight w:val="none"/>
              </w:rPr>
            </w:pPr>
          </w:p>
        </w:tc>
        <w:tc>
          <w:tcPr>
            <w:tcW w:w="1276" w:type="dxa"/>
            <w:noWrap w:val="0"/>
            <w:vAlign w:val="center"/>
          </w:tcPr>
          <w:p w14:paraId="4E88B6D2">
            <w:pPr>
              <w:jc w:val="center"/>
              <w:rPr>
                <w:rFonts w:hint="eastAsia" w:ascii="宋体" w:hAnsi="宋体" w:eastAsia="宋体" w:cs="宋体"/>
                <w:color w:val="auto"/>
                <w:highlight w:val="none"/>
              </w:rPr>
            </w:pPr>
          </w:p>
        </w:tc>
        <w:tc>
          <w:tcPr>
            <w:tcW w:w="992" w:type="dxa"/>
            <w:noWrap w:val="0"/>
            <w:vAlign w:val="center"/>
          </w:tcPr>
          <w:p w14:paraId="2B755EC5">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714" w:type="dxa"/>
            <w:noWrap w:val="0"/>
            <w:vAlign w:val="top"/>
          </w:tcPr>
          <w:p w14:paraId="365FD862">
            <w:pPr>
              <w:jc w:val="center"/>
              <w:rPr>
                <w:rFonts w:hint="eastAsia" w:ascii="宋体" w:hAnsi="宋体" w:eastAsia="宋体" w:cs="宋体"/>
                <w:color w:val="auto"/>
                <w:highlight w:val="none"/>
              </w:rPr>
            </w:pPr>
          </w:p>
        </w:tc>
      </w:tr>
    </w:tbl>
    <w:p w14:paraId="20C9160F">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注：1.请对照采购清单序列编制上表，表格行数不够可自行添加。</w:t>
      </w:r>
    </w:p>
    <w:p w14:paraId="433F1D4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D10EE55">
      <w:pPr>
        <w:spacing w:line="360" w:lineRule="auto"/>
        <w:jc w:val="left"/>
        <w:rPr>
          <w:rFonts w:hint="eastAsia" w:ascii="宋体" w:hAnsi="宋体" w:eastAsia="宋体" w:cs="宋体"/>
          <w:color w:val="auto"/>
          <w:highlight w:val="none"/>
        </w:rPr>
      </w:pPr>
    </w:p>
    <w:p w14:paraId="43A4D701">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被授权人签字（或盖章）：</w:t>
      </w:r>
    </w:p>
    <w:p w14:paraId="7603ED9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1413E32">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供应商（加盖公章）：</w:t>
      </w:r>
    </w:p>
    <w:p w14:paraId="1823AF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755E16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1AAD3E55">
      <w:pPr>
        <w:spacing w:line="360" w:lineRule="auto"/>
        <w:ind w:firstLine="4515" w:firstLineChars="2150"/>
        <w:rPr>
          <w:rFonts w:hint="eastAsia" w:ascii="宋体" w:hAnsi="宋体" w:eastAsia="宋体" w:cs="宋体"/>
          <w:color w:val="auto"/>
          <w:highlight w:val="none"/>
        </w:rPr>
      </w:pPr>
    </w:p>
    <w:p w14:paraId="64556DBF">
      <w:pPr>
        <w:snapToGrid w:val="0"/>
        <w:spacing w:before="50" w:after="120" w:afterLines="50"/>
        <w:jc w:val="left"/>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4.技术响应表格式：</w:t>
      </w:r>
    </w:p>
    <w:p w14:paraId="4EDDBED4">
      <w:pPr>
        <w:snapToGrid w:val="0"/>
        <w:spacing w:before="50" w:after="120" w:afterLines="50"/>
        <w:jc w:val="center"/>
        <w:rPr>
          <w:rFonts w:hint="eastAsia" w:ascii="宋体" w:hAnsi="宋体" w:eastAsia="宋体" w:cs="宋体"/>
          <w:color w:val="auto"/>
          <w:sz w:val="28"/>
          <w:szCs w:val="28"/>
          <w:highlight w:val="none"/>
          <w:u w:val="single"/>
        </w:rPr>
      </w:pPr>
      <w:r>
        <w:rPr>
          <w:rFonts w:hint="eastAsia" w:ascii="宋体" w:hAnsi="宋体" w:eastAsia="宋体" w:cs="宋体"/>
          <w:b/>
          <w:color w:val="auto"/>
          <w:sz w:val="28"/>
          <w:szCs w:val="28"/>
          <w:highlight w:val="none"/>
        </w:rPr>
        <w:t>技术响应表</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1165"/>
      </w:tblGrid>
      <w:tr w14:paraId="64A70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noWrap w:val="0"/>
            <w:vAlign w:val="top"/>
          </w:tcPr>
          <w:p w14:paraId="7B922087">
            <w:pPr>
              <w:pStyle w:val="22"/>
              <w:snapToGrid w:val="0"/>
              <w:spacing w:before="295" w:after="295"/>
              <w:jc w:val="center"/>
              <w:outlineLvl w:val="0"/>
              <w:rPr>
                <w:rFonts w:hint="eastAsia" w:ascii="宋体" w:hAnsi="宋体" w:eastAsia="宋体" w:cs="宋体"/>
                <w:color w:val="auto"/>
                <w:sz w:val="21"/>
                <w:szCs w:val="21"/>
                <w:highlight w:val="none"/>
                <w:lang w:val="en-US" w:eastAsia="zh-CN"/>
              </w:rPr>
            </w:pPr>
            <w:bookmarkStart w:id="127" w:name="_Toc28891931"/>
            <w:bookmarkStart w:id="128" w:name="_Toc762790443"/>
            <w:bookmarkStart w:id="129" w:name="_Toc465368115"/>
            <w:bookmarkStart w:id="130" w:name="_Toc1018723956"/>
            <w:r>
              <w:rPr>
                <w:rFonts w:hint="eastAsia" w:ascii="宋体" w:hAnsi="宋体" w:eastAsia="宋体" w:cs="宋体"/>
                <w:color w:val="auto"/>
                <w:sz w:val="21"/>
                <w:szCs w:val="21"/>
                <w:highlight w:val="none"/>
                <w:lang w:val="en-US" w:eastAsia="zh-CN"/>
              </w:rPr>
              <w:t>序号</w:t>
            </w:r>
            <w:bookmarkEnd w:id="127"/>
            <w:bookmarkEnd w:id="128"/>
            <w:bookmarkEnd w:id="129"/>
            <w:bookmarkEnd w:id="130"/>
          </w:p>
        </w:tc>
        <w:tc>
          <w:tcPr>
            <w:tcW w:w="1056" w:type="dxa"/>
            <w:tcBorders>
              <w:top w:val="single" w:color="auto" w:sz="4" w:space="0"/>
              <w:left w:val="single" w:color="auto" w:sz="4" w:space="0"/>
              <w:bottom w:val="single" w:color="auto" w:sz="4" w:space="0"/>
              <w:right w:val="single" w:color="auto" w:sz="4" w:space="0"/>
            </w:tcBorders>
            <w:noWrap w:val="0"/>
            <w:vAlign w:val="top"/>
          </w:tcPr>
          <w:p w14:paraId="25F1D316">
            <w:pPr>
              <w:pStyle w:val="22"/>
              <w:snapToGrid w:val="0"/>
              <w:spacing w:before="295" w:after="295"/>
              <w:jc w:val="center"/>
              <w:outlineLvl w:val="0"/>
              <w:rPr>
                <w:rFonts w:hint="eastAsia" w:ascii="宋体" w:hAnsi="宋体" w:eastAsia="宋体" w:cs="宋体"/>
                <w:color w:val="auto"/>
                <w:sz w:val="21"/>
                <w:szCs w:val="21"/>
                <w:highlight w:val="none"/>
                <w:lang w:val="en-US" w:eastAsia="zh-CN"/>
              </w:rPr>
            </w:pPr>
            <w:bookmarkStart w:id="131" w:name="_Toc2080333815"/>
            <w:bookmarkStart w:id="132" w:name="_Toc525769047"/>
            <w:bookmarkStart w:id="133" w:name="_Toc702241305"/>
            <w:bookmarkStart w:id="134" w:name="_Toc1496896249"/>
            <w:r>
              <w:rPr>
                <w:rFonts w:hint="eastAsia" w:ascii="宋体" w:hAnsi="宋体" w:eastAsia="宋体" w:cs="宋体"/>
                <w:color w:val="auto"/>
                <w:sz w:val="21"/>
                <w:szCs w:val="21"/>
                <w:highlight w:val="none"/>
                <w:lang w:val="en-US" w:eastAsia="zh-CN"/>
              </w:rPr>
              <w:t>设备名称</w:t>
            </w:r>
            <w:bookmarkEnd w:id="131"/>
            <w:bookmarkEnd w:id="132"/>
            <w:bookmarkEnd w:id="133"/>
            <w:bookmarkEnd w:id="134"/>
          </w:p>
        </w:tc>
        <w:tc>
          <w:tcPr>
            <w:tcW w:w="1896" w:type="dxa"/>
            <w:tcBorders>
              <w:top w:val="single" w:color="auto" w:sz="4" w:space="0"/>
              <w:left w:val="single" w:color="auto" w:sz="4" w:space="0"/>
              <w:bottom w:val="single" w:color="auto" w:sz="4" w:space="0"/>
              <w:right w:val="single" w:color="auto" w:sz="4" w:space="0"/>
            </w:tcBorders>
            <w:noWrap w:val="0"/>
            <w:vAlign w:val="top"/>
          </w:tcPr>
          <w:p w14:paraId="2D16A409">
            <w:pPr>
              <w:pStyle w:val="22"/>
              <w:snapToGrid w:val="0"/>
              <w:spacing w:before="295" w:after="295"/>
              <w:jc w:val="center"/>
              <w:outlineLvl w:val="0"/>
              <w:rPr>
                <w:rFonts w:hint="eastAsia" w:ascii="宋体" w:hAnsi="宋体" w:eastAsia="宋体" w:cs="宋体"/>
                <w:color w:val="auto"/>
                <w:sz w:val="21"/>
                <w:szCs w:val="21"/>
                <w:highlight w:val="none"/>
                <w:lang w:val="en-US" w:eastAsia="zh-CN"/>
              </w:rPr>
            </w:pPr>
            <w:bookmarkStart w:id="135" w:name="_Toc406402961"/>
            <w:bookmarkStart w:id="136" w:name="_Toc406403005"/>
            <w:bookmarkStart w:id="137" w:name="_Toc406403001"/>
            <w:bookmarkStart w:id="138" w:name="_Toc385854110"/>
            <w:bookmarkStart w:id="139" w:name="_Toc401570314"/>
            <w:bookmarkStart w:id="140" w:name="_Toc377028123"/>
            <w:bookmarkStart w:id="141" w:name="_Toc377653980"/>
            <w:bookmarkStart w:id="142" w:name="_Toc401570294"/>
            <w:bookmarkStart w:id="143" w:name="_Toc402963128"/>
            <w:bookmarkStart w:id="144" w:name="_Toc381081903"/>
            <w:bookmarkStart w:id="145" w:name="_Toc406402957"/>
            <w:bookmarkStart w:id="146" w:name="_Toc402963099"/>
            <w:bookmarkStart w:id="147" w:name="_Toc836987852"/>
            <w:bookmarkStart w:id="148" w:name="_Toc385854156"/>
            <w:bookmarkStart w:id="149" w:name="_Toc734611807"/>
            <w:bookmarkStart w:id="150" w:name="_Toc377028061"/>
            <w:bookmarkStart w:id="151" w:name="_Toc402963132"/>
            <w:bookmarkStart w:id="152" w:name="_Toc377028119"/>
            <w:bookmarkStart w:id="153" w:name="_Toc385854160"/>
            <w:bookmarkStart w:id="154" w:name="_Toc382928236"/>
            <w:bookmarkStart w:id="155" w:name="_Toc384561499"/>
            <w:bookmarkStart w:id="156" w:name="_Toc382928118"/>
            <w:bookmarkStart w:id="157" w:name="_Toc377028057"/>
            <w:bookmarkStart w:id="158" w:name="_Toc401570290"/>
            <w:bookmarkStart w:id="159" w:name="_Toc377653976"/>
            <w:bookmarkStart w:id="160" w:name="_Toc385854114"/>
            <w:bookmarkStart w:id="161" w:name="_Toc402963095"/>
            <w:bookmarkStart w:id="162" w:name="_Toc382928240"/>
            <w:bookmarkStart w:id="163" w:name="_Toc1938181673"/>
            <w:bookmarkStart w:id="164" w:name="_Toc381081907"/>
            <w:bookmarkStart w:id="165" w:name="_Toc382928122"/>
            <w:bookmarkStart w:id="166" w:name="_Toc401570318"/>
            <w:r>
              <w:rPr>
                <w:rFonts w:hint="eastAsia" w:ascii="宋体" w:hAnsi="宋体" w:eastAsia="宋体" w:cs="宋体"/>
                <w:color w:val="auto"/>
                <w:sz w:val="21"/>
                <w:szCs w:val="21"/>
                <w:highlight w:val="none"/>
                <w:lang w:val="en-US" w:eastAsia="zh-CN"/>
              </w:rPr>
              <w:t>招标文件</w:t>
            </w:r>
            <w:r>
              <w:rPr>
                <w:rFonts w:hint="eastAsia" w:hAnsi="宋体" w:cs="宋体"/>
                <w:color w:val="auto"/>
                <w:sz w:val="21"/>
                <w:szCs w:val="21"/>
                <w:highlight w:val="none"/>
                <w:lang w:val="en-US" w:eastAsia="zh-CN"/>
              </w:rPr>
              <w:t>要求</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tc>
        <w:tc>
          <w:tcPr>
            <w:tcW w:w="1896" w:type="dxa"/>
            <w:tcBorders>
              <w:top w:val="single" w:color="auto" w:sz="4" w:space="0"/>
              <w:left w:val="single" w:color="auto" w:sz="4" w:space="0"/>
              <w:bottom w:val="single" w:color="auto" w:sz="4" w:space="0"/>
              <w:right w:val="single" w:color="auto" w:sz="4" w:space="0"/>
            </w:tcBorders>
            <w:noWrap w:val="0"/>
            <w:vAlign w:val="top"/>
          </w:tcPr>
          <w:p w14:paraId="4287FA71">
            <w:pPr>
              <w:pStyle w:val="22"/>
              <w:snapToGrid w:val="0"/>
              <w:spacing w:before="295" w:after="295"/>
              <w:jc w:val="center"/>
              <w:outlineLvl w:val="0"/>
              <w:rPr>
                <w:rFonts w:hint="eastAsia" w:ascii="宋体" w:hAnsi="宋体" w:eastAsia="宋体" w:cs="宋体"/>
                <w:color w:val="auto"/>
                <w:sz w:val="21"/>
                <w:szCs w:val="21"/>
                <w:highlight w:val="none"/>
                <w:lang w:val="en-US" w:eastAsia="zh-CN"/>
              </w:rPr>
            </w:pPr>
            <w:bookmarkStart w:id="167" w:name="_Toc377653977"/>
            <w:bookmarkStart w:id="168" w:name="_Toc385854157"/>
            <w:bookmarkStart w:id="169" w:name="_Toc385854111"/>
            <w:bookmarkStart w:id="170" w:name="_Toc402963129"/>
            <w:bookmarkStart w:id="171" w:name="_Toc382928237"/>
            <w:bookmarkStart w:id="172" w:name="_Toc382928119"/>
            <w:bookmarkStart w:id="173" w:name="_Toc401570291"/>
            <w:bookmarkStart w:id="174" w:name="_Toc406403002"/>
            <w:bookmarkStart w:id="175" w:name="_Toc377028120"/>
            <w:bookmarkStart w:id="176" w:name="_Toc381081904"/>
            <w:bookmarkStart w:id="177" w:name="_Toc406402958"/>
            <w:bookmarkStart w:id="178" w:name="_Toc377028058"/>
            <w:bookmarkStart w:id="179" w:name="_Toc401570315"/>
            <w:bookmarkStart w:id="180" w:name="_Toc402963096"/>
            <w:bookmarkStart w:id="181" w:name="_Toc637771751"/>
            <w:bookmarkStart w:id="182" w:name="_Toc929162729"/>
            <w:bookmarkStart w:id="183" w:name="_Toc1204394226"/>
            <w:bookmarkStart w:id="184" w:name="_Toc1479398986"/>
            <w:r>
              <w:rPr>
                <w:rFonts w:hint="eastAsia" w:ascii="宋体" w:hAnsi="宋体" w:eastAsia="宋体" w:cs="宋体"/>
                <w:color w:val="auto"/>
                <w:sz w:val="21"/>
                <w:szCs w:val="21"/>
                <w:highlight w:val="none"/>
                <w:lang w:val="en-US" w:eastAsia="zh-CN"/>
              </w:rPr>
              <w:t>投标文件</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eastAsia="宋体" w:cs="宋体"/>
                <w:color w:val="auto"/>
                <w:sz w:val="21"/>
                <w:szCs w:val="21"/>
                <w:highlight w:val="none"/>
                <w:lang w:val="en-US" w:eastAsia="zh-CN"/>
              </w:rPr>
              <w:t>性能指标</w:t>
            </w:r>
            <w:bookmarkEnd w:id="181"/>
            <w:bookmarkEnd w:id="182"/>
            <w:bookmarkEnd w:id="183"/>
            <w:bookmarkEnd w:id="184"/>
          </w:p>
        </w:tc>
        <w:tc>
          <w:tcPr>
            <w:tcW w:w="2106" w:type="dxa"/>
            <w:tcBorders>
              <w:top w:val="single" w:color="auto" w:sz="4" w:space="0"/>
              <w:left w:val="single" w:color="auto" w:sz="4" w:space="0"/>
              <w:bottom w:val="single" w:color="auto" w:sz="4" w:space="0"/>
              <w:right w:val="single" w:color="auto" w:sz="4" w:space="0"/>
            </w:tcBorders>
            <w:noWrap w:val="0"/>
            <w:vAlign w:val="top"/>
          </w:tcPr>
          <w:p w14:paraId="1104CFB9">
            <w:pPr>
              <w:pStyle w:val="22"/>
              <w:snapToGrid w:val="0"/>
              <w:spacing w:before="295" w:after="295"/>
              <w:jc w:val="center"/>
              <w:outlineLvl w:val="0"/>
              <w:rPr>
                <w:rFonts w:hint="eastAsia" w:ascii="宋体" w:hAnsi="宋体" w:eastAsia="宋体" w:cs="宋体"/>
                <w:color w:val="auto"/>
                <w:sz w:val="21"/>
                <w:szCs w:val="21"/>
                <w:highlight w:val="none"/>
                <w:lang w:val="en-US" w:eastAsia="zh-CN"/>
              </w:rPr>
            </w:pPr>
            <w:bookmarkStart w:id="185" w:name="_Toc382928238"/>
            <w:bookmarkStart w:id="186" w:name="_Toc385854112"/>
            <w:bookmarkStart w:id="187" w:name="_Toc401570292"/>
            <w:bookmarkStart w:id="188" w:name="_Toc377653978"/>
            <w:bookmarkStart w:id="189" w:name="_Toc406403003"/>
            <w:bookmarkStart w:id="190" w:name="_Toc382928120"/>
            <w:bookmarkStart w:id="191" w:name="_Toc377028121"/>
            <w:bookmarkStart w:id="192" w:name="_Toc401570316"/>
            <w:bookmarkStart w:id="193" w:name="_Toc406402959"/>
            <w:bookmarkStart w:id="194" w:name="_Toc402963130"/>
            <w:bookmarkStart w:id="195" w:name="_Toc385854158"/>
            <w:bookmarkStart w:id="196" w:name="_Toc402963097"/>
            <w:bookmarkStart w:id="197" w:name="_Toc381081905"/>
            <w:bookmarkStart w:id="198" w:name="_Toc377028059"/>
            <w:bookmarkStart w:id="199" w:name="_Toc106734953"/>
            <w:bookmarkStart w:id="200" w:name="_Toc961276098"/>
            <w:bookmarkStart w:id="201" w:name="_Toc1162332569"/>
            <w:bookmarkStart w:id="202" w:name="_Toc1879823390"/>
            <w:r>
              <w:rPr>
                <w:rFonts w:hint="eastAsia" w:ascii="宋体" w:hAnsi="宋体" w:eastAsia="宋体" w:cs="宋体"/>
                <w:color w:val="auto"/>
                <w:sz w:val="21"/>
                <w:szCs w:val="21"/>
                <w:highlight w:val="none"/>
                <w:lang w:val="en-US" w:eastAsia="zh-CN"/>
              </w:rPr>
              <w:t>偏离情况</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宋体" w:hAnsi="宋体" w:eastAsia="宋体" w:cs="宋体"/>
                <w:color w:val="auto"/>
                <w:sz w:val="21"/>
                <w:szCs w:val="21"/>
                <w:highlight w:val="none"/>
                <w:lang w:val="en-US" w:eastAsia="zh-CN"/>
              </w:rPr>
              <w:t>及证明材料</w:t>
            </w:r>
            <w:bookmarkEnd w:id="199"/>
            <w:bookmarkEnd w:id="200"/>
            <w:bookmarkEnd w:id="201"/>
            <w:bookmarkEnd w:id="202"/>
          </w:p>
        </w:tc>
        <w:tc>
          <w:tcPr>
            <w:tcW w:w="1165" w:type="dxa"/>
            <w:tcBorders>
              <w:top w:val="single" w:color="auto" w:sz="4" w:space="0"/>
              <w:left w:val="single" w:color="auto" w:sz="4" w:space="0"/>
              <w:bottom w:val="single" w:color="auto" w:sz="4" w:space="0"/>
              <w:right w:val="single" w:color="auto" w:sz="4" w:space="0"/>
            </w:tcBorders>
            <w:noWrap w:val="0"/>
            <w:vAlign w:val="center"/>
          </w:tcPr>
          <w:p w14:paraId="27F4943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25AE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40E62F39">
            <w:pPr>
              <w:pStyle w:val="22"/>
              <w:snapToGrid w:val="0"/>
              <w:spacing w:before="120" w:after="120"/>
              <w:outlineLvl w:val="0"/>
              <w:rPr>
                <w:rFonts w:hint="eastAsia" w:ascii="宋体" w:hAnsi="宋体" w:eastAsia="宋体" w:cs="宋体"/>
                <w:color w:val="auto"/>
                <w:sz w:val="21"/>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2AB4E522">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B8901D0">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102F3ED9">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5E181F14">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57FDCD04">
            <w:pPr>
              <w:pStyle w:val="22"/>
              <w:snapToGrid w:val="0"/>
              <w:spacing w:before="295" w:after="295"/>
              <w:outlineLvl w:val="0"/>
              <w:rPr>
                <w:rFonts w:hint="eastAsia" w:ascii="宋体" w:hAnsi="宋体" w:eastAsia="宋体" w:cs="宋体"/>
                <w:color w:val="auto"/>
                <w:sz w:val="21"/>
                <w:szCs w:val="21"/>
                <w:highlight w:val="none"/>
                <w:lang w:val="en-US" w:eastAsia="zh-CN"/>
              </w:rPr>
            </w:pPr>
          </w:p>
        </w:tc>
      </w:tr>
      <w:tr w14:paraId="4CF71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0B1BA134">
            <w:pPr>
              <w:widowControl/>
              <w:rPr>
                <w:rFonts w:hint="eastAsia" w:ascii="宋体" w:hAnsi="宋体" w:eastAsia="宋体" w:cs="宋体"/>
                <w:color w:val="auto"/>
                <w:szCs w:val="21"/>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7E2910B9">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01620C3">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16E4BC78">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1958B4A6">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02C96023">
            <w:pPr>
              <w:pStyle w:val="22"/>
              <w:snapToGrid w:val="0"/>
              <w:spacing w:before="295" w:after="295"/>
              <w:outlineLvl w:val="0"/>
              <w:rPr>
                <w:rFonts w:hint="eastAsia" w:ascii="宋体" w:hAnsi="宋体" w:eastAsia="宋体" w:cs="宋体"/>
                <w:color w:val="auto"/>
                <w:sz w:val="21"/>
                <w:szCs w:val="21"/>
                <w:highlight w:val="none"/>
                <w:lang w:val="en-US" w:eastAsia="zh-CN"/>
              </w:rPr>
            </w:pPr>
          </w:p>
        </w:tc>
      </w:tr>
      <w:tr w14:paraId="62F34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33FF8FE8">
            <w:pPr>
              <w:pStyle w:val="22"/>
              <w:snapToGrid w:val="0"/>
              <w:spacing w:before="120" w:after="120"/>
              <w:outlineLvl w:val="0"/>
              <w:rPr>
                <w:rFonts w:hint="eastAsia" w:ascii="宋体" w:hAnsi="宋体" w:eastAsia="宋体" w:cs="宋体"/>
                <w:color w:val="auto"/>
                <w:sz w:val="21"/>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7CE9E842">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D777646">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35BBE9E2">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61A73B34">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2EF34F2F">
            <w:pPr>
              <w:pStyle w:val="22"/>
              <w:snapToGrid w:val="0"/>
              <w:spacing w:before="295" w:after="295"/>
              <w:outlineLvl w:val="0"/>
              <w:rPr>
                <w:rFonts w:hint="eastAsia" w:ascii="宋体" w:hAnsi="宋体" w:eastAsia="宋体" w:cs="宋体"/>
                <w:color w:val="auto"/>
                <w:sz w:val="21"/>
                <w:szCs w:val="21"/>
                <w:highlight w:val="none"/>
                <w:lang w:val="en-US" w:eastAsia="zh-CN"/>
              </w:rPr>
            </w:pPr>
          </w:p>
        </w:tc>
      </w:tr>
      <w:tr w14:paraId="63DB8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18C75C81">
            <w:pPr>
              <w:pStyle w:val="22"/>
              <w:snapToGrid w:val="0"/>
              <w:spacing w:before="120" w:after="120"/>
              <w:outlineLvl w:val="0"/>
              <w:rPr>
                <w:rFonts w:hint="eastAsia" w:ascii="宋体" w:hAnsi="宋体" w:eastAsia="宋体" w:cs="宋体"/>
                <w:color w:val="auto"/>
                <w:sz w:val="21"/>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4D755CFD">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83A0FC5">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3711A475">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6FBD1694">
            <w:pPr>
              <w:pStyle w:val="22"/>
              <w:snapToGrid w:val="0"/>
              <w:spacing w:before="295" w:after="295"/>
              <w:outlineLvl w:val="0"/>
              <w:rPr>
                <w:rFonts w:hint="eastAsia" w:ascii="宋体" w:hAnsi="宋体" w:eastAsia="宋体" w:cs="宋体"/>
                <w:color w:val="auto"/>
                <w:sz w:val="21"/>
                <w:szCs w:val="21"/>
                <w:highlight w:val="none"/>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5B7B1A29">
            <w:pPr>
              <w:pStyle w:val="22"/>
              <w:snapToGrid w:val="0"/>
              <w:spacing w:before="295" w:after="295"/>
              <w:outlineLvl w:val="0"/>
              <w:rPr>
                <w:rFonts w:hint="eastAsia" w:ascii="宋体" w:hAnsi="宋体" w:eastAsia="宋体" w:cs="宋体"/>
                <w:color w:val="auto"/>
                <w:sz w:val="21"/>
                <w:szCs w:val="21"/>
                <w:highlight w:val="none"/>
                <w:lang w:val="en-US" w:eastAsia="zh-CN"/>
              </w:rPr>
            </w:pPr>
          </w:p>
        </w:tc>
      </w:tr>
    </w:tbl>
    <w:p w14:paraId="75658017">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注：供应商应根据投标产品的性能指标、对照招标文件要求注明“正偏离”、“负偏离”或“无偏离”。</w:t>
      </w:r>
    </w:p>
    <w:p w14:paraId="6BB3B39B">
      <w:pPr>
        <w:snapToGrid w:val="0"/>
        <w:spacing w:before="50" w:after="50" w:line="360" w:lineRule="auto"/>
        <w:rPr>
          <w:rFonts w:hint="eastAsia" w:ascii="宋体" w:hAnsi="宋体" w:eastAsia="宋体" w:cs="宋体"/>
          <w:color w:val="auto"/>
          <w:highlight w:val="none"/>
        </w:rPr>
      </w:pPr>
    </w:p>
    <w:p w14:paraId="7BF8D959">
      <w:pPr>
        <w:snapToGrid w:val="0"/>
        <w:spacing w:before="50" w:after="50" w:line="360" w:lineRule="auto"/>
        <w:rPr>
          <w:rFonts w:hint="eastAsia" w:ascii="宋体" w:hAnsi="宋体" w:eastAsia="宋体" w:cs="宋体"/>
          <w:color w:val="auto"/>
          <w:spacing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spacing w:val="20"/>
          <w:highlight w:val="none"/>
        </w:rPr>
        <w:t>：</w:t>
      </w:r>
      <w:r>
        <w:rPr>
          <w:rFonts w:hint="eastAsia" w:ascii="宋体" w:hAnsi="宋体" w:eastAsia="宋体" w:cs="宋体"/>
          <w:color w:val="auto"/>
          <w:spacing w:val="20"/>
          <w:highlight w:val="none"/>
          <w:u w:val="single"/>
        </w:rPr>
        <w:t xml:space="preserve">        </w:t>
      </w:r>
    </w:p>
    <w:p w14:paraId="3BEE8FFD">
      <w:pPr>
        <w:pStyle w:val="80"/>
        <w:rPr>
          <w:rFonts w:hint="eastAsia" w:ascii="宋体" w:hAnsi="宋体" w:eastAsia="宋体" w:cs="宋体"/>
          <w:color w:val="auto"/>
          <w:highlight w:val="none"/>
        </w:rPr>
      </w:pPr>
    </w:p>
    <w:p w14:paraId="5D6690E7">
      <w:pPr>
        <w:pStyle w:val="175"/>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w:t>
      </w:r>
    </w:p>
    <w:p w14:paraId="1CF67FCB">
      <w:pPr>
        <w:pStyle w:val="175"/>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57ADE3E">
      <w:pPr>
        <w:pStyle w:val="175"/>
        <w:spacing w:line="360" w:lineRule="auto"/>
        <w:rPr>
          <w:rFonts w:hint="eastAsia" w:ascii="宋体" w:hAnsi="宋体" w:eastAsia="宋体" w:cs="宋体"/>
          <w:b/>
          <w:color w:val="auto"/>
          <w:sz w:val="24"/>
          <w:szCs w:val="24"/>
          <w:highlight w:val="none"/>
        </w:rPr>
      </w:pPr>
    </w:p>
    <w:p w14:paraId="7D4D7B6F">
      <w:pPr>
        <w:pStyle w:val="17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5.</w:t>
      </w:r>
      <w:r>
        <w:rPr>
          <w:rFonts w:hint="eastAsia" w:ascii="宋体" w:hAnsi="宋体" w:eastAsia="宋体" w:cs="宋体"/>
          <w:b/>
          <w:color w:val="auto"/>
          <w:sz w:val="24"/>
          <w:highlight w:val="none"/>
        </w:rPr>
        <w:t xml:space="preserve"> 项目实施人员一览表</w:t>
      </w:r>
    </w:p>
    <w:p w14:paraId="514FBD5D">
      <w:pPr>
        <w:pStyle w:val="22"/>
        <w:adjustRightInd w:val="0"/>
        <w:spacing w:before="120" w:after="120" w:line="360" w:lineRule="auto"/>
        <w:jc w:val="center"/>
        <w:textAlignment w:val="baseline"/>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项目实施人员一览表</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2075"/>
        <w:gridCol w:w="970"/>
        <w:gridCol w:w="709"/>
        <w:gridCol w:w="1254"/>
        <w:gridCol w:w="1454"/>
        <w:gridCol w:w="1134"/>
        <w:gridCol w:w="1348"/>
      </w:tblGrid>
      <w:tr w14:paraId="4B42E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6F7616D8">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3F34A78D">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项目组所任职务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3547794A">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6D2AB8">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职称</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E31956D">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专业技术资格</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91C12D9">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专业技术资格证书编号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C37A76">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从事本工作时间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5F9FA65C">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典型业务</w:t>
            </w:r>
          </w:p>
          <w:p w14:paraId="09577D85">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与技术专长</w:t>
            </w:r>
          </w:p>
        </w:tc>
      </w:tr>
      <w:tr w14:paraId="3E992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4CDB822">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34199A12">
            <w:pPr>
              <w:pStyle w:val="26"/>
              <w:jc w:val="center"/>
              <w:rPr>
                <w:rFonts w:hint="eastAsia" w:ascii="宋体" w:hAnsi="宋体" w:eastAsia="宋体" w:cs="宋体"/>
                <w:color w:val="auto"/>
                <w:sz w:val="21"/>
                <w:szCs w:val="21"/>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2A7F3561">
            <w:pPr>
              <w:pStyle w:val="26"/>
              <w:jc w:val="center"/>
              <w:rPr>
                <w:rFonts w:hint="eastAsia" w:ascii="宋体" w:hAnsi="宋体" w:eastAsia="宋体" w:cs="宋体"/>
                <w:color w:val="auto"/>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1E47645">
            <w:pPr>
              <w:pStyle w:val="26"/>
              <w:jc w:val="center"/>
              <w:rPr>
                <w:rFonts w:hint="eastAsia" w:ascii="宋体" w:hAnsi="宋体" w:eastAsia="宋体" w:cs="宋体"/>
                <w:color w:val="auto"/>
                <w:sz w:val="21"/>
                <w:szCs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EB0DE24">
            <w:pPr>
              <w:pStyle w:val="26"/>
              <w:jc w:val="center"/>
              <w:rPr>
                <w:rFonts w:hint="eastAsia" w:ascii="宋体" w:hAnsi="宋体" w:eastAsia="宋体" w:cs="宋体"/>
                <w:color w:val="auto"/>
                <w:sz w:val="21"/>
                <w:szCs w:val="21"/>
                <w:highlight w:val="none"/>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1EB731E6">
            <w:pPr>
              <w:pStyle w:val="26"/>
              <w:jc w:val="center"/>
              <w:rPr>
                <w:rFonts w:hint="eastAsia" w:ascii="宋体" w:hAnsi="宋体" w:eastAsia="宋体" w:cs="宋体"/>
                <w:color w:val="auto"/>
                <w:sz w:val="21"/>
                <w:szCs w:val="21"/>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0008A1">
            <w:pPr>
              <w:pStyle w:val="26"/>
              <w:jc w:val="center"/>
              <w:rPr>
                <w:rFonts w:hint="eastAsia" w:ascii="宋体" w:hAnsi="宋体" w:eastAsia="宋体" w:cs="宋体"/>
                <w:color w:val="auto"/>
                <w:sz w:val="21"/>
                <w:szCs w:val="21"/>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65BD4FE">
            <w:pPr>
              <w:pStyle w:val="26"/>
              <w:jc w:val="center"/>
              <w:rPr>
                <w:rFonts w:hint="eastAsia" w:ascii="宋体" w:hAnsi="宋体" w:eastAsia="宋体" w:cs="宋体"/>
                <w:color w:val="auto"/>
                <w:sz w:val="21"/>
                <w:szCs w:val="21"/>
                <w:highlight w:val="none"/>
                <w:lang w:val="en-US" w:eastAsia="zh-CN"/>
              </w:rPr>
            </w:pPr>
          </w:p>
        </w:tc>
      </w:tr>
      <w:tr w14:paraId="03A37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C9EBD4B">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3BA0EBF7">
            <w:pPr>
              <w:pStyle w:val="26"/>
              <w:jc w:val="center"/>
              <w:rPr>
                <w:rFonts w:hint="eastAsia" w:ascii="宋体" w:hAnsi="宋体" w:eastAsia="宋体" w:cs="宋体"/>
                <w:color w:val="auto"/>
                <w:sz w:val="21"/>
                <w:szCs w:val="21"/>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89BEA59">
            <w:pPr>
              <w:pStyle w:val="26"/>
              <w:jc w:val="center"/>
              <w:rPr>
                <w:rFonts w:hint="eastAsia" w:ascii="宋体" w:hAnsi="宋体" w:eastAsia="宋体" w:cs="宋体"/>
                <w:color w:val="auto"/>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A76AD4E">
            <w:pPr>
              <w:pStyle w:val="26"/>
              <w:jc w:val="center"/>
              <w:rPr>
                <w:rFonts w:hint="eastAsia" w:ascii="宋体" w:hAnsi="宋体" w:eastAsia="宋体" w:cs="宋体"/>
                <w:color w:val="auto"/>
                <w:sz w:val="21"/>
                <w:szCs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F79FE39">
            <w:pPr>
              <w:pStyle w:val="26"/>
              <w:jc w:val="center"/>
              <w:rPr>
                <w:rFonts w:hint="eastAsia" w:ascii="宋体" w:hAnsi="宋体" w:eastAsia="宋体" w:cs="宋体"/>
                <w:color w:val="auto"/>
                <w:sz w:val="21"/>
                <w:szCs w:val="21"/>
                <w:highlight w:val="none"/>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6776745D">
            <w:pPr>
              <w:pStyle w:val="26"/>
              <w:jc w:val="center"/>
              <w:rPr>
                <w:rFonts w:hint="eastAsia" w:ascii="宋体" w:hAnsi="宋体" w:eastAsia="宋体" w:cs="宋体"/>
                <w:color w:val="auto"/>
                <w:sz w:val="21"/>
                <w:szCs w:val="21"/>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223B8F">
            <w:pPr>
              <w:pStyle w:val="26"/>
              <w:jc w:val="center"/>
              <w:rPr>
                <w:rFonts w:hint="eastAsia" w:ascii="宋体" w:hAnsi="宋体" w:eastAsia="宋体" w:cs="宋体"/>
                <w:color w:val="auto"/>
                <w:sz w:val="21"/>
                <w:szCs w:val="21"/>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6566232">
            <w:pPr>
              <w:pStyle w:val="26"/>
              <w:jc w:val="center"/>
              <w:rPr>
                <w:rFonts w:hint="eastAsia" w:ascii="宋体" w:hAnsi="宋体" w:eastAsia="宋体" w:cs="宋体"/>
                <w:color w:val="auto"/>
                <w:sz w:val="21"/>
                <w:szCs w:val="21"/>
                <w:highlight w:val="none"/>
                <w:lang w:val="en-US" w:eastAsia="zh-CN"/>
              </w:rPr>
            </w:pPr>
          </w:p>
        </w:tc>
      </w:tr>
      <w:tr w14:paraId="58E3F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442F5740">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187956E4">
            <w:pPr>
              <w:pStyle w:val="26"/>
              <w:jc w:val="center"/>
              <w:rPr>
                <w:rFonts w:hint="eastAsia" w:ascii="宋体" w:hAnsi="宋体" w:eastAsia="宋体" w:cs="宋体"/>
                <w:color w:val="auto"/>
                <w:sz w:val="21"/>
                <w:szCs w:val="21"/>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3302813F">
            <w:pPr>
              <w:pStyle w:val="26"/>
              <w:jc w:val="center"/>
              <w:rPr>
                <w:rFonts w:hint="eastAsia" w:ascii="宋体" w:hAnsi="宋体" w:eastAsia="宋体" w:cs="宋体"/>
                <w:color w:val="auto"/>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28D7B66">
            <w:pPr>
              <w:pStyle w:val="26"/>
              <w:jc w:val="center"/>
              <w:rPr>
                <w:rFonts w:hint="eastAsia" w:ascii="宋体" w:hAnsi="宋体" w:eastAsia="宋体" w:cs="宋体"/>
                <w:color w:val="auto"/>
                <w:sz w:val="21"/>
                <w:szCs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6D2FAC5">
            <w:pPr>
              <w:pStyle w:val="26"/>
              <w:jc w:val="center"/>
              <w:rPr>
                <w:rFonts w:hint="eastAsia" w:ascii="宋体" w:hAnsi="宋体" w:eastAsia="宋体" w:cs="宋体"/>
                <w:color w:val="auto"/>
                <w:sz w:val="21"/>
                <w:szCs w:val="21"/>
                <w:highlight w:val="none"/>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7A9E2E7E">
            <w:pPr>
              <w:pStyle w:val="26"/>
              <w:jc w:val="center"/>
              <w:rPr>
                <w:rFonts w:hint="eastAsia" w:ascii="宋体" w:hAnsi="宋体" w:eastAsia="宋体" w:cs="宋体"/>
                <w:color w:val="auto"/>
                <w:sz w:val="21"/>
                <w:szCs w:val="21"/>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C142C6">
            <w:pPr>
              <w:pStyle w:val="26"/>
              <w:jc w:val="center"/>
              <w:rPr>
                <w:rFonts w:hint="eastAsia" w:ascii="宋体" w:hAnsi="宋体" w:eastAsia="宋体" w:cs="宋体"/>
                <w:color w:val="auto"/>
                <w:sz w:val="21"/>
                <w:szCs w:val="21"/>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367320AA">
            <w:pPr>
              <w:pStyle w:val="26"/>
              <w:jc w:val="center"/>
              <w:rPr>
                <w:rFonts w:hint="eastAsia" w:ascii="宋体" w:hAnsi="宋体" w:eastAsia="宋体" w:cs="宋体"/>
                <w:color w:val="auto"/>
                <w:sz w:val="21"/>
                <w:szCs w:val="21"/>
                <w:highlight w:val="none"/>
                <w:lang w:val="en-US" w:eastAsia="zh-CN"/>
              </w:rPr>
            </w:pPr>
          </w:p>
        </w:tc>
      </w:tr>
      <w:tr w14:paraId="35BE6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94F9949">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3ACC0EE0">
            <w:pPr>
              <w:pStyle w:val="26"/>
              <w:jc w:val="center"/>
              <w:rPr>
                <w:rFonts w:hint="eastAsia" w:ascii="宋体" w:hAnsi="宋体" w:eastAsia="宋体" w:cs="宋体"/>
                <w:color w:val="auto"/>
                <w:sz w:val="21"/>
                <w:szCs w:val="21"/>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6FCCBA98">
            <w:pPr>
              <w:pStyle w:val="26"/>
              <w:jc w:val="center"/>
              <w:rPr>
                <w:rFonts w:hint="eastAsia" w:ascii="宋体" w:hAnsi="宋体" w:eastAsia="宋体" w:cs="宋体"/>
                <w:color w:val="auto"/>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52CFE51">
            <w:pPr>
              <w:pStyle w:val="26"/>
              <w:jc w:val="center"/>
              <w:rPr>
                <w:rFonts w:hint="eastAsia" w:ascii="宋体" w:hAnsi="宋体" w:eastAsia="宋体" w:cs="宋体"/>
                <w:color w:val="auto"/>
                <w:sz w:val="21"/>
                <w:szCs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3AE2A52">
            <w:pPr>
              <w:pStyle w:val="26"/>
              <w:jc w:val="center"/>
              <w:rPr>
                <w:rFonts w:hint="eastAsia" w:ascii="宋体" w:hAnsi="宋体" w:eastAsia="宋体" w:cs="宋体"/>
                <w:color w:val="auto"/>
                <w:sz w:val="21"/>
                <w:szCs w:val="21"/>
                <w:highlight w:val="none"/>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5E440B2A">
            <w:pPr>
              <w:pStyle w:val="26"/>
              <w:jc w:val="center"/>
              <w:rPr>
                <w:rFonts w:hint="eastAsia" w:ascii="宋体" w:hAnsi="宋体" w:eastAsia="宋体" w:cs="宋体"/>
                <w:color w:val="auto"/>
                <w:sz w:val="21"/>
                <w:szCs w:val="21"/>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B36017">
            <w:pPr>
              <w:pStyle w:val="26"/>
              <w:jc w:val="center"/>
              <w:rPr>
                <w:rFonts w:hint="eastAsia" w:ascii="宋体" w:hAnsi="宋体" w:eastAsia="宋体" w:cs="宋体"/>
                <w:color w:val="auto"/>
                <w:sz w:val="21"/>
                <w:szCs w:val="21"/>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58492E7">
            <w:pPr>
              <w:pStyle w:val="26"/>
              <w:jc w:val="center"/>
              <w:rPr>
                <w:rFonts w:hint="eastAsia" w:ascii="宋体" w:hAnsi="宋体" w:eastAsia="宋体" w:cs="宋体"/>
                <w:color w:val="auto"/>
                <w:sz w:val="21"/>
                <w:szCs w:val="21"/>
                <w:highlight w:val="none"/>
                <w:lang w:val="en-US" w:eastAsia="zh-CN"/>
              </w:rPr>
            </w:pPr>
          </w:p>
        </w:tc>
      </w:tr>
      <w:tr w14:paraId="7835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5233CEB0">
            <w:pPr>
              <w:pStyle w:val="2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0DEC5890">
            <w:pPr>
              <w:pStyle w:val="26"/>
              <w:jc w:val="center"/>
              <w:rPr>
                <w:rFonts w:hint="eastAsia" w:ascii="宋体" w:hAnsi="宋体" w:eastAsia="宋体" w:cs="宋体"/>
                <w:color w:val="auto"/>
                <w:sz w:val="21"/>
                <w:szCs w:val="21"/>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3C5A7D73">
            <w:pPr>
              <w:pStyle w:val="26"/>
              <w:jc w:val="center"/>
              <w:rPr>
                <w:rFonts w:hint="eastAsia" w:ascii="宋体" w:hAnsi="宋体" w:eastAsia="宋体" w:cs="宋体"/>
                <w:color w:val="auto"/>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66E548">
            <w:pPr>
              <w:pStyle w:val="26"/>
              <w:jc w:val="center"/>
              <w:rPr>
                <w:rFonts w:hint="eastAsia" w:ascii="宋体" w:hAnsi="宋体" w:eastAsia="宋体" w:cs="宋体"/>
                <w:color w:val="auto"/>
                <w:sz w:val="21"/>
                <w:szCs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D768604">
            <w:pPr>
              <w:pStyle w:val="26"/>
              <w:jc w:val="center"/>
              <w:rPr>
                <w:rFonts w:hint="eastAsia" w:ascii="宋体" w:hAnsi="宋体" w:eastAsia="宋体" w:cs="宋体"/>
                <w:color w:val="auto"/>
                <w:sz w:val="21"/>
                <w:szCs w:val="21"/>
                <w:highlight w:val="none"/>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61FEF115">
            <w:pPr>
              <w:pStyle w:val="26"/>
              <w:jc w:val="center"/>
              <w:rPr>
                <w:rFonts w:hint="eastAsia" w:ascii="宋体" w:hAnsi="宋体" w:eastAsia="宋体" w:cs="宋体"/>
                <w:color w:val="auto"/>
                <w:sz w:val="21"/>
                <w:szCs w:val="21"/>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9EA578">
            <w:pPr>
              <w:pStyle w:val="26"/>
              <w:jc w:val="center"/>
              <w:rPr>
                <w:rFonts w:hint="eastAsia" w:ascii="宋体" w:hAnsi="宋体" w:eastAsia="宋体" w:cs="宋体"/>
                <w:color w:val="auto"/>
                <w:sz w:val="21"/>
                <w:szCs w:val="21"/>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3A76C5C9">
            <w:pPr>
              <w:pStyle w:val="26"/>
              <w:jc w:val="center"/>
              <w:rPr>
                <w:rFonts w:hint="eastAsia" w:ascii="宋体" w:hAnsi="宋体" w:eastAsia="宋体" w:cs="宋体"/>
                <w:color w:val="auto"/>
                <w:sz w:val="21"/>
                <w:szCs w:val="21"/>
                <w:highlight w:val="none"/>
                <w:lang w:val="en-US" w:eastAsia="zh-CN"/>
              </w:rPr>
            </w:pPr>
          </w:p>
        </w:tc>
      </w:tr>
      <w:tr w14:paraId="4450F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37AB6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0B41C942">
            <w:pPr>
              <w:rPr>
                <w:rFonts w:hint="eastAsia" w:ascii="宋体" w:hAnsi="宋体" w:eastAsia="宋体" w:cs="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6629EB3C">
            <w:pPr>
              <w:rPr>
                <w:rFonts w:hint="eastAsia" w:ascii="宋体" w:hAnsi="宋体" w:eastAsia="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F4A626">
            <w:pPr>
              <w:rPr>
                <w:rFonts w:hint="eastAsia" w:ascii="宋体" w:hAnsi="宋体" w:eastAsia="宋体" w:cs="宋体"/>
                <w:color w:val="auto"/>
                <w:szCs w:val="21"/>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F84E395">
            <w:pPr>
              <w:rPr>
                <w:rFonts w:hint="eastAsia" w:ascii="宋体" w:hAnsi="宋体" w:eastAsia="宋体" w:cs="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46BD8922">
            <w:pP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6F7E3A">
            <w:pPr>
              <w:rPr>
                <w:rFonts w:hint="eastAsia" w:ascii="宋体" w:hAnsi="宋体" w:eastAsia="宋体" w:cs="宋体"/>
                <w:color w:val="auto"/>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5CDEF68">
            <w:pPr>
              <w:rPr>
                <w:rFonts w:hint="eastAsia" w:ascii="宋体" w:hAnsi="宋体" w:eastAsia="宋体" w:cs="宋体"/>
                <w:color w:val="auto"/>
                <w:szCs w:val="21"/>
                <w:highlight w:val="none"/>
              </w:rPr>
            </w:pPr>
          </w:p>
        </w:tc>
      </w:tr>
    </w:tbl>
    <w:p w14:paraId="2BD9CD4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注：1、“项目实施人员”指供应商针对该项目的销售、培训、售后服务等完成本项目所配备的人员。</w:t>
      </w:r>
    </w:p>
    <w:p w14:paraId="56D36DB5">
      <w:pPr>
        <w:spacing w:line="360" w:lineRule="auto"/>
        <w:ind w:firstLine="843" w:firstLineChars="4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2、附各专业人员简历及相关证明材料复印件；</w:t>
      </w:r>
    </w:p>
    <w:p w14:paraId="5DE39F5F">
      <w:pPr>
        <w:spacing w:line="360" w:lineRule="auto"/>
        <w:ind w:firstLine="843" w:firstLineChars="4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3、表格不够填写可添加。</w:t>
      </w:r>
    </w:p>
    <w:p w14:paraId="6B462600">
      <w:pPr>
        <w:snapToGrid w:val="0"/>
        <w:spacing w:before="50" w:after="50" w:line="360" w:lineRule="auto"/>
        <w:rPr>
          <w:rFonts w:hint="eastAsia" w:ascii="宋体" w:hAnsi="宋体" w:eastAsia="宋体" w:cs="宋体"/>
          <w:color w:val="auto"/>
          <w:spacing w:val="20"/>
          <w:szCs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spacing w:val="20"/>
          <w:highlight w:val="none"/>
        </w:rPr>
        <w:t>：</w:t>
      </w:r>
      <w:r>
        <w:rPr>
          <w:rFonts w:hint="eastAsia" w:ascii="宋体" w:hAnsi="宋体" w:eastAsia="宋体" w:cs="宋体"/>
          <w:color w:val="auto"/>
          <w:spacing w:val="20"/>
          <w:highlight w:val="none"/>
          <w:u w:val="single"/>
        </w:rPr>
        <w:t xml:space="preserve">                 </w:t>
      </w:r>
    </w:p>
    <w:p w14:paraId="663C682D">
      <w:pPr>
        <w:pStyle w:val="175"/>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w:t>
      </w:r>
    </w:p>
    <w:p w14:paraId="36A0733B">
      <w:pPr>
        <w:pStyle w:val="175"/>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6C7FAA1">
      <w:pPr>
        <w:pStyle w:val="17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6.投入设备一览表</w:t>
      </w:r>
    </w:p>
    <w:p w14:paraId="70A4435F">
      <w:pPr>
        <w:pStyle w:val="6"/>
        <w:overflowPunct w:val="0"/>
        <w:ind w:firstLine="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投入设备一览表</w:t>
      </w:r>
    </w:p>
    <w:p w14:paraId="058B24FE">
      <w:pPr>
        <w:pStyle w:val="6"/>
        <w:overflowPunct w:val="0"/>
        <w:ind w:firstLine="0"/>
        <w:rPr>
          <w:rFonts w:hint="eastAsia" w:ascii="宋体" w:hAnsi="宋体" w:eastAsia="宋体" w:cs="宋体"/>
          <w:b/>
          <w:color w:val="auto"/>
          <w:szCs w:val="21"/>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14:paraId="7636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4EAC778D">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16" w:type="dxa"/>
            <w:noWrap w:val="0"/>
            <w:vAlign w:val="center"/>
          </w:tcPr>
          <w:p w14:paraId="72ABEAA6">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211" w:type="dxa"/>
            <w:noWrap w:val="0"/>
            <w:vAlign w:val="center"/>
          </w:tcPr>
          <w:p w14:paraId="1CCCFAEE">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211" w:type="dxa"/>
            <w:noWrap w:val="0"/>
            <w:vAlign w:val="center"/>
          </w:tcPr>
          <w:p w14:paraId="76FAEF22">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679" w:type="dxa"/>
            <w:noWrap w:val="0"/>
            <w:vAlign w:val="center"/>
          </w:tcPr>
          <w:p w14:paraId="035F0396">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79" w:type="dxa"/>
            <w:noWrap w:val="0"/>
            <w:vAlign w:val="center"/>
          </w:tcPr>
          <w:p w14:paraId="45285DD8">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400" w:type="dxa"/>
            <w:noWrap w:val="0"/>
            <w:vAlign w:val="center"/>
          </w:tcPr>
          <w:p w14:paraId="3A006B6C">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设备性质（自有/租赁）</w:t>
            </w:r>
          </w:p>
        </w:tc>
      </w:tr>
      <w:tr w14:paraId="2560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7B57D057">
            <w:pPr>
              <w:pStyle w:val="175"/>
              <w:jc w:val="center"/>
              <w:rPr>
                <w:rFonts w:hint="eastAsia" w:ascii="宋体" w:hAnsi="宋体" w:eastAsia="宋体" w:cs="宋体"/>
                <w:color w:val="auto"/>
                <w:sz w:val="21"/>
                <w:szCs w:val="21"/>
                <w:highlight w:val="none"/>
              </w:rPr>
            </w:pPr>
          </w:p>
        </w:tc>
        <w:tc>
          <w:tcPr>
            <w:tcW w:w="1816" w:type="dxa"/>
            <w:noWrap w:val="0"/>
            <w:vAlign w:val="center"/>
          </w:tcPr>
          <w:p w14:paraId="742E0D12">
            <w:pPr>
              <w:pStyle w:val="175"/>
              <w:jc w:val="center"/>
              <w:rPr>
                <w:rFonts w:hint="eastAsia" w:ascii="宋体" w:hAnsi="宋体" w:eastAsia="宋体" w:cs="宋体"/>
                <w:color w:val="auto"/>
                <w:sz w:val="21"/>
                <w:szCs w:val="21"/>
                <w:highlight w:val="none"/>
              </w:rPr>
            </w:pPr>
          </w:p>
        </w:tc>
        <w:tc>
          <w:tcPr>
            <w:tcW w:w="1211" w:type="dxa"/>
            <w:noWrap w:val="0"/>
            <w:vAlign w:val="top"/>
          </w:tcPr>
          <w:p w14:paraId="36FA090C">
            <w:pPr>
              <w:pStyle w:val="175"/>
              <w:jc w:val="center"/>
              <w:rPr>
                <w:rFonts w:hint="eastAsia" w:ascii="宋体" w:hAnsi="宋体" w:eastAsia="宋体" w:cs="宋体"/>
                <w:color w:val="auto"/>
                <w:sz w:val="21"/>
                <w:szCs w:val="21"/>
                <w:highlight w:val="none"/>
              </w:rPr>
            </w:pPr>
          </w:p>
        </w:tc>
        <w:tc>
          <w:tcPr>
            <w:tcW w:w="1211" w:type="dxa"/>
            <w:noWrap w:val="0"/>
            <w:vAlign w:val="center"/>
          </w:tcPr>
          <w:p w14:paraId="11D45D45">
            <w:pPr>
              <w:pStyle w:val="175"/>
              <w:jc w:val="center"/>
              <w:rPr>
                <w:rFonts w:hint="eastAsia" w:ascii="宋体" w:hAnsi="宋体" w:eastAsia="宋体" w:cs="宋体"/>
                <w:color w:val="auto"/>
                <w:sz w:val="21"/>
                <w:szCs w:val="21"/>
                <w:highlight w:val="none"/>
              </w:rPr>
            </w:pPr>
          </w:p>
        </w:tc>
        <w:tc>
          <w:tcPr>
            <w:tcW w:w="679" w:type="dxa"/>
            <w:noWrap w:val="0"/>
            <w:vAlign w:val="center"/>
          </w:tcPr>
          <w:p w14:paraId="3B06EED4">
            <w:pPr>
              <w:pStyle w:val="175"/>
              <w:jc w:val="center"/>
              <w:rPr>
                <w:rFonts w:hint="eastAsia" w:ascii="宋体" w:hAnsi="宋体" w:eastAsia="宋体" w:cs="宋体"/>
                <w:color w:val="auto"/>
                <w:sz w:val="21"/>
                <w:szCs w:val="21"/>
                <w:highlight w:val="none"/>
              </w:rPr>
            </w:pPr>
          </w:p>
        </w:tc>
        <w:tc>
          <w:tcPr>
            <w:tcW w:w="679" w:type="dxa"/>
            <w:noWrap w:val="0"/>
            <w:vAlign w:val="center"/>
          </w:tcPr>
          <w:p w14:paraId="5CD36DDF">
            <w:pPr>
              <w:pStyle w:val="175"/>
              <w:jc w:val="center"/>
              <w:rPr>
                <w:rFonts w:hint="eastAsia" w:ascii="宋体" w:hAnsi="宋体" w:eastAsia="宋体" w:cs="宋体"/>
                <w:color w:val="auto"/>
                <w:sz w:val="21"/>
                <w:szCs w:val="21"/>
                <w:highlight w:val="none"/>
              </w:rPr>
            </w:pPr>
          </w:p>
        </w:tc>
        <w:tc>
          <w:tcPr>
            <w:tcW w:w="2400" w:type="dxa"/>
            <w:noWrap w:val="0"/>
            <w:vAlign w:val="center"/>
          </w:tcPr>
          <w:p w14:paraId="167D4983">
            <w:pPr>
              <w:pStyle w:val="175"/>
              <w:jc w:val="center"/>
              <w:rPr>
                <w:rFonts w:hint="eastAsia" w:ascii="宋体" w:hAnsi="宋体" w:eastAsia="宋体" w:cs="宋体"/>
                <w:color w:val="auto"/>
                <w:sz w:val="21"/>
                <w:szCs w:val="21"/>
                <w:highlight w:val="none"/>
              </w:rPr>
            </w:pPr>
          </w:p>
        </w:tc>
      </w:tr>
      <w:tr w14:paraId="4ED1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38FE4430">
            <w:pPr>
              <w:pStyle w:val="175"/>
              <w:jc w:val="center"/>
              <w:rPr>
                <w:rFonts w:hint="eastAsia" w:ascii="宋体" w:hAnsi="宋体" w:eastAsia="宋体" w:cs="宋体"/>
                <w:color w:val="auto"/>
                <w:sz w:val="21"/>
                <w:szCs w:val="21"/>
                <w:highlight w:val="none"/>
              </w:rPr>
            </w:pPr>
          </w:p>
        </w:tc>
        <w:tc>
          <w:tcPr>
            <w:tcW w:w="1816" w:type="dxa"/>
            <w:noWrap w:val="0"/>
            <w:vAlign w:val="center"/>
          </w:tcPr>
          <w:p w14:paraId="7564DDD3">
            <w:pPr>
              <w:pStyle w:val="175"/>
              <w:jc w:val="center"/>
              <w:rPr>
                <w:rFonts w:hint="eastAsia" w:ascii="宋体" w:hAnsi="宋体" w:eastAsia="宋体" w:cs="宋体"/>
                <w:color w:val="auto"/>
                <w:sz w:val="21"/>
                <w:szCs w:val="21"/>
                <w:highlight w:val="none"/>
              </w:rPr>
            </w:pPr>
          </w:p>
        </w:tc>
        <w:tc>
          <w:tcPr>
            <w:tcW w:w="1211" w:type="dxa"/>
            <w:noWrap w:val="0"/>
            <w:vAlign w:val="top"/>
          </w:tcPr>
          <w:p w14:paraId="0BF850D4">
            <w:pPr>
              <w:pStyle w:val="175"/>
              <w:jc w:val="center"/>
              <w:rPr>
                <w:rFonts w:hint="eastAsia" w:ascii="宋体" w:hAnsi="宋体" w:eastAsia="宋体" w:cs="宋体"/>
                <w:color w:val="auto"/>
                <w:sz w:val="21"/>
                <w:szCs w:val="21"/>
                <w:highlight w:val="none"/>
              </w:rPr>
            </w:pPr>
          </w:p>
        </w:tc>
        <w:tc>
          <w:tcPr>
            <w:tcW w:w="1211" w:type="dxa"/>
            <w:noWrap w:val="0"/>
            <w:vAlign w:val="center"/>
          </w:tcPr>
          <w:p w14:paraId="64F425F1">
            <w:pPr>
              <w:pStyle w:val="175"/>
              <w:jc w:val="center"/>
              <w:rPr>
                <w:rFonts w:hint="eastAsia" w:ascii="宋体" w:hAnsi="宋体" w:eastAsia="宋体" w:cs="宋体"/>
                <w:color w:val="auto"/>
                <w:sz w:val="21"/>
                <w:szCs w:val="21"/>
                <w:highlight w:val="none"/>
              </w:rPr>
            </w:pPr>
          </w:p>
        </w:tc>
        <w:tc>
          <w:tcPr>
            <w:tcW w:w="679" w:type="dxa"/>
            <w:noWrap w:val="0"/>
            <w:vAlign w:val="center"/>
          </w:tcPr>
          <w:p w14:paraId="5766223D">
            <w:pPr>
              <w:pStyle w:val="175"/>
              <w:jc w:val="center"/>
              <w:rPr>
                <w:rFonts w:hint="eastAsia" w:ascii="宋体" w:hAnsi="宋体" w:eastAsia="宋体" w:cs="宋体"/>
                <w:color w:val="auto"/>
                <w:sz w:val="21"/>
                <w:szCs w:val="21"/>
                <w:highlight w:val="none"/>
              </w:rPr>
            </w:pPr>
          </w:p>
        </w:tc>
        <w:tc>
          <w:tcPr>
            <w:tcW w:w="679" w:type="dxa"/>
            <w:noWrap w:val="0"/>
            <w:vAlign w:val="center"/>
          </w:tcPr>
          <w:p w14:paraId="5546FB89">
            <w:pPr>
              <w:pStyle w:val="175"/>
              <w:jc w:val="center"/>
              <w:rPr>
                <w:rFonts w:hint="eastAsia" w:ascii="宋体" w:hAnsi="宋体" w:eastAsia="宋体" w:cs="宋体"/>
                <w:color w:val="auto"/>
                <w:sz w:val="21"/>
                <w:szCs w:val="21"/>
                <w:highlight w:val="none"/>
              </w:rPr>
            </w:pPr>
          </w:p>
        </w:tc>
        <w:tc>
          <w:tcPr>
            <w:tcW w:w="2400" w:type="dxa"/>
            <w:noWrap w:val="0"/>
            <w:vAlign w:val="center"/>
          </w:tcPr>
          <w:p w14:paraId="7A06FEB4">
            <w:pPr>
              <w:pStyle w:val="175"/>
              <w:jc w:val="center"/>
              <w:rPr>
                <w:rFonts w:hint="eastAsia" w:ascii="宋体" w:hAnsi="宋体" w:eastAsia="宋体" w:cs="宋体"/>
                <w:color w:val="auto"/>
                <w:sz w:val="21"/>
                <w:szCs w:val="21"/>
                <w:highlight w:val="none"/>
              </w:rPr>
            </w:pPr>
          </w:p>
        </w:tc>
      </w:tr>
      <w:tr w14:paraId="0717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3100581F">
            <w:pPr>
              <w:pStyle w:val="175"/>
              <w:jc w:val="center"/>
              <w:rPr>
                <w:rFonts w:hint="eastAsia" w:ascii="宋体" w:hAnsi="宋体" w:eastAsia="宋体" w:cs="宋体"/>
                <w:color w:val="auto"/>
                <w:sz w:val="21"/>
                <w:szCs w:val="21"/>
                <w:highlight w:val="none"/>
              </w:rPr>
            </w:pPr>
          </w:p>
        </w:tc>
        <w:tc>
          <w:tcPr>
            <w:tcW w:w="1816" w:type="dxa"/>
            <w:noWrap w:val="0"/>
            <w:vAlign w:val="center"/>
          </w:tcPr>
          <w:p w14:paraId="02472A1D">
            <w:pPr>
              <w:pStyle w:val="175"/>
              <w:jc w:val="center"/>
              <w:rPr>
                <w:rFonts w:hint="eastAsia" w:ascii="宋体" w:hAnsi="宋体" w:eastAsia="宋体" w:cs="宋体"/>
                <w:color w:val="auto"/>
                <w:sz w:val="21"/>
                <w:szCs w:val="21"/>
                <w:highlight w:val="none"/>
              </w:rPr>
            </w:pPr>
          </w:p>
        </w:tc>
        <w:tc>
          <w:tcPr>
            <w:tcW w:w="1211" w:type="dxa"/>
            <w:noWrap w:val="0"/>
            <w:vAlign w:val="top"/>
          </w:tcPr>
          <w:p w14:paraId="433ADE41">
            <w:pPr>
              <w:pStyle w:val="175"/>
              <w:jc w:val="center"/>
              <w:rPr>
                <w:rFonts w:hint="eastAsia" w:ascii="宋体" w:hAnsi="宋体" w:eastAsia="宋体" w:cs="宋体"/>
                <w:color w:val="auto"/>
                <w:sz w:val="21"/>
                <w:szCs w:val="21"/>
                <w:highlight w:val="none"/>
              </w:rPr>
            </w:pPr>
          </w:p>
        </w:tc>
        <w:tc>
          <w:tcPr>
            <w:tcW w:w="1211" w:type="dxa"/>
            <w:noWrap w:val="0"/>
            <w:vAlign w:val="center"/>
          </w:tcPr>
          <w:p w14:paraId="6419996C">
            <w:pPr>
              <w:pStyle w:val="175"/>
              <w:jc w:val="center"/>
              <w:rPr>
                <w:rFonts w:hint="eastAsia" w:ascii="宋体" w:hAnsi="宋体" w:eastAsia="宋体" w:cs="宋体"/>
                <w:color w:val="auto"/>
                <w:sz w:val="21"/>
                <w:szCs w:val="21"/>
                <w:highlight w:val="none"/>
              </w:rPr>
            </w:pPr>
          </w:p>
        </w:tc>
        <w:tc>
          <w:tcPr>
            <w:tcW w:w="679" w:type="dxa"/>
            <w:noWrap w:val="0"/>
            <w:vAlign w:val="center"/>
          </w:tcPr>
          <w:p w14:paraId="51618B2B">
            <w:pPr>
              <w:pStyle w:val="175"/>
              <w:jc w:val="center"/>
              <w:rPr>
                <w:rFonts w:hint="eastAsia" w:ascii="宋体" w:hAnsi="宋体" w:eastAsia="宋体" w:cs="宋体"/>
                <w:color w:val="auto"/>
                <w:sz w:val="21"/>
                <w:szCs w:val="21"/>
                <w:highlight w:val="none"/>
              </w:rPr>
            </w:pPr>
          </w:p>
        </w:tc>
        <w:tc>
          <w:tcPr>
            <w:tcW w:w="679" w:type="dxa"/>
            <w:noWrap w:val="0"/>
            <w:vAlign w:val="center"/>
          </w:tcPr>
          <w:p w14:paraId="05FDB85A">
            <w:pPr>
              <w:pStyle w:val="175"/>
              <w:jc w:val="center"/>
              <w:rPr>
                <w:rFonts w:hint="eastAsia" w:ascii="宋体" w:hAnsi="宋体" w:eastAsia="宋体" w:cs="宋体"/>
                <w:color w:val="auto"/>
                <w:sz w:val="21"/>
                <w:szCs w:val="21"/>
                <w:highlight w:val="none"/>
              </w:rPr>
            </w:pPr>
          </w:p>
        </w:tc>
        <w:tc>
          <w:tcPr>
            <w:tcW w:w="2400" w:type="dxa"/>
            <w:noWrap w:val="0"/>
            <w:vAlign w:val="center"/>
          </w:tcPr>
          <w:p w14:paraId="1C928CA5">
            <w:pPr>
              <w:pStyle w:val="175"/>
              <w:jc w:val="center"/>
              <w:rPr>
                <w:rFonts w:hint="eastAsia" w:ascii="宋体" w:hAnsi="宋体" w:eastAsia="宋体" w:cs="宋体"/>
                <w:color w:val="auto"/>
                <w:sz w:val="21"/>
                <w:szCs w:val="21"/>
                <w:highlight w:val="none"/>
              </w:rPr>
            </w:pPr>
          </w:p>
        </w:tc>
      </w:tr>
    </w:tbl>
    <w:p w14:paraId="3CBF9E8A">
      <w:pPr>
        <w:snapToGrid w:val="0"/>
        <w:spacing w:before="50" w:after="50" w:line="360" w:lineRule="auto"/>
        <w:rPr>
          <w:rFonts w:hint="eastAsia" w:ascii="宋体" w:hAnsi="宋体" w:eastAsia="宋体" w:cs="宋体"/>
          <w:color w:val="auto"/>
          <w:spacing w:val="20"/>
          <w:szCs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spacing w:val="20"/>
          <w:highlight w:val="none"/>
        </w:rPr>
        <w:t>：</w:t>
      </w:r>
      <w:r>
        <w:rPr>
          <w:rFonts w:hint="eastAsia" w:ascii="宋体" w:hAnsi="宋体" w:eastAsia="宋体" w:cs="宋体"/>
          <w:color w:val="auto"/>
          <w:spacing w:val="20"/>
          <w:highlight w:val="none"/>
          <w:u w:val="single"/>
        </w:rPr>
        <w:t xml:space="preserve">        </w:t>
      </w:r>
    </w:p>
    <w:p w14:paraId="603CF169">
      <w:pPr>
        <w:pStyle w:val="175"/>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w:t>
      </w:r>
    </w:p>
    <w:p w14:paraId="009E5C3D">
      <w:pPr>
        <w:pStyle w:val="175"/>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AAF88EC">
      <w:pPr>
        <w:pStyle w:val="175"/>
        <w:spacing w:line="360" w:lineRule="auto"/>
        <w:rPr>
          <w:rFonts w:hint="eastAsia" w:ascii="宋体" w:hAnsi="宋体" w:eastAsia="宋体" w:cs="宋体"/>
          <w:b/>
          <w:color w:val="auto"/>
          <w:sz w:val="24"/>
          <w:szCs w:val="24"/>
          <w:highlight w:val="none"/>
        </w:rPr>
      </w:pPr>
    </w:p>
    <w:p w14:paraId="2D3CEBCB">
      <w:pPr>
        <w:pStyle w:val="17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7.选配件、专用耗材、售后服务优惠表</w:t>
      </w:r>
    </w:p>
    <w:p w14:paraId="65F75CEE">
      <w:pPr>
        <w:pStyle w:val="6"/>
        <w:overflowPunct w:val="0"/>
        <w:ind w:firstLine="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选配件、专用耗材、售后服务优惠表</w:t>
      </w:r>
    </w:p>
    <w:p w14:paraId="72CF0B53">
      <w:pPr>
        <w:pStyle w:val="6"/>
        <w:overflowPunct w:val="0"/>
        <w:ind w:firstLine="0"/>
        <w:rPr>
          <w:rFonts w:hint="eastAsia" w:ascii="宋体" w:hAnsi="宋体" w:eastAsia="宋体" w:cs="宋体"/>
          <w:b/>
          <w:color w:val="auto"/>
          <w:szCs w:val="21"/>
          <w:highlight w:val="none"/>
        </w:rPr>
      </w:pP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1671"/>
        <w:gridCol w:w="3312"/>
      </w:tblGrid>
      <w:tr w14:paraId="77B71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7476A625">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06" w:type="dxa"/>
            <w:noWrap w:val="0"/>
            <w:vAlign w:val="center"/>
          </w:tcPr>
          <w:p w14:paraId="5D69830D">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优惠内容</w:t>
            </w:r>
          </w:p>
        </w:tc>
        <w:tc>
          <w:tcPr>
            <w:tcW w:w="1671" w:type="dxa"/>
            <w:noWrap w:val="0"/>
            <w:vAlign w:val="center"/>
          </w:tcPr>
          <w:p w14:paraId="53A5403F">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3312" w:type="dxa"/>
            <w:noWrap w:val="0"/>
            <w:vAlign w:val="center"/>
          </w:tcPr>
          <w:p w14:paraId="023A46F7">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比投标报价优惠率</w:t>
            </w:r>
          </w:p>
        </w:tc>
      </w:tr>
      <w:tr w14:paraId="6A51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2CFEEF44">
            <w:pPr>
              <w:pStyle w:val="175"/>
              <w:jc w:val="center"/>
              <w:rPr>
                <w:rFonts w:hint="eastAsia" w:ascii="宋体" w:hAnsi="宋体" w:eastAsia="宋体" w:cs="宋体"/>
                <w:color w:val="auto"/>
                <w:sz w:val="21"/>
                <w:szCs w:val="21"/>
                <w:highlight w:val="none"/>
              </w:rPr>
            </w:pPr>
          </w:p>
        </w:tc>
        <w:tc>
          <w:tcPr>
            <w:tcW w:w="2506" w:type="dxa"/>
            <w:noWrap w:val="0"/>
            <w:vAlign w:val="center"/>
          </w:tcPr>
          <w:p w14:paraId="455A3F54">
            <w:pPr>
              <w:pStyle w:val="175"/>
              <w:jc w:val="center"/>
              <w:rPr>
                <w:rFonts w:hint="eastAsia" w:ascii="宋体" w:hAnsi="宋体" w:eastAsia="宋体" w:cs="宋体"/>
                <w:color w:val="auto"/>
                <w:sz w:val="21"/>
                <w:szCs w:val="21"/>
                <w:highlight w:val="none"/>
              </w:rPr>
            </w:pPr>
          </w:p>
        </w:tc>
        <w:tc>
          <w:tcPr>
            <w:tcW w:w="1671" w:type="dxa"/>
            <w:noWrap w:val="0"/>
            <w:vAlign w:val="top"/>
          </w:tcPr>
          <w:p w14:paraId="02BB5BDB">
            <w:pPr>
              <w:pStyle w:val="175"/>
              <w:jc w:val="center"/>
              <w:rPr>
                <w:rFonts w:hint="eastAsia" w:ascii="宋体" w:hAnsi="宋体" w:eastAsia="宋体" w:cs="宋体"/>
                <w:color w:val="auto"/>
                <w:sz w:val="21"/>
                <w:szCs w:val="21"/>
                <w:highlight w:val="none"/>
              </w:rPr>
            </w:pPr>
          </w:p>
        </w:tc>
        <w:tc>
          <w:tcPr>
            <w:tcW w:w="3312" w:type="dxa"/>
            <w:noWrap w:val="0"/>
            <w:vAlign w:val="center"/>
          </w:tcPr>
          <w:p w14:paraId="621F5336">
            <w:pPr>
              <w:pStyle w:val="17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r w14:paraId="005AA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28AD6339">
            <w:pPr>
              <w:pStyle w:val="175"/>
              <w:jc w:val="center"/>
              <w:rPr>
                <w:rFonts w:hint="eastAsia" w:ascii="宋体" w:hAnsi="宋体" w:eastAsia="宋体" w:cs="宋体"/>
                <w:color w:val="auto"/>
                <w:sz w:val="21"/>
                <w:szCs w:val="21"/>
                <w:highlight w:val="none"/>
              </w:rPr>
            </w:pPr>
          </w:p>
        </w:tc>
        <w:tc>
          <w:tcPr>
            <w:tcW w:w="2506" w:type="dxa"/>
            <w:noWrap w:val="0"/>
            <w:vAlign w:val="center"/>
          </w:tcPr>
          <w:p w14:paraId="26732D73">
            <w:pPr>
              <w:pStyle w:val="175"/>
              <w:jc w:val="center"/>
              <w:rPr>
                <w:rFonts w:hint="eastAsia" w:ascii="宋体" w:hAnsi="宋体" w:eastAsia="宋体" w:cs="宋体"/>
                <w:color w:val="auto"/>
                <w:sz w:val="21"/>
                <w:szCs w:val="21"/>
                <w:highlight w:val="none"/>
              </w:rPr>
            </w:pPr>
          </w:p>
        </w:tc>
        <w:tc>
          <w:tcPr>
            <w:tcW w:w="1671" w:type="dxa"/>
            <w:noWrap w:val="0"/>
            <w:vAlign w:val="top"/>
          </w:tcPr>
          <w:p w14:paraId="19B758A7">
            <w:pPr>
              <w:pStyle w:val="175"/>
              <w:jc w:val="center"/>
              <w:rPr>
                <w:rFonts w:hint="eastAsia" w:ascii="宋体" w:hAnsi="宋体" w:eastAsia="宋体" w:cs="宋体"/>
                <w:color w:val="auto"/>
                <w:sz w:val="21"/>
                <w:szCs w:val="21"/>
                <w:highlight w:val="none"/>
              </w:rPr>
            </w:pPr>
          </w:p>
        </w:tc>
        <w:tc>
          <w:tcPr>
            <w:tcW w:w="3312" w:type="dxa"/>
            <w:noWrap w:val="0"/>
            <w:vAlign w:val="center"/>
          </w:tcPr>
          <w:p w14:paraId="3E5BABD6">
            <w:pPr>
              <w:pStyle w:val="175"/>
              <w:jc w:val="center"/>
              <w:rPr>
                <w:rFonts w:hint="eastAsia" w:ascii="宋体" w:hAnsi="宋体" w:eastAsia="宋体" w:cs="宋体"/>
                <w:color w:val="auto"/>
                <w:sz w:val="21"/>
                <w:szCs w:val="21"/>
                <w:highlight w:val="none"/>
              </w:rPr>
            </w:pPr>
          </w:p>
        </w:tc>
      </w:tr>
      <w:tr w14:paraId="13046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447299C9">
            <w:pPr>
              <w:pStyle w:val="175"/>
              <w:jc w:val="center"/>
              <w:rPr>
                <w:rFonts w:hint="eastAsia" w:ascii="宋体" w:hAnsi="宋体" w:eastAsia="宋体" w:cs="宋体"/>
                <w:color w:val="auto"/>
                <w:sz w:val="21"/>
                <w:szCs w:val="21"/>
                <w:highlight w:val="none"/>
              </w:rPr>
            </w:pPr>
          </w:p>
        </w:tc>
        <w:tc>
          <w:tcPr>
            <w:tcW w:w="2506" w:type="dxa"/>
            <w:noWrap w:val="0"/>
            <w:vAlign w:val="center"/>
          </w:tcPr>
          <w:p w14:paraId="0718525A">
            <w:pPr>
              <w:pStyle w:val="175"/>
              <w:jc w:val="center"/>
              <w:rPr>
                <w:rFonts w:hint="eastAsia" w:ascii="宋体" w:hAnsi="宋体" w:eastAsia="宋体" w:cs="宋体"/>
                <w:color w:val="auto"/>
                <w:sz w:val="21"/>
                <w:szCs w:val="21"/>
                <w:highlight w:val="none"/>
              </w:rPr>
            </w:pPr>
          </w:p>
        </w:tc>
        <w:tc>
          <w:tcPr>
            <w:tcW w:w="1671" w:type="dxa"/>
            <w:noWrap w:val="0"/>
            <w:vAlign w:val="top"/>
          </w:tcPr>
          <w:p w14:paraId="2D0CD52D">
            <w:pPr>
              <w:pStyle w:val="175"/>
              <w:jc w:val="center"/>
              <w:rPr>
                <w:rFonts w:hint="eastAsia" w:ascii="宋体" w:hAnsi="宋体" w:eastAsia="宋体" w:cs="宋体"/>
                <w:color w:val="auto"/>
                <w:sz w:val="21"/>
                <w:szCs w:val="21"/>
                <w:highlight w:val="none"/>
              </w:rPr>
            </w:pPr>
          </w:p>
        </w:tc>
        <w:tc>
          <w:tcPr>
            <w:tcW w:w="3312" w:type="dxa"/>
            <w:noWrap w:val="0"/>
            <w:vAlign w:val="center"/>
          </w:tcPr>
          <w:p w14:paraId="715C8C36">
            <w:pPr>
              <w:pStyle w:val="175"/>
              <w:jc w:val="center"/>
              <w:rPr>
                <w:rFonts w:hint="eastAsia" w:ascii="宋体" w:hAnsi="宋体" w:eastAsia="宋体" w:cs="宋体"/>
                <w:color w:val="auto"/>
                <w:sz w:val="21"/>
                <w:szCs w:val="21"/>
                <w:highlight w:val="none"/>
              </w:rPr>
            </w:pPr>
          </w:p>
        </w:tc>
      </w:tr>
      <w:tr w14:paraId="4A8F2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3FF1E19D">
            <w:pPr>
              <w:pStyle w:val="175"/>
              <w:jc w:val="center"/>
              <w:rPr>
                <w:rFonts w:hint="eastAsia" w:ascii="宋体" w:hAnsi="宋体" w:eastAsia="宋体" w:cs="宋体"/>
                <w:color w:val="auto"/>
                <w:sz w:val="21"/>
                <w:szCs w:val="21"/>
                <w:highlight w:val="none"/>
              </w:rPr>
            </w:pPr>
          </w:p>
        </w:tc>
        <w:tc>
          <w:tcPr>
            <w:tcW w:w="2506" w:type="dxa"/>
            <w:noWrap w:val="0"/>
            <w:vAlign w:val="center"/>
          </w:tcPr>
          <w:p w14:paraId="368FA73D">
            <w:pPr>
              <w:pStyle w:val="175"/>
              <w:jc w:val="center"/>
              <w:rPr>
                <w:rFonts w:hint="eastAsia" w:ascii="宋体" w:hAnsi="宋体" w:eastAsia="宋体" w:cs="宋体"/>
                <w:color w:val="auto"/>
                <w:sz w:val="21"/>
                <w:szCs w:val="21"/>
                <w:highlight w:val="none"/>
              </w:rPr>
            </w:pPr>
          </w:p>
        </w:tc>
        <w:tc>
          <w:tcPr>
            <w:tcW w:w="1671" w:type="dxa"/>
            <w:noWrap w:val="0"/>
            <w:vAlign w:val="top"/>
          </w:tcPr>
          <w:p w14:paraId="3C68A551">
            <w:pPr>
              <w:pStyle w:val="175"/>
              <w:jc w:val="center"/>
              <w:rPr>
                <w:rFonts w:hint="eastAsia" w:ascii="宋体" w:hAnsi="宋体" w:eastAsia="宋体" w:cs="宋体"/>
                <w:color w:val="auto"/>
                <w:sz w:val="21"/>
                <w:szCs w:val="21"/>
                <w:highlight w:val="none"/>
              </w:rPr>
            </w:pPr>
          </w:p>
        </w:tc>
        <w:tc>
          <w:tcPr>
            <w:tcW w:w="3312" w:type="dxa"/>
            <w:noWrap w:val="0"/>
            <w:vAlign w:val="center"/>
          </w:tcPr>
          <w:p w14:paraId="2F74597F">
            <w:pPr>
              <w:pStyle w:val="175"/>
              <w:jc w:val="center"/>
              <w:rPr>
                <w:rFonts w:hint="eastAsia" w:ascii="宋体" w:hAnsi="宋体" w:eastAsia="宋体" w:cs="宋体"/>
                <w:color w:val="auto"/>
                <w:sz w:val="21"/>
                <w:szCs w:val="21"/>
                <w:highlight w:val="none"/>
              </w:rPr>
            </w:pPr>
          </w:p>
        </w:tc>
      </w:tr>
    </w:tbl>
    <w:p w14:paraId="42F7B704">
      <w:pPr>
        <w:snapToGrid w:val="0"/>
        <w:spacing w:before="50" w:after="50" w:line="360" w:lineRule="auto"/>
        <w:rPr>
          <w:rFonts w:hint="eastAsia" w:ascii="宋体" w:hAnsi="宋体" w:eastAsia="宋体" w:cs="宋体"/>
          <w:color w:val="auto"/>
          <w:spacing w:val="20"/>
          <w:szCs w:val="20"/>
          <w:highlight w:val="none"/>
          <w:u w:val="single"/>
        </w:rPr>
      </w:pPr>
      <w:r>
        <w:rPr>
          <w:rFonts w:hint="eastAsia" w:ascii="宋体" w:hAnsi="宋体" w:eastAsia="宋体" w:cs="宋体"/>
          <w:color w:val="auto"/>
          <w:highlight w:val="none"/>
        </w:rPr>
        <w:t>被授权人签字（或盖章）</w:t>
      </w:r>
      <w:r>
        <w:rPr>
          <w:rFonts w:hint="eastAsia" w:ascii="宋体" w:hAnsi="宋体" w:eastAsia="宋体" w:cs="宋体"/>
          <w:color w:val="auto"/>
          <w:spacing w:val="20"/>
          <w:highlight w:val="none"/>
        </w:rPr>
        <w:t>：</w:t>
      </w:r>
      <w:r>
        <w:rPr>
          <w:rFonts w:hint="eastAsia" w:ascii="宋体" w:hAnsi="宋体" w:eastAsia="宋体" w:cs="宋体"/>
          <w:color w:val="auto"/>
          <w:spacing w:val="20"/>
          <w:highlight w:val="none"/>
          <w:u w:val="single"/>
        </w:rPr>
        <w:t xml:space="preserve">        </w:t>
      </w:r>
    </w:p>
    <w:p w14:paraId="333C649C">
      <w:pPr>
        <w:pStyle w:val="175"/>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供应商公章：                          </w:t>
      </w:r>
    </w:p>
    <w:p w14:paraId="47277B7F">
      <w:pPr>
        <w:pStyle w:val="175"/>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05615C8">
      <w:pPr>
        <w:pStyle w:val="122"/>
        <w:spacing w:line="480" w:lineRule="auto"/>
        <w:jc w:val="left"/>
        <w:rPr>
          <w:rFonts w:hint="eastAsia" w:ascii="宋体" w:hAnsi="宋体" w:eastAsia="宋体" w:cs="宋体"/>
          <w:color w:val="auto"/>
          <w:sz w:val="24"/>
          <w:szCs w:val="24"/>
          <w:highlight w:val="none"/>
        </w:rPr>
      </w:pPr>
    </w:p>
    <w:p w14:paraId="7CB916AF">
      <w:pPr>
        <w:snapToGrid w:val="0"/>
        <w:spacing w:line="360" w:lineRule="auto"/>
        <w:jc w:val="center"/>
        <w:rPr>
          <w:rFonts w:hint="eastAsia" w:ascii="宋体" w:hAnsi="宋体" w:eastAsia="宋体" w:cs="宋体"/>
          <w:b/>
          <w:color w:val="auto"/>
          <w:sz w:val="32"/>
          <w:szCs w:val="32"/>
          <w:highlight w:val="none"/>
        </w:rPr>
      </w:pPr>
    </w:p>
    <w:p w14:paraId="1575C779">
      <w:pPr>
        <w:snapToGrid w:val="0"/>
        <w:spacing w:line="360" w:lineRule="auto"/>
        <w:jc w:val="center"/>
        <w:rPr>
          <w:rFonts w:hint="eastAsia" w:ascii="宋体" w:hAnsi="宋体" w:eastAsia="宋体" w:cs="宋体"/>
          <w:b/>
          <w:color w:val="auto"/>
          <w:sz w:val="32"/>
          <w:szCs w:val="32"/>
          <w:highlight w:val="none"/>
        </w:rPr>
      </w:pPr>
    </w:p>
    <w:p w14:paraId="43225600">
      <w:pPr>
        <w:snapToGrid w:val="0"/>
        <w:spacing w:line="360" w:lineRule="auto"/>
        <w:jc w:val="center"/>
        <w:rPr>
          <w:rFonts w:hint="eastAsia" w:ascii="宋体" w:hAnsi="宋体" w:eastAsia="宋体" w:cs="宋体"/>
          <w:b/>
          <w:color w:val="auto"/>
          <w:sz w:val="32"/>
          <w:szCs w:val="32"/>
          <w:highlight w:val="none"/>
        </w:rPr>
      </w:pPr>
    </w:p>
    <w:p w14:paraId="0BDD4BC8">
      <w:pPr>
        <w:snapToGrid w:val="0"/>
        <w:spacing w:line="360" w:lineRule="auto"/>
        <w:jc w:val="center"/>
        <w:rPr>
          <w:rFonts w:hint="eastAsia" w:ascii="宋体" w:hAnsi="宋体" w:eastAsia="宋体" w:cs="宋体"/>
          <w:b/>
          <w:color w:val="auto"/>
          <w:sz w:val="32"/>
          <w:szCs w:val="32"/>
          <w:highlight w:val="none"/>
        </w:rPr>
      </w:pPr>
    </w:p>
    <w:p w14:paraId="2AD632E0">
      <w:pPr>
        <w:snapToGrid w:val="0"/>
        <w:spacing w:line="360" w:lineRule="auto"/>
        <w:jc w:val="center"/>
        <w:rPr>
          <w:rFonts w:hint="eastAsia" w:ascii="宋体" w:hAnsi="宋体" w:eastAsia="宋体" w:cs="宋体"/>
          <w:b/>
          <w:color w:val="auto"/>
          <w:sz w:val="32"/>
          <w:szCs w:val="32"/>
          <w:highlight w:val="none"/>
        </w:rPr>
      </w:pPr>
    </w:p>
    <w:p w14:paraId="658C2CA5">
      <w:pPr>
        <w:snapToGrid w:val="0"/>
        <w:spacing w:line="360" w:lineRule="auto"/>
        <w:ind w:left="630" w:leftChars="100" w:hanging="420" w:hangingChars="200"/>
        <w:jc w:val="center"/>
        <w:rPr>
          <w:rFonts w:hint="eastAsia" w:ascii="宋体" w:hAnsi="宋体" w:eastAsia="宋体" w:cs="宋体"/>
          <w:color w:val="auto"/>
          <w:highlight w:val="none"/>
        </w:rPr>
      </w:pPr>
    </w:p>
    <w:p w14:paraId="40F20BCA">
      <w:pPr>
        <w:pStyle w:val="20"/>
        <w:ind w:left="0"/>
        <w:rPr>
          <w:rFonts w:hint="eastAsia" w:ascii="宋体" w:hAnsi="宋体" w:eastAsia="宋体" w:cs="宋体"/>
          <w:b/>
          <w:color w:val="auto"/>
          <w:kern w:val="0"/>
          <w:highlight w:val="none"/>
        </w:rPr>
      </w:pPr>
    </w:p>
    <w:p w14:paraId="0BD50B57">
      <w:pPr>
        <w:jc w:val="left"/>
        <w:rPr>
          <w:rFonts w:hint="eastAsia" w:ascii="宋体" w:hAnsi="宋体" w:eastAsia="宋体" w:cs="宋体"/>
          <w:color w:val="auto"/>
          <w:highlight w:val="none"/>
        </w:rPr>
      </w:pPr>
    </w:p>
    <w:p w14:paraId="07ECF705">
      <w:pPr>
        <w:jc w:val="center"/>
        <w:rPr>
          <w:rFonts w:hint="eastAsia" w:ascii="宋体" w:hAnsi="宋体" w:eastAsia="宋体" w:cs="宋体"/>
          <w:b/>
          <w:color w:val="auto"/>
          <w:kern w:val="0"/>
          <w:sz w:val="32"/>
          <w:szCs w:val="32"/>
          <w:highlight w:val="none"/>
        </w:rPr>
      </w:pPr>
    </w:p>
    <w:p w14:paraId="4C66C285">
      <w:pPr>
        <w:jc w:val="center"/>
        <w:rPr>
          <w:rFonts w:hint="eastAsia" w:ascii="宋体" w:hAnsi="宋体" w:eastAsia="宋体" w:cs="宋体"/>
          <w:b/>
          <w:color w:val="auto"/>
          <w:kern w:val="0"/>
          <w:sz w:val="32"/>
          <w:szCs w:val="32"/>
          <w:highlight w:val="none"/>
        </w:rPr>
      </w:pPr>
    </w:p>
    <w:p w14:paraId="1148F4A3">
      <w:pPr>
        <w:jc w:val="center"/>
        <w:rPr>
          <w:rFonts w:hint="eastAsia" w:ascii="宋体" w:hAnsi="宋体" w:eastAsia="宋体" w:cs="宋体"/>
          <w:b/>
          <w:color w:val="auto"/>
          <w:kern w:val="0"/>
          <w:sz w:val="32"/>
          <w:szCs w:val="32"/>
          <w:highlight w:val="none"/>
        </w:rPr>
      </w:pPr>
    </w:p>
    <w:p w14:paraId="01E4B3B5">
      <w:pPr>
        <w:jc w:val="center"/>
        <w:rPr>
          <w:rFonts w:hint="eastAsia" w:ascii="宋体" w:hAnsi="宋体" w:eastAsia="宋体" w:cs="宋体"/>
          <w:b/>
          <w:color w:val="auto"/>
          <w:kern w:val="0"/>
          <w:sz w:val="32"/>
          <w:szCs w:val="32"/>
          <w:highlight w:val="none"/>
        </w:rPr>
      </w:pPr>
    </w:p>
    <w:p w14:paraId="3B6F4010">
      <w:pPr>
        <w:rPr>
          <w:rFonts w:hint="eastAsia" w:ascii="宋体" w:hAnsi="宋体" w:eastAsia="宋体" w:cs="宋体"/>
          <w:b/>
          <w:color w:val="auto"/>
          <w:kern w:val="0"/>
          <w:sz w:val="32"/>
          <w:szCs w:val="32"/>
          <w:highlight w:val="none"/>
        </w:rPr>
      </w:pPr>
    </w:p>
    <w:p w14:paraId="5755B29F">
      <w:pPr>
        <w:spacing w:line="360" w:lineRule="auto"/>
        <w:rPr>
          <w:rFonts w:hint="eastAsia" w:ascii="宋体" w:hAnsi="宋体" w:eastAsia="宋体" w:cs="宋体"/>
          <w:b/>
          <w:bCs/>
          <w:color w:val="auto"/>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DEE74CD">
      <w:pPr>
        <w:spacing w:line="360" w:lineRule="auto"/>
        <w:jc w:val="center"/>
        <w:outlineLvl w:val="0"/>
        <w:rPr>
          <w:rFonts w:hint="eastAsia" w:ascii="宋体" w:hAnsi="宋体" w:eastAsia="宋体" w:cs="宋体"/>
          <w:b/>
          <w:color w:val="auto"/>
          <w:kern w:val="0"/>
          <w:sz w:val="36"/>
          <w:szCs w:val="36"/>
          <w:highlight w:val="none"/>
        </w:rPr>
      </w:pPr>
      <w:bookmarkStart w:id="203" w:name="_Toc1351818422"/>
      <w:bookmarkStart w:id="204" w:name="_Toc1417901787"/>
      <w:bookmarkStart w:id="205" w:name="_Toc1387088454"/>
      <w:r>
        <w:rPr>
          <w:rFonts w:hint="eastAsia" w:ascii="宋体" w:hAnsi="宋体" w:eastAsia="宋体" w:cs="宋体"/>
          <w:b/>
          <w:color w:val="auto"/>
          <w:kern w:val="0"/>
          <w:sz w:val="36"/>
          <w:szCs w:val="36"/>
          <w:highlight w:val="none"/>
        </w:rPr>
        <w:t>报价文件部分</w:t>
      </w:r>
      <w:bookmarkEnd w:id="203"/>
      <w:bookmarkEnd w:id="204"/>
      <w:bookmarkEnd w:id="205"/>
    </w:p>
    <w:p w14:paraId="00DE8A63">
      <w:pPr>
        <w:spacing w:line="360" w:lineRule="auto"/>
        <w:jc w:val="center"/>
        <w:outlineLvl w:val="0"/>
        <w:rPr>
          <w:rFonts w:hint="eastAsia" w:ascii="宋体" w:hAnsi="宋体" w:eastAsia="宋体" w:cs="宋体"/>
          <w:b/>
          <w:color w:val="auto"/>
          <w:kern w:val="0"/>
          <w:sz w:val="36"/>
          <w:szCs w:val="36"/>
          <w:highlight w:val="none"/>
        </w:rPr>
      </w:pPr>
      <w:bookmarkStart w:id="206" w:name="_Toc1831385024"/>
      <w:bookmarkStart w:id="207" w:name="_Toc1741130188"/>
      <w:bookmarkStart w:id="208" w:name="_Toc1579933531"/>
      <w:r>
        <w:rPr>
          <w:rFonts w:hint="eastAsia" w:ascii="宋体" w:hAnsi="宋体" w:eastAsia="宋体" w:cs="宋体"/>
          <w:b/>
          <w:color w:val="auto"/>
          <w:kern w:val="0"/>
          <w:sz w:val="36"/>
          <w:szCs w:val="36"/>
          <w:highlight w:val="none"/>
        </w:rPr>
        <w:t>目录</w:t>
      </w:r>
      <w:bookmarkEnd w:id="206"/>
      <w:bookmarkEnd w:id="207"/>
      <w:bookmarkEnd w:id="208"/>
    </w:p>
    <w:p w14:paraId="5DA50150">
      <w:pPr>
        <w:spacing w:line="360" w:lineRule="auto"/>
        <w:jc w:val="center"/>
        <w:outlineLvl w:val="0"/>
        <w:rPr>
          <w:rFonts w:hint="eastAsia" w:ascii="宋体" w:hAnsi="宋体" w:eastAsia="宋体" w:cs="宋体"/>
          <w:b/>
          <w:color w:val="auto"/>
          <w:kern w:val="0"/>
          <w:sz w:val="36"/>
          <w:szCs w:val="36"/>
          <w:highlight w:val="none"/>
        </w:rPr>
      </w:pPr>
    </w:p>
    <w:p w14:paraId="14A2F77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（1）开标一览表（报价表）………………………………………………………（页码）</w:t>
      </w:r>
    </w:p>
    <w:p w14:paraId="710584E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（2）投标报价明细表………………………………………………………………（页码）</w:t>
      </w:r>
    </w:p>
    <w:p w14:paraId="6D820E6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（3）中小企业声明函………………………………………………………………（页码）</w:t>
      </w:r>
    </w:p>
    <w:p w14:paraId="18551D0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（4）残疾人福利性单位声明函……………………………………………………（页码）</w:t>
      </w:r>
    </w:p>
    <w:p w14:paraId="26655181">
      <w:pPr>
        <w:snapToGrid w:val="0"/>
        <w:spacing w:line="360" w:lineRule="auto"/>
        <w:rPr>
          <w:rFonts w:hint="eastAsia" w:ascii="宋体" w:hAnsi="宋体" w:eastAsia="宋体" w:cs="宋体"/>
          <w:b/>
          <w:color w:val="auto"/>
          <w:kern w:val="0"/>
          <w:szCs w:val="21"/>
          <w:highlight w:val="none"/>
          <w:shd w:val="clear" w:color="auto" w:fill="FFFFFF"/>
        </w:rPr>
      </w:pPr>
      <w:r>
        <w:rPr>
          <w:rFonts w:hint="eastAsia" w:ascii="宋体" w:hAnsi="宋体" w:eastAsia="宋体" w:cs="宋体"/>
          <w:color w:val="auto"/>
          <w:highlight w:val="none"/>
        </w:rPr>
        <w:t>（5）监狱企业声明函………………………………………………………………（页码）</w:t>
      </w:r>
      <w:r>
        <w:rPr>
          <w:rFonts w:hint="eastAsia" w:ascii="宋体" w:hAnsi="宋体" w:eastAsia="宋体" w:cs="宋体"/>
          <w:b/>
          <w:color w:val="auto"/>
          <w:highlight w:val="none"/>
          <w:shd w:val="clear" w:color="auto" w:fill="FFFFFF"/>
        </w:rPr>
        <w:br w:type="page"/>
      </w:r>
      <w:r>
        <w:rPr>
          <w:rFonts w:hint="eastAsia" w:ascii="宋体" w:hAnsi="宋体" w:eastAsia="宋体" w:cs="宋体"/>
          <w:b/>
          <w:color w:val="auto"/>
          <w:kern w:val="0"/>
          <w:szCs w:val="21"/>
          <w:highlight w:val="none"/>
          <w:shd w:val="clear" w:color="auto" w:fill="FFFFFF"/>
        </w:rPr>
        <w:t xml:space="preserve"> </w:t>
      </w:r>
    </w:p>
    <w:p w14:paraId="5F2B16C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一、开标一览表</w:t>
      </w:r>
    </w:p>
    <w:p w14:paraId="585A87FE">
      <w:pPr>
        <w:spacing w:line="40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662"/>
      </w:tblGrid>
      <w:tr w14:paraId="78689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48AFF50E">
            <w:pPr>
              <w:adjustRightInd w:val="0"/>
              <w:spacing w:line="440" w:lineRule="exact"/>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项目名称</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399A88DA">
            <w:pPr>
              <w:adjustRightInd w:val="0"/>
              <w:spacing w:line="440" w:lineRule="exact"/>
              <w:jc w:val="center"/>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嘉兴市公安局南湖区分局2025年度DP试剂耗材（胶体碳）采购项目</w:t>
            </w:r>
          </w:p>
        </w:tc>
      </w:tr>
      <w:tr w14:paraId="3E962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3BC5C7C0">
            <w:pPr>
              <w:adjustRightInd w:val="0"/>
              <w:spacing w:line="440" w:lineRule="exact"/>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招标编号</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639EBE0C">
            <w:pPr>
              <w:adjustRightInd w:val="0"/>
              <w:spacing w:line="440" w:lineRule="exact"/>
              <w:ind w:firstLine="210" w:firstLineChars="100"/>
              <w:jc w:val="center"/>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中诚-JXZCZX(2025)第03号</w:t>
            </w:r>
          </w:p>
        </w:tc>
      </w:tr>
      <w:tr w14:paraId="0D223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60D30AC5">
            <w:pPr>
              <w:spacing w:line="440" w:lineRule="atLeas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shd w:val="clear" w:color="auto" w:fill="FFFFFF"/>
              </w:rPr>
              <w:t>投标</w:t>
            </w:r>
            <w:r>
              <w:rPr>
                <w:rFonts w:hint="eastAsia" w:ascii="宋体" w:hAnsi="宋体" w:cs="宋体"/>
                <w:color w:val="auto"/>
                <w:szCs w:val="21"/>
                <w:highlight w:val="none"/>
                <w:shd w:val="clear" w:color="auto" w:fill="FFFFFF"/>
                <w:lang w:val="en-US" w:eastAsia="zh-CN"/>
              </w:rPr>
              <w:t>单</w:t>
            </w:r>
            <w:r>
              <w:rPr>
                <w:rFonts w:hint="eastAsia" w:ascii="宋体" w:hAnsi="宋体" w:eastAsia="宋体" w:cs="宋体"/>
                <w:color w:val="auto"/>
                <w:szCs w:val="21"/>
                <w:highlight w:val="none"/>
                <w:shd w:val="clear" w:color="auto" w:fill="FFFFFF"/>
              </w:rPr>
              <w:t>价</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元/份</w:t>
            </w:r>
            <w:r>
              <w:rPr>
                <w:rFonts w:hint="eastAsia" w:ascii="宋体" w:hAnsi="宋体" w:eastAsia="宋体" w:cs="宋体"/>
                <w:color w:val="auto"/>
                <w:szCs w:val="21"/>
                <w:highlight w:val="none"/>
                <w:shd w:val="clear" w:color="auto" w:fill="FFFFFF"/>
                <w:lang w:eastAsia="zh-CN"/>
              </w:rPr>
              <w:t>）</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068451E6">
            <w:pPr>
              <w:adjustRightInd w:val="0"/>
              <w:spacing w:line="440" w:lineRule="exact"/>
              <w:ind w:firstLine="210" w:firstLineChars="100"/>
              <w:jc w:val="left"/>
              <w:rPr>
                <w:rFonts w:hint="eastAsia" w:ascii="宋体" w:hAnsi="宋体" w:eastAsia="宋体" w:cs="宋体"/>
                <w:color w:val="auto"/>
                <w:szCs w:val="21"/>
                <w:highlight w:val="none"/>
                <w:u w:val="single"/>
                <w:shd w:val="clear" w:color="auto" w:fill="FFFFFF"/>
              </w:rPr>
            </w:pPr>
            <w:r>
              <w:rPr>
                <w:rFonts w:hint="eastAsia" w:ascii="宋体" w:hAnsi="宋体" w:eastAsia="宋体" w:cs="宋体"/>
                <w:color w:val="auto"/>
                <w:szCs w:val="21"/>
                <w:highlight w:val="none"/>
                <w:shd w:val="clear" w:color="auto" w:fill="FFFFFF"/>
              </w:rPr>
              <w:t>大写（人民币）：</w:t>
            </w:r>
            <w:r>
              <w:rPr>
                <w:rFonts w:hint="eastAsia" w:ascii="宋体" w:hAnsi="宋体" w:eastAsia="宋体" w:cs="宋体"/>
                <w:color w:val="auto"/>
                <w:szCs w:val="21"/>
                <w:highlight w:val="none"/>
                <w:u w:val="single"/>
                <w:shd w:val="clear" w:color="auto" w:fill="FFFFFF"/>
              </w:rPr>
              <w:t xml:space="preserve">                  </w:t>
            </w:r>
          </w:p>
          <w:p w14:paraId="63DD6EC4">
            <w:pPr>
              <w:adjustRightInd w:val="0"/>
              <w:spacing w:line="440" w:lineRule="exact"/>
              <w:ind w:firstLine="210" w:firstLineChars="1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小写：¥ </w:t>
            </w:r>
            <w:r>
              <w:rPr>
                <w:rFonts w:hint="eastAsia" w:ascii="宋体" w:hAnsi="宋体" w:eastAsia="宋体" w:cs="宋体"/>
                <w:color w:val="auto"/>
                <w:szCs w:val="21"/>
                <w:highlight w:val="none"/>
                <w:u w:val="single"/>
                <w:shd w:val="clear" w:color="auto" w:fill="FFFFFF"/>
              </w:rPr>
              <w:t xml:space="preserve">                  </w:t>
            </w:r>
          </w:p>
        </w:tc>
      </w:tr>
      <w:tr w14:paraId="3DD81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10864EDB">
            <w:pPr>
              <w:spacing w:line="440" w:lineRule="atLeast"/>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服务期限</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715D6CD9">
            <w:pPr>
              <w:adjustRightInd w:val="0"/>
              <w:spacing w:line="440" w:lineRule="exact"/>
              <w:ind w:firstLine="210" w:firstLineChars="1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本项目服务期限为自合同签订之日起</w:t>
            </w:r>
            <w:r>
              <w:rPr>
                <w:rFonts w:hint="eastAsia" w:ascii="宋体" w:hAnsi="宋体" w:eastAsia="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lang w:eastAsia="zh-CN"/>
              </w:rPr>
              <w:t>年，若结算价款满合同限额后则提前自动解除。</w:t>
            </w:r>
          </w:p>
        </w:tc>
      </w:tr>
      <w:tr w14:paraId="4AA84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28C216F2">
            <w:pPr>
              <w:adjustRightInd w:val="0"/>
              <w:spacing w:line="440" w:lineRule="exact"/>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备注</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4E45FA15">
            <w:pPr>
              <w:adjustRightInd w:val="0"/>
              <w:spacing w:line="440" w:lineRule="exact"/>
              <w:ind w:firstLine="210" w:firstLineChars="100"/>
              <w:rPr>
                <w:rFonts w:hint="eastAsia" w:ascii="宋体" w:hAnsi="宋体" w:eastAsia="宋体" w:cs="宋体"/>
                <w:color w:val="auto"/>
                <w:szCs w:val="21"/>
                <w:highlight w:val="none"/>
                <w:shd w:val="clear" w:color="auto" w:fill="FFFFFF"/>
              </w:rPr>
            </w:pPr>
          </w:p>
        </w:tc>
      </w:tr>
    </w:tbl>
    <w:p w14:paraId="75D1EF4C">
      <w:pPr>
        <w:snapToGrid w:val="0"/>
        <w:spacing w:line="360" w:lineRule="auto"/>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注: 1、报价一经涂改，应在涂改处加盖单位公章或者由法定代表人或授权委托人签字或盖章，否则其投标作无效标处理。</w:t>
      </w:r>
    </w:p>
    <w:p w14:paraId="25B573FC">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2、投标费用为完成本项目的所有费用，应包括</w:t>
      </w:r>
      <w:r>
        <w:rPr>
          <w:rFonts w:hint="eastAsia" w:ascii="宋体" w:hAnsi="宋体" w:eastAsia="宋体" w:cs="宋体"/>
          <w:color w:val="auto"/>
          <w:szCs w:val="21"/>
          <w:highlight w:val="none"/>
          <w:shd w:val="clear" w:color="auto" w:fill="FFFFFF"/>
          <w:lang w:eastAsia="zh-CN"/>
        </w:rPr>
        <w:t>人工费，运输费等消耗费，利润，管理费，规费，税金，风险费以及政策性文件规定等</w:t>
      </w:r>
      <w:r>
        <w:rPr>
          <w:rFonts w:hint="eastAsia" w:ascii="宋体" w:hAnsi="宋体" w:eastAsia="宋体" w:cs="宋体"/>
          <w:color w:val="auto"/>
          <w:szCs w:val="21"/>
          <w:highlight w:val="none"/>
          <w:shd w:val="clear" w:color="auto" w:fill="FFFFFF"/>
        </w:rPr>
        <w:t>为完成本项目所需的所有费用。</w:t>
      </w:r>
    </w:p>
    <w:p w14:paraId="2E033F9C">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3、以上报价应与“投标报价明细表”中的“投标总价”相一致。</w:t>
      </w:r>
    </w:p>
    <w:p w14:paraId="5D065423">
      <w:pPr>
        <w:snapToGrid w:val="0"/>
        <w:spacing w:line="360" w:lineRule="auto"/>
        <w:ind w:firstLine="420" w:firstLineChars="200"/>
        <w:jc w:val="left"/>
        <w:rPr>
          <w:rFonts w:hint="eastAsia" w:ascii="宋体" w:hAnsi="宋体" w:eastAsia="宋体" w:cs="宋体"/>
          <w:color w:val="auto"/>
          <w:szCs w:val="21"/>
          <w:highlight w:val="none"/>
          <w:shd w:val="clear" w:color="auto" w:fill="FFFFFF"/>
        </w:rPr>
      </w:pPr>
    </w:p>
    <w:p w14:paraId="5EAF725E">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法定代表人或授权代表（签字或盖章）： </w:t>
      </w:r>
    </w:p>
    <w:p w14:paraId="6DD3DD7D">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p>
    <w:p w14:paraId="4F8E76A7">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供应商名称（盖章）：                                 </w:t>
      </w:r>
    </w:p>
    <w:p w14:paraId="276C05B7">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p>
    <w:p w14:paraId="20D68AE3">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日期：    年   月   日</w:t>
      </w:r>
    </w:p>
    <w:p w14:paraId="2A47500B">
      <w:pPr>
        <w:spacing w:line="360" w:lineRule="auto"/>
        <w:rPr>
          <w:rFonts w:hint="eastAsia" w:ascii="宋体" w:hAnsi="宋体" w:eastAsia="宋体" w:cs="宋体"/>
          <w:b/>
          <w:bCs/>
          <w:color w:val="auto"/>
          <w:sz w:val="28"/>
          <w:highlight w:val="none"/>
          <w:shd w:val="clear" w:color="auto" w:fill="FFFFFF"/>
        </w:rPr>
      </w:pPr>
    </w:p>
    <w:p w14:paraId="7D0AB585">
      <w:pPr>
        <w:spacing w:line="360" w:lineRule="auto"/>
        <w:rPr>
          <w:rFonts w:hint="eastAsia" w:ascii="宋体" w:hAnsi="宋体" w:eastAsia="宋体" w:cs="宋体"/>
          <w:b/>
          <w:bCs/>
          <w:color w:val="auto"/>
          <w:sz w:val="28"/>
          <w:highlight w:val="none"/>
          <w:shd w:val="clear" w:color="auto" w:fill="FFFFFF"/>
        </w:rPr>
        <w:sectPr>
          <w:footerReference r:id="rId11" w:type="default"/>
          <w:footerReference r:id="rId12" w:type="even"/>
          <w:pgSz w:w="11906" w:h="16838"/>
          <w:pgMar w:top="1202" w:right="1700" w:bottom="1440" w:left="1797" w:header="851" w:footer="851" w:gutter="0"/>
          <w:cols w:space="720" w:num="1"/>
          <w:docGrid w:linePitch="312" w:charSpace="0"/>
        </w:sectPr>
      </w:pPr>
    </w:p>
    <w:p w14:paraId="13ECB9D9">
      <w:pPr>
        <w:spacing w:line="360" w:lineRule="auto"/>
        <w:jc w:val="center"/>
        <w:rPr>
          <w:rFonts w:hint="eastAsia" w:ascii="宋体" w:hAnsi="宋体" w:eastAsia="宋体" w:cs="宋体"/>
          <w:b/>
          <w:color w:val="auto"/>
          <w:sz w:val="32"/>
          <w:szCs w:val="32"/>
          <w:highlight w:val="none"/>
        </w:rPr>
      </w:pPr>
      <w:bookmarkStart w:id="209" w:name="_Toc14102_WPSOffice_Level1"/>
      <w:r>
        <w:rPr>
          <w:rFonts w:hint="eastAsia" w:ascii="宋体" w:hAnsi="宋体" w:eastAsia="宋体" w:cs="宋体"/>
          <w:b/>
          <w:color w:val="auto"/>
          <w:sz w:val="32"/>
          <w:szCs w:val="32"/>
          <w:highlight w:val="none"/>
        </w:rPr>
        <w:t>二、投标报价明细表</w:t>
      </w:r>
      <w:bookmarkEnd w:id="209"/>
    </w:p>
    <w:p w14:paraId="58708FE4">
      <w:pPr>
        <w:spacing w:line="360" w:lineRule="auto"/>
        <w:ind w:right="420" w:firstLine="308" w:firstLineChars="147"/>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 xml:space="preserve">项目名称： </w:t>
      </w:r>
    </w:p>
    <w:p w14:paraId="793C6F3F">
      <w:pPr>
        <w:spacing w:line="360" w:lineRule="auto"/>
        <w:ind w:right="420" w:firstLine="308" w:firstLineChars="147"/>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招标编号：                                                                                    单位:人民币元</w:t>
      </w:r>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3828"/>
        <w:gridCol w:w="3260"/>
        <w:gridCol w:w="1979"/>
        <w:gridCol w:w="1848"/>
        <w:gridCol w:w="1843"/>
      </w:tblGrid>
      <w:tr w14:paraId="01EC4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4F17E4E8">
            <w:pPr>
              <w:tabs>
                <w:tab w:val="left" w:pos="1418"/>
              </w:tabs>
              <w:snapToGrid w:val="0"/>
              <w:spacing w:before="50" w:after="50"/>
              <w:jc w:val="center"/>
              <w:rPr>
                <w:rFonts w:hint="eastAsia" w:ascii="宋体" w:hAnsi="宋体" w:eastAsia="宋体" w:cs="宋体"/>
                <w:b/>
                <w:color w:val="auto"/>
                <w:spacing w:val="20"/>
                <w:szCs w:val="21"/>
                <w:highlight w:val="none"/>
              </w:rPr>
            </w:pPr>
            <w:r>
              <w:rPr>
                <w:rFonts w:hint="eastAsia" w:ascii="宋体" w:hAnsi="宋体" w:eastAsia="宋体" w:cs="宋体"/>
                <w:b/>
                <w:color w:val="auto"/>
                <w:szCs w:val="21"/>
                <w:highlight w:val="none"/>
              </w:rPr>
              <w:t>序号</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0CCB12FC">
            <w:pPr>
              <w:tabs>
                <w:tab w:val="left" w:pos="1418"/>
              </w:tabs>
              <w:snapToGrid w:val="0"/>
              <w:spacing w:before="50" w:after="50"/>
              <w:jc w:val="center"/>
              <w:rPr>
                <w:rFonts w:hint="eastAsia" w:ascii="宋体" w:hAnsi="宋体" w:eastAsia="宋体" w:cs="宋体"/>
                <w:b/>
                <w:color w:val="auto"/>
                <w:spacing w:val="20"/>
                <w:szCs w:val="21"/>
                <w:highlight w:val="none"/>
              </w:rPr>
            </w:pPr>
            <w:r>
              <w:rPr>
                <w:rFonts w:hint="eastAsia" w:ascii="宋体" w:hAnsi="宋体" w:eastAsia="宋体" w:cs="宋体"/>
                <w:b/>
                <w:color w:val="auto"/>
                <w:szCs w:val="21"/>
                <w:highlight w:val="none"/>
              </w:rPr>
              <w:t>内  容</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730FF4EC">
            <w:pPr>
              <w:tabs>
                <w:tab w:val="left" w:pos="1418"/>
              </w:tabs>
              <w:snapToGrid w:val="0"/>
              <w:spacing w:before="50" w:after="50"/>
              <w:jc w:val="center"/>
              <w:rPr>
                <w:rFonts w:hint="eastAsia" w:ascii="宋体" w:hAnsi="宋体" w:eastAsia="宋体" w:cs="宋体"/>
                <w:b/>
                <w:color w:val="auto"/>
                <w:spacing w:val="20"/>
                <w:szCs w:val="21"/>
                <w:highlight w:val="none"/>
              </w:rPr>
            </w:pPr>
            <w:r>
              <w:rPr>
                <w:rFonts w:hint="eastAsia" w:ascii="宋体" w:hAnsi="宋体" w:eastAsia="宋体" w:cs="宋体"/>
                <w:b/>
                <w:color w:val="auto"/>
                <w:szCs w:val="21"/>
                <w:highlight w:val="none"/>
              </w:rPr>
              <w:t>单  位</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6603B48B">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rPr>
              <w:t>数  量</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448F1D8">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rPr>
              <w:t>单  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9EC5C47">
            <w:pPr>
              <w:tabs>
                <w:tab w:val="left" w:pos="1418"/>
              </w:tabs>
              <w:snapToGrid w:val="0"/>
              <w:spacing w:before="50" w:after="50"/>
              <w:jc w:val="center"/>
              <w:rPr>
                <w:rFonts w:hint="eastAsia" w:ascii="宋体" w:hAnsi="宋体" w:eastAsia="宋体" w:cs="宋体"/>
                <w:b/>
                <w:color w:val="auto"/>
                <w:szCs w:val="21"/>
                <w:highlight w:val="none"/>
                <w:shd w:val="clear" w:color="auto" w:fill="FFFFFF"/>
                <w:lang w:eastAsia="zh-CN"/>
              </w:rPr>
            </w:pPr>
            <w:r>
              <w:rPr>
                <w:rFonts w:hint="eastAsia" w:ascii="宋体" w:hAnsi="宋体" w:cs="宋体"/>
                <w:b/>
                <w:color w:val="auto"/>
                <w:szCs w:val="21"/>
                <w:highlight w:val="none"/>
                <w:shd w:val="clear" w:color="auto" w:fill="FFFFFF"/>
                <w:lang w:val="en-US" w:eastAsia="zh-CN"/>
              </w:rPr>
              <w:t>备注</w:t>
            </w:r>
          </w:p>
        </w:tc>
      </w:tr>
      <w:tr w14:paraId="116A9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491ACC03">
            <w:pPr>
              <w:widowControl/>
              <w:jc w:val="center"/>
              <w:rPr>
                <w:rFonts w:hint="eastAsia" w:ascii="宋体" w:hAnsi="宋体" w:eastAsia="宋体" w:cs="宋体"/>
                <w:b/>
                <w:bCs/>
                <w:color w:val="auto"/>
                <w:kern w:val="0"/>
                <w:sz w:val="18"/>
                <w:szCs w:val="18"/>
                <w:highlight w:val="none"/>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25DF02FC">
            <w:pPr>
              <w:widowControl/>
              <w:jc w:val="center"/>
              <w:rPr>
                <w:rFonts w:hint="eastAsia" w:ascii="宋体" w:hAnsi="宋体" w:eastAsia="宋体" w:cs="宋体"/>
                <w:b/>
                <w:bCs/>
                <w:color w:val="auto"/>
                <w:kern w:val="0"/>
                <w:sz w:val="18"/>
                <w:szCs w:val="18"/>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4BA901C1">
            <w:pPr>
              <w:widowControl/>
              <w:jc w:val="center"/>
              <w:rPr>
                <w:rFonts w:hint="eastAsia" w:ascii="宋体" w:hAnsi="宋体" w:eastAsia="宋体" w:cs="宋体"/>
                <w:b/>
                <w:bCs/>
                <w:color w:val="auto"/>
                <w:kern w:val="0"/>
                <w:sz w:val="18"/>
                <w:szCs w:val="18"/>
                <w:highlight w:val="none"/>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29C9AA8A">
            <w:pPr>
              <w:widowControl/>
              <w:jc w:val="center"/>
              <w:rPr>
                <w:rFonts w:hint="eastAsia" w:ascii="宋体" w:hAnsi="宋体" w:eastAsia="宋体" w:cs="宋体"/>
                <w:b/>
                <w:bCs/>
                <w:color w:val="auto"/>
                <w:kern w:val="0"/>
                <w:sz w:val="18"/>
                <w:szCs w:val="18"/>
                <w:highlight w:val="none"/>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503E93A">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0E35AC9">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r>
      <w:tr w14:paraId="3C813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28426F47">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0B060309">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shd w:val="clear" w:color="auto" w:fill="FFFFFF"/>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E180A1B">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42149561">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14:paraId="5B7FB5E1">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A7693BC">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r>
      <w:tr w14:paraId="4E7BA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5DA4E12A">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186E9023">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763D4A85">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78775F04">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14:paraId="2D0C2016">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8C81AD9">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r>
      <w:tr w14:paraId="142E5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2778646D">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686FC453">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62814E52">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14:paraId="4ABB5C8D">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14:paraId="0540589D">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E560E35">
            <w:pPr>
              <w:tabs>
                <w:tab w:val="left" w:pos="1418"/>
              </w:tabs>
              <w:snapToGrid w:val="0"/>
              <w:spacing w:before="50" w:after="50"/>
              <w:jc w:val="center"/>
              <w:rPr>
                <w:rFonts w:hint="eastAsia" w:ascii="宋体" w:hAnsi="宋体" w:eastAsia="宋体" w:cs="宋体"/>
                <w:b/>
                <w:color w:val="auto"/>
                <w:szCs w:val="21"/>
                <w:highlight w:val="none"/>
                <w:shd w:val="clear" w:color="auto" w:fill="FFFFFF"/>
              </w:rPr>
            </w:pPr>
          </w:p>
        </w:tc>
      </w:tr>
      <w:tr w14:paraId="7C9E7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2049" w:type="dxa"/>
            <w:gridSpan w:val="5"/>
            <w:tcBorders>
              <w:top w:val="single" w:color="auto" w:sz="4" w:space="0"/>
              <w:left w:val="single" w:color="auto" w:sz="4" w:space="0"/>
              <w:bottom w:val="single" w:color="auto" w:sz="4" w:space="0"/>
              <w:right w:val="single" w:color="auto" w:sz="4" w:space="0"/>
            </w:tcBorders>
            <w:noWrap w:val="0"/>
            <w:vAlign w:val="center"/>
          </w:tcPr>
          <w:p w14:paraId="343DCAB3">
            <w:pPr>
              <w:tabs>
                <w:tab w:val="left" w:pos="1418"/>
              </w:tabs>
              <w:snapToGrid w:val="0"/>
              <w:spacing w:before="50" w:after="50"/>
              <w:jc w:val="left"/>
              <w:rPr>
                <w:rFonts w:hint="eastAsia" w:ascii="宋体" w:hAnsi="宋体" w:eastAsia="宋体" w:cs="宋体"/>
                <w:b/>
                <w:color w:val="auto"/>
                <w:szCs w:val="21"/>
                <w:highlight w:val="none"/>
                <w:shd w:val="clear" w:color="auto" w:fill="FFFFFF"/>
                <w:lang w:eastAsia="zh-CN"/>
              </w:rPr>
            </w:pPr>
            <w:r>
              <w:rPr>
                <w:rFonts w:hint="eastAsia" w:ascii="宋体" w:hAnsi="宋体" w:cs="宋体"/>
                <w:b/>
                <w:color w:val="auto"/>
                <w:szCs w:val="21"/>
                <w:highlight w:val="none"/>
                <w:shd w:val="clear" w:color="auto" w:fill="FFFFFF"/>
                <w:lang w:val="en-US" w:eastAsia="zh-CN"/>
              </w:rPr>
              <w:t>合计</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3E09B9B">
            <w:pPr>
              <w:tabs>
                <w:tab w:val="left" w:pos="1418"/>
              </w:tabs>
              <w:snapToGrid w:val="0"/>
              <w:spacing w:before="50" w:after="50"/>
              <w:jc w:val="left"/>
              <w:rPr>
                <w:rFonts w:hint="eastAsia" w:ascii="宋体" w:hAnsi="宋体" w:cs="宋体"/>
                <w:b/>
                <w:color w:val="auto"/>
                <w:szCs w:val="21"/>
                <w:highlight w:val="none"/>
                <w:shd w:val="clear" w:color="auto" w:fill="FFFFFF"/>
                <w:lang w:val="en-US" w:eastAsia="zh-CN"/>
              </w:rPr>
            </w:pPr>
          </w:p>
        </w:tc>
      </w:tr>
    </w:tbl>
    <w:p w14:paraId="3548C198">
      <w:pPr>
        <w:snapToGrid w:val="0"/>
        <w:spacing w:before="50" w:after="50"/>
        <w:rPr>
          <w:rFonts w:hint="eastAsia" w:ascii="宋体" w:hAnsi="宋体" w:eastAsia="宋体" w:cs="宋体"/>
          <w:color w:val="auto"/>
          <w:szCs w:val="21"/>
          <w:highlight w:val="none"/>
          <w:shd w:val="clear" w:color="auto" w:fill="FFFFFF"/>
        </w:rPr>
      </w:pPr>
    </w:p>
    <w:p w14:paraId="2A298E42">
      <w:pPr>
        <w:snapToGrid w:val="0"/>
        <w:spacing w:line="360" w:lineRule="auto"/>
        <w:ind w:left="-21" w:leftChars="-72" w:right="-817" w:rightChars="-389" w:hanging="130" w:hangingChars="62"/>
        <w:rPr>
          <w:rFonts w:hint="eastAsia" w:ascii="宋体" w:hAnsi="宋体" w:eastAsia="宋体" w:cs="宋体"/>
          <w:color w:val="auto"/>
          <w:szCs w:val="21"/>
          <w:highlight w:val="none"/>
          <w:shd w:val="clear" w:color="auto" w:fill="FFFFFF"/>
        </w:rPr>
      </w:pPr>
    </w:p>
    <w:p w14:paraId="0E250029">
      <w:pPr>
        <w:snapToGrid w:val="0"/>
        <w:spacing w:line="360" w:lineRule="auto"/>
        <w:ind w:left="-23" w:leftChars="-11" w:right="-817" w:rightChars="-389" w:firstLine="105" w:firstLineChars="5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法定代表人或授权代表（签字或盖章）： </w:t>
      </w:r>
    </w:p>
    <w:p w14:paraId="2FAAD6F7">
      <w:pPr>
        <w:snapToGrid w:val="0"/>
        <w:spacing w:line="360" w:lineRule="auto"/>
        <w:ind w:left="-23" w:leftChars="-11" w:right="-817" w:rightChars="-389" w:firstLine="105" w:firstLineChars="5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供应商名称（盖章）：                                 </w:t>
      </w:r>
    </w:p>
    <w:p w14:paraId="462A7573">
      <w:pPr>
        <w:snapToGrid w:val="0"/>
        <w:spacing w:line="360" w:lineRule="auto"/>
        <w:ind w:left="-23" w:leftChars="-11" w:right="-817" w:rightChars="-389" w:firstLine="105" w:firstLineChars="50"/>
        <w:rPr>
          <w:rFonts w:hint="eastAsia" w:ascii="宋体" w:hAnsi="宋体" w:eastAsia="宋体" w:cs="宋体"/>
          <w:b/>
          <w:color w:val="auto"/>
          <w:szCs w:val="21"/>
          <w:highlight w:val="none"/>
          <w:shd w:val="clear" w:color="auto" w:fill="FFFFFF"/>
        </w:rPr>
      </w:pPr>
      <w:r>
        <w:rPr>
          <w:rFonts w:hint="eastAsia" w:ascii="宋体" w:hAnsi="宋体" w:eastAsia="宋体" w:cs="宋体"/>
          <w:color w:val="auto"/>
          <w:szCs w:val="21"/>
          <w:highlight w:val="none"/>
          <w:shd w:val="clear" w:color="auto" w:fill="FFFFFF"/>
        </w:rPr>
        <w:t>日期：    年   月   日</w:t>
      </w:r>
    </w:p>
    <w:p w14:paraId="5C24DB4E">
      <w:pPr>
        <w:pStyle w:val="22"/>
        <w:snapToGrid w:val="0"/>
        <w:spacing w:line="360" w:lineRule="auto"/>
        <w:rPr>
          <w:rFonts w:hint="eastAsia" w:ascii="宋体" w:hAnsi="宋体" w:eastAsia="宋体" w:cs="宋体"/>
          <w:b/>
          <w:color w:val="auto"/>
          <w:sz w:val="21"/>
          <w:szCs w:val="21"/>
          <w:highlight w:val="none"/>
          <w:shd w:val="clear" w:color="auto" w:fill="FFFFFF"/>
        </w:rPr>
      </w:pPr>
    </w:p>
    <w:p w14:paraId="7078EC57">
      <w:pPr>
        <w:pStyle w:val="22"/>
        <w:snapToGrid w:val="0"/>
        <w:spacing w:line="360" w:lineRule="auto"/>
        <w:rPr>
          <w:rFonts w:hint="eastAsia" w:ascii="宋体" w:hAnsi="宋体" w:eastAsia="宋体" w:cs="宋体"/>
          <w:b/>
          <w:color w:val="auto"/>
          <w:sz w:val="21"/>
          <w:szCs w:val="21"/>
          <w:highlight w:val="none"/>
          <w:shd w:val="clear" w:color="auto" w:fill="FFFFFF"/>
        </w:rPr>
        <w:sectPr>
          <w:pgSz w:w="16838" w:h="11906" w:orient="landscape"/>
          <w:pgMar w:top="1797" w:right="1202" w:bottom="1797" w:left="1440" w:header="851" w:footer="851" w:gutter="0"/>
          <w:cols w:space="720" w:num="1"/>
          <w:docGrid w:linePitch="312" w:charSpace="0"/>
        </w:sectPr>
      </w:pPr>
    </w:p>
    <w:p w14:paraId="617C5EC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b/>
          <w:color w:val="auto"/>
          <w:sz w:val="32"/>
          <w:szCs w:val="32"/>
          <w:highlight w:val="none"/>
        </w:rPr>
        <w:t>三、中小企业声明函（</w:t>
      </w:r>
      <w:r>
        <w:rPr>
          <w:rFonts w:hint="eastAsia" w:ascii="宋体" w:hAnsi="宋体" w:eastAsia="宋体" w:cs="宋体"/>
          <w:b/>
          <w:color w:val="auto"/>
          <w:sz w:val="32"/>
          <w:szCs w:val="32"/>
          <w:highlight w:val="none"/>
          <w:lang w:eastAsia="zh-CN"/>
        </w:rPr>
        <w:t>货物</w:t>
      </w:r>
      <w:r>
        <w:rPr>
          <w:rFonts w:hint="eastAsia" w:ascii="宋体" w:hAnsi="宋体" w:eastAsia="宋体" w:cs="宋体"/>
          <w:b/>
          <w:color w:val="auto"/>
          <w:sz w:val="32"/>
          <w:szCs w:val="32"/>
          <w:highlight w:val="none"/>
        </w:rPr>
        <w:t>）</w:t>
      </w:r>
    </w:p>
    <w:p w14:paraId="67B039EE">
      <w:pPr>
        <w:spacing w:line="480" w:lineRule="exact"/>
        <w:ind w:right="417" w:firstLine="64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本公司（联合体）郑重声明，根据《政府采购促进中小企业发展管理办法》（财库﹝2020﹞46 号）的规定，本公司（联合体）参加</w:t>
      </w:r>
      <w:r>
        <w:rPr>
          <w:rFonts w:hint="eastAsia" w:ascii="宋体" w:hAnsi="宋体" w:eastAsia="宋体" w:cs="宋体"/>
          <w:color w:val="auto"/>
          <w:spacing w:val="-3"/>
          <w:highlight w:val="none"/>
          <w:u w:val="single"/>
        </w:rPr>
        <w:t xml:space="preserve">（单位名称） </w:t>
      </w:r>
      <w:r>
        <w:rPr>
          <w:rFonts w:hint="eastAsia" w:ascii="宋体" w:hAnsi="宋体" w:eastAsia="宋体" w:cs="宋体"/>
          <w:color w:val="auto"/>
          <w:spacing w:val="-3"/>
          <w:highlight w:val="none"/>
        </w:rPr>
        <w:t xml:space="preserve"> 的 </w:t>
      </w:r>
      <w:r>
        <w:rPr>
          <w:rFonts w:hint="eastAsia" w:ascii="宋体" w:hAnsi="宋体" w:eastAsia="宋体" w:cs="宋体"/>
          <w:color w:val="auto"/>
          <w:spacing w:val="-3"/>
          <w:highlight w:val="none"/>
          <w:u w:val="single"/>
        </w:rPr>
        <w:t xml:space="preserve">  （项目名称）</w:t>
      </w:r>
      <w:r>
        <w:rPr>
          <w:rFonts w:hint="eastAsia" w:ascii="宋体" w:hAnsi="宋体" w:eastAsia="宋体" w:cs="宋体"/>
          <w:color w:val="auto"/>
          <w:spacing w:val="-3"/>
          <w:highlight w:val="none"/>
        </w:rPr>
        <w:t>采购活动，服务全部由符合政策要求的中小企业承接。相关企业（含联合体中的中小企业、签订分包意向协议的中小企业）</w:t>
      </w:r>
      <w:r>
        <w:rPr>
          <w:rFonts w:hint="eastAsia" w:ascii="宋体" w:hAnsi="宋体" w:eastAsia="宋体" w:cs="宋体"/>
          <w:color w:val="auto"/>
          <w:highlight w:val="none"/>
        </w:rPr>
        <w:t>的具体情况如下：</w:t>
      </w:r>
    </w:p>
    <w:p w14:paraId="56D8172D">
      <w:pPr>
        <w:spacing w:line="480" w:lineRule="exact"/>
        <w:ind w:right="417" w:firstLine="64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w:t>
      </w:r>
      <w:r>
        <w:rPr>
          <w:rFonts w:hint="eastAsia" w:ascii="宋体" w:hAnsi="宋体" w:eastAsia="宋体" w:cs="宋体"/>
          <w:color w:val="auto"/>
          <w:spacing w:val="-3"/>
          <w:highlight w:val="none"/>
          <w:u w:val="single"/>
        </w:rPr>
        <w:t xml:space="preserve">    （标的名称）</w:t>
      </w:r>
      <w:r>
        <w:rPr>
          <w:rFonts w:hint="eastAsia" w:ascii="宋体" w:hAnsi="宋体" w:eastAsia="宋体" w:cs="宋体"/>
          <w:color w:val="auto"/>
          <w:spacing w:val="-3"/>
          <w:highlight w:val="none"/>
        </w:rPr>
        <w:t>，属于</w:t>
      </w:r>
      <w:r>
        <w:rPr>
          <w:rFonts w:hint="eastAsia" w:ascii="宋体" w:hAnsi="宋体" w:eastAsia="宋体" w:cs="宋体"/>
          <w:color w:val="auto"/>
          <w:spacing w:val="-3"/>
          <w:highlight w:val="none"/>
          <w:u w:val="single"/>
        </w:rPr>
        <w:t xml:space="preserve">    （采购文件中明确所属行业）</w:t>
      </w:r>
      <w:r>
        <w:rPr>
          <w:rFonts w:hint="eastAsia" w:ascii="宋体" w:hAnsi="宋体" w:eastAsia="宋体" w:cs="宋体"/>
          <w:color w:val="auto"/>
          <w:spacing w:val="-3"/>
          <w:highlight w:val="none"/>
          <w:u w:val="none"/>
        </w:rPr>
        <w:t>制造商</w:t>
      </w:r>
      <w:r>
        <w:rPr>
          <w:rFonts w:hint="eastAsia" w:ascii="宋体" w:hAnsi="宋体" w:eastAsia="宋体" w:cs="宋体"/>
          <w:color w:val="auto"/>
          <w:spacing w:val="-3"/>
          <w:highlight w:val="none"/>
        </w:rPr>
        <w:t>为</w:t>
      </w:r>
      <w:r>
        <w:rPr>
          <w:rFonts w:hint="eastAsia" w:ascii="宋体" w:hAnsi="宋体" w:eastAsia="宋体" w:cs="宋体"/>
          <w:color w:val="auto"/>
          <w:spacing w:val="-3"/>
          <w:highlight w:val="none"/>
          <w:u w:val="single"/>
        </w:rPr>
        <w:t xml:space="preserve">    （企业名称）</w:t>
      </w:r>
      <w:r>
        <w:rPr>
          <w:rFonts w:hint="eastAsia" w:ascii="宋体" w:hAnsi="宋体" w:eastAsia="宋体" w:cs="宋体"/>
          <w:color w:val="auto"/>
          <w:spacing w:val="-3"/>
          <w:highlight w:val="none"/>
        </w:rPr>
        <w:t>从业人员</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人，营业收入为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spacing w:val="-3"/>
          <w:highlight w:val="none"/>
        </w:rPr>
        <w:t>万元，资产总额为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万元¹，属于</w:t>
      </w:r>
      <w:r>
        <w:rPr>
          <w:rFonts w:hint="eastAsia" w:ascii="宋体" w:hAnsi="宋体" w:eastAsia="宋体" w:cs="宋体"/>
          <w:color w:val="auto"/>
          <w:spacing w:val="-3"/>
          <w:highlight w:val="none"/>
          <w:u w:val="single"/>
        </w:rPr>
        <w:t xml:space="preserve">     （中型企业、小型企业、微型企业）</w:t>
      </w:r>
      <w:r>
        <w:rPr>
          <w:rFonts w:hint="eastAsia" w:ascii="宋体" w:hAnsi="宋体" w:eastAsia="宋体" w:cs="宋体"/>
          <w:color w:val="auto"/>
          <w:spacing w:val="-3"/>
          <w:highlight w:val="none"/>
        </w:rPr>
        <w:t>；</w:t>
      </w:r>
    </w:p>
    <w:p w14:paraId="15C9EF0A">
      <w:pPr>
        <w:snapToGrid w:val="0"/>
        <w:spacing w:line="480" w:lineRule="auto"/>
        <w:ind w:firstLine="612" w:firstLineChars="300"/>
        <w:rPr>
          <w:rFonts w:hint="eastAsia" w:ascii="宋体" w:hAnsi="宋体" w:eastAsia="宋体" w:cs="宋体"/>
          <w:color w:val="auto"/>
          <w:szCs w:val="18"/>
          <w:highlight w:val="none"/>
          <w:shd w:val="clear" w:color="auto" w:fill="FFFFFF"/>
        </w:rPr>
      </w:pPr>
      <w:r>
        <w:rPr>
          <w:rFonts w:hint="eastAsia" w:ascii="宋体" w:hAnsi="宋体" w:eastAsia="宋体" w:cs="宋体"/>
          <w:color w:val="auto"/>
          <w:spacing w:val="-3"/>
          <w:highlight w:val="none"/>
        </w:rPr>
        <w:t>2.</w:t>
      </w:r>
      <w:r>
        <w:rPr>
          <w:rFonts w:hint="eastAsia" w:ascii="宋体" w:hAnsi="宋体" w:eastAsia="宋体" w:cs="宋体"/>
          <w:color w:val="auto"/>
          <w:spacing w:val="-3"/>
          <w:highlight w:val="none"/>
          <w:u w:val="single"/>
        </w:rPr>
        <w:t xml:space="preserve">    （标的名称）</w:t>
      </w:r>
      <w:r>
        <w:rPr>
          <w:rFonts w:hint="eastAsia" w:ascii="宋体" w:hAnsi="宋体" w:eastAsia="宋体" w:cs="宋体"/>
          <w:color w:val="auto"/>
          <w:spacing w:val="-3"/>
          <w:highlight w:val="none"/>
        </w:rPr>
        <w:t>，属于</w:t>
      </w:r>
      <w:r>
        <w:rPr>
          <w:rFonts w:hint="eastAsia" w:ascii="宋体" w:hAnsi="宋体" w:eastAsia="宋体" w:cs="宋体"/>
          <w:color w:val="auto"/>
          <w:spacing w:val="-3"/>
          <w:highlight w:val="none"/>
          <w:u w:val="single"/>
        </w:rPr>
        <w:t xml:space="preserve">    （采购文件中明确所属行业）</w:t>
      </w:r>
      <w:r>
        <w:rPr>
          <w:rFonts w:hint="eastAsia" w:ascii="宋体" w:hAnsi="宋体" w:eastAsia="宋体" w:cs="宋体"/>
          <w:color w:val="auto"/>
          <w:spacing w:val="-3"/>
          <w:highlight w:val="none"/>
          <w:u w:val="none"/>
        </w:rPr>
        <w:t>制造商</w:t>
      </w:r>
      <w:r>
        <w:rPr>
          <w:rFonts w:hint="eastAsia" w:ascii="宋体" w:hAnsi="宋体" w:eastAsia="宋体" w:cs="宋体"/>
          <w:color w:val="auto"/>
          <w:spacing w:val="-3"/>
          <w:highlight w:val="none"/>
        </w:rPr>
        <w:t>为</w:t>
      </w:r>
      <w:r>
        <w:rPr>
          <w:rFonts w:hint="eastAsia" w:ascii="宋体" w:hAnsi="宋体" w:eastAsia="宋体" w:cs="宋体"/>
          <w:color w:val="auto"/>
          <w:spacing w:val="-3"/>
          <w:highlight w:val="none"/>
          <w:u w:val="single"/>
        </w:rPr>
        <w:t xml:space="preserve">    （企业名称）</w:t>
      </w:r>
      <w:r>
        <w:rPr>
          <w:rFonts w:hint="eastAsia" w:ascii="宋体" w:hAnsi="宋体" w:eastAsia="宋体" w:cs="宋体"/>
          <w:color w:val="auto"/>
          <w:spacing w:val="-3"/>
          <w:highlight w:val="none"/>
        </w:rPr>
        <w:t>从业人员</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人，营业收入为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spacing w:val="-3"/>
          <w:highlight w:val="none"/>
        </w:rPr>
        <w:t>万元，资产总额为</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rPr>
        <w:t>万元¹，属于</w:t>
      </w:r>
      <w:r>
        <w:rPr>
          <w:rFonts w:hint="eastAsia" w:ascii="宋体" w:hAnsi="宋体" w:eastAsia="宋体" w:cs="宋体"/>
          <w:color w:val="auto"/>
          <w:spacing w:val="-3"/>
          <w:highlight w:val="none"/>
          <w:u w:val="single"/>
        </w:rPr>
        <w:t xml:space="preserve">     （中型企业、小型企业、微型企业）</w:t>
      </w:r>
      <w:r>
        <w:rPr>
          <w:rFonts w:hint="eastAsia" w:ascii="宋体" w:hAnsi="宋体" w:eastAsia="宋体" w:cs="宋体"/>
          <w:color w:val="auto"/>
          <w:spacing w:val="-3"/>
          <w:highlight w:val="none"/>
        </w:rPr>
        <w:t>；</w:t>
      </w:r>
      <w:r>
        <w:rPr>
          <w:rFonts w:hint="eastAsia" w:ascii="宋体" w:hAnsi="宋体" w:eastAsia="宋体" w:cs="宋体"/>
          <w:color w:val="auto"/>
          <w:szCs w:val="18"/>
          <w:highlight w:val="none"/>
          <w:shd w:val="clear" w:color="auto" w:fill="FFFFFF"/>
        </w:rPr>
        <w:t xml:space="preserve"> </w:t>
      </w:r>
    </w:p>
    <w:p w14:paraId="700E843F">
      <w:pPr>
        <w:snapToGrid w:val="0"/>
        <w:spacing w:line="480" w:lineRule="auto"/>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w:t>
      </w:r>
    </w:p>
    <w:p w14:paraId="22463CFA">
      <w:pPr>
        <w:snapToGrid w:val="0"/>
        <w:spacing w:line="480" w:lineRule="auto"/>
        <w:ind w:firstLine="630" w:firstLineChars="3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以上企业，不属于大企业的分支机构，不存在控股股东为大企业的情形，也不存在与大企业的负责人为同一人的情形。</w:t>
      </w:r>
    </w:p>
    <w:p w14:paraId="5545C445">
      <w:pPr>
        <w:snapToGrid w:val="0"/>
        <w:spacing w:line="360" w:lineRule="auto"/>
        <w:ind w:firstLine="723" w:firstLineChars="300"/>
        <w:rPr>
          <w:rFonts w:hint="eastAsia" w:ascii="宋体" w:hAnsi="宋体" w:eastAsia="宋体" w:cs="宋体"/>
          <w:b/>
          <w:color w:val="auto"/>
          <w:sz w:val="24"/>
          <w:szCs w:val="18"/>
          <w:highlight w:val="none"/>
          <w:u w:val="double"/>
          <w:shd w:val="clear" w:color="auto" w:fill="FFFFFF"/>
        </w:rPr>
      </w:pPr>
      <w:r>
        <w:rPr>
          <w:rFonts w:hint="eastAsia" w:ascii="宋体" w:hAnsi="宋体" w:eastAsia="宋体" w:cs="宋体"/>
          <w:b/>
          <w:color w:val="auto"/>
          <w:sz w:val="24"/>
          <w:szCs w:val="18"/>
          <w:highlight w:val="none"/>
          <w:u w:val="double"/>
          <w:shd w:val="clear" w:color="auto" w:fill="FFFFFF"/>
        </w:rPr>
        <w:t xml:space="preserve">本企业对上述声明内容的真实性负责。如有虚假，将依法承担相应责任。 </w:t>
      </w:r>
    </w:p>
    <w:p w14:paraId="07B6C94F">
      <w:pPr>
        <w:snapToGrid w:val="0"/>
        <w:spacing w:line="360" w:lineRule="auto"/>
        <w:ind w:firstLine="723" w:firstLineChars="300"/>
        <w:rPr>
          <w:rFonts w:hint="eastAsia" w:ascii="宋体" w:hAnsi="宋体" w:eastAsia="宋体" w:cs="宋体"/>
          <w:b/>
          <w:color w:val="auto"/>
          <w:sz w:val="24"/>
          <w:szCs w:val="18"/>
          <w:highlight w:val="none"/>
          <w:u w:val="double"/>
          <w:shd w:val="clear" w:color="auto" w:fill="FFFFFF"/>
        </w:rPr>
      </w:pPr>
    </w:p>
    <w:p w14:paraId="1A21AD94">
      <w:pPr>
        <w:pStyle w:val="4"/>
        <w:ind w:firstLine="0" w:firstLineChars="0"/>
        <w:rPr>
          <w:rFonts w:hint="eastAsia" w:ascii="宋体" w:hAnsi="宋体" w:eastAsia="宋体" w:cs="宋体"/>
          <w:color w:val="auto"/>
          <w:sz w:val="21"/>
          <w:szCs w:val="18"/>
          <w:highlight w:val="none"/>
          <w:shd w:val="clear" w:color="auto" w:fill="FFFFFF"/>
        </w:rPr>
      </w:pPr>
    </w:p>
    <w:p w14:paraId="48E8FDCF">
      <w:pPr>
        <w:snapToGrid w:val="0"/>
        <w:spacing w:line="360" w:lineRule="auto"/>
        <w:ind w:firstLine="3990" w:firstLineChars="19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 xml:space="preserve">企业名称（盖章）： </w:t>
      </w:r>
    </w:p>
    <w:p w14:paraId="21025DEF">
      <w:pPr>
        <w:snapToGrid w:val="0"/>
        <w:spacing w:line="360" w:lineRule="auto"/>
        <w:ind w:firstLine="3990" w:firstLineChars="19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 xml:space="preserve">日 期： </w:t>
      </w:r>
    </w:p>
    <w:p w14:paraId="2F683845">
      <w:pPr>
        <w:snapToGrid w:val="0"/>
        <w:spacing w:line="360" w:lineRule="auto"/>
        <w:ind w:firstLine="630" w:firstLineChars="300"/>
        <w:rPr>
          <w:rFonts w:hint="eastAsia" w:ascii="宋体" w:hAnsi="宋体" w:eastAsia="宋体" w:cs="宋体"/>
          <w:color w:val="auto"/>
          <w:szCs w:val="18"/>
          <w:highlight w:val="none"/>
          <w:shd w:val="clear" w:color="auto" w:fill="FFFFFF"/>
        </w:rPr>
      </w:pPr>
    </w:p>
    <w:p w14:paraId="29CCD454">
      <w:pPr>
        <w:snapToGrid w:val="0"/>
        <w:spacing w:line="360" w:lineRule="auto"/>
        <w:ind w:firstLine="420" w:firstLineChars="200"/>
        <w:rPr>
          <w:rFonts w:hint="eastAsia" w:ascii="宋体" w:hAnsi="宋体" w:eastAsia="宋体" w:cs="宋体"/>
          <w:color w:val="auto"/>
          <w:szCs w:val="18"/>
          <w:highlight w:val="none"/>
          <w:shd w:val="clear" w:color="auto" w:fill="FFFFFF"/>
        </w:rPr>
      </w:pPr>
      <w:r>
        <w:rPr>
          <w:rFonts w:hint="eastAsia" w:ascii="宋体" w:hAnsi="宋体" w:eastAsia="宋体" w:cs="宋体"/>
          <w:color w:val="auto"/>
          <w:szCs w:val="18"/>
          <w:highlight w:val="none"/>
          <w:shd w:val="clear" w:color="auto" w:fill="FFFFFF"/>
        </w:rPr>
        <w:t>注：1.从业人员、营业收入、资产总额填报上一年度数据，无上一年度数据的新成立企业可不填报；</w:t>
      </w:r>
    </w:p>
    <w:p w14:paraId="628CE65A">
      <w:pPr>
        <w:snapToGrid w:val="0"/>
        <w:spacing w:line="360" w:lineRule="auto"/>
        <w:ind w:firstLine="630" w:firstLineChars="300"/>
        <w:rPr>
          <w:rFonts w:hint="eastAsia" w:ascii="宋体" w:hAnsi="宋体" w:eastAsia="宋体" w:cs="宋体"/>
          <w:b/>
          <w:color w:val="auto"/>
          <w:sz w:val="24"/>
          <w:szCs w:val="18"/>
          <w:highlight w:val="none"/>
          <w:u w:val="double"/>
          <w:shd w:val="clear" w:color="auto" w:fill="FFFFFF"/>
        </w:rPr>
      </w:pPr>
      <w:r>
        <w:rPr>
          <w:rFonts w:hint="eastAsia" w:ascii="宋体" w:hAnsi="宋体" w:eastAsia="宋体" w:cs="宋体"/>
          <w:color w:val="auto"/>
          <w:szCs w:val="18"/>
          <w:highlight w:val="none"/>
          <w:shd w:val="clear" w:color="auto" w:fill="FFFFFF"/>
        </w:rPr>
        <w:t xml:space="preserve">2.根据财库〔2020〕46号的第十三条、第二十条规定：中标供应商享受本办法规定的中小企业扶持政策的，采购人、采购代理机构应当随中标结果公开中标供应商的《中小企业声明函》。 </w:t>
      </w:r>
      <w:r>
        <w:rPr>
          <w:rFonts w:hint="eastAsia" w:ascii="宋体" w:hAnsi="宋体" w:eastAsia="宋体" w:cs="宋体"/>
          <w:b/>
          <w:color w:val="auto"/>
          <w:sz w:val="24"/>
          <w:szCs w:val="18"/>
          <w:highlight w:val="none"/>
          <w:u w:val="double"/>
          <w:shd w:val="clear" w:color="auto" w:fill="FFFFFF"/>
        </w:rPr>
        <w:t>供应商按照本办法规定提供声明函内容不实的，属于提供虚假材料谋取中标，依照《中华人民共和国政府采购法》等国家有关规定追究相应责任。</w:t>
      </w:r>
    </w:p>
    <w:p w14:paraId="06167502">
      <w:pPr>
        <w:pStyle w:val="22"/>
        <w:snapToGrid w:val="0"/>
        <w:spacing w:line="360" w:lineRule="auto"/>
        <w:ind w:left="420" w:firstLine="360" w:firstLineChars="200"/>
        <w:rPr>
          <w:rFonts w:hint="eastAsia" w:ascii="宋体" w:hAnsi="宋体" w:eastAsia="宋体" w:cs="宋体"/>
          <w:color w:val="auto"/>
          <w:sz w:val="18"/>
          <w:szCs w:val="18"/>
          <w:highlight w:val="none"/>
          <w:shd w:val="clear" w:color="auto" w:fill="FFFFFF"/>
        </w:rPr>
      </w:pPr>
    </w:p>
    <w:p w14:paraId="38CED51E">
      <w:pPr>
        <w:pStyle w:val="22"/>
        <w:snapToGrid w:val="0"/>
        <w:spacing w:line="360" w:lineRule="auto"/>
        <w:ind w:left="420" w:firstLine="420" w:firstLineChars="200"/>
        <w:rPr>
          <w:rFonts w:hint="eastAsia" w:ascii="宋体" w:hAnsi="宋体" w:eastAsia="宋体" w:cs="宋体"/>
          <w:color w:val="auto"/>
          <w:sz w:val="21"/>
          <w:szCs w:val="21"/>
          <w:highlight w:val="none"/>
          <w:shd w:val="clear" w:color="auto" w:fill="FFFFFF"/>
        </w:rPr>
      </w:pPr>
    </w:p>
    <w:p w14:paraId="2218899D">
      <w:pPr>
        <w:pStyle w:val="22"/>
        <w:snapToGrid w:val="0"/>
        <w:spacing w:line="360" w:lineRule="auto"/>
        <w:ind w:left="420" w:firstLine="420" w:firstLineChars="200"/>
        <w:rPr>
          <w:rFonts w:hint="eastAsia" w:ascii="宋体" w:hAnsi="宋体" w:eastAsia="宋体" w:cs="宋体"/>
          <w:color w:val="auto"/>
          <w:sz w:val="21"/>
          <w:szCs w:val="21"/>
          <w:highlight w:val="none"/>
          <w:shd w:val="clear" w:color="auto" w:fill="FFFFFF"/>
        </w:rPr>
      </w:pPr>
    </w:p>
    <w:p w14:paraId="336C0392">
      <w:pPr>
        <w:widowControl/>
        <w:wordWrap w:val="0"/>
        <w:spacing w:line="23" w:lineRule="atLeast"/>
        <w:jc w:val="left"/>
        <w:textAlignment w:val="top"/>
        <w:rPr>
          <w:rFonts w:hint="eastAsia" w:ascii="宋体" w:hAnsi="宋体" w:eastAsia="宋体" w:cs="宋体"/>
          <w:color w:val="auto"/>
          <w:szCs w:val="21"/>
          <w:highlight w:val="none"/>
          <w:shd w:val="clear" w:color="auto" w:fill="FFFFFF"/>
        </w:rPr>
      </w:pPr>
    </w:p>
    <w:p w14:paraId="2DB4A32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四、残疾人福利性单位声明函</w:t>
      </w:r>
    </w:p>
    <w:p w14:paraId="69D1D527">
      <w:pPr>
        <w:widowControl/>
        <w:wordWrap w:val="0"/>
        <w:spacing w:line="480" w:lineRule="exact"/>
        <w:ind w:firstLine="420" w:firstLineChars="200"/>
        <w:jc w:val="left"/>
        <w:textAlignment w:val="top"/>
        <w:rPr>
          <w:rFonts w:hint="eastAsia" w:ascii="宋体" w:hAnsi="宋体" w:eastAsia="宋体" w:cs="宋体"/>
          <w:color w:val="auto"/>
          <w:kern w:val="0"/>
          <w:szCs w:val="21"/>
          <w:highlight w:val="none"/>
          <w:shd w:val="clear" w:color="auto" w:fill="FFFFFF"/>
          <w:lang w:bidi="ar"/>
        </w:rPr>
      </w:pPr>
      <w:r>
        <w:rPr>
          <w:rFonts w:hint="eastAsia" w:ascii="宋体" w:hAnsi="宋体" w:eastAsia="宋体" w:cs="宋体"/>
          <w:color w:val="auto"/>
          <w:kern w:val="0"/>
          <w:szCs w:val="21"/>
          <w:highlight w:val="none"/>
          <w:shd w:val="clear" w:color="auto" w:fill="FFFFFF"/>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DA93A7">
      <w:pPr>
        <w:widowControl/>
        <w:wordWrap w:val="0"/>
        <w:spacing w:line="480" w:lineRule="exact"/>
        <w:ind w:firstLine="472" w:firstLineChars="196"/>
        <w:textAlignment w:val="top"/>
        <w:rPr>
          <w:rFonts w:hint="eastAsia" w:ascii="宋体" w:hAnsi="宋体" w:eastAsia="宋体" w:cs="宋体"/>
          <w:b/>
          <w:color w:val="auto"/>
          <w:sz w:val="24"/>
          <w:szCs w:val="18"/>
          <w:highlight w:val="none"/>
          <w:u w:val="double"/>
          <w:shd w:val="clear" w:color="auto" w:fill="FFFFFF"/>
        </w:rPr>
      </w:pPr>
      <w:r>
        <w:rPr>
          <w:rFonts w:hint="eastAsia" w:ascii="宋体" w:hAnsi="宋体" w:eastAsia="宋体" w:cs="宋体"/>
          <w:b/>
          <w:bCs/>
          <w:color w:val="auto"/>
          <w:sz w:val="24"/>
          <w:szCs w:val="18"/>
          <w:highlight w:val="none"/>
          <w:u w:val="double"/>
        </w:rPr>
        <w:t>本单位对上述声明的真实性负责。如有虚假，将依法承担相应责任。</w:t>
      </w:r>
    </w:p>
    <w:p w14:paraId="225E5E51">
      <w:pPr>
        <w:rPr>
          <w:rFonts w:hint="eastAsia" w:ascii="宋体" w:hAnsi="宋体" w:eastAsia="宋体" w:cs="宋体"/>
          <w:color w:val="auto"/>
          <w:highlight w:val="none"/>
          <w:shd w:val="clear" w:color="auto" w:fill="FFFFFF"/>
          <w:lang w:bidi="ar"/>
        </w:rPr>
      </w:pPr>
    </w:p>
    <w:p w14:paraId="0734E9C1">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26C98BAC">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6071A342">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00941E6B">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76F7EC5E">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3D4FBA7F">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7085A8B7">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21211677">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2A563664">
      <w:pPr>
        <w:pStyle w:val="80"/>
        <w:rPr>
          <w:rFonts w:hint="eastAsia" w:ascii="宋体" w:hAnsi="宋体" w:eastAsia="宋体" w:cs="宋体"/>
          <w:color w:val="auto"/>
          <w:highlight w:val="none"/>
        </w:rPr>
      </w:pPr>
    </w:p>
    <w:p w14:paraId="326551AB">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445878CB">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5B633150">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0739726E">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12525919">
      <w:pPr>
        <w:pStyle w:val="80"/>
        <w:rPr>
          <w:rFonts w:hint="eastAsia" w:ascii="宋体" w:hAnsi="宋体" w:eastAsia="宋体" w:cs="宋体"/>
          <w:color w:val="auto"/>
          <w:highlight w:val="none"/>
        </w:rPr>
      </w:pPr>
    </w:p>
    <w:p w14:paraId="690A4599">
      <w:pPr>
        <w:pStyle w:val="80"/>
        <w:rPr>
          <w:rFonts w:hint="eastAsia" w:ascii="宋体" w:hAnsi="宋体" w:eastAsia="宋体" w:cs="宋体"/>
          <w:color w:val="auto"/>
          <w:highlight w:val="none"/>
        </w:rPr>
      </w:pPr>
    </w:p>
    <w:p w14:paraId="2A3E476F">
      <w:pPr>
        <w:pStyle w:val="80"/>
        <w:rPr>
          <w:rFonts w:hint="eastAsia" w:ascii="宋体" w:hAnsi="宋体" w:eastAsia="宋体" w:cs="宋体"/>
          <w:color w:val="auto"/>
          <w:highlight w:val="none"/>
        </w:rPr>
      </w:pPr>
    </w:p>
    <w:p w14:paraId="2C7C3F0D">
      <w:pPr>
        <w:pStyle w:val="80"/>
        <w:rPr>
          <w:rFonts w:hint="eastAsia" w:ascii="宋体" w:hAnsi="宋体" w:eastAsia="宋体" w:cs="宋体"/>
          <w:color w:val="auto"/>
          <w:highlight w:val="none"/>
        </w:rPr>
      </w:pPr>
    </w:p>
    <w:p w14:paraId="52D64BB0">
      <w:pPr>
        <w:pStyle w:val="80"/>
        <w:rPr>
          <w:rFonts w:hint="eastAsia" w:ascii="宋体" w:hAnsi="宋体" w:eastAsia="宋体" w:cs="宋体"/>
          <w:color w:val="auto"/>
          <w:highlight w:val="none"/>
        </w:rPr>
      </w:pPr>
    </w:p>
    <w:p w14:paraId="0B770569">
      <w:pPr>
        <w:pStyle w:val="80"/>
        <w:rPr>
          <w:rFonts w:hint="eastAsia" w:ascii="宋体" w:hAnsi="宋体" w:eastAsia="宋体" w:cs="宋体"/>
          <w:color w:val="auto"/>
          <w:highlight w:val="none"/>
        </w:rPr>
      </w:pPr>
    </w:p>
    <w:p w14:paraId="0146F821">
      <w:pPr>
        <w:pStyle w:val="80"/>
        <w:rPr>
          <w:rFonts w:hint="eastAsia" w:ascii="宋体" w:hAnsi="宋体" w:eastAsia="宋体" w:cs="宋体"/>
          <w:color w:val="auto"/>
          <w:highlight w:val="none"/>
        </w:rPr>
      </w:pPr>
    </w:p>
    <w:p w14:paraId="678EDE0C">
      <w:pPr>
        <w:pStyle w:val="80"/>
        <w:rPr>
          <w:rFonts w:hint="eastAsia" w:ascii="宋体" w:hAnsi="宋体" w:eastAsia="宋体" w:cs="宋体"/>
          <w:color w:val="auto"/>
          <w:highlight w:val="none"/>
        </w:rPr>
      </w:pPr>
    </w:p>
    <w:p w14:paraId="0B9584D8">
      <w:pPr>
        <w:snapToGrid w:val="0"/>
        <w:spacing w:before="50" w:after="120" w:afterLines="50" w:line="440" w:lineRule="exact"/>
        <w:jc w:val="left"/>
        <w:rPr>
          <w:rFonts w:hint="eastAsia" w:ascii="宋体" w:hAnsi="宋体" w:eastAsia="宋体" w:cs="宋体"/>
          <w:b/>
          <w:color w:val="auto"/>
          <w:sz w:val="24"/>
          <w:highlight w:val="none"/>
          <w:shd w:val="clear" w:color="auto" w:fill="FFFFFF"/>
        </w:rPr>
      </w:pPr>
    </w:p>
    <w:p w14:paraId="1A2C5F0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五、监狱企业声明函</w:t>
      </w:r>
    </w:p>
    <w:p w14:paraId="39CB23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本单位郑重声明，根据《关于政府采购支持监狱企业发展有关问题的通知》（财库[2014]68号）的规定，本单位为监狱企业。</w:t>
      </w:r>
    </w:p>
    <w:p w14:paraId="19A6E4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根据上述标准，我单位属于监狱企业的理由为：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36C789">
      <w:pPr>
        <w:pStyle w:val="22"/>
        <w:snapToGrid w:val="0"/>
        <w:spacing w:before="24" w:beforeLines="10" w:after="24" w:afterLines="1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本单位参加</w:t>
      </w:r>
      <w:r>
        <w:rPr>
          <w:rFonts w:hint="eastAsia" w:ascii="宋体" w:hAnsi="宋体" w:eastAsia="宋体" w:cs="宋体"/>
          <w:color w:val="auto"/>
          <w:sz w:val="21"/>
          <w:highlight w:val="none"/>
          <w:u w:val="single"/>
        </w:rPr>
        <w:t xml:space="preserve">（采购人名称）       </w:t>
      </w:r>
      <w:r>
        <w:rPr>
          <w:rFonts w:hint="eastAsia" w:ascii="宋体" w:hAnsi="宋体" w:eastAsia="宋体" w:cs="宋体"/>
          <w:color w:val="auto"/>
          <w:sz w:val="21"/>
          <w:highlight w:val="none"/>
        </w:rPr>
        <w:t>单位的</w:t>
      </w:r>
      <w:r>
        <w:rPr>
          <w:rFonts w:hint="eastAsia" w:ascii="宋体" w:hAnsi="宋体" w:eastAsia="宋体" w:cs="宋体"/>
          <w:color w:val="auto"/>
          <w:sz w:val="21"/>
          <w:highlight w:val="none"/>
          <w:u w:val="single"/>
        </w:rPr>
        <w:t xml:space="preserve"> （项目名称）         </w:t>
      </w:r>
      <w:r>
        <w:rPr>
          <w:rFonts w:hint="eastAsia" w:ascii="宋体" w:hAnsi="宋体" w:eastAsia="宋体" w:cs="宋体"/>
          <w:color w:val="auto"/>
          <w:sz w:val="21"/>
          <w:highlight w:val="none"/>
        </w:rPr>
        <w:t>项目的采购活动，并由本单位为本项目提供货物。</w:t>
      </w:r>
    </w:p>
    <w:p w14:paraId="40B1F18B">
      <w:pPr>
        <w:widowControl/>
        <w:wordWrap w:val="0"/>
        <w:spacing w:line="480" w:lineRule="exact"/>
        <w:ind w:firstLine="472" w:firstLineChars="196"/>
        <w:textAlignment w:val="top"/>
        <w:rPr>
          <w:rFonts w:hint="eastAsia" w:ascii="宋体" w:hAnsi="宋体" w:eastAsia="宋体" w:cs="宋体"/>
          <w:b/>
          <w:bCs/>
          <w:color w:val="auto"/>
          <w:sz w:val="24"/>
          <w:szCs w:val="18"/>
          <w:highlight w:val="none"/>
          <w:u w:val="double"/>
        </w:rPr>
      </w:pPr>
      <w:r>
        <w:rPr>
          <w:rFonts w:hint="eastAsia" w:ascii="宋体" w:hAnsi="宋体" w:eastAsia="宋体" w:cs="宋体"/>
          <w:b/>
          <w:bCs/>
          <w:color w:val="auto"/>
          <w:sz w:val="24"/>
          <w:szCs w:val="18"/>
          <w:highlight w:val="none"/>
          <w:u w:val="double"/>
        </w:rPr>
        <w:t>本单位对上述声明的真实性负责。如有虚假，将依法承担相应责任。</w:t>
      </w:r>
    </w:p>
    <w:p w14:paraId="5A711C05">
      <w:pPr>
        <w:pStyle w:val="22"/>
        <w:snapToGrid w:val="0"/>
        <w:spacing w:before="24" w:beforeLines="10" w:after="24" w:afterLines="10" w:line="360" w:lineRule="auto"/>
        <w:rPr>
          <w:rFonts w:hint="eastAsia" w:ascii="宋体" w:hAnsi="宋体" w:eastAsia="宋体" w:cs="宋体"/>
          <w:color w:val="auto"/>
          <w:sz w:val="21"/>
          <w:highlight w:val="none"/>
        </w:rPr>
      </w:pPr>
    </w:p>
    <w:p w14:paraId="0DB5E070">
      <w:pPr>
        <w:pStyle w:val="22"/>
        <w:snapToGrid w:val="0"/>
        <w:spacing w:before="24" w:beforeLines="10" w:after="24" w:afterLines="10" w:line="360" w:lineRule="auto"/>
        <w:rPr>
          <w:rFonts w:hint="eastAsia" w:ascii="宋体" w:hAnsi="宋体" w:eastAsia="宋体" w:cs="宋体"/>
          <w:color w:val="auto"/>
          <w:sz w:val="21"/>
          <w:highlight w:val="none"/>
        </w:rPr>
      </w:pPr>
    </w:p>
    <w:p w14:paraId="3FBBE8F7">
      <w:pPr>
        <w:pStyle w:val="22"/>
        <w:snapToGrid w:val="0"/>
        <w:spacing w:before="24" w:beforeLines="10" w:after="24" w:afterLines="1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投标人（盖章）</w:t>
      </w:r>
    </w:p>
    <w:p w14:paraId="1947FA5C">
      <w:pPr>
        <w:pStyle w:val="22"/>
        <w:snapToGrid w:val="0"/>
        <w:spacing w:before="24" w:beforeLines="10" w:after="24" w:afterLines="10"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日期：   年   月   日</w:t>
      </w:r>
    </w:p>
    <w:p w14:paraId="1C9F4A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w:t>
      </w:r>
    </w:p>
    <w:p w14:paraId="45C098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1、监狱企业参加采购活动时，应当提供由省级以上监狱管理局、戒毒管理局（含新疆生产建设兵团）出具的属于监狱企业的证明文件。</w:t>
      </w:r>
    </w:p>
    <w:p w14:paraId="4ACCD5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C4E8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3、联合体主办方和各成员单位分别提供此函。（如有）</w:t>
      </w:r>
    </w:p>
    <w:p w14:paraId="2183862A">
      <w:pPr>
        <w:rPr>
          <w:rFonts w:hint="eastAsia" w:ascii="宋体" w:hAnsi="宋体" w:eastAsia="宋体" w:cs="宋体"/>
          <w:color w:val="auto"/>
          <w:highlight w:val="none"/>
        </w:rPr>
      </w:pPr>
    </w:p>
    <w:sectPr>
      <w:pgSz w:w="11906" w:h="16838"/>
      <w:pgMar w:top="1202"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CD194">
    <w:pPr>
      <w:pStyle w:val="27"/>
      <w:jc w:val="center"/>
    </w:pPr>
    <w:r>
      <w:fldChar w:fldCharType="begin"/>
    </w:r>
    <w:r>
      <w:instrText xml:space="preserve"> PAGE   \* MERGEFORMAT </w:instrText>
    </w:r>
    <w:r>
      <w:fldChar w:fldCharType="separate"/>
    </w:r>
    <w:r>
      <w:rPr>
        <w:lang w:val="zh-CN"/>
      </w:rPr>
      <w:t>21</w:t>
    </w:r>
    <w:r>
      <w:fldChar w:fldCharType="end"/>
    </w:r>
  </w:p>
  <w:p w14:paraId="0081CBB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470CF">
    <w:pPr>
      <w:pStyle w:val="2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03E86">
                          <w:pPr>
                            <w:pStyle w:val="27"/>
                            <w:jc w:val="right"/>
                          </w:pPr>
                          <w:r>
                            <w:fldChar w:fldCharType="begin"/>
                          </w:r>
                          <w:r>
                            <w:instrText xml:space="preserve"> PAGE   \* MERGEFORMAT </w:instrText>
                          </w:r>
                          <w:r>
                            <w:fldChar w:fldCharType="separate"/>
                          </w:r>
                          <w:r>
                            <w:rPr>
                              <w:lang w:val="zh-CN"/>
                            </w:rPr>
                            <w:t>37</w:t>
                          </w:r>
                          <w:r>
                            <w:fldChar w:fldCharType="end"/>
                          </w:r>
                        </w:p>
                      </w:txbxContent>
                    </wps:txbx>
                    <wps:bodyPr wrap="none" lIns="0" tIns="0" rIns="0" bIns="0" upright="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owZcsBAACcAwAADgAAAGRycy9lMm9Eb2MueG1srVPNjtMwEL4j8Q6W&#10;79TZg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lDiuMWBn3/+OP/6c/79nbys&#10;3rzKCvUBaky8DZiahnd+yNmTH9CZiQ8q2vxFSgTjqO/poq8cEhH50Wq5WlUYEhibL4jD7p6HCOm9&#10;9JZko6ERB1h05cePkMbUOSVXc/5GG4N+Xhv3nwMxs4fl3sces5WG3TA1vvPtCfn0OPuGOlx1SswH&#10;h9LmNZmNOBu72TiEqPdd2aNcD8LbQ8ImSm+5wgg7FcahFXbTguWt+Pdesu5+q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GaMGXLAQAAnAMAAA4AAAAAAAAAAQAgAAAAHgEAAGRycy9lMm9E&#10;b2MueG1sUEsFBgAAAAAGAAYAWQEAAFsFAAAAAA==&#10;">
              <v:fill on="f" focussize="0,0"/>
              <v:stroke on="f"/>
              <v:imagedata o:title=""/>
              <o:lock v:ext="edit" aspectratio="f"/>
              <v:textbox inset="0mm,0mm,0mm,0mm" style="mso-fit-shape-to-text:t;">
                <w:txbxContent>
                  <w:p w14:paraId="71B03E86">
                    <w:pPr>
                      <w:pStyle w:val="27"/>
                      <w:jc w:val="right"/>
                    </w:pPr>
                    <w:r>
                      <w:fldChar w:fldCharType="begin"/>
                    </w:r>
                    <w:r>
                      <w:instrText xml:space="preserve"> PAGE   \* MERGEFORMAT </w:instrText>
                    </w:r>
                    <w:r>
                      <w:fldChar w:fldCharType="separate"/>
                    </w:r>
                    <w:r>
                      <w:rPr>
                        <w:lang w:val="zh-CN"/>
                      </w:rPr>
                      <w:t>37</w:t>
                    </w:r>
                    <w:r>
                      <w:fldChar w:fldCharType="end"/>
                    </w:r>
                  </w:p>
                </w:txbxContent>
              </v:textbox>
            </v:shape>
          </w:pict>
        </mc:Fallback>
      </mc:AlternateContent>
    </w:r>
  </w:p>
  <w:p w14:paraId="5CD0202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B307">
    <w:pPr>
      <w:pStyle w:val="27"/>
      <w:jc w:val="center"/>
    </w:pPr>
    <w:r>
      <w:fldChar w:fldCharType="begin"/>
    </w:r>
    <w:r>
      <w:instrText xml:space="preserve"> PAGE   \* MERGEFORMAT </w:instrText>
    </w:r>
    <w:r>
      <w:fldChar w:fldCharType="separate"/>
    </w:r>
    <w:r>
      <w:rPr>
        <w:lang w:val="zh-CN"/>
      </w:rPr>
      <w:t>56</w:t>
    </w:r>
    <w:r>
      <w:fldChar w:fldCharType="end"/>
    </w:r>
  </w:p>
  <w:p w14:paraId="756C8C1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2FD7">
    <w:pPr>
      <w:pStyle w:val="27"/>
      <w:jc w:val="center"/>
    </w:pPr>
    <w:r>
      <w:fldChar w:fldCharType="begin"/>
    </w:r>
    <w:r>
      <w:instrText xml:space="preserve"> PAGE   \* MERGEFORMAT </w:instrText>
    </w:r>
    <w:r>
      <w:fldChar w:fldCharType="separate"/>
    </w:r>
    <w:r>
      <w:rPr>
        <w:lang w:val="zh-CN"/>
      </w:rPr>
      <w:t>49</w:t>
    </w:r>
    <w:r>
      <w:fldChar w:fldCharType="end"/>
    </w:r>
  </w:p>
  <w:p w14:paraId="3F07E20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9EC7">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1B7462">
                          <w:pPr>
                            <w:pStyle w:val="27"/>
                            <w:rPr>
                              <w:rStyle w:val="47"/>
                            </w:rPr>
                          </w:pPr>
                          <w:r>
                            <w:fldChar w:fldCharType="begin"/>
                          </w:r>
                          <w:r>
                            <w:rPr>
                              <w:rStyle w:val="47"/>
                            </w:rPr>
                            <w:instrText xml:space="preserve">PAGE  </w:instrText>
                          </w:r>
                          <w:r>
                            <w:fldChar w:fldCharType="separate"/>
                          </w:r>
                          <w:r>
                            <w:rPr>
                              <w:rStyle w:val="47"/>
                            </w:rPr>
                            <w:t>64</w:t>
                          </w:r>
                          <w:r>
                            <w:fldChar w:fldCharType="end"/>
                          </w:r>
                        </w:p>
                      </w:txbxContent>
                    </wps:txbx>
                    <wps:bodyPr wrap="none" lIns="0" tIns="0" rIns="0" bIns="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BKU8sBAACcAwAADgAAAGRycy9lMm9Eb2MueG1srVPNjtMwEL4j8Q6W&#10;79TZI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EmJ4xYHfv754/zrz/n3d/Ky&#10;evMqK9QHqDHxNmBqGt75Afdm9gM6M/FBRZu/SIlgHPU9XfSVQyIiP1otV6sKQwJj8wXx2d3zECG9&#10;l96SbDQ04gCLrvz4EdKYOqfkas7faGPKEI37z4GY2cNy72OP2UrDbpgI7Xx7Qj49zr6hDledEvPB&#10;obR5TWYjzsZuNg4h6n1X9ijXg/D2kLCJ0luuMMJOhXFohd20YHkr/r2XrLufav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wASlPLAQAAnAMAAA4AAAAAAAAAAQAgAAAAHgEAAGRycy9lMm9E&#10;b2MueG1sUEsFBgAAAAAGAAYAWQEAAFsFAAAAAA==&#10;">
              <v:fill on="f" focussize="0,0"/>
              <v:stroke on="f"/>
              <v:imagedata o:title=""/>
              <o:lock v:ext="edit" aspectratio="f"/>
              <v:textbox inset="0mm,0mm,0mm,0mm" style="mso-fit-shape-to-text:t;">
                <w:txbxContent>
                  <w:p w14:paraId="321B7462">
                    <w:pPr>
                      <w:pStyle w:val="27"/>
                      <w:rPr>
                        <w:rStyle w:val="47"/>
                      </w:rPr>
                    </w:pPr>
                    <w:r>
                      <w:fldChar w:fldCharType="begin"/>
                    </w:r>
                    <w:r>
                      <w:rPr>
                        <w:rStyle w:val="47"/>
                      </w:rPr>
                      <w:instrText xml:space="preserve">PAGE  </w:instrText>
                    </w:r>
                    <w:r>
                      <w:fldChar w:fldCharType="separate"/>
                    </w:r>
                    <w:r>
                      <w:rPr>
                        <w:rStyle w:val="47"/>
                      </w:rP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F020">
    <w:pPr>
      <w:pStyle w:val="27"/>
      <w:framePr w:wrap="around" w:vAnchor="text" w:hAnchor="margin" w:xAlign="center" w:y="1"/>
      <w:rPr>
        <w:rStyle w:val="47"/>
      </w:rPr>
    </w:pPr>
    <w:r>
      <w:fldChar w:fldCharType="begin"/>
    </w:r>
    <w:r>
      <w:rPr>
        <w:rStyle w:val="47"/>
      </w:rPr>
      <w:instrText xml:space="preserve">PAGE  </w:instrText>
    </w:r>
    <w:r>
      <w:fldChar w:fldCharType="end"/>
    </w:r>
  </w:p>
  <w:p w14:paraId="5D904F42">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F817">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073FA">
    <w:pPr>
      <w:pStyle w:val="28"/>
      <w:pBdr>
        <w:bottom w:val="none" w:color="auto" w:sz="0" w:space="1"/>
      </w:pBdr>
      <w:tabs>
        <w:tab w:val="left" w:pos="4727"/>
      </w:tabs>
      <w:jc w:val="left"/>
      <w:rPr>
        <w:rFonts w:hint="eastAsia"/>
      </w:rP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C44B">
    <w:pPr>
      <w:pStyle w:val="28"/>
      <w:pBdr>
        <w:bottom w:val="none" w:color="auto" w:sz="0" w:space="1"/>
      </w:pBdr>
      <w:rPr>
        <w:rFonts w:ascii="仿宋_GB2312" w:eastAsia="仿宋_GB2312"/>
        <w:b/>
        <w:i/>
        <w:u w:val="single"/>
      </w:rPr>
    </w:pPr>
    <w:r>
      <w:t></w:t>
    </w:r>
    <w:r>
      <w:rPr>
        <w:rFonts w:hint="eastAsia"/>
      </w:rPr>
      <w:t xml:space="preserve">                                                 </w:t>
    </w:r>
  </w:p>
  <w:p w14:paraId="242E71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FA72C">
    <w:pPr>
      <w:pStyle w:val="28"/>
    </w:pPr>
    <w:r>
      <w:t></w:t>
    </w:r>
    <w:r>
      <w:rPr>
        <w:rFonts w:hint="eastAsia"/>
      </w:rPr>
      <w:t xml:space="preserve">         </w:t>
    </w:r>
  </w:p>
  <w:p w14:paraId="4E3489D1">
    <w:pPr>
      <w:pStyle w:val="28"/>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1">
    <w:nsid w:val="00000002"/>
    <w:multiLevelType w:val="singleLevel"/>
    <w:tmpl w:val="00000002"/>
    <w:lvl w:ilvl="0" w:tentative="0">
      <w:start w:val="1"/>
      <w:numFmt w:val="decimal"/>
      <w:pStyle w:val="201"/>
      <w:lvlText w:val="%1、"/>
      <w:lvlJc w:val="left"/>
      <w:pPr>
        <w:tabs>
          <w:tab w:val="left" w:pos="1050"/>
        </w:tabs>
        <w:ind w:left="1050" w:hanging="450"/>
      </w:pPr>
      <w:rPr>
        <w:rFonts w:ascii="宋体" w:hAnsi="宋体" w:eastAsia="宋体" w:cs="Times New Roman"/>
      </w:rPr>
    </w:lvl>
  </w:abstractNum>
  <w:abstractNum w:abstractNumId="2">
    <w:nsid w:val="007D2F3B"/>
    <w:multiLevelType w:val="singleLevel"/>
    <w:tmpl w:val="007D2F3B"/>
    <w:lvl w:ilvl="0" w:tentative="0">
      <w:start w:val="2"/>
      <w:numFmt w:val="chineseCounting"/>
      <w:suff w:val="nothing"/>
      <w:lvlText w:val="（%1）"/>
      <w:lvlJc w:val="left"/>
      <w:rPr>
        <w:rFonts w:hint="eastAsia"/>
      </w:rPr>
    </w:lvl>
  </w:abstractNum>
  <w:abstractNum w:abstractNumId="3">
    <w:nsid w:val="420C153B"/>
    <w:multiLevelType w:val="multilevel"/>
    <w:tmpl w:val="420C153B"/>
    <w:lvl w:ilvl="0" w:tentative="0">
      <w:start w:val="1"/>
      <w:numFmt w:val="decimal"/>
      <w:pStyle w:val="21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D26229A"/>
    <w:multiLevelType w:val="singleLevel"/>
    <w:tmpl w:val="6D26229A"/>
    <w:lvl w:ilvl="0" w:tentative="0">
      <w:start w:val="2"/>
      <w:numFmt w:val="chineseCounting"/>
      <w:suff w:val="nothing"/>
      <w:lvlText w:val="（%1）"/>
      <w:lvlJc w:val="left"/>
      <w:rPr>
        <w:rFonts w:hint="eastAsia"/>
      </w:rPr>
    </w:lvl>
  </w:abstractNum>
  <w:abstractNum w:abstractNumId="5">
    <w:nsid w:val="7FD6C18D"/>
    <w:multiLevelType w:val="singleLevel"/>
    <w:tmpl w:val="7FD6C18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YjZkM2VhNTk2MjZmZTc1NTJjNzc1ZDIxMTA1YTUifQ=="/>
  </w:docVars>
  <w:rsids>
    <w:rsidRoot w:val="001043D7"/>
    <w:rsid w:val="0000070B"/>
    <w:rsid w:val="00000F30"/>
    <w:rsid w:val="00001ED5"/>
    <w:rsid w:val="00003E89"/>
    <w:rsid w:val="00006FA6"/>
    <w:rsid w:val="00007788"/>
    <w:rsid w:val="00013F63"/>
    <w:rsid w:val="0001589E"/>
    <w:rsid w:val="00015E0E"/>
    <w:rsid w:val="000165C3"/>
    <w:rsid w:val="00016796"/>
    <w:rsid w:val="00016A99"/>
    <w:rsid w:val="00020E87"/>
    <w:rsid w:val="000213B0"/>
    <w:rsid w:val="00021AED"/>
    <w:rsid w:val="00021D81"/>
    <w:rsid w:val="00022BF4"/>
    <w:rsid w:val="000247A8"/>
    <w:rsid w:val="000247E0"/>
    <w:rsid w:val="000249B8"/>
    <w:rsid w:val="00025ADF"/>
    <w:rsid w:val="00026D16"/>
    <w:rsid w:val="000275AA"/>
    <w:rsid w:val="000275CF"/>
    <w:rsid w:val="00027694"/>
    <w:rsid w:val="00027D87"/>
    <w:rsid w:val="00030886"/>
    <w:rsid w:val="00031B62"/>
    <w:rsid w:val="0003300E"/>
    <w:rsid w:val="000336C3"/>
    <w:rsid w:val="00034541"/>
    <w:rsid w:val="00034806"/>
    <w:rsid w:val="00035BB2"/>
    <w:rsid w:val="00036DD3"/>
    <w:rsid w:val="000411CD"/>
    <w:rsid w:val="000412F4"/>
    <w:rsid w:val="00044A1A"/>
    <w:rsid w:val="00045D4C"/>
    <w:rsid w:val="00046EC0"/>
    <w:rsid w:val="00050CE8"/>
    <w:rsid w:val="00051C83"/>
    <w:rsid w:val="00052687"/>
    <w:rsid w:val="00053949"/>
    <w:rsid w:val="00053A90"/>
    <w:rsid w:val="00055258"/>
    <w:rsid w:val="00055AF1"/>
    <w:rsid w:val="000569A0"/>
    <w:rsid w:val="00056CB1"/>
    <w:rsid w:val="00057A6A"/>
    <w:rsid w:val="0006037B"/>
    <w:rsid w:val="00065632"/>
    <w:rsid w:val="00065DAD"/>
    <w:rsid w:val="00066DAE"/>
    <w:rsid w:val="0006771F"/>
    <w:rsid w:val="000707B2"/>
    <w:rsid w:val="000714B3"/>
    <w:rsid w:val="000720FB"/>
    <w:rsid w:val="00072414"/>
    <w:rsid w:val="00072BDB"/>
    <w:rsid w:val="000768F5"/>
    <w:rsid w:val="00081D10"/>
    <w:rsid w:val="00083463"/>
    <w:rsid w:val="000837F8"/>
    <w:rsid w:val="00084D2C"/>
    <w:rsid w:val="0008635F"/>
    <w:rsid w:val="00087D84"/>
    <w:rsid w:val="00090369"/>
    <w:rsid w:val="0009398C"/>
    <w:rsid w:val="00093F6E"/>
    <w:rsid w:val="00094F70"/>
    <w:rsid w:val="000A03DA"/>
    <w:rsid w:val="000A1553"/>
    <w:rsid w:val="000A2F77"/>
    <w:rsid w:val="000A367D"/>
    <w:rsid w:val="000A3F0F"/>
    <w:rsid w:val="000A401D"/>
    <w:rsid w:val="000A4352"/>
    <w:rsid w:val="000A5DCD"/>
    <w:rsid w:val="000A6D35"/>
    <w:rsid w:val="000B24A5"/>
    <w:rsid w:val="000B2DAB"/>
    <w:rsid w:val="000B3076"/>
    <w:rsid w:val="000B3E5A"/>
    <w:rsid w:val="000B4B79"/>
    <w:rsid w:val="000B4EC2"/>
    <w:rsid w:val="000B63F1"/>
    <w:rsid w:val="000B6E05"/>
    <w:rsid w:val="000C030E"/>
    <w:rsid w:val="000C1AB3"/>
    <w:rsid w:val="000C21A7"/>
    <w:rsid w:val="000C2D19"/>
    <w:rsid w:val="000C4C7A"/>
    <w:rsid w:val="000C5BE8"/>
    <w:rsid w:val="000C5EF5"/>
    <w:rsid w:val="000D1C0B"/>
    <w:rsid w:val="000D3196"/>
    <w:rsid w:val="000D32C1"/>
    <w:rsid w:val="000D3801"/>
    <w:rsid w:val="000D3A44"/>
    <w:rsid w:val="000D5225"/>
    <w:rsid w:val="000D641D"/>
    <w:rsid w:val="000D65E0"/>
    <w:rsid w:val="000D6A0F"/>
    <w:rsid w:val="000D7FC4"/>
    <w:rsid w:val="000E0324"/>
    <w:rsid w:val="000E0C1A"/>
    <w:rsid w:val="000E1E79"/>
    <w:rsid w:val="000E1F0E"/>
    <w:rsid w:val="000E27CA"/>
    <w:rsid w:val="000E460B"/>
    <w:rsid w:val="000E5BD6"/>
    <w:rsid w:val="000E751B"/>
    <w:rsid w:val="000E7F1B"/>
    <w:rsid w:val="000F281B"/>
    <w:rsid w:val="000F3A36"/>
    <w:rsid w:val="000F45F0"/>
    <w:rsid w:val="000F4981"/>
    <w:rsid w:val="000F56BA"/>
    <w:rsid w:val="000F60FF"/>
    <w:rsid w:val="000F6235"/>
    <w:rsid w:val="000F6AFC"/>
    <w:rsid w:val="00101D87"/>
    <w:rsid w:val="00104176"/>
    <w:rsid w:val="001043D7"/>
    <w:rsid w:val="00104F55"/>
    <w:rsid w:val="00105E6C"/>
    <w:rsid w:val="00107A83"/>
    <w:rsid w:val="00110F3C"/>
    <w:rsid w:val="0011235C"/>
    <w:rsid w:val="00113222"/>
    <w:rsid w:val="00114172"/>
    <w:rsid w:val="00114545"/>
    <w:rsid w:val="00114D5A"/>
    <w:rsid w:val="001201E3"/>
    <w:rsid w:val="00120C40"/>
    <w:rsid w:val="001210E6"/>
    <w:rsid w:val="001214DF"/>
    <w:rsid w:val="00122E75"/>
    <w:rsid w:val="00123B06"/>
    <w:rsid w:val="00124443"/>
    <w:rsid w:val="00125170"/>
    <w:rsid w:val="001258BD"/>
    <w:rsid w:val="001258F7"/>
    <w:rsid w:val="00127799"/>
    <w:rsid w:val="00127C70"/>
    <w:rsid w:val="001302F6"/>
    <w:rsid w:val="001304CC"/>
    <w:rsid w:val="00130B32"/>
    <w:rsid w:val="00131DF7"/>
    <w:rsid w:val="00133798"/>
    <w:rsid w:val="00135DFB"/>
    <w:rsid w:val="00140409"/>
    <w:rsid w:val="00140CEB"/>
    <w:rsid w:val="00140D4E"/>
    <w:rsid w:val="00141412"/>
    <w:rsid w:val="001421E9"/>
    <w:rsid w:val="00145FD9"/>
    <w:rsid w:val="00147EA6"/>
    <w:rsid w:val="00150909"/>
    <w:rsid w:val="00150EAC"/>
    <w:rsid w:val="001520F8"/>
    <w:rsid w:val="001556EC"/>
    <w:rsid w:val="00156D53"/>
    <w:rsid w:val="00156E0A"/>
    <w:rsid w:val="0016030B"/>
    <w:rsid w:val="00160A3D"/>
    <w:rsid w:val="00161C73"/>
    <w:rsid w:val="00161FC1"/>
    <w:rsid w:val="00162BD0"/>
    <w:rsid w:val="00163FA8"/>
    <w:rsid w:val="00164B71"/>
    <w:rsid w:val="001650F2"/>
    <w:rsid w:val="001658CF"/>
    <w:rsid w:val="00165BD4"/>
    <w:rsid w:val="00165C29"/>
    <w:rsid w:val="0016655E"/>
    <w:rsid w:val="0016708C"/>
    <w:rsid w:val="0016770C"/>
    <w:rsid w:val="00170EAD"/>
    <w:rsid w:val="00171A66"/>
    <w:rsid w:val="00171A7A"/>
    <w:rsid w:val="00173B50"/>
    <w:rsid w:val="001747B4"/>
    <w:rsid w:val="00174A61"/>
    <w:rsid w:val="00174EF6"/>
    <w:rsid w:val="00175D84"/>
    <w:rsid w:val="001763D6"/>
    <w:rsid w:val="0017643D"/>
    <w:rsid w:val="00176DC9"/>
    <w:rsid w:val="00181D09"/>
    <w:rsid w:val="00184562"/>
    <w:rsid w:val="00184C0C"/>
    <w:rsid w:val="00185223"/>
    <w:rsid w:val="001856B8"/>
    <w:rsid w:val="00185F00"/>
    <w:rsid w:val="00186E42"/>
    <w:rsid w:val="00187440"/>
    <w:rsid w:val="00195168"/>
    <w:rsid w:val="001A174C"/>
    <w:rsid w:val="001A32EF"/>
    <w:rsid w:val="001A38E7"/>
    <w:rsid w:val="001A40A2"/>
    <w:rsid w:val="001A4732"/>
    <w:rsid w:val="001A4EAF"/>
    <w:rsid w:val="001A5F58"/>
    <w:rsid w:val="001A610A"/>
    <w:rsid w:val="001A6719"/>
    <w:rsid w:val="001A7921"/>
    <w:rsid w:val="001A7DEC"/>
    <w:rsid w:val="001B02AF"/>
    <w:rsid w:val="001B176B"/>
    <w:rsid w:val="001B230F"/>
    <w:rsid w:val="001B245E"/>
    <w:rsid w:val="001B2A1E"/>
    <w:rsid w:val="001B41FF"/>
    <w:rsid w:val="001B428A"/>
    <w:rsid w:val="001B4996"/>
    <w:rsid w:val="001B69CC"/>
    <w:rsid w:val="001C0140"/>
    <w:rsid w:val="001C0D42"/>
    <w:rsid w:val="001C7718"/>
    <w:rsid w:val="001D0111"/>
    <w:rsid w:val="001D1A06"/>
    <w:rsid w:val="001D363F"/>
    <w:rsid w:val="001D390E"/>
    <w:rsid w:val="001D39EF"/>
    <w:rsid w:val="001D4048"/>
    <w:rsid w:val="001D57EB"/>
    <w:rsid w:val="001D6531"/>
    <w:rsid w:val="001D67C4"/>
    <w:rsid w:val="001E0754"/>
    <w:rsid w:val="001E0907"/>
    <w:rsid w:val="001E150B"/>
    <w:rsid w:val="001E21CB"/>
    <w:rsid w:val="001E3A6C"/>
    <w:rsid w:val="001E3ACE"/>
    <w:rsid w:val="001E50C9"/>
    <w:rsid w:val="001E59DE"/>
    <w:rsid w:val="001E6392"/>
    <w:rsid w:val="001E6617"/>
    <w:rsid w:val="001E7184"/>
    <w:rsid w:val="001E74DF"/>
    <w:rsid w:val="001E765D"/>
    <w:rsid w:val="001E7680"/>
    <w:rsid w:val="001E7CF8"/>
    <w:rsid w:val="001F0371"/>
    <w:rsid w:val="001F2020"/>
    <w:rsid w:val="001F29EF"/>
    <w:rsid w:val="001F2EF8"/>
    <w:rsid w:val="001F3AC0"/>
    <w:rsid w:val="001F5D9E"/>
    <w:rsid w:val="001F6258"/>
    <w:rsid w:val="001F63BD"/>
    <w:rsid w:val="001F6488"/>
    <w:rsid w:val="001F6639"/>
    <w:rsid w:val="00201CE9"/>
    <w:rsid w:val="00204AB0"/>
    <w:rsid w:val="002053CA"/>
    <w:rsid w:val="002075EF"/>
    <w:rsid w:val="002111E4"/>
    <w:rsid w:val="00211B22"/>
    <w:rsid w:val="00213F53"/>
    <w:rsid w:val="0021435F"/>
    <w:rsid w:val="00214CAC"/>
    <w:rsid w:val="00214D78"/>
    <w:rsid w:val="002160E8"/>
    <w:rsid w:val="00216463"/>
    <w:rsid w:val="00217B94"/>
    <w:rsid w:val="00217C29"/>
    <w:rsid w:val="00217D6F"/>
    <w:rsid w:val="00221211"/>
    <w:rsid w:val="00221298"/>
    <w:rsid w:val="0022243F"/>
    <w:rsid w:val="002224DA"/>
    <w:rsid w:val="002229BB"/>
    <w:rsid w:val="00222A2D"/>
    <w:rsid w:val="00223B21"/>
    <w:rsid w:val="00224E25"/>
    <w:rsid w:val="00225712"/>
    <w:rsid w:val="002262D0"/>
    <w:rsid w:val="0022656D"/>
    <w:rsid w:val="00232084"/>
    <w:rsid w:val="00235075"/>
    <w:rsid w:val="00235D57"/>
    <w:rsid w:val="00236987"/>
    <w:rsid w:val="002402E5"/>
    <w:rsid w:val="00240C76"/>
    <w:rsid w:val="00242992"/>
    <w:rsid w:val="00242DFD"/>
    <w:rsid w:val="002437D3"/>
    <w:rsid w:val="00243D55"/>
    <w:rsid w:val="00244DB5"/>
    <w:rsid w:val="00244E37"/>
    <w:rsid w:val="00245095"/>
    <w:rsid w:val="002451B8"/>
    <w:rsid w:val="00246BFF"/>
    <w:rsid w:val="0024721F"/>
    <w:rsid w:val="002475B6"/>
    <w:rsid w:val="00247B10"/>
    <w:rsid w:val="00250A8D"/>
    <w:rsid w:val="0025118C"/>
    <w:rsid w:val="00251A38"/>
    <w:rsid w:val="0025259F"/>
    <w:rsid w:val="00252B0A"/>
    <w:rsid w:val="0025334F"/>
    <w:rsid w:val="002538C1"/>
    <w:rsid w:val="00253E8B"/>
    <w:rsid w:val="00255218"/>
    <w:rsid w:val="00255ADF"/>
    <w:rsid w:val="00257CED"/>
    <w:rsid w:val="00260B85"/>
    <w:rsid w:val="002612C4"/>
    <w:rsid w:val="00261ECC"/>
    <w:rsid w:val="002640E8"/>
    <w:rsid w:val="00265C4A"/>
    <w:rsid w:val="00266A49"/>
    <w:rsid w:val="002677CE"/>
    <w:rsid w:val="002717BC"/>
    <w:rsid w:val="0027225F"/>
    <w:rsid w:val="00272D49"/>
    <w:rsid w:val="002732B1"/>
    <w:rsid w:val="002732ED"/>
    <w:rsid w:val="00273AA9"/>
    <w:rsid w:val="00274524"/>
    <w:rsid w:val="002746AB"/>
    <w:rsid w:val="002801C0"/>
    <w:rsid w:val="00281A33"/>
    <w:rsid w:val="0028207A"/>
    <w:rsid w:val="00283327"/>
    <w:rsid w:val="002846E0"/>
    <w:rsid w:val="00286724"/>
    <w:rsid w:val="0029011F"/>
    <w:rsid w:val="0029045E"/>
    <w:rsid w:val="00291551"/>
    <w:rsid w:val="00291F50"/>
    <w:rsid w:val="00291FBB"/>
    <w:rsid w:val="0029267B"/>
    <w:rsid w:val="00294829"/>
    <w:rsid w:val="00294C56"/>
    <w:rsid w:val="00296D85"/>
    <w:rsid w:val="00296ECC"/>
    <w:rsid w:val="0029724D"/>
    <w:rsid w:val="002974F1"/>
    <w:rsid w:val="002975B6"/>
    <w:rsid w:val="002A00E6"/>
    <w:rsid w:val="002A0149"/>
    <w:rsid w:val="002A1B5C"/>
    <w:rsid w:val="002A21D2"/>
    <w:rsid w:val="002A3227"/>
    <w:rsid w:val="002A359D"/>
    <w:rsid w:val="002A4464"/>
    <w:rsid w:val="002A450F"/>
    <w:rsid w:val="002A4981"/>
    <w:rsid w:val="002A4C22"/>
    <w:rsid w:val="002A4D0A"/>
    <w:rsid w:val="002A5B9A"/>
    <w:rsid w:val="002A7FF0"/>
    <w:rsid w:val="002B0558"/>
    <w:rsid w:val="002B0999"/>
    <w:rsid w:val="002B14CF"/>
    <w:rsid w:val="002B2CAA"/>
    <w:rsid w:val="002B3FE8"/>
    <w:rsid w:val="002B43D4"/>
    <w:rsid w:val="002B4ECB"/>
    <w:rsid w:val="002B515F"/>
    <w:rsid w:val="002B5A19"/>
    <w:rsid w:val="002B62E6"/>
    <w:rsid w:val="002B6504"/>
    <w:rsid w:val="002B7F74"/>
    <w:rsid w:val="002C0549"/>
    <w:rsid w:val="002C11EB"/>
    <w:rsid w:val="002C17B3"/>
    <w:rsid w:val="002C1EA7"/>
    <w:rsid w:val="002C2FBF"/>
    <w:rsid w:val="002C37A1"/>
    <w:rsid w:val="002C3DB9"/>
    <w:rsid w:val="002C4C32"/>
    <w:rsid w:val="002C527E"/>
    <w:rsid w:val="002C5CBF"/>
    <w:rsid w:val="002D0F1A"/>
    <w:rsid w:val="002D1536"/>
    <w:rsid w:val="002D3CDA"/>
    <w:rsid w:val="002D6669"/>
    <w:rsid w:val="002D724A"/>
    <w:rsid w:val="002E0D40"/>
    <w:rsid w:val="002E10AC"/>
    <w:rsid w:val="002E22A1"/>
    <w:rsid w:val="002E566F"/>
    <w:rsid w:val="002E575E"/>
    <w:rsid w:val="002E5EBE"/>
    <w:rsid w:val="002E73DF"/>
    <w:rsid w:val="002E74A7"/>
    <w:rsid w:val="002E7F8B"/>
    <w:rsid w:val="002F0D95"/>
    <w:rsid w:val="002F2587"/>
    <w:rsid w:val="002F340C"/>
    <w:rsid w:val="002F3F9E"/>
    <w:rsid w:val="002F4531"/>
    <w:rsid w:val="002F53A4"/>
    <w:rsid w:val="002F5677"/>
    <w:rsid w:val="002F62E7"/>
    <w:rsid w:val="002F6403"/>
    <w:rsid w:val="002F6763"/>
    <w:rsid w:val="002F6BB0"/>
    <w:rsid w:val="002F6FF8"/>
    <w:rsid w:val="002F7F2C"/>
    <w:rsid w:val="00300BA9"/>
    <w:rsid w:val="00300D44"/>
    <w:rsid w:val="00301965"/>
    <w:rsid w:val="00303954"/>
    <w:rsid w:val="0030403C"/>
    <w:rsid w:val="003047DB"/>
    <w:rsid w:val="0030530B"/>
    <w:rsid w:val="00305B21"/>
    <w:rsid w:val="003077F9"/>
    <w:rsid w:val="00312A38"/>
    <w:rsid w:val="00312E89"/>
    <w:rsid w:val="003137D4"/>
    <w:rsid w:val="0031425F"/>
    <w:rsid w:val="003143C4"/>
    <w:rsid w:val="00314F03"/>
    <w:rsid w:val="003151FE"/>
    <w:rsid w:val="00315412"/>
    <w:rsid w:val="003206C3"/>
    <w:rsid w:val="0032075C"/>
    <w:rsid w:val="00320912"/>
    <w:rsid w:val="00320E8E"/>
    <w:rsid w:val="003213BA"/>
    <w:rsid w:val="003232C4"/>
    <w:rsid w:val="00323B61"/>
    <w:rsid w:val="0032499E"/>
    <w:rsid w:val="00325FD2"/>
    <w:rsid w:val="0032637F"/>
    <w:rsid w:val="003268EB"/>
    <w:rsid w:val="00327A10"/>
    <w:rsid w:val="00330099"/>
    <w:rsid w:val="00331043"/>
    <w:rsid w:val="0033190B"/>
    <w:rsid w:val="003339B6"/>
    <w:rsid w:val="00334358"/>
    <w:rsid w:val="00335098"/>
    <w:rsid w:val="00335099"/>
    <w:rsid w:val="00335D6D"/>
    <w:rsid w:val="0033657E"/>
    <w:rsid w:val="00340F28"/>
    <w:rsid w:val="00342E4E"/>
    <w:rsid w:val="00343EB7"/>
    <w:rsid w:val="00345C9D"/>
    <w:rsid w:val="00345E14"/>
    <w:rsid w:val="00346E1C"/>
    <w:rsid w:val="00350B5D"/>
    <w:rsid w:val="00352A8B"/>
    <w:rsid w:val="00355E6E"/>
    <w:rsid w:val="003567A3"/>
    <w:rsid w:val="003569D6"/>
    <w:rsid w:val="00357C2F"/>
    <w:rsid w:val="0036029B"/>
    <w:rsid w:val="00361D21"/>
    <w:rsid w:val="00363A5C"/>
    <w:rsid w:val="00363D96"/>
    <w:rsid w:val="00365EC1"/>
    <w:rsid w:val="0037038D"/>
    <w:rsid w:val="0037145E"/>
    <w:rsid w:val="0037266D"/>
    <w:rsid w:val="00373384"/>
    <w:rsid w:val="00373509"/>
    <w:rsid w:val="00373C88"/>
    <w:rsid w:val="00374C6E"/>
    <w:rsid w:val="00374EB1"/>
    <w:rsid w:val="00375506"/>
    <w:rsid w:val="00375EE9"/>
    <w:rsid w:val="003761B7"/>
    <w:rsid w:val="00382367"/>
    <w:rsid w:val="00382984"/>
    <w:rsid w:val="00383DE7"/>
    <w:rsid w:val="003842FC"/>
    <w:rsid w:val="00384D22"/>
    <w:rsid w:val="00386649"/>
    <w:rsid w:val="0038727E"/>
    <w:rsid w:val="00387A9B"/>
    <w:rsid w:val="0039011F"/>
    <w:rsid w:val="00393117"/>
    <w:rsid w:val="00395016"/>
    <w:rsid w:val="00395509"/>
    <w:rsid w:val="00395E5D"/>
    <w:rsid w:val="00396540"/>
    <w:rsid w:val="003A26F9"/>
    <w:rsid w:val="003A3015"/>
    <w:rsid w:val="003A4251"/>
    <w:rsid w:val="003A555C"/>
    <w:rsid w:val="003A56DF"/>
    <w:rsid w:val="003A60DB"/>
    <w:rsid w:val="003A6B59"/>
    <w:rsid w:val="003A725E"/>
    <w:rsid w:val="003B17BF"/>
    <w:rsid w:val="003B1CED"/>
    <w:rsid w:val="003B2969"/>
    <w:rsid w:val="003B44ED"/>
    <w:rsid w:val="003B46EA"/>
    <w:rsid w:val="003B48D1"/>
    <w:rsid w:val="003B4BBB"/>
    <w:rsid w:val="003B6500"/>
    <w:rsid w:val="003B74B3"/>
    <w:rsid w:val="003B7C9F"/>
    <w:rsid w:val="003C1AA6"/>
    <w:rsid w:val="003C4498"/>
    <w:rsid w:val="003C5A60"/>
    <w:rsid w:val="003C6519"/>
    <w:rsid w:val="003C709C"/>
    <w:rsid w:val="003C76A8"/>
    <w:rsid w:val="003D0609"/>
    <w:rsid w:val="003D0821"/>
    <w:rsid w:val="003D08BE"/>
    <w:rsid w:val="003D0B15"/>
    <w:rsid w:val="003D2061"/>
    <w:rsid w:val="003D3016"/>
    <w:rsid w:val="003D37F8"/>
    <w:rsid w:val="003D3C34"/>
    <w:rsid w:val="003D4DCC"/>
    <w:rsid w:val="003D5222"/>
    <w:rsid w:val="003D563A"/>
    <w:rsid w:val="003D6367"/>
    <w:rsid w:val="003D6B51"/>
    <w:rsid w:val="003D74DF"/>
    <w:rsid w:val="003E0338"/>
    <w:rsid w:val="003E1503"/>
    <w:rsid w:val="003E2276"/>
    <w:rsid w:val="003E2B4F"/>
    <w:rsid w:val="003E30DB"/>
    <w:rsid w:val="003E3747"/>
    <w:rsid w:val="003E44B2"/>
    <w:rsid w:val="003E484C"/>
    <w:rsid w:val="003E608E"/>
    <w:rsid w:val="003E6ACD"/>
    <w:rsid w:val="003E7C5A"/>
    <w:rsid w:val="003F09FA"/>
    <w:rsid w:val="003F0DBA"/>
    <w:rsid w:val="003F2484"/>
    <w:rsid w:val="003F3DE7"/>
    <w:rsid w:val="003F4E8C"/>
    <w:rsid w:val="003F5685"/>
    <w:rsid w:val="003F6E3D"/>
    <w:rsid w:val="003F76E8"/>
    <w:rsid w:val="004002AD"/>
    <w:rsid w:val="00400B68"/>
    <w:rsid w:val="00401519"/>
    <w:rsid w:val="00401569"/>
    <w:rsid w:val="00401ABD"/>
    <w:rsid w:val="00401C57"/>
    <w:rsid w:val="004023AC"/>
    <w:rsid w:val="00402BD4"/>
    <w:rsid w:val="0040389B"/>
    <w:rsid w:val="00403DD8"/>
    <w:rsid w:val="004058E3"/>
    <w:rsid w:val="004059E5"/>
    <w:rsid w:val="004068AB"/>
    <w:rsid w:val="00407698"/>
    <w:rsid w:val="00411EA8"/>
    <w:rsid w:val="0041228E"/>
    <w:rsid w:val="00412797"/>
    <w:rsid w:val="004131E6"/>
    <w:rsid w:val="0041341F"/>
    <w:rsid w:val="00414636"/>
    <w:rsid w:val="00414F9B"/>
    <w:rsid w:val="00415518"/>
    <w:rsid w:val="004159D2"/>
    <w:rsid w:val="004167BE"/>
    <w:rsid w:val="00420079"/>
    <w:rsid w:val="00420CD9"/>
    <w:rsid w:val="004231C0"/>
    <w:rsid w:val="00424E99"/>
    <w:rsid w:val="004250E6"/>
    <w:rsid w:val="00425A3E"/>
    <w:rsid w:val="00425B85"/>
    <w:rsid w:val="0042618D"/>
    <w:rsid w:val="00427F3F"/>
    <w:rsid w:val="004307C2"/>
    <w:rsid w:val="004321AB"/>
    <w:rsid w:val="0043283E"/>
    <w:rsid w:val="00432CB5"/>
    <w:rsid w:val="00432DA8"/>
    <w:rsid w:val="00434438"/>
    <w:rsid w:val="00436C92"/>
    <w:rsid w:val="004375E6"/>
    <w:rsid w:val="00437CF2"/>
    <w:rsid w:val="004401DC"/>
    <w:rsid w:val="00440E6A"/>
    <w:rsid w:val="0044106A"/>
    <w:rsid w:val="004419B0"/>
    <w:rsid w:val="00442EAD"/>
    <w:rsid w:val="00444ECE"/>
    <w:rsid w:val="00445A9F"/>
    <w:rsid w:val="00447118"/>
    <w:rsid w:val="00450AAD"/>
    <w:rsid w:val="00450B95"/>
    <w:rsid w:val="00453375"/>
    <w:rsid w:val="00454206"/>
    <w:rsid w:val="00454C0D"/>
    <w:rsid w:val="004556B8"/>
    <w:rsid w:val="00455A33"/>
    <w:rsid w:val="00456291"/>
    <w:rsid w:val="00456513"/>
    <w:rsid w:val="00457000"/>
    <w:rsid w:val="00460AFC"/>
    <w:rsid w:val="00461904"/>
    <w:rsid w:val="00461B62"/>
    <w:rsid w:val="00462704"/>
    <w:rsid w:val="00464620"/>
    <w:rsid w:val="00465C97"/>
    <w:rsid w:val="004667C8"/>
    <w:rsid w:val="0046691C"/>
    <w:rsid w:val="00467301"/>
    <w:rsid w:val="004708AA"/>
    <w:rsid w:val="004709E6"/>
    <w:rsid w:val="004717AA"/>
    <w:rsid w:val="004725D1"/>
    <w:rsid w:val="00472681"/>
    <w:rsid w:val="00472BD6"/>
    <w:rsid w:val="004740E9"/>
    <w:rsid w:val="00475446"/>
    <w:rsid w:val="004755C9"/>
    <w:rsid w:val="0047567F"/>
    <w:rsid w:val="00475B5A"/>
    <w:rsid w:val="00482778"/>
    <w:rsid w:val="00482ADE"/>
    <w:rsid w:val="00482EEE"/>
    <w:rsid w:val="00483F25"/>
    <w:rsid w:val="0048453B"/>
    <w:rsid w:val="00485004"/>
    <w:rsid w:val="00486789"/>
    <w:rsid w:val="0048743B"/>
    <w:rsid w:val="00487ACD"/>
    <w:rsid w:val="0049026F"/>
    <w:rsid w:val="0049068D"/>
    <w:rsid w:val="0049170D"/>
    <w:rsid w:val="00493219"/>
    <w:rsid w:val="004939E8"/>
    <w:rsid w:val="00493DD9"/>
    <w:rsid w:val="00494301"/>
    <w:rsid w:val="0049493D"/>
    <w:rsid w:val="00494F65"/>
    <w:rsid w:val="004969EB"/>
    <w:rsid w:val="00497E4C"/>
    <w:rsid w:val="004A0963"/>
    <w:rsid w:val="004A0B0C"/>
    <w:rsid w:val="004A15F9"/>
    <w:rsid w:val="004A1CCC"/>
    <w:rsid w:val="004A1DA0"/>
    <w:rsid w:val="004A20E0"/>
    <w:rsid w:val="004A270D"/>
    <w:rsid w:val="004A2E11"/>
    <w:rsid w:val="004A2F56"/>
    <w:rsid w:val="004A352A"/>
    <w:rsid w:val="004A366E"/>
    <w:rsid w:val="004A3709"/>
    <w:rsid w:val="004A3771"/>
    <w:rsid w:val="004A38F8"/>
    <w:rsid w:val="004A5256"/>
    <w:rsid w:val="004A5AB4"/>
    <w:rsid w:val="004A5CAF"/>
    <w:rsid w:val="004A6285"/>
    <w:rsid w:val="004B0406"/>
    <w:rsid w:val="004B1238"/>
    <w:rsid w:val="004B1632"/>
    <w:rsid w:val="004B26A4"/>
    <w:rsid w:val="004B3180"/>
    <w:rsid w:val="004B3572"/>
    <w:rsid w:val="004B4838"/>
    <w:rsid w:val="004B5200"/>
    <w:rsid w:val="004B56AE"/>
    <w:rsid w:val="004B794F"/>
    <w:rsid w:val="004C0064"/>
    <w:rsid w:val="004C00C8"/>
    <w:rsid w:val="004C16A4"/>
    <w:rsid w:val="004C18E1"/>
    <w:rsid w:val="004C2285"/>
    <w:rsid w:val="004C3E34"/>
    <w:rsid w:val="004C7BC9"/>
    <w:rsid w:val="004D0E34"/>
    <w:rsid w:val="004D1A63"/>
    <w:rsid w:val="004D4615"/>
    <w:rsid w:val="004D4912"/>
    <w:rsid w:val="004D4F24"/>
    <w:rsid w:val="004D573E"/>
    <w:rsid w:val="004D637A"/>
    <w:rsid w:val="004E25BD"/>
    <w:rsid w:val="004E2C72"/>
    <w:rsid w:val="004E3149"/>
    <w:rsid w:val="004E5A68"/>
    <w:rsid w:val="004E5B41"/>
    <w:rsid w:val="004E74A8"/>
    <w:rsid w:val="004E79F2"/>
    <w:rsid w:val="004E7B50"/>
    <w:rsid w:val="004E7CD5"/>
    <w:rsid w:val="004F05FD"/>
    <w:rsid w:val="004F12C3"/>
    <w:rsid w:val="004F293D"/>
    <w:rsid w:val="004F3240"/>
    <w:rsid w:val="004F4F74"/>
    <w:rsid w:val="004F5C92"/>
    <w:rsid w:val="004F6DB9"/>
    <w:rsid w:val="00500E20"/>
    <w:rsid w:val="00502FAE"/>
    <w:rsid w:val="005044CE"/>
    <w:rsid w:val="00504E4C"/>
    <w:rsid w:val="0050549B"/>
    <w:rsid w:val="005060C8"/>
    <w:rsid w:val="005070C4"/>
    <w:rsid w:val="00507549"/>
    <w:rsid w:val="00507C0E"/>
    <w:rsid w:val="00510670"/>
    <w:rsid w:val="00510DD4"/>
    <w:rsid w:val="005112C5"/>
    <w:rsid w:val="005121E9"/>
    <w:rsid w:val="0051224D"/>
    <w:rsid w:val="00513097"/>
    <w:rsid w:val="005133E3"/>
    <w:rsid w:val="00513411"/>
    <w:rsid w:val="00513E08"/>
    <w:rsid w:val="005142B9"/>
    <w:rsid w:val="0051586C"/>
    <w:rsid w:val="005164A6"/>
    <w:rsid w:val="00522254"/>
    <w:rsid w:val="00522A61"/>
    <w:rsid w:val="00523F74"/>
    <w:rsid w:val="005261F7"/>
    <w:rsid w:val="0052654E"/>
    <w:rsid w:val="00526699"/>
    <w:rsid w:val="00526A47"/>
    <w:rsid w:val="0052789F"/>
    <w:rsid w:val="00530DA6"/>
    <w:rsid w:val="00532724"/>
    <w:rsid w:val="005332F1"/>
    <w:rsid w:val="00534196"/>
    <w:rsid w:val="00535E22"/>
    <w:rsid w:val="00536C29"/>
    <w:rsid w:val="00543876"/>
    <w:rsid w:val="00543EB0"/>
    <w:rsid w:val="005446C0"/>
    <w:rsid w:val="005458EE"/>
    <w:rsid w:val="00545929"/>
    <w:rsid w:val="0054610A"/>
    <w:rsid w:val="0054773C"/>
    <w:rsid w:val="005479C5"/>
    <w:rsid w:val="005500E5"/>
    <w:rsid w:val="005505A5"/>
    <w:rsid w:val="0055073F"/>
    <w:rsid w:val="00550B40"/>
    <w:rsid w:val="00550F95"/>
    <w:rsid w:val="0055141A"/>
    <w:rsid w:val="00551D47"/>
    <w:rsid w:val="005562EF"/>
    <w:rsid w:val="00556AB8"/>
    <w:rsid w:val="005602AE"/>
    <w:rsid w:val="00560E92"/>
    <w:rsid w:val="00562279"/>
    <w:rsid w:val="005622B7"/>
    <w:rsid w:val="0056360F"/>
    <w:rsid w:val="005655EA"/>
    <w:rsid w:val="00566CA6"/>
    <w:rsid w:val="005677CD"/>
    <w:rsid w:val="00570019"/>
    <w:rsid w:val="00570C19"/>
    <w:rsid w:val="00570DA1"/>
    <w:rsid w:val="00571060"/>
    <w:rsid w:val="00573F36"/>
    <w:rsid w:val="00574241"/>
    <w:rsid w:val="0057447E"/>
    <w:rsid w:val="00574C73"/>
    <w:rsid w:val="00574F77"/>
    <w:rsid w:val="005761B0"/>
    <w:rsid w:val="00576C17"/>
    <w:rsid w:val="00576C26"/>
    <w:rsid w:val="00577AD8"/>
    <w:rsid w:val="00580DB1"/>
    <w:rsid w:val="00583300"/>
    <w:rsid w:val="00583F65"/>
    <w:rsid w:val="00586951"/>
    <w:rsid w:val="00586A9E"/>
    <w:rsid w:val="0058783F"/>
    <w:rsid w:val="00593C4C"/>
    <w:rsid w:val="005949A2"/>
    <w:rsid w:val="00595448"/>
    <w:rsid w:val="00596D89"/>
    <w:rsid w:val="00597DDA"/>
    <w:rsid w:val="005A0820"/>
    <w:rsid w:val="005A0CD0"/>
    <w:rsid w:val="005A0E77"/>
    <w:rsid w:val="005A0F0E"/>
    <w:rsid w:val="005A2941"/>
    <w:rsid w:val="005A36EF"/>
    <w:rsid w:val="005A52E7"/>
    <w:rsid w:val="005A5DBF"/>
    <w:rsid w:val="005A65FF"/>
    <w:rsid w:val="005B0105"/>
    <w:rsid w:val="005B03D0"/>
    <w:rsid w:val="005B0AF7"/>
    <w:rsid w:val="005B1DB6"/>
    <w:rsid w:val="005B3843"/>
    <w:rsid w:val="005B3CFB"/>
    <w:rsid w:val="005B4452"/>
    <w:rsid w:val="005B4823"/>
    <w:rsid w:val="005B5B12"/>
    <w:rsid w:val="005B60C9"/>
    <w:rsid w:val="005B6577"/>
    <w:rsid w:val="005B7E25"/>
    <w:rsid w:val="005C20EB"/>
    <w:rsid w:val="005C2233"/>
    <w:rsid w:val="005C2267"/>
    <w:rsid w:val="005C22E7"/>
    <w:rsid w:val="005C2DDF"/>
    <w:rsid w:val="005C2E3A"/>
    <w:rsid w:val="005C550F"/>
    <w:rsid w:val="005C5733"/>
    <w:rsid w:val="005C6F7C"/>
    <w:rsid w:val="005C7944"/>
    <w:rsid w:val="005C7DDB"/>
    <w:rsid w:val="005D0293"/>
    <w:rsid w:val="005D068E"/>
    <w:rsid w:val="005D1C27"/>
    <w:rsid w:val="005D3600"/>
    <w:rsid w:val="005D3907"/>
    <w:rsid w:val="005D470F"/>
    <w:rsid w:val="005D5CF0"/>
    <w:rsid w:val="005D7E2B"/>
    <w:rsid w:val="005E18AB"/>
    <w:rsid w:val="005E2100"/>
    <w:rsid w:val="005E2A6A"/>
    <w:rsid w:val="005E2E75"/>
    <w:rsid w:val="005E42AC"/>
    <w:rsid w:val="005E4C4F"/>
    <w:rsid w:val="005E66E5"/>
    <w:rsid w:val="005F3381"/>
    <w:rsid w:val="005F33A6"/>
    <w:rsid w:val="005F4770"/>
    <w:rsid w:val="005F62FE"/>
    <w:rsid w:val="005F6378"/>
    <w:rsid w:val="005F7129"/>
    <w:rsid w:val="006003BA"/>
    <w:rsid w:val="00601FD2"/>
    <w:rsid w:val="006040C5"/>
    <w:rsid w:val="00606342"/>
    <w:rsid w:val="006074FB"/>
    <w:rsid w:val="00607E0A"/>
    <w:rsid w:val="0061249A"/>
    <w:rsid w:val="00612FF1"/>
    <w:rsid w:val="00614BC1"/>
    <w:rsid w:val="006154C3"/>
    <w:rsid w:val="006168BA"/>
    <w:rsid w:val="006219FA"/>
    <w:rsid w:val="00621A03"/>
    <w:rsid w:val="006221B0"/>
    <w:rsid w:val="00623D80"/>
    <w:rsid w:val="0062516A"/>
    <w:rsid w:val="00626DB7"/>
    <w:rsid w:val="00627BE8"/>
    <w:rsid w:val="00627C90"/>
    <w:rsid w:val="006303DF"/>
    <w:rsid w:val="0063102B"/>
    <w:rsid w:val="006342CB"/>
    <w:rsid w:val="006358FD"/>
    <w:rsid w:val="00636743"/>
    <w:rsid w:val="00640E75"/>
    <w:rsid w:val="0064119F"/>
    <w:rsid w:val="00642037"/>
    <w:rsid w:val="00642BEE"/>
    <w:rsid w:val="0064361C"/>
    <w:rsid w:val="006439C4"/>
    <w:rsid w:val="006440AC"/>
    <w:rsid w:val="00644C26"/>
    <w:rsid w:val="006453A2"/>
    <w:rsid w:val="00646006"/>
    <w:rsid w:val="00647B0D"/>
    <w:rsid w:val="006516F2"/>
    <w:rsid w:val="00653418"/>
    <w:rsid w:val="0065439D"/>
    <w:rsid w:val="00657AAC"/>
    <w:rsid w:val="00657DF4"/>
    <w:rsid w:val="0066124F"/>
    <w:rsid w:val="006633DA"/>
    <w:rsid w:val="00663D97"/>
    <w:rsid w:val="00663FBB"/>
    <w:rsid w:val="00666766"/>
    <w:rsid w:val="00671A22"/>
    <w:rsid w:val="00672471"/>
    <w:rsid w:val="006733D6"/>
    <w:rsid w:val="00674703"/>
    <w:rsid w:val="006748CC"/>
    <w:rsid w:val="006754A0"/>
    <w:rsid w:val="006755F6"/>
    <w:rsid w:val="0067720C"/>
    <w:rsid w:val="006817CC"/>
    <w:rsid w:val="00681A62"/>
    <w:rsid w:val="006827A3"/>
    <w:rsid w:val="00682CDD"/>
    <w:rsid w:val="0068369B"/>
    <w:rsid w:val="00683D1D"/>
    <w:rsid w:val="00683F0C"/>
    <w:rsid w:val="0068420A"/>
    <w:rsid w:val="00684A11"/>
    <w:rsid w:val="00685853"/>
    <w:rsid w:val="006860EC"/>
    <w:rsid w:val="0068677D"/>
    <w:rsid w:val="00687592"/>
    <w:rsid w:val="006877A3"/>
    <w:rsid w:val="00687B50"/>
    <w:rsid w:val="00690165"/>
    <w:rsid w:val="00690258"/>
    <w:rsid w:val="00690963"/>
    <w:rsid w:val="0069177A"/>
    <w:rsid w:val="00693F48"/>
    <w:rsid w:val="00696645"/>
    <w:rsid w:val="00696F66"/>
    <w:rsid w:val="006A13E1"/>
    <w:rsid w:val="006A211F"/>
    <w:rsid w:val="006A2F66"/>
    <w:rsid w:val="006A45EB"/>
    <w:rsid w:val="006A5DE9"/>
    <w:rsid w:val="006A6763"/>
    <w:rsid w:val="006A6FA7"/>
    <w:rsid w:val="006B0EF7"/>
    <w:rsid w:val="006B4810"/>
    <w:rsid w:val="006B4D78"/>
    <w:rsid w:val="006B5B9B"/>
    <w:rsid w:val="006B7375"/>
    <w:rsid w:val="006C17E4"/>
    <w:rsid w:val="006C266E"/>
    <w:rsid w:val="006C269D"/>
    <w:rsid w:val="006C33AD"/>
    <w:rsid w:val="006C36CA"/>
    <w:rsid w:val="006C5E02"/>
    <w:rsid w:val="006C5EA7"/>
    <w:rsid w:val="006C73A8"/>
    <w:rsid w:val="006C7C17"/>
    <w:rsid w:val="006C7E16"/>
    <w:rsid w:val="006D32B3"/>
    <w:rsid w:val="006D3662"/>
    <w:rsid w:val="006D466C"/>
    <w:rsid w:val="006D47C7"/>
    <w:rsid w:val="006D4BAA"/>
    <w:rsid w:val="006D5333"/>
    <w:rsid w:val="006D59C1"/>
    <w:rsid w:val="006D5C11"/>
    <w:rsid w:val="006D63E2"/>
    <w:rsid w:val="006D745B"/>
    <w:rsid w:val="006E0595"/>
    <w:rsid w:val="006E0BC7"/>
    <w:rsid w:val="006E251B"/>
    <w:rsid w:val="006E296E"/>
    <w:rsid w:val="006E2ABB"/>
    <w:rsid w:val="006E2BCF"/>
    <w:rsid w:val="006E31D0"/>
    <w:rsid w:val="006E3C85"/>
    <w:rsid w:val="006E3FA8"/>
    <w:rsid w:val="006E4C7C"/>
    <w:rsid w:val="006E61B4"/>
    <w:rsid w:val="006E6698"/>
    <w:rsid w:val="006F0380"/>
    <w:rsid w:val="006F07D8"/>
    <w:rsid w:val="006F4532"/>
    <w:rsid w:val="006F4ABB"/>
    <w:rsid w:val="006F5EF8"/>
    <w:rsid w:val="006F6B44"/>
    <w:rsid w:val="006F7F17"/>
    <w:rsid w:val="00701C39"/>
    <w:rsid w:val="00702AE5"/>
    <w:rsid w:val="00702FB0"/>
    <w:rsid w:val="00703DDB"/>
    <w:rsid w:val="0070519B"/>
    <w:rsid w:val="00705C6F"/>
    <w:rsid w:val="007071F8"/>
    <w:rsid w:val="00707F30"/>
    <w:rsid w:val="00710034"/>
    <w:rsid w:val="0071033B"/>
    <w:rsid w:val="00710FB0"/>
    <w:rsid w:val="007119E8"/>
    <w:rsid w:val="00711DDA"/>
    <w:rsid w:val="00712326"/>
    <w:rsid w:val="00712CC6"/>
    <w:rsid w:val="00712F2F"/>
    <w:rsid w:val="007133A8"/>
    <w:rsid w:val="0071436D"/>
    <w:rsid w:val="0071447F"/>
    <w:rsid w:val="00720913"/>
    <w:rsid w:val="00723237"/>
    <w:rsid w:val="00723594"/>
    <w:rsid w:val="0072396E"/>
    <w:rsid w:val="00724767"/>
    <w:rsid w:val="00724F4B"/>
    <w:rsid w:val="00725B05"/>
    <w:rsid w:val="007320C5"/>
    <w:rsid w:val="0073395A"/>
    <w:rsid w:val="00733AE9"/>
    <w:rsid w:val="007341A2"/>
    <w:rsid w:val="00734556"/>
    <w:rsid w:val="0073711F"/>
    <w:rsid w:val="00741B97"/>
    <w:rsid w:val="00741E28"/>
    <w:rsid w:val="00742784"/>
    <w:rsid w:val="00742C5A"/>
    <w:rsid w:val="00745145"/>
    <w:rsid w:val="00745634"/>
    <w:rsid w:val="00745D29"/>
    <w:rsid w:val="00745F27"/>
    <w:rsid w:val="007466FC"/>
    <w:rsid w:val="00746EDD"/>
    <w:rsid w:val="00746F19"/>
    <w:rsid w:val="007506F9"/>
    <w:rsid w:val="007506FE"/>
    <w:rsid w:val="0075088C"/>
    <w:rsid w:val="00751E4E"/>
    <w:rsid w:val="007526C4"/>
    <w:rsid w:val="007539A1"/>
    <w:rsid w:val="0075428A"/>
    <w:rsid w:val="00754F5F"/>
    <w:rsid w:val="00755ADA"/>
    <w:rsid w:val="00755BF6"/>
    <w:rsid w:val="00757DC5"/>
    <w:rsid w:val="007614BF"/>
    <w:rsid w:val="00762441"/>
    <w:rsid w:val="00762900"/>
    <w:rsid w:val="00763F00"/>
    <w:rsid w:val="0076456B"/>
    <w:rsid w:val="00764D19"/>
    <w:rsid w:val="007656D2"/>
    <w:rsid w:val="00765D7B"/>
    <w:rsid w:val="0076610F"/>
    <w:rsid w:val="0076710F"/>
    <w:rsid w:val="0076753B"/>
    <w:rsid w:val="00770B59"/>
    <w:rsid w:val="00771365"/>
    <w:rsid w:val="0077210C"/>
    <w:rsid w:val="00773F69"/>
    <w:rsid w:val="00774324"/>
    <w:rsid w:val="007743C8"/>
    <w:rsid w:val="007756A5"/>
    <w:rsid w:val="00775A3A"/>
    <w:rsid w:val="00775A70"/>
    <w:rsid w:val="00777A59"/>
    <w:rsid w:val="00780BF7"/>
    <w:rsid w:val="007814A0"/>
    <w:rsid w:val="00781F61"/>
    <w:rsid w:val="007829D8"/>
    <w:rsid w:val="00783C65"/>
    <w:rsid w:val="007841B4"/>
    <w:rsid w:val="007852BF"/>
    <w:rsid w:val="0078608A"/>
    <w:rsid w:val="00786FA5"/>
    <w:rsid w:val="00791738"/>
    <w:rsid w:val="00792E1E"/>
    <w:rsid w:val="00793410"/>
    <w:rsid w:val="00796F4E"/>
    <w:rsid w:val="00797AB6"/>
    <w:rsid w:val="007A0589"/>
    <w:rsid w:val="007A0C1E"/>
    <w:rsid w:val="007A1FD1"/>
    <w:rsid w:val="007A2635"/>
    <w:rsid w:val="007A2A9E"/>
    <w:rsid w:val="007A2C21"/>
    <w:rsid w:val="007A3398"/>
    <w:rsid w:val="007A346A"/>
    <w:rsid w:val="007A6F38"/>
    <w:rsid w:val="007B26CC"/>
    <w:rsid w:val="007B2770"/>
    <w:rsid w:val="007B2A0F"/>
    <w:rsid w:val="007B2CCA"/>
    <w:rsid w:val="007B32E2"/>
    <w:rsid w:val="007B4DE2"/>
    <w:rsid w:val="007B54E7"/>
    <w:rsid w:val="007B778A"/>
    <w:rsid w:val="007B7D17"/>
    <w:rsid w:val="007C271D"/>
    <w:rsid w:val="007C2A4F"/>
    <w:rsid w:val="007C3317"/>
    <w:rsid w:val="007C3CEA"/>
    <w:rsid w:val="007C5238"/>
    <w:rsid w:val="007C5426"/>
    <w:rsid w:val="007C7F89"/>
    <w:rsid w:val="007D123C"/>
    <w:rsid w:val="007D28B4"/>
    <w:rsid w:val="007D3AB6"/>
    <w:rsid w:val="007D54D9"/>
    <w:rsid w:val="007D6AEC"/>
    <w:rsid w:val="007E0267"/>
    <w:rsid w:val="007E1719"/>
    <w:rsid w:val="007E186B"/>
    <w:rsid w:val="007E18D9"/>
    <w:rsid w:val="007E2DA0"/>
    <w:rsid w:val="007E3388"/>
    <w:rsid w:val="007E33D9"/>
    <w:rsid w:val="007E4BD8"/>
    <w:rsid w:val="007E516E"/>
    <w:rsid w:val="007E5A6B"/>
    <w:rsid w:val="007E67D3"/>
    <w:rsid w:val="007E6966"/>
    <w:rsid w:val="007E744E"/>
    <w:rsid w:val="007E7B52"/>
    <w:rsid w:val="007E7E36"/>
    <w:rsid w:val="007F1167"/>
    <w:rsid w:val="007F12E4"/>
    <w:rsid w:val="007F196E"/>
    <w:rsid w:val="007F3D65"/>
    <w:rsid w:val="007F437F"/>
    <w:rsid w:val="007F495E"/>
    <w:rsid w:val="007F54DC"/>
    <w:rsid w:val="007F74BE"/>
    <w:rsid w:val="007F7536"/>
    <w:rsid w:val="00800447"/>
    <w:rsid w:val="0080148A"/>
    <w:rsid w:val="00801E7A"/>
    <w:rsid w:val="008054A2"/>
    <w:rsid w:val="00806DC0"/>
    <w:rsid w:val="00807472"/>
    <w:rsid w:val="008077C5"/>
    <w:rsid w:val="00807C98"/>
    <w:rsid w:val="00811880"/>
    <w:rsid w:val="008126A0"/>
    <w:rsid w:val="008134A9"/>
    <w:rsid w:val="0081388D"/>
    <w:rsid w:val="00813D13"/>
    <w:rsid w:val="00814613"/>
    <w:rsid w:val="0081482B"/>
    <w:rsid w:val="008149C1"/>
    <w:rsid w:val="00815658"/>
    <w:rsid w:val="00815F84"/>
    <w:rsid w:val="00816BA5"/>
    <w:rsid w:val="008203FC"/>
    <w:rsid w:val="00821EC9"/>
    <w:rsid w:val="008224CB"/>
    <w:rsid w:val="00822608"/>
    <w:rsid w:val="00822AB8"/>
    <w:rsid w:val="00823321"/>
    <w:rsid w:val="00823847"/>
    <w:rsid w:val="00824059"/>
    <w:rsid w:val="00824317"/>
    <w:rsid w:val="00824484"/>
    <w:rsid w:val="008246D1"/>
    <w:rsid w:val="0082653B"/>
    <w:rsid w:val="00826A61"/>
    <w:rsid w:val="00826C3A"/>
    <w:rsid w:val="00827762"/>
    <w:rsid w:val="00827985"/>
    <w:rsid w:val="00827F86"/>
    <w:rsid w:val="0083152C"/>
    <w:rsid w:val="00832376"/>
    <w:rsid w:val="008327C1"/>
    <w:rsid w:val="00832B91"/>
    <w:rsid w:val="0083615A"/>
    <w:rsid w:val="00836E05"/>
    <w:rsid w:val="00837894"/>
    <w:rsid w:val="008424F2"/>
    <w:rsid w:val="00842BF0"/>
    <w:rsid w:val="0084392B"/>
    <w:rsid w:val="00843CC6"/>
    <w:rsid w:val="0084456B"/>
    <w:rsid w:val="008451A9"/>
    <w:rsid w:val="00845C15"/>
    <w:rsid w:val="00846282"/>
    <w:rsid w:val="008466ED"/>
    <w:rsid w:val="0084696B"/>
    <w:rsid w:val="00847BE5"/>
    <w:rsid w:val="00850AE4"/>
    <w:rsid w:val="00850C1E"/>
    <w:rsid w:val="00850C3C"/>
    <w:rsid w:val="00851613"/>
    <w:rsid w:val="0085365A"/>
    <w:rsid w:val="00853E4B"/>
    <w:rsid w:val="008541C4"/>
    <w:rsid w:val="00856128"/>
    <w:rsid w:val="00856130"/>
    <w:rsid w:val="00860BCA"/>
    <w:rsid w:val="00860C6F"/>
    <w:rsid w:val="00861C18"/>
    <w:rsid w:val="00861EC0"/>
    <w:rsid w:val="0086329E"/>
    <w:rsid w:val="00864D04"/>
    <w:rsid w:val="008674AE"/>
    <w:rsid w:val="008700D9"/>
    <w:rsid w:val="00870322"/>
    <w:rsid w:val="00870B32"/>
    <w:rsid w:val="00871984"/>
    <w:rsid w:val="00872363"/>
    <w:rsid w:val="00872E69"/>
    <w:rsid w:val="0087318A"/>
    <w:rsid w:val="008739B2"/>
    <w:rsid w:val="008742B3"/>
    <w:rsid w:val="00874676"/>
    <w:rsid w:val="00875AA4"/>
    <w:rsid w:val="008762CC"/>
    <w:rsid w:val="00876F4E"/>
    <w:rsid w:val="00880595"/>
    <w:rsid w:val="0088079A"/>
    <w:rsid w:val="00881905"/>
    <w:rsid w:val="00886C38"/>
    <w:rsid w:val="0089099A"/>
    <w:rsid w:val="008912B8"/>
    <w:rsid w:val="00891D58"/>
    <w:rsid w:val="00893054"/>
    <w:rsid w:val="00893519"/>
    <w:rsid w:val="00893856"/>
    <w:rsid w:val="00893A43"/>
    <w:rsid w:val="008964BF"/>
    <w:rsid w:val="00896913"/>
    <w:rsid w:val="008975B9"/>
    <w:rsid w:val="008976C3"/>
    <w:rsid w:val="008A3334"/>
    <w:rsid w:val="008A3776"/>
    <w:rsid w:val="008A3882"/>
    <w:rsid w:val="008A3D37"/>
    <w:rsid w:val="008A58B2"/>
    <w:rsid w:val="008A6BC5"/>
    <w:rsid w:val="008B0561"/>
    <w:rsid w:val="008B29D4"/>
    <w:rsid w:val="008B2D57"/>
    <w:rsid w:val="008B4DA4"/>
    <w:rsid w:val="008B5A44"/>
    <w:rsid w:val="008B5F0E"/>
    <w:rsid w:val="008B5FFB"/>
    <w:rsid w:val="008B623E"/>
    <w:rsid w:val="008B6677"/>
    <w:rsid w:val="008B7582"/>
    <w:rsid w:val="008B7CBB"/>
    <w:rsid w:val="008C01F7"/>
    <w:rsid w:val="008C168F"/>
    <w:rsid w:val="008C1920"/>
    <w:rsid w:val="008C1ED8"/>
    <w:rsid w:val="008C2F33"/>
    <w:rsid w:val="008C3FD7"/>
    <w:rsid w:val="008C4155"/>
    <w:rsid w:val="008C43DB"/>
    <w:rsid w:val="008C56F8"/>
    <w:rsid w:val="008C7377"/>
    <w:rsid w:val="008D03C4"/>
    <w:rsid w:val="008D0591"/>
    <w:rsid w:val="008D27F9"/>
    <w:rsid w:val="008D2B6B"/>
    <w:rsid w:val="008D3E08"/>
    <w:rsid w:val="008D5616"/>
    <w:rsid w:val="008D6163"/>
    <w:rsid w:val="008E1835"/>
    <w:rsid w:val="008E2424"/>
    <w:rsid w:val="008E37E9"/>
    <w:rsid w:val="008E50B8"/>
    <w:rsid w:val="008E565C"/>
    <w:rsid w:val="008E5861"/>
    <w:rsid w:val="008E5ED6"/>
    <w:rsid w:val="008E5FC5"/>
    <w:rsid w:val="008E67CC"/>
    <w:rsid w:val="008E6EFC"/>
    <w:rsid w:val="008E7951"/>
    <w:rsid w:val="008E7996"/>
    <w:rsid w:val="008E7C68"/>
    <w:rsid w:val="008F2AD8"/>
    <w:rsid w:val="008F2BA7"/>
    <w:rsid w:val="008F47B6"/>
    <w:rsid w:val="008F4D42"/>
    <w:rsid w:val="008F51CB"/>
    <w:rsid w:val="008F59B1"/>
    <w:rsid w:val="008F70C1"/>
    <w:rsid w:val="008F7FB2"/>
    <w:rsid w:val="00900730"/>
    <w:rsid w:val="009007CC"/>
    <w:rsid w:val="00900CBB"/>
    <w:rsid w:val="009014FD"/>
    <w:rsid w:val="009031EA"/>
    <w:rsid w:val="00904D15"/>
    <w:rsid w:val="00904E6B"/>
    <w:rsid w:val="00905048"/>
    <w:rsid w:val="009050E3"/>
    <w:rsid w:val="0090517D"/>
    <w:rsid w:val="0090589B"/>
    <w:rsid w:val="009060E2"/>
    <w:rsid w:val="009068DE"/>
    <w:rsid w:val="00907F35"/>
    <w:rsid w:val="00910094"/>
    <w:rsid w:val="0091080D"/>
    <w:rsid w:val="00911462"/>
    <w:rsid w:val="0091167C"/>
    <w:rsid w:val="00911A8F"/>
    <w:rsid w:val="00914B4A"/>
    <w:rsid w:val="009153E8"/>
    <w:rsid w:val="00916D65"/>
    <w:rsid w:val="00917188"/>
    <w:rsid w:val="009172F2"/>
    <w:rsid w:val="00917AE4"/>
    <w:rsid w:val="00920F0E"/>
    <w:rsid w:val="00922F19"/>
    <w:rsid w:val="0092587D"/>
    <w:rsid w:val="00926483"/>
    <w:rsid w:val="00926580"/>
    <w:rsid w:val="0092751D"/>
    <w:rsid w:val="0093019C"/>
    <w:rsid w:val="00930952"/>
    <w:rsid w:val="0093280B"/>
    <w:rsid w:val="00932F57"/>
    <w:rsid w:val="009330B6"/>
    <w:rsid w:val="00933130"/>
    <w:rsid w:val="00933E96"/>
    <w:rsid w:val="0093462E"/>
    <w:rsid w:val="0093492B"/>
    <w:rsid w:val="00934D21"/>
    <w:rsid w:val="00935844"/>
    <w:rsid w:val="00935952"/>
    <w:rsid w:val="00936982"/>
    <w:rsid w:val="00940AA1"/>
    <w:rsid w:val="009415BA"/>
    <w:rsid w:val="009441A4"/>
    <w:rsid w:val="009450A2"/>
    <w:rsid w:val="00945C3F"/>
    <w:rsid w:val="00946B17"/>
    <w:rsid w:val="0094766D"/>
    <w:rsid w:val="00950515"/>
    <w:rsid w:val="00950759"/>
    <w:rsid w:val="00951950"/>
    <w:rsid w:val="00951F69"/>
    <w:rsid w:val="00952B1C"/>
    <w:rsid w:val="0095327B"/>
    <w:rsid w:val="00953B7B"/>
    <w:rsid w:val="00953E40"/>
    <w:rsid w:val="00954AF5"/>
    <w:rsid w:val="0095638B"/>
    <w:rsid w:val="009565D4"/>
    <w:rsid w:val="00956C03"/>
    <w:rsid w:val="00960415"/>
    <w:rsid w:val="00961608"/>
    <w:rsid w:val="009629B1"/>
    <w:rsid w:val="00963AF7"/>
    <w:rsid w:val="00963B20"/>
    <w:rsid w:val="00966741"/>
    <w:rsid w:val="009667CE"/>
    <w:rsid w:val="009669FF"/>
    <w:rsid w:val="00967E76"/>
    <w:rsid w:val="00970FFB"/>
    <w:rsid w:val="009713BF"/>
    <w:rsid w:val="00971B5F"/>
    <w:rsid w:val="00971EA5"/>
    <w:rsid w:val="009722D6"/>
    <w:rsid w:val="0097237C"/>
    <w:rsid w:val="00973E77"/>
    <w:rsid w:val="00973FD5"/>
    <w:rsid w:val="00974E82"/>
    <w:rsid w:val="009754C5"/>
    <w:rsid w:val="009773EA"/>
    <w:rsid w:val="00980109"/>
    <w:rsid w:val="00980119"/>
    <w:rsid w:val="00983133"/>
    <w:rsid w:val="00983823"/>
    <w:rsid w:val="0098536E"/>
    <w:rsid w:val="00985D3D"/>
    <w:rsid w:val="0098665A"/>
    <w:rsid w:val="0099215E"/>
    <w:rsid w:val="00994833"/>
    <w:rsid w:val="009949B7"/>
    <w:rsid w:val="00994DC2"/>
    <w:rsid w:val="00994DC7"/>
    <w:rsid w:val="009974B3"/>
    <w:rsid w:val="009A065F"/>
    <w:rsid w:val="009A28F4"/>
    <w:rsid w:val="009A42D2"/>
    <w:rsid w:val="009A4C82"/>
    <w:rsid w:val="009A5F3F"/>
    <w:rsid w:val="009B0268"/>
    <w:rsid w:val="009B1DE6"/>
    <w:rsid w:val="009B23AD"/>
    <w:rsid w:val="009B269C"/>
    <w:rsid w:val="009B2A5F"/>
    <w:rsid w:val="009B456D"/>
    <w:rsid w:val="009B6E82"/>
    <w:rsid w:val="009B775E"/>
    <w:rsid w:val="009C1AF4"/>
    <w:rsid w:val="009C2D15"/>
    <w:rsid w:val="009C2F0B"/>
    <w:rsid w:val="009C453A"/>
    <w:rsid w:val="009C6654"/>
    <w:rsid w:val="009C7947"/>
    <w:rsid w:val="009C7A92"/>
    <w:rsid w:val="009D4043"/>
    <w:rsid w:val="009E1AE1"/>
    <w:rsid w:val="009E20C4"/>
    <w:rsid w:val="009E3AEE"/>
    <w:rsid w:val="009E46D2"/>
    <w:rsid w:val="009E4E8A"/>
    <w:rsid w:val="009E741E"/>
    <w:rsid w:val="009F2CC1"/>
    <w:rsid w:val="009F3641"/>
    <w:rsid w:val="009F50A6"/>
    <w:rsid w:val="009F556F"/>
    <w:rsid w:val="009F5592"/>
    <w:rsid w:val="009F7526"/>
    <w:rsid w:val="00A00AA0"/>
    <w:rsid w:val="00A00BCB"/>
    <w:rsid w:val="00A027EC"/>
    <w:rsid w:val="00A0425B"/>
    <w:rsid w:val="00A054B2"/>
    <w:rsid w:val="00A07222"/>
    <w:rsid w:val="00A07AB1"/>
    <w:rsid w:val="00A11DCE"/>
    <w:rsid w:val="00A1220B"/>
    <w:rsid w:val="00A123CE"/>
    <w:rsid w:val="00A12D43"/>
    <w:rsid w:val="00A130F2"/>
    <w:rsid w:val="00A13720"/>
    <w:rsid w:val="00A16508"/>
    <w:rsid w:val="00A167BC"/>
    <w:rsid w:val="00A17481"/>
    <w:rsid w:val="00A233C6"/>
    <w:rsid w:val="00A2455A"/>
    <w:rsid w:val="00A247C6"/>
    <w:rsid w:val="00A24DF0"/>
    <w:rsid w:val="00A27935"/>
    <w:rsid w:val="00A30C3C"/>
    <w:rsid w:val="00A31E15"/>
    <w:rsid w:val="00A325EF"/>
    <w:rsid w:val="00A364FE"/>
    <w:rsid w:val="00A366AF"/>
    <w:rsid w:val="00A36890"/>
    <w:rsid w:val="00A40153"/>
    <w:rsid w:val="00A4030D"/>
    <w:rsid w:val="00A42AE0"/>
    <w:rsid w:val="00A42B22"/>
    <w:rsid w:val="00A42D20"/>
    <w:rsid w:val="00A44484"/>
    <w:rsid w:val="00A444B4"/>
    <w:rsid w:val="00A44A38"/>
    <w:rsid w:val="00A45FBB"/>
    <w:rsid w:val="00A46D7D"/>
    <w:rsid w:val="00A51382"/>
    <w:rsid w:val="00A54027"/>
    <w:rsid w:val="00A54F20"/>
    <w:rsid w:val="00A568AA"/>
    <w:rsid w:val="00A61AD3"/>
    <w:rsid w:val="00A62C12"/>
    <w:rsid w:val="00A62F4F"/>
    <w:rsid w:val="00A639C7"/>
    <w:rsid w:val="00A65092"/>
    <w:rsid w:val="00A65863"/>
    <w:rsid w:val="00A66B17"/>
    <w:rsid w:val="00A66EF1"/>
    <w:rsid w:val="00A7001C"/>
    <w:rsid w:val="00A70A4B"/>
    <w:rsid w:val="00A70B1C"/>
    <w:rsid w:val="00A713AC"/>
    <w:rsid w:val="00A71465"/>
    <w:rsid w:val="00A71F81"/>
    <w:rsid w:val="00A73A1C"/>
    <w:rsid w:val="00A750A1"/>
    <w:rsid w:val="00A75A70"/>
    <w:rsid w:val="00A75AED"/>
    <w:rsid w:val="00A75CCB"/>
    <w:rsid w:val="00A821EB"/>
    <w:rsid w:val="00A82920"/>
    <w:rsid w:val="00A835A3"/>
    <w:rsid w:val="00A83B2A"/>
    <w:rsid w:val="00A843C9"/>
    <w:rsid w:val="00A84895"/>
    <w:rsid w:val="00A84EFD"/>
    <w:rsid w:val="00A856A0"/>
    <w:rsid w:val="00A85F75"/>
    <w:rsid w:val="00A863CF"/>
    <w:rsid w:val="00A875EA"/>
    <w:rsid w:val="00A87715"/>
    <w:rsid w:val="00A87764"/>
    <w:rsid w:val="00A87DC6"/>
    <w:rsid w:val="00A9007B"/>
    <w:rsid w:val="00A9082A"/>
    <w:rsid w:val="00A90F17"/>
    <w:rsid w:val="00A923E8"/>
    <w:rsid w:val="00A93602"/>
    <w:rsid w:val="00A939DD"/>
    <w:rsid w:val="00A93D11"/>
    <w:rsid w:val="00A94759"/>
    <w:rsid w:val="00A950EB"/>
    <w:rsid w:val="00AA10E7"/>
    <w:rsid w:val="00AA2AB6"/>
    <w:rsid w:val="00AA3A86"/>
    <w:rsid w:val="00AA4E84"/>
    <w:rsid w:val="00AA6E0A"/>
    <w:rsid w:val="00AB04B0"/>
    <w:rsid w:val="00AB1994"/>
    <w:rsid w:val="00AB46C0"/>
    <w:rsid w:val="00AB5D45"/>
    <w:rsid w:val="00AB7FCD"/>
    <w:rsid w:val="00AC3B71"/>
    <w:rsid w:val="00AC4A48"/>
    <w:rsid w:val="00AC50FE"/>
    <w:rsid w:val="00AC5B85"/>
    <w:rsid w:val="00AC5F84"/>
    <w:rsid w:val="00AC636A"/>
    <w:rsid w:val="00AC6392"/>
    <w:rsid w:val="00AC63E6"/>
    <w:rsid w:val="00AC6479"/>
    <w:rsid w:val="00AC7B8F"/>
    <w:rsid w:val="00AC7E27"/>
    <w:rsid w:val="00AD0F00"/>
    <w:rsid w:val="00AD1370"/>
    <w:rsid w:val="00AD1F80"/>
    <w:rsid w:val="00AD1FBE"/>
    <w:rsid w:val="00AD2705"/>
    <w:rsid w:val="00AD3095"/>
    <w:rsid w:val="00AD3569"/>
    <w:rsid w:val="00AD52E0"/>
    <w:rsid w:val="00AE2E1B"/>
    <w:rsid w:val="00AE39EC"/>
    <w:rsid w:val="00AE61FD"/>
    <w:rsid w:val="00AE7238"/>
    <w:rsid w:val="00AE794D"/>
    <w:rsid w:val="00AF073B"/>
    <w:rsid w:val="00AF2783"/>
    <w:rsid w:val="00AF3A08"/>
    <w:rsid w:val="00AF3BD4"/>
    <w:rsid w:val="00AF6AF0"/>
    <w:rsid w:val="00AF77BD"/>
    <w:rsid w:val="00AF7990"/>
    <w:rsid w:val="00AF7AAC"/>
    <w:rsid w:val="00B025A7"/>
    <w:rsid w:val="00B04A43"/>
    <w:rsid w:val="00B04F33"/>
    <w:rsid w:val="00B05AE6"/>
    <w:rsid w:val="00B0630A"/>
    <w:rsid w:val="00B06F50"/>
    <w:rsid w:val="00B131A7"/>
    <w:rsid w:val="00B15B4B"/>
    <w:rsid w:val="00B20F27"/>
    <w:rsid w:val="00B24C9F"/>
    <w:rsid w:val="00B25FD6"/>
    <w:rsid w:val="00B26B89"/>
    <w:rsid w:val="00B26FF7"/>
    <w:rsid w:val="00B2771A"/>
    <w:rsid w:val="00B324ED"/>
    <w:rsid w:val="00B33903"/>
    <w:rsid w:val="00B33BC1"/>
    <w:rsid w:val="00B33CDF"/>
    <w:rsid w:val="00B34D84"/>
    <w:rsid w:val="00B35CFD"/>
    <w:rsid w:val="00B37E49"/>
    <w:rsid w:val="00B400E4"/>
    <w:rsid w:val="00B4051C"/>
    <w:rsid w:val="00B40676"/>
    <w:rsid w:val="00B4161C"/>
    <w:rsid w:val="00B42659"/>
    <w:rsid w:val="00B43459"/>
    <w:rsid w:val="00B44E8E"/>
    <w:rsid w:val="00B45295"/>
    <w:rsid w:val="00B47D8A"/>
    <w:rsid w:val="00B47F2C"/>
    <w:rsid w:val="00B50803"/>
    <w:rsid w:val="00B51071"/>
    <w:rsid w:val="00B5113B"/>
    <w:rsid w:val="00B53244"/>
    <w:rsid w:val="00B551D3"/>
    <w:rsid w:val="00B55714"/>
    <w:rsid w:val="00B55DCB"/>
    <w:rsid w:val="00B57172"/>
    <w:rsid w:val="00B60829"/>
    <w:rsid w:val="00B60B57"/>
    <w:rsid w:val="00B62AB2"/>
    <w:rsid w:val="00B6313A"/>
    <w:rsid w:val="00B6567B"/>
    <w:rsid w:val="00B72F26"/>
    <w:rsid w:val="00B739EF"/>
    <w:rsid w:val="00B7436E"/>
    <w:rsid w:val="00B75801"/>
    <w:rsid w:val="00B75926"/>
    <w:rsid w:val="00B75F64"/>
    <w:rsid w:val="00B80F1E"/>
    <w:rsid w:val="00B81E18"/>
    <w:rsid w:val="00B81E79"/>
    <w:rsid w:val="00B81FAC"/>
    <w:rsid w:val="00B86A02"/>
    <w:rsid w:val="00B90520"/>
    <w:rsid w:val="00B938B4"/>
    <w:rsid w:val="00B93DE7"/>
    <w:rsid w:val="00B940A2"/>
    <w:rsid w:val="00B94AFA"/>
    <w:rsid w:val="00B965D5"/>
    <w:rsid w:val="00B96A2C"/>
    <w:rsid w:val="00BA0EEF"/>
    <w:rsid w:val="00BB00BC"/>
    <w:rsid w:val="00BB0ED3"/>
    <w:rsid w:val="00BB150A"/>
    <w:rsid w:val="00BB2444"/>
    <w:rsid w:val="00BB3BDC"/>
    <w:rsid w:val="00BB4204"/>
    <w:rsid w:val="00BB647C"/>
    <w:rsid w:val="00BB7124"/>
    <w:rsid w:val="00BB7922"/>
    <w:rsid w:val="00BB7959"/>
    <w:rsid w:val="00BC2F92"/>
    <w:rsid w:val="00BC3561"/>
    <w:rsid w:val="00BC3D69"/>
    <w:rsid w:val="00BC6A4F"/>
    <w:rsid w:val="00BC73AF"/>
    <w:rsid w:val="00BD1F97"/>
    <w:rsid w:val="00BD46E5"/>
    <w:rsid w:val="00BD4B21"/>
    <w:rsid w:val="00BD6594"/>
    <w:rsid w:val="00BD6895"/>
    <w:rsid w:val="00BD7120"/>
    <w:rsid w:val="00BD78EF"/>
    <w:rsid w:val="00BE084A"/>
    <w:rsid w:val="00BE0F66"/>
    <w:rsid w:val="00BE1545"/>
    <w:rsid w:val="00BE1A1A"/>
    <w:rsid w:val="00BE1A1F"/>
    <w:rsid w:val="00BE1B25"/>
    <w:rsid w:val="00BE23FF"/>
    <w:rsid w:val="00BE49D4"/>
    <w:rsid w:val="00BE4DAE"/>
    <w:rsid w:val="00BE6709"/>
    <w:rsid w:val="00BE68C2"/>
    <w:rsid w:val="00BE69B1"/>
    <w:rsid w:val="00BE70A0"/>
    <w:rsid w:val="00BE7537"/>
    <w:rsid w:val="00BF0220"/>
    <w:rsid w:val="00BF0A7A"/>
    <w:rsid w:val="00BF1007"/>
    <w:rsid w:val="00BF1A86"/>
    <w:rsid w:val="00BF30DB"/>
    <w:rsid w:val="00BF40D2"/>
    <w:rsid w:val="00BF45B4"/>
    <w:rsid w:val="00BF4BDC"/>
    <w:rsid w:val="00BF669D"/>
    <w:rsid w:val="00BF7282"/>
    <w:rsid w:val="00BF769B"/>
    <w:rsid w:val="00C029A7"/>
    <w:rsid w:val="00C02A63"/>
    <w:rsid w:val="00C037CE"/>
    <w:rsid w:val="00C045B4"/>
    <w:rsid w:val="00C04F0F"/>
    <w:rsid w:val="00C06F65"/>
    <w:rsid w:val="00C0763E"/>
    <w:rsid w:val="00C1077C"/>
    <w:rsid w:val="00C10786"/>
    <w:rsid w:val="00C11D3A"/>
    <w:rsid w:val="00C11E80"/>
    <w:rsid w:val="00C11E81"/>
    <w:rsid w:val="00C12ADB"/>
    <w:rsid w:val="00C12D93"/>
    <w:rsid w:val="00C12F6B"/>
    <w:rsid w:val="00C13BF6"/>
    <w:rsid w:val="00C17E3A"/>
    <w:rsid w:val="00C20B43"/>
    <w:rsid w:val="00C22635"/>
    <w:rsid w:val="00C22D14"/>
    <w:rsid w:val="00C2304A"/>
    <w:rsid w:val="00C23122"/>
    <w:rsid w:val="00C24FBA"/>
    <w:rsid w:val="00C309DE"/>
    <w:rsid w:val="00C30DAC"/>
    <w:rsid w:val="00C31E62"/>
    <w:rsid w:val="00C31F57"/>
    <w:rsid w:val="00C32A64"/>
    <w:rsid w:val="00C32F8E"/>
    <w:rsid w:val="00C33B16"/>
    <w:rsid w:val="00C3416F"/>
    <w:rsid w:val="00C35A88"/>
    <w:rsid w:val="00C36CB2"/>
    <w:rsid w:val="00C37709"/>
    <w:rsid w:val="00C37834"/>
    <w:rsid w:val="00C400BE"/>
    <w:rsid w:val="00C4119B"/>
    <w:rsid w:val="00C44395"/>
    <w:rsid w:val="00C44B0A"/>
    <w:rsid w:val="00C44EEF"/>
    <w:rsid w:val="00C4521D"/>
    <w:rsid w:val="00C45748"/>
    <w:rsid w:val="00C476B7"/>
    <w:rsid w:val="00C47CE5"/>
    <w:rsid w:val="00C50949"/>
    <w:rsid w:val="00C50BC1"/>
    <w:rsid w:val="00C512AD"/>
    <w:rsid w:val="00C52977"/>
    <w:rsid w:val="00C54B20"/>
    <w:rsid w:val="00C54CAB"/>
    <w:rsid w:val="00C5508A"/>
    <w:rsid w:val="00C566E5"/>
    <w:rsid w:val="00C576B9"/>
    <w:rsid w:val="00C6093B"/>
    <w:rsid w:val="00C614B9"/>
    <w:rsid w:val="00C6248D"/>
    <w:rsid w:val="00C6260F"/>
    <w:rsid w:val="00C6285A"/>
    <w:rsid w:val="00C63178"/>
    <w:rsid w:val="00C63590"/>
    <w:rsid w:val="00C642CC"/>
    <w:rsid w:val="00C65C72"/>
    <w:rsid w:val="00C65C98"/>
    <w:rsid w:val="00C66689"/>
    <w:rsid w:val="00C66DA7"/>
    <w:rsid w:val="00C70D7C"/>
    <w:rsid w:val="00C71241"/>
    <w:rsid w:val="00C71323"/>
    <w:rsid w:val="00C71F09"/>
    <w:rsid w:val="00C7395A"/>
    <w:rsid w:val="00C73D75"/>
    <w:rsid w:val="00C74385"/>
    <w:rsid w:val="00C766EE"/>
    <w:rsid w:val="00C77D33"/>
    <w:rsid w:val="00C803B6"/>
    <w:rsid w:val="00C80A39"/>
    <w:rsid w:val="00C81462"/>
    <w:rsid w:val="00C81DB3"/>
    <w:rsid w:val="00C825C8"/>
    <w:rsid w:val="00C87FAC"/>
    <w:rsid w:val="00C914F3"/>
    <w:rsid w:val="00C93398"/>
    <w:rsid w:val="00C93F5D"/>
    <w:rsid w:val="00C9627C"/>
    <w:rsid w:val="00C96292"/>
    <w:rsid w:val="00C96BF7"/>
    <w:rsid w:val="00C977FF"/>
    <w:rsid w:val="00CA00BA"/>
    <w:rsid w:val="00CA192C"/>
    <w:rsid w:val="00CA3B00"/>
    <w:rsid w:val="00CA4107"/>
    <w:rsid w:val="00CA4359"/>
    <w:rsid w:val="00CA549D"/>
    <w:rsid w:val="00CA55DA"/>
    <w:rsid w:val="00CB0925"/>
    <w:rsid w:val="00CB3378"/>
    <w:rsid w:val="00CB477C"/>
    <w:rsid w:val="00CB5AE4"/>
    <w:rsid w:val="00CB643B"/>
    <w:rsid w:val="00CB6DEA"/>
    <w:rsid w:val="00CB76B5"/>
    <w:rsid w:val="00CC0D08"/>
    <w:rsid w:val="00CC1261"/>
    <w:rsid w:val="00CC29BD"/>
    <w:rsid w:val="00CC32C6"/>
    <w:rsid w:val="00CC451E"/>
    <w:rsid w:val="00CC54A6"/>
    <w:rsid w:val="00CC7438"/>
    <w:rsid w:val="00CD0B63"/>
    <w:rsid w:val="00CD0E4D"/>
    <w:rsid w:val="00CD0EAB"/>
    <w:rsid w:val="00CD1FC4"/>
    <w:rsid w:val="00CD28DF"/>
    <w:rsid w:val="00CD35E1"/>
    <w:rsid w:val="00CD466F"/>
    <w:rsid w:val="00CD4FBA"/>
    <w:rsid w:val="00CD5633"/>
    <w:rsid w:val="00CD6445"/>
    <w:rsid w:val="00CD6980"/>
    <w:rsid w:val="00CD7C2C"/>
    <w:rsid w:val="00CE0163"/>
    <w:rsid w:val="00CE0510"/>
    <w:rsid w:val="00CE06BD"/>
    <w:rsid w:val="00CE30B7"/>
    <w:rsid w:val="00CE50F6"/>
    <w:rsid w:val="00CE5F46"/>
    <w:rsid w:val="00CE7F74"/>
    <w:rsid w:val="00CF07D2"/>
    <w:rsid w:val="00CF279D"/>
    <w:rsid w:val="00CF3CEA"/>
    <w:rsid w:val="00CF48C6"/>
    <w:rsid w:val="00CF5231"/>
    <w:rsid w:val="00CF6965"/>
    <w:rsid w:val="00CF7B4F"/>
    <w:rsid w:val="00D023A4"/>
    <w:rsid w:val="00D028FE"/>
    <w:rsid w:val="00D04DAE"/>
    <w:rsid w:val="00D056D2"/>
    <w:rsid w:val="00D06CE6"/>
    <w:rsid w:val="00D07B54"/>
    <w:rsid w:val="00D10C92"/>
    <w:rsid w:val="00D11D1F"/>
    <w:rsid w:val="00D1201A"/>
    <w:rsid w:val="00D135C4"/>
    <w:rsid w:val="00D14CFB"/>
    <w:rsid w:val="00D161BA"/>
    <w:rsid w:val="00D17093"/>
    <w:rsid w:val="00D170D2"/>
    <w:rsid w:val="00D17762"/>
    <w:rsid w:val="00D17E4A"/>
    <w:rsid w:val="00D2044B"/>
    <w:rsid w:val="00D20AE5"/>
    <w:rsid w:val="00D21083"/>
    <w:rsid w:val="00D227B4"/>
    <w:rsid w:val="00D24799"/>
    <w:rsid w:val="00D24A68"/>
    <w:rsid w:val="00D30352"/>
    <w:rsid w:val="00D30394"/>
    <w:rsid w:val="00D314AB"/>
    <w:rsid w:val="00D32E1A"/>
    <w:rsid w:val="00D339A5"/>
    <w:rsid w:val="00D33F88"/>
    <w:rsid w:val="00D36307"/>
    <w:rsid w:val="00D37A79"/>
    <w:rsid w:val="00D37B3A"/>
    <w:rsid w:val="00D40232"/>
    <w:rsid w:val="00D40FE2"/>
    <w:rsid w:val="00D415D6"/>
    <w:rsid w:val="00D426A4"/>
    <w:rsid w:val="00D43927"/>
    <w:rsid w:val="00D43C94"/>
    <w:rsid w:val="00D43CC1"/>
    <w:rsid w:val="00D443FB"/>
    <w:rsid w:val="00D448B0"/>
    <w:rsid w:val="00D45252"/>
    <w:rsid w:val="00D4526A"/>
    <w:rsid w:val="00D50451"/>
    <w:rsid w:val="00D507D3"/>
    <w:rsid w:val="00D508AE"/>
    <w:rsid w:val="00D509AA"/>
    <w:rsid w:val="00D51F05"/>
    <w:rsid w:val="00D5277C"/>
    <w:rsid w:val="00D52C9E"/>
    <w:rsid w:val="00D574ED"/>
    <w:rsid w:val="00D60141"/>
    <w:rsid w:val="00D60FCC"/>
    <w:rsid w:val="00D6282C"/>
    <w:rsid w:val="00D63602"/>
    <w:rsid w:val="00D6401B"/>
    <w:rsid w:val="00D648FC"/>
    <w:rsid w:val="00D658E9"/>
    <w:rsid w:val="00D65DDD"/>
    <w:rsid w:val="00D66747"/>
    <w:rsid w:val="00D66C3F"/>
    <w:rsid w:val="00D67335"/>
    <w:rsid w:val="00D72269"/>
    <w:rsid w:val="00D741E7"/>
    <w:rsid w:val="00D74827"/>
    <w:rsid w:val="00D813A9"/>
    <w:rsid w:val="00D8172C"/>
    <w:rsid w:val="00D81BBF"/>
    <w:rsid w:val="00D827C7"/>
    <w:rsid w:val="00D82CFA"/>
    <w:rsid w:val="00D82FE4"/>
    <w:rsid w:val="00D843BC"/>
    <w:rsid w:val="00D855F6"/>
    <w:rsid w:val="00D85A4C"/>
    <w:rsid w:val="00D87545"/>
    <w:rsid w:val="00D90E22"/>
    <w:rsid w:val="00D9411E"/>
    <w:rsid w:val="00D9451D"/>
    <w:rsid w:val="00D95989"/>
    <w:rsid w:val="00D9624D"/>
    <w:rsid w:val="00DA0895"/>
    <w:rsid w:val="00DA1AF7"/>
    <w:rsid w:val="00DA32DD"/>
    <w:rsid w:val="00DA3854"/>
    <w:rsid w:val="00DA41DC"/>
    <w:rsid w:val="00DA4829"/>
    <w:rsid w:val="00DA4C28"/>
    <w:rsid w:val="00DA5C3D"/>
    <w:rsid w:val="00DA6670"/>
    <w:rsid w:val="00DA7EAF"/>
    <w:rsid w:val="00DB2067"/>
    <w:rsid w:val="00DB29A0"/>
    <w:rsid w:val="00DB35D8"/>
    <w:rsid w:val="00DB48A2"/>
    <w:rsid w:val="00DB5D8A"/>
    <w:rsid w:val="00DB5E3B"/>
    <w:rsid w:val="00DB605B"/>
    <w:rsid w:val="00DB7D38"/>
    <w:rsid w:val="00DC02A2"/>
    <w:rsid w:val="00DC13EF"/>
    <w:rsid w:val="00DC5446"/>
    <w:rsid w:val="00DC6221"/>
    <w:rsid w:val="00DC62E8"/>
    <w:rsid w:val="00DC647B"/>
    <w:rsid w:val="00DD180B"/>
    <w:rsid w:val="00DD2250"/>
    <w:rsid w:val="00DD748A"/>
    <w:rsid w:val="00DD7542"/>
    <w:rsid w:val="00DD76FE"/>
    <w:rsid w:val="00DE07E9"/>
    <w:rsid w:val="00DE25BB"/>
    <w:rsid w:val="00DE392A"/>
    <w:rsid w:val="00DE517E"/>
    <w:rsid w:val="00DE5DA8"/>
    <w:rsid w:val="00DF0BC8"/>
    <w:rsid w:val="00DF2E9F"/>
    <w:rsid w:val="00DF3E79"/>
    <w:rsid w:val="00DF53E7"/>
    <w:rsid w:val="00DF576C"/>
    <w:rsid w:val="00DF6A93"/>
    <w:rsid w:val="00E00426"/>
    <w:rsid w:val="00E0149A"/>
    <w:rsid w:val="00E02A10"/>
    <w:rsid w:val="00E030E2"/>
    <w:rsid w:val="00E046AD"/>
    <w:rsid w:val="00E04761"/>
    <w:rsid w:val="00E04B74"/>
    <w:rsid w:val="00E04E56"/>
    <w:rsid w:val="00E05B62"/>
    <w:rsid w:val="00E070CF"/>
    <w:rsid w:val="00E11078"/>
    <w:rsid w:val="00E12697"/>
    <w:rsid w:val="00E154A6"/>
    <w:rsid w:val="00E155BF"/>
    <w:rsid w:val="00E16847"/>
    <w:rsid w:val="00E16DF0"/>
    <w:rsid w:val="00E20591"/>
    <w:rsid w:val="00E205A7"/>
    <w:rsid w:val="00E21374"/>
    <w:rsid w:val="00E21BDB"/>
    <w:rsid w:val="00E22BD6"/>
    <w:rsid w:val="00E2359F"/>
    <w:rsid w:val="00E239D8"/>
    <w:rsid w:val="00E309CA"/>
    <w:rsid w:val="00E30F7B"/>
    <w:rsid w:val="00E3218A"/>
    <w:rsid w:val="00E33A33"/>
    <w:rsid w:val="00E33C86"/>
    <w:rsid w:val="00E34007"/>
    <w:rsid w:val="00E342A6"/>
    <w:rsid w:val="00E35821"/>
    <w:rsid w:val="00E36374"/>
    <w:rsid w:val="00E36B62"/>
    <w:rsid w:val="00E3724A"/>
    <w:rsid w:val="00E37402"/>
    <w:rsid w:val="00E37BA5"/>
    <w:rsid w:val="00E405F8"/>
    <w:rsid w:val="00E4220A"/>
    <w:rsid w:val="00E441BA"/>
    <w:rsid w:val="00E50B2A"/>
    <w:rsid w:val="00E525CE"/>
    <w:rsid w:val="00E52657"/>
    <w:rsid w:val="00E53DAC"/>
    <w:rsid w:val="00E61832"/>
    <w:rsid w:val="00E6204D"/>
    <w:rsid w:val="00E6482A"/>
    <w:rsid w:val="00E65A55"/>
    <w:rsid w:val="00E66F42"/>
    <w:rsid w:val="00E67CCC"/>
    <w:rsid w:val="00E71549"/>
    <w:rsid w:val="00E72BB6"/>
    <w:rsid w:val="00E73891"/>
    <w:rsid w:val="00E73DEF"/>
    <w:rsid w:val="00E74268"/>
    <w:rsid w:val="00E74637"/>
    <w:rsid w:val="00E746B0"/>
    <w:rsid w:val="00E74B5A"/>
    <w:rsid w:val="00E74F6E"/>
    <w:rsid w:val="00E75C95"/>
    <w:rsid w:val="00E76357"/>
    <w:rsid w:val="00E76A7B"/>
    <w:rsid w:val="00E76E29"/>
    <w:rsid w:val="00E84564"/>
    <w:rsid w:val="00E86532"/>
    <w:rsid w:val="00E865C3"/>
    <w:rsid w:val="00E86990"/>
    <w:rsid w:val="00E87219"/>
    <w:rsid w:val="00E909A5"/>
    <w:rsid w:val="00E92641"/>
    <w:rsid w:val="00E93FF3"/>
    <w:rsid w:val="00E9432D"/>
    <w:rsid w:val="00E96C31"/>
    <w:rsid w:val="00E97898"/>
    <w:rsid w:val="00E97D43"/>
    <w:rsid w:val="00EA1828"/>
    <w:rsid w:val="00EA1C7C"/>
    <w:rsid w:val="00EA23B9"/>
    <w:rsid w:val="00EA301A"/>
    <w:rsid w:val="00EA3C45"/>
    <w:rsid w:val="00EA6411"/>
    <w:rsid w:val="00EA7303"/>
    <w:rsid w:val="00EA756B"/>
    <w:rsid w:val="00EB0310"/>
    <w:rsid w:val="00EB11C8"/>
    <w:rsid w:val="00EB1506"/>
    <w:rsid w:val="00EB4755"/>
    <w:rsid w:val="00EB4D7B"/>
    <w:rsid w:val="00EB4DE6"/>
    <w:rsid w:val="00EB5F64"/>
    <w:rsid w:val="00EB6AB7"/>
    <w:rsid w:val="00EB78B9"/>
    <w:rsid w:val="00EC06C8"/>
    <w:rsid w:val="00EC1537"/>
    <w:rsid w:val="00EC1698"/>
    <w:rsid w:val="00EC1AB0"/>
    <w:rsid w:val="00EC22E1"/>
    <w:rsid w:val="00EC3502"/>
    <w:rsid w:val="00EC3E11"/>
    <w:rsid w:val="00EC3E88"/>
    <w:rsid w:val="00EC43E2"/>
    <w:rsid w:val="00EC4463"/>
    <w:rsid w:val="00EC461B"/>
    <w:rsid w:val="00EC470C"/>
    <w:rsid w:val="00ED105F"/>
    <w:rsid w:val="00ED455B"/>
    <w:rsid w:val="00ED4776"/>
    <w:rsid w:val="00ED4FA5"/>
    <w:rsid w:val="00ED5DF1"/>
    <w:rsid w:val="00ED5E03"/>
    <w:rsid w:val="00ED6254"/>
    <w:rsid w:val="00ED62E5"/>
    <w:rsid w:val="00ED65BB"/>
    <w:rsid w:val="00EE0D7C"/>
    <w:rsid w:val="00EE200C"/>
    <w:rsid w:val="00EE26A5"/>
    <w:rsid w:val="00EE2AA7"/>
    <w:rsid w:val="00EE4010"/>
    <w:rsid w:val="00EE574A"/>
    <w:rsid w:val="00EE5DFA"/>
    <w:rsid w:val="00EE6E2B"/>
    <w:rsid w:val="00EF02F2"/>
    <w:rsid w:val="00EF173F"/>
    <w:rsid w:val="00EF5B66"/>
    <w:rsid w:val="00EF74F8"/>
    <w:rsid w:val="00EF77D5"/>
    <w:rsid w:val="00EF7F4C"/>
    <w:rsid w:val="00F00CC7"/>
    <w:rsid w:val="00F03C30"/>
    <w:rsid w:val="00F0631C"/>
    <w:rsid w:val="00F0644B"/>
    <w:rsid w:val="00F064DF"/>
    <w:rsid w:val="00F06AA7"/>
    <w:rsid w:val="00F07834"/>
    <w:rsid w:val="00F10A37"/>
    <w:rsid w:val="00F11AB7"/>
    <w:rsid w:val="00F11F61"/>
    <w:rsid w:val="00F13288"/>
    <w:rsid w:val="00F13454"/>
    <w:rsid w:val="00F13AEF"/>
    <w:rsid w:val="00F13C0F"/>
    <w:rsid w:val="00F13C83"/>
    <w:rsid w:val="00F1499A"/>
    <w:rsid w:val="00F17694"/>
    <w:rsid w:val="00F203E1"/>
    <w:rsid w:val="00F204FD"/>
    <w:rsid w:val="00F205CE"/>
    <w:rsid w:val="00F20844"/>
    <w:rsid w:val="00F212EE"/>
    <w:rsid w:val="00F21AC4"/>
    <w:rsid w:val="00F229D2"/>
    <w:rsid w:val="00F24FC7"/>
    <w:rsid w:val="00F25AAC"/>
    <w:rsid w:val="00F27071"/>
    <w:rsid w:val="00F307BB"/>
    <w:rsid w:val="00F32413"/>
    <w:rsid w:val="00F34DF5"/>
    <w:rsid w:val="00F3665E"/>
    <w:rsid w:val="00F36B5A"/>
    <w:rsid w:val="00F37C03"/>
    <w:rsid w:val="00F40AF6"/>
    <w:rsid w:val="00F419AC"/>
    <w:rsid w:val="00F42A22"/>
    <w:rsid w:val="00F45178"/>
    <w:rsid w:val="00F45D9B"/>
    <w:rsid w:val="00F463DD"/>
    <w:rsid w:val="00F4664A"/>
    <w:rsid w:val="00F46DD5"/>
    <w:rsid w:val="00F47ABC"/>
    <w:rsid w:val="00F517F7"/>
    <w:rsid w:val="00F51AEA"/>
    <w:rsid w:val="00F5443F"/>
    <w:rsid w:val="00F54F2B"/>
    <w:rsid w:val="00F60DF8"/>
    <w:rsid w:val="00F634AC"/>
    <w:rsid w:val="00F6361F"/>
    <w:rsid w:val="00F6390F"/>
    <w:rsid w:val="00F63AB1"/>
    <w:rsid w:val="00F64D89"/>
    <w:rsid w:val="00F64FAD"/>
    <w:rsid w:val="00F65624"/>
    <w:rsid w:val="00F65F13"/>
    <w:rsid w:val="00F73045"/>
    <w:rsid w:val="00F73AFD"/>
    <w:rsid w:val="00F73DD5"/>
    <w:rsid w:val="00F743B7"/>
    <w:rsid w:val="00F75901"/>
    <w:rsid w:val="00F766BA"/>
    <w:rsid w:val="00F76A91"/>
    <w:rsid w:val="00F76EE8"/>
    <w:rsid w:val="00F77F25"/>
    <w:rsid w:val="00F77F4D"/>
    <w:rsid w:val="00F808BA"/>
    <w:rsid w:val="00F818FE"/>
    <w:rsid w:val="00F81EA7"/>
    <w:rsid w:val="00F8288C"/>
    <w:rsid w:val="00F82A9B"/>
    <w:rsid w:val="00F82ACF"/>
    <w:rsid w:val="00F82BE6"/>
    <w:rsid w:val="00F839E4"/>
    <w:rsid w:val="00F84854"/>
    <w:rsid w:val="00F84E19"/>
    <w:rsid w:val="00F863CA"/>
    <w:rsid w:val="00F86ACF"/>
    <w:rsid w:val="00F86CB2"/>
    <w:rsid w:val="00F87950"/>
    <w:rsid w:val="00F903EF"/>
    <w:rsid w:val="00F9265A"/>
    <w:rsid w:val="00F928F6"/>
    <w:rsid w:val="00F92BE9"/>
    <w:rsid w:val="00F95E72"/>
    <w:rsid w:val="00F96048"/>
    <w:rsid w:val="00F971C1"/>
    <w:rsid w:val="00F9739B"/>
    <w:rsid w:val="00F97F12"/>
    <w:rsid w:val="00FA00CF"/>
    <w:rsid w:val="00FA0820"/>
    <w:rsid w:val="00FA3BDC"/>
    <w:rsid w:val="00FA4923"/>
    <w:rsid w:val="00FA6534"/>
    <w:rsid w:val="00FA65CD"/>
    <w:rsid w:val="00FB0644"/>
    <w:rsid w:val="00FB0A3D"/>
    <w:rsid w:val="00FB36AA"/>
    <w:rsid w:val="00FB430F"/>
    <w:rsid w:val="00FB4A8C"/>
    <w:rsid w:val="00FB53DB"/>
    <w:rsid w:val="00FB5DD8"/>
    <w:rsid w:val="00FB7AAF"/>
    <w:rsid w:val="00FC010B"/>
    <w:rsid w:val="00FC1454"/>
    <w:rsid w:val="00FC3D15"/>
    <w:rsid w:val="00FC432D"/>
    <w:rsid w:val="00FC5338"/>
    <w:rsid w:val="00FC5D37"/>
    <w:rsid w:val="00FC6763"/>
    <w:rsid w:val="00FD0A8F"/>
    <w:rsid w:val="00FD1066"/>
    <w:rsid w:val="00FD112F"/>
    <w:rsid w:val="00FD1595"/>
    <w:rsid w:val="00FD27DE"/>
    <w:rsid w:val="00FD3A1A"/>
    <w:rsid w:val="00FD4B8F"/>
    <w:rsid w:val="00FD5BBD"/>
    <w:rsid w:val="00FD605A"/>
    <w:rsid w:val="00FD6892"/>
    <w:rsid w:val="00FD7202"/>
    <w:rsid w:val="00FE0839"/>
    <w:rsid w:val="00FE08B8"/>
    <w:rsid w:val="00FE1190"/>
    <w:rsid w:val="00FE12EA"/>
    <w:rsid w:val="00FE2F2E"/>
    <w:rsid w:val="00FE5251"/>
    <w:rsid w:val="00FE5712"/>
    <w:rsid w:val="00FE5E63"/>
    <w:rsid w:val="00FF0032"/>
    <w:rsid w:val="00FF1913"/>
    <w:rsid w:val="00FF252C"/>
    <w:rsid w:val="00FF3A44"/>
    <w:rsid w:val="00FF3CF5"/>
    <w:rsid w:val="00FF404E"/>
    <w:rsid w:val="00FF4973"/>
    <w:rsid w:val="00FF6B97"/>
    <w:rsid w:val="00FF71DD"/>
    <w:rsid w:val="0135489A"/>
    <w:rsid w:val="014F1932"/>
    <w:rsid w:val="019520C0"/>
    <w:rsid w:val="01C87209"/>
    <w:rsid w:val="023B13DE"/>
    <w:rsid w:val="02796EE9"/>
    <w:rsid w:val="02C00D32"/>
    <w:rsid w:val="03182F24"/>
    <w:rsid w:val="0322716C"/>
    <w:rsid w:val="035B2EB0"/>
    <w:rsid w:val="03FB5714"/>
    <w:rsid w:val="049D4DC3"/>
    <w:rsid w:val="04FE03E2"/>
    <w:rsid w:val="054110DE"/>
    <w:rsid w:val="055112E5"/>
    <w:rsid w:val="05EB0163"/>
    <w:rsid w:val="0672134B"/>
    <w:rsid w:val="067A0762"/>
    <w:rsid w:val="06DF5F92"/>
    <w:rsid w:val="072D161F"/>
    <w:rsid w:val="07893F54"/>
    <w:rsid w:val="07AE53FD"/>
    <w:rsid w:val="07D7789C"/>
    <w:rsid w:val="083D0023"/>
    <w:rsid w:val="0918777A"/>
    <w:rsid w:val="092D02F6"/>
    <w:rsid w:val="095468AE"/>
    <w:rsid w:val="0978298E"/>
    <w:rsid w:val="09DC6402"/>
    <w:rsid w:val="0A76291B"/>
    <w:rsid w:val="0A9E1BBE"/>
    <w:rsid w:val="0B1166D4"/>
    <w:rsid w:val="0B147253"/>
    <w:rsid w:val="0B9C34A5"/>
    <w:rsid w:val="0BF210A9"/>
    <w:rsid w:val="0BF8183D"/>
    <w:rsid w:val="0C895F49"/>
    <w:rsid w:val="0D5309C2"/>
    <w:rsid w:val="0D594C60"/>
    <w:rsid w:val="0DE12317"/>
    <w:rsid w:val="0DEC1ACF"/>
    <w:rsid w:val="0E281FF0"/>
    <w:rsid w:val="0EF47643"/>
    <w:rsid w:val="0FAF5111"/>
    <w:rsid w:val="10251185"/>
    <w:rsid w:val="10F91C72"/>
    <w:rsid w:val="11991558"/>
    <w:rsid w:val="11B925A1"/>
    <w:rsid w:val="127B1BAF"/>
    <w:rsid w:val="12E41F52"/>
    <w:rsid w:val="12E75D51"/>
    <w:rsid w:val="13CA6431"/>
    <w:rsid w:val="13E26DD3"/>
    <w:rsid w:val="14B80A24"/>
    <w:rsid w:val="14E35164"/>
    <w:rsid w:val="15073DC6"/>
    <w:rsid w:val="15783128"/>
    <w:rsid w:val="15F30F9A"/>
    <w:rsid w:val="16DC7D52"/>
    <w:rsid w:val="175B2B39"/>
    <w:rsid w:val="17D20587"/>
    <w:rsid w:val="1829010A"/>
    <w:rsid w:val="18492826"/>
    <w:rsid w:val="186B47ED"/>
    <w:rsid w:val="186F2C41"/>
    <w:rsid w:val="187226E8"/>
    <w:rsid w:val="18FA6536"/>
    <w:rsid w:val="194D6BB7"/>
    <w:rsid w:val="1A151084"/>
    <w:rsid w:val="1B3250C9"/>
    <w:rsid w:val="1B825A4B"/>
    <w:rsid w:val="1C1E3583"/>
    <w:rsid w:val="1C8A1A6B"/>
    <w:rsid w:val="1CE2513F"/>
    <w:rsid w:val="1D271951"/>
    <w:rsid w:val="1D8D01E5"/>
    <w:rsid w:val="1DC54B06"/>
    <w:rsid w:val="1E6F2D39"/>
    <w:rsid w:val="1E7D27ED"/>
    <w:rsid w:val="1EE912B5"/>
    <w:rsid w:val="1F852A20"/>
    <w:rsid w:val="206511DF"/>
    <w:rsid w:val="20F81EE3"/>
    <w:rsid w:val="216E2B81"/>
    <w:rsid w:val="21EC35DC"/>
    <w:rsid w:val="21F96F18"/>
    <w:rsid w:val="224A6B01"/>
    <w:rsid w:val="230041FE"/>
    <w:rsid w:val="23B00A14"/>
    <w:rsid w:val="23B96680"/>
    <w:rsid w:val="241F6F8C"/>
    <w:rsid w:val="248F5A8E"/>
    <w:rsid w:val="252B78C7"/>
    <w:rsid w:val="254433B0"/>
    <w:rsid w:val="254A2E3C"/>
    <w:rsid w:val="25886CE3"/>
    <w:rsid w:val="25CC549F"/>
    <w:rsid w:val="264B065B"/>
    <w:rsid w:val="272756F4"/>
    <w:rsid w:val="283F1638"/>
    <w:rsid w:val="28773398"/>
    <w:rsid w:val="289437A2"/>
    <w:rsid w:val="295648D9"/>
    <w:rsid w:val="296D0676"/>
    <w:rsid w:val="29CB7823"/>
    <w:rsid w:val="2A073300"/>
    <w:rsid w:val="2A1945D4"/>
    <w:rsid w:val="2A631EBD"/>
    <w:rsid w:val="2A792554"/>
    <w:rsid w:val="2AF23B9B"/>
    <w:rsid w:val="2AFA0478"/>
    <w:rsid w:val="2B16278C"/>
    <w:rsid w:val="2BD00679"/>
    <w:rsid w:val="2BD645A0"/>
    <w:rsid w:val="2C285952"/>
    <w:rsid w:val="2CA8280F"/>
    <w:rsid w:val="2D12581F"/>
    <w:rsid w:val="2D344CBA"/>
    <w:rsid w:val="2D4549FB"/>
    <w:rsid w:val="2DC66F4D"/>
    <w:rsid w:val="2DE03988"/>
    <w:rsid w:val="2E404434"/>
    <w:rsid w:val="2E456CAA"/>
    <w:rsid w:val="2EAE7E16"/>
    <w:rsid w:val="2EB15996"/>
    <w:rsid w:val="2FCF166D"/>
    <w:rsid w:val="300D7290"/>
    <w:rsid w:val="30572D4A"/>
    <w:rsid w:val="30C74F15"/>
    <w:rsid w:val="31153DFD"/>
    <w:rsid w:val="31C978CD"/>
    <w:rsid w:val="32195D2C"/>
    <w:rsid w:val="324D1AE0"/>
    <w:rsid w:val="328E49CA"/>
    <w:rsid w:val="331962E7"/>
    <w:rsid w:val="33437A44"/>
    <w:rsid w:val="337B7920"/>
    <w:rsid w:val="33C55A17"/>
    <w:rsid w:val="34BC25F5"/>
    <w:rsid w:val="34D350C0"/>
    <w:rsid w:val="35000F5B"/>
    <w:rsid w:val="3520636A"/>
    <w:rsid w:val="353F228D"/>
    <w:rsid w:val="36272836"/>
    <w:rsid w:val="36557519"/>
    <w:rsid w:val="366C4ECD"/>
    <w:rsid w:val="37EB4CFF"/>
    <w:rsid w:val="37F26769"/>
    <w:rsid w:val="38403759"/>
    <w:rsid w:val="392702A0"/>
    <w:rsid w:val="39420AD9"/>
    <w:rsid w:val="397A5698"/>
    <w:rsid w:val="39854576"/>
    <w:rsid w:val="3A2E26E8"/>
    <w:rsid w:val="3A9F1B93"/>
    <w:rsid w:val="3BFC619E"/>
    <w:rsid w:val="3C1C5FC0"/>
    <w:rsid w:val="3C30641D"/>
    <w:rsid w:val="3CB855EF"/>
    <w:rsid w:val="3CEA7F77"/>
    <w:rsid w:val="3D6048F1"/>
    <w:rsid w:val="3D6F1553"/>
    <w:rsid w:val="3DC37AF7"/>
    <w:rsid w:val="3DF87437"/>
    <w:rsid w:val="3E204E47"/>
    <w:rsid w:val="3E31034C"/>
    <w:rsid w:val="3E6A3987"/>
    <w:rsid w:val="3F01577E"/>
    <w:rsid w:val="3F925020"/>
    <w:rsid w:val="3F9A6301"/>
    <w:rsid w:val="3FDA70E8"/>
    <w:rsid w:val="3FE77D72"/>
    <w:rsid w:val="3FE95125"/>
    <w:rsid w:val="402019D6"/>
    <w:rsid w:val="414B0FFC"/>
    <w:rsid w:val="41636D74"/>
    <w:rsid w:val="42551474"/>
    <w:rsid w:val="428A13F5"/>
    <w:rsid w:val="429D09A7"/>
    <w:rsid w:val="433338AB"/>
    <w:rsid w:val="43D10F39"/>
    <w:rsid w:val="43DA6404"/>
    <w:rsid w:val="43FF5FB3"/>
    <w:rsid w:val="447048E5"/>
    <w:rsid w:val="44B478EF"/>
    <w:rsid w:val="4513560C"/>
    <w:rsid w:val="457363B0"/>
    <w:rsid w:val="458C4844"/>
    <w:rsid w:val="46F9555B"/>
    <w:rsid w:val="47E40F5B"/>
    <w:rsid w:val="48DC3230"/>
    <w:rsid w:val="49BC42C1"/>
    <w:rsid w:val="49BF4FB3"/>
    <w:rsid w:val="4AA41144"/>
    <w:rsid w:val="4AF62551"/>
    <w:rsid w:val="4B283107"/>
    <w:rsid w:val="4B296B88"/>
    <w:rsid w:val="4B3F0816"/>
    <w:rsid w:val="4BB371D5"/>
    <w:rsid w:val="4BD12573"/>
    <w:rsid w:val="4C221A71"/>
    <w:rsid w:val="4D2874AC"/>
    <w:rsid w:val="4D2E4493"/>
    <w:rsid w:val="4DE3314A"/>
    <w:rsid w:val="4E2650B0"/>
    <w:rsid w:val="4E9303CD"/>
    <w:rsid w:val="4EDD6BFB"/>
    <w:rsid w:val="4F222614"/>
    <w:rsid w:val="4F545EDF"/>
    <w:rsid w:val="4FDF1EF1"/>
    <w:rsid w:val="50227F68"/>
    <w:rsid w:val="50BD4884"/>
    <w:rsid w:val="50C42F74"/>
    <w:rsid w:val="520849C5"/>
    <w:rsid w:val="522A07BD"/>
    <w:rsid w:val="52A648BC"/>
    <w:rsid w:val="52BA0E16"/>
    <w:rsid w:val="52F6350D"/>
    <w:rsid w:val="534E3108"/>
    <w:rsid w:val="53FC2236"/>
    <w:rsid w:val="54067B77"/>
    <w:rsid w:val="54A84708"/>
    <w:rsid w:val="54C445DD"/>
    <w:rsid w:val="54F14B16"/>
    <w:rsid w:val="55710E46"/>
    <w:rsid w:val="562978FF"/>
    <w:rsid w:val="563B51C1"/>
    <w:rsid w:val="56E90994"/>
    <w:rsid w:val="57921776"/>
    <w:rsid w:val="57F43FF1"/>
    <w:rsid w:val="582A43F0"/>
    <w:rsid w:val="58D30ABC"/>
    <w:rsid w:val="59186376"/>
    <w:rsid w:val="59873CFB"/>
    <w:rsid w:val="599F713D"/>
    <w:rsid w:val="59B365A5"/>
    <w:rsid w:val="5A120F5E"/>
    <w:rsid w:val="5A4A5D4E"/>
    <w:rsid w:val="5A7860C8"/>
    <w:rsid w:val="5B9C7631"/>
    <w:rsid w:val="5C637A52"/>
    <w:rsid w:val="5D36148D"/>
    <w:rsid w:val="5D76348E"/>
    <w:rsid w:val="5D992BD6"/>
    <w:rsid w:val="5DE64D10"/>
    <w:rsid w:val="5E0B6B63"/>
    <w:rsid w:val="5E341DEB"/>
    <w:rsid w:val="5E49088B"/>
    <w:rsid w:val="5E4C516F"/>
    <w:rsid w:val="5E4E265B"/>
    <w:rsid w:val="5EC46E9C"/>
    <w:rsid w:val="5ECC361A"/>
    <w:rsid w:val="60C55326"/>
    <w:rsid w:val="61102961"/>
    <w:rsid w:val="61262B7F"/>
    <w:rsid w:val="6155020D"/>
    <w:rsid w:val="626B102F"/>
    <w:rsid w:val="62A96C32"/>
    <w:rsid w:val="62D7578B"/>
    <w:rsid w:val="63006356"/>
    <w:rsid w:val="632D6AD9"/>
    <w:rsid w:val="640D0C1C"/>
    <w:rsid w:val="64932C14"/>
    <w:rsid w:val="66823E89"/>
    <w:rsid w:val="6722580D"/>
    <w:rsid w:val="6744558A"/>
    <w:rsid w:val="67447F2F"/>
    <w:rsid w:val="67B07C77"/>
    <w:rsid w:val="6888287F"/>
    <w:rsid w:val="69BB1B2E"/>
    <w:rsid w:val="69BB3A8D"/>
    <w:rsid w:val="6A1D2337"/>
    <w:rsid w:val="6A295C8F"/>
    <w:rsid w:val="6B7053C9"/>
    <w:rsid w:val="6CE27476"/>
    <w:rsid w:val="6CF07939"/>
    <w:rsid w:val="6CFD7B37"/>
    <w:rsid w:val="6D3044E5"/>
    <w:rsid w:val="6D404D2E"/>
    <w:rsid w:val="6D407108"/>
    <w:rsid w:val="6E011E70"/>
    <w:rsid w:val="6E5441E8"/>
    <w:rsid w:val="6EC51FB8"/>
    <w:rsid w:val="6F777829"/>
    <w:rsid w:val="704D5DF8"/>
    <w:rsid w:val="70A30E1A"/>
    <w:rsid w:val="70BB1563"/>
    <w:rsid w:val="71273E94"/>
    <w:rsid w:val="71486CDC"/>
    <w:rsid w:val="71655EEF"/>
    <w:rsid w:val="71A823B0"/>
    <w:rsid w:val="721E5231"/>
    <w:rsid w:val="728209D2"/>
    <w:rsid w:val="72A30533"/>
    <w:rsid w:val="735A6C32"/>
    <w:rsid w:val="736A61E4"/>
    <w:rsid w:val="73CD1A29"/>
    <w:rsid w:val="73FE635A"/>
    <w:rsid w:val="740A6329"/>
    <w:rsid w:val="7432401B"/>
    <w:rsid w:val="7465649E"/>
    <w:rsid w:val="74B0633C"/>
    <w:rsid w:val="753C5723"/>
    <w:rsid w:val="755A71CC"/>
    <w:rsid w:val="75C616E8"/>
    <w:rsid w:val="7628249A"/>
    <w:rsid w:val="763F5D0B"/>
    <w:rsid w:val="76AA7DA1"/>
    <w:rsid w:val="788F1B1F"/>
    <w:rsid w:val="78C64DC2"/>
    <w:rsid w:val="791329C6"/>
    <w:rsid w:val="79793626"/>
    <w:rsid w:val="79956EC5"/>
    <w:rsid w:val="799C6B4C"/>
    <w:rsid w:val="7ADC2B81"/>
    <w:rsid w:val="7BFF3037"/>
    <w:rsid w:val="7C8F7FD1"/>
    <w:rsid w:val="7D173F72"/>
    <w:rsid w:val="7D3D371A"/>
    <w:rsid w:val="7DC750F7"/>
    <w:rsid w:val="7DE86B28"/>
    <w:rsid w:val="7DFA1338"/>
    <w:rsid w:val="7E74183B"/>
    <w:rsid w:val="7EA03E93"/>
    <w:rsid w:val="7EB60FC2"/>
    <w:rsid w:val="7F1346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54"/>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55"/>
    <w:qFormat/>
    <w:uiPriority w:val="0"/>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7">
    <w:name w:val="heading 4"/>
    <w:basedOn w:val="1"/>
    <w:next w:val="1"/>
    <w:link w:val="57"/>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58"/>
    <w:qFormat/>
    <w:uiPriority w:val="0"/>
    <w:pPr>
      <w:keepNext/>
      <w:keepLines/>
      <w:spacing w:before="280" w:after="290" w:line="376" w:lineRule="auto"/>
      <w:outlineLvl w:val="4"/>
    </w:pPr>
    <w:rPr>
      <w:b/>
      <w:bCs/>
      <w:sz w:val="28"/>
      <w:szCs w:val="28"/>
    </w:rPr>
  </w:style>
  <w:style w:type="paragraph" w:styleId="9">
    <w:name w:val="heading 6"/>
    <w:basedOn w:val="1"/>
    <w:next w:val="1"/>
    <w:link w:val="59"/>
    <w:qFormat/>
    <w:uiPriority w:val="0"/>
    <w:pPr>
      <w:keepNext/>
      <w:keepLines/>
      <w:spacing w:before="240" w:after="64" w:line="320" w:lineRule="auto"/>
      <w:outlineLvl w:val="5"/>
    </w:pPr>
    <w:rPr>
      <w:rFonts w:ascii="Arial" w:hAnsi="Arial" w:eastAsia="黑体"/>
      <w:b/>
      <w:bCs/>
      <w:sz w:val="24"/>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spacing w:line="360" w:lineRule="auto"/>
      <w:ind w:firstLine="200" w:firstLineChars="200"/>
    </w:pPr>
    <w:rPr>
      <w:sz w:val="24"/>
      <w:szCs w:val="20"/>
    </w:rPr>
  </w:style>
  <w:style w:type="paragraph" w:styleId="6">
    <w:name w:val="Normal Indent"/>
    <w:basedOn w:val="1"/>
    <w:link w:val="56"/>
    <w:qFormat/>
    <w:uiPriority w:val="0"/>
    <w:pPr>
      <w:ind w:firstLine="420"/>
    </w:pPr>
    <w:rPr>
      <w:kern w:val="0"/>
      <w:sz w:val="20"/>
      <w:szCs w:val="20"/>
    </w:rPr>
  </w:style>
  <w:style w:type="paragraph" w:styleId="1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index 5"/>
    <w:basedOn w:val="1"/>
    <w:next w:val="1"/>
    <w:semiHidden/>
    <w:unhideWhenUsed/>
    <w:qFormat/>
    <w:uiPriority w:val="99"/>
    <w:pPr>
      <w:ind w:left="800" w:leftChars="800" w:firstLine="0"/>
    </w:pPr>
  </w:style>
  <w:style w:type="paragraph" w:styleId="13">
    <w:name w:val="Document Map"/>
    <w:basedOn w:val="1"/>
    <w:link w:val="60"/>
    <w:unhideWhenUsed/>
    <w:qFormat/>
    <w:uiPriority w:val="0"/>
    <w:rPr>
      <w:rFonts w:ascii="宋体"/>
      <w:kern w:val="0"/>
      <w:sz w:val="18"/>
      <w:szCs w:val="18"/>
    </w:rPr>
  </w:style>
  <w:style w:type="paragraph" w:styleId="14">
    <w:name w:val="annotation text"/>
    <w:basedOn w:val="1"/>
    <w:link w:val="61"/>
    <w:qFormat/>
    <w:uiPriority w:val="0"/>
    <w:pPr>
      <w:jc w:val="left"/>
    </w:pPr>
    <w:rPr>
      <w:kern w:val="0"/>
      <w:sz w:val="20"/>
    </w:rPr>
  </w:style>
  <w:style w:type="paragraph" w:styleId="15">
    <w:name w:val="Body Text 3"/>
    <w:basedOn w:val="1"/>
    <w:link w:val="62"/>
    <w:unhideWhenUsed/>
    <w:qFormat/>
    <w:uiPriority w:val="0"/>
    <w:pPr>
      <w:spacing w:after="120"/>
    </w:pPr>
    <w:rPr>
      <w:sz w:val="16"/>
      <w:szCs w:val="16"/>
    </w:rPr>
  </w:style>
  <w:style w:type="paragraph" w:styleId="16">
    <w:name w:val="Body Text"/>
    <w:basedOn w:val="1"/>
    <w:link w:val="63"/>
    <w:qFormat/>
    <w:uiPriority w:val="0"/>
    <w:pPr>
      <w:spacing w:after="120"/>
    </w:pPr>
    <w:rPr>
      <w:kern w:val="0"/>
      <w:sz w:val="20"/>
    </w:rPr>
  </w:style>
  <w:style w:type="paragraph" w:styleId="17">
    <w:name w:val="Body Text Indent"/>
    <w:basedOn w:val="1"/>
    <w:link w:val="64"/>
    <w:qFormat/>
    <w:uiPriority w:val="0"/>
    <w:pPr>
      <w:spacing w:line="200" w:lineRule="exact"/>
      <w:ind w:firstLine="301"/>
    </w:pPr>
    <w:rPr>
      <w:rFonts w:ascii="宋体" w:hAnsi="Courier New"/>
      <w:spacing w:val="-4"/>
      <w:kern w:val="0"/>
      <w:sz w:val="18"/>
      <w:szCs w:val="20"/>
    </w:rPr>
  </w:style>
  <w:style w:type="paragraph" w:styleId="18">
    <w:name w:val="List Number 3"/>
    <w:basedOn w:val="1"/>
    <w:qFormat/>
    <w:uiPriority w:val="0"/>
    <w:pPr>
      <w:numPr>
        <w:ilvl w:val="0"/>
        <w:numId w:val="1"/>
      </w:numPr>
    </w:pPr>
  </w:style>
  <w:style w:type="paragraph" w:styleId="19">
    <w:name w:val="List 2"/>
    <w:basedOn w:val="1"/>
    <w:qFormat/>
    <w:uiPriority w:val="0"/>
    <w:pPr>
      <w:ind w:left="100" w:leftChars="200" w:hanging="200" w:hangingChars="200"/>
    </w:pPr>
    <w:rPr>
      <w:rFonts w:hint="eastAsia"/>
      <w:sz w:val="28"/>
    </w:rPr>
  </w:style>
  <w:style w:type="paragraph" w:styleId="20">
    <w:name w:val="Block Text"/>
    <w:basedOn w:val="1"/>
    <w:qFormat/>
    <w:uiPriority w:val="0"/>
    <w:pPr>
      <w:spacing w:before="120" w:line="360" w:lineRule="auto"/>
      <w:ind w:left="824" w:right="202"/>
    </w:pPr>
    <w:rPr>
      <w:rFonts w:ascii="宋体"/>
      <w:sz w:val="24"/>
      <w:szCs w:val="21"/>
    </w:rPr>
  </w:style>
  <w:style w:type="paragraph" w:styleId="21">
    <w:name w:val="toc 3"/>
    <w:basedOn w:val="1"/>
    <w:next w:val="1"/>
    <w:qFormat/>
    <w:uiPriority w:val="39"/>
    <w:pPr>
      <w:ind w:left="840" w:leftChars="400"/>
    </w:pPr>
  </w:style>
  <w:style w:type="paragraph" w:styleId="22">
    <w:name w:val="Plain Text"/>
    <w:basedOn w:val="1"/>
    <w:link w:val="65"/>
    <w:qFormat/>
    <w:uiPriority w:val="0"/>
    <w:rPr>
      <w:rFonts w:ascii="宋体" w:hAnsi="Courier New"/>
      <w:kern w:val="0"/>
      <w:sz w:val="20"/>
      <w:szCs w:val="20"/>
    </w:rPr>
  </w:style>
  <w:style w:type="paragraph" w:styleId="23">
    <w:name w:val="toc 8"/>
    <w:basedOn w:val="1"/>
    <w:next w:val="1"/>
    <w:qFormat/>
    <w:uiPriority w:val="0"/>
    <w:pPr>
      <w:ind w:left="1470"/>
    </w:pPr>
    <w:rPr>
      <w:rFonts w:ascii="仿宋_GB2312" w:eastAsia="仿宋_GB2312"/>
      <w:sz w:val="18"/>
      <w:szCs w:val="18"/>
    </w:rPr>
  </w:style>
  <w:style w:type="paragraph" w:styleId="24">
    <w:name w:val="Date"/>
    <w:basedOn w:val="1"/>
    <w:next w:val="1"/>
    <w:link w:val="66"/>
    <w:qFormat/>
    <w:uiPriority w:val="0"/>
    <w:pPr>
      <w:ind w:left="2500" w:leftChars="2500"/>
    </w:pPr>
    <w:rPr>
      <w:rFonts w:eastAsia="楷体_GB2312"/>
      <w:kern w:val="0"/>
      <w:sz w:val="32"/>
      <w:szCs w:val="20"/>
    </w:rPr>
  </w:style>
  <w:style w:type="paragraph" w:styleId="25">
    <w:name w:val="Body Text Indent 2"/>
    <w:basedOn w:val="1"/>
    <w:link w:val="67"/>
    <w:qFormat/>
    <w:uiPriority w:val="0"/>
    <w:pPr>
      <w:spacing w:after="120" w:line="480" w:lineRule="auto"/>
      <w:ind w:left="420" w:leftChars="200"/>
    </w:pPr>
    <w:rPr>
      <w:kern w:val="0"/>
      <w:sz w:val="20"/>
    </w:rPr>
  </w:style>
  <w:style w:type="paragraph" w:styleId="26">
    <w:name w:val="Balloon Text"/>
    <w:basedOn w:val="1"/>
    <w:link w:val="68"/>
    <w:qFormat/>
    <w:uiPriority w:val="0"/>
    <w:rPr>
      <w:kern w:val="0"/>
      <w:sz w:val="18"/>
      <w:szCs w:val="18"/>
    </w:rPr>
  </w:style>
  <w:style w:type="paragraph" w:styleId="27">
    <w:name w:val="footer"/>
    <w:basedOn w:val="1"/>
    <w:link w:val="69"/>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0"/>
    <w:pPr>
      <w:tabs>
        <w:tab w:val="right" w:leader="dot" w:pos="8302"/>
      </w:tabs>
    </w:pPr>
    <w:rPr>
      <w:b/>
      <w:sz w:val="28"/>
      <w:szCs w:val="28"/>
    </w:rPr>
  </w:style>
  <w:style w:type="paragraph" w:styleId="30">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link w:val="72"/>
    <w:qFormat/>
    <w:uiPriority w:val="0"/>
    <w:pPr>
      <w:ind w:left="200" w:hanging="200" w:hangingChars="200"/>
    </w:pPr>
  </w:style>
  <w:style w:type="paragraph" w:styleId="32">
    <w:name w:val="toc 6"/>
    <w:basedOn w:val="1"/>
    <w:next w:val="1"/>
    <w:qFormat/>
    <w:uiPriority w:val="0"/>
    <w:pPr>
      <w:ind w:left="1050"/>
    </w:pPr>
    <w:rPr>
      <w:rFonts w:ascii="仿宋_GB2312" w:eastAsia="仿宋_GB2312"/>
      <w:sz w:val="18"/>
      <w:szCs w:val="18"/>
    </w:rPr>
  </w:style>
  <w:style w:type="paragraph" w:styleId="33">
    <w:name w:val="Body Text Indent 3"/>
    <w:basedOn w:val="1"/>
    <w:link w:val="73"/>
    <w:qFormat/>
    <w:uiPriority w:val="0"/>
    <w:pPr>
      <w:snapToGrid w:val="0"/>
      <w:ind w:firstLine="480" w:firstLineChars="200"/>
      <w:jc w:val="left"/>
    </w:pPr>
    <w:rPr>
      <w:rFonts w:ascii="仿宋_GB2312" w:hAnsi="宋体" w:eastAsia="仿宋_GB2312"/>
      <w:color w:val="000000"/>
      <w:sz w:val="24"/>
    </w:rPr>
  </w:style>
  <w:style w:type="paragraph" w:styleId="34">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35">
    <w:name w:val="toc 2"/>
    <w:basedOn w:val="1"/>
    <w:next w:val="1"/>
    <w:qFormat/>
    <w:uiPriority w:val="0"/>
    <w:pPr>
      <w:tabs>
        <w:tab w:val="right" w:leader="dot" w:pos="8302"/>
      </w:tabs>
      <w:ind w:left="420" w:leftChars="200"/>
    </w:pPr>
    <w:rPr>
      <w:rFonts w:hAnsi="宋体"/>
      <w:b/>
      <w:sz w:val="28"/>
      <w:szCs w:val="28"/>
    </w:rPr>
  </w:style>
  <w:style w:type="paragraph" w:styleId="36">
    <w:name w:val="Body Text 2"/>
    <w:basedOn w:val="1"/>
    <w:link w:val="74"/>
    <w:qFormat/>
    <w:uiPriority w:val="0"/>
    <w:pPr>
      <w:spacing w:after="120" w:line="480" w:lineRule="auto"/>
    </w:pPr>
    <w:rPr>
      <w:kern w:val="0"/>
      <w:sz w:val="20"/>
    </w:rPr>
  </w:style>
  <w:style w:type="paragraph" w:styleId="37">
    <w:name w:val="HTML Preformatted"/>
    <w:basedOn w:val="1"/>
    <w:link w:val="75"/>
    <w:qFormat/>
    <w:uiPriority w:val="99"/>
    <w:rPr>
      <w:rFonts w:ascii="Courier New" w:hAnsi="Courier New"/>
      <w:sz w:val="20"/>
      <w:szCs w:val="20"/>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76"/>
    <w:qFormat/>
    <w:uiPriority w:val="0"/>
    <w:pPr>
      <w:spacing w:before="240" w:after="60"/>
      <w:jc w:val="center"/>
      <w:outlineLvl w:val="0"/>
    </w:pPr>
    <w:rPr>
      <w:rFonts w:ascii="Cambria" w:hAnsi="Cambria"/>
      <w:b/>
      <w:bCs/>
      <w:kern w:val="0"/>
      <w:sz w:val="32"/>
      <w:szCs w:val="32"/>
    </w:rPr>
  </w:style>
  <w:style w:type="paragraph" w:styleId="40">
    <w:name w:val="annotation subject"/>
    <w:basedOn w:val="14"/>
    <w:next w:val="14"/>
    <w:link w:val="77"/>
    <w:qFormat/>
    <w:uiPriority w:val="0"/>
    <w:rPr>
      <w:b/>
      <w:bCs/>
    </w:rPr>
  </w:style>
  <w:style w:type="paragraph" w:styleId="41">
    <w:name w:val="Body Text First Indent"/>
    <w:basedOn w:val="16"/>
    <w:next w:val="32"/>
    <w:link w:val="78"/>
    <w:unhideWhenUsed/>
    <w:qFormat/>
    <w:uiPriority w:val="0"/>
    <w:pPr>
      <w:ind w:firstLine="420" w:firstLineChars="100"/>
    </w:pPr>
    <w:rPr>
      <w:kern w:val="2"/>
      <w:sz w:val="21"/>
    </w:rPr>
  </w:style>
  <w:style w:type="paragraph" w:styleId="42">
    <w:name w:val="Body Text First Indent 2"/>
    <w:basedOn w:val="17"/>
    <w:link w:val="79"/>
    <w:unhideWhenUsed/>
    <w:qFormat/>
    <w:uiPriority w:val="99"/>
    <w:pPr>
      <w:spacing w:after="120" w:line="240" w:lineRule="auto"/>
      <w:ind w:left="420" w:leftChars="200" w:firstLine="420" w:firstLineChars="200"/>
    </w:pPr>
    <w:rPr>
      <w:kern w:val="2"/>
      <w:sz w:val="21"/>
      <w:szCs w:val="24"/>
    </w:rPr>
  </w:style>
  <w:style w:type="table" w:styleId="44">
    <w:name w:val="Table Grid"/>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20"/>
    <w:rPr>
      <w:i/>
      <w:iCs/>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paragraph" w:customStyle="1" w:styleId="52">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character" w:customStyle="1" w:styleId="53">
    <w:name w:val="标题 1 Char"/>
    <w:link w:val="2"/>
    <w:qFormat/>
    <w:uiPriority w:val="9"/>
    <w:rPr>
      <w:rFonts w:ascii="Times New Roman" w:hAnsi="Times New Roman" w:eastAsia="宋体" w:cs="Times New Roman"/>
      <w:b/>
      <w:bCs/>
      <w:kern w:val="44"/>
      <w:sz w:val="44"/>
      <w:szCs w:val="44"/>
    </w:rPr>
  </w:style>
  <w:style w:type="character" w:customStyle="1" w:styleId="54">
    <w:name w:val="标题 2 Char"/>
    <w:link w:val="3"/>
    <w:qFormat/>
    <w:uiPriority w:val="0"/>
    <w:rPr>
      <w:rFonts w:ascii="仿宋_GB2312" w:hAnsi="Times New Roman" w:eastAsia="仿宋_GB2312" w:cs="Times New Roman"/>
      <w:b/>
      <w:kern w:val="0"/>
      <w:sz w:val="36"/>
      <w:szCs w:val="20"/>
    </w:rPr>
  </w:style>
  <w:style w:type="character" w:customStyle="1" w:styleId="55">
    <w:name w:val="标题 3 Char"/>
    <w:link w:val="5"/>
    <w:qFormat/>
    <w:uiPriority w:val="0"/>
    <w:rPr>
      <w:rFonts w:ascii="仿宋_GB2312" w:hAnsi="Times New Roman" w:eastAsia="仿宋_GB2312" w:cs="Times New Roman"/>
      <w:b/>
      <w:bCs/>
      <w:sz w:val="30"/>
      <w:szCs w:val="20"/>
    </w:rPr>
  </w:style>
  <w:style w:type="character" w:customStyle="1" w:styleId="56">
    <w:name w:val="正文缩进 Char"/>
    <w:link w:val="6"/>
    <w:qFormat/>
    <w:uiPriority w:val="0"/>
    <w:rPr>
      <w:rFonts w:ascii="Times New Roman" w:hAnsi="Times New Roman" w:eastAsia="宋体" w:cs="Times New Roman"/>
      <w:kern w:val="0"/>
      <w:sz w:val="20"/>
      <w:szCs w:val="20"/>
    </w:rPr>
  </w:style>
  <w:style w:type="character" w:customStyle="1" w:styleId="57">
    <w:name w:val="标题 4 Char"/>
    <w:link w:val="7"/>
    <w:qFormat/>
    <w:uiPriority w:val="0"/>
    <w:rPr>
      <w:rFonts w:ascii="Cambria" w:hAnsi="Cambria" w:eastAsia="宋体" w:cs="Times New Roman"/>
      <w:b/>
      <w:bCs/>
      <w:sz w:val="28"/>
      <w:szCs w:val="28"/>
    </w:rPr>
  </w:style>
  <w:style w:type="character" w:customStyle="1" w:styleId="58">
    <w:name w:val="标题 5 Char"/>
    <w:link w:val="8"/>
    <w:qFormat/>
    <w:uiPriority w:val="0"/>
    <w:rPr>
      <w:b/>
      <w:bCs/>
      <w:kern w:val="2"/>
      <w:sz w:val="28"/>
      <w:szCs w:val="28"/>
    </w:rPr>
  </w:style>
  <w:style w:type="character" w:customStyle="1" w:styleId="59">
    <w:name w:val="标题 6 Char"/>
    <w:link w:val="9"/>
    <w:qFormat/>
    <w:uiPriority w:val="0"/>
    <w:rPr>
      <w:rFonts w:ascii="Arial" w:hAnsi="Arial" w:eastAsia="黑体"/>
      <w:b/>
      <w:bCs/>
      <w:kern w:val="2"/>
      <w:sz w:val="24"/>
      <w:szCs w:val="24"/>
    </w:rPr>
  </w:style>
  <w:style w:type="character" w:customStyle="1" w:styleId="60">
    <w:name w:val="文档结构图 Char"/>
    <w:link w:val="13"/>
    <w:qFormat/>
    <w:uiPriority w:val="0"/>
    <w:rPr>
      <w:rFonts w:ascii="宋体" w:hAnsi="Times New Roman" w:eastAsia="宋体" w:cs="Times New Roman"/>
      <w:sz w:val="18"/>
      <w:szCs w:val="18"/>
    </w:rPr>
  </w:style>
  <w:style w:type="character" w:customStyle="1" w:styleId="61">
    <w:name w:val="批注文字 Char"/>
    <w:link w:val="14"/>
    <w:qFormat/>
    <w:uiPriority w:val="0"/>
    <w:rPr>
      <w:rFonts w:ascii="Times New Roman" w:hAnsi="Times New Roman" w:eastAsia="宋体" w:cs="Times New Roman"/>
      <w:szCs w:val="24"/>
    </w:rPr>
  </w:style>
  <w:style w:type="character" w:customStyle="1" w:styleId="62">
    <w:name w:val="正文文本 3 Char"/>
    <w:link w:val="15"/>
    <w:qFormat/>
    <w:uiPriority w:val="0"/>
    <w:rPr>
      <w:kern w:val="2"/>
      <w:sz w:val="16"/>
      <w:szCs w:val="16"/>
    </w:rPr>
  </w:style>
  <w:style w:type="character" w:customStyle="1" w:styleId="63">
    <w:name w:val="正文文本 Char"/>
    <w:link w:val="16"/>
    <w:qFormat/>
    <w:uiPriority w:val="0"/>
    <w:rPr>
      <w:rFonts w:ascii="Times New Roman" w:hAnsi="Times New Roman" w:eastAsia="宋体" w:cs="Times New Roman"/>
      <w:szCs w:val="24"/>
    </w:rPr>
  </w:style>
  <w:style w:type="character" w:customStyle="1" w:styleId="64">
    <w:name w:val="正文文本缩进 Char"/>
    <w:link w:val="17"/>
    <w:qFormat/>
    <w:uiPriority w:val="0"/>
    <w:rPr>
      <w:rFonts w:ascii="宋体" w:hAnsi="Courier New" w:eastAsia="宋体" w:cs="Times New Roman"/>
      <w:spacing w:val="-4"/>
      <w:sz w:val="18"/>
      <w:szCs w:val="20"/>
    </w:rPr>
  </w:style>
  <w:style w:type="character" w:customStyle="1" w:styleId="65">
    <w:name w:val="纯文本 Char2"/>
    <w:link w:val="22"/>
    <w:qFormat/>
    <w:uiPriority w:val="0"/>
    <w:rPr>
      <w:rFonts w:ascii="宋体" w:hAnsi="Courier New" w:eastAsia="宋体" w:cs="Times New Roman"/>
      <w:szCs w:val="20"/>
    </w:rPr>
  </w:style>
  <w:style w:type="character" w:customStyle="1" w:styleId="66">
    <w:name w:val="日期 Char"/>
    <w:link w:val="24"/>
    <w:qFormat/>
    <w:uiPriority w:val="0"/>
    <w:rPr>
      <w:rFonts w:ascii="Times New Roman" w:hAnsi="Times New Roman" w:eastAsia="楷体_GB2312" w:cs="Times New Roman"/>
      <w:sz w:val="32"/>
      <w:szCs w:val="20"/>
    </w:rPr>
  </w:style>
  <w:style w:type="character" w:customStyle="1" w:styleId="67">
    <w:name w:val="正文文本缩进 2 Char"/>
    <w:link w:val="25"/>
    <w:qFormat/>
    <w:uiPriority w:val="0"/>
    <w:rPr>
      <w:rFonts w:ascii="Times New Roman" w:hAnsi="Times New Roman" w:eastAsia="宋体" w:cs="Times New Roman"/>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eastAsia="宋体" w:cs="Times New Roman"/>
      <w:sz w:val="18"/>
      <w:szCs w:val="18"/>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副标题 Char"/>
    <w:link w:val="30"/>
    <w:qFormat/>
    <w:uiPriority w:val="0"/>
    <w:rPr>
      <w:rFonts w:ascii="Cambria" w:hAnsi="Cambria"/>
      <w:b/>
      <w:bCs/>
      <w:kern w:val="28"/>
      <w:sz w:val="32"/>
      <w:szCs w:val="32"/>
    </w:rPr>
  </w:style>
  <w:style w:type="character" w:customStyle="1" w:styleId="72">
    <w:name w:val="列表 Char"/>
    <w:link w:val="31"/>
    <w:qFormat/>
    <w:uiPriority w:val="0"/>
    <w:rPr>
      <w:kern w:val="2"/>
      <w:sz w:val="21"/>
      <w:szCs w:val="24"/>
    </w:rPr>
  </w:style>
  <w:style w:type="character" w:customStyle="1" w:styleId="73">
    <w:name w:val="正文文本缩进 3 Char"/>
    <w:link w:val="33"/>
    <w:qFormat/>
    <w:uiPriority w:val="0"/>
    <w:rPr>
      <w:rFonts w:ascii="仿宋_GB2312" w:hAnsi="宋体" w:eastAsia="仿宋_GB2312"/>
      <w:color w:val="000000"/>
      <w:kern w:val="2"/>
      <w:sz w:val="24"/>
      <w:szCs w:val="24"/>
    </w:rPr>
  </w:style>
  <w:style w:type="character" w:customStyle="1" w:styleId="74">
    <w:name w:val="正文文本 2 Char"/>
    <w:link w:val="36"/>
    <w:qFormat/>
    <w:uiPriority w:val="0"/>
    <w:rPr>
      <w:szCs w:val="24"/>
    </w:rPr>
  </w:style>
  <w:style w:type="character" w:customStyle="1" w:styleId="75">
    <w:name w:val="HTML 预设格式 Char1"/>
    <w:link w:val="37"/>
    <w:semiHidden/>
    <w:qFormat/>
    <w:uiPriority w:val="99"/>
    <w:rPr>
      <w:rFonts w:ascii="Courier New" w:hAnsi="Courier New" w:cs="Courier New"/>
      <w:kern w:val="2"/>
    </w:rPr>
  </w:style>
  <w:style w:type="character" w:customStyle="1" w:styleId="76">
    <w:name w:val="标题 Char"/>
    <w:link w:val="39"/>
    <w:qFormat/>
    <w:uiPriority w:val="0"/>
    <w:rPr>
      <w:rFonts w:ascii="Cambria" w:hAnsi="Cambria"/>
      <w:b/>
      <w:bCs/>
      <w:sz w:val="32"/>
      <w:szCs w:val="32"/>
    </w:rPr>
  </w:style>
  <w:style w:type="character" w:customStyle="1" w:styleId="77">
    <w:name w:val="批注主题 Char"/>
    <w:link w:val="40"/>
    <w:qFormat/>
    <w:uiPriority w:val="0"/>
    <w:rPr>
      <w:rFonts w:ascii="Times New Roman" w:hAnsi="Times New Roman" w:eastAsia="宋体" w:cs="Times New Roman"/>
      <w:b/>
      <w:bCs/>
      <w:szCs w:val="24"/>
    </w:rPr>
  </w:style>
  <w:style w:type="character" w:customStyle="1" w:styleId="78">
    <w:name w:val="正文首行缩进 Char"/>
    <w:link w:val="41"/>
    <w:qFormat/>
    <w:uiPriority w:val="0"/>
    <w:rPr>
      <w:rFonts w:ascii="Times New Roman" w:hAnsi="Times New Roman" w:eastAsia="宋体" w:cs="Times New Roman"/>
      <w:kern w:val="2"/>
      <w:sz w:val="21"/>
      <w:szCs w:val="24"/>
    </w:rPr>
  </w:style>
  <w:style w:type="character" w:customStyle="1" w:styleId="79">
    <w:name w:val="正文首行缩进 2 Char"/>
    <w:link w:val="42"/>
    <w:semiHidden/>
    <w:qFormat/>
    <w:uiPriority w:val="99"/>
    <w:rPr>
      <w:rFonts w:ascii="宋体" w:hAnsi="Courier New" w:eastAsia="宋体" w:cs="Times New Roman"/>
      <w:spacing w:val="-4"/>
      <w:kern w:val="2"/>
      <w:sz w:val="21"/>
      <w:szCs w:val="24"/>
    </w:rPr>
  </w:style>
  <w:style w:type="paragraph" w:customStyle="1" w:styleId="80">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1">
    <w:name w:val="a Char"/>
    <w:link w:val="82"/>
    <w:qFormat/>
    <w:uiPriority w:val="0"/>
    <w:rPr>
      <w:rFonts w:ascii="宋体" w:hAnsi="宋体" w:eastAsia="仿宋_GB2312"/>
      <w:sz w:val="24"/>
    </w:rPr>
  </w:style>
  <w:style w:type="paragraph" w:customStyle="1" w:styleId="82">
    <w:name w:val="a"/>
    <w:basedOn w:val="1"/>
    <w:link w:val="81"/>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83">
    <w:name w:val="font61"/>
    <w:qFormat/>
    <w:uiPriority w:val="0"/>
    <w:rPr>
      <w:rFonts w:hint="eastAsia" w:ascii="黑体" w:hAnsi="宋体" w:eastAsia="黑体" w:cs="黑体"/>
      <w:color w:val="000000"/>
      <w:sz w:val="20"/>
      <w:szCs w:val="20"/>
      <w:u w:val="none"/>
    </w:rPr>
  </w:style>
  <w:style w:type="character" w:customStyle="1" w:styleId="84">
    <w:name w:val="font131"/>
    <w:qFormat/>
    <w:uiPriority w:val="0"/>
    <w:rPr>
      <w:rFonts w:hint="eastAsia" w:ascii="宋体" w:hAnsi="宋体" w:eastAsia="宋体" w:cs="宋体"/>
      <w:color w:val="000000"/>
      <w:sz w:val="22"/>
      <w:szCs w:val="22"/>
      <w:u w:val="none"/>
    </w:rPr>
  </w:style>
  <w:style w:type="character" w:customStyle="1" w:styleId="85">
    <w:name w:val="font141"/>
    <w:qFormat/>
    <w:uiPriority w:val="0"/>
    <w:rPr>
      <w:rFonts w:ascii="宋体" w:hAnsi="宋体" w:eastAsia="宋体" w:cs="宋体"/>
      <w:color w:val="000000"/>
      <w:sz w:val="20"/>
      <w:szCs w:val="20"/>
      <w:u w:val="none"/>
    </w:rPr>
  </w:style>
  <w:style w:type="character" w:customStyle="1" w:styleId="86">
    <w:name w:val="纯文本 Char Char Char"/>
    <w:qFormat/>
    <w:uiPriority w:val="0"/>
    <w:rPr>
      <w:rFonts w:ascii="宋体" w:hAnsi="Courier New" w:eastAsia="宋体"/>
      <w:kern w:val="2"/>
      <w:sz w:val="21"/>
      <w:lang w:val="en-US" w:eastAsia="zh-CN" w:bidi="ar-SA"/>
    </w:rPr>
  </w:style>
  <w:style w:type="character" w:customStyle="1" w:styleId="87">
    <w:name w:val="副标题 Char1"/>
    <w:qFormat/>
    <w:uiPriority w:val="11"/>
    <w:rPr>
      <w:rFonts w:ascii="Cambria" w:hAnsi="Cambria" w:cs="Times New Roman"/>
      <w:b/>
      <w:bCs/>
      <w:kern w:val="28"/>
      <w:sz w:val="32"/>
      <w:szCs w:val="32"/>
    </w:rPr>
  </w:style>
  <w:style w:type="character" w:customStyle="1" w:styleId="88">
    <w:name w:val="font51"/>
    <w:qFormat/>
    <w:uiPriority w:val="0"/>
    <w:rPr>
      <w:rFonts w:hint="default" w:ascii="Times New Roman" w:hAnsi="Times New Roman" w:cs="Times New Roman"/>
      <w:color w:val="000000"/>
      <w:sz w:val="22"/>
      <w:szCs w:val="22"/>
      <w:u w:val="none"/>
    </w:rPr>
  </w:style>
  <w:style w:type="character" w:customStyle="1" w:styleId="89">
    <w:name w:val="font91"/>
    <w:qFormat/>
    <w:uiPriority w:val="0"/>
    <w:rPr>
      <w:rFonts w:hint="eastAsia" w:ascii="宋体" w:hAnsi="宋体" w:eastAsia="宋体" w:cs="宋体"/>
      <w:b/>
      <w:color w:val="000000"/>
      <w:sz w:val="22"/>
      <w:szCs w:val="22"/>
      <w:u w:val="none"/>
    </w:rPr>
  </w:style>
  <w:style w:type="character" w:customStyle="1" w:styleId="90">
    <w:name w:val="unnamed1"/>
    <w:basedOn w:val="45"/>
    <w:qFormat/>
    <w:uiPriority w:val="0"/>
  </w:style>
  <w:style w:type="character" w:customStyle="1" w:styleId="91">
    <w:name w:val="纯文本 Char"/>
    <w:qFormat/>
    <w:uiPriority w:val="0"/>
    <w:rPr>
      <w:rFonts w:ascii="宋体" w:hAnsi="Courier New" w:eastAsia="宋体" w:cs="Courier New"/>
      <w:szCs w:val="21"/>
    </w:rPr>
  </w:style>
  <w:style w:type="character" w:customStyle="1" w:styleId="92">
    <w:name w:val="标题 1 Char Char"/>
    <w:qFormat/>
    <w:uiPriority w:val="0"/>
    <w:rPr>
      <w:rFonts w:eastAsia="宋体"/>
      <w:b/>
      <w:spacing w:val="-2"/>
      <w:sz w:val="24"/>
      <w:lang w:val="en-US" w:eastAsia="zh-CN" w:bidi="ar-SA"/>
    </w:rPr>
  </w:style>
  <w:style w:type="character" w:customStyle="1" w:styleId="93">
    <w:name w:val="Char Char"/>
    <w:qFormat/>
    <w:uiPriority w:val="0"/>
    <w:rPr>
      <w:rFonts w:ascii="宋体" w:hAnsi="Courier New" w:eastAsia="宋体"/>
      <w:kern w:val="2"/>
      <w:sz w:val="21"/>
      <w:lang w:val="en-US" w:eastAsia="zh-CN" w:bidi="ar-SA"/>
    </w:rPr>
  </w:style>
  <w:style w:type="character" w:customStyle="1" w:styleId="94">
    <w:name w:val="日期 Char2"/>
    <w:qFormat/>
    <w:uiPriority w:val="0"/>
    <w:rPr>
      <w:rFonts w:ascii="Times New Roman" w:hAnsi="Times New Roman" w:eastAsia="楷体_GB2312" w:cs="Times New Roman"/>
      <w:kern w:val="2"/>
      <w:sz w:val="32"/>
    </w:rPr>
  </w:style>
  <w:style w:type="character" w:customStyle="1" w:styleId="95">
    <w:name w:val="font11"/>
    <w:basedOn w:val="45"/>
    <w:qFormat/>
    <w:uiPriority w:val="0"/>
    <w:rPr>
      <w:rFonts w:hint="eastAsia" w:ascii="宋体" w:hAnsi="宋体" w:eastAsia="宋体" w:cs="宋体"/>
      <w:color w:val="000000"/>
      <w:sz w:val="20"/>
      <w:szCs w:val="20"/>
      <w:u w:val="none"/>
    </w:rPr>
  </w:style>
  <w:style w:type="character" w:customStyle="1" w:styleId="96">
    <w:name w:val="font71"/>
    <w:qFormat/>
    <w:uiPriority w:val="0"/>
    <w:rPr>
      <w:rFonts w:ascii="黑体" w:hAnsi="宋体" w:eastAsia="黑体" w:cs="黑体"/>
      <w:color w:val="000000"/>
      <w:sz w:val="20"/>
      <w:szCs w:val="20"/>
      <w:u w:val="none"/>
    </w:rPr>
  </w:style>
  <w:style w:type="character" w:customStyle="1" w:styleId="97">
    <w:name w:val="标题 Char1"/>
    <w:qFormat/>
    <w:uiPriority w:val="10"/>
    <w:rPr>
      <w:rFonts w:ascii="Cambria" w:hAnsi="Cambria" w:eastAsia="宋体" w:cs="Times New Roman"/>
      <w:b/>
      <w:bCs/>
      <w:sz w:val="32"/>
      <w:szCs w:val="32"/>
    </w:rPr>
  </w:style>
  <w:style w:type="character" w:customStyle="1" w:styleId="98">
    <w:name w:val="正文文本缩进 3 Char2"/>
    <w:qFormat/>
    <w:uiPriority w:val="0"/>
    <w:rPr>
      <w:rFonts w:ascii="仿宋_GB2312" w:hAnsi="宋体" w:eastAsia="仿宋_GB2312" w:cs="Times New Roman"/>
      <w:color w:val="000000"/>
      <w:kern w:val="2"/>
      <w:sz w:val="24"/>
      <w:szCs w:val="24"/>
    </w:rPr>
  </w:style>
  <w:style w:type="character" w:customStyle="1" w:styleId="99">
    <w:name w:val="标准正文格式 Char Char"/>
    <w:link w:val="100"/>
    <w:qFormat/>
    <w:uiPriority w:val="0"/>
    <w:rPr>
      <w:rFonts w:ascii="宋体" w:eastAsia="仿宋_GB2312" w:cs="宋体"/>
      <w:color w:val="000000"/>
      <w:sz w:val="24"/>
    </w:rPr>
  </w:style>
  <w:style w:type="paragraph" w:customStyle="1" w:styleId="100">
    <w:name w:val="标准正文格式"/>
    <w:basedOn w:val="1"/>
    <w:link w:val="9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01">
    <w:name w:val="font101"/>
    <w:qFormat/>
    <w:uiPriority w:val="0"/>
    <w:rPr>
      <w:rFonts w:hint="eastAsia" w:ascii="宋体" w:hAnsi="宋体" w:eastAsia="宋体" w:cs="宋体"/>
      <w:b/>
      <w:color w:val="000000"/>
      <w:sz w:val="22"/>
      <w:szCs w:val="22"/>
      <w:u w:val="none"/>
    </w:rPr>
  </w:style>
  <w:style w:type="character" w:customStyle="1" w:styleId="102">
    <w:name w:val="font81"/>
    <w:qFormat/>
    <w:uiPriority w:val="0"/>
    <w:rPr>
      <w:rFonts w:hint="default" w:ascii="Times New Roman" w:hAnsi="Times New Roman" w:cs="Times New Roman"/>
      <w:color w:val="000000"/>
      <w:sz w:val="20"/>
      <w:szCs w:val="20"/>
      <w:u w:val="none"/>
      <w:vertAlign w:val="superscript"/>
    </w:rPr>
  </w:style>
  <w:style w:type="character" w:customStyle="1" w:styleId="103">
    <w:name w:val=" Char Char"/>
    <w:qFormat/>
    <w:uiPriority w:val="0"/>
    <w:rPr>
      <w:rFonts w:ascii="宋体" w:hAnsi="Courier New" w:eastAsia="楷体_GB2312"/>
      <w:kern w:val="2"/>
      <w:sz w:val="26"/>
      <w:lang w:val="en-US" w:eastAsia="zh-CN" w:bidi="ar-SA"/>
    </w:rPr>
  </w:style>
  <w:style w:type="character" w:customStyle="1" w:styleId="104">
    <w:name w:val="纯文本 Char4"/>
    <w:qFormat/>
    <w:uiPriority w:val="0"/>
    <w:rPr>
      <w:rFonts w:ascii="宋体" w:hAnsi="Courier New" w:eastAsia="宋体" w:cs="Times New Roman"/>
      <w:kern w:val="2"/>
      <w:sz w:val="24"/>
      <w:szCs w:val="24"/>
      <w:lang w:val="en-US" w:eastAsia="zh-CN" w:bidi="ar-SA"/>
    </w:rPr>
  </w:style>
  <w:style w:type="character" w:customStyle="1" w:styleId="105">
    <w:name w:val="正文文本缩进 Char3"/>
    <w:qFormat/>
    <w:uiPriority w:val="0"/>
    <w:rPr>
      <w:rFonts w:ascii="宋体" w:hAnsi="Courier New"/>
      <w:spacing w:val="-4"/>
      <w:kern w:val="2"/>
      <w:sz w:val="18"/>
    </w:rPr>
  </w:style>
  <w:style w:type="character" w:customStyle="1" w:styleId="106">
    <w:name w:val="divtxt1"/>
    <w:qFormat/>
    <w:uiPriority w:val="0"/>
    <w:rPr>
      <w:rFonts w:eastAsia="黑体"/>
      <w:color w:val="000000"/>
      <w:spacing w:val="15"/>
      <w:sz w:val="28"/>
    </w:rPr>
  </w:style>
  <w:style w:type="character" w:customStyle="1" w:styleId="107">
    <w:name w:val="正文2 Char Char"/>
    <w:link w:val="108"/>
    <w:qFormat/>
    <w:uiPriority w:val="0"/>
    <w:rPr>
      <w:rFonts w:ascii="Calibri" w:hAnsi="Calibri"/>
      <w:kern w:val="2"/>
      <w:sz w:val="24"/>
    </w:rPr>
  </w:style>
  <w:style w:type="paragraph" w:customStyle="1" w:styleId="108">
    <w:name w:val="正文2"/>
    <w:basedOn w:val="1"/>
    <w:link w:val="107"/>
    <w:qFormat/>
    <w:uiPriority w:val="0"/>
    <w:pPr>
      <w:spacing w:before="156" w:line="360" w:lineRule="auto"/>
      <w:ind w:firstLine="510" w:firstLineChars="200"/>
    </w:pPr>
    <w:rPr>
      <w:rFonts w:ascii="Calibri" w:hAnsi="Calibri"/>
      <w:sz w:val="24"/>
      <w:szCs w:val="20"/>
    </w:rPr>
  </w:style>
  <w:style w:type="character" w:customStyle="1" w:styleId="109">
    <w:name w:val="font01"/>
    <w:qFormat/>
    <w:uiPriority w:val="0"/>
    <w:rPr>
      <w:rFonts w:hint="eastAsia" w:ascii="宋体" w:hAnsi="宋体" w:eastAsia="宋体" w:cs="宋体"/>
      <w:color w:val="000000"/>
      <w:sz w:val="24"/>
      <w:szCs w:val="24"/>
      <w:u w:val="none"/>
    </w:rPr>
  </w:style>
  <w:style w:type="character" w:customStyle="1" w:styleId="110">
    <w:name w:val="标题 Char2"/>
    <w:qFormat/>
    <w:uiPriority w:val="0"/>
    <w:rPr>
      <w:rFonts w:ascii="Cambria" w:hAnsi="Cambria" w:cs="Times New Roman"/>
      <w:b/>
      <w:bCs/>
      <w:kern w:val="2"/>
      <w:sz w:val="32"/>
      <w:szCs w:val="32"/>
    </w:rPr>
  </w:style>
  <w:style w:type="character" w:customStyle="1" w:styleId="111">
    <w:name w:val="HTML 预设格式 Char"/>
    <w:qFormat/>
    <w:uiPriority w:val="0"/>
    <w:rPr>
      <w:rFonts w:ascii="Courier New" w:hAnsi="Courier New"/>
      <w:kern w:val="2"/>
    </w:rPr>
  </w:style>
  <w:style w:type="character" w:customStyle="1" w:styleId="112">
    <w:name w:val="font41"/>
    <w:qFormat/>
    <w:uiPriority w:val="0"/>
    <w:rPr>
      <w:rFonts w:hint="eastAsia" w:ascii="宋体" w:hAnsi="宋体" w:eastAsia="宋体" w:cs="宋体"/>
      <w:color w:val="000000"/>
      <w:sz w:val="20"/>
      <w:szCs w:val="20"/>
      <w:u w:val="none"/>
    </w:rPr>
  </w:style>
  <w:style w:type="character" w:customStyle="1" w:styleId="113">
    <w:name w:val="正文文本缩进 2 Char3"/>
    <w:qFormat/>
    <w:uiPriority w:val="99"/>
    <w:rPr>
      <w:rFonts w:ascii="仿宋_GB2312" w:hAnsi="宋体" w:eastAsia="宋体" w:cs="宋体"/>
      <w:b/>
      <w:bCs/>
      <w:color w:val="000000"/>
      <w:kern w:val="0"/>
      <w:sz w:val="24"/>
      <w:szCs w:val="24"/>
    </w:rPr>
  </w:style>
  <w:style w:type="character" w:customStyle="1" w:styleId="114">
    <w:name w:val="font111"/>
    <w:qFormat/>
    <w:uiPriority w:val="0"/>
    <w:rPr>
      <w:rFonts w:hint="default" w:ascii="Calibri" w:hAnsi="Calibri"/>
      <w:color w:val="000000"/>
      <w:sz w:val="22"/>
      <w:szCs w:val="22"/>
      <w:u w:val="none"/>
    </w:rPr>
  </w:style>
  <w:style w:type="character" w:customStyle="1" w:styleId="115">
    <w:name w:val="NormalCharacter"/>
    <w:qFormat/>
    <w:uiPriority w:val="0"/>
  </w:style>
  <w:style w:type="character" w:customStyle="1" w:styleId="116">
    <w:name w:val="font31"/>
    <w:qFormat/>
    <w:uiPriority w:val="0"/>
    <w:rPr>
      <w:rFonts w:hint="eastAsia" w:ascii="宋体" w:hAnsi="宋体" w:eastAsia="宋体" w:cs="宋体"/>
      <w:color w:val="000000"/>
      <w:sz w:val="20"/>
      <w:szCs w:val="20"/>
      <w:u w:val="none"/>
    </w:rPr>
  </w:style>
  <w:style w:type="character" w:customStyle="1" w:styleId="117">
    <w:name w:val="font121"/>
    <w:qFormat/>
    <w:uiPriority w:val="0"/>
    <w:rPr>
      <w:rFonts w:hint="eastAsia" w:ascii="宋体" w:hAnsi="宋体" w:eastAsia="宋体"/>
      <w:color w:val="FF0000"/>
      <w:sz w:val="22"/>
      <w:szCs w:val="22"/>
      <w:u w:val="none"/>
    </w:rPr>
  </w:style>
  <w:style w:type="character" w:customStyle="1" w:styleId="118">
    <w:name w:val="font21"/>
    <w:qFormat/>
    <w:uiPriority w:val="0"/>
    <w:rPr>
      <w:rFonts w:hint="eastAsia" w:ascii="宋体" w:hAnsi="宋体" w:eastAsia="宋体" w:cs="宋体"/>
      <w:color w:val="000000"/>
      <w:sz w:val="20"/>
      <w:szCs w:val="20"/>
      <w:u w:val="none"/>
    </w:rPr>
  </w:style>
  <w:style w:type="paragraph" w:customStyle="1" w:styleId="119">
    <w:name w:val="et63"/>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20">
    <w:name w:val="表格文字"/>
    <w:basedOn w:val="1"/>
    <w:next w:val="16"/>
    <w:qFormat/>
    <w:uiPriority w:val="0"/>
    <w:pPr>
      <w:widowControl/>
      <w:adjustRightInd w:val="0"/>
      <w:spacing w:line="420" w:lineRule="atLeast"/>
      <w:jc w:val="left"/>
      <w:textAlignment w:val="baseline"/>
    </w:pPr>
    <w:rPr>
      <w:kern w:val="0"/>
    </w:rPr>
  </w:style>
  <w:style w:type="paragraph" w:customStyle="1" w:styleId="121">
    <w:name w:val="et5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2">
    <w:name w:val="纯文本1"/>
    <w:basedOn w:val="1"/>
    <w:qFormat/>
    <w:uiPriority w:val="0"/>
    <w:pPr>
      <w:adjustRightInd w:val="0"/>
      <w:textAlignment w:val="baseline"/>
    </w:pPr>
    <w:rPr>
      <w:rFonts w:ascii="宋体" w:hAnsi="Courier New" w:eastAsia="楷体_GB2312"/>
      <w:sz w:val="26"/>
      <w:szCs w:val="20"/>
    </w:rPr>
  </w:style>
  <w:style w:type="paragraph" w:customStyle="1" w:styleId="123">
    <w:name w:val="font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4">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25">
    <w:name w:val="et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26">
    <w:name w:val="表格内容"/>
    <w:basedOn w:val="16"/>
    <w:qFormat/>
    <w:uiPriority w:val="0"/>
    <w:pPr>
      <w:suppressLineNumbers/>
      <w:suppressAutoHyphens/>
    </w:pPr>
    <w:rPr>
      <w:rFonts w:hint="eastAsia"/>
      <w:kern w:val="1"/>
      <w:sz w:val="21"/>
      <w:lang w:val="en-US" w:eastAsia="ar-SA"/>
    </w:rPr>
  </w:style>
  <w:style w:type="paragraph" w:customStyle="1" w:styleId="127">
    <w:name w:val="Char Char Char Char Char Char Char"/>
    <w:basedOn w:val="1"/>
    <w:qFormat/>
    <w:uiPriority w:val="0"/>
    <w:rPr>
      <w:rFonts w:ascii="Arial" w:hAnsi="Arial" w:cs="Arial"/>
      <w:szCs w:val="21"/>
    </w:rPr>
  </w:style>
  <w:style w:type="paragraph" w:customStyle="1" w:styleId="128">
    <w:name w:val="et6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9">
    <w:name w:val="et3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3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
    <w:name w:val="Char Char Char Char Char Char"/>
    <w:basedOn w:val="1"/>
    <w:qFormat/>
    <w:uiPriority w:val="0"/>
    <w:pPr>
      <w:ind w:firstLine="200" w:firstLineChars="200"/>
    </w:pPr>
    <w:rPr>
      <w:sz w:val="28"/>
    </w:rPr>
  </w:style>
  <w:style w:type="paragraph" w:customStyle="1" w:styleId="132">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3">
    <w:name w:val="正文段"/>
    <w:basedOn w:val="1"/>
    <w:qFormat/>
    <w:uiPriority w:val="0"/>
    <w:pPr>
      <w:widowControl/>
      <w:snapToGrid w:val="0"/>
      <w:spacing w:afterLines="50"/>
      <w:ind w:firstLine="200" w:firstLineChars="200"/>
    </w:pPr>
    <w:rPr>
      <w:kern w:val="0"/>
      <w:sz w:val="24"/>
      <w:szCs w:val="20"/>
    </w:rPr>
  </w:style>
  <w:style w:type="paragraph" w:customStyle="1" w:styleId="134">
    <w:name w:val="font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35">
    <w:name w:val="Plain Text1"/>
    <w:basedOn w:val="1"/>
    <w:qFormat/>
    <w:uiPriority w:val="0"/>
    <w:pPr>
      <w:spacing w:afterLines="50"/>
    </w:pPr>
    <w:rPr>
      <w:rFonts w:ascii="宋体" w:hAnsi="Courier New"/>
      <w:sz w:val="24"/>
      <w:szCs w:val="20"/>
    </w:rPr>
  </w:style>
  <w:style w:type="paragraph" w:customStyle="1" w:styleId="136">
    <w:name w:val="1 Char Char Char Char"/>
    <w:basedOn w:val="1"/>
    <w:qFormat/>
    <w:uiPriority w:val="0"/>
    <w:rPr>
      <w:rFonts w:hint="eastAsia" w:ascii="Tahoma" w:hAnsi="Tahoma"/>
      <w:sz w:val="24"/>
      <w:szCs w:val="20"/>
    </w:rPr>
  </w:style>
  <w:style w:type="paragraph" w:customStyle="1" w:styleId="137">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szCs w:val="20"/>
    </w:rPr>
  </w:style>
  <w:style w:type="paragraph" w:customStyle="1" w:styleId="138">
    <w:name w:val="e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9">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40">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141">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42">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43">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44">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styleId="145">
    <w:name w:val="List Paragraph"/>
    <w:basedOn w:val="1"/>
    <w:qFormat/>
    <w:uiPriority w:val="0"/>
    <w:pPr>
      <w:ind w:firstLine="420" w:firstLineChars="200"/>
    </w:pPr>
  </w:style>
  <w:style w:type="paragraph" w:customStyle="1" w:styleId="146">
    <w:name w:val="表格"/>
    <w:basedOn w:val="1"/>
    <w:qFormat/>
    <w:uiPriority w:val="0"/>
    <w:pPr>
      <w:spacing w:line="400" w:lineRule="exact"/>
    </w:pPr>
    <w:rPr>
      <w:sz w:val="24"/>
    </w:rPr>
  </w:style>
  <w:style w:type="paragraph" w:customStyle="1" w:styleId="147">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148">
    <w:name w:val="内容样式"/>
    <w:basedOn w:val="1"/>
    <w:qFormat/>
    <w:uiPriority w:val="0"/>
    <w:pPr>
      <w:snapToGrid w:val="0"/>
      <w:spacing w:line="460" w:lineRule="exact"/>
      <w:ind w:firstLine="560" w:firstLineChars="200"/>
      <w:jc w:val="left"/>
    </w:pPr>
    <w:rPr>
      <w:rFonts w:hint="eastAsia" w:ascii="仿宋_GB2312" w:hAnsi="仿宋_GB2312" w:eastAsia="仿宋_GB2312" w:cs="宋体"/>
      <w:kern w:val="0"/>
      <w:sz w:val="28"/>
      <w:szCs w:val="20"/>
    </w:rPr>
  </w:style>
  <w:style w:type="paragraph" w:customStyle="1" w:styleId="149">
    <w:name w:val="et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50">
    <w:name w:val=" Char Char Char Char Char Char"/>
    <w:basedOn w:val="1"/>
    <w:qFormat/>
    <w:uiPriority w:val="0"/>
    <w:pPr>
      <w:widowControl/>
      <w:spacing w:after="160" w:line="240" w:lineRule="exact"/>
      <w:jc w:val="left"/>
    </w:pPr>
    <w:rPr>
      <w:rFonts w:hint="eastAsia"/>
      <w:kern w:val="0"/>
      <w:szCs w:val="20"/>
    </w:rPr>
  </w:style>
  <w:style w:type="paragraph" w:customStyle="1" w:styleId="151">
    <w:name w:val="Char"/>
    <w:basedOn w:val="1"/>
    <w:qFormat/>
    <w:uiPriority w:val="0"/>
    <w:rPr>
      <w:rFonts w:ascii="仿宋_GB2312" w:eastAsia="仿宋_GB2312"/>
      <w:b/>
      <w:sz w:val="32"/>
      <w:szCs w:val="32"/>
    </w:rPr>
  </w:style>
  <w:style w:type="paragraph" w:customStyle="1" w:styleId="152">
    <w:name w:val="*正文"/>
    <w:basedOn w:val="1"/>
    <w:qFormat/>
    <w:uiPriority w:val="0"/>
    <w:pPr>
      <w:spacing w:line="360" w:lineRule="auto"/>
      <w:ind w:firstLine="480" w:firstLineChars="200"/>
    </w:pPr>
    <w:rPr>
      <w:rFonts w:ascii="Calibri" w:hAnsi="Calibri" w:cs="仿宋_GB2312"/>
      <w:sz w:val="24"/>
    </w:rPr>
  </w:style>
  <w:style w:type="paragraph" w:customStyle="1" w:styleId="1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55">
    <w:name w:val=" Char Char Char Char Char Char Char"/>
    <w:basedOn w:val="1"/>
    <w:qFormat/>
    <w:uiPriority w:val="0"/>
    <w:rPr>
      <w:rFonts w:hint="eastAsia"/>
      <w:szCs w:val="21"/>
    </w:rPr>
  </w:style>
  <w:style w:type="paragraph" w:customStyle="1" w:styleId="156">
    <w:name w:val="f1"/>
    <w:basedOn w:val="1"/>
    <w:qFormat/>
    <w:uiPriority w:val="0"/>
    <w:pPr>
      <w:widowControl/>
      <w:spacing w:before="100" w:beforeAutospacing="1" w:after="100" w:afterAutospacing="1"/>
      <w:jc w:val="center"/>
    </w:pPr>
    <w:rPr>
      <w:rFonts w:hint="eastAsia" w:ascii="Helvetica" w:hAnsi="Helvetica" w:cs="Helvetica"/>
      <w:b/>
      <w:bCs/>
      <w:color w:val="FF8080"/>
      <w:spacing w:val="160"/>
      <w:kern w:val="0"/>
      <w:sz w:val="80"/>
      <w:szCs w:val="80"/>
    </w:rPr>
  </w:style>
  <w:style w:type="paragraph" w:customStyle="1" w:styleId="157">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58">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59">
    <w:name w:val="et12"/>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60">
    <w:name w:val="et43"/>
    <w:basedOn w:val="1"/>
    <w:qFormat/>
    <w:uiPriority w:val="0"/>
    <w:pPr>
      <w:widowControl/>
      <w:pBdr>
        <w:top w:val="single" w:color="000000" w:sz="4" w:space="0"/>
        <w:left w:val="single" w:color="000000" w:sz="4" w:space="0"/>
        <w:bottom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61">
    <w:name w:val="et50"/>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62">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163">
    <w:name w:val="et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64">
    <w:name w:val="首行缩进"/>
    <w:basedOn w:val="1"/>
    <w:qFormat/>
    <w:uiPriority w:val="0"/>
    <w:pPr>
      <w:ind w:firstLine="480" w:firstLineChars="200"/>
    </w:pPr>
    <w:rPr>
      <w:lang w:val="zh-CN"/>
    </w:rPr>
  </w:style>
  <w:style w:type="paragraph" w:customStyle="1" w:styleId="165">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66">
    <w:name w:val="bb"/>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font6"/>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6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9">
    <w:name w:val="Char Char Char Char Char Char Char Char Char Char Char Char Char Char Char1 Char"/>
    <w:basedOn w:val="1"/>
    <w:qFormat/>
    <w:uiPriority w:val="0"/>
    <w:rPr>
      <w:sz w:val="28"/>
      <w:szCs w:val="20"/>
    </w:rPr>
  </w:style>
  <w:style w:type="paragraph" w:customStyle="1" w:styleId="170">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71">
    <w:name w:val="WPSOffice手动目录 1"/>
    <w:qFormat/>
    <w:uiPriority w:val="0"/>
    <w:rPr>
      <w:rFonts w:ascii="Times New Roman" w:hAnsi="Times New Roman" w:eastAsia="宋体" w:cs="Times New Roman"/>
      <w:lang w:val="en-US" w:eastAsia="zh-CN" w:bidi="ar-SA"/>
    </w:rPr>
  </w:style>
  <w:style w:type="paragraph" w:customStyle="1" w:styleId="172">
    <w:name w:val="et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73">
    <w:name w:val="_Style 90"/>
    <w:basedOn w:val="1"/>
    <w:qFormat/>
    <w:uiPriority w:val="0"/>
    <w:rPr>
      <w:rFonts w:ascii="仿宋_GB2312" w:eastAsia="仿宋_GB2312"/>
      <w:b/>
      <w:sz w:val="32"/>
      <w:szCs w:val="32"/>
    </w:rPr>
  </w:style>
  <w:style w:type="paragraph" w:customStyle="1" w:styleId="174">
    <w:name w:val="et6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5">
    <w:name w:val="Plain Text"/>
    <w:basedOn w:val="1"/>
    <w:qFormat/>
    <w:uiPriority w:val="0"/>
    <w:pPr>
      <w:adjustRightInd w:val="0"/>
      <w:textAlignment w:val="baseline"/>
    </w:pPr>
    <w:rPr>
      <w:rFonts w:ascii="宋体" w:hAnsi="Courier New" w:eastAsia="楷体_GB2312"/>
      <w:sz w:val="26"/>
      <w:szCs w:val="20"/>
    </w:rPr>
  </w:style>
  <w:style w:type="paragraph" w:customStyle="1" w:styleId="176">
    <w:name w:val="et5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7">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178">
    <w:name w:val="et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9">
    <w:name w:val="1."/>
    <w:basedOn w:val="1"/>
    <w:qFormat/>
    <w:uiPriority w:val="0"/>
    <w:rPr>
      <w:rFonts w:hint="eastAsia"/>
      <w:szCs w:val="20"/>
    </w:rPr>
  </w:style>
  <w:style w:type="paragraph" w:customStyle="1" w:styleId="180">
    <w:name w:val="_Style 178"/>
    <w:basedOn w:val="2"/>
    <w:next w:val="1"/>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181">
    <w:name w:val="et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83">
    <w:name w:val="et3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84">
    <w:name w:val="et6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85">
    <w:name w:val="font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86">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7">
    <w:name w:val="et6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88">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89">
    <w:name w:val="et7"/>
    <w:basedOn w:val="1"/>
    <w:qFormat/>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90">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191">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192">
    <w:name w:val="et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93">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94">
    <w:name w:val="表内文字"/>
    <w:basedOn w:val="1"/>
    <w:qFormat/>
    <w:uiPriority w:val="0"/>
    <w:pPr>
      <w:jc w:val="center"/>
    </w:pPr>
    <w:rPr>
      <w:rFonts w:ascii="仿宋_GB2312" w:eastAsia="仿宋_GB2312"/>
      <w:sz w:val="24"/>
    </w:rPr>
  </w:style>
  <w:style w:type="paragraph" w:customStyle="1" w:styleId="195">
    <w:name w:val="表"/>
    <w:basedOn w:val="1"/>
    <w:qFormat/>
    <w:uiPriority w:val="0"/>
    <w:rPr>
      <w:rFonts w:hAnsi="宋体"/>
      <w:kern w:val="0"/>
      <w:szCs w:val="20"/>
    </w:rPr>
  </w:style>
  <w:style w:type="paragraph" w:customStyle="1" w:styleId="196">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97">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98">
    <w:name w:val="默认段落字体 Para Char Char Char Char Char Char Char Char Char1 Char Char Char Char"/>
    <w:basedOn w:val="1"/>
    <w:qFormat/>
    <w:uiPriority w:val="0"/>
    <w:rPr>
      <w:rFonts w:ascii="Tahoma" w:hAnsi="Tahoma"/>
      <w:sz w:val="24"/>
      <w:szCs w:val="20"/>
    </w:rPr>
  </w:style>
  <w:style w:type="paragraph" w:customStyle="1" w:styleId="199">
    <w:name w:val="et5"/>
    <w:basedOn w:val="1"/>
    <w:qFormat/>
    <w:uiPriority w:val="0"/>
    <w:pPr>
      <w:widowControl/>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00">
    <w:name w:val="et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1">
    <w:name w:val="二级项目符号"/>
    <w:basedOn w:val="1"/>
    <w:qFormat/>
    <w:uiPriority w:val="0"/>
    <w:pPr>
      <w:widowControl/>
      <w:numPr>
        <w:ilvl w:val="0"/>
        <w:numId w:val="2"/>
      </w:numPr>
      <w:tabs>
        <w:tab w:val="left" w:pos="964"/>
        <w:tab w:val="clear" w:pos="1050"/>
      </w:tabs>
      <w:spacing w:line="360" w:lineRule="auto"/>
      <w:ind w:left="964" w:hanging="482"/>
    </w:pPr>
    <w:rPr>
      <w:kern w:val="0"/>
      <w:sz w:val="24"/>
      <w:szCs w:val="20"/>
    </w:rPr>
  </w:style>
  <w:style w:type="paragraph" w:customStyle="1" w:styleId="202">
    <w:name w:val=" Char Char12"/>
    <w:basedOn w:val="1"/>
    <w:qFormat/>
    <w:uiPriority w:val="0"/>
    <w:rPr>
      <w:rFonts w:hint="eastAsia"/>
      <w:szCs w:val="21"/>
    </w:rPr>
  </w:style>
  <w:style w:type="paragraph" w:customStyle="1" w:styleId="203">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204">
    <w:name w:val=" Char"/>
    <w:basedOn w:val="2"/>
    <w:qFormat/>
    <w:uiPriority w:val="0"/>
    <w:pPr>
      <w:adjustRightInd w:val="0"/>
      <w:snapToGrid w:val="0"/>
      <w:spacing w:before="240" w:after="240" w:line="348" w:lineRule="auto"/>
      <w:jc w:val="center"/>
    </w:pPr>
    <w:rPr>
      <w:sz w:val="32"/>
      <w:lang w:val="en-US" w:eastAsia="zh-CN"/>
    </w:rPr>
  </w:style>
  <w:style w:type="paragraph" w:customStyle="1" w:styleId="205">
    <w:name w:val="et9"/>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206">
    <w:name w:val="et6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07">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208">
    <w:name w:val="et6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09">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210">
    <w:name w:val="et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211">
    <w:name w:val="List Paragraph1"/>
    <w:basedOn w:val="1"/>
    <w:qFormat/>
    <w:uiPriority w:val="0"/>
    <w:pPr>
      <w:ind w:firstLine="420" w:firstLineChars="200"/>
    </w:pPr>
  </w:style>
  <w:style w:type="paragraph" w:customStyle="1" w:styleId="212">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213">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14">
    <w:name w:val="font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15">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216">
    <w:name w:val="默认段落字体 Para Char Char Char Char"/>
    <w:basedOn w:val="1"/>
    <w:qFormat/>
    <w:uiPriority w:val="0"/>
    <w:rPr>
      <w:rFonts w:ascii="Arial" w:hAnsi="Arial" w:cs="Arial"/>
      <w:szCs w:val="21"/>
    </w:rPr>
  </w:style>
  <w:style w:type="paragraph" w:customStyle="1" w:styleId="217">
    <w:name w:val="et35"/>
    <w:basedOn w:val="1"/>
    <w:qFormat/>
    <w:uiPriority w:val="0"/>
    <w:pPr>
      <w:widowControl/>
      <w:pBdr>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218">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19">
    <w:name w:val="et5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20">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221">
    <w:name w:val="et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22">
    <w:name w:val="列表段落1"/>
    <w:basedOn w:val="1"/>
    <w:qFormat/>
    <w:uiPriority w:val="0"/>
    <w:pPr>
      <w:ind w:firstLine="420"/>
    </w:pPr>
    <w:rPr>
      <w:rFonts w:ascii="Calibri" w:hAnsi="Calibri"/>
    </w:rPr>
  </w:style>
  <w:style w:type="paragraph" w:customStyle="1" w:styleId="223">
    <w:name w:val="_Style 2"/>
    <w:basedOn w:val="1"/>
    <w:qFormat/>
    <w:uiPriority w:val="0"/>
    <w:pPr>
      <w:ind w:firstLine="42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28697</Words>
  <Characters>30553</Characters>
  <Lines>300</Lines>
  <Paragraphs>84</Paragraphs>
  <TotalTime>3</TotalTime>
  <ScaleCrop>false</ScaleCrop>
  <LinksUpToDate>false</LinksUpToDate>
  <CharactersWithSpaces>31533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2021-09-10T09:07:00Z</dcterms:created>
  <dc:creator>微软用户</dc:creator>
  <cp:lastModifiedBy>Administrator</cp:lastModifiedBy>
  <cp:lastPrinted>2021-07-19T10:37:00Z</cp:lastPrinted>
  <dcterms:modified xsi:type="dcterms:W3CDTF">2025-02-08T09:14:27Z</dcterms:modified>
  <dc:title>嘉兴港区海绵城市专项规划项目</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3BB5DADE1B3845ABB4C66DD328567D39_13</vt:lpwstr>
  </property>
  <property fmtid="{D5CDD505-2E9C-101B-9397-08002B2CF9AE}" pid="4" name="KSOTemplateDocerSaveRecord">
    <vt:lpwstr>eyJoZGlkIjoiNTEyNTMyNzA2ZWE0NDJjN2U1NjQ0M2U2ODUxNzQ4YjQiLCJ1c2VySWQiOiIzMTM5MjA2NzEifQ==</vt:lpwstr>
  </property>
</Properties>
</file>