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8621B1">
      <w:pPr>
        <w:rPr>
          <w:rFonts w:asciiTheme="majorEastAsia" w:hAnsiTheme="majorEastAsia" w:eastAsiaTheme="majorEastAsia" w:cstheme="majorEastAsia"/>
          <w:color w:val="000000" w:themeColor="text1"/>
          <w:highlight w:val="none"/>
          <w14:textFill>
            <w14:solidFill>
              <w14:schemeClr w14:val="tx1"/>
            </w14:solidFill>
          </w14:textFill>
        </w:rPr>
      </w:pPr>
      <w:bookmarkStart w:id="0" w:name="_Toc380429933"/>
      <w:bookmarkStart w:id="1" w:name="_Toc381081805"/>
    </w:p>
    <w:p w14:paraId="4BF4A1E9">
      <w:pPr>
        <w:spacing w:line="360" w:lineRule="auto"/>
        <w:ind w:left="480" w:leftChars="200" w:right="480" w:rightChars="200"/>
        <w:jc w:val="center"/>
        <w:rPr>
          <w:rFonts w:hint="eastAsia" w:asciiTheme="majorEastAsia" w:hAnsiTheme="majorEastAsia" w:eastAsiaTheme="majorEastAsia" w:cstheme="majorEastAsia"/>
          <w:b/>
          <w:color w:val="000000" w:themeColor="text1"/>
          <w:spacing w:val="-11"/>
          <w:sz w:val="44"/>
          <w:szCs w:val="44"/>
          <w:highlight w:val="none"/>
          <w:lang w:eastAsia="zh-CN"/>
          <w14:textFill>
            <w14:solidFill>
              <w14:schemeClr w14:val="tx1"/>
            </w14:solidFill>
          </w14:textFill>
        </w:rPr>
      </w:pPr>
      <w:r>
        <w:rPr>
          <w:rFonts w:hint="eastAsia" w:asciiTheme="majorEastAsia" w:hAnsiTheme="majorEastAsia" w:eastAsiaTheme="majorEastAsia" w:cstheme="majorEastAsia"/>
          <w:b/>
          <w:color w:val="000000" w:themeColor="text1"/>
          <w:spacing w:val="-11"/>
          <w:sz w:val="44"/>
          <w:szCs w:val="44"/>
          <w:highlight w:val="none"/>
          <w:lang w:eastAsia="zh-CN"/>
          <w14:textFill>
            <w14:solidFill>
              <w14:schemeClr w14:val="tx1"/>
            </w14:solidFill>
          </w14:textFill>
        </w:rPr>
        <w:t>嘉兴市南湖区交通运输局2025-2027年度招标代理和造价咨询服务框架协议采购</w:t>
      </w:r>
    </w:p>
    <w:p w14:paraId="3FFFF1F3">
      <w:pPr>
        <w:spacing w:before="120" w:beforeLines="50"/>
        <w:rPr>
          <w:rFonts w:asciiTheme="majorEastAsia" w:hAnsiTheme="majorEastAsia" w:eastAsiaTheme="majorEastAsia" w:cstheme="majorEastAsia"/>
          <w:b/>
          <w:color w:val="000000" w:themeColor="text1"/>
          <w:sz w:val="48"/>
          <w:szCs w:val="48"/>
          <w:highlight w:val="none"/>
          <w14:textFill>
            <w14:solidFill>
              <w14:schemeClr w14:val="tx1"/>
            </w14:solidFill>
          </w14:textFill>
        </w:rPr>
      </w:pPr>
    </w:p>
    <w:p w14:paraId="4BA763FE">
      <w:pPr>
        <w:spacing w:before="120" w:beforeLines="50"/>
        <w:jc w:val="center"/>
        <w:rPr>
          <w:rFonts w:asciiTheme="majorEastAsia" w:hAnsiTheme="majorEastAsia" w:eastAsiaTheme="majorEastAsia" w:cstheme="majorEastAsia"/>
          <w:b/>
          <w:color w:val="000000" w:themeColor="text1"/>
          <w:sz w:val="48"/>
          <w:szCs w:val="48"/>
          <w:highlight w:val="none"/>
          <w14:textFill>
            <w14:solidFill>
              <w14:schemeClr w14:val="tx1"/>
            </w14:solidFill>
          </w14:textFill>
        </w:rPr>
      </w:pPr>
    </w:p>
    <w:p w14:paraId="493CCBC6">
      <w:pPr>
        <w:spacing w:before="1440" w:beforeLines="600"/>
        <w:jc w:val="center"/>
        <w:rPr>
          <w:rFonts w:asciiTheme="majorEastAsia" w:hAnsiTheme="majorEastAsia" w:eastAsiaTheme="majorEastAsia" w:cstheme="majorEastAsia"/>
          <w:b/>
          <w:color w:val="000000" w:themeColor="text1"/>
          <w:spacing w:val="57"/>
          <w:sz w:val="72"/>
          <w:szCs w:val="72"/>
          <w:highlight w:val="none"/>
          <w14:textFill>
            <w14:solidFill>
              <w14:schemeClr w14:val="tx1"/>
            </w14:solidFill>
          </w14:textFill>
        </w:rPr>
      </w:pPr>
      <w:r>
        <w:rPr>
          <w:rFonts w:hint="eastAsia" w:asciiTheme="majorEastAsia" w:hAnsiTheme="majorEastAsia" w:eastAsiaTheme="majorEastAsia" w:cstheme="majorEastAsia"/>
          <w:b/>
          <w:color w:val="000000" w:themeColor="text1"/>
          <w:spacing w:val="57"/>
          <w:sz w:val="72"/>
          <w:szCs w:val="72"/>
          <w:highlight w:val="none"/>
          <w14:textFill>
            <w14:solidFill>
              <w14:schemeClr w14:val="tx1"/>
            </w14:solidFill>
          </w14:textFill>
        </w:rPr>
        <w:t>征集文件</w:t>
      </w:r>
    </w:p>
    <w:p w14:paraId="074DBCE6">
      <w:pPr>
        <w:snapToGrid w:val="0"/>
        <w:spacing w:before="120" w:beforeLines="50" w:line="360" w:lineRule="auto"/>
        <w:rPr>
          <w:rFonts w:asciiTheme="majorEastAsia" w:hAnsiTheme="majorEastAsia" w:eastAsiaTheme="majorEastAsia" w:cstheme="majorEastAsia"/>
          <w:color w:val="000000" w:themeColor="text1"/>
          <w:sz w:val="30"/>
          <w:szCs w:val="72"/>
          <w:highlight w:val="none"/>
          <w14:textFill>
            <w14:solidFill>
              <w14:schemeClr w14:val="tx1"/>
            </w14:solidFill>
          </w14:textFill>
        </w:rPr>
      </w:pPr>
    </w:p>
    <w:p w14:paraId="71FD7754">
      <w:pPr>
        <w:pStyle w:val="14"/>
        <w:snapToGrid w:val="0"/>
        <w:spacing w:before="120" w:after="120" w:line="360" w:lineRule="auto"/>
        <w:jc w:val="left"/>
        <w:rPr>
          <w:rFonts w:asciiTheme="majorEastAsia" w:hAnsiTheme="majorEastAsia" w:eastAsiaTheme="majorEastAsia" w:cstheme="majorEastAsia"/>
          <w:b/>
          <w:bCs/>
          <w:color w:val="000000" w:themeColor="text1"/>
          <w:w w:val="95"/>
          <w:sz w:val="30"/>
          <w:szCs w:val="30"/>
          <w:highlight w:val="none"/>
          <w14:textFill>
            <w14:solidFill>
              <w14:schemeClr w14:val="tx1"/>
            </w14:solidFill>
          </w14:textFill>
        </w:rPr>
      </w:pPr>
    </w:p>
    <w:p w14:paraId="788171FD">
      <w:pPr>
        <w:rPr>
          <w:rFonts w:asciiTheme="majorEastAsia" w:hAnsiTheme="majorEastAsia" w:eastAsiaTheme="majorEastAsia" w:cstheme="majorEastAsia"/>
          <w:color w:val="000000" w:themeColor="text1"/>
          <w:highlight w:val="none"/>
          <w14:textFill>
            <w14:solidFill>
              <w14:schemeClr w14:val="tx1"/>
            </w14:solidFill>
          </w14:textFill>
        </w:rPr>
      </w:pPr>
    </w:p>
    <w:p w14:paraId="70854507">
      <w:pPr>
        <w:pStyle w:val="3"/>
        <w:rPr>
          <w:rFonts w:asciiTheme="majorEastAsia" w:hAnsiTheme="majorEastAsia" w:eastAsiaTheme="majorEastAsia" w:cstheme="majorEastAsia"/>
          <w:color w:val="000000" w:themeColor="text1"/>
          <w:highlight w:val="none"/>
          <w14:textFill>
            <w14:solidFill>
              <w14:schemeClr w14:val="tx1"/>
            </w14:solidFill>
          </w14:textFill>
        </w:rPr>
      </w:pPr>
    </w:p>
    <w:p w14:paraId="44EC2335">
      <w:pPr>
        <w:keepNext w:val="0"/>
        <w:keepLines w:val="0"/>
        <w:pageBreakBefore w:val="0"/>
        <w:widowControl w:val="0"/>
        <w:kinsoku/>
        <w:wordWrap/>
        <w:overflowPunct/>
        <w:topLinePunct w:val="0"/>
        <w:autoSpaceDE/>
        <w:autoSpaceDN/>
        <w:bidi w:val="0"/>
        <w:adjustRightInd/>
        <w:snapToGrid/>
        <w:spacing w:before="720" w:beforeLines="300" w:line="360" w:lineRule="auto"/>
        <w:ind w:firstLine="602" w:firstLineChars="200"/>
        <w:jc w:val="left"/>
        <w:textAlignment w:val="auto"/>
        <w:rPr>
          <w:rFonts w:hint="eastAsia" w:asciiTheme="majorEastAsia" w:hAnsiTheme="majorEastAsia" w:eastAsiaTheme="majorEastAsia" w:cstheme="majorEastAsia"/>
          <w:b/>
          <w:color w:val="000000" w:themeColor="text1"/>
          <w:sz w:val="30"/>
          <w:szCs w:val="30"/>
          <w:highlight w:val="none"/>
          <w:lang w:eastAsia="zh-CN"/>
          <w14:textFill>
            <w14:solidFill>
              <w14:schemeClr w14:val="tx1"/>
            </w14:solidFill>
          </w14:textFill>
        </w:rPr>
      </w:pPr>
      <w:r>
        <w:rPr>
          <w:rFonts w:hint="eastAsia" w:asciiTheme="majorEastAsia" w:hAnsiTheme="majorEastAsia" w:eastAsiaTheme="majorEastAsia" w:cstheme="majorEastAsia"/>
          <w:b/>
          <w:color w:val="000000" w:themeColor="text1"/>
          <w:sz w:val="30"/>
          <w:szCs w:val="30"/>
          <w:highlight w:val="none"/>
          <w14:textFill>
            <w14:solidFill>
              <w14:schemeClr w14:val="tx1"/>
            </w14:solidFill>
          </w14:textFill>
        </w:rPr>
        <w:t>项目编号：</w:t>
      </w:r>
      <w:r>
        <w:rPr>
          <w:rFonts w:hint="eastAsia" w:asciiTheme="majorEastAsia" w:hAnsiTheme="majorEastAsia" w:eastAsiaTheme="majorEastAsia" w:cstheme="majorEastAsia"/>
          <w:b/>
          <w:color w:val="000000" w:themeColor="text1"/>
          <w:sz w:val="30"/>
          <w:szCs w:val="30"/>
          <w:highlight w:val="none"/>
          <w:lang w:eastAsia="zh-CN"/>
          <w14:textFill>
            <w14:solidFill>
              <w14:schemeClr w14:val="tx1"/>
            </w14:solidFill>
          </w14:textFill>
        </w:rPr>
        <w:t>SHHR-2025-003</w:t>
      </w:r>
    </w:p>
    <w:p w14:paraId="315431EA">
      <w:pPr>
        <w:spacing w:line="360" w:lineRule="auto"/>
        <w:ind w:left="2106" w:leftChars="250" w:hanging="1506" w:hangingChars="500"/>
        <w:jc w:val="left"/>
        <w:rPr>
          <w:rFonts w:hint="eastAsia" w:asciiTheme="majorEastAsia" w:hAnsiTheme="majorEastAsia" w:eastAsiaTheme="majorEastAsia" w:cstheme="majorEastAsia"/>
          <w:b/>
          <w:color w:val="000000" w:themeColor="text1"/>
          <w:sz w:val="30"/>
          <w:szCs w:val="30"/>
          <w:highlight w:val="none"/>
          <w:lang w:eastAsia="zh-CN"/>
          <w14:textFill>
            <w14:solidFill>
              <w14:schemeClr w14:val="tx1"/>
            </w14:solidFill>
          </w14:textFill>
        </w:rPr>
      </w:pPr>
      <w:r>
        <w:rPr>
          <w:rFonts w:hint="eastAsia" w:asciiTheme="majorEastAsia" w:hAnsiTheme="majorEastAsia" w:eastAsiaTheme="majorEastAsia" w:cstheme="majorEastAsia"/>
          <w:b/>
          <w:color w:val="000000" w:themeColor="text1"/>
          <w:sz w:val="30"/>
          <w:szCs w:val="30"/>
          <w:highlight w:val="none"/>
          <w14:textFill>
            <w14:solidFill>
              <w14:schemeClr w14:val="tx1"/>
            </w14:solidFill>
          </w14:textFill>
        </w:rPr>
        <w:t>项目名称：</w:t>
      </w:r>
      <w:r>
        <w:rPr>
          <w:rFonts w:hint="eastAsia" w:asciiTheme="majorEastAsia" w:hAnsiTheme="majorEastAsia" w:eastAsiaTheme="majorEastAsia" w:cstheme="majorEastAsia"/>
          <w:b/>
          <w:color w:val="000000" w:themeColor="text1"/>
          <w:sz w:val="30"/>
          <w:szCs w:val="30"/>
          <w:highlight w:val="none"/>
          <w:lang w:eastAsia="zh-CN"/>
          <w14:textFill>
            <w14:solidFill>
              <w14:schemeClr w14:val="tx1"/>
            </w14:solidFill>
          </w14:textFill>
        </w:rPr>
        <w:t>嘉兴市南湖区交通运输局2025-2027年度招标代理和造价咨询服务框架协议采购</w:t>
      </w:r>
    </w:p>
    <w:p w14:paraId="5A56BB7D">
      <w:pPr>
        <w:widowControl/>
        <w:spacing w:line="360" w:lineRule="auto"/>
        <w:ind w:firstLine="602" w:firstLineChars="200"/>
        <w:jc w:val="left"/>
        <w:rPr>
          <w:rFonts w:asciiTheme="majorEastAsia" w:hAnsiTheme="majorEastAsia" w:eastAsiaTheme="majorEastAsia" w:cstheme="majorEastAsia"/>
          <w:b/>
          <w:color w:val="000000" w:themeColor="text1"/>
          <w:sz w:val="30"/>
          <w:szCs w:val="30"/>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30"/>
          <w:szCs w:val="30"/>
          <w:highlight w:val="none"/>
          <w14:textFill>
            <w14:solidFill>
              <w14:schemeClr w14:val="tx1"/>
            </w14:solidFill>
          </w14:textFill>
        </w:rPr>
        <w:t>征 集 人：嘉兴市南湖区交通运输局</w:t>
      </w:r>
    </w:p>
    <w:p w14:paraId="79DEE619">
      <w:pPr>
        <w:spacing w:line="360" w:lineRule="auto"/>
        <w:ind w:firstLine="602" w:firstLineChars="200"/>
        <w:jc w:val="left"/>
        <w:rPr>
          <w:rFonts w:asciiTheme="majorEastAsia" w:hAnsiTheme="majorEastAsia" w:eastAsiaTheme="majorEastAsia" w:cstheme="majorEastAsia"/>
          <w:b/>
          <w:color w:val="000000" w:themeColor="text1"/>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30"/>
          <w:szCs w:val="30"/>
          <w:highlight w:val="none"/>
          <w14:textFill>
            <w14:solidFill>
              <w14:schemeClr w14:val="tx1"/>
            </w14:solidFill>
          </w14:textFill>
        </w:rPr>
        <w:t>采购代理机构：上海华瑞建设经济咨询有限公司</w:t>
      </w:r>
    </w:p>
    <w:p w14:paraId="10ED516A">
      <w:pPr>
        <w:pStyle w:val="14"/>
        <w:spacing w:before="120" w:afterLines="0" w:line="360" w:lineRule="auto"/>
        <w:jc w:val="center"/>
        <w:rPr>
          <w:rFonts w:hint="eastAsia" w:asciiTheme="majorEastAsia" w:hAnsiTheme="majorEastAsia" w:eastAsiaTheme="majorEastAsia" w:cstheme="majorEastAsia"/>
          <w:b/>
          <w:color w:val="000000" w:themeColor="text1"/>
          <w:kern w:val="2"/>
          <w:sz w:val="30"/>
          <w:szCs w:val="30"/>
          <w:highlight w:val="none"/>
          <w:lang w:val="en-US" w:eastAsia="zh-CN" w:bidi="ar-SA"/>
          <w14:textFill>
            <w14:solidFill>
              <w14:schemeClr w14:val="tx1"/>
            </w14:solidFill>
          </w14:textFill>
        </w:rPr>
      </w:pPr>
      <w:r>
        <w:rPr>
          <w:rFonts w:hint="eastAsia" w:asciiTheme="majorEastAsia" w:hAnsiTheme="majorEastAsia" w:eastAsiaTheme="majorEastAsia" w:cstheme="majorEastAsia"/>
          <w:b/>
          <w:color w:val="000000" w:themeColor="text1"/>
          <w:kern w:val="2"/>
          <w:sz w:val="30"/>
          <w:szCs w:val="30"/>
          <w:highlight w:val="none"/>
          <w:lang w:val="en-US" w:eastAsia="zh-CN" w:bidi="ar-SA"/>
          <w14:textFill>
            <w14:solidFill>
              <w14:schemeClr w14:val="tx1"/>
            </w14:solidFill>
          </w14:textFill>
        </w:rPr>
        <w:t>2025年2月</w:t>
      </w:r>
    </w:p>
    <w:p w14:paraId="15A6991D">
      <w:pPr>
        <w:pStyle w:val="14"/>
        <w:keepNext w:val="0"/>
        <w:keepLines w:val="0"/>
        <w:pageBreakBefore w:val="0"/>
        <w:widowControl w:val="0"/>
        <w:kinsoku/>
        <w:wordWrap/>
        <w:overflowPunct/>
        <w:topLinePunct w:val="0"/>
        <w:autoSpaceDE/>
        <w:autoSpaceDN/>
        <w:bidi w:val="0"/>
        <w:adjustRightInd/>
        <w:snapToGrid/>
        <w:spacing w:before="313" w:beforeLines="100" w:after="240" w:afterLines="100" w:line="600" w:lineRule="exact"/>
        <w:jc w:val="center"/>
        <w:textAlignment w:val="auto"/>
        <w:rPr>
          <w:rFonts w:hint="eastAsia" w:asciiTheme="majorEastAsia" w:hAnsiTheme="majorEastAsia" w:eastAsiaTheme="majorEastAsia" w:cstheme="majorEastAsia"/>
          <w:b/>
          <w:color w:val="000000" w:themeColor="text1"/>
          <w:spacing w:val="113"/>
          <w:sz w:val="44"/>
          <w:szCs w:val="44"/>
          <w:highlight w:val="none"/>
          <w14:textFill>
            <w14:solidFill>
              <w14:schemeClr w14:val="tx1"/>
            </w14:solidFill>
          </w14:textFill>
        </w:rPr>
        <w:sectPr>
          <w:headerReference r:id="rId3" w:type="default"/>
          <w:pgSz w:w="11906" w:h="16839"/>
          <w:pgMar w:top="1247" w:right="1531" w:bottom="1134" w:left="1531" w:header="882" w:footer="996" w:gutter="0"/>
          <w:pgNumType w:start="1"/>
          <w:cols w:space="720" w:num="1"/>
        </w:sectPr>
      </w:pPr>
    </w:p>
    <w:p w14:paraId="330F921A">
      <w:pPr>
        <w:pStyle w:val="14"/>
        <w:keepNext w:val="0"/>
        <w:keepLines w:val="0"/>
        <w:pageBreakBefore w:val="0"/>
        <w:widowControl w:val="0"/>
        <w:kinsoku/>
        <w:wordWrap/>
        <w:overflowPunct/>
        <w:topLinePunct w:val="0"/>
        <w:autoSpaceDE/>
        <w:autoSpaceDN/>
        <w:bidi w:val="0"/>
        <w:adjustRightInd/>
        <w:snapToGrid/>
        <w:spacing w:before="313" w:beforeLines="100" w:after="240" w:afterLines="100" w:line="600" w:lineRule="exact"/>
        <w:jc w:val="center"/>
        <w:textAlignment w:val="auto"/>
        <w:rPr>
          <w:rFonts w:asciiTheme="majorEastAsia" w:hAnsiTheme="majorEastAsia" w:eastAsiaTheme="majorEastAsia" w:cstheme="majorEastAsia"/>
          <w:b/>
          <w:color w:val="000000" w:themeColor="text1"/>
          <w:spacing w:val="113"/>
          <w:sz w:val="44"/>
          <w:szCs w:val="44"/>
          <w:highlight w:val="none"/>
          <w14:textFill>
            <w14:solidFill>
              <w14:schemeClr w14:val="tx1"/>
            </w14:solidFill>
          </w14:textFill>
        </w:rPr>
      </w:pPr>
      <w:r>
        <w:rPr>
          <w:rFonts w:hint="eastAsia" w:asciiTheme="majorEastAsia" w:hAnsiTheme="majorEastAsia" w:eastAsiaTheme="majorEastAsia" w:cstheme="majorEastAsia"/>
          <w:b/>
          <w:color w:val="000000" w:themeColor="text1"/>
          <w:spacing w:val="113"/>
          <w:sz w:val="44"/>
          <w:szCs w:val="44"/>
          <w:highlight w:val="none"/>
          <w14:textFill>
            <w14:solidFill>
              <w14:schemeClr w14:val="tx1"/>
            </w14:solidFill>
          </w14:textFill>
        </w:rPr>
        <w:t>目录</w:t>
      </w:r>
    </w:p>
    <w:p w14:paraId="0C2EC34E">
      <w:pPr>
        <w:pStyle w:val="14"/>
        <w:spacing w:before="240" w:beforeLines="100" w:after="240" w:afterLines="100" w:line="600" w:lineRule="exact"/>
        <w:jc w:val="center"/>
        <w:rPr>
          <w:rFonts w:hint="eastAsia" w:ascii="宋体" w:hAnsi="宋体" w:eastAsia="宋体" w:cs="宋体"/>
          <w:b/>
          <w:color w:val="000000" w:themeColor="text1"/>
          <w:sz w:val="52"/>
          <w:szCs w:val="52"/>
          <w:highlight w:val="none"/>
          <w14:textFill>
            <w14:solidFill>
              <w14:schemeClr w14:val="tx1"/>
            </w14:solidFill>
          </w14:textFill>
        </w:rPr>
      </w:pPr>
    </w:p>
    <w:p w14:paraId="6E448E15">
      <w:pPr>
        <w:pStyle w:val="20"/>
        <w:keepNext w:val="0"/>
        <w:keepLines w:val="0"/>
        <w:pageBreakBefore w:val="0"/>
        <w:widowControl w:val="0"/>
        <w:tabs>
          <w:tab w:val="right" w:leader="dot" w:pos="8255"/>
        </w:tabs>
        <w:kinsoku/>
        <w:wordWrap/>
        <w:overflowPunct/>
        <w:topLinePunct w:val="0"/>
        <w:autoSpaceDE/>
        <w:autoSpaceDN/>
        <w:bidi w:val="0"/>
        <w:adjustRightInd/>
        <w:snapToGrid/>
        <w:spacing w:line="600" w:lineRule="auto"/>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u w:val="single"/>
          <w14:textFill>
            <w14:solidFill>
              <w14:schemeClr w14:val="tx1"/>
            </w14:solidFill>
          </w14:textFill>
        </w:rPr>
        <w:fldChar w:fldCharType="begin"/>
      </w:r>
      <w:r>
        <w:rPr>
          <w:rFonts w:hint="eastAsia" w:ascii="宋体" w:hAnsi="宋体" w:eastAsia="宋体" w:cs="宋体"/>
          <w:b/>
          <w:color w:val="000000" w:themeColor="text1"/>
          <w:sz w:val="28"/>
          <w:szCs w:val="28"/>
          <w:highlight w:val="none"/>
          <w:u w:val="single"/>
          <w14:textFill>
            <w14:solidFill>
              <w14:schemeClr w14:val="tx1"/>
            </w14:solidFill>
          </w14:textFill>
        </w:rPr>
        <w:instrText xml:space="preserve"> TOC \o "1-1" \h \z \u </w:instrText>
      </w:r>
      <w:r>
        <w:rPr>
          <w:rFonts w:hint="eastAsia" w:ascii="宋体" w:hAnsi="宋体" w:eastAsia="宋体" w:cs="宋体"/>
          <w:b/>
          <w:color w:val="000000" w:themeColor="text1"/>
          <w:sz w:val="28"/>
          <w:szCs w:val="28"/>
          <w:highlight w:val="none"/>
          <w:u w:val="single"/>
          <w14:textFill>
            <w14:solidFill>
              <w14:schemeClr w14:val="tx1"/>
            </w14:solidFill>
          </w14:textFill>
        </w:rPr>
        <w:fldChar w:fldCharType="separate"/>
      </w: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\l "_Toc3111"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第一章  框架协议采购公告</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_Toc3111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2</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56466068">
      <w:pPr>
        <w:pStyle w:val="20"/>
        <w:keepNext w:val="0"/>
        <w:keepLines w:val="0"/>
        <w:pageBreakBefore w:val="0"/>
        <w:widowControl w:val="0"/>
        <w:tabs>
          <w:tab w:val="right" w:leader="dot" w:pos="8255"/>
        </w:tabs>
        <w:kinsoku/>
        <w:wordWrap/>
        <w:overflowPunct/>
        <w:topLinePunct w:val="0"/>
        <w:autoSpaceDE/>
        <w:autoSpaceDN/>
        <w:bidi w:val="0"/>
        <w:adjustRightInd/>
        <w:snapToGrid/>
        <w:spacing w:line="600" w:lineRule="auto"/>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\l "_Toc28920"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第二章  框架协议采购需求</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_Toc28920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7</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3044DFD9">
      <w:pPr>
        <w:pStyle w:val="20"/>
        <w:keepNext w:val="0"/>
        <w:keepLines w:val="0"/>
        <w:pageBreakBefore w:val="0"/>
        <w:widowControl w:val="0"/>
        <w:tabs>
          <w:tab w:val="right" w:leader="dot" w:pos="8255"/>
        </w:tabs>
        <w:kinsoku/>
        <w:wordWrap/>
        <w:overflowPunct/>
        <w:topLinePunct w:val="0"/>
        <w:autoSpaceDE/>
        <w:autoSpaceDN/>
        <w:bidi w:val="0"/>
        <w:adjustRightInd/>
        <w:snapToGrid/>
        <w:spacing w:line="600" w:lineRule="auto"/>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\l "_Toc11524"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第三章  供应商须知</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_Toc11524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14</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1EA3FB81">
      <w:pPr>
        <w:pStyle w:val="20"/>
        <w:keepNext w:val="0"/>
        <w:keepLines w:val="0"/>
        <w:pageBreakBefore w:val="0"/>
        <w:widowControl w:val="0"/>
        <w:tabs>
          <w:tab w:val="right" w:leader="dot" w:pos="8255"/>
        </w:tabs>
        <w:kinsoku/>
        <w:wordWrap/>
        <w:overflowPunct/>
        <w:topLinePunct w:val="0"/>
        <w:autoSpaceDE/>
        <w:autoSpaceDN/>
        <w:bidi w:val="0"/>
        <w:adjustRightInd/>
        <w:snapToGrid/>
        <w:spacing w:line="600" w:lineRule="auto"/>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\l "_Toc4614"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第四章  评标办法及标准</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_Toc4614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28</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4B4FC3EB">
      <w:pPr>
        <w:pStyle w:val="20"/>
        <w:keepNext w:val="0"/>
        <w:keepLines w:val="0"/>
        <w:pageBreakBefore w:val="0"/>
        <w:widowControl w:val="0"/>
        <w:tabs>
          <w:tab w:val="right" w:leader="dot" w:pos="8255"/>
        </w:tabs>
        <w:kinsoku/>
        <w:wordWrap/>
        <w:overflowPunct/>
        <w:topLinePunct w:val="0"/>
        <w:autoSpaceDE/>
        <w:autoSpaceDN/>
        <w:bidi w:val="0"/>
        <w:adjustRightInd/>
        <w:snapToGrid/>
        <w:spacing w:line="600" w:lineRule="auto"/>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\l "_Toc28611"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第五章  框架协议主要条款</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_Toc28611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32</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5E039BC5">
      <w:pPr>
        <w:pStyle w:val="20"/>
        <w:keepNext w:val="0"/>
        <w:keepLines w:val="0"/>
        <w:pageBreakBefore w:val="0"/>
        <w:widowControl w:val="0"/>
        <w:tabs>
          <w:tab w:val="right" w:leader="dot" w:pos="8255"/>
        </w:tabs>
        <w:kinsoku/>
        <w:wordWrap/>
        <w:overflowPunct/>
        <w:topLinePunct w:val="0"/>
        <w:autoSpaceDE/>
        <w:autoSpaceDN/>
        <w:bidi w:val="0"/>
        <w:adjustRightInd/>
        <w:snapToGrid/>
        <w:spacing w:line="600" w:lineRule="auto"/>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\l "_Toc21107"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第六章  响应文件格式</w:t>
      </w:r>
      <w:r>
        <w:rPr>
          <w:rFonts w:hint="eastAsia" w:ascii="宋体" w:hAnsi="宋体" w:eastAsia="宋体" w:cs="宋体"/>
          <w:color w:val="000000" w:themeColor="text1"/>
          <w:sz w:val="28"/>
          <w:szCs w:val="28"/>
          <w:highlight w:val="none"/>
          <w14:textFill>
            <w14:solidFill>
              <w14:schemeClr w14:val="tx1"/>
            </w14:solidFill>
          </w14:textFill>
        </w:rPr>
        <w:tab/>
      </w:r>
      <w:r>
        <w:rPr>
          <w:rFonts w:hint="eastAsia" w:ascii="宋体" w:hAnsi="宋体" w:eastAsia="宋体" w:cs="宋体"/>
          <w:color w:val="000000" w:themeColor="text1"/>
          <w:sz w:val="28"/>
          <w:szCs w:val="28"/>
          <w:highlight w:val="none"/>
          <w14:textFill>
            <w14:solidFill>
              <w14:schemeClr w14:val="tx1"/>
            </w14:solidFill>
          </w14:textFill>
        </w:rPr>
        <w:fldChar w:fldCharType="begin"/>
      </w:r>
      <w:r>
        <w:rPr>
          <w:rFonts w:hint="eastAsia" w:ascii="宋体" w:hAnsi="宋体" w:eastAsia="宋体" w:cs="宋体"/>
          <w:color w:val="000000" w:themeColor="text1"/>
          <w:sz w:val="28"/>
          <w:szCs w:val="28"/>
          <w:highlight w:val="none"/>
          <w14:textFill>
            <w14:solidFill>
              <w14:schemeClr w14:val="tx1"/>
            </w14:solidFill>
          </w14:textFill>
        </w:rPr>
        <w:instrText xml:space="preserve"> PAGEREF _Toc21107 \h </w:instrText>
      </w:r>
      <w:r>
        <w:rPr>
          <w:rFonts w:hint="eastAsia" w:ascii="宋体" w:hAnsi="宋体" w:eastAsia="宋体" w:cs="宋体"/>
          <w:color w:val="000000" w:themeColor="text1"/>
          <w:sz w:val="28"/>
          <w:szCs w:val="28"/>
          <w:highlight w:val="none"/>
          <w14:textFill>
            <w14:solidFill>
              <w14:schemeClr w14:val="tx1"/>
            </w14:solidFill>
          </w14:textFill>
        </w:rPr>
        <w:fldChar w:fldCharType="separate"/>
      </w:r>
      <w:r>
        <w:rPr>
          <w:rFonts w:hint="eastAsia" w:ascii="宋体" w:hAnsi="宋体" w:eastAsia="宋体" w:cs="宋体"/>
          <w:color w:val="000000" w:themeColor="text1"/>
          <w:sz w:val="28"/>
          <w:szCs w:val="28"/>
          <w:highlight w:val="none"/>
          <w14:textFill>
            <w14:solidFill>
              <w14:schemeClr w14:val="tx1"/>
            </w14:solidFill>
          </w14:textFill>
        </w:rPr>
        <w:t>45</w:t>
      </w:r>
      <w:r>
        <w:rPr>
          <w:rFonts w:hint="eastAsia" w:ascii="宋体" w:hAnsi="宋体" w:eastAsia="宋体" w:cs="宋体"/>
          <w:color w:val="000000" w:themeColor="text1"/>
          <w:sz w:val="28"/>
          <w:szCs w:val="28"/>
          <w:highlight w:val="none"/>
          <w14:textFill>
            <w14:solidFill>
              <w14:schemeClr w14:val="tx1"/>
            </w14:solidFill>
          </w14:textFill>
        </w:rPr>
        <w:fldChar w:fldCharType="end"/>
      </w:r>
      <w:r>
        <w:rPr>
          <w:rFonts w:hint="eastAsia" w:ascii="宋体" w:hAnsi="宋体" w:eastAsia="宋体" w:cs="宋体"/>
          <w:color w:val="000000" w:themeColor="text1"/>
          <w:sz w:val="28"/>
          <w:szCs w:val="28"/>
          <w:highlight w:val="none"/>
          <w14:textFill>
            <w14:solidFill>
              <w14:schemeClr w14:val="tx1"/>
            </w14:solidFill>
          </w14:textFill>
        </w:rPr>
        <w:fldChar w:fldCharType="end"/>
      </w:r>
    </w:p>
    <w:p w14:paraId="48FE5EE0">
      <w:pPr>
        <w:pStyle w:val="14"/>
        <w:keepNext w:val="0"/>
        <w:keepLines w:val="0"/>
        <w:pageBreakBefore w:val="0"/>
        <w:widowControl w:val="0"/>
        <w:kinsoku/>
        <w:wordWrap/>
        <w:overflowPunct/>
        <w:topLinePunct w:val="0"/>
        <w:autoSpaceDE/>
        <w:autoSpaceDN/>
        <w:bidi w:val="0"/>
        <w:adjustRightInd/>
        <w:snapToGrid/>
        <w:spacing w:before="120" w:after="120" w:line="600" w:lineRule="auto"/>
        <w:jc w:val="center"/>
        <w:textAlignment w:val="auto"/>
        <w:rPr>
          <w:rFonts w:asciiTheme="majorEastAsia" w:hAnsiTheme="majorEastAsia" w:eastAsiaTheme="majorEastAsia" w:cstheme="majorEastAsia"/>
          <w:color w:val="000000" w:themeColor="text1"/>
          <w:szCs w:val="32"/>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u w:val="single"/>
          <w14:textFill>
            <w14:solidFill>
              <w14:schemeClr w14:val="tx1"/>
            </w14:solidFill>
          </w14:textFill>
        </w:rPr>
        <w:fldChar w:fldCharType="end"/>
      </w:r>
    </w:p>
    <w:p w14:paraId="25B3AA90">
      <w:pPr>
        <w:rPr>
          <w:rFonts w:asciiTheme="majorEastAsia" w:hAnsiTheme="majorEastAsia" w:eastAsiaTheme="majorEastAsia" w:cstheme="majorEastAsia"/>
          <w:color w:val="000000" w:themeColor="text1"/>
          <w:szCs w:val="32"/>
          <w:highlight w:val="none"/>
          <w14:textFill>
            <w14:solidFill>
              <w14:schemeClr w14:val="tx1"/>
            </w14:solidFill>
          </w14:textFill>
        </w:rPr>
      </w:pPr>
    </w:p>
    <w:p w14:paraId="7DB6E739">
      <w:pPr>
        <w:pStyle w:val="3"/>
        <w:rPr>
          <w:rFonts w:asciiTheme="majorEastAsia" w:hAnsiTheme="majorEastAsia" w:eastAsiaTheme="majorEastAsia" w:cstheme="majorEastAsia"/>
          <w:color w:val="000000" w:themeColor="text1"/>
          <w:szCs w:val="32"/>
          <w:highlight w:val="none"/>
          <w14:textFill>
            <w14:solidFill>
              <w14:schemeClr w14:val="tx1"/>
            </w14:solidFill>
          </w14:textFill>
        </w:rPr>
      </w:pPr>
    </w:p>
    <w:p w14:paraId="5C0D6975">
      <w:pPr>
        <w:rPr>
          <w:rFonts w:asciiTheme="majorEastAsia" w:hAnsiTheme="majorEastAsia" w:eastAsiaTheme="majorEastAsia" w:cstheme="majorEastAsia"/>
          <w:color w:val="000000" w:themeColor="text1"/>
          <w:highlight w:val="none"/>
          <w14:textFill>
            <w14:solidFill>
              <w14:schemeClr w14:val="tx1"/>
            </w14:solidFill>
          </w14:textFill>
        </w:rPr>
      </w:pPr>
    </w:p>
    <w:p w14:paraId="0E99E909">
      <w:pPr>
        <w:pStyle w:val="24"/>
        <w:ind w:left="480" w:firstLine="404"/>
        <w:rPr>
          <w:rFonts w:asciiTheme="majorEastAsia" w:hAnsiTheme="majorEastAsia" w:eastAsiaTheme="majorEastAsia" w:cstheme="majorEastAsia"/>
          <w:color w:val="000000" w:themeColor="text1"/>
          <w:highlight w:val="none"/>
          <w14:textFill>
            <w14:solidFill>
              <w14:schemeClr w14:val="tx1"/>
            </w14:solidFill>
          </w14:textFill>
        </w:rPr>
      </w:pPr>
    </w:p>
    <w:p w14:paraId="43FEB055">
      <w:pPr>
        <w:rPr>
          <w:rFonts w:asciiTheme="majorEastAsia" w:hAnsiTheme="majorEastAsia" w:eastAsiaTheme="majorEastAsia" w:cstheme="majorEastAsia"/>
          <w:color w:val="000000" w:themeColor="text1"/>
          <w:sz w:val="32"/>
          <w:highlight w:val="none"/>
          <w14:textFill>
            <w14:solidFill>
              <w14:schemeClr w14:val="tx1"/>
            </w14:solidFill>
          </w14:textFill>
        </w:rPr>
      </w:pPr>
      <w:bookmarkStart w:id="2" w:name="_Toc3111"/>
      <w:r>
        <w:rPr>
          <w:rFonts w:hint="eastAsia" w:asciiTheme="majorEastAsia" w:hAnsiTheme="majorEastAsia" w:eastAsiaTheme="majorEastAsia" w:cstheme="majorEastAsia"/>
          <w:color w:val="000000" w:themeColor="text1"/>
          <w:sz w:val="32"/>
          <w:highlight w:val="none"/>
          <w14:textFill>
            <w14:solidFill>
              <w14:schemeClr w14:val="tx1"/>
            </w14:solidFill>
          </w14:textFill>
        </w:rPr>
        <w:br w:type="page"/>
      </w:r>
    </w:p>
    <w:p w14:paraId="06514F02">
      <w:pPr>
        <w:pStyle w:val="3"/>
        <w:spacing w:line="480" w:lineRule="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sz w:val="32"/>
          <w:highlight w:val="none"/>
          <w14:textFill>
            <w14:solidFill>
              <w14:schemeClr w14:val="tx1"/>
            </w14:solidFill>
          </w14:textFill>
        </w:rPr>
        <w:t>第一章  框架协议采购公告</w:t>
      </w:r>
      <w:bookmarkEnd w:id="2"/>
    </w:p>
    <w:p w14:paraId="599538B2">
      <w:pPr>
        <w:pBdr>
          <w:top w:val="single" w:color="auto" w:sz="4" w:space="1"/>
          <w:left w:val="single" w:color="auto" w:sz="4" w:space="4"/>
          <w:bottom w:val="single" w:color="auto" w:sz="4" w:space="1"/>
          <w:right w:val="single" w:color="auto" w:sz="4" w:space="4"/>
        </w:pBd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3" w:name="_Toc439666950"/>
      <w:r>
        <w:rPr>
          <w:rFonts w:hint="eastAsia" w:asciiTheme="majorEastAsia" w:hAnsiTheme="majorEastAsia" w:eastAsiaTheme="majorEastAsia" w:cstheme="majorEastAsia"/>
          <w:color w:val="000000" w:themeColor="text1"/>
          <w:highlight w:val="none"/>
          <w14:textFill>
            <w14:solidFill>
              <w14:schemeClr w14:val="tx1"/>
            </w14:solidFill>
          </w14:textFill>
        </w:rPr>
        <w:t>项目概况</w:t>
      </w:r>
    </w:p>
    <w:p w14:paraId="189084F1">
      <w:pPr>
        <w:pBdr>
          <w:top w:val="single" w:color="auto" w:sz="4" w:space="1"/>
          <w:left w:val="single" w:color="auto" w:sz="4" w:space="4"/>
          <w:bottom w:val="single" w:color="auto" w:sz="4" w:space="1"/>
          <w:right w:val="single" w:color="auto" w:sz="4" w:space="4"/>
        </w:pBd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u w:val="single"/>
          <w:lang w:eastAsia="zh-CN"/>
          <w14:textFill>
            <w14:solidFill>
              <w14:schemeClr w14:val="tx1"/>
            </w14:solidFill>
          </w14:textFill>
        </w:rPr>
        <w:t>嘉兴市南湖区交通运输局2025-2027年度招标代理和造价咨询服务框架协议采购</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项目 </w:t>
      </w:r>
      <w:r>
        <w:rPr>
          <w:rFonts w:hint="eastAsia" w:asciiTheme="majorEastAsia" w:hAnsiTheme="majorEastAsia" w:eastAsiaTheme="majorEastAsia" w:cstheme="majorEastAsia"/>
          <w:color w:val="000000" w:themeColor="text1"/>
          <w:highlight w:val="none"/>
          <w14:textFill>
            <w14:solidFill>
              <w14:schemeClr w14:val="tx1"/>
            </w14:solidFill>
          </w14:textFill>
        </w:rPr>
        <w:t>的潜在供应商应在</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浙江政府采购网</w:t>
      </w:r>
      <w:r>
        <w:rPr>
          <w:rFonts w:hint="eastAsia" w:asciiTheme="majorEastAsia" w:hAnsiTheme="majorEastAsia" w:eastAsiaTheme="majorEastAsia" w:cstheme="major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"http://zfcg.czt.zj.gov.cn" </w:instrText>
      </w:r>
      <w:r>
        <w:rPr>
          <w:color w:val="000000" w:themeColor="text1"/>
          <w:highlight w:val="none"/>
          <w14:textFill>
            <w14:solidFill>
              <w14:schemeClr w14:val="tx1"/>
            </w14:solidFill>
          </w14:textFill>
        </w:rPr>
        <w:fldChar w:fldCharType="separate"/>
      </w:r>
      <w:r>
        <w:rPr>
          <w:rStyle w:val="29"/>
          <w:rFonts w:hint="eastAsia" w:asciiTheme="majorEastAsia" w:hAnsiTheme="majorEastAsia" w:eastAsiaTheme="majorEastAsia" w:cstheme="majorEastAsia"/>
          <w:color w:val="000000" w:themeColor="text1"/>
          <w:highlight w:val="none"/>
          <w14:textFill>
            <w14:solidFill>
              <w14:schemeClr w14:val="tx1"/>
            </w14:solidFill>
          </w14:textFill>
        </w:rPr>
        <w:t>http://zfcg.czt.zj.gov.cn</w:t>
      </w:r>
      <w:r>
        <w:rPr>
          <w:rStyle w:val="29"/>
          <w:rFonts w:hint="eastAsia" w:asciiTheme="majorEastAsia" w:hAnsiTheme="majorEastAsia" w:eastAsiaTheme="majorEastAsia" w:cstheme="majorEastAsia"/>
          <w:color w:val="000000" w:themeColor="text1"/>
          <w:highlight w:val="none"/>
          <w14:textFill>
            <w14:solidFill>
              <w14:schemeClr w14:val="tx1"/>
            </w14:solidFill>
          </w14:textFill>
        </w:rPr>
        <w:fldChar w:fldCharType="end"/>
      </w:r>
      <w:r>
        <w:rPr>
          <w:rFonts w:hint="eastAsia" w:asciiTheme="majorEastAsia" w:hAnsiTheme="majorEastAsia" w:eastAsiaTheme="majorEastAsia" w:cstheme="majorEastAsia"/>
          <w:color w:val="000000" w:themeColor="text1"/>
          <w:highlight w:val="none"/>
          <w14:textFill>
            <w14:solidFill>
              <w14:schemeClr w14:val="tx1"/>
            </w14:solidFill>
          </w14:textFill>
        </w:rPr>
        <w:t>）获取征集文件，并于</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2025年</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3月20日</w:t>
      </w:r>
      <w:r>
        <w:rPr>
          <w:rFonts w:hint="eastAsia" w:asciiTheme="majorEastAsia" w:hAnsiTheme="majorEastAsia" w:eastAsiaTheme="majorEastAsia" w:cstheme="majorEastAsia"/>
          <w:color w:val="000000" w:themeColor="text1"/>
          <w:highlight w:val="none"/>
          <w14:textFill>
            <w14:solidFill>
              <w14:schemeClr w14:val="tx1"/>
            </w14:solidFill>
          </w14:textFill>
        </w:rPr>
        <w:t>9：</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0</w:t>
      </w:r>
      <w:r>
        <w:rPr>
          <w:rFonts w:hint="eastAsia" w:asciiTheme="majorEastAsia" w:hAnsiTheme="majorEastAsia" w:eastAsiaTheme="majorEastAsia" w:cstheme="majorEastAsia"/>
          <w:color w:val="000000" w:themeColor="text1"/>
          <w:highlight w:val="none"/>
          <w14:textFill>
            <w14:solidFill>
              <w14:schemeClr w14:val="tx1"/>
            </w14:solidFill>
          </w14:textFill>
        </w:rPr>
        <w:t>0（北京时间）前递交响应文件。</w:t>
      </w:r>
    </w:p>
    <w:p w14:paraId="6EEE2928">
      <w:pPr>
        <w:pStyle w:val="4"/>
        <w:spacing w:before="120" w:beforeLines="50"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一、项目基本情况</w:t>
      </w:r>
    </w:p>
    <w:p w14:paraId="524DFDF7">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政府采购计划编号：南湖区政府采购计划</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临[2025]255号</w:t>
      </w:r>
    </w:p>
    <w:p w14:paraId="698A450E">
      <w:pPr>
        <w:spacing w:line="360" w:lineRule="auto"/>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项目编号：</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SHHR-2025-003</w:t>
      </w:r>
    </w:p>
    <w:p w14:paraId="590676DC">
      <w:pPr>
        <w:spacing w:line="360" w:lineRule="auto"/>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项目名称：</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嘉兴市南湖区交通运输局2025-2027年度招标代理和造价咨询服务框架协议采购</w:t>
      </w:r>
    </w:p>
    <w:p w14:paraId="6B62A037">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预算金额：1元</w:t>
      </w:r>
    </w:p>
    <w:p w14:paraId="285DB3F9">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采购需求：嘉兴市南湖区交通运输局及其下属企事业单位</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2025-2027</w:t>
      </w:r>
      <w:r>
        <w:rPr>
          <w:rFonts w:hint="eastAsia" w:asciiTheme="majorEastAsia" w:hAnsiTheme="majorEastAsia" w:eastAsiaTheme="majorEastAsia" w:cstheme="majorEastAsia"/>
          <w:color w:val="000000" w:themeColor="text1"/>
          <w:highlight w:val="none"/>
          <w14:textFill>
            <w14:solidFill>
              <w14:schemeClr w14:val="tx1"/>
            </w14:solidFill>
          </w14:textFill>
        </w:rPr>
        <w:t>年度单项合同费用在招标采购限额标准以下（</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具体金额根据省、市、区</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和采购人招标采购限额相关规定适时调整</w:t>
      </w:r>
      <w:r>
        <w:rPr>
          <w:rFonts w:hint="eastAsia" w:asciiTheme="majorEastAsia" w:hAnsiTheme="majorEastAsia" w:eastAsiaTheme="majorEastAsia" w:cstheme="majorEastAsia"/>
          <w:color w:val="000000" w:themeColor="text1"/>
          <w:highlight w:val="none"/>
          <w14:textFill>
            <w14:solidFill>
              <w14:schemeClr w14:val="tx1"/>
            </w14:solidFill>
          </w14:textFill>
        </w:rPr>
        <w:t>）的工程、货物及服务的招标代理服务（含工程量清单、预算价编制）、工程造价审核服务、工程造价结算审计服务、跟踪审计等相关造价咨询服务。</w:t>
      </w:r>
    </w:p>
    <w:p w14:paraId="40C6E818">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服务期限：</w:t>
      </w:r>
      <w:r>
        <w:rPr>
          <w:rFonts w:hint="eastAsia" w:asciiTheme="majorEastAsia" w:hAnsiTheme="majorEastAsia" w:eastAsiaTheme="majorEastAsia" w:cstheme="majorEastAsia"/>
          <w:b/>
          <w:bCs/>
          <w:color w:val="000000" w:themeColor="text1"/>
          <w:highlight w:val="none"/>
          <w14:textFill>
            <w14:solidFill>
              <w14:schemeClr w14:val="tx1"/>
            </w14:solidFill>
          </w14:textFill>
        </w:rPr>
        <w:t>服务期自协议签订之日起</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两</w:t>
      </w:r>
      <w:r>
        <w:rPr>
          <w:rFonts w:hint="eastAsia" w:asciiTheme="majorEastAsia" w:hAnsiTheme="majorEastAsia" w:eastAsiaTheme="majorEastAsia" w:cstheme="majorEastAsia"/>
          <w:b/>
          <w:bCs/>
          <w:color w:val="000000" w:themeColor="text1"/>
          <w:highlight w:val="none"/>
          <w:lang w:eastAsia="zh-CN"/>
          <w14:textFill>
            <w14:solidFill>
              <w14:schemeClr w14:val="tx1"/>
            </w14:solidFill>
          </w14:textFill>
        </w:rPr>
        <w:t>年</w:t>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14:paraId="566A4E0C">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本项目接受联合体投标：</w:t>
      </w:r>
      <w:r>
        <w:rPr>
          <w:rFonts w:hint="eastAsia" w:asciiTheme="majorEastAsia" w:hAnsiTheme="majorEastAsia" w:eastAsiaTheme="majorEastAsia" w:cstheme="majorEastAsia"/>
          <w:color w:val="000000" w:themeColor="text1"/>
          <w:highlight w:val="none"/>
          <w14:textFill>
            <w14:solidFill>
              <w14:schemeClr w14:val="tx1"/>
            </w14:solidFill>
          </w14:textFill>
        </w:rPr>
        <w:sym w:font="Wingdings" w:char="00A8"/>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是，</w:t>
      </w:r>
      <w:r>
        <w:rPr>
          <w:rFonts w:hint="eastAsia" w:asciiTheme="majorEastAsia" w:hAnsiTheme="majorEastAsia" w:eastAsiaTheme="majorEastAsia" w:cstheme="majorEastAsia"/>
          <w:color w:val="000000" w:themeColor="text1"/>
          <w:highlight w:val="none"/>
          <w14:textFill>
            <w14:solidFill>
              <w14:schemeClr w14:val="tx1"/>
            </w14:solidFill>
          </w14:textFill>
        </w:rPr>
        <w:sym w:font="Wingdings" w:char="00FE"/>
      </w:r>
      <w:r>
        <w:rPr>
          <w:rFonts w:hint="eastAsia" w:asciiTheme="majorEastAsia" w:hAnsiTheme="majorEastAsia" w:eastAsiaTheme="majorEastAsia" w:cstheme="majorEastAsia"/>
          <w:color w:val="000000" w:themeColor="text1"/>
          <w:highlight w:val="none"/>
          <w14:textFill>
            <w14:solidFill>
              <w14:schemeClr w14:val="tx1"/>
            </w14:solidFill>
          </w14:textFill>
        </w:rPr>
        <w:t>否。</w:t>
      </w:r>
    </w:p>
    <w:p w14:paraId="40EFC614">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4" w:name="_Toc28359003"/>
      <w:bookmarkStart w:id="5" w:name="_Toc35393622"/>
      <w:bookmarkStart w:id="6" w:name="_Toc28359080"/>
      <w:bookmarkStart w:id="7" w:name="_Toc35393791"/>
      <w:r>
        <w:rPr>
          <w:rFonts w:hint="eastAsia" w:asciiTheme="majorEastAsia" w:hAnsiTheme="majorEastAsia" w:eastAsiaTheme="majorEastAsia" w:cstheme="majorEastAsia"/>
          <w:color w:val="000000" w:themeColor="text1"/>
          <w:highlight w:val="none"/>
          <w14:textFill>
            <w14:solidFill>
              <w14:schemeClr w14:val="tx1"/>
            </w14:solidFill>
          </w14:textFill>
        </w:rPr>
        <w:t>二、申请人的资格要求</w:t>
      </w:r>
      <w:bookmarkEnd w:id="4"/>
      <w:bookmarkEnd w:id="5"/>
      <w:bookmarkEnd w:id="6"/>
      <w:bookmarkEnd w:id="7"/>
    </w:p>
    <w:p w14:paraId="075D0AF6">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8" w:name="_Toc28359081"/>
      <w:bookmarkStart w:id="9" w:name="_Toc28359004"/>
      <w:r>
        <w:rPr>
          <w:rFonts w:hint="eastAsia" w:asciiTheme="majorEastAsia" w:hAnsiTheme="majorEastAsia" w:eastAsiaTheme="majorEastAsia" w:cstheme="majorEastAsia"/>
          <w:color w:val="000000" w:themeColor="text1"/>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14:paraId="1D0A1B37">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 xml:space="preserve">2.落实政府采购支持中小企业政策需满足的资格要求： </w:t>
      </w:r>
    </w:p>
    <w:p w14:paraId="0BA90BD3">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2.1</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 xml:space="preserve"> 无需落实；</w:t>
      </w:r>
    </w:p>
    <w:p w14:paraId="5BC1EC6E">
      <w:pPr>
        <w:spacing w:line="360" w:lineRule="auto"/>
        <w:ind w:firstLine="482" w:firstLineChars="200"/>
        <w:rPr>
          <w:rFonts w:ascii="仿宋_GB2312" w:hAnsi="仿宋" w:eastAsia="仿宋_GB2312" w:cs="Arial"/>
          <w:b/>
          <w:bCs/>
          <w:color w:val="000000" w:themeColor="text1"/>
          <w:kern w:val="0"/>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2.2</w:t>
      </w:r>
      <w:r>
        <w:rPr>
          <w:rFonts w:ascii="仿宋_GB2312" w:hAnsi="仿宋" w:eastAsia="仿宋_GB2312" w:cs="Arial"/>
          <w:b/>
          <w:bCs/>
          <w:color w:val="000000" w:themeColor="text1"/>
          <w:kern w:val="0"/>
          <w:highlight w:val="none"/>
          <w14:textFill>
            <w14:solidFill>
              <w14:schemeClr w14:val="tx1"/>
            </w14:solidFill>
          </w14:textFill>
        </w:rPr>
        <w:sym w:font="Wingdings" w:char="00FE"/>
      </w:r>
      <w:r>
        <w:rPr>
          <w:rFonts w:ascii="仿宋_GB2312" w:hAnsi="仿宋" w:eastAsia="仿宋_GB2312" w:cs="Arial"/>
          <w:b/>
          <w:bCs/>
          <w:color w:val="000000" w:themeColor="text1"/>
          <w:kern w:val="0"/>
          <w:highlight w:val="none"/>
          <w14:textFill>
            <w14:solidFill>
              <w14:schemeClr w14:val="tx1"/>
            </w14:solidFill>
          </w14:textFill>
        </w:rPr>
        <w:t xml:space="preserve"> </w:t>
      </w:r>
      <w:r>
        <w:rPr>
          <w:rFonts w:hint="eastAsia" w:ascii="宋体" w:hAnsi="宋体"/>
          <w:b/>
          <w:bCs/>
          <w:color w:val="000000" w:themeColor="text1"/>
          <w:highlight w:val="none"/>
          <w14:textFill>
            <w14:solidFill>
              <w14:schemeClr w14:val="tx1"/>
            </w14:solidFill>
          </w14:textFill>
        </w:rPr>
        <w:t>需要落实：</w:t>
      </w:r>
    </w:p>
    <w:p w14:paraId="134BA1C8">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2.2.1专门面向中小企业</w:t>
      </w:r>
    </w:p>
    <w:p w14:paraId="4EEA9B9A">
      <w:pPr>
        <w:spacing w:line="360" w:lineRule="auto"/>
        <w:ind w:firstLine="480" w:firstLineChars="200"/>
        <w:rPr>
          <w:rFonts w:ascii="宋体" w:hAnsi="宋体"/>
          <w:color w:val="000000" w:themeColor="text1"/>
          <w:highlight w:val="none"/>
          <w14:textFill>
            <w14:solidFill>
              <w14:schemeClr w14:val="tx1"/>
            </w14:solidFill>
          </w14:textFill>
        </w:rPr>
      </w:pPr>
      <w:r>
        <w:rPr>
          <w:rFonts w:ascii="仿宋_GB2312" w:hAnsi="仿宋" w:eastAsia="仿宋_GB2312" w:cs="Arial"/>
          <w:color w:val="000000" w:themeColor="text1"/>
          <w:kern w:val="0"/>
          <w:highlight w:val="none"/>
          <w14:textFill>
            <w14:solidFill>
              <w14:schemeClr w14:val="tx1"/>
            </w14:solidFill>
          </w14:textFill>
        </w:rPr>
        <w:sym w:font="Wingdings" w:char="00A8"/>
      </w:r>
      <w:r>
        <w:rPr>
          <w:rFonts w:ascii="仿宋_GB2312" w:hAnsi="仿宋" w:eastAsia="仿宋_GB2312" w:cs="Arial"/>
          <w:color w:val="000000" w:themeColor="text1"/>
          <w:kern w:val="0"/>
          <w:highlight w:val="none"/>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货物全部由符合政策要求的中小企业制造，提供中小企业声明函；</w:t>
      </w:r>
    </w:p>
    <w:p w14:paraId="12E5F14C">
      <w:pPr>
        <w:spacing w:line="360" w:lineRule="auto"/>
        <w:ind w:firstLine="480" w:firstLineChars="200"/>
        <w:rPr>
          <w:rFonts w:ascii="宋体" w:hAnsi="宋体"/>
          <w:color w:val="000000" w:themeColor="text1"/>
          <w:highlight w:val="none"/>
          <w14:textFill>
            <w14:solidFill>
              <w14:schemeClr w14:val="tx1"/>
            </w14:solidFill>
          </w14:textFill>
        </w:rPr>
      </w:pPr>
      <w:r>
        <w:rPr>
          <w:rFonts w:ascii="仿宋_GB2312" w:hAnsi="仿宋" w:eastAsia="仿宋_GB2312" w:cs="Arial"/>
          <w:color w:val="000000" w:themeColor="text1"/>
          <w:kern w:val="0"/>
          <w:highlight w:val="none"/>
          <w14:textFill>
            <w14:solidFill>
              <w14:schemeClr w14:val="tx1"/>
            </w14:solidFill>
          </w14:textFill>
        </w:rPr>
        <w:sym w:font="Wingdings" w:char="00A8"/>
      </w:r>
      <w:r>
        <w:rPr>
          <w:rFonts w:ascii="仿宋_GB2312" w:hAnsi="仿宋" w:eastAsia="仿宋_GB2312" w:cs="Arial"/>
          <w:color w:val="000000" w:themeColor="text1"/>
          <w:kern w:val="0"/>
          <w:highlight w:val="none"/>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货物全部由符合政策要求的小微企业制造，提供中小企业声明函；</w:t>
      </w:r>
    </w:p>
    <w:p w14:paraId="40A1D443">
      <w:pPr>
        <w:spacing w:line="360" w:lineRule="auto"/>
        <w:ind w:firstLine="480" w:firstLineChars="200"/>
        <w:rPr>
          <w:rFonts w:ascii="宋体" w:hAnsi="宋体"/>
          <w:color w:val="000000" w:themeColor="text1"/>
          <w:highlight w:val="none"/>
          <w14:textFill>
            <w14:solidFill>
              <w14:schemeClr w14:val="tx1"/>
            </w14:solidFill>
          </w14:textFill>
        </w:rPr>
      </w:pPr>
      <w:r>
        <w:rPr>
          <w:rFonts w:ascii="仿宋_GB2312" w:hAnsi="仿宋" w:eastAsia="仿宋_GB2312" w:cs="Arial"/>
          <w:color w:val="000000" w:themeColor="text1"/>
          <w:kern w:val="0"/>
          <w:highlight w:val="none"/>
          <w14:textFill>
            <w14:solidFill>
              <w14:schemeClr w14:val="tx1"/>
            </w14:solidFill>
          </w14:textFill>
        </w:rPr>
        <w:sym w:font="Wingdings" w:char="00FE"/>
      </w:r>
      <w:r>
        <w:rPr>
          <w:rFonts w:ascii="仿宋_GB2312" w:hAnsi="仿宋" w:eastAsia="仿宋_GB2312" w:cs="Arial"/>
          <w:color w:val="000000" w:themeColor="text1"/>
          <w:kern w:val="0"/>
          <w:highlight w:val="none"/>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服务全部由符合政策要求的中小企业承接，提供中小企业声明函；</w:t>
      </w:r>
    </w:p>
    <w:p w14:paraId="7DDA3AAE">
      <w:pPr>
        <w:tabs>
          <w:tab w:val="left" w:pos="470"/>
        </w:tabs>
        <w:spacing w:line="360" w:lineRule="auto"/>
        <w:ind w:firstLine="480" w:firstLineChars="200"/>
        <w:rPr>
          <w:color w:val="000000" w:themeColor="text1"/>
          <w:highlight w:val="none"/>
          <w14:textFill>
            <w14:solidFill>
              <w14:schemeClr w14:val="tx1"/>
            </w14:solidFill>
          </w14:textFill>
        </w:rPr>
      </w:pPr>
      <w:r>
        <w:rPr>
          <w:rFonts w:ascii="仿宋_GB2312" w:hAnsi="仿宋" w:eastAsia="仿宋_GB2312" w:cs="Arial"/>
          <w:color w:val="000000" w:themeColor="text1"/>
          <w:kern w:val="0"/>
          <w:highlight w:val="none"/>
          <w14:textFill>
            <w14:solidFill>
              <w14:schemeClr w14:val="tx1"/>
            </w14:solidFill>
          </w14:textFill>
        </w:rPr>
        <w:sym w:font="Wingdings" w:char="00A8"/>
      </w:r>
      <w:r>
        <w:rPr>
          <w:rFonts w:ascii="仿宋_GB2312" w:hAnsi="仿宋" w:eastAsia="仿宋_GB2312" w:cs="Arial"/>
          <w:color w:val="000000" w:themeColor="text1"/>
          <w:kern w:val="0"/>
          <w:highlight w:val="none"/>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服务全部由符合政策要求的小微企业承接，提供中小企业声明函；</w:t>
      </w:r>
    </w:p>
    <w:p w14:paraId="66BB9034">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2.2.2</w:t>
      </w:r>
      <w:r>
        <w:rPr>
          <w:rFonts w:ascii="仿宋_GB2312" w:hAnsi="仿宋" w:eastAsia="仿宋_GB2312" w:cs="Arial"/>
          <w:color w:val="000000" w:themeColor="text1"/>
          <w:kern w:val="0"/>
          <w:highlight w:val="none"/>
          <w14:textFill>
            <w14:solidFill>
              <w14:schemeClr w14:val="tx1"/>
            </w14:solidFill>
          </w14:textFill>
        </w:rPr>
        <w:sym w:font="Wingdings" w:char="00A8"/>
      </w:r>
      <w:r>
        <w:rPr>
          <w:rFonts w:ascii="仿宋_GB2312" w:hAnsi="仿宋" w:eastAsia="仿宋_GB2312" w:cs="Arial"/>
          <w:color w:val="000000" w:themeColor="text1"/>
          <w:kern w:val="0"/>
          <w:highlight w:val="none"/>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要求以联合体形式参加，提供联合协议和中小企业声明函，联合协议中中小企业合同金额应当达到</w:t>
      </w:r>
      <w:r>
        <w:rPr>
          <w:rFonts w:hint="eastAsia" w:ascii="宋体" w:hAnsi="宋体"/>
          <w:color w:val="000000" w:themeColor="text1"/>
          <w:highlight w:val="none"/>
          <w:u w:val="single"/>
          <w14:textFill>
            <w14:solidFill>
              <w14:schemeClr w14:val="tx1"/>
            </w14:solidFill>
          </w14:textFill>
        </w:rPr>
        <w:t xml:space="preserve"> / </w:t>
      </w:r>
      <w:r>
        <w:rPr>
          <w:rFonts w:hint="eastAsia" w:ascii="宋体" w:hAnsi="宋体"/>
          <w:color w:val="000000" w:themeColor="text1"/>
          <w:highlight w:val="none"/>
          <w14:textFill>
            <w14:solidFill>
              <w14:schemeClr w14:val="tx1"/>
            </w14:solidFill>
          </w14:textFill>
        </w:rPr>
        <w:t>%，其中小微企业合同金额应当达到</w:t>
      </w:r>
      <w:r>
        <w:rPr>
          <w:rFonts w:hint="eastAsia" w:ascii="宋体" w:hAnsi="宋体"/>
          <w:color w:val="000000" w:themeColor="text1"/>
          <w:highlight w:val="none"/>
          <w:u w:val="single"/>
          <w14:textFill>
            <w14:solidFill>
              <w14:schemeClr w14:val="tx1"/>
            </w14:solidFill>
          </w14:textFill>
        </w:rPr>
        <w:t xml:space="preserve"> / </w:t>
      </w:r>
      <w:r>
        <w:rPr>
          <w:rFonts w:hint="eastAsia" w:ascii="宋体" w:hAnsi="宋体"/>
          <w:color w:val="000000" w:themeColor="text1"/>
          <w:highlight w:val="none"/>
          <w14:textFill>
            <w14:solidFill>
              <w14:schemeClr w14:val="tx1"/>
            </w14:solidFill>
          </w14:textFill>
        </w:rPr>
        <w:t>%；如果供应商本身提供所有标的均由中小企业制造、承建或承接，视同符合了资格条件，无需再与其他中小企业组成联合体参加政府采购活动，无需提供联合协议；</w:t>
      </w:r>
    </w:p>
    <w:p w14:paraId="1F98AEF3">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2.2.3</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要求合同分包，提供分包意向协议和中小企业声明函，分包意向协议中中小企业合同金额应当达到</w:t>
      </w:r>
      <w:r>
        <w:rPr>
          <w:rFonts w:hint="eastAsia" w:ascii="宋体" w:hAnsi="宋体"/>
          <w:color w:val="000000" w:themeColor="text1"/>
          <w:highlight w:val="none"/>
          <w:u w:val="single"/>
          <w14:textFill>
            <w14:solidFill>
              <w14:schemeClr w14:val="tx1"/>
            </w14:solidFill>
          </w14:textFill>
        </w:rPr>
        <w:t xml:space="preserve"> </w:t>
      </w:r>
      <w:r>
        <w:rPr>
          <w:rFonts w:hint="eastAsia" w:ascii="宋体" w:hAnsi="宋体"/>
          <w:color w:val="000000" w:themeColor="text1"/>
          <w:highlight w:val="none"/>
          <w:u w:val="single"/>
          <w:lang w:val="en-US" w:eastAsia="zh-CN"/>
          <w14:textFill>
            <w14:solidFill>
              <w14:schemeClr w14:val="tx1"/>
            </w14:solidFill>
          </w14:textFill>
        </w:rPr>
        <w:t xml:space="preserve"> </w:t>
      </w:r>
      <w:r>
        <w:rPr>
          <w:rFonts w:hint="eastAsia" w:ascii="宋体" w:hAnsi="宋体"/>
          <w:color w:val="000000" w:themeColor="text1"/>
          <w:highlight w:val="none"/>
          <w:u w:val="single"/>
          <w14:textFill>
            <w14:solidFill>
              <w14:schemeClr w14:val="tx1"/>
            </w14:solidFill>
          </w14:textFill>
        </w:rPr>
        <w:t xml:space="preserve">/ </w:t>
      </w:r>
      <w:r>
        <w:rPr>
          <w:rFonts w:hint="eastAsia" w:ascii="宋体" w:hAnsi="宋体"/>
          <w:color w:val="000000" w:themeColor="text1"/>
          <w:highlight w:val="none"/>
          <w:u w:val="single"/>
          <w:lang w:val="en-US" w:eastAsia="zh-CN"/>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 ，其中小微企业合同金额应当达到</w:t>
      </w:r>
      <w:r>
        <w:rPr>
          <w:rFonts w:hint="eastAsia" w:ascii="宋体" w:hAnsi="宋体"/>
          <w:color w:val="000000" w:themeColor="text1"/>
          <w:highlight w:val="none"/>
          <w:u w:val="single"/>
          <w14:textFill>
            <w14:solidFill>
              <w14:schemeClr w14:val="tx1"/>
            </w14:solidFill>
          </w14:textFill>
        </w:rPr>
        <w:t xml:space="preserve"> / </w:t>
      </w:r>
      <w:r>
        <w:rPr>
          <w:rFonts w:hint="eastAsia" w:ascii="宋体" w:hAnsi="宋体"/>
          <w:color w:val="000000" w:themeColor="text1"/>
          <w:highlight w:val="none"/>
          <w14:textFill>
            <w14:solidFill>
              <w14:schemeClr w14:val="tx1"/>
            </w14:solidFill>
          </w14:textFill>
        </w:rPr>
        <w:t>% ；如果供应商本身提供所有标的均由中小企业制造、承建或承接，视同符合了资格条件，无需再向中小企业分包，无需提供分包意向协议；</w:t>
      </w:r>
    </w:p>
    <w:p w14:paraId="1BCF62D8">
      <w:pPr>
        <w:spacing w:line="360" w:lineRule="auto"/>
        <w:ind w:firstLine="480" w:firstLineChars="200"/>
        <w:rPr>
          <w:rFonts w:hint="default" w:ascii="宋体" w:hAnsi="宋体" w:eastAsia="宋体"/>
          <w:b/>
          <w:bCs/>
          <w:i/>
          <w:iCs/>
          <w:color w:val="000000" w:themeColor="text1"/>
          <w:highlight w:val="none"/>
          <w:u w:val="single"/>
          <w:lang w:val="en-US"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3.本项目的特定资格要求：</w:t>
      </w:r>
      <w:r>
        <w:rPr>
          <w:rFonts w:hint="eastAsia" w:ascii="宋体" w:hAnsi="宋体"/>
          <w:b/>
          <w:bCs/>
          <w:i/>
          <w:iCs/>
          <w:color w:val="000000" w:themeColor="text1"/>
          <w:highlight w:val="none"/>
          <w:u w:val="single"/>
          <w14:textFill>
            <w14:solidFill>
              <w14:schemeClr w14:val="tx1"/>
            </w14:solidFill>
          </w14:textFill>
        </w:rPr>
        <w:t xml:space="preserve"> </w:t>
      </w:r>
      <w:r>
        <w:rPr>
          <w:rFonts w:hint="eastAsia" w:ascii="宋体" w:hAnsi="宋体"/>
          <w:b/>
          <w:bCs/>
          <w:i w:val="0"/>
          <w:iCs w:val="0"/>
          <w:color w:val="000000" w:themeColor="text1"/>
          <w:highlight w:val="none"/>
          <w:u w:val="single"/>
          <w:lang w:val="en-US" w:eastAsia="zh-CN"/>
          <w14:textFill>
            <w14:solidFill>
              <w14:schemeClr w14:val="tx1"/>
            </w14:solidFill>
          </w14:textFill>
        </w:rPr>
        <w:t>无</w:t>
      </w:r>
      <w:r>
        <w:rPr>
          <w:rFonts w:hint="eastAsia" w:ascii="宋体" w:hAnsi="宋体"/>
          <w:b/>
          <w:bCs/>
          <w:i/>
          <w:iCs/>
          <w:color w:val="000000" w:themeColor="text1"/>
          <w:highlight w:val="none"/>
          <w:u w:val="single"/>
          <w:lang w:val="en-US" w:eastAsia="zh-CN"/>
          <w14:textFill>
            <w14:solidFill>
              <w14:schemeClr w14:val="tx1"/>
            </w14:solidFill>
          </w14:textFill>
        </w:rPr>
        <w:t xml:space="preserve"> </w:t>
      </w:r>
      <w:r>
        <w:rPr>
          <w:rFonts w:hint="eastAsia" w:ascii="宋体" w:hAnsi="宋体"/>
          <w:b/>
          <w:bCs/>
          <w:i/>
          <w:iCs/>
          <w:color w:val="000000" w:themeColor="text1"/>
          <w:highlight w:val="none"/>
          <w:u w:val="none"/>
          <w:lang w:val="en-US" w:eastAsia="zh-CN"/>
          <w14:textFill>
            <w14:solidFill>
              <w14:schemeClr w14:val="tx1"/>
            </w14:solidFill>
          </w14:textFill>
        </w:rPr>
        <w:t>。</w:t>
      </w:r>
    </w:p>
    <w:p w14:paraId="17EBC58A">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5EC3112">
      <w:pPr>
        <w:pStyle w:val="24"/>
        <w:spacing w:after="0" w:line="360" w:lineRule="auto"/>
        <w:ind w:left="0" w:leftChars="0" w:firstLine="464"/>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sz w:val="24"/>
          <w:highlight w:val="none"/>
          <w14:textFill>
            <w14:solidFill>
              <w14:schemeClr w14:val="tx1"/>
            </w14:solidFill>
          </w14:textFill>
        </w:rPr>
        <w:t>5.本项目不接受分公司（分支机构）直接申请。</w:t>
      </w:r>
      <w:bookmarkStart w:id="10" w:name="_Toc35393623"/>
      <w:bookmarkStart w:id="11" w:name="_Toc35393792"/>
    </w:p>
    <w:p w14:paraId="749C4E72">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三、获取</w:t>
      </w:r>
      <w:bookmarkEnd w:id="8"/>
      <w:bookmarkEnd w:id="9"/>
      <w:bookmarkEnd w:id="10"/>
      <w:bookmarkEnd w:id="11"/>
      <w:r>
        <w:rPr>
          <w:rFonts w:hint="eastAsia" w:asciiTheme="majorEastAsia" w:hAnsiTheme="majorEastAsia" w:eastAsiaTheme="majorEastAsia" w:cstheme="majorEastAsia"/>
          <w:color w:val="000000" w:themeColor="text1"/>
          <w:highlight w:val="none"/>
          <w14:textFill>
            <w14:solidFill>
              <w14:schemeClr w14:val="tx1"/>
            </w14:solidFill>
          </w14:textFill>
        </w:rPr>
        <w:t>征集文件</w:t>
      </w:r>
    </w:p>
    <w:p w14:paraId="75D4C5EB">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时间：</w:t>
      </w:r>
      <w:r>
        <w:rPr>
          <w:rFonts w:hint="eastAsia" w:asciiTheme="majorEastAsia" w:hAnsiTheme="majorEastAsia" w:eastAsiaTheme="majorEastAsia" w:cstheme="majorEastAsia"/>
          <w:b/>
          <w:bCs/>
          <w:color w:val="000000" w:themeColor="text1"/>
          <w:highlight w:val="none"/>
          <w:u w:val="single"/>
          <w:lang w:eastAsia="zh-CN"/>
          <w14:textFill>
            <w14:solidFill>
              <w14:schemeClr w14:val="tx1"/>
            </w14:solidFill>
          </w14:textFill>
        </w:rPr>
        <w:t>2025年2月28日</w:t>
      </w:r>
      <w:r>
        <w:rPr>
          <w:rFonts w:hint="eastAsia" w:asciiTheme="majorEastAsia" w:hAnsiTheme="majorEastAsia" w:eastAsiaTheme="majorEastAsia" w:cstheme="majorEastAsia"/>
          <w:b/>
          <w:bCs/>
          <w:color w:val="000000" w:themeColor="text1"/>
          <w:highlight w:val="none"/>
          <w:u w:val="single"/>
          <w14:textFill>
            <w14:solidFill>
              <w14:schemeClr w14:val="tx1"/>
            </w14:solidFill>
          </w14:textFill>
        </w:rPr>
        <w:t>至</w:t>
      </w:r>
      <w:r>
        <w:rPr>
          <w:rFonts w:hint="eastAsia" w:asciiTheme="majorEastAsia" w:hAnsiTheme="majorEastAsia" w:eastAsiaTheme="majorEastAsia" w:cstheme="majorEastAsia"/>
          <w:b/>
          <w:bCs/>
          <w:color w:val="000000" w:themeColor="text1"/>
          <w:highlight w:val="none"/>
          <w:u w:val="single"/>
          <w:lang w:eastAsia="zh-CN"/>
          <w14:textFill>
            <w14:solidFill>
              <w14:schemeClr w14:val="tx1"/>
            </w14:solidFill>
          </w14:textFill>
        </w:rPr>
        <w:t>2025年</w:t>
      </w:r>
      <w:r>
        <w:rPr>
          <w:rFonts w:hint="eastAsia" w:asciiTheme="majorEastAsia" w:hAnsiTheme="majorEastAsia" w:eastAsiaTheme="majorEastAsia" w:cstheme="majorEastAsia"/>
          <w:b/>
          <w:bCs/>
          <w:color w:val="000000" w:themeColor="text1"/>
          <w:highlight w:val="none"/>
          <w:u w:val="single"/>
          <w:lang w:val="en-US" w:eastAsia="zh-CN"/>
          <w14:textFill>
            <w14:solidFill>
              <w14:schemeClr w14:val="tx1"/>
            </w14:solidFill>
          </w14:textFill>
        </w:rPr>
        <w:t>3月20日</w:t>
      </w:r>
      <w:r>
        <w:rPr>
          <w:rFonts w:hint="eastAsia" w:asciiTheme="majorEastAsia" w:hAnsiTheme="majorEastAsia" w:eastAsiaTheme="majorEastAsia" w:cstheme="majorEastAsia"/>
          <w:b/>
          <w:bCs/>
          <w:color w:val="000000" w:themeColor="text1"/>
          <w:highlight w:val="none"/>
          <w:u w:val="single"/>
          <w14:textFill>
            <w14:solidFill>
              <w14:schemeClr w14:val="tx1"/>
            </w14:solidFill>
          </w14:textFill>
        </w:rPr>
        <w:t>9：</w:t>
      </w:r>
      <w:r>
        <w:rPr>
          <w:rFonts w:hint="eastAsia" w:asciiTheme="majorEastAsia" w:hAnsiTheme="majorEastAsia" w:eastAsiaTheme="majorEastAsia" w:cstheme="majorEastAsia"/>
          <w:b/>
          <w:bCs/>
          <w:color w:val="000000" w:themeColor="text1"/>
          <w:highlight w:val="none"/>
          <w:u w:val="single"/>
          <w:lang w:val="en-US" w:eastAsia="zh-CN"/>
          <w14:textFill>
            <w14:solidFill>
              <w14:schemeClr w14:val="tx1"/>
            </w14:solidFill>
          </w14:textFill>
        </w:rPr>
        <w:t>0</w:t>
      </w:r>
      <w:r>
        <w:rPr>
          <w:rFonts w:hint="eastAsia" w:asciiTheme="majorEastAsia" w:hAnsiTheme="majorEastAsia" w:eastAsiaTheme="majorEastAsia" w:cstheme="majorEastAsia"/>
          <w:b/>
          <w:bCs/>
          <w:color w:val="000000" w:themeColor="text1"/>
          <w:highlight w:val="none"/>
          <w:u w:val="single"/>
          <w14:textFill>
            <w14:solidFill>
              <w14:schemeClr w14:val="tx1"/>
            </w14:solidFill>
          </w14:textFill>
        </w:rPr>
        <w:t>0（北京时间）</w:t>
      </w:r>
    </w:p>
    <w:p w14:paraId="23688B59">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地点（网址）：政采云平台（https://www.zcygov.cn/） </w:t>
      </w:r>
    </w:p>
    <w:p w14:paraId="2CBF99B7">
      <w:pPr>
        <w:spacing w:line="360" w:lineRule="auto"/>
        <w:ind w:firstLine="480" w:firstLineChars="200"/>
        <w:rPr>
          <w:rFonts w:asciiTheme="majorEastAsia" w:hAnsiTheme="majorEastAsia" w:eastAsiaTheme="majorEastAsia" w:cstheme="majorEastAsia"/>
          <w:strike/>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方式：供应商登录政采云平台https://www.zcygov.cn/在线申请获取采购文件（进入“项目采购”应用，在获取采购文件菜单中选择项目，申请获取采购文件）。</w:t>
      </w:r>
    </w:p>
    <w:p w14:paraId="40DC7D18">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售价：免费。</w:t>
      </w:r>
    </w:p>
    <w:p w14:paraId="271DD623">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12" w:name="_Toc28359082"/>
      <w:bookmarkStart w:id="13" w:name="_Toc28359005"/>
      <w:bookmarkStart w:id="14" w:name="_Toc35393793"/>
      <w:bookmarkStart w:id="15" w:name="_Toc35393624"/>
      <w:r>
        <w:rPr>
          <w:rFonts w:hint="eastAsia" w:asciiTheme="majorEastAsia" w:hAnsiTheme="majorEastAsia" w:eastAsiaTheme="majorEastAsia" w:cstheme="majorEastAsia"/>
          <w:color w:val="000000" w:themeColor="text1"/>
          <w:highlight w:val="none"/>
          <w14:textFill>
            <w14:solidFill>
              <w14:schemeClr w14:val="tx1"/>
            </w14:solidFill>
          </w14:textFill>
        </w:rPr>
        <w:t>四、提交</w:t>
      </w:r>
      <w:bookmarkEnd w:id="12"/>
      <w:bookmarkEnd w:id="13"/>
      <w:r>
        <w:rPr>
          <w:rFonts w:hint="eastAsia" w:asciiTheme="majorEastAsia" w:hAnsiTheme="majorEastAsia" w:eastAsiaTheme="majorEastAsia" w:cstheme="majorEastAsia"/>
          <w:color w:val="000000" w:themeColor="text1"/>
          <w:highlight w:val="none"/>
          <w14:textFill>
            <w14:solidFill>
              <w14:schemeClr w14:val="tx1"/>
            </w14:solidFill>
          </w14:textFill>
        </w:rPr>
        <w:t>响应文件截止时间、解密时间和地点</w:t>
      </w:r>
      <w:bookmarkEnd w:id="14"/>
      <w:bookmarkEnd w:id="15"/>
    </w:p>
    <w:p w14:paraId="54BE95EF">
      <w:pPr>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lang w:eastAsia="zh-CN"/>
          <w14:textFill>
            <w14:solidFill>
              <w14:schemeClr w14:val="tx1"/>
            </w14:solidFill>
          </w14:textFill>
        </w:rPr>
        <w:t>2025年</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3月20日</w:t>
      </w:r>
      <w:r>
        <w:rPr>
          <w:rFonts w:hint="eastAsia" w:asciiTheme="majorEastAsia" w:hAnsiTheme="majorEastAsia" w:eastAsiaTheme="majorEastAsia" w:cstheme="majorEastAsia"/>
          <w:b/>
          <w:bCs/>
          <w:color w:val="000000" w:themeColor="text1"/>
          <w:highlight w:val="none"/>
          <w14:textFill>
            <w14:solidFill>
              <w14:schemeClr w14:val="tx1"/>
            </w14:solidFill>
          </w14:textFill>
        </w:rPr>
        <w:t>9：</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0</w:t>
      </w:r>
      <w:r>
        <w:rPr>
          <w:rFonts w:hint="eastAsia" w:asciiTheme="majorEastAsia" w:hAnsiTheme="majorEastAsia" w:eastAsiaTheme="majorEastAsia" w:cstheme="majorEastAsia"/>
          <w:b/>
          <w:bCs/>
          <w:color w:val="000000" w:themeColor="text1"/>
          <w:highlight w:val="none"/>
          <w14:textFill>
            <w14:solidFill>
              <w14:schemeClr w14:val="tx1"/>
            </w14:solidFill>
          </w14:textFill>
        </w:rPr>
        <w:t>0（北京时间）</w:t>
      </w:r>
    </w:p>
    <w:p w14:paraId="708A1763">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地点（网址）：政采云平台（https://www.zcygov.cn/）</w:t>
      </w:r>
    </w:p>
    <w:p w14:paraId="6432D422">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16" w:name="_Toc28359084"/>
      <w:bookmarkStart w:id="17" w:name="_Toc35393794"/>
      <w:bookmarkStart w:id="18" w:name="_Toc35393625"/>
      <w:bookmarkStart w:id="19" w:name="_Toc28359007"/>
      <w:r>
        <w:rPr>
          <w:rFonts w:hint="eastAsia" w:asciiTheme="majorEastAsia" w:hAnsiTheme="majorEastAsia" w:eastAsiaTheme="majorEastAsia" w:cstheme="majorEastAsia"/>
          <w:color w:val="000000" w:themeColor="text1"/>
          <w:highlight w:val="none"/>
          <w14:textFill>
            <w14:solidFill>
              <w14:schemeClr w14:val="tx1"/>
            </w14:solidFill>
          </w14:textFill>
        </w:rPr>
        <w:t>五、公告期限</w:t>
      </w:r>
      <w:bookmarkEnd w:id="16"/>
      <w:bookmarkEnd w:id="17"/>
      <w:bookmarkEnd w:id="18"/>
      <w:bookmarkEnd w:id="19"/>
    </w:p>
    <w:p w14:paraId="38E4B41A">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自本公告发布之日起5个工作日。</w:t>
      </w:r>
    </w:p>
    <w:p w14:paraId="6996FD88">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20" w:name="_Toc35393795"/>
      <w:bookmarkStart w:id="21" w:name="_Toc35393626"/>
      <w:r>
        <w:rPr>
          <w:rFonts w:hint="eastAsia" w:asciiTheme="majorEastAsia" w:hAnsiTheme="majorEastAsia" w:eastAsiaTheme="majorEastAsia" w:cstheme="majorEastAsia"/>
          <w:color w:val="000000" w:themeColor="text1"/>
          <w:highlight w:val="none"/>
          <w14:textFill>
            <w14:solidFill>
              <w14:schemeClr w14:val="tx1"/>
            </w14:solidFill>
          </w14:textFill>
        </w:rPr>
        <w:t>六、其他补充事宜</w:t>
      </w:r>
      <w:bookmarkEnd w:id="20"/>
      <w:bookmarkEnd w:id="21"/>
    </w:p>
    <w:p w14:paraId="37AA3DAE">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供应商认为征集文件使自己的权益受到损害的，可以自获取征集文件之日或者征集文件公告期限届满之日（公告期限届满后获取征集文件的，以公告期限届满之日为准）起7个工作日内，以书面形式在政采云平台向征集人和采购代理机构提出质疑。质疑供应商对征集人、采购代理机构的答复不满意或者征集人、采购代理机构未在规定的时间内作出答复的，可以在答复期满后十五个工作日内向同级政府采购监督管理部门投诉。质疑函范本、投诉书范本请到浙江政府采购网下载专区下载。</w:t>
      </w:r>
    </w:p>
    <w:p w14:paraId="48623CAF">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2.其他事项：</w:t>
      </w:r>
    </w:p>
    <w:p w14:paraId="70191FC2">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（1）需要落实的政府采购政策：包括节约资源、保护环境、支持创新、促进中小企业发展等。</w:t>
      </w:r>
    </w:p>
    <w:p w14:paraId="54410143">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（2）电子招投标的说明：</w:t>
      </w:r>
    </w:p>
    <w:p w14:paraId="0592D2FC">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①电子招投标：本项目以数据电文形式，依托“政府采购云平台（www.zcygov.cn）”进行征集活动，不接受纸质响应文件；</w:t>
      </w:r>
    </w:p>
    <w:p w14:paraId="0130694C">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18E74CC1">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CA驱动和申领流程</w:t>
      </w:r>
    </w:p>
    <w:p w14:paraId="16759285">
      <w:pPr>
        <w:spacing w:line="360" w:lineRule="auto"/>
        <w:rPr>
          <w:rStyle w:val="29"/>
          <w:rFonts w:asciiTheme="majorEastAsia" w:hAnsiTheme="majorEastAsia" w:eastAsiaTheme="majorEastAsia" w:cstheme="majorEastAsia"/>
          <w:color w:val="000000" w:themeColor="text1"/>
          <w:highlight w:val="none"/>
          <w14:textFill>
            <w14:solidFill>
              <w14:schemeClr w14:val="tx1"/>
            </w14:solidFill>
          </w14:textFill>
        </w:rPr>
      </w:pPr>
      <w:r>
        <w:rPr>
          <w:rStyle w:val="29"/>
          <w:rFonts w:hint="eastAsia" w:asciiTheme="majorEastAsia" w:hAnsiTheme="majorEastAsia" w:eastAsiaTheme="majorEastAsia" w:cstheme="majorEastAsia"/>
          <w:color w:val="000000" w:themeColor="text1"/>
          <w:highlight w:val="none"/>
          <w14:textFill>
            <w14:solidFill>
              <w14:schemeClr w14:val="tx1"/>
            </w14:solidFill>
          </w14:textFill>
        </w:rPr>
        <w:t>https://zfcg.czt.zj.gov.cn/bidClientTemplate/2019-05-27/12945.html</w:t>
      </w:r>
    </w:p>
    <w:p w14:paraId="03E027CD">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注：ＣＡ证书遗失补办、延期、解锁、质保等业务可以在联连客户端上进行操作；使用政采云投标客户端时，建议使用windows7以上且64位的操作系统。</w:t>
      </w:r>
    </w:p>
    <w:p w14:paraId="331C0866">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CA证书办理操作视频</w:t>
      </w:r>
    </w:p>
    <w:p w14:paraId="7786BA2F">
      <w:pPr>
        <w:spacing w:line="360" w:lineRule="auto"/>
        <w:rPr>
          <w:rStyle w:val="29"/>
          <w:rFonts w:asciiTheme="majorEastAsia" w:hAnsiTheme="majorEastAsia" w:eastAsiaTheme="majorEastAsia" w:cstheme="majorEastAsia"/>
          <w:color w:val="000000" w:themeColor="text1"/>
          <w:spacing w:val="-17"/>
          <w:highlight w:val="none"/>
          <w14:textFill>
            <w14:solidFill>
              <w14:schemeClr w14:val="tx1"/>
            </w14:solidFill>
          </w14:textFill>
        </w:rPr>
      </w:pPr>
      <w:r>
        <w:rPr>
          <w:rStyle w:val="29"/>
          <w:rFonts w:hint="eastAsia" w:asciiTheme="majorEastAsia" w:hAnsiTheme="majorEastAsia" w:eastAsiaTheme="majorEastAsia" w:cstheme="majorEastAsia"/>
          <w:color w:val="000000" w:themeColor="text1"/>
          <w:spacing w:val="-17"/>
          <w:highlight w:val="none"/>
          <w14:textFill>
            <w14:solidFill>
              <w14:schemeClr w14:val="tx1"/>
            </w14:solidFill>
          </w14:textFill>
        </w:rPr>
        <w:t>https://service.zcygov.cn/#/knowledges/UgcbC3EBiyELHE-opz1b/EWqqyXEByNnJ3A2CPyDI</w:t>
      </w:r>
    </w:p>
    <w:p w14:paraId="5AC6A4BC">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CA绑定登录操作视频</w:t>
      </w:r>
    </w:p>
    <w:p w14:paraId="1E9159A0">
      <w:pPr>
        <w:spacing w:line="360" w:lineRule="auto"/>
        <w:rPr>
          <w:rFonts w:asciiTheme="majorEastAsia" w:hAnsiTheme="majorEastAsia" w:eastAsiaTheme="majorEastAsia" w:cstheme="majorEastAsia"/>
          <w:color w:val="000000" w:themeColor="text1"/>
          <w:spacing w:val="-17"/>
          <w:highlight w:val="none"/>
          <w14:textFill>
            <w14:solidFill>
              <w14:schemeClr w14:val="tx1"/>
            </w14:solidFill>
          </w14:textFill>
        </w:rPr>
      </w:pPr>
      <w:r>
        <w:rPr>
          <w:rStyle w:val="29"/>
          <w:rFonts w:hint="eastAsia" w:asciiTheme="majorEastAsia" w:hAnsiTheme="majorEastAsia" w:eastAsiaTheme="majorEastAsia" w:cstheme="majorEastAsia"/>
          <w:color w:val="000000" w:themeColor="text1"/>
          <w:spacing w:val="-17"/>
          <w:highlight w:val="none"/>
          <w14:textFill>
            <w14:solidFill>
              <w14:schemeClr w14:val="tx1"/>
            </w14:solidFill>
          </w14:textFill>
        </w:rPr>
        <w:t>https://service.zcygov.cn/#/knowledges/UgcbC3EBiyELHE-opz1b/nAkmyXEBiyELHE-o-983</w:t>
      </w:r>
    </w:p>
    <w:p w14:paraId="1058B6B3">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③征集文件的获取：使用账号登录或者使用CA登录政采云平台；进入“项目采购”应用，在获取采购文件菜单中选择项目，获取征集文件；</w:t>
      </w:r>
    </w:p>
    <w:p w14:paraId="5BD8E363">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④响应文件的制作：在“政采云电子交易客户端”中完成“填写基本信息”、“导入响应文件”、“标书关联”、“标书检查”、“电子签名”、“生成电子标书”等操作；</w:t>
      </w:r>
    </w:p>
    <w:p w14:paraId="221536E9">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⑤征集人、采购代理机构将依托政采云平台完成本项目的电子交易活动，平台不接受未按上述方式获取征集文件的供应商进行响应活动； </w:t>
      </w:r>
    </w:p>
    <w:p w14:paraId="281A7F36">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⑥对未按上述方式获取征集文件的供应商对该文件提出的质疑，征集人或采购代理机构将不予处理；</w:t>
      </w:r>
    </w:p>
    <w:p w14:paraId="448951F9">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⑦不提供征集文件纸质版；</w:t>
      </w:r>
    </w:p>
    <w:p w14:paraId="288A6A24">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⑧响应文件的传输递交：投标供应商在响应截止时间前将加密的响应文件上传至政府采购云平台，还可以在响应截止时间前将政采云平台上最后生成的具备电子签章的备份电子标文件1份下载至U盘，</w:t>
      </w:r>
      <w:r>
        <w:rPr>
          <w:rFonts w:hint="eastAsia" w:asciiTheme="majorEastAsia" w:hAnsiTheme="majorEastAsia" w:eastAsiaTheme="majorEastAsia" w:cstheme="majorEastAsia"/>
          <w:b/>
          <w:bCs/>
          <w:color w:val="000000" w:themeColor="text1"/>
          <w:highlight w:val="none"/>
          <w14:textFill>
            <w14:solidFill>
              <w14:schemeClr w14:val="tx1"/>
            </w14:solidFill>
          </w14:textFill>
        </w:rPr>
        <w:t>直接提交或者以顺丰快递邮寄方式递交</w:t>
      </w:r>
      <w:r>
        <w:rPr>
          <w:rFonts w:hint="eastAsia" w:asciiTheme="majorEastAsia" w:hAnsiTheme="majorEastAsia" w:eastAsiaTheme="majorEastAsia" w:cstheme="majorEastAsia"/>
          <w:color w:val="000000" w:themeColor="text1"/>
          <w:highlight w:val="none"/>
          <w14:textFill>
            <w14:solidFill>
              <w14:schemeClr w14:val="tx1"/>
            </w14:solidFill>
          </w14:textFill>
        </w:rPr>
        <w:t>【地址：上海华瑞建设经济咨询有限公司</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嘉兴市中山东路399弄1号九楼</w:t>
      </w:r>
      <w:r>
        <w:rPr>
          <w:rFonts w:hint="eastAsia" w:asciiTheme="majorEastAsia" w:hAnsiTheme="majorEastAsia" w:eastAsiaTheme="majorEastAsia" w:cstheme="majorEastAsia"/>
          <w:color w:val="000000" w:themeColor="text1"/>
          <w:highlight w:val="none"/>
          <w14:textFill>
            <w14:solidFill>
              <w14:schemeClr w14:val="tx1"/>
            </w14:solidFill>
          </w14:textFill>
        </w:rPr>
        <w:t>；收件人：</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陈洁</w:t>
      </w:r>
      <w:r>
        <w:rPr>
          <w:rFonts w:hint="eastAsia" w:asciiTheme="majorEastAsia" w:hAnsiTheme="majorEastAsia" w:eastAsiaTheme="majorEastAsia" w:cstheme="majorEastAsia"/>
          <w:color w:val="000000" w:themeColor="text1"/>
          <w:highlight w:val="none"/>
          <w14:textFill>
            <w14:solidFill>
              <w14:schemeClr w14:val="tx1"/>
            </w14:solidFill>
          </w14:textFill>
        </w:rPr>
        <w:t>；电话：15957381173；快递寄出同时，项目被授权代表须以邮件方式将快递单号、项目名称、公司名称、被授权代表姓名及联系方式等内容（邮件格式为：</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"mailto:项目编号+快递单号+公司名称+被授权代表姓名及联系方式）发送至集中采购机构联系人邮箱510064110@qq.com)。如供应商选择快递费到付，集中采购机构将拒签。】；" </w:instrText>
      </w:r>
      <w:r>
        <w:rPr>
          <w:color w:val="000000" w:themeColor="text1"/>
          <w:highlight w:val="none"/>
          <w14:textFill>
            <w14:solidFill>
              <w14:schemeClr w14:val="tx1"/>
            </w14:solidFill>
          </w14:textFill>
        </w:rPr>
        <w:fldChar w:fldCharType="separate"/>
      </w:r>
      <w:r>
        <w:rPr>
          <w:rFonts w:hint="eastAsia" w:asciiTheme="majorEastAsia" w:hAnsiTheme="majorEastAsia" w:eastAsiaTheme="majorEastAsia" w:cstheme="majorEastAsia"/>
          <w:color w:val="000000" w:themeColor="text1"/>
          <w:highlight w:val="none"/>
          <w14:textFill>
            <w14:solidFill>
              <w14:schemeClr w14:val="tx1"/>
            </w14:solidFill>
          </w14:textFill>
        </w:rPr>
        <w:t>项目编号+快递单号+公司名称+被授权代表姓名及联系方式）发送至采购代理机构联系人邮箱2234454547@qq.com)。】</w:t>
      </w:r>
      <w:r>
        <w:rPr>
          <w:rFonts w:hint="eastAsia" w:asciiTheme="majorEastAsia" w:hAnsiTheme="majorEastAsia" w:eastAsiaTheme="majorEastAsia" w:cstheme="majorEastAsia"/>
          <w:color w:val="000000" w:themeColor="text1"/>
          <w:highlight w:val="none"/>
          <w14:textFill>
            <w14:solidFill>
              <w14:schemeClr w14:val="tx1"/>
            </w14:solidFill>
          </w14:textFill>
        </w:rPr>
        <w:fldChar w:fldCharType="end"/>
      </w:r>
    </w:p>
    <w:p w14:paraId="245693A3">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备份响应文件递交须满足：外包装封面上应注明投标供应商名称、投标供应商联系方式（授权代表手机）、响应文件名称（备份响应文件）、投标项目名称、项目编号、标项及“开标时启封”字样，并加盖投标供应商公章。</w:t>
      </w:r>
    </w:p>
    <w:p w14:paraId="4D730466">
      <w:pPr>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投标供应商递交的备份响应文件，出现下列情况之一的，将被拒收：</w:t>
      </w:r>
    </w:p>
    <w:p w14:paraId="02D4D808">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·未按规定密封或标记的；</w:t>
      </w:r>
    </w:p>
    <w:p w14:paraId="69D65EF8">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·由于包装不妥，在送交途中严重破损或失散的；</w:t>
      </w:r>
    </w:p>
    <w:p w14:paraId="24EEAAE8">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·超过响应截止时间送达的；</w:t>
      </w:r>
    </w:p>
    <w:p w14:paraId="275C03C9">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·快递方式：快递费到付。</w:t>
      </w:r>
    </w:p>
    <w:p w14:paraId="41380417">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⑨响应文件的解密：供应商按照平台提示和征集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没有在电子交易平台传输递交响应文件的，响应无效；</w:t>
      </w:r>
    </w:p>
    <w:p w14:paraId="248D2D39">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⑩具体操作指南：详见政采云平台“服务中心-帮助文档-项目采购-操作流程-电子招投标-政府采购项目电子交易管理操作指南-供应商”（浙江省“项目采购电子交易系统/不见面开评标”学习专题：</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"https://edu.zcygov.cn/luban/e-biding" </w:instrText>
      </w:r>
      <w:r>
        <w:rPr>
          <w:color w:val="000000" w:themeColor="text1"/>
          <w:highlight w:val="none"/>
          <w14:textFill>
            <w14:solidFill>
              <w14:schemeClr w14:val="tx1"/>
            </w14:solidFill>
          </w14:textFill>
        </w:rPr>
        <w:fldChar w:fldCharType="separate"/>
      </w:r>
      <w:r>
        <w:rPr>
          <w:rFonts w:hint="eastAsia" w:asciiTheme="majorEastAsia" w:hAnsiTheme="majorEastAsia" w:eastAsiaTheme="majorEastAsia" w:cstheme="majorEastAsia"/>
          <w:color w:val="000000" w:themeColor="text1"/>
          <w:highlight w:val="none"/>
          <w14:textFill>
            <w14:solidFill>
              <w14:schemeClr w14:val="tx1"/>
            </w14:solidFill>
          </w14:textFill>
        </w:rPr>
        <w:t>https://edu.zcygov.cn/luban/e-biding</w:t>
      </w:r>
      <w:r>
        <w:rPr>
          <w:rFonts w:hint="eastAsia" w:asciiTheme="majorEastAsia" w:hAnsiTheme="majorEastAsia" w:eastAsiaTheme="majorEastAsia" w:cstheme="majorEastAsia"/>
          <w:color w:val="000000" w:themeColor="text1"/>
          <w:highlight w:val="none"/>
          <w14:textFill>
            <w14:solidFill>
              <w14:schemeClr w14:val="tx1"/>
            </w14:solidFill>
          </w14:textFill>
        </w:rPr>
        <w:fldChar w:fldCharType="end"/>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14:paraId="67151FC8">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22" w:name="_Toc28359008"/>
      <w:bookmarkStart w:id="23" w:name="_Toc35393796"/>
      <w:bookmarkStart w:id="24" w:name="_Toc28359085"/>
      <w:bookmarkStart w:id="25" w:name="_Toc35393627"/>
      <w:r>
        <w:rPr>
          <w:rFonts w:hint="eastAsia" w:asciiTheme="majorEastAsia" w:hAnsiTheme="majorEastAsia" w:eastAsiaTheme="majorEastAsia" w:cstheme="majorEastAsia"/>
          <w:color w:val="000000" w:themeColor="text1"/>
          <w:highlight w:val="none"/>
          <w14:textFill>
            <w14:solidFill>
              <w14:schemeClr w14:val="tx1"/>
            </w14:solidFill>
          </w14:textFill>
        </w:rPr>
        <w:t>3.惠企政策</w:t>
      </w:r>
    </w:p>
    <w:p w14:paraId="3F854675">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3.1本采购项目，入围供应商与征集人签订的政府采购合同适用于嘉兴市政府采购贷款政策（简称“政采贷”），具体内容可参阅政府采购贷款流程：</w:t>
      </w:r>
    </w:p>
    <w:p w14:paraId="222BDBF6">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http://jxszwsjb.jiaxing.gov.cn/zxfw/005001/005001004/20190315/76d484f7-8fac-497f-9359-4df81cc086da.html</w:t>
      </w:r>
    </w:p>
    <w:p w14:paraId="1364B4F5">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3.2本采购项目，入围供应商与征集人签订的政府采购合同适用于浙江省政府采购履约保函政策，具体内容可登录政采云平台（https://www.zcygov.cn/），点击右侧咨询小采。</w:t>
      </w:r>
    </w:p>
    <w:p w14:paraId="707589D1">
      <w:pPr>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七、</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采购征集</w:t>
      </w:r>
      <w:r>
        <w:rPr>
          <w:rFonts w:hint="eastAsia" w:asciiTheme="majorEastAsia" w:hAnsiTheme="majorEastAsia" w:eastAsiaTheme="majorEastAsia" w:cstheme="majorEastAsia"/>
          <w:b/>
          <w:bCs/>
          <w:color w:val="000000" w:themeColor="text1"/>
          <w:highlight w:val="none"/>
          <w14:textFill>
            <w14:solidFill>
              <w14:schemeClr w14:val="tx1"/>
            </w14:solidFill>
          </w14:textFill>
        </w:rPr>
        <w:t>联系方式</w:t>
      </w:r>
      <w:bookmarkEnd w:id="22"/>
      <w:bookmarkEnd w:id="23"/>
      <w:bookmarkEnd w:id="24"/>
      <w:bookmarkEnd w:id="25"/>
    </w:p>
    <w:p w14:paraId="2F572A46">
      <w:pPr>
        <w:keepNext w:val="0"/>
        <w:keepLines w:val="0"/>
        <w:pageBreakBefore w:val="0"/>
        <w:widowControl w:val="0"/>
        <w:kinsoku/>
        <w:wordWrap/>
        <w:overflowPunct/>
        <w:topLinePunct w:val="0"/>
        <w:autoSpaceDE/>
        <w:autoSpaceDN/>
        <w:bidi w:val="0"/>
        <w:adjustRightInd/>
        <w:snapToGrid/>
        <w:spacing w:before="157" w:beforeLines="50" w:line="360" w:lineRule="auto"/>
        <w:ind w:firstLine="482" w:firstLineChars="200"/>
        <w:textAlignment w:val="auto"/>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1.征集人信息</w:t>
      </w:r>
    </w:p>
    <w:p w14:paraId="37ACD9DC">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名 称：嘉兴市南湖区交通运输局</w:t>
      </w:r>
    </w:p>
    <w:p w14:paraId="0DD3EBF5">
      <w:pPr>
        <w:spacing w:line="360" w:lineRule="auto"/>
        <w:ind w:firstLine="480" w:firstLineChars="200"/>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项目联系人：</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朱先生</w:t>
      </w:r>
    </w:p>
    <w:p w14:paraId="146F7428">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地址：嘉兴市南湖区双溪路1019号</w:t>
      </w:r>
    </w:p>
    <w:p w14:paraId="4ED428D3">
      <w:pPr>
        <w:spacing w:line="360" w:lineRule="auto"/>
        <w:ind w:firstLine="480" w:firstLineChars="200"/>
        <w:rPr>
          <w:rFonts w:hint="default" w:asciiTheme="majorEastAsia" w:hAnsiTheme="majorEastAsia" w:eastAsiaTheme="majorEastAsia" w:cstheme="majorEastAsia"/>
          <w:color w:val="000000" w:themeColor="text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联系方式：</w:t>
      </w:r>
      <w:bookmarkStart w:id="26" w:name="_Toc28359086"/>
      <w:bookmarkStart w:id="27" w:name="_Toc28359009"/>
      <w:r>
        <w:rPr>
          <w:rFonts w:hint="eastAsia" w:asciiTheme="majorEastAsia" w:hAnsiTheme="majorEastAsia" w:eastAsiaTheme="majorEastAsia" w:cstheme="majorEastAsia"/>
          <w:color w:val="000000" w:themeColor="text1"/>
          <w:highlight w:val="none"/>
          <w14:textFill>
            <w14:solidFill>
              <w14:schemeClr w14:val="tx1"/>
            </w14:solidFill>
          </w14:textFill>
        </w:rPr>
        <w:t>0573-82</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826822</w:t>
      </w:r>
    </w:p>
    <w:p w14:paraId="059FF841">
      <w:pPr>
        <w:spacing w:line="360" w:lineRule="auto"/>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质疑联系人：</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徐女士</w:t>
      </w:r>
    </w:p>
    <w:p w14:paraId="16AE80E2">
      <w:pPr>
        <w:spacing w:line="360" w:lineRule="auto"/>
        <w:ind w:firstLine="480" w:firstLineChars="200"/>
        <w:rPr>
          <w:rFonts w:hint="default" w:asciiTheme="majorEastAsia" w:hAnsiTheme="majorEastAsia" w:eastAsiaTheme="majorEastAsia" w:cstheme="majorEastAsia"/>
          <w:color w:val="000000" w:themeColor="text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联系方式：</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0573-82191413</w:t>
      </w:r>
    </w:p>
    <w:p w14:paraId="663B8CEF">
      <w:pPr>
        <w:keepNext w:val="0"/>
        <w:keepLines w:val="0"/>
        <w:pageBreakBefore w:val="0"/>
        <w:widowControl w:val="0"/>
        <w:kinsoku/>
        <w:wordWrap/>
        <w:overflowPunct/>
        <w:topLinePunct w:val="0"/>
        <w:autoSpaceDE/>
        <w:autoSpaceDN/>
        <w:bidi w:val="0"/>
        <w:adjustRightInd/>
        <w:snapToGrid/>
        <w:spacing w:before="157" w:beforeLines="50" w:line="360" w:lineRule="auto"/>
        <w:ind w:firstLine="482" w:firstLineChars="200"/>
        <w:textAlignment w:val="auto"/>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2.采购代理机构信息</w:t>
      </w:r>
      <w:bookmarkEnd w:id="26"/>
      <w:bookmarkEnd w:id="27"/>
    </w:p>
    <w:p w14:paraId="7E7E2661">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名 称：上海华瑞建设经济咨询有限公司</w:t>
      </w:r>
    </w:p>
    <w:p w14:paraId="7A4CA07C">
      <w:pPr>
        <w:spacing w:line="360" w:lineRule="auto"/>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地 址：</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嘉兴市中山东路399弄1号九楼</w:t>
      </w:r>
    </w:p>
    <w:p w14:paraId="2B8C6AA5">
      <w:pPr>
        <w:spacing w:line="360" w:lineRule="auto"/>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传真：</w:t>
      </w:r>
      <w:bookmarkStart w:id="28" w:name="_Toc28359087"/>
      <w:bookmarkStart w:id="29" w:name="_Toc28359010"/>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0573-</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82210980</w:t>
      </w:r>
    </w:p>
    <w:bookmarkEnd w:id="28"/>
    <w:bookmarkEnd w:id="29"/>
    <w:p w14:paraId="64BDCBE9">
      <w:pPr>
        <w:spacing w:line="360" w:lineRule="auto"/>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项目联系人：</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周斌</w:t>
      </w:r>
    </w:p>
    <w:p w14:paraId="651A90B9">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电话：0573-82211997</w:t>
      </w:r>
    </w:p>
    <w:p w14:paraId="269CA6EB">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邮箱：2234454547@qq.com</w:t>
      </w:r>
    </w:p>
    <w:p w14:paraId="3BC20195">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质疑联系人：上海华瑞建设经济咨询有限公司</w:t>
      </w:r>
    </w:p>
    <w:p w14:paraId="337D2469">
      <w:pPr>
        <w:spacing w:line="360" w:lineRule="auto"/>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联系方式：</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15706709350</w:t>
      </w:r>
    </w:p>
    <w:p w14:paraId="00A00D1F">
      <w:pPr>
        <w:keepNext w:val="0"/>
        <w:keepLines w:val="0"/>
        <w:pageBreakBefore w:val="0"/>
        <w:widowControl w:val="0"/>
        <w:kinsoku/>
        <w:wordWrap/>
        <w:overflowPunct/>
        <w:topLinePunct w:val="0"/>
        <w:autoSpaceDE/>
        <w:autoSpaceDN/>
        <w:bidi w:val="0"/>
        <w:adjustRightInd/>
        <w:snapToGrid/>
        <w:spacing w:before="157" w:beforeLines="50" w:line="360" w:lineRule="auto"/>
        <w:ind w:firstLine="482" w:firstLineChars="200"/>
        <w:textAlignment w:val="auto"/>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3.同级政府采购监督管理部门</w:t>
      </w:r>
    </w:p>
    <w:p w14:paraId="57EA5EA9">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政府采购行政监管及投诉受理部门：嘉兴市南湖区财政局</w:t>
      </w:r>
    </w:p>
    <w:p w14:paraId="6C87F5CF">
      <w:pPr>
        <w:spacing w:line="360" w:lineRule="auto"/>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联系人：</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张先生</w:t>
      </w:r>
    </w:p>
    <w:p w14:paraId="33C31EFF">
      <w:pPr>
        <w:spacing w:line="360" w:lineRule="auto"/>
        <w:ind w:firstLine="480" w:firstLineChars="200"/>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联系方式：0573-</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82832019</w:t>
      </w:r>
    </w:p>
    <w:p w14:paraId="38961602">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w:t>
      </w:r>
    </w:p>
    <w:p w14:paraId="13371C21">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CA问题联系电话（人工）：汇信CA 400-888-4636；天谷CA 400-087-8198。</w:t>
      </w:r>
    </w:p>
    <w:p w14:paraId="113FEE10">
      <w:pPr>
        <w:keepNext w:val="0"/>
        <w:keepLines w:val="0"/>
        <w:pageBreakBefore w:val="0"/>
        <w:widowControl w:val="0"/>
        <w:kinsoku/>
        <w:wordWrap/>
        <w:overflowPunct/>
        <w:topLinePunct w:val="0"/>
        <w:autoSpaceDE/>
        <w:autoSpaceDN/>
        <w:bidi w:val="0"/>
        <w:adjustRightInd/>
        <w:snapToGrid/>
        <w:spacing w:before="625" w:beforeLines="200" w:line="360" w:lineRule="auto"/>
        <w:jc w:val="right"/>
        <w:textAlignment w:val="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嘉兴市南湖区交通运输局</w:t>
      </w:r>
    </w:p>
    <w:p w14:paraId="17ED4450">
      <w:pPr>
        <w:keepNext w:val="0"/>
        <w:keepLines w:val="0"/>
        <w:pageBreakBefore w:val="0"/>
        <w:widowControl w:val="0"/>
        <w:kinsoku/>
        <w:wordWrap/>
        <w:overflowPunct/>
        <w:topLinePunct w:val="0"/>
        <w:autoSpaceDE/>
        <w:autoSpaceDN/>
        <w:bidi w:val="0"/>
        <w:adjustRightInd/>
        <w:snapToGrid/>
        <w:spacing w:line="360" w:lineRule="auto"/>
        <w:jc w:val="right"/>
        <w:textAlignment w:val="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上海华瑞建设经济咨询有限公司</w:t>
      </w:r>
    </w:p>
    <w:p w14:paraId="00CD0675">
      <w:pPr>
        <w:keepNext w:val="0"/>
        <w:keepLines w:val="0"/>
        <w:pageBreakBefore w:val="0"/>
        <w:widowControl w:val="0"/>
        <w:kinsoku/>
        <w:wordWrap/>
        <w:overflowPunct/>
        <w:topLinePunct w:val="0"/>
        <w:autoSpaceDE/>
        <w:autoSpaceDN/>
        <w:bidi w:val="0"/>
        <w:adjustRightInd/>
        <w:snapToGrid/>
        <w:spacing w:line="360" w:lineRule="auto"/>
        <w:ind w:firstLine="4560" w:firstLineChars="1900"/>
        <w:jc w:val="right"/>
        <w:textAlignment w:val="auto"/>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bookmarkStart w:id="30" w:name="_Toc532218222"/>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2025年2月28日</w:t>
      </w:r>
    </w:p>
    <w:p w14:paraId="1200E7F6">
      <w:pPr>
        <w:pStyle w:val="3"/>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br w:type="page"/>
      </w:r>
      <w:bookmarkEnd w:id="30"/>
      <w:bookmarkStart w:id="31" w:name="_Toc28920"/>
      <w:r>
        <w:rPr>
          <w:rFonts w:hint="eastAsia" w:asciiTheme="majorEastAsia" w:hAnsiTheme="majorEastAsia" w:eastAsiaTheme="majorEastAsia" w:cstheme="majorEastAsia"/>
          <w:color w:val="000000" w:themeColor="text1"/>
          <w:sz w:val="32"/>
          <w:szCs w:val="32"/>
          <w:highlight w:val="none"/>
          <w14:textFill>
            <w14:solidFill>
              <w14:schemeClr w14:val="tx1"/>
            </w14:solidFill>
          </w14:textFill>
        </w:rPr>
        <w:t>第二章  框架协议采购需求</w:t>
      </w:r>
      <w:bookmarkEnd w:id="31"/>
    </w:p>
    <w:p w14:paraId="1A25ED2E">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一、项目背景</w:t>
      </w:r>
    </w:p>
    <w:p w14:paraId="2F6F1F1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嘉兴市南湖区交通运输局2025-2027年度招标代理和造价咨询服务框架协议采购</w:t>
      </w:r>
      <w:r>
        <w:rPr>
          <w:rFonts w:hint="eastAsia" w:asciiTheme="majorEastAsia" w:hAnsiTheme="majorEastAsia" w:eastAsiaTheme="majorEastAsia" w:cstheme="majorEastAsia"/>
          <w:color w:val="000000" w:themeColor="text1"/>
          <w:highlight w:val="none"/>
          <w14:textFill>
            <w14:solidFill>
              <w14:schemeClr w14:val="tx1"/>
            </w14:solidFill>
          </w14:textFill>
        </w:rPr>
        <w:t>为嘉兴市南湖区交通运输局及其下属企事业单位</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2025-2027</w:t>
      </w:r>
      <w:r>
        <w:rPr>
          <w:rFonts w:hint="eastAsia" w:asciiTheme="majorEastAsia" w:hAnsiTheme="majorEastAsia" w:eastAsiaTheme="majorEastAsia" w:cstheme="majorEastAsia"/>
          <w:color w:val="000000" w:themeColor="text1"/>
          <w:highlight w:val="none"/>
          <w14:textFill>
            <w14:solidFill>
              <w14:schemeClr w14:val="tx1"/>
            </w14:solidFill>
          </w14:textFill>
        </w:rPr>
        <w:t>年度单项合同费用在招标采购限额标准以下的工程、货物及服务的招标代理服务（含工程量清单、预算价编制）、工程造价审核服务、工程造价结算审计服务、跟踪审计等相关造价咨询服务。</w:t>
      </w:r>
    </w:p>
    <w:p w14:paraId="64B3542A">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二、采购内容</w:t>
      </w:r>
    </w:p>
    <w:p w14:paraId="45945E5F">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嘉兴市南湖区交通运输局及其下属企事业单位</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2025-2027</w:t>
      </w:r>
      <w:r>
        <w:rPr>
          <w:rFonts w:hint="eastAsia" w:asciiTheme="majorEastAsia" w:hAnsiTheme="majorEastAsia" w:eastAsiaTheme="majorEastAsia" w:cstheme="majorEastAsia"/>
          <w:color w:val="000000" w:themeColor="text1"/>
          <w:highlight w:val="none"/>
          <w14:textFill>
            <w14:solidFill>
              <w14:schemeClr w14:val="tx1"/>
            </w14:solidFill>
          </w14:textFill>
        </w:rPr>
        <w:t>年度单项合同费用在招标采购限额标准以下（</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具体金额根据省、市、区和采购人招标采购限额相关规定适时调整</w:t>
      </w:r>
      <w:r>
        <w:rPr>
          <w:rFonts w:hint="eastAsia" w:asciiTheme="majorEastAsia" w:hAnsiTheme="majorEastAsia" w:eastAsiaTheme="majorEastAsia" w:cstheme="majorEastAsia"/>
          <w:color w:val="000000" w:themeColor="text1"/>
          <w:highlight w:val="none"/>
          <w14:textFill>
            <w14:solidFill>
              <w14:schemeClr w14:val="tx1"/>
            </w14:solidFill>
          </w14:textFill>
        </w:rPr>
        <w:t>）的工程、货物及服务的招标代理服务（含工程量清单、预算价编制）、工程造价审核服务、工程造价结算审计服务、跟踪审计等相关造价咨询服务。</w:t>
      </w:r>
    </w:p>
    <w:p w14:paraId="679B8141">
      <w:pPr>
        <w:snapToGrid w:val="0"/>
        <w:spacing w:line="360" w:lineRule="auto"/>
        <w:ind w:firstLine="480" w:firstLineChars="200"/>
        <w:rPr>
          <w:rFonts w:asciiTheme="majorEastAsia" w:hAnsiTheme="majorEastAsia" w:eastAsiaTheme="majorEastAsia" w:cstheme="majorEastAsia"/>
          <w:bCs/>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入围家数</w:t>
      </w: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：提交响应文件且符合资格条件、实质性要求的供应商</w:t>
      </w:r>
      <w:r>
        <w:rPr>
          <w:rFonts w:hint="eastAsia" w:asciiTheme="majorEastAsia" w:hAnsiTheme="majorEastAsia" w:eastAsiaTheme="majorEastAsia" w:cstheme="majorEastAsia"/>
          <w:bCs/>
          <w:color w:val="000000" w:themeColor="text1"/>
          <w:highlight w:val="none"/>
          <w14:textFill>
            <w14:solidFill>
              <w14:schemeClr w14:val="tx1"/>
            </w14:solidFill>
          </w14:textFill>
        </w:rPr>
        <w:t>10</w:t>
      </w: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家（不含）以上，按照质量评分从高到低排序，推荐前</w:t>
      </w:r>
      <w:r>
        <w:rPr>
          <w:rFonts w:hint="eastAsia" w:asciiTheme="majorEastAsia" w:hAnsiTheme="majorEastAsia" w:eastAsiaTheme="majorEastAsia" w:cstheme="majorEastAsia"/>
          <w:bCs/>
          <w:color w:val="000000" w:themeColor="text1"/>
          <w:highlight w:val="none"/>
          <w:lang w:eastAsia="zh-CN"/>
          <w14:textFill>
            <w14:solidFill>
              <w14:schemeClr w14:val="tx1"/>
            </w14:solidFill>
          </w14:textFill>
        </w:rPr>
        <w:t>8家</w:t>
      </w: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为入围供应商；提交响应文件及符合资格条件、实质性要求的供应商</w:t>
      </w:r>
      <w:r>
        <w:rPr>
          <w:rFonts w:hint="eastAsia" w:asciiTheme="majorEastAsia" w:hAnsiTheme="majorEastAsia" w:eastAsiaTheme="majorEastAsia" w:cstheme="majorEastAsia"/>
          <w:bCs/>
          <w:color w:val="000000" w:themeColor="text1"/>
          <w:highlight w:val="none"/>
          <w14:textFill>
            <w14:solidFill>
              <w14:schemeClr w14:val="tx1"/>
            </w14:solidFill>
          </w14:textFill>
        </w:rPr>
        <w:t>10</w:t>
      </w: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家（含）以下，按</w:t>
      </w:r>
      <w:r>
        <w:rPr>
          <w:rFonts w:hint="eastAsia" w:asciiTheme="majorEastAsia" w:hAnsiTheme="majorEastAsia" w:eastAsiaTheme="majorEastAsia" w:cstheme="majorEastAsia"/>
          <w:bCs/>
          <w:color w:val="000000" w:themeColor="text1"/>
          <w:highlight w:val="none"/>
          <w:lang w:val="en-US" w:eastAsia="zh-CN"/>
          <w14:textFill>
            <w14:solidFill>
              <w14:schemeClr w14:val="tx1"/>
            </w14:solidFill>
          </w14:textFill>
        </w:rPr>
        <w:t>2</w:t>
      </w: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0%比例淘汰（如遇淘汰数值为小数的，取大值整数，例如淘汰4.2家，取淘汰5家）后推荐为入围供应商，如淘汰后剩余供应商超过8家的，推荐前8家为入围供应商。</w:t>
      </w:r>
    </w:p>
    <w:p w14:paraId="7A6BB9C0">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服务期：服务期自协议签订之日起</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两</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年</w:t>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14:paraId="1655D2D1">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三、供应商服务基本要求</w:t>
      </w:r>
    </w:p>
    <w:p w14:paraId="0FA6247D">
      <w:pPr>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bookmarkStart w:id="32" w:name="_Toc155322446"/>
      <w:bookmarkStart w:id="33" w:name="_Toc291450146"/>
      <w:r>
        <w:rPr>
          <w:rFonts w:hint="eastAsia" w:asciiTheme="majorEastAsia" w:hAnsiTheme="majorEastAsia" w:eastAsiaTheme="majorEastAsia" w:cstheme="majorEastAsia"/>
          <w:b/>
          <w:bCs/>
          <w:color w:val="000000" w:themeColor="text1"/>
          <w:highlight w:val="none"/>
          <w14:textFill>
            <w14:solidFill>
              <w14:schemeClr w14:val="tx1"/>
            </w14:solidFill>
          </w14:textFill>
        </w:rPr>
        <w:t>（一）服务人员要求</w:t>
      </w:r>
    </w:p>
    <w:p w14:paraId="477AB446">
      <w:pPr>
        <w:spacing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针对本项目，供应商必须组建专业工作团队。</w:t>
      </w:r>
    </w:p>
    <w:p w14:paraId="318B3BC4">
      <w:pPr>
        <w:spacing w:line="360" w:lineRule="auto"/>
        <w:ind w:firstLine="480" w:firstLineChars="200"/>
        <w:rPr>
          <w:rFonts w:asciiTheme="majorEastAsia" w:hAnsiTheme="majorEastAsia" w:eastAsiaTheme="majorEastAsia" w:cstheme="majorEastAsia"/>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w:t>
      </w:r>
      <w:r>
        <w:rPr>
          <w:rFonts w:hint="eastAsia" w:asciiTheme="majorEastAsia" w:hAnsiTheme="majorEastAsia" w:eastAsiaTheme="majorEastAsia" w:cstheme="majorEastAsia"/>
          <w:color w:val="000000" w:themeColor="text1"/>
          <w:highlight w:val="none"/>
          <w14:textFill>
            <w14:solidFill>
              <w14:schemeClr w14:val="tx1"/>
            </w14:solidFill>
          </w14:textFill>
        </w:rPr>
        <w:t>1、</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拟派团队负责人1人，同时具备：高级工程师职称，注册一级造价工程师（交通运输工程专业，需提供注册证明）或交通运输部公路甲级造价人员证书（需提供资格证书复印件），</w:t>
      </w:r>
      <w:r>
        <w:rPr>
          <w:rFonts w:hint="eastAsia" w:asciiTheme="majorEastAsia" w:hAnsiTheme="majorEastAsia" w:eastAsiaTheme="majorEastAsia" w:cstheme="majorEastAsia"/>
          <w:color w:val="000000" w:themeColor="text1"/>
          <w:highlight w:val="none"/>
          <w14:textFill>
            <w14:solidFill>
              <w14:schemeClr w14:val="tx1"/>
            </w14:solidFill>
          </w14:textFill>
        </w:rPr>
        <w:t>提供响应截止时间前3个月的社会保险参保证明，参保单位须与响应供应商一致，如参保单位为响应供应商总公司［或分公司］或响应供应商母公司［或子公司］，均予以认可；无社保的退休人员须提供与响应供应商签订的劳动合同），</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造价工程师须注册在供应商处。</w:t>
      </w:r>
    </w:p>
    <w:p w14:paraId="63CAE125">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w:t>
      </w:r>
      <w:r>
        <w:rPr>
          <w:rFonts w:hint="eastAsia" w:asciiTheme="majorEastAsia" w:hAnsiTheme="majorEastAsia" w:eastAsiaTheme="majorEastAsia" w:cstheme="majorEastAsia"/>
          <w:color w:val="000000" w:themeColor="text1"/>
          <w:highlight w:val="none"/>
          <w14:textFill>
            <w14:solidFill>
              <w14:schemeClr w14:val="tx1"/>
            </w14:solidFill>
          </w14:textFill>
        </w:rPr>
        <w:t>2、</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拟派团队组成员（不含团队负责人）</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8</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人及以上（提供响应截止时间前3个月的社会保险参保证明，</w:t>
      </w:r>
      <w:r>
        <w:rPr>
          <w:rFonts w:hint="eastAsia" w:asciiTheme="majorEastAsia" w:hAnsiTheme="majorEastAsia" w:eastAsiaTheme="majorEastAsia" w:cstheme="majorEastAsia"/>
          <w:color w:val="000000" w:themeColor="text1"/>
          <w:highlight w:val="none"/>
          <w14:textFill>
            <w14:solidFill>
              <w14:schemeClr w14:val="tx1"/>
            </w14:solidFill>
          </w14:textFill>
        </w:rPr>
        <w:t>参保单位须与响应供应商一致，如参保单位为响应供应商总公司［或分公司］或响应供应商母公司［或子公司］，均予以认可；无社保的退休人员须提供与响应供应商签订的劳动合同）</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，并具备相关专业的注册二级造价工程师及以上证书</w:t>
      </w:r>
      <w:r>
        <w:rPr>
          <w:rFonts w:hint="eastAsia" w:asciiTheme="majorEastAsia" w:hAnsiTheme="majorEastAsia" w:eastAsiaTheme="majorEastAsia" w:cstheme="majorEastAsia"/>
          <w:b/>
          <w:bCs/>
          <w:color w:val="000000" w:themeColor="text1"/>
          <w:highlight w:val="none"/>
          <w:lang w:val="zh-CN"/>
          <w14:textFill>
            <w14:solidFill>
              <w14:schemeClr w14:val="tx1"/>
            </w14:solidFill>
          </w14:textFill>
        </w:rPr>
        <w:t>（造价工程师需注册在供应商处，相关专业</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指</w:t>
      </w:r>
      <w:r>
        <w:rPr>
          <w:rFonts w:hint="eastAsia" w:asciiTheme="majorEastAsia" w:hAnsiTheme="majorEastAsia" w:eastAsiaTheme="majorEastAsia" w:cstheme="majorEastAsia"/>
          <w:b/>
          <w:bCs/>
          <w:color w:val="000000" w:themeColor="text1"/>
          <w:highlight w:val="none"/>
          <w:lang w:val="zh-CN"/>
          <w14:textFill>
            <w14:solidFill>
              <w14:schemeClr w14:val="tx1"/>
            </w14:solidFill>
          </w14:textFill>
        </w:rPr>
        <w:t>土木建筑、交通运输</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两个</w:t>
      </w:r>
      <w:r>
        <w:rPr>
          <w:rFonts w:hint="eastAsia" w:asciiTheme="majorEastAsia" w:hAnsiTheme="majorEastAsia" w:eastAsiaTheme="majorEastAsia" w:cstheme="majorEastAsia"/>
          <w:b/>
          <w:bCs/>
          <w:color w:val="000000" w:themeColor="text1"/>
          <w:highlight w:val="none"/>
          <w:lang w:val="zh-CN"/>
          <w14:textFill>
            <w14:solidFill>
              <w14:schemeClr w14:val="tx1"/>
            </w14:solidFill>
          </w14:textFill>
        </w:rPr>
        <w:t>专业，每人只取一个专业计算)</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w:t>
      </w:r>
    </w:p>
    <w:p w14:paraId="37099975">
      <w:pPr>
        <w:numPr>
          <w:ilvl w:val="0"/>
          <w:numId w:val="2"/>
        </w:numPr>
        <w:spacing w:line="360" w:lineRule="auto"/>
        <w:ind w:firstLine="480" w:firstLineChars="200"/>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团队组成员</w:t>
      </w: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一旦确定，服务期内人员不得变更，实际咨询服务人员必须为</w:t>
      </w:r>
      <w:r>
        <w:rPr>
          <w:rFonts w:hint="eastAsia" w:asciiTheme="majorEastAsia" w:hAnsiTheme="majorEastAsia" w:eastAsiaTheme="majorEastAsia" w:cstheme="majorEastAsia"/>
          <w:bCs/>
          <w:color w:val="000000" w:themeColor="text1"/>
          <w:highlight w:val="none"/>
          <w14:textFill>
            <w14:solidFill>
              <w14:schemeClr w14:val="tx1"/>
            </w14:solidFill>
          </w14:textFill>
        </w:rPr>
        <w:t>响应</w:t>
      </w: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时拟派</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团队组成员</w:t>
      </w: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名单之列。</w:t>
      </w:r>
      <w:bookmarkStart w:id="34" w:name="_Toc1273171034"/>
      <w:bookmarkStart w:id="35" w:name="_Toc16583"/>
      <w:bookmarkStart w:id="36" w:name="_Toc2113325692"/>
    </w:p>
    <w:p w14:paraId="244A4C28">
      <w:pPr>
        <w:numPr>
          <w:ilvl w:val="0"/>
          <w:numId w:val="0"/>
        </w:numPr>
        <w:spacing w:line="360" w:lineRule="auto"/>
        <w:ind w:firstLine="482" w:firstLineChars="200"/>
        <w:rPr>
          <w:rFonts w:asciiTheme="majorEastAsia" w:hAnsiTheme="majorEastAsia" w:eastAsiaTheme="majorEastAsia" w:cstheme="majorEastAsia"/>
          <w:b w:val="0"/>
          <w:color w:val="000000" w:themeColor="text1"/>
          <w:sz w:val="24"/>
          <w:szCs w:val="24"/>
          <w:highlight w:val="none"/>
          <w:lang w:val="zh-CN"/>
          <w14:textFill>
            <w14:solidFill>
              <w14:schemeClr w14:val="tx1"/>
            </w14:solidFill>
          </w14:textFill>
        </w:rPr>
      </w:pPr>
      <w:r>
        <w:rPr>
          <w:rFonts w:hint="eastAsia" w:asciiTheme="majorEastAsia" w:hAnsiTheme="majorEastAsia" w:eastAsiaTheme="majorEastAsia" w:cstheme="majorEastAsia"/>
          <w:b/>
          <w:bCs w:val="0"/>
          <w:color w:val="000000" w:themeColor="text1"/>
          <w:sz w:val="24"/>
          <w:szCs w:val="24"/>
          <w:highlight w:val="none"/>
          <w:lang w:val="zh-CN"/>
          <w14:textFill>
            <w14:solidFill>
              <w14:schemeClr w14:val="tx1"/>
            </w14:solidFill>
          </w14:textFill>
        </w:rPr>
        <w:t>注：</w:t>
      </w:r>
      <w:r>
        <w:rPr>
          <w:rFonts w:hint="eastAsia" w:asciiTheme="majorEastAsia" w:hAnsiTheme="majorEastAsia" w:eastAsiaTheme="majorEastAsia" w:cstheme="majorEastAsia"/>
          <w:b w:val="0"/>
          <w:color w:val="000000" w:themeColor="text1"/>
          <w:sz w:val="24"/>
          <w:szCs w:val="24"/>
          <w:highlight w:val="none"/>
          <w14:textFill>
            <w14:solidFill>
              <w14:schemeClr w14:val="tx1"/>
            </w14:solidFill>
          </w14:textFill>
        </w:rPr>
        <w:t>中华人民共和国交通运输部颁发的甲级公路工程造价员资格证书视同一级，乙级公路工程造价员资格证书视同二级；建设部原注册造价工程师视同为一级，其专业的认定需提供造价信息网或全国建筑市场监管公共服务平台或交通执业资格网能体现专业的查询截图。</w:t>
      </w:r>
      <w:bookmarkEnd w:id="34"/>
      <w:bookmarkEnd w:id="35"/>
      <w:bookmarkEnd w:id="36"/>
    </w:p>
    <w:p w14:paraId="22BB1166">
      <w:pPr>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（二）服务工作内容及要求：</w:t>
      </w:r>
    </w:p>
    <w:p w14:paraId="194A113D">
      <w:pPr>
        <w:spacing w:line="360" w:lineRule="auto"/>
        <w:ind w:firstLine="482" w:firstLineChars="200"/>
        <w:jc w:val="left"/>
        <w:rPr>
          <w:rFonts w:asciiTheme="majorEastAsia" w:hAnsiTheme="majorEastAsia" w:eastAsiaTheme="majorEastAsia" w:cstheme="majorEastAsia"/>
          <w:b/>
          <w:bCs/>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0"/>
          <w:highlight w:val="none"/>
          <w14:textFill>
            <w14:solidFill>
              <w14:schemeClr w14:val="tx1"/>
            </w14:solidFill>
          </w14:textFill>
        </w:rPr>
        <w:t>1、招标代理服务工作内容及要求</w:t>
      </w:r>
    </w:p>
    <w:p w14:paraId="1CBDC345">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1.1按《工程建设项目施工招标投标办法》、《公路工程建设项目招标投标管理办法》规定，招标代理主要工作内容：</w:t>
      </w:r>
    </w:p>
    <w:p w14:paraId="0FD2FA32">
      <w:pPr>
        <w:numPr>
          <w:ilvl w:val="0"/>
          <w:numId w:val="3"/>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拟订招标方案；</w:t>
      </w:r>
    </w:p>
    <w:p w14:paraId="6C0923B9">
      <w:pPr>
        <w:numPr>
          <w:ilvl w:val="0"/>
          <w:numId w:val="3"/>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招标申请与协调；</w:t>
      </w:r>
    </w:p>
    <w:p w14:paraId="47B5622A">
      <w:pPr>
        <w:numPr>
          <w:ilvl w:val="0"/>
          <w:numId w:val="3"/>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审查投标人资格；</w:t>
      </w:r>
    </w:p>
    <w:p w14:paraId="6212D1F4">
      <w:pPr>
        <w:numPr>
          <w:ilvl w:val="0"/>
          <w:numId w:val="3"/>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编制工程量清单及预算(标底)；</w:t>
      </w:r>
    </w:p>
    <w:p w14:paraId="26B18EE8">
      <w:pPr>
        <w:numPr>
          <w:ilvl w:val="0"/>
          <w:numId w:val="3"/>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编制和出售施工资格预审文件、招标文件；</w:t>
      </w:r>
    </w:p>
    <w:p w14:paraId="50B26D63">
      <w:pPr>
        <w:numPr>
          <w:ilvl w:val="0"/>
          <w:numId w:val="3"/>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组织投标人踏勘现场，答疑澄清；</w:t>
      </w:r>
    </w:p>
    <w:p w14:paraId="216C7F7D">
      <w:pPr>
        <w:numPr>
          <w:ilvl w:val="0"/>
          <w:numId w:val="3"/>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接受投标，组织开标、评标，协助定标；</w:t>
      </w:r>
    </w:p>
    <w:p w14:paraId="799500B7">
      <w:pPr>
        <w:numPr>
          <w:ilvl w:val="0"/>
          <w:numId w:val="3"/>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草拟合同；</w:t>
      </w:r>
    </w:p>
    <w:p w14:paraId="19122D69">
      <w:pPr>
        <w:numPr>
          <w:ilvl w:val="0"/>
          <w:numId w:val="3"/>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招标人委托的其他事项。</w:t>
      </w:r>
    </w:p>
    <w:p w14:paraId="4DB7B68C">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1.2其他相关说明及要求：</w:t>
      </w:r>
    </w:p>
    <w:p w14:paraId="4367AFA0">
      <w:pPr>
        <w:numPr>
          <w:ilvl w:val="0"/>
          <w:numId w:val="4"/>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审查投标人资格包括：组织资格审查委员会或评标委员会，根据资格预审文件或招标文件，审查潜在投标人或投标人资格，确定潜在投标人或投标人工作；</w:t>
      </w:r>
    </w:p>
    <w:p w14:paraId="28451D92">
      <w:pPr>
        <w:numPr>
          <w:ilvl w:val="0"/>
          <w:numId w:val="4"/>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工程量清单编制要求：根据施工图纸、《建设工程工程量清单计价规范》及公路等行业有关计价规范，按照相关的工程预算定额、工程量计算规则、施工费用计算规则、市场价格等情况编制工程量清单，同时要求在提供清单的同时提供预算书；</w:t>
      </w:r>
    </w:p>
    <w:p w14:paraId="2AC8D05A">
      <w:pPr>
        <w:numPr>
          <w:ilvl w:val="0"/>
          <w:numId w:val="4"/>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组织投标人踏勘现场，答疑澄清：组织投标人踏勘现场，收集投标人提出的问题，编制答疑会议纪要或补遗文件，发给所有招标文件的收受人；</w:t>
      </w:r>
    </w:p>
    <w:p w14:paraId="79F42EC2">
      <w:pPr>
        <w:numPr>
          <w:ilvl w:val="0"/>
          <w:numId w:val="4"/>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招标完成后应及时编制招标投标情况书面报告，整理招标投标资料汇编，及时报发包人备案；</w:t>
      </w:r>
    </w:p>
    <w:p w14:paraId="366EEC2F">
      <w:pPr>
        <w:numPr>
          <w:ilvl w:val="0"/>
          <w:numId w:val="4"/>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及时完成中标通知书备案、施工图纸的收回；</w:t>
      </w:r>
    </w:p>
    <w:p w14:paraId="3B94B77C">
      <w:pPr>
        <w:numPr>
          <w:ilvl w:val="0"/>
          <w:numId w:val="4"/>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招标相关资料均需加盖相应的资质章（若有）、资格章、执业章；</w:t>
      </w:r>
    </w:p>
    <w:p w14:paraId="7964EE02">
      <w:pPr>
        <w:numPr>
          <w:ilvl w:val="0"/>
          <w:numId w:val="4"/>
        </w:num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与项目招标有关的其他事项。</w:t>
      </w:r>
    </w:p>
    <w:p w14:paraId="6DAD257C">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1.3为招标人提供的为完成招标工作的相关咨询服务：招标投标程序咨询、合同咨询等。</w:t>
      </w:r>
    </w:p>
    <w:p w14:paraId="072A42A1">
      <w:pPr>
        <w:spacing w:line="360" w:lineRule="auto"/>
        <w:ind w:firstLine="480" w:firstLineChars="200"/>
        <w:jc w:val="left"/>
        <w:rPr>
          <w:rFonts w:hint="default" w:asciiTheme="majorEastAsia" w:hAnsiTheme="majorEastAsia" w:eastAsiaTheme="majorEastAsia" w:cstheme="majorEastAsia"/>
          <w:color w:val="000000" w:themeColor="text1"/>
          <w:kern w:val="0"/>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1.4承担并支付以下费用：招标投标场地租用费、信息发布费、评标专家费</w:t>
      </w:r>
      <w:r>
        <w:rPr>
          <w:rFonts w:hint="eastAsia" w:asciiTheme="majorEastAsia" w:hAnsiTheme="majorEastAsia" w:eastAsiaTheme="majorEastAsia" w:cstheme="majorEastAsia"/>
          <w:color w:val="000000" w:themeColor="text1"/>
          <w:kern w:val="0"/>
          <w:highlight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kern w:val="0"/>
          <w:highlight w:val="none"/>
          <w:lang w:val="en-US" w:eastAsia="zh-CN"/>
          <w14:textFill>
            <w14:solidFill>
              <w14:schemeClr w14:val="tx1"/>
            </w14:solidFill>
          </w14:textFill>
        </w:rPr>
        <w:t>注：政府采购项目评标专家费用由业主单独支付</w:t>
      </w:r>
      <w:r>
        <w:rPr>
          <w:rFonts w:hint="eastAsia" w:asciiTheme="majorEastAsia" w:hAnsiTheme="majorEastAsia" w:eastAsiaTheme="majorEastAsia" w:cstheme="majorEastAsia"/>
          <w:color w:val="000000" w:themeColor="text1"/>
          <w:kern w:val="0"/>
          <w:highlight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、招标文件编制及审查专家费、工程量清单编制费、预算编制费、资料费等</w:t>
      </w:r>
      <w:r>
        <w:rPr>
          <w:rFonts w:hint="eastAsia" w:asciiTheme="majorEastAsia" w:hAnsiTheme="majorEastAsia" w:eastAsiaTheme="majorEastAsia" w:cstheme="majorEastAsia"/>
          <w:color w:val="000000" w:themeColor="text1"/>
          <w:kern w:val="0"/>
          <w:highlight w:val="none"/>
          <w:lang w:eastAsia="zh-CN"/>
          <w14:textFill>
            <w14:solidFill>
              <w14:schemeClr w14:val="tx1"/>
            </w14:solidFill>
          </w14:textFill>
        </w:rPr>
        <w:t>。</w:t>
      </w:r>
    </w:p>
    <w:p w14:paraId="78DAE5A6">
      <w:pPr>
        <w:spacing w:line="360" w:lineRule="auto"/>
        <w:ind w:firstLine="480" w:firstLineChars="200"/>
        <w:jc w:val="left"/>
        <w:rPr>
          <w:rFonts w:asciiTheme="majorEastAsia" w:hAnsi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1.5在接到项目代理通知后，代理单位按要求及时完成招标代理工作。</w:t>
      </w:r>
      <w:r>
        <w:rPr>
          <w:rFonts w:hint="eastAsia" w:ascii="宋体" w:hAnsi="宋体"/>
          <w:color w:val="000000" w:themeColor="text1"/>
          <w:highlight w:val="none"/>
          <w14:textFill>
            <w14:solidFill>
              <w14:schemeClr w14:val="tx1"/>
            </w14:solidFill>
          </w14:textFill>
        </w:rPr>
        <w:t>在收到施工图纸后按招标人要求的时间编制完成工程量清单报招标人审核，并在审核后5天内完成清单及招标文件的备案。在接到项目代理通知后，代理单位应立即创造条件开展招标工作，招标前期资料不齐时，需积极想办法先行发布招标信息，尽量缩短招标时间。</w:t>
      </w:r>
    </w:p>
    <w:p w14:paraId="6F4C6F51">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1.6施工图范围内工程量清单编制误差率不得超过±2%，编制的标底或者招标控制价误差率不得超过±</w:t>
      </w:r>
      <w:r>
        <w:rPr>
          <w:rFonts w:hint="eastAsia" w:asciiTheme="majorEastAsia" w:hAnsiTheme="majorEastAsia" w:eastAsiaTheme="majorEastAsia" w:cstheme="majorEastAsia"/>
          <w:color w:val="000000" w:themeColor="text1"/>
          <w:kern w:val="0"/>
          <w:highlight w:val="none"/>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w:t>
      </w:r>
    </w:p>
    <w:p w14:paraId="3F08B0F5">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1.7在工程的招标代理中，必须严格按照《中华人民共和国招标投标法》、《中华人民共和国招标投标法实施条例》、《嘉兴市建设工程招标投标实施办法》等有关法律、法规等进行规范操作。招标代理机构人员不得与所负责招标代理的项目的所有投标人有任何经济利害关系。</w:t>
      </w:r>
    </w:p>
    <w:p w14:paraId="719A103E">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1.8在坚持公开、公平、公正、择优的原则基础上，必须始终维护招标人权益。</w:t>
      </w:r>
    </w:p>
    <w:p w14:paraId="04474E68">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1.9组织思想品德好、综合能力强，且招标经验丰富的项目班子，以确保招标工作的顺利完成。</w:t>
      </w:r>
    </w:p>
    <w:p w14:paraId="7F3C23CA">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1.10加强协调工作，各项招标工作必须满足所要招标项目的要求。</w:t>
      </w:r>
    </w:p>
    <w:p w14:paraId="5BCAD52D">
      <w:pPr>
        <w:spacing w:line="360" w:lineRule="auto"/>
        <w:ind w:firstLine="482" w:firstLineChars="200"/>
        <w:jc w:val="left"/>
        <w:rPr>
          <w:rFonts w:asciiTheme="majorEastAsia" w:hAnsiTheme="majorEastAsia" w:eastAsiaTheme="majorEastAsia" w:cstheme="majorEastAsia"/>
          <w:b/>
          <w:bCs/>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0"/>
          <w:highlight w:val="none"/>
          <w14:textFill>
            <w14:solidFill>
              <w14:schemeClr w14:val="tx1"/>
            </w14:solidFill>
          </w14:textFill>
        </w:rPr>
        <w:t>2、造价咨询服务工作内容及要求</w:t>
      </w:r>
    </w:p>
    <w:p w14:paraId="00821CC0">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2.1工程造价文件审核服务</w:t>
      </w:r>
    </w:p>
    <w:p w14:paraId="79D199F4">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在</w:t>
      </w:r>
      <w:r>
        <w:rPr>
          <w:rFonts w:hint="eastAsia" w:asciiTheme="majorEastAsia" w:hAnsiTheme="majorEastAsia" w:eastAsiaTheme="majorEastAsia" w:cstheme="majorEastAsia"/>
          <w:color w:val="000000" w:themeColor="text1"/>
          <w:kern w:val="0"/>
          <w:highlight w:val="none"/>
          <w:lang w:eastAsia="zh-CN"/>
          <w14:textFill>
            <w14:solidFill>
              <w14:schemeClr w14:val="tx1"/>
            </w14:solidFill>
          </w14:textFill>
        </w:rPr>
        <w:t>入围供应商</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中选取工程量清单及预算、招标控制价等工程造价文件的第三方审核服务单位，收费按《浙江省建设工程造价咨询服务收费标准》（浙价服【2009】84号文）规定的收费标准</w:t>
      </w:r>
      <w:r>
        <w:rPr>
          <w:rFonts w:hint="eastAsia" w:asciiTheme="majorEastAsia" w:hAnsiTheme="majorEastAsia" w:eastAsiaTheme="majorEastAsia" w:cstheme="majorEastAsia"/>
          <w:color w:val="000000" w:themeColor="text1"/>
          <w:kern w:val="0"/>
          <w:highlight w:val="none"/>
          <w:lang w:val="en-US" w:eastAsia="zh-CN"/>
          <w14:textFill>
            <w14:solidFill>
              <w14:schemeClr w14:val="tx1"/>
            </w14:solidFill>
          </w14:textFill>
        </w:rPr>
        <w:t>28</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%计取</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，最低按2000元/个计费。</w:t>
      </w:r>
    </w:p>
    <w:p w14:paraId="74FB54FA">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2.2工程造价结算审计服务</w:t>
      </w:r>
    </w:p>
    <w:p w14:paraId="33F1EAC2">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按区审计局相关规定执行，不列入区审计局入围中介库委托中介机构进行结算审核的项目，按照入围招标代理库顺序选取单位进行结算审计，收费按《浙江省建设工程造价咨询服务收费标准》（浙价服【2009】84号文）规定的收费标准70%计取，最低按2000元/个计费。其中追加收费由各咨询单位向施工单位自行收取。</w:t>
      </w:r>
    </w:p>
    <w:p w14:paraId="618D3BD3">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2.3跟踪审计服务</w:t>
      </w:r>
    </w:p>
    <w:p w14:paraId="6D1A7D46">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各项目业主单位根据实际需要可在本代理库内选取项目的跟踪审计(费用招标采购限额标准以下，根据</w:t>
      </w:r>
      <w:r>
        <w:rPr>
          <w:rFonts w:hint="eastAsia" w:asciiTheme="majorEastAsia" w:hAnsiTheme="majorEastAsia" w:eastAsiaTheme="majorEastAsia" w:cstheme="majorEastAsia"/>
          <w:color w:val="000000" w:themeColor="text1"/>
          <w:kern w:val="0"/>
          <w:highlight w:val="none"/>
          <w:lang w:eastAsia="zh-CN"/>
          <w14:textFill>
            <w14:solidFill>
              <w14:schemeClr w14:val="tx1"/>
            </w14:solidFill>
          </w14:textFill>
        </w:rPr>
        <w:t>省、市、区</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和采购人招标采购限额相关规定适时调整)，收费按《浙江省建设工程造价咨询服务收费标准》（浙价服【2009】84号文）规定的收费标准70%计取，最低按2000元/个计费。</w:t>
      </w:r>
    </w:p>
    <w:p w14:paraId="61B1EE86">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2.4造价咨询服务时限及有关要求</w:t>
      </w:r>
    </w:p>
    <w:p w14:paraId="62DF998C">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（1）工程造价文件审核服务须在收到送审资料后7天内（</w:t>
      </w:r>
      <w:r>
        <w:rPr>
          <w:rFonts w:hint="eastAsia" w:asciiTheme="majorEastAsia" w:hAnsiTheme="majorEastAsia" w:eastAsiaTheme="majorEastAsia" w:cstheme="majorEastAsia"/>
          <w:color w:val="000000" w:themeColor="text1"/>
          <w:kern w:val="0"/>
          <w:highlight w:val="none"/>
          <w:lang w:eastAsia="zh-CN"/>
          <w14:textFill>
            <w14:solidFill>
              <w14:schemeClr w14:val="tx1"/>
            </w14:solidFill>
          </w14:textFill>
        </w:rPr>
        <w:t>具体在协议签订时结合本次征集入围供应商承诺时间由征集人统一明确</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）编制完成咨询意见；零星工程结算审核须在收到送审资料后10天内编制完成咨询报告初稿；上述咨询项目若发现资料不齐时，应在收到资料后2天内向委托人提出，并明确相关资料要求。</w:t>
      </w:r>
    </w:p>
    <w:p w14:paraId="53C60395">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（2）在工程造价咨询服务过程中，必须严格按照《浙江省建设工程造价咨询执业操作规程》及嘉兴市建设工程造价的有关法律、法规等进行规范操作。</w:t>
      </w:r>
    </w:p>
    <w:p w14:paraId="6887DCCC">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（3）组织思想品德好、综合能力强且经验丰富的咨询人员，咨询工作开展过程中若碰到问题需委托人协调的，需向委托人及时反映，并加强主动性、积极性及协调能力，以确保咨询工作的顺利完成。</w:t>
      </w:r>
    </w:p>
    <w:p w14:paraId="49D0C7D6">
      <w:pPr>
        <w:spacing w:line="360" w:lineRule="auto"/>
        <w:ind w:firstLine="482" w:firstLineChars="200"/>
        <w:jc w:val="left"/>
        <w:rPr>
          <w:rFonts w:asciiTheme="majorEastAsia" w:hAnsiTheme="majorEastAsia" w:eastAsiaTheme="majorEastAsia" w:cstheme="majorEastAsia"/>
          <w:b/>
          <w:bCs/>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0"/>
          <w:highlight w:val="none"/>
          <w14:textFill>
            <w14:solidFill>
              <w14:schemeClr w14:val="tx1"/>
            </w14:solidFill>
          </w14:textFill>
        </w:rPr>
        <w:t>四、报价要求</w:t>
      </w:r>
    </w:p>
    <w:p w14:paraId="554C34FD">
      <w:pPr>
        <w:spacing w:line="360" w:lineRule="auto"/>
        <w:ind w:firstLine="482" w:firstLineChars="200"/>
        <w:jc w:val="left"/>
        <w:rPr>
          <w:rFonts w:asciiTheme="majorEastAsia" w:hAnsiTheme="majorEastAsia" w:eastAsiaTheme="majorEastAsia" w:cstheme="majorEastAsia"/>
          <w:b/>
          <w:bCs/>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0"/>
          <w:highlight w:val="none"/>
          <w14:textFill>
            <w14:solidFill>
              <w14:schemeClr w14:val="tx1"/>
            </w14:solidFill>
          </w14:textFill>
        </w:rPr>
        <w:t>（一）招标代理服务报价要求</w:t>
      </w:r>
    </w:p>
    <w:p w14:paraId="58E869AA">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招标代理服务工作内容：各项目实施主体委托的招标代理内容，包含但不限于建设工程中勘察、设计、施工、监理、材料设备采购等全过程招标代理（含零星、材料、暂定价项目的招标）；招标方式包括公开招标、邀请招标、竞争性谈判、询价、采购等(含嘉兴市公共资源交易中心平台、南湖区公共资源交易中心平台及政府采购相关业务)；招标文件、工程量清单、工程预算编制，组织开标、评标，代招标人缴纳建设工程交易费、公证费等本征集文件规定的所有服务内容。</w:t>
      </w:r>
    </w:p>
    <w:p w14:paraId="0F099D52">
      <w:pPr>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2、招标代理费用：包括招标投标场地租用费、信息发布费、评标专家费</w:t>
      </w:r>
      <w:r>
        <w:rPr>
          <w:rFonts w:hint="eastAsia" w:ascii="宋体" w:hAnsi="宋体"/>
          <w:color w:val="000000" w:themeColor="text1"/>
          <w:highlight w:val="none"/>
          <w14:textFill>
            <w14:solidFill>
              <w14:schemeClr w14:val="tx1"/>
            </w14:solidFill>
          </w14:textFill>
        </w:rPr>
        <w:t>（</w:t>
      </w:r>
      <w:r>
        <w:rPr>
          <w:rFonts w:hint="eastAsia" w:asciiTheme="majorEastAsia" w:hAnsiTheme="majorEastAsia" w:eastAsiaTheme="majorEastAsia" w:cstheme="majorEastAsia"/>
          <w:color w:val="000000" w:themeColor="text1"/>
          <w:kern w:val="0"/>
          <w:highlight w:val="none"/>
          <w:lang w:val="en-US" w:eastAsia="zh-CN"/>
          <w14:textFill>
            <w14:solidFill>
              <w14:schemeClr w14:val="tx1"/>
            </w14:solidFill>
          </w14:textFill>
        </w:rPr>
        <w:t>注：政府采购项目评标专家费用由业主单独支付</w:t>
      </w:r>
      <w:r>
        <w:rPr>
          <w:rFonts w:hint="eastAsia" w:ascii="宋体" w:hAnsi="宋体"/>
          <w:color w:val="000000" w:themeColor="text1"/>
          <w:highlight w:val="none"/>
          <w14:textFill>
            <w14:solidFill>
              <w14:schemeClr w14:val="tx1"/>
            </w14:solidFill>
          </w14:textFill>
        </w:rPr>
        <w:t>）</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、招标文件编制及审查专家费、工程量清单编制费、预算编制费、招标控制价编制费、资料费等全过程代理费用。</w:t>
      </w:r>
    </w:p>
    <w:p w14:paraId="0A3BCE99">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w:t>
      </w:r>
      <w:r>
        <w:rPr>
          <w:rFonts w:hint="eastAsia" w:asciiTheme="majorEastAsia" w:hAnsiTheme="majorEastAsia" w:eastAsiaTheme="majorEastAsia" w:cstheme="majorEastAsia"/>
          <w:b/>
          <w:bCs/>
          <w:color w:val="000000" w:themeColor="text1"/>
          <w:highlight w:val="none"/>
          <w14:textFill>
            <w14:solidFill>
              <w14:schemeClr w14:val="tx1"/>
            </w14:solidFill>
          </w14:textFill>
        </w:rPr>
        <w:t>3、招标代理服务报价：采用固定费率，招标代理服务费按照《招标代理服务收费管理暂行办法》(计价格[2002]1980号)规定的标准收费及浙价服【2009】172等相关文件规定收费标准的70%计取，入围服务期内费率均不作调整。</w:t>
      </w:r>
    </w:p>
    <w:p w14:paraId="4B06CA22">
      <w:pPr>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注：（1）代理费计算基数按招标项目实际中标价计算；单次招标划分标段的招标项目或工程视为1个，代理费用计算基数按标段的中标价合计数计算，不得另行计取费用；</w:t>
      </w:r>
    </w:p>
    <w:p w14:paraId="6541A444">
      <w:pPr>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（2）招标代理服务费最低收费按</w:t>
      </w:r>
      <w:r>
        <w:rPr>
          <w:rFonts w:hint="eastAsia" w:asciiTheme="majorEastAsia" w:hAnsiTheme="majorEastAsia" w:eastAsiaTheme="majorEastAsia" w:cstheme="majorEastAsia"/>
          <w:b/>
          <w:bCs/>
          <w:color w:val="000000" w:themeColor="text1"/>
          <w:highlight w:val="none"/>
          <w:lang w:val="en-US" w:eastAsia="zh-CN"/>
          <w14:textFill>
            <w14:solidFill>
              <w14:schemeClr w14:val="tx1"/>
            </w14:solidFill>
          </w14:textFill>
        </w:rPr>
        <w:t>5</w:t>
      </w:r>
      <w:r>
        <w:rPr>
          <w:rFonts w:hint="eastAsia" w:asciiTheme="majorEastAsia" w:hAnsiTheme="majorEastAsia" w:eastAsiaTheme="majorEastAsia" w:cstheme="majorEastAsia"/>
          <w:b/>
          <w:bCs/>
          <w:color w:val="000000" w:themeColor="text1"/>
          <w:highlight w:val="none"/>
          <w14:textFill>
            <w14:solidFill>
              <w14:schemeClr w14:val="tx1"/>
            </w14:solidFill>
          </w14:textFill>
        </w:rPr>
        <w:t>000元/个</w:t>
      </w:r>
      <w:r>
        <w:rPr>
          <w:rFonts w:hint="eastAsia" w:asciiTheme="majorEastAsia" w:hAnsiTheme="majorEastAsia" w:eastAsiaTheme="majorEastAsia" w:cstheme="majorEastAsia"/>
          <w:b/>
          <w:bCs/>
          <w:color w:val="000000" w:themeColor="text1"/>
          <w:highlight w:val="none"/>
          <w14:textFill>
            <w14:solidFill>
              <w14:schemeClr w14:val="tx1"/>
            </w14:solidFill>
          </w14:textFill>
        </w:rPr>
        <w:t>计费。</w:t>
      </w:r>
    </w:p>
    <w:p w14:paraId="2FC14106">
      <w:pPr>
        <w:spacing w:line="500" w:lineRule="exact"/>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（二）造价咨询服务报价要求</w:t>
      </w:r>
    </w:p>
    <w:p w14:paraId="3CCCFC04">
      <w:pPr>
        <w:tabs>
          <w:tab w:val="left" w:pos="180"/>
          <w:tab w:val="left" w:pos="540"/>
        </w:tabs>
        <w:spacing w:line="500" w:lineRule="exact"/>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1．造价咨询工作内容：工程造价文件审核服务、工程造价结算审计服务、跟踪审计以及其他另行委托的其他工程造价咨询服务。</w:t>
      </w:r>
    </w:p>
    <w:p w14:paraId="131BB86D">
      <w:pPr>
        <w:tabs>
          <w:tab w:val="left" w:pos="180"/>
          <w:tab w:val="left" w:pos="540"/>
        </w:tabs>
        <w:spacing w:line="500" w:lineRule="exact"/>
        <w:ind w:firstLine="480" w:firstLineChars="200"/>
        <w:rPr>
          <w:rFonts w:ascii="宋体" w:hAnsi="宋体"/>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w:t>
      </w:r>
      <w:r>
        <w:rPr>
          <w:rFonts w:hint="eastAsia" w:ascii="宋体" w:hAnsi="宋体"/>
          <w:color w:val="000000" w:themeColor="text1"/>
          <w:highlight w:val="none"/>
          <w14:textFill>
            <w14:solidFill>
              <w14:schemeClr w14:val="tx1"/>
            </w14:solidFill>
          </w14:textFill>
        </w:rPr>
        <w:t>2．</w:t>
      </w:r>
      <w:r>
        <w:rPr>
          <w:rFonts w:hint="eastAsia" w:ascii="宋体" w:hAnsi="宋体"/>
          <w:b/>
          <w:bCs/>
          <w:color w:val="000000" w:themeColor="text1"/>
          <w:highlight w:val="none"/>
          <w14:textFill>
            <w14:solidFill>
              <w14:schemeClr w14:val="tx1"/>
            </w14:solidFill>
          </w14:textFill>
        </w:rPr>
        <w:t>造价咨询服务报价：采用固定费率，按照《浙江省建设工程造价咨询服务收费标准》（浙价服【2009】84号文）规定的标准收费的固定费率报价，具体见本章2.1-2.3条款。</w:t>
      </w:r>
    </w:p>
    <w:p w14:paraId="744D6A83">
      <w:pPr>
        <w:autoSpaceDE w:val="0"/>
        <w:autoSpaceDN w:val="0"/>
        <w:adjustRightInd w:val="0"/>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（三）服务工作质量要求</w:t>
      </w:r>
    </w:p>
    <w:p w14:paraId="6239A7D1">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1.自觉遵守国家、</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省、市、区</w:t>
      </w:r>
      <w:r>
        <w:rPr>
          <w:rFonts w:hint="eastAsia" w:asciiTheme="majorEastAsia" w:hAnsiTheme="majorEastAsia" w:eastAsiaTheme="majorEastAsia" w:cstheme="majorEastAsia"/>
          <w:color w:val="000000" w:themeColor="text1"/>
          <w:highlight w:val="none"/>
          <w14:textFill>
            <w14:solidFill>
              <w14:schemeClr w14:val="tx1"/>
            </w14:solidFill>
          </w14:textFill>
        </w:rPr>
        <w:t>有关法律法规及规范性文件规定，严格执行政府投资项目工程造价咨询服务、廉政纪律和职业道德，保守工程资料数据的秘密，并承诺在签订合同时签订保密协议。</w:t>
      </w:r>
    </w:p>
    <w:p w14:paraId="5BCD8DAF">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严格按照征集人的有关规定和要求实施政府投资项目工程造价咨询服务，接受征集人的指导、监督和管理，同时按征集人的质量和进度要求及时提供结果以及与服务事项相关的资料。按征集人规定的格式、要求起草有关文书和其他材料。</w:t>
      </w:r>
    </w:p>
    <w:p w14:paraId="68EF30F2">
      <w:pPr>
        <w:spacing w:line="360" w:lineRule="auto"/>
        <w:ind w:firstLine="480" w:firstLineChars="200"/>
        <w:rPr>
          <w:rFonts w:asciiTheme="majorEastAsia" w:hAnsi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3.在坚持公开、公平、公正、择优的原则基础上，必须始终维护委托人权益；</w:t>
      </w:r>
      <w:r>
        <w:rPr>
          <w:rFonts w:hint="eastAsia" w:ascii="宋体" w:hAnsi="宋体"/>
          <w:color w:val="000000" w:themeColor="text1"/>
          <w:highlight w:val="none"/>
          <w14:textFill>
            <w14:solidFill>
              <w14:schemeClr w14:val="tx1"/>
            </w14:solidFill>
          </w14:textFill>
        </w:rPr>
        <w:t>组织思想品德好、综合能力强且招标经验丰富的项目班子，以确保招标工作的顺利完成。</w:t>
      </w:r>
    </w:p>
    <w:p w14:paraId="1F342D92">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4.独立完成造价咨询服务工作，不得以任何形式将项目委托咨询服务任务再委托给其他机构，并同意对承担相关业务的质量向社会公示。</w:t>
      </w:r>
    </w:p>
    <w:p w14:paraId="07C8240C">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5.承诺为征集人提供全方位造价咨询服务，加强各方协调工作，各项咨询服务工作必须满足委托项目的实际需要。</w:t>
      </w:r>
    </w:p>
    <w:p w14:paraId="61934CFE">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6.接受征集人及相关部门对项目质量的审查考核。</w:t>
      </w:r>
    </w:p>
    <w:p w14:paraId="6EE9DE6D">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四、</w:t>
      </w:r>
      <w:r>
        <w:rPr>
          <w:rFonts w:hint="eastAsia" w:asciiTheme="majorEastAsia" w:hAnsiTheme="majorEastAsia" w:eastAsiaTheme="majorEastAsia" w:cstheme="majorEastAsia"/>
          <w:bCs w:val="0"/>
          <w:color w:val="000000" w:themeColor="text1"/>
          <w:highlight w:val="none"/>
          <w14:textFill>
            <w14:solidFill>
              <w14:schemeClr w14:val="tx1"/>
            </w14:solidFill>
          </w14:textFill>
        </w:rPr>
        <w:t>服务费用支付</w:t>
      </w:r>
    </w:p>
    <w:p w14:paraId="41BAACFB">
      <w:pPr>
        <w:spacing w:line="360" w:lineRule="auto"/>
        <w:ind w:firstLine="480" w:firstLineChars="200"/>
        <w:rPr>
          <w:rFonts w:ascii="宋体" w:hAnsi="宋体"/>
          <w:b w:val="0"/>
          <w:bCs w:val="0"/>
          <w:color w:val="000000" w:themeColor="text1"/>
          <w:highlight w:val="none"/>
          <w:u w:val="none"/>
          <w14:textFill>
            <w14:solidFill>
              <w14:schemeClr w14:val="tx1"/>
            </w14:solidFill>
          </w14:textFill>
        </w:rPr>
      </w:pPr>
      <w:bookmarkStart w:id="37" w:name="_Hlk69211062"/>
      <w:r>
        <w:rPr>
          <w:rFonts w:hint="eastAsia" w:ascii="宋体" w:hAnsi="宋体"/>
          <w:b w:val="0"/>
          <w:bCs w:val="0"/>
          <w:color w:val="000000" w:themeColor="text1"/>
          <w:highlight w:val="none"/>
          <w:u w:val="none"/>
          <w14:textFill>
            <w14:solidFill>
              <w14:schemeClr w14:val="tx1"/>
            </w14:solidFill>
          </w14:textFill>
        </w:rPr>
        <w:t>1.单个具体代理项目完成，备案资料提交后一次性支付代理费，代理费具体金额在单项代理合同中明确。</w:t>
      </w:r>
    </w:p>
    <w:p w14:paraId="3E41CC03">
      <w:pPr>
        <w:spacing w:line="360" w:lineRule="auto"/>
        <w:ind w:firstLine="480" w:firstLineChars="200"/>
        <w:rPr>
          <w:rFonts w:ascii="宋体" w:hAnsi="宋体"/>
          <w:b w:val="0"/>
          <w:bCs w:val="0"/>
          <w:color w:val="000000" w:themeColor="text1"/>
          <w:highlight w:val="none"/>
          <w:u w:val="none"/>
          <w14:textFill>
            <w14:solidFill>
              <w14:schemeClr w14:val="tx1"/>
            </w14:solidFill>
          </w14:textFill>
        </w:rPr>
      </w:pPr>
      <w:r>
        <w:rPr>
          <w:rFonts w:hint="eastAsia" w:ascii="宋体" w:hAnsi="宋体"/>
          <w:b w:val="0"/>
          <w:bCs w:val="0"/>
          <w:color w:val="000000" w:themeColor="text1"/>
          <w:highlight w:val="none"/>
          <w:u w:val="none"/>
          <w14:textFill>
            <w14:solidFill>
              <w14:schemeClr w14:val="tx1"/>
            </w14:solidFill>
          </w14:textFill>
        </w:rPr>
        <w:t>2.工程造价文件审核服务、工程造价结算审计服务提供完整造价咨询成果文件并经委托方确认后一次性支付完成。跟踪审计服务视委托项目情况在单个项目委托合同时另行约定。</w:t>
      </w:r>
    </w:p>
    <w:p w14:paraId="49A012B8">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五、</w:t>
      </w:r>
      <w:r>
        <w:rPr>
          <w:rFonts w:hint="eastAsia" w:asciiTheme="majorEastAsia" w:hAnsiTheme="majorEastAsia" w:eastAsiaTheme="majorEastAsia" w:cstheme="majorEastAsia"/>
          <w:bCs w:val="0"/>
          <w:color w:val="000000" w:themeColor="text1"/>
          <w:highlight w:val="none"/>
          <w14:textFill>
            <w14:solidFill>
              <w14:schemeClr w14:val="tx1"/>
            </w14:solidFill>
          </w14:textFill>
        </w:rPr>
        <w:t>技术资料</w:t>
      </w:r>
    </w:p>
    <w:p w14:paraId="42398AF5">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（一）入围供应商应按征集文件及合同规定的时间向征集人、项目委托人提供有关资料。</w:t>
      </w:r>
    </w:p>
    <w:p w14:paraId="48369D1F">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二）没有征集人、项目委托人事先书面同意，入围供应商不得将由征集人、项目委托人提供的有关合同或任何合同条文、规格、计划、图纸、样品或资料等提供给与履行本合同无关的任何其他人。即使向履行本合同有关人员提供，也应注意保密并限于履行合同的必需范围。</w:t>
      </w:r>
    </w:p>
    <w:p w14:paraId="216835E7">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六、</w:t>
      </w:r>
      <w:r>
        <w:rPr>
          <w:rFonts w:hint="eastAsia" w:asciiTheme="majorEastAsia" w:hAnsiTheme="majorEastAsia" w:eastAsiaTheme="majorEastAsia" w:cstheme="majorEastAsia"/>
          <w:bCs w:val="0"/>
          <w:color w:val="000000" w:themeColor="text1"/>
          <w:highlight w:val="none"/>
          <w14:textFill>
            <w14:solidFill>
              <w14:schemeClr w14:val="tx1"/>
            </w14:solidFill>
          </w14:textFill>
        </w:rPr>
        <w:t>相关要求</w:t>
      </w:r>
    </w:p>
    <w:p w14:paraId="3C4BAFAD">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（一）各入围供应商造价咨询业务范围按国家相关文件执行。</w:t>
      </w:r>
    </w:p>
    <w:p w14:paraId="71EDAE6B">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（二）各入围供应商应配合征集人对嘉兴市南湖区交通运输局及其下属企事业单位</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2025-2027</w:t>
      </w:r>
      <w:r>
        <w:rPr>
          <w:rFonts w:hint="eastAsia" w:asciiTheme="majorEastAsia" w:hAnsiTheme="majorEastAsia" w:eastAsiaTheme="majorEastAsia" w:cstheme="majorEastAsia"/>
          <w:color w:val="000000" w:themeColor="text1"/>
          <w:highlight w:val="none"/>
          <w14:textFill>
            <w14:solidFill>
              <w14:schemeClr w14:val="tx1"/>
            </w14:solidFill>
          </w14:textFill>
        </w:rPr>
        <w:t>年度单项合同费用招标采购限额标准以下（</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具体金额根据省、市、区和采购人招标采购限额相关规定适时调整</w:t>
      </w:r>
      <w:r>
        <w:rPr>
          <w:rFonts w:hint="eastAsia" w:asciiTheme="majorEastAsia" w:hAnsiTheme="majorEastAsia" w:eastAsiaTheme="majorEastAsia" w:cstheme="majorEastAsia"/>
          <w:color w:val="000000" w:themeColor="text1"/>
          <w:highlight w:val="none"/>
          <w14:textFill>
            <w14:solidFill>
              <w14:schemeClr w14:val="tx1"/>
            </w14:solidFill>
          </w14:textFill>
        </w:rPr>
        <w:t>）的工程、货物及服务的招标代理服务（含工程量清单、预算价编制）、工程造价审核服务、工程造价结算审计服务、跟踪审计等相关造价咨询服务。</w:t>
      </w:r>
    </w:p>
    <w:p w14:paraId="754207AE">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（三）各入围供应商承接的具体业务项目，由项目委托人根据本单位工程造价咨询项目委托工作流程选择咨询单位后另行签订书面委托合同。</w:t>
      </w:r>
    </w:p>
    <w:p w14:paraId="0B2D7738">
      <w:pPr>
        <w:spacing w:line="360" w:lineRule="auto"/>
        <w:ind w:firstLine="480" w:firstLineChars="200"/>
        <w:rPr>
          <w:rFonts w:asciiTheme="majorEastAsia" w:hAnsiTheme="majorEastAsia" w:eastAsiaTheme="majorEastAsia" w:cstheme="majorEastAsia"/>
          <w:bCs/>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（四）</w:t>
      </w:r>
      <w:r>
        <w:rPr>
          <w:rFonts w:hint="eastAsia" w:asciiTheme="majorEastAsia" w:hAnsiTheme="majorEastAsia" w:eastAsiaTheme="majorEastAsia" w:cstheme="majorEastAsia"/>
          <w:bCs/>
          <w:color w:val="000000" w:themeColor="text1"/>
          <w:highlight w:val="none"/>
          <w:u w:val="single"/>
          <w14:textFill>
            <w14:solidFill>
              <w14:schemeClr w14:val="tx1"/>
            </w14:solidFill>
          </w14:textFill>
        </w:rPr>
        <w:t>各入围供应商须遵守征集人制定的各项管理制度。为遏制挂靠现象，各入围供应商必须遵守以下规定，否则须按期进行整改，整改后仍不符合要求的，征集人将与入围供应商单方解除框架协议并清退，并且征集人有权根据相关文件规定上报监管部门将违规供应商列入政府采购不良行为记录名单：</w:t>
      </w:r>
    </w:p>
    <w:p w14:paraId="48778DF5">
      <w:pPr>
        <w:spacing w:line="360" w:lineRule="auto"/>
        <w:ind w:firstLine="480" w:firstLineChars="200"/>
        <w:rPr>
          <w:rFonts w:asciiTheme="majorEastAsia" w:hAnsiTheme="majorEastAsia" w:eastAsiaTheme="majorEastAsia" w:cstheme="majorEastAsia"/>
          <w:bCs/>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w:t>
      </w:r>
      <w:r>
        <w:rPr>
          <w:rFonts w:hint="eastAsia" w:asciiTheme="majorEastAsia" w:hAnsiTheme="majorEastAsia" w:eastAsiaTheme="majorEastAsia" w:cstheme="majorEastAsia"/>
          <w:bCs/>
          <w:color w:val="000000" w:themeColor="text1"/>
          <w:highlight w:val="none"/>
          <w:u w:val="single"/>
          <w14:textFill>
            <w14:solidFill>
              <w14:schemeClr w14:val="tx1"/>
            </w14:solidFill>
          </w14:textFill>
        </w:rPr>
        <w:t>1.所有须加盖公章的协议、表格、文本等资料必须加盖与响应时相同的单位公章，其他（如办事处、分公司、项目章、业务专用章等）均不予认可。</w:t>
      </w:r>
    </w:p>
    <w:p w14:paraId="62EC4734">
      <w:pPr>
        <w:spacing w:line="360" w:lineRule="auto"/>
        <w:ind w:firstLine="480" w:firstLineChars="200"/>
        <w:rPr>
          <w:rFonts w:asciiTheme="majorEastAsia" w:hAnsiTheme="majorEastAsia" w:eastAsiaTheme="majorEastAsia" w:cstheme="majorEastAsia"/>
          <w:bCs/>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w:t>
      </w:r>
      <w:r>
        <w:rPr>
          <w:rFonts w:hint="eastAsia" w:asciiTheme="majorEastAsia" w:hAnsiTheme="majorEastAsia" w:eastAsiaTheme="majorEastAsia" w:cstheme="majorEastAsia"/>
          <w:bCs/>
          <w:color w:val="000000" w:themeColor="text1"/>
          <w:highlight w:val="none"/>
          <w:u w:val="single"/>
          <w14:textFill>
            <w14:solidFill>
              <w14:schemeClr w14:val="tx1"/>
            </w14:solidFill>
          </w14:textFill>
        </w:rPr>
        <w:t>2.拟派团队所有成员须按时参加征集人和相关部门组织的会议、培训等。</w:t>
      </w:r>
    </w:p>
    <w:p w14:paraId="0E07D138">
      <w:pPr>
        <w:spacing w:line="360" w:lineRule="auto"/>
        <w:ind w:firstLine="480" w:firstLineChars="200"/>
        <w:rPr>
          <w:rFonts w:asciiTheme="majorEastAsia" w:hAnsiTheme="majorEastAsia" w:eastAsiaTheme="majorEastAsia" w:cstheme="majorEastAsia"/>
          <w:bCs/>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bCs/>
          <w:color w:val="000000" w:themeColor="text1"/>
          <w:highlight w:val="none"/>
          <w:u w:val="single"/>
          <w:lang w:val="zh-CN"/>
          <w14:textFill>
            <w14:solidFill>
              <w14:schemeClr w14:val="tx1"/>
            </w14:solidFill>
          </w14:textFill>
        </w:rPr>
        <w:t>▲</w:t>
      </w:r>
      <w:r>
        <w:rPr>
          <w:rFonts w:hint="eastAsia" w:asciiTheme="majorEastAsia" w:hAnsiTheme="majorEastAsia" w:eastAsiaTheme="majorEastAsia" w:cstheme="majorEastAsia"/>
          <w:bCs/>
          <w:color w:val="000000" w:themeColor="text1"/>
          <w:highlight w:val="none"/>
          <w:u w:val="single"/>
          <w14:textFill>
            <w14:solidFill>
              <w14:schemeClr w14:val="tx1"/>
            </w14:solidFill>
          </w14:textFill>
        </w:rPr>
        <w:t>3.各入围供应商须按照征集文件确定的分配原则承接业务，不得拒绝承接分配的业务。</w:t>
      </w:r>
    </w:p>
    <w:p w14:paraId="00B66642">
      <w:pPr>
        <w:pStyle w:val="4"/>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七、入围供应商清退和补充规则</w:t>
      </w:r>
    </w:p>
    <w:p w14:paraId="38C982FB">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（一）清退</w:t>
      </w:r>
    </w:p>
    <w:p w14:paraId="2B30282C">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入围供应商有下列情形之一，尚未签订框架协议的，取消其入围资格；已经签订框架协议的，解除与其签订的框架协议：</w:t>
      </w:r>
    </w:p>
    <w:p w14:paraId="0243E76D">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1.恶意串通谋取入围或者合同成交的；</w:t>
      </w:r>
    </w:p>
    <w:p w14:paraId="1B157366">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2.提供虚假材料谋取入围或者合同成交的；</w:t>
      </w:r>
    </w:p>
    <w:p w14:paraId="16D02E84">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3.无正当理由拒不接受合同授予的；</w:t>
      </w:r>
    </w:p>
    <w:p w14:paraId="3D1554F5">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4.不履行合同义务或者履行合同义务不符合约定，经采购人请求履行后仍不履行或者仍未按约定履行的；</w:t>
      </w:r>
    </w:p>
    <w:p w14:paraId="29050339">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5.框架协议有效期内，因违法行为被禁止或限制参加政府采购活动的；</w:t>
      </w:r>
    </w:p>
    <w:p w14:paraId="67B45912">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6.框架协议约定的其他情形。</w:t>
      </w:r>
    </w:p>
    <w:p w14:paraId="1099ED6A">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被取消入围资格或者被解除框架协议的供应商不得参加同一封闭式框架协议补充征集，或者重新申请加入同一开放式框架协议。</w:t>
      </w:r>
    </w:p>
    <w:p w14:paraId="1C8A7B3B">
      <w:pPr>
        <w:spacing w:line="360" w:lineRule="auto"/>
        <w:ind w:firstLine="480" w:firstLineChars="200"/>
        <w:rPr>
          <w:rFonts w:asciiTheme="majorEastAsia" w:hAnsiTheme="majorEastAsia" w:eastAsiaTheme="majorEastAsia" w:cstheme="majorEastAsia"/>
          <w:bCs/>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（二）补充</w:t>
      </w:r>
    </w:p>
    <w:p w14:paraId="76268438">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本项目采用封闭式框架协议采购，框架协议有效期内不作补充征集</w:t>
      </w: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w:t>
      </w:r>
    </w:p>
    <w:bookmarkEnd w:id="32"/>
    <w:bookmarkEnd w:id="33"/>
    <w:bookmarkEnd w:id="37"/>
    <w:p w14:paraId="64D7A66C">
      <w:pPr>
        <w:pStyle w:val="4"/>
        <w:keepNext/>
        <w:keepLines/>
        <w:pageBreakBefore w:val="0"/>
        <w:widowControl w:val="0"/>
        <w:kinsoku/>
        <w:wordWrap/>
        <w:overflowPunct/>
        <w:topLinePunct w:val="0"/>
        <w:autoSpaceDE/>
        <w:autoSpaceDN/>
        <w:bidi w:val="0"/>
        <w:adjustRightInd/>
        <w:snapToGrid/>
        <w:spacing w:after="157" w:afterLines="50"/>
        <w:textAlignment w:val="auto"/>
        <w:rPr>
          <w:rFonts w:asciiTheme="majorEastAsia" w:hAnsiTheme="majorEastAsia" w:eastAsiaTheme="majorEastAsia" w:cstheme="majorEastAsia"/>
          <w:b w:val="0"/>
          <w:bCs w:val="0"/>
          <w:color w:val="000000" w:themeColor="text1"/>
          <w:highlight w:val="none"/>
          <w14:textFill>
            <w14:solidFill>
              <w14:schemeClr w14:val="tx1"/>
            </w14:solidFill>
          </w14:textFill>
        </w:rPr>
      </w:pPr>
      <w:bookmarkStart w:id="38" w:name="_Toc82873328"/>
      <w:bookmarkStart w:id="39" w:name="_Toc485648402"/>
      <w:bookmarkStart w:id="40" w:name="_Toc82338245"/>
      <w:bookmarkStart w:id="41" w:name="_Toc211745569"/>
      <w:r>
        <w:rPr>
          <w:rFonts w:hint="eastAsia" w:asciiTheme="majorEastAsia" w:hAnsiTheme="majorEastAsia" w:eastAsiaTheme="majorEastAsia" w:cstheme="majorEastAsia"/>
          <w:color w:val="000000" w:themeColor="text1"/>
          <w:highlight w:val="none"/>
          <w14:textFill>
            <w14:solidFill>
              <w14:schemeClr w14:val="tx1"/>
            </w14:solidFill>
          </w14:textFill>
        </w:rPr>
        <w:t>八、商务条款</w:t>
      </w:r>
    </w:p>
    <w:tbl>
      <w:tblPr>
        <w:tblStyle w:val="25"/>
        <w:tblW w:w="894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57" w:type="dxa"/>
          <w:left w:w="108" w:type="dxa"/>
          <w:bottom w:w="57" w:type="dxa"/>
          <w:right w:w="108" w:type="dxa"/>
        </w:tblCellMar>
      </w:tblPr>
      <w:tblGrid>
        <w:gridCol w:w="1429"/>
        <w:gridCol w:w="7514"/>
      </w:tblGrid>
      <w:tr w14:paraId="2EA138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429" w:type="dxa"/>
            <w:tcBorders>
              <w:top w:val="single" w:color="auto" w:sz="4" w:space="0"/>
              <w:left w:val="single" w:color="auto" w:sz="4" w:space="0"/>
              <w:bottom w:val="single" w:color="auto" w:sz="4" w:space="0"/>
              <w:right w:val="single" w:color="auto" w:sz="4" w:space="0"/>
            </w:tcBorders>
            <w:vAlign w:val="center"/>
          </w:tcPr>
          <w:p w14:paraId="0D098721">
            <w:pPr>
              <w:keepNext w:val="0"/>
              <w:keepLines w:val="0"/>
              <w:pageBreakBefore w:val="0"/>
              <w:widowControl w:val="0"/>
              <w:kinsoku/>
              <w:wordWrap/>
              <w:overflowPunct/>
              <w:topLinePunct w:val="0"/>
              <w:bidi w:val="0"/>
              <w:adjustRightInd/>
              <w:snapToGrid/>
              <w:spacing w:line="240"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服务期</w:t>
            </w:r>
          </w:p>
        </w:tc>
        <w:tc>
          <w:tcPr>
            <w:tcW w:w="7514" w:type="dxa"/>
            <w:tcBorders>
              <w:top w:val="single" w:color="auto" w:sz="4" w:space="0"/>
              <w:left w:val="single" w:color="auto" w:sz="4" w:space="0"/>
              <w:bottom w:val="single" w:color="auto" w:sz="4" w:space="0"/>
              <w:right w:val="single" w:color="auto" w:sz="4" w:space="0"/>
            </w:tcBorders>
            <w:vAlign w:val="center"/>
          </w:tcPr>
          <w:p w14:paraId="2A032375">
            <w:pPr>
              <w:keepNext w:val="0"/>
              <w:keepLines w:val="0"/>
              <w:pageBreakBefore w:val="0"/>
              <w:widowControl w:val="0"/>
              <w:kinsoku/>
              <w:wordWrap/>
              <w:overflowPunct/>
              <w:topLinePunct w:val="0"/>
              <w:bidi w:val="0"/>
              <w:adjustRightInd/>
              <w:snapToGrid/>
              <w:spacing w:line="240" w:lineRule="auto"/>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服务期自协议签订之日起</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两</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年</w:t>
            </w:r>
            <w:r>
              <w:rPr>
                <w:rFonts w:hint="eastAsia" w:asciiTheme="majorEastAsia" w:hAnsiTheme="majorEastAsia" w:eastAsiaTheme="majorEastAsia" w:cstheme="majorEastAsia"/>
                <w:color w:val="000000" w:themeColor="text1"/>
                <w:highlight w:val="none"/>
                <w14:textFill>
                  <w14:solidFill>
                    <w14:schemeClr w14:val="tx1"/>
                  </w14:solidFill>
                </w14:textFill>
              </w:rPr>
              <w:t>。</w:t>
            </w:r>
          </w:p>
        </w:tc>
      </w:tr>
      <w:tr w14:paraId="484F1B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429" w:type="dxa"/>
            <w:tcBorders>
              <w:top w:val="single" w:color="auto" w:sz="4" w:space="0"/>
              <w:left w:val="single" w:color="auto" w:sz="4" w:space="0"/>
              <w:bottom w:val="single" w:color="auto" w:sz="4" w:space="0"/>
              <w:right w:val="single" w:color="auto" w:sz="4" w:space="0"/>
            </w:tcBorders>
            <w:vAlign w:val="center"/>
          </w:tcPr>
          <w:p w14:paraId="1B87252C">
            <w:pPr>
              <w:keepNext w:val="0"/>
              <w:keepLines w:val="0"/>
              <w:pageBreakBefore w:val="0"/>
              <w:widowControl w:val="0"/>
              <w:kinsoku/>
              <w:wordWrap/>
              <w:overflowPunct/>
              <w:topLinePunct w:val="0"/>
              <w:bidi w:val="0"/>
              <w:adjustRightInd/>
              <w:snapToGrid/>
              <w:spacing w:line="240"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服务要求</w:t>
            </w:r>
          </w:p>
        </w:tc>
        <w:tc>
          <w:tcPr>
            <w:tcW w:w="7514" w:type="dxa"/>
            <w:tcBorders>
              <w:top w:val="single" w:color="auto" w:sz="4" w:space="0"/>
              <w:left w:val="single" w:color="auto" w:sz="4" w:space="0"/>
              <w:bottom w:val="single" w:color="auto" w:sz="4" w:space="0"/>
              <w:right w:val="single" w:color="auto" w:sz="4" w:space="0"/>
            </w:tcBorders>
            <w:vAlign w:val="center"/>
          </w:tcPr>
          <w:p w14:paraId="02A54559">
            <w:pPr>
              <w:keepNext w:val="0"/>
              <w:keepLines w:val="0"/>
              <w:pageBreakBefore w:val="0"/>
              <w:widowControl w:val="0"/>
              <w:kinsoku/>
              <w:wordWrap/>
              <w:overflowPunct/>
              <w:topLinePunct w:val="0"/>
              <w:bidi w:val="0"/>
              <w:adjustRightInd/>
              <w:snapToGrid/>
              <w:spacing w:line="240" w:lineRule="auto"/>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同供应商服务基本要求。</w:t>
            </w:r>
          </w:p>
        </w:tc>
      </w:tr>
      <w:tr w14:paraId="727F29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429" w:type="dxa"/>
            <w:tcBorders>
              <w:top w:val="single" w:color="auto" w:sz="4" w:space="0"/>
              <w:left w:val="single" w:color="auto" w:sz="4" w:space="0"/>
              <w:bottom w:val="single" w:color="auto" w:sz="4" w:space="0"/>
              <w:right w:val="single" w:color="auto" w:sz="4" w:space="0"/>
            </w:tcBorders>
            <w:vAlign w:val="center"/>
          </w:tcPr>
          <w:p w14:paraId="7CB44D74">
            <w:pPr>
              <w:keepNext w:val="0"/>
              <w:keepLines w:val="0"/>
              <w:pageBreakBefore w:val="0"/>
              <w:widowControl w:val="0"/>
              <w:kinsoku/>
              <w:wordWrap/>
              <w:overflowPunct/>
              <w:topLinePunct w:val="0"/>
              <w:bidi w:val="0"/>
              <w:adjustRightInd/>
              <w:snapToGrid/>
              <w:spacing w:line="240"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服务地点</w:t>
            </w:r>
          </w:p>
        </w:tc>
        <w:tc>
          <w:tcPr>
            <w:tcW w:w="7514" w:type="dxa"/>
            <w:tcBorders>
              <w:top w:val="single" w:color="auto" w:sz="4" w:space="0"/>
              <w:left w:val="single" w:color="auto" w:sz="4" w:space="0"/>
              <w:bottom w:val="single" w:color="auto" w:sz="4" w:space="0"/>
              <w:right w:val="single" w:color="auto" w:sz="4" w:space="0"/>
            </w:tcBorders>
            <w:vAlign w:val="center"/>
          </w:tcPr>
          <w:p w14:paraId="149DAB03">
            <w:pPr>
              <w:keepNext w:val="0"/>
              <w:keepLines w:val="0"/>
              <w:pageBreakBefore w:val="0"/>
              <w:widowControl w:val="0"/>
              <w:kinsoku/>
              <w:wordWrap/>
              <w:overflowPunct/>
              <w:topLinePunct w:val="0"/>
              <w:bidi w:val="0"/>
              <w:adjustRightInd/>
              <w:snapToGrid/>
              <w:spacing w:line="240" w:lineRule="auto"/>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征集人指定地点。</w:t>
            </w:r>
          </w:p>
        </w:tc>
      </w:tr>
      <w:tr w14:paraId="7D9DCF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429" w:type="dxa"/>
            <w:tcBorders>
              <w:top w:val="single" w:color="auto" w:sz="4" w:space="0"/>
              <w:left w:val="single" w:color="auto" w:sz="4" w:space="0"/>
              <w:bottom w:val="single" w:color="auto" w:sz="4" w:space="0"/>
              <w:right w:val="single" w:color="auto" w:sz="4" w:space="0"/>
            </w:tcBorders>
            <w:vAlign w:val="center"/>
          </w:tcPr>
          <w:p w14:paraId="3C3FD266">
            <w:pPr>
              <w:keepNext w:val="0"/>
              <w:keepLines w:val="0"/>
              <w:pageBreakBefore w:val="0"/>
              <w:widowControl w:val="0"/>
              <w:kinsoku/>
              <w:wordWrap/>
              <w:overflowPunct/>
              <w:topLinePunct w:val="0"/>
              <w:bidi w:val="0"/>
              <w:adjustRightInd/>
              <w:snapToGrid/>
              <w:spacing w:line="240" w:lineRule="auto"/>
              <w:jc w:val="center"/>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考核要求</w:t>
            </w:r>
          </w:p>
        </w:tc>
        <w:tc>
          <w:tcPr>
            <w:tcW w:w="7514" w:type="dxa"/>
            <w:tcBorders>
              <w:top w:val="single" w:color="auto" w:sz="4" w:space="0"/>
              <w:left w:val="single" w:color="auto" w:sz="4" w:space="0"/>
              <w:bottom w:val="single" w:color="auto" w:sz="4" w:space="0"/>
              <w:right w:val="single" w:color="auto" w:sz="4" w:space="0"/>
            </w:tcBorders>
            <w:vAlign w:val="center"/>
          </w:tcPr>
          <w:p w14:paraId="01917C9F">
            <w:pPr>
              <w:keepNext w:val="0"/>
              <w:keepLines w:val="0"/>
              <w:pageBreakBefore w:val="0"/>
              <w:widowControl w:val="0"/>
              <w:kinsoku/>
              <w:wordWrap/>
              <w:overflowPunct/>
              <w:topLinePunct w:val="0"/>
              <w:bidi w:val="0"/>
              <w:adjustRightInd/>
              <w:snapToGrid/>
              <w:spacing w:line="240" w:lineRule="auto"/>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由征集人组织，按《嘉兴市南湖区交通运输局</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2025-2027</w:t>
            </w:r>
            <w:r>
              <w:rPr>
                <w:rFonts w:hint="eastAsia" w:asciiTheme="majorEastAsia" w:hAnsiTheme="majorEastAsia" w:eastAsiaTheme="majorEastAsia" w:cstheme="majorEastAsia"/>
                <w:color w:val="000000" w:themeColor="text1"/>
                <w:highlight w:val="none"/>
                <w14:textFill>
                  <w14:solidFill>
                    <w14:schemeClr w14:val="tx1"/>
                  </w14:solidFill>
                </w14:textFill>
              </w:rPr>
              <w:t>年度招标代理和造价咨询服务考核细则》要求进行服务质量考核。</w:t>
            </w:r>
          </w:p>
        </w:tc>
      </w:tr>
      <w:tr w14:paraId="3EADA4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429" w:type="dxa"/>
            <w:tcBorders>
              <w:top w:val="single" w:color="auto" w:sz="4" w:space="0"/>
              <w:left w:val="single" w:color="auto" w:sz="4" w:space="0"/>
              <w:bottom w:val="single" w:color="auto" w:sz="4" w:space="0"/>
              <w:right w:val="single" w:color="auto" w:sz="4" w:space="0"/>
            </w:tcBorders>
            <w:vAlign w:val="center"/>
          </w:tcPr>
          <w:p w14:paraId="567AC10D">
            <w:pPr>
              <w:keepNext w:val="0"/>
              <w:keepLines w:val="0"/>
              <w:pageBreakBefore w:val="0"/>
              <w:widowControl w:val="0"/>
              <w:kinsoku/>
              <w:wordWrap/>
              <w:overflowPunct/>
              <w:topLinePunct w:val="0"/>
              <w:bidi w:val="0"/>
              <w:adjustRightInd/>
              <w:snapToGrid/>
              <w:spacing w:line="240"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付款方式</w:t>
            </w:r>
          </w:p>
        </w:tc>
        <w:tc>
          <w:tcPr>
            <w:tcW w:w="7514" w:type="dxa"/>
            <w:tcBorders>
              <w:top w:val="single" w:color="auto" w:sz="4" w:space="0"/>
              <w:left w:val="single" w:color="auto" w:sz="4" w:space="0"/>
              <w:bottom w:val="single" w:color="auto" w:sz="4" w:space="0"/>
              <w:right w:val="single" w:color="auto" w:sz="4" w:space="0"/>
            </w:tcBorders>
            <w:vAlign w:val="center"/>
          </w:tcPr>
          <w:p w14:paraId="19F7AE16">
            <w:pPr>
              <w:keepNext w:val="0"/>
              <w:keepLines w:val="0"/>
              <w:pageBreakBefore w:val="0"/>
              <w:widowControl w:val="0"/>
              <w:kinsoku/>
              <w:wordWrap/>
              <w:overflowPunct/>
              <w:topLinePunct w:val="0"/>
              <w:autoSpaceDE w:val="0"/>
              <w:autoSpaceDN w:val="0"/>
              <w:bidi w:val="0"/>
              <w:adjustRightInd/>
              <w:snapToGrid/>
              <w:spacing w:line="240" w:lineRule="auto"/>
              <w:textAlignment w:val="bottom"/>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lang w:val="en"/>
                <w14:textFill>
                  <w14:solidFill>
                    <w14:schemeClr w14:val="tx1"/>
                  </w14:solidFill>
                </w14:textFill>
              </w:rPr>
              <w:t>1.</w:t>
            </w:r>
            <w:r>
              <w:rPr>
                <w:rFonts w:hint="eastAsia" w:ascii="宋体" w:hAnsi="宋体"/>
                <w:color w:val="000000" w:themeColor="text1"/>
                <w:highlight w:val="none"/>
                <w14:textFill>
                  <w14:solidFill>
                    <w14:schemeClr w14:val="tx1"/>
                  </w14:solidFill>
                </w14:textFill>
              </w:rPr>
              <w:t>招标代理服务费、竣工结算审核基本费、全过程跟踪评审费由项目委托单位支付；</w:t>
            </w:r>
          </w:p>
          <w:p w14:paraId="0BDAA115">
            <w:pPr>
              <w:keepNext w:val="0"/>
              <w:keepLines w:val="0"/>
              <w:pageBreakBefore w:val="0"/>
              <w:widowControl w:val="0"/>
              <w:kinsoku/>
              <w:wordWrap/>
              <w:overflowPunct/>
              <w:topLinePunct w:val="0"/>
              <w:autoSpaceDE w:val="0"/>
              <w:autoSpaceDN w:val="0"/>
              <w:bidi w:val="0"/>
              <w:adjustRightInd/>
              <w:snapToGrid/>
              <w:spacing w:line="240" w:lineRule="auto"/>
              <w:textAlignment w:val="bottom"/>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w:t>
            </w:r>
            <w:r>
              <w:rPr>
                <w:rFonts w:hint="eastAsia" w:ascii="宋体" w:hAnsi="宋体"/>
                <w:color w:val="000000" w:themeColor="text1"/>
                <w:highlight w:val="none"/>
                <w:lang w:eastAsia="zh-CN"/>
                <w14:textFill>
                  <w14:solidFill>
                    <w14:schemeClr w14:val="tx1"/>
                  </w14:solidFill>
                </w14:textFill>
              </w:rPr>
              <w:t>造价结算审计项目</w:t>
            </w:r>
            <w:r>
              <w:rPr>
                <w:rFonts w:hint="eastAsia" w:ascii="宋体" w:hAnsi="宋体"/>
                <w:color w:val="000000" w:themeColor="text1"/>
                <w:highlight w:val="none"/>
                <w:lang w:eastAsia="zh-CN"/>
                <w14:textFill>
                  <w14:solidFill>
                    <w14:schemeClr w14:val="tx1"/>
                  </w14:solidFill>
                </w14:textFill>
              </w:rPr>
              <w:t>的核减（增）追加费由施工单位承担</w:t>
            </w:r>
            <w:r>
              <w:rPr>
                <w:rFonts w:hint="eastAsia" w:ascii="宋体" w:hAnsi="宋体"/>
                <w:color w:val="000000" w:themeColor="text1"/>
                <w:highlight w:val="none"/>
                <w14:textFill>
                  <w14:solidFill>
                    <w14:schemeClr w14:val="tx1"/>
                  </w14:solidFill>
                </w14:textFill>
              </w:rPr>
              <w:t>。</w:t>
            </w:r>
          </w:p>
          <w:p w14:paraId="011FBD19">
            <w:pPr>
              <w:keepNext w:val="0"/>
              <w:keepLines w:val="0"/>
              <w:pageBreakBefore w:val="0"/>
              <w:widowControl w:val="0"/>
              <w:kinsoku/>
              <w:wordWrap/>
              <w:overflowPunct/>
              <w:topLinePunct w:val="0"/>
              <w:bidi w:val="0"/>
              <w:adjustRightInd/>
              <w:snapToGrid/>
              <w:spacing w:line="240" w:lineRule="auto"/>
              <w:rPr>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3.实施过程结算的项目，审核基本服务费仍以单个施工合同为单位进行结算；核减（增）追加费按分段计算支付。</w:t>
            </w:r>
          </w:p>
          <w:p w14:paraId="09F6D6B6">
            <w:pPr>
              <w:pStyle w:val="2"/>
              <w:keepNext w:val="0"/>
              <w:keepLines w:val="0"/>
              <w:pageBreakBefore w:val="0"/>
              <w:widowControl w:val="0"/>
              <w:kinsoku/>
              <w:wordWrap/>
              <w:overflowPunct/>
              <w:topLinePunct w:val="0"/>
              <w:bidi w:val="0"/>
              <w:adjustRightInd/>
              <w:snapToGrid/>
              <w:spacing w:line="24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具体付款方式为：</w:t>
            </w:r>
          </w:p>
          <w:p w14:paraId="73CB6658">
            <w:pPr>
              <w:keepNext w:val="0"/>
              <w:keepLines w:val="0"/>
              <w:pageBreakBefore w:val="0"/>
              <w:widowControl w:val="0"/>
              <w:kinsoku/>
              <w:wordWrap/>
              <w:overflowPunct/>
              <w:topLinePunct w:val="0"/>
              <w:bidi w:val="0"/>
              <w:adjustRightInd/>
              <w:snapToGrid/>
              <w:spacing w:line="24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1.单个具体代理项目完成，备案资料提交后一次性支付代理费，代理费具体金额在单项代理合同中明确。</w:t>
            </w:r>
          </w:p>
          <w:p w14:paraId="6AD3970C">
            <w:pPr>
              <w:keepNext w:val="0"/>
              <w:keepLines w:val="0"/>
              <w:pageBreakBefore w:val="0"/>
              <w:widowControl w:val="0"/>
              <w:kinsoku/>
              <w:wordWrap/>
              <w:overflowPunct/>
              <w:topLinePunct w:val="0"/>
              <w:bidi w:val="0"/>
              <w:adjustRightInd/>
              <w:snapToGrid/>
              <w:spacing w:line="240" w:lineRule="auto"/>
              <w:rPr>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2.工程造价文件审核服务、工程造价结算审计服务等服务完成并经委托方确认，提供完整造价咨询成果文件后一次性支付完成。跟踪审计服务视委托项目情况在单个项目委托合同时另行约定。</w:t>
            </w:r>
          </w:p>
        </w:tc>
      </w:tr>
      <w:tr w14:paraId="0987E5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429" w:type="dxa"/>
            <w:tcBorders>
              <w:top w:val="single" w:color="auto" w:sz="4" w:space="0"/>
              <w:left w:val="single" w:color="auto" w:sz="4" w:space="0"/>
              <w:bottom w:val="single" w:color="auto" w:sz="4" w:space="0"/>
              <w:right w:val="single" w:color="auto" w:sz="4" w:space="0"/>
            </w:tcBorders>
            <w:vAlign w:val="center"/>
          </w:tcPr>
          <w:p w14:paraId="5656B6ED">
            <w:pPr>
              <w:keepNext w:val="0"/>
              <w:keepLines w:val="0"/>
              <w:pageBreakBefore w:val="0"/>
              <w:widowControl w:val="0"/>
              <w:kinsoku/>
              <w:wordWrap/>
              <w:overflowPunct/>
              <w:topLinePunct w:val="0"/>
              <w:bidi w:val="0"/>
              <w:adjustRightInd/>
              <w:snapToGrid/>
              <w:spacing w:line="240"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报价要求</w:t>
            </w:r>
          </w:p>
        </w:tc>
        <w:tc>
          <w:tcPr>
            <w:tcW w:w="7514" w:type="dxa"/>
            <w:tcBorders>
              <w:top w:val="single" w:color="auto" w:sz="4" w:space="0"/>
              <w:left w:val="single" w:color="auto" w:sz="4" w:space="0"/>
              <w:bottom w:val="single" w:color="auto" w:sz="4" w:space="0"/>
              <w:right w:val="single" w:color="auto" w:sz="4" w:space="0"/>
            </w:tcBorders>
            <w:vAlign w:val="center"/>
          </w:tcPr>
          <w:p w14:paraId="7A2DD10F">
            <w:pPr>
              <w:pStyle w:val="24"/>
              <w:keepNext w:val="0"/>
              <w:keepLines w:val="0"/>
              <w:pageBreakBefore w:val="0"/>
              <w:widowControl w:val="0"/>
              <w:kinsoku/>
              <w:wordWrap/>
              <w:overflowPunct/>
              <w:topLinePunct w:val="0"/>
              <w:bidi w:val="0"/>
              <w:adjustRightInd/>
              <w:snapToGrid/>
              <w:spacing w:after="0" w:line="240" w:lineRule="auto"/>
              <w:ind w:left="0" w:leftChars="0" w:firstLine="0" w:firstLineChars="0"/>
              <w:rPr>
                <w:rFonts w:asciiTheme="majorEastAsia" w:hAnsiTheme="majorEastAsia" w:eastAsiaTheme="majorEastAsia" w:cstheme="majorEastAsia"/>
                <w:color w:val="000000" w:themeColor="text1"/>
                <w:sz w:val="24"/>
                <w:highlight w:val="none"/>
                <w14:textFill>
                  <w14:solidFill>
                    <w14:schemeClr w14:val="tx1"/>
                  </w14:solidFill>
                </w14:textFill>
              </w:rPr>
            </w:pPr>
            <w:r>
              <w:rPr>
                <w:rFonts w:asciiTheme="majorEastAsia" w:hAnsiTheme="majorEastAsia" w:eastAsiaTheme="majorEastAsia" w:cstheme="majorEastAsia"/>
                <w:color w:val="000000" w:themeColor="text1"/>
                <w:sz w:val="24"/>
                <w:highlight w:val="none"/>
                <w:lang w:val="en"/>
                <w14:textFill>
                  <w14:solidFill>
                    <w14:schemeClr w14:val="tx1"/>
                  </w14:solidFill>
                </w14:textFill>
              </w:rPr>
              <w:t>1</w:t>
            </w:r>
            <w:r>
              <w:rPr>
                <w:rFonts w:hint="eastAsia" w:asciiTheme="majorEastAsia" w:hAnsiTheme="majorEastAsia" w:eastAsiaTheme="majorEastAsia" w:cstheme="majorEastAsia"/>
                <w:color w:val="000000" w:themeColor="text1"/>
                <w:sz w:val="24"/>
                <w:highlight w:val="none"/>
                <w:lang w:val="en"/>
                <w14:textFill>
                  <w14:solidFill>
                    <w14:schemeClr w14:val="tx1"/>
                  </w14:solidFill>
                </w14:textFill>
              </w:rPr>
              <w:t>.</w:t>
            </w:r>
            <w:r>
              <w:rPr>
                <w:rFonts w:hint="eastAsia" w:asciiTheme="majorEastAsia" w:hAnsiTheme="majorEastAsia" w:eastAsiaTheme="majorEastAsia" w:cstheme="majorEastAsia"/>
                <w:color w:val="000000" w:themeColor="text1"/>
                <w:sz w:val="24"/>
                <w:highlight w:val="none"/>
                <w14:textFill>
                  <w14:solidFill>
                    <w14:schemeClr w14:val="tx1"/>
                  </w14:solidFill>
                </w14:textFill>
              </w:rPr>
              <w:t>本项目报价采用固定费率，响应时提供《报价承诺函》。</w:t>
            </w:r>
          </w:p>
          <w:p w14:paraId="5B7DEC31">
            <w:pPr>
              <w:pStyle w:val="24"/>
              <w:keepNext w:val="0"/>
              <w:keepLines w:val="0"/>
              <w:pageBreakBefore w:val="0"/>
              <w:widowControl w:val="0"/>
              <w:kinsoku/>
              <w:wordWrap/>
              <w:overflowPunct/>
              <w:topLinePunct w:val="0"/>
              <w:bidi w:val="0"/>
              <w:adjustRightInd/>
              <w:snapToGrid/>
              <w:spacing w:after="0" w:line="240" w:lineRule="auto"/>
              <w:ind w:left="0" w:leftChars="0" w:firstLine="0" w:firstLineChars="0"/>
              <w:rPr>
                <w:rFonts w:asciiTheme="majorEastAsia" w:hAnsiTheme="majorEastAsia" w:eastAsiaTheme="majorEastAsia" w:cstheme="majorEastAsia"/>
                <w:color w:val="000000" w:themeColor="text1"/>
                <w:sz w:val="24"/>
                <w:highlight w:val="none"/>
                <w14:textFill>
                  <w14:solidFill>
                    <w14:schemeClr w14:val="tx1"/>
                  </w14:solidFill>
                </w14:textFill>
              </w:rPr>
            </w:pPr>
            <w:r>
              <w:rPr>
                <w:rFonts w:asciiTheme="majorEastAsia" w:hAnsiTheme="majorEastAsia" w:eastAsiaTheme="majorEastAsia" w:cstheme="majorEastAsia"/>
                <w:color w:val="000000" w:themeColor="text1"/>
                <w:sz w:val="24"/>
                <w:highlight w:val="none"/>
                <w:lang w:val="en"/>
                <w14:textFill>
                  <w14:solidFill>
                    <w14:schemeClr w14:val="tx1"/>
                  </w14:solidFill>
                </w14:textFill>
              </w:rPr>
              <w:t>2</w:t>
            </w:r>
            <w:r>
              <w:rPr>
                <w:rFonts w:hint="eastAsia" w:asciiTheme="majorEastAsia" w:hAnsiTheme="majorEastAsia" w:eastAsiaTheme="majorEastAsia" w:cstheme="majorEastAsia"/>
                <w:color w:val="000000" w:themeColor="text1"/>
                <w:sz w:val="24"/>
                <w:highlight w:val="none"/>
                <w:lang w:val="en"/>
                <w14:textFill>
                  <w14:solidFill>
                    <w14:schemeClr w14:val="tx1"/>
                  </w14:solidFill>
                </w14:textFill>
              </w:rPr>
              <w:t>.</w:t>
            </w:r>
            <w:r>
              <w:rPr>
                <w:rFonts w:hint="eastAsia" w:asciiTheme="majorEastAsia" w:hAnsiTheme="majorEastAsia" w:eastAsiaTheme="majorEastAsia" w:cstheme="majorEastAsia"/>
                <w:color w:val="000000" w:themeColor="text1"/>
                <w:sz w:val="24"/>
                <w:highlight w:val="none"/>
                <w14:textFill>
                  <w14:solidFill>
                    <w14:schemeClr w14:val="tx1"/>
                  </w14:solidFill>
                </w14:textFill>
              </w:rPr>
              <w:t>不论响应结果如何，供应商均应自行承担所有与响应有关的全部费用。</w:t>
            </w:r>
          </w:p>
        </w:tc>
      </w:tr>
      <w:tr w14:paraId="6CF572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108" w:type="dxa"/>
            <w:bottom w:w="57" w:type="dxa"/>
            <w:right w:w="108" w:type="dxa"/>
          </w:tblCellMar>
        </w:tblPrEx>
        <w:trPr>
          <w:trHeight w:val="454" w:hRule="atLeast"/>
          <w:jc w:val="center"/>
        </w:trPr>
        <w:tc>
          <w:tcPr>
            <w:tcW w:w="1429" w:type="dxa"/>
            <w:tcBorders>
              <w:top w:val="single" w:color="auto" w:sz="4" w:space="0"/>
              <w:left w:val="single" w:color="auto" w:sz="4" w:space="0"/>
              <w:bottom w:val="single" w:color="auto" w:sz="4" w:space="0"/>
              <w:right w:val="single" w:color="auto" w:sz="4" w:space="0"/>
            </w:tcBorders>
            <w:vAlign w:val="center"/>
          </w:tcPr>
          <w:p w14:paraId="6BE4FA6B">
            <w:pPr>
              <w:keepNext w:val="0"/>
              <w:keepLines w:val="0"/>
              <w:pageBreakBefore w:val="0"/>
              <w:widowControl w:val="0"/>
              <w:kinsoku/>
              <w:wordWrap/>
              <w:overflowPunct/>
              <w:topLinePunct w:val="0"/>
              <w:bidi w:val="0"/>
              <w:adjustRightInd/>
              <w:snapToGrid/>
              <w:spacing w:line="240"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责任认定</w:t>
            </w:r>
          </w:p>
        </w:tc>
        <w:tc>
          <w:tcPr>
            <w:tcW w:w="7514" w:type="dxa"/>
            <w:tcBorders>
              <w:top w:val="single" w:color="auto" w:sz="4" w:space="0"/>
              <w:left w:val="single" w:color="auto" w:sz="4" w:space="0"/>
              <w:bottom w:val="single" w:color="auto" w:sz="4" w:space="0"/>
              <w:right w:val="single" w:color="auto" w:sz="4" w:space="0"/>
            </w:tcBorders>
            <w:vAlign w:val="center"/>
          </w:tcPr>
          <w:p w14:paraId="651971D4">
            <w:pPr>
              <w:keepNext w:val="0"/>
              <w:keepLines w:val="0"/>
              <w:pageBreakBefore w:val="0"/>
              <w:widowControl w:val="0"/>
              <w:kinsoku/>
              <w:wordWrap/>
              <w:overflowPunct/>
              <w:topLinePunct w:val="0"/>
              <w:bidi w:val="0"/>
              <w:adjustRightInd/>
              <w:snapToGrid/>
              <w:spacing w:line="240" w:lineRule="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在服务期内，因成交供应商原因，未能完全履行服务承诺，征集人有权追究成交供应商的责任。</w:t>
            </w:r>
          </w:p>
        </w:tc>
      </w:tr>
    </w:tbl>
    <w:p w14:paraId="29A3C0F9">
      <w:pPr>
        <w:pStyle w:val="3"/>
        <w:keepNext/>
        <w:keepLines/>
        <w:pageBreakBefore w:val="0"/>
        <w:widowControl w:val="0"/>
        <w:kinsoku/>
        <w:wordWrap/>
        <w:overflowPunct/>
        <w:topLinePunct w:val="0"/>
        <w:autoSpaceDE/>
        <w:autoSpaceDN/>
        <w:bidi w:val="0"/>
        <w:adjustRightInd/>
        <w:snapToGrid/>
        <w:spacing w:before="0" w:after="0" w:afterLines="50"/>
        <w:ind w:left="240" w:leftChars="100"/>
        <w:textAlignment w:val="auto"/>
        <w:rPr>
          <w:rFonts w:asciiTheme="majorEastAsia" w:hAnsiTheme="majorEastAsia" w:eastAsiaTheme="majorEastAsia" w:cstheme="majorEastAsia"/>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br w:type="page"/>
      </w:r>
      <w:bookmarkStart w:id="42" w:name="_Toc11524"/>
      <w:r>
        <w:rPr>
          <w:rFonts w:hint="eastAsia" w:asciiTheme="majorEastAsia" w:hAnsiTheme="majorEastAsia" w:eastAsiaTheme="majorEastAsia" w:cstheme="majorEastAsia"/>
          <w:color w:val="000000" w:themeColor="text1"/>
          <w:sz w:val="32"/>
          <w:szCs w:val="32"/>
          <w:highlight w:val="none"/>
          <w14:textFill>
            <w14:solidFill>
              <w14:schemeClr w14:val="tx1"/>
            </w14:solidFill>
          </w14:textFill>
        </w:rPr>
        <w:t>第三章  供应商须知</w:t>
      </w:r>
      <w:bookmarkEnd w:id="42"/>
    </w:p>
    <w:p w14:paraId="28E1421B">
      <w:pPr>
        <w:spacing w:line="360" w:lineRule="auto"/>
        <w:ind w:firstLine="281" w:firstLineChars="100"/>
        <w:jc w:val="center"/>
        <w:rPr>
          <w:rFonts w:asciiTheme="majorEastAsia" w:hAnsiTheme="majorEastAsia" w:eastAsiaTheme="majorEastAsia" w:cstheme="majorEastAsia"/>
          <w:b/>
          <w:bCs/>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8"/>
          <w:szCs w:val="28"/>
          <w:highlight w:val="none"/>
          <w14:textFill>
            <w14:solidFill>
              <w14:schemeClr w14:val="tx1"/>
            </w14:solidFill>
          </w14:textFill>
        </w:rPr>
        <w:t>电子交易注意事项</w:t>
      </w:r>
    </w:p>
    <w:p w14:paraId="7698CA95">
      <w:pPr>
        <w:spacing w:line="360" w:lineRule="auto"/>
        <w:ind w:firstLine="480" w:firstLineChars="200"/>
        <w:jc w:val="left"/>
        <w:rPr>
          <w:rFonts w:asciiTheme="majorEastAsia" w:hAnsiTheme="majorEastAsia" w:eastAsiaTheme="majorEastAsia" w:cstheme="majorEastAsia"/>
          <w:color w:val="000000" w:themeColor="text1"/>
          <w:highlight w:val="none"/>
          <w:shd w:val="clear" w:color="auto" w:fill="FFFFFF"/>
          <w14:textFill>
            <w14:solidFill>
              <w14:schemeClr w14:val="tx1"/>
            </w14:solidFill>
          </w14:textFill>
        </w:rPr>
      </w:pPr>
      <w:r>
        <w:rPr>
          <w:rFonts w:hint="eastAsia" w:asciiTheme="majorEastAsia" w:hAnsiTheme="majorEastAsia" w:eastAsiaTheme="majorEastAsia" w:cstheme="majorEastAsia"/>
          <w:color w:val="000000" w:themeColor="text1"/>
          <w:highlight w:val="none"/>
          <w:shd w:val="clear" w:color="auto" w:fill="FFFFFF"/>
          <w14:textFill>
            <w14:solidFill>
              <w14:schemeClr w14:val="tx1"/>
            </w14:solidFill>
          </w14:textFill>
        </w:rPr>
        <w:t>政府采购项目电子交易活动适用《浙江省政府采购项目电子交易管理暂行办法》，现将相关注意事项告知如下：</w:t>
      </w:r>
    </w:p>
    <w:p w14:paraId="4C4B0465">
      <w:pPr>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1.采购代理机构按照征集文件规定的时间通过电子交易平台组织开标、开启响应文件，所有供应商均应当准时在线参加，直至评审结束。</w:t>
      </w:r>
    </w:p>
    <w:p w14:paraId="3AD93FB5">
      <w:pPr>
        <w:pStyle w:val="23"/>
        <w:spacing w:before="0" w:beforeAutospacing="0" w:after="0" w:afterAutospacing="0" w:line="360" w:lineRule="auto"/>
        <w:ind w:firstLine="480" w:firstLineChars="200"/>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2.响应文件未按时解密，供应商如提供备份响应文件的，以符合要求的备份响应文件作为依据，否则视为响应文件撤回。响应文件已按时解密的，备份响应文件自动失效。</w:t>
      </w:r>
    </w:p>
    <w:p w14:paraId="091BCFBD">
      <w:pPr>
        <w:pStyle w:val="23"/>
        <w:spacing w:before="0" w:beforeAutospacing="0" w:after="0" w:afterAutospacing="0" w:line="360" w:lineRule="auto"/>
        <w:ind w:firstLine="480" w:firstLineChars="200"/>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3.采购过程中出现以下情形，导致电子交易平台无法正常运行，或者无法保证电子交易的公平、公正和安全时，采购代理机构可中止电子交易活动：</w:t>
      </w:r>
    </w:p>
    <w:p w14:paraId="0D9035F6">
      <w:pPr>
        <w:pStyle w:val="23"/>
        <w:spacing w:before="0" w:beforeAutospacing="0" w:after="0" w:afterAutospacing="0" w:line="360" w:lineRule="auto"/>
        <w:ind w:firstLine="480" w:firstLineChars="200"/>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（一）电子交易平台发生故障而无法登录访问的。</w:t>
      </w:r>
    </w:p>
    <w:p w14:paraId="1D327B35">
      <w:pPr>
        <w:pStyle w:val="23"/>
        <w:spacing w:before="0" w:beforeAutospacing="0" w:after="0" w:afterAutospacing="0" w:line="360" w:lineRule="auto"/>
        <w:ind w:firstLine="480" w:firstLineChars="200"/>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（二）电子交易平台应用或数据库出现错误，不能进行正常操作的。</w:t>
      </w:r>
    </w:p>
    <w:p w14:paraId="0CF8AB20">
      <w:pPr>
        <w:pStyle w:val="23"/>
        <w:spacing w:before="0" w:beforeAutospacing="0" w:after="0" w:afterAutospacing="0" w:line="360" w:lineRule="auto"/>
        <w:ind w:firstLine="480" w:firstLineChars="200"/>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（三）电子交易平台发现严重安全漏洞，有潜在泄密危险的。</w:t>
      </w:r>
    </w:p>
    <w:p w14:paraId="5706BB30">
      <w:pPr>
        <w:pStyle w:val="23"/>
        <w:spacing w:before="0" w:beforeAutospacing="0" w:after="0" w:afterAutospacing="0" w:line="360" w:lineRule="auto"/>
        <w:ind w:firstLine="480" w:firstLineChars="200"/>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（四）病毒发作导致不能进行正常操作的。 </w:t>
      </w:r>
    </w:p>
    <w:p w14:paraId="7F3C4A5F">
      <w:pPr>
        <w:pStyle w:val="23"/>
        <w:spacing w:before="0" w:beforeAutospacing="0" w:after="0" w:afterAutospacing="0" w:line="360" w:lineRule="auto"/>
        <w:ind w:firstLine="480" w:firstLineChars="200"/>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（五）其他无法保证电子交易的公平、公正和安全的情况。</w:t>
      </w:r>
    </w:p>
    <w:p w14:paraId="35E5D5F5">
      <w:pPr>
        <w:pStyle w:val="23"/>
        <w:spacing w:before="0" w:beforeAutospacing="0" w:after="0" w:afterAutospacing="0" w:line="360" w:lineRule="auto"/>
        <w:ind w:firstLine="480" w:firstLineChars="200"/>
        <w:rPr>
          <w:rFonts w:asciiTheme="majorEastAsia" w:hAnsiTheme="majorEastAsia" w:eastAsiaTheme="majorEastAsia" w:cstheme="majorEastAsia"/>
          <w:color w:val="000000" w:themeColor="text1"/>
          <w:kern w:val="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highlight w:val="none"/>
          <w14:textFill>
            <w14:solidFill>
              <w14:schemeClr w14:val="tx1"/>
            </w14:solidFill>
          </w14:textFill>
        </w:rPr>
        <w:t>出现前款规定情形，不影响采购公平、公正性的，采购代理机构可以待上述情形消除后继续组织电子交易活动，也可以决定某些环节以纸质形式进行；影响或可能影响采购公平、公正性的，应当重新采购。</w:t>
      </w:r>
    </w:p>
    <w:p w14:paraId="38127C51">
      <w:pPr>
        <w:pStyle w:val="23"/>
        <w:numPr>
          <w:ilvl w:val="0"/>
          <w:numId w:val="5"/>
        </w:numPr>
        <w:spacing w:before="0" w:beforeAutospacing="0" w:after="0" w:afterAutospacing="0" w:line="360" w:lineRule="auto"/>
        <w:ind w:firstLine="480" w:firstLineChars="200"/>
        <w:rPr>
          <w:rFonts w:asciiTheme="majorEastAsia" w:hAnsiTheme="majorEastAsia" w:eastAsiaTheme="majorEastAsia" w:cstheme="majorEastAsia"/>
          <w:color w:val="000000" w:themeColor="text1"/>
          <w:highlight w:val="none"/>
          <w:shd w:val="clear" w:color="auto" w:fill="FFFFFF"/>
          <w14:textFill>
            <w14:solidFill>
              <w14:schemeClr w14:val="tx1"/>
            </w14:solidFill>
          </w14:textFill>
        </w:rPr>
      </w:pPr>
      <w:r>
        <w:rPr>
          <w:rFonts w:hint="eastAsia" w:asciiTheme="majorEastAsia" w:hAnsiTheme="majorEastAsia" w:eastAsiaTheme="majorEastAsia" w:cstheme="majorEastAsia"/>
          <w:color w:val="000000" w:themeColor="text1"/>
          <w:highlight w:val="none"/>
          <w:shd w:val="clear" w:color="auto" w:fill="FFFFFF"/>
          <w14:textFill>
            <w14:solidFill>
              <w14:schemeClr w14:val="tx1"/>
            </w14:solidFill>
          </w14:textFill>
        </w:rPr>
        <w:t>评审中需要供应商对响应文件作出澄清、说明或者补正的，评审小组和供应商应当通过电子交易平台交换数据电文。供应商需在</w:t>
      </w:r>
      <w:r>
        <w:rPr>
          <w:rFonts w:hint="eastAsia" w:asciiTheme="majorEastAsia" w:hAnsiTheme="majorEastAsia" w:eastAsiaTheme="majorEastAsia" w:cstheme="majorEastAsia"/>
          <w:b/>
          <w:bCs/>
          <w:color w:val="000000" w:themeColor="text1"/>
          <w:highlight w:val="none"/>
          <w:shd w:val="clear" w:color="auto" w:fill="FFFFFF"/>
          <w14:textFill>
            <w14:solidFill>
              <w14:schemeClr w14:val="tx1"/>
            </w14:solidFill>
          </w14:textFill>
        </w:rPr>
        <w:t>半小时</w:t>
      </w:r>
      <w:r>
        <w:rPr>
          <w:rFonts w:hint="eastAsia" w:asciiTheme="majorEastAsia" w:hAnsiTheme="majorEastAsia" w:eastAsiaTheme="majorEastAsia" w:cstheme="majorEastAsia"/>
          <w:color w:val="000000" w:themeColor="text1"/>
          <w:highlight w:val="none"/>
          <w:shd w:val="clear" w:color="auto" w:fill="FFFFFF"/>
          <w14:textFill>
            <w14:solidFill>
              <w14:schemeClr w14:val="tx1"/>
            </w14:solidFill>
          </w14:textFill>
        </w:rPr>
        <w:t>内提交澄清说明或补正，供应商已经明确表示澄清说明或补正完毕的除外。</w:t>
      </w:r>
    </w:p>
    <w:p w14:paraId="1F12351B">
      <w:pPr>
        <w:pStyle w:val="23"/>
        <w:spacing w:beforeAutospacing="0" w:afterAutospacing="0" w:line="360" w:lineRule="auto"/>
        <w:ind w:firstLine="480"/>
        <w:jc w:val="center"/>
        <w:rPr>
          <w:rFonts w:asciiTheme="majorEastAsia" w:hAnsiTheme="majorEastAsia" w:eastAsiaTheme="majorEastAsia" w:cstheme="majorEastAsia"/>
          <w:b/>
          <w:color w:val="000000" w:themeColor="text1"/>
          <w:sz w:val="32"/>
          <w:szCs w:val="32"/>
          <w:highlight w:val="none"/>
          <w:shd w:val="clear" w:color="auto" w:fill="FFFFFF"/>
          <w14:textFill>
            <w14:solidFill>
              <w14:schemeClr w14:val="tx1"/>
            </w14:solidFill>
          </w14:textFill>
        </w:rPr>
      </w:pPr>
      <w:r>
        <w:rPr>
          <w:rFonts w:hint="eastAsia" w:asciiTheme="majorEastAsia" w:hAnsiTheme="majorEastAsia" w:eastAsiaTheme="majorEastAsia" w:cstheme="majorEastAsia"/>
          <w:color w:val="000000" w:themeColor="text1"/>
          <w:highlight w:val="none"/>
          <w:shd w:val="clear" w:color="auto" w:fill="FFFFFF"/>
          <w14:textFill>
            <w14:solidFill>
              <w14:schemeClr w14:val="tx1"/>
            </w14:solidFill>
          </w14:textFill>
        </w:rPr>
        <w:br w:type="page"/>
      </w:r>
      <w:r>
        <w:rPr>
          <w:rFonts w:hint="eastAsia" w:asciiTheme="majorEastAsia" w:hAnsiTheme="majorEastAsia" w:eastAsiaTheme="majorEastAsia" w:cstheme="majorEastAsia"/>
          <w:b/>
          <w:color w:val="000000" w:themeColor="text1"/>
          <w:sz w:val="32"/>
          <w:szCs w:val="32"/>
          <w:highlight w:val="none"/>
          <w:shd w:val="clear" w:color="auto" w:fill="FFFFFF"/>
          <w14:textFill>
            <w14:solidFill>
              <w14:schemeClr w14:val="tx1"/>
            </w14:solidFill>
          </w14:textFill>
        </w:rPr>
        <w:t>供应商须知前附表</w:t>
      </w:r>
    </w:p>
    <w:tbl>
      <w:tblPr>
        <w:tblStyle w:val="25"/>
        <w:tblW w:w="918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57" w:type="dxa"/>
          <w:left w:w="57" w:type="dxa"/>
          <w:bottom w:w="57" w:type="dxa"/>
          <w:right w:w="57" w:type="dxa"/>
        </w:tblCellMar>
      </w:tblPr>
      <w:tblGrid>
        <w:gridCol w:w="771"/>
        <w:gridCol w:w="1866"/>
        <w:gridCol w:w="6547"/>
      </w:tblGrid>
      <w:tr w14:paraId="2093DA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auto" w:sz="4" w:space="0"/>
              <w:bottom w:val="single" w:color="auto" w:sz="4" w:space="0"/>
              <w:right w:val="single" w:color="auto" w:sz="4" w:space="0"/>
            </w:tcBorders>
            <w:vAlign w:val="center"/>
          </w:tcPr>
          <w:p w14:paraId="4506A507">
            <w:pPr>
              <w:snapToGrid w:val="0"/>
              <w:spacing w:line="288" w:lineRule="auto"/>
              <w:jc w:val="center"/>
              <w:rPr>
                <w:rFonts w:ascii="宋体" w:hAnsi="宋体"/>
                <w:b/>
                <w:color w:val="000000" w:themeColor="text1"/>
                <w:highlight w:val="none"/>
                <w14:textFill>
                  <w14:solidFill>
                    <w14:schemeClr w14:val="tx1"/>
                  </w14:solidFill>
                </w14:textFill>
              </w:rPr>
            </w:pPr>
            <w:r>
              <w:rPr>
                <w:rFonts w:hint="eastAsia" w:ascii="宋体" w:hAnsi="宋体"/>
                <w:b/>
                <w:color w:val="000000" w:themeColor="text1"/>
                <w:highlight w:val="none"/>
                <w14:textFill>
                  <w14:solidFill>
                    <w14:schemeClr w14:val="tx1"/>
                  </w14:solidFill>
                </w14:textFill>
              </w:rPr>
              <w:t>序号</w:t>
            </w:r>
          </w:p>
        </w:tc>
        <w:tc>
          <w:tcPr>
            <w:tcW w:w="1866" w:type="dxa"/>
            <w:tcBorders>
              <w:top w:val="single" w:color="000000" w:sz="8" w:space="0"/>
              <w:left w:val="single" w:color="auto" w:sz="4" w:space="0"/>
              <w:bottom w:val="single" w:color="000000" w:sz="8" w:space="0"/>
              <w:right w:val="single" w:color="000000" w:sz="8" w:space="0"/>
            </w:tcBorders>
            <w:vAlign w:val="center"/>
          </w:tcPr>
          <w:p w14:paraId="07F02609">
            <w:pPr>
              <w:snapToGrid w:val="0"/>
              <w:spacing w:line="288" w:lineRule="auto"/>
              <w:jc w:val="center"/>
              <w:rPr>
                <w:rFonts w:ascii="宋体" w:hAnsi="宋体"/>
                <w:b/>
                <w:color w:val="000000" w:themeColor="text1"/>
                <w:highlight w:val="none"/>
                <w14:textFill>
                  <w14:solidFill>
                    <w14:schemeClr w14:val="tx1"/>
                  </w14:solidFill>
                </w14:textFill>
              </w:rPr>
            </w:pPr>
            <w:r>
              <w:rPr>
                <w:rFonts w:hint="eastAsia" w:ascii="宋体" w:hAnsi="宋体"/>
                <w:b/>
                <w:color w:val="000000" w:themeColor="text1"/>
                <w:highlight w:val="none"/>
                <w14:textFill>
                  <w14:solidFill>
                    <w14:schemeClr w14:val="tx1"/>
                  </w14:solidFill>
                </w14:textFill>
              </w:rPr>
              <w:t>事项</w:t>
            </w:r>
          </w:p>
        </w:tc>
        <w:tc>
          <w:tcPr>
            <w:tcW w:w="6547" w:type="dxa"/>
            <w:tcBorders>
              <w:top w:val="single" w:color="000000" w:sz="8" w:space="0"/>
              <w:left w:val="single" w:color="000000" w:sz="2" w:space="0"/>
              <w:bottom w:val="single" w:color="000000" w:sz="8" w:space="0"/>
              <w:right w:val="single" w:color="000000" w:sz="8" w:space="0"/>
            </w:tcBorders>
            <w:vAlign w:val="center"/>
          </w:tcPr>
          <w:p w14:paraId="42C29528">
            <w:pPr>
              <w:snapToGrid w:val="0"/>
              <w:spacing w:line="288" w:lineRule="auto"/>
              <w:jc w:val="center"/>
              <w:rPr>
                <w:rFonts w:ascii="宋体" w:hAnsi="宋体"/>
                <w:b/>
                <w:color w:val="000000" w:themeColor="text1"/>
                <w:highlight w:val="none"/>
                <w14:textFill>
                  <w14:solidFill>
                    <w14:schemeClr w14:val="tx1"/>
                  </w14:solidFill>
                </w14:textFill>
              </w:rPr>
            </w:pPr>
            <w:r>
              <w:rPr>
                <w:rFonts w:hint="eastAsia" w:ascii="宋体" w:hAnsi="宋体"/>
                <w:b/>
                <w:color w:val="000000" w:themeColor="text1"/>
                <w:highlight w:val="none"/>
                <w14:textFill>
                  <w14:solidFill>
                    <w14:schemeClr w14:val="tx1"/>
                  </w14:solidFill>
                </w14:textFill>
              </w:rPr>
              <w:t>本项目的特别规定</w:t>
            </w:r>
          </w:p>
        </w:tc>
      </w:tr>
      <w:tr w14:paraId="3FFFC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auto" w:sz="4" w:space="0"/>
              <w:bottom w:val="single" w:color="auto" w:sz="4" w:space="0"/>
              <w:right w:val="single" w:color="auto" w:sz="4" w:space="0"/>
            </w:tcBorders>
            <w:vAlign w:val="center"/>
          </w:tcPr>
          <w:p w14:paraId="7944DD78">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w:t>
            </w:r>
          </w:p>
        </w:tc>
        <w:tc>
          <w:tcPr>
            <w:tcW w:w="1866" w:type="dxa"/>
            <w:tcBorders>
              <w:top w:val="single" w:color="000000" w:sz="8" w:space="0"/>
              <w:left w:val="single" w:color="auto" w:sz="4" w:space="0"/>
              <w:bottom w:val="single" w:color="000000" w:sz="8" w:space="0"/>
              <w:right w:val="single" w:color="000000" w:sz="8" w:space="0"/>
            </w:tcBorders>
            <w:vAlign w:val="center"/>
          </w:tcPr>
          <w:p w14:paraId="6041D66D">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项目名称</w:t>
            </w:r>
          </w:p>
        </w:tc>
        <w:tc>
          <w:tcPr>
            <w:tcW w:w="6547" w:type="dxa"/>
            <w:tcBorders>
              <w:top w:val="single" w:color="000000" w:sz="8" w:space="0"/>
              <w:left w:val="single" w:color="000000" w:sz="2" w:space="0"/>
              <w:bottom w:val="single" w:color="000000" w:sz="8" w:space="0"/>
              <w:right w:val="single" w:color="000000" w:sz="8" w:space="0"/>
            </w:tcBorders>
            <w:vAlign w:val="center"/>
          </w:tcPr>
          <w:p w14:paraId="741390E4">
            <w:pPr>
              <w:pStyle w:val="12"/>
              <w:spacing w:line="288" w:lineRule="auto"/>
              <w:ind w:firstLine="0"/>
              <w:jc w:val="left"/>
              <w:rPr>
                <w:rFonts w:hint="eastAsia" w:hAnsi="宋体" w:eastAsia="宋体" w:cs="宋体"/>
                <w:bCs/>
                <w:snapToGrid w:val="0"/>
                <w:color w:val="000000" w:themeColor="text1"/>
                <w:spacing w:val="0"/>
                <w:sz w:val="24"/>
                <w:szCs w:val="24"/>
                <w:highlight w:val="none"/>
                <w:lang w:eastAsia="zh-CN"/>
                <w14:textFill>
                  <w14:solidFill>
                    <w14:schemeClr w14:val="tx1"/>
                  </w14:solidFill>
                </w14:textFill>
              </w:rPr>
            </w:pPr>
            <w:r>
              <w:rPr>
                <w:rFonts w:hint="eastAsia" w:hAnsi="宋体" w:cs="宋体"/>
                <w:bCs/>
                <w:snapToGrid w:val="0"/>
                <w:color w:val="000000" w:themeColor="text1"/>
                <w:spacing w:val="0"/>
                <w:sz w:val="24"/>
                <w:szCs w:val="24"/>
                <w:highlight w:val="none"/>
                <w:lang w:eastAsia="zh-CN"/>
                <w14:textFill>
                  <w14:solidFill>
                    <w14:schemeClr w14:val="tx1"/>
                  </w14:solidFill>
                </w14:textFill>
              </w:rPr>
              <w:t>嘉兴市南湖区交通运输局2025-2027年度招标代理和造价咨询服务框架协议采购</w:t>
            </w:r>
          </w:p>
        </w:tc>
      </w:tr>
      <w:tr w14:paraId="752160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auto" w:sz="4" w:space="0"/>
              <w:bottom w:val="single" w:color="auto" w:sz="4" w:space="0"/>
              <w:right w:val="single" w:color="auto" w:sz="4" w:space="0"/>
            </w:tcBorders>
            <w:vAlign w:val="center"/>
          </w:tcPr>
          <w:p w14:paraId="44EDE5CF">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2</w:t>
            </w:r>
          </w:p>
        </w:tc>
        <w:tc>
          <w:tcPr>
            <w:tcW w:w="1866" w:type="dxa"/>
            <w:tcBorders>
              <w:top w:val="single" w:color="000000" w:sz="8" w:space="0"/>
              <w:left w:val="single" w:color="auto" w:sz="4" w:space="0"/>
              <w:bottom w:val="single" w:color="000000" w:sz="8" w:space="0"/>
              <w:right w:val="single" w:color="000000" w:sz="8" w:space="0"/>
            </w:tcBorders>
            <w:vAlign w:val="center"/>
          </w:tcPr>
          <w:p w14:paraId="668655E8">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采购内容</w:t>
            </w:r>
          </w:p>
        </w:tc>
        <w:tc>
          <w:tcPr>
            <w:tcW w:w="6547" w:type="dxa"/>
            <w:tcBorders>
              <w:top w:val="single" w:color="000000" w:sz="8" w:space="0"/>
              <w:left w:val="single" w:color="000000" w:sz="2" w:space="0"/>
              <w:bottom w:val="single" w:color="000000" w:sz="8" w:space="0"/>
              <w:right w:val="single" w:color="000000" w:sz="8" w:space="0"/>
            </w:tcBorders>
            <w:vAlign w:val="center"/>
          </w:tcPr>
          <w:p w14:paraId="4DFF676A">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t>通过框架协议方式，产生嘉兴市南湖区交通运输局及其下属企事业单位</w:t>
            </w:r>
            <w:r>
              <w:rPr>
                <w:rFonts w:hint="eastAsia" w:hAnsi="宋体" w:cs="宋体"/>
                <w:bCs/>
                <w:snapToGrid w:val="0"/>
                <w:color w:val="000000" w:themeColor="text1"/>
                <w:spacing w:val="0"/>
                <w:sz w:val="24"/>
                <w:szCs w:val="24"/>
                <w:highlight w:val="none"/>
                <w:lang w:eastAsia="zh-CN"/>
                <w14:textFill>
                  <w14:solidFill>
                    <w14:schemeClr w14:val="tx1"/>
                  </w14:solidFill>
                </w14:textFill>
              </w:rPr>
              <w:t>2025-2027</w:t>
            </w:r>
            <w:r>
              <w:rPr>
                <w:rFonts w:hint="eastAsia" w:hAnsi="宋体" w:cs="宋体"/>
                <w:bCs/>
                <w:snapToGrid w:val="0"/>
                <w:color w:val="000000" w:themeColor="text1"/>
                <w:spacing w:val="0"/>
                <w:sz w:val="24"/>
                <w:szCs w:val="24"/>
                <w:highlight w:val="none"/>
                <w14:textFill>
                  <w14:solidFill>
                    <w14:schemeClr w14:val="tx1"/>
                  </w14:solidFill>
                </w14:textFill>
              </w:rPr>
              <w:t>年度单项合同费用招标采购限额标准以下（根据</w:t>
            </w:r>
            <w:r>
              <w:rPr>
                <w:rFonts w:hint="eastAsia" w:hAnsi="宋体" w:cs="宋体"/>
                <w:bCs/>
                <w:snapToGrid w:val="0"/>
                <w:color w:val="000000" w:themeColor="text1"/>
                <w:spacing w:val="0"/>
                <w:sz w:val="24"/>
                <w:szCs w:val="24"/>
                <w:highlight w:val="none"/>
                <w:lang w:eastAsia="zh-CN"/>
                <w14:textFill>
                  <w14:solidFill>
                    <w14:schemeClr w14:val="tx1"/>
                  </w14:solidFill>
                </w14:textFill>
              </w:rPr>
              <w:t>省、市、区</w:t>
            </w:r>
            <w:r>
              <w:rPr>
                <w:rFonts w:hint="eastAsia" w:hAnsi="宋体" w:cs="宋体"/>
                <w:bCs/>
                <w:snapToGrid w:val="0"/>
                <w:color w:val="000000" w:themeColor="text1"/>
                <w:spacing w:val="0"/>
                <w:sz w:val="24"/>
                <w:szCs w:val="24"/>
                <w:highlight w:val="none"/>
                <w14:textFill>
                  <w14:solidFill>
                    <w14:schemeClr w14:val="tx1"/>
                  </w14:solidFill>
                </w14:textFill>
              </w:rPr>
              <w:t>和采购人招标采购限额相关规定适时调整）的工程、货物及服务的招标代理服务、工程预算编制、工程造价审核服务和工程造价结算审计服务、跟踪审计等相关服务。</w:t>
            </w:r>
          </w:p>
        </w:tc>
      </w:tr>
      <w:tr w14:paraId="17CA9A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auto" w:sz="4" w:space="0"/>
              <w:bottom w:val="single" w:color="auto" w:sz="4" w:space="0"/>
              <w:right w:val="single" w:color="auto" w:sz="4" w:space="0"/>
            </w:tcBorders>
            <w:vAlign w:val="center"/>
          </w:tcPr>
          <w:p w14:paraId="106AF05E">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3</w:t>
            </w:r>
          </w:p>
        </w:tc>
        <w:tc>
          <w:tcPr>
            <w:tcW w:w="1866" w:type="dxa"/>
            <w:tcBorders>
              <w:top w:val="single" w:color="000000" w:sz="8" w:space="0"/>
              <w:left w:val="single" w:color="auto" w:sz="4" w:space="0"/>
              <w:bottom w:val="single" w:color="000000" w:sz="8" w:space="0"/>
              <w:right w:val="single" w:color="000000" w:sz="8" w:space="0"/>
            </w:tcBorders>
            <w:vAlign w:val="center"/>
          </w:tcPr>
          <w:p w14:paraId="40DAC333">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报价要求</w:t>
            </w:r>
          </w:p>
        </w:tc>
        <w:tc>
          <w:tcPr>
            <w:tcW w:w="6547" w:type="dxa"/>
            <w:tcBorders>
              <w:top w:val="single" w:color="000000" w:sz="8" w:space="0"/>
              <w:left w:val="single" w:color="000000" w:sz="2" w:space="0"/>
              <w:bottom w:val="single" w:color="000000" w:sz="8" w:space="0"/>
              <w:right w:val="single" w:color="000000" w:sz="8" w:space="0"/>
            </w:tcBorders>
            <w:vAlign w:val="center"/>
          </w:tcPr>
          <w:p w14:paraId="5719796F">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t>1.本项目报价采用固定费率，响应时提供《报价承诺函》；</w:t>
            </w:r>
          </w:p>
          <w:p w14:paraId="55349DF0">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t>2.不论响应结果如何，供应商均应自行承担所有与响应有关的全部费用。提醒：验收（考核）时检测费、专家费等验收所产生的合理费用由征集人承担，不包含在响应报价中，若由供应商原因造成的验收（考核）不合格所产生的费用，由供应商承担。</w:t>
            </w:r>
          </w:p>
        </w:tc>
      </w:tr>
      <w:tr w14:paraId="2DF5EA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auto" w:sz="4" w:space="0"/>
              <w:bottom w:val="single" w:color="auto" w:sz="4" w:space="0"/>
              <w:right w:val="single" w:color="auto" w:sz="4" w:space="0"/>
            </w:tcBorders>
            <w:vAlign w:val="center"/>
          </w:tcPr>
          <w:p w14:paraId="57A20A25">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4</w:t>
            </w:r>
          </w:p>
        </w:tc>
        <w:tc>
          <w:tcPr>
            <w:tcW w:w="1866" w:type="dxa"/>
            <w:tcBorders>
              <w:top w:val="single" w:color="000000" w:sz="8" w:space="0"/>
              <w:left w:val="single" w:color="auto" w:sz="4" w:space="0"/>
              <w:bottom w:val="single" w:color="000000" w:sz="8" w:space="0"/>
              <w:right w:val="single" w:color="000000" w:sz="8" w:space="0"/>
            </w:tcBorders>
            <w:vAlign w:val="center"/>
          </w:tcPr>
          <w:p w14:paraId="318BE980">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分包</w:t>
            </w:r>
          </w:p>
        </w:tc>
        <w:tc>
          <w:tcPr>
            <w:tcW w:w="6547" w:type="dxa"/>
            <w:tcBorders>
              <w:top w:val="single" w:color="000000" w:sz="8" w:space="0"/>
              <w:left w:val="single" w:color="000000" w:sz="2" w:space="0"/>
              <w:bottom w:val="single" w:color="000000" w:sz="8" w:space="0"/>
              <w:right w:val="single" w:color="000000" w:sz="8" w:space="0"/>
            </w:tcBorders>
            <w:vAlign w:val="center"/>
          </w:tcPr>
          <w:p w14:paraId="40CC3D68">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sym w:font="Wingdings" w:char="00A8"/>
            </w:r>
            <w:r>
              <w:rPr>
                <w:rFonts w:hint="eastAsia" w:hAnsi="宋体" w:cs="宋体"/>
                <w:bCs/>
                <w:snapToGrid w:val="0"/>
                <w:color w:val="000000" w:themeColor="text1"/>
                <w:spacing w:val="0"/>
                <w:sz w:val="24"/>
                <w:szCs w:val="24"/>
                <w:highlight w:val="none"/>
                <w14:textFill>
                  <w14:solidFill>
                    <w14:schemeClr w14:val="tx1"/>
                  </w14:solidFill>
                </w14:textFill>
              </w:rPr>
              <w:t>A同意将非主体、非关键性的工作分包。</w:t>
            </w:r>
          </w:p>
          <w:p w14:paraId="2EB62BA0">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sym w:font="Wingdings" w:char="00FE"/>
            </w:r>
            <w:r>
              <w:rPr>
                <w:rFonts w:hint="eastAsia" w:hAnsi="宋体" w:cs="宋体"/>
                <w:bCs/>
                <w:snapToGrid w:val="0"/>
                <w:color w:val="000000" w:themeColor="text1"/>
                <w:spacing w:val="0"/>
                <w:sz w:val="24"/>
                <w:szCs w:val="24"/>
                <w:highlight w:val="none"/>
                <w14:textFill>
                  <w14:solidFill>
                    <w14:schemeClr w14:val="tx1"/>
                  </w14:solidFill>
                </w14:textFill>
              </w:rPr>
              <w:t>B不同意分包。</w:t>
            </w:r>
          </w:p>
        </w:tc>
      </w:tr>
      <w:tr w14:paraId="443618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auto" w:sz="4" w:space="0"/>
              <w:bottom w:val="single" w:color="auto" w:sz="4" w:space="0"/>
              <w:right w:val="single" w:color="auto" w:sz="4" w:space="0"/>
            </w:tcBorders>
            <w:vAlign w:val="center"/>
          </w:tcPr>
          <w:p w14:paraId="53200DA5">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5</w:t>
            </w:r>
          </w:p>
        </w:tc>
        <w:tc>
          <w:tcPr>
            <w:tcW w:w="1866" w:type="dxa"/>
            <w:tcBorders>
              <w:top w:val="single" w:color="000000" w:sz="8" w:space="0"/>
              <w:left w:val="single" w:color="auto" w:sz="4" w:space="0"/>
              <w:bottom w:val="single" w:color="000000" w:sz="8" w:space="0"/>
              <w:right w:val="single" w:color="000000" w:sz="8" w:space="0"/>
            </w:tcBorders>
            <w:vAlign w:val="center"/>
          </w:tcPr>
          <w:p w14:paraId="4C0EFDC2">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开标前答疑会或现场踏勘</w:t>
            </w:r>
          </w:p>
        </w:tc>
        <w:tc>
          <w:tcPr>
            <w:tcW w:w="6547" w:type="dxa"/>
            <w:tcBorders>
              <w:top w:val="single" w:color="000000" w:sz="8" w:space="0"/>
              <w:left w:val="single" w:color="000000" w:sz="2" w:space="0"/>
              <w:bottom w:val="single" w:color="000000" w:sz="8" w:space="0"/>
              <w:right w:val="single" w:color="000000" w:sz="8" w:space="0"/>
            </w:tcBorders>
            <w:vAlign w:val="center"/>
          </w:tcPr>
          <w:p w14:paraId="74B3C8CD">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sym w:font="Wingdings" w:char="00FE"/>
            </w:r>
            <w:r>
              <w:rPr>
                <w:rFonts w:hint="eastAsia" w:hAnsi="宋体" w:cs="宋体"/>
                <w:bCs/>
                <w:snapToGrid w:val="0"/>
                <w:color w:val="000000" w:themeColor="text1"/>
                <w:spacing w:val="0"/>
                <w:sz w:val="24"/>
                <w:szCs w:val="24"/>
                <w:highlight w:val="none"/>
                <w14:textFill>
                  <w14:solidFill>
                    <w14:schemeClr w14:val="tx1"/>
                  </w14:solidFill>
                </w14:textFill>
              </w:rPr>
              <w:t>A不组织。</w:t>
            </w:r>
          </w:p>
          <w:p w14:paraId="404D6C38">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sym w:font="Wingdings" w:char="00A8"/>
            </w:r>
            <w:r>
              <w:rPr>
                <w:rFonts w:hint="eastAsia" w:hAnsi="宋体" w:cs="宋体"/>
                <w:bCs/>
                <w:snapToGrid w:val="0"/>
                <w:color w:val="000000" w:themeColor="text1"/>
                <w:spacing w:val="0"/>
                <w:sz w:val="24"/>
                <w:szCs w:val="24"/>
                <w:highlight w:val="none"/>
                <w14:textFill>
                  <w14:solidFill>
                    <w14:schemeClr w14:val="tx1"/>
                  </w14:solidFill>
                </w14:textFill>
              </w:rPr>
              <w:t>B组织</w:t>
            </w:r>
          </w:p>
        </w:tc>
      </w:tr>
      <w:tr w14:paraId="5AC53A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auto" w:sz="4" w:space="0"/>
              <w:bottom w:val="single" w:color="auto" w:sz="4" w:space="0"/>
              <w:right w:val="single" w:color="auto" w:sz="4" w:space="0"/>
            </w:tcBorders>
            <w:vAlign w:val="center"/>
          </w:tcPr>
          <w:p w14:paraId="52834561">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6</w:t>
            </w:r>
          </w:p>
        </w:tc>
        <w:tc>
          <w:tcPr>
            <w:tcW w:w="1866" w:type="dxa"/>
            <w:tcBorders>
              <w:top w:val="single" w:color="000000" w:sz="8" w:space="0"/>
              <w:left w:val="single" w:color="auto" w:sz="4" w:space="0"/>
              <w:bottom w:val="single" w:color="000000" w:sz="8" w:space="0"/>
              <w:right w:val="single" w:color="000000" w:sz="8" w:space="0"/>
            </w:tcBorders>
            <w:vAlign w:val="center"/>
          </w:tcPr>
          <w:p w14:paraId="576B6366">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响应文件</w:t>
            </w:r>
            <w:r>
              <w:rPr>
                <w:rFonts w:hint="eastAsia" w:ascii="宋体" w:hAnsi="宋体"/>
                <w:bCs/>
                <w:color w:val="000000" w:themeColor="text1"/>
                <w:highlight w:val="none"/>
                <w:lang w:val="zh-CN"/>
                <w14:textFill>
                  <w14:solidFill>
                    <w14:schemeClr w14:val="tx1"/>
                  </w14:solidFill>
                </w14:textFill>
              </w:rPr>
              <w:t>组成</w:t>
            </w:r>
          </w:p>
        </w:tc>
        <w:tc>
          <w:tcPr>
            <w:tcW w:w="6547" w:type="dxa"/>
            <w:tcBorders>
              <w:top w:val="single" w:color="000000" w:sz="8" w:space="0"/>
              <w:left w:val="single" w:color="000000" w:sz="2" w:space="0"/>
              <w:bottom w:val="single" w:color="000000" w:sz="8" w:space="0"/>
              <w:right w:val="single" w:color="000000" w:sz="8" w:space="0"/>
            </w:tcBorders>
            <w:vAlign w:val="center"/>
          </w:tcPr>
          <w:p w14:paraId="26EB751B">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t>电子响应文件和备份响应文件均由资格文件、商务技术文件及报价文件三部分组成。</w:t>
            </w:r>
          </w:p>
        </w:tc>
      </w:tr>
      <w:tr w14:paraId="0B998D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auto" w:sz="4" w:space="0"/>
              <w:bottom w:val="single" w:color="auto" w:sz="4" w:space="0"/>
              <w:right w:val="single" w:color="auto" w:sz="4" w:space="0"/>
            </w:tcBorders>
            <w:vAlign w:val="center"/>
          </w:tcPr>
          <w:p w14:paraId="6093C6B0">
            <w:pPr>
              <w:snapToGrid w:val="0"/>
              <w:spacing w:line="288" w:lineRule="auto"/>
              <w:jc w:val="center"/>
              <w:rPr>
                <w:rFonts w:ascii="宋体" w:hAnsi="宋体"/>
                <w:bCs/>
                <w:color w:val="000000" w:themeColor="text1"/>
                <w:highlight w:val="none"/>
                <w14:textFill>
                  <w14:solidFill>
                    <w14:schemeClr w14:val="tx1"/>
                  </w14:solidFill>
                </w14:textFill>
              </w:rPr>
            </w:pPr>
          </w:p>
          <w:p w14:paraId="615D2B87">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7</w:t>
            </w:r>
          </w:p>
        </w:tc>
        <w:tc>
          <w:tcPr>
            <w:tcW w:w="1866" w:type="dxa"/>
            <w:tcBorders>
              <w:top w:val="single" w:color="000000" w:sz="8" w:space="0"/>
              <w:left w:val="single" w:color="auto" w:sz="4" w:space="0"/>
              <w:bottom w:val="single" w:color="000000" w:sz="8" w:space="0"/>
              <w:right w:val="single" w:color="000000" w:sz="8" w:space="0"/>
            </w:tcBorders>
            <w:vAlign w:val="center"/>
          </w:tcPr>
          <w:p w14:paraId="5FC4A065">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lang w:val="zh-CN"/>
                <w14:textFill>
                  <w14:solidFill>
                    <w14:schemeClr w14:val="tx1"/>
                  </w14:solidFill>
                </w14:textFill>
              </w:rPr>
              <w:t>解密时间及地点</w:t>
            </w:r>
          </w:p>
        </w:tc>
        <w:tc>
          <w:tcPr>
            <w:tcW w:w="6547" w:type="dxa"/>
            <w:tcBorders>
              <w:top w:val="single" w:color="000000" w:sz="8" w:space="0"/>
              <w:left w:val="single" w:color="000000" w:sz="2" w:space="0"/>
              <w:bottom w:val="single" w:color="000000" w:sz="8" w:space="0"/>
              <w:right w:val="single" w:color="000000" w:sz="8" w:space="0"/>
            </w:tcBorders>
            <w:vAlign w:val="center"/>
          </w:tcPr>
          <w:p w14:paraId="1AEAF4BF">
            <w:pPr>
              <w:pStyle w:val="12"/>
              <w:spacing w:line="288" w:lineRule="auto"/>
              <w:ind w:firstLine="0"/>
              <w:jc w:val="left"/>
              <w:rPr>
                <w:rFonts w:hint="eastAsia" w:hAnsi="宋体" w:eastAsia="宋体" w:cs="宋体"/>
                <w:bCs/>
                <w:snapToGrid w:val="0"/>
                <w:color w:val="000000" w:themeColor="text1"/>
                <w:spacing w:val="0"/>
                <w:sz w:val="24"/>
                <w:szCs w:val="24"/>
                <w:highlight w:val="none"/>
                <w:lang w:eastAsia="zh-CN"/>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t>时间：</w:t>
            </w:r>
            <w:r>
              <w:rPr>
                <w:rFonts w:hint="eastAsia" w:hAnsi="宋体" w:cs="宋体"/>
                <w:bCs/>
                <w:snapToGrid w:val="0"/>
                <w:color w:val="000000" w:themeColor="text1"/>
                <w:spacing w:val="0"/>
                <w:sz w:val="24"/>
                <w:szCs w:val="24"/>
                <w:highlight w:val="none"/>
                <w:lang w:eastAsia="zh-CN"/>
                <w14:textFill>
                  <w14:solidFill>
                    <w14:schemeClr w14:val="tx1"/>
                  </w14:solidFill>
                </w14:textFill>
              </w:rPr>
              <w:t>2025年</w:t>
            </w:r>
            <w:r>
              <w:rPr>
                <w:rFonts w:hint="eastAsia" w:hAnsi="宋体" w:cs="宋体"/>
                <w:bCs/>
                <w:snapToGrid w:val="0"/>
                <w:color w:val="000000" w:themeColor="text1"/>
                <w:spacing w:val="0"/>
                <w:sz w:val="24"/>
                <w:szCs w:val="24"/>
                <w:highlight w:val="none"/>
                <w:lang w:val="en-US" w:eastAsia="zh-CN"/>
                <w14:textFill>
                  <w14:solidFill>
                    <w14:schemeClr w14:val="tx1"/>
                  </w14:solidFill>
                </w14:textFill>
              </w:rPr>
              <w:t>3月20日</w:t>
            </w:r>
            <w:r>
              <w:rPr>
                <w:rFonts w:hint="eastAsia" w:hAnsi="宋体" w:cs="宋体"/>
                <w:bCs/>
                <w:snapToGrid w:val="0"/>
                <w:color w:val="000000" w:themeColor="text1"/>
                <w:spacing w:val="0"/>
                <w:sz w:val="24"/>
                <w:szCs w:val="24"/>
                <w:highlight w:val="none"/>
                <w14:textFill>
                  <w14:solidFill>
                    <w14:schemeClr w14:val="tx1"/>
                  </w14:solidFill>
                </w14:textFill>
              </w:rPr>
              <w:t>9时</w:t>
            </w:r>
            <w:r>
              <w:rPr>
                <w:rFonts w:hint="eastAsia" w:hAnsi="宋体" w:cs="宋体"/>
                <w:bCs/>
                <w:snapToGrid w:val="0"/>
                <w:color w:val="000000" w:themeColor="text1"/>
                <w:spacing w:val="0"/>
                <w:sz w:val="24"/>
                <w:szCs w:val="24"/>
                <w:highlight w:val="none"/>
                <w:lang w:val="en-US" w:eastAsia="zh-CN"/>
                <w14:textFill>
                  <w14:solidFill>
                    <w14:schemeClr w14:val="tx1"/>
                  </w14:solidFill>
                </w14:textFill>
              </w:rPr>
              <w:t>0</w:t>
            </w:r>
            <w:r>
              <w:rPr>
                <w:rFonts w:hint="eastAsia" w:hAnsi="宋体" w:cs="宋体"/>
                <w:bCs/>
                <w:snapToGrid w:val="0"/>
                <w:color w:val="000000" w:themeColor="text1"/>
                <w:spacing w:val="0"/>
                <w:sz w:val="24"/>
                <w:szCs w:val="24"/>
                <w:highlight w:val="none"/>
                <w14:textFill>
                  <w14:solidFill>
                    <w14:schemeClr w14:val="tx1"/>
                  </w14:solidFill>
                </w14:textFill>
              </w:rPr>
              <w:t>0分</w:t>
            </w:r>
            <w:r>
              <w:rPr>
                <w:rFonts w:hint="eastAsia" w:hAnsi="宋体" w:cs="宋体"/>
                <w:bCs/>
                <w:snapToGrid w:val="0"/>
                <w:color w:val="000000" w:themeColor="text1"/>
                <w:spacing w:val="0"/>
                <w:sz w:val="24"/>
                <w:szCs w:val="24"/>
                <w:highlight w:val="none"/>
                <w:lang w:eastAsia="zh-CN"/>
                <w14:textFill>
                  <w14:solidFill>
                    <w14:schemeClr w14:val="tx1"/>
                  </w14:solidFill>
                </w14:textFill>
              </w:rPr>
              <w:t>（</w:t>
            </w:r>
            <w:r>
              <w:rPr>
                <w:rFonts w:hint="eastAsia" w:hAnsi="宋体" w:cs="宋体"/>
                <w:bCs/>
                <w:snapToGrid w:val="0"/>
                <w:color w:val="000000" w:themeColor="text1"/>
                <w:spacing w:val="0"/>
                <w:sz w:val="24"/>
                <w:szCs w:val="24"/>
                <w:highlight w:val="none"/>
                <w:lang w:val="en-US" w:eastAsia="zh-CN"/>
                <w14:textFill>
                  <w14:solidFill>
                    <w14:schemeClr w14:val="tx1"/>
                  </w14:solidFill>
                </w14:textFill>
              </w:rPr>
              <w:t>北京时间</w:t>
            </w:r>
            <w:r>
              <w:rPr>
                <w:rFonts w:hint="eastAsia" w:hAnsi="宋体" w:cs="宋体"/>
                <w:bCs/>
                <w:snapToGrid w:val="0"/>
                <w:color w:val="000000" w:themeColor="text1"/>
                <w:spacing w:val="0"/>
                <w:sz w:val="24"/>
                <w:szCs w:val="24"/>
                <w:highlight w:val="none"/>
                <w:lang w:eastAsia="zh-CN"/>
                <w14:textFill>
                  <w14:solidFill>
                    <w14:schemeClr w14:val="tx1"/>
                  </w14:solidFill>
                </w14:textFill>
              </w:rPr>
              <w:t>）</w:t>
            </w:r>
          </w:p>
          <w:p w14:paraId="3A09FE1E">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t>地点：政采云平台</w:t>
            </w:r>
          </w:p>
          <w:p w14:paraId="4B332CA3">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t>供应商无需到开标现场，但须准时在线参加，直至评审结束。</w:t>
            </w:r>
          </w:p>
        </w:tc>
      </w:tr>
      <w:tr w14:paraId="08E2CE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3543C931">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8</w:t>
            </w:r>
          </w:p>
        </w:tc>
        <w:tc>
          <w:tcPr>
            <w:tcW w:w="1866" w:type="dxa"/>
            <w:tcBorders>
              <w:top w:val="single" w:color="000000" w:sz="8" w:space="0"/>
              <w:left w:val="single" w:color="000000" w:sz="2" w:space="0"/>
              <w:bottom w:val="single" w:color="000000" w:sz="8" w:space="0"/>
              <w:right w:val="single" w:color="000000" w:sz="8" w:space="0"/>
            </w:tcBorders>
            <w:vAlign w:val="center"/>
          </w:tcPr>
          <w:p w14:paraId="4B35BC62">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方案讲解演示</w:t>
            </w:r>
          </w:p>
        </w:tc>
        <w:tc>
          <w:tcPr>
            <w:tcW w:w="6547" w:type="dxa"/>
            <w:tcBorders>
              <w:top w:val="single" w:color="000000" w:sz="8" w:space="0"/>
              <w:left w:val="single" w:color="000000" w:sz="2" w:space="0"/>
              <w:bottom w:val="single" w:color="000000" w:sz="8" w:space="0"/>
              <w:right w:val="single" w:color="000000" w:sz="8" w:space="0"/>
            </w:tcBorders>
            <w:vAlign w:val="center"/>
          </w:tcPr>
          <w:p w14:paraId="0925C74A">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sym w:font="Wingdings" w:char="00FE"/>
            </w:r>
            <w:r>
              <w:rPr>
                <w:rFonts w:hint="eastAsia" w:hAnsi="宋体" w:cs="宋体"/>
                <w:bCs/>
                <w:snapToGrid w:val="0"/>
                <w:color w:val="000000" w:themeColor="text1"/>
                <w:spacing w:val="0"/>
                <w:sz w:val="24"/>
                <w:szCs w:val="24"/>
                <w:highlight w:val="none"/>
                <w14:textFill>
                  <w14:solidFill>
                    <w14:schemeClr w14:val="tx1"/>
                  </w14:solidFill>
                </w14:textFill>
              </w:rPr>
              <w:t>A不组织。</w:t>
            </w:r>
          </w:p>
          <w:p w14:paraId="247DA5EC">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sym w:font="Wingdings" w:char="00A8"/>
            </w:r>
            <w:r>
              <w:rPr>
                <w:rFonts w:hint="eastAsia" w:hAnsi="宋体" w:cs="宋体"/>
                <w:bCs/>
                <w:snapToGrid w:val="0"/>
                <w:color w:val="000000" w:themeColor="text1"/>
                <w:spacing w:val="0"/>
                <w:sz w:val="24"/>
                <w:szCs w:val="24"/>
                <w:highlight w:val="none"/>
                <w14:textFill>
                  <w14:solidFill>
                    <w14:schemeClr w14:val="tx1"/>
                  </w14:solidFill>
                </w14:textFill>
              </w:rPr>
              <w:t>B组织。</w:t>
            </w:r>
          </w:p>
        </w:tc>
      </w:tr>
      <w:tr w14:paraId="471A6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07BE03D0">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9</w:t>
            </w:r>
          </w:p>
        </w:tc>
        <w:tc>
          <w:tcPr>
            <w:tcW w:w="1866" w:type="dxa"/>
            <w:tcBorders>
              <w:top w:val="single" w:color="000000" w:sz="8" w:space="0"/>
              <w:left w:val="single" w:color="000000" w:sz="2" w:space="0"/>
              <w:bottom w:val="single" w:color="000000" w:sz="8" w:space="0"/>
              <w:right w:val="single" w:color="000000" w:sz="8" w:space="0"/>
            </w:tcBorders>
            <w:vAlign w:val="center"/>
          </w:tcPr>
          <w:p w14:paraId="06B0082D">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是否允许采购进口产品</w:t>
            </w:r>
          </w:p>
        </w:tc>
        <w:tc>
          <w:tcPr>
            <w:tcW w:w="6547" w:type="dxa"/>
            <w:tcBorders>
              <w:top w:val="single" w:color="000000" w:sz="8" w:space="0"/>
              <w:left w:val="single" w:color="000000" w:sz="2" w:space="0"/>
              <w:bottom w:val="single" w:color="000000" w:sz="8" w:space="0"/>
              <w:right w:val="single" w:color="000000" w:sz="8" w:space="0"/>
            </w:tcBorders>
            <w:vAlign w:val="center"/>
          </w:tcPr>
          <w:p w14:paraId="1DFACC6B">
            <w:pPr>
              <w:pStyle w:val="12"/>
              <w:spacing w:line="288" w:lineRule="auto"/>
              <w:ind w:firstLine="0"/>
              <w:jc w:val="left"/>
              <w:rPr>
                <w:rFonts w:hAnsi="宋体" w:cs="宋体"/>
                <w:bCs/>
                <w:snapToGrid w:val="0"/>
                <w:color w:val="000000" w:themeColor="text1"/>
                <w:spacing w:val="0"/>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sym w:font="Wingdings" w:char="F0FE"/>
            </w:r>
            <w:r>
              <w:rPr>
                <w:rFonts w:hint="eastAsia" w:hAnsi="宋体" w:cs="宋体"/>
                <w:bCs/>
                <w:snapToGrid w:val="0"/>
                <w:color w:val="000000" w:themeColor="text1"/>
                <w:spacing w:val="0"/>
                <w:sz w:val="24"/>
                <w:szCs w:val="24"/>
                <w:highlight w:val="none"/>
                <w14:textFill>
                  <w14:solidFill>
                    <w14:schemeClr w14:val="tx1"/>
                  </w14:solidFill>
                </w14:textFill>
              </w:rPr>
              <w:t>本项目不允许采购进口产品。</w:t>
            </w:r>
          </w:p>
          <w:p w14:paraId="7BCB6836">
            <w:pPr>
              <w:pStyle w:val="12"/>
              <w:spacing w:line="288" w:lineRule="auto"/>
              <w:ind w:firstLine="0"/>
              <w:jc w:val="left"/>
              <w:rPr>
                <w:rFonts w:hAnsi="宋体" w:cs="宋体"/>
                <w:bCs/>
                <w:color w:val="000000" w:themeColor="text1"/>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t>☐可以采购进口产品，优先采购向我国企业转让技术、与我国企业签订消化吸收再创新方案的供应商的进口产品；但如果因信息不对称等原因，仍有满足需求的国内产品要求参与采购竞争的，征集人及其委托的采购代理机构不对其加以限制，将按照公平竞争原则实施采购。</w:t>
            </w:r>
          </w:p>
        </w:tc>
      </w:tr>
      <w:tr w14:paraId="424098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505072A9">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10</w:t>
            </w:r>
          </w:p>
        </w:tc>
        <w:tc>
          <w:tcPr>
            <w:tcW w:w="1866" w:type="dxa"/>
            <w:tcBorders>
              <w:top w:val="single" w:color="000000" w:sz="8" w:space="0"/>
              <w:left w:val="single" w:color="000000" w:sz="2" w:space="0"/>
              <w:bottom w:val="single" w:color="000000" w:sz="8" w:space="0"/>
              <w:right w:val="single" w:color="000000" w:sz="8" w:space="0"/>
            </w:tcBorders>
            <w:vAlign w:val="center"/>
          </w:tcPr>
          <w:p w14:paraId="1EC746F0">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项目属性</w:t>
            </w:r>
          </w:p>
        </w:tc>
        <w:tc>
          <w:tcPr>
            <w:tcW w:w="6547" w:type="dxa"/>
            <w:tcBorders>
              <w:top w:val="single" w:color="000000" w:sz="8" w:space="0"/>
              <w:left w:val="single" w:color="000000" w:sz="2" w:space="0"/>
              <w:bottom w:val="single" w:color="000000" w:sz="8" w:space="0"/>
              <w:right w:val="single" w:color="000000" w:sz="8" w:space="0"/>
            </w:tcBorders>
            <w:vAlign w:val="center"/>
          </w:tcPr>
          <w:p w14:paraId="5BE6BAC0">
            <w:pPr>
              <w:spacing w:line="288" w:lineRule="auto"/>
              <w:jc w:val="left"/>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kern w:val="0"/>
                <w:highlight w:val="none"/>
                <w14:textFill>
                  <w14:solidFill>
                    <w14:schemeClr w14:val="tx1"/>
                  </w14:solidFill>
                </w14:textFill>
              </w:rPr>
              <w:sym w:font="Wingdings" w:char="00A8"/>
            </w:r>
            <w:r>
              <w:rPr>
                <w:rFonts w:hint="eastAsia" w:ascii="宋体" w:hAnsi="宋体"/>
                <w:bCs/>
                <w:color w:val="000000" w:themeColor="text1"/>
                <w:highlight w:val="none"/>
                <w:lang w:val="zh-CN"/>
                <w14:textFill>
                  <w14:solidFill>
                    <w14:schemeClr w14:val="tx1"/>
                  </w14:solidFill>
                </w14:textFill>
              </w:rPr>
              <w:t>A货物类</w:t>
            </w:r>
          </w:p>
          <w:p w14:paraId="77A431AF">
            <w:pPr>
              <w:spacing w:line="288" w:lineRule="auto"/>
              <w:jc w:val="left"/>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kern w:val="0"/>
                <w:highlight w:val="none"/>
                <w14:textFill>
                  <w14:solidFill>
                    <w14:schemeClr w14:val="tx1"/>
                  </w14:solidFill>
                </w14:textFill>
              </w:rPr>
              <w:sym w:font="Wingdings" w:char="00FE"/>
            </w:r>
            <w:r>
              <w:rPr>
                <w:rFonts w:hint="eastAsia" w:ascii="宋体" w:hAnsi="宋体"/>
                <w:bCs/>
                <w:color w:val="000000" w:themeColor="text1"/>
                <w:highlight w:val="none"/>
                <w:lang w:val="zh-CN"/>
                <w14:textFill>
                  <w14:solidFill>
                    <w14:schemeClr w14:val="tx1"/>
                  </w14:solidFill>
                </w14:textFill>
              </w:rPr>
              <w:t>B服务类。</w:t>
            </w:r>
          </w:p>
        </w:tc>
      </w:tr>
      <w:tr w14:paraId="79FB8F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1D9BB486">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11</w:t>
            </w:r>
          </w:p>
        </w:tc>
        <w:tc>
          <w:tcPr>
            <w:tcW w:w="1866" w:type="dxa"/>
            <w:tcBorders>
              <w:top w:val="single" w:color="000000" w:sz="8" w:space="0"/>
              <w:left w:val="single" w:color="000000" w:sz="2" w:space="0"/>
              <w:bottom w:val="single" w:color="000000" w:sz="8" w:space="0"/>
              <w:right w:val="single" w:color="000000" w:sz="8" w:space="0"/>
            </w:tcBorders>
            <w:vAlign w:val="center"/>
          </w:tcPr>
          <w:p w14:paraId="162A7F36">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采购标的所属行业</w:t>
            </w:r>
          </w:p>
        </w:tc>
        <w:tc>
          <w:tcPr>
            <w:tcW w:w="6547" w:type="dxa"/>
            <w:tcBorders>
              <w:top w:val="single" w:color="000000" w:sz="8" w:space="0"/>
              <w:left w:val="single" w:color="000000" w:sz="2" w:space="0"/>
              <w:bottom w:val="single" w:color="000000" w:sz="8" w:space="0"/>
              <w:right w:val="single" w:color="000000" w:sz="8" w:space="0"/>
            </w:tcBorders>
            <w:vAlign w:val="center"/>
          </w:tcPr>
          <w:p w14:paraId="51866608">
            <w:pPr>
              <w:snapToGrid w:val="0"/>
              <w:spacing w:line="288" w:lineRule="auto"/>
              <w:jc w:val="left"/>
              <w:rPr>
                <w:rFonts w:ascii="宋体" w:hAnsi="宋体"/>
                <w:bCs/>
                <w:color w:val="000000" w:themeColor="text1"/>
                <w:kern w:val="0"/>
                <w:highlight w:val="none"/>
                <w14:textFill>
                  <w14:solidFill>
                    <w14:schemeClr w14:val="tx1"/>
                  </w14:solidFill>
                </w14:textFill>
              </w:rPr>
            </w:pPr>
            <w:r>
              <w:rPr>
                <w:rFonts w:hint="eastAsia" w:ascii="宋体" w:hAnsi="宋体"/>
                <w:bCs/>
                <w:color w:val="000000" w:themeColor="text1"/>
                <w:kern w:val="0"/>
                <w:highlight w:val="none"/>
                <w14:textFill>
                  <w14:solidFill>
                    <w14:schemeClr w14:val="tx1"/>
                  </w14:solidFill>
                </w14:textFill>
              </w:rPr>
              <w:t>标的：</w:t>
            </w:r>
            <w:r>
              <w:rPr>
                <w:rFonts w:hint="eastAsia" w:ascii="宋体" w:hAnsi="宋体"/>
                <w:b/>
                <w:color w:val="000000" w:themeColor="text1"/>
                <w:kern w:val="0"/>
                <w:highlight w:val="none"/>
                <w:u w:val="single"/>
                <w14:textFill>
                  <w14:solidFill>
                    <w14:schemeClr w14:val="tx1"/>
                  </w14:solidFill>
                </w14:textFill>
              </w:rPr>
              <w:t xml:space="preserve"> 招标代理和造价咨询服务 </w:t>
            </w:r>
            <w:r>
              <w:rPr>
                <w:rFonts w:hint="eastAsia" w:ascii="宋体" w:hAnsi="宋体"/>
                <w:bCs/>
                <w:color w:val="000000" w:themeColor="text1"/>
                <w:kern w:val="0"/>
                <w:highlight w:val="none"/>
                <w14:textFill>
                  <w14:solidFill>
                    <w14:schemeClr w14:val="tx1"/>
                  </w14:solidFill>
                </w14:textFill>
              </w:rPr>
              <w:t>，属于</w:t>
            </w:r>
            <w:r>
              <w:rPr>
                <w:rFonts w:hint="eastAsia" w:ascii="宋体" w:hAnsi="宋体"/>
                <w:b/>
                <w:color w:val="000000" w:themeColor="text1"/>
                <w:kern w:val="0"/>
                <w:highlight w:val="none"/>
                <w:u w:val="single"/>
                <w14:textFill>
                  <w14:solidFill>
                    <w14:schemeClr w14:val="tx1"/>
                  </w14:solidFill>
                </w14:textFill>
              </w:rPr>
              <w:t xml:space="preserve"> </w:t>
            </w:r>
            <w:r>
              <w:rPr>
                <w:rFonts w:hint="eastAsia" w:ascii="宋体" w:hAnsi="宋体"/>
                <w:b/>
                <w:color w:val="000000" w:themeColor="text1"/>
                <w:kern w:val="0"/>
                <w:highlight w:val="none"/>
                <w:u w:val="single"/>
                <w:lang w:eastAsia="zh-CN"/>
                <w14:textFill>
                  <w14:solidFill>
                    <w14:schemeClr w14:val="tx1"/>
                  </w14:solidFill>
                </w14:textFill>
              </w:rPr>
              <w:t>租赁和商业服务业</w:t>
            </w:r>
            <w:r>
              <w:rPr>
                <w:rFonts w:hint="eastAsia" w:ascii="宋体" w:hAnsi="宋体"/>
                <w:b/>
                <w:color w:val="000000" w:themeColor="text1"/>
                <w:kern w:val="0"/>
                <w:highlight w:val="none"/>
                <w:u w:val="single"/>
                <w14:textFill>
                  <w14:solidFill>
                    <w14:schemeClr w14:val="tx1"/>
                  </w14:solidFill>
                </w14:textFill>
              </w:rPr>
              <w:t xml:space="preserve"> </w:t>
            </w:r>
            <w:r>
              <w:rPr>
                <w:rFonts w:hint="eastAsia" w:ascii="宋体" w:hAnsi="宋体"/>
                <w:bCs/>
                <w:color w:val="000000" w:themeColor="text1"/>
                <w:kern w:val="0"/>
                <w:highlight w:val="none"/>
                <w14:textFill>
                  <w14:solidFill>
                    <w14:schemeClr w14:val="tx1"/>
                  </w14:solidFill>
                </w14:textFill>
              </w:rPr>
              <w:t>行业；</w:t>
            </w:r>
          </w:p>
        </w:tc>
      </w:tr>
      <w:tr w14:paraId="42932A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62A1E101">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12</w:t>
            </w:r>
          </w:p>
        </w:tc>
        <w:tc>
          <w:tcPr>
            <w:tcW w:w="1866" w:type="dxa"/>
            <w:tcBorders>
              <w:top w:val="single" w:color="000000" w:sz="8" w:space="0"/>
              <w:left w:val="single" w:color="000000" w:sz="2" w:space="0"/>
              <w:bottom w:val="single" w:color="000000" w:sz="8" w:space="0"/>
              <w:right w:val="single" w:color="000000" w:sz="8" w:space="0"/>
            </w:tcBorders>
            <w:vAlign w:val="center"/>
          </w:tcPr>
          <w:p w14:paraId="7454873C">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节能产品、环境标志产品</w:t>
            </w:r>
          </w:p>
        </w:tc>
        <w:tc>
          <w:tcPr>
            <w:tcW w:w="6547" w:type="dxa"/>
            <w:tcBorders>
              <w:top w:val="single" w:color="000000" w:sz="8" w:space="0"/>
              <w:left w:val="single" w:color="000000" w:sz="2" w:space="0"/>
              <w:bottom w:val="single" w:color="000000" w:sz="8" w:space="0"/>
              <w:right w:val="single" w:color="000000" w:sz="8" w:space="0"/>
            </w:tcBorders>
            <w:vAlign w:val="center"/>
          </w:tcPr>
          <w:p w14:paraId="65E8AE71">
            <w:pPr>
              <w:pStyle w:val="12"/>
              <w:spacing w:line="288" w:lineRule="auto"/>
              <w:ind w:firstLine="0"/>
              <w:jc w:val="left"/>
              <w:rPr>
                <w:rFonts w:hAnsi="宋体" w:cs="宋体"/>
                <w:bCs/>
                <w:color w:val="000000" w:themeColor="text1"/>
                <w:sz w:val="24"/>
                <w:szCs w:val="24"/>
                <w:highlight w:val="none"/>
                <w14:textFill>
                  <w14:solidFill>
                    <w14:schemeClr w14:val="tx1"/>
                  </w14:solidFill>
                </w14:textFill>
              </w:rPr>
            </w:pPr>
            <w:r>
              <w:rPr>
                <w:rFonts w:hint="eastAsia" w:hAnsi="宋体" w:cs="宋体"/>
                <w:bCs/>
                <w:snapToGrid w:val="0"/>
                <w:color w:val="000000" w:themeColor="text1"/>
                <w:spacing w:val="0"/>
                <w:sz w:val="24"/>
                <w:szCs w:val="24"/>
                <w:highlight w:val="none"/>
                <w14:textFill>
                  <w14:solidFill>
                    <w14:schemeClr w14:val="tx1"/>
                  </w14:solidFill>
                </w14:textFill>
              </w:rPr>
              <w:t>按《节能产品政府采购品目清单》财库〔2019〕19号执行；政府采购节能产品、环境标志产品实施品目清单管理：投标产品符合财库〔2019〕9号《关于调整优化节能产品、环境标志产品政府采购执行机制的通知》条件。</w:t>
            </w:r>
          </w:p>
        </w:tc>
      </w:tr>
      <w:tr w14:paraId="4E9896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left w:val="single" w:color="000000" w:sz="8" w:space="0"/>
              <w:right w:val="single" w:color="000000" w:sz="2" w:space="0"/>
            </w:tcBorders>
            <w:vAlign w:val="center"/>
          </w:tcPr>
          <w:p w14:paraId="3EB7C3D6">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13</w:t>
            </w:r>
          </w:p>
        </w:tc>
        <w:tc>
          <w:tcPr>
            <w:tcW w:w="1866" w:type="dxa"/>
            <w:tcBorders>
              <w:left w:val="single" w:color="000000" w:sz="2" w:space="0"/>
              <w:right w:val="single" w:color="000000" w:sz="8" w:space="0"/>
            </w:tcBorders>
            <w:vAlign w:val="center"/>
          </w:tcPr>
          <w:p w14:paraId="07F7F73D">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评标结果公告及入围通知书</w:t>
            </w:r>
          </w:p>
        </w:tc>
        <w:tc>
          <w:tcPr>
            <w:tcW w:w="6547" w:type="dxa"/>
            <w:tcBorders>
              <w:top w:val="single" w:color="000000" w:sz="8" w:space="0"/>
              <w:left w:val="single" w:color="000000" w:sz="2" w:space="0"/>
              <w:bottom w:val="single" w:color="000000" w:sz="8" w:space="0"/>
              <w:right w:val="single" w:color="000000" w:sz="8" w:space="0"/>
            </w:tcBorders>
            <w:vAlign w:val="center"/>
          </w:tcPr>
          <w:p w14:paraId="3B71FF21">
            <w:pPr>
              <w:autoSpaceDE w:val="0"/>
              <w:autoSpaceDN w:val="0"/>
              <w:snapToGrid w:val="0"/>
              <w:spacing w:line="288" w:lineRule="auto"/>
              <w:jc w:val="left"/>
              <w:textAlignment w:val="bottom"/>
              <w:rPr>
                <w:rFonts w:ascii="宋体" w:hAnsi="宋体"/>
                <w:bCs/>
                <w:snapToGrid w:val="0"/>
                <w:color w:val="000000" w:themeColor="text1"/>
                <w:kern w:val="28"/>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评标结束后2个工作日内，评标结果公告于浙江政府采购网(http://www.zjzfcg.gov.cn/new/)。</w:t>
            </w:r>
            <w:r>
              <w:rPr>
                <w:rFonts w:hint="eastAsia" w:ascii="宋体" w:hAnsi="宋体"/>
                <w:bCs/>
                <w:color w:val="000000" w:themeColor="text1"/>
                <w:kern w:val="0"/>
                <w:highlight w:val="none"/>
                <w14:textFill>
                  <w14:solidFill>
                    <w14:schemeClr w14:val="tx1"/>
                  </w14:solidFill>
                </w14:textFill>
              </w:rPr>
              <w:t>入围公告期限为1个工作日。在公告入围结果的同时，采购代理机构在政采云系统向入围供应商发出入围通知书。</w:t>
            </w:r>
          </w:p>
        </w:tc>
      </w:tr>
      <w:tr w14:paraId="4BB44F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2211C8F8">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14</w:t>
            </w:r>
          </w:p>
        </w:tc>
        <w:tc>
          <w:tcPr>
            <w:tcW w:w="1866" w:type="dxa"/>
            <w:tcBorders>
              <w:top w:val="single" w:color="000000" w:sz="8" w:space="0"/>
              <w:left w:val="single" w:color="000000" w:sz="2" w:space="0"/>
              <w:bottom w:val="single" w:color="000000" w:sz="8" w:space="0"/>
              <w:right w:val="single" w:color="000000" w:sz="8" w:space="0"/>
            </w:tcBorders>
            <w:vAlign w:val="center"/>
          </w:tcPr>
          <w:p w14:paraId="00ACC5D6">
            <w:pPr>
              <w:autoSpaceDE w:val="0"/>
              <w:autoSpaceDN w:val="0"/>
              <w:snapToGrid w:val="0"/>
              <w:spacing w:line="288" w:lineRule="auto"/>
              <w:jc w:val="center"/>
              <w:textAlignment w:val="bottom"/>
              <w:rPr>
                <w:rFonts w:ascii="宋体" w:hAnsi="宋体"/>
                <w:bCs/>
                <w:color w:val="000000" w:themeColor="text1"/>
                <w:kern w:val="0"/>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履约保证金</w:t>
            </w:r>
          </w:p>
        </w:tc>
        <w:tc>
          <w:tcPr>
            <w:tcW w:w="6547" w:type="dxa"/>
            <w:tcBorders>
              <w:top w:val="single" w:color="000000" w:sz="8" w:space="0"/>
              <w:left w:val="single" w:color="000000" w:sz="2" w:space="0"/>
              <w:bottom w:val="single" w:color="000000" w:sz="8" w:space="0"/>
              <w:right w:val="single" w:color="000000" w:sz="8" w:space="0"/>
            </w:tcBorders>
            <w:vAlign w:val="center"/>
          </w:tcPr>
          <w:p w14:paraId="4D523AE6">
            <w:pPr>
              <w:autoSpaceDE w:val="0"/>
              <w:autoSpaceDN w:val="0"/>
              <w:snapToGrid w:val="0"/>
              <w:spacing w:line="288" w:lineRule="auto"/>
              <w:jc w:val="left"/>
              <w:textAlignment w:val="bottom"/>
              <w:rPr>
                <w:rFonts w:ascii="宋体" w:hAnsi="宋体"/>
                <w:bCs/>
                <w:color w:val="000000" w:themeColor="text1"/>
                <w:kern w:val="0"/>
                <w:highlight w:val="none"/>
                <w14:textFill>
                  <w14:solidFill>
                    <w14:schemeClr w14:val="tx1"/>
                  </w14:solidFill>
                </w14:textFill>
              </w:rPr>
            </w:pPr>
            <w:r>
              <w:rPr>
                <w:rFonts w:hint="eastAsia" w:ascii="宋体" w:hAnsi="宋体"/>
                <w:bCs/>
                <w:color w:val="000000" w:themeColor="text1"/>
                <w:kern w:val="0"/>
                <w:highlight w:val="none"/>
                <w14:textFill>
                  <w14:solidFill>
                    <w14:schemeClr w14:val="tx1"/>
                  </w14:solidFill>
                </w14:textFill>
              </w:rPr>
              <w:t>无。</w:t>
            </w:r>
          </w:p>
        </w:tc>
      </w:tr>
      <w:tr w14:paraId="0899A6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19AE9DE4">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15</w:t>
            </w:r>
          </w:p>
        </w:tc>
        <w:tc>
          <w:tcPr>
            <w:tcW w:w="1866" w:type="dxa"/>
            <w:tcBorders>
              <w:top w:val="single" w:color="000000" w:sz="8" w:space="0"/>
              <w:left w:val="single" w:color="000000" w:sz="2" w:space="0"/>
              <w:bottom w:val="single" w:color="000000" w:sz="8" w:space="0"/>
              <w:right w:val="single" w:color="000000" w:sz="8" w:space="0"/>
            </w:tcBorders>
            <w:vAlign w:val="center"/>
          </w:tcPr>
          <w:p w14:paraId="5BB16689">
            <w:pPr>
              <w:snapToGrid w:val="0"/>
              <w:spacing w:line="288" w:lineRule="auto"/>
              <w:jc w:val="center"/>
              <w:rPr>
                <w:rFonts w:ascii="宋体" w:hAnsi="宋体"/>
                <w:bCs/>
                <w:strike/>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签订合同时间</w:t>
            </w:r>
          </w:p>
        </w:tc>
        <w:tc>
          <w:tcPr>
            <w:tcW w:w="6547" w:type="dxa"/>
            <w:tcBorders>
              <w:top w:val="single" w:color="000000" w:sz="8" w:space="0"/>
              <w:left w:val="single" w:color="000000" w:sz="2" w:space="0"/>
              <w:bottom w:val="single" w:color="000000" w:sz="8" w:space="0"/>
              <w:right w:val="single" w:color="000000" w:sz="8" w:space="0"/>
            </w:tcBorders>
            <w:vAlign w:val="center"/>
          </w:tcPr>
          <w:p w14:paraId="12E16732">
            <w:pPr>
              <w:autoSpaceDE w:val="0"/>
              <w:autoSpaceDN w:val="0"/>
              <w:snapToGrid w:val="0"/>
              <w:spacing w:line="288" w:lineRule="auto"/>
              <w:jc w:val="left"/>
              <w:textAlignment w:val="bottom"/>
              <w:rPr>
                <w:rFonts w:ascii="宋体" w:hAnsi="宋体"/>
                <w:bCs/>
                <w:strike/>
                <w:color w:val="000000" w:themeColor="text1"/>
                <w:kern w:val="28"/>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入围通知书发出后30日内。</w:t>
            </w:r>
            <w:r>
              <w:rPr>
                <w:rFonts w:hint="eastAsia" w:ascii="宋体" w:hAnsi="宋体"/>
                <w:bCs/>
                <w:color w:val="000000" w:themeColor="text1"/>
                <w:kern w:val="0"/>
                <w:highlight w:val="none"/>
                <w14:textFill>
                  <w14:solidFill>
                    <w14:schemeClr w14:val="tx1"/>
                  </w14:solidFill>
                </w14:textFill>
              </w:rPr>
              <w:t>建议征集人在对采购结果质疑期（自采购结果公告之日起七个工作日）后与入围供应商签订政府采购框架协议。</w:t>
            </w:r>
          </w:p>
        </w:tc>
      </w:tr>
      <w:tr w14:paraId="037B5A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431C48D2">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16</w:t>
            </w:r>
          </w:p>
        </w:tc>
        <w:tc>
          <w:tcPr>
            <w:tcW w:w="1866" w:type="dxa"/>
            <w:tcBorders>
              <w:top w:val="single" w:color="000000" w:sz="8" w:space="0"/>
              <w:left w:val="single" w:color="000000" w:sz="2" w:space="0"/>
              <w:bottom w:val="single" w:color="000000" w:sz="8" w:space="0"/>
              <w:right w:val="single" w:color="000000" w:sz="8" w:space="0"/>
            </w:tcBorders>
            <w:vAlign w:val="center"/>
          </w:tcPr>
          <w:p w14:paraId="2C091E8D">
            <w:pPr>
              <w:snapToGrid w:val="0"/>
              <w:spacing w:line="288" w:lineRule="auto"/>
              <w:jc w:val="center"/>
              <w:rPr>
                <w:rFonts w:ascii="宋体" w:hAnsi="宋体"/>
                <w:bCs/>
                <w:strike/>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合同公告</w:t>
            </w:r>
          </w:p>
        </w:tc>
        <w:tc>
          <w:tcPr>
            <w:tcW w:w="6547" w:type="dxa"/>
            <w:tcBorders>
              <w:top w:val="single" w:color="000000" w:sz="8" w:space="0"/>
              <w:left w:val="single" w:color="000000" w:sz="2" w:space="0"/>
              <w:bottom w:val="single" w:color="000000" w:sz="8" w:space="0"/>
              <w:right w:val="single" w:color="000000" w:sz="8" w:space="0"/>
            </w:tcBorders>
            <w:vAlign w:val="center"/>
          </w:tcPr>
          <w:p w14:paraId="46751E60">
            <w:pPr>
              <w:autoSpaceDE w:val="0"/>
              <w:autoSpaceDN w:val="0"/>
              <w:snapToGrid w:val="0"/>
              <w:spacing w:line="288" w:lineRule="auto"/>
              <w:jc w:val="left"/>
              <w:textAlignment w:val="bottom"/>
              <w:rPr>
                <w:rFonts w:ascii="宋体" w:hAnsi="宋体"/>
                <w:bCs/>
                <w:strike/>
                <w:color w:val="000000" w:themeColor="text1"/>
                <w:kern w:val="28"/>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本项目政府采购合同将于签订之日起2个工作日内发布于浙江政府采购网，但政府采购合同中涉及国家秘密、商业秘密的内容除外。</w:t>
            </w:r>
          </w:p>
        </w:tc>
      </w:tr>
      <w:tr w14:paraId="43DA49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126F8464">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17</w:t>
            </w:r>
          </w:p>
        </w:tc>
        <w:tc>
          <w:tcPr>
            <w:tcW w:w="1866" w:type="dxa"/>
            <w:tcBorders>
              <w:top w:val="single" w:color="000000" w:sz="8" w:space="0"/>
              <w:left w:val="single" w:color="000000" w:sz="2" w:space="0"/>
              <w:bottom w:val="single" w:color="000000" w:sz="8" w:space="0"/>
              <w:right w:val="single" w:color="000000" w:sz="8" w:space="0"/>
            </w:tcBorders>
            <w:vAlign w:val="center"/>
          </w:tcPr>
          <w:p w14:paraId="4A754142">
            <w:pPr>
              <w:snapToGrid w:val="0"/>
              <w:spacing w:line="288" w:lineRule="auto"/>
              <w:jc w:val="center"/>
              <w:rPr>
                <w:rFonts w:ascii="宋体" w:hAnsi="宋体"/>
                <w:bCs/>
                <w:strike/>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本项目预算金额</w:t>
            </w:r>
          </w:p>
        </w:tc>
        <w:tc>
          <w:tcPr>
            <w:tcW w:w="6547" w:type="dxa"/>
            <w:tcBorders>
              <w:top w:val="single" w:color="000000" w:sz="8" w:space="0"/>
              <w:left w:val="single" w:color="000000" w:sz="2" w:space="0"/>
              <w:bottom w:val="single" w:color="000000" w:sz="8" w:space="0"/>
              <w:right w:val="single" w:color="000000" w:sz="8" w:space="0"/>
            </w:tcBorders>
            <w:vAlign w:val="center"/>
          </w:tcPr>
          <w:p w14:paraId="2C4F9848">
            <w:pPr>
              <w:spacing w:line="288" w:lineRule="auto"/>
              <w:jc w:val="left"/>
              <w:rPr>
                <w:rFonts w:ascii="宋体" w:hAnsi="宋体"/>
                <w:bCs/>
                <w:strike/>
                <w:color w:val="000000" w:themeColor="text1"/>
                <w:kern w:val="28"/>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无。</w:t>
            </w:r>
          </w:p>
        </w:tc>
      </w:tr>
      <w:tr w14:paraId="16999B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41003241">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18</w:t>
            </w:r>
          </w:p>
        </w:tc>
        <w:tc>
          <w:tcPr>
            <w:tcW w:w="1866" w:type="dxa"/>
            <w:tcBorders>
              <w:top w:val="single" w:color="000000" w:sz="8" w:space="0"/>
              <w:left w:val="single" w:color="000000" w:sz="2" w:space="0"/>
              <w:bottom w:val="single" w:color="000000" w:sz="8" w:space="0"/>
              <w:right w:val="single" w:color="000000" w:sz="8" w:space="0"/>
            </w:tcBorders>
            <w:vAlign w:val="center"/>
          </w:tcPr>
          <w:p w14:paraId="64965595">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代理服务费</w:t>
            </w:r>
          </w:p>
        </w:tc>
        <w:tc>
          <w:tcPr>
            <w:tcW w:w="6547" w:type="dxa"/>
            <w:tcBorders>
              <w:top w:val="single" w:color="000000" w:sz="8" w:space="0"/>
              <w:left w:val="single" w:color="000000" w:sz="2" w:space="0"/>
              <w:bottom w:val="single" w:color="000000" w:sz="8" w:space="0"/>
              <w:right w:val="single" w:color="000000" w:sz="8" w:space="0"/>
            </w:tcBorders>
            <w:vAlign w:val="center"/>
          </w:tcPr>
          <w:p w14:paraId="1540405D">
            <w:pPr>
              <w:autoSpaceDE w:val="0"/>
              <w:autoSpaceDN w:val="0"/>
              <w:snapToGrid w:val="0"/>
              <w:spacing w:line="288" w:lineRule="auto"/>
              <w:jc w:val="left"/>
              <w:textAlignment w:val="bottom"/>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本次代理服务费由采购人支付给</w:t>
            </w:r>
            <w:r>
              <w:rPr>
                <w:rFonts w:hint="eastAsia" w:ascii="宋体" w:hAnsi="宋体"/>
                <w:bCs/>
                <w:color w:val="000000" w:themeColor="text1"/>
                <w:highlight w:val="none"/>
                <w:lang w:val="en-US" w:eastAsia="zh-CN"/>
                <w14:textFill>
                  <w14:solidFill>
                    <w14:schemeClr w14:val="tx1"/>
                  </w14:solidFill>
                </w14:textFill>
              </w:rPr>
              <w:t>采购</w:t>
            </w:r>
            <w:r>
              <w:rPr>
                <w:rFonts w:hint="eastAsia" w:ascii="宋体" w:hAnsi="宋体"/>
                <w:bCs/>
                <w:color w:val="000000" w:themeColor="text1"/>
                <w:highlight w:val="none"/>
                <w14:textFill>
                  <w14:solidFill>
                    <w14:schemeClr w14:val="tx1"/>
                  </w14:solidFill>
                </w14:textFill>
              </w:rPr>
              <w:t>代理单位。</w:t>
            </w:r>
          </w:p>
        </w:tc>
      </w:tr>
      <w:tr w14:paraId="797232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090DB565">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19</w:t>
            </w:r>
          </w:p>
        </w:tc>
        <w:tc>
          <w:tcPr>
            <w:tcW w:w="1866" w:type="dxa"/>
            <w:tcBorders>
              <w:top w:val="single" w:color="000000" w:sz="8" w:space="0"/>
              <w:left w:val="single" w:color="000000" w:sz="2" w:space="0"/>
              <w:bottom w:val="single" w:color="000000" w:sz="8" w:space="0"/>
              <w:right w:val="single" w:color="000000" w:sz="8" w:space="0"/>
            </w:tcBorders>
            <w:vAlign w:val="center"/>
          </w:tcPr>
          <w:p w14:paraId="20BE0C87">
            <w:pPr>
              <w:autoSpaceDE w:val="0"/>
              <w:autoSpaceDN w:val="0"/>
              <w:snapToGrid w:val="0"/>
              <w:spacing w:line="288" w:lineRule="auto"/>
              <w:jc w:val="center"/>
              <w:textAlignment w:val="bottom"/>
              <w:rPr>
                <w:rFonts w:ascii="宋体" w:hAnsi="宋体"/>
                <w:bCs/>
                <w:strike/>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付款条件</w:t>
            </w:r>
          </w:p>
        </w:tc>
        <w:tc>
          <w:tcPr>
            <w:tcW w:w="6547" w:type="dxa"/>
            <w:tcBorders>
              <w:top w:val="single" w:color="000000" w:sz="8" w:space="0"/>
              <w:left w:val="single" w:color="000000" w:sz="2" w:space="0"/>
              <w:bottom w:val="single" w:color="000000" w:sz="8" w:space="0"/>
              <w:right w:val="single" w:color="000000" w:sz="8" w:space="0"/>
            </w:tcBorders>
            <w:vAlign w:val="center"/>
          </w:tcPr>
          <w:p w14:paraId="199CAB4F">
            <w:pPr>
              <w:autoSpaceDE w:val="0"/>
              <w:autoSpaceDN w:val="0"/>
              <w:snapToGrid w:val="0"/>
              <w:spacing w:line="288" w:lineRule="auto"/>
              <w:jc w:val="left"/>
              <w:textAlignment w:val="bottom"/>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1.招标代理服务费、工程量清单及预算、招标控制价等经三方审核服务费、竣工结算审核基本费、全过程跟踪评审费由具体项目委托单位支付；</w:t>
            </w:r>
          </w:p>
          <w:p w14:paraId="0D56B679">
            <w:pPr>
              <w:autoSpaceDE w:val="0"/>
              <w:autoSpaceDN w:val="0"/>
              <w:snapToGrid w:val="0"/>
              <w:spacing w:line="288" w:lineRule="auto"/>
              <w:jc w:val="left"/>
              <w:textAlignment w:val="bottom"/>
              <w:rPr>
                <w:rFonts w:hint="eastAsia"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2.</w:t>
            </w:r>
            <w:r>
              <w:rPr>
                <w:rFonts w:hint="eastAsia" w:ascii="宋体" w:hAnsi="宋体"/>
                <w:bCs/>
                <w:color w:val="000000" w:themeColor="text1"/>
                <w:highlight w:val="none"/>
                <w:lang w:eastAsia="zh-CN"/>
                <w14:textFill>
                  <w14:solidFill>
                    <w14:schemeClr w14:val="tx1"/>
                  </w14:solidFill>
                </w14:textFill>
              </w:rPr>
              <w:t>造价结算审计项目的核减（增）追加费由施工单位承担</w:t>
            </w:r>
            <w:r>
              <w:rPr>
                <w:rFonts w:hint="eastAsia" w:ascii="宋体" w:hAnsi="宋体"/>
                <w:bCs/>
                <w:color w:val="000000" w:themeColor="text1"/>
                <w:highlight w:val="none"/>
                <w14:textFill>
                  <w14:solidFill>
                    <w14:schemeClr w14:val="tx1"/>
                  </w14:solidFill>
                </w14:textFill>
              </w:rPr>
              <w:t>。</w:t>
            </w:r>
          </w:p>
          <w:p w14:paraId="503B26D8">
            <w:pPr>
              <w:pStyle w:val="2"/>
              <w:rPr>
                <w:rFonts w:hint="eastAsia"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3.单个具体代理项目完成，备案资料提交后一次性支付代理费，代理费具体金额在单项代理合同中明确。</w:t>
            </w:r>
          </w:p>
          <w:p w14:paraId="3DA5172F">
            <w:pPr>
              <w:pStyle w:val="2"/>
              <w:rPr>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4.工程造价文件审核服务、工程造价结算审计服务提供完整造价咨询成果文件并经委托方确认后一次性支付完成。跟踪审计服务视委托项目情况在单个项目委托合同时另行约定。</w:t>
            </w:r>
          </w:p>
        </w:tc>
      </w:tr>
      <w:tr w14:paraId="1FB7A0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1765BE24">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20</w:t>
            </w:r>
          </w:p>
        </w:tc>
        <w:tc>
          <w:tcPr>
            <w:tcW w:w="1866" w:type="dxa"/>
            <w:tcBorders>
              <w:top w:val="single" w:color="000000" w:sz="8" w:space="0"/>
              <w:left w:val="single" w:color="000000" w:sz="2" w:space="0"/>
              <w:bottom w:val="single" w:color="000000" w:sz="8" w:space="0"/>
              <w:right w:val="single" w:color="000000" w:sz="8" w:space="0"/>
            </w:tcBorders>
            <w:vAlign w:val="center"/>
          </w:tcPr>
          <w:p w14:paraId="4E6129B0">
            <w:pPr>
              <w:snapToGrid w:val="0"/>
              <w:spacing w:line="288" w:lineRule="auto"/>
              <w:jc w:val="center"/>
              <w:rPr>
                <w:rFonts w:ascii="宋体" w:hAnsi="宋体"/>
                <w:bCs/>
                <w:strike/>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响应文件有效期</w:t>
            </w:r>
          </w:p>
        </w:tc>
        <w:tc>
          <w:tcPr>
            <w:tcW w:w="6547" w:type="dxa"/>
            <w:tcBorders>
              <w:top w:val="single" w:color="000000" w:sz="8" w:space="0"/>
              <w:left w:val="single" w:color="000000" w:sz="2" w:space="0"/>
              <w:bottom w:val="single" w:color="000000" w:sz="8" w:space="0"/>
              <w:right w:val="single" w:color="000000" w:sz="8" w:space="0"/>
            </w:tcBorders>
            <w:vAlign w:val="center"/>
          </w:tcPr>
          <w:p w14:paraId="35650C18">
            <w:pPr>
              <w:autoSpaceDE w:val="0"/>
              <w:autoSpaceDN w:val="0"/>
              <w:snapToGrid w:val="0"/>
              <w:spacing w:line="288" w:lineRule="auto"/>
              <w:jc w:val="left"/>
              <w:textAlignment w:val="bottom"/>
              <w:rPr>
                <w:rFonts w:ascii="宋体" w:hAnsi="宋体"/>
                <w:bCs/>
                <w:strike/>
                <w:color w:val="000000" w:themeColor="text1"/>
                <w:kern w:val="28"/>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90天</w:t>
            </w:r>
          </w:p>
        </w:tc>
      </w:tr>
      <w:tr w14:paraId="11D6F0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397" w:hRule="atLeast"/>
          <w:tblHeader/>
          <w:jc w:val="center"/>
        </w:trPr>
        <w:tc>
          <w:tcPr>
            <w:tcW w:w="771" w:type="dxa"/>
            <w:tcBorders>
              <w:top w:val="single" w:color="auto" w:sz="4" w:space="0"/>
              <w:left w:val="single" w:color="000000" w:sz="8" w:space="0"/>
              <w:bottom w:val="single" w:color="auto" w:sz="4" w:space="0"/>
              <w:right w:val="single" w:color="000000" w:sz="2" w:space="0"/>
            </w:tcBorders>
            <w:vAlign w:val="center"/>
          </w:tcPr>
          <w:p w14:paraId="54319A7C">
            <w:pPr>
              <w:snapToGrid w:val="0"/>
              <w:spacing w:line="288" w:lineRule="auto"/>
              <w:jc w:val="center"/>
              <w:rPr>
                <w:rFonts w:ascii="宋体" w:hAnsi="宋体"/>
                <w:bCs/>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21</w:t>
            </w:r>
          </w:p>
        </w:tc>
        <w:tc>
          <w:tcPr>
            <w:tcW w:w="1866" w:type="dxa"/>
            <w:tcBorders>
              <w:top w:val="single" w:color="000000" w:sz="8" w:space="0"/>
              <w:left w:val="single" w:color="000000" w:sz="2" w:space="0"/>
              <w:bottom w:val="single" w:color="000000" w:sz="8" w:space="0"/>
              <w:right w:val="single" w:color="000000" w:sz="8" w:space="0"/>
            </w:tcBorders>
            <w:vAlign w:val="center"/>
          </w:tcPr>
          <w:p w14:paraId="41E6906C">
            <w:pPr>
              <w:snapToGrid w:val="0"/>
              <w:spacing w:line="288" w:lineRule="auto"/>
              <w:jc w:val="center"/>
              <w:rPr>
                <w:rFonts w:ascii="宋体" w:hAnsi="宋体"/>
                <w:bCs/>
                <w:strike/>
                <w:color w:val="000000" w:themeColor="text1"/>
                <w:highlight w:val="none"/>
                <w14:textFill>
                  <w14:solidFill>
                    <w14:schemeClr w14:val="tx1"/>
                  </w14:solidFill>
                </w14:textFill>
              </w:rPr>
            </w:pPr>
            <w:r>
              <w:rPr>
                <w:rFonts w:hint="eastAsia" w:ascii="宋体" w:hAnsi="宋体"/>
                <w:bCs/>
                <w:color w:val="000000" w:themeColor="text1"/>
                <w:highlight w:val="none"/>
                <w14:textFill>
                  <w14:solidFill>
                    <w14:schemeClr w14:val="tx1"/>
                  </w14:solidFill>
                </w14:textFill>
              </w:rPr>
              <w:t>特别说明</w:t>
            </w:r>
          </w:p>
        </w:tc>
        <w:tc>
          <w:tcPr>
            <w:tcW w:w="6547" w:type="dxa"/>
            <w:tcBorders>
              <w:top w:val="single" w:color="000000" w:sz="8" w:space="0"/>
              <w:left w:val="single" w:color="000000" w:sz="2" w:space="0"/>
              <w:bottom w:val="single" w:color="000000" w:sz="8" w:space="0"/>
              <w:right w:val="single" w:color="000000" w:sz="8" w:space="0"/>
            </w:tcBorders>
            <w:vAlign w:val="center"/>
          </w:tcPr>
          <w:p w14:paraId="6B6FB578">
            <w:pPr>
              <w:autoSpaceDE w:val="0"/>
              <w:autoSpaceDN w:val="0"/>
              <w:snapToGrid w:val="0"/>
              <w:spacing w:line="288" w:lineRule="auto"/>
              <w:jc w:val="left"/>
              <w:textAlignment w:val="bottom"/>
              <w:rPr>
                <w:rFonts w:ascii="宋体" w:hAnsi="宋体"/>
                <w:bCs/>
                <w:strike/>
                <w:color w:val="000000" w:themeColor="text1"/>
                <w:kern w:val="28"/>
                <w:highlight w:val="none"/>
                <w14:textFill>
                  <w14:solidFill>
                    <w14:schemeClr w14:val="tx1"/>
                  </w14:solidFill>
                </w14:textFill>
              </w:rPr>
            </w:pPr>
            <w:r>
              <w:rPr>
                <w:rFonts w:hint="eastAsia" w:ascii="宋体" w:hAnsi="宋体"/>
                <w:bCs/>
                <w:snapToGrid w:val="0"/>
                <w:color w:val="000000" w:themeColor="text1"/>
                <w:kern w:val="0"/>
                <w:highlight w:val="none"/>
                <w14:textFill>
                  <w14:solidFill>
                    <w14:schemeClr w14:val="tx1"/>
                  </w14:solidFill>
                </w14:textFill>
              </w:rPr>
              <w:t>本征集文件的解释权属于征集人。</w:t>
            </w:r>
          </w:p>
        </w:tc>
      </w:tr>
    </w:tbl>
    <w:p w14:paraId="1B754CF5">
      <w:pPr>
        <w:pStyle w:val="23"/>
        <w:spacing w:beforeAutospacing="0" w:afterAutospacing="0" w:line="360" w:lineRule="auto"/>
        <w:ind w:firstLine="480"/>
        <w:jc w:val="center"/>
        <w:rPr>
          <w:rFonts w:asciiTheme="majorEastAsia" w:hAnsiTheme="majorEastAsia" w:eastAsiaTheme="majorEastAsia" w:cstheme="majorEastAsia"/>
          <w:b/>
          <w:color w:val="000000" w:themeColor="text1"/>
          <w:sz w:val="32"/>
          <w:szCs w:val="32"/>
          <w:highlight w:val="none"/>
          <w:shd w:val="clear" w:color="auto" w:fill="FFFFFF"/>
          <w14:textFill>
            <w14:solidFill>
              <w14:schemeClr w14:val="tx1"/>
            </w14:solidFill>
          </w14:textFill>
        </w:rPr>
      </w:pPr>
    </w:p>
    <w:p w14:paraId="288E394D">
      <w:pPr>
        <w:pStyle w:val="4"/>
        <w:jc w:val="center"/>
        <w:rPr>
          <w:rFonts w:asciiTheme="majorEastAsia" w:hAnsiTheme="majorEastAsia" w:eastAsiaTheme="majorEastAsia" w:cstheme="majorEastAsia"/>
          <w:color w:val="000000" w:themeColor="text1"/>
          <w:sz w:val="28"/>
          <w:szCs w:val="36"/>
          <w:highlight w:val="none"/>
          <w14:textFill>
            <w14:solidFill>
              <w14:schemeClr w14:val="tx1"/>
            </w14:solidFill>
          </w14:textFill>
        </w:rPr>
      </w:pPr>
      <w:bookmarkStart w:id="43" w:name="_Toc439666965"/>
      <w:bookmarkStart w:id="44" w:name="_Toc384730989"/>
      <w:bookmarkStart w:id="45" w:name="_Toc380429945"/>
      <w:r>
        <w:rPr>
          <w:rFonts w:hint="eastAsia" w:asciiTheme="majorEastAsia" w:hAnsiTheme="majorEastAsia" w:eastAsiaTheme="majorEastAsia" w:cstheme="majorEastAsia"/>
          <w:color w:val="000000" w:themeColor="text1"/>
          <w:sz w:val="28"/>
          <w:szCs w:val="36"/>
          <w:highlight w:val="none"/>
          <w14:textFill>
            <w14:solidFill>
              <w14:schemeClr w14:val="tx1"/>
            </w14:solidFill>
          </w14:textFill>
        </w:rPr>
        <w:t>一、总 则</w:t>
      </w:r>
    </w:p>
    <w:p w14:paraId="6CE6AB80">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bookmarkStart w:id="46" w:name="_Toc397670919"/>
      <w:bookmarkStart w:id="47" w:name="_Toc397670948"/>
      <w:r>
        <w:rPr>
          <w:rFonts w:hint="eastAsia" w:asciiTheme="majorEastAsia" w:hAnsiTheme="majorEastAsia" w:eastAsiaTheme="majorEastAsia" w:cstheme="majorEastAsia"/>
          <w:b/>
          <w:color w:val="000000" w:themeColor="text1"/>
          <w:highlight w:val="none"/>
          <w14:textFill>
            <w14:solidFill>
              <w14:schemeClr w14:val="tx1"/>
            </w14:solidFill>
          </w14:textFill>
        </w:rPr>
        <w:t>（一）适用范围</w:t>
      </w:r>
    </w:p>
    <w:p w14:paraId="0AADF7D0">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本征集文件适用于该项目的征集、响应、评标、定标、考核、合同履约、付款等行为（法律、法规另有规定的，从其规定）。</w:t>
      </w:r>
    </w:p>
    <w:p w14:paraId="30ADD364">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（二）定义</w:t>
      </w:r>
    </w:p>
    <w:p w14:paraId="1F9EEF9F">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1.“征集人”系指征集公告中载明的本项目的采购单位。</w:t>
      </w:r>
    </w:p>
    <w:p w14:paraId="599826CA">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2.“采购代理机构”系指</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采购</w:t>
      </w:r>
      <w:r>
        <w:rPr>
          <w:rFonts w:hint="eastAsia" w:asciiTheme="majorEastAsia" w:hAnsiTheme="majorEastAsia" w:eastAsiaTheme="majorEastAsia" w:cstheme="majorEastAsia"/>
          <w:color w:val="000000" w:themeColor="text1"/>
          <w:highlight w:val="none"/>
          <w14:textFill>
            <w14:solidFill>
              <w14:schemeClr w14:val="tx1"/>
            </w14:solidFill>
          </w14:textFill>
        </w:rPr>
        <w:t>公告中载明的本项目的采购代理机构。</w:t>
      </w:r>
    </w:p>
    <w:p w14:paraId="0C9CABEA">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3.“供应商”系指向征集人提交响应文件的法人、其他组织或者自然人。</w:t>
      </w:r>
    </w:p>
    <w:p w14:paraId="24F25ECC">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4.“负责人”系指法人企业的法定负责人，或其他组织为法律、行政法规规定代表单位行使职权的主要负责人，或自然人本人。</w:t>
      </w:r>
    </w:p>
    <w:p w14:paraId="5AA7B4A9">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5.“产品”系指供应商按征集文件规定，须向征集人提供的一切设备、保险、税金、备品备件、工具、手册及其他有关技术资料和材料。</w:t>
      </w:r>
    </w:p>
    <w:p w14:paraId="02F0C752">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6.“服务”系指征集文件规定供应商须承担的安装、调试、技术协助、校准、培训、技术指导以及其他类似的义务。</w:t>
      </w:r>
    </w:p>
    <w:p w14:paraId="218D944C">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7.“项目”系指供应商按征集文件规定向征集人提供的产品和服务。</w:t>
      </w:r>
    </w:p>
    <w:p w14:paraId="6D7805F1">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8.“书面形式”包括信函、传真、电报等。</w:t>
      </w:r>
    </w:p>
    <w:p w14:paraId="25B4B227">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9.“电子签名”系指数据电文中以电子形式所含、所附用于识别签名人身份并表明签名人认可其中内容的数据；“公章”系指单位法定名称章。</w:t>
      </w:r>
    </w:p>
    <w:p w14:paraId="584EEBC5">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10.“电子交易平台”是指本项目政府采购活动所依托的政府采购云平台（https://www.zcygov.cn/）。</w:t>
      </w:r>
    </w:p>
    <w:p w14:paraId="008D568C">
      <w:pPr>
        <w:snapToGrid w:val="0"/>
        <w:spacing w:line="360" w:lineRule="auto"/>
        <w:ind w:firstLine="482" w:firstLineChars="200"/>
        <w:jc w:val="left"/>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11.“▲”系指实质性要求条款，不满足实行性要求条款的响应文件无效。“★”系指产品采购项目中核心产品。“</w:t>
      </w:r>
      <w:r>
        <w:rPr>
          <w:rFonts w:hint="eastAsia" w:asciiTheme="majorEastAsia" w:hAnsiTheme="majorEastAsia" w:eastAsiaTheme="majorEastAsia" w:cstheme="majorEastAsia"/>
          <w:b/>
          <w:bCs/>
          <w:color w:val="000000" w:themeColor="text1"/>
          <w:kern w:val="0"/>
          <w:sz w:val="21"/>
          <w:szCs w:val="21"/>
          <w:highlight w:val="none"/>
          <w14:textFill>
            <w14:solidFill>
              <w14:schemeClr w14:val="tx1"/>
            </w14:solidFill>
          </w14:textFill>
        </w:rPr>
        <w:sym w:font="Wingdings" w:char="00FE"/>
      </w:r>
      <w:r>
        <w:rPr>
          <w:rFonts w:hint="eastAsia" w:asciiTheme="majorEastAsia" w:hAnsiTheme="majorEastAsia" w:eastAsiaTheme="majorEastAsia" w:cstheme="majorEastAsia"/>
          <w:b/>
          <w:bCs/>
          <w:color w:val="000000" w:themeColor="text1"/>
          <w:highlight w:val="none"/>
          <w14:textFill>
            <w14:solidFill>
              <w14:schemeClr w14:val="tx1"/>
            </w14:solidFill>
          </w14:textFill>
        </w:rPr>
        <w:t>”系指适用本项目的要求，“</w:t>
      </w:r>
      <w:r>
        <w:rPr>
          <w:rFonts w:hint="eastAsia" w:asciiTheme="majorEastAsia" w:hAnsiTheme="majorEastAsia" w:eastAsiaTheme="majorEastAsia" w:cstheme="majorEastAsia"/>
          <w:b/>
          <w:bCs/>
          <w:color w:val="000000" w:themeColor="text1"/>
          <w:highlight w:val="none"/>
          <w14:textFill>
            <w14:solidFill>
              <w14:schemeClr w14:val="tx1"/>
            </w14:solidFill>
          </w14:textFill>
        </w:rPr>
        <w:sym w:font="Wingdings" w:char="00A8"/>
      </w:r>
      <w:r>
        <w:rPr>
          <w:rFonts w:hint="eastAsia" w:asciiTheme="majorEastAsia" w:hAnsiTheme="majorEastAsia" w:eastAsiaTheme="majorEastAsia" w:cstheme="majorEastAsia"/>
          <w:b/>
          <w:bCs/>
          <w:color w:val="000000" w:themeColor="text1"/>
          <w:highlight w:val="none"/>
          <w14:textFill>
            <w14:solidFill>
              <w14:schemeClr w14:val="tx1"/>
            </w14:solidFill>
          </w14:textFill>
        </w:rPr>
        <w:t>”系指不适用本项目的要求。</w:t>
      </w:r>
    </w:p>
    <w:bookmarkEnd w:id="46"/>
    <w:bookmarkEnd w:id="47"/>
    <w:p w14:paraId="64C4EFF4">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bookmarkStart w:id="48" w:name="_Toc397670920"/>
      <w:bookmarkStart w:id="49" w:name="_Toc397670949"/>
      <w:r>
        <w:rPr>
          <w:rFonts w:hint="eastAsia" w:asciiTheme="majorEastAsia" w:hAnsiTheme="majorEastAsia" w:eastAsiaTheme="majorEastAsia" w:cstheme="majorEastAsia"/>
          <w:b/>
          <w:color w:val="000000" w:themeColor="text1"/>
          <w:highlight w:val="none"/>
          <w14:textFill>
            <w14:solidFill>
              <w14:schemeClr w14:val="tx1"/>
            </w14:solidFill>
          </w14:textFill>
        </w:rPr>
        <w:t>（三）采购方式</w:t>
      </w:r>
    </w:p>
    <w:p w14:paraId="44C29966">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采用框架协议方式进行。</w:t>
      </w:r>
    </w:p>
    <w:bookmarkEnd w:id="48"/>
    <w:bookmarkEnd w:id="49"/>
    <w:p w14:paraId="3EA6C5D7">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bookmarkStart w:id="50" w:name="_Toc397670950"/>
      <w:bookmarkStart w:id="51" w:name="_Toc397670921"/>
      <w:r>
        <w:rPr>
          <w:rFonts w:hint="eastAsia" w:asciiTheme="majorEastAsia" w:hAnsiTheme="majorEastAsia" w:eastAsiaTheme="majorEastAsia" w:cstheme="majorEastAsia"/>
          <w:b/>
          <w:color w:val="000000" w:themeColor="text1"/>
          <w:highlight w:val="none"/>
          <w14:textFill>
            <w14:solidFill>
              <w14:schemeClr w14:val="tx1"/>
            </w14:solidFill>
          </w14:textFill>
        </w:rPr>
        <w:t>（四）响应费用</w:t>
      </w:r>
      <w:bookmarkEnd w:id="50"/>
      <w:bookmarkEnd w:id="51"/>
    </w:p>
    <w:p w14:paraId="228EA6C2">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不论响应结果如何，供应商均应自行承担所有与响应有关的全部费用（征集文件有相反规定除外）。</w:t>
      </w:r>
    </w:p>
    <w:p w14:paraId="7B952D10">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（五）相关政府采购政策</w:t>
      </w:r>
    </w:p>
    <w:p w14:paraId="227B7D92">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本项目原则上采购本国生产的货物、工程和服务，不允许采购进口产品。除非征集人采购进口产品，已经在采购活动开始前向财政部门提出申请并获得财政部门审核同意，且在采购需求中明确规定可以采购进口产品（但如果因信息不对称等原因，仍有满足需求的国内产品要求参与采购竞争的，征集人、采购代理机构不会对其加以限制，仍将按照公平竞争原则实施采购）。</w:t>
      </w:r>
    </w:p>
    <w:p w14:paraId="0AD2F211">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2.支持绿色发展</w:t>
      </w:r>
    </w:p>
    <w:p w14:paraId="54EC4A9C">
      <w:pPr>
        <w:snapToGrid w:val="0"/>
        <w:spacing w:line="360" w:lineRule="auto"/>
        <w:ind w:firstLine="480" w:firstLineChars="200"/>
        <w:jc w:val="left"/>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2.1征集人拟采购的产品属于品目清单范围的，征集人及其委托的采购代理机构将依据国家确定的认证机构出具的、处于有效期之内的节能产品、环境标志产品认证证书，对获得证书的产品实施政府优先采购或强制采购。供应商须按征集文件要求提供相关产品认证证书。▲</w:t>
      </w:r>
      <w:r>
        <w:rPr>
          <w:rFonts w:hint="eastAsia" w:asciiTheme="majorEastAsia" w:hAnsiTheme="majorEastAsia" w:eastAsiaTheme="majorEastAsia" w:cstheme="majorEastAsia"/>
          <w:b/>
          <w:color w:val="000000" w:themeColor="text1"/>
          <w:highlight w:val="none"/>
          <w14:textFill>
            <w14:solidFill>
              <w14:schemeClr w14:val="tx1"/>
            </w14:solidFill>
          </w14:textFill>
        </w:rPr>
        <w:t>征集人拟采购的产品属于政府强制采购的节能产品品目清单范围的，供应商未按征集文件要求提供国家确定的认证机构出具的、处于有效期之内的节能产品认证证书的，响应无效。</w:t>
      </w:r>
    </w:p>
    <w:p w14:paraId="49480990">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2.2修缮、装修类项目采购建材的，征集人应将绿色建筑和绿色建材性能、指标等作为实质性条件纳入征集文件和合同。</w:t>
      </w:r>
    </w:p>
    <w:p w14:paraId="7B596A41">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42748CA">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3.支持中小企业发展</w:t>
      </w:r>
    </w:p>
    <w:p w14:paraId="362BEA3B">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4CA2E70">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符合中小企业划分标准的个体工商户，在政府采购活动中视同中小企业。</w:t>
      </w:r>
    </w:p>
    <w:p w14:paraId="222E1B4B">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3.2在政府采购活动中，供应商提供的货物、工程或者服务符合下列情形的，享受中小企业扶持政策：</w:t>
      </w:r>
    </w:p>
    <w:p w14:paraId="7879371D">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3.2.1在货物采购项目中，货物由中小企业制造，即货物由中小企业生产且使用该中小企业商号或者注册商标；</w:t>
      </w:r>
    </w:p>
    <w:p w14:paraId="3095BBE7">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3.2.2在工程采购项目中，工程由中小企业承建，即工程施工单位为中小企业；</w:t>
      </w:r>
    </w:p>
    <w:p w14:paraId="2DA22505">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3.2.3在服务采购项目中，服务由中小企业承接，即提供服务的人员为中小企业依照《中华人民共和国劳动合同法》订立劳动合同的从业人员。</w:t>
      </w:r>
    </w:p>
    <w:p w14:paraId="7E40852C">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在货物采购项目中，供应商提供的货物既有中小企业制造货物，也有大型企业制造货物的，不享受中小企业扶持政策。</w:t>
      </w:r>
    </w:p>
    <w:p w14:paraId="1C5DD6E6">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4B2D671F">
      <w:pPr>
        <w:snapToGrid w:val="0"/>
        <w:spacing w:line="360" w:lineRule="auto"/>
        <w:ind w:firstLine="480" w:firstLineChars="200"/>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3.3符合《关于促进残疾人就业政府采购政策的通知》（财库〔2017〕141号）规定的条件并提供《残疾人福利性单位声明函》（附件1）的残疾人福利性单位视同小型、微型企业；</w:t>
      </w:r>
    </w:p>
    <w:p w14:paraId="744AD94D">
      <w:pPr>
        <w:snapToGrid w:val="0"/>
        <w:spacing w:line="360" w:lineRule="auto"/>
        <w:ind w:firstLine="480" w:firstLineChars="200"/>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3.4符合《关于政府采购支持监狱企业发展有关问题的通知》（财库[2014]68号）规定的监狱企业并提供由省级以上监狱管理局、戒毒管理局（含新疆生产建设兵团）出具的属于监狱企业证明文件的，视同为小型、微型企业。</w:t>
      </w:r>
    </w:p>
    <w:p w14:paraId="6EDF5E51">
      <w:pPr>
        <w:snapToGrid w:val="0"/>
        <w:spacing w:line="360" w:lineRule="auto"/>
        <w:ind w:firstLine="480" w:firstLineChars="200"/>
        <w:jc w:val="left"/>
        <w:rPr>
          <w:rFonts w:ascii="仿宋_GB2312" w:hAnsi="仿宋" w:eastAsia="仿宋_GB2312"/>
          <w:b/>
          <w:bCs/>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3.5可享受中小企业扶持政策的投标供应商应按照征集文件格式要求提供《中小企业声明函》，投标供应商提供的《中小企业声明函》与实际情况不符的，不享受中小企业扶持政策。</w:t>
      </w:r>
      <w:r>
        <w:rPr>
          <w:rFonts w:hint="eastAsia" w:ascii="仿宋_GB2312" w:hAnsi="仿宋" w:eastAsia="仿宋_GB2312"/>
          <w:b/>
          <w:bCs/>
          <w:color w:val="000000" w:themeColor="text1"/>
          <w:highlight w:val="none"/>
          <w14:textFill>
            <w14:solidFill>
              <w14:schemeClr w14:val="tx1"/>
            </w14:solidFill>
          </w14:textFill>
        </w:rPr>
        <w:t>声明内容不实的，属于提供虚假材料谋取中标、成交的，依法承担法律责任。</w:t>
      </w:r>
    </w:p>
    <w:p w14:paraId="7C7659C7">
      <w:pPr>
        <w:snapToGrid w:val="0"/>
        <w:spacing w:line="360" w:lineRule="auto"/>
        <w:ind w:firstLine="480" w:firstLineChars="200"/>
        <w:jc w:val="left"/>
        <w:rPr>
          <w:rFonts w:ascii="宋体" w:hAnsi="宋体"/>
          <w:b/>
          <w:strike/>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3.6中小企业享受扶持政策获得政府采购合同的，小微企业不得将合同分包给大中型企业，中型企业不得将合同分包给大型企业。</w:t>
      </w:r>
    </w:p>
    <w:p w14:paraId="38ECA7F0">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（六）特别说明：</w:t>
      </w:r>
    </w:p>
    <w:p w14:paraId="039613B8">
      <w:pPr>
        <w:pStyle w:val="14"/>
        <w:snapToGrid w:val="0"/>
        <w:spacing w:beforeLines="0" w:afterLines="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1.供应商响应所使用的资格、信誉、荣誉、业绩与企业认证必须为本法人所拥有。供应商响应所使用的采购项目实施人员必须为本法人员工（或必须为本法人或控股供应商正式员工）。</w:t>
      </w:r>
    </w:p>
    <w:p w14:paraId="349718B7">
      <w:pPr>
        <w:pStyle w:val="14"/>
        <w:snapToGrid w:val="0"/>
        <w:spacing w:beforeLines="0" w:afterLines="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2.供应商应仔细阅读征集文件的所有内容，按照征集文件的要求提交响应文件，并对所提供的全部资料的真实性承担法律责任。</w:t>
      </w:r>
    </w:p>
    <w:p w14:paraId="151EF33A">
      <w:pPr>
        <w:pStyle w:val="14"/>
        <w:snapToGrid w:val="0"/>
        <w:spacing w:beforeLines="0" w:afterLines="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供应商在征集活动中提供任何虚假材料，其响应无效，并报监管部门查处；入围后发现的，入围供应商须依照《中华人民共和国消费者权益保护法》第49条之规定双倍赔偿征集人，且民事赔偿并不免除违法供应商的行政与刑事责任。</w:t>
      </w:r>
    </w:p>
    <w:p w14:paraId="71CAF21B">
      <w:pPr>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（七）质疑和投诉</w:t>
      </w:r>
    </w:p>
    <w:p w14:paraId="507BCCB0">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52" w:name="_Toc406402987"/>
      <w:bookmarkStart w:id="53" w:name="_Toc532218224"/>
      <w:bookmarkStart w:id="54" w:name="_Toc406402943"/>
      <w:r>
        <w:rPr>
          <w:rFonts w:hint="eastAsia" w:asciiTheme="majorEastAsia" w:hAnsiTheme="majorEastAsia" w:eastAsiaTheme="majorEastAsia" w:cstheme="majorEastAsia"/>
          <w:color w:val="000000" w:themeColor="text1"/>
          <w:highlight w:val="none"/>
          <w14:textFill>
            <w14:solidFill>
              <w14:schemeClr w14:val="tx1"/>
            </w14:solidFill>
          </w14:textFill>
        </w:rPr>
        <w:t>1.质疑和投诉应当满足《政府采购质疑和投诉办法》（中华人民共和国财政部令第94号）要求。</w:t>
      </w:r>
    </w:p>
    <w:p w14:paraId="6C3AC5EC">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采购文件质疑：供应商可在获取采购文件之日或者采购文件公告期限届满之日（公告期限届满后获取采购文件的，以公告期限届满之日为准）起7个工作日内发起；采购过程质疑：投标（响应）供应商可在投标（响应）截止时间后，采购结果公告发布时间起7个工作日内发起；采购结果质疑：投标（响应）供应商可在采购结果公告期限届满之日起7个工作日内发起。</w:t>
      </w:r>
    </w:p>
    <w:p w14:paraId="3AA28784">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3.供应商须在法定质疑期内一次性提出针对同一采购程序环节的质疑。</w:t>
      </w:r>
    </w:p>
    <w:p w14:paraId="24BCD80E">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供应商须按上述规定，在政采云系统里提出质疑。询问路径为：政采云-项目采购-询问质疑投诉-询问列表；质疑路径为：政采云-项目采购-询问质疑投诉-质疑列表。质疑供应商对在线质疑答复不满意的，可在线提起投诉，路径为：浙江政府服务网-政府采购投诉处理-在线办理。</w:t>
      </w:r>
    </w:p>
    <w:p w14:paraId="278E189B">
      <w:pPr>
        <w:pStyle w:val="14"/>
        <w:snapToGrid w:val="0"/>
        <w:spacing w:before="120" w:after="120" w:line="360" w:lineRule="auto"/>
        <w:ind w:firstLine="551" w:firstLineChars="196"/>
        <w:jc w:val="center"/>
        <w:outlineLvl w:val="1"/>
        <w:rPr>
          <w:rFonts w:asciiTheme="majorEastAsia" w:hAnsiTheme="majorEastAsia" w:eastAsiaTheme="majorEastAsia" w:cstheme="majorEastAsia"/>
          <w:b/>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8"/>
          <w:szCs w:val="28"/>
          <w:highlight w:val="none"/>
          <w14:textFill>
            <w14:solidFill>
              <w14:schemeClr w14:val="tx1"/>
            </w14:solidFill>
          </w14:textFill>
        </w:rPr>
        <w:t>二、</w:t>
      </w:r>
      <w:bookmarkEnd w:id="52"/>
      <w:bookmarkEnd w:id="53"/>
      <w:bookmarkEnd w:id="54"/>
      <w:r>
        <w:rPr>
          <w:rFonts w:hint="eastAsia" w:asciiTheme="majorEastAsia" w:hAnsiTheme="majorEastAsia" w:eastAsiaTheme="majorEastAsia" w:cstheme="majorEastAsia"/>
          <w:b/>
          <w:color w:val="000000" w:themeColor="text1"/>
          <w:sz w:val="28"/>
          <w:szCs w:val="28"/>
          <w:highlight w:val="none"/>
          <w14:textFill>
            <w14:solidFill>
              <w14:schemeClr w14:val="tx1"/>
            </w14:solidFill>
          </w14:textFill>
        </w:rPr>
        <w:t>征集文件</w:t>
      </w:r>
    </w:p>
    <w:p w14:paraId="468BEEB6">
      <w:pPr>
        <w:snapToGrid w:val="0"/>
        <w:spacing w:line="360" w:lineRule="auto"/>
        <w:ind w:firstLine="472" w:firstLineChars="196"/>
        <w:jc w:val="left"/>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（一）征集文件的构成。</w:t>
      </w:r>
    </w:p>
    <w:p w14:paraId="2971D427">
      <w:pPr>
        <w:snapToGrid w:val="0"/>
        <w:spacing w:line="360" w:lineRule="auto"/>
        <w:ind w:firstLine="472" w:firstLineChars="196"/>
        <w:jc w:val="left"/>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本征集文件由以下部分组成：</w:t>
      </w:r>
    </w:p>
    <w:p w14:paraId="4C828508">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1.框架协议采购公告</w:t>
      </w:r>
    </w:p>
    <w:p w14:paraId="201CE942">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2.框架协议采购需求</w:t>
      </w:r>
    </w:p>
    <w:p w14:paraId="17341240">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3.供应商须知</w:t>
      </w:r>
    </w:p>
    <w:p w14:paraId="272F447C">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4.评标办法及标准</w:t>
      </w:r>
    </w:p>
    <w:p w14:paraId="23EAAD23">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5.合同主要条款</w:t>
      </w:r>
    </w:p>
    <w:p w14:paraId="2922319E">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6.响应文件格式</w:t>
      </w:r>
    </w:p>
    <w:p w14:paraId="09A5F60A">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7.本项目征集文件的澄清、答复、修改、补充的内容</w:t>
      </w:r>
    </w:p>
    <w:p w14:paraId="1662158C">
      <w:pPr>
        <w:snapToGrid w:val="0"/>
        <w:spacing w:line="360" w:lineRule="auto"/>
        <w:ind w:firstLine="472" w:firstLineChars="196"/>
        <w:jc w:val="left"/>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（二）供应商的风险</w:t>
      </w:r>
    </w:p>
    <w:p w14:paraId="142AD352">
      <w:pPr>
        <w:pStyle w:val="22"/>
        <w:spacing w:line="360" w:lineRule="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供应商没有按照征集文件要求提供全部资料，或者供应商没有对征集文件在各方面做出实质性响应是供应商的风险，并可能导致其响应为无效响应。</w:t>
      </w:r>
    </w:p>
    <w:p w14:paraId="046D2BE7">
      <w:pPr>
        <w:pStyle w:val="31"/>
        <w:snapToGrid w:val="0"/>
        <w:spacing w:before="0"/>
        <w:ind w:firstLine="48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（三）征集文件的澄清与修改</w:t>
      </w:r>
    </w:p>
    <w:p w14:paraId="3439F893">
      <w:pPr>
        <w:pStyle w:val="31"/>
        <w:snapToGrid w:val="0"/>
        <w:spacing w:before="0"/>
        <w:ind w:firstLine="48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供应商应认真阅读本征集文件，发现其中有误或有不合理要求的，可要求征集人澄清。征集人对已发出的征集文件进行必要澄清或者修改的，应当在征集文件要求提交响应文件截止十五日前，在财政部门指定的政府采购信息发布媒体上发布更正公告，并以书面形式通知所有征集文件获取人。</w:t>
      </w:r>
    </w:p>
    <w:p w14:paraId="426DF48B">
      <w:pPr>
        <w:pStyle w:val="14"/>
        <w:snapToGrid w:val="0"/>
        <w:spacing w:before="120" w:after="12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2.征集文件澄清或者修改的内容为征集文件的组成部分。当征集文件与澄清或者修改就同一内容的表述不一致时，以最后发出的书面文件为准。</w:t>
      </w:r>
    </w:p>
    <w:p w14:paraId="585CEF17">
      <w:pPr>
        <w:pStyle w:val="14"/>
        <w:snapToGrid w:val="0"/>
        <w:spacing w:before="120" w:after="12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3.对征集文件的澄清、答复、修改或补充都应该通过采购代理机构以法定形式发布，征集人非通过本机构，不得擅自澄清、答复、修改或补充征集文件。</w:t>
      </w:r>
    </w:p>
    <w:p w14:paraId="41DC18C5">
      <w:pPr>
        <w:pStyle w:val="14"/>
        <w:snapToGrid w:val="0"/>
        <w:spacing w:before="120" w:after="120" w:line="360" w:lineRule="auto"/>
        <w:ind w:firstLine="551" w:firstLineChars="196"/>
        <w:jc w:val="center"/>
        <w:outlineLvl w:val="1"/>
        <w:rPr>
          <w:rFonts w:asciiTheme="majorEastAsia" w:hAnsiTheme="majorEastAsia" w:eastAsiaTheme="majorEastAsia" w:cstheme="majorEastAsia"/>
          <w:b/>
          <w:bCs/>
          <w:color w:val="000000" w:themeColor="text1"/>
          <w:kern w:val="2"/>
          <w:sz w:val="28"/>
          <w:szCs w:val="28"/>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2"/>
          <w:sz w:val="28"/>
          <w:szCs w:val="28"/>
          <w:highlight w:val="none"/>
          <w14:textFill>
            <w14:solidFill>
              <w14:schemeClr w14:val="tx1"/>
            </w14:solidFill>
          </w14:textFill>
        </w:rPr>
        <w:t>三、响应文件的编制</w:t>
      </w:r>
    </w:p>
    <w:p w14:paraId="5F2425D2">
      <w:pPr>
        <w:pStyle w:val="14"/>
        <w:snapToGrid w:val="0"/>
        <w:spacing w:beforeLines="0" w:afterLines="0"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bookmarkStart w:id="55" w:name="_Toc14074"/>
      <w:bookmarkStart w:id="56" w:name="_Toc21392"/>
      <w:bookmarkStart w:id="57" w:name="_Toc532218225"/>
      <w:bookmarkStart w:id="58" w:name="_Toc406402988"/>
      <w:bookmarkStart w:id="59" w:name="_Toc406402944"/>
      <w:r>
        <w:rPr>
          <w:rFonts w:hint="eastAsia" w:asciiTheme="majorEastAsia" w:hAnsiTheme="majorEastAsia" w:eastAsiaTheme="majorEastAsia" w:cstheme="majorEastAsia"/>
          <w:b/>
          <w:color w:val="000000" w:themeColor="text1"/>
          <w:highlight w:val="none"/>
          <w14:textFill>
            <w14:solidFill>
              <w14:schemeClr w14:val="tx1"/>
            </w14:solidFill>
          </w14:textFill>
        </w:rPr>
        <w:t>本项目所涉响应文件格式请详见第六章，未给出的格式请</w:t>
      </w:r>
      <w:r>
        <w:rPr>
          <w:rFonts w:hint="eastAsia" w:asciiTheme="majorEastAsia" w:hAnsiTheme="majorEastAsia" w:eastAsiaTheme="majorEastAsia" w:cstheme="majorEastAsia"/>
          <w:b/>
          <w:color w:val="000000" w:themeColor="text1"/>
          <w:highlight w:val="none"/>
          <w:lang w:eastAsia="zh-CN"/>
          <w14:textFill>
            <w14:solidFill>
              <w14:schemeClr w14:val="tx1"/>
            </w14:solidFill>
          </w14:textFill>
        </w:rPr>
        <w:t>投标供应商</w:t>
      </w:r>
      <w:r>
        <w:rPr>
          <w:rFonts w:hint="eastAsia" w:asciiTheme="majorEastAsia" w:hAnsiTheme="majorEastAsia" w:eastAsiaTheme="majorEastAsia" w:cstheme="majorEastAsia"/>
          <w:b/>
          <w:color w:val="000000" w:themeColor="text1"/>
          <w:highlight w:val="none"/>
          <w14:textFill>
            <w14:solidFill>
              <w14:schemeClr w14:val="tx1"/>
            </w14:solidFill>
          </w14:textFill>
        </w:rPr>
        <w:t>自拟。</w:t>
      </w:r>
    </w:p>
    <w:p w14:paraId="6F2B10F8">
      <w:pPr>
        <w:pStyle w:val="14"/>
        <w:snapToGrid w:val="0"/>
        <w:spacing w:beforeLines="0" w:afterLines="0"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注：电子响应文件按政采云平台供应商电子招投标操作指南及本征集文件规定的格式和顺序编制电子响应文件并进行关联定。建议根据征集文件合格供应商的资格要求、响应文件的编制及评分标准等内容一一关联。</w:t>
      </w:r>
    </w:p>
    <w:p w14:paraId="4F2D7028">
      <w:pPr>
        <w:pStyle w:val="14"/>
        <w:snapToGrid w:val="0"/>
        <w:spacing w:beforeLines="0" w:afterLines="0"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路径：浙江省“项目采购电子交易系统/不见面开评标”学习专题-操作指南-供应商</w:t>
      </w:r>
    </w:p>
    <w:p w14:paraId="01874727">
      <w:pPr>
        <w:pStyle w:val="14"/>
        <w:snapToGrid w:val="0"/>
        <w:spacing w:beforeLines="0" w:afterLines="0"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网址：</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help.zcygov.cn/web/site_2/2018/12-28/2573.html%EF%BC%89%E5%8F%8A%E6%9C%AC%E6%8B%9B%E6%A0%87%E6%96%87%E4%BB%B6%E8%A7%84%E5%AE%9A%E7%9A%84%E6%A0%BC%E5%BC%8F%E5%92%8C%E9%A1%BA%E5%BA%8F%E7%BC%96%E5%88%B6%E7%94%B5%E5%AD%90%E6%8A%95%E6%A0%87%E6%96%87%E4%BB%B6%E5%B9%B6%E8%BF%9B%E8%A1%8C%E5%85%B3%E8%81%94%E5%AE%9A" \t "_blank" </w:instrText>
      </w:r>
      <w:r>
        <w:rPr>
          <w:color w:val="000000" w:themeColor="text1"/>
          <w:highlight w:val="none"/>
          <w14:textFill>
            <w14:solidFill>
              <w14:schemeClr w14:val="tx1"/>
            </w14:solidFill>
          </w14:textFill>
        </w:rPr>
        <w:fldChar w:fldCharType="separate"/>
      </w:r>
      <w:r>
        <w:rPr>
          <w:rFonts w:hint="eastAsia" w:asciiTheme="majorEastAsia" w:hAnsiTheme="majorEastAsia" w:eastAsiaTheme="majorEastAsia" w:cstheme="majorEastAsia"/>
          <w:b/>
          <w:color w:val="000000" w:themeColor="text1"/>
          <w:highlight w:val="none"/>
          <w14:textFill>
            <w14:solidFill>
              <w14:schemeClr w14:val="tx1"/>
            </w14:solidFill>
          </w14:textFill>
        </w:rPr>
        <w:t>https://edu.zcygov.cn/luban/e-biding</w:t>
      </w:r>
      <w:r>
        <w:rPr>
          <w:rFonts w:hint="eastAsia" w:asciiTheme="majorEastAsia" w:hAnsiTheme="majorEastAsia" w:eastAsiaTheme="majorEastAsia" w:cstheme="majorEastAsia"/>
          <w:b/>
          <w:color w:val="000000" w:themeColor="text1"/>
          <w:highlight w:val="none"/>
          <w14:textFill>
            <w14:solidFill>
              <w14:schemeClr w14:val="tx1"/>
            </w14:solidFill>
          </w14:textFill>
        </w:rPr>
        <w:fldChar w:fldCharType="end"/>
      </w:r>
    </w:p>
    <w:p w14:paraId="0FBF46E8">
      <w:pPr>
        <w:pStyle w:val="14"/>
        <w:snapToGrid w:val="0"/>
        <w:spacing w:beforeLines="0" w:afterLines="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总体要求：</w:t>
      </w:r>
    </w:p>
    <w:p w14:paraId="70A889BC">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1.供应商应仔细阅读征集文件的所有内容，按本文件的要求提供响应文件，并保证所提供的全部资料的真实性，以使其响应文件对征集文件作出实质性响应，否则，响应文件可能视为无效响应文件。</w:t>
      </w:r>
    </w:p>
    <w:p w14:paraId="53407170">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2.响应文件及供应商与采购有关的来往通知，函件和文件均应使用中文。</w:t>
      </w:r>
    </w:p>
    <w:p w14:paraId="48E597EC">
      <w:pPr>
        <w:spacing w:line="360" w:lineRule="auto"/>
        <w:ind w:firstLine="480" w:firstLineChars="200"/>
        <w:rPr>
          <w:rFonts w:asciiTheme="majorEastAsia" w:hAnsiTheme="majorEastAsia" w:eastAsiaTheme="majorEastAsia" w:cstheme="majorEastAsia"/>
          <w:b/>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3.供应商应按本文件中提供的文件格式、内容和要求制作响应文件</w:t>
      </w:r>
      <w:r>
        <w:rPr>
          <w:rFonts w:hint="eastAsia" w:asciiTheme="majorEastAsia" w:hAnsiTheme="majorEastAsia" w:eastAsiaTheme="majorEastAsia" w:cstheme="majorEastAsia"/>
          <w:b/>
          <w:color w:val="000000" w:themeColor="text1"/>
          <w:highlight w:val="none"/>
          <w14:textFill>
            <w14:solidFill>
              <w14:schemeClr w14:val="tx1"/>
            </w14:solidFill>
          </w14:textFill>
        </w:rPr>
        <w:t>。</w:t>
      </w:r>
    </w:p>
    <w:p w14:paraId="5A9B949A">
      <w:pPr>
        <w:snapToGrid w:val="0"/>
        <w:spacing w:line="360" w:lineRule="auto"/>
        <w:ind w:firstLine="482" w:firstLineChars="200"/>
        <w:jc w:val="left"/>
        <w:outlineLvl w:val="2"/>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（一）响应文件的组成</w:t>
      </w:r>
      <w:bookmarkEnd w:id="55"/>
      <w:bookmarkEnd w:id="56"/>
    </w:p>
    <w:p w14:paraId="1EF81A7A">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电子响应文件和备份响应文件均由资格文件、商务技术文件、报价文件三部分</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组成</w:t>
      </w:r>
      <w:r>
        <w:rPr>
          <w:rFonts w:hint="eastAsia" w:asciiTheme="majorEastAsia" w:hAnsiTheme="majorEastAsia" w:eastAsiaTheme="majorEastAsia" w:cstheme="majorEastAsia"/>
          <w:color w:val="000000" w:themeColor="text1"/>
          <w:highlight w:val="none"/>
          <w14:textFill>
            <w14:solidFill>
              <w14:schemeClr w14:val="tx1"/>
            </w14:solidFill>
          </w14:textFill>
        </w:rPr>
        <w:t>。响应文件中所须加盖公章部分均采用CA签章。</w:t>
      </w:r>
    </w:p>
    <w:bookmarkEnd w:id="57"/>
    <w:bookmarkEnd w:id="58"/>
    <w:bookmarkEnd w:id="59"/>
    <w:p w14:paraId="6A41080A">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（二）</w:t>
      </w:r>
      <w:r>
        <w:rPr>
          <w:rFonts w:hint="eastAsia" w:asciiTheme="majorEastAsia" w:hAnsiTheme="majorEastAsia" w:eastAsiaTheme="majorEastAsia" w:cstheme="majorEastAsia"/>
          <w:b/>
          <w:bCs/>
          <w:color w:val="000000" w:themeColor="text1"/>
          <w:highlight w:val="none"/>
          <w14:textFill>
            <w14:solidFill>
              <w14:schemeClr w14:val="tx1"/>
            </w14:solidFill>
          </w14:textFill>
        </w:rPr>
        <w:t>响应文件的编制</w:t>
      </w:r>
    </w:p>
    <w:p w14:paraId="6A6A0CDD">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1.各供应商在编制响应文件时请按照征集文件规定的格式进行，混乱的编排导致响应文件被误读或评标委员会查找不到有效文件是供应商的风险。</w:t>
      </w:r>
    </w:p>
    <w:p w14:paraId="51890873">
      <w:pPr>
        <w:snapToGrid w:val="0"/>
        <w:spacing w:line="360" w:lineRule="auto"/>
        <w:ind w:firstLine="480" w:firstLineChars="200"/>
        <w:rPr>
          <w:rFonts w:asciiTheme="majorEastAsia" w:hAnsiTheme="majorEastAsia" w:eastAsiaTheme="majorEastAsia" w:cstheme="majorEastAsia"/>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2.供应商进行电子投标应安装客户端软件—“政采云电子交易客户端”，并按照征集文件和电子交易平台的要求编制并加密响应文件。供应商未按规定加密的响应文件，电子交易平台将拒收并提示。</w:t>
      </w:r>
    </w:p>
    <w:p w14:paraId="11A4F8B7">
      <w:pPr>
        <w:snapToGrid w:val="0"/>
        <w:spacing w:line="360" w:lineRule="auto"/>
        <w:ind w:firstLine="480" w:firstLineChars="200"/>
        <w:rPr>
          <w:rFonts w:asciiTheme="majorEastAsia" w:hAnsiTheme="majorEastAsia" w:eastAsiaTheme="majorEastAsia" w:cstheme="majorEastAsia"/>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3.使用“政采云电子交易客户端”需要提前申领CA数字证书，申领流程请自行前往“浙江政府采购网-下载专区-电子交易客户端-CA驱动和申领流程”进行查阅。</w:t>
      </w:r>
    </w:p>
    <w:p w14:paraId="4B4B881D">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highlight w:val="none"/>
          <w14:textFill>
            <w14:solidFill>
              <w14:schemeClr w14:val="tx1"/>
            </w14:solidFill>
          </w14:textFill>
        </w:rPr>
        <w:t>响应文件按照征集文件要求进行签署、盖章。</w:t>
      </w:r>
    </w:p>
    <w:p w14:paraId="71DC5AC2">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5</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highlight w:val="none"/>
          <w14:textFill>
            <w14:solidFill>
              <w14:schemeClr w14:val="tx1"/>
            </w14:solidFill>
          </w14:textFill>
        </w:rPr>
        <w:t>为确保网上操作合法、有效和安全，供应商应当在响应截止时间前完成在“政府采购云平台”的身份认证，确保在电子投标过程中能够对相关数据电文进行加密和使用电子签名。</w:t>
      </w:r>
    </w:p>
    <w:p w14:paraId="5600C59D">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6</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highlight w:val="none"/>
          <w14:textFill>
            <w14:solidFill>
              <w14:schemeClr w14:val="tx1"/>
            </w14:solidFill>
          </w14:textFill>
        </w:rPr>
        <w:t>征集文件对响应文件签署、盖章的要求适用于电子签名。</w:t>
      </w:r>
    </w:p>
    <w:p w14:paraId="0FA95677">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bookmarkStart w:id="60" w:name="_Toc402963117"/>
      <w:bookmarkStart w:id="61" w:name="_Toc385854146"/>
      <w:bookmarkStart w:id="62" w:name="_Toc406402990"/>
      <w:bookmarkStart w:id="63" w:name="_Toc385854100"/>
      <w:bookmarkStart w:id="64" w:name="_Toc406402946"/>
      <w:bookmarkStart w:id="65" w:name="_Toc402963084"/>
      <w:bookmarkStart w:id="66" w:name="_Toc532218227"/>
      <w:r>
        <w:rPr>
          <w:rFonts w:hint="eastAsia" w:asciiTheme="majorEastAsia" w:hAnsiTheme="majorEastAsia" w:eastAsiaTheme="majorEastAsia" w:cstheme="majorEastAsia"/>
          <w:b/>
          <w:color w:val="000000" w:themeColor="text1"/>
          <w:highlight w:val="none"/>
          <w14:textFill>
            <w14:solidFill>
              <w14:schemeClr w14:val="tx1"/>
            </w14:solidFill>
          </w14:textFill>
        </w:rPr>
        <w:t>（三）响应文件的语言及计量</w:t>
      </w:r>
      <w:bookmarkEnd w:id="60"/>
      <w:bookmarkEnd w:id="61"/>
      <w:bookmarkEnd w:id="62"/>
      <w:bookmarkEnd w:id="63"/>
      <w:bookmarkEnd w:id="64"/>
      <w:bookmarkEnd w:id="65"/>
      <w:bookmarkEnd w:id="66"/>
    </w:p>
    <w:p w14:paraId="4C69A440">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1．响应文件以及采购人与征集人就有关征集事宜的所有来往函电，均应以中文汉语书写。除签名、盖章、专用名称等特殊情形外，以中文汉语以外的文字表述的响应文件视同未提供。</w:t>
      </w:r>
    </w:p>
    <w:p w14:paraId="170AD437">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2．响应计量单位，征集文件已有明确规定的，使用征集文件规定的计量单位；征集文件没有规定的，应采用中华人民共和国法定计量单位（货币单位：人民币元），否则视同未响应。</w:t>
      </w:r>
    </w:p>
    <w:p w14:paraId="45B82F53">
      <w:pPr>
        <w:pStyle w:val="31"/>
        <w:spacing w:before="0"/>
        <w:ind w:firstLine="482"/>
        <w:rPr>
          <w:rFonts w:asciiTheme="majorEastAsia" w:hAnsiTheme="majorEastAsia" w:eastAsiaTheme="majorEastAsia" w:cstheme="majorEastAsia"/>
          <w:b/>
          <w:color w:val="000000" w:themeColor="text1"/>
          <w:szCs w:val="24"/>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（四</w:t>
      </w:r>
      <w:r>
        <w:rPr>
          <w:rFonts w:hint="eastAsia" w:asciiTheme="majorEastAsia" w:hAnsiTheme="majorEastAsia" w:eastAsiaTheme="majorEastAsia" w:cstheme="majorEastAsia"/>
          <w:b/>
          <w:color w:val="000000" w:themeColor="text1"/>
          <w:szCs w:val="24"/>
          <w:highlight w:val="none"/>
          <w14:textFill>
            <w14:solidFill>
              <w14:schemeClr w14:val="tx1"/>
            </w14:solidFill>
          </w14:textFill>
        </w:rPr>
        <w:t>）响应文件的提交、补充、修改、撤回</w:t>
      </w:r>
    </w:p>
    <w:p w14:paraId="0CF6C904">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7C151F2D">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2.电子交易平台收到响应文件，将妥善保存并即时向供应商发出确认回执通知。在响应截止时间前，除供应商补充、修改或者撤回响应文件外，任何单位和个人不得解密或提取响应文件。</w:t>
      </w:r>
    </w:p>
    <w:p w14:paraId="0C44D45F">
      <w:pPr>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3.征集人、采购代理机构可以视情况延长响应文件提交的截止时间。在上述情况下，采购人与供应商以前在响应截止期方面的全部权利、责任和义务，将适用于延长至新的响应截止期。</w:t>
      </w:r>
    </w:p>
    <w:p w14:paraId="4C28F015">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bookmarkStart w:id="67" w:name="_Toc406402991"/>
      <w:bookmarkStart w:id="68" w:name="_Toc402963085"/>
      <w:bookmarkStart w:id="69" w:name="_Toc402963118"/>
      <w:bookmarkStart w:id="70" w:name="_Toc406402947"/>
      <w:bookmarkStart w:id="71" w:name="_Toc532218228"/>
      <w:bookmarkStart w:id="72" w:name="_Toc385854101"/>
      <w:bookmarkStart w:id="73" w:name="_Toc385854147"/>
      <w:r>
        <w:rPr>
          <w:rFonts w:hint="eastAsia" w:asciiTheme="majorEastAsia" w:hAnsiTheme="majorEastAsia" w:eastAsiaTheme="majorEastAsia" w:cstheme="majorEastAsia"/>
          <w:b/>
          <w:color w:val="000000" w:themeColor="text1"/>
          <w:highlight w:val="none"/>
          <w14:textFill>
            <w14:solidFill>
              <w14:schemeClr w14:val="tx1"/>
            </w14:solidFill>
          </w14:textFill>
        </w:rPr>
        <w:t>（五）</w:t>
      </w:r>
      <w:bookmarkEnd w:id="67"/>
      <w:bookmarkEnd w:id="68"/>
      <w:bookmarkEnd w:id="69"/>
      <w:bookmarkEnd w:id="70"/>
      <w:bookmarkEnd w:id="71"/>
      <w:bookmarkEnd w:id="72"/>
      <w:bookmarkEnd w:id="73"/>
      <w:r>
        <w:rPr>
          <w:rFonts w:hint="eastAsia" w:asciiTheme="majorEastAsia" w:hAnsiTheme="majorEastAsia" w:eastAsiaTheme="majorEastAsia" w:cstheme="majorEastAsia"/>
          <w:b/>
          <w:color w:val="000000" w:themeColor="text1"/>
          <w:highlight w:val="none"/>
          <w14:textFill>
            <w14:solidFill>
              <w14:schemeClr w14:val="tx1"/>
            </w14:solidFill>
          </w14:textFill>
        </w:rPr>
        <w:t>响应报价</w:t>
      </w:r>
    </w:p>
    <w:p w14:paraId="20EB6855">
      <w:pPr>
        <w:pStyle w:val="14"/>
        <w:snapToGrid w:val="0"/>
        <w:spacing w:beforeLines="0" w:afterLines="0"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1.响应报价应按征集文件中相关附表格式填写。</w:t>
      </w:r>
    </w:p>
    <w:p w14:paraId="0EA31ECD">
      <w:pPr>
        <w:tabs>
          <w:tab w:val="left" w:pos="525"/>
        </w:tabs>
        <w:snapToGrid w:val="0"/>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2.响应文件只允许有一个报价，有选择的或有条件的报价将不予接受。</w:t>
      </w:r>
    </w:p>
    <w:p w14:paraId="17FE3189">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（六）响应文件的有效期</w:t>
      </w:r>
    </w:p>
    <w:p w14:paraId="04A52B38">
      <w:pPr>
        <w:pStyle w:val="7"/>
        <w:numPr>
          <w:ilvl w:val="0"/>
          <w:numId w:val="0"/>
        </w:numPr>
        <w:tabs>
          <w:tab w:val="left" w:pos="720"/>
        </w:tabs>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1.自响应截止日起</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90</w:t>
      </w:r>
      <w:r>
        <w:rPr>
          <w:rFonts w:hint="eastAsia" w:asciiTheme="majorEastAsia" w:hAnsiTheme="majorEastAsia" w:eastAsiaTheme="majorEastAsia" w:cstheme="majorEastAsia"/>
          <w:color w:val="000000" w:themeColor="text1"/>
          <w:highlight w:val="none"/>
          <w14:textFill>
            <w14:solidFill>
              <w14:schemeClr w14:val="tx1"/>
            </w14:solidFill>
          </w14:textFill>
        </w:rPr>
        <w:t>天响应文件应保持有效。有效期不足的响应文件将被拒绝。</w:t>
      </w:r>
    </w:p>
    <w:p w14:paraId="7FB1CA35">
      <w:pPr>
        <w:pStyle w:val="7"/>
        <w:numPr>
          <w:ilvl w:val="0"/>
          <w:numId w:val="0"/>
        </w:numPr>
        <w:tabs>
          <w:tab w:val="left" w:pos="720"/>
        </w:tabs>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2.在特殊情况下，征集人可与供应商协商延长响应文件的有效期，这种要求和答复均以书面形式进行。</w:t>
      </w:r>
    </w:p>
    <w:p w14:paraId="619FD3C3">
      <w:pPr>
        <w:pStyle w:val="7"/>
        <w:numPr>
          <w:ilvl w:val="0"/>
          <w:numId w:val="0"/>
        </w:numPr>
        <w:tabs>
          <w:tab w:val="left" w:pos="720"/>
        </w:tabs>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bookmarkStart w:id="74" w:name="_Toc402963087"/>
      <w:bookmarkStart w:id="75" w:name="_Toc532218229"/>
      <w:bookmarkStart w:id="76" w:name="_Toc385854149"/>
      <w:bookmarkStart w:id="77" w:name="_Toc406402949"/>
      <w:bookmarkStart w:id="78" w:name="_Toc402963120"/>
      <w:bookmarkStart w:id="79" w:name="_Toc385854103"/>
      <w:bookmarkStart w:id="80" w:name="_Toc406402993"/>
      <w:r>
        <w:rPr>
          <w:rFonts w:hint="eastAsia" w:asciiTheme="majorEastAsia" w:hAnsiTheme="majorEastAsia" w:eastAsiaTheme="majorEastAsia" w:cstheme="majorEastAsia"/>
          <w:color w:val="000000" w:themeColor="text1"/>
          <w:highlight w:val="none"/>
          <w14:textFill>
            <w14:solidFill>
              <w14:schemeClr w14:val="tx1"/>
            </w14:solidFill>
          </w14:textFill>
        </w:rPr>
        <w:t>3.入围供应商的响应文件自开标之日起至合同履行完毕止均应保持有效。</w:t>
      </w:r>
      <w:bookmarkEnd w:id="74"/>
      <w:bookmarkEnd w:id="75"/>
      <w:bookmarkEnd w:id="76"/>
      <w:bookmarkEnd w:id="77"/>
      <w:bookmarkEnd w:id="78"/>
      <w:bookmarkEnd w:id="79"/>
      <w:bookmarkEnd w:id="80"/>
    </w:p>
    <w:p w14:paraId="7FB04875">
      <w:pPr>
        <w:pStyle w:val="31"/>
        <w:spacing w:before="0"/>
        <w:ind w:firstLine="48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4"/>
          <w:highlight w:val="none"/>
          <w14:textFill>
            <w14:solidFill>
              <w14:schemeClr w14:val="tx1"/>
            </w14:solidFill>
          </w14:textFill>
        </w:rPr>
        <w:t>4.在原定响应有效期满之前，如果出现特殊情况，采购人可以以书面形式通知供应商延长响应有效期。供应商同意延长的，不得要求或被允许修改其响应文件，供应商拒绝延长的，其响应无效。</w:t>
      </w:r>
    </w:p>
    <w:p w14:paraId="1FFA1D54">
      <w:pPr>
        <w:snapToGrid w:val="0"/>
        <w:spacing w:line="360" w:lineRule="auto"/>
        <w:ind w:firstLine="482" w:firstLineChars="200"/>
        <w:jc w:val="left"/>
        <w:outlineLvl w:val="2"/>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（七）响应无效的情形</w:t>
      </w:r>
    </w:p>
    <w:p w14:paraId="322305B6">
      <w:pPr>
        <w:snapToGrid w:val="0"/>
        <w:spacing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1.电子响应文件解密失败的，且未在规定时间内提交有效备份响应文件的。</w:t>
      </w:r>
    </w:p>
    <w:p w14:paraId="44963102">
      <w:pPr>
        <w:snapToGrid w:val="0"/>
        <w:spacing w:line="360" w:lineRule="auto"/>
        <w:ind w:firstLine="482"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2.仅提交备份响应文件，没有在电子交易平台传输递交响应文件的。</w:t>
      </w:r>
    </w:p>
    <w:p w14:paraId="2551D847">
      <w:pPr>
        <w:snapToGrid w:val="0"/>
        <w:spacing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3.没有通过资格审查的，响应文件将被视为无效。</w:t>
      </w:r>
    </w:p>
    <w:p w14:paraId="3BE84357">
      <w:pPr>
        <w:snapToGrid w:val="0"/>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4.在符合性审查和商务评审时，如发现下列情形之一的，响应文件将被视为无效：</w:t>
      </w:r>
    </w:p>
    <w:p w14:paraId="2AB37FA8">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w:t>
      </w:r>
      <w:r>
        <w:rPr>
          <w:rFonts w:hint="eastAsia" w:asciiTheme="majorEastAsia" w:hAnsiTheme="majorEastAsia" w:eastAsiaTheme="majorEastAsia" w:cstheme="majorEastAsia"/>
          <w:color w:val="000000" w:themeColor="text1"/>
          <w:highlight w:val="none"/>
          <w14:textFill>
            <w14:solidFill>
              <w14:schemeClr w14:val="tx1"/>
            </w14:solidFill>
          </w14:textFill>
        </w:rPr>
        <w:t>电子响应文件未按规定要求提供电子签章的。</w:t>
      </w:r>
    </w:p>
    <w:p w14:paraId="29432202">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（2）未按要求对资格文件进行承诺，或虚假承诺的。</w:t>
      </w:r>
    </w:p>
    <w:p w14:paraId="1F19D463">
      <w:pPr>
        <w:snapToGrid w:val="0"/>
        <w:spacing w:line="360" w:lineRule="auto"/>
        <w:ind w:firstLine="480" w:firstLineChars="200"/>
        <w:rPr>
          <w:rFonts w:asciiTheme="majorEastAsia" w:hAnsiTheme="majorEastAsia" w:eastAsiaTheme="majorEastAsia" w:cstheme="majorEastAsia"/>
          <w:bCs/>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（3）未</w:t>
      </w:r>
      <w:r>
        <w:rPr>
          <w:rFonts w:hint="eastAsia" w:asciiTheme="majorEastAsia" w:hAnsiTheme="majorEastAsia" w:eastAsiaTheme="majorEastAsia" w:cstheme="majorEastAsia"/>
          <w:bCs/>
          <w:color w:val="000000" w:themeColor="text1"/>
          <w:kern w:val="0"/>
          <w:highlight w:val="none"/>
          <w14:textFill>
            <w14:solidFill>
              <w14:schemeClr w14:val="tx1"/>
            </w14:solidFill>
          </w14:textFill>
        </w:rPr>
        <w:t>提供法定代表人授权委托书、投标函或者填写项目不齐全的。</w:t>
      </w:r>
    </w:p>
    <w:p w14:paraId="1C85B638">
      <w:pPr>
        <w:pStyle w:val="12"/>
        <w:snapToGrid w:val="0"/>
        <w:spacing w:line="360" w:lineRule="auto"/>
        <w:ind w:firstLine="464" w:firstLineChars="200"/>
        <w:rPr>
          <w:rFonts w:asciiTheme="majorEastAsia" w:hAnsiTheme="majorEastAsia" w:eastAsiaTheme="majorEastAsia" w:cstheme="majorEastAsia"/>
          <w:snapToGrid w:val="0"/>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（4）响应文件格式不规范、项目不齐全或者内容虚假的。</w:t>
      </w:r>
    </w:p>
    <w:p w14:paraId="43993108">
      <w:pPr>
        <w:pStyle w:val="12"/>
        <w:snapToGrid w:val="0"/>
        <w:spacing w:line="360" w:lineRule="auto"/>
        <w:ind w:firstLine="464" w:firstLineChars="200"/>
        <w:rPr>
          <w:rFonts w:asciiTheme="majorEastAsia" w:hAnsiTheme="majorEastAsia" w:eastAsiaTheme="majorEastAsia" w:cstheme="majorEastAsia"/>
          <w:snapToGrid w:val="0"/>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w:t>
      </w:r>
      <w:r>
        <w:rPr>
          <w:rFonts w:hint="eastAsia" w:asciiTheme="majorEastAsia" w:hAnsiTheme="majorEastAsia" w:eastAsiaTheme="majorEastAsia" w:cstheme="majorEastAsia"/>
          <w:snapToGrid w:val="0"/>
          <w:color w:val="000000" w:themeColor="text1"/>
          <w:sz w:val="24"/>
          <w:szCs w:val="24"/>
          <w:highlight w:val="none"/>
          <w14:textFill>
            <w14:solidFill>
              <w14:schemeClr w14:val="tx1"/>
            </w14:solidFill>
          </w14:textFill>
        </w:rPr>
        <w:t>5）</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响应文件的实质性内容未使用中文表述、意思表述不明确、前后矛盾或者使用计量单位不符合征集文件要求的（经评标委员会认定并允许其当场更正的笔误除外）。</w:t>
      </w:r>
    </w:p>
    <w:p w14:paraId="0A57FD67">
      <w:pPr>
        <w:pStyle w:val="12"/>
        <w:snapToGrid w:val="0"/>
        <w:spacing w:line="360" w:lineRule="auto"/>
        <w:ind w:firstLine="464" w:firstLineChars="200"/>
        <w:rPr>
          <w:rFonts w:asciiTheme="majorEastAsia" w:hAnsiTheme="majorEastAsia" w:eastAsiaTheme="majorEastAsia" w:cstheme="majorEastAsia"/>
          <w:snapToGrid w:val="0"/>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（6）</w:t>
      </w:r>
      <w:r>
        <w:rPr>
          <w:rFonts w:hint="eastAsia" w:asciiTheme="majorEastAsia" w:hAnsiTheme="majorEastAsia" w:eastAsiaTheme="majorEastAsia" w:cstheme="majorEastAsia"/>
          <w:snapToGrid w:val="0"/>
          <w:color w:val="000000" w:themeColor="text1"/>
          <w:sz w:val="24"/>
          <w:szCs w:val="24"/>
          <w:highlight w:val="none"/>
          <w14:textFill>
            <w14:solidFill>
              <w14:schemeClr w14:val="tx1"/>
            </w14:solidFill>
          </w14:textFill>
        </w:rPr>
        <w:t>响应有效期、服务承诺等商务条款不能满足征集文件要求的。</w:t>
      </w:r>
    </w:p>
    <w:p w14:paraId="406DAA2F">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（7）未实质性响应征集文件要求或者响应文件有征集人不能接受的附加条件的。</w:t>
      </w:r>
    </w:p>
    <w:p w14:paraId="26156CD2">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（8）不符合本征集文件中的实质性要求条款。</w:t>
      </w:r>
    </w:p>
    <w:p w14:paraId="191F630F">
      <w:pPr>
        <w:pStyle w:val="12"/>
        <w:snapToGrid w:val="0"/>
        <w:spacing w:line="360" w:lineRule="auto"/>
        <w:ind w:firstLine="466" w:firstLineChars="200"/>
        <w:rPr>
          <w:rFonts w:asciiTheme="majorEastAsia" w:hAnsiTheme="majorEastAsia" w:eastAsiaTheme="majorEastAsia" w:cstheme="majorEastAsia"/>
          <w:b/>
          <w:bCs/>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4"/>
          <w:szCs w:val="24"/>
          <w:highlight w:val="none"/>
          <w14:textFill>
            <w14:solidFill>
              <w14:schemeClr w14:val="tx1"/>
            </w14:solidFill>
          </w14:textFill>
        </w:rPr>
        <w:t>5.在技术评审时，如发现下列情形之一的，响应文件将被视为无效：</w:t>
      </w:r>
    </w:p>
    <w:p w14:paraId="645BFD98">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（1）未提供或未如实提供货物的技术参数，或者响应文件标明的响应或偏离与事实不符或虚假响应的。</w:t>
      </w:r>
    </w:p>
    <w:p w14:paraId="69586207">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（2）</w:t>
      </w:r>
      <w:r>
        <w:rPr>
          <w:rFonts w:hint="eastAsia" w:asciiTheme="majorEastAsia" w:hAnsiTheme="majorEastAsia" w:eastAsiaTheme="majorEastAsia" w:cstheme="majorEastAsia"/>
          <w:snapToGrid w:val="0"/>
          <w:color w:val="000000" w:themeColor="text1"/>
          <w:sz w:val="24"/>
          <w:szCs w:val="24"/>
          <w:highlight w:val="none"/>
          <w14:textFill>
            <w14:solidFill>
              <w14:schemeClr w14:val="tx1"/>
            </w14:solidFill>
          </w14:textFill>
        </w:rPr>
        <w:t>明显不符合征集文件要求的规格型号、质量标准，或者与</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征集文件入围“▲”的技术指标、主要功能项目发生实质性偏离的。</w:t>
      </w:r>
    </w:p>
    <w:p w14:paraId="68C56DC0">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snapToGrid w:val="0"/>
          <w:color w:val="000000" w:themeColor="text1"/>
          <w:sz w:val="24"/>
          <w:szCs w:val="24"/>
          <w:highlight w:val="none"/>
          <w14:textFill>
            <w14:solidFill>
              <w14:schemeClr w14:val="tx1"/>
            </w14:solidFill>
          </w14:textFill>
        </w:rPr>
        <w:t>（3）</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响应技术方案不明确，存在一个或一个以上备选（替代）响应方案的。</w:t>
      </w:r>
    </w:p>
    <w:p w14:paraId="3276C9B3">
      <w:pPr>
        <w:pStyle w:val="12"/>
        <w:snapToGrid w:val="0"/>
        <w:spacing w:line="360" w:lineRule="auto"/>
        <w:ind w:firstLine="466" w:firstLineChars="200"/>
        <w:rPr>
          <w:rFonts w:asciiTheme="majorEastAsia" w:hAnsiTheme="majorEastAsia" w:eastAsiaTheme="majorEastAsia" w:cstheme="majorEastAsia"/>
          <w:b/>
          <w:bCs/>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4"/>
          <w:szCs w:val="24"/>
          <w:highlight w:val="none"/>
          <w14:textFill>
            <w14:solidFill>
              <w14:schemeClr w14:val="tx1"/>
            </w14:solidFill>
          </w14:textFill>
        </w:rPr>
        <w:t>6.在报价评审时，如发现下列情形之一的，响应文件将被视为无效：</w:t>
      </w:r>
    </w:p>
    <w:p w14:paraId="05A8492F">
      <w:pPr>
        <w:pStyle w:val="12"/>
        <w:snapToGrid w:val="0"/>
        <w:spacing w:line="360" w:lineRule="auto"/>
        <w:ind w:firstLine="466" w:firstLineChars="200"/>
        <w:rPr>
          <w:rFonts w:asciiTheme="majorEastAsia" w:hAnsiTheme="majorEastAsia" w:eastAsiaTheme="majorEastAsia" w:cstheme="majorEastAsia"/>
          <w:b/>
          <w:bCs/>
          <w:snapToGrid w:val="0"/>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bCs/>
          <w:snapToGrid w:val="0"/>
          <w:color w:val="000000" w:themeColor="text1"/>
          <w:sz w:val="24"/>
          <w:szCs w:val="24"/>
          <w:highlight w:val="none"/>
          <w14:textFill>
            <w14:solidFill>
              <w14:schemeClr w14:val="tx1"/>
            </w14:solidFill>
          </w14:textFill>
        </w:rPr>
        <w:t>没有按照要求提供《报价承诺函》。</w:t>
      </w:r>
    </w:p>
    <w:p w14:paraId="5B3EE9CD">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7.</w:t>
      </w:r>
      <w:r>
        <w:rPr>
          <w:rFonts w:hint="eastAsia" w:asciiTheme="majorEastAsia" w:hAnsiTheme="majorEastAsia" w:eastAsiaTheme="majorEastAsia" w:cstheme="majorEastAsia"/>
          <w:b/>
          <w:bCs/>
          <w:color w:val="000000" w:themeColor="text1"/>
          <w:highlight w:val="none"/>
          <w14:textFill>
            <w14:solidFill>
              <w14:schemeClr w14:val="tx1"/>
            </w14:solidFill>
          </w14:textFill>
        </w:rPr>
        <w:t>供应商有恶意串通、妨碍其他供应商的竞争行为、损害征集人或者其他供应商的合法权益情形的，响应文件将被视为无效</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w:t>
      </w:r>
    </w:p>
    <w:p w14:paraId="7BDB3689">
      <w:pPr>
        <w:pStyle w:val="12"/>
        <w:snapToGrid w:val="0"/>
        <w:spacing w:line="360" w:lineRule="auto"/>
        <w:ind w:firstLine="466"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4"/>
          <w:szCs w:val="24"/>
          <w:highlight w:val="none"/>
          <w14:textFill>
            <w14:solidFill>
              <w14:schemeClr w14:val="tx1"/>
            </w14:solidFill>
          </w14:textFill>
        </w:rPr>
        <w:t>8.法律、法规、规章（适用本市的）及省级以上规范性文件（适用本市的）规定的其他无效情形。</w:t>
      </w:r>
    </w:p>
    <w:p w14:paraId="62D8C7E3">
      <w:pPr>
        <w:pStyle w:val="12"/>
        <w:snapToGrid w:val="0"/>
        <w:spacing w:line="360" w:lineRule="auto"/>
        <w:ind w:firstLine="466" w:firstLineChars="200"/>
        <w:rPr>
          <w:rFonts w:asciiTheme="majorEastAsia" w:hAnsiTheme="majorEastAsia" w:eastAsiaTheme="majorEastAsia" w:cstheme="majorEastAsia"/>
          <w:b/>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4"/>
          <w:szCs w:val="24"/>
          <w:highlight w:val="none"/>
          <w14:textFill>
            <w14:solidFill>
              <w14:schemeClr w14:val="tx1"/>
            </w14:solidFill>
          </w14:textFill>
        </w:rPr>
        <w:t>9.被拒绝的响应文件为无效。</w:t>
      </w:r>
    </w:p>
    <w:p w14:paraId="3661E93D">
      <w:pPr>
        <w:pStyle w:val="12"/>
        <w:snapToGrid w:val="0"/>
        <w:spacing w:line="360" w:lineRule="auto"/>
        <w:ind w:firstLine="466" w:firstLineChars="200"/>
        <w:rPr>
          <w:rFonts w:asciiTheme="majorEastAsia" w:hAnsiTheme="majorEastAsia" w:eastAsiaTheme="majorEastAsia" w:cstheme="majorEastAsia"/>
          <w:b/>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4"/>
          <w:szCs w:val="24"/>
          <w:highlight w:val="none"/>
          <w14:textFill>
            <w14:solidFill>
              <w14:schemeClr w14:val="tx1"/>
            </w14:solidFill>
          </w14:textFill>
        </w:rPr>
        <w:t>（八）废标的情形</w:t>
      </w:r>
    </w:p>
    <w:p w14:paraId="3275B870">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根据《中华人民共和国政府采购法》第三十六条之规定，在采购中，出现下列情形之一的，应予废标：</w:t>
      </w:r>
    </w:p>
    <w:p w14:paraId="34B5234A">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1.符合专业条件的供应商或者对征集文件作实质响应的供应商不足3家的；</w:t>
      </w:r>
    </w:p>
    <w:p w14:paraId="3117769B">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2.出现影响采购公正的违法、违规行为的；</w:t>
      </w:r>
    </w:p>
    <w:p w14:paraId="51CE8094">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3.因重大变故，采购任务取消的。</w:t>
      </w:r>
    </w:p>
    <w:p w14:paraId="20C3B440">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废标后，采购代理机构应当将废标理由通知所有供应商。</w:t>
      </w:r>
    </w:p>
    <w:p w14:paraId="50CDD593">
      <w:pPr>
        <w:rPr>
          <w:rFonts w:asciiTheme="majorEastAsia" w:hAnsiTheme="majorEastAsia" w:eastAsiaTheme="majorEastAsia" w:cstheme="majorEastAsia"/>
          <w:color w:val="000000" w:themeColor="text1"/>
          <w:highlight w:val="none"/>
          <w14:textFill>
            <w14:solidFill>
              <w14:schemeClr w14:val="tx1"/>
            </w14:solidFill>
          </w14:textFill>
        </w:rPr>
      </w:pPr>
    </w:p>
    <w:p w14:paraId="1A500AA9">
      <w:pPr>
        <w:pStyle w:val="14"/>
        <w:snapToGrid w:val="0"/>
        <w:spacing w:before="120" w:after="120" w:line="360" w:lineRule="auto"/>
        <w:ind w:firstLine="551" w:firstLineChars="196"/>
        <w:jc w:val="center"/>
        <w:outlineLvl w:val="1"/>
        <w:rPr>
          <w:rFonts w:asciiTheme="majorEastAsia" w:hAnsiTheme="majorEastAsia" w:eastAsiaTheme="majorEastAsia" w:cstheme="majorEastAsia"/>
          <w:b/>
          <w:strike/>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8"/>
          <w:szCs w:val="28"/>
          <w:highlight w:val="none"/>
          <w14:textFill>
            <w14:solidFill>
              <w14:schemeClr w14:val="tx1"/>
            </w14:solidFill>
          </w14:textFill>
        </w:rPr>
        <w:t>四、开标</w:t>
      </w:r>
    </w:p>
    <w:p w14:paraId="127234AE">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1.本项目实行电子开评标，供应商无需到开标现场，但须准时在线参加，直至评审结束。供应商不足3家的，不得开标。</w:t>
      </w:r>
    </w:p>
    <w:p w14:paraId="563CEABD">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2.响应截止时间后的半小时内，由各供应商自行对电子响应文件进行解密请各供应商务必在规定时间内完成电子响应文件的解密工作；开启报价环节，供应商须在15分钟内在系统里CA签字确认。</w:t>
      </w:r>
    </w:p>
    <w:p w14:paraId="231E946C">
      <w:pPr>
        <w:pStyle w:val="12"/>
        <w:snapToGrid w:val="0"/>
        <w:spacing w:line="360" w:lineRule="auto"/>
        <w:ind w:firstLine="464" w:firstLineChars="200"/>
        <w:rPr>
          <w:rFonts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3.响应文件未按时解密，供应商提供了备份响应文件的，以备份响应文件作为依据，否则视为响应文件撤回。响应文件已按时解密的，备份响应文件自动失效。</w:t>
      </w:r>
    </w:p>
    <w:p w14:paraId="25946D70">
      <w:pPr>
        <w:pStyle w:val="31"/>
        <w:spacing w:before="0"/>
        <w:ind w:firstLine="482"/>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pPr>
    </w:p>
    <w:p w14:paraId="4869B34A">
      <w:pPr>
        <w:pStyle w:val="14"/>
        <w:snapToGrid w:val="0"/>
        <w:spacing w:before="120" w:after="120" w:line="360" w:lineRule="auto"/>
        <w:ind w:firstLine="551" w:firstLineChars="196"/>
        <w:jc w:val="center"/>
        <w:outlineLvl w:val="1"/>
        <w:rPr>
          <w:rFonts w:asciiTheme="majorEastAsia" w:hAnsiTheme="majorEastAsia" w:eastAsiaTheme="majorEastAsia" w:cstheme="majorEastAsia"/>
          <w:b/>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8"/>
          <w:szCs w:val="28"/>
          <w:highlight w:val="none"/>
          <w14:textFill>
            <w14:solidFill>
              <w14:schemeClr w14:val="tx1"/>
            </w14:solidFill>
          </w14:textFill>
        </w:rPr>
        <w:t>五、评标</w:t>
      </w:r>
    </w:p>
    <w:p w14:paraId="4130D9F9">
      <w:pPr>
        <w:pStyle w:val="14"/>
        <w:snapToGrid w:val="0"/>
        <w:spacing w:beforeLines="0" w:afterLines="0"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（一）组建评标委员会</w:t>
      </w:r>
    </w:p>
    <w:p w14:paraId="320398AC">
      <w:pPr>
        <w:widowControl/>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评标委员会由征集人代表和评审专家组成，政府采购评审专家</w:t>
      </w: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 xml:space="preserve"> 4</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人和征集人代表</w:t>
      </w: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 xml:space="preserve"> 1 </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人，共</w:t>
      </w: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 xml:space="preserve"> 5</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人组成。</w:t>
      </w:r>
    </w:p>
    <w:p w14:paraId="67B5D6F4">
      <w:pPr>
        <w:widowControl/>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评标委员会负责具体评标事务，并独立履行下列职责：</w:t>
      </w:r>
    </w:p>
    <w:p w14:paraId="351FD0D1">
      <w:pPr>
        <w:widowControl/>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1.审查、评价响应文件是否符合征集文件的商务、技术等实质性要求。</w:t>
      </w:r>
    </w:p>
    <w:p w14:paraId="3643C557">
      <w:pPr>
        <w:widowControl/>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2.要求供应商对响应文件有关事项做出澄清或者说明。</w:t>
      </w:r>
    </w:p>
    <w:p w14:paraId="524AA08A">
      <w:pPr>
        <w:widowControl/>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3.对响应文件进行比较和评价。</w:t>
      </w:r>
    </w:p>
    <w:p w14:paraId="60CB22AA">
      <w:pPr>
        <w:widowControl/>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4.确定入围供应商名单，以及根据征集人委托直接确定入围供应商。</w:t>
      </w:r>
    </w:p>
    <w:p w14:paraId="2F1EC56A">
      <w:pPr>
        <w:widowControl/>
        <w:spacing w:line="360" w:lineRule="auto"/>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5.向征集人、采购代理机构或者有关部门报告评标中发现的违法行为。</w:t>
      </w:r>
    </w:p>
    <w:p w14:paraId="791F479A">
      <w:pPr>
        <w:widowControl/>
        <w:spacing w:line="360" w:lineRule="auto"/>
        <w:ind w:firstLine="482" w:firstLineChars="200"/>
        <w:jc w:val="left"/>
        <w:rPr>
          <w:rFonts w:asciiTheme="majorEastAsia" w:hAnsiTheme="majorEastAsia" w:eastAsiaTheme="majorEastAsia" w:cstheme="majorEastAsia"/>
          <w:b/>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highlight w:val="none"/>
          <w14:textFill>
            <w14:solidFill>
              <w14:schemeClr w14:val="tx1"/>
            </w14:solidFill>
          </w14:textFill>
        </w:rPr>
        <w:t>除征集人代表、评标现场组织人员外，征集人的其他工作人员以及与评标工作无关的人员不得进入评标现场。</w:t>
      </w:r>
    </w:p>
    <w:p w14:paraId="752F7419">
      <w:pPr>
        <w:pStyle w:val="14"/>
        <w:snapToGrid w:val="0"/>
        <w:spacing w:beforeLines="0" w:afterLines="0"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（二）评标的方式</w:t>
      </w:r>
    </w:p>
    <w:p w14:paraId="21096EC3">
      <w:pPr>
        <w:pStyle w:val="14"/>
        <w:snapToGrid w:val="0"/>
        <w:spacing w:beforeLines="0" w:afterLines="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本项目采用不公开方式评标，评标的依据为征集文件和响应文件。</w:t>
      </w:r>
    </w:p>
    <w:p w14:paraId="0EDCB05F">
      <w:pPr>
        <w:pStyle w:val="14"/>
        <w:snapToGrid w:val="0"/>
        <w:spacing w:beforeLines="0" w:afterLines="0"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（三）</w:t>
      </w:r>
      <w:r>
        <w:rPr>
          <w:rFonts w:hint="eastAsia" w:asciiTheme="majorEastAsia" w:hAnsiTheme="majorEastAsia" w:eastAsiaTheme="majorEastAsia" w:cstheme="majorEastAsia"/>
          <w:b/>
          <w:bCs/>
          <w:color w:val="000000" w:themeColor="text1"/>
          <w:highlight w:val="none"/>
          <w14:textFill>
            <w14:solidFill>
              <w14:schemeClr w14:val="tx1"/>
            </w14:solidFill>
          </w14:textFill>
        </w:rPr>
        <w:t>评标程序</w:t>
      </w:r>
    </w:p>
    <w:p w14:paraId="2D6BAD58">
      <w:pPr>
        <w:pStyle w:val="14"/>
        <w:snapToGrid w:val="0"/>
        <w:spacing w:beforeLines="0" w:afterLines="0"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征集人可以在评标前说明项目背景和采购需求，说明内容不得含有歧视性、倾向性意见，不得超出征集文件所述范围。说明应当提交书面材料，并随采购文件一并存档。</w:t>
      </w:r>
    </w:p>
    <w:p w14:paraId="2EDDAD55">
      <w:pPr>
        <w:snapToGrid w:val="0"/>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1.形式审查</w:t>
      </w:r>
    </w:p>
    <w:p w14:paraId="1A5B53FB">
      <w:pPr>
        <w:snapToGrid w:val="0"/>
        <w:spacing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1.1形式审查包括资格审查（除符合性审查以外的关于供应商资格条件等内容）和符合性审查，即对供应商的资格和响应文件的完整性、合法性等进行审查。响应文件形式审查未通过的供应商，其响应文件将不再评审。合格供应商不足3家的，不再评标。</w:t>
      </w:r>
    </w:p>
    <w:p w14:paraId="3DEAA663">
      <w:pPr>
        <w:snapToGrid w:val="0"/>
        <w:spacing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1.2信用信息查询</w:t>
      </w:r>
    </w:p>
    <w:p w14:paraId="7E944550">
      <w:pPr>
        <w:snapToGrid w:val="0"/>
        <w:spacing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1.2.1信用信息查询渠道及截止时间：征集人将通过“信用中国”网站(www.creditchina.gov.cn)、中国政府采购网(www.ccgp.gov.cn)渠道查询供应商响应截止时间当天的信用记录。</w:t>
      </w:r>
    </w:p>
    <w:p w14:paraId="434DEA77">
      <w:pPr>
        <w:snapToGrid w:val="0"/>
        <w:spacing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1.2.2信用信息查询记录和证据留存的具体方式：现场查询的供应商的信用记录、查询结果经确认后将与采购文件一起存档。</w:t>
      </w:r>
    </w:p>
    <w:p w14:paraId="140D5D82">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1.2.3信用信息的使用规则：经查询列入失信被执行人名单、重大税收违法案件当事人名单、政府采购严重违法失信行为记录名单的供应商将被拒绝参与政府采购活动。</w:t>
      </w:r>
    </w:p>
    <w:p w14:paraId="01DDD626">
      <w:pPr>
        <w:snapToGrid w:val="0"/>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2.实质审查</w:t>
      </w:r>
    </w:p>
    <w:p w14:paraId="392E2F3F">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2.1评标委员会审查响应文件的实质性内容是否符合征集文件的实质性要求。</w:t>
      </w:r>
    </w:p>
    <w:p w14:paraId="300E4E46">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2.2评标委员会将根据供应商的响应文件进行审查、核对，如有疑问，将对供应商进行询标，供应商要向评标委员会澄清有关问题，并最终以书面形式进行答复。</w:t>
      </w:r>
    </w:p>
    <w:p w14:paraId="5137578E">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询标时，供应商代表未到场或者拒绝澄清或者澄清的内容改变了响应文件的实质性内容的，评标委员会有权对该响应文件做出不利于供应商的评判。</w:t>
      </w:r>
    </w:p>
    <w:p w14:paraId="561891B7">
      <w:pPr>
        <w:snapToGrid w:val="0"/>
        <w:spacing w:line="360" w:lineRule="auto"/>
        <w:ind w:firstLine="480" w:firstLineChars="200"/>
        <w:rPr>
          <w:rFonts w:asciiTheme="majorEastAsia" w:hAnsiTheme="majorEastAsia" w:eastAsiaTheme="majorEastAsia" w:cstheme="majorEastAsia"/>
          <w:strike/>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2.3</w:t>
      </w:r>
      <w:r>
        <w:rPr>
          <w:rFonts w:hint="eastAsia" w:asciiTheme="majorEastAsia" w:hAnsiTheme="majorEastAsia" w:eastAsiaTheme="majorEastAsia" w:cstheme="majorEastAsia"/>
          <w:color w:val="000000" w:themeColor="text1"/>
          <w:highlight w:val="none"/>
          <w14:textFill>
            <w14:solidFill>
              <w14:schemeClr w14:val="tx1"/>
            </w14:solidFill>
          </w14:textFill>
        </w:rPr>
        <w:t>评标委员会各成员应当独立对每个供应商的商务和技术文件进行评价，并汇总商务技术得分情况。</w:t>
      </w:r>
    </w:p>
    <w:p w14:paraId="76856012">
      <w:pPr>
        <w:pStyle w:val="4"/>
        <w:spacing w:line="360" w:lineRule="auto"/>
        <w:ind w:firstLine="482" w:firstLineChars="200"/>
        <w:rPr>
          <w:rFonts w:asciiTheme="majorEastAsia" w:hAnsiTheme="majorEastAsia" w:eastAsiaTheme="majorEastAsia" w:cstheme="majorEastAsia"/>
          <w:color w:val="000000" w:themeColor="text1"/>
          <w:kern w:val="2"/>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szCs w:val="24"/>
          <w:highlight w:val="none"/>
          <w14:textFill>
            <w14:solidFill>
              <w14:schemeClr w14:val="tx1"/>
            </w14:solidFill>
          </w14:textFill>
        </w:rPr>
        <w:t>3.报价审查</w:t>
      </w:r>
    </w:p>
    <w:p w14:paraId="52A9F899">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本项目采用固定费率，评审时须审查《报价承诺函》。</w:t>
      </w:r>
    </w:p>
    <w:p w14:paraId="384A9200">
      <w:pPr>
        <w:pStyle w:val="4"/>
        <w:spacing w:line="360" w:lineRule="auto"/>
        <w:ind w:firstLine="482" w:firstLineChars="200"/>
        <w:rPr>
          <w:rFonts w:asciiTheme="majorEastAsia" w:hAnsiTheme="majorEastAsia" w:eastAsiaTheme="majorEastAsia" w:cstheme="majorEastAsia"/>
          <w:color w:val="000000" w:themeColor="text1"/>
          <w:kern w:val="2"/>
          <w:szCs w:val="24"/>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szCs w:val="24"/>
          <w:highlight w:val="none"/>
          <w14:textFill>
            <w14:solidFill>
              <w14:schemeClr w14:val="tx1"/>
            </w14:solidFill>
          </w14:textFill>
        </w:rPr>
        <w:t>4.比较和推荐</w:t>
      </w:r>
    </w:p>
    <w:p w14:paraId="4E42EDF3">
      <w:pPr>
        <w:snapToGrid w:val="0"/>
        <w:spacing w:line="360" w:lineRule="auto"/>
        <w:ind w:firstLine="480" w:firstLineChars="200"/>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评标委员会按评标原则推荐入围供应商同时起草评标报告。</w:t>
      </w:r>
    </w:p>
    <w:p w14:paraId="31A4467C">
      <w:pPr>
        <w:snapToGrid w:val="0"/>
        <w:spacing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（四）澄清问题的形式</w:t>
      </w:r>
    </w:p>
    <w:p w14:paraId="37BCD0CF">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对响应文件中含义不明确、同类问题表述不一致或者有明显文字和计算错误的内容，评标委员会可要求供应商作出必要的澄清、说明或者纠正。</w:t>
      </w:r>
    </w:p>
    <w:p w14:paraId="032BECF9">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评标委员会可以在“政采云”平台在线询标或其他有效形式要求供应商对同一份响应文件含义不明确或同类问题表述不一致的内容（征集文件其他地方有规定处理方法的除外）作必要的澄清或说明。供应商应采用在线回复在</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30</w:t>
      </w:r>
      <w:r>
        <w:rPr>
          <w:rFonts w:hint="eastAsia" w:asciiTheme="majorEastAsia" w:hAnsiTheme="majorEastAsia" w:eastAsiaTheme="majorEastAsia" w:cstheme="majorEastAsia"/>
          <w:color w:val="000000" w:themeColor="text1"/>
          <w:highlight w:val="none"/>
          <w14:textFill>
            <w14:solidFill>
              <w14:schemeClr w14:val="tx1"/>
            </w14:solidFill>
          </w14:textFill>
        </w:rPr>
        <w:t>分钟内进行澄清或说明，但不得超出响应文件的范围或改变响应文件的实质性内容。凡属于评标委员会在评标中发现的计算错误并进行核实的修改不在此列。</w:t>
      </w:r>
    </w:p>
    <w:p w14:paraId="2ABA36E2">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2.如果供应商代表拒绝或未按评标委员会要求在规定时间内作出在线回复且无其他有效回复方式的，评标委员会可以对其作出不利判定。</w:t>
      </w:r>
    </w:p>
    <w:p w14:paraId="7175C1AE">
      <w:pPr>
        <w:pStyle w:val="14"/>
        <w:tabs>
          <w:tab w:val="left" w:pos="630"/>
        </w:tabs>
        <w:snapToGrid w:val="0"/>
        <w:spacing w:beforeLines="0" w:afterLines="0"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（五）评标原则和评标办法</w:t>
      </w:r>
    </w:p>
    <w:p w14:paraId="0279B5EB">
      <w:pPr>
        <w:pStyle w:val="14"/>
        <w:snapToGrid w:val="0"/>
        <w:spacing w:beforeLines="0" w:afterLines="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评标原则。评标委员会必须公平、公正、客观，不带任何倾向性和启发性；不得向外界透露任何与评标有关的内容；任何单位和个人不得干扰、影响评标的正常进行；评标委员会及有关工作人员不得私下与供应商接触。</w:t>
      </w:r>
    </w:p>
    <w:p w14:paraId="2EBDE0D3">
      <w:pPr>
        <w:pStyle w:val="14"/>
        <w:snapToGrid w:val="0"/>
        <w:spacing w:beforeLines="0" w:afterLines="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2.评标办法。本项目评标办法是质量优先法，具体评标内容及评分标准等详见《第四章：评标办法及评分标准》。</w:t>
      </w:r>
    </w:p>
    <w:p w14:paraId="60E6737D">
      <w:pPr>
        <w:pStyle w:val="14"/>
        <w:snapToGrid w:val="0"/>
        <w:spacing w:beforeLines="0" w:afterLines="0"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（六）评标过程的监控</w:t>
      </w:r>
    </w:p>
    <w:p w14:paraId="367D5FEF">
      <w:pPr>
        <w:pStyle w:val="14"/>
        <w:snapToGrid w:val="0"/>
        <w:spacing w:beforeLines="0" w:afterLines="0"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本项目评标过程实行全程录音、录像监控。供应商在评标过程中所进行的试图影响评标结果的不公正活动，可能导致其响应被拒绝。</w:t>
      </w:r>
    </w:p>
    <w:p w14:paraId="5F9A3F84">
      <w:pPr>
        <w:pStyle w:val="14"/>
        <w:snapToGrid w:val="0"/>
        <w:spacing w:before="120" w:after="120" w:line="360" w:lineRule="auto"/>
        <w:ind w:firstLine="551" w:firstLineChars="196"/>
        <w:jc w:val="center"/>
        <w:outlineLvl w:val="1"/>
        <w:rPr>
          <w:rFonts w:asciiTheme="majorEastAsia" w:hAnsiTheme="majorEastAsia" w:eastAsiaTheme="majorEastAsia" w:cstheme="majorEastAsia"/>
          <w:b/>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8"/>
          <w:szCs w:val="28"/>
          <w:highlight w:val="none"/>
          <w14:textFill>
            <w14:solidFill>
              <w14:schemeClr w14:val="tx1"/>
            </w14:solidFill>
          </w14:textFill>
        </w:rPr>
        <w:t>六、定 标</w:t>
      </w:r>
    </w:p>
    <w:p w14:paraId="1F93D633">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1.上海华瑞建设经济咨询有限公司在评标结束后2个工作日内将评标报告交征集人确认，同时在发布框架协议采购公告的网站上对评标结果进行公告。</w:t>
      </w:r>
    </w:p>
    <w:p w14:paraId="6CDDD9BF">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2.供应商对评标结果无异议的，征集人应在收到评标报告后5个工作日内对评标结果进行确认。如有供应商对评标结果提出质疑的，征集人可在质疑处理完毕后确定入围供应商。</w:t>
      </w:r>
    </w:p>
    <w:p w14:paraId="77F983B3">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3.在公告入围结果的同时，采购代理机构在政采云系统向入围供应商发出入围通知书。</w:t>
      </w:r>
    </w:p>
    <w:p w14:paraId="44625CE5">
      <w:pPr>
        <w:pStyle w:val="14"/>
        <w:snapToGrid w:val="0"/>
        <w:spacing w:before="120" w:after="120" w:line="360" w:lineRule="auto"/>
        <w:ind w:firstLine="551" w:firstLineChars="196"/>
        <w:jc w:val="center"/>
        <w:outlineLvl w:val="1"/>
        <w:rPr>
          <w:rFonts w:asciiTheme="majorEastAsia" w:hAnsiTheme="majorEastAsia" w:eastAsiaTheme="majorEastAsia" w:cstheme="majorEastAsia"/>
          <w:b/>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8"/>
          <w:szCs w:val="28"/>
          <w:highlight w:val="none"/>
          <w14:textFill>
            <w14:solidFill>
              <w14:schemeClr w14:val="tx1"/>
            </w14:solidFill>
          </w14:textFill>
        </w:rPr>
        <w:t>七、框架协议授予</w:t>
      </w:r>
    </w:p>
    <w:p w14:paraId="52C8B868">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征集人与入围供应商应当在《入围通知书》发出之日起30日内签订政府采购框架协议（框架协议一式7份，征集人与入围供应商各执3份，采购代理机构留存1份），征集人对框架协议内容进行审查，如发现与采购结果和响应承诺内容不一致的，予以纠正。</w:t>
      </w:r>
    </w:p>
    <w:p w14:paraId="60D0FABF">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2.入围供应商拖延、拒签合同的，将被取消入围资格，并报监督管理部门依法处理。</w:t>
      </w:r>
    </w:p>
    <w:p w14:paraId="78DFAF42">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3.征集人须在本项目政府采购合同签订之日起2个工作日内将合同发布于浙江政府采购网，但政府采购合同中涉及国家秘密、商业秘密的内容除外。</w:t>
      </w:r>
    </w:p>
    <w:bookmarkEnd w:id="43"/>
    <w:bookmarkEnd w:id="44"/>
    <w:bookmarkEnd w:id="45"/>
    <w:p w14:paraId="1881B7F4">
      <w:pPr>
        <w:pStyle w:val="14"/>
        <w:snapToGrid w:val="0"/>
        <w:spacing w:before="120" w:after="120" w:line="360" w:lineRule="auto"/>
        <w:ind w:firstLine="472" w:firstLineChars="196"/>
        <w:jc w:val="center"/>
        <w:outlineLvl w:val="1"/>
        <w:rPr>
          <w:rFonts w:asciiTheme="majorEastAsia" w:hAnsiTheme="majorEastAsia" w:eastAsiaTheme="majorEastAsia" w:cstheme="majorEastAsia"/>
          <w:b/>
          <w:color w:val="000000" w:themeColor="text1"/>
          <w:highlight w:val="none"/>
          <w14:textFill>
            <w14:solidFill>
              <w14:schemeClr w14:val="tx1"/>
            </w14:solidFill>
          </w14:textFill>
        </w:rPr>
      </w:pPr>
    </w:p>
    <w:p w14:paraId="0EBD29C8">
      <w:pPr>
        <w:pStyle w:val="14"/>
        <w:snapToGrid w:val="0"/>
        <w:spacing w:before="120" w:after="120" w:line="360" w:lineRule="auto"/>
        <w:ind w:firstLine="551" w:firstLineChars="196"/>
        <w:jc w:val="center"/>
        <w:outlineLvl w:val="1"/>
        <w:rPr>
          <w:rFonts w:asciiTheme="majorEastAsia" w:hAnsiTheme="majorEastAsia" w:eastAsiaTheme="majorEastAsia" w:cstheme="majorEastAsia"/>
          <w:b/>
          <w:color w:val="000000" w:themeColor="text1"/>
          <w:sz w:val="28"/>
          <w:szCs w:val="28"/>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8"/>
          <w:szCs w:val="28"/>
          <w:highlight w:val="none"/>
          <w14:textFill>
            <w14:solidFill>
              <w14:schemeClr w14:val="tx1"/>
            </w14:solidFill>
          </w14:textFill>
        </w:rPr>
        <w:t>八、验收（考核）</w:t>
      </w:r>
    </w:p>
    <w:p w14:paraId="1A9C9EC4">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征集人组织对供应商履约的验收（考核）。大型或者复杂的政府采购项目，应当邀请国家认可的质量检测机构参加验收（考核）工作。验收（考核）方成员应当在验收书上签字，并承担相应的法律责任。如果发现与合同中要求不符，供应商须承担由此发生的一切损失和费用，并接受相应的处理。</w:t>
      </w:r>
    </w:p>
    <w:p w14:paraId="67C4F9B3">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2.征集人可以邀请参加本项目的其他供应商或者第三方机构参与验收（考核）。参与验收（考核）的供应商或者第三方机构的意见作为验收（考核）书的参考资料一并存档。</w:t>
      </w:r>
    </w:p>
    <w:p w14:paraId="1FA0DB18">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严格按照采购合同开展履约验收（考核）。征集人成立验收（考核）小组，按照采购合同的约定对供应商履约情况进行验收（考核）。验收（考核）时，按照采购合同的约定对每一项技术、服务、安全标准的履约情况进行确认。验收（考核）结束后，应当出具验收书，列明各项标准的验收（考核）情况及项目总体评价，由验收（考核）双方共同签署。验收（考核）结果与采购合同约定的资金支付及履约保证金返还条件挂钩。履约验收（考核）的各项资料应当存档备查。</w:t>
      </w:r>
    </w:p>
    <w:p w14:paraId="4B63B7A4">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验收（考核）合格的项目，业务委托人将根据采购合同的约定及时向供应商支付采购资金、退还履约保证金。验收（考核）不合格的项目，征集人将依法及时处理。采购合同的履行、违约责任和解决争议的方式等适用《中华人民共和国民法典》。供应商在履约过程中有政府采购法律法规规定的违法违规情形的，征集人应当及时报告本级财政部</w:t>
      </w:r>
      <w:bookmarkStart w:id="81" w:name="_Hlt74707468"/>
      <w:bookmarkEnd w:id="81"/>
      <w:bookmarkStart w:id="82" w:name="_Hlt75236011"/>
      <w:bookmarkEnd w:id="82"/>
      <w:bookmarkStart w:id="83" w:name="_Hlt68073093"/>
      <w:bookmarkEnd w:id="83"/>
      <w:bookmarkStart w:id="84" w:name="_Hlt68403820"/>
      <w:bookmarkEnd w:id="84"/>
      <w:bookmarkStart w:id="85" w:name="_Hlt75236101"/>
      <w:bookmarkEnd w:id="85"/>
      <w:bookmarkStart w:id="86" w:name="_Hlt74714665"/>
      <w:bookmarkEnd w:id="86"/>
      <w:bookmarkStart w:id="87" w:name="_Hlt68072990"/>
      <w:bookmarkEnd w:id="87"/>
      <w:bookmarkStart w:id="88" w:name="_Hlt68072998"/>
      <w:bookmarkEnd w:id="88"/>
      <w:bookmarkStart w:id="89" w:name="_Hlt68057669"/>
      <w:bookmarkEnd w:id="89"/>
      <w:bookmarkStart w:id="90" w:name="_Hlt75236290"/>
      <w:bookmarkEnd w:id="90"/>
      <w:bookmarkStart w:id="91" w:name="_Hlt74730295"/>
      <w:bookmarkEnd w:id="91"/>
      <w:bookmarkStart w:id="92" w:name="_Hlt74729768"/>
      <w:bookmarkEnd w:id="92"/>
      <w:r>
        <w:rPr>
          <w:rFonts w:hint="eastAsia" w:asciiTheme="majorEastAsia" w:hAnsiTheme="majorEastAsia" w:eastAsiaTheme="majorEastAsia" w:cstheme="majorEastAsia"/>
          <w:color w:val="000000" w:themeColor="text1"/>
          <w:highlight w:val="none"/>
          <w14:textFill>
            <w14:solidFill>
              <w14:schemeClr w14:val="tx1"/>
            </w14:solidFill>
          </w14:textFill>
        </w:rPr>
        <w:t>部门。</w:t>
      </w:r>
    </w:p>
    <w:p w14:paraId="6CCF2289">
      <w:pPr>
        <w:pStyle w:val="12"/>
        <w:rPr>
          <w:rFonts w:asciiTheme="majorEastAsia" w:hAnsiTheme="majorEastAsia" w:eastAsiaTheme="majorEastAsia" w:cstheme="majorEastAsia"/>
          <w:color w:val="000000" w:themeColor="text1"/>
          <w:highlight w:val="none"/>
          <w14:textFill>
            <w14:solidFill>
              <w14:schemeClr w14:val="tx1"/>
            </w14:solidFill>
          </w14:textFill>
        </w:rPr>
      </w:pPr>
    </w:p>
    <w:p w14:paraId="7DD9F6B6">
      <w:pPr>
        <w:rPr>
          <w:rFonts w:hint="eastAsia" w:asciiTheme="majorEastAsia" w:hAnsiTheme="majorEastAsia" w:eastAsiaTheme="majorEastAsia" w:cstheme="majorEastAsia"/>
          <w:color w:val="000000" w:themeColor="text1"/>
          <w:sz w:val="32"/>
          <w:szCs w:val="32"/>
          <w:highlight w:val="none"/>
          <w14:textFill>
            <w14:solidFill>
              <w14:schemeClr w14:val="tx1"/>
            </w14:solidFill>
          </w14:textFill>
        </w:rPr>
      </w:pPr>
      <w:bookmarkStart w:id="93" w:name="_Toc4614"/>
      <w:r>
        <w:rPr>
          <w:rFonts w:hint="eastAsia" w:asciiTheme="majorEastAsia" w:hAnsiTheme="majorEastAsia" w:eastAsiaTheme="majorEastAsia" w:cstheme="majorEastAsia"/>
          <w:color w:val="000000" w:themeColor="text1"/>
          <w:sz w:val="32"/>
          <w:szCs w:val="32"/>
          <w:highlight w:val="none"/>
          <w14:textFill>
            <w14:solidFill>
              <w14:schemeClr w14:val="tx1"/>
            </w14:solidFill>
          </w14:textFill>
        </w:rPr>
        <w:br w:type="page"/>
      </w:r>
    </w:p>
    <w:p w14:paraId="3E05722C">
      <w:pPr>
        <w:pStyle w:val="3"/>
        <w:keepNext/>
        <w:keepLines/>
        <w:pageBreakBefore w:val="0"/>
        <w:widowControl w:val="0"/>
        <w:kinsoku/>
        <w:wordWrap/>
        <w:overflowPunct/>
        <w:topLinePunct w:val="0"/>
        <w:autoSpaceDE/>
        <w:autoSpaceDN/>
        <w:bidi w:val="0"/>
        <w:adjustRightInd/>
        <w:snapToGrid w:val="0"/>
        <w:spacing w:line="300" w:lineRule="auto"/>
        <w:textAlignment w:val="auto"/>
        <w:rPr>
          <w:rFonts w:asciiTheme="majorEastAsia" w:hAnsiTheme="majorEastAsia" w:eastAsiaTheme="majorEastAsia" w:cstheme="majorEastAsia"/>
          <w:color w:val="000000" w:themeColor="text1"/>
          <w:sz w:val="32"/>
          <w:szCs w:val="32"/>
          <w:highlight w:val="none"/>
          <w14:textFill>
            <w14:solidFill>
              <w14:schemeClr w14:val="tx1"/>
            </w14:solidFill>
          </w14:textFill>
        </w:rPr>
      </w:pPr>
      <w:r>
        <w:rPr>
          <w:rFonts w:hint="eastAsia" w:asciiTheme="majorEastAsia" w:hAnsiTheme="majorEastAsia" w:eastAsiaTheme="majorEastAsia" w:cstheme="majorEastAsia"/>
          <w:color w:val="000000" w:themeColor="text1"/>
          <w:sz w:val="32"/>
          <w:szCs w:val="32"/>
          <w:highlight w:val="none"/>
          <w14:textFill>
            <w14:solidFill>
              <w14:schemeClr w14:val="tx1"/>
            </w14:solidFill>
          </w14:textFill>
        </w:rPr>
        <w:t>第四章  评标办法及标准</w:t>
      </w:r>
      <w:bookmarkEnd w:id="93"/>
    </w:p>
    <w:p w14:paraId="2474DC87">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为公正、公平、科学地选择入围供应商，根据《中华人民共和国政府采购法》等有关法律法规的规定，并结合本项目的实际，制定本办法。</w:t>
      </w:r>
    </w:p>
    <w:p w14:paraId="5006D936">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本办法适用于本项目的评标。</w:t>
      </w:r>
    </w:p>
    <w:p w14:paraId="6BB5AD18">
      <w:pPr>
        <w:spacing w:line="360" w:lineRule="auto"/>
        <w:ind w:firstLine="482"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一、总则</w:t>
      </w:r>
    </w:p>
    <w:p w14:paraId="23009253">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根据中华人民共和国财政部令第110号《政府采购框架协议采购方式管理暂行办法》，确定第一阶段入围供应商的评审方法为质量优先法，确定第二阶段成交供应商的方式为顺序</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轮候方式</w:t>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14:paraId="5B0D4EEA">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一）质量优先法是指对满足采购需求且响应报价不超过最高限制单价的货物、服务进行质量综合评分，按照质量评分从高到低排序，根据征集文件规定的淘汰率或者入围供应商数量上限，确定入围供应商的评审方法。</w:t>
      </w:r>
    </w:p>
    <w:p w14:paraId="077FE10A">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1.提交响应文件且符合资格条件、实质性要求的供应商10家（不含）以上，按照质量评分从高到低排序，推荐前</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8家</w:t>
      </w:r>
      <w:r>
        <w:rPr>
          <w:rFonts w:hint="eastAsia" w:asciiTheme="majorEastAsia" w:hAnsiTheme="majorEastAsia" w:eastAsiaTheme="majorEastAsia" w:cstheme="majorEastAsia"/>
          <w:color w:val="000000" w:themeColor="text1"/>
          <w:highlight w:val="none"/>
          <w14:textFill>
            <w14:solidFill>
              <w14:schemeClr w14:val="tx1"/>
            </w14:solidFill>
          </w14:textFill>
        </w:rPr>
        <w:t>为入围供应商：</w:t>
      </w:r>
    </w:p>
    <w:p w14:paraId="1498E608">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1.1若综合得分并列第</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8家</w:t>
      </w:r>
      <w:r>
        <w:rPr>
          <w:rFonts w:hint="eastAsia" w:asciiTheme="majorEastAsia" w:hAnsiTheme="majorEastAsia" w:eastAsiaTheme="majorEastAsia" w:cstheme="majorEastAsia"/>
          <w:color w:val="000000" w:themeColor="text1"/>
          <w:highlight w:val="none"/>
          <w14:textFill>
            <w14:solidFill>
              <w14:schemeClr w14:val="tx1"/>
            </w14:solidFill>
          </w14:textFill>
        </w:rPr>
        <w:t>，则商务资信及其他分高的入围；</w:t>
      </w:r>
    </w:p>
    <w:p w14:paraId="268A2131">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1.2若综合得分并列第</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8家</w:t>
      </w:r>
      <w:r>
        <w:rPr>
          <w:rFonts w:hint="eastAsia" w:asciiTheme="majorEastAsia" w:hAnsiTheme="majorEastAsia" w:eastAsiaTheme="majorEastAsia" w:cstheme="majorEastAsia"/>
          <w:color w:val="000000" w:themeColor="text1"/>
          <w:highlight w:val="none"/>
          <w14:textFill>
            <w14:solidFill>
              <w14:schemeClr w14:val="tx1"/>
            </w14:solidFill>
          </w14:textFill>
        </w:rPr>
        <w:t>，且商务资信及其他分相同的，则技术分高的入围；</w:t>
      </w:r>
    </w:p>
    <w:p w14:paraId="7BCEFBB1">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1.3若综合得分并列第</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8家</w:t>
      </w:r>
      <w:r>
        <w:rPr>
          <w:rFonts w:hint="eastAsia" w:asciiTheme="majorEastAsia" w:hAnsiTheme="majorEastAsia" w:eastAsiaTheme="majorEastAsia" w:cstheme="majorEastAsia"/>
          <w:color w:val="000000" w:themeColor="text1"/>
          <w:highlight w:val="none"/>
          <w14:textFill>
            <w14:solidFill>
              <w14:schemeClr w14:val="tx1"/>
            </w14:solidFill>
          </w14:textFill>
        </w:rPr>
        <w:t>，且商务资信技术及其他分相同的，则团队负责人一级造价工程师初始注册时间早的入围；</w:t>
      </w:r>
    </w:p>
    <w:p w14:paraId="784179E7">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1.4若综合得分并列第</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8家</w:t>
      </w:r>
      <w:r>
        <w:rPr>
          <w:rFonts w:hint="eastAsia" w:asciiTheme="majorEastAsia" w:hAnsiTheme="majorEastAsia" w:eastAsiaTheme="majorEastAsia" w:cstheme="majorEastAsia"/>
          <w:color w:val="000000" w:themeColor="text1"/>
          <w:highlight w:val="none"/>
          <w14:textFill>
            <w14:solidFill>
              <w14:schemeClr w14:val="tx1"/>
            </w14:solidFill>
          </w14:textFill>
        </w:rPr>
        <w:t>，且商务资信技术及其他分、团队负责人一级造价工程师初始注册时间相同的，则团队负责人年龄小的入围（以身份证为准）；</w:t>
      </w:r>
    </w:p>
    <w:p w14:paraId="22D28828">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1.5若综合得分并列第</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8家</w:t>
      </w:r>
      <w:r>
        <w:rPr>
          <w:rFonts w:hint="eastAsia" w:asciiTheme="majorEastAsia" w:hAnsiTheme="majorEastAsia" w:eastAsiaTheme="majorEastAsia" w:cstheme="majorEastAsia"/>
          <w:color w:val="000000" w:themeColor="text1"/>
          <w:highlight w:val="none"/>
          <w14:textFill>
            <w14:solidFill>
              <w14:schemeClr w14:val="tx1"/>
            </w14:solidFill>
          </w14:textFill>
        </w:rPr>
        <w:t>，且商务资信技术及其他分、团队负责人一级造价工程师初始注册时间、年龄相同的，则由</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评审专家</w:t>
      </w:r>
      <w:r>
        <w:rPr>
          <w:rFonts w:hint="eastAsia" w:asciiTheme="majorEastAsia" w:hAnsiTheme="majorEastAsia" w:eastAsiaTheme="majorEastAsia" w:cstheme="majorEastAsia"/>
          <w:color w:val="000000" w:themeColor="text1"/>
          <w:highlight w:val="none"/>
          <w14:textFill>
            <w14:solidFill>
              <w14:schemeClr w14:val="tx1"/>
            </w14:solidFill>
          </w14:textFill>
        </w:rPr>
        <w:t>组长现场抽签决定入围）；</w:t>
      </w:r>
    </w:p>
    <w:p w14:paraId="0521C452">
      <w:pPr>
        <w:spacing w:line="360" w:lineRule="auto"/>
        <w:ind w:firstLine="480" w:firstLineChars="200"/>
        <w:rPr>
          <w:rFonts w:asciiTheme="majorEastAsia" w:hAnsiTheme="majorEastAsia" w:eastAsiaTheme="majorEastAsia" w:cstheme="majorEastAsia"/>
          <w:strike/>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2.提交响应文件且符合资格条件、实质性要求的供应商10家（含）以下，按20%比例淘汰（如遇淘汰数值为小数的，取大值整数，例如淘汰4.2家，取淘汰5家）后推荐为入围供应商；如淘汰后剩余供应商超过</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8家</w:t>
      </w:r>
      <w:r>
        <w:rPr>
          <w:rFonts w:hint="eastAsia" w:asciiTheme="majorEastAsia" w:hAnsiTheme="majorEastAsia" w:eastAsiaTheme="majorEastAsia" w:cstheme="majorEastAsia"/>
          <w:color w:val="000000" w:themeColor="text1"/>
          <w:highlight w:val="none"/>
          <w14:textFill>
            <w14:solidFill>
              <w14:schemeClr w14:val="tx1"/>
            </w14:solidFill>
          </w14:textFill>
        </w:rPr>
        <w:t>的，推荐前</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8家</w:t>
      </w:r>
      <w:r>
        <w:rPr>
          <w:rFonts w:hint="eastAsia" w:asciiTheme="majorEastAsia" w:hAnsiTheme="majorEastAsia" w:eastAsiaTheme="majorEastAsia" w:cstheme="majorEastAsia"/>
          <w:color w:val="000000" w:themeColor="text1"/>
          <w:highlight w:val="none"/>
          <w14:textFill>
            <w14:solidFill>
              <w14:schemeClr w14:val="tx1"/>
            </w14:solidFill>
          </w14:textFill>
        </w:rPr>
        <w:t>为入围供应商。评分过程中采用四舍五入法，并保留小数2位。</w:t>
      </w:r>
    </w:p>
    <w:p w14:paraId="010A7E51">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（二）顺序轮候方式是指每个入围供应商在一个顺序轮候期内，只有一次获得合同授予的机会。</w:t>
      </w:r>
    </w:p>
    <w:p w14:paraId="2E53E327">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建设工程以及与工程建设有关的货物、服务项目属于依法必须公开招标的项目，或预算金额达到公开招标数额标准的政府采购项目，采购人将采用抽签的方式确定该项目招标代理单位；其余</w:t>
      </w:r>
      <w:r>
        <w:rPr>
          <w:rFonts w:hint="eastAsia" w:asciiTheme="majorEastAsia" w:hAnsiTheme="majorEastAsia" w:eastAsiaTheme="majorEastAsia" w:cstheme="majorEastAsia"/>
          <w:color w:val="000000" w:themeColor="text1"/>
          <w:highlight w:val="none"/>
          <w14:textFill>
            <w14:solidFill>
              <w14:schemeClr w14:val="tx1"/>
            </w14:solidFill>
          </w14:textFill>
        </w:rPr>
        <w:t>招标代理及造价咨询项目工作将根据各</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入围供应商</w:t>
      </w:r>
      <w:r>
        <w:rPr>
          <w:rFonts w:hint="eastAsia" w:asciiTheme="majorEastAsia" w:hAnsiTheme="majorEastAsia" w:eastAsiaTheme="majorEastAsia" w:cstheme="majorEastAsia"/>
          <w:color w:val="000000" w:themeColor="text1"/>
          <w:highlight w:val="none"/>
          <w14:textFill>
            <w14:solidFill>
              <w14:schemeClr w14:val="tx1"/>
            </w14:solidFill>
          </w14:textFill>
        </w:rPr>
        <w:t>在本次征集结果的综合得分高低次序按顺序循环委托，具体</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分配方案</w:t>
      </w:r>
      <w:r>
        <w:rPr>
          <w:rFonts w:hint="eastAsia" w:asciiTheme="majorEastAsia" w:hAnsiTheme="majorEastAsia" w:eastAsiaTheme="majorEastAsia" w:cstheme="majorEastAsia"/>
          <w:color w:val="000000" w:themeColor="text1"/>
          <w:highlight w:val="none"/>
          <w14:textFill>
            <w14:solidFill>
              <w14:schemeClr w14:val="tx1"/>
            </w14:solidFill>
          </w14:textFill>
        </w:rPr>
        <w:t>详见嘉兴市南湖区交通运输局相关规定。</w:t>
      </w:r>
    </w:p>
    <w:p w14:paraId="2C0B6739">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w:t>
      </w:r>
      <w:r>
        <w:rPr>
          <w:rFonts w:asciiTheme="majorEastAsia" w:hAnsiTheme="majorEastAsia" w:eastAsiaTheme="majorEastAsia" w:cstheme="majorEastAsia"/>
          <w:color w:val="000000" w:themeColor="text1"/>
          <w:highlight w:val="none"/>
          <w14:textFill>
            <w14:solidFill>
              <w14:schemeClr w14:val="tx1"/>
            </w14:solidFill>
          </w14:textFill>
        </w:rPr>
        <w:t>入围供应商拒绝与采购人签订合同的，采购人可以按照评审报告推荐的入围候选人名单顺序，确定下一候选人为入围供应商，也可以重新开展政府采购活动。评分过程中采用四舍五入法，并保留小数2位。</w:t>
      </w:r>
    </w:p>
    <w:p w14:paraId="474328CB">
      <w:pPr>
        <w:widowControl/>
        <w:spacing w:line="360" w:lineRule="auto"/>
        <w:ind w:firstLine="480" w:firstLineChars="200"/>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供应商评标综合得分=价格分+技术分+商务资信及其他分</w:t>
      </w:r>
    </w:p>
    <w:p w14:paraId="45AAD374">
      <w:pPr>
        <w:spacing w:line="360" w:lineRule="auto"/>
        <w:ind w:firstLine="482" w:firstLineChars="200"/>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二、评标内容及标准</w:t>
      </w:r>
    </w:p>
    <w:p w14:paraId="7F03CD18">
      <w:pPr>
        <w:pStyle w:val="12"/>
        <w:spacing w:line="360" w:lineRule="auto"/>
        <w:ind w:firstLine="466" w:firstLineChars="200"/>
        <w:rPr>
          <w:rFonts w:asciiTheme="majorEastAsia" w:hAnsiTheme="majorEastAsia" w:eastAsiaTheme="majorEastAsia" w:cstheme="majorEastAsia"/>
          <w:b/>
          <w:bCs/>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24"/>
          <w:szCs w:val="24"/>
          <w:highlight w:val="none"/>
          <w14:textFill>
            <w14:solidFill>
              <w14:schemeClr w14:val="tx1"/>
            </w14:solidFill>
          </w14:textFill>
        </w:rPr>
        <w:t>（一）</w:t>
      </w:r>
      <w:r>
        <w:rPr>
          <w:rFonts w:hint="eastAsia" w:asciiTheme="majorEastAsia" w:hAnsiTheme="majorEastAsia" w:eastAsiaTheme="majorEastAsia" w:cstheme="majorEastAsia"/>
          <w:b/>
          <w:bCs/>
          <w:color w:val="000000" w:themeColor="text1"/>
          <w:sz w:val="24"/>
          <w:szCs w:val="24"/>
          <w:highlight w:val="none"/>
          <w14:textFill>
            <w14:solidFill>
              <w14:schemeClr w14:val="tx1"/>
            </w14:solidFill>
          </w14:textFill>
        </w:rPr>
        <w:t>价格分（10分）</w:t>
      </w:r>
    </w:p>
    <w:p w14:paraId="61B01719">
      <w:pPr>
        <w:pStyle w:val="24"/>
        <w:spacing w:after="0" w:line="360" w:lineRule="auto"/>
        <w:ind w:left="0" w:leftChars="0" w:firstLine="464"/>
        <w:rPr>
          <w:rFonts w:asciiTheme="majorEastAsia" w:hAnsiTheme="majorEastAsia" w:eastAsiaTheme="majorEastAsia" w:cstheme="majorEastAsia"/>
          <w:bCs/>
          <w:strike/>
          <w:color w:val="000000" w:themeColor="text1"/>
          <w:sz w:val="24"/>
          <w:highlight w:val="none"/>
          <w14:textFill>
            <w14:solidFill>
              <w14:schemeClr w14:val="tx1"/>
            </w14:solidFill>
          </w14:textFill>
        </w:rPr>
      </w:pPr>
      <w:r>
        <w:rPr>
          <w:rFonts w:hint="eastAsia" w:asciiTheme="majorEastAsia" w:hAnsiTheme="majorEastAsia" w:eastAsiaTheme="majorEastAsia" w:cstheme="majorEastAsia"/>
          <w:color w:val="000000" w:themeColor="text1"/>
          <w:kern w:val="2"/>
          <w:sz w:val="24"/>
          <w:highlight w:val="none"/>
          <w14:textFill>
            <w14:solidFill>
              <w14:schemeClr w14:val="tx1"/>
            </w14:solidFill>
          </w14:textFill>
        </w:rPr>
        <w:t>响应时提供符合要求的报价承诺函的，</w:t>
      </w:r>
      <w:r>
        <w:rPr>
          <w:rFonts w:hint="eastAsia" w:asciiTheme="majorEastAsia" w:hAnsiTheme="majorEastAsia" w:eastAsiaTheme="majorEastAsia" w:cstheme="majorEastAsia"/>
          <w:color w:val="000000" w:themeColor="text1"/>
          <w:kern w:val="2"/>
          <w:sz w:val="24"/>
          <w:highlight w:val="none"/>
          <w:lang w:val="en-US" w:eastAsia="zh-CN"/>
          <w14:textFill>
            <w14:solidFill>
              <w14:schemeClr w14:val="tx1"/>
            </w14:solidFill>
          </w14:textFill>
        </w:rPr>
        <w:t>所有有效报价供应商统一</w:t>
      </w:r>
      <w:r>
        <w:rPr>
          <w:rFonts w:hint="eastAsia" w:asciiTheme="majorEastAsia" w:hAnsiTheme="majorEastAsia" w:eastAsiaTheme="majorEastAsia" w:cstheme="majorEastAsia"/>
          <w:color w:val="000000" w:themeColor="text1"/>
          <w:kern w:val="2"/>
          <w:sz w:val="24"/>
          <w:highlight w:val="none"/>
          <w14:textFill>
            <w14:solidFill>
              <w14:schemeClr w14:val="tx1"/>
            </w14:solidFill>
          </w14:textFill>
        </w:rPr>
        <w:t>得10分</w:t>
      </w:r>
      <w:r>
        <w:rPr>
          <w:rFonts w:hint="eastAsia" w:asciiTheme="majorEastAsia" w:hAnsiTheme="majorEastAsia" w:eastAsiaTheme="majorEastAsia" w:cstheme="majorEastAsia"/>
          <w:color w:val="000000" w:themeColor="text1"/>
          <w:kern w:val="2"/>
          <w:sz w:val="24"/>
          <w:highlight w:val="none"/>
          <w:lang w:val="en-US" w:eastAsia="zh-CN"/>
          <w14:textFill>
            <w14:solidFill>
              <w14:schemeClr w14:val="tx1"/>
            </w14:solidFill>
          </w14:textFill>
        </w:rPr>
        <w:t>或统一得0分</w:t>
      </w:r>
      <w:r>
        <w:rPr>
          <w:rFonts w:hint="eastAsia" w:asciiTheme="majorEastAsia" w:hAnsiTheme="majorEastAsia" w:eastAsiaTheme="majorEastAsia" w:cstheme="majorEastAsia"/>
          <w:color w:val="000000" w:themeColor="text1"/>
          <w:kern w:val="2"/>
          <w:sz w:val="24"/>
          <w:highlight w:val="none"/>
          <w14:textFill>
            <w14:solidFill>
              <w14:schemeClr w14:val="tx1"/>
            </w14:solidFill>
          </w14:textFill>
        </w:rPr>
        <w:t>。</w:t>
      </w:r>
    </w:p>
    <w:p w14:paraId="22CFE841">
      <w:pPr>
        <w:spacing w:line="360" w:lineRule="auto"/>
        <w:ind w:firstLine="482" w:firstLineChars="200"/>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
          <w:bCs/>
          <w:color w:val="000000" w:themeColor="text1"/>
          <w:highlight w:val="none"/>
          <w14:textFill>
            <w14:solidFill>
              <w14:schemeClr w14:val="tx1"/>
            </w14:solidFill>
          </w14:textFill>
        </w:rPr>
        <w:t>（二）技术商务资信及其他分90分</w:t>
      </w:r>
    </w:p>
    <w:tbl>
      <w:tblPr>
        <w:tblStyle w:val="25"/>
        <w:tblW w:w="93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49"/>
        <w:gridCol w:w="1354"/>
        <w:gridCol w:w="5593"/>
        <w:gridCol w:w="715"/>
        <w:gridCol w:w="953"/>
      </w:tblGrid>
      <w:tr w14:paraId="33EFD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9364" w:type="dxa"/>
            <w:gridSpan w:val="5"/>
            <w:noWrap/>
            <w:vAlign w:val="center"/>
          </w:tcPr>
          <w:p w14:paraId="675C587D">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b/>
                <w:bCs/>
                <w:color w:val="000000" w:themeColor="text1"/>
                <w:kern w:val="0"/>
                <w:highlight w:val="none"/>
                <w14:textFill>
                  <w14:solidFill>
                    <w14:schemeClr w14:val="tx1"/>
                  </w14:solidFill>
                </w14:textFill>
              </w:rPr>
            </w:pPr>
            <w:r>
              <w:rPr>
                <w:rFonts w:hint="eastAsia" w:ascii="宋体" w:hAnsi="宋体" w:eastAsia="宋体" w:cs="宋体"/>
                <w:b/>
                <w:bCs/>
                <w:color w:val="000000" w:themeColor="text1"/>
                <w:kern w:val="0"/>
                <w:highlight w:val="none"/>
                <w14:textFill>
                  <w14:solidFill>
                    <w14:schemeClr w14:val="tx1"/>
                  </w14:solidFill>
                </w14:textFill>
              </w:rPr>
              <w:t>技术分（86分）</w:t>
            </w:r>
          </w:p>
        </w:tc>
      </w:tr>
      <w:tr w14:paraId="43780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66" w:hRule="atLeast"/>
          <w:jc w:val="center"/>
        </w:trPr>
        <w:tc>
          <w:tcPr>
            <w:tcW w:w="749" w:type="dxa"/>
            <w:noWrap/>
            <w:vAlign w:val="center"/>
          </w:tcPr>
          <w:p w14:paraId="3945D15C">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b/>
                <w:bCs/>
                <w:color w:val="000000" w:themeColor="text1"/>
                <w:kern w:val="0"/>
                <w:highlight w:val="none"/>
                <w14:textFill>
                  <w14:solidFill>
                    <w14:schemeClr w14:val="tx1"/>
                  </w14:solidFill>
                </w14:textFill>
              </w:rPr>
            </w:pPr>
            <w:r>
              <w:rPr>
                <w:rFonts w:hint="eastAsia" w:ascii="宋体" w:hAnsi="宋体" w:eastAsia="宋体" w:cs="宋体"/>
                <w:b/>
                <w:bCs/>
                <w:color w:val="000000" w:themeColor="text1"/>
                <w:kern w:val="0"/>
                <w:highlight w:val="none"/>
                <w14:textFill>
                  <w14:solidFill>
                    <w14:schemeClr w14:val="tx1"/>
                  </w14:solidFill>
                </w14:textFill>
              </w:rPr>
              <w:t>序号</w:t>
            </w:r>
          </w:p>
        </w:tc>
        <w:tc>
          <w:tcPr>
            <w:tcW w:w="1354" w:type="dxa"/>
            <w:noWrap/>
            <w:vAlign w:val="center"/>
          </w:tcPr>
          <w:p w14:paraId="70CA916D">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b/>
                <w:bCs/>
                <w:color w:val="000000" w:themeColor="text1"/>
                <w:kern w:val="0"/>
                <w:highlight w:val="none"/>
                <w14:textFill>
                  <w14:solidFill>
                    <w14:schemeClr w14:val="tx1"/>
                  </w14:solidFill>
                </w14:textFill>
              </w:rPr>
            </w:pPr>
            <w:r>
              <w:rPr>
                <w:rFonts w:hint="eastAsia" w:ascii="宋体" w:hAnsi="宋体" w:eastAsia="宋体" w:cs="宋体"/>
                <w:b/>
                <w:bCs/>
                <w:color w:val="000000" w:themeColor="text1"/>
                <w:kern w:val="0"/>
                <w:highlight w:val="none"/>
                <w14:textFill>
                  <w14:solidFill>
                    <w14:schemeClr w14:val="tx1"/>
                  </w14:solidFill>
                </w14:textFill>
              </w:rPr>
              <w:t>类别</w:t>
            </w:r>
          </w:p>
        </w:tc>
        <w:tc>
          <w:tcPr>
            <w:tcW w:w="5593" w:type="dxa"/>
            <w:noWrap/>
            <w:vAlign w:val="center"/>
          </w:tcPr>
          <w:p w14:paraId="249966F4">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b/>
                <w:bCs/>
                <w:color w:val="000000" w:themeColor="text1"/>
                <w:kern w:val="0"/>
                <w:highlight w:val="none"/>
                <w14:textFill>
                  <w14:solidFill>
                    <w14:schemeClr w14:val="tx1"/>
                  </w14:solidFill>
                </w14:textFill>
              </w:rPr>
            </w:pPr>
            <w:r>
              <w:rPr>
                <w:rFonts w:hint="eastAsia" w:ascii="宋体" w:hAnsi="宋体" w:eastAsia="宋体" w:cs="宋体"/>
                <w:b/>
                <w:bCs/>
                <w:color w:val="000000" w:themeColor="text1"/>
                <w:kern w:val="0"/>
                <w:highlight w:val="none"/>
                <w14:textFill>
                  <w14:solidFill>
                    <w14:schemeClr w14:val="tx1"/>
                  </w14:solidFill>
                </w14:textFill>
              </w:rPr>
              <w:t>内容</w:t>
            </w:r>
          </w:p>
        </w:tc>
        <w:tc>
          <w:tcPr>
            <w:tcW w:w="715" w:type="dxa"/>
            <w:noWrap/>
            <w:vAlign w:val="center"/>
          </w:tcPr>
          <w:p w14:paraId="03EC8DD7">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b/>
                <w:bCs/>
                <w:color w:val="000000" w:themeColor="text1"/>
                <w:kern w:val="0"/>
                <w:highlight w:val="none"/>
                <w14:textFill>
                  <w14:solidFill>
                    <w14:schemeClr w14:val="tx1"/>
                  </w14:solidFill>
                </w14:textFill>
              </w:rPr>
            </w:pPr>
            <w:r>
              <w:rPr>
                <w:rFonts w:hint="eastAsia" w:ascii="宋体" w:hAnsi="宋体" w:eastAsia="宋体" w:cs="宋体"/>
                <w:b/>
                <w:bCs/>
                <w:color w:val="000000" w:themeColor="text1"/>
                <w:kern w:val="0"/>
                <w:highlight w:val="none"/>
                <w14:textFill>
                  <w14:solidFill>
                    <w14:schemeClr w14:val="tx1"/>
                  </w14:solidFill>
                </w14:textFill>
              </w:rPr>
              <w:t>分值</w:t>
            </w:r>
          </w:p>
        </w:tc>
        <w:tc>
          <w:tcPr>
            <w:tcW w:w="953" w:type="dxa"/>
            <w:noWrap/>
            <w:vAlign w:val="center"/>
          </w:tcPr>
          <w:p w14:paraId="292DB1E9">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b/>
                <w:bCs/>
                <w:color w:val="000000" w:themeColor="text1"/>
                <w:kern w:val="0"/>
                <w:highlight w:val="none"/>
                <w14:textFill>
                  <w14:solidFill>
                    <w14:schemeClr w14:val="tx1"/>
                  </w14:solidFill>
                </w14:textFill>
              </w:rPr>
            </w:pPr>
            <w:r>
              <w:rPr>
                <w:rFonts w:hint="eastAsia" w:ascii="宋体" w:hAnsi="宋体" w:eastAsia="宋体" w:cs="宋体"/>
                <w:b/>
                <w:bCs/>
                <w:color w:val="000000" w:themeColor="text1"/>
                <w:kern w:val="0"/>
                <w:highlight w:val="none"/>
                <w14:textFill>
                  <w14:solidFill>
                    <w14:schemeClr w14:val="tx1"/>
                  </w14:solidFill>
                </w14:textFill>
              </w:rPr>
              <w:t>备注</w:t>
            </w:r>
          </w:p>
        </w:tc>
      </w:tr>
      <w:tr w14:paraId="3FFDE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749" w:type="dxa"/>
            <w:noWrap/>
            <w:vAlign w:val="center"/>
          </w:tcPr>
          <w:p w14:paraId="04899F2F">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lang w:val="en"/>
                <w14:textFill>
                  <w14:solidFill>
                    <w14:schemeClr w14:val="tx1"/>
                  </w14:solidFill>
                </w14:textFill>
              </w:rPr>
            </w:pPr>
            <w:r>
              <w:rPr>
                <w:rFonts w:hint="eastAsia" w:ascii="宋体" w:hAnsi="宋体" w:eastAsia="宋体" w:cs="宋体"/>
                <w:color w:val="000000" w:themeColor="text1"/>
                <w:kern w:val="0"/>
                <w:highlight w:val="none"/>
                <w:lang w:val="en"/>
                <w14:textFill>
                  <w14:solidFill>
                    <w14:schemeClr w14:val="tx1"/>
                  </w14:solidFill>
                </w14:textFill>
              </w:rPr>
              <w:t>1</w:t>
            </w:r>
          </w:p>
        </w:tc>
        <w:tc>
          <w:tcPr>
            <w:tcW w:w="1354" w:type="dxa"/>
            <w:noWrap/>
            <w:vAlign w:val="center"/>
          </w:tcPr>
          <w:p w14:paraId="1A7C5004">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lang w:val="en"/>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拟派团队负责人配置</w:t>
            </w:r>
          </w:p>
        </w:tc>
        <w:tc>
          <w:tcPr>
            <w:tcW w:w="5593" w:type="dxa"/>
            <w:noWrap/>
            <w:vAlign w:val="center"/>
          </w:tcPr>
          <w:p w14:paraId="13474DFD">
            <w:pPr>
              <w:keepNext w:val="0"/>
              <w:keepLines w:val="0"/>
              <w:pageBreakBefore w:val="0"/>
              <w:kinsoku/>
              <w:wordWrap/>
              <w:overflowPunct/>
              <w:topLinePunct w:val="0"/>
              <w:bidi w:val="0"/>
              <w:adjustRightInd w:val="0"/>
              <w:snapToGrid w:val="0"/>
              <w:spacing w:line="240" w:lineRule="auto"/>
              <w:jc w:val="left"/>
              <w:rPr>
                <w:rFonts w:hint="eastAsia" w:ascii="宋体" w:hAnsi="宋体" w:eastAsia="宋体" w:cs="宋体"/>
                <w:color w:val="000000" w:themeColor="text1"/>
                <w:kern w:val="0"/>
                <w:highlight w:val="none"/>
                <w:lang w:val="en-US" w:eastAsia="zh-CN"/>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团队负责人同时</w:t>
            </w:r>
            <w:r>
              <w:rPr>
                <w:rFonts w:hint="eastAsia" w:ascii="宋体" w:hAnsi="宋体" w:eastAsia="宋体" w:cs="宋体"/>
                <w:color w:val="000000" w:themeColor="text1"/>
                <w:kern w:val="0"/>
                <w:highlight w:val="none"/>
                <w:lang w:val="en-US" w:eastAsia="zh-CN"/>
                <w14:textFill>
                  <w14:solidFill>
                    <w14:schemeClr w14:val="tx1"/>
                  </w14:solidFill>
                </w14:textFill>
              </w:rPr>
              <w:t>具有</w:t>
            </w:r>
            <w:r>
              <w:rPr>
                <w:rFonts w:hint="eastAsia" w:ascii="宋体" w:hAnsi="宋体" w:eastAsia="宋体" w:cs="宋体"/>
                <w:color w:val="000000" w:themeColor="text1"/>
                <w:kern w:val="0"/>
                <w:highlight w:val="none"/>
                <w14:textFill>
                  <w14:solidFill>
                    <w14:schemeClr w14:val="tx1"/>
                  </w14:solidFill>
                </w14:textFill>
              </w:rPr>
              <w:t>高级工程师、注册一级造价工程师（交通运输工程专业）或交通运输部公路甲级造价人员证书，工作年限在8年以上的（从造价注册的初始注册之日起算），得3分</w:t>
            </w:r>
            <w:r>
              <w:rPr>
                <w:rFonts w:hint="eastAsia" w:ascii="宋体" w:hAnsi="宋体" w:eastAsia="宋体" w:cs="宋体"/>
                <w:color w:val="000000" w:themeColor="text1"/>
                <w:kern w:val="0"/>
                <w:highlight w:val="none"/>
                <w:lang w:eastAsia="zh-CN"/>
                <w14:textFill>
                  <w14:solidFill>
                    <w14:schemeClr w14:val="tx1"/>
                  </w14:solidFill>
                </w14:textFill>
              </w:rPr>
              <w:t>；</w:t>
            </w:r>
            <w:r>
              <w:rPr>
                <w:rFonts w:hint="eastAsia" w:ascii="宋体" w:hAnsi="宋体" w:eastAsia="宋体" w:cs="宋体"/>
                <w:color w:val="000000" w:themeColor="text1"/>
                <w:kern w:val="0"/>
                <w:highlight w:val="none"/>
                <w14:textFill>
                  <w14:solidFill>
                    <w14:schemeClr w14:val="tx1"/>
                  </w14:solidFill>
                </w14:textFill>
              </w:rPr>
              <w:t>工作年限在5年（含）以上</w:t>
            </w:r>
            <w:r>
              <w:rPr>
                <w:rFonts w:hint="eastAsia" w:ascii="宋体" w:hAnsi="宋体" w:eastAsia="宋体" w:cs="宋体"/>
                <w:color w:val="000000" w:themeColor="text1"/>
                <w:kern w:val="0"/>
                <w:highlight w:val="none"/>
                <w:lang w:eastAsia="zh-CN"/>
                <w14:textFill>
                  <w14:solidFill>
                    <w14:schemeClr w14:val="tx1"/>
                  </w14:solidFill>
                </w14:textFill>
              </w:rPr>
              <w:t>、</w:t>
            </w:r>
            <w:r>
              <w:rPr>
                <w:rFonts w:hint="eastAsia" w:ascii="宋体" w:hAnsi="宋体" w:eastAsia="宋体" w:cs="宋体"/>
                <w:color w:val="000000" w:themeColor="text1"/>
                <w:kern w:val="0"/>
                <w:highlight w:val="none"/>
                <w14:textFill>
                  <w14:solidFill>
                    <w14:schemeClr w14:val="tx1"/>
                  </w14:solidFill>
                </w14:textFill>
              </w:rPr>
              <w:t>8年以下的（从造价注册的初始注册之日起算），</w:t>
            </w:r>
            <w:r>
              <w:rPr>
                <w:rFonts w:hint="eastAsia" w:ascii="宋体" w:hAnsi="宋体" w:cs="宋体"/>
                <w:color w:val="000000" w:themeColor="text1"/>
                <w:kern w:val="0"/>
                <w:highlight w:val="none"/>
                <w:lang w:val="en-US" w:eastAsia="zh-CN"/>
                <w14:textFill>
                  <w14:solidFill>
                    <w14:schemeClr w14:val="tx1"/>
                  </w14:solidFill>
                </w14:textFill>
              </w:rPr>
              <w:t>并</w:t>
            </w:r>
            <w:r>
              <w:rPr>
                <w:rFonts w:hint="eastAsia" w:ascii="宋体" w:hAnsi="宋体" w:eastAsia="宋体" w:cs="宋体"/>
                <w:color w:val="000000" w:themeColor="text1"/>
                <w:kern w:val="0"/>
                <w:highlight w:val="none"/>
                <w14:textFill>
                  <w14:solidFill>
                    <w14:schemeClr w14:val="tx1"/>
                  </w14:solidFill>
                </w14:textFill>
              </w:rPr>
              <w:t>提供响应截止时间前3个月的社会保险参保证明，参保单位须与响应供应商一致，如参保单位为响应供应商总公司［或分公司］或响应供应商母公司［或子公司］，均予以认可；无社保的退休人员须提供与响应供应商签订的劳动合同</w:t>
            </w:r>
            <w:r>
              <w:rPr>
                <w:rFonts w:hint="eastAsia" w:ascii="宋体" w:hAnsi="宋体" w:cs="宋体"/>
                <w:color w:val="000000" w:themeColor="text1"/>
                <w:kern w:val="0"/>
                <w:highlight w:val="none"/>
                <w:lang w:eastAsia="zh-CN"/>
                <w14:textFill>
                  <w14:solidFill>
                    <w14:schemeClr w14:val="tx1"/>
                  </w14:solidFill>
                </w14:textFill>
              </w:rPr>
              <w:t>，</w:t>
            </w:r>
            <w:r>
              <w:rPr>
                <w:rFonts w:hint="eastAsia" w:ascii="宋体" w:hAnsi="宋体" w:eastAsia="宋体" w:cs="宋体"/>
                <w:color w:val="000000" w:themeColor="text1"/>
                <w:kern w:val="0"/>
                <w:highlight w:val="none"/>
                <w14:textFill>
                  <w14:solidFill>
                    <w14:schemeClr w14:val="tx1"/>
                  </w14:solidFill>
                </w14:textFill>
              </w:rPr>
              <w:t>得2分</w:t>
            </w:r>
            <w:r>
              <w:rPr>
                <w:rFonts w:hint="eastAsia" w:ascii="宋体" w:hAnsi="宋体" w:eastAsia="宋体" w:cs="宋体"/>
                <w:color w:val="000000" w:themeColor="text1"/>
                <w:kern w:val="0"/>
                <w:highlight w:val="none"/>
                <w:lang w:val="en-US" w:eastAsia="zh-CN"/>
                <w14:textFill>
                  <w14:solidFill>
                    <w14:schemeClr w14:val="tx1"/>
                  </w14:solidFill>
                </w14:textFill>
              </w:rPr>
              <w:t>。</w:t>
            </w:r>
          </w:p>
        </w:tc>
        <w:tc>
          <w:tcPr>
            <w:tcW w:w="715" w:type="dxa"/>
            <w:noWrap/>
            <w:vAlign w:val="center"/>
          </w:tcPr>
          <w:p w14:paraId="62C1B23C">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3</w:t>
            </w:r>
          </w:p>
        </w:tc>
        <w:tc>
          <w:tcPr>
            <w:tcW w:w="953" w:type="dxa"/>
            <w:noWrap/>
            <w:vAlign w:val="center"/>
          </w:tcPr>
          <w:p w14:paraId="7CC09270">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客观分</w:t>
            </w:r>
          </w:p>
        </w:tc>
      </w:tr>
      <w:tr w14:paraId="38143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749" w:type="dxa"/>
            <w:noWrap/>
            <w:vAlign w:val="center"/>
          </w:tcPr>
          <w:p w14:paraId="07D8FC24">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lang w:val="en"/>
                <w14:textFill>
                  <w14:solidFill>
                    <w14:schemeClr w14:val="tx1"/>
                  </w14:solidFill>
                </w14:textFill>
              </w:rPr>
            </w:pPr>
            <w:r>
              <w:rPr>
                <w:rFonts w:hint="eastAsia" w:ascii="宋体" w:hAnsi="宋体" w:eastAsia="宋体" w:cs="宋体"/>
                <w:color w:val="000000" w:themeColor="text1"/>
                <w:kern w:val="0"/>
                <w:highlight w:val="none"/>
                <w:lang w:val="en"/>
                <w14:textFill>
                  <w14:solidFill>
                    <w14:schemeClr w14:val="tx1"/>
                  </w14:solidFill>
                </w14:textFill>
              </w:rPr>
              <w:t>2</w:t>
            </w:r>
          </w:p>
        </w:tc>
        <w:tc>
          <w:tcPr>
            <w:tcW w:w="1354" w:type="dxa"/>
            <w:noWrap/>
            <w:vAlign w:val="center"/>
          </w:tcPr>
          <w:p w14:paraId="4FD50049">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拟派团队组成员配置</w:t>
            </w:r>
          </w:p>
        </w:tc>
        <w:tc>
          <w:tcPr>
            <w:tcW w:w="5593" w:type="dxa"/>
            <w:noWrap/>
            <w:vAlign w:val="center"/>
          </w:tcPr>
          <w:p w14:paraId="6E95E313">
            <w:pPr>
              <w:keepNext w:val="0"/>
              <w:keepLines w:val="0"/>
              <w:pageBreakBefore w:val="0"/>
              <w:numPr>
                <w:ilvl w:val="0"/>
                <w:numId w:val="0"/>
              </w:numPr>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 xml:space="preserve">2.1 </w:t>
            </w:r>
            <w:r>
              <w:rPr>
                <w:rFonts w:hint="eastAsia" w:ascii="宋体" w:hAnsi="宋体" w:eastAsia="宋体" w:cs="宋体"/>
                <w:color w:val="000000" w:themeColor="text1"/>
                <w:highlight w:val="none"/>
                <w14:textFill>
                  <w14:solidFill>
                    <w14:schemeClr w14:val="tx1"/>
                  </w14:solidFill>
                </w14:textFill>
              </w:rPr>
              <w:t>拟派团队组成员（不含团队负责人）具有注册一级造价工程师（交通运输工程专业）或交通运输部公路甲级造价人员证书</w:t>
            </w:r>
            <w:r>
              <w:rPr>
                <w:rFonts w:hint="eastAsia" w:ascii="宋体" w:hAnsi="宋体" w:eastAsia="宋体" w:cs="宋体"/>
                <w:color w:val="000000" w:themeColor="text1"/>
                <w:highlight w:val="none"/>
                <w:lang w:eastAsia="zh-CN"/>
                <w14:textFill>
                  <w14:solidFill>
                    <w14:schemeClr w14:val="tx1"/>
                  </w14:solidFill>
                </w14:textFill>
              </w:rPr>
              <w:t>或一级造价工程师（土木建筑</w:t>
            </w:r>
            <w:r>
              <w:rPr>
                <w:rFonts w:hint="eastAsia" w:ascii="宋体" w:hAnsi="宋体" w:eastAsia="宋体" w:cs="宋体"/>
                <w:color w:val="000000" w:themeColor="text1"/>
                <w:highlight w:val="none"/>
                <w:lang w:val="en-US" w:eastAsia="zh-CN"/>
                <w14:textFill>
                  <w14:solidFill>
                    <w14:schemeClr w14:val="tx1"/>
                  </w14:solidFill>
                </w14:textFill>
              </w:rPr>
              <w:t>专业</w:t>
            </w:r>
            <w:r>
              <w:rPr>
                <w:rFonts w:hint="eastAsia" w:ascii="宋体" w:hAnsi="宋体" w:eastAsia="宋体" w:cs="宋体"/>
                <w:color w:val="000000" w:themeColor="text1"/>
                <w:highlight w:val="none"/>
                <w:lang w:eastAsia="zh-CN"/>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执业资格的，2人（含）以内不得分；超过2人，每增加1人得1分，最多得</w:t>
            </w:r>
            <w:r>
              <w:rPr>
                <w:rFonts w:hint="eastAsia" w:ascii="宋体" w:hAnsi="宋体" w:eastAsia="宋体" w:cs="宋体"/>
                <w:color w:val="000000" w:themeColor="text1"/>
                <w:highlight w:val="none"/>
                <w:lang w:val="en-US" w:eastAsia="zh-CN"/>
                <w14:textFill>
                  <w14:solidFill>
                    <w14:schemeClr w14:val="tx1"/>
                  </w14:solidFill>
                </w14:textFill>
              </w:rPr>
              <w:t>5</w:t>
            </w:r>
            <w:r>
              <w:rPr>
                <w:rFonts w:hint="eastAsia" w:ascii="宋体" w:hAnsi="宋体" w:eastAsia="宋体" w:cs="宋体"/>
                <w:color w:val="000000" w:themeColor="text1"/>
                <w:highlight w:val="none"/>
                <w14:textFill>
                  <w14:solidFill>
                    <w14:schemeClr w14:val="tx1"/>
                  </w14:solidFill>
                </w14:textFill>
              </w:rPr>
              <w:t>分（同一人员不重复得分）；</w:t>
            </w:r>
          </w:p>
          <w:p w14:paraId="7BD1D328">
            <w:pPr>
              <w:keepNext w:val="0"/>
              <w:keepLines w:val="0"/>
              <w:pageBreakBefore w:val="0"/>
              <w:numPr>
                <w:ilvl w:val="0"/>
                <w:numId w:val="0"/>
              </w:numPr>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 xml:space="preserve">2.2 </w:t>
            </w:r>
            <w:r>
              <w:rPr>
                <w:rFonts w:hint="eastAsia" w:ascii="宋体" w:hAnsi="宋体" w:eastAsia="宋体" w:cs="宋体"/>
                <w:color w:val="000000" w:themeColor="text1"/>
                <w:highlight w:val="none"/>
                <w14:textFill>
                  <w14:solidFill>
                    <w14:schemeClr w14:val="tx1"/>
                  </w14:solidFill>
                </w14:textFill>
              </w:rPr>
              <w:t>拟派团队组成员具有高级职称</w:t>
            </w:r>
            <w:r>
              <w:rPr>
                <w:rFonts w:hint="eastAsia" w:ascii="宋体" w:hAnsi="宋体" w:eastAsia="宋体" w:cs="宋体"/>
                <w:color w:val="000000" w:themeColor="text1"/>
                <w:highlight w:val="none"/>
                <w:lang w:eastAsia="zh-CN"/>
                <w14:textFill>
                  <w14:solidFill>
                    <w14:schemeClr w14:val="tx1"/>
                  </w14:solidFill>
                </w14:textFill>
              </w:rPr>
              <w:t>（公路运输工程或工程造价相关专业）</w:t>
            </w:r>
            <w:r>
              <w:rPr>
                <w:rFonts w:hint="eastAsia" w:ascii="宋体" w:hAnsi="宋体" w:eastAsia="宋体" w:cs="宋体"/>
                <w:color w:val="000000" w:themeColor="text1"/>
                <w:highlight w:val="none"/>
                <w14:textFill>
                  <w14:solidFill>
                    <w14:schemeClr w14:val="tx1"/>
                  </w14:solidFill>
                </w14:textFill>
              </w:rPr>
              <w:t>的，每有1人得1分，最高得</w:t>
            </w:r>
            <w:r>
              <w:rPr>
                <w:rFonts w:hint="eastAsia" w:ascii="宋体" w:hAnsi="宋体" w:eastAsia="宋体"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分。</w:t>
            </w:r>
          </w:p>
          <w:p w14:paraId="610A2593">
            <w:pPr>
              <w:pStyle w:val="2"/>
              <w:keepNext w:val="0"/>
              <w:keepLines w:val="0"/>
              <w:pageBreakBefore w:val="0"/>
              <w:kinsoku/>
              <w:wordWrap/>
              <w:overflowPunct/>
              <w:topLinePunct w:val="0"/>
              <w:bidi w:val="0"/>
              <w:adjustRightInd w:val="0"/>
              <w:snapToGrid w:val="0"/>
              <w:spacing w:line="240" w:lineRule="auto"/>
              <w:rPr>
                <w:rFonts w:hint="eastAsia" w:ascii="宋体" w:hAnsi="宋体" w:cs="宋体" w:eastAsiaTheme="majorEastAsia"/>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上述</w:t>
            </w:r>
            <w:r>
              <w:rPr>
                <w:rFonts w:hint="eastAsia" w:ascii="宋体" w:hAnsi="宋体" w:eastAsia="宋体" w:cs="宋体"/>
                <w:color w:val="000000" w:themeColor="text1"/>
                <w:highlight w:val="none"/>
                <w:lang w:eastAsia="zh-CN"/>
                <w14:textFill>
                  <w14:solidFill>
                    <w14:schemeClr w14:val="tx1"/>
                  </w14:solidFill>
                </w14:textFill>
              </w:rPr>
              <w:t>评分应以注册有效期内执业资格证书、职称证书为准</w:t>
            </w:r>
            <w:r>
              <w:rPr>
                <w:rFonts w:hint="eastAsia" w:ascii="宋体" w:hAnsi="宋体" w:cs="宋体"/>
                <w:color w:val="000000" w:themeColor="text1"/>
                <w:highlight w:val="none"/>
                <w:lang w:eastAsia="zh-CN"/>
                <w14:textFill>
                  <w14:solidFill>
                    <w14:schemeClr w14:val="tx1"/>
                  </w14:solidFill>
                </w14:textFill>
              </w:rPr>
              <w:t>，</w:t>
            </w:r>
            <w:r>
              <w:rPr>
                <w:rFonts w:hint="eastAsia" w:ascii="宋体" w:hAnsi="宋体" w:cs="宋体"/>
                <w:color w:val="000000" w:themeColor="text1"/>
                <w:highlight w:val="none"/>
                <w:lang w:val="en-US" w:eastAsia="zh-CN"/>
                <w14:textFill>
                  <w14:solidFill>
                    <w14:schemeClr w14:val="tx1"/>
                  </w14:solidFill>
                </w14:textFill>
              </w:rPr>
              <w:t>并</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提供响应截止时间前3个月的社会保险参保证明，</w:t>
            </w:r>
            <w:r>
              <w:rPr>
                <w:rFonts w:hint="eastAsia" w:asciiTheme="majorEastAsia" w:hAnsiTheme="majorEastAsia" w:eastAsiaTheme="majorEastAsia" w:cstheme="majorEastAsia"/>
                <w:color w:val="000000" w:themeColor="text1"/>
                <w:highlight w:val="none"/>
                <w14:textFill>
                  <w14:solidFill>
                    <w14:schemeClr w14:val="tx1"/>
                  </w14:solidFill>
                </w14:textFill>
              </w:rPr>
              <w:t>参保单位须与响应供应商一致，如参保单位为响应供应商总公司［或分公司］或响应供应商母公司［或子公司］，均予以认可；无社保的退休人员须提供与响应供应商签订的劳动合同</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w:t>
            </w:r>
          </w:p>
        </w:tc>
        <w:tc>
          <w:tcPr>
            <w:tcW w:w="715" w:type="dxa"/>
            <w:noWrap/>
            <w:vAlign w:val="center"/>
          </w:tcPr>
          <w:p w14:paraId="2DADD437">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8</w:t>
            </w:r>
          </w:p>
        </w:tc>
        <w:tc>
          <w:tcPr>
            <w:tcW w:w="953" w:type="dxa"/>
            <w:noWrap/>
            <w:vAlign w:val="center"/>
          </w:tcPr>
          <w:p w14:paraId="7F64EC85">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客观分</w:t>
            </w:r>
          </w:p>
        </w:tc>
      </w:tr>
      <w:tr w14:paraId="5CEE3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749" w:type="dxa"/>
            <w:noWrap/>
            <w:vAlign w:val="center"/>
          </w:tcPr>
          <w:p w14:paraId="7C754D9E">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lang w:val="en"/>
                <w14:textFill>
                  <w14:solidFill>
                    <w14:schemeClr w14:val="tx1"/>
                  </w14:solidFill>
                </w14:textFill>
              </w:rPr>
            </w:pPr>
            <w:r>
              <w:rPr>
                <w:rFonts w:hint="eastAsia" w:ascii="宋体" w:hAnsi="宋体" w:eastAsia="宋体" w:cs="宋体"/>
                <w:color w:val="000000" w:themeColor="text1"/>
                <w:kern w:val="0"/>
                <w:highlight w:val="none"/>
                <w:lang w:val="en"/>
                <w14:textFill>
                  <w14:solidFill>
                    <w14:schemeClr w14:val="tx1"/>
                  </w14:solidFill>
                </w14:textFill>
              </w:rPr>
              <w:t>3</w:t>
            </w:r>
          </w:p>
        </w:tc>
        <w:tc>
          <w:tcPr>
            <w:tcW w:w="1354" w:type="dxa"/>
            <w:noWrap/>
            <w:vAlign w:val="center"/>
          </w:tcPr>
          <w:p w14:paraId="2135493A">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拟派团队成员的招标代理经验情况</w:t>
            </w:r>
          </w:p>
        </w:tc>
        <w:tc>
          <w:tcPr>
            <w:tcW w:w="5593" w:type="dxa"/>
            <w:noWrap/>
            <w:vAlign w:val="center"/>
          </w:tcPr>
          <w:p w14:paraId="544A618E">
            <w:pPr>
              <w:keepNext w:val="0"/>
              <w:keepLines w:val="0"/>
              <w:pageBreakBefore w:val="0"/>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拟派团队组成员202</w:t>
            </w:r>
            <w:r>
              <w:rPr>
                <w:rFonts w:hint="eastAsia" w:ascii="宋体" w:hAnsi="宋体" w:eastAsia="宋体" w:cs="宋体"/>
                <w:color w:val="000000" w:themeColor="text1"/>
                <w:kern w:val="0"/>
                <w:highlight w:val="none"/>
                <w:lang w:val="en-US" w:eastAsia="zh-CN"/>
                <w14:textFill>
                  <w14:solidFill>
                    <w14:schemeClr w14:val="tx1"/>
                  </w14:solidFill>
                </w14:textFill>
              </w:rPr>
              <w:t>2</w:t>
            </w:r>
            <w:r>
              <w:rPr>
                <w:rFonts w:hint="eastAsia" w:ascii="宋体" w:hAnsi="宋体" w:eastAsia="宋体" w:cs="宋体"/>
                <w:color w:val="000000" w:themeColor="text1"/>
                <w:kern w:val="0"/>
                <w:highlight w:val="none"/>
                <w14:textFill>
                  <w14:solidFill>
                    <w14:schemeClr w14:val="tx1"/>
                  </w14:solidFill>
                </w14:textFill>
              </w:rPr>
              <w:t>年1月1日以来（时间以完成所代理项目的施工中标通知书发出之日为准）在响应供应商单位完成的招标代理的交通类项目业绩：</w:t>
            </w:r>
          </w:p>
          <w:p w14:paraId="220FDD38">
            <w:pPr>
              <w:keepNext w:val="0"/>
              <w:keepLines w:val="0"/>
              <w:pageBreakBefore w:val="0"/>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3.1 施工中标价在500万元及以上项目的，每有1个得1分，最多得3分；</w:t>
            </w:r>
          </w:p>
          <w:p w14:paraId="45D4C335">
            <w:pPr>
              <w:keepNext w:val="0"/>
              <w:keepLines w:val="0"/>
              <w:pageBreakBefore w:val="0"/>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3.2 施工中标价在1000万元及以上项目的，每有1个得2分，最多得6分。</w:t>
            </w:r>
          </w:p>
          <w:p w14:paraId="398F1184">
            <w:pPr>
              <w:keepNext w:val="0"/>
              <w:keepLines w:val="0"/>
              <w:pageBreakBefore w:val="0"/>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（注：3.1 与 3.2 同一项目业绩不重复计分，已在3.2中得分的，则在3.1不计分；每个业绩应同时提供施工中标通知书和相应的代理合同清晰复印件，合同应体现团队组成员并一致，如体现不了团队组成员，需在合同后附团队组成员名单（格式自拟）并由建设单位盖章证明，否则不得分</w:t>
            </w:r>
            <w:r>
              <w:rPr>
                <w:rFonts w:hint="eastAsia" w:ascii="宋体" w:hAnsi="宋体" w:eastAsia="宋体" w:cs="宋体"/>
                <w:color w:val="000000" w:themeColor="text1"/>
                <w:kern w:val="0"/>
                <w:highlight w:val="none"/>
                <w:lang w:eastAsia="zh-CN"/>
                <w14:textFill>
                  <w14:solidFill>
                    <w14:schemeClr w14:val="tx1"/>
                  </w14:solidFill>
                </w14:textFill>
              </w:rPr>
              <w:t>。</w:t>
            </w:r>
            <w:r>
              <w:rPr>
                <w:rFonts w:hint="eastAsia" w:ascii="宋体" w:hAnsi="宋体" w:eastAsia="宋体" w:cs="宋体"/>
                <w:color w:val="000000" w:themeColor="text1"/>
                <w:kern w:val="0"/>
                <w:highlight w:val="none"/>
                <w14:textFill>
                  <w14:solidFill>
                    <w14:schemeClr w14:val="tx1"/>
                  </w14:solidFill>
                </w14:textFill>
              </w:rPr>
              <w:t>）</w:t>
            </w:r>
          </w:p>
        </w:tc>
        <w:tc>
          <w:tcPr>
            <w:tcW w:w="715" w:type="dxa"/>
            <w:noWrap/>
            <w:vAlign w:val="center"/>
          </w:tcPr>
          <w:p w14:paraId="17724201">
            <w:pPr>
              <w:keepNext w:val="0"/>
              <w:keepLines w:val="0"/>
              <w:pageBreakBefore w:val="0"/>
              <w:kinsoku/>
              <w:wordWrap/>
              <w:overflowPunct/>
              <w:topLinePunct w:val="0"/>
              <w:autoSpaceDE w:val="0"/>
              <w:autoSpaceDN w:val="0"/>
              <w:bidi w:val="0"/>
              <w:adjustRightInd w:val="0"/>
              <w:snapToGrid w:val="0"/>
              <w:spacing w:line="240" w:lineRule="auto"/>
              <w:jc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9</w:t>
            </w:r>
          </w:p>
        </w:tc>
        <w:tc>
          <w:tcPr>
            <w:tcW w:w="953" w:type="dxa"/>
            <w:noWrap/>
            <w:vAlign w:val="center"/>
          </w:tcPr>
          <w:p w14:paraId="58717EE1">
            <w:pPr>
              <w:keepNext w:val="0"/>
              <w:keepLines w:val="0"/>
              <w:pageBreakBefore w:val="0"/>
              <w:kinsoku/>
              <w:wordWrap/>
              <w:overflowPunct/>
              <w:topLinePunct w:val="0"/>
              <w:autoSpaceDE w:val="0"/>
              <w:autoSpaceDN w:val="0"/>
              <w:bidi w:val="0"/>
              <w:adjustRightInd w:val="0"/>
              <w:snapToGrid w:val="0"/>
              <w:spacing w:line="240" w:lineRule="auto"/>
              <w:jc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客观分</w:t>
            </w:r>
          </w:p>
        </w:tc>
      </w:tr>
      <w:tr w14:paraId="13584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749" w:type="dxa"/>
            <w:noWrap/>
            <w:vAlign w:val="center"/>
          </w:tcPr>
          <w:p w14:paraId="20A337C1">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lang w:val="en"/>
                <w14:textFill>
                  <w14:solidFill>
                    <w14:schemeClr w14:val="tx1"/>
                  </w14:solidFill>
                </w14:textFill>
              </w:rPr>
            </w:pPr>
            <w:r>
              <w:rPr>
                <w:rFonts w:hint="eastAsia" w:ascii="宋体" w:hAnsi="宋体" w:eastAsia="宋体" w:cs="宋体"/>
                <w:color w:val="000000" w:themeColor="text1"/>
                <w:kern w:val="0"/>
                <w:highlight w:val="none"/>
                <w:lang w:val="en"/>
                <w14:textFill>
                  <w14:solidFill>
                    <w14:schemeClr w14:val="tx1"/>
                  </w14:solidFill>
                </w14:textFill>
              </w:rPr>
              <w:t>4</w:t>
            </w:r>
          </w:p>
        </w:tc>
        <w:tc>
          <w:tcPr>
            <w:tcW w:w="1354" w:type="dxa"/>
            <w:noWrap/>
            <w:vAlign w:val="center"/>
          </w:tcPr>
          <w:p w14:paraId="51E6EFC0">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拟派团队成员的造价咨询经验情况</w:t>
            </w:r>
          </w:p>
        </w:tc>
        <w:tc>
          <w:tcPr>
            <w:tcW w:w="5593" w:type="dxa"/>
            <w:noWrap/>
            <w:vAlign w:val="center"/>
          </w:tcPr>
          <w:p w14:paraId="6763811D">
            <w:pPr>
              <w:keepNext w:val="0"/>
              <w:keepLines w:val="0"/>
              <w:pageBreakBefore w:val="0"/>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拟派团队成员在2022年1月1日以来（时间以咨询报告出具时间为准）在响应供应商单位完成的工程结算（包括交通、土建、市政、绿化工程4个专业）及全过程跟踪领域实践能力的证明材料（咨询报告），经专家组评审，每一份得2分，满分8分。（响应文件中须提供清晰可辨的经各方盖章的最终咨询报告扫描件，咨询报告须体现项目组成员，否则不得分。）</w:t>
            </w:r>
          </w:p>
        </w:tc>
        <w:tc>
          <w:tcPr>
            <w:tcW w:w="715" w:type="dxa"/>
            <w:noWrap/>
            <w:vAlign w:val="center"/>
          </w:tcPr>
          <w:p w14:paraId="0DAB747A">
            <w:pPr>
              <w:keepNext w:val="0"/>
              <w:keepLines w:val="0"/>
              <w:pageBreakBefore w:val="0"/>
              <w:widowControl/>
              <w:kinsoku/>
              <w:wordWrap/>
              <w:overflowPunct/>
              <w:topLinePunct w:val="0"/>
              <w:bidi w:val="0"/>
              <w:adjustRightInd w:val="0"/>
              <w:snapToGrid w:val="0"/>
              <w:spacing w:line="240" w:lineRule="auto"/>
              <w:jc w:val="center"/>
              <w:textAlignment w:val="bottom"/>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kern w:val="0"/>
                <w:highlight w:val="none"/>
                <w:lang w:val="en-US" w:eastAsia="zh-CN" w:bidi="ar"/>
                <w14:textFill>
                  <w14:solidFill>
                    <w14:schemeClr w14:val="tx1"/>
                  </w14:solidFill>
                </w14:textFill>
              </w:rPr>
              <w:t>8</w:t>
            </w:r>
          </w:p>
        </w:tc>
        <w:tc>
          <w:tcPr>
            <w:tcW w:w="953" w:type="dxa"/>
            <w:noWrap/>
            <w:vAlign w:val="center"/>
          </w:tcPr>
          <w:p w14:paraId="66F12FF2">
            <w:pPr>
              <w:keepNext w:val="0"/>
              <w:keepLines w:val="0"/>
              <w:pageBreakBefore w:val="0"/>
              <w:widowControl/>
              <w:kinsoku/>
              <w:wordWrap/>
              <w:overflowPunct/>
              <w:topLinePunct w:val="0"/>
              <w:bidi w:val="0"/>
              <w:adjustRightInd w:val="0"/>
              <w:snapToGrid w:val="0"/>
              <w:spacing w:line="240" w:lineRule="auto"/>
              <w:jc w:val="center"/>
              <w:textAlignment w:val="bottom"/>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kern w:val="0"/>
                <w:highlight w:val="none"/>
                <w:lang w:bidi="ar"/>
                <w14:textFill>
                  <w14:solidFill>
                    <w14:schemeClr w14:val="tx1"/>
                  </w14:solidFill>
                </w14:textFill>
              </w:rPr>
              <w:t>客观分</w:t>
            </w:r>
          </w:p>
        </w:tc>
      </w:tr>
      <w:tr w14:paraId="0BE9D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749" w:type="dxa"/>
            <w:noWrap/>
            <w:vAlign w:val="center"/>
          </w:tcPr>
          <w:p w14:paraId="3483F78A">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5</w:t>
            </w:r>
          </w:p>
        </w:tc>
        <w:tc>
          <w:tcPr>
            <w:tcW w:w="1354" w:type="dxa"/>
            <w:noWrap/>
            <w:vAlign w:val="center"/>
          </w:tcPr>
          <w:p w14:paraId="7750E304">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项目服务实施方案</w:t>
            </w:r>
          </w:p>
        </w:tc>
        <w:tc>
          <w:tcPr>
            <w:tcW w:w="5593" w:type="dxa"/>
            <w:noWrap/>
            <w:vAlign w:val="center"/>
          </w:tcPr>
          <w:p w14:paraId="377B8811">
            <w:pPr>
              <w:keepNext w:val="0"/>
              <w:keepLines w:val="0"/>
              <w:pageBreakBefore w:val="0"/>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kern w:val="0"/>
                <w:highlight w:val="none"/>
                <w:lang w:bidi="ar"/>
                <w14:textFill>
                  <w14:solidFill>
                    <w14:schemeClr w14:val="tx1"/>
                  </w14:solidFill>
                </w14:textFill>
              </w:rPr>
              <w:t>根据供应商提供的招标代理服务方案（6-</w:t>
            </w:r>
            <w:r>
              <w:rPr>
                <w:rFonts w:hint="eastAsia" w:ascii="宋体" w:hAnsi="宋体" w:cs="宋体"/>
                <w:color w:val="000000" w:themeColor="text1"/>
                <w:kern w:val="0"/>
                <w:highlight w:val="none"/>
                <w:lang w:val="en-US" w:eastAsia="zh-CN" w:bidi="ar"/>
                <w14:textFill>
                  <w14:solidFill>
                    <w14:schemeClr w14:val="tx1"/>
                  </w14:solidFill>
                </w14:textFill>
              </w:rPr>
              <w:t>9</w:t>
            </w:r>
            <w:r>
              <w:rPr>
                <w:rFonts w:hint="eastAsia" w:ascii="宋体" w:hAnsi="宋体" w:eastAsia="宋体" w:cs="宋体"/>
                <w:color w:val="000000" w:themeColor="text1"/>
                <w:kern w:val="0"/>
                <w:highlight w:val="none"/>
                <w:lang w:bidi="ar"/>
                <w14:textFill>
                  <w14:solidFill>
                    <w14:schemeClr w14:val="tx1"/>
                  </w14:solidFill>
                </w14:textFill>
              </w:rPr>
              <w:t>分）、竣工结算审核方案（2-</w:t>
            </w:r>
            <w:r>
              <w:rPr>
                <w:rFonts w:hint="eastAsia" w:ascii="宋体" w:hAnsi="宋体" w:cs="宋体"/>
                <w:color w:val="000000" w:themeColor="text1"/>
                <w:kern w:val="0"/>
                <w:highlight w:val="none"/>
                <w:lang w:val="en-US" w:eastAsia="zh-CN" w:bidi="ar"/>
                <w14:textFill>
                  <w14:solidFill>
                    <w14:schemeClr w14:val="tx1"/>
                  </w14:solidFill>
                </w14:textFill>
              </w:rPr>
              <w:t>5</w:t>
            </w:r>
            <w:r>
              <w:rPr>
                <w:rFonts w:hint="eastAsia" w:ascii="宋体" w:hAnsi="宋体" w:eastAsia="宋体" w:cs="宋体"/>
                <w:color w:val="000000" w:themeColor="text1"/>
                <w:kern w:val="0"/>
                <w:highlight w:val="none"/>
                <w:lang w:bidi="ar"/>
                <w14:textFill>
                  <w14:solidFill>
                    <w14:schemeClr w14:val="tx1"/>
                  </w14:solidFill>
                </w14:textFill>
              </w:rPr>
              <w:t>分）、全过程跟踪评审方案（2-</w:t>
            </w:r>
            <w:r>
              <w:rPr>
                <w:rFonts w:hint="eastAsia" w:ascii="宋体" w:hAnsi="宋体" w:cs="宋体"/>
                <w:color w:val="000000" w:themeColor="text1"/>
                <w:kern w:val="0"/>
                <w:highlight w:val="none"/>
                <w:lang w:val="en-US" w:eastAsia="zh-CN" w:bidi="ar"/>
                <w14:textFill>
                  <w14:solidFill>
                    <w14:schemeClr w14:val="tx1"/>
                  </w14:solidFill>
                </w14:textFill>
              </w:rPr>
              <w:t>5</w:t>
            </w:r>
            <w:r>
              <w:rPr>
                <w:rFonts w:hint="eastAsia" w:ascii="宋体" w:hAnsi="宋体" w:eastAsia="宋体" w:cs="宋体"/>
                <w:color w:val="000000" w:themeColor="text1"/>
                <w:kern w:val="0"/>
                <w:highlight w:val="none"/>
                <w:lang w:bidi="ar"/>
                <w14:textFill>
                  <w14:solidFill>
                    <w14:schemeClr w14:val="tx1"/>
                  </w14:solidFill>
                </w14:textFill>
              </w:rPr>
              <w:t>分）、工程量清单及预算、招标控制价等工程造价审核方案（2-</w:t>
            </w:r>
            <w:r>
              <w:rPr>
                <w:rFonts w:hint="eastAsia" w:ascii="宋体" w:hAnsi="宋体" w:cs="宋体"/>
                <w:color w:val="000000" w:themeColor="text1"/>
                <w:kern w:val="0"/>
                <w:highlight w:val="none"/>
                <w:lang w:val="en-US" w:eastAsia="zh-CN" w:bidi="ar"/>
                <w14:textFill>
                  <w14:solidFill>
                    <w14:schemeClr w14:val="tx1"/>
                  </w14:solidFill>
                </w14:textFill>
              </w:rPr>
              <w:t>5</w:t>
            </w:r>
            <w:r>
              <w:rPr>
                <w:rFonts w:hint="eastAsia" w:ascii="宋体" w:hAnsi="宋体" w:eastAsia="宋体" w:cs="宋体"/>
                <w:color w:val="000000" w:themeColor="text1"/>
                <w:kern w:val="0"/>
                <w:highlight w:val="none"/>
                <w:lang w:bidi="ar"/>
                <w14:textFill>
                  <w14:solidFill>
                    <w14:schemeClr w14:val="tx1"/>
                  </w14:solidFill>
                </w14:textFill>
              </w:rPr>
              <w:t>分）综合打分。</w:t>
            </w:r>
          </w:p>
        </w:tc>
        <w:tc>
          <w:tcPr>
            <w:tcW w:w="715" w:type="dxa"/>
            <w:noWrap/>
            <w:vAlign w:val="center"/>
          </w:tcPr>
          <w:p w14:paraId="031EFABA">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lang w:eastAsia="zh-CN"/>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w:t>
            </w:r>
            <w:r>
              <w:rPr>
                <w:rFonts w:hint="eastAsia" w:ascii="宋体" w:hAnsi="宋体" w:cs="宋体"/>
                <w:color w:val="000000" w:themeColor="text1"/>
                <w:kern w:val="0"/>
                <w:highlight w:val="none"/>
                <w:lang w:val="en-US" w:eastAsia="zh-CN"/>
                <w14:textFill>
                  <w14:solidFill>
                    <w14:schemeClr w14:val="tx1"/>
                  </w14:solidFill>
                </w14:textFill>
              </w:rPr>
              <w:t>4</w:t>
            </w:r>
          </w:p>
        </w:tc>
        <w:tc>
          <w:tcPr>
            <w:tcW w:w="953" w:type="dxa"/>
            <w:noWrap/>
            <w:vAlign w:val="center"/>
          </w:tcPr>
          <w:p w14:paraId="66AD3308">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主观分</w:t>
            </w:r>
          </w:p>
        </w:tc>
      </w:tr>
      <w:tr w14:paraId="1D76E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749" w:type="dxa"/>
            <w:noWrap/>
            <w:vAlign w:val="center"/>
          </w:tcPr>
          <w:p w14:paraId="73B0AE76">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6</w:t>
            </w:r>
          </w:p>
        </w:tc>
        <w:tc>
          <w:tcPr>
            <w:tcW w:w="1354" w:type="dxa"/>
            <w:noWrap/>
          </w:tcPr>
          <w:p w14:paraId="76A64D27">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服务质量控制措施</w:t>
            </w:r>
          </w:p>
        </w:tc>
        <w:tc>
          <w:tcPr>
            <w:tcW w:w="5593" w:type="dxa"/>
            <w:noWrap/>
          </w:tcPr>
          <w:p w14:paraId="67776A16">
            <w:pPr>
              <w:keepNext w:val="0"/>
              <w:keepLines w:val="0"/>
              <w:pageBreakBefore w:val="0"/>
              <w:kinsoku/>
              <w:wordWrap/>
              <w:overflowPunct/>
              <w:topLinePunct w:val="0"/>
              <w:bidi w:val="0"/>
              <w:adjustRightInd w:val="0"/>
              <w:snapToGrid w:val="0"/>
              <w:spacing w:line="24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根据供应商提供招标代理与咨询服务质量控制措施的重点与难点、可行性、实用性及合理性等内容综合打分（4-8分）。</w:t>
            </w:r>
          </w:p>
        </w:tc>
        <w:tc>
          <w:tcPr>
            <w:tcW w:w="715" w:type="dxa"/>
            <w:noWrap/>
            <w:vAlign w:val="center"/>
          </w:tcPr>
          <w:p w14:paraId="5F34C09B">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lang w:eastAsia="zh-CN"/>
                <w14:textFill>
                  <w14:solidFill>
                    <w14:schemeClr w14:val="tx1"/>
                  </w14:solidFill>
                </w14:textFill>
              </w:rPr>
            </w:pPr>
            <w:r>
              <w:rPr>
                <w:rFonts w:hint="eastAsia" w:ascii="宋体" w:hAnsi="宋体" w:cs="宋体"/>
                <w:color w:val="000000" w:themeColor="text1"/>
                <w:kern w:val="0"/>
                <w:highlight w:val="none"/>
                <w:lang w:val="en-US" w:eastAsia="zh-CN"/>
                <w14:textFill>
                  <w14:solidFill>
                    <w14:schemeClr w14:val="tx1"/>
                  </w14:solidFill>
                </w14:textFill>
              </w:rPr>
              <w:t>8</w:t>
            </w:r>
          </w:p>
        </w:tc>
        <w:tc>
          <w:tcPr>
            <w:tcW w:w="953" w:type="dxa"/>
            <w:noWrap/>
            <w:vAlign w:val="center"/>
          </w:tcPr>
          <w:p w14:paraId="70C5A1C9">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主观分</w:t>
            </w:r>
          </w:p>
        </w:tc>
      </w:tr>
      <w:tr w14:paraId="3E6EF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749" w:type="dxa"/>
            <w:noWrap/>
            <w:vAlign w:val="center"/>
          </w:tcPr>
          <w:p w14:paraId="41E99CB5">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7</w:t>
            </w:r>
          </w:p>
        </w:tc>
        <w:tc>
          <w:tcPr>
            <w:tcW w:w="1354" w:type="dxa"/>
            <w:noWrap/>
          </w:tcPr>
          <w:p w14:paraId="385D0076">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服务进度控制机制</w:t>
            </w:r>
          </w:p>
        </w:tc>
        <w:tc>
          <w:tcPr>
            <w:tcW w:w="5593" w:type="dxa"/>
            <w:noWrap/>
          </w:tcPr>
          <w:p w14:paraId="60E2D086">
            <w:pPr>
              <w:keepNext w:val="0"/>
              <w:keepLines w:val="0"/>
              <w:pageBreakBefore w:val="0"/>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kern w:val="0"/>
                <w:highlight w:val="none"/>
                <w:lang w:bidi="ar"/>
                <w14:textFill>
                  <w14:solidFill>
                    <w14:schemeClr w14:val="tx1"/>
                  </w14:solidFill>
                </w14:textFill>
              </w:rPr>
            </w:pPr>
            <w:r>
              <w:rPr>
                <w:rFonts w:hint="eastAsia" w:ascii="宋体" w:hAnsi="宋体" w:eastAsia="宋体" w:cs="宋体"/>
                <w:color w:val="000000" w:themeColor="text1"/>
                <w:kern w:val="0"/>
                <w:highlight w:val="none"/>
                <w:lang w:bidi="ar"/>
                <w14:textFill>
                  <w14:solidFill>
                    <w14:schemeClr w14:val="tx1"/>
                  </w14:solidFill>
                </w14:textFill>
              </w:rPr>
              <w:t>根据供应商提供招标代理与咨询服务的进度要求建立进度控制机制综合打分（4-8分）。</w:t>
            </w:r>
          </w:p>
        </w:tc>
        <w:tc>
          <w:tcPr>
            <w:tcW w:w="715" w:type="dxa"/>
            <w:noWrap/>
            <w:vAlign w:val="center"/>
          </w:tcPr>
          <w:p w14:paraId="74A7024D">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lang w:eastAsia="zh-CN"/>
                <w14:textFill>
                  <w14:solidFill>
                    <w14:schemeClr w14:val="tx1"/>
                  </w14:solidFill>
                </w14:textFill>
              </w:rPr>
            </w:pPr>
            <w:r>
              <w:rPr>
                <w:rFonts w:hint="eastAsia" w:ascii="宋体" w:hAnsi="宋体" w:cs="宋体"/>
                <w:color w:val="000000" w:themeColor="text1"/>
                <w:kern w:val="0"/>
                <w:highlight w:val="none"/>
                <w:lang w:val="en-US" w:eastAsia="zh-CN"/>
                <w14:textFill>
                  <w14:solidFill>
                    <w14:schemeClr w14:val="tx1"/>
                  </w14:solidFill>
                </w14:textFill>
              </w:rPr>
              <w:t>8</w:t>
            </w:r>
          </w:p>
        </w:tc>
        <w:tc>
          <w:tcPr>
            <w:tcW w:w="953" w:type="dxa"/>
            <w:noWrap/>
            <w:vAlign w:val="center"/>
          </w:tcPr>
          <w:p w14:paraId="41184F2B">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主观分</w:t>
            </w:r>
          </w:p>
        </w:tc>
      </w:tr>
      <w:tr w14:paraId="70FD9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749" w:type="dxa"/>
            <w:noWrap/>
            <w:vAlign w:val="center"/>
          </w:tcPr>
          <w:p w14:paraId="5443A193">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8</w:t>
            </w:r>
          </w:p>
        </w:tc>
        <w:tc>
          <w:tcPr>
            <w:tcW w:w="1354" w:type="dxa"/>
            <w:noWrap/>
          </w:tcPr>
          <w:p w14:paraId="51FA0CF1">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组织分工与对外协调</w:t>
            </w:r>
          </w:p>
        </w:tc>
        <w:tc>
          <w:tcPr>
            <w:tcW w:w="5593" w:type="dxa"/>
            <w:noWrap/>
          </w:tcPr>
          <w:p w14:paraId="6B316C33">
            <w:pPr>
              <w:keepNext w:val="0"/>
              <w:keepLines w:val="0"/>
              <w:pageBreakBefore w:val="0"/>
              <w:kinsoku/>
              <w:wordWrap/>
              <w:overflowPunct/>
              <w:topLinePunct w:val="0"/>
              <w:bidi w:val="0"/>
              <w:adjustRightInd w:val="0"/>
              <w:snapToGrid w:val="0"/>
              <w:spacing w:line="24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项目组人员安排的合理性，工作职责的明确性，工作界面的清晰性，工作衔接的严密性，及对外的协调（</w:t>
            </w:r>
            <w:r>
              <w:rPr>
                <w:rFonts w:hint="eastAsia" w:ascii="宋体" w:hAnsi="宋体" w:eastAsia="宋体" w:cs="宋体"/>
                <w:color w:val="000000" w:themeColor="text1"/>
                <w:highlight w:val="none"/>
                <w:lang w:val="en-US" w:eastAsia="zh-CN"/>
                <w14:textFill>
                  <w14:solidFill>
                    <w14:schemeClr w14:val="tx1"/>
                  </w14:solidFill>
                </w14:textFill>
              </w:rPr>
              <w:t>4</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lang w:val="en-US" w:eastAsia="zh-CN"/>
                <w14:textFill>
                  <w14:solidFill>
                    <w14:schemeClr w14:val="tx1"/>
                  </w14:solidFill>
                </w14:textFill>
              </w:rPr>
              <w:t>8</w:t>
            </w:r>
            <w:r>
              <w:rPr>
                <w:rFonts w:hint="eastAsia" w:ascii="宋体" w:hAnsi="宋体" w:eastAsia="宋体" w:cs="宋体"/>
                <w:color w:val="000000" w:themeColor="text1"/>
                <w:highlight w:val="none"/>
                <w14:textFill>
                  <w14:solidFill>
                    <w14:schemeClr w14:val="tx1"/>
                  </w14:solidFill>
                </w14:textFill>
              </w:rPr>
              <w:t>分）。</w:t>
            </w:r>
          </w:p>
        </w:tc>
        <w:tc>
          <w:tcPr>
            <w:tcW w:w="715" w:type="dxa"/>
            <w:noWrap/>
            <w:vAlign w:val="center"/>
          </w:tcPr>
          <w:p w14:paraId="1E002026">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lang w:eastAsia="zh-CN"/>
                <w14:textFill>
                  <w14:solidFill>
                    <w14:schemeClr w14:val="tx1"/>
                  </w14:solidFill>
                </w14:textFill>
              </w:rPr>
            </w:pPr>
            <w:r>
              <w:rPr>
                <w:rFonts w:hint="eastAsia" w:ascii="宋体" w:hAnsi="宋体" w:eastAsia="宋体" w:cs="宋体"/>
                <w:color w:val="000000" w:themeColor="text1"/>
                <w:kern w:val="0"/>
                <w:highlight w:val="none"/>
                <w:lang w:val="en-US" w:eastAsia="zh-CN"/>
                <w14:textFill>
                  <w14:solidFill>
                    <w14:schemeClr w14:val="tx1"/>
                  </w14:solidFill>
                </w14:textFill>
              </w:rPr>
              <w:t>8</w:t>
            </w:r>
          </w:p>
        </w:tc>
        <w:tc>
          <w:tcPr>
            <w:tcW w:w="953" w:type="dxa"/>
            <w:noWrap/>
            <w:vAlign w:val="center"/>
          </w:tcPr>
          <w:p w14:paraId="54F39DFE">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主观分</w:t>
            </w:r>
          </w:p>
        </w:tc>
      </w:tr>
      <w:tr w14:paraId="71B6B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749" w:type="dxa"/>
            <w:noWrap/>
            <w:vAlign w:val="center"/>
          </w:tcPr>
          <w:p w14:paraId="08FC174D">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9</w:t>
            </w:r>
          </w:p>
        </w:tc>
        <w:tc>
          <w:tcPr>
            <w:tcW w:w="1354" w:type="dxa"/>
            <w:noWrap/>
            <w:vAlign w:val="center"/>
          </w:tcPr>
          <w:p w14:paraId="0B77EA5D">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后续服务能力</w:t>
            </w:r>
          </w:p>
        </w:tc>
        <w:tc>
          <w:tcPr>
            <w:tcW w:w="5593" w:type="dxa"/>
            <w:noWrap/>
            <w:vAlign w:val="center"/>
          </w:tcPr>
          <w:p w14:paraId="5E519E2D">
            <w:pPr>
              <w:keepNext w:val="0"/>
              <w:keepLines w:val="0"/>
              <w:pageBreakBefore w:val="0"/>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kern w:val="0"/>
                <w:highlight w:val="none"/>
                <w:lang w:bidi="ar"/>
                <w14:textFill>
                  <w14:solidFill>
                    <w14:schemeClr w14:val="tx1"/>
                  </w14:solidFill>
                </w14:textFill>
              </w:rPr>
            </w:pPr>
            <w:r>
              <w:rPr>
                <w:rFonts w:hint="eastAsia" w:ascii="宋体" w:hAnsi="宋体" w:eastAsia="宋体" w:cs="宋体"/>
                <w:color w:val="000000" w:themeColor="text1"/>
                <w:kern w:val="0"/>
                <w:highlight w:val="none"/>
                <w:lang w:bidi="ar"/>
                <w14:textFill>
                  <w14:solidFill>
                    <w14:schemeClr w14:val="tx1"/>
                  </w14:solidFill>
                </w14:textFill>
              </w:rPr>
              <w:t>供应商招标代理后续服务能力，以及服务响应、质量、进度等的承诺情况（3-</w:t>
            </w:r>
            <w:r>
              <w:rPr>
                <w:rFonts w:hint="eastAsia" w:ascii="宋体" w:hAnsi="宋体" w:eastAsia="宋体" w:cs="宋体"/>
                <w:color w:val="000000" w:themeColor="text1"/>
                <w:kern w:val="0"/>
                <w:highlight w:val="none"/>
                <w:lang w:val="en-US" w:eastAsia="zh-CN" w:bidi="ar"/>
                <w14:textFill>
                  <w14:solidFill>
                    <w14:schemeClr w14:val="tx1"/>
                  </w14:solidFill>
                </w14:textFill>
              </w:rPr>
              <w:t>5</w:t>
            </w:r>
            <w:r>
              <w:rPr>
                <w:rFonts w:hint="eastAsia" w:ascii="宋体" w:hAnsi="宋体" w:eastAsia="宋体" w:cs="宋体"/>
                <w:color w:val="000000" w:themeColor="text1"/>
                <w:kern w:val="0"/>
                <w:highlight w:val="none"/>
                <w:lang w:bidi="ar"/>
                <w14:textFill>
                  <w14:solidFill>
                    <w14:schemeClr w14:val="tx1"/>
                  </w14:solidFill>
                </w14:textFill>
              </w:rPr>
              <w:t>分）。</w:t>
            </w:r>
          </w:p>
        </w:tc>
        <w:tc>
          <w:tcPr>
            <w:tcW w:w="715" w:type="dxa"/>
            <w:noWrap/>
            <w:vAlign w:val="center"/>
          </w:tcPr>
          <w:p w14:paraId="7C0B510C">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lang w:eastAsia="zh-CN"/>
                <w14:textFill>
                  <w14:solidFill>
                    <w14:schemeClr w14:val="tx1"/>
                  </w14:solidFill>
                </w14:textFill>
              </w:rPr>
            </w:pPr>
            <w:r>
              <w:rPr>
                <w:rFonts w:hint="eastAsia" w:ascii="宋体" w:hAnsi="宋体" w:eastAsia="宋体" w:cs="宋体"/>
                <w:color w:val="000000" w:themeColor="text1"/>
                <w:kern w:val="0"/>
                <w:highlight w:val="none"/>
                <w:lang w:val="en-US" w:eastAsia="zh-CN"/>
                <w14:textFill>
                  <w14:solidFill>
                    <w14:schemeClr w14:val="tx1"/>
                  </w14:solidFill>
                </w14:textFill>
              </w:rPr>
              <w:t>5</w:t>
            </w:r>
          </w:p>
        </w:tc>
        <w:tc>
          <w:tcPr>
            <w:tcW w:w="953" w:type="dxa"/>
            <w:noWrap/>
            <w:vAlign w:val="center"/>
          </w:tcPr>
          <w:p w14:paraId="76D4F0DD">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主观分</w:t>
            </w:r>
          </w:p>
        </w:tc>
      </w:tr>
      <w:tr w14:paraId="78F0C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749" w:type="dxa"/>
            <w:noWrap/>
            <w:vAlign w:val="center"/>
          </w:tcPr>
          <w:p w14:paraId="0B20CF93">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10</w:t>
            </w:r>
          </w:p>
        </w:tc>
        <w:tc>
          <w:tcPr>
            <w:tcW w:w="1354" w:type="dxa"/>
            <w:noWrap/>
            <w:vAlign w:val="center"/>
          </w:tcPr>
          <w:p w14:paraId="4E30F844">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合理化建议</w:t>
            </w:r>
          </w:p>
        </w:tc>
        <w:tc>
          <w:tcPr>
            <w:tcW w:w="5593" w:type="dxa"/>
            <w:noWrap/>
            <w:vAlign w:val="center"/>
          </w:tcPr>
          <w:p w14:paraId="196A586D">
            <w:pPr>
              <w:keepNext w:val="0"/>
              <w:keepLines w:val="0"/>
              <w:pageBreakBefore w:val="0"/>
              <w:kinsoku/>
              <w:wordWrap/>
              <w:overflowPunct/>
              <w:topLinePunct w:val="0"/>
              <w:bidi w:val="0"/>
              <w:adjustRightInd w:val="0"/>
              <w:snapToGrid w:val="0"/>
              <w:spacing w:line="240" w:lineRule="auto"/>
              <w:jc w:val="lef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针对政府投资项目招标代理与造价咨询业务特点提出合理化建议，科学严谨、系统完整，且具可操作性</w:t>
            </w:r>
            <w:r>
              <w:rPr>
                <w:rFonts w:hint="eastAsia" w:ascii="宋体" w:hAnsi="宋体" w:eastAsia="宋体" w:cs="宋体"/>
                <w:color w:val="000000" w:themeColor="text1"/>
                <w:highlight w:val="none"/>
                <w:lang w:eastAsia="zh-CN"/>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经专家组评审每一条得</w:t>
            </w:r>
            <w:r>
              <w:rPr>
                <w:rFonts w:hint="eastAsia" w:ascii="宋体" w:hAnsi="宋体" w:eastAsia="宋体" w:cs="宋体"/>
                <w:color w:val="000000" w:themeColor="text1"/>
                <w:highlight w:val="none"/>
                <w:lang w:val="en-US" w:eastAsia="zh-CN"/>
                <w14:textFill>
                  <w14:solidFill>
                    <w14:schemeClr w14:val="tx1"/>
                  </w14:solidFill>
                </w14:textFill>
              </w:rPr>
              <w:t>1</w:t>
            </w:r>
            <w:r>
              <w:rPr>
                <w:rFonts w:hint="eastAsia" w:ascii="宋体" w:hAnsi="宋体" w:eastAsia="宋体" w:cs="宋体"/>
                <w:color w:val="000000" w:themeColor="text1"/>
                <w:highlight w:val="none"/>
                <w14:textFill>
                  <w14:solidFill>
                    <w14:schemeClr w14:val="tx1"/>
                  </w14:solidFill>
                </w14:textFill>
              </w:rPr>
              <w:t>分，最高得</w:t>
            </w:r>
            <w:r>
              <w:rPr>
                <w:rFonts w:hint="eastAsia" w:ascii="宋体" w:hAnsi="宋体" w:eastAsia="宋体"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分。</w:t>
            </w:r>
          </w:p>
        </w:tc>
        <w:tc>
          <w:tcPr>
            <w:tcW w:w="715" w:type="dxa"/>
            <w:noWrap/>
            <w:vAlign w:val="center"/>
          </w:tcPr>
          <w:p w14:paraId="65682213">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lang w:eastAsia="zh-CN"/>
                <w14:textFill>
                  <w14:solidFill>
                    <w14:schemeClr w14:val="tx1"/>
                  </w14:solidFill>
                </w14:textFill>
              </w:rPr>
            </w:pPr>
            <w:r>
              <w:rPr>
                <w:rFonts w:hint="eastAsia" w:ascii="宋体" w:hAnsi="宋体" w:eastAsia="宋体" w:cs="宋体"/>
                <w:color w:val="000000" w:themeColor="text1"/>
                <w:kern w:val="0"/>
                <w:highlight w:val="none"/>
                <w:lang w:val="en-US" w:eastAsia="zh-CN"/>
                <w14:textFill>
                  <w14:solidFill>
                    <w14:schemeClr w14:val="tx1"/>
                  </w14:solidFill>
                </w14:textFill>
              </w:rPr>
              <w:t>3</w:t>
            </w:r>
          </w:p>
        </w:tc>
        <w:tc>
          <w:tcPr>
            <w:tcW w:w="953" w:type="dxa"/>
            <w:noWrap/>
            <w:vAlign w:val="center"/>
          </w:tcPr>
          <w:p w14:paraId="0A561022">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主观分</w:t>
            </w:r>
          </w:p>
        </w:tc>
      </w:tr>
      <w:tr w14:paraId="63425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90" w:hRule="atLeast"/>
          <w:jc w:val="center"/>
        </w:trPr>
        <w:tc>
          <w:tcPr>
            <w:tcW w:w="749" w:type="dxa"/>
            <w:noWrap/>
            <w:vAlign w:val="center"/>
          </w:tcPr>
          <w:p w14:paraId="47D5A90E">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11</w:t>
            </w:r>
          </w:p>
        </w:tc>
        <w:tc>
          <w:tcPr>
            <w:tcW w:w="1354" w:type="dxa"/>
            <w:noWrap/>
            <w:vAlign w:val="center"/>
          </w:tcPr>
          <w:p w14:paraId="0E15AE63">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廉政措施</w:t>
            </w:r>
          </w:p>
        </w:tc>
        <w:tc>
          <w:tcPr>
            <w:tcW w:w="5593" w:type="dxa"/>
            <w:noWrap/>
            <w:vAlign w:val="center"/>
          </w:tcPr>
          <w:p w14:paraId="446437B4">
            <w:pPr>
              <w:keepNext w:val="0"/>
              <w:keepLines w:val="0"/>
              <w:pageBreakBefore w:val="0"/>
              <w:kinsoku/>
              <w:wordWrap/>
              <w:overflowPunct/>
              <w:topLinePunct w:val="0"/>
              <w:bidi w:val="0"/>
              <w:adjustRightInd w:val="0"/>
              <w:snapToGrid w:val="0"/>
              <w:spacing w:line="240" w:lineRule="auto"/>
              <w:jc w:val="left"/>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对审核人员廉洁方面的控制及采取的措施，得0-2分。</w:t>
            </w:r>
          </w:p>
        </w:tc>
        <w:tc>
          <w:tcPr>
            <w:tcW w:w="715" w:type="dxa"/>
            <w:noWrap/>
            <w:vAlign w:val="center"/>
          </w:tcPr>
          <w:p w14:paraId="0AD932DD">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w:t>
            </w:r>
          </w:p>
        </w:tc>
        <w:tc>
          <w:tcPr>
            <w:tcW w:w="953" w:type="dxa"/>
            <w:noWrap/>
            <w:vAlign w:val="center"/>
          </w:tcPr>
          <w:p w14:paraId="07D434E2">
            <w:pPr>
              <w:keepNext w:val="0"/>
              <w:keepLines w:val="0"/>
              <w:pageBreakBefore w:val="0"/>
              <w:widowControl/>
              <w:kinsoku/>
              <w:wordWrap/>
              <w:overflowPunct/>
              <w:topLinePunct w:val="0"/>
              <w:bidi w:val="0"/>
              <w:adjustRightInd w:val="0"/>
              <w:snapToGrid w:val="0"/>
              <w:spacing w:line="240" w:lineRule="auto"/>
              <w:jc w:val="center"/>
              <w:textAlignment w:val="center"/>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主观分</w:t>
            </w:r>
          </w:p>
        </w:tc>
      </w:tr>
      <w:tr w14:paraId="5A7C1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9364" w:type="dxa"/>
            <w:gridSpan w:val="5"/>
            <w:noWrap/>
            <w:vAlign w:val="center"/>
          </w:tcPr>
          <w:p w14:paraId="10D8A188">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t>商务资信及其他分（4分）</w:t>
            </w:r>
          </w:p>
        </w:tc>
      </w:tr>
      <w:tr w14:paraId="77ABB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66" w:hRule="atLeast"/>
          <w:jc w:val="center"/>
        </w:trPr>
        <w:tc>
          <w:tcPr>
            <w:tcW w:w="749" w:type="dxa"/>
            <w:noWrap/>
            <w:vAlign w:val="center"/>
          </w:tcPr>
          <w:p w14:paraId="0659186A">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序号</w:t>
            </w:r>
          </w:p>
        </w:tc>
        <w:tc>
          <w:tcPr>
            <w:tcW w:w="1354" w:type="dxa"/>
            <w:noWrap/>
            <w:vAlign w:val="center"/>
          </w:tcPr>
          <w:p w14:paraId="67E8C2EF">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类别</w:t>
            </w:r>
          </w:p>
        </w:tc>
        <w:tc>
          <w:tcPr>
            <w:tcW w:w="5593" w:type="dxa"/>
            <w:noWrap/>
            <w:vAlign w:val="center"/>
          </w:tcPr>
          <w:p w14:paraId="249B4013">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内容</w:t>
            </w:r>
          </w:p>
        </w:tc>
        <w:tc>
          <w:tcPr>
            <w:tcW w:w="715" w:type="dxa"/>
            <w:noWrap/>
            <w:vAlign w:val="center"/>
          </w:tcPr>
          <w:p w14:paraId="16FA5156">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分值</w:t>
            </w:r>
          </w:p>
        </w:tc>
        <w:tc>
          <w:tcPr>
            <w:tcW w:w="953" w:type="dxa"/>
            <w:noWrap/>
            <w:vAlign w:val="center"/>
          </w:tcPr>
          <w:p w14:paraId="12897B21">
            <w:pPr>
              <w:keepNext w:val="0"/>
              <w:keepLines w:val="0"/>
              <w:pageBreakBefore w:val="0"/>
              <w:kinsoku/>
              <w:wordWrap/>
              <w:overflowPunct/>
              <w:topLinePunct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备注</w:t>
            </w:r>
          </w:p>
        </w:tc>
      </w:tr>
      <w:tr w14:paraId="758F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749" w:type="dxa"/>
            <w:noWrap/>
            <w:vAlign w:val="center"/>
          </w:tcPr>
          <w:p w14:paraId="2776B4C9">
            <w:pPr>
              <w:keepNext w:val="0"/>
              <w:keepLines w:val="0"/>
              <w:pageBreakBefore w:val="0"/>
              <w:kinsoku/>
              <w:wordWrap/>
              <w:overflowPunct/>
              <w:topLinePunct w:val="0"/>
              <w:autoSpaceDE w:val="0"/>
              <w:autoSpaceDN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w:t>
            </w:r>
          </w:p>
        </w:tc>
        <w:tc>
          <w:tcPr>
            <w:tcW w:w="1354" w:type="dxa"/>
            <w:noWrap/>
            <w:vAlign w:val="center"/>
          </w:tcPr>
          <w:p w14:paraId="16E2E212">
            <w:pPr>
              <w:keepNext w:val="0"/>
              <w:keepLines w:val="0"/>
              <w:pageBreakBefore w:val="0"/>
              <w:kinsoku/>
              <w:wordWrap/>
              <w:overflowPunct/>
              <w:topLinePunct w:val="0"/>
              <w:autoSpaceDE w:val="0"/>
              <w:autoSpaceDN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承诺误差率</w:t>
            </w:r>
          </w:p>
        </w:tc>
        <w:tc>
          <w:tcPr>
            <w:tcW w:w="5593" w:type="dxa"/>
            <w:noWrap/>
            <w:vAlign w:val="center"/>
          </w:tcPr>
          <w:p w14:paraId="08DF5AB9">
            <w:pPr>
              <w:keepNext w:val="0"/>
              <w:keepLines w:val="0"/>
              <w:pageBreakBefore w:val="0"/>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承诺误差率在1.5%（含）以内的得2分，承诺误差率在1.5%（不含）-2.0%（不含）的得1分，不承诺或超过2%的不得分。</w:t>
            </w:r>
          </w:p>
        </w:tc>
        <w:tc>
          <w:tcPr>
            <w:tcW w:w="715" w:type="dxa"/>
            <w:noWrap/>
            <w:vAlign w:val="center"/>
          </w:tcPr>
          <w:p w14:paraId="39FE0157">
            <w:pPr>
              <w:keepNext w:val="0"/>
              <w:keepLines w:val="0"/>
              <w:pageBreakBefore w:val="0"/>
              <w:kinsoku/>
              <w:wordWrap/>
              <w:overflowPunct/>
              <w:topLinePunct w:val="0"/>
              <w:autoSpaceDE w:val="0"/>
              <w:autoSpaceDN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p>
        </w:tc>
        <w:tc>
          <w:tcPr>
            <w:tcW w:w="953" w:type="dxa"/>
            <w:noWrap/>
            <w:vAlign w:val="center"/>
          </w:tcPr>
          <w:p w14:paraId="5F4BE0BD">
            <w:pPr>
              <w:keepNext w:val="0"/>
              <w:keepLines w:val="0"/>
              <w:pageBreakBefore w:val="0"/>
              <w:kinsoku/>
              <w:wordWrap/>
              <w:overflowPunct/>
              <w:topLinePunct w:val="0"/>
              <w:autoSpaceDE w:val="0"/>
              <w:autoSpaceDN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客观分</w:t>
            </w:r>
          </w:p>
        </w:tc>
      </w:tr>
      <w:tr w14:paraId="63F31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749" w:type="dxa"/>
            <w:noWrap/>
            <w:vAlign w:val="center"/>
          </w:tcPr>
          <w:p w14:paraId="4FED2BA9">
            <w:pPr>
              <w:keepNext w:val="0"/>
              <w:keepLines w:val="0"/>
              <w:pageBreakBefore w:val="0"/>
              <w:kinsoku/>
              <w:wordWrap/>
              <w:overflowPunct/>
              <w:topLinePunct w:val="0"/>
              <w:autoSpaceDE w:val="0"/>
              <w:autoSpaceDN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p>
        </w:tc>
        <w:tc>
          <w:tcPr>
            <w:tcW w:w="1354" w:type="dxa"/>
            <w:noWrap/>
            <w:vAlign w:val="center"/>
          </w:tcPr>
          <w:p w14:paraId="35713F68">
            <w:pPr>
              <w:keepNext w:val="0"/>
              <w:keepLines w:val="0"/>
              <w:pageBreakBefore w:val="0"/>
              <w:kinsoku/>
              <w:wordWrap/>
              <w:overflowPunct/>
              <w:topLinePunct w:val="0"/>
              <w:autoSpaceDE w:val="0"/>
              <w:autoSpaceDN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诚信分</w:t>
            </w:r>
          </w:p>
        </w:tc>
        <w:tc>
          <w:tcPr>
            <w:tcW w:w="5593" w:type="dxa"/>
            <w:noWrap/>
            <w:vAlign w:val="center"/>
          </w:tcPr>
          <w:p w14:paraId="230BDB27">
            <w:pPr>
              <w:keepNext w:val="0"/>
              <w:keepLines w:val="0"/>
              <w:pageBreakBefore w:val="0"/>
              <w:kinsoku/>
              <w:wordWrap/>
              <w:overflowPunct/>
              <w:topLinePunct w:val="0"/>
              <w:autoSpaceDE w:val="0"/>
              <w:autoSpaceDN w:val="0"/>
              <w:bidi w:val="0"/>
              <w:adjustRightInd w:val="0"/>
              <w:snapToGrid w:val="0"/>
              <w:spacing w:line="240" w:lineRule="auto"/>
              <w:jc w:val="lef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凡在征集截止时间前三年受到行政处罚、行政处理(含通报)或记入不良行为的，此项得分为0；若无处罚、行政处理(含通)报)或记入不良行为的得2分(供应商自行提供承诺函，不提供承诺函的得0分，如有不良记录又虚假承诺的，一经发现将取消入围资格并报监管部门依法处理)。</w:t>
            </w:r>
          </w:p>
        </w:tc>
        <w:tc>
          <w:tcPr>
            <w:tcW w:w="715" w:type="dxa"/>
            <w:noWrap/>
            <w:vAlign w:val="center"/>
          </w:tcPr>
          <w:p w14:paraId="154BAFF3">
            <w:pPr>
              <w:keepNext w:val="0"/>
              <w:keepLines w:val="0"/>
              <w:pageBreakBefore w:val="0"/>
              <w:kinsoku/>
              <w:wordWrap/>
              <w:overflowPunct/>
              <w:topLinePunct w:val="0"/>
              <w:autoSpaceDE w:val="0"/>
              <w:autoSpaceDN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p>
        </w:tc>
        <w:tc>
          <w:tcPr>
            <w:tcW w:w="953" w:type="dxa"/>
            <w:noWrap/>
            <w:vAlign w:val="center"/>
          </w:tcPr>
          <w:p w14:paraId="4AF3FC49">
            <w:pPr>
              <w:keepNext w:val="0"/>
              <w:keepLines w:val="0"/>
              <w:pageBreakBefore w:val="0"/>
              <w:kinsoku/>
              <w:wordWrap/>
              <w:overflowPunct/>
              <w:topLinePunct w:val="0"/>
              <w:autoSpaceDE w:val="0"/>
              <w:autoSpaceDN w:val="0"/>
              <w:bidi w:val="0"/>
              <w:adjustRightInd w:val="0"/>
              <w:snapToGrid w:val="0"/>
              <w:spacing w:line="24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客观分</w:t>
            </w:r>
          </w:p>
        </w:tc>
      </w:tr>
      <w:bookmarkEnd w:id="0"/>
      <w:bookmarkEnd w:id="1"/>
      <w:bookmarkEnd w:id="3"/>
      <w:bookmarkEnd w:id="38"/>
      <w:bookmarkEnd w:id="39"/>
      <w:bookmarkEnd w:id="40"/>
      <w:bookmarkEnd w:id="41"/>
    </w:tbl>
    <w:p w14:paraId="58B4B6D8">
      <w:pPr>
        <w:jc w:val="left"/>
        <w:rPr>
          <w:rFonts w:asciiTheme="majorEastAsia" w:hAnsiTheme="majorEastAsia" w:eastAsiaTheme="majorEastAsia" w:cstheme="majorEastAsia"/>
          <w:color w:val="000000" w:themeColor="text1"/>
          <w:sz w:val="28"/>
          <w:szCs w:val="28"/>
          <w:highlight w:val="none"/>
          <w14:textFill>
            <w14:solidFill>
              <w14:schemeClr w14:val="tx1"/>
            </w14:solidFill>
          </w14:textFill>
        </w:rPr>
      </w:pPr>
      <w:bookmarkStart w:id="94" w:name="_Toc455"/>
      <w:bookmarkStart w:id="95" w:name="_Toc12032"/>
    </w:p>
    <w:p w14:paraId="6A796ACF">
      <w:pPr>
        <w:jc w:val="left"/>
        <w:rPr>
          <w:rFonts w:hint="eastAsia" w:asciiTheme="majorEastAsia" w:hAnsiTheme="majorEastAsia" w:eastAsiaTheme="majorEastAsia" w:cstheme="majorEastAsia"/>
          <w:color w:val="000000" w:themeColor="text1"/>
          <w:sz w:val="28"/>
          <w:szCs w:val="28"/>
          <w:highlight w:val="none"/>
          <w:lang w:val="en-US" w:eastAsia="zh-CN"/>
          <w14:textFill>
            <w14:solidFill>
              <w14:schemeClr w14:val="tx1"/>
            </w14:solidFill>
          </w14:textFill>
        </w:rPr>
      </w:pPr>
      <w:r>
        <w:rPr>
          <w:rFonts w:asciiTheme="majorEastAsia" w:hAnsiTheme="majorEastAsia" w:eastAsiaTheme="majorEastAsia" w:cstheme="majorEastAsia"/>
          <w:color w:val="000000" w:themeColor="text1"/>
          <w:sz w:val="28"/>
          <w:szCs w:val="28"/>
          <w:highlight w:val="none"/>
          <w14:textFill>
            <w14:solidFill>
              <w14:schemeClr w14:val="tx1"/>
            </w14:solidFill>
          </w14:textFill>
        </w:rPr>
        <w:t>备注：上述缺项</w:t>
      </w:r>
      <w:r>
        <w:rPr>
          <w:rFonts w:hint="eastAsia" w:asciiTheme="majorEastAsia" w:hAnsiTheme="majorEastAsia" w:eastAsiaTheme="majorEastAsia" w:cstheme="majorEastAsia"/>
          <w:color w:val="000000" w:themeColor="text1"/>
          <w:sz w:val="28"/>
          <w:szCs w:val="28"/>
          <w:highlight w:val="none"/>
          <w14:textFill>
            <w14:solidFill>
              <w14:schemeClr w14:val="tx1"/>
            </w14:solidFill>
          </w14:textFill>
        </w:rPr>
        <w:t>得零分</w:t>
      </w:r>
      <w:r>
        <w:rPr>
          <w:rFonts w:hint="eastAsia" w:asciiTheme="majorEastAsia" w:hAnsiTheme="majorEastAsia" w:eastAsiaTheme="majorEastAsia" w:cstheme="majorEastAsia"/>
          <w:color w:val="000000" w:themeColor="text1"/>
          <w:sz w:val="28"/>
          <w:szCs w:val="28"/>
          <w:highlight w:val="none"/>
          <w:lang w:eastAsia="zh-CN"/>
          <w14:textFill>
            <w14:solidFill>
              <w14:schemeClr w14:val="tx1"/>
            </w14:solidFill>
          </w14:textFill>
        </w:rPr>
        <w:t>。</w:t>
      </w:r>
    </w:p>
    <w:p w14:paraId="3F58D0CC">
      <w:pPr>
        <w:pStyle w:val="3"/>
        <w:tabs>
          <w:tab w:val="left" w:pos="2142"/>
        </w:tabs>
        <w:jc w:val="lef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ab/>
      </w:r>
    </w:p>
    <w:p w14:paraId="1ADEC0C1">
      <w:pPr>
        <w:rPr>
          <w:rFonts w:asciiTheme="majorEastAsia" w:hAnsiTheme="majorEastAsia" w:eastAsiaTheme="majorEastAsia" w:cstheme="majorEastAsia"/>
          <w:color w:val="000000" w:themeColor="text1"/>
          <w:highlight w:val="none"/>
          <w14:textFill>
            <w14:solidFill>
              <w14:schemeClr w14:val="tx1"/>
            </w14:solidFill>
          </w14:textFill>
        </w:rPr>
      </w:pPr>
    </w:p>
    <w:p w14:paraId="6B96CFE6">
      <w:pPr>
        <w:pStyle w:val="12"/>
        <w:rPr>
          <w:rFonts w:asciiTheme="majorEastAsia" w:hAnsiTheme="majorEastAsia" w:eastAsiaTheme="majorEastAsia" w:cstheme="majorEastAsia"/>
          <w:color w:val="000000" w:themeColor="text1"/>
          <w:highlight w:val="none"/>
          <w14:textFill>
            <w14:solidFill>
              <w14:schemeClr w14:val="tx1"/>
            </w14:solidFill>
          </w14:textFill>
        </w:rPr>
      </w:pPr>
    </w:p>
    <w:p w14:paraId="4C11D99D">
      <w:pPr>
        <w:pStyle w:val="24"/>
        <w:ind w:left="480" w:firstLine="404"/>
        <w:rPr>
          <w:rFonts w:asciiTheme="majorEastAsia" w:hAnsiTheme="majorEastAsia" w:eastAsiaTheme="majorEastAsia" w:cstheme="majorEastAsia"/>
          <w:color w:val="000000" w:themeColor="text1"/>
          <w:highlight w:val="none"/>
          <w14:textFill>
            <w14:solidFill>
              <w14:schemeClr w14:val="tx1"/>
            </w14:solidFill>
          </w14:textFill>
        </w:rPr>
      </w:pPr>
    </w:p>
    <w:p w14:paraId="43695BD4">
      <w:pPr>
        <w:pStyle w:val="24"/>
        <w:ind w:left="480" w:firstLine="404"/>
        <w:rPr>
          <w:rFonts w:asciiTheme="majorEastAsia" w:hAnsiTheme="majorEastAsia" w:eastAsiaTheme="majorEastAsia" w:cstheme="majorEastAsia"/>
          <w:color w:val="000000" w:themeColor="text1"/>
          <w:highlight w:val="none"/>
          <w14:textFill>
            <w14:solidFill>
              <w14:schemeClr w14:val="tx1"/>
            </w14:solidFill>
          </w14:textFill>
        </w:rPr>
      </w:pPr>
    </w:p>
    <w:p w14:paraId="222E98CF">
      <w:pPr>
        <w:pStyle w:val="24"/>
        <w:ind w:left="480" w:firstLine="404"/>
        <w:rPr>
          <w:rFonts w:asciiTheme="majorEastAsia" w:hAnsiTheme="majorEastAsia" w:eastAsiaTheme="majorEastAsia" w:cstheme="majorEastAsia"/>
          <w:color w:val="000000" w:themeColor="text1"/>
          <w:highlight w:val="none"/>
          <w14:textFill>
            <w14:solidFill>
              <w14:schemeClr w14:val="tx1"/>
            </w14:solidFill>
          </w14:textFill>
        </w:rPr>
      </w:pPr>
    </w:p>
    <w:p w14:paraId="34FD0F3A">
      <w:pPr>
        <w:pStyle w:val="3"/>
        <w:jc w:val="both"/>
        <w:rPr>
          <w:rFonts w:asciiTheme="majorEastAsia" w:hAnsiTheme="majorEastAsia" w:eastAsiaTheme="majorEastAsia" w:cstheme="majorEastAsia"/>
          <w:color w:val="000000" w:themeColor="text1"/>
          <w:highlight w:val="none"/>
          <w14:textFill>
            <w14:solidFill>
              <w14:schemeClr w14:val="tx1"/>
            </w14:solidFill>
          </w14:textFill>
        </w:rPr>
      </w:pPr>
      <w:r>
        <w:rPr>
          <w:rFonts w:asciiTheme="majorEastAsia" w:hAnsiTheme="majorEastAsia" w:eastAsiaTheme="majorEastAsia" w:cstheme="majorEastAsia"/>
          <w:color w:val="000000" w:themeColor="text1"/>
          <w:highlight w:val="none"/>
          <w14:textFill>
            <w14:solidFill>
              <w14:schemeClr w14:val="tx1"/>
            </w14:solidFill>
          </w14:textFill>
        </w:rPr>
        <w:br w:type="page"/>
      </w:r>
    </w:p>
    <w:p w14:paraId="35FFBCB9">
      <w:pPr>
        <w:pStyle w:val="3"/>
        <w:keepNext/>
        <w:keepLines/>
        <w:pageBreakBefore w:val="0"/>
        <w:widowControl w:val="0"/>
        <w:kinsoku/>
        <w:wordWrap/>
        <w:overflowPunct/>
        <w:topLinePunct w:val="0"/>
        <w:autoSpaceDE/>
        <w:autoSpaceDN/>
        <w:bidi w:val="0"/>
        <w:adjustRightInd/>
        <w:snapToGrid/>
        <w:spacing w:before="0" w:beforeLines="50" w:after="0" w:afterLines="50"/>
        <w:textAlignment w:val="auto"/>
        <w:rPr>
          <w:rFonts w:asciiTheme="majorEastAsia" w:hAnsiTheme="majorEastAsia" w:eastAsiaTheme="majorEastAsia" w:cstheme="majorEastAsia"/>
          <w:color w:val="000000" w:themeColor="text1"/>
          <w:sz w:val="32"/>
          <w:szCs w:val="32"/>
          <w:highlight w:val="none"/>
          <w14:textFill>
            <w14:solidFill>
              <w14:schemeClr w14:val="tx1"/>
            </w14:solidFill>
          </w14:textFill>
        </w:rPr>
      </w:pPr>
      <w:bookmarkStart w:id="96" w:name="_Toc28611"/>
      <w:r>
        <w:rPr>
          <w:rFonts w:hint="eastAsia" w:asciiTheme="majorEastAsia" w:hAnsiTheme="majorEastAsia" w:eastAsiaTheme="majorEastAsia" w:cstheme="majorEastAsia"/>
          <w:color w:val="000000" w:themeColor="text1"/>
          <w:sz w:val="32"/>
          <w:szCs w:val="32"/>
          <w:highlight w:val="none"/>
          <w14:textFill>
            <w14:solidFill>
              <w14:schemeClr w14:val="tx1"/>
            </w14:solidFill>
          </w14:textFill>
        </w:rPr>
        <w:t>第五章  框架协议主要条款</w:t>
      </w:r>
      <w:bookmarkEnd w:id="94"/>
      <w:bookmarkEnd w:id="95"/>
      <w:bookmarkEnd w:id="96"/>
    </w:p>
    <w:p w14:paraId="60CB69CF">
      <w:pPr>
        <w:spacing w:line="360" w:lineRule="auto"/>
        <w:ind w:firstLine="602" w:firstLineChars="200"/>
        <w:jc w:val="center"/>
        <w:rPr>
          <w:rFonts w:asciiTheme="majorEastAsia" w:hAnsiTheme="majorEastAsia" w:eastAsiaTheme="majorEastAsia" w:cstheme="majorEastAsia"/>
          <w:color w:val="000000" w:themeColor="text1"/>
          <w:sz w:val="30"/>
          <w:szCs w:val="30"/>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30"/>
          <w:szCs w:val="30"/>
          <w:highlight w:val="none"/>
          <w14:textFill>
            <w14:solidFill>
              <w14:schemeClr w14:val="tx1"/>
            </w14:solidFill>
          </w14:textFill>
        </w:rPr>
        <w:t>嘉兴市南湖区交通运输局</w:t>
      </w:r>
      <w:r>
        <w:rPr>
          <w:rFonts w:hint="eastAsia" w:asciiTheme="majorEastAsia" w:hAnsiTheme="majorEastAsia" w:eastAsiaTheme="majorEastAsia" w:cstheme="majorEastAsia"/>
          <w:b/>
          <w:color w:val="000000" w:themeColor="text1"/>
          <w:sz w:val="30"/>
          <w:szCs w:val="30"/>
          <w:highlight w:val="none"/>
          <w:lang w:eastAsia="zh-CN"/>
          <w14:textFill>
            <w14:solidFill>
              <w14:schemeClr w14:val="tx1"/>
            </w14:solidFill>
          </w14:textFill>
        </w:rPr>
        <w:t>2025-2027</w:t>
      </w:r>
      <w:r>
        <w:rPr>
          <w:rFonts w:hint="eastAsia" w:asciiTheme="majorEastAsia" w:hAnsiTheme="majorEastAsia" w:eastAsiaTheme="majorEastAsia" w:cstheme="majorEastAsia"/>
          <w:b/>
          <w:color w:val="000000" w:themeColor="text1"/>
          <w:sz w:val="30"/>
          <w:szCs w:val="30"/>
          <w:highlight w:val="none"/>
          <w14:textFill>
            <w14:solidFill>
              <w14:schemeClr w14:val="tx1"/>
            </w14:solidFill>
          </w14:textFill>
        </w:rPr>
        <w:t>年度招标代理和造价咨询服务框架协议书</w:t>
      </w:r>
    </w:p>
    <w:p w14:paraId="68E88740">
      <w:pPr>
        <w:spacing w:line="360" w:lineRule="auto"/>
        <w:ind w:firstLine="480" w:firstLineChars="200"/>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（此稿为框架协议样本，最终定稿待双方协商后商定）</w:t>
      </w:r>
    </w:p>
    <w:p w14:paraId="26AE6564">
      <w:pPr>
        <w:spacing w:line="360" w:lineRule="auto"/>
        <w:ind w:firstLine="480" w:firstLineChars="200"/>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项目编号：</w:t>
      </w:r>
      <w:r>
        <w:rPr>
          <w:rFonts w:hint="eastAsia" w:ascii="宋体" w:hAnsi="宋体"/>
          <w:color w:val="000000" w:themeColor="text1"/>
          <w:highlight w:val="none"/>
          <w:lang w:eastAsia="zh-CN"/>
          <w14:textFill>
            <w14:solidFill>
              <w14:schemeClr w14:val="tx1"/>
            </w14:solidFill>
          </w14:textFill>
        </w:rPr>
        <w:t>SHHR-2025-003</w:t>
      </w:r>
    </w:p>
    <w:p w14:paraId="6FBD41D3">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政府采购计划（预算）确认书号：南湖区政府采购计划</w:t>
      </w:r>
      <w:r>
        <w:rPr>
          <w:rFonts w:hint="eastAsia" w:ascii="宋体" w:hAnsi="宋体"/>
          <w:color w:val="000000" w:themeColor="text1"/>
          <w:highlight w:val="none"/>
          <w:lang w:eastAsia="zh-CN"/>
          <w14:textFill>
            <w14:solidFill>
              <w14:schemeClr w14:val="tx1"/>
            </w14:solidFill>
          </w14:textFill>
        </w:rPr>
        <w:t>临[2025]255号</w:t>
      </w:r>
    </w:p>
    <w:p w14:paraId="6FCB9110">
      <w:pPr>
        <w:spacing w:line="360" w:lineRule="auto"/>
        <w:ind w:firstLine="480" w:firstLineChars="200"/>
        <w:rPr>
          <w:rFonts w:hint="eastAsia" w:ascii="宋体" w:hAnsi="宋体" w:eastAsia="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征集人（甲方）：</w:t>
      </w:r>
      <w:r>
        <w:rPr>
          <w:rFonts w:hint="eastAsia" w:ascii="宋体" w:hAnsi="宋体"/>
          <w:color w:val="000000" w:themeColor="text1"/>
          <w:highlight w:val="none"/>
          <w:u w:val="single"/>
          <w:lang w:val="en-US" w:eastAsia="zh-CN"/>
          <w14:textFill>
            <w14:solidFill>
              <w14:schemeClr w14:val="tx1"/>
            </w14:solidFill>
          </w14:textFill>
        </w:rPr>
        <w:t xml:space="preserve">  </w:t>
      </w:r>
      <w:r>
        <w:rPr>
          <w:rFonts w:hint="eastAsia" w:ascii="宋体" w:hAnsi="宋体"/>
          <w:color w:val="000000" w:themeColor="text1"/>
          <w:highlight w:val="none"/>
          <w:u w:val="single"/>
          <w14:textFill>
            <w14:solidFill>
              <w14:schemeClr w14:val="tx1"/>
            </w14:solidFill>
          </w14:textFill>
        </w:rPr>
        <w:t>嘉兴市南湖区交通运输局</w:t>
      </w:r>
      <w:r>
        <w:rPr>
          <w:rFonts w:hint="eastAsia" w:ascii="宋体" w:hAnsi="宋体"/>
          <w:color w:val="000000" w:themeColor="text1"/>
          <w:highlight w:val="none"/>
          <w:u w:val="single"/>
          <w:lang w:val="en-US" w:eastAsia="zh-CN"/>
          <w14:textFill>
            <w14:solidFill>
              <w14:schemeClr w14:val="tx1"/>
            </w14:solidFill>
          </w14:textFill>
        </w:rPr>
        <w:t xml:space="preserve">  </w:t>
      </w:r>
    </w:p>
    <w:p w14:paraId="2BE94355">
      <w:pPr>
        <w:spacing w:line="360" w:lineRule="auto"/>
        <w:ind w:firstLine="480" w:firstLineChars="200"/>
        <w:rPr>
          <w:rFonts w:ascii="宋体" w:hAnsi="宋体"/>
          <w:color w:val="000000" w:themeColor="text1"/>
          <w:highlight w:val="none"/>
          <w:u w:val="single"/>
          <w14:textFill>
            <w14:solidFill>
              <w14:schemeClr w14:val="tx1"/>
            </w14:solidFill>
          </w14:textFill>
        </w:rPr>
      </w:pPr>
      <w:r>
        <w:rPr>
          <w:rFonts w:hint="eastAsia" w:ascii="宋体" w:hAnsi="宋体"/>
          <w:color w:val="000000" w:themeColor="text1"/>
          <w:highlight w:val="none"/>
          <w14:textFill>
            <w14:solidFill>
              <w14:schemeClr w14:val="tx1"/>
            </w14:solidFill>
          </w14:textFill>
        </w:rPr>
        <w:t>供应商（乙方）：</w:t>
      </w:r>
      <w:r>
        <w:rPr>
          <w:rFonts w:hint="eastAsia" w:ascii="宋体" w:hAnsi="宋体"/>
          <w:color w:val="000000" w:themeColor="text1"/>
          <w:highlight w:val="none"/>
          <w:u w:val="single"/>
          <w14:textFill>
            <w14:solidFill>
              <w14:schemeClr w14:val="tx1"/>
            </w14:solidFill>
          </w14:textFill>
        </w:rPr>
        <w:t xml:space="preserve">              </w:t>
      </w:r>
      <w:r>
        <w:rPr>
          <w:rFonts w:hint="eastAsia" w:ascii="宋体" w:hAnsi="宋体"/>
          <w:color w:val="000000" w:themeColor="text1"/>
          <w:highlight w:val="none"/>
          <w:u w:val="single"/>
          <w:lang w:val="en-US" w:eastAsia="zh-CN"/>
          <w14:textFill>
            <w14:solidFill>
              <w14:schemeClr w14:val="tx1"/>
            </w14:solidFill>
          </w14:textFill>
        </w:rPr>
        <w:t xml:space="preserve">   </w:t>
      </w:r>
      <w:r>
        <w:rPr>
          <w:rFonts w:hint="eastAsia" w:ascii="宋体" w:hAnsi="宋体"/>
          <w:color w:val="000000" w:themeColor="text1"/>
          <w:highlight w:val="none"/>
          <w:u w:val="single"/>
          <w14:textFill>
            <w14:solidFill>
              <w14:schemeClr w14:val="tx1"/>
            </w14:solidFill>
          </w14:textFill>
        </w:rPr>
        <w:t xml:space="preserve">         </w:t>
      </w:r>
    </w:p>
    <w:p w14:paraId="3687059B">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采购方式：框架协议采购</w:t>
      </w:r>
    </w:p>
    <w:p w14:paraId="2FA338C8">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依照《中华人民共和国民法典》、《中华人民共和国政府采购法》及国家其他有关法律、法规，根据</w:t>
      </w:r>
      <w:r>
        <w:rPr>
          <w:rFonts w:hint="eastAsia" w:ascii="宋体" w:hAnsi="宋体"/>
          <w:color w:val="000000" w:themeColor="text1"/>
          <w:highlight w:val="none"/>
          <w:lang w:eastAsia="zh-CN"/>
          <w14:textFill>
            <w14:solidFill>
              <w14:schemeClr w14:val="tx1"/>
            </w14:solidFill>
          </w14:textFill>
        </w:rPr>
        <w:t>嘉兴市南湖区交通运输局2025-2027年度招标代理和造价咨询服务框架协议采购</w:t>
      </w:r>
      <w:r>
        <w:rPr>
          <w:rFonts w:hint="eastAsia" w:ascii="宋体" w:hAnsi="宋体"/>
          <w:color w:val="000000" w:themeColor="text1"/>
          <w:highlight w:val="none"/>
          <w14:textFill>
            <w14:solidFill>
              <w14:schemeClr w14:val="tx1"/>
            </w14:solidFill>
          </w14:textFill>
        </w:rPr>
        <w:t>结果，遵循平等、自愿、公平和诚实信用的原则，双方就嘉兴市南湖区交通运输局</w:t>
      </w:r>
      <w:r>
        <w:rPr>
          <w:rFonts w:hint="eastAsia" w:ascii="宋体" w:hAnsi="宋体"/>
          <w:color w:val="000000" w:themeColor="text1"/>
          <w:highlight w:val="none"/>
          <w:lang w:eastAsia="zh-CN"/>
          <w14:textFill>
            <w14:solidFill>
              <w14:schemeClr w14:val="tx1"/>
            </w14:solidFill>
          </w14:textFill>
        </w:rPr>
        <w:t>2025-2027</w:t>
      </w:r>
      <w:r>
        <w:rPr>
          <w:rFonts w:hint="eastAsia" w:ascii="宋体" w:hAnsi="宋体"/>
          <w:color w:val="000000" w:themeColor="text1"/>
          <w:highlight w:val="none"/>
          <w14:textFill>
            <w14:solidFill>
              <w14:schemeClr w14:val="tx1"/>
            </w14:solidFill>
          </w14:textFill>
        </w:rPr>
        <w:t>年度招标代理和造价咨询服务委托事项协商一致，订立本协议。</w:t>
      </w:r>
    </w:p>
    <w:p w14:paraId="2F53CB87">
      <w:pPr>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一、项目情况</w:t>
      </w:r>
    </w:p>
    <w:p w14:paraId="18B51C8F">
      <w:pPr>
        <w:spacing w:line="360" w:lineRule="auto"/>
        <w:ind w:firstLine="480" w:firstLineChars="200"/>
        <w:rPr>
          <w:rFonts w:hint="eastAsia" w:ascii="宋体" w:hAnsi="宋体" w:eastAsia="宋体"/>
          <w:b/>
          <w:bCs/>
          <w:color w:val="000000" w:themeColor="text1"/>
          <w:highlight w:val="none"/>
          <w:lang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1．项目名称：</w:t>
      </w:r>
      <w:r>
        <w:rPr>
          <w:rFonts w:hint="eastAsia" w:ascii="宋体" w:hAnsi="宋体"/>
          <w:color w:val="000000" w:themeColor="text1"/>
          <w:highlight w:val="none"/>
          <w:u w:val="single"/>
          <w:lang w:eastAsia="zh-CN"/>
          <w14:textFill>
            <w14:solidFill>
              <w14:schemeClr w14:val="tx1"/>
            </w14:solidFill>
          </w14:textFill>
        </w:rPr>
        <w:t>嘉兴市南湖区交通运输局2025-2027年度招标代理和造价咨询服务框架协议采购</w:t>
      </w:r>
    </w:p>
    <w:p w14:paraId="2B5BC482">
      <w:pPr>
        <w:spacing w:line="360" w:lineRule="auto"/>
        <w:ind w:firstLine="480" w:firstLineChars="200"/>
        <w:rPr>
          <w:rFonts w:ascii="宋体" w:hAnsi="宋体"/>
          <w:color w:val="000000" w:themeColor="text1"/>
          <w:highlight w:val="none"/>
          <w:u w:val="single"/>
          <w14:textFill>
            <w14:solidFill>
              <w14:schemeClr w14:val="tx1"/>
            </w14:solidFill>
          </w14:textFill>
        </w:rPr>
      </w:pPr>
      <w:r>
        <w:rPr>
          <w:rFonts w:hint="eastAsia" w:ascii="宋体" w:hAnsi="宋体"/>
          <w:color w:val="000000" w:themeColor="text1"/>
          <w:highlight w:val="none"/>
          <w14:textFill>
            <w14:solidFill>
              <w14:schemeClr w14:val="tx1"/>
            </w14:solidFill>
          </w14:textFill>
        </w:rPr>
        <w:t>2．协议服务期：</w:t>
      </w:r>
      <w:r>
        <w:rPr>
          <w:rFonts w:hint="eastAsia" w:ascii="宋体" w:hAnsi="宋体"/>
          <w:color w:val="000000" w:themeColor="text1"/>
          <w:highlight w:val="none"/>
          <w:u w:val="single"/>
          <w14:textFill>
            <w14:solidFill>
              <w14:schemeClr w14:val="tx1"/>
            </w14:solidFill>
          </w14:textFill>
        </w:rPr>
        <w:t xml:space="preserve">   年  月  日——   年  月  日（自协议签订之日起</w:t>
      </w:r>
      <w:r>
        <w:rPr>
          <w:rFonts w:hint="eastAsia" w:ascii="宋体" w:hAnsi="宋体"/>
          <w:color w:val="000000" w:themeColor="text1"/>
          <w:highlight w:val="none"/>
          <w:u w:val="single"/>
          <w:lang w:val="en-US" w:eastAsia="zh-CN"/>
          <w14:textFill>
            <w14:solidFill>
              <w14:schemeClr w14:val="tx1"/>
            </w14:solidFill>
          </w14:textFill>
        </w:rPr>
        <w:t>两</w:t>
      </w:r>
      <w:r>
        <w:rPr>
          <w:rFonts w:hint="eastAsia" w:ascii="宋体" w:hAnsi="宋体"/>
          <w:color w:val="000000" w:themeColor="text1"/>
          <w:highlight w:val="none"/>
          <w:u w:val="single"/>
          <w:lang w:eastAsia="zh-CN"/>
          <w14:textFill>
            <w14:solidFill>
              <w14:schemeClr w14:val="tx1"/>
            </w14:solidFill>
          </w14:textFill>
        </w:rPr>
        <w:t>年</w:t>
      </w:r>
      <w:r>
        <w:rPr>
          <w:rFonts w:hint="eastAsia" w:ascii="宋体" w:hAnsi="宋体"/>
          <w:color w:val="000000" w:themeColor="text1"/>
          <w:highlight w:val="none"/>
          <w:u w:val="single"/>
          <w14:textFill>
            <w14:solidFill>
              <w14:schemeClr w14:val="tx1"/>
            </w14:solidFill>
          </w14:textFill>
        </w:rPr>
        <w:t xml:space="preserve">） </w:t>
      </w:r>
    </w:p>
    <w:p w14:paraId="5BF7BDCD">
      <w:pPr>
        <w:spacing w:line="360" w:lineRule="auto"/>
        <w:ind w:firstLine="480" w:firstLineChars="200"/>
        <w:rPr>
          <w:rFonts w:ascii="宋体" w:hAnsi="宋体"/>
          <w:color w:val="000000" w:themeColor="text1"/>
          <w:highlight w:val="none"/>
          <w:u w:val="single"/>
          <w14:textFill>
            <w14:solidFill>
              <w14:schemeClr w14:val="tx1"/>
            </w14:solidFill>
          </w14:textFill>
        </w:rPr>
      </w:pPr>
      <w:r>
        <w:rPr>
          <w:rFonts w:hint="eastAsia" w:ascii="宋体" w:hAnsi="宋体"/>
          <w:color w:val="000000" w:themeColor="text1"/>
          <w:highlight w:val="none"/>
          <w14:textFill>
            <w14:solidFill>
              <w14:schemeClr w14:val="tx1"/>
            </w14:solidFill>
          </w14:textFill>
        </w:rPr>
        <w:t>3．项目建设内容及规模：</w:t>
      </w:r>
      <w:r>
        <w:rPr>
          <w:rFonts w:hint="eastAsia" w:ascii="宋体" w:hAnsi="宋体"/>
          <w:color w:val="000000" w:themeColor="text1"/>
          <w:highlight w:val="none"/>
          <w:u w:val="single"/>
          <w14:textFill>
            <w14:solidFill>
              <w14:schemeClr w14:val="tx1"/>
            </w14:solidFill>
          </w14:textFill>
        </w:rPr>
        <w:t xml:space="preserve"> 嘉兴市南湖区交通运输局及其下属企事业单位</w:t>
      </w:r>
      <w:r>
        <w:rPr>
          <w:rFonts w:hint="eastAsia" w:ascii="宋体" w:hAnsi="宋体"/>
          <w:color w:val="000000" w:themeColor="text1"/>
          <w:highlight w:val="none"/>
          <w:u w:val="single"/>
          <w:lang w:eastAsia="zh-CN"/>
          <w14:textFill>
            <w14:solidFill>
              <w14:schemeClr w14:val="tx1"/>
            </w14:solidFill>
          </w14:textFill>
        </w:rPr>
        <w:t>2025-2027</w:t>
      </w:r>
      <w:r>
        <w:rPr>
          <w:rFonts w:hint="eastAsia" w:ascii="宋体" w:hAnsi="宋体"/>
          <w:color w:val="000000" w:themeColor="text1"/>
          <w:highlight w:val="none"/>
          <w:u w:val="single"/>
          <w14:textFill>
            <w14:solidFill>
              <w14:schemeClr w14:val="tx1"/>
            </w14:solidFill>
          </w14:textFill>
        </w:rPr>
        <w:t>年度单项合同费用在招标采购限额标准以下（</w:t>
      </w:r>
      <w:r>
        <w:rPr>
          <w:rFonts w:hint="eastAsia" w:ascii="宋体" w:hAnsi="宋体"/>
          <w:color w:val="000000" w:themeColor="text1"/>
          <w:highlight w:val="none"/>
          <w:u w:val="single"/>
          <w:lang w:eastAsia="zh-CN"/>
          <w14:textFill>
            <w14:solidFill>
              <w14:schemeClr w14:val="tx1"/>
            </w14:solidFill>
          </w14:textFill>
        </w:rPr>
        <w:t>具体金额根据省、市、区和采购人招标采购限额相关规定适时调整</w:t>
      </w:r>
      <w:r>
        <w:rPr>
          <w:rFonts w:hint="eastAsia" w:ascii="宋体" w:hAnsi="宋体"/>
          <w:color w:val="000000" w:themeColor="text1"/>
          <w:highlight w:val="none"/>
          <w:u w:val="single"/>
          <w14:textFill>
            <w14:solidFill>
              <w14:schemeClr w14:val="tx1"/>
            </w14:solidFill>
          </w14:textFill>
        </w:rPr>
        <w:t xml:space="preserve">）的工程、货物及服务的招标代理服务（含工程量清单、预算价编制）、工程造价审核服务、工程造价结算审计服务、跟踪审计等相关造价咨询服务。 </w:t>
      </w:r>
    </w:p>
    <w:p w14:paraId="70285D8B">
      <w:pPr>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二、服务工作内容及要求</w:t>
      </w:r>
    </w:p>
    <w:p w14:paraId="597E7272">
      <w:pPr>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（一）招标代理服务工作内容及要求</w:t>
      </w:r>
    </w:p>
    <w:p w14:paraId="2ABDD683">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1、按《工程建设项目施工招标投标办法》、《公路工程建设项目招标投标管理办法》规定，招标代理主要工作内容包含但不限于：</w:t>
      </w:r>
    </w:p>
    <w:p w14:paraId="53C80D88">
      <w:pPr>
        <w:numPr>
          <w:ilvl w:val="0"/>
          <w:numId w:val="6"/>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拟订招标方案；</w:t>
      </w:r>
    </w:p>
    <w:p w14:paraId="4CA0F56B">
      <w:pPr>
        <w:numPr>
          <w:ilvl w:val="0"/>
          <w:numId w:val="6"/>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招标申请与协调；</w:t>
      </w:r>
    </w:p>
    <w:p w14:paraId="2F8EAA11">
      <w:pPr>
        <w:numPr>
          <w:ilvl w:val="0"/>
          <w:numId w:val="6"/>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审查投标人资格；</w:t>
      </w:r>
    </w:p>
    <w:p w14:paraId="4CC0941E">
      <w:pPr>
        <w:numPr>
          <w:ilvl w:val="0"/>
          <w:numId w:val="6"/>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编制工程量清单及预算(标底)；</w:t>
      </w:r>
    </w:p>
    <w:p w14:paraId="45F677EA">
      <w:pPr>
        <w:numPr>
          <w:ilvl w:val="0"/>
          <w:numId w:val="6"/>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编制和出售施工资格预审文件、招标文件；</w:t>
      </w:r>
    </w:p>
    <w:p w14:paraId="7D2752DF">
      <w:pPr>
        <w:numPr>
          <w:ilvl w:val="0"/>
          <w:numId w:val="6"/>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组织投标人踏勘现场，答疑澄清；</w:t>
      </w:r>
    </w:p>
    <w:p w14:paraId="7BB22AF8">
      <w:pPr>
        <w:numPr>
          <w:ilvl w:val="0"/>
          <w:numId w:val="6"/>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接受投标，组织开标、评标，协助定标；</w:t>
      </w:r>
    </w:p>
    <w:p w14:paraId="221530AC">
      <w:pPr>
        <w:numPr>
          <w:ilvl w:val="0"/>
          <w:numId w:val="6"/>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草拟合同；</w:t>
      </w:r>
    </w:p>
    <w:p w14:paraId="707AA6AF">
      <w:pPr>
        <w:numPr>
          <w:ilvl w:val="0"/>
          <w:numId w:val="6"/>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招标人委托的其他事项。</w:t>
      </w:r>
    </w:p>
    <w:p w14:paraId="6718B065">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2、其他相关说明及要求：</w:t>
      </w:r>
    </w:p>
    <w:p w14:paraId="346AE5D9">
      <w:pPr>
        <w:numPr>
          <w:ilvl w:val="0"/>
          <w:numId w:val="7"/>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审查投标人资格包括：组织资格审查委员会或评标委员会，根据资格预审文件或招标文件，审查潜在投标人或投标人资格，确定潜在投标人或投标人工作；</w:t>
      </w:r>
    </w:p>
    <w:p w14:paraId="5B77538F">
      <w:pPr>
        <w:numPr>
          <w:ilvl w:val="0"/>
          <w:numId w:val="7"/>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工程量清单编制要求：根据施工图纸、《建设工程工程量清单计价规范》</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及公路等行业有关计价规范</w:t>
      </w:r>
      <w:r>
        <w:rPr>
          <w:rFonts w:hint="eastAsia" w:ascii="宋体" w:hAnsi="宋体"/>
          <w:color w:val="000000" w:themeColor="text1"/>
          <w:kern w:val="0"/>
          <w:highlight w:val="none"/>
          <w14:textFill>
            <w14:solidFill>
              <w14:schemeClr w14:val="tx1"/>
            </w14:solidFill>
          </w14:textFill>
        </w:rPr>
        <w:t>，按照相关的工程预算定额、工程量计算规则、施工费用计算规则、市场价格等情况编制工程量清单，同时要求在提供清单的同时提供预算书；</w:t>
      </w:r>
    </w:p>
    <w:p w14:paraId="52E9E967">
      <w:pPr>
        <w:numPr>
          <w:ilvl w:val="0"/>
          <w:numId w:val="7"/>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组织投标人踏勘现场，答疑澄清：组织投标人踏勘现场，收集投标人提出的问题，编制答疑会议纪要或补遗文件，发给所有招标文件的收受人；</w:t>
      </w:r>
    </w:p>
    <w:p w14:paraId="380C75A4">
      <w:pPr>
        <w:numPr>
          <w:ilvl w:val="0"/>
          <w:numId w:val="7"/>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招标完成后应及时编制招标投标情况书面报告，整理招标投标资料汇编，及时报发包人备案；</w:t>
      </w:r>
    </w:p>
    <w:p w14:paraId="59827AF7">
      <w:pPr>
        <w:numPr>
          <w:ilvl w:val="0"/>
          <w:numId w:val="7"/>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及时完成中标通知书备案、施工图纸的收回；</w:t>
      </w:r>
    </w:p>
    <w:p w14:paraId="33B348CB">
      <w:pPr>
        <w:numPr>
          <w:ilvl w:val="0"/>
          <w:numId w:val="7"/>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招标相关资料均需加盖相应的资质章</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（若有）</w:t>
      </w:r>
      <w:r>
        <w:rPr>
          <w:rFonts w:hint="eastAsia" w:ascii="宋体" w:hAnsi="宋体"/>
          <w:color w:val="000000" w:themeColor="text1"/>
          <w:kern w:val="0"/>
          <w:highlight w:val="none"/>
          <w14:textFill>
            <w14:solidFill>
              <w14:schemeClr w14:val="tx1"/>
            </w14:solidFill>
          </w14:textFill>
        </w:rPr>
        <w:t>、资格章、执业章；</w:t>
      </w:r>
    </w:p>
    <w:p w14:paraId="72EE5A5C">
      <w:pPr>
        <w:numPr>
          <w:ilvl w:val="0"/>
          <w:numId w:val="7"/>
        </w:numPr>
        <w:spacing w:line="360" w:lineRule="auto"/>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与项目招标有关的其他事项。</w:t>
      </w:r>
    </w:p>
    <w:p w14:paraId="2CD72858">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3、为招标人提供的为完成招标工作的相关咨询服务：招标投标程序咨询、合同咨询。</w:t>
      </w:r>
    </w:p>
    <w:p w14:paraId="77769576">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4、承担并支付以下费用：招标投标场地租用费、信息发布费、评标专家费（</w:t>
      </w:r>
      <w:r>
        <w:rPr>
          <w:rFonts w:hint="eastAsia" w:asciiTheme="majorEastAsia" w:hAnsiTheme="majorEastAsia" w:eastAsiaTheme="majorEastAsia" w:cstheme="majorEastAsia"/>
          <w:color w:val="000000" w:themeColor="text1"/>
          <w:kern w:val="0"/>
          <w:highlight w:val="none"/>
          <w:lang w:val="en-US" w:eastAsia="zh-CN"/>
          <w14:textFill>
            <w14:solidFill>
              <w14:schemeClr w14:val="tx1"/>
            </w14:solidFill>
          </w14:textFill>
        </w:rPr>
        <w:t>注：政府采购项目评标专家费用由业主单独支付</w:t>
      </w:r>
      <w:r>
        <w:rPr>
          <w:rFonts w:hint="eastAsia" w:ascii="宋体" w:hAnsi="宋体"/>
          <w:color w:val="000000" w:themeColor="text1"/>
          <w:highlight w:val="none"/>
          <w14:textFill>
            <w14:solidFill>
              <w14:schemeClr w14:val="tx1"/>
            </w14:solidFill>
          </w14:textFill>
        </w:rPr>
        <w:t>）、招标文件编制及审查专家费、工程量清单编制费、预算编制费、资料费等。</w:t>
      </w:r>
    </w:p>
    <w:p w14:paraId="71AA9DBC">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5、在接到项目招标代理或造价咨询委托服务通知后，咨询单位应按要求及时完成招标代理或造价咨询成果文件编制工作。</w:t>
      </w:r>
    </w:p>
    <w:p w14:paraId="509C81A6">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6、招标代理服务相关时限、误差率(具体</w:t>
      </w:r>
      <w:r>
        <w:rPr>
          <w:rFonts w:hint="eastAsia" w:ascii="宋体" w:hAnsi="宋体"/>
          <w:color w:val="000000" w:themeColor="text1"/>
          <w:highlight w:val="none"/>
          <w:lang w:val="en-US" w:eastAsia="zh-CN"/>
          <w14:textFill>
            <w14:solidFill>
              <w14:schemeClr w14:val="tx1"/>
            </w14:solidFill>
          </w14:textFill>
        </w:rPr>
        <w:t>在协议签订时结合</w:t>
      </w:r>
      <w:r>
        <w:rPr>
          <w:rFonts w:hint="eastAsia" w:ascii="宋体" w:hAnsi="宋体"/>
          <w:color w:val="000000" w:themeColor="text1"/>
          <w:highlight w:val="none"/>
          <w14:textFill>
            <w14:solidFill>
              <w14:schemeClr w14:val="tx1"/>
            </w14:solidFill>
          </w14:textFill>
        </w:rPr>
        <w:t>本次征集入围供应商承诺时间由征集人统一明确)</w:t>
      </w:r>
    </w:p>
    <w:p w14:paraId="730CC6BF">
      <w:pPr>
        <w:spacing w:line="27" w:lineRule="exact"/>
        <w:rPr>
          <w:color w:val="000000" w:themeColor="text1"/>
          <w:highlight w:val="none"/>
          <w14:textFill>
            <w14:solidFill>
              <w14:schemeClr w14:val="tx1"/>
            </w14:solidFill>
          </w14:textFill>
        </w:rPr>
      </w:pPr>
    </w:p>
    <w:tbl>
      <w:tblPr>
        <w:tblStyle w:val="38"/>
        <w:tblW w:w="879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57" w:type="dxa"/>
          <w:left w:w="57" w:type="dxa"/>
          <w:bottom w:w="57" w:type="dxa"/>
          <w:right w:w="57" w:type="dxa"/>
        </w:tblCellMar>
      </w:tblPr>
      <w:tblGrid>
        <w:gridCol w:w="872"/>
        <w:gridCol w:w="2227"/>
        <w:gridCol w:w="1454"/>
        <w:gridCol w:w="1593"/>
        <w:gridCol w:w="2651"/>
      </w:tblGrid>
      <w:tr w14:paraId="39447E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97" w:hRule="atLeast"/>
          <w:jc w:val="center"/>
        </w:trPr>
        <w:tc>
          <w:tcPr>
            <w:tcW w:w="872" w:type="dxa"/>
            <w:vMerge w:val="restart"/>
            <w:tcBorders>
              <w:tl2br w:val="nil"/>
              <w:tr2bl w:val="nil"/>
            </w:tcBorders>
            <w:vAlign w:val="center"/>
          </w:tcPr>
          <w:p w14:paraId="02F2B39B">
            <w:pPr>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序号</w:t>
            </w:r>
          </w:p>
        </w:tc>
        <w:tc>
          <w:tcPr>
            <w:tcW w:w="2227" w:type="dxa"/>
            <w:vMerge w:val="restart"/>
            <w:tcBorders>
              <w:tl2br w:val="nil"/>
              <w:tr2bl w:val="nil"/>
            </w:tcBorders>
            <w:vAlign w:val="center"/>
          </w:tcPr>
          <w:p w14:paraId="20DAD0CD">
            <w:pPr>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项目</w:t>
            </w:r>
          </w:p>
        </w:tc>
        <w:tc>
          <w:tcPr>
            <w:tcW w:w="3047" w:type="dxa"/>
            <w:gridSpan w:val="2"/>
            <w:tcBorders>
              <w:tl2br w:val="nil"/>
              <w:tr2bl w:val="nil"/>
            </w:tcBorders>
            <w:vAlign w:val="center"/>
          </w:tcPr>
          <w:p w14:paraId="1C6B8B20">
            <w:pPr>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具体时限及误差率</w:t>
            </w:r>
          </w:p>
        </w:tc>
        <w:tc>
          <w:tcPr>
            <w:tcW w:w="2651" w:type="dxa"/>
            <w:vMerge w:val="restart"/>
            <w:tcBorders>
              <w:tl2br w:val="nil"/>
              <w:tr2bl w:val="nil"/>
            </w:tcBorders>
            <w:vAlign w:val="center"/>
          </w:tcPr>
          <w:p w14:paraId="11DB3E00">
            <w:pPr>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备注</w:t>
            </w:r>
          </w:p>
        </w:tc>
      </w:tr>
      <w:tr w14:paraId="67EFFD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97" w:hRule="atLeast"/>
          <w:jc w:val="center"/>
        </w:trPr>
        <w:tc>
          <w:tcPr>
            <w:tcW w:w="872" w:type="dxa"/>
            <w:vMerge w:val="continue"/>
            <w:tcBorders>
              <w:tl2br w:val="nil"/>
              <w:tr2bl w:val="nil"/>
            </w:tcBorders>
            <w:vAlign w:val="center"/>
          </w:tcPr>
          <w:p w14:paraId="15B9D389">
            <w:pPr>
              <w:jc w:val="center"/>
              <w:rPr>
                <w:rFonts w:ascii="宋体" w:hAnsi="宋体"/>
                <w:color w:val="000000" w:themeColor="text1"/>
                <w:highlight w:val="none"/>
                <w14:textFill>
                  <w14:solidFill>
                    <w14:schemeClr w14:val="tx1"/>
                  </w14:solidFill>
                </w14:textFill>
              </w:rPr>
            </w:pPr>
          </w:p>
        </w:tc>
        <w:tc>
          <w:tcPr>
            <w:tcW w:w="2227" w:type="dxa"/>
            <w:vMerge w:val="continue"/>
            <w:tcBorders>
              <w:tl2br w:val="nil"/>
              <w:tr2bl w:val="nil"/>
            </w:tcBorders>
            <w:vAlign w:val="center"/>
          </w:tcPr>
          <w:p w14:paraId="52E7AD1C">
            <w:pPr>
              <w:jc w:val="center"/>
              <w:rPr>
                <w:rFonts w:ascii="宋体" w:hAnsi="宋体"/>
                <w:b/>
                <w:bCs/>
                <w:color w:val="000000" w:themeColor="text1"/>
                <w:szCs w:val="21"/>
                <w:highlight w:val="none"/>
                <w14:textFill>
                  <w14:solidFill>
                    <w14:schemeClr w14:val="tx1"/>
                  </w14:solidFill>
                </w14:textFill>
              </w:rPr>
            </w:pPr>
          </w:p>
        </w:tc>
        <w:tc>
          <w:tcPr>
            <w:tcW w:w="1454" w:type="dxa"/>
            <w:tcBorders>
              <w:tl2br w:val="nil"/>
              <w:tr2bl w:val="nil"/>
            </w:tcBorders>
            <w:vAlign w:val="center"/>
          </w:tcPr>
          <w:p w14:paraId="08C5B9B6">
            <w:pPr>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市平台</w:t>
            </w:r>
          </w:p>
        </w:tc>
        <w:tc>
          <w:tcPr>
            <w:tcW w:w="1593" w:type="dxa"/>
            <w:tcBorders>
              <w:tl2br w:val="nil"/>
              <w:tr2bl w:val="nil"/>
            </w:tcBorders>
            <w:vAlign w:val="center"/>
          </w:tcPr>
          <w:p w14:paraId="7EE6D67A">
            <w:pPr>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南湖区平台</w:t>
            </w:r>
          </w:p>
        </w:tc>
        <w:tc>
          <w:tcPr>
            <w:tcW w:w="2651" w:type="dxa"/>
            <w:vMerge w:val="continue"/>
            <w:tcBorders>
              <w:tl2br w:val="nil"/>
              <w:tr2bl w:val="nil"/>
            </w:tcBorders>
            <w:vAlign w:val="center"/>
          </w:tcPr>
          <w:p w14:paraId="5BE8CC59">
            <w:pPr>
              <w:jc w:val="center"/>
              <w:rPr>
                <w:rFonts w:ascii="宋体" w:hAnsi="宋体"/>
                <w:color w:val="000000" w:themeColor="text1"/>
                <w:highlight w:val="none"/>
                <w14:textFill>
                  <w14:solidFill>
                    <w14:schemeClr w14:val="tx1"/>
                  </w14:solidFill>
                </w14:textFill>
              </w:rPr>
            </w:pPr>
          </w:p>
        </w:tc>
      </w:tr>
      <w:tr w14:paraId="424B66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97" w:hRule="atLeast"/>
          <w:jc w:val="center"/>
        </w:trPr>
        <w:tc>
          <w:tcPr>
            <w:tcW w:w="872" w:type="dxa"/>
            <w:tcBorders>
              <w:tl2br w:val="nil"/>
              <w:tr2bl w:val="nil"/>
            </w:tcBorders>
            <w:vAlign w:val="center"/>
          </w:tcPr>
          <w:p w14:paraId="40FC68AF">
            <w:pPr>
              <w:spacing w:before="174" w:line="187" w:lineRule="auto"/>
              <w:ind w:left="399"/>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w:t>
            </w:r>
          </w:p>
        </w:tc>
        <w:tc>
          <w:tcPr>
            <w:tcW w:w="2227" w:type="dxa"/>
            <w:tcBorders>
              <w:tl2br w:val="nil"/>
              <w:tr2bl w:val="nil"/>
            </w:tcBorders>
            <w:vAlign w:val="center"/>
          </w:tcPr>
          <w:p w14:paraId="47B11020">
            <w:pPr>
              <w:spacing w:before="134" w:line="228" w:lineRule="auto"/>
              <w:ind w:left="398"/>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1"/>
                <w:highlight w:val="none"/>
                <w14:textFill>
                  <w14:solidFill>
                    <w14:schemeClr w14:val="tx1"/>
                  </w14:solidFill>
                </w14:textFill>
              </w:rPr>
              <w:t>代</w:t>
            </w:r>
            <w:r>
              <w:rPr>
                <w:rFonts w:hint="eastAsia" w:ascii="宋体" w:hAnsi="宋体"/>
                <w:color w:val="000000" w:themeColor="text1"/>
                <w:spacing w:val="8"/>
                <w:highlight w:val="none"/>
                <w14:textFill>
                  <w14:solidFill>
                    <w14:schemeClr w14:val="tx1"/>
                  </w14:solidFill>
                </w14:textFill>
              </w:rPr>
              <w:t>理时间承诺</w:t>
            </w:r>
          </w:p>
        </w:tc>
        <w:tc>
          <w:tcPr>
            <w:tcW w:w="1454" w:type="dxa"/>
            <w:tcBorders>
              <w:tl2br w:val="nil"/>
              <w:tr2bl w:val="nil"/>
            </w:tcBorders>
            <w:vAlign w:val="center"/>
          </w:tcPr>
          <w:p w14:paraId="04B2D739">
            <w:pPr>
              <w:jc w:val="center"/>
              <w:rPr>
                <w:rFonts w:ascii="宋体" w:hAnsi="宋体"/>
                <w:color w:val="000000" w:themeColor="text1"/>
                <w:highlight w:val="none"/>
                <w14:textFill>
                  <w14:solidFill>
                    <w14:schemeClr w14:val="tx1"/>
                  </w14:solidFill>
                </w14:textFill>
              </w:rPr>
            </w:pPr>
          </w:p>
        </w:tc>
        <w:tc>
          <w:tcPr>
            <w:tcW w:w="1593" w:type="dxa"/>
            <w:tcBorders>
              <w:tl2br w:val="nil"/>
              <w:tr2bl w:val="nil"/>
            </w:tcBorders>
            <w:vAlign w:val="center"/>
          </w:tcPr>
          <w:p w14:paraId="4B6AFADB">
            <w:pPr>
              <w:jc w:val="center"/>
              <w:rPr>
                <w:rFonts w:ascii="宋体" w:hAnsi="宋体"/>
                <w:color w:val="000000" w:themeColor="text1"/>
                <w:highlight w:val="none"/>
                <w14:textFill>
                  <w14:solidFill>
                    <w14:schemeClr w14:val="tx1"/>
                  </w14:solidFill>
                </w14:textFill>
              </w:rPr>
            </w:pPr>
          </w:p>
        </w:tc>
        <w:tc>
          <w:tcPr>
            <w:tcW w:w="2651" w:type="dxa"/>
            <w:tcBorders>
              <w:tl2br w:val="nil"/>
              <w:tr2bl w:val="nil"/>
            </w:tcBorders>
            <w:vAlign w:val="center"/>
          </w:tcPr>
          <w:p w14:paraId="4322F4A4">
            <w:pPr>
              <w:spacing w:before="133" w:line="229" w:lineRule="auto"/>
              <w:ind w:left="118"/>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8"/>
                <w:highlight w:val="none"/>
                <w14:textFill>
                  <w14:solidFill>
                    <w14:schemeClr w14:val="tx1"/>
                  </w14:solidFill>
                </w14:textFill>
              </w:rPr>
              <w:t>起止总时</w:t>
            </w:r>
            <w:r>
              <w:rPr>
                <w:rFonts w:hint="eastAsia" w:ascii="宋体" w:hAnsi="宋体"/>
                <w:color w:val="000000" w:themeColor="text1"/>
                <w:spacing w:val="7"/>
                <w:highlight w:val="none"/>
                <w14:textFill>
                  <w14:solidFill>
                    <w14:schemeClr w14:val="tx1"/>
                  </w14:solidFill>
                </w14:textFill>
              </w:rPr>
              <w:t>间</w:t>
            </w:r>
          </w:p>
        </w:tc>
      </w:tr>
      <w:tr w14:paraId="5EBC4C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97" w:hRule="atLeast"/>
          <w:jc w:val="center"/>
        </w:trPr>
        <w:tc>
          <w:tcPr>
            <w:tcW w:w="872" w:type="dxa"/>
            <w:tcBorders>
              <w:tl2br w:val="nil"/>
              <w:tr2bl w:val="nil"/>
            </w:tcBorders>
            <w:vAlign w:val="center"/>
          </w:tcPr>
          <w:p w14:paraId="0A56EABB">
            <w:pPr>
              <w:spacing w:before="175" w:line="186" w:lineRule="auto"/>
              <w:ind w:left="385"/>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w:t>
            </w:r>
          </w:p>
        </w:tc>
        <w:tc>
          <w:tcPr>
            <w:tcW w:w="2227" w:type="dxa"/>
            <w:tcBorders>
              <w:tl2br w:val="nil"/>
              <w:tr2bl w:val="nil"/>
            </w:tcBorders>
            <w:vAlign w:val="center"/>
          </w:tcPr>
          <w:p w14:paraId="593D7A49">
            <w:pPr>
              <w:spacing w:before="134" w:line="228" w:lineRule="auto"/>
              <w:ind w:left="400"/>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9"/>
                <w:highlight w:val="none"/>
                <w14:textFill>
                  <w14:solidFill>
                    <w14:schemeClr w14:val="tx1"/>
                  </w14:solidFill>
                </w14:textFill>
              </w:rPr>
              <w:t>招</w:t>
            </w:r>
            <w:r>
              <w:rPr>
                <w:rFonts w:hint="eastAsia" w:ascii="宋体" w:hAnsi="宋体"/>
                <w:color w:val="000000" w:themeColor="text1"/>
                <w:spacing w:val="8"/>
                <w:highlight w:val="none"/>
                <w14:textFill>
                  <w14:solidFill>
                    <w14:schemeClr w14:val="tx1"/>
                  </w14:solidFill>
                </w14:textFill>
              </w:rPr>
              <w:t>标文件编制</w:t>
            </w:r>
          </w:p>
        </w:tc>
        <w:tc>
          <w:tcPr>
            <w:tcW w:w="1454" w:type="dxa"/>
            <w:tcBorders>
              <w:tl2br w:val="nil"/>
              <w:tr2bl w:val="nil"/>
            </w:tcBorders>
            <w:vAlign w:val="center"/>
          </w:tcPr>
          <w:p w14:paraId="53A16E18">
            <w:pPr>
              <w:jc w:val="center"/>
              <w:rPr>
                <w:rFonts w:ascii="宋体" w:hAnsi="宋体"/>
                <w:color w:val="000000" w:themeColor="text1"/>
                <w:highlight w:val="none"/>
                <w14:textFill>
                  <w14:solidFill>
                    <w14:schemeClr w14:val="tx1"/>
                  </w14:solidFill>
                </w14:textFill>
              </w:rPr>
            </w:pPr>
          </w:p>
        </w:tc>
        <w:tc>
          <w:tcPr>
            <w:tcW w:w="1593" w:type="dxa"/>
            <w:tcBorders>
              <w:tl2br w:val="nil"/>
              <w:tr2bl w:val="nil"/>
            </w:tcBorders>
            <w:vAlign w:val="center"/>
          </w:tcPr>
          <w:p w14:paraId="6F736B17">
            <w:pPr>
              <w:jc w:val="center"/>
              <w:rPr>
                <w:rFonts w:ascii="宋体" w:hAnsi="宋体"/>
                <w:color w:val="000000" w:themeColor="text1"/>
                <w:highlight w:val="none"/>
                <w14:textFill>
                  <w14:solidFill>
                    <w14:schemeClr w14:val="tx1"/>
                  </w14:solidFill>
                </w14:textFill>
              </w:rPr>
            </w:pPr>
          </w:p>
        </w:tc>
        <w:tc>
          <w:tcPr>
            <w:tcW w:w="2651" w:type="dxa"/>
            <w:tcBorders>
              <w:tl2br w:val="nil"/>
              <w:tr2bl w:val="nil"/>
            </w:tcBorders>
            <w:vAlign w:val="center"/>
          </w:tcPr>
          <w:p w14:paraId="50B42357">
            <w:pPr>
              <w:spacing w:before="134" w:line="228" w:lineRule="auto"/>
              <w:ind w:left="119"/>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编</w:t>
            </w:r>
            <w:r>
              <w:rPr>
                <w:rFonts w:hint="eastAsia" w:ascii="宋体" w:hAnsi="宋体"/>
                <w:color w:val="000000" w:themeColor="text1"/>
                <w:spacing w:val="8"/>
                <w:highlight w:val="none"/>
                <w14:textFill>
                  <w14:solidFill>
                    <w14:schemeClr w14:val="tx1"/>
                  </w14:solidFill>
                </w14:textFill>
              </w:rPr>
              <w:t>制并备案时间</w:t>
            </w:r>
          </w:p>
        </w:tc>
      </w:tr>
      <w:tr w14:paraId="6E32E8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97" w:hRule="atLeast"/>
          <w:jc w:val="center"/>
        </w:trPr>
        <w:tc>
          <w:tcPr>
            <w:tcW w:w="872" w:type="dxa"/>
            <w:tcBorders>
              <w:tl2br w:val="nil"/>
              <w:tr2bl w:val="nil"/>
            </w:tcBorders>
            <w:vAlign w:val="center"/>
          </w:tcPr>
          <w:p w14:paraId="7377F647">
            <w:pPr>
              <w:spacing w:before="175" w:line="186" w:lineRule="auto"/>
              <w:ind w:left="387"/>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w:t>
            </w:r>
          </w:p>
        </w:tc>
        <w:tc>
          <w:tcPr>
            <w:tcW w:w="2227" w:type="dxa"/>
            <w:tcBorders>
              <w:tl2br w:val="nil"/>
              <w:tr2bl w:val="nil"/>
            </w:tcBorders>
            <w:vAlign w:val="center"/>
          </w:tcPr>
          <w:p w14:paraId="3282A6A2">
            <w:pPr>
              <w:spacing w:before="134" w:line="228" w:lineRule="auto"/>
              <w:ind w:left="399"/>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清</w:t>
            </w:r>
            <w:r>
              <w:rPr>
                <w:rFonts w:hint="eastAsia" w:ascii="宋体" w:hAnsi="宋体"/>
                <w:color w:val="000000" w:themeColor="text1"/>
                <w:spacing w:val="8"/>
                <w:highlight w:val="none"/>
                <w14:textFill>
                  <w14:solidFill>
                    <w14:schemeClr w14:val="tx1"/>
                  </w14:solidFill>
                </w14:textFill>
              </w:rPr>
              <w:t>单时间承诺</w:t>
            </w:r>
          </w:p>
        </w:tc>
        <w:tc>
          <w:tcPr>
            <w:tcW w:w="1454" w:type="dxa"/>
            <w:tcBorders>
              <w:tl2br w:val="nil"/>
              <w:tr2bl w:val="nil"/>
            </w:tcBorders>
            <w:vAlign w:val="center"/>
          </w:tcPr>
          <w:p w14:paraId="785421AA">
            <w:pPr>
              <w:jc w:val="center"/>
              <w:rPr>
                <w:rFonts w:ascii="宋体" w:hAnsi="宋体"/>
                <w:color w:val="000000" w:themeColor="text1"/>
                <w:highlight w:val="none"/>
                <w14:textFill>
                  <w14:solidFill>
                    <w14:schemeClr w14:val="tx1"/>
                  </w14:solidFill>
                </w14:textFill>
              </w:rPr>
            </w:pPr>
          </w:p>
        </w:tc>
        <w:tc>
          <w:tcPr>
            <w:tcW w:w="1593" w:type="dxa"/>
            <w:tcBorders>
              <w:tl2br w:val="nil"/>
              <w:tr2bl w:val="nil"/>
            </w:tcBorders>
            <w:vAlign w:val="center"/>
          </w:tcPr>
          <w:p w14:paraId="49686D75">
            <w:pPr>
              <w:jc w:val="center"/>
              <w:rPr>
                <w:rFonts w:ascii="宋体" w:hAnsi="宋体"/>
                <w:color w:val="000000" w:themeColor="text1"/>
                <w:highlight w:val="none"/>
                <w14:textFill>
                  <w14:solidFill>
                    <w14:schemeClr w14:val="tx1"/>
                  </w14:solidFill>
                </w14:textFill>
              </w:rPr>
            </w:pPr>
          </w:p>
        </w:tc>
        <w:tc>
          <w:tcPr>
            <w:tcW w:w="2651" w:type="dxa"/>
            <w:tcBorders>
              <w:tl2br w:val="nil"/>
              <w:tr2bl w:val="nil"/>
            </w:tcBorders>
            <w:vAlign w:val="center"/>
          </w:tcPr>
          <w:p w14:paraId="3CC67131">
            <w:pPr>
              <w:spacing w:before="134" w:line="228" w:lineRule="auto"/>
              <w:ind w:left="119"/>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编</w:t>
            </w:r>
            <w:r>
              <w:rPr>
                <w:rFonts w:hint="eastAsia" w:ascii="宋体" w:hAnsi="宋体"/>
                <w:color w:val="000000" w:themeColor="text1"/>
                <w:spacing w:val="8"/>
                <w:highlight w:val="none"/>
                <w14:textFill>
                  <w14:solidFill>
                    <w14:schemeClr w14:val="tx1"/>
                  </w14:solidFill>
                </w14:textFill>
              </w:rPr>
              <w:t>制并备案时间</w:t>
            </w:r>
          </w:p>
        </w:tc>
      </w:tr>
      <w:tr w14:paraId="3EA8C2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97" w:hRule="atLeast"/>
          <w:jc w:val="center"/>
        </w:trPr>
        <w:tc>
          <w:tcPr>
            <w:tcW w:w="872" w:type="dxa"/>
            <w:tcBorders>
              <w:tl2br w:val="nil"/>
              <w:tr2bl w:val="nil"/>
            </w:tcBorders>
            <w:vAlign w:val="center"/>
          </w:tcPr>
          <w:p w14:paraId="66ED9523">
            <w:pPr>
              <w:spacing w:before="176" w:line="186" w:lineRule="auto"/>
              <w:ind w:left="381"/>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4</w:t>
            </w:r>
          </w:p>
        </w:tc>
        <w:tc>
          <w:tcPr>
            <w:tcW w:w="2227" w:type="dxa"/>
            <w:tcBorders>
              <w:tl2br w:val="nil"/>
              <w:tr2bl w:val="nil"/>
            </w:tcBorders>
            <w:vAlign w:val="center"/>
          </w:tcPr>
          <w:p w14:paraId="6D208C06">
            <w:pPr>
              <w:spacing w:before="134" w:line="228" w:lineRule="auto"/>
              <w:ind w:left="399"/>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清</w:t>
            </w:r>
            <w:r>
              <w:rPr>
                <w:rFonts w:hint="eastAsia" w:ascii="宋体" w:hAnsi="宋体"/>
                <w:color w:val="000000" w:themeColor="text1"/>
                <w:spacing w:val="8"/>
                <w:highlight w:val="none"/>
                <w14:textFill>
                  <w14:solidFill>
                    <w14:schemeClr w14:val="tx1"/>
                  </w14:solidFill>
                </w14:textFill>
              </w:rPr>
              <w:t>单质量承诺</w:t>
            </w:r>
          </w:p>
        </w:tc>
        <w:tc>
          <w:tcPr>
            <w:tcW w:w="1454" w:type="dxa"/>
            <w:tcBorders>
              <w:tl2br w:val="nil"/>
              <w:tr2bl w:val="nil"/>
            </w:tcBorders>
            <w:vAlign w:val="center"/>
          </w:tcPr>
          <w:p w14:paraId="780E5504">
            <w:pPr>
              <w:jc w:val="center"/>
              <w:rPr>
                <w:rFonts w:ascii="宋体" w:hAnsi="宋体"/>
                <w:color w:val="000000" w:themeColor="text1"/>
                <w:highlight w:val="none"/>
                <w14:textFill>
                  <w14:solidFill>
                    <w14:schemeClr w14:val="tx1"/>
                  </w14:solidFill>
                </w14:textFill>
              </w:rPr>
            </w:pPr>
          </w:p>
        </w:tc>
        <w:tc>
          <w:tcPr>
            <w:tcW w:w="1593" w:type="dxa"/>
            <w:tcBorders>
              <w:tl2br w:val="nil"/>
              <w:tr2bl w:val="nil"/>
            </w:tcBorders>
            <w:vAlign w:val="center"/>
          </w:tcPr>
          <w:p w14:paraId="60D0EB7E">
            <w:pPr>
              <w:jc w:val="center"/>
              <w:rPr>
                <w:rFonts w:ascii="宋体" w:hAnsi="宋体"/>
                <w:color w:val="000000" w:themeColor="text1"/>
                <w:highlight w:val="none"/>
                <w14:textFill>
                  <w14:solidFill>
                    <w14:schemeClr w14:val="tx1"/>
                  </w14:solidFill>
                </w14:textFill>
              </w:rPr>
            </w:pPr>
          </w:p>
        </w:tc>
        <w:tc>
          <w:tcPr>
            <w:tcW w:w="2651" w:type="dxa"/>
            <w:tcBorders>
              <w:tl2br w:val="nil"/>
              <w:tr2bl w:val="nil"/>
            </w:tcBorders>
            <w:vAlign w:val="center"/>
          </w:tcPr>
          <w:p w14:paraId="31B72FC6">
            <w:pPr>
              <w:spacing w:before="134" w:line="228" w:lineRule="auto"/>
              <w:ind w:left="120"/>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1"/>
                <w:highlight w:val="none"/>
                <w14:textFill>
                  <w14:solidFill>
                    <w14:schemeClr w14:val="tx1"/>
                  </w14:solidFill>
                </w14:textFill>
              </w:rPr>
              <w:t>工</w:t>
            </w:r>
            <w:r>
              <w:rPr>
                <w:rFonts w:hint="eastAsia" w:ascii="宋体" w:hAnsi="宋体"/>
                <w:color w:val="000000" w:themeColor="text1"/>
                <w:spacing w:val="8"/>
                <w:highlight w:val="none"/>
                <w14:textFill>
                  <w14:solidFill>
                    <w14:schemeClr w14:val="tx1"/>
                  </w14:solidFill>
                </w14:textFill>
              </w:rPr>
              <w:t>程量清单误差率</w:t>
            </w:r>
          </w:p>
        </w:tc>
      </w:tr>
      <w:tr w14:paraId="00CA7F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97" w:hRule="atLeast"/>
          <w:jc w:val="center"/>
        </w:trPr>
        <w:tc>
          <w:tcPr>
            <w:tcW w:w="872" w:type="dxa"/>
            <w:tcBorders>
              <w:tl2br w:val="nil"/>
              <w:tr2bl w:val="nil"/>
            </w:tcBorders>
            <w:vAlign w:val="center"/>
          </w:tcPr>
          <w:p w14:paraId="569473B1">
            <w:pPr>
              <w:spacing w:before="181" w:line="184" w:lineRule="auto"/>
              <w:ind w:left="387"/>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5</w:t>
            </w:r>
          </w:p>
        </w:tc>
        <w:tc>
          <w:tcPr>
            <w:tcW w:w="2227" w:type="dxa"/>
            <w:tcBorders>
              <w:tl2br w:val="nil"/>
              <w:tr2bl w:val="nil"/>
            </w:tcBorders>
            <w:vAlign w:val="center"/>
          </w:tcPr>
          <w:p w14:paraId="223D6178">
            <w:pPr>
              <w:spacing w:before="137" w:line="228" w:lineRule="auto"/>
              <w:ind w:left="401"/>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8"/>
                <w:highlight w:val="none"/>
                <w14:textFill>
                  <w14:solidFill>
                    <w14:schemeClr w14:val="tx1"/>
                  </w14:solidFill>
                </w14:textFill>
              </w:rPr>
              <w:t>预算编制承诺</w:t>
            </w:r>
          </w:p>
        </w:tc>
        <w:tc>
          <w:tcPr>
            <w:tcW w:w="1454" w:type="dxa"/>
            <w:tcBorders>
              <w:tl2br w:val="nil"/>
              <w:tr2bl w:val="nil"/>
            </w:tcBorders>
            <w:vAlign w:val="center"/>
          </w:tcPr>
          <w:p w14:paraId="2B5EBE42">
            <w:pPr>
              <w:jc w:val="center"/>
              <w:rPr>
                <w:rFonts w:ascii="宋体" w:hAnsi="宋体"/>
                <w:color w:val="000000" w:themeColor="text1"/>
                <w:highlight w:val="none"/>
                <w14:textFill>
                  <w14:solidFill>
                    <w14:schemeClr w14:val="tx1"/>
                  </w14:solidFill>
                </w14:textFill>
              </w:rPr>
            </w:pPr>
          </w:p>
        </w:tc>
        <w:tc>
          <w:tcPr>
            <w:tcW w:w="1593" w:type="dxa"/>
            <w:tcBorders>
              <w:tl2br w:val="nil"/>
              <w:tr2bl w:val="nil"/>
            </w:tcBorders>
            <w:vAlign w:val="center"/>
          </w:tcPr>
          <w:p w14:paraId="0DF51183">
            <w:pPr>
              <w:jc w:val="center"/>
              <w:rPr>
                <w:rFonts w:ascii="宋体" w:hAnsi="宋体"/>
                <w:color w:val="000000" w:themeColor="text1"/>
                <w:highlight w:val="none"/>
                <w14:textFill>
                  <w14:solidFill>
                    <w14:schemeClr w14:val="tx1"/>
                  </w14:solidFill>
                </w14:textFill>
              </w:rPr>
            </w:pPr>
          </w:p>
        </w:tc>
        <w:tc>
          <w:tcPr>
            <w:tcW w:w="2651" w:type="dxa"/>
            <w:tcBorders>
              <w:tl2br w:val="nil"/>
              <w:tr2bl w:val="nil"/>
            </w:tcBorders>
            <w:vAlign w:val="center"/>
          </w:tcPr>
          <w:p w14:paraId="77C40A7B">
            <w:pPr>
              <w:spacing w:before="137" w:line="227" w:lineRule="auto"/>
              <w:ind w:left="118"/>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3"/>
                <w:highlight w:val="none"/>
                <w14:textFill>
                  <w14:solidFill>
                    <w14:schemeClr w14:val="tx1"/>
                  </w14:solidFill>
                </w14:textFill>
              </w:rPr>
              <w:t>招</w:t>
            </w:r>
            <w:r>
              <w:rPr>
                <w:rFonts w:hint="eastAsia" w:ascii="宋体" w:hAnsi="宋体"/>
                <w:color w:val="000000" w:themeColor="text1"/>
                <w:spacing w:val="8"/>
                <w:highlight w:val="none"/>
                <w14:textFill>
                  <w14:solidFill>
                    <w14:schemeClr w14:val="tx1"/>
                  </w14:solidFill>
                </w14:textFill>
              </w:rPr>
              <w:t>标控制价误差率</w:t>
            </w:r>
          </w:p>
        </w:tc>
      </w:tr>
      <w:tr w14:paraId="0E340C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97" w:hRule="atLeast"/>
          <w:jc w:val="center"/>
        </w:trPr>
        <w:tc>
          <w:tcPr>
            <w:tcW w:w="872" w:type="dxa"/>
            <w:tcBorders>
              <w:tl2br w:val="nil"/>
              <w:tr2bl w:val="nil"/>
            </w:tcBorders>
            <w:vAlign w:val="center"/>
          </w:tcPr>
          <w:p w14:paraId="7FB7AA1B">
            <w:pPr>
              <w:spacing w:before="179" w:line="186" w:lineRule="auto"/>
              <w:ind w:left="384"/>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6</w:t>
            </w:r>
          </w:p>
        </w:tc>
        <w:tc>
          <w:tcPr>
            <w:tcW w:w="2227" w:type="dxa"/>
            <w:tcBorders>
              <w:tl2br w:val="nil"/>
              <w:tr2bl w:val="nil"/>
            </w:tcBorders>
            <w:vAlign w:val="center"/>
          </w:tcPr>
          <w:p w14:paraId="685158F3">
            <w:pPr>
              <w:spacing w:before="138" w:line="227" w:lineRule="auto"/>
              <w:ind w:left="401"/>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8"/>
                <w:highlight w:val="none"/>
                <w14:textFill>
                  <w14:solidFill>
                    <w14:schemeClr w14:val="tx1"/>
                  </w14:solidFill>
                </w14:textFill>
              </w:rPr>
              <w:t>草拟合同递交</w:t>
            </w:r>
          </w:p>
        </w:tc>
        <w:tc>
          <w:tcPr>
            <w:tcW w:w="1454" w:type="dxa"/>
            <w:tcBorders>
              <w:tl2br w:val="nil"/>
              <w:tr2bl w:val="nil"/>
            </w:tcBorders>
            <w:vAlign w:val="center"/>
          </w:tcPr>
          <w:p w14:paraId="6E836D08">
            <w:pPr>
              <w:jc w:val="center"/>
              <w:rPr>
                <w:rFonts w:ascii="宋体" w:hAnsi="宋体"/>
                <w:color w:val="000000" w:themeColor="text1"/>
                <w:highlight w:val="none"/>
                <w14:textFill>
                  <w14:solidFill>
                    <w14:schemeClr w14:val="tx1"/>
                  </w14:solidFill>
                </w14:textFill>
              </w:rPr>
            </w:pPr>
          </w:p>
        </w:tc>
        <w:tc>
          <w:tcPr>
            <w:tcW w:w="1593" w:type="dxa"/>
            <w:tcBorders>
              <w:tl2br w:val="nil"/>
              <w:tr2bl w:val="nil"/>
            </w:tcBorders>
            <w:vAlign w:val="center"/>
          </w:tcPr>
          <w:p w14:paraId="6EAEED78">
            <w:pPr>
              <w:jc w:val="center"/>
              <w:rPr>
                <w:rFonts w:ascii="宋体" w:hAnsi="宋体"/>
                <w:color w:val="000000" w:themeColor="text1"/>
                <w:highlight w:val="none"/>
                <w14:textFill>
                  <w14:solidFill>
                    <w14:schemeClr w14:val="tx1"/>
                  </w14:solidFill>
                </w14:textFill>
              </w:rPr>
            </w:pPr>
          </w:p>
        </w:tc>
        <w:tc>
          <w:tcPr>
            <w:tcW w:w="2651" w:type="dxa"/>
            <w:tcBorders>
              <w:tl2br w:val="nil"/>
              <w:tr2bl w:val="nil"/>
            </w:tcBorders>
            <w:vAlign w:val="center"/>
          </w:tcPr>
          <w:p w14:paraId="170BB026">
            <w:pPr>
              <w:spacing w:before="138" w:line="227" w:lineRule="auto"/>
              <w:ind w:left="139"/>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6"/>
                <w:highlight w:val="none"/>
                <w14:textFill>
                  <w14:solidFill>
                    <w14:schemeClr w14:val="tx1"/>
                  </w14:solidFill>
                </w14:textFill>
              </w:rPr>
              <w:t>中标书发出后时间</w:t>
            </w:r>
          </w:p>
        </w:tc>
      </w:tr>
      <w:tr w14:paraId="03E15E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97" w:hRule="atLeast"/>
          <w:jc w:val="center"/>
        </w:trPr>
        <w:tc>
          <w:tcPr>
            <w:tcW w:w="872" w:type="dxa"/>
            <w:tcBorders>
              <w:tl2br w:val="nil"/>
              <w:tr2bl w:val="nil"/>
            </w:tcBorders>
            <w:vAlign w:val="center"/>
          </w:tcPr>
          <w:p w14:paraId="10F7B0F5">
            <w:pPr>
              <w:spacing w:before="181" w:line="184" w:lineRule="auto"/>
              <w:ind w:left="387"/>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7</w:t>
            </w:r>
          </w:p>
        </w:tc>
        <w:tc>
          <w:tcPr>
            <w:tcW w:w="2227" w:type="dxa"/>
            <w:tcBorders>
              <w:tl2br w:val="nil"/>
              <w:tr2bl w:val="nil"/>
            </w:tcBorders>
            <w:vAlign w:val="center"/>
          </w:tcPr>
          <w:p w14:paraId="50B52A93">
            <w:pPr>
              <w:spacing w:before="137" w:line="228" w:lineRule="auto"/>
              <w:ind w:left="398"/>
              <w:jc w:val="center"/>
              <w:rPr>
                <w:rFonts w:ascii="宋体" w:hAnsi="宋体"/>
                <w:color w:val="000000" w:themeColor="text1"/>
                <w:spacing w:val="8"/>
                <w:highlight w:val="none"/>
                <w14:textFill>
                  <w14:solidFill>
                    <w14:schemeClr w14:val="tx1"/>
                  </w14:solidFill>
                </w14:textFill>
              </w:rPr>
            </w:pPr>
            <w:r>
              <w:rPr>
                <w:rFonts w:hint="eastAsia" w:ascii="宋体" w:hAnsi="宋体"/>
                <w:color w:val="000000" w:themeColor="text1"/>
                <w:spacing w:val="11"/>
                <w:highlight w:val="none"/>
                <w14:textFill>
                  <w14:solidFill>
                    <w14:schemeClr w14:val="tx1"/>
                  </w14:solidFill>
                </w14:textFill>
              </w:rPr>
              <w:t>代</w:t>
            </w:r>
            <w:r>
              <w:rPr>
                <w:rFonts w:hint="eastAsia" w:ascii="宋体" w:hAnsi="宋体"/>
                <w:color w:val="000000" w:themeColor="text1"/>
                <w:spacing w:val="8"/>
                <w:highlight w:val="none"/>
                <w14:textFill>
                  <w14:solidFill>
                    <w14:schemeClr w14:val="tx1"/>
                  </w14:solidFill>
                </w14:textFill>
              </w:rPr>
              <w:t>理文档递交</w:t>
            </w:r>
          </w:p>
        </w:tc>
        <w:tc>
          <w:tcPr>
            <w:tcW w:w="1454" w:type="dxa"/>
            <w:tcBorders>
              <w:tl2br w:val="nil"/>
              <w:tr2bl w:val="nil"/>
            </w:tcBorders>
            <w:vAlign w:val="center"/>
          </w:tcPr>
          <w:p w14:paraId="2D5DBEB3">
            <w:pPr>
              <w:jc w:val="center"/>
              <w:rPr>
                <w:rFonts w:ascii="宋体" w:hAnsi="宋体"/>
                <w:color w:val="000000" w:themeColor="text1"/>
                <w:highlight w:val="none"/>
                <w14:textFill>
                  <w14:solidFill>
                    <w14:schemeClr w14:val="tx1"/>
                  </w14:solidFill>
                </w14:textFill>
              </w:rPr>
            </w:pPr>
          </w:p>
        </w:tc>
        <w:tc>
          <w:tcPr>
            <w:tcW w:w="1593" w:type="dxa"/>
            <w:tcBorders>
              <w:tl2br w:val="nil"/>
              <w:tr2bl w:val="nil"/>
            </w:tcBorders>
            <w:vAlign w:val="center"/>
          </w:tcPr>
          <w:p w14:paraId="76F07A69">
            <w:pPr>
              <w:jc w:val="center"/>
              <w:rPr>
                <w:rFonts w:ascii="宋体" w:hAnsi="宋体"/>
                <w:color w:val="000000" w:themeColor="text1"/>
                <w:highlight w:val="none"/>
                <w14:textFill>
                  <w14:solidFill>
                    <w14:schemeClr w14:val="tx1"/>
                  </w14:solidFill>
                </w14:textFill>
              </w:rPr>
            </w:pPr>
          </w:p>
        </w:tc>
        <w:tc>
          <w:tcPr>
            <w:tcW w:w="2651" w:type="dxa"/>
            <w:tcBorders>
              <w:tl2br w:val="nil"/>
              <w:tr2bl w:val="nil"/>
            </w:tcBorders>
            <w:vAlign w:val="center"/>
          </w:tcPr>
          <w:p w14:paraId="7FA40951">
            <w:pPr>
              <w:spacing w:before="137" w:line="227" w:lineRule="auto"/>
              <w:ind w:left="139"/>
              <w:jc w:val="left"/>
              <w:rPr>
                <w:rFonts w:ascii="宋体" w:hAnsi="宋体"/>
                <w:color w:val="000000" w:themeColor="text1"/>
                <w:spacing w:val="6"/>
                <w:highlight w:val="none"/>
                <w14:textFill>
                  <w14:solidFill>
                    <w14:schemeClr w14:val="tx1"/>
                  </w14:solidFill>
                </w14:textFill>
              </w:rPr>
            </w:pPr>
            <w:r>
              <w:rPr>
                <w:rFonts w:hint="eastAsia" w:ascii="宋体" w:hAnsi="宋体"/>
                <w:color w:val="000000" w:themeColor="text1"/>
                <w:spacing w:val="6"/>
                <w:highlight w:val="none"/>
                <w14:textFill>
                  <w14:solidFill>
                    <w14:schemeClr w14:val="tx1"/>
                  </w14:solidFill>
                </w14:textFill>
              </w:rPr>
              <w:t>中标书发出后时间</w:t>
            </w:r>
          </w:p>
        </w:tc>
      </w:tr>
    </w:tbl>
    <w:p w14:paraId="4684539F">
      <w:pPr>
        <w:spacing w:before="120" w:beforeLines="50" w:line="360" w:lineRule="auto"/>
        <w:ind w:firstLine="488"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2"/>
          <w:highlight w:val="none"/>
          <w14:textFill>
            <w14:solidFill>
              <w14:schemeClr w14:val="tx1"/>
            </w14:solidFill>
          </w14:textFill>
        </w:rPr>
        <w:t>7、在工程的招标代理中，必须严格按照</w:t>
      </w:r>
      <w:r>
        <w:rPr>
          <w:rFonts w:hint="eastAsia" w:ascii="宋体" w:hAnsi="宋体"/>
          <w:color w:val="000000" w:themeColor="text1"/>
          <w:spacing w:val="1"/>
          <w:highlight w:val="none"/>
          <w14:textFill>
            <w14:solidFill>
              <w14:schemeClr w14:val="tx1"/>
            </w14:solidFill>
          </w14:textFill>
        </w:rPr>
        <w:t>《中华人民共和国招标投标法》、《中华人民共和</w:t>
      </w:r>
      <w:r>
        <w:rPr>
          <w:rFonts w:hint="eastAsia" w:ascii="宋体" w:hAnsi="宋体"/>
          <w:color w:val="000000" w:themeColor="text1"/>
          <w:spacing w:val="8"/>
          <w:highlight w:val="none"/>
          <w14:textFill>
            <w14:solidFill>
              <w14:schemeClr w14:val="tx1"/>
            </w14:solidFill>
          </w14:textFill>
        </w:rPr>
        <w:t>国招标投标法实</w:t>
      </w:r>
      <w:r>
        <w:rPr>
          <w:rFonts w:hint="eastAsia" w:ascii="宋体" w:hAnsi="宋体"/>
          <w:color w:val="000000" w:themeColor="text1"/>
          <w:spacing w:val="5"/>
          <w:highlight w:val="none"/>
          <w14:textFill>
            <w14:solidFill>
              <w14:schemeClr w14:val="tx1"/>
            </w14:solidFill>
          </w14:textFill>
        </w:rPr>
        <w:t>施</w:t>
      </w:r>
      <w:r>
        <w:rPr>
          <w:rFonts w:hint="eastAsia" w:ascii="宋体" w:hAnsi="宋体"/>
          <w:color w:val="000000" w:themeColor="text1"/>
          <w:spacing w:val="4"/>
          <w:highlight w:val="none"/>
          <w14:textFill>
            <w14:solidFill>
              <w14:schemeClr w14:val="tx1"/>
            </w14:solidFill>
          </w14:textFill>
        </w:rPr>
        <w:t>条例》、《嘉兴市建设工程招标投标实施办法》等有关法律、法规等进行规</w:t>
      </w:r>
      <w:r>
        <w:rPr>
          <w:rFonts w:hint="eastAsia" w:ascii="宋体" w:hAnsi="宋体"/>
          <w:color w:val="000000" w:themeColor="text1"/>
          <w:spacing w:val="12"/>
          <w:highlight w:val="none"/>
          <w14:textFill>
            <w14:solidFill>
              <w14:schemeClr w14:val="tx1"/>
            </w14:solidFill>
          </w14:textFill>
        </w:rPr>
        <w:t>范操作。</w:t>
      </w:r>
      <w:r>
        <w:rPr>
          <w:rFonts w:hint="eastAsia" w:ascii="宋体" w:hAnsi="宋体"/>
          <w:color w:val="000000" w:themeColor="text1"/>
          <w:spacing w:val="10"/>
          <w:highlight w:val="none"/>
          <w14:textFill>
            <w14:solidFill>
              <w14:schemeClr w14:val="tx1"/>
            </w14:solidFill>
          </w14:textFill>
        </w:rPr>
        <w:t>招</w:t>
      </w:r>
      <w:r>
        <w:rPr>
          <w:rFonts w:hint="eastAsia" w:ascii="宋体" w:hAnsi="宋体"/>
          <w:color w:val="000000" w:themeColor="text1"/>
          <w:spacing w:val="6"/>
          <w:highlight w:val="none"/>
          <w14:textFill>
            <w14:solidFill>
              <w14:schemeClr w14:val="tx1"/>
            </w14:solidFill>
          </w14:textFill>
        </w:rPr>
        <w:t>标代理机构人员不得与所负责招标代理的项目的所有投标人有任何经济利害关系。</w:t>
      </w:r>
    </w:p>
    <w:p w14:paraId="1C646723">
      <w:pPr>
        <w:spacing w:line="360" w:lineRule="auto"/>
        <w:ind w:firstLine="552"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8"/>
          <w:position w:val="1"/>
          <w:highlight w:val="none"/>
          <w14:textFill>
            <w14:solidFill>
              <w14:schemeClr w14:val="tx1"/>
            </w14:solidFill>
          </w14:textFill>
        </w:rPr>
        <w:t>8</w:t>
      </w:r>
      <w:r>
        <w:rPr>
          <w:rFonts w:hint="eastAsia" w:ascii="宋体" w:hAnsi="宋体"/>
          <w:color w:val="000000" w:themeColor="text1"/>
          <w:spacing w:val="9"/>
          <w:position w:val="1"/>
          <w:highlight w:val="none"/>
          <w14:textFill>
            <w14:solidFill>
              <w14:schemeClr w14:val="tx1"/>
            </w14:solidFill>
          </w14:textFill>
        </w:rPr>
        <w:t>、在坚持公开、公平、公正、择优的原则基础上，必须始终维护项目委托人权益。</w:t>
      </w:r>
    </w:p>
    <w:p w14:paraId="2E5563C3">
      <w:pPr>
        <w:spacing w:line="360" w:lineRule="auto"/>
        <w:ind w:firstLine="536"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4"/>
          <w:highlight w:val="none"/>
          <w14:textFill>
            <w14:solidFill>
              <w14:schemeClr w14:val="tx1"/>
            </w14:solidFill>
          </w14:textFill>
        </w:rPr>
        <w:t>9、</w:t>
      </w:r>
      <w:r>
        <w:rPr>
          <w:rFonts w:hint="eastAsia" w:ascii="宋体" w:hAnsi="宋体"/>
          <w:color w:val="000000" w:themeColor="text1"/>
          <w:spacing w:val="13"/>
          <w:highlight w:val="none"/>
          <w14:textFill>
            <w14:solidFill>
              <w14:schemeClr w14:val="tx1"/>
            </w14:solidFill>
          </w14:textFill>
        </w:rPr>
        <w:t>组</w:t>
      </w:r>
      <w:r>
        <w:rPr>
          <w:rFonts w:hint="eastAsia" w:ascii="宋体" w:hAnsi="宋体"/>
          <w:color w:val="000000" w:themeColor="text1"/>
          <w:spacing w:val="7"/>
          <w:highlight w:val="none"/>
          <w14:textFill>
            <w14:solidFill>
              <w14:schemeClr w14:val="tx1"/>
            </w14:solidFill>
          </w14:textFill>
        </w:rPr>
        <w:t>织思想品德好、综合能力强，且招标经验丰富的项目班子，以确保招标工作的顺利</w:t>
      </w:r>
      <w:r>
        <w:rPr>
          <w:rFonts w:hint="eastAsia" w:ascii="宋体" w:hAnsi="宋体"/>
          <w:color w:val="000000" w:themeColor="text1"/>
          <w:spacing w:val="3"/>
          <w:highlight w:val="none"/>
          <w14:textFill>
            <w14:solidFill>
              <w14:schemeClr w14:val="tx1"/>
            </w14:solidFill>
          </w14:textFill>
        </w:rPr>
        <w:t>完成</w:t>
      </w:r>
      <w:r>
        <w:rPr>
          <w:rFonts w:hint="eastAsia" w:ascii="宋体" w:hAnsi="宋体"/>
          <w:color w:val="000000" w:themeColor="text1"/>
          <w:spacing w:val="2"/>
          <w:highlight w:val="none"/>
          <w14:textFill>
            <w14:solidFill>
              <w14:schemeClr w14:val="tx1"/>
            </w14:solidFill>
          </w14:textFill>
        </w:rPr>
        <w:t>。</w:t>
      </w:r>
    </w:p>
    <w:p w14:paraId="5BF228EA">
      <w:pPr>
        <w:spacing w:line="360" w:lineRule="auto"/>
        <w:ind w:firstLine="544"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6"/>
          <w:position w:val="1"/>
          <w:highlight w:val="none"/>
          <w14:textFill>
            <w14:solidFill>
              <w14:schemeClr w14:val="tx1"/>
            </w14:solidFill>
          </w14:textFill>
        </w:rPr>
        <w:t>1</w:t>
      </w:r>
      <w:r>
        <w:rPr>
          <w:rFonts w:hint="eastAsia" w:ascii="宋体" w:hAnsi="宋体"/>
          <w:color w:val="000000" w:themeColor="text1"/>
          <w:spacing w:val="12"/>
          <w:position w:val="1"/>
          <w:highlight w:val="none"/>
          <w14:textFill>
            <w14:solidFill>
              <w14:schemeClr w14:val="tx1"/>
            </w14:solidFill>
          </w14:textFill>
        </w:rPr>
        <w:t>0</w:t>
      </w:r>
      <w:r>
        <w:rPr>
          <w:rFonts w:hint="eastAsia" w:ascii="宋体" w:hAnsi="宋体"/>
          <w:color w:val="000000" w:themeColor="text1"/>
          <w:spacing w:val="8"/>
          <w:position w:val="1"/>
          <w:highlight w:val="none"/>
          <w14:textFill>
            <w14:solidFill>
              <w14:schemeClr w14:val="tx1"/>
            </w14:solidFill>
          </w14:textFill>
        </w:rPr>
        <w:t>、加强协调工作，各项招标工作必须满足所要招标项目的要求。</w:t>
      </w:r>
    </w:p>
    <w:p w14:paraId="58DF5305">
      <w:pPr>
        <w:spacing w:line="500" w:lineRule="exact"/>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（二）造价咨询服务工作内容及要求</w:t>
      </w:r>
    </w:p>
    <w:p w14:paraId="537130E5">
      <w:pPr>
        <w:autoSpaceDE w:val="0"/>
        <w:autoSpaceDN w:val="0"/>
        <w:adjustRightInd w:val="0"/>
        <w:spacing w:line="500" w:lineRule="exact"/>
        <w:ind w:firstLine="480" w:firstLineChars="200"/>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1、工程造价咨询服务主要工作内容：</w:t>
      </w:r>
    </w:p>
    <w:p w14:paraId="407B666D">
      <w:pPr>
        <w:spacing w:line="500" w:lineRule="exact"/>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（1）工程结算审核</w:t>
      </w:r>
    </w:p>
    <w:p w14:paraId="79699648">
      <w:pPr>
        <w:spacing w:line="500" w:lineRule="exact"/>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①根据工程合同相应的建设工程法律、法规、标准规范与工程计价依据、招投标文件、施工图纸、现场发生的各项有效证明审核工程造价；</w:t>
      </w:r>
    </w:p>
    <w:p w14:paraId="53F6D6C2">
      <w:pPr>
        <w:spacing w:line="500" w:lineRule="exact"/>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②现场踏勘、计量复核；</w:t>
      </w:r>
    </w:p>
    <w:p w14:paraId="40D42270">
      <w:pPr>
        <w:spacing w:line="500" w:lineRule="exact"/>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③工程量、工程要素价格及各类项目费用进行审核确定；</w:t>
      </w:r>
    </w:p>
    <w:p w14:paraId="03FC980D">
      <w:pPr>
        <w:spacing w:line="500" w:lineRule="exact"/>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④编制工程结算审核报告。</w:t>
      </w:r>
    </w:p>
    <w:p w14:paraId="7B8002F7">
      <w:pPr>
        <w:spacing w:line="500" w:lineRule="exact"/>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（2）工程量清单、预算编制、审核</w:t>
      </w:r>
    </w:p>
    <w:p w14:paraId="523F38FA">
      <w:pPr>
        <w:spacing w:line="500" w:lineRule="exact"/>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根据国家有关法律、法规和标准规范以及施工图纸文件、工程计价依据、工程量计算规则、各种措施费、市场要素价格等编制或审核预算，编制工程造价咨询报告。</w:t>
      </w:r>
    </w:p>
    <w:p w14:paraId="581C63C2">
      <w:pPr>
        <w:numPr>
          <w:ilvl w:val="0"/>
          <w:numId w:val="8"/>
        </w:numPr>
        <w:autoSpaceDE w:val="0"/>
        <w:autoSpaceDN w:val="0"/>
        <w:adjustRightInd w:val="0"/>
        <w:spacing w:line="500" w:lineRule="exact"/>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参与提供造价咨询服务的工程合同谈判，谈判过程中做好咨询报告的解释工作。</w:t>
      </w:r>
    </w:p>
    <w:p w14:paraId="69BBA662">
      <w:pPr>
        <w:autoSpaceDE w:val="0"/>
        <w:autoSpaceDN w:val="0"/>
        <w:adjustRightInd w:val="0"/>
        <w:spacing w:line="500" w:lineRule="exact"/>
        <w:ind w:firstLine="480" w:firstLineChars="200"/>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2、单项工程工程造价文件审核须在收到送审资料后7天内（</w:t>
      </w:r>
      <w:r>
        <w:rPr>
          <w:rFonts w:hint="eastAsia" w:ascii="宋体" w:hAnsi="宋体"/>
          <w:color w:val="000000" w:themeColor="text1"/>
          <w:highlight w:val="none"/>
          <w:lang w:eastAsia="zh-CN"/>
          <w14:textFill>
            <w14:solidFill>
              <w14:schemeClr w14:val="tx1"/>
            </w14:solidFill>
          </w14:textFill>
        </w:rPr>
        <w:t>具体在协议签订时结合本次征集入围供应商承诺时间由征集人统一明确</w:t>
      </w:r>
      <w:r>
        <w:rPr>
          <w:rFonts w:hint="eastAsia" w:ascii="宋体" w:hAnsi="宋体"/>
          <w:color w:val="000000" w:themeColor="text1"/>
          <w:highlight w:val="none"/>
          <w14:textFill>
            <w14:solidFill>
              <w14:schemeClr w14:val="tx1"/>
            </w14:solidFill>
          </w14:textFill>
        </w:rPr>
        <w:t>）编制完成咨询意见；零星工程结算审核及其他预算审核须在收到送审资料后10天内（</w:t>
      </w:r>
      <w:r>
        <w:rPr>
          <w:rFonts w:hint="eastAsia" w:ascii="宋体" w:hAnsi="宋体"/>
          <w:color w:val="000000" w:themeColor="text1"/>
          <w:highlight w:val="none"/>
          <w:lang w:eastAsia="zh-CN"/>
          <w14:textFill>
            <w14:solidFill>
              <w14:schemeClr w14:val="tx1"/>
            </w14:solidFill>
          </w14:textFill>
        </w:rPr>
        <w:t>具体在协议签订时结合本次征集入围供应商承诺时间由征集人统一明确</w:t>
      </w:r>
      <w:r>
        <w:rPr>
          <w:rFonts w:hint="eastAsia" w:ascii="宋体" w:hAnsi="宋体"/>
          <w:color w:val="000000" w:themeColor="text1"/>
          <w:highlight w:val="none"/>
          <w14:textFill>
            <w14:solidFill>
              <w14:schemeClr w14:val="tx1"/>
            </w14:solidFill>
          </w14:textFill>
        </w:rPr>
        <w:t>）编制完成咨询报告初稿；上述咨询项目若发现资料不齐时，应在收到资料后3天内向招标人提出，并明确相关资料要求。</w:t>
      </w:r>
    </w:p>
    <w:p w14:paraId="05259EB4">
      <w:pPr>
        <w:pStyle w:val="2"/>
        <w:spacing w:before="120" w:beforeLines="50" w:after="120" w:afterLines="50"/>
        <w:jc w:val="center"/>
        <w:rPr>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造价咨询服务相关时限、误差率</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900"/>
        <w:gridCol w:w="5193"/>
        <w:gridCol w:w="1518"/>
        <w:gridCol w:w="1209"/>
      </w:tblGrid>
      <w:tr w14:paraId="21B80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97" w:hRule="atLeast"/>
          <w:jc w:val="center"/>
        </w:trPr>
        <w:tc>
          <w:tcPr>
            <w:tcW w:w="900" w:type="dxa"/>
            <w:vAlign w:val="center"/>
          </w:tcPr>
          <w:p w14:paraId="3723C256">
            <w:pPr>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序号</w:t>
            </w:r>
          </w:p>
        </w:tc>
        <w:tc>
          <w:tcPr>
            <w:tcW w:w="5193" w:type="dxa"/>
            <w:vAlign w:val="center"/>
          </w:tcPr>
          <w:p w14:paraId="417AD84B">
            <w:pPr>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工作内容</w:t>
            </w:r>
          </w:p>
        </w:tc>
        <w:tc>
          <w:tcPr>
            <w:tcW w:w="1518" w:type="dxa"/>
            <w:vAlign w:val="center"/>
          </w:tcPr>
          <w:p w14:paraId="3DA9390C">
            <w:pPr>
              <w:jc w:val="center"/>
              <w:rPr>
                <w:rFonts w:ascii="宋体" w:hAnsi="宋体"/>
                <w:b/>
                <w:color w:val="000000" w:themeColor="text1"/>
                <w:kern w:val="0"/>
                <w:szCs w:val="21"/>
                <w:highlight w:val="none"/>
                <w14:textFill>
                  <w14:solidFill>
                    <w14:schemeClr w14:val="tx1"/>
                  </w14:solidFill>
                </w14:textFill>
              </w:rPr>
            </w:pPr>
            <w:r>
              <w:rPr>
                <w:rFonts w:hint="eastAsia" w:ascii="宋体" w:hAnsi="宋体"/>
                <w:b/>
                <w:color w:val="000000" w:themeColor="text1"/>
                <w:kern w:val="0"/>
                <w:szCs w:val="21"/>
                <w:highlight w:val="none"/>
                <w14:textFill>
                  <w14:solidFill>
                    <w14:schemeClr w14:val="tx1"/>
                  </w14:solidFill>
                </w14:textFill>
              </w:rPr>
              <w:t>服务目标</w:t>
            </w:r>
          </w:p>
        </w:tc>
        <w:tc>
          <w:tcPr>
            <w:tcW w:w="1209" w:type="dxa"/>
            <w:vAlign w:val="center"/>
          </w:tcPr>
          <w:p w14:paraId="44CC0C91">
            <w:pPr>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备注</w:t>
            </w:r>
          </w:p>
        </w:tc>
      </w:tr>
      <w:tr w14:paraId="79BD7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97" w:hRule="atLeast"/>
          <w:jc w:val="center"/>
        </w:trPr>
        <w:tc>
          <w:tcPr>
            <w:tcW w:w="900" w:type="dxa"/>
            <w:vAlign w:val="center"/>
          </w:tcPr>
          <w:p w14:paraId="352E575D">
            <w:pPr>
              <w:jc w:val="center"/>
              <w:rPr>
                <w:rFonts w:ascii="宋体" w:hAnsi="宋体"/>
                <w:color w:val="000000" w:themeColor="text1"/>
                <w:kern w:val="0"/>
                <w:szCs w:val="21"/>
                <w:highlight w:val="none"/>
                <w14:textFill>
                  <w14:solidFill>
                    <w14:schemeClr w14:val="tx1"/>
                  </w14:solidFill>
                </w14:textFill>
              </w:rPr>
            </w:pPr>
            <w:r>
              <w:rPr>
                <w:rFonts w:hint="eastAsia" w:ascii="宋体" w:hAnsi="宋体"/>
                <w:color w:val="000000" w:themeColor="text1"/>
                <w:kern w:val="0"/>
                <w:szCs w:val="21"/>
                <w:highlight w:val="none"/>
                <w14:textFill>
                  <w14:solidFill>
                    <w14:schemeClr w14:val="tx1"/>
                  </w14:solidFill>
                </w14:textFill>
              </w:rPr>
              <w:t>1</w:t>
            </w:r>
          </w:p>
        </w:tc>
        <w:tc>
          <w:tcPr>
            <w:tcW w:w="5193" w:type="dxa"/>
            <w:vAlign w:val="center"/>
          </w:tcPr>
          <w:p w14:paraId="128844EC">
            <w:pPr>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工程量清单、预算审核出具时间</w:t>
            </w:r>
          </w:p>
        </w:tc>
        <w:tc>
          <w:tcPr>
            <w:tcW w:w="1518" w:type="dxa"/>
            <w:vAlign w:val="center"/>
          </w:tcPr>
          <w:p w14:paraId="409787FD">
            <w:pPr>
              <w:jc w:val="right"/>
              <w:rPr>
                <w:rFonts w:ascii="宋体" w:hAnsi="宋体"/>
                <w:color w:val="000000" w:themeColor="text1"/>
                <w:kern w:val="0"/>
                <w:szCs w:val="21"/>
                <w:highlight w:val="none"/>
                <w14:textFill>
                  <w14:solidFill>
                    <w14:schemeClr w14:val="tx1"/>
                  </w14:solidFill>
                </w14:textFill>
              </w:rPr>
            </w:pPr>
            <w:r>
              <w:rPr>
                <w:rFonts w:hint="eastAsia" w:ascii="宋体" w:hAnsi="宋体"/>
                <w:color w:val="000000" w:themeColor="text1"/>
                <w:kern w:val="0"/>
                <w:szCs w:val="21"/>
                <w:highlight w:val="none"/>
                <w:u w:val="single"/>
                <w:lang w:val="en-US" w:eastAsia="zh-CN"/>
                <w14:textFill>
                  <w14:solidFill>
                    <w14:schemeClr w14:val="tx1"/>
                  </w14:solidFill>
                </w14:textFill>
              </w:rPr>
              <w:t xml:space="preserve">      </w:t>
            </w:r>
            <w:r>
              <w:rPr>
                <w:rFonts w:hint="eastAsia" w:ascii="宋体" w:hAnsi="宋体"/>
                <w:color w:val="000000" w:themeColor="text1"/>
                <w:kern w:val="0"/>
                <w:szCs w:val="21"/>
                <w:highlight w:val="none"/>
                <w14:textFill>
                  <w14:solidFill>
                    <w14:schemeClr w14:val="tx1"/>
                  </w14:solidFill>
                </w14:textFill>
              </w:rPr>
              <w:t>天</w:t>
            </w:r>
          </w:p>
        </w:tc>
        <w:tc>
          <w:tcPr>
            <w:tcW w:w="1209" w:type="dxa"/>
            <w:vAlign w:val="center"/>
          </w:tcPr>
          <w:p w14:paraId="51DFB45E">
            <w:pPr>
              <w:jc w:val="center"/>
              <w:rPr>
                <w:rFonts w:ascii="宋体" w:hAnsi="宋体"/>
                <w:color w:val="000000" w:themeColor="text1"/>
                <w:kern w:val="0"/>
                <w:szCs w:val="21"/>
                <w:highlight w:val="none"/>
                <w14:textFill>
                  <w14:solidFill>
                    <w14:schemeClr w14:val="tx1"/>
                  </w14:solidFill>
                </w14:textFill>
              </w:rPr>
            </w:pPr>
          </w:p>
        </w:tc>
      </w:tr>
      <w:tr w14:paraId="0A764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97" w:hRule="atLeast"/>
          <w:jc w:val="center"/>
        </w:trPr>
        <w:tc>
          <w:tcPr>
            <w:tcW w:w="900" w:type="dxa"/>
            <w:vAlign w:val="center"/>
          </w:tcPr>
          <w:p w14:paraId="308B8DD6">
            <w:pPr>
              <w:jc w:val="center"/>
              <w:rPr>
                <w:rFonts w:ascii="宋体" w:hAnsi="宋体"/>
                <w:b/>
                <w:bCs/>
                <w:color w:val="000000" w:themeColor="text1"/>
                <w:szCs w:val="21"/>
                <w:highlight w:val="none"/>
                <w14:textFill>
                  <w14:solidFill>
                    <w14:schemeClr w14:val="tx1"/>
                  </w14:solidFill>
                </w14:textFill>
              </w:rPr>
            </w:pPr>
            <w:r>
              <w:rPr>
                <w:rFonts w:hint="eastAsia" w:ascii="宋体" w:hAnsi="宋体"/>
                <w:color w:val="000000" w:themeColor="text1"/>
                <w:kern w:val="0"/>
                <w:szCs w:val="21"/>
                <w:highlight w:val="none"/>
                <w14:textFill>
                  <w14:solidFill>
                    <w14:schemeClr w14:val="tx1"/>
                  </w14:solidFill>
                </w14:textFill>
              </w:rPr>
              <w:t>2</w:t>
            </w:r>
          </w:p>
        </w:tc>
        <w:tc>
          <w:tcPr>
            <w:tcW w:w="5193" w:type="dxa"/>
            <w:vAlign w:val="center"/>
          </w:tcPr>
          <w:p w14:paraId="13E68635">
            <w:pPr>
              <w:jc w:val="center"/>
              <w:rPr>
                <w:rFonts w:ascii="宋体" w:hAnsi="宋体"/>
                <w:color w:val="000000" w:themeColor="text1"/>
                <w:kern w:val="0"/>
                <w:szCs w:val="21"/>
                <w:highlight w:val="none"/>
                <w14:textFill>
                  <w14:solidFill>
                    <w14:schemeClr w14:val="tx1"/>
                  </w14:solidFill>
                </w14:textFill>
              </w:rPr>
            </w:pPr>
            <w:r>
              <w:rPr>
                <w:rFonts w:hint="eastAsia" w:ascii="宋体" w:hAnsi="宋体"/>
                <w:color w:val="000000" w:themeColor="text1"/>
                <w:kern w:val="0"/>
                <w:szCs w:val="21"/>
                <w:highlight w:val="none"/>
                <w14:textFill>
                  <w14:solidFill>
                    <w14:schemeClr w14:val="tx1"/>
                  </w14:solidFill>
                </w14:textFill>
              </w:rPr>
              <w:t>（结）算审核初稿出具时间</w:t>
            </w:r>
          </w:p>
        </w:tc>
        <w:tc>
          <w:tcPr>
            <w:tcW w:w="1518" w:type="dxa"/>
            <w:vAlign w:val="center"/>
          </w:tcPr>
          <w:p w14:paraId="3339CD00">
            <w:pPr>
              <w:jc w:val="right"/>
              <w:rPr>
                <w:rFonts w:hint="eastAsia" w:ascii="宋体" w:hAnsi="宋体" w:eastAsia="宋体"/>
                <w:color w:val="000000" w:themeColor="text1"/>
                <w:kern w:val="0"/>
                <w:szCs w:val="21"/>
                <w:highlight w:val="none"/>
                <w:lang w:val="en-US" w:eastAsia="zh-CN"/>
                <w14:textFill>
                  <w14:solidFill>
                    <w14:schemeClr w14:val="tx1"/>
                  </w14:solidFill>
                </w14:textFill>
              </w:rPr>
            </w:pPr>
            <w:r>
              <w:rPr>
                <w:rFonts w:hint="eastAsia" w:ascii="宋体" w:hAnsi="宋体"/>
                <w:color w:val="000000" w:themeColor="text1"/>
                <w:kern w:val="0"/>
                <w:szCs w:val="21"/>
                <w:highlight w:val="none"/>
                <w:u w:val="single"/>
                <w:lang w:val="en-US" w:eastAsia="zh-CN"/>
                <w14:textFill>
                  <w14:solidFill>
                    <w14:schemeClr w14:val="tx1"/>
                  </w14:solidFill>
                </w14:textFill>
              </w:rPr>
              <w:t xml:space="preserve">      </w:t>
            </w:r>
            <w:r>
              <w:rPr>
                <w:rFonts w:hint="eastAsia" w:ascii="宋体" w:hAnsi="宋体"/>
                <w:color w:val="000000" w:themeColor="text1"/>
                <w:kern w:val="0"/>
                <w:szCs w:val="21"/>
                <w:highlight w:val="none"/>
                <w14:textFill>
                  <w14:solidFill>
                    <w14:schemeClr w14:val="tx1"/>
                  </w14:solidFill>
                </w14:textFill>
              </w:rPr>
              <w:t>天</w:t>
            </w:r>
            <w:r>
              <w:rPr>
                <w:rFonts w:hint="eastAsia" w:ascii="宋体" w:hAnsi="宋体"/>
                <w:color w:val="000000" w:themeColor="text1"/>
                <w:kern w:val="0"/>
                <w:szCs w:val="21"/>
                <w:highlight w:val="none"/>
                <w:lang w:val="en-US" w:eastAsia="zh-CN"/>
                <w14:textFill>
                  <w14:solidFill>
                    <w14:schemeClr w14:val="tx1"/>
                  </w14:solidFill>
                </w14:textFill>
              </w:rPr>
              <w:t xml:space="preserve"> </w:t>
            </w:r>
          </w:p>
        </w:tc>
        <w:tc>
          <w:tcPr>
            <w:tcW w:w="1209" w:type="dxa"/>
            <w:vAlign w:val="center"/>
          </w:tcPr>
          <w:p w14:paraId="4E798EB0">
            <w:pPr>
              <w:jc w:val="center"/>
              <w:rPr>
                <w:rFonts w:ascii="宋体" w:hAnsi="宋体"/>
                <w:color w:val="000000" w:themeColor="text1"/>
                <w:kern w:val="0"/>
                <w:szCs w:val="21"/>
                <w:highlight w:val="none"/>
                <w14:textFill>
                  <w14:solidFill>
                    <w14:schemeClr w14:val="tx1"/>
                  </w14:solidFill>
                </w14:textFill>
              </w:rPr>
            </w:pPr>
          </w:p>
        </w:tc>
      </w:tr>
      <w:tr w14:paraId="0F597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97" w:hRule="atLeast"/>
          <w:jc w:val="center"/>
        </w:trPr>
        <w:tc>
          <w:tcPr>
            <w:tcW w:w="900" w:type="dxa"/>
            <w:vAlign w:val="center"/>
          </w:tcPr>
          <w:p w14:paraId="09D91A34">
            <w:pPr>
              <w:jc w:val="center"/>
              <w:rPr>
                <w:rFonts w:ascii="宋体" w:hAnsi="宋体"/>
                <w:b/>
                <w:bCs/>
                <w:color w:val="000000" w:themeColor="text1"/>
                <w:szCs w:val="21"/>
                <w:highlight w:val="none"/>
                <w14:textFill>
                  <w14:solidFill>
                    <w14:schemeClr w14:val="tx1"/>
                  </w14:solidFill>
                </w14:textFill>
              </w:rPr>
            </w:pPr>
            <w:r>
              <w:rPr>
                <w:rFonts w:hint="eastAsia" w:ascii="宋体" w:hAnsi="宋体"/>
                <w:color w:val="000000" w:themeColor="text1"/>
                <w:kern w:val="0"/>
                <w:szCs w:val="21"/>
                <w:highlight w:val="none"/>
                <w14:textFill>
                  <w14:solidFill>
                    <w14:schemeClr w14:val="tx1"/>
                  </w14:solidFill>
                </w14:textFill>
              </w:rPr>
              <w:t>3</w:t>
            </w:r>
          </w:p>
        </w:tc>
        <w:tc>
          <w:tcPr>
            <w:tcW w:w="5193" w:type="dxa"/>
            <w:vAlign w:val="center"/>
          </w:tcPr>
          <w:p w14:paraId="50EA62C1">
            <w:pPr>
              <w:jc w:val="center"/>
              <w:rPr>
                <w:rFonts w:ascii="宋体" w:hAnsi="宋体"/>
                <w:color w:val="000000" w:themeColor="text1"/>
                <w:kern w:val="0"/>
                <w:szCs w:val="21"/>
                <w:highlight w:val="none"/>
                <w14:textFill>
                  <w14:solidFill>
                    <w14:schemeClr w14:val="tx1"/>
                  </w14:solidFill>
                </w14:textFill>
              </w:rPr>
            </w:pPr>
            <w:r>
              <w:rPr>
                <w:rFonts w:hint="eastAsia" w:ascii="宋体" w:hAnsi="宋体"/>
                <w:color w:val="000000" w:themeColor="text1"/>
                <w:kern w:val="0"/>
                <w:szCs w:val="21"/>
                <w:highlight w:val="none"/>
                <w14:textFill>
                  <w14:solidFill>
                    <w14:schemeClr w14:val="tx1"/>
                  </w14:solidFill>
                </w14:textFill>
              </w:rPr>
              <w:t>施工图范围内工程量清单、预算编制误差率要求</w:t>
            </w:r>
          </w:p>
        </w:tc>
        <w:tc>
          <w:tcPr>
            <w:tcW w:w="1518" w:type="dxa"/>
            <w:vAlign w:val="center"/>
          </w:tcPr>
          <w:p w14:paraId="321ECA02">
            <w:pPr>
              <w:jc w:val="right"/>
              <w:rPr>
                <w:rFonts w:ascii="宋体" w:hAnsi="宋体"/>
                <w:color w:val="000000" w:themeColor="text1"/>
                <w:kern w:val="0"/>
                <w:szCs w:val="21"/>
                <w:highlight w:val="none"/>
                <w14:textFill>
                  <w14:solidFill>
                    <w14:schemeClr w14:val="tx1"/>
                  </w14:solidFill>
                </w14:textFill>
              </w:rPr>
            </w:pPr>
            <w:r>
              <w:rPr>
                <w:rFonts w:hint="eastAsia" w:ascii="宋体" w:hAnsi="宋体"/>
                <w:color w:val="000000" w:themeColor="text1"/>
                <w:kern w:val="0"/>
                <w:szCs w:val="21"/>
                <w:highlight w:val="none"/>
                <w:u w:val="single"/>
                <w:lang w:val="en-US" w:eastAsia="zh-CN"/>
                <w14:textFill>
                  <w14:solidFill>
                    <w14:schemeClr w14:val="tx1"/>
                  </w14:solidFill>
                </w14:textFill>
              </w:rPr>
              <w:t xml:space="preserve">       </w:t>
            </w:r>
            <w:r>
              <w:rPr>
                <w:rFonts w:hint="eastAsia" w:ascii="宋体" w:hAnsi="宋体"/>
                <w:color w:val="000000" w:themeColor="text1"/>
                <w:kern w:val="0"/>
                <w:szCs w:val="21"/>
                <w:highlight w:val="none"/>
                <w14:textFill>
                  <w14:solidFill>
                    <w14:schemeClr w14:val="tx1"/>
                  </w14:solidFill>
                </w14:textFill>
              </w:rPr>
              <w:t>%</w:t>
            </w:r>
          </w:p>
        </w:tc>
        <w:tc>
          <w:tcPr>
            <w:tcW w:w="1209" w:type="dxa"/>
            <w:vAlign w:val="center"/>
          </w:tcPr>
          <w:p w14:paraId="38493DB7">
            <w:pPr>
              <w:jc w:val="center"/>
              <w:rPr>
                <w:rFonts w:ascii="宋体" w:hAnsi="宋体"/>
                <w:color w:val="000000" w:themeColor="text1"/>
                <w:kern w:val="0"/>
                <w:szCs w:val="21"/>
                <w:highlight w:val="none"/>
                <w14:textFill>
                  <w14:solidFill>
                    <w14:schemeClr w14:val="tx1"/>
                  </w14:solidFill>
                </w14:textFill>
              </w:rPr>
            </w:pPr>
          </w:p>
        </w:tc>
      </w:tr>
      <w:tr w14:paraId="41CC2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97" w:hRule="atLeast"/>
          <w:jc w:val="center"/>
        </w:trPr>
        <w:tc>
          <w:tcPr>
            <w:tcW w:w="900" w:type="dxa"/>
            <w:vAlign w:val="center"/>
          </w:tcPr>
          <w:p w14:paraId="3079D706">
            <w:pPr>
              <w:jc w:val="center"/>
              <w:rPr>
                <w:rFonts w:ascii="宋体" w:hAnsi="宋体"/>
                <w:color w:val="000000" w:themeColor="text1"/>
                <w:kern w:val="0"/>
                <w:szCs w:val="21"/>
                <w:highlight w:val="none"/>
                <w14:textFill>
                  <w14:solidFill>
                    <w14:schemeClr w14:val="tx1"/>
                  </w14:solidFill>
                </w14:textFill>
              </w:rPr>
            </w:pPr>
            <w:r>
              <w:rPr>
                <w:rFonts w:hint="eastAsia" w:ascii="宋体" w:hAnsi="宋体"/>
                <w:color w:val="000000" w:themeColor="text1"/>
                <w:kern w:val="0"/>
                <w:szCs w:val="21"/>
                <w:highlight w:val="none"/>
                <w14:textFill>
                  <w14:solidFill>
                    <w14:schemeClr w14:val="tx1"/>
                  </w14:solidFill>
                </w14:textFill>
              </w:rPr>
              <w:t>4</w:t>
            </w:r>
          </w:p>
        </w:tc>
        <w:tc>
          <w:tcPr>
            <w:tcW w:w="5193" w:type="dxa"/>
            <w:vAlign w:val="center"/>
          </w:tcPr>
          <w:p w14:paraId="779FF0DE">
            <w:pPr>
              <w:jc w:val="center"/>
              <w:rPr>
                <w:rFonts w:ascii="宋体" w:hAnsi="宋体"/>
                <w:color w:val="000000" w:themeColor="text1"/>
                <w:kern w:val="0"/>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预算审核、结算审核、跟踪审计误差率</w:t>
            </w:r>
            <w:r>
              <w:rPr>
                <w:rFonts w:hint="eastAsia" w:ascii="宋体" w:hAnsi="宋体"/>
                <w:color w:val="000000" w:themeColor="text1"/>
                <w:kern w:val="0"/>
                <w:szCs w:val="21"/>
                <w:highlight w:val="none"/>
                <w14:textFill>
                  <w14:solidFill>
                    <w14:schemeClr w14:val="tx1"/>
                  </w14:solidFill>
                </w14:textFill>
              </w:rPr>
              <w:t>要求</w:t>
            </w:r>
          </w:p>
        </w:tc>
        <w:tc>
          <w:tcPr>
            <w:tcW w:w="1518" w:type="dxa"/>
            <w:vAlign w:val="center"/>
          </w:tcPr>
          <w:p w14:paraId="297079D6">
            <w:pPr>
              <w:jc w:val="right"/>
              <w:rPr>
                <w:rFonts w:ascii="宋体" w:hAnsi="宋体"/>
                <w:color w:val="000000" w:themeColor="text1"/>
                <w:kern w:val="0"/>
                <w:szCs w:val="21"/>
                <w:highlight w:val="none"/>
                <w14:textFill>
                  <w14:solidFill>
                    <w14:schemeClr w14:val="tx1"/>
                  </w14:solidFill>
                </w14:textFill>
              </w:rPr>
            </w:pPr>
            <w:r>
              <w:rPr>
                <w:rFonts w:hint="eastAsia" w:ascii="宋体" w:hAnsi="宋体"/>
                <w:color w:val="000000" w:themeColor="text1"/>
                <w:kern w:val="0"/>
                <w:szCs w:val="21"/>
                <w:highlight w:val="none"/>
                <w:u w:val="single"/>
                <w:lang w:val="en-US" w:eastAsia="zh-CN"/>
                <w14:textFill>
                  <w14:solidFill>
                    <w14:schemeClr w14:val="tx1"/>
                  </w14:solidFill>
                </w14:textFill>
              </w:rPr>
              <w:t xml:space="preserve">       </w:t>
            </w:r>
            <w:r>
              <w:rPr>
                <w:rFonts w:hint="eastAsia" w:ascii="宋体" w:hAnsi="宋体"/>
                <w:color w:val="000000" w:themeColor="text1"/>
                <w:kern w:val="0"/>
                <w:szCs w:val="21"/>
                <w:highlight w:val="none"/>
                <w14:textFill>
                  <w14:solidFill>
                    <w14:schemeClr w14:val="tx1"/>
                  </w14:solidFill>
                </w14:textFill>
              </w:rPr>
              <w:t>%</w:t>
            </w:r>
          </w:p>
        </w:tc>
        <w:tc>
          <w:tcPr>
            <w:tcW w:w="1209" w:type="dxa"/>
            <w:vAlign w:val="center"/>
          </w:tcPr>
          <w:p w14:paraId="36554E3A">
            <w:pPr>
              <w:jc w:val="center"/>
              <w:rPr>
                <w:rFonts w:ascii="宋体" w:hAnsi="宋体"/>
                <w:color w:val="000000" w:themeColor="text1"/>
                <w:kern w:val="0"/>
                <w:szCs w:val="21"/>
                <w:highlight w:val="none"/>
                <w14:textFill>
                  <w14:solidFill>
                    <w14:schemeClr w14:val="tx1"/>
                  </w14:solidFill>
                </w14:textFill>
              </w:rPr>
            </w:pPr>
          </w:p>
        </w:tc>
      </w:tr>
    </w:tbl>
    <w:p w14:paraId="47DA84AD">
      <w:pPr>
        <w:pStyle w:val="2"/>
        <w:jc w:val="center"/>
        <w:rPr>
          <w:color w:val="000000" w:themeColor="text1"/>
          <w:highlight w:val="none"/>
          <w14:textFill>
            <w14:solidFill>
              <w14:schemeClr w14:val="tx1"/>
            </w14:solidFill>
          </w14:textFill>
        </w:rPr>
      </w:pPr>
    </w:p>
    <w:p w14:paraId="7E172F73">
      <w:pPr>
        <w:autoSpaceDE w:val="0"/>
        <w:autoSpaceDN w:val="0"/>
        <w:adjustRightInd w:val="0"/>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3、在工程造价咨询服务过程中，必须严格按照《浙江省建设工程造价咨询执业操作规程》及嘉兴市建设工程造价的有关法律、法规等进行规范操作。</w:t>
      </w:r>
    </w:p>
    <w:p w14:paraId="4311E1BE">
      <w:pPr>
        <w:pStyle w:val="16"/>
        <w:spacing w:after="0" w:line="360" w:lineRule="auto"/>
        <w:ind w:left="0" w:leftChars="0"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4、组织思想品德好、综合能力强且经验丰富的咨询人员，咨询工作开展过程中若碰到问题需招标人协调的，需向招标人及时反映，并加强主动性、积极性及协调能力，以确保咨询工作的顺利完成。</w:t>
      </w:r>
    </w:p>
    <w:p w14:paraId="10E7F66A">
      <w:pPr>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三、服务质量要求</w:t>
      </w:r>
    </w:p>
    <w:p w14:paraId="24F3F66D">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1.自觉遵守国家、</w:t>
      </w:r>
      <w:r>
        <w:rPr>
          <w:rFonts w:hint="eastAsia" w:ascii="宋体" w:hAnsi="宋体"/>
          <w:color w:val="000000" w:themeColor="text1"/>
          <w:highlight w:val="none"/>
          <w:lang w:eastAsia="zh-CN"/>
          <w14:textFill>
            <w14:solidFill>
              <w14:schemeClr w14:val="tx1"/>
            </w14:solidFill>
          </w14:textFill>
        </w:rPr>
        <w:t>省、市、区</w:t>
      </w:r>
      <w:r>
        <w:rPr>
          <w:rFonts w:hint="eastAsia" w:ascii="宋体" w:hAnsi="宋体"/>
          <w:color w:val="000000" w:themeColor="text1"/>
          <w:highlight w:val="none"/>
          <w14:textFill>
            <w14:solidFill>
              <w14:schemeClr w14:val="tx1"/>
            </w14:solidFill>
          </w14:textFill>
        </w:rPr>
        <w:t>有关法律法规及规范性文件规定，严格执行政府投资项目工程造价咨询服务、廉政纪律和职业道德，保守工程资料数据的秘密，并承诺在签订合同时签订保密协议。</w:t>
      </w:r>
    </w:p>
    <w:p w14:paraId="2B904B1E">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严格按照征集人的有关规定和要求实施政府投资项目工程造价咨询服务，接受征集人的指导、监督和管理，同时按征集人的质量和进度要求及时提供结果以及与服务事项相关的资料。按征集人规定的格式、要求起草有关文书和其他材料。</w:t>
      </w:r>
    </w:p>
    <w:p w14:paraId="7D96A7B2">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3.在坚持公开、公平、公正、择优的原则基础上，必须始终维护委托人权益；组织思想品德好、综合能力强且招标经验丰富的项目班子，以确保招标工作的顺利完成。</w:t>
      </w:r>
    </w:p>
    <w:p w14:paraId="7539C215">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4.独立完成造价咨询服务工作，不得以任何形式将项目委托咨询服务任务再委托给其他机构，并同意对承担相关业务的质量向社会公示。</w:t>
      </w:r>
    </w:p>
    <w:p w14:paraId="2823089D">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5.承诺为征集人提供全方位造价咨询服务，加强各方协调工作，各项咨询服务工作必须满足委托项目的实际需要。</w:t>
      </w:r>
    </w:p>
    <w:p w14:paraId="369A7634">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6.接受征集人及相关部门对项目质量的审查考核，考核按照《嘉兴市南湖区交通运输局</w:t>
      </w:r>
      <w:r>
        <w:rPr>
          <w:rFonts w:hint="eastAsia" w:ascii="宋体" w:hAnsi="宋体"/>
          <w:color w:val="000000" w:themeColor="text1"/>
          <w:highlight w:val="none"/>
          <w:lang w:eastAsia="zh-CN"/>
          <w14:textFill>
            <w14:solidFill>
              <w14:schemeClr w14:val="tx1"/>
            </w14:solidFill>
          </w14:textFill>
        </w:rPr>
        <w:t>2025-2027</w:t>
      </w:r>
      <w:r>
        <w:rPr>
          <w:rFonts w:hint="eastAsia" w:ascii="宋体" w:hAnsi="宋体"/>
          <w:color w:val="000000" w:themeColor="text1"/>
          <w:highlight w:val="none"/>
          <w14:textFill>
            <w14:solidFill>
              <w14:schemeClr w14:val="tx1"/>
            </w14:solidFill>
          </w14:textFill>
        </w:rPr>
        <w:t>年度招标代理和造价咨询服务考核细则》执行。</w:t>
      </w:r>
    </w:p>
    <w:p w14:paraId="5A7D0605">
      <w:pPr>
        <w:spacing w:line="360" w:lineRule="auto"/>
        <w:ind w:firstLine="482" w:firstLineChars="200"/>
        <w:rPr>
          <w:rFonts w:ascii="宋体" w:hAnsi="宋体"/>
          <w:b/>
          <w:color w:val="000000" w:themeColor="text1"/>
          <w:highlight w:val="none"/>
          <w14:textFill>
            <w14:solidFill>
              <w14:schemeClr w14:val="tx1"/>
            </w14:solidFill>
          </w14:textFill>
        </w:rPr>
      </w:pPr>
      <w:r>
        <w:rPr>
          <w:rFonts w:hint="eastAsia" w:ascii="宋体" w:hAnsi="宋体"/>
          <w:b/>
          <w:color w:val="000000" w:themeColor="text1"/>
          <w:highlight w:val="none"/>
          <w14:textFill>
            <w14:solidFill>
              <w14:schemeClr w14:val="tx1"/>
            </w14:solidFill>
          </w14:textFill>
        </w:rPr>
        <w:t>四、甲方权利和义务</w:t>
      </w:r>
    </w:p>
    <w:p w14:paraId="520921AA">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1．甲方对乙方在服务期的招标代理和造价咨询服务工作进行全面管理、监督。</w:t>
      </w:r>
    </w:p>
    <w:p w14:paraId="4E1C2683">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2．甲方有权要求乙方更换不称职或应回避的咨询服务项目组人员。</w:t>
      </w:r>
    </w:p>
    <w:p w14:paraId="1FE43709">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3．甲方有权对咨询服务项目组成员的工作质量随时检查、监督。对考核不合格者，甲方有权停止对乙方的委托评审业务。</w:t>
      </w:r>
    </w:p>
    <w:p w14:paraId="4ED8536C">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4．甲方有权要求乙方按甲方指定的操作规定和办法执行。</w:t>
      </w:r>
    </w:p>
    <w:p w14:paraId="1DFED04F">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5．甲方有权要求乙方按甲方要求出具合格规范的造价咨询成果文件。</w:t>
      </w:r>
    </w:p>
    <w:p w14:paraId="67A1B645">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6．甲方负责乙方造价咨询成果文件档案立卷、归档的指导和验收工作。</w:t>
      </w:r>
    </w:p>
    <w:p w14:paraId="02D42214">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7．甲方应及时协调，帮助乙方按规定时间接受被评审单位提交的项目评审所需的资料。</w:t>
      </w:r>
    </w:p>
    <w:p w14:paraId="142E7647">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8．对乙方提出的有争议且不能解决的工程问题和财务问题，甲方应协调有关部门解决。</w:t>
      </w:r>
    </w:p>
    <w:p w14:paraId="2AC2F7F8">
      <w:pPr>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五、乙方权利和义务</w:t>
      </w:r>
    </w:p>
    <w:p w14:paraId="66C8FCE9">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1．在提供咨询服务的过程中，乙方有权拒绝不符合国家法律、法规等行为的人为干涉。</w:t>
      </w:r>
    </w:p>
    <w:p w14:paraId="20ED491B">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2．乙方有权向甲方提出回避依法应回避的甲方代表。</w:t>
      </w:r>
    </w:p>
    <w:p w14:paraId="4C8DA789">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3．在业务分配前有权提出暂停接受任务的权利，经甲方同意后可不接受相关咨询服务工作安排。</w:t>
      </w:r>
    </w:p>
    <w:p w14:paraId="7EDDA915">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4．咨询服务项目组人员</w:t>
      </w:r>
    </w:p>
    <w:p w14:paraId="2D37F25F">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（1）评审工作人员应与按响应文件的拟派人员一致，不得调整。</w:t>
      </w:r>
    </w:p>
    <w:p w14:paraId="454C98B2">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（2）每个具体项目乙方的负责人都必须到现场踏勘，全过程跟踪评审驻场人员应接受建设单位考勤。</w:t>
      </w:r>
    </w:p>
    <w:p w14:paraId="42F66773">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（3）乙方的项目负责人应按时参加甲方所组织的会议，负责汇总本单位的在审核编制过程的问题，并与甲方相关工作人员联系。</w:t>
      </w:r>
    </w:p>
    <w:p w14:paraId="6522B444">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（4）竣工结算审核资料由乙方团队负责人或具体项目负责人在规定期限内亲自领取，当场复核，不得委托第三人前来领取。</w:t>
      </w:r>
    </w:p>
    <w:p w14:paraId="238D3C61">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（5）乙方工作人员请假人数不得超过拟派人员的1/3，一年内所有请假人员累计请假时间不得超过12个月。</w:t>
      </w:r>
    </w:p>
    <w:p w14:paraId="1C2C4BFC">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5．业务承接与完成</w:t>
      </w:r>
    </w:p>
    <w:p w14:paraId="1E153899">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（1）乙方须按照框架协议采购条款约定承接业务，除事前请假并得到同意外，不得拒绝承接分配的业务，不得违规承接业务。</w:t>
      </w:r>
    </w:p>
    <w:p w14:paraId="146E2C8F">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（2）乙方不得将甲方委托的评审业务转包或分包给其他单位或个人。</w:t>
      </w:r>
    </w:p>
    <w:p w14:paraId="19E24492">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（3）乙方必须在约定的工作时间内完成评审业务。</w:t>
      </w:r>
    </w:p>
    <w:p w14:paraId="7BB2062B">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（4）乙方咨询服务项目组人员在办理评审事项时，应当客观公正、实事求是、廉洁奉公，并保持严谨、稳健、负责的职业态度，在执行评审任务时，应真实反映评审结果，客观评价评审事项。</w:t>
      </w:r>
    </w:p>
    <w:p w14:paraId="10F559B9">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（5）乙方保证在开展评审业务时，严格遵守法律法规和相关规章制度，按照评审合同约定的内容进行评审，负责评审事项的取证，出具评审报告。</w:t>
      </w:r>
    </w:p>
    <w:p w14:paraId="6DF77550">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（6）乙方所有须加盖公章的协议、表格、评审成果等资料必须加盖与乙方投标时相同的单位公章，其他（如办事处、分公司、项目章、业务专用章等）均不予认可。</w:t>
      </w:r>
    </w:p>
    <w:p w14:paraId="73C498B1">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（7）乙方负责评审档案的归档和立卷。</w:t>
      </w:r>
    </w:p>
    <w:p w14:paraId="437023C3">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（8）乙方在评审过程中，除工作底稿以外的所有文件均应用电脑生成，并交给甲方电脑磁盘，这些文件包括但不限于评审方案、评审事项分类记录、评审结果文书。</w:t>
      </w:r>
    </w:p>
    <w:p w14:paraId="15748C5B">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（9）乙方如被终止委托评审业务，仍应协助甲方完成已委托评审项目的后续工作。</w:t>
      </w:r>
    </w:p>
    <w:p w14:paraId="294F3031">
      <w:pPr>
        <w:spacing w:line="360" w:lineRule="auto"/>
        <w:ind w:firstLine="482" w:firstLineChars="200"/>
        <w:jc w:val="left"/>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六、违约责任</w:t>
      </w:r>
    </w:p>
    <w:p w14:paraId="74F97CCD">
      <w:pPr>
        <w:spacing w:line="360" w:lineRule="auto"/>
        <w:ind w:firstLine="480" w:firstLineChars="200"/>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1．乙方如违约，甲方有权取消乙方的委托评审资格，将乙方从入围供应商中清退及向乙方追究其他经济责任等。甲方如违约，乙方有权追究其经济责任。</w:t>
      </w:r>
    </w:p>
    <w:p w14:paraId="4B923478">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2．乙方的咨询服务项目组人员如滥用职权、徇私舞弊、玩忽职守，尚不够成犯罪但造成损失的，甲方将依法追究乙方的经济责任；如构成犯罪的，依法追究乙方的刑事责任。</w:t>
      </w:r>
    </w:p>
    <w:p w14:paraId="551C866B">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3．因乙方原因导致评审结果有严重错误，并造成甲方或委托评审的业主单位损失的，乙方应承担相应的责任。</w:t>
      </w:r>
    </w:p>
    <w:p w14:paraId="37EB3A82">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4．乙方应按响应文件所承诺的服务措施完成评审工作，如与承诺不一致，视为违约，甲方视情节处理。乙方在项目评审过程中，</w:t>
      </w:r>
      <w:r>
        <w:rPr>
          <w:rFonts w:hint="eastAsia" w:ascii="宋体" w:hAnsi="宋体"/>
          <w:bCs/>
          <w:color w:val="000000" w:themeColor="text1"/>
          <w:highlight w:val="none"/>
          <w:lang w:val="zh-CN"/>
          <w14:textFill>
            <w14:solidFill>
              <w14:schemeClr w14:val="tx1"/>
            </w14:solidFill>
          </w14:textFill>
        </w:rPr>
        <w:t>超过承诺的误差率，除具体的委托评审合同规定处理外，相应扣减委托评审服务费用直至不予支付委托评审服务费用。</w:t>
      </w:r>
    </w:p>
    <w:p w14:paraId="338FF645">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5．乙方如有下列情形之一，甲方有权责令乙方按期整改，乙方须按期进行整改，二次整改后仍不符合要求的，甲方将与乙方单方解除本协议并将乙方从入围供应商中清退，并且甲方有权根据相关文件规定上报监管部门将乙方列入政府采购不良行为记录名单：</w:t>
      </w:r>
    </w:p>
    <w:p w14:paraId="56760FB7">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（1）不履行造价咨询人员义务。</w:t>
      </w:r>
    </w:p>
    <w:p w14:paraId="00B25917">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（2）乙方拒绝接收甲方业务分配。</w:t>
      </w:r>
    </w:p>
    <w:p w14:paraId="31BF5307">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（3）所有须加盖公章的协议、表格、评审成果等资料必须加盖与投标时单位公章不同。</w:t>
      </w:r>
    </w:p>
    <w:p w14:paraId="11CC4129">
      <w:pPr>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七、</w:t>
      </w:r>
      <w:r>
        <w:rPr>
          <w:rFonts w:hint="eastAsia" w:ascii="宋体" w:hAnsi="宋体"/>
          <w:b/>
          <w:color w:val="000000" w:themeColor="text1"/>
          <w:highlight w:val="none"/>
          <w14:textFill>
            <w14:solidFill>
              <w14:schemeClr w14:val="tx1"/>
            </w14:solidFill>
          </w14:textFill>
        </w:rPr>
        <w:t>服务项目安排</w:t>
      </w:r>
    </w:p>
    <w:p w14:paraId="7E4284A0">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服务期内，各项造价咨询委托服务由征集人采用顺序轮候方法分配任务。</w:t>
      </w:r>
    </w:p>
    <w:p w14:paraId="74DDC595">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具体按嘉兴市南湖区交通运输局相关规定。</w:t>
      </w:r>
    </w:p>
    <w:p w14:paraId="643A9C8B">
      <w:pPr>
        <w:tabs>
          <w:tab w:val="left" w:pos="572"/>
        </w:tabs>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八、服务费用</w:t>
      </w:r>
    </w:p>
    <w:p w14:paraId="6DF36E2F">
      <w:pPr>
        <w:tabs>
          <w:tab w:val="left" w:pos="572"/>
        </w:tabs>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（一）招标代理服务结算方式</w:t>
      </w:r>
    </w:p>
    <w:p w14:paraId="2C72611B">
      <w:pPr>
        <w:spacing w:line="23" w:lineRule="exact"/>
        <w:rPr>
          <w:color w:val="000000" w:themeColor="text1"/>
          <w:highlight w:val="none"/>
          <w14:textFill>
            <w14:solidFill>
              <w14:schemeClr w14:val="tx1"/>
            </w14:solidFill>
          </w14:textFill>
        </w:rPr>
      </w:pPr>
    </w:p>
    <w:tbl>
      <w:tblPr>
        <w:tblStyle w:val="38"/>
        <w:tblW w:w="857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57" w:type="dxa"/>
          <w:left w:w="0" w:type="dxa"/>
          <w:bottom w:w="57" w:type="dxa"/>
          <w:right w:w="0" w:type="dxa"/>
        </w:tblCellMar>
      </w:tblPr>
      <w:tblGrid>
        <w:gridCol w:w="883"/>
        <w:gridCol w:w="5534"/>
        <w:gridCol w:w="2160"/>
      </w:tblGrid>
      <w:tr w14:paraId="1218EA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0" w:type="dxa"/>
            <w:bottom w:w="57" w:type="dxa"/>
            <w:right w:w="0" w:type="dxa"/>
          </w:tblCellMar>
        </w:tblPrEx>
        <w:trPr>
          <w:trHeight w:val="397" w:hRule="atLeast"/>
          <w:jc w:val="center"/>
        </w:trPr>
        <w:tc>
          <w:tcPr>
            <w:tcW w:w="883" w:type="dxa"/>
            <w:vAlign w:val="center"/>
          </w:tcPr>
          <w:p w14:paraId="3DF6D2C8">
            <w:pPr>
              <w:spacing w:before="195" w:line="228" w:lineRule="auto"/>
              <w:ind w:left="114"/>
              <w:jc w:val="center"/>
              <w:rPr>
                <w:rFonts w:ascii="宋体" w:hAnsi="宋体"/>
                <w:b/>
                <w:bCs/>
                <w:color w:val="000000" w:themeColor="text1"/>
                <w:spacing w:val="9"/>
                <w:highlight w:val="none"/>
                <w14:textFill>
                  <w14:solidFill>
                    <w14:schemeClr w14:val="tx1"/>
                  </w14:solidFill>
                </w14:textFill>
              </w:rPr>
            </w:pPr>
            <w:r>
              <w:rPr>
                <w:rFonts w:hint="eastAsia" w:ascii="宋体" w:hAnsi="宋体"/>
                <w:b/>
                <w:bCs/>
                <w:color w:val="000000" w:themeColor="text1"/>
                <w:spacing w:val="9"/>
                <w:highlight w:val="none"/>
                <w14:textFill>
                  <w14:solidFill>
                    <w14:schemeClr w14:val="tx1"/>
                  </w14:solidFill>
                </w14:textFill>
              </w:rPr>
              <w:t>序号</w:t>
            </w:r>
          </w:p>
        </w:tc>
        <w:tc>
          <w:tcPr>
            <w:tcW w:w="5534" w:type="dxa"/>
            <w:vAlign w:val="center"/>
          </w:tcPr>
          <w:p w14:paraId="16069A22">
            <w:pPr>
              <w:spacing w:before="195" w:line="228" w:lineRule="auto"/>
              <w:ind w:left="114"/>
              <w:jc w:val="center"/>
              <w:rPr>
                <w:rFonts w:ascii="宋体" w:hAnsi="宋体"/>
                <w:b/>
                <w:bCs/>
                <w:color w:val="000000" w:themeColor="text1"/>
                <w:spacing w:val="9"/>
                <w:highlight w:val="none"/>
                <w14:textFill>
                  <w14:solidFill>
                    <w14:schemeClr w14:val="tx1"/>
                  </w14:solidFill>
                </w14:textFill>
              </w:rPr>
            </w:pPr>
            <w:r>
              <w:rPr>
                <w:rFonts w:hint="eastAsia" w:ascii="宋体" w:hAnsi="宋体"/>
                <w:b/>
                <w:bCs/>
                <w:color w:val="000000" w:themeColor="text1"/>
                <w:spacing w:val="9"/>
                <w:highlight w:val="none"/>
                <w14:textFill>
                  <w14:solidFill>
                    <w14:schemeClr w14:val="tx1"/>
                  </w14:solidFill>
                </w14:textFill>
              </w:rPr>
              <w:t>收费内容</w:t>
            </w:r>
          </w:p>
        </w:tc>
        <w:tc>
          <w:tcPr>
            <w:tcW w:w="2160" w:type="dxa"/>
            <w:vAlign w:val="center"/>
          </w:tcPr>
          <w:p w14:paraId="1C8CA440">
            <w:pPr>
              <w:spacing w:before="197" w:line="228" w:lineRule="auto"/>
              <w:jc w:val="center"/>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spacing w:val="9"/>
                <w:highlight w:val="none"/>
                <w14:textFill>
                  <w14:solidFill>
                    <w14:schemeClr w14:val="tx1"/>
                  </w14:solidFill>
                </w14:textFill>
              </w:rPr>
              <w:t>结算办法</w:t>
            </w:r>
          </w:p>
        </w:tc>
      </w:tr>
      <w:tr w14:paraId="550ACE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0" w:type="dxa"/>
            <w:bottom w:w="57" w:type="dxa"/>
            <w:right w:w="0" w:type="dxa"/>
          </w:tblCellMar>
        </w:tblPrEx>
        <w:trPr>
          <w:trHeight w:val="397" w:hRule="atLeast"/>
          <w:jc w:val="center"/>
        </w:trPr>
        <w:tc>
          <w:tcPr>
            <w:tcW w:w="883" w:type="dxa"/>
            <w:vAlign w:val="center"/>
          </w:tcPr>
          <w:p w14:paraId="0D867C60">
            <w:pPr>
              <w:spacing w:before="195" w:line="228" w:lineRule="auto"/>
              <w:ind w:left="114"/>
              <w:jc w:val="center"/>
              <w:rPr>
                <w:rFonts w:ascii="宋体" w:hAnsi="宋体"/>
                <w:color w:val="000000" w:themeColor="text1"/>
                <w:spacing w:val="9"/>
                <w:highlight w:val="none"/>
                <w14:textFill>
                  <w14:solidFill>
                    <w14:schemeClr w14:val="tx1"/>
                  </w14:solidFill>
                </w14:textFill>
              </w:rPr>
            </w:pPr>
            <w:r>
              <w:rPr>
                <w:rFonts w:hint="eastAsia" w:ascii="宋体" w:hAnsi="宋体"/>
                <w:color w:val="000000" w:themeColor="text1"/>
                <w:spacing w:val="9"/>
                <w:highlight w:val="none"/>
                <w14:textFill>
                  <w14:solidFill>
                    <w14:schemeClr w14:val="tx1"/>
                  </w14:solidFill>
                </w14:textFill>
              </w:rPr>
              <w:t>1</w:t>
            </w:r>
          </w:p>
        </w:tc>
        <w:tc>
          <w:tcPr>
            <w:tcW w:w="5534" w:type="dxa"/>
            <w:vAlign w:val="center"/>
          </w:tcPr>
          <w:p w14:paraId="14A23315">
            <w:pPr>
              <w:spacing w:before="195" w:line="228" w:lineRule="auto"/>
              <w:ind w:left="114"/>
              <w:jc w:val="center"/>
              <w:rPr>
                <w:rFonts w:ascii="宋体" w:hAnsi="宋体"/>
                <w:color w:val="000000" w:themeColor="text1"/>
                <w:spacing w:val="9"/>
                <w:highlight w:val="none"/>
                <w14:textFill>
                  <w14:solidFill>
                    <w14:schemeClr w14:val="tx1"/>
                  </w14:solidFill>
                </w14:textFill>
              </w:rPr>
            </w:pPr>
            <w:r>
              <w:rPr>
                <w:rFonts w:hint="eastAsia" w:ascii="宋体" w:hAnsi="宋体"/>
                <w:color w:val="000000" w:themeColor="text1"/>
                <w:spacing w:val="9"/>
                <w:highlight w:val="none"/>
                <w14:textFill>
                  <w14:solidFill>
                    <w14:schemeClr w14:val="tx1"/>
                  </w14:solidFill>
                </w14:textFill>
              </w:rPr>
              <w:t>招标代理服务费按标准收费的百分比</w:t>
            </w:r>
          </w:p>
        </w:tc>
        <w:tc>
          <w:tcPr>
            <w:tcW w:w="2160" w:type="dxa"/>
            <w:vAlign w:val="center"/>
          </w:tcPr>
          <w:p w14:paraId="6F56E5D2">
            <w:pPr>
              <w:spacing w:before="195" w:line="228" w:lineRule="auto"/>
              <w:ind w:left="114"/>
              <w:jc w:val="center"/>
              <w:rPr>
                <w:rFonts w:ascii="宋体" w:hAnsi="宋体"/>
                <w:b/>
                <w:bCs/>
                <w:color w:val="000000" w:themeColor="text1"/>
                <w:spacing w:val="9"/>
                <w:highlight w:val="none"/>
                <w14:textFill>
                  <w14:solidFill>
                    <w14:schemeClr w14:val="tx1"/>
                  </w14:solidFill>
                </w14:textFill>
              </w:rPr>
            </w:pPr>
            <w:r>
              <w:rPr>
                <w:rFonts w:hint="eastAsia" w:ascii="宋体" w:hAnsi="宋体"/>
                <w:b/>
                <w:bCs/>
                <w:color w:val="000000" w:themeColor="text1"/>
                <w:spacing w:val="9"/>
                <w:highlight w:val="none"/>
                <w:u w:val="single"/>
                <w14:textFill>
                  <w14:solidFill>
                    <w14:schemeClr w14:val="tx1"/>
                  </w14:solidFill>
                </w14:textFill>
              </w:rPr>
              <w:t xml:space="preserve">  70  </w:t>
            </w:r>
            <w:r>
              <w:rPr>
                <w:rFonts w:hint="eastAsia" w:ascii="宋体" w:hAnsi="宋体"/>
                <w:b/>
                <w:bCs/>
                <w:color w:val="000000" w:themeColor="text1"/>
                <w:spacing w:val="9"/>
                <w:highlight w:val="none"/>
                <w14:textFill>
                  <w14:solidFill>
                    <w14:schemeClr w14:val="tx1"/>
                  </w14:solidFill>
                </w14:textFill>
              </w:rPr>
              <w:t>%</w:t>
            </w:r>
          </w:p>
        </w:tc>
      </w:tr>
      <w:tr w14:paraId="15B413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0" w:type="dxa"/>
            <w:bottom w:w="57" w:type="dxa"/>
            <w:right w:w="0" w:type="dxa"/>
          </w:tblCellMar>
        </w:tblPrEx>
        <w:trPr>
          <w:trHeight w:val="397" w:hRule="atLeast"/>
          <w:jc w:val="center"/>
        </w:trPr>
        <w:tc>
          <w:tcPr>
            <w:tcW w:w="883" w:type="dxa"/>
            <w:vAlign w:val="center"/>
          </w:tcPr>
          <w:p w14:paraId="7A8F6DD7">
            <w:pPr>
              <w:spacing w:before="195" w:line="228" w:lineRule="auto"/>
              <w:ind w:left="114"/>
              <w:jc w:val="center"/>
              <w:rPr>
                <w:rFonts w:ascii="宋体" w:hAnsi="宋体"/>
                <w:color w:val="000000" w:themeColor="text1"/>
                <w:spacing w:val="9"/>
                <w:highlight w:val="none"/>
                <w14:textFill>
                  <w14:solidFill>
                    <w14:schemeClr w14:val="tx1"/>
                  </w14:solidFill>
                </w14:textFill>
              </w:rPr>
            </w:pPr>
            <w:r>
              <w:rPr>
                <w:rFonts w:hint="eastAsia" w:ascii="宋体" w:hAnsi="宋体"/>
                <w:color w:val="000000" w:themeColor="text1"/>
                <w:spacing w:val="9"/>
                <w:highlight w:val="none"/>
                <w14:textFill>
                  <w14:solidFill>
                    <w14:schemeClr w14:val="tx1"/>
                  </w14:solidFill>
                </w14:textFill>
              </w:rPr>
              <w:t>2</w:t>
            </w:r>
          </w:p>
        </w:tc>
        <w:tc>
          <w:tcPr>
            <w:tcW w:w="5534" w:type="dxa"/>
            <w:vAlign w:val="center"/>
          </w:tcPr>
          <w:p w14:paraId="16F375EF">
            <w:pPr>
              <w:spacing w:before="195" w:line="228" w:lineRule="auto"/>
              <w:ind w:left="114"/>
              <w:jc w:val="center"/>
              <w:rPr>
                <w:rFonts w:ascii="宋体" w:hAnsi="宋体"/>
                <w:color w:val="000000" w:themeColor="text1"/>
                <w:spacing w:val="9"/>
                <w:highlight w:val="none"/>
                <w14:textFill>
                  <w14:solidFill>
                    <w14:schemeClr w14:val="tx1"/>
                  </w14:solidFill>
                </w14:textFill>
              </w:rPr>
            </w:pPr>
            <w:r>
              <w:rPr>
                <w:rFonts w:hint="eastAsia" w:ascii="宋体" w:hAnsi="宋体"/>
                <w:color w:val="000000" w:themeColor="text1"/>
                <w:spacing w:val="9"/>
                <w:highlight w:val="none"/>
                <w14:textFill>
                  <w14:solidFill>
                    <w14:schemeClr w14:val="tx1"/>
                  </w14:solidFill>
                </w14:textFill>
              </w:rPr>
              <w:t>招标代理服务费最低收费</w:t>
            </w:r>
          </w:p>
        </w:tc>
        <w:tc>
          <w:tcPr>
            <w:tcW w:w="2160" w:type="dxa"/>
            <w:vAlign w:val="center"/>
          </w:tcPr>
          <w:p w14:paraId="3EF6242B">
            <w:pPr>
              <w:spacing w:before="195" w:line="228" w:lineRule="auto"/>
              <w:ind w:left="114"/>
              <w:jc w:val="center"/>
              <w:rPr>
                <w:rFonts w:ascii="宋体" w:hAnsi="宋体"/>
                <w:b/>
                <w:bCs/>
                <w:color w:val="000000" w:themeColor="text1"/>
                <w:spacing w:val="9"/>
                <w:highlight w:val="none"/>
                <w14:textFill>
                  <w14:solidFill>
                    <w14:schemeClr w14:val="tx1"/>
                  </w14:solidFill>
                </w14:textFill>
              </w:rPr>
            </w:pPr>
            <w:r>
              <w:rPr>
                <w:rFonts w:hint="eastAsia" w:ascii="宋体" w:hAnsi="宋体"/>
                <w:b/>
                <w:bCs/>
                <w:color w:val="000000" w:themeColor="text1"/>
                <w:spacing w:val="9"/>
                <w:highlight w:val="none"/>
                <w:u w:val="single"/>
                <w14:textFill>
                  <w14:solidFill>
                    <w14:schemeClr w14:val="tx1"/>
                  </w14:solidFill>
                </w14:textFill>
              </w:rPr>
              <w:t xml:space="preserve"> </w:t>
            </w:r>
            <w:r>
              <w:rPr>
                <w:rFonts w:hint="eastAsia" w:ascii="宋体" w:hAnsi="宋体"/>
                <w:b/>
                <w:bCs/>
                <w:color w:val="000000" w:themeColor="text1"/>
                <w:spacing w:val="9"/>
                <w:highlight w:val="none"/>
                <w:u w:val="single"/>
                <w:lang w:val="en-US" w:eastAsia="zh-CN"/>
                <w14:textFill>
                  <w14:solidFill>
                    <w14:schemeClr w14:val="tx1"/>
                  </w14:solidFill>
                </w14:textFill>
              </w:rPr>
              <w:t>5</w:t>
            </w:r>
            <w:r>
              <w:rPr>
                <w:rFonts w:hint="eastAsia" w:ascii="宋体" w:hAnsi="宋体"/>
                <w:b/>
                <w:bCs/>
                <w:color w:val="000000" w:themeColor="text1"/>
                <w:spacing w:val="9"/>
                <w:highlight w:val="none"/>
                <w:u w:val="single"/>
                <w14:textFill>
                  <w14:solidFill>
                    <w14:schemeClr w14:val="tx1"/>
                  </w14:solidFill>
                </w14:textFill>
              </w:rPr>
              <w:t xml:space="preserve">000 </w:t>
            </w:r>
            <w:r>
              <w:rPr>
                <w:rFonts w:hint="eastAsia" w:ascii="宋体" w:hAnsi="宋体"/>
                <w:b/>
                <w:bCs/>
                <w:color w:val="000000" w:themeColor="text1"/>
                <w:spacing w:val="9"/>
                <w:highlight w:val="none"/>
                <w14:textFill>
                  <w14:solidFill>
                    <w14:schemeClr w14:val="tx1"/>
                  </w14:solidFill>
                </w14:textFill>
              </w:rPr>
              <w:t>元/个</w:t>
            </w:r>
          </w:p>
        </w:tc>
      </w:tr>
    </w:tbl>
    <w:p w14:paraId="7C80619D">
      <w:pPr>
        <w:spacing w:before="120" w:beforeLines="50" w:line="360" w:lineRule="auto"/>
        <w:ind w:firstLine="552"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8"/>
          <w:highlight w:val="none"/>
          <w14:textFill>
            <w14:solidFill>
              <w14:schemeClr w14:val="tx1"/>
            </w14:solidFill>
          </w14:textFill>
        </w:rPr>
        <w:t>注：招</w:t>
      </w:r>
      <w:r>
        <w:rPr>
          <w:rFonts w:hint="eastAsia" w:ascii="宋体" w:hAnsi="宋体"/>
          <w:color w:val="000000" w:themeColor="text1"/>
          <w:spacing w:val="9"/>
          <w:highlight w:val="none"/>
          <w14:textFill>
            <w14:solidFill>
              <w14:schemeClr w14:val="tx1"/>
            </w14:solidFill>
          </w14:textFill>
        </w:rPr>
        <w:t>标代理费用包括招标投标场地租用费、信息发布费、评标专家费</w:t>
      </w:r>
      <w:r>
        <w:rPr>
          <w:rFonts w:hint="eastAsia" w:ascii="宋体" w:hAnsi="宋体"/>
          <w:color w:val="000000" w:themeColor="text1"/>
          <w:highlight w:val="none"/>
          <w14:textFill>
            <w14:solidFill>
              <w14:schemeClr w14:val="tx1"/>
            </w14:solidFill>
          </w14:textFill>
        </w:rPr>
        <w:t>（</w:t>
      </w:r>
      <w:r>
        <w:rPr>
          <w:rFonts w:hint="eastAsia" w:asciiTheme="majorEastAsia" w:hAnsiTheme="majorEastAsia" w:eastAsiaTheme="majorEastAsia" w:cstheme="majorEastAsia"/>
          <w:color w:val="000000" w:themeColor="text1"/>
          <w:kern w:val="0"/>
          <w:highlight w:val="none"/>
          <w:lang w:val="en-US" w:eastAsia="zh-CN"/>
          <w14:textFill>
            <w14:solidFill>
              <w14:schemeClr w14:val="tx1"/>
            </w14:solidFill>
          </w14:textFill>
        </w:rPr>
        <w:t>注：政府采购项目评标专家费用由业主单独支付</w:t>
      </w:r>
      <w:r>
        <w:rPr>
          <w:rFonts w:hint="eastAsia" w:ascii="宋体" w:hAnsi="宋体"/>
          <w:color w:val="000000" w:themeColor="text1"/>
          <w:highlight w:val="none"/>
          <w14:textFill>
            <w14:solidFill>
              <w14:schemeClr w14:val="tx1"/>
            </w14:solidFill>
          </w14:textFill>
        </w:rPr>
        <w:t>）</w:t>
      </w:r>
      <w:r>
        <w:rPr>
          <w:rFonts w:hint="eastAsia" w:ascii="宋体" w:hAnsi="宋体"/>
          <w:color w:val="000000" w:themeColor="text1"/>
          <w:spacing w:val="9"/>
          <w:highlight w:val="none"/>
          <w14:textFill>
            <w14:solidFill>
              <w14:schemeClr w14:val="tx1"/>
            </w14:solidFill>
          </w14:textFill>
        </w:rPr>
        <w:t>、招标文件编制及审查专家费、工程量清单编制费、</w:t>
      </w:r>
      <w:r>
        <w:rPr>
          <w:rFonts w:hint="eastAsia" w:ascii="宋体" w:hAnsi="宋体"/>
          <w:color w:val="000000" w:themeColor="text1"/>
          <w:spacing w:val="14"/>
          <w:highlight w:val="none"/>
          <w14:textFill>
            <w14:solidFill>
              <w14:schemeClr w14:val="tx1"/>
            </w14:solidFill>
          </w14:textFill>
        </w:rPr>
        <w:t>预</w:t>
      </w:r>
      <w:r>
        <w:rPr>
          <w:rFonts w:hint="eastAsia" w:ascii="宋体" w:hAnsi="宋体"/>
          <w:color w:val="000000" w:themeColor="text1"/>
          <w:spacing w:val="9"/>
          <w:highlight w:val="none"/>
          <w14:textFill>
            <w14:solidFill>
              <w14:schemeClr w14:val="tx1"/>
            </w14:solidFill>
          </w14:textFill>
        </w:rPr>
        <w:t>算编制费、招标控制价编制费、资料费等全过程代理费用。</w:t>
      </w:r>
    </w:p>
    <w:p w14:paraId="06F6A045">
      <w:pPr>
        <w:tabs>
          <w:tab w:val="left" w:pos="572"/>
        </w:tabs>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1、招标代理收费采用固定费率，标准收费是指《招标代理服务收费管理暂行办法》计价格[2002]1980号及浙价服【2009】172号等相关文件规定，入围服务期内收费费率均不作调整；</w:t>
      </w:r>
    </w:p>
    <w:p w14:paraId="77F77F85">
      <w:pPr>
        <w:tabs>
          <w:tab w:val="left" w:pos="572"/>
        </w:tabs>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2、单次招标划分标段的招标项目或工程视为1个，代理费用计算基数按标段的中标价合计数计算，不得另行计取费用；</w:t>
      </w:r>
    </w:p>
    <w:p w14:paraId="19137C23">
      <w:pPr>
        <w:tabs>
          <w:tab w:val="left" w:pos="572"/>
        </w:tabs>
        <w:spacing w:line="360" w:lineRule="auto"/>
        <w:ind w:firstLine="480" w:firstLineChars="200"/>
        <w:rPr>
          <w:rFonts w:ascii="宋体" w:hAnsi="宋体"/>
          <w:color w:val="000000" w:themeColor="text1"/>
          <w:highlight w:val="none"/>
          <w14:textFill>
            <w14:solidFill>
              <w14:schemeClr w14:val="tx1"/>
            </w14:solidFill>
          </w14:textFill>
        </w:rPr>
      </w:pPr>
    </w:p>
    <w:p w14:paraId="7D58DBEA">
      <w:pPr>
        <w:tabs>
          <w:tab w:val="left" w:pos="572"/>
        </w:tabs>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（二）工程造价文件审核服务、工程造价结算审计服务、跟踪审计服务结算方式</w:t>
      </w:r>
    </w:p>
    <w:p w14:paraId="776552E7">
      <w:pPr>
        <w:tabs>
          <w:tab w:val="left" w:pos="572"/>
        </w:tabs>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1、工程造价文件审核服务</w:t>
      </w:r>
    </w:p>
    <w:p w14:paraId="4EA5C8C7">
      <w:pPr>
        <w:spacing w:line="360" w:lineRule="auto"/>
        <w:ind w:firstLine="56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20"/>
          <w:highlight w:val="none"/>
          <w14:textFill>
            <w14:solidFill>
              <w14:schemeClr w14:val="tx1"/>
            </w14:solidFill>
          </w14:textFill>
        </w:rPr>
        <w:t>在</w:t>
      </w:r>
      <w:r>
        <w:rPr>
          <w:rFonts w:hint="eastAsia" w:ascii="宋体" w:hAnsi="宋体"/>
          <w:color w:val="000000" w:themeColor="text1"/>
          <w:spacing w:val="20"/>
          <w:highlight w:val="none"/>
          <w:lang w:eastAsia="zh-CN"/>
          <w14:textFill>
            <w14:solidFill>
              <w14:schemeClr w14:val="tx1"/>
            </w14:solidFill>
          </w14:textFill>
        </w:rPr>
        <w:t>入围供应商</w:t>
      </w:r>
      <w:r>
        <w:rPr>
          <w:rFonts w:hint="eastAsia" w:ascii="宋体" w:hAnsi="宋体"/>
          <w:color w:val="000000" w:themeColor="text1"/>
          <w:spacing w:val="10"/>
          <w:highlight w:val="none"/>
          <w14:textFill>
            <w14:solidFill>
              <w14:schemeClr w14:val="tx1"/>
            </w14:solidFill>
          </w14:textFill>
        </w:rPr>
        <w:t>中选取工程量清单及预算、招标控制价等工程造价文件的第三方审核服务单</w:t>
      </w:r>
      <w:r>
        <w:rPr>
          <w:rFonts w:hint="eastAsia" w:ascii="宋体" w:hAnsi="宋体"/>
          <w:color w:val="000000" w:themeColor="text1"/>
          <w:spacing w:val="7"/>
          <w:highlight w:val="none"/>
          <w14:textFill>
            <w14:solidFill>
              <w14:schemeClr w14:val="tx1"/>
            </w14:solidFill>
          </w14:textFill>
        </w:rPr>
        <w:t>位，收费按</w:t>
      </w:r>
      <w:r>
        <w:rPr>
          <w:rFonts w:hint="eastAsia" w:ascii="宋体" w:hAnsi="宋体"/>
          <w:color w:val="000000" w:themeColor="text1"/>
          <w:spacing w:val="10"/>
          <w:highlight w:val="none"/>
          <w14:textFill>
            <w14:solidFill>
              <w14:schemeClr w14:val="tx1"/>
            </w14:solidFill>
          </w14:textFill>
        </w:rPr>
        <w:t>照《浙江省建设工程造价咨询服务收费标准》（浙价服【2009】84号文）规定的收费标准</w:t>
      </w:r>
      <w:r>
        <w:rPr>
          <w:rFonts w:hint="eastAsia" w:ascii="宋体" w:hAnsi="宋体"/>
          <w:color w:val="000000" w:themeColor="text1"/>
          <w:spacing w:val="10"/>
          <w:highlight w:val="none"/>
          <w:lang w:val="en-US" w:eastAsia="zh-CN"/>
          <w14:textFill>
            <w14:solidFill>
              <w14:schemeClr w14:val="tx1"/>
            </w14:solidFill>
          </w14:textFill>
        </w:rPr>
        <w:t>28</w:t>
      </w:r>
      <w:r>
        <w:rPr>
          <w:rFonts w:hint="eastAsia" w:ascii="宋体" w:hAnsi="宋体"/>
          <w:color w:val="000000" w:themeColor="text1"/>
          <w:spacing w:val="10"/>
          <w:highlight w:val="none"/>
          <w14:textFill>
            <w14:solidFill>
              <w14:schemeClr w14:val="tx1"/>
            </w14:solidFill>
          </w14:textFill>
        </w:rPr>
        <w:t>%计取，最低按2000元/个计费。</w:t>
      </w:r>
    </w:p>
    <w:p w14:paraId="65169152">
      <w:pPr>
        <w:tabs>
          <w:tab w:val="left" w:pos="572"/>
        </w:tabs>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2、工程造价结算审计服务</w:t>
      </w:r>
    </w:p>
    <w:p w14:paraId="4ACF2FA4">
      <w:pPr>
        <w:spacing w:line="360" w:lineRule="auto"/>
        <w:ind w:firstLine="56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20"/>
          <w:highlight w:val="none"/>
          <w14:textFill>
            <w14:solidFill>
              <w14:schemeClr w14:val="tx1"/>
            </w14:solidFill>
          </w14:textFill>
        </w:rPr>
        <w:t>按区</w:t>
      </w:r>
      <w:r>
        <w:rPr>
          <w:rFonts w:hint="eastAsia" w:ascii="宋体" w:hAnsi="宋体"/>
          <w:color w:val="000000" w:themeColor="text1"/>
          <w:spacing w:val="16"/>
          <w:highlight w:val="none"/>
          <w14:textFill>
            <w14:solidFill>
              <w14:schemeClr w14:val="tx1"/>
            </w14:solidFill>
          </w14:textFill>
        </w:rPr>
        <w:t>审</w:t>
      </w:r>
      <w:r>
        <w:rPr>
          <w:rFonts w:hint="eastAsia" w:ascii="宋体" w:hAnsi="宋体"/>
          <w:color w:val="000000" w:themeColor="text1"/>
          <w:spacing w:val="10"/>
          <w:highlight w:val="none"/>
          <w14:textFill>
            <w14:solidFill>
              <w14:schemeClr w14:val="tx1"/>
            </w14:solidFill>
          </w14:textFill>
        </w:rPr>
        <w:t>计局相关规定执行，不列入区审计局入围中介库委托中介机构进行结算审核的项</w:t>
      </w:r>
      <w:r>
        <w:rPr>
          <w:rFonts w:hint="eastAsia" w:ascii="宋体" w:hAnsi="宋体"/>
          <w:color w:val="000000" w:themeColor="text1"/>
          <w:spacing w:val="18"/>
          <w:highlight w:val="none"/>
          <w14:textFill>
            <w14:solidFill>
              <w14:schemeClr w14:val="tx1"/>
            </w14:solidFill>
          </w14:textFill>
        </w:rPr>
        <w:t>目，</w:t>
      </w:r>
      <w:r>
        <w:rPr>
          <w:rFonts w:hint="eastAsia" w:ascii="宋体" w:hAnsi="宋体"/>
          <w:color w:val="000000" w:themeColor="text1"/>
          <w:spacing w:val="14"/>
          <w:highlight w:val="none"/>
          <w14:textFill>
            <w14:solidFill>
              <w14:schemeClr w14:val="tx1"/>
            </w14:solidFill>
          </w14:textFill>
        </w:rPr>
        <w:t>按</w:t>
      </w:r>
      <w:r>
        <w:rPr>
          <w:rFonts w:hint="eastAsia" w:ascii="宋体" w:hAnsi="宋体"/>
          <w:color w:val="000000" w:themeColor="text1"/>
          <w:spacing w:val="9"/>
          <w:highlight w:val="none"/>
          <w14:textFill>
            <w14:solidFill>
              <w14:schemeClr w14:val="tx1"/>
            </w14:solidFill>
          </w14:textFill>
        </w:rPr>
        <w:t>照入围招标代理库顺序选取单位进行结算审计，收费按照《浙江省建设工程造价咨询服务收费标准》（浙价服【2009】84号文）规定的收费标准70%计取，最低按2000元/个计费</w:t>
      </w:r>
      <w:r>
        <w:rPr>
          <w:rFonts w:hint="eastAsia" w:ascii="宋体" w:hAnsi="宋体"/>
          <w:color w:val="000000" w:themeColor="text1"/>
          <w:spacing w:val="7"/>
          <w:highlight w:val="none"/>
          <w14:textFill>
            <w14:solidFill>
              <w14:schemeClr w14:val="tx1"/>
            </w14:solidFill>
          </w14:textFill>
        </w:rPr>
        <w:t>。其中追加收费由各咨询单位向施工单位自行收取。</w:t>
      </w:r>
    </w:p>
    <w:p w14:paraId="6BEC8FD0">
      <w:pPr>
        <w:tabs>
          <w:tab w:val="left" w:pos="572"/>
        </w:tabs>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3、跟踪审计服务</w:t>
      </w:r>
    </w:p>
    <w:p w14:paraId="767FF0F0">
      <w:pPr>
        <w:tabs>
          <w:tab w:val="left" w:pos="133"/>
        </w:tabs>
        <w:spacing w:line="360" w:lineRule="auto"/>
        <w:ind w:firstLine="552"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8"/>
          <w:highlight w:val="none"/>
          <w14:textFill>
            <w14:solidFill>
              <w14:schemeClr w14:val="tx1"/>
            </w14:solidFill>
          </w14:textFill>
        </w:rPr>
        <w:t>各项目</w:t>
      </w:r>
      <w:r>
        <w:rPr>
          <w:rFonts w:hint="eastAsia" w:ascii="宋体" w:hAnsi="宋体"/>
          <w:color w:val="000000" w:themeColor="text1"/>
          <w:spacing w:val="12"/>
          <w:highlight w:val="none"/>
          <w14:textFill>
            <w14:solidFill>
              <w14:schemeClr w14:val="tx1"/>
            </w14:solidFill>
          </w14:textFill>
        </w:rPr>
        <w:t>业</w:t>
      </w:r>
      <w:r>
        <w:rPr>
          <w:rFonts w:hint="eastAsia" w:ascii="宋体" w:hAnsi="宋体"/>
          <w:color w:val="000000" w:themeColor="text1"/>
          <w:spacing w:val="9"/>
          <w:highlight w:val="none"/>
          <w14:textFill>
            <w14:solidFill>
              <w14:schemeClr w14:val="tx1"/>
            </w14:solidFill>
          </w14:textFill>
        </w:rPr>
        <w:t>主单位根据实际需要可在本代理库内选取项目的跟踪审计(费用在10万元以下)</w:t>
      </w:r>
      <w:r>
        <w:rPr>
          <w:rFonts w:hint="eastAsia" w:ascii="宋体" w:hAnsi="宋体"/>
          <w:color w:val="000000" w:themeColor="text1"/>
          <w:highlight w:val="none"/>
          <w14:textFill>
            <w14:solidFill>
              <w14:schemeClr w14:val="tx1"/>
            </w14:solidFill>
          </w14:textFill>
        </w:rPr>
        <w:tab/>
      </w:r>
      <w:r>
        <w:rPr>
          <w:rFonts w:hint="eastAsia" w:ascii="宋体" w:hAnsi="宋体"/>
          <w:color w:val="000000" w:themeColor="text1"/>
          <w:spacing w:val="14"/>
          <w:highlight w:val="none"/>
          <w14:textFill>
            <w14:solidFill>
              <w14:schemeClr w14:val="tx1"/>
            </w14:solidFill>
          </w14:textFill>
        </w:rPr>
        <w:t>(根</w:t>
      </w:r>
      <w:r>
        <w:rPr>
          <w:rFonts w:hint="eastAsia" w:ascii="宋体" w:hAnsi="宋体"/>
          <w:color w:val="000000" w:themeColor="text1"/>
          <w:spacing w:val="9"/>
          <w:highlight w:val="none"/>
          <w14:textFill>
            <w14:solidFill>
              <w14:schemeClr w14:val="tx1"/>
            </w14:solidFill>
          </w14:textFill>
        </w:rPr>
        <w:t>据</w:t>
      </w:r>
      <w:r>
        <w:rPr>
          <w:rFonts w:hint="eastAsia" w:ascii="宋体" w:hAnsi="宋体"/>
          <w:color w:val="000000" w:themeColor="text1"/>
          <w:spacing w:val="7"/>
          <w:highlight w:val="none"/>
          <w14:textFill>
            <w14:solidFill>
              <w14:schemeClr w14:val="tx1"/>
            </w14:solidFill>
          </w14:textFill>
        </w:rPr>
        <w:t>南湖区小型工程建设项目招投标限额相关规定适时调整)，收费按照《浙江省建设工程造价咨询服务收费标准》（浙价服【2009】84号文）规定的收费标准70%计取，最低按2000元/个计费</w:t>
      </w:r>
      <w:r>
        <w:rPr>
          <w:rFonts w:hint="eastAsia" w:ascii="宋体" w:hAnsi="宋体"/>
          <w:color w:val="000000" w:themeColor="text1"/>
          <w:spacing w:val="8"/>
          <w:highlight w:val="none"/>
          <w14:textFill>
            <w14:solidFill>
              <w14:schemeClr w14:val="tx1"/>
            </w14:solidFill>
          </w14:textFill>
        </w:rPr>
        <w:t>。</w:t>
      </w:r>
    </w:p>
    <w:p w14:paraId="2FC213F6">
      <w:pPr>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九、付款方式</w:t>
      </w:r>
    </w:p>
    <w:p w14:paraId="65BE3CE9">
      <w:pPr>
        <w:spacing w:line="360" w:lineRule="auto"/>
        <w:ind w:firstLine="482" w:firstLineChars="200"/>
        <w:rPr>
          <w:rFonts w:ascii="宋体" w:hAnsi="宋体"/>
          <w:b/>
          <w:bCs/>
          <w:color w:val="000000" w:themeColor="text1"/>
          <w:highlight w:val="none"/>
          <w:u w:val="single"/>
          <w14:textFill>
            <w14:solidFill>
              <w14:schemeClr w14:val="tx1"/>
            </w14:solidFill>
          </w14:textFill>
        </w:rPr>
      </w:pPr>
      <w:r>
        <w:rPr>
          <w:rFonts w:hint="eastAsia" w:ascii="宋体" w:hAnsi="宋体"/>
          <w:b/>
          <w:bCs/>
          <w:color w:val="000000" w:themeColor="text1"/>
          <w:highlight w:val="none"/>
          <w:u w:val="single"/>
          <w14:textFill>
            <w14:solidFill>
              <w14:schemeClr w14:val="tx1"/>
            </w14:solidFill>
          </w14:textFill>
        </w:rPr>
        <w:t>1、单个具体代理项目完成，备案资料提交后一次性支付代理费，代理费具体金额在单项代理合同中明确。</w:t>
      </w:r>
    </w:p>
    <w:p w14:paraId="5776E7C6">
      <w:pPr>
        <w:spacing w:line="360" w:lineRule="auto"/>
        <w:ind w:firstLine="482" w:firstLineChars="200"/>
        <w:rPr>
          <w:rFonts w:ascii="宋体" w:hAnsi="宋体"/>
          <w:b/>
          <w:bCs/>
          <w:color w:val="000000" w:themeColor="text1"/>
          <w:highlight w:val="none"/>
          <w:u w:val="single"/>
          <w14:textFill>
            <w14:solidFill>
              <w14:schemeClr w14:val="tx1"/>
            </w14:solidFill>
          </w14:textFill>
        </w:rPr>
      </w:pPr>
      <w:r>
        <w:rPr>
          <w:rFonts w:hint="eastAsia" w:ascii="宋体" w:hAnsi="宋体"/>
          <w:b/>
          <w:bCs/>
          <w:color w:val="000000" w:themeColor="text1"/>
          <w:highlight w:val="none"/>
          <w:u w:val="single"/>
          <w14:textFill>
            <w14:solidFill>
              <w14:schemeClr w14:val="tx1"/>
            </w14:solidFill>
          </w14:textFill>
        </w:rPr>
        <w:t>2、工程造价文件审核服务、工程造价结算审计服务提供完整造价咨询成果文件并经委托方确认后一次性支付完成。跟踪审计服务视委托项目情况在单个项目委托合同时另行约定。</w:t>
      </w:r>
    </w:p>
    <w:p w14:paraId="1B562BE9">
      <w:pPr>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十、协议的生效、变更、终止</w:t>
      </w:r>
    </w:p>
    <w:p w14:paraId="5C391258">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1、本协议自甲乙双方法定代表人或委托代理人签字并加盖单位公章之日起生效。</w:t>
      </w:r>
    </w:p>
    <w:p w14:paraId="3E645FB7">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2、本协议履行期间，如需变更协议，由甲乙双方另行协商并签订书面的补充协议。</w:t>
      </w:r>
    </w:p>
    <w:p w14:paraId="6DFD1E3E">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3、本协议的终止适用《中华人民共和国民法典》第五百五十七条等相关规定。</w:t>
      </w:r>
    </w:p>
    <w:p w14:paraId="48A96AC5">
      <w:pPr>
        <w:spacing w:line="360" w:lineRule="auto"/>
        <w:ind w:firstLine="480" w:firstLineChars="200"/>
        <w:rPr>
          <w:rFonts w:ascii="宋体" w:hAnsi="宋体"/>
          <w:b w:val="0"/>
          <w:bCs w:val="0"/>
          <w:color w:val="000000" w:themeColor="text1"/>
          <w:highlight w:val="none"/>
          <w14:textFill>
            <w14:solidFill>
              <w14:schemeClr w14:val="tx1"/>
            </w14:solidFill>
          </w14:textFill>
        </w:rPr>
      </w:pPr>
      <w:r>
        <w:rPr>
          <w:rFonts w:hint="eastAsia" w:ascii="宋体" w:hAnsi="宋体"/>
          <w:b w:val="0"/>
          <w:bCs w:val="0"/>
          <w:color w:val="000000" w:themeColor="text1"/>
          <w:highlight w:val="none"/>
          <w14:textFill>
            <w14:solidFill>
              <w14:schemeClr w14:val="tx1"/>
            </w14:solidFill>
          </w14:textFill>
        </w:rPr>
        <w:t>十一、本项目的征集文件、供应商响应文件为本协议的组成部分，与本协议具有同等法律效力。</w:t>
      </w:r>
    </w:p>
    <w:p w14:paraId="5C2A67DE">
      <w:pPr>
        <w:spacing w:line="360" w:lineRule="auto"/>
        <w:ind w:firstLine="482" w:firstLineChars="200"/>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十二、争议的解决</w:t>
      </w:r>
    </w:p>
    <w:p w14:paraId="48601922">
      <w:pPr>
        <w:tabs>
          <w:tab w:val="left" w:pos="4500"/>
        </w:tabs>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因履行本协议产生的或与本协议有关的任何争议，应由甲乙双方友好协商解决，协商不成的，任何一方有权将争议提交至甲方所在地区人民法院解决。</w:t>
      </w:r>
    </w:p>
    <w:p w14:paraId="591EA973">
      <w:pPr>
        <w:spacing w:line="360" w:lineRule="auto"/>
        <w:ind w:firstLine="480" w:firstLineChars="200"/>
        <w:rPr>
          <w:rFonts w:ascii="宋体" w:hAnsi="宋体"/>
          <w:b w:val="0"/>
          <w:bCs w:val="0"/>
          <w:color w:val="000000" w:themeColor="text1"/>
          <w:highlight w:val="none"/>
          <w14:textFill>
            <w14:solidFill>
              <w14:schemeClr w14:val="tx1"/>
            </w14:solidFill>
          </w14:textFill>
        </w:rPr>
      </w:pPr>
      <w:r>
        <w:rPr>
          <w:rFonts w:hint="eastAsia" w:ascii="宋体" w:hAnsi="宋体"/>
          <w:b w:val="0"/>
          <w:bCs w:val="0"/>
          <w:color w:val="000000" w:themeColor="text1"/>
          <w:highlight w:val="none"/>
          <w14:textFill>
            <w14:solidFill>
              <w14:schemeClr w14:val="tx1"/>
            </w14:solidFill>
          </w14:textFill>
        </w:rPr>
        <w:t>十三、本协议一式7份，甲乙双方各执3份，1份留采购代理机构备查。</w:t>
      </w:r>
    </w:p>
    <w:p w14:paraId="5AF413BD">
      <w:pPr>
        <w:spacing w:after="240" w:afterLines="100" w:line="360" w:lineRule="auto"/>
        <w:ind w:firstLine="480" w:firstLineChars="200"/>
        <w:rPr>
          <w:rFonts w:ascii="宋体" w:hAnsi="宋体"/>
          <w:b w:val="0"/>
          <w:bCs w:val="0"/>
          <w:color w:val="000000" w:themeColor="text1"/>
          <w:highlight w:val="none"/>
          <w14:textFill>
            <w14:solidFill>
              <w14:schemeClr w14:val="tx1"/>
            </w14:solidFill>
          </w14:textFill>
        </w:rPr>
      </w:pPr>
      <w:r>
        <w:rPr>
          <w:rFonts w:hint="eastAsia" w:ascii="宋体" w:hAnsi="宋体"/>
          <w:b w:val="0"/>
          <w:bCs w:val="0"/>
          <w:color w:val="000000" w:themeColor="text1"/>
          <w:highlight w:val="none"/>
          <w14:textFill>
            <w14:solidFill>
              <w14:schemeClr w14:val="tx1"/>
            </w14:solidFill>
          </w14:textFill>
        </w:rPr>
        <w:t>十四、本协议未尽事宜均遵照国家有关法律、法规、规章等，或双方另行议定补充协议。</w:t>
      </w:r>
    </w:p>
    <w:tbl>
      <w:tblPr>
        <w:tblStyle w:val="26"/>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678"/>
        <w:gridCol w:w="240"/>
        <w:gridCol w:w="4049"/>
      </w:tblGrid>
      <w:tr w14:paraId="0392B0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678" w:type="dxa"/>
            <w:tcBorders>
              <w:tl2br w:val="nil"/>
              <w:tr2bl w:val="nil"/>
            </w:tcBorders>
            <w:vAlign w:val="center"/>
          </w:tcPr>
          <w:p w14:paraId="0811663B">
            <w:pPr>
              <w:pStyle w:val="14"/>
              <w:snapToGrid w:val="0"/>
              <w:spacing w:before="120" w:after="120" w:line="240" w:lineRule="auto"/>
              <w:ind w:left="480" w:hanging="480" w:hangingChars="200"/>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甲方：嘉兴市南湖区交通运输局</w:t>
            </w:r>
          </w:p>
        </w:tc>
        <w:tc>
          <w:tcPr>
            <w:tcW w:w="240" w:type="dxa"/>
            <w:tcBorders>
              <w:tl2br w:val="nil"/>
              <w:tr2bl w:val="nil"/>
            </w:tcBorders>
            <w:vAlign w:val="center"/>
          </w:tcPr>
          <w:p w14:paraId="22DDD823">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p>
        </w:tc>
        <w:tc>
          <w:tcPr>
            <w:tcW w:w="4049" w:type="dxa"/>
            <w:tcBorders>
              <w:tl2br w:val="nil"/>
              <w:tr2bl w:val="nil"/>
            </w:tcBorders>
            <w:vAlign w:val="center"/>
          </w:tcPr>
          <w:p w14:paraId="6D2EC6D0">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乙方：</w:t>
            </w:r>
          </w:p>
        </w:tc>
      </w:tr>
      <w:tr w14:paraId="65C615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678" w:type="dxa"/>
            <w:tcBorders>
              <w:tl2br w:val="nil"/>
              <w:tr2bl w:val="nil"/>
            </w:tcBorders>
            <w:vAlign w:val="center"/>
          </w:tcPr>
          <w:p w14:paraId="5BE46DB6">
            <w:pPr>
              <w:pStyle w:val="14"/>
              <w:adjustRightInd w:val="0"/>
              <w:snapToGrid w:val="0"/>
              <w:spacing w:before="120" w:after="120" w:line="240" w:lineRule="auto"/>
              <w:jc w:val="left"/>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地址：</w:t>
            </w:r>
          </w:p>
        </w:tc>
        <w:tc>
          <w:tcPr>
            <w:tcW w:w="240" w:type="dxa"/>
            <w:tcBorders>
              <w:tl2br w:val="nil"/>
              <w:tr2bl w:val="nil"/>
            </w:tcBorders>
            <w:vAlign w:val="center"/>
          </w:tcPr>
          <w:p w14:paraId="58E35E29">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p>
        </w:tc>
        <w:tc>
          <w:tcPr>
            <w:tcW w:w="4049" w:type="dxa"/>
            <w:tcBorders>
              <w:tl2br w:val="nil"/>
              <w:tr2bl w:val="nil"/>
            </w:tcBorders>
            <w:vAlign w:val="center"/>
          </w:tcPr>
          <w:p w14:paraId="59A5AEAC">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地址：</w:t>
            </w:r>
          </w:p>
        </w:tc>
      </w:tr>
      <w:tr w14:paraId="17854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jc w:val="center"/>
        </w:trPr>
        <w:tc>
          <w:tcPr>
            <w:tcW w:w="4678" w:type="dxa"/>
            <w:tcBorders>
              <w:tl2br w:val="nil"/>
              <w:tr2bl w:val="nil"/>
            </w:tcBorders>
            <w:vAlign w:val="center"/>
          </w:tcPr>
          <w:p w14:paraId="5AF2113E">
            <w:pPr>
              <w:pStyle w:val="14"/>
              <w:adjustRightInd w:val="0"/>
              <w:snapToGrid w:val="0"/>
              <w:spacing w:before="120" w:after="120" w:line="240" w:lineRule="auto"/>
              <w:jc w:val="left"/>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法定代表人：（签字或盖章）</w:t>
            </w:r>
          </w:p>
        </w:tc>
        <w:tc>
          <w:tcPr>
            <w:tcW w:w="240" w:type="dxa"/>
            <w:tcBorders>
              <w:tl2br w:val="nil"/>
              <w:tr2bl w:val="nil"/>
            </w:tcBorders>
            <w:vAlign w:val="center"/>
          </w:tcPr>
          <w:p w14:paraId="70699BA7">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p>
        </w:tc>
        <w:tc>
          <w:tcPr>
            <w:tcW w:w="4049" w:type="dxa"/>
            <w:tcBorders>
              <w:tl2br w:val="nil"/>
              <w:tr2bl w:val="nil"/>
            </w:tcBorders>
            <w:vAlign w:val="center"/>
          </w:tcPr>
          <w:p w14:paraId="4BDB1F65">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法定代表人：（签字或盖章）</w:t>
            </w:r>
          </w:p>
        </w:tc>
      </w:tr>
      <w:tr w14:paraId="4FE46D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678" w:type="dxa"/>
            <w:tcBorders>
              <w:tl2br w:val="nil"/>
              <w:tr2bl w:val="nil"/>
            </w:tcBorders>
            <w:vAlign w:val="center"/>
          </w:tcPr>
          <w:p w14:paraId="75DE3BDC">
            <w:pPr>
              <w:pStyle w:val="14"/>
              <w:adjustRightInd w:val="0"/>
              <w:snapToGrid w:val="0"/>
              <w:spacing w:before="120" w:after="120" w:line="240" w:lineRule="auto"/>
              <w:jc w:val="left"/>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签约代表：（签字）</w:t>
            </w:r>
          </w:p>
        </w:tc>
        <w:tc>
          <w:tcPr>
            <w:tcW w:w="240" w:type="dxa"/>
            <w:tcBorders>
              <w:tl2br w:val="nil"/>
              <w:tr2bl w:val="nil"/>
            </w:tcBorders>
            <w:vAlign w:val="center"/>
          </w:tcPr>
          <w:p w14:paraId="78DE958B">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p>
        </w:tc>
        <w:tc>
          <w:tcPr>
            <w:tcW w:w="4049" w:type="dxa"/>
            <w:tcBorders>
              <w:tl2br w:val="nil"/>
              <w:tr2bl w:val="nil"/>
            </w:tcBorders>
            <w:vAlign w:val="center"/>
          </w:tcPr>
          <w:p w14:paraId="2592F152">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签约代表：（签字）</w:t>
            </w:r>
          </w:p>
        </w:tc>
      </w:tr>
      <w:tr w14:paraId="035885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678" w:type="dxa"/>
            <w:tcBorders>
              <w:tl2br w:val="nil"/>
              <w:tr2bl w:val="nil"/>
            </w:tcBorders>
            <w:vAlign w:val="center"/>
          </w:tcPr>
          <w:p w14:paraId="1AD6030E">
            <w:pPr>
              <w:pStyle w:val="14"/>
              <w:adjustRightInd w:val="0"/>
              <w:snapToGrid w:val="0"/>
              <w:spacing w:before="120" w:after="120" w:line="240" w:lineRule="auto"/>
              <w:jc w:val="left"/>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联系电话（传真）：</w:t>
            </w:r>
          </w:p>
        </w:tc>
        <w:tc>
          <w:tcPr>
            <w:tcW w:w="240" w:type="dxa"/>
            <w:tcBorders>
              <w:tl2br w:val="nil"/>
              <w:tr2bl w:val="nil"/>
            </w:tcBorders>
            <w:vAlign w:val="center"/>
          </w:tcPr>
          <w:p w14:paraId="25EE4E30">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p>
        </w:tc>
        <w:tc>
          <w:tcPr>
            <w:tcW w:w="4049" w:type="dxa"/>
            <w:tcBorders>
              <w:tl2br w:val="nil"/>
              <w:tr2bl w:val="nil"/>
            </w:tcBorders>
            <w:vAlign w:val="center"/>
          </w:tcPr>
          <w:p w14:paraId="76BD4070">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联系电话（传真）：</w:t>
            </w:r>
          </w:p>
        </w:tc>
      </w:tr>
      <w:tr w14:paraId="015817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678" w:type="dxa"/>
            <w:tcBorders>
              <w:tl2br w:val="nil"/>
              <w:tr2bl w:val="nil"/>
            </w:tcBorders>
            <w:vAlign w:val="center"/>
          </w:tcPr>
          <w:p w14:paraId="62D16041">
            <w:pPr>
              <w:pStyle w:val="14"/>
              <w:adjustRightInd w:val="0"/>
              <w:snapToGrid w:val="0"/>
              <w:spacing w:before="120" w:after="120" w:line="240" w:lineRule="auto"/>
              <w:jc w:val="left"/>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开户银行：</w:t>
            </w:r>
          </w:p>
        </w:tc>
        <w:tc>
          <w:tcPr>
            <w:tcW w:w="240" w:type="dxa"/>
            <w:tcBorders>
              <w:tl2br w:val="nil"/>
              <w:tr2bl w:val="nil"/>
            </w:tcBorders>
            <w:vAlign w:val="center"/>
          </w:tcPr>
          <w:p w14:paraId="0F220F72">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p>
        </w:tc>
        <w:tc>
          <w:tcPr>
            <w:tcW w:w="4049" w:type="dxa"/>
            <w:tcBorders>
              <w:tl2br w:val="nil"/>
              <w:tr2bl w:val="nil"/>
            </w:tcBorders>
            <w:vAlign w:val="center"/>
          </w:tcPr>
          <w:p w14:paraId="6FD670A5">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开户银行：</w:t>
            </w:r>
          </w:p>
        </w:tc>
      </w:tr>
      <w:tr w14:paraId="4596F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678" w:type="dxa"/>
            <w:tcBorders>
              <w:tl2br w:val="nil"/>
              <w:tr2bl w:val="nil"/>
            </w:tcBorders>
            <w:vAlign w:val="center"/>
          </w:tcPr>
          <w:p w14:paraId="0F1CAA23">
            <w:pPr>
              <w:pStyle w:val="14"/>
              <w:adjustRightInd w:val="0"/>
              <w:snapToGrid w:val="0"/>
              <w:spacing w:before="120" w:after="120" w:line="240" w:lineRule="auto"/>
              <w:jc w:val="left"/>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账号：</w:t>
            </w:r>
          </w:p>
        </w:tc>
        <w:tc>
          <w:tcPr>
            <w:tcW w:w="240" w:type="dxa"/>
            <w:tcBorders>
              <w:tl2br w:val="nil"/>
              <w:tr2bl w:val="nil"/>
            </w:tcBorders>
            <w:vAlign w:val="center"/>
          </w:tcPr>
          <w:p w14:paraId="0F7ABD41">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p>
        </w:tc>
        <w:tc>
          <w:tcPr>
            <w:tcW w:w="4049" w:type="dxa"/>
            <w:tcBorders>
              <w:tl2br w:val="nil"/>
              <w:tr2bl w:val="nil"/>
            </w:tcBorders>
            <w:vAlign w:val="center"/>
          </w:tcPr>
          <w:p w14:paraId="2624D0AC">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账号：</w:t>
            </w:r>
          </w:p>
        </w:tc>
      </w:tr>
      <w:tr w14:paraId="553AE9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jc w:val="center"/>
        </w:trPr>
        <w:tc>
          <w:tcPr>
            <w:tcW w:w="4678" w:type="dxa"/>
            <w:tcBorders>
              <w:tl2br w:val="nil"/>
              <w:tr2bl w:val="nil"/>
            </w:tcBorders>
            <w:vAlign w:val="center"/>
          </w:tcPr>
          <w:p w14:paraId="496E4E8D">
            <w:pPr>
              <w:pStyle w:val="14"/>
              <w:adjustRightInd w:val="0"/>
              <w:snapToGrid w:val="0"/>
              <w:spacing w:before="120" w:after="120" w:line="240" w:lineRule="auto"/>
              <w:jc w:val="left"/>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电子邮箱：</w:t>
            </w:r>
          </w:p>
        </w:tc>
        <w:tc>
          <w:tcPr>
            <w:tcW w:w="240" w:type="dxa"/>
            <w:tcBorders>
              <w:tl2br w:val="nil"/>
              <w:tr2bl w:val="nil"/>
            </w:tcBorders>
            <w:vAlign w:val="center"/>
          </w:tcPr>
          <w:p w14:paraId="3FB69BE3">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p>
        </w:tc>
        <w:tc>
          <w:tcPr>
            <w:tcW w:w="4049" w:type="dxa"/>
            <w:tcBorders>
              <w:tl2br w:val="nil"/>
              <w:tr2bl w:val="nil"/>
            </w:tcBorders>
            <w:vAlign w:val="center"/>
          </w:tcPr>
          <w:p w14:paraId="78BADE08">
            <w:pPr>
              <w:pStyle w:val="24"/>
              <w:tabs>
                <w:tab w:val="left" w:pos="900"/>
              </w:tabs>
              <w:ind w:left="0" w:leftChars="0" w:firstLine="0" w:firstLineChars="0"/>
              <w:rPr>
                <w:rFonts w:hAnsi="宋体" w:cs="宋体"/>
                <w:color w:val="000000" w:themeColor="text1"/>
                <w:kern w:val="2"/>
                <w:sz w:val="24"/>
                <w:highlight w:val="none"/>
                <w14:textFill>
                  <w14:solidFill>
                    <w14:schemeClr w14:val="tx1"/>
                  </w14:solidFill>
                </w14:textFill>
              </w:rPr>
            </w:pPr>
            <w:r>
              <w:rPr>
                <w:rFonts w:hint="eastAsia" w:hAnsi="宋体" w:cs="宋体"/>
                <w:color w:val="000000" w:themeColor="text1"/>
                <w:kern w:val="2"/>
                <w:sz w:val="24"/>
                <w:highlight w:val="none"/>
                <w14:textFill>
                  <w14:solidFill>
                    <w14:schemeClr w14:val="tx1"/>
                  </w14:solidFill>
                </w14:textFill>
              </w:rPr>
              <w:t>电子邮箱：</w:t>
            </w:r>
          </w:p>
        </w:tc>
      </w:tr>
      <w:tr w14:paraId="31394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678" w:type="dxa"/>
            <w:tcBorders>
              <w:tl2br w:val="nil"/>
              <w:tr2bl w:val="nil"/>
            </w:tcBorders>
            <w:vAlign w:val="center"/>
          </w:tcPr>
          <w:p w14:paraId="5A3F0B0E">
            <w:pPr>
              <w:pStyle w:val="14"/>
              <w:adjustRightInd w:val="0"/>
              <w:snapToGrid w:val="0"/>
              <w:spacing w:before="120" w:after="120" w:line="240" w:lineRule="auto"/>
              <w:jc w:val="left"/>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签约时间：   年  月  日</w:t>
            </w:r>
          </w:p>
        </w:tc>
        <w:tc>
          <w:tcPr>
            <w:tcW w:w="240" w:type="dxa"/>
            <w:tcBorders>
              <w:tl2br w:val="nil"/>
              <w:tr2bl w:val="nil"/>
            </w:tcBorders>
            <w:vAlign w:val="center"/>
          </w:tcPr>
          <w:p w14:paraId="75F643D1">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p>
        </w:tc>
        <w:tc>
          <w:tcPr>
            <w:tcW w:w="4049" w:type="dxa"/>
            <w:tcBorders>
              <w:tl2br w:val="nil"/>
              <w:tr2bl w:val="nil"/>
            </w:tcBorders>
            <w:vAlign w:val="center"/>
          </w:tcPr>
          <w:p w14:paraId="6A055252">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签约时间：   年  月  日</w:t>
            </w:r>
          </w:p>
        </w:tc>
      </w:tr>
      <w:tr w14:paraId="7A8D23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4678" w:type="dxa"/>
            <w:tcBorders>
              <w:tl2br w:val="nil"/>
              <w:tr2bl w:val="nil"/>
            </w:tcBorders>
            <w:vAlign w:val="center"/>
          </w:tcPr>
          <w:p w14:paraId="0CC22B6A">
            <w:pPr>
              <w:pStyle w:val="14"/>
              <w:adjustRightInd w:val="0"/>
              <w:snapToGrid w:val="0"/>
              <w:spacing w:before="120" w:after="120" w:line="240" w:lineRule="auto"/>
              <w:jc w:val="left"/>
              <w:rPr>
                <w:rFonts w:hAnsi="宋体" w:cs="宋体"/>
                <w:color w:val="000000" w:themeColor="text1"/>
                <w:kern w:val="2"/>
                <w:highlight w:val="none"/>
                <w14:textFill>
                  <w14:solidFill>
                    <w14:schemeClr w14:val="tx1"/>
                  </w14:solidFill>
                </w14:textFill>
              </w:rPr>
            </w:pPr>
            <w:r>
              <w:rPr>
                <w:rFonts w:hint="eastAsia" w:hAnsi="宋体" w:cs="宋体"/>
                <w:color w:val="000000" w:themeColor="text1"/>
                <w:kern w:val="2"/>
                <w:highlight w:val="none"/>
                <w14:textFill>
                  <w14:solidFill>
                    <w14:schemeClr w14:val="tx1"/>
                  </w14:solidFill>
                </w14:textFill>
              </w:rPr>
              <w:t>签约地点：浙江省嘉兴市</w:t>
            </w:r>
          </w:p>
        </w:tc>
        <w:tc>
          <w:tcPr>
            <w:tcW w:w="240" w:type="dxa"/>
            <w:tcBorders>
              <w:tl2br w:val="nil"/>
              <w:tr2bl w:val="nil"/>
            </w:tcBorders>
            <w:vAlign w:val="center"/>
          </w:tcPr>
          <w:p w14:paraId="1E186896">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p>
        </w:tc>
        <w:tc>
          <w:tcPr>
            <w:tcW w:w="4049" w:type="dxa"/>
            <w:tcBorders>
              <w:tl2br w:val="nil"/>
              <w:tr2bl w:val="nil"/>
            </w:tcBorders>
            <w:vAlign w:val="center"/>
          </w:tcPr>
          <w:p w14:paraId="379B4BEA">
            <w:pPr>
              <w:pStyle w:val="14"/>
              <w:adjustRightInd w:val="0"/>
              <w:snapToGrid w:val="0"/>
              <w:spacing w:before="120" w:after="120" w:line="240" w:lineRule="auto"/>
              <w:rPr>
                <w:rFonts w:hAnsi="宋体" w:cs="宋体"/>
                <w:color w:val="000000" w:themeColor="text1"/>
                <w:kern w:val="2"/>
                <w:highlight w:val="none"/>
                <w14:textFill>
                  <w14:solidFill>
                    <w14:schemeClr w14:val="tx1"/>
                  </w14:solidFill>
                </w14:textFill>
              </w:rPr>
            </w:pPr>
          </w:p>
        </w:tc>
      </w:tr>
    </w:tbl>
    <w:p w14:paraId="013B6E84">
      <w:pPr>
        <w:tabs>
          <w:tab w:val="left" w:pos="4500"/>
        </w:tabs>
        <w:spacing w:line="400" w:lineRule="exact"/>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p w14:paraId="412DBF94">
      <w:pPr>
        <w:rPr>
          <w:rFonts w:ascii="宋体" w:hAnsi="宋体"/>
          <w:color w:val="000000" w:themeColor="text1"/>
          <w:spacing w:val="13"/>
          <w:sz w:val="35"/>
          <w:szCs w:val="35"/>
          <w:highlight w:val="none"/>
          <w14:textOutline w14:w="6540" w14:cap="sq" w14:cmpd="sng" w14:algn="ctr">
            <w14:solidFill>
              <w14:srgbClr w14:val="000000"/>
            </w14:solidFill>
            <w14:prstDash w14:val="solid"/>
            <w14:bevel/>
          </w14:textOutline>
          <w14:textFill>
            <w14:solidFill>
              <w14:schemeClr w14:val="tx1"/>
            </w14:solidFill>
          </w14:textFill>
        </w:rPr>
      </w:pPr>
      <w:r>
        <w:rPr>
          <w:rFonts w:ascii="宋体" w:hAnsi="宋体"/>
          <w:color w:val="000000" w:themeColor="text1"/>
          <w:spacing w:val="13"/>
          <w:sz w:val="35"/>
          <w:szCs w:val="35"/>
          <w:highlight w:val="none"/>
          <w14:textOutline w14:w="6540" w14:cap="sq" w14:cmpd="sng" w14:algn="ctr">
            <w14:solidFill>
              <w14:srgbClr w14:val="000000"/>
            </w14:solidFill>
            <w14:prstDash w14:val="solid"/>
            <w14:bevel/>
          </w14:textOutline>
          <w14:textFill>
            <w14:solidFill>
              <w14:schemeClr w14:val="tx1"/>
            </w14:solidFill>
          </w14:textFill>
        </w:rPr>
        <w:br w:type="page"/>
      </w:r>
    </w:p>
    <w:p w14:paraId="4ABD6D72">
      <w:pPr>
        <w:spacing w:line="298" w:lineRule="auto"/>
        <w:rPr>
          <w:rFonts w:ascii="宋体" w:hAnsi="宋体"/>
          <w:color w:val="000000" w:themeColor="text1"/>
          <w:spacing w:val="13"/>
          <w:highlight w:val="none"/>
          <w14:textOutline w14:w="6540" w14:cap="sq" w14:cmpd="sng" w14:algn="ctr">
            <w14:solidFill>
              <w14:srgbClr w14:val="000000"/>
            </w14:solidFill>
            <w14:prstDash w14:val="solid"/>
            <w14:bevel/>
          </w14:textOutline>
          <w14:textFill>
            <w14:solidFill>
              <w14:schemeClr w14:val="tx1"/>
            </w14:solidFill>
          </w14:textFill>
        </w:rPr>
      </w:pPr>
      <w:r>
        <w:rPr>
          <w:rFonts w:hint="eastAsia" w:ascii="宋体" w:hAnsi="宋体"/>
          <w:color w:val="000000" w:themeColor="text1"/>
          <w:spacing w:val="13"/>
          <w:highlight w:val="none"/>
          <w14:textOutline w14:w="6540" w14:cap="sq" w14:cmpd="sng" w14:algn="ctr">
            <w14:solidFill>
              <w14:srgbClr w14:val="000000"/>
            </w14:solidFill>
            <w14:prstDash w14:val="solid"/>
            <w14:bevel/>
          </w14:textOutline>
          <w14:textFill>
            <w14:solidFill>
              <w14:schemeClr w14:val="tx1"/>
            </w14:solidFill>
          </w14:textFill>
        </w:rPr>
        <w:t>附</w:t>
      </w:r>
    </w:p>
    <w:p w14:paraId="09305894">
      <w:pPr>
        <w:spacing w:line="298" w:lineRule="auto"/>
        <w:ind w:left="960" w:leftChars="400" w:right="960" w:rightChars="400"/>
        <w:jc w:val="center"/>
        <w:rPr>
          <w:rFonts w:ascii="宋体" w:hAnsi="宋体"/>
          <w:color w:val="000000" w:themeColor="text1"/>
          <w:sz w:val="32"/>
          <w:szCs w:val="32"/>
          <w:highlight w:val="none"/>
          <w14:textFill>
            <w14:solidFill>
              <w14:schemeClr w14:val="tx1"/>
            </w14:solidFill>
          </w14:textFill>
        </w:rPr>
      </w:pPr>
      <w:r>
        <w:rPr>
          <w:rFonts w:hint="eastAsia" w:ascii="宋体" w:hAnsi="宋体"/>
          <w:color w:val="000000" w:themeColor="text1"/>
          <w:sz w:val="32"/>
          <w:szCs w:val="32"/>
          <w:highlight w:val="none"/>
          <w14:textOutline w14:w="6540" w14:cap="sq" w14:cmpd="sng" w14:algn="ctr">
            <w14:solidFill>
              <w14:srgbClr w14:val="000000"/>
            </w14:solidFill>
            <w14:prstDash w14:val="solid"/>
            <w14:bevel/>
          </w14:textOutline>
          <w14:textFill>
            <w14:solidFill>
              <w14:schemeClr w14:val="tx1"/>
            </w14:solidFill>
          </w14:textFill>
        </w:rPr>
        <w:t>嘉兴市南湖区交通运输局</w:t>
      </w:r>
      <w:r>
        <w:rPr>
          <w:rFonts w:hint="eastAsia" w:ascii="宋体" w:hAnsi="宋体"/>
          <w:color w:val="000000" w:themeColor="text1"/>
          <w:sz w:val="32"/>
          <w:szCs w:val="32"/>
          <w:highlight w:val="none"/>
          <w:lang w:eastAsia="zh-CN"/>
          <w14:textOutline w14:w="6540" w14:cap="sq" w14:cmpd="sng" w14:algn="ctr">
            <w14:solidFill>
              <w14:srgbClr w14:val="000000"/>
            </w14:solidFill>
            <w14:prstDash w14:val="solid"/>
            <w14:bevel/>
          </w14:textOutline>
          <w14:textFill>
            <w14:solidFill>
              <w14:schemeClr w14:val="tx1"/>
            </w14:solidFill>
          </w14:textFill>
        </w:rPr>
        <w:t>2025-2027</w:t>
      </w:r>
      <w:r>
        <w:rPr>
          <w:rFonts w:hint="eastAsia" w:ascii="宋体" w:hAnsi="宋体"/>
          <w:color w:val="000000" w:themeColor="text1"/>
          <w:sz w:val="32"/>
          <w:szCs w:val="32"/>
          <w:highlight w:val="none"/>
          <w14:textOutline w14:w="6540" w14:cap="sq" w14:cmpd="sng" w14:algn="ctr">
            <w14:solidFill>
              <w14:srgbClr w14:val="000000"/>
            </w14:solidFill>
            <w14:prstDash w14:val="solid"/>
            <w14:bevel/>
          </w14:textOutline>
          <w14:textFill>
            <w14:solidFill>
              <w14:schemeClr w14:val="tx1"/>
            </w14:solidFill>
          </w14:textFill>
        </w:rPr>
        <w:t>年度招标代理和造价咨询服务</w:t>
      </w:r>
      <w:r>
        <w:rPr>
          <w:rFonts w:ascii="宋体" w:hAnsi="宋体"/>
          <w:color w:val="000000" w:themeColor="text1"/>
          <w:sz w:val="32"/>
          <w:szCs w:val="32"/>
          <w:highlight w:val="none"/>
          <w14:textOutline w14:w="6540" w14:cap="sq" w14:cmpd="sng" w14:algn="ctr">
            <w14:solidFill>
              <w14:srgbClr w14:val="000000"/>
            </w14:solidFill>
            <w14:prstDash w14:val="solid"/>
            <w14:bevel/>
          </w14:textOutline>
          <w14:textFill>
            <w14:solidFill>
              <w14:schemeClr w14:val="tx1"/>
            </w14:solidFill>
          </w14:textFill>
        </w:rPr>
        <w:t>考核细则</w:t>
      </w:r>
    </w:p>
    <w:p w14:paraId="58AAF591">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一、考核内容</w:t>
      </w:r>
    </w:p>
    <w:p w14:paraId="22605BCC">
      <w:pPr>
        <w:numPr>
          <w:ilvl w:val="0"/>
          <w:numId w:val="9"/>
        </w:numPr>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贯彻执行招标采购、工程建设等法律、法规、政策及规定情况；</w:t>
      </w:r>
    </w:p>
    <w:p w14:paraId="1A49C7C2">
      <w:pPr>
        <w:numPr>
          <w:ilvl w:val="0"/>
          <w:numId w:val="9"/>
        </w:numPr>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服务合同的履行情况；</w:t>
      </w:r>
    </w:p>
    <w:p w14:paraId="7B32626F">
      <w:pPr>
        <w:numPr>
          <w:ilvl w:val="0"/>
          <w:numId w:val="9"/>
        </w:numPr>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服务质量；</w:t>
      </w:r>
    </w:p>
    <w:p w14:paraId="3BD504C3">
      <w:pPr>
        <w:numPr>
          <w:ilvl w:val="0"/>
          <w:numId w:val="9"/>
        </w:numPr>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企业诚信经营情况；</w:t>
      </w:r>
    </w:p>
    <w:p w14:paraId="38E37F9E">
      <w:pPr>
        <w:numPr>
          <w:ilvl w:val="0"/>
          <w:numId w:val="9"/>
        </w:numPr>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招标代理工作的投诉处理情况。</w:t>
      </w:r>
    </w:p>
    <w:p w14:paraId="4F120B00">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二、考核方法</w:t>
      </w:r>
    </w:p>
    <w:p w14:paraId="0C99ED69">
      <w:pPr>
        <w:numPr>
          <w:ilvl w:val="0"/>
          <w:numId w:val="10"/>
        </w:numPr>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具体由区交通运输局招标办、项目业主、纪检监督小组依据考核细则评分标准对各</w:t>
      </w:r>
      <w:r>
        <w:rPr>
          <w:rFonts w:hint="eastAsia" w:ascii="宋体" w:hAnsi="宋体"/>
          <w:color w:val="000000" w:themeColor="text1"/>
          <w:highlight w:val="none"/>
          <w:lang w:eastAsia="zh-CN"/>
          <w14:textFill>
            <w14:solidFill>
              <w14:schemeClr w14:val="tx1"/>
            </w14:solidFill>
          </w14:textFill>
        </w:rPr>
        <w:t>入围供应商</w:t>
      </w:r>
      <w:r>
        <w:rPr>
          <w:rFonts w:hint="eastAsia" w:ascii="宋体" w:hAnsi="宋体"/>
          <w:color w:val="000000" w:themeColor="text1"/>
          <w:highlight w:val="none"/>
          <w14:textFill>
            <w14:solidFill>
              <w14:schemeClr w14:val="tx1"/>
            </w14:solidFill>
          </w14:textFill>
        </w:rPr>
        <w:t>的相关工作进行考核。若</w:t>
      </w:r>
      <w:r>
        <w:rPr>
          <w:rFonts w:hint="eastAsia" w:ascii="宋体" w:hAnsi="宋体"/>
          <w:color w:val="000000" w:themeColor="text1"/>
          <w:highlight w:val="none"/>
          <w:lang w:eastAsia="zh-CN"/>
          <w14:textFill>
            <w14:solidFill>
              <w14:schemeClr w14:val="tx1"/>
            </w14:solidFill>
          </w14:textFill>
        </w:rPr>
        <w:t>入围供应商</w:t>
      </w:r>
      <w:r>
        <w:rPr>
          <w:rFonts w:hint="eastAsia" w:ascii="宋体" w:hAnsi="宋体"/>
          <w:color w:val="000000" w:themeColor="text1"/>
          <w:highlight w:val="none"/>
          <w14:textFill>
            <w14:solidFill>
              <w14:schemeClr w14:val="tx1"/>
            </w14:solidFill>
          </w14:textFill>
        </w:rPr>
        <w:t>对涉及工程量清单、预算误差率计算考核项结果有异议，需要借助第三方核查的，可另行委托第三方核查。</w:t>
      </w:r>
    </w:p>
    <w:p w14:paraId="44A9AE87">
      <w:pPr>
        <w:numPr>
          <w:ilvl w:val="0"/>
          <w:numId w:val="10"/>
        </w:numPr>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考核采用扣分制。具体扣分标准详见《嘉兴市南湖区交通运输局招标代理服务考核表》，在入围服务期限内，当</w:t>
      </w:r>
      <w:r>
        <w:rPr>
          <w:rFonts w:hint="eastAsia" w:ascii="宋体" w:hAnsi="宋体"/>
          <w:color w:val="000000" w:themeColor="text1"/>
          <w:highlight w:val="none"/>
          <w:lang w:eastAsia="zh-CN"/>
          <w14:textFill>
            <w14:solidFill>
              <w14:schemeClr w14:val="tx1"/>
            </w14:solidFill>
          </w14:textFill>
        </w:rPr>
        <w:t>入围供应商</w:t>
      </w:r>
      <w:r>
        <w:rPr>
          <w:rFonts w:hint="eastAsia" w:ascii="宋体" w:hAnsi="宋体"/>
          <w:color w:val="000000" w:themeColor="text1"/>
          <w:highlight w:val="none"/>
          <w14:textFill>
            <w14:solidFill>
              <w14:schemeClr w14:val="tx1"/>
            </w14:solidFill>
          </w14:textFill>
        </w:rPr>
        <w:t>单个项目扣分达3分(含3分)以上时，予以警告；当</w:t>
      </w:r>
      <w:r>
        <w:rPr>
          <w:rFonts w:hint="eastAsia" w:ascii="宋体" w:hAnsi="宋体"/>
          <w:color w:val="000000" w:themeColor="text1"/>
          <w:highlight w:val="none"/>
          <w:lang w:eastAsia="zh-CN"/>
          <w14:textFill>
            <w14:solidFill>
              <w14:schemeClr w14:val="tx1"/>
            </w14:solidFill>
          </w14:textFill>
        </w:rPr>
        <w:t>入围供应商</w:t>
      </w:r>
      <w:r>
        <w:rPr>
          <w:rFonts w:hint="eastAsia" w:ascii="宋体" w:hAnsi="宋体"/>
          <w:color w:val="000000" w:themeColor="text1"/>
          <w:highlight w:val="none"/>
          <w14:textFill>
            <w14:solidFill>
              <w14:schemeClr w14:val="tx1"/>
            </w14:solidFill>
          </w14:textFill>
        </w:rPr>
        <w:t>单个项目扣分达6分(含6分)以上时，暂停其招标代理服务业务2次(市、区平台各1次，正常中签后轮空除外)；当</w:t>
      </w:r>
      <w:r>
        <w:rPr>
          <w:rFonts w:hint="eastAsia" w:ascii="宋体" w:hAnsi="宋体"/>
          <w:color w:val="000000" w:themeColor="text1"/>
          <w:highlight w:val="none"/>
          <w:lang w:eastAsia="zh-CN"/>
          <w14:textFill>
            <w14:solidFill>
              <w14:schemeClr w14:val="tx1"/>
            </w14:solidFill>
          </w14:textFill>
        </w:rPr>
        <w:t>入围供应商</w:t>
      </w:r>
      <w:r>
        <w:rPr>
          <w:rFonts w:hint="eastAsia" w:ascii="宋体" w:hAnsi="宋体"/>
          <w:color w:val="000000" w:themeColor="text1"/>
          <w:highlight w:val="none"/>
          <w14:textFill>
            <w14:solidFill>
              <w14:schemeClr w14:val="tx1"/>
            </w14:solidFill>
          </w14:textFill>
        </w:rPr>
        <w:t>单个项目扣分达10分或在服务期内累计扣分达15分时，提前终止入围协议，并不接受其在嘉兴市南湖区交通运输局下一入围年度招标时的投标。</w:t>
      </w:r>
    </w:p>
    <w:p w14:paraId="2C9C64FF">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三、经济责任</w:t>
      </w:r>
    </w:p>
    <w:p w14:paraId="6401BA7F">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各</w:t>
      </w:r>
      <w:r>
        <w:rPr>
          <w:rFonts w:hint="eastAsia" w:ascii="宋体" w:hAnsi="宋体"/>
          <w:color w:val="000000" w:themeColor="text1"/>
          <w:highlight w:val="none"/>
          <w:lang w:eastAsia="zh-CN"/>
          <w14:textFill>
            <w14:solidFill>
              <w14:schemeClr w14:val="tx1"/>
            </w14:solidFill>
          </w14:textFill>
        </w:rPr>
        <w:t>入围供应商</w:t>
      </w:r>
      <w:r>
        <w:rPr>
          <w:rFonts w:hint="eastAsia" w:ascii="宋体" w:hAnsi="宋体"/>
          <w:color w:val="000000" w:themeColor="text1"/>
          <w:highlight w:val="none"/>
          <w14:textFill>
            <w14:solidFill>
              <w14:schemeClr w14:val="tx1"/>
            </w14:solidFill>
          </w14:textFill>
        </w:rPr>
        <w:t>在入围服务期限内的服务出现以下情况的，除扣分之外，还应承担以下经济责任：</w:t>
      </w:r>
    </w:p>
    <w:p w14:paraId="5154A1DF">
      <w:pPr>
        <w:numPr>
          <w:ilvl w:val="0"/>
          <w:numId w:val="11"/>
        </w:numPr>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当单个项目考核扣分达3分(含3分)以上时，扣罚所属项目招标代理服务费的10%；</w:t>
      </w:r>
    </w:p>
    <w:p w14:paraId="41A28DAA">
      <w:pPr>
        <w:numPr>
          <w:ilvl w:val="0"/>
          <w:numId w:val="11"/>
        </w:numPr>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当单个项目考核扣分达6分(含6分)以上时，扣罚所属项目招标代理服务费的20%；</w:t>
      </w:r>
    </w:p>
    <w:p w14:paraId="34371A09">
      <w:pPr>
        <w:numPr>
          <w:ilvl w:val="0"/>
          <w:numId w:val="11"/>
        </w:numPr>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当单个项目考核扣分达10分(含10分)以上时，扣罚所属项目招标代理服务费的30%。</w:t>
      </w:r>
    </w:p>
    <w:p w14:paraId="7E7782CE">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四、其他规定</w:t>
      </w:r>
    </w:p>
    <w:p w14:paraId="17514D04">
      <w:pPr>
        <w:spacing w:line="360" w:lineRule="auto"/>
        <w:ind w:firstLine="480" w:firstLineChars="200"/>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lang w:eastAsia="zh-CN"/>
          <w14:textFill>
            <w14:solidFill>
              <w14:schemeClr w14:val="tx1"/>
            </w14:solidFill>
          </w14:textFill>
        </w:rPr>
        <w:t>入围供应商</w:t>
      </w:r>
      <w:r>
        <w:rPr>
          <w:rFonts w:hint="eastAsia" w:ascii="宋体" w:hAnsi="宋体"/>
          <w:color w:val="000000" w:themeColor="text1"/>
          <w:highlight w:val="none"/>
          <w14:textFill>
            <w14:solidFill>
              <w14:schemeClr w14:val="tx1"/>
            </w14:solidFill>
          </w14:textFill>
        </w:rPr>
        <w:t>拒绝接受分配到该单位的工程造价文件审核、工程造价结算审计、跟踪审计等业务或未按要求完成的，将取消其在本轮相应服务资格。</w:t>
      </w:r>
    </w:p>
    <w:p w14:paraId="158FB586">
      <w:pPr>
        <w:spacing w:line="360" w:lineRule="auto"/>
        <w:ind w:firstLine="480" w:firstLineChars="200"/>
        <w:rPr>
          <w:rFonts w:ascii="宋体" w:hAnsi="宋体"/>
          <w:color w:val="000000" w:themeColor="text1"/>
          <w:highlight w:val="none"/>
          <w14:textFill>
            <w14:solidFill>
              <w14:schemeClr w14:val="tx1"/>
            </w14:solidFill>
          </w14:textFill>
        </w:rPr>
        <w:sectPr>
          <w:footerReference r:id="rId4" w:type="default"/>
          <w:pgSz w:w="11906" w:h="16839"/>
          <w:pgMar w:top="1247" w:right="1531" w:bottom="1134" w:left="1531" w:header="882" w:footer="996" w:gutter="0"/>
          <w:pgNumType w:start="1"/>
          <w:cols w:space="720" w:num="1"/>
        </w:sectPr>
      </w:pPr>
    </w:p>
    <w:p w14:paraId="1C0DE419">
      <w:pPr>
        <w:spacing w:line="431" w:lineRule="auto"/>
        <w:rPr>
          <w:rFonts w:ascii="Arial"/>
          <w:color w:val="000000" w:themeColor="text1"/>
          <w:sz w:val="21"/>
          <w:highlight w:val="none"/>
          <w14:textFill>
            <w14:solidFill>
              <w14:schemeClr w14:val="tx1"/>
            </w14:solidFill>
          </w14:textFill>
        </w:rPr>
      </w:pPr>
    </w:p>
    <w:p w14:paraId="71148698">
      <w:pPr>
        <w:spacing w:line="360" w:lineRule="auto"/>
        <w:jc w:val="center"/>
        <w:rPr>
          <w:rFonts w:ascii="宋体" w:hAnsi="宋体"/>
          <w:color w:val="000000" w:themeColor="text1"/>
          <w:sz w:val="35"/>
          <w:szCs w:val="35"/>
          <w:highlight w:val="none"/>
          <w14:textFill>
            <w14:solidFill>
              <w14:schemeClr w14:val="tx1"/>
            </w14:solidFill>
          </w14:textFill>
        </w:rPr>
      </w:pPr>
      <w:r>
        <w:rPr>
          <w:rFonts w:ascii="宋体" w:hAnsi="宋体"/>
          <w:color w:val="000000" w:themeColor="text1"/>
          <w:spacing w:val="17"/>
          <w:sz w:val="35"/>
          <w:szCs w:val="35"/>
          <w:highlight w:val="none"/>
          <w14:textOutline w14:w="6540" w14:cap="sq" w14:cmpd="sng" w14:algn="ctr">
            <w14:solidFill>
              <w14:srgbClr w14:val="000000"/>
            </w14:solidFill>
            <w14:prstDash w14:val="solid"/>
            <w14:bevel/>
          </w14:textOutline>
          <w14:textFill>
            <w14:solidFill>
              <w14:schemeClr w14:val="tx1"/>
            </w14:solidFill>
          </w14:textFill>
        </w:rPr>
        <w:t>嘉</w:t>
      </w:r>
      <w:r>
        <w:rPr>
          <w:rFonts w:ascii="宋体" w:hAnsi="宋体"/>
          <w:color w:val="000000" w:themeColor="text1"/>
          <w:spacing w:val="10"/>
          <w:sz w:val="35"/>
          <w:szCs w:val="35"/>
          <w:highlight w:val="none"/>
          <w14:textOutline w14:w="6540" w14:cap="sq" w14:cmpd="sng" w14:algn="ctr">
            <w14:solidFill>
              <w14:srgbClr w14:val="000000"/>
            </w14:solidFill>
            <w14:prstDash w14:val="solid"/>
            <w14:bevel/>
          </w14:textOutline>
          <w14:textFill>
            <w14:solidFill>
              <w14:schemeClr w14:val="tx1"/>
            </w14:solidFill>
          </w14:textFill>
        </w:rPr>
        <w:t>兴市南湖区交通运输局招标代理服务考核表</w:t>
      </w:r>
    </w:p>
    <w:tbl>
      <w:tblPr>
        <w:tblStyle w:val="38"/>
        <w:tblW w:w="879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57" w:type="dxa"/>
          <w:left w:w="57" w:type="dxa"/>
          <w:bottom w:w="57" w:type="dxa"/>
          <w:right w:w="57" w:type="dxa"/>
        </w:tblCellMar>
      </w:tblPr>
      <w:tblGrid>
        <w:gridCol w:w="774"/>
        <w:gridCol w:w="6660"/>
        <w:gridCol w:w="726"/>
        <w:gridCol w:w="631"/>
      </w:tblGrid>
      <w:tr w14:paraId="7ECA51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81" w:hRule="atLeast"/>
          <w:jc w:val="center"/>
        </w:trPr>
        <w:tc>
          <w:tcPr>
            <w:tcW w:w="774" w:type="dxa"/>
            <w:tcBorders>
              <w:tl2br w:val="nil"/>
              <w:tr2bl w:val="nil"/>
            </w:tcBorders>
            <w:vAlign w:val="center"/>
          </w:tcPr>
          <w:p w14:paraId="742FDC9C">
            <w:pPr>
              <w:spacing w:line="276" w:lineRule="auto"/>
              <w:jc w:val="center"/>
              <w:outlineLvl w:val="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5"/>
                <w:highlight w:val="none"/>
                <w14:textFill>
                  <w14:solidFill>
                    <w14:schemeClr w14:val="tx1"/>
                  </w14:solidFill>
                </w14:textFill>
              </w:rPr>
              <w:t>考核</w:t>
            </w:r>
          </w:p>
          <w:p w14:paraId="359BE5EA">
            <w:pPr>
              <w:spacing w:line="276" w:lineRule="auto"/>
              <w:jc w:val="center"/>
              <w:outlineLvl w:val="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内</w:t>
            </w:r>
            <w:r>
              <w:rPr>
                <w:rFonts w:hint="eastAsia" w:ascii="宋体" w:hAnsi="宋体"/>
                <w:color w:val="000000" w:themeColor="text1"/>
                <w:spacing w:val="-2"/>
                <w:highlight w:val="none"/>
                <w14:textFill>
                  <w14:solidFill>
                    <w14:schemeClr w14:val="tx1"/>
                  </w14:solidFill>
                </w14:textFill>
              </w:rPr>
              <w:t>容</w:t>
            </w:r>
          </w:p>
        </w:tc>
        <w:tc>
          <w:tcPr>
            <w:tcW w:w="6660" w:type="dxa"/>
            <w:tcBorders>
              <w:tl2br w:val="nil"/>
              <w:tr2bl w:val="nil"/>
            </w:tcBorders>
            <w:vAlign w:val="center"/>
          </w:tcPr>
          <w:p w14:paraId="79AA75A3">
            <w:pPr>
              <w:spacing w:line="276"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8"/>
                <w:highlight w:val="none"/>
                <w14:textFill>
                  <w14:solidFill>
                    <w14:schemeClr w14:val="tx1"/>
                  </w14:solidFill>
                </w14:textFill>
              </w:rPr>
              <w:t>扣分内</w:t>
            </w:r>
            <w:r>
              <w:rPr>
                <w:rFonts w:hint="eastAsia" w:ascii="宋体" w:hAnsi="宋体"/>
                <w:color w:val="000000" w:themeColor="text1"/>
                <w:spacing w:val="7"/>
                <w:highlight w:val="none"/>
                <w14:textFill>
                  <w14:solidFill>
                    <w14:schemeClr w14:val="tx1"/>
                  </w14:solidFill>
                </w14:textFill>
              </w:rPr>
              <w:t>容</w:t>
            </w:r>
          </w:p>
        </w:tc>
        <w:tc>
          <w:tcPr>
            <w:tcW w:w="726" w:type="dxa"/>
            <w:tcBorders>
              <w:tl2br w:val="nil"/>
              <w:tr2bl w:val="nil"/>
            </w:tcBorders>
            <w:vAlign w:val="center"/>
          </w:tcPr>
          <w:p w14:paraId="2017F5E0">
            <w:pPr>
              <w:spacing w:line="276"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6"/>
                <w:highlight w:val="none"/>
                <w14:textFill>
                  <w14:solidFill>
                    <w14:schemeClr w14:val="tx1"/>
                  </w14:solidFill>
                </w14:textFill>
              </w:rPr>
              <w:t>扣</w:t>
            </w:r>
            <w:r>
              <w:rPr>
                <w:rFonts w:hint="eastAsia" w:ascii="宋体" w:hAnsi="宋体"/>
                <w:color w:val="000000" w:themeColor="text1"/>
                <w:spacing w:val="5"/>
                <w:highlight w:val="none"/>
                <w14:textFill>
                  <w14:solidFill>
                    <w14:schemeClr w14:val="tx1"/>
                  </w14:solidFill>
                </w14:textFill>
              </w:rPr>
              <w:t>分</w:t>
            </w:r>
            <w:r>
              <w:rPr>
                <w:rFonts w:hint="eastAsia" w:ascii="宋体" w:hAnsi="宋体"/>
                <w:color w:val="000000" w:themeColor="text1"/>
                <w:spacing w:val="8"/>
                <w:highlight w:val="none"/>
                <w14:textFill>
                  <w14:solidFill>
                    <w14:schemeClr w14:val="tx1"/>
                  </w14:solidFill>
                </w14:textFill>
              </w:rPr>
              <w:t>标</w:t>
            </w:r>
            <w:r>
              <w:rPr>
                <w:rFonts w:hint="eastAsia" w:ascii="宋体" w:hAnsi="宋体"/>
                <w:color w:val="000000" w:themeColor="text1"/>
                <w:spacing w:val="7"/>
                <w:highlight w:val="none"/>
                <w14:textFill>
                  <w14:solidFill>
                    <w14:schemeClr w14:val="tx1"/>
                  </w14:solidFill>
                </w14:textFill>
              </w:rPr>
              <w:t>准</w:t>
            </w:r>
          </w:p>
        </w:tc>
        <w:tc>
          <w:tcPr>
            <w:tcW w:w="631" w:type="dxa"/>
            <w:tcBorders>
              <w:tl2br w:val="nil"/>
              <w:tr2bl w:val="nil"/>
            </w:tcBorders>
            <w:vAlign w:val="center"/>
          </w:tcPr>
          <w:p w14:paraId="5293384F">
            <w:pPr>
              <w:spacing w:line="276"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6"/>
                <w:highlight w:val="none"/>
                <w14:textFill>
                  <w14:solidFill>
                    <w14:schemeClr w14:val="tx1"/>
                  </w14:solidFill>
                </w14:textFill>
              </w:rPr>
              <w:t>扣</w:t>
            </w:r>
            <w:r>
              <w:rPr>
                <w:rFonts w:hint="eastAsia" w:ascii="宋体" w:hAnsi="宋体"/>
                <w:color w:val="000000" w:themeColor="text1"/>
                <w:spacing w:val="5"/>
                <w:highlight w:val="none"/>
                <w14:textFill>
                  <w14:solidFill>
                    <w14:schemeClr w14:val="tx1"/>
                  </w14:solidFill>
                </w14:textFill>
              </w:rPr>
              <w:t>分情况</w:t>
            </w:r>
          </w:p>
        </w:tc>
      </w:tr>
      <w:tr w14:paraId="60A524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05" w:hRule="atLeast"/>
          <w:jc w:val="center"/>
        </w:trPr>
        <w:tc>
          <w:tcPr>
            <w:tcW w:w="774" w:type="dxa"/>
            <w:vMerge w:val="restart"/>
            <w:tcBorders>
              <w:tl2br w:val="nil"/>
              <w:tr2bl w:val="nil"/>
            </w:tcBorders>
            <w:vAlign w:val="center"/>
          </w:tcPr>
          <w:p w14:paraId="5414EAD3">
            <w:pPr>
              <w:spacing w:line="276" w:lineRule="auto"/>
              <w:jc w:val="center"/>
              <w:rPr>
                <w:rFonts w:ascii="宋体" w:hAnsi="宋体"/>
                <w:color w:val="000000" w:themeColor="text1"/>
                <w:highlight w:val="none"/>
                <w14:textFill>
                  <w14:solidFill>
                    <w14:schemeClr w14:val="tx1"/>
                  </w14:solidFill>
                </w14:textFill>
              </w:rPr>
            </w:pPr>
          </w:p>
          <w:p w14:paraId="7DD7AAE9">
            <w:pPr>
              <w:spacing w:line="276" w:lineRule="auto"/>
              <w:jc w:val="center"/>
              <w:rPr>
                <w:rFonts w:ascii="宋体" w:hAnsi="宋体"/>
                <w:color w:val="000000" w:themeColor="text1"/>
                <w:highlight w:val="none"/>
                <w14:textFill>
                  <w14:solidFill>
                    <w14:schemeClr w14:val="tx1"/>
                  </w14:solidFill>
                </w14:textFill>
              </w:rPr>
            </w:pPr>
          </w:p>
          <w:p w14:paraId="175DD67F">
            <w:pPr>
              <w:spacing w:line="276" w:lineRule="auto"/>
              <w:jc w:val="center"/>
              <w:rPr>
                <w:rFonts w:ascii="宋体" w:hAnsi="宋体"/>
                <w:color w:val="000000" w:themeColor="text1"/>
                <w:highlight w:val="none"/>
                <w14:textFill>
                  <w14:solidFill>
                    <w14:schemeClr w14:val="tx1"/>
                  </w14:solidFill>
                </w14:textFill>
              </w:rPr>
            </w:pPr>
          </w:p>
          <w:p w14:paraId="30B53B76">
            <w:pPr>
              <w:spacing w:line="276" w:lineRule="auto"/>
              <w:jc w:val="center"/>
              <w:outlineLvl w:val="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7"/>
                <w:highlight w:val="none"/>
                <w14:textFill>
                  <w14:solidFill>
                    <w14:schemeClr w14:val="tx1"/>
                  </w14:solidFill>
                </w14:textFill>
              </w:rPr>
              <w:t>业</w:t>
            </w:r>
            <w:r>
              <w:rPr>
                <w:rFonts w:hint="eastAsia" w:ascii="宋体" w:hAnsi="宋体"/>
                <w:color w:val="000000" w:themeColor="text1"/>
                <w:spacing w:val="6"/>
                <w:highlight w:val="none"/>
                <w14:textFill>
                  <w14:solidFill>
                    <w14:schemeClr w14:val="tx1"/>
                  </w14:solidFill>
                </w14:textFill>
              </w:rPr>
              <w:t>务代</w:t>
            </w:r>
            <w:r>
              <w:rPr>
                <w:rFonts w:hint="eastAsia" w:ascii="宋体" w:hAnsi="宋体"/>
                <w:color w:val="000000" w:themeColor="text1"/>
                <w:highlight w:val="none"/>
                <w14:textFill>
                  <w14:solidFill>
                    <w14:schemeClr w14:val="tx1"/>
                  </w14:solidFill>
                </w14:textFill>
              </w:rPr>
              <w:t>理</w:t>
            </w:r>
          </w:p>
        </w:tc>
        <w:tc>
          <w:tcPr>
            <w:tcW w:w="6660" w:type="dxa"/>
            <w:tcBorders>
              <w:tl2br w:val="nil"/>
              <w:tr2bl w:val="nil"/>
            </w:tcBorders>
            <w:vAlign w:val="center"/>
          </w:tcPr>
          <w:p w14:paraId="5F906314">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2"/>
                <w:highlight w:val="none"/>
                <w14:textFill>
                  <w14:solidFill>
                    <w14:schemeClr w14:val="tx1"/>
                  </w14:solidFill>
                </w14:textFill>
              </w:rPr>
              <w:t>1.</w:t>
            </w:r>
            <w:r>
              <w:rPr>
                <w:rFonts w:hint="eastAsia" w:ascii="宋体" w:hAnsi="宋体"/>
                <w:color w:val="000000" w:themeColor="text1"/>
                <w:spacing w:val="11"/>
                <w:highlight w:val="none"/>
                <w:lang w:eastAsia="zh-CN"/>
                <w14:textFill>
                  <w14:solidFill>
                    <w14:schemeClr w14:val="tx1"/>
                  </w14:solidFill>
                </w14:textFill>
              </w:rPr>
              <w:t>入围供应商</w:t>
            </w:r>
            <w:r>
              <w:rPr>
                <w:rFonts w:hint="eastAsia" w:ascii="宋体" w:hAnsi="宋体"/>
                <w:color w:val="000000" w:themeColor="text1"/>
                <w:spacing w:val="6"/>
                <w:highlight w:val="none"/>
                <w14:textFill>
                  <w14:solidFill>
                    <w14:schemeClr w14:val="tx1"/>
                  </w14:solidFill>
                </w14:textFill>
              </w:rPr>
              <w:t>因各种理由(超出资质许可范围除外)拒绝分配至该单位的</w:t>
            </w:r>
            <w:r>
              <w:rPr>
                <w:rFonts w:hint="eastAsia" w:ascii="宋体" w:hAnsi="宋体"/>
                <w:color w:val="000000" w:themeColor="text1"/>
                <w:spacing w:val="13"/>
                <w:highlight w:val="none"/>
                <w14:textFill>
                  <w14:solidFill>
                    <w14:schemeClr w14:val="tx1"/>
                  </w14:solidFill>
                </w14:textFill>
              </w:rPr>
              <w:t>招</w:t>
            </w:r>
            <w:r>
              <w:rPr>
                <w:rFonts w:hint="eastAsia" w:ascii="宋体" w:hAnsi="宋体"/>
                <w:color w:val="000000" w:themeColor="text1"/>
                <w:spacing w:val="8"/>
                <w:highlight w:val="none"/>
                <w14:textFill>
                  <w14:solidFill>
                    <w14:schemeClr w14:val="tx1"/>
                  </w14:solidFill>
                </w14:textFill>
              </w:rPr>
              <w:t>标代理服务业务</w:t>
            </w:r>
          </w:p>
        </w:tc>
        <w:tc>
          <w:tcPr>
            <w:tcW w:w="726" w:type="dxa"/>
            <w:tcBorders>
              <w:tl2br w:val="nil"/>
              <w:tr2bl w:val="nil"/>
            </w:tcBorders>
            <w:vAlign w:val="center"/>
          </w:tcPr>
          <w:p w14:paraId="1935158C">
            <w:pPr>
              <w:spacing w:line="276"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r>
              <w:rPr>
                <w:rFonts w:hint="eastAsia" w:ascii="宋体" w:hAnsi="宋体"/>
                <w:color w:val="000000" w:themeColor="text1"/>
                <w:spacing w:val="-9"/>
                <w:highlight w:val="none"/>
                <w14:textFill>
                  <w14:solidFill>
                    <w14:schemeClr w14:val="tx1"/>
                  </w14:solidFill>
                </w14:textFill>
              </w:rPr>
              <w:t>0</w:t>
            </w:r>
          </w:p>
        </w:tc>
        <w:tc>
          <w:tcPr>
            <w:tcW w:w="631" w:type="dxa"/>
            <w:tcBorders>
              <w:tl2br w:val="nil"/>
              <w:tr2bl w:val="nil"/>
            </w:tcBorders>
            <w:vAlign w:val="center"/>
          </w:tcPr>
          <w:p w14:paraId="78B7EF1E">
            <w:pPr>
              <w:spacing w:line="276" w:lineRule="auto"/>
              <w:jc w:val="center"/>
              <w:rPr>
                <w:rFonts w:ascii="宋体" w:hAnsi="宋体"/>
                <w:color w:val="000000" w:themeColor="text1"/>
                <w:highlight w:val="none"/>
                <w14:textFill>
                  <w14:solidFill>
                    <w14:schemeClr w14:val="tx1"/>
                  </w14:solidFill>
                </w14:textFill>
              </w:rPr>
            </w:pPr>
          </w:p>
        </w:tc>
      </w:tr>
      <w:tr w14:paraId="447A4A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515" w:hRule="atLeast"/>
          <w:jc w:val="center"/>
        </w:trPr>
        <w:tc>
          <w:tcPr>
            <w:tcW w:w="774" w:type="dxa"/>
            <w:vMerge w:val="continue"/>
            <w:tcBorders>
              <w:tl2br w:val="nil"/>
              <w:tr2bl w:val="nil"/>
            </w:tcBorders>
            <w:vAlign w:val="center"/>
          </w:tcPr>
          <w:p w14:paraId="469F282E">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6702198F">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8"/>
                <w:highlight w:val="none"/>
                <w14:textFill>
                  <w14:solidFill>
                    <w14:schemeClr w14:val="tx1"/>
                  </w14:solidFill>
                </w14:textFill>
              </w:rPr>
              <w:t>2</w:t>
            </w:r>
            <w:r>
              <w:rPr>
                <w:rFonts w:hint="eastAsia" w:ascii="宋体" w:hAnsi="宋体"/>
                <w:color w:val="000000" w:themeColor="text1"/>
                <w:spacing w:val="10"/>
                <w:highlight w:val="none"/>
                <w14:textFill>
                  <w14:solidFill>
                    <w14:schemeClr w14:val="tx1"/>
                  </w14:solidFill>
                </w14:textFill>
              </w:rPr>
              <w:t>.</w:t>
            </w:r>
            <w:r>
              <w:rPr>
                <w:rFonts w:hint="eastAsia" w:ascii="宋体" w:hAnsi="宋体"/>
                <w:color w:val="000000" w:themeColor="text1"/>
                <w:spacing w:val="9"/>
                <w:highlight w:val="none"/>
                <w14:textFill>
                  <w14:solidFill>
                    <w14:schemeClr w14:val="tx1"/>
                  </w14:solidFill>
                </w14:textFill>
              </w:rPr>
              <w:t>为投标人提供其代理招标项目的投标咨询服务或串通投标的</w:t>
            </w:r>
          </w:p>
        </w:tc>
        <w:tc>
          <w:tcPr>
            <w:tcW w:w="726" w:type="dxa"/>
            <w:tcBorders>
              <w:tl2br w:val="nil"/>
              <w:tr2bl w:val="nil"/>
            </w:tcBorders>
            <w:vAlign w:val="center"/>
          </w:tcPr>
          <w:p w14:paraId="1E38460A">
            <w:pPr>
              <w:spacing w:line="276"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r>
              <w:rPr>
                <w:rFonts w:hint="eastAsia" w:ascii="宋体" w:hAnsi="宋体"/>
                <w:color w:val="000000" w:themeColor="text1"/>
                <w:spacing w:val="-9"/>
                <w:highlight w:val="none"/>
                <w14:textFill>
                  <w14:solidFill>
                    <w14:schemeClr w14:val="tx1"/>
                  </w14:solidFill>
                </w14:textFill>
              </w:rPr>
              <w:t>0</w:t>
            </w:r>
          </w:p>
        </w:tc>
        <w:tc>
          <w:tcPr>
            <w:tcW w:w="631" w:type="dxa"/>
            <w:tcBorders>
              <w:tl2br w:val="nil"/>
              <w:tr2bl w:val="nil"/>
            </w:tcBorders>
            <w:vAlign w:val="center"/>
          </w:tcPr>
          <w:p w14:paraId="7C9D0C57">
            <w:pPr>
              <w:spacing w:line="276" w:lineRule="auto"/>
              <w:jc w:val="center"/>
              <w:rPr>
                <w:rFonts w:ascii="宋体" w:hAnsi="宋体"/>
                <w:color w:val="000000" w:themeColor="text1"/>
                <w:highlight w:val="none"/>
                <w14:textFill>
                  <w14:solidFill>
                    <w14:schemeClr w14:val="tx1"/>
                  </w14:solidFill>
                </w14:textFill>
              </w:rPr>
            </w:pPr>
          </w:p>
        </w:tc>
      </w:tr>
      <w:tr w14:paraId="3E96A7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515" w:hRule="atLeast"/>
          <w:jc w:val="center"/>
        </w:trPr>
        <w:tc>
          <w:tcPr>
            <w:tcW w:w="774" w:type="dxa"/>
            <w:vMerge w:val="continue"/>
            <w:tcBorders>
              <w:tl2br w:val="nil"/>
              <w:tr2bl w:val="nil"/>
            </w:tcBorders>
            <w:vAlign w:val="center"/>
          </w:tcPr>
          <w:p w14:paraId="114D4DD9">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34B17215">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9"/>
                <w:highlight w:val="none"/>
                <w14:textFill>
                  <w14:solidFill>
                    <w14:schemeClr w14:val="tx1"/>
                  </w14:solidFill>
                </w14:textFill>
              </w:rPr>
              <w:t>3.未经委托方同意，擅自转让招标代理业</w:t>
            </w:r>
            <w:r>
              <w:rPr>
                <w:rFonts w:hint="eastAsia" w:ascii="宋体" w:hAnsi="宋体"/>
                <w:color w:val="000000" w:themeColor="text1"/>
                <w:spacing w:val="6"/>
                <w:highlight w:val="none"/>
                <w14:textFill>
                  <w14:solidFill>
                    <w14:schemeClr w14:val="tx1"/>
                  </w14:solidFill>
                </w14:textFill>
              </w:rPr>
              <w:t>务</w:t>
            </w:r>
          </w:p>
        </w:tc>
        <w:tc>
          <w:tcPr>
            <w:tcW w:w="726" w:type="dxa"/>
            <w:tcBorders>
              <w:tl2br w:val="nil"/>
              <w:tr2bl w:val="nil"/>
            </w:tcBorders>
            <w:vAlign w:val="center"/>
          </w:tcPr>
          <w:p w14:paraId="0E725D5B">
            <w:pPr>
              <w:spacing w:line="276"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r>
              <w:rPr>
                <w:rFonts w:hint="eastAsia" w:ascii="宋体" w:hAnsi="宋体"/>
                <w:color w:val="000000" w:themeColor="text1"/>
                <w:spacing w:val="-9"/>
                <w:highlight w:val="none"/>
                <w14:textFill>
                  <w14:solidFill>
                    <w14:schemeClr w14:val="tx1"/>
                  </w14:solidFill>
                </w14:textFill>
              </w:rPr>
              <w:t>0</w:t>
            </w:r>
          </w:p>
        </w:tc>
        <w:tc>
          <w:tcPr>
            <w:tcW w:w="631" w:type="dxa"/>
            <w:tcBorders>
              <w:tl2br w:val="nil"/>
              <w:tr2bl w:val="nil"/>
            </w:tcBorders>
            <w:vAlign w:val="center"/>
          </w:tcPr>
          <w:p w14:paraId="7196EC23">
            <w:pPr>
              <w:spacing w:line="276" w:lineRule="auto"/>
              <w:jc w:val="center"/>
              <w:rPr>
                <w:rFonts w:ascii="宋体" w:hAnsi="宋体"/>
                <w:color w:val="000000" w:themeColor="text1"/>
                <w:highlight w:val="none"/>
                <w14:textFill>
                  <w14:solidFill>
                    <w14:schemeClr w14:val="tx1"/>
                  </w14:solidFill>
                </w14:textFill>
              </w:rPr>
            </w:pPr>
          </w:p>
        </w:tc>
      </w:tr>
      <w:tr w14:paraId="363932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05" w:hRule="atLeast"/>
          <w:jc w:val="center"/>
        </w:trPr>
        <w:tc>
          <w:tcPr>
            <w:tcW w:w="774" w:type="dxa"/>
            <w:vMerge w:val="continue"/>
            <w:tcBorders>
              <w:tl2br w:val="nil"/>
              <w:tr2bl w:val="nil"/>
            </w:tcBorders>
            <w:vAlign w:val="center"/>
          </w:tcPr>
          <w:p w14:paraId="208C1713">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6CB63C9B">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25"/>
                <w:highlight w:val="none"/>
                <w14:textFill>
                  <w14:solidFill>
                    <w14:schemeClr w14:val="tx1"/>
                  </w14:solidFill>
                </w14:textFill>
              </w:rPr>
              <w:t>4</w:t>
            </w:r>
            <w:r>
              <w:rPr>
                <w:rFonts w:hint="eastAsia" w:ascii="宋体" w:hAnsi="宋体"/>
                <w:color w:val="000000" w:themeColor="text1"/>
                <w:spacing w:val="15"/>
                <w:highlight w:val="none"/>
                <w14:textFill>
                  <w14:solidFill>
                    <w14:schemeClr w14:val="tx1"/>
                  </w14:solidFill>
                </w14:textFill>
              </w:rPr>
              <w:t>.不按规定或不按时参加招标投标监督管理机构组织的会议或不按时</w:t>
            </w:r>
            <w:r>
              <w:rPr>
                <w:rFonts w:hint="eastAsia" w:ascii="宋体" w:hAnsi="宋体"/>
                <w:color w:val="000000" w:themeColor="text1"/>
                <w:spacing w:val="9"/>
                <w:highlight w:val="none"/>
                <w14:textFill>
                  <w14:solidFill>
                    <w14:schemeClr w14:val="tx1"/>
                  </w14:solidFill>
                </w14:textFill>
              </w:rPr>
              <w:t>完成招标办交办的任务</w:t>
            </w:r>
            <w:r>
              <w:rPr>
                <w:rFonts w:hint="eastAsia" w:ascii="宋体" w:hAnsi="宋体"/>
                <w:color w:val="000000" w:themeColor="text1"/>
                <w:spacing w:val="8"/>
                <w:highlight w:val="none"/>
                <w14:textFill>
                  <w14:solidFill>
                    <w14:schemeClr w14:val="tx1"/>
                  </w14:solidFill>
                </w14:textFill>
              </w:rPr>
              <w:t>的</w:t>
            </w:r>
          </w:p>
        </w:tc>
        <w:tc>
          <w:tcPr>
            <w:tcW w:w="726" w:type="dxa"/>
            <w:tcBorders>
              <w:tl2br w:val="nil"/>
              <w:tr2bl w:val="nil"/>
            </w:tcBorders>
            <w:vAlign w:val="center"/>
          </w:tcPr>
          <w:p w14:paraId="56F1244A">
            <w:pPr>
              <w:spacing w:line="276"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r>
              <w:rPr>
                <w:rFonts w:hint="eastAsia" w:ascii="宋体" w:hAnsi="宋体"/>
                <w:color w:val="000000" w:themeColor="text1"/>
                <w:spacing w:val="-9"/>
                <w:highlight w:val="none"/>
                <w14:textFill>
                  <w14:solidFill>
                    <w14:schemeClr w14:val="tx1"/>
                  </w14:solidFill>
                </w14:textFill>
              </w:rPr>
              <w:t>0</w:t>
            </w:r>
          </w:p>
        </w:tc>
        <w:tc>
          <w:tcPr>
            <w:tcW w:w="631" w:type="dxa"/>
            <w:tcBorders>
              <w:tl2br w:val="nil"/>
              <w:tr2bl w:val="nil"/>
            </w:tcBorders>
            <w:vAlign w:val="center"/>
          </w:tcPr>
          <w:p w14:paraId="0995D83A">
            <w:pPr>
              <w:spacing w:line="276" w:lineRule="auto"/>
              <w:jc w:val="center"/>
              <w:rPr>
                <w:rFonts w:ascii="宋体" w:hAnsi="宋体"/>
                <w:color w:val="000000" w:themeColor="text1"/>
                <w:highlight w:val="none"/>
                <w14:textFill>
                  <w14:solidFill>
                    <w14:schemeClr w14:val="tx1"/>
                  </w14:solidFill>
                </w14:textFill>
              </w:rPr>
            </w:pPr>
          </w:p>
        </w:tc>
      </w:tr>
      <w:tr w14:paraId="522330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84" w:hRule="atLeast"/>
          <w:jc w:val="center"/>
        </w:trPr>
        <w:tc>
          <w:tcPr>
            <w:tcW w:w="774" w:type="dxa"/>
            <w:vMerge w:val="restart"/>
            <w:tcBorders>
              <w:tl2br w:val="nil"/>
              <w:tr2bl w:val="nil"/>
            </w:tcBorders>
            <w:vAlign w:val="center"/>
          </w:tcPr>
          <w:p w14:paraId="3EE59073">
            <w:pPr>
              <w:spacing w:line="276" w:lineRule="auto"/>
              <w:jc w:val="center"/>
              <w:rPr>
                <w:rFonts w:ascii="宋体" w:hAnsi="宋体"/>
                <w:color w:val="000000" w:themeColor="text1"/>
                <w:highlight w:val="none"/>
                <w14:textFill>
                  <w14:solidFill>
                    <w14:schemeClr w14:val="tx1"/>
                  </w14:solidFill>
                </w14:textFill>
              </w:rPr>
            </w:pPr>
          </w:p>
          <w:p w14:paraId="6602E588">
            <w:pPr>
              <w:spacing w:line="276" w:lineRule="auto"/>
              <w:jc w:val="center"/>
              <w:rPr>
                <w:rFonts w:ascii="宋体" w:hAnsi="宋体"/>
                <w:color w:val="000000" w:themeColor="text1"/>
                <w:highlight w:val="none"/>
                <w14:textFill>
                  <w14:solidFill>
                    <w14:schemeClr w14:val="tx1"/>
                  </w14:solidFill>
                </w14:textFill>
              </w:rPr>
            </w:pPr>
          </w:p>
          <w:p w14:paraId="7986AAE6">
            <w:pPr>
              <w:spacing w:line="276" w:lineRule="auto"/>
              <w:jc w:val="center"/>
              <w:rPr>
                <w:rFonts w:ascii="宋体" w:hAnsi="宋体"/>
                <w:color w:val="000000" w:themeColor="text1"/>
                <w:highlight w:val="none"/>
                <w14:textFill>
                  <w14:solidFill>
                    <w14:schemeClr w14:val="tx1"/>
                  </w14:solidFill>
                </w14:textFill>
              </w:rPr>
            </w:pPr>
          </w:p>
          <w:p w14:paraId="43B8552B">
            <w:pPr>
              <w:spacing w:line="276" w:lineRule="auto"/>
              <w:jc w:val="center"/>
              <w:rPr>
                <w:rFonts w:ascii="宋体" w:hAnsi="宋体"/>
                <w:color w:val="000000" w:themeColor="text1"/>
                <w:highlight w:val="none"/>
                <w14:textFill>
                  <w14:solidFill>
                    <w14:schemeClr w14:val="tx1"/>
                  </w14:solidFill>
                </w14:textFill>
              </w:rPr>
            </w:pPr>
          </w:p>
          <w:p w14:paraId="5F81E3EF">
            <w:pPr>
              <w:spacing w:line="276" w:lineRule="auto"/>
              <w:jc w:val="center"/>
              <w:rPr>
                <w:rFonts w:ascii="宋体" w:hAnsi="宋体"/>
                <w:color w:val="000000" w:themeColor="text1"/>
                <w:highlight w:val="none"/>
                <w14:textFill>
                  <w14:solidFill>
                    <w14:schemeClr w14:val="tx1"/>
                  </w14:solidFill>
                </w14:textFill>
              </w:rPr>
            </w:pPr>
          </w:p>
          <w:p w14:paraId="486198DA">
            <w:pPr>
              <w:spacing w:line="276" w:lineRule="auto"/>
              <w:jc w:val="center"/>
              <w:rPr>
                <w:rFonts w:ascii="宋体" w:hAnsi="宋体"/>
                <w:color w:val="000000" w:themeColor="text1"/>
                <w:highlight w:val="none"/>
                <w14:textFill>
                  <w14:solidFill>
                    <w14:schemeClr w14:val="tx1"/>
                  </w14:solidFill>
                </w14:textFill>
              </w:rPr>
            </w:pPr>
          </w:p>
          <w:p w14:paraId="6614D3EA">
            <w:pPr>
              <w:spacing w:line="276" w:lineRule="auto"/>
              <w:jc w:val="center"/>
              <w:rPr>
                <w:rFonts w:ascii="宋体" w:hAnsi="宋体"/>
                <w:color w:val="000000" w:themeColor="text1"/>
                <w:highlight w:val="none"/>
                <w14:textFill>
                  <w14:solidFill>
                    <w14:schemeClr w14:val="tx1"/>
                  </w14:solidFill>
                </w14:textFill>
              </w:rPr>
            </w:pPr>
          </w:p>
          <w:p w14:paraId="4D73E29A">
            <w:pPr>
              <w:spacing w:line="276" w:lineRule="auto"/>
              <w:jc w:val="center"/>
              <w:rPr>
                <w:rFonts w:ascii="宋体" w:hAnsi="宋体"/>
                <w:color w:val="000000" w:themeColor="text1"/>
                <w:highlight w:val="none"/>
                <w14:textFill>
                  <w14:solidFill>
                    <w14:schemeClr w14:val="tx1"/>
                  </w14:solidFill>
                </w14:textFill>
              </w:rPr>
            </w:pPr>
          </w:p>
          <w:p w14:paraId="36001B3C">
            <w:pPr>
              <w:spacing w:line="276" w:lineRule="auto"/>
              <w:jc w:val="center"/>
              <w:rPr>
                <w:rFonts w:ascii="宋体" w:hAnsi="宋体"/>
                <w:color w:val="000000" w:themeColor="text1"/>
                <w:highlight w:val="none"/>
                <w14:textFill>
                  <w14:solidFill>
                    <w14:schemeClr w14:val="tx1"/>
                  </w14:solidFill>
                </w14:textFill>
              </w:rPr>
            </w:pPr>
          </w:p>
          <w:p w14:paraId="648E904B">
            <w:pPr>
              <w:spacing w:line="276" w:lineRule="auto"/>
              <w:jc w:val="center"/>
              <w:rPr>
                <w:rFonts w:ascii="宋体" w:hAnsi="宋体"/>
                <w:color w:val="000000" w:themeColor="text1"/>
                <w:highlight w:val="none"/>
                <w14:textFill>
                  <w14:solidFill>
                    <w14:schemeClr w14:val="tx1"/>
                  </w14:solidFill>
                </w14:textFill>
              </w:rPr>
            </w:pPr>
          </w:p>
          <w:p w14:paraId="4E027E8D">
            <w:pPr>
              <w:spacing w:line="276" w:lineRule="auto"/>
              <w:jc w:val="center"/>
              <w:rPr>
                <w:rFonts w:ascii="宋体" w:hAnsi="宋体"/>
                <w:color w:val="000000" w:themeColor="text1"/>
                <w:highlight w:val="none"/>
                <w14:textFill>
                  <w14:solidFill>
                    <w14:schemeClr w14:val="tx1"/>
                  </w14:solidFill>
                </w14:textFill>
              </w:rPr>
            </w:pPr>
          </w:p>
          <w:p w14:paraId="74E0B31C">
            <w:pPr>
              <w:spacing w:line="276" w:lineRule="auto"/>
              <w:jc w:val="center"/>
              <w:rPr>
                <w:rFonts w:ascii="宋体" w:hAnsi="宋体"/>
                <w:color w:val="000000" w:themeColor="text1"/>
                <w:highlight w:val="none"/>
                <w14:textFill>
                  <w14:solidFill>
                    <w14:schemeClr w14:val="tx1"/>
                  </w14:solidFill>
                </w14:textFill>
              </w:rPr>
            </w:pPr>
          </w:p>
          <w:p w14:paraId="42E8788A">
            <w:pPr>
              <w:spacing w:line="276" w:lineRule="auto"/>
              <w:jc w:val="center"/>
              <w:outlineLvl w:val="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4"/>
                <w:highlight w:val="none"/>
                <w14:textFill>
                  <w14:solidFill>
                    <w14:schemeClr w14:val="tx1"/>
                  </w14:solidFill>
                </w14:textFill>
              </w:rPr>
              <w:t>文件</w:t>
            </w:r>
          </w:p>
          <w:p w14:paraId="477BBCCE">
            <w:pPr>
              <w:spacing w:line="276" w:lineRule="auto"/>
              <w:jc w:val="center"/>
              <w:outlineLvl w:val="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5"/>
                <w:highlight w:val="none"/>
                <w14:textFill>
                  <w14:solidFill>
                    <w14:schemeClr w14:val="tx1"/>
                  </w14:solidFill>
                </w14:textFill>
              </w:rPr>
              <w:t>制</w:t>
            </w:r>
            <w:r>
              <w:rPr>
                <w:rFonts w:hint="eastAsia" w:ascii="宋体" w:hAnsi="宋体"/>
                <w:color w:val="000000" w:themeColor="text1"/>
                <w:spacing w:val="4"/>
                <w:highlight w:val="none"/>
                <w14:textFill>
                  <w14:solidFill>
                    <w14:schemeClr w14:val="tx1"/>
                  </w14:solidFill>
                </w14:textFill>
              </w:rPr>
              <w:t>作</w:t>
            </w:r>
          </w:p>
        </w:tc>
        <w:tc>
          <w:tcPr>
            <w:tcW w:w="6660" w:type="dxa"/>
            <w:tcBorders>
              <w:tl2br w:val="nil"/>
              <w:tr2bl w:val="nil"/>
            </w:tcBorders>
            <w:vAlign w:val="center"/>
          </w:tcPr>
          <w:p w14:paraId="57EE3E66">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7"/>
                <w:highlight w:val="none"/>
                <w14:textFill>
                  <w14:solidFill>
                    <w14:schemeClr w14:val="tx1"/>
                  </w14:solidFill>
                </w14:textFill>
              </w:rPr>
              <w:t>5.招标文件、工程量清单、工程预算、预(结)算审核初稿编制进度超</w:t>
            </w:r>
            <w:r>
              <w:rPr>
                <w:rFonts w:hint="eastAsia" w:ascii="宋体" w:hAnsi="宋体"/>
                <w:color w:val="000000" w:themeColor="text1"/>
                <w:spacing w:val="4"/>
                <w:highlight w:val="none"/>
                <w14:textFill>
                  <w14:solidFill>
                    <w14:schemeClr w14:val="tx1"/>
                  </w14:solidFill>
                </w14:textFill>
              </w:rPr>
              <w:t>出承诺期限</w:t>
            </w:r>
          </w:p>
        </w:tc>
        <w:tc>
          <w:tcPr>
            <w:tcW w:w="726" w:type="dxa"/>
            <w:tcBorders>
              <w:tl2br w:val="nil"/>
              <w:tr2bl w:val="nil"/>
            </w:tcBorders>
            <w:vAlign w:val="center"/>
          </w:tcPr>
          <w:p w14:paraId="6CEDACFE">
            <w:pPr>
              <w:spacing w:line="276"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w:t>
            </w:r>
          </w:p>
        </w:tc>
        <w:tc>
          <w:tcPr>
            <w:tcW w:w="631" w:type="dxa"/>
            <w:tcBorders>
              <w:tl2br w:val="nil"/>
              <w:tr2bl w:val="nil"/>
            </w:tcBorders>
            <w:vAlign w:val="center"/>
          </w:tcPr>
          <w:p w14:paraId="15788AA0">
            <w:pPr>
              <w:spacing w:line="276" w:lineRule="auto"/>
              <w:jc w:val="center"/>
              <w:rPr>
                <w:rFonts w:ascii="宋体" w:hAnsi="宋体"/>
                <w:color w:val="000000" w:themeColor="text1"/>
                <w:highlight w:val="none"/>
                <w14:textFill>
                  <w14:solidFill>
                    <w14:schemeClr w14:val="tx1"/>
                  </w14:solidFill>
                </w14:textFill>
              </w:rPr>
            </w:pPr>
          </w:p>
        </w:tc>
      </w:tr>
      <w:tr w14:paraId="6D1067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84" w:hRule="atLeast"/>
          <w:jc w:val="center"/>
        </w:trPr>
        <w:tc>
          <w:tcPr>
            <w:tcW w:w="774" w:type="dxa"/>
            <w:vMerge w:val="continue"/>
            <w:tcBorders>
              <w:tl2br w:val="nil"/>
              <w:tr2bl w:val="nil"/>
            </w:tcBorders>
            <w:vAlign w:val="center"/>
          </w:tcPr>
          <w:p w14:paraId="2619FC5C">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5C2AFC21">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9"/>
                <w:highlight w:val="none"/>
                <w14:textFill>
                  <w14:solidFill>
                    <w14:schemeClr w14:val="tx1"/>
                  </w14:solidFill>
                </w14:textFill>
              </w:rPr>
              <w:t>6</w:t>
            </w:r>
            <w:r>
              <w:rPr>
                <w:rFonts w:hint="eastAsia" w:ascii="宋体" w:hAnsi="宋体"/>
                <w:color w:val="000000" w:themeColor="text1"/>
                <w:spacing w:val="15"/>
                <w:highlight w:val="none"/>
                <w14:textFill>
                  <w14:solidFill>
                    <w14:schemeClr w14:val="tx1"/>
                  </w14:solidFill>
                </w14:textFill>
              </w:rPr>
              <w:t>.对招标人的招标文件审查意见及行政监督部门责令改正的文件内容</w:t>
            </w:r>
            <w:r>
              <w:rPr>
                <w:rFonts w:hint="eastAsia" w:ascii="宋体" w:hAnsi="宋体"/>
                <w:color w:val="000000" w:themeColor="text1"/>
                <w:spacing w:val="8"/>
                <w:highlight w:val="none"/>
                <w14:textFill>
                  <w14:solidFill>
                    <w14:schemeClr w14:val="tx1"/>
                  </w14:solidFill>
                </w14:textFill>
              </w:rPr>
              <w:t>拒不改</w:t>
            </w:r>
            <w:r>
              <w:rPr>
                <w:rFonts w:hint="eastAsia" w:ascii="宋体" w:hAnsi="宋体"/>
                <w:color w:val="000000" w:themeColor="text1"/>
                <w:spacing w:val="7"/>
                <w:highlight w:val="none"/>
                <w14:textFill>
                  <w14:solidFill>
                    <w14:schemeClr w14:val="tx1"/>
                  </w14:solidFill>
                </w14:textFill>
              </w:rPr>
              <w:t>正</w:t>
            </w:r>
          </w:p>
        </w:tc>
        <w:tc>
          <w:tcPr>
            <w:tcW w:w="726" w:type="dxa"/>
            <w:tcBorders>
              <w:tl2br w:val="nil"/>
              <w:tr2bl w:val="nil"/>
            </w:tcBorders>
            <w:vAlign w:val="center"/>
          </w:tcPr>
          <w:p w14:paraId="742C71FE">
            <w:pPr>
              <w:spacing w:line="276"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w:t>
            </w:r>
          </w:p>
        </w:tc>
        <w:tc>
          <w:tcPr>
            <w:tcW w:w="631" w:type="dxa"/>
            <w:tcBorders>
              <w:tl2br w:val="nil"/>
              <w:tr2bl w:val="nil"/>
            </w:tcBorders>
            <w:vAlign w:val="center"/>
          </w:tcPr>
          <w:p w14:paraId="5B5BA87B">
            <w:pPr>
              <w:spacing w:line="276" w:lineRule="auto"/>
              <w:jc w:val="center"/>
              <w:rPr>
                <w:rFonts w:ascii="宋体" w:hAnsi="宋体"/>
                <w:color w:val="000000" w:themeColor="text1"/>
                <w:highlight w:val="none"/>
                <w14:textFill>
                  <w14:solidFill>
                    <w14:schemeClr w14:val="tx1"/>
                  </w14:solidFill>
                </w14:textFill>
              </w:rPr>
            </w:pPr>
          </w:p>
        </w:tc>
      </w:tr>
      <w:tr w14:paraId="7B5EC7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515" w:hRule="atLeast"/>
          <w:jc w:val="center"/>
        </w:trPr>
        <w:tc>
          <w:tcPr>
            <w:tcW w:w="774" w:type="dxa"/>
            <w:vMerge w:val="continue"/>
            <w:tcBorders>
              <w:tl2br w:val="nil"/>
              <w:tr2bl w:val="nil"/>
            </w:tcBorders>
            <w:vAlign w:val="center"/>
          </w:tcPr>
          <w:p w14:paraId="1990D447">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7B61096B">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4"/>
                <w:highlight w:val="none"/>
                <w14:textFill>
                  <w14:solidFill>
                    <w14:schemeClr w14:val="tx1"/>
                  </w14:solidFill>
                </w14:textFill>
              </w:rPr>
              <w:t>7</w:t>
            </w:r>
            <w:r>
              <w:rPr>
                <w:rFonts w:hint="eastAsia" w:ascii="宋体" w:hAnsi="宋体"/>
                <w:color w:val="000000" w:themeColor="text1"/>
                <w:spacing w:val="8"/>
                <w:highlight w:val="none"/>
                <w14:textFill>
                  <w14:solidFill>
                    <w14:schemeClr w14:val="tx1"/>
                  </w14:solidFill>
                </w14:textFill>
              </w:rPr>
              <w:t>.擅自修改经备案确认的招标(资格预审)文件</w:t>
            </w:r>
          </w:p>
        </w:tc>
        <w:tc>
          <w:tcPr>
            <w:tcW w:w="726" w:type="dxa"/>
            <w:tcBorders>
              <w:tl2br w:val="nil"/>
              <w:tr2bl w:val="nil"/>
            </w:tcBorders>
            <w:vAlign w:val="center"/>
          </w:tcPr>
          <w:p w14:paraId="217196C2">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230E291F">
            <w:pPr>
              <w:spacing w:line="276" w:lineRule="auto"/>
              <w:jc w:val="center"/>
              <w:rPr>
                <w:rFonts w:ascii="宋体" w:hAnsi="宋体"/>
                <w:color w:val="000000" w:themeColor="text1"/>
                <w:spacing w:val="-10"/>
                <w:highlight w:val="none"/>
                <w14:textFill>
                  <w14:solidFill>
                    <w14:schemeClr w14:val="tx1"/>
                  </w14:solidFill>
                </w14:textFill>
              </w:rPr>
            </w:pPr>
          </w:p>
        </w:tc>
      </w:tr>
      <w:tr w14:paraId="26587D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81" w:hRule="atLeast"/>
          <w:jc w:val="center"/>
        </w:trPr>
        <w:tc>
          <w:tcPr>
            <w:tcW w:w="774" w:type="dxa"/>
            <w:vMerge w:val="continue"/>
            <w:tcBorders>
              <w:tl2br w:val="nil"/>
              <w:tr2bl w:val="nil"/>
            </w:tcBorders>
            <w:vAlign w:val="center"/>
          </w:tcPr>
          <w:p w14:paraId="4940602C">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01FBD294">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8.</w:t>
            </w:r>
            <w:r>
              <w:rPr>
                <w:rFonts w:hint="eastAsia" w:ascii="宋体" w:hAnsi="宋体"/>
                <w:color w:val="000000" w:themeColor="text1"/>
                <w:spacing w:val="5"/>
                <w:highlight w:val="none"/>
                <w14:textFill>
                  <w14:solidFill>
                    <w14:schemeClr w14:val="tx1"/>
                  </w14:solidFill>
                </w14:textFill>
              </w:rPr>
              <w:t>因代理机构从业人员不熟悉相关法律法规或招标文件编制不严谨、前</w:t>
            </w:r>
            <w:r>
              <w:rPr>
                <w:rFonts w:hint="eastAsia" w:ascii="宋体" w:hAnsi="宋体"/>
                <w:color w:val="000000" w:themeColor="text1"/>
                <w:spacing w:val="18"/>
                <w:highlight w:val="none"/>
                <w14:textFill>
                  <w14:solidFill>
                    <w14:schemeClr w14:val="tx1"/>
                  </w14:solidFill>
                </w14:textFill>
              </w:rPr>
              <w:t>后</w:t>
            </w:r>
            <w:r>
              <w:rPr>
                <w:rFonts w:hint="eastAsia" w:ascii="宋体" w:hAnsi="宋体"/>
                <w:color w:val="000000" w:themeColor="text1"/>
                <w:spacing w:val="11"/>
                <w:highlight w:val="none"/>
                <w14:textFill>
                  <w14:solidFill>
                    <w14:schemeClr w14:val="tx1"/>
                  </w14:solidFill>
                </w14:textFill>
              </w:rPr>
              <w:t>条</w:t>
            </w:r>
            <w:r>
              <w:rPr>
                <w:rFonts w:hint="eastAsia" w:ascii="宋体" w:hAnsi="宋体"/>
                <w:color w:val="000000" w:themeColor="text1"/>
                <w:spacing w:val="9"/>
                <w:highlight w:val="none"/>
                <w14:textFill>
                  <w14:solidFill>
                    <w14:schemeClr w14:val="tx1"/>
                  </w14:solidFill>
                </w14:textFill>
              </w:rPr>
              <w:t>款互相矛盾等而造成延迟开标等招标过程延误的</w:t>
            </w:r>
          </w:p>
        </w:tc>
        <w:tc>
          <w:tcPr>
            <w:tcW w:w="726" w:type="dxa"/>
            <w:tcBorders>
              <w:tl2br w:val="nil"/>
              <w:tr2bl w:val="nil"/>
            </w:tcBorders>
            <w:vAlign w:val="center"/>
          </w:tcPr>
          <w:p w14:paraId="0D7451F6">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62B053E2">
            <w:pPr>
              <w:spacing w:line="276" w:lineRule="auto"/>
              <w:jc w:val="center"/>
              <w:rPr>
                <w:rFonts w:ascii="宋体" w:hAnsi="宋体"/>
                <w:color w:val="000000" w:themeColor="text1"/>
                <w:spacing w:val="-10"/>
                <w:highlight w:val="none"/>
                <w14:textFill>
                  <w14:solidFill>
                    <w14:schemeClr w14:val="tx1"/>
                  </w14:solidFill>
                </w14:textFill>
              </w:rPr>
            </w:pPr>
          </w:p>
        </w:tc>
      </w:tr>
      <w:tr w14:paraId="765218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82" w:hRule="atLeast"/>
          <w:jc w:val="center"/>
        </w:trPr>
        <w:tc>
          <w:tcPr>
            <w:tcW w:w="774" w:type="dxa"/>
            <w:vMerge w:val="continue"/>
            <w:tcBorders>
              <w:tl2br w:val="nil"/>
              <w:tr2bl w:val="nil"/>
            </w:tcBorders>
            <w:vAlign w:val="center"/>
          </w:tcPr>
          <w:p w14:paraId="7A477478">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731CE214">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20"/>
                <w:highlight w:val="none"/>
                <w14:textFill>
                  <w14:solidFill>
                    <w14:schemeClr w14:val="tx1"/>
                  </w14:solidFill>
                </w14:textFill>
              </w:rPr>
              <w:t>9.</w:t>
            </w:r>
            <w:r>
              <w:rPr>
                <w:rFonts w:hint="eastAsia" w:ascii="宋体" w:hAnsi="宋体"/>
                <w:color w:val="000000" w:themeColor="text1"/>
                <w:spacing w:val="10"/>
                <w:highlight w:val="none"/>
                <w14:textFill>
                  <w14:solidFill>
                    <w14:schemeClr w14:val="tx1"/>
                  </w14:solidFill>
                </w14:textFill>
              </w:rPr>
              <w:t>因招标文件存在明显瑕疵、漏洞等引起评标专家理解不一致或产生</w:t>
            </w:r>
            <w:r>
              <w:rPr>
                <w:rFonts w:hint="eastAsia" w:ascii="宋体" w:hAnsi="宋体"/>
                <w:color w:val="000000" w:themeColor="text1"/>
                <w:spacing w:val="9"/>
                <w:highlight w:val="none"/>
                <w14:textFill>
                  <w14:solidFill>
                    <w14:schemeClr w14:val="tx1"/>
                  </w14:solidFill>
                </w14:textFill>
              </w:rPr>
              <w:t>质疑、投诉等发生</w:t>
            </w:r>
            <w:r>
              <w:rPr>
                <w:rFonts w:hint="eastAsia" w:ascii="宋体" w:hAnsi="宋体"/>
                <w:color w:val="000000" w:themeColor="text1"/>
                <w:spacing w:val="7"/>
                <w:highlight w:val="none"/>
                <w14:textFill>
                  <w14:solidFill>
                    <w14:schemeClr w14:val="tx1"/>
                  </w14:solidFill>
                </w14:textFill>
              </w:rPr>
              <w:t>的</w:t>
            </w:r>
          </w:p>
        </w:tc>
        <w:tc>
          <w:tcPr>
            <w:tcW w:w="726" w:type="dxa"/>
            <w:tcBorders>
              <w:tl2br w:val="nil"/>
              <w:tr2bl w:val="nil"/>
            </w:tcBorders>
            <w:vAlign w:val="center"/>
          </w:tcPr>
          <w:p w14:paraId="05BF2954">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22541C59">
            <w:pPr>
              <w:spacing w:line="276" w:lineRule="auto"/>
              <w:jc w:val="center"/>
              <w:rPr>
                <w:rFonts w:ascii="宋体" w:hAnsi="宋体"/>
                <w:color w:val="000000" w:themeColor="text1"/>
                <w:spacing w:val="-10"/>
                <w:highlight w:val="none"/>
                <w14:textFill>
                  <w14:solidFill>
                    <w14:schemeClr w14:val="tx1"/>
                  </w14:solidFill>
                </w14:textFill>
              </w:rPr>
            </w:pPr>
          </w:p>
        </w:tc>
      </w:tr>
      <w:tr w14:paraId="59E568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36" w:hRule="atLeast"/>
          <w:jc w:val="center"/>
        </w:trPr>
        <w:tc>
          <w:tcPr>
            <w:tcW w:w="774" w:type="dxa"/>
            <w:vMerge w:val="continue"/>
            <w:tcBorders>
              <w:tl2br w:val="nil"/>
              <w:tr2bl w:val="nil"/>
            </w:tcBorders>
            <w:vAlign w:val="center"/>
          </w:tcPr>
          <w:p w14:paraId="6AD423E5">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60C96FE7">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5"/>
                <w:highlight w:val="none"/>
                <w14:textFill>
                  <w14:solidFill>
                    <w14:schemeClr w14:val="tx1"/>
                  </w14:solidFill>
                </w14:textFill>
              </w:rPr>
              <w:t>10.未依法按相关规范性文件要求结合项目特点编制招标文件，2次</w:t>
            </w:r>
            <w:r>
              <w:rPr>
                <w:rFonts w:hint="eastAsia" w:ascii="宋体" w:hAnsi="宋体"/>
                <w:color w:val="000000" w:themeColor="text1"/>
                <w:spacing w:val="4"/>
                <w:highlight w:val="none"/>
                <w14:textFill>
                  <w14:solidFill>
                    <w14:schemeClr w14:val="tx1"/>
                  </w14:solidFill>
                </w14:textFill>
              </w:rPr>
              <w:t>以</w:t>
            </w:r>
            <w:r>
              <w:rPr>
                <w:rFonts w:hint="eastAsia" w:ascii="宋体" w:hAnsi="宋体"/>
                <w:color w:val="000000" w:themeColor="text1"/>
                <w:highlight w:val="none"/>
                <w14:textFill>
                  <w14:solidFill>
                    <w14:schemeClr w14:val="tx1"/>
                  </w14:solidFill>
                </w14:textFill>
              </w:rPr>
              <w:t>上</w:t>
            </w:r>
            <w:r>
              <w:rPr>
                <w:rFonts w:hint="eastAsia" w:ascii="宋体" w:hAnsi="宋体"/>
                <w:color w:val="000000" w:themeColor="text1"/>
                <w:spacing w:val="13"/>
                <w:highlight w:val="none"/>
                <w14:textFill>
                  <w14:solidFill>
                    <w14:schemeClr w14:val="tx1"/>
                  </w14:solidFill>
                </w14:textFill>
              </w:rPr>
              <w:t>修</w:t>
            </w:r>
            <w:r>
              <w:rPr>
                <w:rFonts w:hint="eastAsia" w:ascii="宋体" w:hAnsi="宋体"/>
                <w:color w:val="000000" w:themeColor="text1"/>
                <w:spacing w:val="9"/>
                <w:highlight w:val="none"/>
                <w14:textFill>
                  <w14:solidFill>
                    <w14:schemeClr w14:val="tx1"/>
                  </w14:solidFill>
                </w14:textFill>
              </w:rPr>
              <w:t>改后仍不能满足招标投标要求</w:t>
            </w:r>
          </w:p>
        </w:tc>
        <w:tc>
          <w:tcPr>
            <w:tcW w:w="726" w:type="dxa"/>
            <w:tcBorders>
              <w:tl2br w:val="nil"/>
              <w:tr2bl w:val="nil"/>
            </w:tcBorders>
            <w:vAlign w:val="center"/>
          </w:tcPr>
          <w:p w14:paraId="78699A26">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4A8227D6">
            <w:pPr>
              <w:spacing w:line="276" w:lineRule="auto"/>
              <w:jc w:val="center"/>
              <w:rPr>
                <w:rFonts w:ascii="宋体" w:hAnsi="宋体"/>
                <w:color w:val="000000" w:themeColor="text1"/>
                <w:spacing w:val="-10"/>
                <w:highlight w:val="none"/>
                <w14:textFill>
                  <w14:solidFill>
                    <w14:schemeClr w14:val="tx1"/>
                  </w14:solidFill>
                </w14:textFill>
              </w:rPr>
            </w:pPr>
          </w:p>
        </w:tc>
      </w:tr>
      <w:tr w14:paraId="7B613C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36" w:hRule="atLeast"/>
          <w:jc w:val="center"/>
        </w:trPr>
        <w:tc>
          <w:tcPr>
            <w:tcW w:w="774" w:type="dxa"/>
            <w:vMerge w:val="continue"/>
            <w:tcBorders>
              <w:tl2br w:val="nil"/>
              <w:tr2bl w:val="nil"/>
            </w:tcBorders>
            <w:vAlign w:val="center"/>
          </w:tcPr>
          <w:p w14:paraId="63E411FC">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5436C3E0">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6"/>
                <w:highlight w:val="none"/>
                <w14:textFill>
                  <w14:solidFill>
                    <w14:schemeClr w14:val="tx1"/>
                  </w14:solidFill>
                </w14:textFill>
              </w:rPr>
              <w:t>1</w:t>
            </w:r>
            <w:r>
              <w:rPr>
                <w:rFonts w:hint="eastAsia" w:ascii="宋体" w:hAnsi="宋体"/>
                <w:color w:val="000000" w:themeColor="text1"/>
                <w:spacing w:val="15"/>
                <w:highlight w:val="none"/>
                <w14:textFill>
                  <w14:solidFill>
                    <w14:schemeClr w14:val="tx1"/>
                  </w14:solidFill>
                </w14:textFill>
              </w:rPr>
              <w:t>1</w:t>
            </w:r>
            <w:r>
              <w:rPr>
                <w:rFonts w:hint="eastAsia" w:ascii="宋体" w:hAnsi="宋体"/>
                <w:color w:val="000000" w:themeColor="text1"/>
                <w:spacing w:val="8"/>
                <w:highlight w:val="none"/>
                <w14:textFill>
                  <w14:solidFill>
                    <w14:schemeClr w14:val="tx1"/>
                  </w14:solidFill>
                </w14:textFill>
              </w:rPr>
              <w:t>.以不正当理由阻止企业报名或招标公告、资格预审文件中有不合理</w:t>
            </w:r>
            <w:r>
              <w:rPr>
                <w:rFonts w:hint="eastAsia" w:ascii="宋体" w:hAnsi="宋体"/>
                <w:color w:val="000000" w:themeColor="text1"/>
                <w:spacing w:val="11"/>
                <w:highlight w:val="none"/>
                <w14:textFill>
                  <w14:solidFill>
                    <w14:schemeClr w14:val="tx1"/>
                  </w14:solidFill>
                </w14:textFill>
              </w:rPr>
              <w:t>条</w:t>
            </w:r>
            <w:r>
              <w:rPr>
                <w:rFonts w:hint="eastAsia" w:ascii="宋体" w:hAnsi="宋体"/>
                <w:color w:val="000000" w:themeColor="text1"/>
                <w:spacing w:val="9"/>
                <w:highlight w:val="none"/>
                <w14:textFill>
                  <w14:solidFill>
                    <w14:schemeClr w14:val="tx1"/>
                  </w14:solidFill>
                </w14:textFill>
              </w:rPr>
              <w:t>款限制或者排斥潜在投标人的</w:t>
            </w:r>
          </w:p>
        </w:tc>
        <w:tc>
          <w:tcPr>
            <w:tcW w:w="726" w:type="dxa"/>
            <w:tcBorders>
              <w:tl2br w:val="nil"/>
              <w:tr2bl w:val="nil"/>
            </w:tcBorders>
            <w:vAlign w:val="center"/>
          </w:tcPr>
          <w:p w14:paraId="045A5E72">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5DA55270">
            <w:pPr>
              <w:spacing w:line="276" w:lineRule="auto"/>
              <w:jc w:val="center"/>
              <w:rPr>
                <w:rFonts w:ascii="宋体" w:hAnsi="宋体"/>
                <w:color w:val="000000" w:themeColor="text1"/>
                <w:spacing w:val="-10"/>
                <w:highlight w:val="none"/>
                <w14:textFill>
                  <w14:solidFill>
                    <w14:schemeClr w14:val="tx1"/>
                  </w14:solidFill>
                </w14:textFill>
              </w:rPr>
            </w:pPr>
          </w:p>
        </w:tc>
      </w:tr>
      <w:tr w14:paraId="56F63A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36" w:hRule="atLeast"/>
          <w:jc w:val="center"/>
        </w:trPr>
        <w:tc>
          <w:tcPr>
            <w:tcW w:w="774" w:type="dxa"/>
            <w:vMerge w:val="continue"/>
            <w:tcBorders>
              <w:tl2br w:val="nil"/>
              <w:tr2bl w:val="nil"/>
            </w:tcBorders>
            <w:vAlign w:val="center"/>
          </w:tcPr>
          <w:p w14:paraId="0E88CB59">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74A5C59F">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6"/>
                <w:highlight w:val="none"/>
                <w14:textFill>
                  <w14:solidFill>
                    <w14:schemeClr w14:val="tx1"/>
                  </w14:solidFill>
                </w14:textFill>
              </w:rPr>
              <w:t>12.工程量</w:t>
            </w:r>
            <w:r>
              <w:rPr>
                <w:rFonts w:hint="eastAsia" w:ascii="宋体" w:hAnsi="宋体"/>
                <w:color w:val="000000" w:themeColor="text1"/>
                <w:spacing w:val="3"/>
                <w:highlight w:val="none"/>
                <w14:textFill>
                  <w14:solidFill>
                    <w14:schemeClr w14:val="tx1"/>
                  </w14:solidFill>
                </w14:textFill>
              </w:rPr>
              <w:t>清单编制漏项或错项，每项扣1分，最高扣3分</w:t>
            </w:r>
          </w:p>
        </w:tc>
        <w:tc>
          <w:tcPr>
            <w:tcW w:w="726" w:type="dxa"/>
            <w:tcBorders>
              <w:tl2br w:val="nil"/>
              <w:tr2bl w:val="nil"/>
            </w:tcBorders>
            <w:vAlign w:val="center"/>
          </w:tcPr>
          <w:p w14:paraId="46B1F58F">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001BBF46">
            <w:pPr>
              <w:spacing w:line="276" w:lineRule="auto"/>
              <w:jc w:val="center"/>
              <w:rPr>
                <w:rFonts w:ascii="宋体" w:hAnsi="宋体"/>
                <w:color w:val="000000" w:themeColor="text1"/>
                <w:spacing w:val="-10"/>
                <w:highlight w:val="none"/>
                <w14:textFill>
                  <w14:solidFill>
                    <w14:schemeClr w14:val="tx1"/>
                  </w14:solidFill>
                </w14:textFill>
              </w:rPr>
            </w:pPr>
          </w:p>
        </w:tc>
      </w:tr>
      <w:tr w14:paraId="28804E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36" w:hRule="atLeast"/>
          <w:jc w:val="center"/>
        </w:trPr>
        <w:tc>
          <w:tcPr>
            <w:tcW w:w="774" w:type="dxa"/>
            <w:vMerge w:val="continue"/>
            <w:tcBorders>
              <w:tl2br w:val="nil"/>
              <w:tr2bl w:val="nil"/>
            </w:tcBorders>
            <w:vAlign w:val="center"/>
          </w:tcPr>
          <w:p w14:paraId="45076CA5">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70F404AC">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6"/>
                <w:highlight w:val="none"/>
                <w14:textFill>
                  <w14:solidFill>
                    <w14:schemeClr w14:val="tx1"/>
                  </w14:solidFill>
                </w14:textFill>
              </w:rPr>
              <w:t>13.因工程量清单编制不准确、漏项，总金额与第三方审核价±2%以</w:t>
            </w:r>
            <w:r>
              <w:rPr>
                <w:rFonts w:hint="eastAsia" w:ascii="宋体" w:hAnsi="宋体"/>
                <w:color w:val="000000" w:themeColor="text1"/>
                <w:spacing w:val="4"/>
                <w:highlight w:val="none"/>
                <w14:textFill>
                  <w14:solidFill>
                    <w14:schemeClr w14:val="tx1"/>
                  </w14:solidFill>
                </w14:textFill>
              </w:rPr>
              <w:t>上</w:t>
            </w:r>
            <w:r>
              <w:rPr>
                <w:rFonts w:hint="eastAsia" w:ascii="宋体" w:hAnsi="宋体"/>
                <w:color w:val="000000" w:themeColor="text1"/>
                <w:spacing w:val="-1"/>
                <w:highlight w:val="none"/>
                <w14:textFill>
                  <w14:solidFill>
                    <w14:schemeClr w14:val="tx1"/>
                  </w14:solidFill>
                </w14:textFill>
              </w:rPr>
              <w:t>或50</w:t>
            </w:r>
            <w:r>
              <w:rPr>
                <w:rFonts w:hint="eastAsia" w:ascii="宋体" w:hAnsi="宋体"/>
                <w:color w:val="000000" w:themeColor="text1"/>
                <w:highlight w:val="none"/>
                <w14:textFill>
                  <w14:solidFill>
                    <w14:schemeClr w14:val="tx1"/>
                  </w14:solidFill>
                </w14:textFill>
              </w:rPr>
              <w:t>万元以上</w:t>
            </w:r>
          </w:p>
        </w:tc>
        <w:tc>
          <w:tcPr>
            <w:tcW w:w="726" w:type="dxa"/>
            <w:tcBorders>
              <w:tl2br w:val="nil"/>
              <w:tr2bl w:val="nil"/>
            </w:tcBorders>
            <w:vAlign w:val="center"/>
          </w:tcPr>
          <w:p w14:paraId="111D67D4">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5AF8493D">
            <w:pPr>
              <w:spacing w:line="276" w:lineRule="auto"/>
              <w:jc w:val="center"/>
              <w:rPr>
                <w:rFonts w:ascii="宋体" w:hAnsi="宋体"/>
                <w:color w:val="000000" w:themeColor="text1"/>
                <w:spacing w:val="-10"/>
                <w:highlight w:val="none"/>
                <w14:textFill>
                  <w14:solidFill>
                    <w14:schemeClr w14:val="tx1"/>
                  </w14:solidFill>
                </w14:textFill>
              </w:rPr>
            </w:pPr>
          </w:p>
        </w:tc>
      </w:tr>
      <w:tr w14:paraId="1B39FB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904" w:hRule="atLeast"/>
          <w:jc w:val="center"/>
        </w:trPr>
        <w:tc>
          <w:tcPr>
            <w:tcW w:w="774" w:type="dxa"/>
            <w:vMerge w:val="continue"/>
            <w:tcBorders>
              <w:tl2br w:val="nil"/>
              <w:tr2bl w:val="nil"/>
            </w:tcBorders>
            <w:vAlign w:val="center"/>
          </w:tcPr>
          <w:p w14:paraId="533CA76D">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066538F7">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2"/>
                <w:highlight w:val="none"/>
                <w14:textFill>
                  <w14:solidFill>
                    <w14:schemeClr w14:val="tx1"/>
                  </w14:solidFill>
                </w14:textFill>
              </w:rPr>
              <w:t>14</w:t>
            </w:r>
            <w:r>
              <w:rPr>
                <w:rFonts w:hint="eastAsia" w:ascii="宋体" w:hAnsi="宋体"/>
                <w:color w:val="000000" w:themeColor="text1"/>
                <w:spacing w:val="11"/>
                <w:highlight w:val="none"/>
                <w14:textFill>
                  <w14:solidFill>
                    <w14:schemeClr w14:val="tx1"/>
                  </w14:solidFill>
                </w14:textFill>
              </w:rPr>
              <w:t>.</w:t>
            </w:r>
            <w:r>
              <w:rPr>
                <w:rFonts w:hint="eastAsia" w:ascii="宋体" w:hAnsi="宋体"/>
                <w:color w:val="000000" w:themeColor="text1"/>
                <w:spacing w:val="6"/>
                <w:highlight w:val="none"/>
                <w14:textFill>
                  <w14:solidFill>
                    <w14:schemeClr w14:val="tx1"/>
                  </w14:solidFill>
                </w14:textFill>
              </w:rPr>
              <w:t>招标文件编制质量粗糙，评审稿或者发布稿出现以下情形的：前后矛盾；有明显差错；重新修改或多次修改未能达到要求；具体条款描</w:t>
            </w:r>
            <w:r>
              <w:rPr>
                <w:rFonts w:hint="eastAsia" w:ascii="宋体" w:hAnsi="宋体"/>
                <w:color w:val="000000" w:themeColor="text1"/>
                <w:spacing w:val="1"/>
                <w:highlight w:val="none"/>
                <w14:textFill>
                  <w14:solidFill>
                    <w14:schemeClr w14:val="tx1"/>
                  </w14:solidFill>
                </w14:textFill>
              </w:rPr>
              <w:t>述</w:t>
            </w:r>
            <w:r>
              <w:rPr>
                <w:rFonts w:hint="eastAsia" w:ascii="宋体" w:hAnsi="宋体"/>
                <w:color w:val="000000" w:themeColor="text1"/>
                <w:spacing w:val="12"/>
                <w:highlight w:val="none"/>
                <w14:textFill>
                  <w14:solidFill>
                    <w14:schemeClr w14:val="tx1"/>
                  </w14:solidFill>
                </w14:textFill>
              </w:rPr>
              <w:t>不</w:t>
            </w:r>
            <w:r>
              <w:rPr>
                <w:rFonts w:hint="eastAsia" w:ascii="宋体" w:hAnsi="宋体"/>
                <w:color w:val="000000" w:themeColor="text1"/>
                <w:spacing w:val="7"/>
                <w:highlight w:val="none"/>
                <w14:textFill>
                  <w14:solidFill>
                    <w14:schemeClr w14:val="tx1"/>
                  </w14:solidFill>
                </w14:textFill>
              </w:rPr>
              <w:t>清、存在歧义等。</w:t>
            </w:r>
          </w:p>
        </w:tc>
        <w:tc>
          <w:tcPr>
            <w:tcW w:w="726" w:type="dxa"/>
            <w:tcBorders>
              <w:tl2br w:val="nil"/>
              <w:tr2bl w:val="nil"/>
            </w:tcBorders>
            <w:vAlign w:val="center"/>
          </w:tcPr>
          <w:p w14:paraId="1D1BCA51">
            <w:pPr>
              <w:spacing w:line="276" w:lineRule="auto"/>
              <w:jc w:val="center"/>
              <w:rPr>
                <w:rFonts w:ascii="宋体" w:hAnsi="宋体"/>
                <w:color w:val="000000" w:themeColor="text1"/>
                <w:spacing w:val="-10"/>
                <w:highlight w:val="none"/>
                <w14:textFill>
                  <w14:solidFill>
                    <w14:schemeClr w14:val="tx1"/>
                  </w14:solidFill>
                </w14:textFill>
              </w:rPr>
            </w:pPr>
          </w:p>
          <w:p w14:paraId="402C262D">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p>
        </w:tc>
        <w:tc>
          <w:tcPr>
            <w:tcW w:w="631" w:type="dxa"/>
            <w:tcBorders>
              <w:tl2br w:val="nil"/>
              <w:tr2bl w:val="nil"/>
            </w:tcBorders>
            <w:vAlign w:val="center"/>
          </w:tcPr>
          <w:p w14:paraId="38114B6D">
            <w:pPr>
              <w:spacing w:line="276" w:lineRule="auto"/>
              <w:jc w:val="center"/>
              <w:rPr>
                <w:rFonts w:ascii="宋体" w:hAnsi="宋体"/>
                <w:color w:val="000000" w:themeColor="text1"/>
                <w:spacing w:val="-10"/>
                <w:highlight w:val="none"/>
                <w14:textFill>
                  <w14:solidFill>
                    <w14:schemeClr w14:val="tx1"/>
                  </w14:solidFill>
                </w14:textFill>
              </w:rPr>
            </w:pPr>
          </w:p>
        </w:tc>
      </w:tr>
      <w:tr w14:paraId="49EDCF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05" w:hRule="atLeast"/>
          <w:jc w:val="center"/>
        </w:trPr>
        <w:tc>
          <w:tcPr>
            <w:tcW w:w="774" w:type="dxa"/>
            <w:vMerge w:val="restart"/>
            <w:tcBorders>
              <w:tl2br w:val="nil"/>
              <w:tr2bl w:val="nil"/>
            </w:tcBorders>
            <w:vAlign w:val="center"/>
          </w:tcPr>
          <w:p w14:paraId="151D1894">
            <w:pPr>
              <w:spacing w:line="276" w:lineRule="auto"/>
              <w:jc w:val="center"/>
              <w:rPr>
                <w:rFonts w:ascii="宋体" w:hAnsi="宋体"/>
                <w:color w:val="000000" w:themeColor="text1"/>
                <w:highlight w:val="none"/>
                <w14:textFill>
                  <w14:solidFill>
                    <w14:schemeClr w14:val="tx1"/>
                  </w14:solidFill>
                </w14:textFill>
              </w:rPr>
            </w:pPr>
          </w:p>
          <w:p w14:paraId="514F12DF">
            <w:pPr>
              <w:spacing w:line="276" w:lineRule="auto"/>
              <w:jc w:val="center"/>
              <w:rPr>
                <w:rFonts w:ascii="宋体" w:hAnsi="宋体"/>
                <w:color w:val="000000" w:themeColor="text1"/>
                <w:highlight w:val="none"/>
                <w14:textFill>
                  <w14:solidFill>
                    <w14:schemeClr w14:val="tx1"/>
                  </w14:solidFill>
                </w14:textFill>
              </w:rPr>
            </w:pPr>
          </w:p>
          <w:p w14:paraId="222B3B02">
            <w:pPr>
              <w:spacing w:line="276" w:lineRule="auto"/>
              <w:jc w:val="center"/>
              <w:rPr>
                <w:rFonts w:ascii="宋体" w:hAnsi="宋体"/>
                <w:color w:val="000000" w:themeColor="text1"/>
                <w:highlight w:val="none"/>
                <w14:textFill>
                  <w14:solidFill>
                    <w14:schemeClr w14:val="tx1"/>
                  </w14:solidFill>
                </w14:textFill>
              </w:rPr>
            </w:pPr>
          </w:p>
          <w:p w14:paraId="7B735C3E">
            <w:pPr>
              <w:spacing w:line="276" w:lineRule="auto"/>
              <w:jc w:val="center"/>
              <w:outlineLvl w:val="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21"/>
                <w:highlight w:val="none"/>
                <w14:textFill>
                  <w14:solidFill>
                    <w14:schemeClr w14:val="tx1"/>
                  </w14:solidFill>
                </w14:textFill>
              </w:rPr>
              <w:t>开标评标</w:t>
            </w:r>
          </w:p>
          <w:p w14:paraId="68AAB012">
            <w:pPr>
              <w:spacing w:line="276"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5"/>
                <w:highlight w:val="none"/>
                <w14:textFill>
                  <w14:solidFill>
                    <w14:schemeClr w14:val="tx1"/>
                  </w14:solidFill>
                </w14:textFill>
              </w:rPr>
              <w:t>规</w:t>
            </w:r>
            <w:r>
              <w:rPr>
                <w:rFonts w:hint="eastAsia" w:ascii="宋体" w:hAnsi="宋体"/>
                <w:color w:val="000000" w:themeColor="text1"/>
                <w:spacing w:val="4"/>
                <w:highlight w:val="none"/>
                <w14:textFill>
                  <w14:solidFill>
                    <w14:schemeClr w14:val="tx1"/>
                  </w14:solidFill>
                </w14:textFill>
              </w:rPr>
              <w:t>范</w:t>
            </w:r>
          </w:p>
        </w:tc>
        <w:tc>
          <w:tcPr>
            <w:tcW w:w="6660" w:type="dxa"/>
            <w:tcBorders>
              <w:tl2br w:val="nil"/>
              <w:tr2bl w:val="nil"/>
            </w:tcBorders>
            <w:vAlign w:val="center"/>
          </w:tcPr>
          <w:p w14:paraId="71F1766A">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6"/>
                <w:highlight w:val="none"/>
                <w14:textFill>
                  <w14:solidFill>
                    <w14:schemeClr w14:val="tx1"/>
                  </w14:solidFill>
                </w14:textFill>
              </w:rPr>
              <w:t>1</w:t>
            </w:r>
            <w:r>
              <w:rPr>
                <w:rFonts w:hint="eastAsia" w:ascii="宋体" w:hAnsi="宋体"/>
                <w:color w:val="000000" w:themeColor="text1"/>
                <w:spacing w:val="15"/>
                <w:highlight w:val="none"/>
                <w14:textFill>
                  <w14:solidFill>
                    <w14:schemeClr w14:val="tx1"/>
                  </w14:solidFill>
                </w14:textFill>
              </w:rPr>
              <w:t>5</w:t>
            </w:r>
            <w:r>
              <w:rPr>
                <w:rFonts w:hint="eastAsia" w:ascii="宋体" w:hAnsi="宋体"/>
                <w:color w:val="000000" w:themeColor="text1"/>
                <w:spacing w:val="8"/>
                <w:highlight w:val="none"/>
                <w14:textFill>
                  <w14:solidFill>
                    <w14:schemeClr w14:val="tx1"/>
                  </w14:solidFill>
                </w14:textFill>
              </w:rPr>
              <w:t>.以不正当理由阻止企业报名或招标公告、资格预审文件中有不合理</w:t>
            </w:r>
            <w:r>
              <w:rPr>
                <w:rFonts w:hint="eastAsia" w:ascii="宋体" w:hAnsi="宋体"/>
                <w:color w:val="000000" w:themeColor="text1"/>
                <w:spacing w:val="11"/>
                <w:highlight w:val="none"/>
                <w14:textFill>
                  <w14:solidFill>
                    <w14:schemeClr w14:val="tx1"/>
                  </w14:solidFill>
                </w14:textFill>
              </w:rPr>
              <w:t>条</w:t>
            </w:r>
            <w:r>
              <w:rPr>
                <w:rFonts w:hint="eastAsia" w:ascii="宋体" w:hAnsi="宋体"/>
                <w:color w:val="000000" w:themeColor="text1"/>
                <w:spacing w:val="9"/>
                <w:highlight w:val="none"/>
                <w14:textFill>
                  <w14:solidFill>
                    <w14:schemeClr w14:val="tx1"/>
                  </w14:solidFill>
                </w14:textFill>
              </w:rPr>
              <w:t>款限制或者排斥潜在投标人的</w:t>
            </w:r>
          </w:p>
        </w:tc>
        <w:tc>
          <w:tcPr>
            <w:tcW w:w="726" w:type="dxa"/>
            <w:tcBorders>
              <w:tl2br w:val="nil"/>
              <w:tr2bl w:val="nil"/>
            </w:tcBorders>
            <w:vAlign w:val="center"/>
          </w:tcPr>
          <w:p w14:paraId="20C1C924">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6BD98329">
            <w:pPr>
              <w:spacing w:line="276" w:lineRule="auto"/>
              <w:jc w:val="center"/>
              <w:rPr>
                <w:rFonts w:ascii="宋体" w:hAnsi="宋体"/>
                <w:color w:val="000000" w:themeColor="text1"/>
                <w:spacing w:val="-10"/>
                <w:highlight w:val="none"/>
                <w14:textFill>
                  <w14:solidFill>
                    <w14:schemeClr w14:val="tx1"/>
                  </w14:solidFill>
                </w14:textFill>
              </w:rPr>
            </w:pPr>
          </w:p>
        </w:tc>
      </w:tr>
      <w:tr w14:paraId="57F405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59" w:hRule="atLeast"/>
          <w:jc w:val="center"/>
        </w:trPr>
        <w:tc>
          <w:tcPr>
            <w:tcW w:w="774" w:type="dxa"/>
            <w:vMerge w:val="continue"/>
            <w:tcBorders>
              <w:tl2br w:val="nil"/>
              <w:tr2bl w:val="nil"/>
            </w:tcBorders>
            <w:vAlign w:val="center"/>
          </w:tcPr>
          <w:p w14:paraId="70B45A3E">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634732B5">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6"/>
                <w:highlight w:val="none"/>
                <w14:textFill>
                  <w14:solidFill>
                    <w14:schemeClr w14:val="tx1"/>
                  </w14:solidFill>
                </w14:textFill>
              </w:rPr>
              <w:t>1</w:t>
            </w:r>
            <w:r>
              <w:rPr>
                <w:rFonts w:hint="eastAsia" w:ascii="宋体" w:hAnsi="宋体"/>
                <w:color w:val="000000" w:themeColor="text1"/>
                <w:spacing w:val="12"/>
                <w:highlight w:val="none"/>
                <w14:textFill>
                  <w14:solidFill>
                    <w14:schemeClr w14:val="tx1"/>
                  </w14:solidFill>
                </w14:textFill>
              </w:rPr>
              <w:t>6</w:t>
            </w:r>
            <w:r>
              <w:rPr>
                <w:rFonts w:hint="eastAsia" w:ascii="宋体" w:hAnsi="宋体"/>
                <w:color w:val="000000" w:themeColor="text1"/>
                <w:spacing w:val="8"/>
                <w:highlight w:val="none"/>
                <w14:textFill>
                  <w14:solidFill>
                    <w14:schemeClr w14:val="tx1"/>
                  </w14:solidFill>
                </w14:textFill>
              </w:rPr>
              <w:t>.干预评标委员会评标活动和不正当影响评标专家的意思表示</w:t>
            </w:r>
          </w:p>
        </w:tc>
        <w:tc>
          <w:tcPr>
            <w:tcW w:w="726" w:type="dxa"/>
            <w:tcBorders>
              <w:tl2br w:val="nil"/>
              <w:tr2bl w:val="nil"/>
            </w:tcBorders>
            <w:vAlign w:val="center"/>
          </w:tcPr>
          <w:p w14:paraId="67B9CF07">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6A10CBDB">
            <w:pPr>
              <w:spacing w:line="276" w:lineRule="auto"/>
              <w:jc w:val="center"/>
              <w:rPr>
                <w:rFonts w:ascii="宋体" w:hAnsi="宋体"/>
                <w:color w:val="000000" w:themeColor="text1"/>
                <w:spacing w:val="-10"/>
                <w:highlight w:val="none"/>
                <w14:textFill>
                  <w14:solidFill>
                    <w14:schemeClr w14:val="tx1"/>
                  </w14:solidFill>
                </w14:textFill>
              </w:rPr>
            </w:pPr>
          </w:p>
        </w:tc>
      </w:tr>
      <w:tr w14:paraId="4201B3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59" w:hRule="atLeast"/>
          <w:jc w:val="center"/>
        </w:trPr>
        <w:tc>
          <w:tcPr>
            <w:tcW w:w="774" w:type="dxa"/>
            <w:vMerge w:val="continue"/>
            <w:tcBorders>
              <w:tl2br w:val="nil"/>
              <w:tr2bl w:val="nil"/>
            </w:tcBorders>
            <w:vAlign w:val="center"/>
          </w:tcPr>
          <w:p w14:paraId="039674A6">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5A07D273">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2"/>
                <w:highlight w:val="none"/>
                <w14:textFill>
                  <w14:solidFill>
                    <w14:schemeClr w14:val="tx1"/>
                  </w14:solidFill>
                </w14:textFill>
              </w:rPr>
              <w:t>1</w:t>
            </w:r>
            <w:r>
              <w:rPr>
                <w:rFonts w:hint="eastAsia" w:ascii="宋体" w:hAnsi="宋体"/>
                <w:color w:val="000000" w:themeColor="text1"/>
                <w:spacing w:val="7"/>
                <w:highlight w:val="none"/>
                <w14:textFill>
                  <w14:solidFill>
                    <w14:schemeClr w14:val="tx1"/>
                  </w14:solidFill>
                </w14:textFill>
              </w:rPr>
              <w:t>7.不如实记录并报告开评标情况的</w:t>
            </w:r>
          </w:p>
        </w:tc>
        <w:tc>
          <w:tcPr>
            <w:tcW w:w="726" w:type="dxa"/>
            <w:tcBorders>
              <w:tl2br w:val="nil"/>
              <w:tr2bl w:val="nil"/>
            </w:tcBorders>
            <w:vAlign w:val="center"/>
          </w:tcPr>
          <w:p w14:paraId="19709292">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p>
        </w:tc>
        <w:tc>
          <w:tcPr>
            <w:tcW w:w="631" w:type="dxa"/>
            <w:tcBorders>
              <w:tl2br w:val="nil"/>
              <w:tr2bl w:val="nil"/>
            </w:tcBorders>
            <w:vAlign w:val="center"/>
          </w:tcPr>
          <w:p w14:paraId="6E0D23AA">
            <w:pPr>
              <w:spacing w:line="276" w:lineRule="auto"/>
              <w:jc w:val="center"/>
              <w:rPr>
                <w:rFonts w:ascii="宋体" w:hAnsi="宋体"/>
                <w:color w:val="000000" w:themeColor="text1"/>
                <w:spacing w:val="-10"/>
                <w:highlight w:val="none"/>
                <w14:textFill>
                  <w14:solidFill>
                    <w14:schemeClr w14:val="tx1"/>
                  </w14:solidFill>
                </w14:textFill>
              </w:rPr>
            </w:pPr>
          </w:p>
        </w:tc>
      </w:tr>
      <w:tr w14:paraId="4D91D2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05" w:hRule="atLeast"/>
          <w:jc w:val="center"/>
        </w:trPr>
        <w:tc>
          <w:tcPr>
            <w:tcW w:w="774" w:type="dxa"/>
            <w:vMerge w:val="continue"/>
            <w:tcBorders>
              <w:tl2br w:val="nil"/>
              <w:tr2bl w:val="nil"/>
            </w:tcBorders>
            <w:vAlign w:val="center"/>
          </w:tcPr>
          <w:p w14:paraId="0FC8FF42">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16F0700E">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20"/>
                <w:highlight w:val="none"/>
                <w14:textFill>
                  <w14:solidFill>
                    <w14:schemeClr w14:val="tx1"/>
                  </w14:solidFill>
                </w14:textFill>
              </w:rPr>
              <w:t>1</w:t>
            </w:r>
            <w:r>
              <w:rPr>
                <w:rFonts w:hint="eastAsia" w:ascii="宋体" w:hAnsi="宋体"/>
                <w:color w:val="000000" w:themeColor="text1"/>
                <w:spacing w:val="16"/>
                <w:highlight w:val="none"/>
                <w14:textFill>
                  <w14:solidFill>
                    <w14:schemeClr w14:val="tx1"/>
                  </w14:solidFill>
                </w14:textFill>
              </w:rPr>
              <w:t>8</w:t>
            </w:r>
            <w:r>
              <w:rPr>
                <w:rFonts w:hint="eastAsia" w:ascii="宋体" w:hAnsi="宋体"/>
                <w:color w:val="000000" w:themeColor="text1"/>
                <w:spacing w:val="10"/>
                <w:highlight w:val="none"/>
                <w14:textFill>
                  <w14:solidFill>
                    <w14:schemeClr w14:val="tx1"/>
                  </w14:solidFill>
                </w14:textFill>
              </w:rPr>
              <w:t>.定标后在规定时间内未提交书面情况报告、中标结果公示及中标通</w:t>
            </w:r>
            <w:r>
              <w:rPr>
                <w:rFonts w:hint="eastAsia" w:ascii="宋体" w:hAnsi="宋体"/>
                <w:color w:val="000000" w:themeColor="text1"/>
                <w:spacing w:val="5"/>
                <w:highlight w:val="none"/>
                <w14:textFill>
                  <w14:solidFill>
                    <w14:schemeClr w14:val="tx1"/>
                  </w14:solidFill>
                </w14:textFill>
              </w:rPr>
              <w:t>知书的</w:t>
            </w:r>
          </w:p>
        </w:tc>
        <w:tc>
          <w:tcPr>
            <w:tcW w:w="726" w:type="dxa"/>
            <w:tcBorders>
              <w:tl2br w:val="nil"/>
              <w:tr2bl w:val="nil"/>
            </w:tcBorders>
            <w:vAlign w:val="center"/>
          </w:tcPr>
          <w:p w14:paraId="24F35C69">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p>
        </w:tc>
        <w:tc>
          <w:tcPr>
            <w:tcW w:w="631" w:type="dxa"/>
            <w:tcBorders>
              <w:tl2br w:val="nil"/>
              <w:tr2bl w:val="nil"/>
            </w:tcBorders>
            <w:vAlign w:val="center"/>
          </w:tcPr>
          <w:p w14:paraId="3625DED4">
            <w:pPr>
              <w:spacing w:line="276" w:lineRule="auto"/>
              <w:jc w:val="center"/>
              <w:rPr>
                <w:rFonts w:ascii="宋体" w:hAnsi="宋体"/>
                <w:color w:val="000000" w:themeColor="text1"/>
                <w:spacing w:val="-10"/>
                <w:highlight w:val="none"/>
                <w14:textFill>
                  <w14:solidFill>
                    <w14:schemeClr w14:val="tx1"/>
                  </w14:solidFill>
                </w14:textFill>
              </w:rPr>
            </w:pPr>
          </w:p>
        </w:tc>
      </w:tr>
      <w:tr w14:paraId="6FB5D8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05" w:hRule="atLeast"/>
          <w:jc w:val="center"/>
        </w:trPr>
        <w:tc>
          <w:tcPr>
            <w:tcW w:w="774" w:type="dxa"/>
            <w:vMerge w:val="restart"/>
            <w:tcBorders>
              <w:tl2br w:val="nil"/>
              <w:tr2bl w:val="nil"/>
            </w:tcBorders>
            <w:vAlign w:val="center"/>
          </w:tcPr>
          <w:p w14:paraId="306B0761">
            <w:pPr>
              <w:spacing w:line="276" w:lineRule="auto"/>
              <w:jc w:val="center"/>
              <w:rPr>
                <w:rFonts w:ascii="宋体" w:hAnsi="宋体"/>
                <w:color w:val="000000" w:themeColor="text1"/>
                <w:highlight w:val="none"/>
                <w14:textFill>
                  <w14:solidFill>
                    <w14:schemeClr w14:val="tx1"/>
                  </w14:solidFill>
                </w14:textFill>
              </w:rPr>
            </w:pPr>
          </w:p>
          <w:p w14:paraId="63B6D40A">
            <w:pPr>
              <w:spacing w:line="276" w:lineRule="auto"/>
              <w:jc w:val="center"/>
              <w:outlineLvl w:val="0"/>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7"/>
                <w:highlight w:val="none"/>
                <w14:textFill>
                  <w14:solidFill>
                    <w14:schemeClr w14:val="tx1"/>
                  </w14:solidFill>
                </w14:textFill>
              </w:rPr>
              <w:t>备案规</w:t>
            </w:r>
            <w:r>
              <w:rPr>
                <w:rFonts w:hint="eastAsia" w:ascii="宋体" w:hAnsi="宋体"/>
                <w:color w:val="000000" w:themeColor="text1"/>
                <w:spacing w:val="6"/>
                <w:highlight w:val="none"/>
                <w14:textFill>
                  <w14:solidFill>
                    <w14:schemeClr w14:val="tx1"/>
                  </w14:solidFill>
                </w14:textFill>
              </w:rPr>
              <w:t>范</w:t>
            </w:r>
          </w:p>
        </w:tc>
        <w:tc>
          <w:tcPr>
            <w:tcW w:w="6660" w:type="dxa"/>
            <w:tcBorders>
              <w:tl2br w:val="nil"/>
              <w:tr2bl w:val="nil"/>
            </w:tcBorders>
            <w:vAlign w:val="center"/>
          </w:tcPr>
          <w:p w14:paraId="14A55F93">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8"/>
                <w:highlight w:val="none"/>
                <w14:textFill>
                  <w14:solidFill>
                    <w14:schemeClr w14:val="tx1"/>
                  </w14:solidFill>
                </w14:textFill>
              </w:rPr>
              <w:t>19.中标公示、招标文件(包括招标公告、资格预审文件等)的必要</w:t>
            </w:r>
            <w:r>
              <w:rPr>
                <w:rFonts w:hint="eastAsia" w:ascii="宋体" w:hAnsi="宋体"/>
                <w:color w:val="000000" w:themeColor="text1"/>
                <w:spacing w:val="7"/>
                <w:highlight w:val="none"/>
                <w14:textFill>
                  <w14:solidFill>
                    <w14:schemeClr w14:val="tx1"/>
                  </w14:solidFill>
                </w14:textFill>
              </w:rPr>
              <w:t>澄</w:t>
            </w:r>
            <w:r>
              <w:rPr>
                <w:rFonts w:hint="eastAsia" w:ascii="宋体" w:hAnsi="宋体"/>
                <w:color w:val="000000" w:themeColor="text1"/>
                <w:spacing w:val="18"/>
                <w:highlight w:val="none"/>
                <w14:textFill>
                  <w14:solidFill>
                    <w14:schemeClr w14:val="tx1"/>
                  </w14:solidFill>
                </w14:textFill>
              </w:rPr>
              <w:t>清</w:t>
            </w:r>
            <w:r>
              <w:rPr>
                <w:rFonts w:hint="eastAsia" w:ascii="宋体" w:hAnsi="宋体"/>
                <w:color w:val="000000" w:themeColor="text1"/>
                <w:spacing w:val="10"/>
                <w:highlight w:val="none"/>
                <w14:textFill>
                  <w14:solidFill>
                    <w14:schemeClr w14:val="tx1"/>
                  </w14:solidFill>
                </w14:textFill>
              </w:rPr>
              <w:t>、</w:t>
            </w:r>
            <w:r>
              <w:rPr>
                <w:rFonts w:hint="eastAsia" w:ascii="宋体" w:hAnsi="宋体"/>
                <w:color w:val="000000" w:themeColor="text1"/>
                <w:spacing w:val="9"/>
                <w:highlight w:val="none"/>
                <w14:textFill>
                  <w14:solidFill>
                    <w14:schemeClr w14:val="tx1"/>
                  </w14:solidFill>
                </w14:textFill>
              </w:rPr>
              <w:t>修改或补充不在发出前或同日提交备案的</w:t>
            </w:r>
          </w:p>
        </w:tc>
        <w:tc>
          <w:tcPr>
            <w:tcW w:w="726" w:type="dxa"/>
            <w:tcBorders>
              <w:tl2br w:val="nil"/>
              <w:tr2bl w:val="nil"/>
            </w:tcBorders>
            <w:vAlign w:val="center"/>
          </w:tcPr>
          <w:p w14:paraId="27D9281B">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p>
        </w:tc>
        <w:tc>
          <w:tcPr>
            <w:tcW w:w="631" w:type="dxa"/>
            <w:tcBorders>
              <w:tl2br w:val="nil"/>
              <w:tr2bl w:val="nil"/>
            </w:tcBorders>
            <w:vAlign w:val="center"/>
          </w:tcPr>
          <w:p w14:paraId="0C170E3B">
            <w:pPr>
              <w:spacing w:line="276" w:lineRule="auto"/>
              <w:jc w:val="center"/>
              <w:rPr>
                <w:rFonts w:ascii="宋体" w:hAnsi="宋体"/>
                <w:color w:val="000000" w:themeColor="text1"/>
                <w:spacing w:val="-10"/>
                <w:highlight w:val="none"/>
                <w14:textFill>
                  <w14:solidFill>
                    <w14:schemeClr w14:val="tx1"/>
                  </w14:solidFill>
                </w14:textFill>
              </w:rPr>
            </w:pPr>
          </w:p>
        </w:tc>
      </w:tr>
      <w:tr w14:paraId="609A7F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continue"/>
            <w:tcBorders>
              <w:tl2br w:val="nil"/>
              <w:tr2bl w:val="nil"/>
            </w:tcBorders>
            <w:vAlign w:val="center"/>
          </w:tcPr>
          <w:p w14:paraId="426FF477">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vAlign w:val="center"/>
          </w:tcPr>
          <w:p w14:paraId="1E0761FB">
            <w:pPr>
              <w:spacing w:line="276" w:lineRule="auto"/>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9"/>
                <w:highlight w:val="none"/>
                <w14:textFill>
                  <w14:solidFill>
                    <w14:schemeClr w14:val="tx1"/>
                  </w14:solidFill>
                </w14:textFill>
              </w:rPr>
              <w:t>2</w:t>
            </w:r>
            <w:r>
              <w:rPr>
                <w:rFonts w:hint="eastAsia" w:ascii="宋体" w:hAnsi="宋体"/>
                <w:color w:val="000000" w:themeColor="text1"/>
                <w:spacing w:val="6"/>
                <w:highlight w:val="none"/>
                <w14:textFill>
                  <w14:solidFill>
                    <w14:schemeClr w14:val="tx1"/>
                  </w14:solidFill>
                </w14:textFill>
              </w:rPr>
              <w:t>0.在中标公示期满7日内未提交招标代理备案资料</w:t>
            </w:r>
          </w:p>
        </w:tc>
        <w:tc>
          <w:tcPr>
            <w:tcW w:w="726" w:type="dxa"/>
            <w:tcBorders>
              <w:tl2br w:val="nil"/>
              <w:tr2bl w:val="nil"/>
            </w:tcBorders>
            <w:vAlign w:val="center"/>
          </w:tcPr>
          <w:p w14:paraId="3D66FA81">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p>
        </w:tc>
        <w:tc>
          <w:tcPr>
            <w:tcW w:w="631" w:type="dxa"/>
            <w:tcBorders>
              <w:tl2br w:val="nil"/>
              <w:tr2bl w:val="nil"/>
            </w:tcBorders>
            <w:vAlign w:val="center"/>
          </w:tcPr>
          <w:p w14:paraId="17996D4A">
            <w:pPr>
              <w:spacing w:line="276" w:lineRule="auto"/>
              <w:jc w:val="center"/>
              <w:rPr>
                <w:rFonts w:ascii="宋体" w:hAnsi="宋体"/>
                <w:color w:val="000000" w:themeColor="text1"/>
                <w:spacing w:val="-10"/>
                <w:highlight w:val="none"/>
                <w14:textFill>
                  <w14:solidFill>
                    <w14:schemeClr w14:val="tx1"/>
                  </w14:solidFill>
                </w14:textFill>
              </w:rPr>
            </w:pPr>
          </w:p>
        </w:tc>
      </w:tr>
      <w:tr w14:paraId="607FB3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continue"/>
            <w:tcBorders>
              <w:tl2br w:val="nil"/>
              <w:tr2bl w:val="nil"/>
            </w:tcBorders>
            <w:vAlign w:val="center"/>
          </w:tcPr>
          <w:p w14:paraId="2E39DF7B">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tcPr>
          <w:p w14:paraId="292B4EBE">
            <w:pPr>
              <w:spacing w:before="113" w:line="228" w:lineRule="auto"/>
              <w:ind w:left="104"/>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7"/>
                <w:highlight w:val="none"/>
                <w14:textFill>
                  <w14:solidFill>
                    <w14:schemeClr w14:val="tx1"/>
                  </w14:solidFill>
                </w14:textFill>
              </w:rPr>
              <w:t>2</w:t>
            </w:r>
            <w:r>
              <w:rPr>
                <w:rFonts w:hint="eastAsia" w:ascii="宋体" w:hAnsi="宋体"/>
                <w:color w:val="000000" w:themeColor="text1"/>
                <w:spacing w:val="5"/>
                <w:highlight w:val="none"/>
                <w14:textFill>
                  <w14:solidFill>
                    <w14:schemeClr w14:val="tx1"/>
                  </w14:solidFill>
                </w14:textFill>
              </w:rPr>
              <w:t>1.在中标公示期满3日内未完成政务网、浙里办</w:t>
            </w:r>
            <w:r>
              <w:rPr>
                <w:rFonts w:hint="eastAsia" w:ascii="宋体" w:hAnsi="宋体"/>
                <w:color w:val="000000" w:themeColor="text1"/>
                <w:highlight w:val="none"/>
                <w14:textFill>
                  <w14:solidFill>
                    <w14:schemeClr w14:val="tx1"/>
                  </w14:solidFill>
                </w14:textFill>
              </w:rPr>
              <w:t>APP</w:t>
            </w:r>
            <w:r>
              <w:rPr>
                <w:rFonts w:hint="eastAsia" w:ascii="宋体" w:hAnsi="宋体"/>
                <w:color w:val="000000" w:themeColor="text1"/>
                <w:spacing w:val="5"/>
                <w:highlight w:val="none"/>
                <w14:textFill>
                  <w14:solidFill>
                    <w14:schemeClr w14:val="tx1"/>
                  </w14:solidFill>
                </w14:textFill>
              </w:rPr>
              <w:t>备案手续</w:t>
            </w:r>
          </w:p>
        </w:tc>
        <w:tc>
          <w:tcPr>
            <w:tcW w:w="726" w:type="dxa"/>
            <w:tcBorders>
              <w:tl2br w:val="nil"/>
              <w:tr2bl w:val="nil"/>
            </w:tcBorders>
          </w:tcPr>
          <w:p w14:paraId="37213BA8">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p>
        </w:tc>
        <w:tc>
          <w:tcPr>
            <w:tcW w:w="631" w:type="dxa"/>
            <w:tcBorders>
              <w:tl2br w:val="nil"/>
              <w:tr2bl w:val="nil"/>
            </w:tcBorders>
            <w:vAlign w:val="center"/>
          </w:tcPr>
          <w:p w14:paraId="41CF25B3">
            <w:pPr>
              <w:spacing w:line="276" w:lineRule="auto"/>
              <w:jc w:val="center"/>
              <w:rPr>
                <w:rFonts w:ascii="宋体" w:hAnsi="宋体"/>
                <w:color w:val="000000" w:themeColor="text1"/>
                <w:spacing w:val="-10"/>
                <w:highlight w:val="none"/>
                <w14:textFill>
                  <w14:solidFill>
                    <w14:schemeClr w14:val="tx1"/>
                  </w14:solidFill>
                </w14:textFill>
              </w:rPr>
            </w:pPr>
          </w:p>
        </w:tc>
      </w:tr>
      <w:tr w14:paraId="1085FF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continue"/>
            <w:tcBorders>
              <w:tl2br w:val="nil"/>
              <w:tr2bl w:val="nil"/>
            </w:tcBorders>
            <w:vAlign w:val="center"/>
          </w:tcPr>
          <w:p w14:paraId="3F3214A7">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tcPr>
          <w:p w14:paraId="5423C115">
            <w:pPr>
              <w:spacing w:before="35" w:line="228" w:lineRule="auto"/>
              <w:ind w:left="109" w:right="99" w:hanging="5"/>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22.</w:t>
            </w:r>
            <w:r>
              <w:rPr>
                <w:rFonts w:hint="eastAsia" w:ascii="宋体" w:hAnsi="宋体"/>
                <w:color w:val="000000" w:themeColor="text1"/>
                <w:spacing w:val="5"/>
                <w:highlight w:val="none"/>
                <w14:textFill>
                  <w14:solidFill>
                    <w14:schemeClr w14:val="tx1"/>
                  </w14:solidFill>
                </w14:textFill>
              </w:rPr>
              <w:t>除招标人已履行批准手续外，因招标代理机构原因提供备案资料(如</w:t>
            </w:r>
            <w:r>
              <w:rPr>
                <w:rFonts w:hint="eastAsia" w:ascii="宋体" w:hAnsi="宋体"/>
                <w:color w:val="000000" w:themeColor="text1"/>
                <w:spacing w:val="12"/>
                <w:highlight w:val="none"/>
                <w14:textFill>
                  <w14:solidFill>
                    <w14:schemeClr w14:val="tx1"/>
                  </w14:solidFill>
                </w14:textFill>
              </w:rPr>
              <w:t>招</w:t>
            </w:r>
            <w:r>
              <w:rPr>
                <w:rFonts w:hint="eastAsia" w:ascii="宋体" w:hAnsi="宋体"/>
                <w:color w:val="000000" w:themeColor="text1"/>
                <w:spacing w:val="9"/>
                <w:highlight w:val="none"/>
                <w14:textFill>
                  <w14:solidFill>
                    <w14:schemeClr w14:val="tx1"/>
                  </w14:solidFill>
                </w14:textFill>
              </w:rPr>
              <w:t>标文件审查会签到单、审查会会议纪要等)不齐的</w:t>
            </w:r>
          </w:p>
        </w:tc>
        <w:tc>
          <w:tcPr>
            <w:tcW w:w="726" w:type="dxa"/>
            <w:tcBorders>
              <w:tl2br w:val="nil"/>
              <w:tr2bl w:val="nil"/>
            </w:tcBorders>
          </w:tcPr>
          <w:p w14:paraId="7E19394B">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p>
        </w:tc>
        <w:tc>
          <w:tcPr>
            <w:tcW w:w="631" w:type="dxa"/>
            <w:tcBorders>
              <w:tl2br w:val="nil"/>
              <w:tr2bl w:val="nil"/>
            </w:tcBorders>
            <w:vAlign w:val="center"/>
          </w:tcPr>
          <w:p w14:paraId="03244E54">
            <w:pPr>
              <w:spacing w:line="276" w:lineRule="auto"/>
              <w:jc w:val="center"/>
              <w:rPr>
                <w:rFonts w:ascii="宋体" w:hAnsi="宋体"/>
                <w:color w:val="000000" w:themeColor="text1"/>
                <w:spacing w:val="-10"/>
                <w:highlight w:val="none"/>
                <w14:textFill>
                  <w14:solidFill>
                    <w14:schemeClr w14:val="tx1"/>
                  </w14:solidFill>
                </w14:textFill>
              </w:rPr>
            </w:pPr>
          </w:p>
        </w:tc>
      </w:tr>
      <w:tr w14:paraId="0A14D6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continue"/>
            <w:tcBorders>
              <w:tl2br w:val="nil"/>
              <w:tr2bl w:val="nil"/>
            </w:tcBorders>
            <w:vAlign w:val="center"/>
          </w:tcPr>
          <w:p w14:paraId="4D2EE86A">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tcPr>
          <w:p w14:paraId="22628C82">
            <w:pPr>
              <w:spacing w:before="114" w:line="227" w:lineRule="auto"/>
              <w:ind w:left="104"/>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23</w:t>
            </w:r>
            <w:r>
              <w:rPr>
                <w:rFonts w:hint="eastAsia" w:ascii="宋体" w:hAnsi="宋体"/>
                <w:color w:val="000000" w:themeColor="text1"/>
                <w:spacing w:val="9"/>
                <w:highlight w:val="none"/>
                <w14:textFill>
                  <w14:solidFill>
                    <w14:schemeClr w14:val="tx1"/>
                  </w14:solidFill>
                </w14:textFill>
              </w:rPr>
              <w:t>.</w:t>
            </w:r>
            <w:r>
              <w:rPr>
                <w:rFonts w:hint="eastAsia" w:ascii="宋体" w:hAnsi="宋体"/>
                <w:color w:val="000000" w:themeColor="text1"/>
                <w:spacing w:val="5"/>
                <w:highlight w:val="none"/>
                <w14:textFill>
                  <w14:solidFill>
                    <w14:schemeClr w14:val="tx1"/>
                  </w14:solidFill>
                </w14:textFill>
              </w:rPr>
              <w:t>由于代理单位提供的备案资料不规范的</w:t>
            </w:r>
          </w:p>
        </w:tc>
        <w:tc>
          <w:tcPr>
            <w:tcW w:w="726" w:type="dxa"/>
            <w:tcBorders>
              <w:tl2br w:val="nil"/>
              <w:tr2bl w:val="nil"/>
            </w:tcBorders>
          </w:tcPr>
          <w:p w14:paraId="55B33788">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w:t>
            </w:r>
          </w:p>
        </w:tc>
        <w:tc>
          <w:tcPr>
            <w:tcW w:w="631" w:type="dxa"/>
            <w:tcBorders>
              <w:tl2br w:val="nil"/>
              <w:tr2bl w:val="nil"/>
            </w:tcBorders>
            <w:vAlign w:val="center"/>
          </w:tcPr>
          <w:p w14:paraId="279F7521">
            <w:pPr>
              <w:spacing w:line="276" w:lineRule="auto"/>
              <w:jc w:val="center"/>
              <w:rPr>
                <w:rFonts w:ascii="宋体" w:hAnsi="宋体"/>
                <w:color w:val="000000" w:themeColor="text1"/>
                <w:spacing w:val="-10"/>
                <w:highlight w:val="none"/>
                <w14:textFill>
                  <w14:solidFill>
                    <w14:schemeClr w14:val="tx1"/>
                  </w14:solidFill>
                </w14:textFill>
              </w:rPr>
            </w:pPr>
          </w:p>
        </w:tc>
      </w:tr>
      <w:tr w14:paraId="06CACD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restart"/>
            <w:tcBorders>
              <w:tl2br w:val="nil"/>
              <w:tr2bl w:val="nil"/>
            </w:tcBorders>
            <w:vAlign w:val="center"/>
          </w:tcPr>
          <w:p w14:paraId="18DA343C">
            <w:pPr>
              <w:spacing w:line="276" w:lineRule="auto"/>
              <w:jc w:val="center"/>
              <w:rPr>
                <w:rFonts w:ascii="宋体" w:hAnsi="宋体"/>
                <w:color w:val="000000" w:themeColor="text1"/>
                <w:spacing w:val="-15"/>
                <w:highlight w:val="none"/>
                <w14:textFill>
                  <w14:solidFill>
                    <w14:schemeClr w14:val="tx1"/>
                  </w14:solidFill>
                </w14:textFill>
              </w:rPr>
            </w:pPr>
            <w:r>
              <w:rPr>
                <w:rFonts w:hint="eastAsia" w:ascii="宋体" w:hAnsi="宋体"/>
                <w:color w:val="000000" w:themeColor="text1"/>
                <w:spacing w:val="-15"/>
                <w:highlight w:val="none"/>
                <w14:textFill>
                  <w14:solidFill>
                    <w14:schemeClr w14:val="tx1"/>
                  </w14:solidFill>
                </w14:textFill>
              </w:rPr>
              <w:t>其他</w:t>
            </w:r>
          </w:p>
          <w:p w14:paraId="109AC8B3">
            <w:pPr>
              <w:spacing w:line="276"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5"/>
                <w:highlight w:val="none"/>
                <w14:textFill>
                  <w14:solidFill>
                    <w14:schemeClr w14:val="tx1"/>
                  </w14:solidFill>
                </w14:textFill>
              </w:rPr>
              <w:t>情况</w:t>
            </w:r>
          </w:p>
        </w:tc>
        <w:tc>
          <w:tcPr>
            <w:tcW w:w="6660" w:type="dxa"/>
            <w:tcBorders>
              <w:tl2br w:val="nil"/>
              <w:tr2bl w:val="nil"/>
            </w:tcBorders>
          </w:tcPr>
          <w:p w14:paraId="6738A706">
            <w:pPr>
              <w:spacing w:before="112" w:line="227" w:lineRule="auto"/>
              <w:ind w:left="104"/>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5"/>
                <w:highlight w:val="none"/>
                <w14:textFill>
                  <w14:solidFill>
                    <w14:schemeClr w14:val="tx1"/>
                  </w14:solidFill>
                </w14:textFill>
              </w:rPr>
              <w:t>2</w:t>
            </w:r>
            <w:r>
              <w:rPr>
                <w:rFonts w:hint="eastAsia" w:ascii="宋体" w:hAnsi="宋体"/>
                <w:color w:val="000000" w:themeColor="text1"/>
                <w:spacing w:val="8"/>
                <w:highlight w:val="none"/>
                <w14:textFill>
                  <w14:solidFill>
                    <w14:schemeClr w14:val="tx1"/>
                  </w14:solidFill>
                </w14:textFill>
              </w:rPr>
              <w:t>4.交易中心年度评价不合格的</w:t>
            </w:r>
          </w:p>
        </w:tc>
        <w:tc>
          <w:tcPr>
            <w:tcW w:w="726" w:type="dxa"/>
            <w:tcBorders>
              <w:tl2br w:val="nil"/>
              <w:tr2bl w:val="nil"/>
            </w:tcBorders>
          </w:tcPr>
          <w:p w14:paraId="160B2C0F">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10</w:t>
            </w:r>
          </w:p>
        </w:tc>
        <w:tc>
          <w:tcPr>
            <w:tcW w:w="631" w:type="dxa"/>
            <w:tcBorders>
              <w:tl2br w:val="nil"/>
              <w:tr2bl w:val="nil"/>
            </w:tcBorders>
            <w:vAlign w:val="center"/>
          </w:tcPr>
          <w:p w14:paraId="78866BBC">
            <w:pPr>
              <w:spacing w:line="276" w:lineRule="auto"/>
              <w:jc w:val="center"/>
              <w:rPr>
                <w:rFonts w:ascii="宋体" w:hAnsi="宋体"/>
                <w:color w:val="000000" w:themeColor="text1"/>
                <w:spacing w:val="-10"/>
                <w:highlight w:val="none"/>
                <w14:textFill>
                  <w14:solidFill>
                    <w14:schemeClr w14:val="tx1"/>
                  </w14:solidFill>
                </w14:textFill>
              </w:rPr>
            </w:pPr>
          </w:p>
        </w:tc>
      </w:tr>
      <w:tr w14:paraId="4318F7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continue"/>
            <w:tcBorders>
              <w:tl2br w:val="nil"/>
              <w:tr2bl w:val="nil"/>
            </w:tcBorders>
            <w:vAlign w:val="center"/>
          </w:tcPr>
          <w:p w14:paraId="4DB11D85">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tcPr>
          <w:p w14:paraId="4A314B7A">
            <w:pPr>
              <w:spacing w:before="114" w:line="229" w:lineRule="auto"/>
              <w:ind w:left="104"/>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1"/>
                <w:highlight w:val="none"/>
                <w14:textFill>
                  <w14:solidFill>
                    <w14:schemeClr w14:val="tx1"/>
                  </w14:solidFill>
                </w14:textFill>
              </w:rPr>
              <w:t>2</w:t>
            </w:r>
            <w:r>
              <w:rPr>
                <w:rFonts w:hint="eastAsia" w:ascii="宋体" w:hAnsi="宋体"/>
                <w:color w:val="000000" w:themeColor="text1"/>
                <w:spacing w:val="9"/>
                <w:highlight w:val="none"/>
                <w14:textFill>
                  <w14:solidFill>
                    <w14:schemeClr w14:val="tx1"/>
                  </w14:solidFill>
                </w14:textFill>
              </w:rPr>
              <w:t>5.泄露招标投标活动中应当保密的有关情况和资料的</w:t>
            </w:r>
          </w:p>
        </w:tc>
        <w:tc>
          <w:tcPr>
            <w:tcW w:w="726" w:type="dxa"/>
            <w:tcBorders>
              <w:tl2br w:val="nil"/>
              <w:tr2bl w:val="nil"/>
            </w:tcBorders>
          </w:tcPr>
          <w:p w14:paraId="139B9616">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6</w:t>
            </w:r>
          </w:p>
        </w:tc>
        <w:tc>
          <w:tcPr>
            <w:tcW w:w="631" w:type="dxa"/>
            <w:tcBorders>
              <w:tl2br w:val="nil"/>
              <w:tr2bl w:val="nil"/>
            </w:tcBorders>
            <w:vAlign w:val="center"/>
          </w:tcPr>
          <w:p w14:paraId="55F683E6">
            <w:pPr>
              <w:spacing w:line="276" w:lineRule="auto"/>
              <w:jc w:val="center"/>
              <w:rPr>
                <w:rFonts w:ascii="宋体" w:hAnsi="宋体"/>
                <w:color w:val="000000" w:themeColor="text1"/>
                <w:spacing w:val="-10"/>
                <w:highlight w:val="none"/>
                <w14:textFill>
                  <w14:solidFill>
                    <w14:schemeClr w14:val="tx1"/>
                  </w14:solidFill>
                </w14:textFill>
              </w:rPr>
            </w:pPr>
          </w:p>
        </w:tc>
      </w:tr>
      <w:tr w14:paraId="756751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continue"/>
            <w:tcBorders>
              <w:tl2br w:val="nil"/>
              <w:tr2bl w:val="nil"/>
            </w:tcBorders>
            <w:vAlign w:val="center"/>
          </w:tcPr>
          <w:p w14:paraId="40CAB309">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tcPr>
          <w:p w14:paraId="4DB1D254">
            <w:pPr>
              <w:spacing w:before="35" w:line="228" w:lineRule="auto"/>
              <w:ind w:left="110" w:right="102" w:hanging="6"/>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6"/>
                <w:highlight w:val="none"/>
                <w14:textFill>
                  <w14:solidFill>
                    <w14:schemeClr w14:val="tx1"/>
                  </w14:solidFill>
                </w14:textFill>
              </w:rPr>
              <w:t>2</w:t>
            </w:r>
            <w:r>
              <w:rPr>
                <w:rFonts w:hint="eastAsia" w:ascii="宋体" w:hAnsi="宋体"/>
                <w:color w:val="000000" w:themeColor="text1"/>
                <w:spacing w:val="11"/>
                <w:highlight w:val="none"/>
                <w14:textFill>
                  <w14:solidFill>
                    <w14:schemeClr w14:val="tx1"/>
                  </w14:solidFill>
                </w14:textFill>
              </w:rPr>
              <w:t>6.未按规定配合或接受有关行政监督部门依法实施的监督检查及投诉</w:t>
            </w:r>
            <w:r>
              <w:rPr>
                <w:rFonts w:hint="eastAsia" w:ascii="宋体" w:hAnsi="宋体"/>
                <w:color w:val="000000" w:themeColor="text1"/>
                <w:spacing w:val="10"/>
                <w:highlight w:val="none"/>
                <w14:textFill>
                  <w14:solidFill>
                    <w14:schemeClr w14:val="tx1"/>
                  </w14:solidFill>
                </w14:textFill>
              </w:rPr>
              <w:t>调</w:t>
            </w:r>
            <w:r>
              <w:rPr>
                <w:rFonts w:hint="eastAsia" w:ascii="宋体" w:hAnsi="宋体"/>
                <w:color w:val="000000" w:themeColor="text1"/>
                <w:spacing w:val="7"/>
                <w:highlight w:val="none"/>
                <w14:textFill>
                  <w14:solidFill>
                    <w14:schemeClr w14:val="tx1"/>
                  </w14:solidFill>
                </w14:textFill>
              </w:rPr>
              <w:t>查处理的</w:t>
            </w:r>
          </w:p>
        </w:tc>
        <w:tc>
          <w:tcPr>
            <w:tcW w:w="726" w:type="dxa"/>
            <w:tcBorders>
              <w:tl2br w:val="nil"/>
              <w:tr2bl w:val="nil"/>
            </w:tcBorders>
          </w:tcPr>
          <w:p w14:paraId="26C61A38">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36CCF245">
            <w:pPr>
              <w:spacing w:line="276" w:lineRule="auto"/>
              <w:jc w:val="center"/>
              <w:rPr>
                <w:rFonts w:ascii="宋体" w:hAnsi="宋体"/>
                <w:color w:val="000000" w:themeColor="text1"/>
                <w:spacing w:val="-10"/>
                <w:highlight w:val="none"/>
                <w14:textFill>
                  <w14:solidFill>
                    <w14:schemeClr w14:val="tx1"/>
                  </w14:solidFill>
                </w14:textFill>
              </w:rPr>
            </w:pPr>
          </w:p>
        </w:tc>
      </w:tr>
      <w:tr w14:paraId="480FE5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continue"/>
            <w:tcBorders>
              <w:tl2br w:val="nil"/>
              <w:tr2bl w:val="nil"/>
            </w:tcBorders>
            <w:vAlign w:val="center"/>
          </w:tcPr>
          <w:p w14:paraId="44CBE1C0">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tcPr>
          <w:p w14:paraId="5C4405C8">
            <w:pPr>
              <w:spacing w:before="113" w:line="227" w:lineRule="auto"/>
              <w:ind w:left="104"/>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5"/>
                <w:highlight w:val="none"/>
                <w14:textFill>
                  <w14:solidFill>
                    <w14:schemeClr w14:val="tx1"/>
                  </w14:solidFill>
                </w14:textFill>
              </w:rPr>
              <w:t>2</w:t>
            </w:r>
            <w:r>
              <w:rPr>
                <w:rFonts w:hint="eastAsia" w:ascii="宋体" w:hAnsi="宋体"/>
                <w:color w:val="000000" w:themeColor="text1"/>
                <w:spacing w:val="9"/>
                <w:highlight w:val="none"/>
                <w14:textFill>
                  <w14:solidFill>
                    <w14:schemeClr w14:val="tx1"/>
                  </w14:solidFill>
                </w14:textFill>
              </w:rPr>
              <w:t>7.不按收费标准或指导价收取招标代理费或代理文件工本费的</w:t>
            </w:r>
          </w:p>
        </w:tc>
        <w:tc>
          <w:tcPr>
            <w:tcW w:w="726" w:type="dxa"/>
            <w:tcBorders>
              <w:tl2br w:val="nil"/>
              <w:tr2bl w:val="nil"/>
            </w:tcBorders>
          </w:tcPr>
          <w:p w14:paraId="457D2BCF">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2D97983A">
            <w:pPr>
              <w:spacing w:line="276" w:lineRule="auto"/>
              <w:jc w:val="center"/>
              <w:rPr>
                <w:rFonts w:ascii="宋体" w:hAnsi="宋体"/>
                <w:color w:val="000000" w:themeColor="text1"/>
                <w:spacing w:val="-10"/>
                <w:highlight w:val="none"/>
                <w14:textFill>
                  <w14:solidFill>
                    <w14:schemeClr w14:val="tx1"/>
                  </w14:solidFill>
                </w14:textFill>
              </w:rPr>
            </w:pPr>
          </w:p>
        </w:tc>
      </w:tr>
      <w:tr w14:paraId="3922DE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continue"/>
            <w:tcBorders>
              <w:tl2br w:val="nil"/>
              <w:tr2bl w:val="nil"/>
            </w:tcBorders>
            <w:vAlign w:val="center"/>
          </w:tcPr>
          <w:p w14:paraId="3DA54408">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tcPr>
          <w:p w14:paraId="6FCBE08A">
            <w:pPr>
              <w:spacing w:before="115" w:line="228" w:lineRule="auto"/>
              <w:ind w:left="104"/>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6"/>
                <w:highlight w:val="none"/>
                <w14:textFill>
                  <w14:solidFill>
                    <w14:schemeClr w14:val="tx1"/>
                  </w14:solidFill>
                </w14:textFill>
              </w:rPr>
              <w:t>28.未妥善保存招标代理文件或保存期不足5年</w:t>
            </w:r>
            <w:r>
              <w:rPr>
                <w:rFonts w:hint="eastAsia" w:ascii="宋体" w:hAnsi="宋体"/>
                <w:color w:val="000000" w:themeColor="text1"/>
                <w:spacing w:val="5"/>
                <w:highlight w:val="none"/>
                <w14:textFill>
                  <w14:solidFill>
                    <w14:schemeClr w14:val="tx1"/>
                  </w14:solidFill>
                </w14:textFill>
              </w:rPr>
              <w:t>的</w:t>
            </w:r>
          </w:p>
        </w:tc>
        <w:tc>
          <w:tcPr>
            <w:tcW w:w="726" w:type="dxa"/>
            <w:tcBorders>
              <w:tl2br w:val="nil"/>
              <w:tr2bl w:val="nil"/>
            </w:tcBorders>
          </w:tcPr>
          <w:p w14:paraId="1E04CDB1">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3215104C">
            <w:pPr>
              <w:spacing w:line="276" w:lineRule="auto"/>
              <w:jc w:val="center"/>
              <w:rPr>
                <w:rFonts w:ascii="宋体" w:hAnsi="宋体"/>
                <w:color w:val="000000" w:themeColor="text1"/>
                <w:spacing w:val="-10"/>
                <w:highlight w:val="none"/>
                <w14:textFill>
                  <w14:solidFill>
                    <w14:schemeClr w14:val="tx1"/>
                  </w14:solidFill>
                </w14:textFill>
              </w:rPr>
            </w:pPr>
          </w:p>
        </w:tc>
      </w:tr>
      <w:tr w14:paraId="30BC22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continue"/>
            <w:tcBorders>
              <w:tl2br w:val="nil"/>
              <w:tr2bl w:val="nil"/>
            </w:tcBorders>
            <w:vAlign w:val="center"/>
          </w:tcPr>
          <w:p w14:paraId="7B966B0D">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tcPr>
          <w:p w14:paraId="0FB80029">
            <w:pPr>
              <w:spacing w:before="36" w:line="232" w:lineRule="auto"/>
              <w:ind w:left="109" w:right="99" w:hanging="5"/>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14"/>
                <w:highlight w:val="none"/>
                <w14:textFill>
                  <w14:solidFill>
                    <w14:schemeClr w14:val="tx1"/>
                  </w14:solidFill>
                </w14:textFill>
              </w:rPr>
              <w:t>2</w:t>
            </w:r>
            <w:r>
              <w:rPr>
                <w:rFonts w:hint="eastAsia" w:ascii="宋体" w:hAnsi="宋体"/>
                <w:color w:val="000000" w:themeColor="text1"/>
                <w:spacing w:val="9"/>
                <w:highlight w:val="none"/>
                <w14:textFill>
                  <w14:solidFill>
                    <w14:schemeClr w14:val="tx1"/>
                  </w14:solidFill>
                </w14:textFill>
              </w:rPr>
              <w:t>9.除前述条款外其他因代理机构从业人员过错导致招标过程暂停、重</w:t>
            </w:r>
            <w:r>
              <w:rPr>
                <w:rFonts w:hint="eastAsia" w:ascii="宋体" w:hAnsi="宋体"/>
                <w:color w:val="000000" w:themeColor="text1"/>
                <w:spacing w:val="6"/>
                <w:highlight w:val="none"/>
                <w14:textFill>
                  <w14:solidFill>
                    <w14:schemeClr w14:val="tx1"/>
                  </w14:solidFill>
                </w14:textFill>
              </w:rPr>
              <w:t>新招标、重新评标、招标失败或引起招标争议、有理投诉、上访等事</w:t>
            </w:r>
            <w:r>
              <w:rPr>
                <w:rFonts w:hint="eastAsia" w:ascii="宋体" w:hAnsi="宋体"/>
                <w:color w:val="000000" w:themeColor="text1"/>
                <w:spacing w:val="2"/>
                <w:highlight w:val="none"/>
                <w14:textFill>
                  <w14:solidFill>
                    <w14:schemeClr w14:val="tx1"/>
                  </w14:solidFill>
                </w14:textFill>
              </w:rPr>
              <w:t>件</w:t>
            </w:r>
            <w:r>
              <w:rPr>
                <w:rFonts w:hint="eastAsia" w:ascii="宋体" w:hAnsi="宋体"/>
                <w:color w:val="000000" w:themeColor="text1"/>
                <w:highlight w:val="none"/>
                <w14:textFill>
                  <w14:solidFill>
                    <w14:schemeClr w14:val="tx1"/>
                  </w14:solidFill>
                </w14:textFill>
              </w:rPr>
              <w:t>的</w:t>
            </w:r>
          </w:p>
        </w:tc>
        <w:tc>
          <w:tcPr>
            <w:tcW w:w="726" w:type="dxa"/>
            <w:tcBorders>
              <w:tl2br w:val="nil"/>
              <w:tr2bl w:val="nil"/>
            </w:tcBorders>
          </w:tcPr>
          <w:p w14:paraId="25F91446">
            <w:pPr>
              <w:spacing w:line="276" w:lineRule="auto"/>
              <w:jc w:val="center"/>
              <w:rPr>
                <w:rFonts w:ascii="宋体" w:hAnsi="宋体"/>
                <w:color w:val="000000" w:themeColor="text1"/>
                <w:spacing w:val="-10"/>
                <w:highlight w:val="none"/>
                <w14:textFill>
                  <w14:solidFill>
                    <w14:schemeClr w14:val="tx1"/>
                  </w14:solidFill>
                </w14:textFill>
              </w:rPr>
            </w:pPr>
          </w:p>
          <w:p w14:paraId="1C29AABF">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6</w:t>
            </w:r>
          </w:p>
        </w:tc>
        <w:tc>
          <w:tcPr>
            <w:tcW w:w="631" w:type="dxa"/>
            <w:tcBorders>
              <w:tl2br w:val="nil"/>
              <w:tr2bl w:val="nil"/>
            </w:tcBorders>
            <w:vAlign w:val="center"/>
          </w:tcPr>
          <w:p w14:paraId="54BB9EC3">
            <w:pPr>
              <w:spacing w:line="276" w:lineRule="auto"/>
              <w:jc w:val="center"/>
              <w:rPr>
                <w:rFonts w:ascii="宋体" w:hAnsi="宋体"/>
                <w:color w:val="000000" w:themeColor="text1"/>
                <w:spacing w:val="-10"/>
                <w:highlight w:val="none"/>
                <w14:textFill>
                  <w14:solidFill>
                    <w14:schemeClr w14:val="tx1"/>
                  </w14:solidFill>
                </w14:textFill>
              </w:rPr>
            </w:pPr>
          </w:p>
        </w:tc>
      </w:tr>
      <w:tr w14:paraId="4056CE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continue"/>
            <w:tcBorders>
              <w:tl2br w:val="nil"/>
              <w:tr2bl w:val="nil"/>
            </w:tcBorders>
            <w:vAlign w:val="center"/>
          </w:tcPr>
          <w:p w14:paraId="42ADDCCB">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tcPr>
          <w:p w14:paraId="1DC19380">
            <w:pPr>
              <w:spacing w:before="38" w:line="227" w:lineRule="auto"/>
              <w:ind w:left="107" w:right="99" w:firstLine="1"/>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9"/>
                <w:highlight w:val="none"/>
                <w14:textFill>
                  <w14:solidFill>
                    <w14:schemeClr w14:val="tx1"/>
                  </w14:solidFill>
                </w14:textFill>
              </w:rPr>
              <w:t>30.除前述条款外其他因代理机构从业人员过错导致延迟开标等招标过</w:t>
            </w:r>
            <w:r>
              <w:rPr>
                <w:rFonts w:hint="eastAsia" w:ascii="宋体" w:hAnsi="宋体"/>
                <w:color w:val="000000" w:themeColor="text1"/>
                <w:spacing w:val="8"/>
                <w:highlight w:val="none"/>
                <w14:textFill>
                  <w14:solidFill>
                    <w14:schemeClr w14:val="tx1"/>
                  </w14:solidFill>
                </w14:textFill>
              </w:rPr>
              <w:t>程延误</w:t>
            </w:r>
            <w:r>
              <w:rPr>
                <w:rFonts w:hint="eastAsia" w:ascii="宋体" w:hAnsi="宋体"/>
                <w:color w:val="000000" w:themeColor="text1"/>
                <w:spacing w:val="7"/>
                <w:highlight w:val="none"/>
                <w14:textFill>
                  <w14:solidFill>
                    <w14:schemeClr w14:val="tx1"/>
                  </w14:solidFill>
                </w14:textFill>
              </w:rPr>
              <w:t>的</w:t>
            </w:r>
          </w:p>
        </w:tc>
        <w:tc>
          <w:tcPr>
            <w:tcW w:w="726" w:type="dxa"/>
            <w:tcBorders>
              <w:tl2br w:val="nil"/>
              <w:tr2bl w:val="nil"/>
            </w:tcBorders>
          </w:tcPr>
          <w:p w14:paraId="06FA331D">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5508F0E1">
            <w:pPr>
              <w:spacing w:line="276" w:lineRule="auto"/>
              <w:jc w:val="center"/>
              <w:rPr>
                <w:rFonts w:ascii="宋体" w:hAnsi="宋体"/>
                <w:color w:val="000000" w:themeColor="text1"/>
                <w:spacing w:val="-10"/>
                <w:highlight w:val="none"/>
                <w14:textFill>
                  <w14:solidFill>
                    <w14:schemeClr w14:val="tx1"/>
                  </w14:solidFill>
                </w14:textFill>
              </w:rPr>
            </w:pPr>
          </w:p>
        </w:tc>
      </w:tr>
      <w:tr w14:paraId="7BC889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61" w:hRule="atLeast"/>
          <w:jc w:val="center"/>
        </w:trPr>
        <w:tc>
          <w:tcPr>
            <w:tcW w:w="774" w:type="dxa"/>
            <w:vMerge w:val="continue"/>
            <w:tcBorders>
              <w:tl2br w:val="nil"/>
              <w:tr2bl w:val="nil"/>
            </w:tcBorders>
            <w:vAlign w:val="center"/>
          </w:tcPr>
          <w:p w14:paraId="74BCB525">
            <w:pPr>
              <w:spacing w:line="276" w:lineRule="auto"/>
              <w:jc w:val="center"/>
              <w:rPr>
                <w:rFonts w:ascii="宋体" w:hAnsi="宋体"/>
                <w:color w:val="000000" w:themeColor="text1"/>
                <w:highlight w:val="none"/>
                <w14:textFill>
                  <w14:solidFill>
                    <w14:schemeClr w14:val="tx1"/>
                  </w14:solidFill>
                </w14:textFill>
              </w:rPr>
            </w:pPr>
          </w:p>
        </w:tc>
        <w:tc>
          <w:tcPr>
            <w:tcW w:w="6660" w:type="dxa"/>
            <w:tcBorders>
              <w:tl2br w:val="nil"/>
              <w:tr2bl w:val="nil"/>
            </w:tcBorders>
          </w:tcPr>
          <w:p w14:paraId="39A19B46">
            <w:pPr>
              <w:spacing w:before="116" w:line="228" w:lineRule="auto"/>
              <w:ind w:left="108"/>
              <w:jc w:val="lef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9"/>
                <w:highlight w:val="none"/>
                <w14:textFill>
                  <w14:solidFill>
                    <w14:schemeClr w14:val="tx1"/>
                  </w14:solidFill>
                </w14:textFill>
              </w:rPr>
              <w:t>3</w:t>
            </w:r>
            <w:r>
              <w:rPr>
                <w:rFonts w:hint="eastAsia" w:ascii="宋体" w:hAnsi="宋体"/>
                <w:color w:val="000000" w:themeColor="text1"/>
                <w:spacing w:val="6"/>
                <w:highlight w:val="none"/>
                <w14:textFill>
                  <w14:solidFill>
                    <w14:schemeClr w14:val="tx1"/>
                  </w14:solidFill>
                </w14:textFill>
              </w:rPr>
              <w:t>1.除前述条款外其他因代理单位过错造成不良影响的。</w:t>
            </w:r>
          </w:p>
        </w:tc>
        <w:tc>
          <w:tcPr>
            <w:tcW w:w="726" w:type="dxa"/>
            <w:tcBorders>
              <w:tl2br w:val="nil"/>
              <w:tr2bl w:val="nil"/>
            </w:tcBorders>
          </w:tcPr>
          <w:p w14:paraId="36B20302">
            <w:pPr>
              <w:spacing w:line="276" w:lineRule="auto"/>
              <w:jc w:val="center"/>
              <w:rPr>
                <w:rFonts w:ascii="宋体" w:hAnsi="宋体"/>
                <w:color w:val="000000" w:themeColor="text1"/>
                <w:spacing w:val="-10"/>
                <w:highlight w:val="none"/>
                <w14:textFill>
                  <w14:solidFill>
                    <w14:schemeClr w14:val="tx1"/>
                  </w14:solidFill>
                </w14:textFill>
              </w:rPr>
            </w:pPr>
            <w:r>
              <w:rPr>
                <w:rFonts w:hint="eastAsia" w:ascii="宋体" w:hAnsi="宋体"/>
                <w:color w:val="000000" w:themeColor="text1"/>
                <w:spacing w:val="-10"/>
                <w:highlight w:val="none"/>
                <w14:textFill>
                  <w14:solidFill>
                    <w14:schemeClr w14:val="tx1"/>
                  </w14:solidFill>
                </w14:textFill>
              </w:rPr>
              <w:t>3</w:t>
            </w:r>
          </w:p>
        </w:tc>
        <w:tc>
          <w:tcPr>
            <w:tcW w:w="631" w:type="dxa"/>
            <w:tcBorders>
              <w:tl2br w:val="nil"/>
              <w:tr2bl w:val="nil"/>
            </w:tcBorders>
            <w:vAlign w:val="center"/>
          </w:tcPr>
          <w:p w14:paraId="1E5868DC">
            <w:pPr>
              <w:spacing w:line="276" w:lineRule="auto"/>
              <w:jc w:val="center"/>
              <w:rPr>
                <w:rFonts w:ascii="宋体" w:hAnsi="宋体"/>
                <w:color w:val="000000" w:themeColor="text1"/>
                <w:spacing w:val="-10"/>
                <w:highlight w:val="none"/>
                <w14:textFill>
                  <w14:solidFill>
                    <w14:schemeClr w14:val="tx1"/>
                  </w14:solidFill>
                </w14:textFill>
              </w:rPr>
            </w:pPr>
          </w:p>
        </w:tc>
      </w:tr>
    </w:tbl>
    <w:p w14:paraId="0203AEBD">
      <w:pPr>
        <w:spacing w:line="360" w:lineRule="auto"/>
        <w:rPr>
          <w:rFonts w:ascii="Arial"/>
          <w:color w:val="000000" w:themeColor="text1"/>
          <w:sz w:val="21"/>
          <w:highlight w:val="none"/>
          <w14:textFill>
            <w14:solidFill>
              <w14:schemeClr w14:val="tx1"/>
            </w14:solidFill>
          </w14:textFill>
        </w:rPr>
      </w:pPr>
    </w:p>
    <w:p w14:paraId="16C2C058">
      <w:pPr>
        <w:spacing w:line="183" w:lineRule="exact"/>
        <w:rPr>
          <w:color w:val="000000" w:themeColor="text1"/>
          <w:highlight w:val="none"/>
          <w14:textFill>
            <w14:solidFill>
              <w14:schemeClr w14:val="tx1"/>
            </w14:solidFill>
          </w14:textFill>
        </w:rPr>
      </w:pPr>
    </w:p>
    <w:p w14:paraId="4B3EF574">
      <w:pPr>
        <w:rPr>
          <w:rFonts w:ascii="Arial"/>
          <w:color w:val="000000" w:themeColor="text1"/>
          <w:sz w:val="21"/>
          <w:highlight w:val="none"/>
          <w14:textFill>
            <w14:solidFill>
              <w14:schemeClr w14:val="tx1"/>
            </w14:solidFill>
          </w14:textFill>
        </w:rPr>
      </w:pPr>
    </w:p>
    <w:p w14:paraId="6DADEEDE">
      <w:pPr>
        <w:pStyle w:val="10"/>
        <w:rPr>
          <w:color w:val="000000" w:themeColor="text1"/>
          <w:highlight w:val="none"/>
          <w14:textFill>
            <w14:solidFill>
              <w14:schemeClr w14:val="tx1"/>
            </w14:solidFill>
          </w14:textFill>
        </w:rPr>
      </w:pPr>
    </w:p>
    <w:p w14:paraId="28F9194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Theme="majorEastAsia" w:hAnsiTheme="majorEastAsia" w:eastAsiaTheme="majorEastAsia" w:cstheme="majorEastAsia"/>
          <w:color w:val="000000" w:themeColor="text1"/>
          <w:highlight w:val="none"/>
          <w14:textFill>
            <w14:solidFill>
              <w14:schemeClr w14:val="tx1"/>
            </w14:solidFill>
          </w14:textFill>
        </w:rPr>
        <w:sectPr>
          <w:headerReference r:id="rId5" w:type="default"/>
          <w:footerReference r:id="rId6" w:type="default"/>
          <w:pgSz w:w="11849" w:h="16781"/>
          <w:pgMar w:top="1247" w:right="1531" w:bottom="1134" w:left="1531" w:header="851" w:footer="850" w:gutter="0"/>
          <w:cols w:space="0" w:num="1"/>
          <w:docGrid w:linePitch="312" w:charSpace="0"/>
        </w:sectPr>
      </w:pPr>
      <w:r>
        <w:rPr>
          <w:rFonts w:hint="eastAsia" w:asciiTheme="majorEastAsia" w:hAnsiTheme="majorEastAsia" w:eastAsiaTheme="majorEastAsia" w:cstheme="majorEastAsia"/>
          <w:b/>
          <w:color w:val="000000" w:themeColor="text1"/>
          <w:sz w:val="30"/>
          <w:szCs w:val="30"/>
          <w:highlight w:val="none"/>
          <w14:textFill>
            <w14:solidFill>
              <w14:schemeClr w14:val="tx1"/>
            </w14:solidFill>
          </w14:textFill>
        </w:rPr>
        <w:br w:type="page"/>
      </w:r>
    </w:p>
    <w:tbl>
      <w:tblPr>
        <w:tblStyle w:val="25"/>
        <w:tblW w:w="14080" w:type="dxa"/>
        <w:jc w:val="center"/>
        <w:tblLayout w:type="fixed"/>
        <w:tblCellMar>
          <w:top w:w="0" w:type="dxa"/>
          <w:left w:w="108" w:type="dxa"/>
          <w:bottom w:w="0" w:type="dxa"/>
          <w:right w:w="108" w:type="dxa"/>
        </w:tblCellMar>
      </w:tblPr>
      <w:tblGrid>
        <w:gridCol w:w="4620"/>
        <w:gridCol w:w="4840"/>
        <w:gridCol w:w="1280"/>
        <w:gridCol w:w="1600"/>
        <w:gridCol w:w="1740"/>
      </w:tblGrid>
      <w:tr w14:paraId="6D25EA6E">
        <w:tblPrEx>
          <w:tblCellMar>
            <w:top w:w="0" w:type="dxa"/>
            <w:left w:w="108" w:type="dxa"/>
            <w:bottom w:w="0" w:type="dxa"/>
            <w:right w:w="108" w:type="dxa"/>
          </w:tblCellMar>
        </w:tblPrEx>
        <w:trPr>
          <w:trHeight w:val="735" w:hRule="atLeast"/>
          <w:jc w:val="center"/>
        </w:trPr>
        <w:tc>
          <w:tcPr>
            <w:tcW w:w="14080" w:type="dxa"/>
            <w:gridSpan w:val="5"/>
            <w:tcBorders>
              <w:top w:val="nil"/>
              <w:left w:val="nil"/>
              <w:bottom w:val="nil"/>
              <w:right w:val="nil"/>
            </w:tcBorders>
            <w:vAlign w:val="center"/>
          </w:tcPr>
          <w:p w14:paraId="1BFA040E">
            <w:pPr>
              <w:widowControl/>
              <w:jc w:val="center"/>
              <w:rPr>
                <w:rFonts w:asciiTheme="majorEastAsia" w:hAnsiTheme="majorEastAsia" w:eastAsiaTheme="majorEastAsia" w:cstheme="majorEastAsia"/>
                <w:b/>
                <w:bCs/>
                <w:color w:val="000000" w:themeColor="text1"/>
                <w:kern w:val="0"/>
                <w:sz w:val="48"/>
                <w:szCs w:val="48"/>
                <w:highlight w:val="none"/>
                <w14:textFill>
                  <w14:solidFill>
                    <w14:schemeClr w14:val="tx1"/>
                  </w14:solidFill>
                </w14:textFill>
              </w:rPr>
            </w:pPr>
            <w:r>
              <w:rPr>
                <w:rFonts w:hint="eastAsia" w:asciiTheme="majorEastAsia" w:hAnsiTheme="majorEastAsia" w:eastAsiaTheme="majorEastAsia" w:cstheme="majorEastAsia"/>
                <w:b/>
                <w:bCs/>
                <w:color w:val="000000" w:themeColor="text1"/>
                <w:kern w:val="0"/>
                <w:sz w:val="48"/>
                <w:szCs w:val="48"/>
                <w:highlight w:val="none"/>
                <w14:textFill>
                  <w14:solidFill>
                    <w14:schemeClr w14:val="tx1"/>
                  </w14:solidFill>
                </w14:textFill>
              </w:rPr>
              <w:t>政府采购项目验收单</w:t>
            </w:r>
          </w:p>
        </w:tc>
      </w:tr>
      <w:tr w14:paraId="7EFD8C31">
        <w:tblPrEx>
          <w:tblCellMar>
            <w:top w:w="0" w:type="dxa"/>
            <w:left w:w="108" w:type="dxa"/>
            <w:bottom w:w="0" w:type="dxa"/>
            <w:right w:w="108" w:type="dxa"/>
          </w:tblCellMar>
        </w:tblPrEx>
        <w:trPr>
          <w:trHeight w:val="570" w:hRule="atLeast"/>
          <w:jc w:val="center"/>
        </w:trPr>
        <w:tc>
          <w:tcPr>
            <w:tcW w:w="14080" w:type="dxa"/>
            <w:gridSpan w:val="5"/>
            <w:tcBorders>
              <w:top w:val="nil"/>
              <w:left w:val="nil"/>
              <w:bottom w:val="nil"/>
              <w:right w:val="nil"/>
            </w:tcBorders>
            <w:vAlign w:val="center"/>
          </w:tcPr>
          <w:p w14:paraId="1EFE6627">
            <w:pPr>
              <w:wordWrap w:val="0"/>
              <w:spacing w:line="300" w:lineRule="atLeas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按照南湖区政府采购计划</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临[2025]255号</w:t>
            </w:r>
            <w:r>
              <w:rPr>
                <w:rFonts w:hint="eastAsia" w:asciiTheme="majorEastAsia" w:hAnsiTheme="majorEastAsia" w:eastAsiaTheme="majorEastAsia" w:cstheme="majorEastAsia"/>
                <w:color w:val="000000" w:themeColor="text1"/>
                <w:highlight w:val="none"/>
                <w14:textFill>
                  <w14:solidFill>
                    <w14:schemeClr w14:val="tx1"/>
                  </w14:solidFill>
                </w14:textFill>
              </w:rPr>
              <w:t>，采购编号：</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t>，合同号：</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t>，以下项目已采购到位并验收合格。</w:t>
            </w:r>
          </w:p>
        </w:tc>
      </w:tr>
      <w:tr w14:paraId="6C186226">
        <w:tblPrEx>
          <w:tblCellMar>
            <w:top w:w="0" w:type="dxa"/>
            <w:left w:w="108" w:type="dxa"/>
            <w:bottom w:w="0" w:type="dxa"/>
            <w:right w:w="108" w:type="dxa"/>
          </w:tblCellMar>
        </w:tblPrEx>
        <w:trPr>
          <w:trHeight w:val="870" w:hRule="atLeast"/>
          <w:jc w:val="center"/>
        </w:trPr>
        <w:tc>
          <w:tcPr>
            <w:tcW w:w="4620" w:type="dxa"/>
            <w:tcBorders>
              <w:top w:val="single" w:color="auto" w:sz="4" w:space="0"/>
              <w:left w:val="single" w:color="auto" w:sz="4" w:space="0"/>
              <w:bottom w:val="nil"/>
              <w:right w:val="single" w:color="auto" w:sz="4" w:space="0"/>
            </w:tcBorders>
            <w:vAlign w:val="center"/>
          </w:tcPr>
          <w:p w14:paraId="0B83B2D5">
            <w:pPr>
              <w:widowControl/>
              <w:jc w:val="center"/>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服务名称</w:t>
            </w:r>
          </w:p>
        </w:tc>
        <w:tc>
          <w:tcPr>
            <w:tcW w:w="4840" w:type="dxa"/>
            <w:tcBorders>
              <w:top w:val="single" w:color="auto" w:sz="4" w:space="0"/>
              <w:left w:val="nil"/>
              <w:bottom w:val="nil"/>
              <w:right w:val="single" w:color="auto" w:sz="4" w:space="0"/>
            </w:tcBorders>
            <w:vAlign w:val="center"/>
          </w:tcPr>
          <w:p w14:paraId="4D873817">
            <w:pPr>
              <w:widowControl/>
              <w:jc w:val="center"/>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服务内容</w:t>
            </w:r>
          </w:p>
        </w:tc>
        <w:tc>
          <w:tcPr>
            <w:tcW w:w="1280" w:type="dxa"/>
            <w:tcBorders>
              <w:top w:val="single" w:color="auto" w:sz="4" w:space="0"/>
              <w:left w:val="nil"/>
              <w:bottom w:val="nil"/>
              <w:right w:val="single" w:color="auto" w:sz="4" w:space="0"/>
            </w:tcBorders>
            <w:vAlign w:val="center"/>
          </w:tcPr>
          <w:p w14:paraId="16AF838D">
            <w:pPr>
              <w:widowControl/>
              <w:jc w:val="center"/>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数量</w:t>
            </w:r>
          </w:p>
        </w:tc>
        <w:tc>
          <w:tcPr>
            <w:tcW w:w="1600" w:type="dxa"/>
            <w:tcBorders>
              <w:top w:val="single" w:color="auto" w:sz="4" w:space="0"/>
              <w:left w:val="nil"/>
              <w:bottom w:val="nil"/>
              <w:right w:val="single" w:color="auto" w:sz="4" w:space="0"/>
            </w:tcBorders>
            <w:vAlign w:val="center"/>
          </w:tcPr>
          <w:p w14:paraId="77CC220A">
            <w:pPr>
              <w:widowControl/>
              <w:jc w:val="center"/>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核定总价</w:t>
            </w:r>
          </w:p>
        </w:tc>
        <w:tc>
          <w:tcPr>
            <w:tcW w:w="1740" w:type="dxa"/>
            <w:tcBorders>
              <w:top w:val="single" w:color="auto" w:sz="4" w:space="0"/>
              <w:left w:val="nil"/>
              <w:bottom w:val="single" w:color="auto" w:sz="4" w:space="0"/>
              <w:right w:val="single" w:color="auto" w:sz="4" w:space="0"/>
            </w:tcBorders>
            <w:vAlign w:val="center"/>
          </w:tcPr>
          <w:p w14:paraId="7C71ADC1">
            <w:pPr>
              <w:widowControl/>
              <w:jc w:val="center"/>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征集人</w:t>
            </w: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br w:type="textWrapping"/>
            </w: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验收意见</w:t>
            </w:r>
          </w:p>
        </w:tc>
      </w:tr>
      <w:tr w14:paraId="1CD60B55">
        <w:tblPrEx>
          <w:tblCellMar>
            <w:top w:w="0" w:type="dxa"/>
            <w:left w:w="108" w:type="dxa"/>
            <w:bottom w:w="0" w:type="dxa"/>
            <w:right w:w="108" w:type="dxa"/>
          </w:tblCellMar>
        </w:tblPrEx>
        <w:trPr>
          <w:trHeight w:val="746" w:hRule="atLeast"/>
          <w:jc w:val="center"/>
        </w:trPr>
        <w:tc>
          <w:tcPr>
            <w:tcW w:w="4620" w:type="dxa"/>
            <w:tcBorders>
              <w:top w:val="single" w:color="auto" w:sz="4" w:space="0"/>
              <w:left w:val="single" w:color="auto" w:sz="4" w:space="0"/>
              <w:bottom w:val="single" w:color="auto" w:sz="4" w:space="0"/>
              <w:right w:val="single" w:color="auto" w:sz="4" w:space="0"/>
            </w:tcBorders>
            <w:vAlign w:val="center"/>
          </w:tcPr>
          <w:p w14:paraId="5E77E8A1">
            <w:pPr>
              <w:widowControl/>
              <w:jc w:val="center"/>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pPr>
          </w:p>
        </w:tc>
        <w:tc>
          <w:tcPr>
            <w:tcW w:w="4840" w:type="dxa"/>
            <w:tcBorders>
              <w:top w:val="single" w:color="auto" w:sz="4" w:space="0"/>
              <w:left w:val="nil"/>
              <w:bottom w:val="single" w:color="auto" w:sz="4" w:space="0"/>
              <w:right w:val="single" w:color="auto" w:sz="4" w:space="0"/>
            </w:tcBorders>
            <w:vAlign w:val="center"/>
          </w:tcPr>
          <w:p w14:paraId="54E59E50">
            <w:pPr>
              <w:widowControl/>
              <w:jc w:val="center"/>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pPr>
          </w:p>
        </w:tc>
        <w:tc>
          <w:tcPr>
            <w:tcW w:w="1280" w:type="dxa"/>
            <w:tcBorders>
              <w:top w:val="single" w:color="auto" w:sz="4" w:space="0"/>
              <w:left w:val="nil"/>
              <w:bottom w:val="single" w:color="auto" w:sz="4" w:space="0"/>
              <w:right w:val="single" w:color="auto" w:sz="4" w:space="0"/>
            </w:tcBorders>
            <w:vAlign w:val="center"/>
          </w:tcPr>
          <w:p w14:paraId="7FD3F3FE">
            <w:pPr>
              <w:widowControl/>
              <w:jc w:val="center"/>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pPr>
          </w:p>
        </w:tc>
        <w:tc>
          <w:tcPr>
            <w:tcW w:w="1600" w:type="dxa"/>
            <w:tcBorders>
              <w:top w:val="single" w:color="auto" w:sz="4" w:space="0"/>
              <w:left w:val="nil"/>
              <w:bottom w:val="single" w:color="auto" w:sz="4" w:space="0"/>
              <w:right w:val="single" w:color="auto" w:sz="4" w:space="0"/>
            </w:tcBorders>
            <w:vAlign w:val="center"/>
          </w:tcPr>
          <w:p w14:paraId="5476B356">
            <w:pPr>
              <w:widowControl/>
              <w:jc w:val="center"/>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pPr>
          </w:p>
        </w:tc>
        <w:tc>
          <w:tcPr>
            <w:tcW w:w="1740" w:type="dxa"/>
            <w:tcBorders>
              <w:top w:val="nil"/>
              <w:left w:val="nil"/>
              <w:bottom w:val="single" w:color="auto" w:sz="4" w:space="0"/>
              <w:right w:val="single" w:color="auto" w:sz="4" w:space="0"/>
            </w:tcBorders>
            <w:vAlign w:val="bottom"/>
          </w:tcPr>
          <w:p w14:paraId="5A2A151B">
            <w:pPr>
              <w:widowControl/>
              <w:jc w:val="left"/>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pPr>
          </w:p>
        </w:tc>
      </w:tr>
      <w:tr w14:paraId="56826881">
        <w:tblPrEx>
          <w:tblCellMar>
            <w:top w:w="0" w:type="dxa"/>
            <w:left w:w="108" w:type="dxa"/>
            <w:bottom w:w="0" w:type="dxa"/>
            <w:right w:w="108" w:type="dxa"/>
          </w:tblCellMar>
        </w:tblPrEx>
        <w:trPr>
          <w:trHeight w:val="746" w:hRule="atLeast"/>
          <w:jc w:val="center"/>
        </w:trPr>
        <w:tc>
          <w:tcPr>
            <w:tcW w:w="4620" w:type="dxa"/>
            <w:tcBorders>
              <w:top w:val="single" w:color="auto" w:sz="4" w:space="0"/>
              <w:left w:val="single" w:color="auto" w:sz="4" w:space="0"/>
              <w:bottom w:val="single" w:color="auto" w:sz="4" w:space="0"/>
              <w:right w:val="single" w:color="auto" w:sz="4" w:space="0"/>
            </w:tcBorders>
            <w:vAlign w:val="center"/>
          </w:tcPr>
          <w:p w14:paraId="166D80EF">
            <w:pPr>
              <w:widowControl/>
              <w:jc w:val="center"/>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p>
        </w:tc>
        <w:tc>
          <w:tcPr>
            <w:tcW w:w="4840" w:type="dxa"/>
            <w:tcBorders>
              <w:top w:val="single" w:color="auto" w:sz="4" w:space="0"/>
              <w:left w:val="nil"/>
              <w:bottom w:val="single" w:color="auto" w:sz="4" w:space="0"/>
              <w:right w:val="single" w:color="auto" w:sz="4" w:space="0"/>
            </w:tcBorders>
            <w:vAlign w:val="center"/>
          </w:tcPr>
          <w:p w14:paraId="207A5F54">
            <w:pPr>
              <w:widowControl/>
              <w:jc w:val="center"/>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p>
        </w:tc>
        <w:tc>
          <w:tcPr>
            <w:tcW w:w="1280" w:type="dxa"/>
            <w:tcBorders>
              <w:top w:val="single" w:color="auto" w:sz="4" w:space="0"/>
              <w:left w:val="nil"/>
              <w:bottom w:val="single" w:color="auto" w:sz="4" w:space="0"/>
              <w:right w:val="single" w:color="auto" w:sz="4" w:space="0"/>
            </w:tcBorders>
            <w:vAlign w:val="center"/>
          </w:tcPr>
          <w:p w14:paraId="513EFEB3">
            <w:pPr>
              <w:widowControl/>
              <w:jc w:val="center"/>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p>
        </w:tc>
        <w:tc>
          <w:tcPr>
            <w:tcW w:w="1600" w:type="dxa"/>
            <w:tcBorders>
              <w:top w:val="single" w:color="auto" w:sz="4" w:space="0"/>
              <w:left w:val="nil"/>
              <w:bottom w:val="single" w:color="auto" w:sz="4" w:space="0"/>
              <w:right w:val="single" w:color="auto" w:sz="4" w:space="0"/>
            </w:tcBorders>
            <w:vAlign w:val="center"/>
          </w:tcPr>
          <w:p w14:paraId="5E1CA05D">
            <w:pPr>
              <w:widowControl/>
              <w:jc w:val="center"/>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p>
        </w:tc>
        <w:tc>
          <w:tcPr>
            <w:tcW w:w="1740" w:type="dxa"/>
            <w:tcBorders>
              <w:top w:val="nil"/>
              <w:left w:val="nil"/>
              <w:bottom w:val="single" w:color="auto" w:sz="4" w:space="0"/>
              <w:right w:val="single" w:color="auto" w:sz="4" w:space="0"/>
            </w:tcBorders>
            <w:vAlign w:val="bottom"/>
          </w:tcPr>
          <w:p w14:paraId="7FAC04E1">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p>
        </w:tc>
      </w:tr>
      <w:tr w14:paraId="69D2806C">
        <w:tblPrEx>
          <w:tblCellMar>
            <w:top w:w="0" w:type="dxa"/>
            <w:left w:w="108" w:type="dxa"/>
            <w:bottom w:w="0" w:type="dxa"/>
            <w:right w:w="108" w:type="dxa"/>
          </w:tblCellMar>
        </w:tblPrEx>
        <w:trPr>
          <w:trHeight w:val="750" w:hRule="atLeast"/>
          <w:jc w:val="center"/>
        </w:trPr>
        <w:tc>
          <w:tcPr>
            <w:tcW w:w="4620" w:type="dxa"/>
            <w:tcBorders>
              <w:top w:val="nil"/>
              <w:left w:val="single" w:color="auto" w:sz="4" w:space="0"/>
              <w:bottom w:val="single" w:color="auto" w:sz="4" w:space="0"/>
              <w:right w:val="single" w:color="auto" w:sz="4" w:space="0"/>
            </w:tcBorders>
            <w:vAlign w:val="center"/>
          </w:tcPr>
          <w:p w14:paraId="7E9B7B43">
            <w:pPr>
              <w:widowControl/>
              <w:jc w:val="center"/>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合计总价款（人民币）</w:t>
            </w:r>
          </w:p>
        </w:tc>
        <w:tc>
          <w:tcPr>
            <w:tcW w:w="9460" w:type="dxa"/>
            <w:gridSpan w:val="4"/>
            <w:tcBorders>
              <w:top w:val="nil"/>
              <w:left w:val="nil"/>
              <w:bottom w:val="single" w:color="auto" w:sz="4" w:space="0"/>
              <w:right w:val="single" w:color="000000" w:sz="4" w:space="0"/>
            </w:tcBorders>
            <w:vAlign w:val="center"/>
          </w:tcPr>
          <w:p w14:paraId="325CDBD8">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 xml:space="preserve">人民币元整。       ￥: </w:t>
            </w:r>
          </w:p>
        </w:tc>
      </w:tr>
      <w:tr w14:paraId="330200B2">
        <w:tblPrEx>
          <w:tblCellMar>
            <w:top w:w="0" w:type="dxa"/>
            <w:left w:w="108" w:type="dxa"/>
            <w:bottom w:w="0" w:type="dxa"/>
            <w:right w:w="108" w:type="dxa"/>
          </w:tblCellMar>
        </w:tblPrEx>
        <w:trPr>
          <w:trHeight w:val="690" w:hRule="atLeast"/>
          <w:jc w:val="center"/>
        </w:trPr>
        <w:tc>
          <w:tcPr>
            <w:tcW w:w="4620" w:type="dxa"/>
            <w:tcBorders>
              <w:top w:val="nil"/>
              <w:left w:val="single" w:color="auto" w:sz="4" w:space="0"/>
              <w:bottom w:val="nil"/>
              <w:right w:val="nil"/>
            </w:tcBorders>
            <w:vAlign w:val="bottom"/>
          </w:tcPr>
          <w:p w14:paraId="58342393">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服务单位（盖章）：</w:t>
            </w:r>
          </w:p>
        </w:tc>
        <w:tc>
          <w:tcPr>
            <w:tcW w:w="4840" w:type="dxa"/>
            <w:tcBorders>
              <w:top w:val="nil"/>
              <w:left w:val="nil"/>
              <w:bottom w:val="nil"/>
              <w:right w:val="nil"/>
            </w:tcBorders>
            <w:vAlign w:val="bottom"/>
          </w:tcPr>
          <w:p w14:paraId="7AA351C6">
            <w:pPr>
              <w:widowControl/>
              <w:ind w:firstLine="1680" w:firstLineChars="800"/>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征集人（盖章）:</w:t>
            </w:r>
          </w:p>
        </w:tc>
        <w:tc>
          <w:tcPr>
            <w:tcW w:w="2880" w:type="dxa"/>
            <w:gridSpan w:val="2"/>
            <w:tcBorders>
              <w:top w:val="nil"/>
              <w:left w:val="nil"/>
              <w:bottom w:val="nil"/>
              <w:right w:val="nil"/>
            </w:tcBorders>
            <w:vAlign w:val="bottom"/>
          </w:tcPr>
          <w:p w14:paraId="58BCA792">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p>
        </w:tc>
        <w:tc>
          <w:tcPr>
            <w:tcW w:w="1740" w:type="dxa"/>
            <w:tcBorders>
              <w:top w:val="nil"/>
              <w:left w:val="nil"/>
              <w:bottom w:val="nil"/>
              <w:right w:val="single" w:color="auto" w:sz="4" w:space="0"/>
            </w:tcBorders>
            <w:vAlign w:val="bottom"/>
          </w:tcPr>
          <w:p w14:paraId="65B4E62F">
            <w:pPr>
              <w:widowControl/>
              <w:jc w:val="left"/>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pPr>
          </w:p>
        </w:tc>
      </w:tr>
      <w:tr w14:paraId="59027DA9">
        <w:tblPrEx>
          <w:tblCellMar>
            <w:top w:w="0" w:type="dxa"/>
            <w:left w:w="108" w:type="dxa"/>
            <w:bottom w:w="0" w:type="dxa"/>
            <w:right w:w="108" w:type="dxa"/>
          </w:tblCellMar>
        </w:tblPrEx>
        <w:trPr>
          <w:trHeight w:val="525" w:hRule="atLeast"/>
          <w:jc w:val="center"/>
        </w:trPr>
        <w:tc>
          <w:tcPr>
            <w:tcW w:w="4620" w:type="dxa"/>
            <w:tcBorders>
              <w:top w:val="nil"/>
              <w:left w:val="single" w:color="auto" w:sz="4" w:space="0"/>
              <w:bottom w:val="nil"/>
              <w:right w:val="nil"/>
            </w:tcBorders>
            <w:vAlign w:val="bottom"/>
          </w:tcPr>
          <w:p w14:paraId="5DFCDF1F">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经办项目负责人：</w:t>
            </w:r>
          </w:p>
        </w:tc>
        <w:tc>
          <w:tcPr>
            <w:tcW w:w="4840" w:type="dxa"/>
            <w:tcBorders>
              <w:top w:val="nil"/>
              <w:left w:val="nil"/>
              <w:bottom w:val="nil"/>
              <w:right w:val="nil"/>
            </w:tcBorders>
            <w:vAlign w:val="bottom"/>
          </w:tcPr>
          <w:p w14:paraId="03116A76">
            <w:pPr>
              <w:widowControl/>
              <w:ind w:firstLine="1680" w:firstLineChars="800"/>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项目验收组组长：</w:t>
            </w:r>
          </w:p>
        </w:tc>
        <w:tc>
          <w:tcPr>
            <w:tcW w:w="2880" w:type="dxa"/>
            <w:gridSpan w:val="2"/>
            <w:tcBorders>
              <w:top w:val="nil"/>
              <w:left w:val="nil"/>
              <w:bottom w:val="nil"/>
              <w:right w:val="nil"/>
            </w:tcBorders>
            <w:vAlign w:val="bottom"/>
          </w:tcPr>
          <w:p w14:paraId="330DC884">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p>
        </w:tc>
        <w:tc>
          <w:tcPr>
            <w:tcW w:w="1740" w:type="dxa"/>
            <w:tcBorders>
              <w:top w:val="nil"/>
              <w:left w:val="nil"/>
              <w:bottom w:val="nil"/>
              <w:right w:val="single" w:color="auto" w:sz="4" w:space="0"/>
            </w:tcBorders>
            <w:vAlign w:val="bottom"/>
          </w:tcPr>
          <w:p w14:paraId="32262F9E">
            <w:pPr>
              <w:widowControl/>
              <w:jc w:val="left"/>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pPr>
          </w:p>
        </w:tc>
      </w:tr>
      <w:tr w14:paraId="6485591D">
        <w:tblPrEx>
          <w:tblCellMar>
            <w:top w:w="0" w:type="dxa"/>
            <w:left w:w="108" w:type="dxa"/>
            <w:bottom w:w="0" w:type="dxa"/>
            <w:right w:w="108" w:type="dxa"/>
          </w:tblCellMar>
        </w:tblPrEx>
        <w:trPr>
          <w:trHeight w:val="525" w:hRule="atLeast"/>
          <w:jc w:val="center"/>
        </w:trPr>
        <w:tc>
          <w:tcPr>
            <w:tcW w:w="4620" w:type="dxa"/>
            <w:tcBorders>
              <w:top w:val="nil"/>
              <w:left w:val="single" w:color="auto" w:sz="4" w:space="0"/>
              <w:bottom w:val="nil"/>
              <w:right w:val="nil"/>
            </w:tcBorders>
            <w:vAlign w:val="bottom"/>
          </w:tcPr>
          <w:p w14:paraId="42B113C9">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联系电话：</w:t>
            </w:r>
          </w:p>
        </w:tc>
        <w:tc>
          <w:tcPr>
            <w:tcW w:w="4840" w:type="dxa"/>
            <w:tcBorders>
              <w:top w:val="nil"/>
              <w:left w:val="nil"/>
              <w:bottom w:val="nil"/>
              <w:right w:val="nil"/>
            </w:tcBorders>
            <w:vAlign w:val="bottom"/>
          </w:tcPr>
          <w:p w14:paraId="22842848">
            <w:pPr>
              <w:widowControl/>
              <w:ind w:firstLine="1680" w:firstLineChars="800"/>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联系电话：</w:t>
            </w:r>
          </w:p>
        </w:tc>
        <w:tc>
          <w:tcPr>
            <w:tcW w:w="1280" w:type="dxa"/>
            <w:tcBorders>
              <w:top w:val="nil"/>
              <w:left w:val="nil"/>
              <w:bottom w:val="nil"/>
              <w:right w:val="nil"/>
            </w:tcBorders>
            <w:vAlign w:val="bottom"/>
          </w:tcPr>
          <w:p w14:paraId="5C33946F">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p>
        </w:tc>
        <w:tc>
          <w:tcPr>
            <w:tcW w:w="1600" w:type="dxa"/>
            <w:tcBorders>
              <w:top w:val="nil"/>
              <w:left w:val="nil"/>
              <w:bottom w:val="nil"/>
              <w:right w:val="nil"/>
            </w:tcBorders>
            <w:vAlign w:val="bottom"/>
          </w:tcPr>
          <w:p w14:paraId="3DCFB408">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p>
        </w:tc>
        <w:tc>
          <w:tcPr>
            <w:tcW w:w="1740" w:type="dxa"/>
            <w:tcBorders>
              <w:top w:val="nil"/>
              <w:left w:val="nil"/>
              <w:bottom w:val="nil"/>
              <w:right w:val="single" w:color="auto" w:sz="4" w:space="0"/>
            </w:tcBorders>
            <w:vAlign w:val="bottom"/>
          </w:tcPr>
          <w:p w14:paraId="45ECE057">
            <w:pPr>
              <w:widowControl/>
              <w:jc w:val="left"/>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pPr>
          </w:p>
        </w:tc>
      </w:tr>
      <w:tr w14:paraId="5108DF50">
        <w:tblPrEx>
          <w:tblCellMar>
            <w:top w:w="0" w:type="dxa"/>
            <w:left w:w="108" w:type="dxa"/>
            <w:bottom w:w="0" w:type="dxa"/>
            <w:right w:w="108" w:type="dxa"/>
          </w:tblCellMar>
        </w:tblPrEx>
        <w:trPr>
          <w:trHeight w:val="540" w:hRule="atLeast"/>
          <w:jc w:val="center"/>
        </w:trPr>
        <w:tc>
          <w:tcPr>
            <w:tcW w:w="4620" w:type="dxa"/>
            <w:tcBorders>
              <w:top w:val="nil"/>
              <w:left w:val="single" w:color="auto" w:sz="4" w:space="0"/>
              <w:bottom w:val="nil"/>
              <w:right w:val="nil"/>
            </w:tcBorders>
            <w:vAlign w:val="bottom"/>
          </w:tcPr>
          <w:p w14:paraId="2B1392B5">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开户银行：</w:t>
            </w:r>
          </w:p>
        </w:tc>
        <w:tc>
          <w:tcPr>
            <w:tcW w:w="4840" w:type="dxa"/>
            <w:tcBorders>
              <w:top w:val="nil"/>
              <w:left w:val="nil"/>
              <w:bottom w:val="nil"/>
              <w:right w:val="nil"/>
            </w:tcBorders>
            <w:vAlign w:val="bottom"/>
          </w:tcPr>
          <w:p w14:paraId="3D1EC3A2">
            <w:pPr>
              <w:widowControl/>
              <w:ind w:firstLine="1680" w:firstLineChars="800"/>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项目验收组成员（签名）：</w:t>
            </w:r>
          </w:p>
        </w:tc>
        <w:tc>
          <w:tcPr>
            <w:tcW w:w="1280" w:type="dxa"/>
            <w:tcBorders>
              <w:top w:val="nil"/>
              <w:left w:val="nil"/>
              <w:bottom w:val="nil"/>
              <w:right w:val="nil"/>
            </w:tcBorders>
            <w:vAlign w:val="bottom"/>
          </w:tcPr>
          <w:p w14:paraId="5B308D1D">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p>
        </w:tc>
        <w:tc>
          <w:tcPr>
            <w:tcW w:w="1600" w:type="dxa"/>
            <w:tcBorders>
              <w:top w:val="nil"/>
              <w:left w:val="nil"/>
              <w:bottom w:val="nil"/>
              <w:right w:val="nil"/>
            </w:tcBorders>
            <w:vAlign w:val="bottom"/>
          </w:tcPr>
          <w:p w14:paraId="054B9AAC">
            <w:pPr>
              <w:widowControl/>
              <w:jc w:val="left"/>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p>
        </w:tc>
        <w:tc>
          <w:tcPr>
            <w:tcW w:w="1740" w:type="dxa"/>
            <w:tcBorders>
              <w:top w:val="nil"/>
              <w:left w:val="nil"/>
              <w:bottom w:val="nil"/>
              <w:right w:val="single" w:color="auto" w:sz="4" w:space="0"/>
            </w:tcBorders>
            <w:vAlign w:val="bottom"/>
          </w:tcPr>
          <w:p w14:paraId="7FA6F672">
            <w:pPr>
              <w:widowControl/>
              <w:jc w:val="left"/>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pPr>
          </w:p>
        </w:tc>
      </w:tr>
      <w:tr w14:paraId="48E1C030">
        <w:tblPrEx>
          <w:tblCellMar>
            <w:top w:w="0" w:type="dxa"/>
            <w:left w:w="108" w:type="dxa"/>
            <w:bottom w:w="0" w:type="dxa"/>
            <w:right w:w="108" w:type="dxa"/>
          </w:tblCellMar>
        </w:tblPrEx>
        <w:trPr>
          <w:trHeight w:val="675" w:hRule="atLeast"/>
          <w:jc w:val="center"/>
        </w:trPr>
        <w:tc>
          <w:tcPr>
            <w:tcW w:w="4620" w:type="dxa"/>
            <w:tcBorders>
              <w:top w:val="nil"/>
              <w:left w:val="single" w:color="auto" w:sz="4" w:space="0"/>
              <w:bottom w:val="single" w:color="auto" w:sz="4" w:space="0"/>
              <w:right w:val="nil"/>
            </w:tcBorders>
            <w:vAlign w:val="center"/>
          </w:tcPr>
          <w:p w14:paraId="1E884CBD">
            <w:pPr>
              <w:widowControl/>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银行帐号：</w:t>
            </w:r>
          </w:p>
        </w:tc>
        <w:tc>
          <w:tcPr>
            <w:tcW w:w="4840" w:type="dxa"/>
            <w:tcBorders>
              <w:top w:val="nil"/>
              <w:left w:val="nil"/>
              <w:bottom w:val="single" w:color="auto" w:sz="4" w:space="0"/>
              <w:right w:val="nil"/>
            </w:tcBorders>
            <w:vAlign w:val="bottom"/>
          </w:tcPr>
          <w:p w14:paraId="1F982352">
            <w:pPr>
              <w:widowControl/>
              <w:jc w:val="left"/>
              <w:rPr>
                <w:rFonts w:hint="eastAsia" w:asciiTheme="majorEastAsia" w:hAnsiTheme="majorEastAsia" w:eastAsiaTheme="majorEastAsia" w:cstheme="majorEastAsia"/>
                <w:color w:val="000000" w:themeColor="text1"/>
                <w:kern w:val="0"/>
                <w:sz w:val="21"/>
                <w:szCs w:val="21"/>
                <w:highlight w:val="none"/>
                <w:lang w:eastAsia="zh-CN"/>
                <w14:textFill>
                  <w14:solidFill>
                    <w14:schemeClr w14:val="tx1"/>
                  </w14:solidFill>
                </w14:textFill>
              </w:rPr>
            </w:pPr>
          </w:p>
        </w:tc>
        <w:tc>
          <w:tcPr>
            <w:tcW w:w="4620" w:type="dxa"/>
            <w:gridSpan w:val="3"/>
            <w:tcBorders>
              <w:top w:val="nil"/>
              <w:left w:val="nil"/>
              <w:bottom w:val="single" w:color="auto" w:sz="4" w:space="0"/>
              <w:right w:val="single" w:color="000000" w:sz="4" w:space="0"/>
            </w:tcBorders>
            <w:vAlign w:val="center"/>
          </w:tcPr>
          <w:p w14:paraId="3405F2FF">
            <w:pPr>
              <w:widowControl/>
              <w:rPr>
                <w:rFonts w:asciiTheme="majorEastAsia" w:hAnsiTheme="majorEastAsia" w:eastAsiaTheme="majorEastAsia" w:cstheme="majorEastAsia"/>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1"/>
                <w:szCs w:val="21"/>
                <w:highlight w:val="none"/>
                <w14:textFill>
                  <w14:solidFill>
                    <w14:schemeClr w14:val="tx1"/>
                  </w14:solidFill>
                </w14:textFill>
              </w:rPr>
              <w:t>验收时间：    年   月    日</w:t>
            </w:r>
          </w:p>
        </w:tc>
      </w:tr>
      <w:tr w14:paraId="21115D2E">
        <w:tblPrEx>
          <w:tblCellMar>
            <w:top w:w="0" w:type="dxa"/>
            <w:left w:w="108" w:type="dxa"/>
            <w:bottom w:w="0" w:type="dxa"/>
            <w:right w:w="108" w:type="dxa"/>
          </w:tblCellMar>
        </w:tblPrEx>
        <w:trPr>
          <w:trHeight w:val="345" w:hRule="atLeast"/>
          <w:jc w:val="center"/>
        </w:trPr>
        <w:tc>
          <w:tcPr>
            <w:tcW w:w="14080" w:type="dxa"/>
            <w:gridSpan w:val="5"/>
            <w:tcBorders>
              <w:top w:val="single" w:color="auto" w:sz="4" w:space="0"/>
              <w:left w:val="nil"/>
              <w:bottom w:val="nil"/>
              <w:right w:val="nil"/>
            </w:tcBorders>
            <w:vAlign w:val="center"/>
          </w:tcPr>
          <w:p w14:paraId="3FD50334">
            <w:pPr>
              <w:widowControl/>
              <w:rPr>
                <w:rFonts w:asciiTheme="majorEastAsia" w:hAnsiTheme="majorEastAsia" w:eastAsiaTheme="majorEastAsia" w:cstheme="majorEastAsia"/>
                <w:color w:val="000000" w:themeColor="text1"/>
                <w:kern w:val="0"/>
                <w:sz w:val="22"/>
                <w:szCs w:val="22"/>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sz w:val="22"/>
                <w:szCs w:val="22"/>
                <w:highlight w:val="none"/>
                <w14:textFill>
                  <w14:solidFill>
                    <w14:schemeClr w14:val="tx1"/>
                  </w14:solidFill>
                </w14:textFill>
              </w:rPr>
              <w:t>本单一式四联：第一联征集人留存，第二联作为财政支付凭证，第三联供货单位留存。</w:t>
            </w:r>
          </w:p>
        </w:tc>
      </w:tr>
    </w:tbl>
    <w:p w14:paraId="709D1684">
      <w:pPr>
        <w:pStyle w:val="24"/>
        <w:ind w:left="480" w:firstLine="404"/>
        <w:rPr>
          <w:rFonts w:asciiTheme="majorEastAsia" w:hAnsiTheme="majorEastAsia" w:eastAsiaTheme="majorEastAsia" w:cstheme="majorEastAsia"/>
          <w:color w:val="000000" w:themeColor="text1"/>
          <w:highlight w:val="none"/>
          <w14:textFill>
            <w14:solidFill>
              <w14:schemeClr w14:val="tx1"/>
            </w14:solidFill>
          </w14:textFill>
        </w:rPr>
        <w:sectPr>
          <w:pgSz w:w="16781" w:h="11849" w:orient="landscape"/>
          <w:pgMar w:top="1247" w:right="1531" w:bottom="1134" w:left="1531" w:header="851" w:footer="850" w:gutter="0"/>
          <w:cols w:space="0" w:num="1"/>
          <w:docGrid w:linePitch="312" w:charSpace="0"/>
        </w:sectPr>
      </w:pPr>
    </w:p>
    <w:p w14:paraId="3175BB97">
      <w:pPr>
        <w:pStyle w:val="3"/>
        <w:spacing w:line="240" w:lineRule="auto"/>
        <w:rPr>
          <w:rFonts w:asciiTheme="majorEastAsia" w:hAnsiTheme="majorEastAsia" w:eastAsiaTheme="majorEastAsia" w:cstheme="majorEastAsia"/>
          <w:b w:val="0"/>
          <w:bCs w:val="0"/>
          <w:color w:val="000000" w:themeColor="text1"/>
          <w:sz w:val="32"/>
          <w:szCs w:val="32"/>
          <w:highlight w:val="none"/>
          <w14:textFill>
            <w14:solidFill>
              <w14:schemeClr w14:val="tx1"/>
            </w14:solidFill>
          </w14:textFill>
        </w:rPr>
      </w:pPr>
      <w:bookmarkStart w:id="97" w:name="_Toc21107"/>
      <w:bookmarkStart w:id="98" w:name="_Toc7432608"/>
      <w:r>
        <w:rPr>
          <w:rFonts w:hint="eastAsia" w:asciiTheme="majorEastAsia" w:hAnsiTheme="majorEastAsia" w:eastAsiaTheme="majorEastAsia" w:cstheme="majorEastAsia"/>
          <w:color w:val="000000" w:themeColor="text1"/>
          <w:sz w:val="32"/>
          <w:szCs w:val="32"/>
          <w:highlight w:val="none"/>
          <w14:textFill>
            <w14:solidFill>
              <w14:schemeClr w14:val="tx1"/>
            </w14:solidFill>
          </w14:textFill>
        </w:rPr>
        <w:t>第六章  响应文件格式</w:t>
      </w:r>
      <w:bookmarkEnd w:id="97"/>
      <w:bookmarkEnd w:id="98"/>
    </w:p>
    <w:p w14:paraId="6882E03E">
      <w:pPr>
        <w:spacing w:line="360" w:lineRule="auto"/>
        <w:jc w:val="center"/>
        <w:outlineLvl w:val="0"/>
        <w:rPr>
          <w:rFonts w:asciiTheme="majorEastAsia" w:hAnsiTheme="majorEastAsia" w:eastAsiaTheme="majorEastAsia" w:cstheme="majorEastAsia"/>
          <w:b/>
          <w:color w:val="000000" w:themeColor="text1"/>
          <w:kern w:val="0"/>
          <w:sz w:val="36"/>
          <w:szCs w:val="36"/>
          <w:highlight w:val="none"/>
          <w14:textFill>
            <w14:solidFill>
              <w14:schemeClr w14:val="tx1"/>
            </w14:solidFill>
          </w14:textFill>
        </w:rPr>
      </w:pPr>
      <w:bookmarkStart w:id="99" w:name="_Toc4124"/>
      <w:bookmarkStart w:id="100" w:name="_Toc385366748"/>
      <w:bookmarkStart w:id="101" w:name="_Toc90725831"/>
    </w:p>
    <w:p w14:paraId="46999503">
      <w:pPr>
        <w:spacing w:line="360" w:lineRule="auto"/>
        <w:jc w:val="center"/>
        <w:outlineLvl w:val="0"/>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t>资格文件部分</w:t>
      </w:r>
      <w:bookmarkEnd w:id="99"/>
      <w:bookmarkEnd w:id="100"/>
      <w:bookmarkEnd w:id="101"/>
    </w:p>
    <w:p w14:paraId="6821F9AB">
      <w:pPr>
        <w:spacing w:line="360" w:lineRule="auto"/>
        <w:jc w:val="center"/>
        <w:outlineLvl w:val="0"/>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bookmarkStart w:id="102" w:name="_Toc22948"/>
      <w:bookmarkStart w:id="103" w:name="_Toc1507867318"/>
      <w:bookmarkStart w:id="104" w:name="_Toc1798564897"/>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t>目录</w:t>
      </w:r>
      <w:bookmarkEnd w:id="102"/>
      <w:bookmarkEnd w:id="103"/>
      <w:bookmarkEnd w:id="104"/>
    </w:p>
    <w:p w14:paraId="0067157A">
      <w:pPr>
        <w:pStyle w:val="24"/>
        <w:ind w:left="480" w:firstLine="404"/>
        <w:rPr>
          <w:color w:val="000000" w:themeColor="text1"/>
          <w:highlight w:val="none"/>
          <w14:textFill>
            <w14:solidFill>
              <w14:schemeClr w14:val="tx1"/>
            </w14:solidFill>
          </w14:textFill>
        </w:rPr>
      </w:pPr>
    </w:p>
    <w:p w14:paraId="2109EE4D">
      <w:pPr>
        <w:widowControl/>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符合参加政府采购活动应当具备的一般条件的承诺函……………</w:t>
      </w:r>
      <w:r>
        <w:rPr>
          <w:rFonts w:hint="eastAsia" w:ascii="宋体" w:hAnsi="宋体"/>
          <w:color w:val="000000" w:themeColor="text1"/>
          <w:kern w:val="0"/>
          <w:highlight w:val="none"/>
          <w14:textFill>
            <w14:solidFill>
              <w14:schemeClr w14:val="tx1"/>
            </w14:solidFill>
          </w14:textFill>
        </w:rPr>
        <w:t>………</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（页码）</w:t>
      </w:r>
    </w:p>
    <w:p w14:paraId="4729DC90">
      <w:pPr>
        <w:widowControl/>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落实政府采购政策需满足的资格要求………………………………………（页码）</w:t>
      </w:r>
    </w:p>
    <w:p w14:paraId="1F05D3E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left"/>
        <w:rPr>
          <w:rFonts w:asciiTheme="majorEastAsia" w:hAnsiTheme="majorEastAsia" w:eastAsiaTheme="majorEastAsia" w:cstheme="majorEastAsia"/>
          <w:color w:val="000000" w:themeColor="text1"/>
          <w:kern w:val="0"/>
          <w:highlight w:val="none"/>
          <w14:textFill>
            <w14:solidFill>
              <w14:schemeClr w14:val="tx1"/>
            </w14:solidFill>
          </w14:textFill>
        </w:rPr>
      </w:pPr>
    </w:p>
    <w:p w14:paraId="6DA2FBA9">
      <w:pPr>
        <w:pStyle w:val="12"/>
        <w:ind w:firstLine="0"/>
        <w:rPr>
          <w:rFonts w:asciiTheme="majorEastAsia" w:hAnsiTheme="majorEastAsia" w:eastAsiaTheme="majorEastAsia" w:cstheme="majorEastAsia"/>
          <w:color w:val="000000" w:themeColor="text1"/>
          <w:sz w:val="24"/>
          <w:highlight w:val="none"/>
          <w14:textFill>
            <w14:solidFill>
              <w14:schemeClr w14:val="tx1"/>
            </w14:solidFill>
          </w14:textFill>
        </w:rPr>
      </w:pPr>
    </w:p>
    <w:p w14:paraId="7E604457">
      <w:pPr>
        <w:rPr>
          <w:rFonts w:asciiTheme="majorEastAsia" w:hAnsiTheme="majorEastAsia" w:eastAsiaTheme="majorEastAsia" w:cstheme="majorEastAsia"/>
          <w:b/>
          <w:color w:val="000000" w:themeColor="text1"/>
          <w:kern w:val="0"/>
          <w:sz w:val="30"/>
          <w:szCs w:val="30"/>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0"/>
          <w:szCs w:val="30"/>
          <w:highlight w:val="none"/>
          <w14:textFill>
            <w14:solidFill>
              <w14:schemeClr w14:val="tx1"/>
            </w14:solidFill>
          </w14:textFill>
        </w:rPr>
        <w:br w:type="page"/>
      </w:r>
    </w:p>
    <w:p w14:paraId="6608311E">
      <w:pPr>
        <w:snapToGrid w:val="0"/>
        <w:spacing w:line="360" w:lineRule="auto"/>
        <w:ind w:right="480"/>
        <w:jc w:val="center"/>
        <w:rPr>
          <w:rFonts w:asciiTheme="majorEastAsia" w:hAnsiTheme="majorEastAsia" w:eastAsiaTheme="majorEastAsia" w:cstheme="majorEastAsia"/>
          <w:b/>
          <w:color w:val="000000" w:themeColor="text1"/>
          <w:kern w:val="0"/>
          <w:sz w:val="30"/>
          <w:szCs w:val="30"/>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0"/>
          <w:szCs w:val="30"/>
          <w:highlight w:val="none"/>
          <w14:textFill>
            <w14:solidFill>
              <w14:schemeClr w14:val="tx1"/>
            </w14:solidFill>
          </w14:textFill>
        </w:rPr>
        <w:t>一、符合参加政府采购活动应当具备的一般条件的承诺函</w:t>
      </w:r>
    </w:p>
    <w:p w14:paraId="6D5A01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 xml:space="preserve">     （征集人）    </w:t>
      </w:r>
      <w:r>
        <w:rPr>
          <w:rFonts w:hint="eastAsia" w:asciiTheme="majorEastAsia" w:hAnsiTheme="majorEastAsia" w:eastAsiaTheme="majorEastAsia" w:cstheme="majorEastAsia"/>
          <w:color w:val="000000" w:themeColor="text1"/>
          <w:kern w:val="0"/>
          <w:highlight w:val="none"/>
          <w14:textFill>
            <w14:solidFill>
              <w14:schemeClr w14:val="tx1"/>
            </w14:solidFill>
          </w14:textFill>
        </w:rPr>
        <w:t>：</w:t>
      </w:r>
    </w:p>
    <w:p w14:paraId="76424C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我方参与（项目名称）【项目编号】政府采购活动，郑重承诺：</w:t>
      </w:r>
    </w:p>
    <w:p w14:paraId="77C6FA9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（一）具备《中华人民共和国政府采购法》第二十二条第一款规定的条件：</w:t>
      </w:r>
    </w:p>
    <w:p w14:paraId="39C933A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1、具有独立承担民事责任的能力；</w:t>
      </w:r>
    </w:p>
    <w:p w14:paraId="376E46A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2、具有良好的商业信誉和健全的财务会计制度；</w:t>
      </w:r>
    </w:p>
    <w:p w14:paraId="759AEF5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3、具有履行合同所必需的设备和专业技术能力；</w:t>
      </w:r>
    </w:p>
    <w:p w14:paraId="6C192F8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4、有依法缴纳税收和社会保障资金的良好记录；</w:t>
      </w:r>
    </w:p>
    <w:p w14:paraId="58AFD52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5、参加政府采购活动前三年内，在经营活动中没有重大违法记录；</w:t>
      </w:r>
    </w:p>
    <w:p w14:paraId="0D89235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6、具有法律、行政法规规定的其他条件。</w:t>
      </w:r>
    </w:p>
    <w:p w14:paraId="070F986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4868B8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（三）不存在以下情况：</w:t>
      </w:r>
    </w:p>
    <w:p w14:paraId="56D8558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1、单位负责人为同一人或者存在直接控股、管理关系的不同供应商参加同一合同项下的政府采购活动的；</w:t>
      </w:r>
    </w:p>
    <w:p w14:paraId="519747D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Theme="majorEastAsia" w:hAnsiTheme="majorEastAsia" w:eastAsiaTheme="majorEastAsia" w:cstheme="majorEastAsia"/>
          <w:color w:val="000000" w:themeColor="text1"/>
          <w:kern w:val="0"/>
          <w:highlight w:val="none"/>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2、为采购项目提供整体设计、规范编制或者项目管理、监理、检测等服务后再参加该采购项目的其他采购活动的。</w:t>
      </w:r>
    </w:p>
    <w:p w14:paraId="302EB2B8">
      <w:pPr>
        <w:wordWrap w:val="0"/>
        <w:snapToGrid w:val="0"/>
        <w:spacing w:before="50" w:after="50" w:line="360" w:lineRule="auto"/>
        <w:jc w:val="right"/>
        <w:rPr>
          <w:rFonts w:asciiTheme="majorEastAsia" w:hAnsiTheme="majorEastAsia" w:eastAsiaTheme="majorEastAsia" w:cstheme="majorEastAsia"/>
          <w:color w:val="000000" w:themeColor="text1"/>
          <w:kern w:val="0"/>
          <w:highlight w:val="none"/>
          <w14:textFill>
            <w14:solidFill>
              <w14:schemeClr w14:val="tx1"/>
            </w14:solidFill>
          </w14:textFill>
        </w:rPr>
      </w:pPr>
    </w:p>
    <w:p w14:paraId="654AEB45">
      <w:pPr>
        <w:snapToGrid w:val="0"/>
        <w:spacing w:before="120" w:beforeLines="50" w:line="360" w:lineRule="auto"/>
        <w:jc w:val="right"/>
        <w:rPr>
          <w:rFonts w:ascii="宋体" w:hAnsi="宋体"/>
          <w:color w:val="000000" w:themeColor="text1"/>
          <w:szCs w:val="20"/>
          <w:highlight w:val="none"/>
          <w:u w:val="single"/>
          <w14:textFill>
            <w14:solidFill>
              <w14:schemeClr w14:val="tx1"/>
            </w14:solidFill>
          </w14:textFill>
        </w:rPr>
      </w:pPr>
      <w:r>
        <w:rPr>
          <w:rFonts w:hint="eastAsia" w:ascii="宋体" w:hAnsi="宋体" w:cs="Arial"/>
          <w:color w:val="000000" w:themeColor="text1"/>
          <w:kern w:val="0"/>
          <w:highlight w:val="none"/>
          <w14:textFill>
            <w14:solidFill>
              <w14:schemeClr w14:val="tx1"/>
            </w14:solidFill>
          </w14:textFill>
        </w:rPr>
        <w:t>法定代表人或</w:t>
      </w:r>
      <w:r>
        <w:rPr>
          <w:rFonts w:hint="eastAsia" w:ascii="宋体" w:hAnsi="宋体"/>
          <w:color w:val="000000" w:themeColor="text1"/>
          <w:highlight w:val="none"/>
          <w14:textFill>
            <w14:solidFill>
              <w14:schemeClr w14:val="tx1"/>
            </w14:solidFill>
          </w14:textFill>
        </w:rPr>
        <w:t>被授权人签字（或盖章）：</w:t>
      </w:r>
    </w:p>
    <w:p w14:paraId="0E26D331">
      <w:pPr>
        <w:pStyle w:val="33"/>
        <w:spacing w:line="360" w:lineRule="auto"/>
        <w:jc w:val="right"/>
        <w:rPr>
          <w:rFonts w:hAnsi="宋体" w:eastAsia="宋体" w:cs="宋体"/>
          <w:color w:val="000000" w:themeColor="text1"/>
          <w:sz w:val="24"/>
          <w:highlight w:val="none"/>
          <w14:textFill>
            <w14:solidFill>
              <w14:schemeClr w14:val="tx1"/>
            </w14:solidFill>
          </w14:textFill>
        </w:rPr>
      </w:pPr>
      <w:r>
        <w:rPr>
          <w:rFonts w:hint="eastAsia" w:hAnsi="宋体" w:eastAsia="宋体" w:cs="宋体"/>
          <w:color w:val="000000" w:themeColor="text1"/>
          <w:sz w:val="24"/>
          <w:highlight w:val="none"/>
          <w14:textFill>
            <w14:solidFill>
              <w14:schemeClr w14:val="tx1"/>
            </w14:solidFill>
          </w14:textFill>
        </w:rPr>
        <w:t>供应商名称（公章）：</w:t>
      </w:r>
    </w:p>
    <w:p w14:paraId="3A404635">
      <w:pPr>
        <w:pStyle w:val="33"/>
        <w:spacing w:line="360" w:lineRule="auto"/>
        <w:jc w:val="right"/>
        <w:rPr>
          <w:rFonts w:hAnsi="宋体" w:eastAsia="宋体"/>
          <w:color w:val="000000" w:themeColor="text1"/>
          <w:sz w:val="24"/>
          <w:szCs w:val="24"/>
          <w:highlight w:val="none"/>
          <w14:textFill>
            <w14:solidFill>
              <w14:schemeClr w14:val="tx1"/>
            </w14:solidFill>
          </w14:textFill>
        </w:rPr>
      </w:pPr>
      <w:r>
        <w:rPr>
          <w:rFonts w:hint="eastAsia" w:hAnsi="宋体" w:eastAsia="宋体"/>
          <w:color w:val="000000" w:themeColor="text1"/>
          <w:sz w:val="24"/>
          <w:szCs w:val="24"/>
          <w:highlight w:val="none"/>
          <w14:textFill>
            <w14:solidFill>
              <w14:schemeClr w14:val="tx1"/>
            </w14:solidFill>
          </w14:textFill>
        </w:rPr>
        <w:t>日期： 年 月 日</w:t>
      </w:r>
    </w:p>
    <w:p w14:paraId="5EDF7465">
      <w:pPr>
        <w:pStyle w:val="33"/>
        <w:spacing w:line="360" w:lineRule="auto"/>
        <w:jc w:val="center"/>
        <w:rPr>
          <w:rFonts w:hAnsi="宋体" w:eastAsia="宋体"/>
          <w:color w:val="000000" w:themeColor="text1"/>
          <w:sz w:val="24"/>
          <w:szCs w:val="24"/>
          <w:highlight w:val="none"/>
          <w14:textFill>
            <w14:solidFill>
              <w14:schemeClr w14:val="tx1"/>
            </w14:solidFill>
          </w14:textFill>
        </w:rPr>
      </w:pPr>
    </w:p>
    <w:p w14:paraId="7124E2FE">
      <w:pPr>
        <w:rPr>
          <w:rFonts w:asciiTheme="majorEastAsia" w:hAnsiTheme="majorEastAsia" w:eastAsiaTheme="majorEastAsia" w:cstheme="majorEastAsia"/>
          <w:b/>
          <w:color w:val="000000" w:themeColor="text1"/>
          <w:kern w:val="0"/>
          <w:sz w:val="30"/>
          <w:szCs w:val="30"/>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0"/>
          <w:szCs w:val="30"/>
          <w:highlight w:val="none"/>
          <w14:textFill>
            <w14:solidFill>
              <w14:schemeClr w14:val="tx1"/>
            </w14:solidFill>
          </w14:textFill>
        </w:rPr>
        <w:br w:type="page"/>
      </w:r>
    </w:p>
    <w:p w14:paraId="2B287E4A">
      <w:pPr>
        <w:snapToGrid w:val="0"/>
        <w:spacing w:line="360" w:lineRule="auto"/>
        <w:ind w:right="480"/>
        <w:jc w:val="center"/>
        <w:rPr>
          <w:rFonts w:asciiTheme="majorEastAsia" w:hAnsiTheme="majorEastAsia" w:eastAsiaTheme="majorEastAsia" w:cstheme="majorEastAsia"/>
          <w:b/>
          <w:color w:val="000000" w:themeColor="text1"/>
          <w:kern w:val="0"/>
          <w:sz w:val="30"/>
          <w:szCs w:val="30"/>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0"/>
          <w:szCs w:val="30"/>
          <w:highlight w:val="none"/>
          <w14:textFill>
            <w14:solidFill>
              <w14:schemeClr w14:val="tx1"/>
            </w14:solidFill>
          </w14:textFill>
        </w:rPr>
        <w:t>二、落实政府采购政策需满足的资格要求</w:t>
      </w:r>
    </w:p>
    <w:p w14:paraId="2D5EBBF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专门面向中小企业，货物全部由符合政策要求的中小企业（或小微企业）制造或者服务全部由符合政策要求的中小企业（或小微企业）承接的，提供相应的中小企业声明函。</w:t>
      </w:r>
    </w:p>
    <w:p w14:paraId="3C2CDF6C">
      <w:pPr>
        <w:pStyle w:val="14"/>
        <w:snapToGrid w:val="0"/>
        <w:spacing w:beforeLines="0" w:after="120" w:line="480" w:lineRule="exact"/>
        <w:jc w:val="center"/>
        <w:rPr>
          <w:rFonts w:hAnsi="宋体"/>
          <w:b/>
          <w:bCs/>
          <w:color w:val="000000" w:themeColor="text1"/>
          <w:kern w:val="2"/>
          <w:sz w:val="28"/>
          <w:szCs w:val="28"/>
          <w:highlight w:val="none"/>
          <w14:textFill>
            <w14:solidFill>
              <w14:schemeClr w14:val="tx1"/>
            </w14:solidFill>
          </w14:textFill>
        </w:rPr>
      </w:pPr>
      <w:r>
        <w:rPr>
          <w:rFonts w:hint="eastAsia" w:hAnsi="宋体"/>
          <w:b/>
          <w:bCs/>
          <w:color w:val="000000" w:themeColor="text1"/>
          <w:kern w:val="2"/>
          <w:sz w:val="28"/>
          <w:szCs w:val="28"/>
          <w:highlight w:val="none"/>
          <w14:textFill>
            <w14:solidFill>
              <w14:schemeClr w14:val="tx1"/>
            </w14:solidFill>
          </w14:textFill>
        </w:rPr>
        <w:t>中小企业声明函</w:t>
      </w:r>
    </w:p>
    <w:p w14:paraId="58A95C36">
      <w:pPr>
        <w:adjustRightInd w:val="0"/>
        <w:snapToGrid w:val="0"/>
        <w:spacing w:line="360" w:lineRule="auto"/>
        <w:ind w:firstLine="468" w:firstLineChars="200"/>
        <w:jc w:val="left"/>
        <w:rPr>
          <w:rFonts w:ascii="宋体" w:hAnsi="宋体"/>
          <w:b w:val="0"/>
          <w:bCs w:val="0"/>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本公司郑重声明，根据《政府采购促进中小企业发展管理办法》（财库﹝2020﹞46号）的规定，本公司参加</w:t>
      </w:r>
      <w:r>
        <w:rPr>
          <w:rFonts w:hint="eastAsia" w:ascii="宋体" w:hAnsi="宋体"/>
          <w:i/>
          <w:iCs/>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u w:val="single"/>
          <w14:textFill>
            <w14:solidFill>
              <w14:schemeClr w14:val="tx1"/>
            </w14:solidFill>
          </w14:textFill>
        </w:rPr>
        <w:t xml:space="preserve">（单位名称） </w:t>
      </w:r>
      <w:r>
        <w:rPr>
          <w:rFonts w:hint="eastAsia" w:ascii="宋体" w:hAnsi="宋体"/>
          <w:color w:val="000000" w:themeColor="text1"/>
          <w:spacing w:val="-3"/>
          <w:highlight w:val="none"/>
          <w14:textFill>
            <w14:solidFill>
              <w14:schemeClr w14:val="tx1"/>
            </w14:solidFill>
          </w14:textFill>
        </w:rPr>
        <w:t xml:space="preserve"> 的 </w:t>
      </w:r>
      <w:r>
        <w:rPr>
          <w:rFonts w:hint="eastAsia" w:ascii="宋体" w:hAnsi="宋体"/>
          <w:color w:val="000000" w:themeColor="text1"/>
          <w:spacing w:val="-3"/>
          <w:highlight w:val="none"/>
          <w:u w:val="single"/>
          <w14:textFill>
            <w14:solidFill>
              <w14:schemeClr w14:val="tx1"/>
            </w14:solidFill>
          </w14:textFill>
        </w:rPr>
        <w:t xml:space="preserve">  （项目名称） </w:t>
      </w:r>
      <w:r>
        <w:rPr>
          <w:rFonts w:hint="eastAsia" w:ascii="宋体" w:hAnsi="宋体"/>
          <w:color w:val="000000" w:themeColor="text1"/>
          <w:spacing w:val="-3"/>
          <w:highlight w:val="none"/>
          <w14:textFill>
            <w14:solidFill>
              <w14:schemeClr w14:val="tx1"/>
            </w14:solidFill>
          </w14:textFill>
        </w:rPr>
        <w:t>采购活</w:t>
      </w:r>
      <w:r>
        <w:rPr>
          <w:rFonts w:hint="eastAsia" w:ascii="宋体" w:hAnsi="宋体"/>
          <w:b w:val="0"/>
          <w:bCs w:val="0"/>
          <w:color w:val="000000" w:themeColor="text1"/>
          <w:spacing w:val="-3"/>
          <w:highlight w:val="none"/>
          <w14:textFill>
            <w14:solidFill>
              <w14:schemeClr w14:val="tx1"/>
            </w14:solidFill>
          </w14:textFill>
        </w:rPr>
        <w:t>动，服务全部由符合政策要求的中小企业承接。相关企业</w:t>
      </w:r>
      <w:r>
        <w:rPr>
          <w:rFonts w:hint="eastAsia" w:ascii="宋体" w:hAnsi="宋体"/>
          <w:b w:val="0"/>
          <w:bCs w:val="0"/>
          <w:color w:val="000000" w:themeColor="text1"/>
          <w:highlight w:val="none"/>
          <w14:textFill>
            <w14:solidFill>
              <w14:schemeClr w14:val="tx1"/>
            </w14:solidFill>
          </w14:textFill>
        </w:rPr>
        <w:t>的具体情况如下：</w:t>
      </w:r>
    </w:p>
    <w:p w14:paraId="64B9E91B">
      <w:pPr>
        <w:adjustRightInd w:val="0"/>
        <w:snapToGrid w:val="0"/>
        <w:spacing w:line="360" w:lineRule="auto"/>
        <w:ind w:firstLine="468" w:firstLineChars="200"/>
        <w:jc w:val="left"/>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1.</w:t>
      </w:r>
      <w:r>
        <w:rPr>
          <w:rFonts w:hint="eastAsia" w:ascii="宋体" w:hAnsi="宋体"/>
          <w:color w:val="000000" w:themeColor="text1"/>
          <w:spacing w:val="-3"/>
          <w:highlight w:val="none"/>
          <w:u w:val="single"/>
          <w14:textFill>
            <w14:solidFill>
              <w14:schemeClr w14:val="tx1"/>
            </w14:solidFill>
          </w14:textFill>
        </w:rPr>
        <w:t>（标的名称）</w:t>
      </w:r>
      <w:r>
        <w:rPr>
          <w:rFonts w:hint="eastAsia" w:ascii="宋体" w:hAnsi="宋体"/>
          <w:color w:val="000000" w:themeColor="text1"/>
          <w:spacing w:val="-3"/>
          <w:highlight w:val="none"/>
          <w14:textFill>
            <w14:solidFill>
              <w14:schemeClr w14:val="tx1"/>
            </w14:solidFill>
          </w14:textFill>
        </w:rPr>
        <w:t>，属于</w:t>
      </w:r>
      <w:r>
        <w:rPr>
          <w:rFonts w:hint="eastAsia" w:ascii="宋体" w:hAnsi="宋体"/>
          <w:color w:val="000000" w:themeColor="text1"/>
          <w:spacing w:val="-3"/>
          <w:highlight w:val="none"/>
          <w:u w:val="single"/>
          <w14:textFill>
            <w14:solidFill>
              <w14:schemeClr w14:val="tx1"/>
            </w14:solidFill>
          </w14:textFill>
        </w:rPr>
        <w:t>（采购文件中明确所属行业）</w:t>
      </w:r>
      <w:r>
        <w:rPr>
          <w:rFonts w:hint="eastAsia" w:ascii="宋体" w:hAnsi="宋体"/>
          <w:color w:val="000000" w:themeColor="text1"/>
          <w:spacing w:val="-3"/>
          <w:highlight w:val="none"/>
          <w14:textFill>
            <w14:solidFill>
              <w14:schemeClr w14:val="tx1"/>
            </w14:solidFill>
          </w14:textFill>
        </w:rPr>
        <w:t>承接企业为</w:t>
      </w:r>
      <w:r>
        <w:rPr>
          <w:rFonts w:hint="eastAsia" w:ascii="宋体" w:hAnsi="宋体"/>
          <w:color w:val="000000" w:themeColor="text1"/>
          <w:spacing w:val="-3"/>
          <w:highlight w:val="none"/>
          <w:u w:val="single"/>
          <w14:textFill>
            <w14:solidFill>
              <w14:schemeClr w14:val="tx1"/>
            </w14:solidFill>
          </w14:textFill>
        </w:rPr>
        <w:t>（企业名称）</w:t>
      </w:r>
      <w:r>
        <w:rPr>
          <w:rFonts w:hint="eastAsia" w:ascii="宋体" w:hAnsi="宋体"/>
          <w:color w:val="000000" w:themeColor="text1"/>
          <w:spacing w:val="-3"/>
          <w:highlight w:val="none"/>
          <w14:textFill>
            <w14:solidFill>
              <w14:schemeClr w14:val="tx1"/>
            </w14:solidFill>
          </w14:textFill>
        </w:rPr>
        <w:t>从业人员</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u w:val="single"/>
          <w14:textFill>
            <w14:solidFill>
              <w14:schemeClr w14:val="tx1"/>
            </w14:solidFill>
          </w14:textFill>
        </w:rPr>
        <w:tab/>
      </w:r>
      <w:r>
        <w:rPr>
          <w:rFonts w:hint="eastAsia" w:ascii="宋体" w:hAnsi="宋体"/>
          <w:color w:val="000000" w:themeColor="text1"/>
          <w:spacing w:val="-3"/>
          <w:highlight w:val="none"/>
          <w14:textFill>
            <w14:solidFill>
              <w14:schemeClr w14:val="tx1"/>
            </w14:solidFill>
          </w14:textFill>
        </w:rPr>
        <w:t>人，营业收入为</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u w:val="single"/>
          <w14:textFill>
            <w14:solidFill>
              <w14:schemeClr w14:val="tx1"/>
            </w14:solidFill>
          </w14:textFill>
        </w:rPr>
        <w:tab/>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14:textFill>
            <w14:solidFill>
              <w14:schemeClr w14:val="tx1"/>
            </w14:solidFill>
          </w14:textFill>
        </w:rPr>
        <w:t>万元，资产总额为</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14:textFill>
            <w14:solidFill>
              <w14:schemeClr w14:val="tx1"/>
            </w14:solidFill>
          </w14:textFill>
        </w:rPr>
        <w:t>万元¹，属于（</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中型企业、</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小型企业、</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微型企业</w:t>
      </w:r>
      <w:r>
        <w:rPr>
          <w:rFonts w:hint="eastAsia" w:ascii="宋体" w:hAnsi="宋体"/>
          <w:color w:val="000000" w:themeColor="text1"/>
          <w:spacing w:val="-3"/>
          <w:highlight w:val="none"/>
          <w14:textFill>
            <w14:solidFill>
              <w14:schemeClr w14:val="tx1"/>
            </w14:solidFill>
          </w14:textFill>
        </w:rPr>
        <w:t>）；</w:t>
      </w:r>
    </w:p>
    <w:p w14:paraId="23427417">
      <w:pPr>
        <w:adjustRightInd w:val="0"/>
        <w:snapToGrid w:val="0"/>
        <w:spacing w:line="360" w:lineRule="auto"/>
        <w:ind w:firstLine="468" w:firstLineChars="200"/>
        <w:jc w:val="left"/>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2.（</w:t>
      </w:r>
      <w:r>
        <w:rPr>
          <w:rFonts w:hint="eastAsia" w:ascii="宋体" w:hAnsi="宋体"/>
          <w:color w:val="000000" w:themeColor="text1"/>
          <w:spacing w:val="-3"/>
          <w:highlight w:val="none"/>
          <w:u w:val="single"/>
          <w14:textFill>
            <w14:solidFill>
              <w14:schemeClr w14:val="tx1"/>
            </w14:solidFill>
          </w14:textFill>
        </w:rPr>
        <w:t>标的名称）</w:t>
      </w:r>
      <w:r>
        <w:rPr>
          <w:rFonts w:hint="eastAsia" w:ascii="宋体" w:hAnsi="宋体"/>
          <w:color w:val="000000" w:themeColor="text1"/>
          <w:spacing w:val="-3"/>
          <w:highlight w:val="none"/>
          <w14:textFill>
            <w14:solidFill>
              <w14:schemeClr w14:val="tx1"/>
            </w14:solidFill>
          </w14:textFill>
        </w:rPr>
        <w:t>，属于</w:t>
      </w:r>
      <w:r>
        <w:rPr>
          <w:rFonts w:hint="eastAsia" w:ascii="宋体" w:hAnsi="宋体"/>
          <w:color w:val="000000" w:themeColor="text1"/>
          <w:spacing w:val="-3"/>
          <w:highlight w:val="none"/>
          <w:u w:val="single"/>
          <w14:textFill>
            <w14:solidFill>
              <w14:schemeClr w14:val="tx1"/>
            </w14:solidFill>
          </w14:textFill>
        </w:rPr>
        <w:t>（采购文件中明确所属行业）</w:t>
      </w:r>
      <w:r>
        <w:rPr>
          <w:rFonts w:hint="eastAsia" w:ascii="宋体" w:hAnsi="宋体"/>
          <w:color w:val="000000" w:themeColor="text1"/>
          <w:spacing w:val="-3"/>
          <w:highlight w:val="none"/>
          <w14:textFill>
            <w14:solidFill>
              <w14:schemeClr w14:val="tx1"/>
            </w14:solidFill>
          </w14:textFill>
        </w:rPr>
        <w:t>承接企业为</w:t>
      </w:r>
      <w:r>
        <w:rPr>
          <w:rFonts w:hint="eastAsia" w:ascii="宋体" w:hAnsi="宋体"/>
          <w:color w:val="000000" w:themeColor="text1"/>
          <w:spacing w:val="-3"/>
          <w:highlight w:val="none"/>
          <w:u w:val="single"/>
          <w14:textFill>
            <w14:solidFill>
              <w14:schemeClr w14:val="tx1"/>
            </w14:solidFill>
          </w14:textFill>
        </w:rPr>
        <w:t>（企业名称）</w:t>
      </w:r>
      <w:r>
        <w:rPr>
          <w:rFonts w:hint="eastAsia" w:ascii="宋体" w:hAnsi="宋体"/>
          <w:color w:val="000000" w:themeColor="text1"/>
          <w:spacing w:val="-3"/>
          <w:highlight w:val="none"/>
          <w14:textFill>
            <w14:solidFill>
              <w14:schemeClr w14:val="tx1"/>
            </w14:solidFill>
          </w14:textFill>
        </w:rPr>
        <w:t>从业人员</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u w:val="single"/>
          <w14:textFill>
            <w14:solidFill>
              <w14:schemeClr w14:val="tx1"/>
            </w14:solidFill>
          </w14:textFill>
        </w:rPr>
        <w:tab/>
      </w:r>
      <w:r>
        <w:rPr>
          <w:rFonts w:hint="eastAsia" w:ascii="宋体" w:hAnsi="宋体"/>
          <w:color w:val="000000" w:themeColor="text1"/>
          <w:spacing w:val="-3"/>
          <w:highlight w:val="none"/>
          <w14:textFill>
            <w14:solidFill>
              <w14:schemeClr w14:val="tx1"/>
            </w14:solidFill>
          </w14:textFill>
        </w:rPr>
        <w:t>人，营业收入为</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u w:val="single"/>
          <w14:textFill>
            <w14:solidFill>
              <w14:schemeClr w14:val="tx1"/>
            </w14:solidFill>
          </w14:textFill>
        </w:rPr>
        <w:tab/>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14:textFill>
            <w14:solidFill>
              <w14:schemeClr w14:val="tx1"/>
            </w14:solidFill>
          </w14:textFill>
        </w:rPr>
        <w:t>万元，资产总额为</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14:textFill>
            <w14:solidFill>
              <w14:schemeClr w14:val="tx1"/>
            </w14:solidFill>
          </w14:textFill>
        </w:rPr>
        <w:t>万元，属于（</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中型企业、</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小型企业、</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微型企业</w:t>
      </w:r>
      <w:r>
        <w:rPr>
          <w:rFonts w:hint="eastAsia" w:ascii="宋体" w:hAnsi="宋体"/>
          <w:color w:val="000000" w:themeColor="text1"/>
          <w:spacing w:val="-3"/>
          <w:highlight w:val="none"/>
          <w14:textFill>
            <w14:solidFill>
              <w14:schemeClr w14:val="tx1"/>
            </w14:solidFill>
          </w14:textFill>
        </w:rPr>
        <w:t>）；</w:t>
      </w:r>
    </w:p>
    <w:p w14:paraId="19B9C6AD">
      <w:pPr>
        <w:adjustRightInd w:val="0"/>
        <w:snapToGrid w:val="0"/>
        <w:spacing w:line="360" w:lineRule="auto"/>
        <w:ind w:firstLine="468" w:firstLineChars="200"/>
        <w:jc w:val="left"/>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w:t>
      </w:r>
    </w:p>
    <w:p w14:paraId="17010E29">
      <w:pPr>
        <w:adjustRightInd w:val="0"/>
        <w:snapToGrid w:val="0"/>
        <w:spacing w:line="360" w:lineRule="auto"/>
        <w:ind w:firstLine="468" w:firstLineChars="200"/>
        <w:jc w:val="left"/>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以上企业，不属于大企业的分支机构，不存在控股股东为大企业的情形，也不存在与大企业的负责人为同一人的情形。</w:t>
      </w:r>
    </w:p>
    <w:p w14:paraId="7A81510D">
      <w:pPr>
        <w:adjustRightInd w:val="0"/>
        <w:snapToGrid w:val="0"/>
        <w:spacing w:line="360" w:lineRule="auto"/>
        <w:ind w:firstLine="468" w:firstLineChars="200"/>
        <w:jc w:val="left"/>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本企业对上述声明内容的真实性负责。如有虚假，将依法承担相应责任。</w:t>
      </w:r>
    </w:p>
    <w:p w14:paraId="6973509E">
      <w:pPr>
        <w:wordWrap w:val="0"/>
        <w:snapToGrid w:val="0"/>
        <w:spacing w:before="50" w:after="50" w:line="360" w:lineRule="auto"/>
        <w:jc w:val="right"/>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 xml:space="preserve">法定代表人或被授权人签字（或盖章）：    </w:t>
      </w:r>
    </w:p>
    <w:p w14:paraId="1AFD97DA">
      <w:pPr>
        <w:snapToGrid w:val="0"/>
        <w:spacing w:before="50" w:after="50" w:line="360" w:lineRule="auto"/>
        <w:jc w:val="center"/>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 xml:space="preserve">                                     供应商（公章）：      </w:t>
      </w:r>
    </w:p>
    <w:p w14:paraId="337E3E41">
      <w:pPr>
        <w:spacing w:before="108" w:after="120" w:line="304" w:lineRule="auto"/>
        <w:ind w:right="417" w:firstLine="645"/>
        <w:jc w:val="center"/>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 xml:space="preserve">                              日期：   年  月  日</w:t>
      </w:r>
    </w:p>
    <w:p w14:paraId="4B9BF5B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注：1.¹从业人员、营业收入、资产总额填报上一年度数据，无上一年度数据的新成立企业可不填报</w:t>
      </w:r>
      <w:r>
        <w:rPr>
          <w:rFonts w:hint="eastAsia" w:ascii="宋体" w:hAnsi="宋体"/>
          <w:color w:val="000000" w:themeColor="text1"/>
          <w:highlight w:val="none"/>
          <w:lang w:eastAsia="zh-CN"/>
          <w14:textFill>
            <w14:solidFill>
              <w14:schemeClr w14:val="tx1"/>
            </w14:solidFill>
          </w14:textFill>
        </w:rPr>
        <w:t>。</w:t>
      </w:r>
    </w:p>
    <w:p w14:paraId="31AF0BB4">
      <w:pPr>
        <w:keepNext w:val="0"/>
        <w:keepLines w:val="0"/>
        <w:pageBreakBefore w:val="0"/>
        <w:widowControl w:val="0"/>
        <w:numPr>
          <w:ilvl w:val="0"/>
          <w:numId w:val="13"/>
        </w:numPr>
        <w:kinsoku/>
        <w:wordWrap/>
        <w:overflowPunct/>
        <w:topLinePunct w:val="0"/>
        <w:autoSpaceDE/>
        <w:autoSpaceDN/>
        <w:bidi w:val="0"/>
        <w:adjustRightInd/>
        <w:snapToGrid w:val="0"/>
        <w:spacing w:line="360" w:lineRule="auto"/>
        <w:ind w:firstLine="480" w:firstLineChars="200"/>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根据财库〔2020〕46号的第十三条、第二十条规定：入围供应商享受本办法规定的中小企业扶持政策的，采购人、采购代理机构应当随入围结果公开入围供应商的《中小企业声明函》。 供应商按照本办法规定提供声明函内容不实的，属于提供虚假材料谋取入围，依照《中华人民共和国政府采购法》等国家有关规定追究相应责任。</w:t>
      </w:r>
    </w:p>
    <w:p w14:paraId="08DC1B20">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ascii="宋体" w:hAnsi="宋体"/>
          <w:b/>
          <w:bCs/>
          <w:color w:val="000000" w:themeColor="text1"/>
          <w:highlight w:val="none"/>
          <w14:textFill>
            <w14:solidFill>
              <w14:schemeClr w14:val="tx1"/>
            </w14:solidFill>
          </w14:textFill>
        </w:rPr>
      </w:pPr>
      <w:r>
        <w:rPr>
          <w:rFonts w:hint="eastAsia" w:ascii="宋体" w:hAnsi="宋体"/>
          <w:b/>
          <w:bCs/>
          <w:color w:val="000000" w:themeColor="text1"/>
          <w:highlight w:val="none"/>
          <w14:textFill>
            <w14:solidFill>
              <w14:schemeClr w14:val="tx1"/>
            </w14:solidFill>
          </w14:textFill>
        </w:rPr>
        <w:t>3.根据实际情况，在（</w:t>
      </w:r>
      <w:r>
        <w:rPr>
          <w:rFonts w:hint="eastAsia" w:ascii="宋体" w:hAnsi="宋体"/>
          <w:b/>
          <w:bCs/>
          <w:color w:val="000000" w:themeColor="text1"/>
          <w:highlight w:val="none"/>
          <w14:textFill>
            <w14:solidFill>
              <w14:schemeClr w14:val="tx1"/>
            </w14:solidFill>
          </w14:textFill>
        </w:rPr>
        <w:sym w:font="Wingdings" w:char="00A8"/>
      </w:r>
      <w:r>
        <w:rPr>
          <w:rFonts w:hint="eastAsia" w:ascii="宋体" w:hAnsi="宋体"/>
          <w:b/>
          <w:bCs/>
          <w:color w:val="000000" w:themeColor="text1"/>
          <w:highlight w:val="none"/>
          <w14:textFill>
            <w14:solidFill>
              <w14:schemeClr w14:val="tx1"/>
            </w14:solidFill>
          </w14:textFill>
        </w:rPr>
        <w:t>中型企业、</w:t>
      </w:r>
      <w:r>
        <w:rPr>
          <w:rFonts w:hint="eastAsia" w:ascii="宋体" w:hAnsi="宋体"/>
          <w:b/>
          <w:bCs/>
          <w:color w:val="000000" w:themeColor="text1"/>
          <w:highlight w:val="none"/>
          <w14:textFill>
            <w14:solidFill>
              <w14:schemeClr w14:val="tx1"/>
            </w14:solidFill>
          </w14:textFill>
        </w:rPr>
        <w:sym w:font="Wingdings" w:char="00A8"/>
      </w:r>
      <w:r>
        <w:rPr>
          <w:rFonts w:hint="eastAsia" w:ascii="宋体" w:hAnsi="宋体"/>
          <w:b/>
          <w:bCs/>
          <w:color w:val="000000" w:themeColor="text1"/>
          <w:highlight w:val="none"/>
          <w14:textFill>
            <w14:solidFill>
              <w14:schemeClr w14:val="tx1"/>
            </w14:solidFill>
          </w14:textFill>
        </w:rPr>
        <w:t>小型企业、</w:t>
      </w:r>
      <w:r>
        <w:rPr>
          <w:rFonts w:hint="eastAsia" w:ascii="宋体" w:hAnsi="宋体"/>
          <w:b/>
          <w:bCs/>
          <w:color w:val="000000" w:themeColor="text1"/>
          <w:highlight w:val="none"/>
          <w14:textFill>
            <w14:solidFill>
              <w14:schemeClr w14:val="tx1"/>
            </w14:solidFill>
          </w14:textFill>
        </w:rPr>
        <w:sym w:font="Wingdings" w:char="00A8"/>
      </w:r>
      <w:r>
        <w:rPr>
          <w:rFonts w:hint="eastAsia" w:ascii="宋体" w:hAnsi="宋体"/>
          <w:b/>
          <w:bCs/>
          <w:color w:val="000000" w:themeColor="text1"/>
          <w:highlight w:val="none"/>
          <w14:textFill>
            <w14:solidFill>
              <w14:schemeClr w14:val="tx1"/>
            </w14:solidFill>
          </w14:textFill>
        </w:rPr>
        <w:t>微型企业）处进行勾选。</w:t>
      </w:r>
    </w:p>
    <w:p w14:paraId="6E1911EC">
      <w:pPr>
        <w:keepNext w:val="0"/>
        <w:keepLines w:val="0"/>
        <w:pageBreakBefore w:val="0"/>
        <w:widowControl w:val="0"/>
        <w:kinsoku/>
        <w:wordWrap/>
        <w:overflowPunct/>
        <w:topLinePunct w:val="0"/>
        <w:autoSpaceDE/>
        <w:autoSpaceDN/>
        <w:bidi w:val="0"/>
        <w:adjustRightInd/>
        <w:snapToGrid/>
        <w:spacing w:line="360" w:lineRule="auto"/>
        <w:ind w:right="0"/>
        <w:jc w:val="center"/>
        <w:textAlignment w:val="auto"/>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t>商务技术文件部分</w:t>
      </w:r>
    </w:p>
    <w:p w14:paraId="199A6FA9">
      <w:pPr>
        <w:spacing w:line="360" w:lineRule="auto"/>
        <w:jc w:val="center"/>
        <w:outlineLvl w:val="0"/>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bookmarkStart w:id="105" w:name="_Toc497739363"/>
      <w:bookmarkStart w:id="106" w:name="_Toc6767"/>
      <w:bookmarkStart w:id="107" w:name="_Toc651512439"/>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t>目</w:t>
      </w:r>
      <w:r>
        <w:rPr>
          <w:rFonts w:hint="eastAsia" w:asciiTheme="majorEastAsia" w:hAnsiTheme="majorEastAsia" w:eastAsiaTheme="majorEastAsia" w:cstheme="majorEastAsia"/>
          <w:b/>
          <w:color w:val="000000" w:themeColor="text1"/>
          <w:kern w:val="0"/>
          <w:sz w:val="32"/>
          <w:szCs w:val="32"/>
          <w:highlight w:val="none"/>
          <w:lang w:val="en-US" w:eastAsia="zh-CN"/>
          <w14:textFill>
            <w14:solidFill>
              <w14:schemeClr w14:val="tx1"/>
            </w14:solidFill>
          </w14:textFill>
        </w:rPr>
        <w:t xml:space="preserve"> </w:t>
      </w: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t>录</w:t>
      </w:r>
      <w:bookmarkEnd w:id="105"/>
      <w:bookmarkEnd w:id="106"/>
      <w:bookmarkEnd w:id="107"/>
    </w:p>
    <w:p w14:paraId="7990AF62">
      <w:pPr>
        <w:numPr>
          <w:ilvl w:val="0"/>
          <w:numId w:val="14"/>
        </w:numPr>
        <w:spacing w:line="360"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投标函……………………………………………………………………（页码）</w:t>
      </w:r>
    </w:p>
    <w:p w14:paraId="0B7E809A">
      <w:pPr>
        <w:numPr>
          <w:ilvl w:val="0"/>
          <w:numId w:val="14"/>
        </w:numPr>
        <w:spacing w:line="360"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法定代表人授权委托书…………………………………………………（页码）</w:t>
      </w:r>
    </w:p>
    <w:p w14:paraId="58779834">
      <w:pPr>
        <w:spacing w:line="360"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（3）符合性审查资料…………………………………………………………（页码）</w:t>
      </w:r>
    </w:p>
    <w:p w14:paraId="44E165C5">
      <w:pPr>
        <w:spacing w:line="360"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（4）商务技术响应表…………………………………………………………（页码）</w:t>
      </w:r>
    </w:p>
    <w:p w14:paraId="5AED03DB">
      <w:pPr>
        <w:spacing w:line="360" w:lineRule="auto"/>
        <w:jc w:val="cente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w:t>
      </w:r>
      <w:r>
        <w:rPr>
          <w:rFonts w:hint="eastAsia" w:asciiTheme="majorEastAsia" w:hAnsiTheme="majorEastAsia" w:eastAsiaTheme="majorEastAsia" w:cstheme="majorEastAsia"/>
          <w:color w:val="000000" w:themeColor="text1"/>
          <w:highlight w:val="none"/>
          <w14:textFill>
            <w14:solidFill>
              <w14:schemeClr w14:val="tx1"/>
            </w14:solidFill>
          </w14:textFill>
        </w:rPr>
        <w:t>5</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）评标标准相应的商务技术资料</w:t>
      </w:r>
      <w:r>
        <w:rPr>
          <w:rFonts w:hint="eastAsia" w:asciiTheme="majorEastAsia" w:hAnsiTheme="majorEastAsia" w:eastAsiaTheme="majorEastAsia" w:cstheme="majorEastAsia"/>
          <w:color w:val="000000" w:themeColor="text1"/>
          <w:highlight w:val="none"/>
          <w14:textFill>
            <w14:solidFill>
              <w14:schemeClr w14:val="tx1"/>
            </w14:solidFill>
          </w14:textFill>
        </w:rPr>
        <w:t>…………………………………………（页码）</w:t>
      </w:r>
    </w:p>
    <w:p w14:paraId="3EEDF255">
      <w:pPr>
        <w:spacing w:line="360" w:lineRule="auto"/>
        <w:jc w:val="center"/>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（6）评分对应表………………………………………………………………（页码）</w:t>
      </w:r>
    </w:p>
    <w:p w14:paraId="5607E40A">
      <w:pPr>
        <w:spacing w:line="360" w:lineRule="auto"/>
        <w:jc w:val="cente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（7）供应商自评表……………………………………………………………（页码）</w:t>
      </w:r>
    </w:p>
    <w:p w14:paraId="05C4706F">
      <w:pPr>
        <w:snapToGrid w:val="0"/>
        <w:spacing w:line="360" w:lineRule="auto"/>
        <w:jc w:val="center"/>
        <w:outlineLvl w:val="0"/>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p>
    <w:p w14:paraId="015D7E05">
      <w:pP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bookmarkStart w:id="108" w:name="_Toc20760"/>
      <w:bookmarkStart w:id="109" w:name="_Toc721124961"/>
      <w:bookmarkStart w:id="110" w:name="_Toc1268954332"/>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br w:type="page"/>
      </w:r>
    </w:p>
    <w:p w14:paraId="61056807">
      <w:pPr>
        <w:snapToGrid w:val="0"/>
        <w:spacing w:line="360" w:lineRule="auto"/>
        <w:jc w:val="center"/>
        <w:outlineLvl w:val="0"/>
        <w:rPr>
          <w:rFonts w:asciiTheme="majorEastAsia" w:hAnsiTheme="majorEastAsia" w:eastAsiaTheme="majorEastAsia" w:cstheme="majorEastAsia"/>
          <w:b/>
          <w:color w:val="000000" w:themeColor="text1"/>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t>一、投标</w:t>
      </w:r>
      <w:r>
        <w:rPr>
          <w:rFonts w:hint="eastAsia" w:asciiTheme="majorEastAsia" w:hAnsiTheme="majorEastAsia" w:eastAsiaTheme="majorEastAsia" w:cstheme="majorEastAsia"/>
          <w:b/>
          <w:color w:val="000000" w:themeColor="text1"/>
          <w:sz w:val="32"/>
          <w:szCs w:val="32"/>
          <w:highlight w:val="none"/>
          <w14:textFill>
            <w14:solidFill>
              <w14:schemeClr w14:val="tx1"/>
            </w14:solidFill>
          </w14:textFill>
        </w:rPr>
        <w:t>函</w:t>
      </w:r>
      <w:bookmarkEnd w:id="108"/>
      <w:bookmarkEnd w:id="109"/>
      <w:bookmarkEnd w:id="110"/>
    </w:p>
    <w:p w14:paraId="1F5F0649">
      <w:pPr>
        <w:snapToGrid w:val="0"/>
        <w:spacing w:line="360" w:lineRule="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（征集人）</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14:paraId="655482E7">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我方参加你方组织的（项目名称）【项目编号】招标的有关活动，并对此项目进行投标。为此：</w:t>
      </w:r>
    </w:p>
    <w:p w14:paraId="789B8531">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highlight w:val="none"/>
          <w14:textFill>
            <w14:solidFill>
              <w14:schemeClr w14:val="tx1"/>
            </w14:solidFill>
          </w14:textFill>
        </w:rPr>
        <w:t>我方承诺响应有效期从提交响应文件的截止之日起天（不少于90天），本响应文件在响应有效期满之前均具有约束力。</w:t>
      </w:r>
    </w:p>
    <w:p w14:paraId="2B43F6BA">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2、我方的响应文件包括以下内容：</w:t>
      </w:r>
    </w:p>
    <w:p w14:paraId="2625550D">
      <w:pPr>
        <w:snapToGrid w:val="0"/>
        <w:spacing w:line="360" w:lineRule="auto"/>
        <w:ind w:firstLine="480" w:firstLineChars="200"/>
        <w:jc w:val="left"/>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2.1资格文件：</w:t>
      </w:r>
    </w:p>
    <w:p w14:paraId="59C90EDB">
      <w:pPr>
        <w:spacing w:line="360" w:lineRule="auto"/>
        <w:ind w:firstLine="480" w:firstLineChars="200"/>
        <w:rPr>
          <w:rFonts w:asciiTheme="majorEastAsia" w:hAnsiTheme="majorEastAsia" w:eastAsiaTheme="majorEastAsia" w:cstheme="majorEastAsia"/>
          <w:color w:val="000000" w:themeColor="text1"/>
          <w:highlight w:val="none"/>
          <w:lang w:val="en"/>
          <w14:textFill>
            <w14:solidFill>
              <w14:schemeClr w14:val="tx1"/>
            </w14:solidFill>
          </w14:textFill>
        </w:rPr>
      </w:pPr>
      <w:r>
        <w:rPr>
          <w:rFonts w:asciiTheme="majorEastAsia" w:hAnsiTheme="majorEastAsia" w:eastAsiaTheme="majorEastAsia" w:cstheme="majorEastAsia"/>
          <w:color w:val="000000" w:themeColor="text1"/>
          <w:highlight w:val="none"/>
          <w:lang w:val="en"/>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1.1符合参加政府采购活动应当具备的一般条件的承诺函。</w:t>
      </w:r>
    </w:p>
    <w:p w14:paraId="3B1CCE5A">
      <w:pPr>
        <w:snapToGrid w:val="0"/>
        <w:spacing w:line="360" w:lineRule="auto"/>
        <w:ind w:firstLine="480" w:firstLineChars="200"/>
        <w:jc w:val="left"/>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2.</w:t>
      </w:r>
      <w:r>
        <w:rPr>
          <w:rFonts w:asciiTheme="majorEastAsia" w:hAnsiTheme="majorEastAsia" w:eastAsiaTheme="majorEastAsia" w:cstheme="majorEastAsia"/>
          <w:bCs/>
          <w:color w:val="000000" w:themeColor="text1"/>
          <w:highlight w:val="none"/>
          <w:lang w:val="en"/>
          <w14:textFill>
            <w14:solidFill>
              <w14:schemeClr w14:val="tx1"/>
            </w14:solidFill>
          </w14:textFill>
        </w:rPr>
        <w:t>2</w:t>
      </w:r>
      <w:r>
        <w:rPr>
          <w:rFonts w:hint="eastAsia" w:asciiTheme="majorEastAsia" w:hAnsiTheme="majorEastAsia" w:eastAsiaTheme="majorEastAsia" w:cstheme="majorEastAsia"/>
          <w:bCs/>
          <w:color w:val="000000" w:themeColor="text1"/>
          <w:highlight w:val="none"/>
          <w14:textFill>
            <w14:solidFill>
              <w14:schemeClr w14:val="tx1"/>
            </w14:solidFill>
          </w14:textFill>
        </w:rPr>
        <w:t>商务技术文件：</w:t>
      </w:r>
    </w:p>
    <w:p w14:paraId="4E4FD091">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2.1投标函；</w:t>
      </w:r>
    </w:p>
    <w:p w14:paraId="59D9409C">
      <w:pPr>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2.2法定代表人授权委托书；</w:t>
      </w:r>
    </w:p>
    <w:p w14:paraId="39C83D56">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2.3符合性审查资料；</w:t>
      </w:r>
    </w:p>
    <w:p w14:paraId="7E217205">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2.4商务技术响应表；</w:t>
      </w:r>
    </w:p>
    <w:p w14:paraId="458DF2F3">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2</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w:t>
      </w:r>
      <w:r>
        <w:rPr>
          <w:rFonts w:hint="eastAsia" w:asciiTheme="majorEastAsia" w:hAnsiTheme="majorEastAsia" w:eastAsiaTheme="majorEastAsia" w:cstheme="majorEastAsia"/>
          <w:color w:val="000000" w:themeColor="text1"/>
          <w:highlight w:val="none"/>
          <w14:textFill>
            <w14:solidFill>
              <w14:schemeClr w14:val="tx1"/>
            </w14:solidFill>
          </w14:textFill>
        </w:rPr>
        <w:t>5评分对应表</w:t>
      </w:r>
      <w:r>
        <w:rPr>
          <w:rFonts w:hint="eastAsia" w:asciiTheme="majorEastAsia" w:hAnsiTheme="majorEastAsia" w:eastAsiaTheme="majorEastAsia" w:cstheme="majorEastAsia"/>
          <w:color w:val="000000" w:themeColor="text1"/>
          <w:highlight w:val="none"/>
          <w:lang w:val="zh-CN"/>
          <w14:textFill>
            <w14:solidFill>
              <w14:schemeClr w14:val="tx1"/>
            </w14:solidFill>
          </w14:textFill>
        </w:rPr>
        <w:t>；</w:t>
      </w:r>
    </w:p>
    <w:p w14:paraId="7505EE64">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2.6供应商自评表；</w:t>
      </w:r>
    </w:p>
    <w:p w14:paraId="680C1087">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2.7评标标准相应的商务技术资料：</w:t>
      </w:r>
    </w:p>
    <w:p w14:paraId="6FE4E271">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2.</w:t>
      </w:r>
      <w:r>
        <w:rPr>
          <w:rFonts w:hint="eastAsia" w:asciiTheme="majorEastAsia" w:hAnsiTheme="majorEastAsia" w:eastAsiaTheme="majorEastAsia" w:cstheme="majorEastAsia"/>
          <w:color w:val="000000" w:themeColor="text1"/>
          <w:highlight w:val="none"/>
          <w14:textFill>
            <w14:solidFill>
              <w14:schemeClr w14:val="tx1"/>
            </w14:solidFill>
          </w14:textFill>
        </w:rPr>
        <w:t>2.7.1承诺误差率；</w:t>
      </w:r>
    </w:p>
    <w:p w14:paraId="78E5CEE3">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2.2.7.2与本项目实施相关的供应商各类证书（提供证明材料）；</w:t>
      </w:r>
    </w:p>
    <w:p w14:paraId="49E5BA4E">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2.2.7.3诚信，格式自拟；</w:t>
      </w:r>
    </w:p>
    <w:p w14:paraId="495FE5F6">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2.2.7.4拟派团队负责人配置；</w:t>
      </w:r>
    </w:p>
    <w:p w14:paraId="1031A842">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2.2.7.5拟派团队组成员配置；</w:t>
      </w:r>
    </w:p>
    <w:p w14:paraId="08B6605C">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2.2.7.6拟派团队组成员专业；</w:t>
      </w:r>
    </w:p>
    <w:p w14:paraId="784BEC22">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2.2.7.7拟派团队组成员经验；</w:t>
      </w:r>
    </w:p>
    <w:p w14:paraId="533D185F">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2.2.7.8项目实施服务方案；</w:t>
      </w:r>
    </w:p>
    <w:p w14:paraId="363F0935">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2.2.7.9服务质量控制措施；</w:t>
      </w:r>
    </w:p>
    <w:p w14:paraId="2C561F61">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2.2.7.10服务进度控制机制；</w:t>
      </w:r>
    </w:p>
    <w:p w14:paraId="0742F3D6">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2.2.7.11组织分工与对外协调；</w:t>
      </w:r>
    </w:p>
    <w:p w14:paraId="15F0EA87">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2.2.7.12后续服务能力；</w:t>
      </w:r>
    </w:p>
    <w:p w14:paraId="6C72AD59">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2.2.7.13合理化建议；</w:t>
      </w:r>
    </w:p>
    <w:p w14:paraId="0C08FFCC">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2.2.7.14廉政措施；</w:t>
      </w:r>
    </w:p>
    <w:p w14:paraId="07473A6C">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2.2.7.15供应商认为需要提供的其他文件及资料（格式自拟）。</w:t>
      </w:r>
    </w:p>
    <w:p w14:paraId="471DD836">
      <w:pPr>
        <w:spacing w:line="360" w:lineRule="auto"/>
        <w:ind w:firstLine="480" w:firstLineChars="200"/>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2.3.响应报价文件：</w:t>
      </w:r>
    </w:p>
    <w:p w14:paraId="228F9A85">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2.3.1《报价承诺函》。</w:t>
      </w:r>
    </w:p>
    <w:p w14:paraId="1073E24D">
      <w:pPr>
        <w:spacing w:line="360" w:lineRule="auto"/>
        <w:ind w:firstLine="720" w:firstLineChars="3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2.3.2供应商针对报价需要说明的其他文件和说明。</w:t>
      </w:r>
    </w:p>
    <w:p w14:paraId="1BEDF110">
      <w:pPr>
        <w:snapToGrid w:val="0"/>
        <w:spacing w:line="360" w:lineRule="auto"/>
        <w:ind w:firstLine="482" w:firstLineChars="200"/>
        <w:jc w:val="left"/>
        <w:rPr>
          <w:rFonts w:asciiTheme="majorEastAsia" w:hAnsiTheme="majorEastAsia" w:eastAsiaTheme="majorEastAsia" w:cstheme="majorEastAsia"/>
          <w:b/>
          <w:bCs/>
          <w:color w:val="000000" w:themeColor="text1"/>
          <w:highlight w:val="none"/>
          <w14:textFill>
            <w14:solidFill>
              <w14:schemeClr w14:val="tx1"/>
            </w14:solidFill>
          </w14:textFill>
        </w:rPr>
      </w:pPr>
      <w:bookmarkStart w:id="111" w:name="_Toc406402989"/>
      <w:bookmarkStart w:id="112" w:name="_Toc532218226"/>
      <w:bookmarkStart w:id="113" w:name="_Toc406402945"/>
      <w:r>
        <w:rPr>
          <w:rFonts w:hint="eastAsia" w:asciiTheme="majorEastAsia" w:hAnsiTheme="majorEastAsia" w:eastAsiaTheme="majorEastAsia" w:cstheme="majorEastAsia"/>
          <w:b/>
          <w:bCs/>
          <w:color w:val="000000" w:themeColor="text1"/>
          <w:highlight w:val="none"/>
          <w14:textFill>
            <w14:solidFill>
              <w14:schemeClr w14:val="tx1"/>
            </w14:solidFill>
          </w14:textFill>
        </w:rPr>
        <w:t>法定代表人授权委托书、投标函、开标一览表必须有法定代表人或被</w:t>
      </w:r>
      <w:r>
        <w:rPr>
          <w:rFonts w:hint="eastAsia" w:asciiTheme="majorEastAsia" w:hAnsiTheme="majorEastAsia" w:eastAsiaTheme="majorEastAsia" w:cstheme="majorEastAsia"/>
          <w:b/>
          <w:color w:val="000000" w:themeColor="text1"/>
          <w:highlight w:val="none"/>
          <w14:textFill>
            <w14:solidFill>
              <w14:schemeClr w14:val="tx1"/>
            </w14:solidFill>
          </w14:textFill>
        </w:rPr>
        <w:t>授权</w:t>
      </w:r>
      <w:r>
        <w:rPr>
          <w:rFonts w:hint="eastAsia" w:asciiTheme="majorEastAsia" w:hAnsiTheme="majorEastAsia" w:eastAsiaTheme="majorEastAsia" w:cstheme="majorEastAsia"/>
          <w:b/>
          <w:bCs/>
          <w:color w:val="000000" w:themeColor="text1"/>
          <w:highlight w:val="none"/>
          <w14:textFill>
            <w14:solidFill>
              <w14:schemeClr w14:val="tx1"/>
            </w14:solidFill>
          </w14:textFill>
        </w:rPr>
        <w:t>人签字（或签章）并加盖单位公章。</w:t>
      </w:r>
      <w:bookmarkEnd w:id="111"/>
      <w:bookmarkEnd w:id="112"/>
      <w:bookmarkEnd w:id="113"/>
    </w:p>
    <w:p w14:paraId="2E70F21F">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3、我方承诺除商务技术偏离表列出的偏离外，我方响应征集文件的全部要求。</w:t>
      </w:r>
    </w:p>
    <w:p w14:paraId="3A40C104">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4、如我方入围，我方承诺：</w:t>
      </w:r>
    </w:p>
    <w:p w14:paraId="7B87338D">
      <w:pPr>
        <w:snapToGrid w:val="0"/>
        <w:spacing w:line="360" w:lineRule="auto"/>
        <w:ind w:left="240" w:leftChars="10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4.1在收到入围通知书后，在入围通知书规定的期限内与你方签订合同； </w:t>
      </w:r>
    </w:p>
    <w:p w14:paraId="20BF11C3">
      <w:pPr>
        <w:snapToGrid w:val="0"/>
        <w:spacing w:line="360" w:lineRule="auto"/>
        <w:ind w:left="240" w:leftChars="10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4.2在签订合同时不向你方提出附加条件； </w:t>
      </w:r>
    </w:p>
    <w:p w14:paraId="6B5C7E29">
      <w:pPr>
        <w:snapToGrid w:val="0"/>
        <w:spacing w:line="360" w:lineRule="auto"/>
        <w:ind w:left="240" w:leftChars="10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4.3按照征集文件要求提交履约保证金； </w:t>
      </w:r>
    </w:p>
    <w:p w14:paraId="2BBD949E">
      <w:pPr>
        <w:snapToGrid w:val="0"/>
        <w:spacing w:line="360" w:lineRule="auto"/>
        <w:ind w:left="240" w:leftChars="10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4.4在合同约定的期限内完成合同规定的全部义务。 </w:t>
      </w:r>
    </w:p>
    <w:p w14:paraId="521CD5E5">
      <w:pPr>
        <w:snapToGrid w:val="0"/>
        <w:spacing w:line="360" w:lineRule="auto"/>
        <w:ind w:left="240" w:leftChars="100"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5、其他补充说明</w:t>
      </w:r>
      <w:r>
        <w:rPr>
          <w:rFonts w:hint="eastAsia" w:asciiTheme="majorEastAsia" w:hAnsiTheme="majorEastAsia" w:eastAsiaTheme="majorEastAsia" w:cstheme="majorEastAsia"/>
          <w:color w:val="000000" w:themeColor="text1"/>
          <w:highlight w:val="none"/>
          <w:lang w:eastAsia="zh-CN"/>
          <w14:textFill>
            <w14:solidFill>
              <w14:schemeClr w14:val="tx1"/>
            </w14:solidFill>
          </w14:textFill>
        </w:rPr>
        <w:t>：</w:t>
      </w:r>
      <w:r>
        <w:rPr>
          <w:rFonts w:hint="eastAsia" w:asciiTheme="majorEastAsia" w:hAnsiTheme="majorEastAsia" w:eastAsiaTheme="majorEastAsia" w:cstheme="majorEastAsia"/>
          <w:color w:val="000000" w:themeColor="text1"/>
          <w:highlight w:val="none"/>
          <w:u w:val="single"/>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14:paraId="452572BD">
      <w:pPr>
        <w:snapToGrid w:val="0"/>
        <w:spacing w:before="120" w:beforeLines="50" w:line="360" w:lineRule="auto"/>
        <w:jc w:val="center"/>
        <w:rPr>
          <w:rFonts w:ascii="宋体" w:hAnsi="宋体"/>
          <w:color w:val="000000" w:themeColor="text1"/>
          <w:szCs w:val="20"/>
          <w:highlight w:val="none"/>
          <w:u w:val="single"/>
          <w14:textFill>
            <w14:solidFill>
              <w14:schemeClr w14:val="tx1"/>
            </w14:solidFill>
          </w14:textFill>
        </w:rPr>
      </w:pPr>
      <w:r>
        <w:rPr>
          <w:rFonts w:hint="eastAsia" w:ascii="宋体" w:hAnsi="宋体" w:cs="Arial"/>
          <w:color w:val="000000" w:themeColor="text1"/>
          <w:kern w:val="0"/>
          <w:highlight w:val="none"/>
          <w14:textFill>
            <w14:solidFill>
              <w14:schemeClr w14:val="tx1"/>
            </w14:solidFill>
          </w14:textFill>
        </w:rPr>
        <w:t xml:space="preserve"> 法定代表人或</w:t>
      </w:r>
      <w:r>
        <w:rPr>
          <w:rFonts w:hint="eastAsia" w:ascii="宋体" w:hAnsi="宋体"/>
          <w:color w:val="000000" w:themeColor="text1"/>
          <w:highlight w:val="none"/>
          <w14:textFill>
            <w14:solidFill>
              <w14:schemeClr w14:val="tx1"/>
            </w14:solidFill>
          </w14:textFill>
        </w:rPr>
        <w:t>被授权人签字（或盖章）：</w:t>
      </w:r>
    </w:p>
    <w:p w14:paraId="606A0B79">
      <w:pPr>
        <w:pStyle w:val="33"/>
        <w:spacing w:line="360" w:lineRule="auto"/>
        <w:jc w:val="center"/>
        <w:rPr>
          <w:rFonts w:hAnsi="宋体" w:eastAsia="宋体" w:cs="宋体"/>
          <w:color w:val="000000" w:themeColor="text1"/>
          <w:sz w:val="24"/>
          <w:highlight w:val="none"/>
          <w14:textFill>
            <w14:solidFill>
              <w14:schemeClr w14:val="tx1"/>
            </w14:solidFill>
          </w14:textFill>
        </w:rPr>
      </w:pPr>
      <w:r>
        <w:rPr>
          <w:rFonts w:hint="eastAsia" w:hAnsi="宋体" w:eastAsia="宋体" w:cs="宋体"/>
          <w:color w:val="000000" w:themeColor="text1"/>
          <w:sz w:val="24"/>
          <w:highlight w:val="none"/>
          <w14:textFill>
            <w14:solidFill>
              <w14:schemeClr w14:val="tx1"/>
            </w14:solidFill>
          </w14:textFill>
        </w:rPr>
        <w:t xml:space="preserve">             供应商名称（公章）：</w:t>
      </w:r>
    </w:p>
    <w:p w14:paraId="14FA66FC">
      <w:pPr>
        <w:pStyle w:val="33"/>
        <w:spacing w:line="360" w:lineRule="auto"/>
        <w:jc w:val="center"/>
        <w:rPr>
          <w:rFonts w:hAnsi="宋体" w:eastAsia="宋体"/>
          <w:color w:val="000000" w:themeColor="text1"/>
          <w:sz w:val="24"/>
          <w:szCs w:val="24"/>
          <w:highlight w:val="none"/>
          <w14:textFill>
            <w14:solidFill>
              <w14:schemeClr w14:val="tx1"/>
            </w14:solidFill>
          </w14:textFill>
        </w:rPr>
      </w:pPr>
      <w:r>
        <w:rPr>
          <w:rFonts w:hint="eastAsia" w:hAnsi="宋体" w:eastAsia="宋体"/>
          <w:color w:val="000000" w:themeColor="text1"/>
          <w:sz w:val="24"/>
          <w:szCs w:val="24"/>
          <w:highlight w:val="none"/>
          <w14:textFill>
            <w14:solidFill>
              <w14:schemeClr w14:val="tx1"/>
            </w14:solidFill>
          </w14:textFill>
        </w:rPr>
        <w:t xml:space="preserve">          日期： 年 月 日</w:t>
      </w:r>
    </w:p>
    <w:p w14:paraId="0C3D9457">
      <w:pPr>
        <w:pStyle w:val="24"/>
        <w:ind w:left="480" w:firstLine="464"/>
        <w:rPr>
          <w:rFonts w:asciiTheme="majorEastAsia" w:hAnsiTheme="majorEastAsia" w:eastAsiaTheme="majorEastAsia" w:cstheme="majorEastAsia"/>
          <w:color w:val="000000" w:themeColor="text1"/>
          <w:sz w:val="24"/>
          <w:highlight w:val="none"/>
          <w14:textFill>
            <w14:solidFill>
              <w14:schemeClr w14:val="tx1"/>
            </w14:solidFill>
          </w14:textFill>
        </w:rPr>
      </w:pPr>
    </w:p>
    <w:p w14:paraId="6540531F">
      <w:pPr>
        <w:pStyle w:val="24"/>
        <w:ind w:left="480" w:firstLine="464"/>
        <w:rPr>
          <w:rFonts w:asciiTheme="majorEastAsia" w:hAnsiTheme="majorEastAsia" w:eastAsiaTheme="majorEastAsia" w:cstheme="majorEastAsia"/>
          <w:color w:val="000000" w:themeColor="text1"/>
          <w:sz w:val="24"/>
          <w:highlight w:val="none"/>
          <w14:textFill>
            <w14:solidFill>
              <w14:schemeClr w14:val="tx1"/>
            </w14:solidFill>
          </w14:textFill>
        </w:rPr>
      </w:pPr>
    </w:p>
    <w:p w14:paraId="4D30A861">
      <w:pPr>
        <w:rPr>
          <w:rFonts w:asciiTheme="majorEastAsia" w:hAnsiTheme="majorEastAsia" w:eastAsiaTheme="majorEastAsia" w:cstheme="majorEastAsia"/>
          <w:b/>
          <w:color w:val="000000" w:themeColor="text1"/>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32"/>
          <w:szCs w:val="32"/>
          <w:highlight w:val="none"/>
          <w14:textFill>
            <w14:solidFill>
              <w14:schemeClr w14:val="tx1"/>
            </w14:solidFill>
          </w14:textFill>
        </w:rPr>
        <w:br w:type="page"/>
      </w:r>
    </w:p>
    <w:p w14:paraId="5FEB92E4">
      <w:pPr>
        <w:snapToGrid w:val="0"/>
        <w:spacing w:before="120" w:beforeLines="50" w:after="240" w:afterLines="100" w:line="360" w:lineRule="auto"/>
        <w:jc w:val="center"/>
        <w:rPr>
          <w:rFonts w:asciiTheme="majorEastAsia" w:hAnsiTheme="majorEastAsia" w:eastAsiaTheme="majorEastAsia" w:cstheme="majorEastAsia"/>
          <w:b/>
          <w:color w:val="000000" w:themeColor="text1"/>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32"/>
          <w:szCs w:val="32"/>
          <w:highlight w:val="none"/>
          <w14:textFill>
            <w14:solidFill>
              <w14:schemeClr w14:val="tx1"/>
            </w14:solidFill>
          </w14:textFill>
        </w:rPr>
        <w:t>二、法定代表人授权委托书</w:t>
      </w:r>
    </w:p>
    <w:p w14:paraId="39309189">
      <w:pPr>
        <w:snapToGrid w:val="0"/>
        <w:spacing w:line="360" w:lineRule="auto"/>
        <w:rPr>
          <w:rFonts w:asciiTheme="majorEastAsia" w:hAnsiTheme="majorEastAsia" w:eastAsiaTheme="majorEastAsia" w:cstheme="majorEastAsia"/>
          <w:b/>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致</w:t>
      </w:r>
      <w:r>
        <w:rPr>
          <w:rFonts w:hint="eastAsia" w:asciiTheme="majorEastAsia" w:hAnsiTheme="majorEastAsia" w:eastAsiaTheme="majorEastAsia" w:cstheme="majorEastAsia"/>
          <w:bCs/>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kern w:val="0"/>
          <w:highlight w:val="none"/>
          <w:u w:val="single"/>
          <w14:textFill>
            <w14:solidFill>
              <w14:schemeClr w14:val="tx1"/>
            </w14:solidFill>
          </w14:textFill>
        </w:rPr>
        <w:t xml:space="preserve">（征集人）   </w:t>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14:paraId="2F345940">
      <w:pPr>
        <w:snapToGrid w:val="0"/>
        <w:spacing w:before="240" w:beforeLines="100" w:line="480" w:lineRule="auto"/>
        <w:ind w:firstLine="480" w:firstLineChars="200"/>
        <w:rPr>
          <w:rFonts w:asciiTheme="majorEastAsia" w:hAnsiTheme="majorEastAsia" w:eastAsiaTheme="majorEastAsia" w:cstheme="majorEastAsia"/>
          <w:color w:val="000000" w:themeColor="text1"/>
          <w:szCs w:val="20"/>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我（姓名）系（供应商名称）的法定代表人，现授权委托（姓名）以我方的名义参加</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u w:val="single"/>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u w:val="none"/>
          <w14:textFill>
            <w14:solidFill>
              <w14:schemeClr w14:val="tx1"/>
            </w14:solidFill>
          </w14:textFill>
        </w:rPr>
        <w:t>项目</w:t>
      </w:r>
      <w:r>
        <w:rPr>
          <w:rFonts w:hint="eastAsia" w:asciiTheme="majorEastAsia" w:hAnsiTheme="majorEastAsia" w:eastAsiaTheme="majorEastAsia" w:cstheme="majorEastAsia"/>
          <w:color w:val="000000" w:themeColor="text1"/>
          <w:highlight w:val="none"/>
          <w14:textFill>
            <w14:solidFill>
              <w14:schemeClr w14:val="tx1"/>
            </w14:solidFill>
          </w14:textFill>
        </w:rPr>
        <w:t>的征集活动，并代表我方全权办理针对上述项目的投标、开标、评标、签约等具体事务和签署相关文件。</w:t>
      </w:r>
    </w:p>
    <w:p w14:paraId="51AB087E">
      <w:pPr>
        <w:snapToGrid w:val="0"/>
        <w:spacing w:line="480" w:lineRule="auto"/>
        <w:ind w:firstLine="480" w:firstLineChars="200"/>
        <w:rPr>
          <w:rFonts w:asciiTheme="majorEastAsia" w:hAnsiTheme="majorEastAsia" w:eastAsiaTheme="majorEastAsia" w:cstheme="majorEastAsia"/>
          <w:color w:val="000000" w:themeColor="text1"/>
          <w:szCs w:val="20"/>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我方对被授权人的签字事项负全部责任。</w:t>
      </w:r>
    </w:p>
    <w:p w14:paraId="17ABE158">
      <w:pPr>
        <w:snapToGrid w:val="0"/>
        <w:spacing w:line="480" w:lineRule="auto"/>
        <w:ind w:firstLine="480" w:firstLineChars="200"/>
        <w:rPr>
          <w:rFonts w:asciiTheme="majorEastAsia" w:hAnsiTheme="majorEastAsia" w:eastAsiaTheme="majorEastAsia" w:cstheme="majorEastAsia"/>
          <w:color w:val="000000" w:themeColor="text1"/>
          <w:szCs w:val="20"/>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在撤销授权的书面通知以前，本授权书一直有效。</w:t>
      </w:r>
      <w:r>
        <w:rPr>
          <w:rFonts w:hint="eastAsia" w:asciiTheme="majorEastAsia" w:hAnsiTheme="majorEastAsia" w:eastAsiaTheme="majorEastAsia" w:cstheme="majorEastAsia"/>
          <w:color w:val="000000" w:themeColor="text1"/>
          <w:highlight w:val="none"/>
          <w14:textFill>
            <w14:solidFill>
              <w14:schemeClr w14:val="tx1"/>
            </w14:solidFill>
          </w14:textFill>
        </w:rPr>
        <w:t>被授权人在授权书有效期内签署的所有文件不因授权的撤销而失效。</w:t>
      </w:r>
    </w:p>
    <w:p w14:paraId="1DC968D7">
      <w:pPr>
        <w:snapToGrid w:val="0"/>
        <w:spacing w:line="48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被授权人无转委托权，特此委托。</w:t>
      </w:r>
    </w:p>
    <w:p w14:paraId="2BDAE2B8">
      <w:pPr>
        <w:snapToGrid w:val="0"/>
        <w:spacing w:line="48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身份证粘贴处：                   身份证粘贴处：</w:t>
      </w:r>
    </w:p>
    <w:p w14:paraId="14EB961E">
      <w:pPr>
        <w:snapToGrid w:val="0"/>
        <w:spacing w:line="360" w:lineRule="auto"/>
        <w:ind w:firstLine="480" w:firstLineChars="200"/>
        <w:rPr>
          <w:rFonts w:asciiTheme="majorEastAsia" w:hAnsiTheme="majorEastAsia" w:eastAsiaTheme="majorEastAsia" w:cstheme="majorEastAsia"/>
          <w:color w:val="000000" w:themeColor="text1"/>
          <w:highlight w:val="none"/>
          <w14:textFill>
            <w14:solidFill>
              <w14:schemeClr w14:val="tx1"/>
            </w14:solidFill>
          </w14:textFill>
        </w:rPr>
      </w:pPr>
    </w:p>
    <w:p w14:paraId="766561B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Theme="majorEastAsia" w:hAnsiTheme="majorEastAsia" w:eastAsiaTheme="majorEastAsia" w:cstheme="majorEastAsia"/>
          <w:color w:val="000000" w:themeColor="text1"/>
          <w:szCs w:val="20"/>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法定代表人签字（或盖章）：          授权人签字（或盖章）：</w:t>
      </w:r>
    </w:p>
    <w:p w14:paraId="2EFE902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Theme="majorEastAsia" w:hAnsiTheme="majorEastAsia" w:eastAsiaTheme="majorEastAsia" w:cstheme="majorEastAsia"/>
          <w:color w:val="000000" w:themeColor="text1"/>
          <w:highlight w:val="none"/>
          <w:u w:val="singl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职务：                              职务：</w:t>
      </w:r>
    </w:p>
    <w:p w14:paraId="511C34F6">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供应商名称（公章）</w:t>
      </w:r>
      <w:r>
        <w:rPr>
          <w:rFonts w:hint="eastAsia" w:asciiTheme="majorEastAsia" w:hAnsiTheme="majorEastAsia" w:eastAsiaTheme="majorEastAsia" w:cstheme="majorEastAsia"/>
          <w:color w:val="000000" w:themeColor="text1"/>
          <w:highlight w:val="non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lang w:val="en-US" w:eastAsia="zh-CN"/>
          <w14:textFill>
            <w14:solidFill>
              <w14:schemeClr w14:val="tx1"/>
            </w14:solidFill>
          </w14:textFill>
        </w:rPr>
        <w:t xml:space="preserve">        </w:t>
      </w:r>
    </w:p>
    <w:p w14:paraId="117A043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年  月  日</w:t>
      </w:r>
    </w:p>
    <w:p w14:paraId="1E19B927">
      <w:pPr>
        <w:pStyle w:val="12"/>
        <w:rPr>
          <w:rFonts w:asciiTheme="majorEastAsia" w:hAnsiTheme="majorEastAsia" w:eastAsiaTheme="majorEastAsia" w:cstheme="majorEastAsia"/>
          <w:color w:val="000000" w:themeColor="text1"/>
          <w:highlight w:val="none"/>
          <w14:textFill>
            <w14:solidFill>
              <w14:schemeClr w14:val="tx1"/>
            </w14:solidFill>
          </w14:textFill>
        </w:rPr>
      </w:pPr>
    </w:p>
    <w:p w14:paraId="68E573E3">
      <w:pPr>
        <w:pStyle w:val="24"/>
        <w:ind w:left="480" w:firstLine="404"/>
        <w:rPr>
          <w:rFonts w:asciiTheme="majorEastAsia" w:hAnsiTheme="majorEastAsia" w:eastAsiaTheme="majorEastAsia" w:cstheme="majorEastAsia"/>
          <w:color w:val="000000" w:themeColor="text1"/>
          <w:highlight w:val="none"/>
          <w14:textFill>
            <w14:solidFill>
              <w14:schemeClr w14:val="tx1"/>
            </w14:solidFill>
          </w14:textFill>
        </w:rPr>
      </w:pPr>
    </w:p>
    <w:p w14:paraId="607217A5">
      <w:pPr>
        <w:pStyle w:val="24"/>
        <w:ind w:left="480" w:firstLine="404"/>
        <w:rPr>
          <w:rFonts w:asciiTheme="majorEastAsia" w:hAnsiTheme="majorEastAsia" w:eastAsiaTheme="majorEastAsia" w:cstheme="majorEastAsia"/>
          <w:color w:val="000000" w:themeColor="text1"/>
          <w:highlight w:val="none"/>
          <w14:textFill>
            <w14:solidFill>
              <w14:schemeClr w14:val="tx1"/>
            </w14:solidFill>
          </w14:textFill>
        </w:rPr>
      </w:pPr>
    </w:p>
    <w:p w14:paraId="4057353C">
      <w:pP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br w:type="page"/>
      </w:r>
    </w:p>
    <w:p w14:paraId="6EC30E12">
      <w:pPr>
        <w:jc w:val="cente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t>三、符合性审查资料</w:t>
      </w:r>
    </w:p>
    <w:tbl>
      <w:tblPr>
        <w:tblStyle w:val="25"/>
        <w:tblpPr w:leftFromText="180" w:rightFromText="180" w:vertAnchor="text" w:horzAnchor="page" w:tblpX="1516" w:tblpY="380"/>
        <w:tblOverlap w:val="never"/>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889"/>
        <w:gridCol w:w="3008"/>
        <w:gridCol w:w="4093"/>
        <w:gridCol w:w="1616"/>
      </w:tblGrid>
      <w:tr w14:paraId="7A267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82" w:hRule="atLeast"/>
        </w:trPr>
        <w:tc>
          <w:tcPr>
            <w:tcW w:w="889" w:type="dxa"/>
            <w:vAlign w:val="center"/>
          </w:tcPr>
          <w:p w14:paraId="4A79557E">
            <w:pPr>
              <w:snapToGrid w:val="0"/>
              <w:spacing w:line="276" w:lineRule="auto"/>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序号</w:t>
            </w:r>
          </w:p>
        </w:tc>
        <w:tc>
          <w:tcPr>
            <w:tcW w:w="3008" w:type="dxa"/>
            <w:vAlign w:val="center"/>
          </w:tcPr>
          <w:p w14:paraId="205B3F6B">
            <w:pPr>
              <w:snapToGrid w:val="0"/>
              <w:spacing w:line="276" w:lineRule="auto"/>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实质性要求</w:t>
            </w:r>
          </w:p>
        </w:tc>
        <w:tc>
          <w:tcPr>
            <w:tcW w:w="4093" w:type="dxa"/>
            <w:vAlign w:val="center"/>
          </w:tcPr>
          <w:p w14:paraId="75C499B3">
            <w:pPr>
              <w:snapToGrid w:val="0"/>
              <w:spacing w:line="276" w:lineRule="auto"/>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需要提供的符合性审查资料</w:t>
            </w:r>
          </w:p>
        </w:tc>
        <w:tc>
          <w:tcPr>
            <w:tcW w:w="1616" w:type="dxa"/>
            <w:vAlign w:val="center"/>
          </w:tcPr>
          <w:p w14:paraId="1B0C1A29">
            <w:pPr>
              <w:snapToGrid w:val="0"/>
              <w:spacing w:line="276" w:lineRule="auto"/>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响应文件中的页码位置</w:t>
            </w:r>
          </w:p>
        </w:tc>
      </w:tr>
      <w:tr w14:paraId="4B5DD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60" w:hRule="atLeast"/>
        </w:trPr>
        <w:tc>
          <w:tcPr>
            <w:tcW w:w="889" w:type="dxa"/>
            <w:vAlign w:val="center"/>
          </w:tcPr>
          <w:p w14:paraId="7CD7C1CF">
            <w:pPr>
              <w:spacing w:line="276"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w:t>
            </w:r>
          </w:p>
        </w:tc>
        <w:tc>
          <w:tcPr>
            <w:tcW w:w="3008" w:type="dxa"/>
            <w:vAlign w:val="center"/>
          </w:tcPr>
          <w:p w14:paraId="56485CFC">
            <w:pPr>
              <w:spacing w:line="276"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响应文件按照征集文件要求签署、盖章。</w:t>
            </w:r>
          </w:p>
        </w:tc>
        <w:tc>
          <w:tcPr>
            <w:tcW w:w="4093" w:type="dxa"/>
            <w:vAlign w:val="center"/>
          </w:tcPr>
          <w:p w14:paraId="721F3624">
            <w:pPr>
              <w:spacing w:line="276"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需要使用电子签名或者签字盖章的响应文件的组成部分</w:t>
            </w:r>
          </w:p>
        </w:tc>
        <w:tc>
          <w:tcPr>
            <w:tcW w:w="1616" w:type="dxa"/>
            <w:vAlign w:val="center"/>
          </w:tcPr>
          <w:p w14:paraId="42035296">
            <w:pPr>
              <w:spacing w:line="276" w:lineRule="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见响应文件</w:t>
            </w:r>
          </w:p>
          <w:p w14:paraId="372BEF6B">
            <w:pPr>
              <w:spacing w:line="276"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第</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t>页</w:t>
            </w:r>
          </w:p>
        </w:tc>
      </w:tr>
      <w:tr w14:paraId="3E128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60" w:hRule="atLeast"/>
        </w:trPr>
        <w:tc>
          <w:tcPr>
            <w:tcW w:w="889" w:type="dxa"/>
            <w:vAlign w:val="center"/>
          </w:tcPr>
          <w:p w14:paraId="3B237139">
            <w:pPr>
              <w:spacing w:line="276"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2</w:t>
            </w:r>
          </w:p>
        </w:tc>
        <w:tc>
          <w:tcPr>
            <w:tcW w:w="3008" w:type="dxa"/>
            <w:vAlign w:val="center"/>
          </w:tcPr>
          <w:p w14:paraId="4C08AF68">
            <w:pPr>
              <w:spacing w:line="276" w:lineRule="auto"/>
              <w:jc w:val="center"/>
              <w:rPr>
                <w:rFonts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响应文件中承诺的响应有效期不少于征集文件中载明的响应有效期。</w:t>
            </w:r>
          </w:p>
        </w:tc>
        <w:tc>
          <w:tcPr>
            <w:tcW w:w="4093" w:type="dxa"/>
            <w:vAlign w:val="center"/>
          </w:tcPr>
          <w:p w14:paraId="322DCA96">
            <w:pPr>
              <w:spacing w:line="276" w:lineRule="auto"/>
              <w:jc w:val="center"/>
              <w:rPr>
                <w:rFonts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投标函</w:t>
            </w:r>
          </w:p>
        </w:tc>
        <w:tc>
          <w:tcPr>
            <w:tcW w:w="1616" w:type="dxa"/>
            <w:vAlign w:val="center"/>
          </w:tcPr>
          <w:p w14:paraId="6B1C7F9B">
            <w:pPr>
              <w:spacing w:line="276" w:lineRule="auto"/>
              <w:jc w:val="center"/>
              <w:rPr>
                <w:rFonts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见响应文件第</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t>页</w:t>
            </w:r>
          </w:p>
        </w:tc>
      </w:tr>
      <w:tr w14:paraId="04A30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60" w:hRule="atLeast"/>
        </w:trPr>
        <w:tc>
          <w:tcPr>
            <w:tcW w:w="889" w:type="dxa"/>
            <w:vAlign w:val="center"/>
          </w:tcPr>
          <w:p w14:paraId="7FED4224">
            <w:pPr>
              <w:spacing w:line="276"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3</w:t>
            </w:r>
          </w:p>
        </w:tc>
        <w:tc>
          <w:tcPr>
            <w:tcW w:w="3008" w:type="dxa"/>
            <w:vAlign w:val="center"/>
          </w:tcPr>
          <w:p w14:paraId="28A657DB">
            <w:pPr>
              <w:spacing w:line="276" w:lineRule="auto"/>
              <w:jc w:val="center"/>
              <w:rPr>
                <w:rFonts w:asciiTheme="majorEastAsia" w:hAnsiTheme="majorEastAsia" w:eastAsiaTheme="majorEastAsia" w:cstheme="majorEastAsia"/>
                <w:color w:val="000000" w:themeColor="text1"/>
                <w:highlight w:val="none"/>
                <w14:textFill>
                  <w14:solidFill>
                    <w14:schemeClr w14:val="tx1"/>
                  </w14:solidFill>
                </w14:textFill>
              </w:rPr>
            </w:pPr>
          </w:p>
          <w:p w14:paraId="0BE7CE01">
            <w:pPr>
              <w:spacing w:line="276" w:lineRule="auto"/>
              <w:jc w:val="center"/>
              <w:rPr>
                <w:rFonts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响应文件满足征集文件的其他实质性要求。</w:t>
            </w:r>
          </w:p>
        </w:tc>
        <w:tc>
          <w:tcPr>
            <w:tcW w:w="4093" w:type="dxa"/>
            <w:vAlign w:val="center"/>
          </w:tcPr>
          <w:p w14:paraId="47414D2B">
            <w:pPr>
              <w:spacing w:line="276" w:lineRule="auto"/>
              <w:jc w:val="center"/>
              <w:rPr>
                <w:rFonts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kern w:val="0"/>
                <w:highlight w:val="none"/>
                <w14:textFill>
                  <w14:solidFill>
                    <w14:schemeClr w14:val="tx1"/>
                  </w14:solidFill>
                </w14:textFill>
              </w:rPr>
              <w:t>征集文件其他实质性要求相应的材料（“▲”系指实质性要求条款，征集文件无其他实质性要求的，无需提供）</w:t>
            </w:r>
          </w:p>
        </w:tc>
        <w:tc>
          <w:tcPr>
            <w:tcW w:w="1616" w:type="dxa"/>
            <w:vAlign w:val="center"/>
          </w:tcPr>
          <w:p w14:paraId="29684785">
            <w:pPr>
              <w:spacing w:line="276" w:lineRule="auto"/>
              <w:jc w:val="center"/>
              <w:rPr>
                <w:rFonts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见响应文件第</w:t>
            </w:r>
            <w:r>
              <w:rPr>
                <w:rFonts w:hint="eastAsia" w:asciiTheme="majorEastAsia" w:hAnsiTheme="majorEastAsia" w:eastAsiaTheme="majorEastAsia" w:cstheme="majorEastAsia"/>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highlight w:val="none"/>
                <w14:textFill>
                  <w14:solidFill>
                    <w14:schemeClr w14:val="tx1"/>
                  </w14:solidFill>
                </w14:textFill>
              </w:rPr>
              <w:t>页</w:t>
            </w:r>
          </w:p>
        </w:tc>
      </w:tr>
    </w:tbl>
    <w:p w14:paraId="0AE12C98">
      <w:pPr>
        <w:jc w:val="cente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p>
    <w:p w14:paraId="25964B11">
      <w:pPr>
        <w:pStyle w:val="24"/>
        <w:ind w:left="480" w:firstLine="404"/>
        <w:rPr>
          <w:rFonts w:asciiTheme="majorEastAsia" w:hAnsiTheme="majorEastAsia" w:eastAsiaTheme="majorEastAsia" w:cstheme="majorEastAsia"/>
          <w:color w:val="000000" w:themeColor="text1"/>
          <w:highlight w:val="none"/>
          <w14:textFill>
            <w14:solidFill>
              <w14:schemeClr w14:val="tx1"/>
            </w14:solidFill>
          </w14:textFill>
        </w:rPr>
      </w:pPr>
    </w:p>
    <w:p w14:paraId="08462869">
      <w:pPr>
        <w:snapToGrid w:val="0"/>
        <w:spacing w:before="120" w:beforeLines="50" w:line="360" w:lineRule="auto"/>
        <w:jc w:val="right"/>
        <w:rPr>
          <w:rFonts w:ascii="宋体" w:hAnsi="宋体"/>
          <w:color w:val="000000" w:themeColor="text1"/>
          <w:szCs w:val="20"/>
          <w:highlight w:val="none"/>
          <w:u w:val="single"/>
          <w14:textFill>
            <w14:solidFill>
              <w14:schemeClr w14:val="tx1"/>
            </w14:solidFill>
          </w14:textFill>
        </w:rPr>
      </w:pPr>
      <w:r>
        <w:rPr>
          <w:rFonts w:hint="eastAsia" w:ascii="宋体" w:hAnsi="宋体" w:cs="Arial"/>
          <w:color w:val="000000" w:themeColor="text1"/>
          <w:kern w:val="0"/>
          <w:highlight w:val="none"/>
          <w14:textFill>
            <w14:solidFill>
              <w14:schemeClr w14:val="tx1"/>
            </w14:solidFill>
          </w14:textFill>
        </w:rPr>
        <w:t xml:space="preserve"> 法定代表人或</w:t>
      </w:r>
      <w:r>
        <w:rPr>
          <w:rFonts w:hint="eastAsia" w:ascii="宋体" w:hAnsi="宋体"/>
          <w:color w:val="000000" w:themeColor="text1"/>
          <w:highlight w:val="none"/>
          <w14:textFill>
            <w14:solidFill>
              <w14:schemeClr w14:val="tx1"/>
            </w14:solidFill>
          </w14:textFill>
        </w:rPr>
        <w:t>被授权人签字（或盖章）：</w:t>
      </w:r>
    </w:p>
    <w:p w14:paraId="34CBE00B">
      <w:pPr>
        <w:pStyle w:val="33"/>
        <w:spacing w:line="360" w:lineRule="auto"/>
        <w:jc w:val="right"/>
        <w:rPr>
          <w:rFonts w:hAnsi="宋体" w:eastAsia="宋体" w:cs="宋体"/>
          <w:color w:val="000000" w:themeColor="text1"/>
          <w:sz w:val="24"/>
          <w:highlight w:val="none"/>
          <w14:textFill>
            <w14:solidFill>
              <w14:schemeClr w14:val="tx1"/>
            </w14:solidFill>
          </w14:textFill>
        </w:rPr>
      </w:pPr>
      <w:r>
        <w:rPr>
          <w:rFonts w:hint="eastAsia" w:hAnsi="宋体" w:eastAsia="宋体" w:cs="宋体"/>
          <w:color w:val="000000" w:themeColor="text1"/>
          <w:sz w:val="24"/>
          <w:highlight w:val="none"/>
          <w14:textFill>
            <w14:solidFill>
              <w14:schemeClr w14:val="tx1"/>
            </w14:solidFill>
          </w14:textFill>
        </w:rPr>
        <w:t xml:space="preserve">             供应商名称（公章）：</w:t>
      </w:r>
    </w:p>
    <w:p w14:paraId="20D8BF44">
      <w:pPr>
        <w:pStyle w:val="33"/>
        <w:spacing w:line="360" w:lineRule="auto"/>
        <w:jc w:val="right"/>
        <w:rPr>
          <w:rFonts w:hAnsi="宋体" w:eastAsia="宋体"/>
          <w:color w:val="000000" w:themeColor="text1"/>
          <w:sz w:val="24"/>
          <w:szCs w:val="24"/>
          <w:highlight w:val="none"/>
          <w14:textFill>
            <w14:solidFill>
              <w14:schemeClr w14:val="tx1"/>
            </w14:solidFill>
          </w14:textFill>
        </w:rPr>
      </w:pPr>
      <w:r>
        <w:rPr>
          <w:rFonts w:hint="eastAsia" w:hAnsi="宋体" w:eastAsia="宋体"/>
          <w:color w:val="000000" w:themeColor="text1"/>
          <w:sz w:val="24"/>
          <w:szCs w:val="24"/>
          <w:highlight w:val="none"/>
          <w14:textFill>
            <w14:solidFill>
              <w14:schemeClr w14:val="tx1"/>
            </w14:solidFill>
          </w14:textFill>
        </w:rPr>
        <w:t xml:space="preserve">          日期： 年 月 日</w:t>
      </w:r>
    </w:p>
    <w:p w14:paraId="7FA3B6D0">
      <w:pPr>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p>
    <w:p w14:paraId="7B7FDB1E">
      <w:pPr>
        <w:jc w:val="center"/>
        <w:rPr>
          <w:rFonts w:asciiTheme="majorEastAsia" w:hAnsiTheme="majorEastAsia" w:eastAsiaTheme="majorEastAsia" w:cstheme="majorEastAsia"/>
          <w:color w:val="000000" w:themeColor="text1"/>
          <w:kern w:val="0"/>
          <w:highlight w:val="none"/>
          <w14:textFill>
            <w14:solidFill>
              <w14:schemeClr w14:val="tx1"/>
            </w14:solidFill>
          </w14:textFill>
        </w:rPr>
      </w:pPr>
    </w:p>
    <w:p w14:paraId="046F0F27">
      <w:pPr>
        <w:pStyle w:val="12"/>
        <w:rPr>
          <w:color w:val="000000" w:themeColor="text1"/>
          <w:highlight w:val="none"/>
          <w14:textFill>
            <w14:solidFill>
              <w14:schemeClr w14:val="tx1"/>
            </w14:solidFill>
          </w14:textFill>
        </w:rPr>
      </w:pPr>
    </w:p>
    <w:p w14:paraId="5268BB98">
      <w:pP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br w:type="page"/>
      </w:r>
    </w:p>
    <w:p w14:paraId="2C1D71B1">
      <w:pPr>
        <w:keepNext w:val="0"/>
        <w:keepLines w:val="0"/>
        <w:pageBreakBefore w:val="0"/>
        <w:widowControl w:val="0"/>
        <w:kinsoku/>
        <w:wordWrap/>
        <w:overflowPunct/>
        <w:topLinePunct w:val="0"/>
        <w:autoSpaceDE/>
        <w:autoSpaceDN/>
        <w:bidi w:val="0"/>
        <w:adjustRightInd/>
        <w:snapToGrid/>
        <w:spacing w:after="157" w:afterLines="50"/>
        <w:jc w:val="center"/>
        <w:textAlignment w:val="auto"/>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t>四、商务技术响应表</w:t>
      </w:r>
    </w:p>
    <w:tbl>
      <w:tblPr>
        <w:tblStyle w:val="25"/>
        <w:tblW w:w="898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87"/>
        <w:gridCol w:w="3086"/>
        <w:gridCol w:w="3240"/>
        <w:gridCol w:w="1673"/>
      </w:tblGrid>
      <w:tr w14:paraId="5300E7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987" w:type="dxa"/>
            <w:vAlign w:val="center"/>
          </w:tcPr>
          <w:p w14:paraId="0B82B277">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1"/>
                <w:highlight w:val="none"/>
                <w14:textFill>
                  <w14:solidFill>
                    <w14:schemeClr w14:val="tx1"/>
                  </w14:solidFill>
                </w14:textFill>
              </w:rPr>
              <w:t>序号</w:t>
            </w:r>
          </w:p>
        </w:tc>
        <w:tc>
          <w:tcPr>
            <w:tcW w:w="3086" w:type="dxa"/>
            <w:vAlign w:val="center"/>
          </w:tcPr>
          <w:p w14:paraId="35CDADA5">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1"/>
                <w:highlight w:val="none"/>
                <w14:textFill>
                  <w14:solidFill>
                    <w14:schemeClr w14:val="tx1"/>
                  </w14:solidFill>
                </w14:textFill>
              </w:rPr>
              <w:t>征集文件的规定</w:t>
            </w:r>
          </w:p>
        </w:tc>
        <w:tc>
          <w:tcPr>
            <w:tcW w:w="3240" w:type="dxa"/>
            <w:vAlign w:val="center"/>
          </w:tcPr>
          <w:p w14:paraId="37F7C2E4">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1"/>
                <w:highlight w:val="none"/>
                <w14:textFill>
                  <w14:solidFill>
                    <w14:schemeClr w14:val="tx1"/>
                  </w14:solidFill>
                </w14:textFill>
              </w:rPr>
              <w:t>响应文件的响应</w:t>
            </w:r>
          </w:p>
        </w:tc>
        <w:tc>
          <w:tcPr>
            <w:tcW w:w="1673" w:type="dxa"/>
            <w:vAlign w:val="center"/>
          </w:tcPr>
          <w:p w14:paraId="2D2BAEF0">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1"/>
                <w:highlight w:val="none"/>
                <w14:textFill>
                  <w14:solidFill>
                    <w14:schemeClr w14:val="tx1"/>
                  </w14:solidFill>
                </w14:textFill>
              </w:rPr>
              <w:t>偏离说明</w:t>
            </w:r>
          </w:p>
        </w:tc>
      </w:tr>
      <w:tr w14:paraId="690E9C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987" w:type="dxa"/>
            <w:vAlign w:val="center"/>
          </w:tcPr>
          <w:p w14:paraId="6795825B">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1"/>
                <w:highlight w:val="none"/>
                <w14:textFill>
                  <w14:solidFill>
                    <w14:schemeClr w14:val="tx1"/>
                  </w14:solidFill>
                </w14:textFill>
              </w:rPr>
              <w:t>1</w:t>
            </w:r>
          </w:p>
        </w:tc>
        <w:tc>
          <w:tcPr>
            <w:tcW w:w="3086" w:type="dxa"/>
            <w:vAlign w:val="center"/>
          </w:tcPr>
          <w:p w14:paraId="7F2EE568">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c>
          <w:tcPr>
            <w:tcW w:w="3240" w:type="dxa"/>
            <w:vAlign w:val="center"/>
          </w:tcPr>
          <w:p w14:paraId="39049051">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c>
          <w:tcPr>
            <w:tcW w:w="1673" w:type="dxa"/>
            <w:vAlign w:val="center"/>
          </w:tcPr>
          <w:p w14:paraId="2BE2B9D8">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r>
      <w:tr w14:paraId="6A629E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987" w:type="dxa"/>
            <w:vAlign w:val="center"/>
          </w:tcPr>
          <w:p w14:paraId="3C175501">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1"/>
                <w:highlight w:val="none"/>
                <w14:textFill>
                  <w14:solidFill>
                    <w14:schemeClr w14:val="tx1"/>
                  </w14:solidFill>
                </w14:textFill>
              </w:rPr>
              <w:t>2</w:t>
            </w:r>
          </w:p>
        </w:tc>
        <w:tc>
          <w:tcPr>
            <w:tcW w:w="3086" w:type="dxa"/>
            <w:vAlign w:val="center"/>
          </w:tcPr>
          <w:p w14:paraId="4EDD74CB">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c>
          <w:tcPr>
            <w:tcW w:w="3240" w:type="dxa"/>
            <w:vAlign w:val="center"/>
          </w:tcPr>
          <w:p w14:paraId="15C1D718">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c>
          <w:tcPr>
            <w:tcW w:w="1673" w:type="dxa"/>
            <w:vAlign w:val="center"/>
          </w:tcPr>
          <w:p w14:paraId="35D6198A">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r>
      <w:tr w14:paraId="5199C8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987" w:type="dxa"/>
            <w:vAlign w:val="center"/>
          </w:tcPr>
          <w:p w14:paraId="5C6EB582">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1"/>
                <w:highlight w:val="none"/>
                <w14:textFill>
                  <w14:solidFill>
                    <w14:schemeClr w14:val="tx1"/>
                  </w14:solidFill>
                </w14:textFill>
              </w:rPr>
              <w:t>3</w:t>
            </w:r>
          </w:p>
        </w:tc>
        <w:tc>
          <w:tcPr>
            <w:tcW w:w="3086" w:type="dxa"/>
            <w:vAlign w:val="center"/>
          </w:tcPr>
          <w:p w14:paraId="07A9D3AA">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c>
          <w:tcPr>
            <w:tcW w:w="3240" w:type="dxa"/>
            <w:vAlign w:val="center"/>
          </w:tcPr>
          <w:p w14:paraId="0E849809">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c>
          <w:tcPr>
            <w:tcW w:w="1673" w:type="dxa"/>
            <w:vAlign w:val="center"/>
          </w:tcPr>
          <w:p w14:paraId="06097BED">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r>
      <w:tr w14:paraId="28FBD0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987" w:type="dxa"/>
            <w:vAlign w:val="center"/>
          </w:tcPr>
          <w:p w14:paraId="69DE1AF3">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r>
              <w:rPr>
                <w:rFonts w:ascii="Arial" w:hAnsi="Arial" w:cs="Arial" w:eastAsiaTheme="majorEastAsia"/>
                <w:color w:val="000000" w:themeColor="text1"/>
                <w:szCs w:val="21"/>
                <w:highlight w:val="none"/>
                <w14:textFill>
                  <w14:solidFill>
                    <w14:schemeClr w14:val="tx1"/>
                  </w14:solidFill>
                </w14:textFill>
              </w:rPr>
              <w:t>……</w:t>
            </w:r>
          </w:p>
        </w:tc>
        <w:tc>
          <w:tcPr>
            <w:tcW w:w="3086" w:type="dxa"/>
            <w:vAlign w:val="center"/>
          </w:tcPr>
          <w:p w14:paraId="2CE813CE">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c>
          <w:tcPr>
            <w:tcW w:w="3240" w:type="dxa"/>
            <w:vAlign w:val="center"/>
          </w:tcPr>
          <w:p w14:paraId="220D8BA2">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c>
          <w:tcPr>
            <w:tcW w:w="1673" w:type="dxa"/>
            <w:vAlign w:val="center"/>
          </w:tcPr>
          <w:p w14:paraId="2CDC11E4">
            <w:pPr>
              <w:spacing w:before="240" w:after="240"/>
              <w:jc w:val="center"/>
              <w:rPr>
                <w:rFonts w:asciiTheme="majorEastAsia" w:hAnsiTheme="majorEastAsia" w:eastAsiaTheme="majorEastAsia" w:cstheme="majorEastAsia"/>
                <w:color w:val="000000" w:themeColor="text1"/>
                <w:szCs w:val="21"/>
                <w:highlight w:val="none"/>
                <w14:textFill>
                  <w14:solidFill>
                    <w14:schemeClr w14:val="tx1"/>
                  </w14:solidFill>
                </w14:textFill>
              </w:rPr>
            </w:pPr>
          </w:p>
        </w:tc>
      </w:tr>
    </w:tbl>
    <w:p w14:paraId="54E1D074">
      <w:pPr>
        <w:spacing w:before="120" w:beforeLines="50" w:line="360" w:lineRule="auto"/>
        <w:rPr>
          <w:rFonts w:asciiTheme="majorEastAsia" w:hAnsiTheme="majorEastAsia" w:eastAsiaTheme="majorEastAsia" w:cstheme="majorEastAsia"/>
          <w:b/>
          <w:color w:val="000000" w:themeColor="text1"/>
          <w:szCs w:val="21"/>
          <w:highlight w:val="none"/>
          <w14:textFill>
            <w14:solidFill>
              <w14:schemeClr w14:val="tx1"/>
            </w14:solidFill>
          </w14:textFill>
        </w:rPr>
      </w:pPr>
      <w:r>
        <w:rPr>
          <w:rFonts w:hint="eastAsia" w:asciiTheme="majorEastAsia" w:hAnsiTheme="majorEastAsia" w:eastAsiaTheme="majorEastAsia" w:cstheme="majorEastAsia"/>
          <w:b/>
          <w:color w:val="000000" w:themeColor="text1"/>
          <w:szCs w:val="21"/>
          <w:highlight w:val="none"/>
          <w14:textFill>
            <w14:solidFill>
              <w14:schemeClr w14:val="tx1"/>
            </w14:solidFill>
          </w14:textFill>
        </w:rPr>
        <w:t>注：供应商的响应文件与征集文件之规定存在偏离的，应在此表中如实说明。未在上表中说明的，将被认为完全响应征集文件的规定。</w:t>
      </w:r>
    </w:p>
    <w:p w14:paraId="707FF5C8">
      <w:pPr>
        <w:keepNext w:val="0"/>
        <w:keepLines w:val="0"/>
        <w:pageBreakBefore w:val="0"/>
        <w:widowControl w:val="0"/>
        <w:kinsoku/>
        <w:wordWrap/>
        <w:overflowPunct/>
        <w:topLinePunct w:val="0"/>
        <w:autoSpaceDE/>
        <w:autoSpaceDN/>
        <w:bidi w:val="0"/>
        <w:snapToGrid w:val="0"/>
        <w:spacing w:before="120" w:beforeLines="50" w:line="360" w:lineRule="auto"/>
        <w:jc w:val="right"/>
        <w:rPr>
          <w:rFonts w:ascii="宋体" w:hAnsi="宋体"/>
          <w:color w:val="000000" w:themeColor="text1"/>
          <w:szCs w:val="20"/>
          <w:highlight w:val="none"/>
          <w:u w:val="single"/>
          <w14:textFill>
            <w14:solidFill>
              <w14:schemeClr w14:val="tx1"/>
            </w14:solidFill>
          </w14:textFill>
        </w:rPr>
      </w:pPr>
      <w:r>
        <w:rPr>
          <w:rFonts w:hint="eastAsia" w:ascii="宋体" w:hAnsi="宋体" w:cs="Arial"/>
          <w:color w:val="000000" w:themeColor="text1"/>
          <w:kern w:val="0"/>
          <w:highlight w:val="none"/>
          <w14:textFill>
            <w14:solidFill>
              <w14:schemeClr w14:val="tx1"/>
            </w14:solidFill>
          </w14:textFill>
        </w:rPr>
        <w:t xml:space="preserve"> 法定代表人或</w:t>
      </w:r>
      <w:r>
        <w:rPr>
          <w:rFonts w:hint="eastAsia" w:ascii="宋体" w:hAnsi="宋体"/>
          <w:color w:val="000000" w:themeColor="text1"/>
          <w:highlight w:val="none"/>
          <w14:textFill>
            <w14:solidFill>
              <w14:schemeClr w14:val="tx1"/>
            </w14:solidFill>
          </w14:textFill>
        </w:rPr>
        <w:t>被授权人签字（或盖章）：</w:t>
      </w:r>
    </w:p>
    <w:p w14:paraId="4D759097">
      <w:pPr>
        <w:pStyle w:val="33"/>
        <w:keepNext w:val="0"/>
        <w:keepLines w:val="0"/>
        <w:pageBreakBefore w:val="0"/>
        <w:widowControl w:val="0"/>
        <w:kinsoku/>
        <w:wordWrap/>
        <w:overflowPunct/>
        <w:topLinePunct w:val="0"/>
        <w:autoSpaceDE/>
        <w:autoSpaceDN/>
        <w:bidi w:val="0"/>
        <w:spacing w:line="360" w:lineRule="auto"/>
        <w:jc w:val="right"/>
        <w:rPr>
          <w:rFonts w:hAnsi="宋体" w:eastAsia="宋体" w:cs="宋体"/>
          <w:color w:val="000000" w:themeColor="text1"/>
          <w:sz w:val="24"/>
          <w:highlight w:val="none"/>
          <w14:textFill>
            <w14:solidFill>
              <w14:schemeClr w14:val="tx1"/>
            </w14:solidFill>
          </w14:textFill>
        </w:rPr>
      </w:pPr>
      <w:r>
        <w:rPr>
          <w:rFonts w:hint="eastAsia" w:hAnsi="宋体" w:eastAsia="宋体" w:cs="宋体"/>
          <w:color w:val="000000" w:themeColor="text1"/>
          <w:sz w:val="24"/>
          <w:highlight w:val="none"/>
          <w14:textFill>
            <w14:solidFill>
              <w14:schemeClr w14:val="tx1"/>
            </w14:solidFill>
          </w14:textFill>
        </w:rPr>
        <w:t xml:space="preserve">             供应商名称（公章）：</w:t>
      </w:r>
    </w:p>
    <w:p w14:paraId="653B7124">
      <w:pPr>
        <w:pStyle w:val="33"/>
        <w:keepNext w:val="0"/>
        <w:keepLines w:val="0"/>
        <w:pageBreakBefore w:val="0"/>
        <w:widowControl w:val="0"/>
        <w:kinsoku/>
        <w:wordWrap/>
        <w:overflowPunct/>
        <w:topLinePunct w:val="0"/>
        <w:autoSpaceDE/>
        <w:autoSpaceDN/>
        <w:bidi w:val="0"/>
        <w:spacing w:line="360" w:lineRule="auto"/>
        <w:jc w:val="right"/>
        <w:rPr>
          <w:rFonts w:hAnsi="宋体" w:eastAsia="宋体"/>
          <w:color w:val="000000" w:themeColor="text1"/>
          <w:sz w:val="24"/>
          <w:szCs w:val="24"/>
          <w:highlight w:val="none"/>
          <w14:textFill>
            <w14:solidFill>
              <w14:schemeClr w14:val="tx1"/>
            </w14:solidFill>
          </w14:textFill>
        </w:rPr>
      </w:pPr>
      <w:r>
        <w:rPr>
          <w:rFonts w:hint="eastAsia" w:hAnsi="宋体" w:eastAsia="宋体"/>
          <w:color w:val="000000" w:themeColor="text1"/>
          <w:sz w:val="24"/>
          <w:szCs w:val="24"/>
          <w:highlight w:val="none"/>
          <w14:textFill>
            <w14:solidFill>
              <w14:schemeClr w14:val="tx1"/>
            </w14:solidFill>
          </w14:textFill>
        </w:rPr>
        <w:t xml:space="preserve">          日期： 年 月 日</w:t>
      </w:r>
    </w:p>
    <w:p w14:paraId="2EE55D48">
      <w:pP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p>
    <w:p w14:paraId="15B13A08">
      <w:pPr>
        <w:pStyle w:val="24"/>
        <w:ind w:left="0" w:leftChars="0" w:firstLine="0" w:firstLineChars="0"/>
        <w:rPr>
          <w:rFonts w:asciiTheme="majorEastAsia" w:hAnsiTheme="majorEastAsia" w:eastAsiaTheme="majorEastAsia" w:cstheme="majorEastAsia"/>
          <w:b/>
          <w:color w:val="000000" w:themeColor="text1"/>
          <w:sz w:val="32"/>
          <w:szCs w:val="32"/>
          <w:highlight w:val="none"/>
          <w14:textFill>
            <w14:solidFill>
              <w14:schemeClr w14:val="tx1"/>
            </w14:solidFill>
          </w14:textFill>
        </w:rPr>
      </w:pPr>
    </w:p>
    <w:p w14:paraId="4D409421">
      <w:pP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br w:type="page"/>
      </w:r>
    </w:p>
    <w:p w14:paraId="16E3E9F7">
      <w:pPr>
        <w:keepNext w:val="0"/>
        <w:keepLines w:val="0"/>
        <w:pageBreakBefore w:val="0"/>
        <w:widowControl w:val="0"/>
        <w:kinsoku/>
        <w:wordWrap/>
        <w:overflowPunct/>
        <w:topLinePunct w:val="0"/>
        <w:autoSpaceDE/>
        <w:autoSpaceDN/>
        <w:bidi w:val="0"/>
        <w:adjustRightInd/>
        <w:snapToGrid/>
        <w:spacing w:before="157" w:beforeLines="50" w:after="313" w:afterLines="100"/>
        <w:jc w:val="center"/>
        <w:textAlignment w:val="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t>五、评标标准相应的商务技术资料</w:t>
      </w:r>
    </w:p>
    <w:p w14:paraId="2937325D">
      <w:pPr>
        <w:snapToGrid w:val="0"/>
        <w:spacing w:line="360" w:lineRule="auto"/>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（按征集文件第三章供应商须知中“响应文件的编制”提供资料，除以下响应文件格式外相关资料由供应商自拟。）</w:t>
      </w:r>
    </w:p>
    <w:p w14:paraId="375C2953">
      <w:pPr>
        <w:keepNext w:val="0"/>
        <w:keepLines w:val="0"/>
        <w:pageBreakBefore w:val="0"/>
        <w:widowControl w:val="0"/>
        <w:kinsoku/>
        <w:wordWrap/>
        <w:overflowPunct/>
        <w:topLinePunct w:val="0"/>
        <w:autoSpaceDE/>
        <w:autoSpaceDN/>
        <w:bidi w:val="0"/>
        <w:adjustRightInd/>
        <w:snapToGrid/>
        <w:spacing w:before="157" w:beforeLines="50" w:after="157" w:afterLines="50"/>
        <w:jc w:val="center"/>
        <w:textAlignment w:val="auto"/>
        <w:rPr>
          <w:rFonts w:asciiTheme="majorEastAsia" w:hAnsiTheme="majorEastAsia" w:eastAsiaTheme="majorEastAsia" w:cstheme="majorEastAsia"/>
          <w:b/>
          <w:bCs/>
          <w:color w:val="000000" w:themeColor="text1"/>
          <w:highlight w:val="none"/>
          <w14:textFill>
            <w14:solidFill>
              <w14:schemeClr w14:val="tx1"/>
            </w14:solidFill>
          </w14:textFill>
        </w:rPr>
      </w:pPr>
      <w:bookmarkStart w:id="114" w:name="_Hlk60757472"/>
      <w:r>
        <w:rPr>
          <w:rFonts w:hint="eastAsia" w:asciiTheme="majorEastAsia" w:hAnsiTheme="majorEastAsia" w:eastAsiaTheme="majorEastAsia" w:cstheme="majorEastAsia"/>
          <w:b/>
          <w:snapToGrid w:val="0"/>
          <w:color w:val="000000" w:themeColor="text1"/>
          <w:sz w:val="28"/>
          <w:highlight w:val="none"/>
          <w14:textFill>
            <w14:solidFill>
              <w14:schemeClr w14:val="tx1"/>
            </w14:solidFill>
          </w14:textFill>
        </w:rPr>
        <w:t>拟派团队负责人简历表</w:t>
      </w:r>
    </w:p>
    <w:tbl>
      <w:tblPr>
        <w:tblStyle w:val="25"/>
        <w:tblpPr w:leftFromText="180" w:rightFromText="180" w:vertAnchor="text" w:horzAnchor="margin" w:tblpXSpec="center" w:tblpY="211"/>
        <w:tblW w:w="89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80"/>
        <w:gridCol w:w="1538"/>
        <w:gridCol w:w="1845"/>
        <w:gridCol w:w="1843"/>
        <w:gridCol w:w="2862"/>
      </w:tblGrid>
      <w:tr w14:paraId="2F8A7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418" w:type="dxa"/>
            <w:gridSpan w:val="2"/>
            <w:tcBorders>
              <w:top w:val="single" w:color="000000" w:sz="8" w:space="0"/>
              <w:left w:val="single" w:color="000000" w:sz="8" w:space="0"/>
              <w:bottom w:val="single" w:color="000000" w:sz="4" w:space="0"/>
              <w:right w:val="single" w:color="auto" w:sz="4" w:space="0"/>
            </w:tcBorders>
            <w:vAlign w:val="center"/>
          </w:tcPr>
          <w:p w14:paraId="6DA4F8FF">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姓  名</w:t>
            </w:r>
          </w:p>
        </w:tc>
        <w:tc>
          <w:tcPr>
            <w:tcW w:w="1845" w:type="dxa"/>
            <w:tcBorders>
              <w:top w:val="single" w:color="000000" w:sz="8" w:space="0"/>
              <w:left w:val="single" w:color="auto" w:sz="4" w:space="0"/>
              <w:bottom w:val="single" w:color="000000" w:sz="4" w:space="0"/>
              <w:right w:val="single" w:color="000000" w:sz="4" w:space="0"/>
            </w:tcBorders>
            <w:vAlign w:val="center"/>
          </w:tcPr>
          <w:p w14:paraId="7AE9004D">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p>
        </w:tc>
        <w:tc>
          <w:tcPr>
            <w:tcW w:w="1843" w:type="dxa"/>
            <w:tcBorders>
              <w:top w:val="single" w:color="000000" w:sz="8" w:space="0"/>
              <w:left w:val="single" w:color="auto" w:sz="4" w:space="0"/>
              <w:bottom w:val="single" w:color="000000" w:sz="4" w:space="0"/>
              <w:right w:val="single" w:color="000000" w:sz="4" w:space="0"/>
            </w:tcBorders>
            <w:vAlign w:val="center"/>
          </w:tcPr>
          <w:p w14:paraId="2A8A9E35">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性  别</w:t>
            </w:r>
          </w:p>
        </w:tc>
        <w:tc>
          <w:tcPr>
            <w:tcW w:w="2862" w:type="dxa"/>
            <w:tcBorders>
              <w:top w:val="single" w:color="000000" w:sz="8" w:space="0"/>
              <w:left w:val="single" w:color="auto" w:sz="4" w:space="0"/>
              <w:bottom w:val="single" w:color="000000" w:sz="4" w:space="0"/>
              <w:right w:val="single" w:color="000000" w:sz="8" w:space="0"/>
            </w:tcBorders>
            <w:vAlign w:val="center"/>
          </w:tcPr>
          <w:p w14:paraId="523E3E20">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p>
        </w:tc>
      </w:tr>
      <w:tr w14:paraId="45F39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418" w:type="dxa"/>
            <w:gridSpan w:val="2"/>
            <w:tcBorders>
              <w:top w:val="single" w:color="000000" w:sz="8" w:space="0"/>
              <w:left w:val="single" w:color="000000" w:sz="8" w:space="0"/>
              <w:bottom w:val="single" w:color="000000" w:sz="4" w:space="0"/>
              <w:right w:val="single" w:color="auto" w:sz="4" w:space="0"/>
            </w:tcBorders>
            <w:vAlign w:val="center"/>
          </w:tcPr>
          <w:p w14:paraId="75F7AF0B">
            <w:pPr>
              <w:spacing w:line="351" w:lineRule="atLeast"/>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年  龄</w:t>
            </w:r>
          </w:p>
        </w:tc>
        <w:tc>
          <w:tcPr>
            <w:tcW w:w="1845" w:type="dxa"/>
            <w:tcBorders>
              <w:top w:val="single" w:color="000000" w:sz="8" w:space="0"/>
              <w:left w:val="single" w:color="auto" w:sz="4" w:space="0"/>
              <w:bottom w:val="single" w:color="000000" w:sz="4" w:space="0"/>
              <w:right w:val="single" w:color="000000" w:sz="4" w:space="0"/>
            </w:tcBorders>
            <w:vAlign w:val="center"/>
          </w:tcPr>
          <w:p w14:paraId="4C9E87DD">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p>
        </w:tc>
        <w:tc>
          <w:tcPr>
            <w:tcW w:w="1843" w:type="dxa"/>
            <w:tcBorders>
              <w:top w:val="single" w:color="000000" w:sz="8" w:space="0"/>
              <w:left w:val="single" w:color="auto" w:sz="4" w:space="0"/>
              <w:bottom w:val="single" w:color="000000" w:sz="4" w:space="0"/>
              <w:right w:val="single" w:color="000000" w:sz="4" w:space="0"/>
            </w:tcBorders>
            <w:vAlign w:val="center"/>
          </w:tcPr>
          <w:p w14:paraId="0E823B88">
            <w:pPr>
              <w:spacing w:line="351" w:lineRule="atLeast"/>
              <w:jc w:val="center"/>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身份证号</w:t>
            </w:r>
          </w:p>
        </w:tc>
        <w:tc>
          <w:tcPr>
            <w:tcW w:w="2862" w:type="dxa"/>
            <w:tcBorders>
              <w:top w:val="single" w:color="000000" w:sz="8" w:space="0"/>
              <w:left w:val="single" w:color="auto" w:sz="4" w:space="0"/>
              <w:bottom w:val="single" w:color="000000" w:sz="4" w:space="0"/>
              <w:right w:val="single" w:color="000000" w:sz="8" w:space="0"/>
            </w:tcBorders>
            <w:vAlign w:val="center"/>
          </w:tcPr>
          <w:p w14:paraId="57802E75">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p>
        </w:tc>
      </w:tr>
      <w:tr w14:paraId="4EE3D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418" w:type="dxa"/>
            <w:gridSpan w:val="2"/>
            <w:tcBorders>
              <w:top w:val="single" w:color="auto" w:sz="4" w:space="0"/>
              <w:left w:val="single" w:color="000000" w:sz="8" w:space="0"/>
              <w:bottom w:val="single" w:color="auto" w:sz="4" w:space="0"/>
              <w:right w:val="single" w:color="auto" w:sz="4" w:space="0"/>
            </w:tcBorders>
            <w:vAlign w:val="center"/>
          </w:tcPr>
          <w:p w14:paraId="78975599">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注册造价师执业资格</w:t>
            </w:r>
          </w:p>
        </w:tc>
        <w:tc>
          <w:tcPr>
            <w:tcW w:w="1845" w:type="dxa"/>
            <w:tcBorders>
              <w:top w:val="single" w:color="auto" w:sz="4" w:space="0"/>
              <w:left w:val="single" w:color="auto" w:sz="4" w:space="0"/>
              <w:bottom w:val="single" w:color="auto" w:sz="4" w:space="0"/>
              <w:right w:val="single" w:color="000000" w:sz="4" w:space="0"/>
            </w:tcBorders>
            <w:vAlign w:val="center"/>
          </w:tcPr>
          <w:p w14:paraId="6D07E619">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p>
        </w:tc>
        <w:tc>
          <w:tcPr>
            <w:tcW w:w="1843" w:type="dxa"/>
            <w:tcBorders>
              <w:top w:val="single" w:color="auto" w:sz="4" w:space="0"/>
              <w:left w:val="single" w:color="auto" w:sz="4" w:space="0"/>
              <w:bottom w:val="single" w:color="auto" w:sz="4" w:space="0"/>
              <w:right w:val="single" w:color="auto" w:sz="4" w:space="0"/>
            </w:tcBorders>
            <w:vAlign w:val="center"/>
          </w:tcPr>
          <w:p w14:paraId="4E4B545C">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专业类别</w:t>
            </w:r>
          </w:p>
        </w:tc>
        <w:tc>
          <w:tcPr>
            <w:tcW w:w="2862" w:type="dxa"/>
            <w:tcBorders>
              <w:top w:val="single" w:color="auto" w:sz="4" w:space="0"/>
              <w:left w:val="single" w:color="auto" w:sz="4" w:space="0"/>
              <w:bottom w:val="single" w:color="auto" w:sz="4" w:space="0"/>
              <w:right w:val="single" w:color="000000" w:sz="8" w:space="0"/>
            </w:tcBorders>
            <w:vAlign w:val="center"/>
          </w:tcPr>
          <w:p w14:paraId="6ED8469D">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p>
        </w:tc>
      </w:tr>
      <w:tr w14:paraId="589CD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418" w:type="dxa"/>
            <w:gridSpan w:val="2"/>
            <w:tcBorders>
              <w:top w:val="single" w:color="auto" w:sz="4" w:space="0"/>
              <w:left w:val="single" w:color="000000" w:sz="8" w:space="0"/>
              <w:bottom w:val="single" w:color="000000" w:sz="4" w:space="0"/>
              <w:right w:val="single" w:color="auto" w:sz="4" w:space="0"/>
            </w:tcBorders>
            <w:vAlign w:val="center"/>
          </w:tcPr>
          <w:p w14:paraId="16B36C87">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工程类职称</w:t>
            </w:r>
          </w:p>
        </w:tc>
        <w:tc>
          <w:tcPr>
            <w:tcW w:w="1845" w:type="dxa"/>
            <w:tcBorders>
              <w:top w:val="single" w:color="auto" w:sz="4" w:space="0"/>
              <w:left w:val="single" w:color="auto" w:sz="4" w:space="0"/>
              <w:bottom w:val="single" w:color="000000" w:sz="4" w:space="0"/>
              <w:right w:val="single" w:color="000000" w:sz="4" w:space="0"/>
            </w:tcBorders>
            <w:vAlign w:val="center"/>
          </w:tcPr>
          <w:p w14:paraId="77C82687">
            <w:pPr>
              <w:spacing w:line="351" w:lineRule="atLeast"/>
              <w:ind w:firstLine="419"/>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p>
        </w:tc>
        <w:tc>
          <w:tcPr>
            <w:tcW w:w="1843" w:type="dxa"/>
            <w:tcBorders>
              <w:top w:val="single" w:color="auto" w:sz="4" w:space="0"/>
              <w:left w:val="single" w:color="auto" w:sz="4" w:space="0"/>
              <w:bottom w:val="single" w:color="000000" w:sz="4" w:space="0"/>
              <w:right w:val="single" w:color="auto" w:sz="4" w:space="0"/>
            </w:tcBorders>
            <w:vAlign w:val="center"/>
          </w:tcPr>
          <w:p w14:paraId="7187DEC8">
            <w:pPr>
              <w:spacing w:line="351" w:lineRule="atLeast"/>
              <w:ind w:firstLine="475" w:firstLineChars="198"/>
              <w:rPr>
                <w:rFonts w:asciiTheme="majorEastAsia" w:hAnsiTheme="majorEastAsia" w:eastAsiaTheme="majorEastAsia" w:cstheme="majorEastAsia"/>
                <w:color w:val="000000" w:themeColor="text1"/>
                <w:highlight w:val="none"/>
                <w:u w:color="000000"/>
                <w14:textFill>
                  <w14:solidFill>
                    <w14:schemeClr w14:val="tx1"/>
                  </w14:solidFill>
                </w14:textFill>
              </w:rPr>
            </w:pPr>
            <w:r>
              <w:rPr>
                <w:rFonts w:hint="eastAsia" w:asciiTheme="majorEastAsia" w:hAnsiTheme="majorEastAsia" w:eastAsiaTheme="majorEastAsia" w:cstheme="majorEastAsia"/>
                <w:color w:val="000000" w:themeColor="text1"/>
                <w:highlight w:val="none"/>
                <w:u w:color="000000"/>
                <w14:textFill>
                  <w14:solidFill>
                    <w14:schemeClr w14:val="tx1"/>
                  </w14:solidFill>
                </w14:textFill>
              </w:rPr>
              <w:t>手机号</w:t>
            </w:r>
          </w:p>
        </w:tc>
        <w:tc>
          <w:tcPr>
            <w:tcW w:w="2862" w:type="dxa"/>
            <w:tcBorders>
              <w:top w:val="single" w:color="auto" w:sz="4" w:space="0"/>
              <w:left w:val="single" w:color="auto" w:sz="4" w:space="0"/>
              <w:bottom w:val="single" w:color="000000" w:sz="4" w:space="0"/>
              <w:right w:val="single" w:color="000000" w:sz="8" w:space="0"/>
            </w:tcBorders>
            <w:vAlign w:val="center"/>
          </w:tcPr>
          <w:p w14:paraId="26905CA5">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p>
        </w:tc>
      </w:tr>
      <w:tr w14:paraId="38A4A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8" w:hRule="atLeast"/>
          <w:jc w:val="center"/>
        </w:trPr>
        <w:tc>
          <w:tcPr>
            <w:tcW w:w="880" w:type="dxa"/>
            <w:tcBorders>
              <w:top w:val="single" w:color="auto" w:sz="4" w:space="0"/>
              <w:left w:val="single" w:color="000000" w:sz="8" w:space="0"/>
              <w:bottom w:val="single" w:color="000000" w:sz="8" w:space="0"/>
              <w:right w:val="single" w:color="000000" w:sz="4" w:space="0"/>
            </w:tcBorders>
            <w:vAlign w:val="center"/>
          </w:tcPr>
          <w:p w14:paraId="61A3D06B">
            <w:pPr>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简</w:t>
            </w:r>
          </w:p>
          <w:p w14:paraId="134D033D">
            <w:pPr>
              <w:jc w:val="center"/>
              <w:rPr>
                <w:rFonts w:asciiTheme="majorEastAsia" w:hAnsiTheme="majorEastAsia" w:eastAsiaTheme="majorEastAsia" w:cstheme="majorEastAsia"/>
                <w:color w:val="000000" w:themeColor="text1"/>
                <w:highlight w:val="none"/>
                <w14:textFill>
                  <w14:solidFill>
                    <w14:schemeClr w14:val="tx1"/>
                  </w14:solidFill>
                </w14:textFill>
              </w:rPr>
            </w:pPr>
          </w:p>
          <w:p w14:paraId="504C7B3F">
            <w:pPr>
              <w:jc w:val="center"/>
              <w:rPr>
                <w:rFonts w:asciiTheme="majorEastAsia" w:hAnsiTheme="majorEastAsia" w:eastAsiaTheme="majorEastAsia" w:cstheme="majorEastAsia"/>
                <w:color w:val="000000" w:themeColor="text1"/>
                <w:highlight w:val="none"/>
                <w14:textFill>
                  <w14:solidFill>
                    <w14:schemeClr w14:val="tx1"/>
                  </w14:solidFill>
                </w14:textFill>
              </w:rPr>
            </w:pPr>
          </w:p>
          <w:p w14:paraId="47A0DC54">
            <w:pPr>
              <w:spacing w:line="351" w:lineRule="atLeast"/>
              <w:jc w:val="center"/>
              <w:rPr>
                <w:rFonts w:asciiTheme="majorEastAsia" w:hAnsiTheme="majorEastAsia" w:eastAsiaTheme="majorEastAsia" w:cstheme="majorEastAsia"/>
                <w:color w:val="000000" w:themeColor="text1"/>
                <w:highlight w:val="none"/>
                <w:u w:color="000000"/>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历</w:t>
            </w:r>
          </w:p>
        </w:tc>
        <w:tc>
          <w:tcPr>
            <w:tcW w:w="8088" w:type="dxa"/>
            <w:gridSpan w:val="4"/>
            <w:tcBorders>
              <w:top w:val="single" w:color="auto" w:sz="4" w:space="0"/>
              <w:left w:val="single" w:color="auto" w:sz="4" w:space="0"/>
              <w:bottom w:val="single" w:color="000000" w:sz="8" w:space="0"/>
              <w:right w:val="single" w:color="000000" w:sz="8" w:space="0"/>
            </w:tcBorders>
            <w:vAlign w:val="center"/>
          </w:tcPr>
          <w:p w14:paraId="02811A7C">
            <w:pPr>
              <w:spacing w:line="351" w:lineRule="atLeast"/>
              <w:jc w:val="left"/>
              <w:rPr>
                <w:rFonts w:asciiTheme="majorEastAsia" w:hAnsiTheme="majorEastAsia" w:eastAsiaTheme="majorEastAsia" w:cstheme="majorEastAsia"/>
                <w:b/>
                <w:bCs/>
                <w:color w:val="000000" w:themeColor="text1"/>
                <w:highlight w:val="none"/>
                <w:u w:color="000000"/>
                <w14:textFill>
                  <w14:solidFill>
                    <w14:schemeClr w14:val="tx1"/>
                  </w14:solidFill>
                </w14:textFill>
              </w:rPr>
            </w:pPr>
          </w:p>
        </w:tc>
      </w:tr>
    </w:tbl>
    <w:p w14:paraId="65517524">
      <w:pPr>
        <w:keepNext w:val="0"/>
        <w:keepLines w:val="0"/>
        <w:pageBreakBefore w:val="0"/>
        <w:widowControl w:val="0"/>
        <w:kinsoku/>
        <w:wordWrap/>
        <w:overflowPunct/>
        <w:topLinePunct w:val="0"/>
        <w:autoSpaceDE/>
        <w:autoSpaceDN/>
        <w:bidi w:val="0"/>
        <w:adjustRightInd/>
        <w:snapToGrid/>
        <w:spacing w:before="157" w:beforeLines="50" w:line="312" w:lineRule="auto"/>
        <w:textAlignment w:val="auto"/>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说明：</w:t>
      </w:r>
    </w:p>
    <w:bookmarkEnd w:id="114"/>
    <w:p w14:paraId="4A993FEE">
      <w:pPr>
        <w:keepNext w:val="0"/>
        <w:keepLines w:val="0"/>
        <w:pageBreakBefore w:val="0"/>
        <w:widowControl w:val="0"/>
        <w:numPr>
          <w:ilvl w:val="0"/>
          <w:numId w:val="15"/>
        </w:numPr>
        <w:kinsoku/>
        <w:wordWrap/>
        <w:overflowPunct/>
        <w:topLinePunct w:val="0"/>
        <w:autoSpaceDE/>
        <w:autoSpaceDN/>
        <w:bidi w:val="0"/>
        <w:adjustRightInd/>
        <w:snapToGrid w:val="0"/>
        <w:spacing w:line="312" w:lineRule="auto"/>
        <w:ind w:firstLine="420" w:firstLineChars="200"/>
        <w:jc w:val="left"/>
        <w:textAlignment w:val="auto"/>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拟派团队负责人必须</w:t>
      </w:r>
      <w:r>
        <w:rPr>
          <w:rFonts w:hint="eastAsia" w:asciiTheme="majorEastAsia" w:hAnsiTheme="majorEastAsia" w:eastAsiaTheme="majorEastAsia" w:cstheme="majorEastAsia"/>
          <w:color w:val="000000" w:themeColor="text1"/>
          <w:sz w:val="21"/>
          <w:szCs w:val="21"/>
          <w:highlight w:val="none"/>
          <w:lang w:eastAsia="zh-CN"/>
          <w14:textFill>
            <w14:solidFill>
              <w14:schemeClr w14:val="tx1"/>
            </w14:solidFill>
          </w14:textFill>
        </w:rPr>
        <w:t>同时具备</w:t>
      </w: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高级工程师职称，注册一级造价工程师（交通运输工程专业，需提供注册证明）或交通运输部公路甲级造价人员证书（需提供资格证书复印件），造价工程师须注册在供应商处</w:t>
      </w:r>
      <w:r>
        <w:rPr>
          <w:rFonts w:hint="eastAsia" w:asciiTheme="majorEastAsia" w:hAnsiTheme="majorEastAsia" w:eastAsiaTheme="majorEastAsia" w:cstheme="majorEastAsia"/>
          <w:color w:val="000000" w:themeColor="text1"/>
          <w:sz w:val="21"/>
          <w:szCs w:val="21"/>
          <w:highlight w:val="none"/>
          <w:lang w:eastAsia="zh-CN"/>
          <w14:textFill>
            <w14:solidFill>
              <w14:schemeClr w14:val="tx1"/>
            </w14:solidFill>
          </w14:textFill>
        </w:rPr>
        <w:t>。</w:t>
      </w:r>
    </w:p>
    <w:p w14:paraId="492AD886">
      <w:pPr>
        <w:keepNext w:val="0"/>
        <w:keepLines w:val="0"/>
        <w:pageBreakBefore w:val="0"/>
        <w:widowControl w:val="0"/>
        <w:numPr>
          <w:ilvl w:val="0"/>
          <w:numId w:val="15"/>
        </w:numPr>
        <w:kinsoku/>
        <w:wordWrap/>
        <w:overflowPunct/>
        <w:topLinePunct w:val="0"/>
        <w:autoSpaceDE/>
        <w:autoSpaceDN/>
        <w:bidi w:val="0"/>
        <w:adjustRightInd/>
        <w:snapToGrid w:val="0"/>
        <w:spacing w:line="312" w:lineRule="auto"/>
        <w:ind w:firstLine="420" w:firstLineChars="200"/>
        <w:jc w:val="left"/>
        <w:textAlignment w:val="auto"/>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表格后面附清晰可辨的证书、身份证彩色扫描件（正反面）。</w:t>
      </w:r>
    </w:p>
    <w:p w14:paraId="7DD54AB2">
      <w:pPr>
        <w:keepNext w:val="0"/>
        <w:keepLines w:val="0"/>
        <w:pageBreakBefore w:val="0"/>
        <w:widowControl w:val="0"/>
        <w:kinsoku/>
        <w:wordWrap/>
        <w:overflowPunct/>
        <w:topLinePunct w:val="0"/>
        <w:autoSpaceDE/>
        <w:autoSpaceDN/>
        <w:bidi w:val="0"/>
        <w:adjustRightInd/>
        <w:snapToGrid w:val="0"/>
        <w:spacing w:line="312" w:lineRule="auto"/>
        <w:ind w:firstLine="420" w:firstLineChars="200"/>
        <w:jc w:val="left"/>
        <w:textAlignment w:val="auto"/>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3.表格后面附团队负责人响应截止时间前3个月的社会保险参保证明，出具时参保单位须与响应供应商一致，如参保单位为响应供应商总公司［或分公司］或响应供应商母公司［或子公司］，均予以认可；无社保的退休人员须提供与响应供应商签订的劳动合同）。</w:t>
      </w:r>
    </w:p>
    <w:p w14:paraId="635C08C1">
      <w:pPr>
        <w:keepNext w:val="0"/>
        <w:keepLines w:val="0"/>
        <w:pageBreakBefore w:val="0"/>
        <w:widowControl w:val="0"/>
        <w:kinsoku/>
        <w:wordWrap/>
        <w:overflowPunct/>
        <w:topLinePunct w:val="0"/>
        <w:autoSpaceDE/>
        <w:autoSpaceDN/>
        <w:bidi w:val="0"/>
        <w:adjustRightInd/>
        <w:snapToGrid w:val="0"/>
        <w:spacing w:line="312" w:lineRule="auto"/>
        <w:ind w:firstLine="420" w:firstLineChars="200"/>
        <w:jc w:val="left"/>
        <w:textAlignment w:val="auto"/>
        <w:rPr>
          <w:rFonts w:ascii="宋体" w:hAnsi="宋体" w:cs="Arial"/>
          <w:color w:val="000000" w:themeColor="text1"/>
          <w:kern w:val="0"/>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4.造价工程师已注册未领证或因换证、年审、变更等原因无法提供证书原件扫描件的，须提供相关主管部门证明原件扫描件及造价工程师注册管理系统的打印件。</w:t>
      </w:r>
      <w:r>
        <w:rPr>
          <w:rFonts w:hint="eastAsia" w:ascii="宋体" w:hAnsi="宋体" w:cs="Arial"/>
          <w:color w:val="000000" w:themeColor="text1"/>
          <w:kern w:val="0"/>
          <w:sz w:val="21"/>
          <w:szCs w:val="21"/>
          <w:highlight w:val="none"/>
          <w14:textFill>
            <w14:solidFill>
              <w14:schemeClr w14:val="tx1"/>
            </w14:solidFill>
          </w14:textFill>
        </w:rPr>
        <w:t xml:space="preserve"> </w:t>
      </w:r>
    </w:p>
    <w:p w14:paraId="221A933C">
      <w:pPr>
        <w:keepNext w:val="0"/>
        <w:keepLines w:val="0"/>
        <w:pageBreakBefore w:val="0"/>
        <w:widowControl w:val="0"/>
        <w:kinsoku/>
        <w:wordWrap/>
        <w:overflowPunct/>
        <w:topLinePunct w:val="0"/>
        <w:autoSpaceDE/>
        <w:autoSpaceDN/>
        <w:bidi w:val="0"/>
        <w:adjustRightInd/>
        <w:snapToGrid w:val="0"/>
        <w:spacing w:before="313" w:beforeLines="100" w:line="360" w:lineRule="auto"/>
        <w:ind w:right="0" w:rightChars="0" w:firstLine="3840" w:firstLineChars="1600"/>
        <w:jc w:val="right"/>
        <w:textAlignment w:val="auto"/>
        <w:rPr>
          <w:rFonts w:ascii="宋体" w:hAnsi="宋体"/>
          <w:color w:val="000000" w:themeColor="text1"/>
          <w:szCs w:val="20"/>
          <w:highlight w:val="none"/>
          <w:u w:val="single"/>
          <w14:textFill>
            <w14:solidFill>
              <w14:schemeClr w14:val="tx1"/>
            </w14:solidFill>
          </w14:textFill>
        </w:rPr>
      </w:pPr>
      <w:r>
        <w:rPr>
          <w:rFonts w:hint="eastAsia" w:ascii="宋体" w:hAnsi="宋体" w:cs="Arial"/>
          <w:color w:val="000000" w:themeColor="text1"/>
          <w:kern w:val="0"/>
          <w:highlight w:val="none"/>
          <w14:textFill>
            <w14:solidFill>
              <w14:schemeClr w14:val="tx1"/>
            </w14:solidFill>
          </w14:textFill>
        </w:rPr>
        <w:t>法定代表人或</w:t>
      </w:r>
      <w:r>
        <w:rPr>
          <w:rFonts w:hint="eastAsia" w:ascii="宋体" w:hAnsi="宋体"/>
          <w:color w:val="000000" w:themeColor="text1"/>
          <w:highlight w:val="none"/>
          <w14:textFill>
            <w14:solidFill>
              <w14:schemeClr w14:val="tx1"/>
            </w14:solidFill>
          </w14:textFill>
        </w:rPr>
        <w:t>被授权人签字（或盖章）：</w:t>
      </w:r>
    </w:p>
    <w:p w14:paraId="39DF7CA9">
      <w:pPr>
        <w:pStyle w:val="33"/>
        <w:keepNext w:val="0"/>
        <w:keepLines w:val="0"/>
        <w:pageBreakBefore w:val="0"/>
        <w:widowControl w:val="0"/>
        <w:kinsoku/>
        <w:wordWrap/>
        <w:overflowPunct/>
        <w:topLinePunct w:val="0"/>
        <w:autoSpaceDE/>
        <w:autoSpaceDN/>
        <w:bidi w:val="0"/>
        <w:spacing w:line="360" w:lineRule="auto"/>
        <w:ind w:right="0" w:rightChars="0"/>
        <w:jc w:val="right"/>
        <w:rPr>
          <w:rFonts w:hAnsi="宋体" w:eastAsia="宋体" w:cs="宋体"/>
          <w:color w:val="000000" w:themeColor="text1"/>
          <w:sz w:val="24"/>
          <w:highlight w:val="none"/>
          <w14:textFill>
            <w14:solidFill>
              <w14:schemeClr w14:val="tx1"/>
            </w14:solidFill>
          </w14:textFill>
        </w:rPr>
      </w:pPr>
      <w:r>
        <w:rPr>
          <w:rFonts w:hint="eastAsia" w:hAnsi="宋体" w:eastAsia="宋体" w:cs="宋体"/>
          <w:color w:val="000000" w:themeColor="text1"/>
          <w:sz w:val="24"/>
          <w:highlight w:val="none"/>
          <w14:textFill>
            <w14:solidFill>
              <w14:schemeClr w14:val="tx1"/>
            </w14:solidFill>
          </w14:textFill>
        </w:rPr>
        <w:t xml:space="preserve">             供应商名称（公章）：</w:t>
      </w:r>
    </w:p>
    <w:p w14:paraId="2A5B492E">
      <w:pPr>
        <w:pStyle w:val="33"/>
        <w:keepNext w:val="0"/>
        <w:keepLines w:val="0"/>
        <w:pageBreakBefore w:val="0"/>
        <w:widowControl w:val="0"/>
        <w:kinsoku/>
        <w:wordWrap/>
        <w:overflowPunct/>
        <w:topLinePunct w:val="0"/>
        <w:autoSpaceDE/>
        <w:autoSpaceDN/>
        <w:bidi w:val="0"/>
        <w:spacing w:line="360" w:lineRule="auto"/>
        <w:ind w:right="0" w:rightChars="0"/>
        <w:jc w:val="right"/>
        <w:rPr>
          <w:rFonts w:hAnsi="宋体" w:eastAsia="宋体"/>
          <w:color w:val="000000" w:themeColor="text1"/>
          <w:sz w:val="24"/>
          <w:szCs w:val="24"/>
          <w:highlight w:val="none"/>
          <w14:textFill>
            <w14:solidFill>
              <w14:schemeClr w14:val="tx1"/>
            </w14:solidFill>
          </w14:textFill>
        </w:rPr>
      </w:pPr>
      <w:r>
        <w:rPr>
          <w:rFonts w:hint="eastAsia" w:hAnsi="宋体" w:eastAsia="宋体"/>
          <w:color w:val="000000" w:themeColor="text1"/>
          <w:sz w:val="24"/>
          <w:szCs w:val="24"/>
          <w:highlight w:val="none"/>
          <w14:textFill>
            <w14:solidFill>
              <w14:schemeClr w14:val="tx1"/>
            </w14:solidFill>
          </w14:textFill>
        </w:rPr>
        <w:t xml:space="preserve">          日 期：   年  月  日</w:t>
      </w:r>
    </w:p>
    <w:p w14:paraId="7F8148FC">
      <w:pPr>
        <w:rPr>
          <w:rFonts w:hAnsi="宋体"/>
          <w:color w:val="000000" w:themeColor="text1"/>
          <w:highlight w:val="none"/>
          <w14:textFill>
            <w14:solidFill>
              <w14:schemeClr w14:val="tx1"/>
            </w14:solidFill>
          </w14:textFill>
        </w:rPr>
      </w:pPr>
      <w:r>
        <w:rPr>
          <w:rFonts w:hint="eastAsia" w:hAnsi="宋体"/>
          <w:color w:val="000000" w:themeColor="text1"/>
          <w:highlight w:val="none"/>
          <w14:textFill>
            <w14:solidFill>
              <w14:schemeClr w14:val="tx1"/>
            </w14:solidFill>
          </w14:textFill>
        </w:rPr>
        <w:br w:type="page"/>
      </w:r>
    </w:p>
    <w:p w14:paraId="28DDC820">
      <w:pPr>
        <w:pStyle w:val="24"/>
        <w:ind w:left="0" w:leftChars="0" w:firstLine="0" w:firstLineChars="0"/>
        <w:rPr>
          <w:rFonts w:asciiTheme="majorEastAsia" w:hAnsiTheme="majorEastAsia" w:eastAsiaTheme="majorEastAsia" w:cstheme="majorEastAsia"/>
          <w:b/>
          <w:color w:val="000000" w:themeColor="text1"/>
          <w:sz w:val="28"/>
          <w:szCs w:val="28"/>
          <w:highlight w:val="none"/>
          <w14:textFill>
            <w14:solidFill>
              <w14:schemeClr w14:val="tx1"/>
            </w14:solidFill>
          </w14:textFill>
        </w:rPr>
        <w:sectPr>
          <w:headerReference r:id="rId7" w:type="default"/>
          <w:footerReference r:id="rId8" w:type="default"/>
          <w:pgSz w:w="11849" w:h="16781"/>
          <w:pgMar w:top="1247" w:right="1531" w:bottom="1134" w:left="1531" w:header="851" w:footer="850" w:gutter="0"/>
          <w:cols w:space="0" w:num="1"/>
          <w:docGrid w:linePitch="312" w:charSpace="0"/>
        </w:sectPr>
      </w:pPr>
    </w:p>
    <w:p w14:paraId="494CE3AF">
      <w:pPr>
        <w:jc w:val="center"/>
        <w:rPr>
          <w:rFonts w:asciiTheme="majorEastAsia" w:hAnsiTheme="majorEastAsia" w:eastAsiaTheme="majorEastAsia" w:cstheme="majorEastAsia"/>
          <w:b/>
          <w:snapToGrid w:val="0"/>
          <w:color w:val="000000" w:themeColor="text1"/>
          <w:sz w:val="28"/>
          <w:highlight w:val="none"/>
          <w14:textFill>
            <w14:solidFill>
              <w14:schemeClr w14:val="tx1"/>
            </w14:solidFill>
          </w14:textFill>
        </w:rPr>
      </w:pPr>
      <w:r>
        <w:rPr>
          <w:rFonts w:hint="eastAsia" w:asciiTheme="majorEastAsia" w:hAnsiTheme="majorEastAsia" w:eastAsiaTheme="majorEastAsia" w:cstheme="majorEastAsia"/>
          <w:b/>
          <w:snapToGrid w:val="0"/>
          <w:color w:val="000000" w:themeColor="text1"/>
          <w:sz w:val="28"/>
          <w:highlight w:val="none"/>
          <w14:textFill>
            <w14:solidFill>
              <w14:schemeClr w14:val="tx1"/>
            </w14:solidFill>
          </w14:textFill>
        </w:rPr>
        <w:t>拟派项目团队组成员基本情况表</w:t>
      </w:r>
    </w:p>
    <w:p w14:paraId="342EF029">
      <w:pPr>
        <w:jc w:val="center"/>
        <w:rPr>
          <w:rFonts w:asciiTheme="majorEastAsia" w:hAnsiTheme="majorEastAsia" w:eastAsiaTheme="majorEastAsia" w:cstheme="majorEastAsia"/>
          <w:b/>
          <w:snapToGrid w:val="0"/>
          <w:color w:val="000000" w:themeColor="text1"/>
          <w:sz w:val="28"/>
          <w:highlight w:val="none"/>
          <w14:textFill>
            <w14:solidFill>
              <w14:schemeClr w14:val="tx1"/>
            </w14:solidFill>
          </w14:textFill>
        </w:rPr>
      </w:pPr>
    </w:p>
    <w:p w14:paraId="26B14EB2">
      <w:pPr>
        <w:pStyle w:val="12"/>
        <w:rPr>
          <w:color w:val="000000" w:themeColor="text1"/>
          <w:highlight w:val="none"/>
          <w14:textFill>
            <w14:solidFill>
              <w14:schemeClr w14:val="tx1"/>
            </w14:solidFill>
          </w14:textFill>
        </w:rPr>
      </w:pPr>
    </w:p>
    <w:tbl>
      <w:tblPr>
        <w:tblStyle w:val="25"/>
        <w:tblW w:w="14055" w:type="dxa"/>
        <w:tblInd w:w="-85" w:type="dxa"/>
        <w:tblLayout w:type="fixed"/>
        <w:tblCellMar>
          <w:top w:w="0" w:type="dxa"/>
          <w:left w:w="108" w:type="dxa"/>
          <w:bottom w:w="0" w:type="dxa"/>
          <w:right w:w="108" w:type="dxa"/>
        </w:tblCellMar>
      </w:tblPr>
      <w:tblGrid>
        <w:gridCol w:w="768"/>
        <w:gridCol w:w="866"/>
        <w:gridCol w:w="532"/>
        <w:gridCol w:w="1378"/>
        <w:gridCol w:w="1403"/>
        <w:gridCol w:w="1295"/>
        <w:gridCol w:w="1403"/>
        <w:gridCol w:w="1370"/>
        <w:gridCol w:w="1439"/>
        <w:gridCol w:w="1264"/>
        <w:gridCol w:w="2337"/>
      </w:tblGrid>
      <w:tr w14:paraId="7AC1EF54">
        <w:tblPrEx>
          <w:tblCellMar>
            <w:top w:w="0" w:type="dxa"/>
            <w:left w:w="108" w:type="dxa"/>
            <w:bottom w:w="0" w:type="dxa"/>
            <w:right w:w="108" w:type="dxa"/>
          </w:tblCellMar>
        </w:tblPrEx>
        <w:trPr>
          <w:trHeight w:val="465" w:hRule="atLeast"/>
        </w:trPr>
        <w:tc>
          <w:tcPr>
            <w:tcW w:w="768" w:type="dxa"/>
            <w:tcBorders>
              <w:top w:val="single" w:color="auto" w:sz="4" w:space="0"/>
              <w:left w:val="single" w:color="auto" w:sz="4" w:space="0"/>
              <w:bottom w:val="single" w:color="auto" w:sz="4" w:space="0"/>
              <w:right w:val="single" w:color="auto" w:sz="4" w:space="0"/>
            </w:tcBorders>
            <w:vAlign w:val="center"/>
          </w:tcPr>
          <w:p w14:paraId="1663A11E">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序号</w:t>
            </w:r>
          </w:p>
        </w:tc>
        <w:tc>
          <w:tcPr>
            <w:tcW w:w="866" w:type="dxa"/>
            <w:tcBorders>
              <w:top w:val="single" w:color="auto" w:sz="4" w:space="0"/>
              <w:left w:val="single" w:color="auto" w:sz="4" w:space="0"/>
              <w:bottom w:val="single" w:color="auto" w:sz="4" w:space="0"/>
              <w:right w:val="single" w:color="auto" w:sz="4" w:space="0"/>
            </w:tcBorders>
            <w:vAlign w:val="center"/>
          </w:tcPr>
          <w:p w14:paraId="7B7BBAE9">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姓名</w:t>
            </w:r>
          </w:p>
        </w:tc>
        <w:tc>
          <w:tcPr>
            <w:tcW w:w="532" w:type="dxa"/>
            <w:tcBorders>
              <w:top w:val="single" w:color="auto" w:sz="4" w:space="0"/>
              <w:left w:val="nil"/>
              <w:bottom w:val="single" w:color="auto" w:sz="4" w:space="0"/>
              <w:right w:val="single" w:color="auto" w:sz="4" w:space="0"/>
            </w:tcBorders>
            <w:vAlign w:val="center"/>
          </w:tcPr>
          <w:p w14:paraId="5396E28D">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性别</w:t>
            </w:r>
          </w:p>
        </w:tc>
        <w:tc>
          <w:tcPr>
            <w:tcW w:w="1378" w:type="dxa"/>
            <w:tcBorders>
              <w:top w:val="single" w:color="auto" w:sz="4" w:space="0"/>
              <w:left w:val="nil"/>
              <w:bottom w:val="single" w:color="auto" w:sz="4" w:space="0"/>
              <w:right w:val="single" w:color="auto" w:sz="4" w:space="0"/>
            </w:tcBorders>
            <w:vAlign w:val="center"/>
          </w:tcPr>
          <w:p w14:paraId="09523E52">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出生年月</w:t>
            </w:r>
          </w:p>
        </w:tc>
        <w:tc>
          <w:tcPr>
            <w:tcW w:w="1403" w:type="dxa"/>
            <w:tcBorders>
              <w:top w:val="single" w:color="auto" w:sz="4" w:space="0"/>
              <w:left w:val="nil"/>
              <w:bottom w:val="single" w:color="auto" w:sz="4" w:space="0"/>
              <w:right w:val="single" w:color="auto" w:sz="4" w:space="0"/>
            </w:tcBorders>
            <w:vAlign w:val="center"/>
          </w:tcPr>
          <w:p w14:paraId="0AEC4935">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毕业院校</w:t>
            </w:r>
          </w:p>
        </w:tc>
        <w:tc>
          <w:tcPr>
            <w:tcW w:w="1295" w:type="dxa"/>
            <w:tcBorders>
              <w:top w:val="single" w:color="auto" w:sz="4" w:space="0"/>
              <w:left w:val="nil"/>
              <w:bottom w:val="single" w:color="auto" w:sz="4" w:space="0"/>
              <w:right w:val="single" w:color="auto" w:sz="4" w:space="0"/>
            </w:tcBorders>
            <w:vAlign w:val="center"/>
          </w:tcPr>
          <w:p w14:paraId="22EA0BC7">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学历</w:t>
            </w:r>
          </w:p>
        </w:tc>
        <w:tc>
          <w:tcPr>
            <w:tcW w:w="1403" w:type="dxa"/>
            <w:tcBorders>
              <w:top w:val="single" w:color="auto" w:sz="4" w:space="0"/>
              <w:left w:val="nil"/>
              <w:bottom w:val="single" w:color="auto" w:sz="4" w:space="0"/>
              <w:right w:val="single" w:color="auto" w:sz="4" w:space="0"/>
            </w:tcBorders>
            <w:vAlign w:val="center"/>
          </w:tcPr>
          <w:p w14:paraId="10A51303">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技术职称</w:t>
            </w:r>
          </w:p>
        </w:tc>
        <w:tc>
          <w:tcPr>
            <w:tcW w:w="1370" w:type="dxa"/>
            <w:tcBorders>
              <w:top w:val="single" w:color="auto" w:sz="4" w:space="0"/>
              <w:left w:val="nil"/>
              <w:bottom w:val="single" w:color="auto" w:sz="4" w:space="0"/>
              <w:right w:val="single" w:color="auto" w:sz="4" w:space="0"/>
            </w:tcBorders>
            <w:vAlign w:val="center"/>
          </w:tcPr>
          <w:p w14:paraId="2EB522C5">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执业资格</w:t>
            </w:r>
          </w:p>
        </w:tc>
        <w:tc>
          <w:tcPr>
            <w:tcW w:w="1439" w:type="dxa"/>
            <w:tcBorders>
              <w:top w:val="single" w:color="auto" w:sz="4" w:space="0"/>
              <w:left w:val="nil"/>
              <w:bottom w:val="single" w:color="auto" w:sz="4" w:space="0"/>
              <w:right w:val="single" w:color="auto" w:sz="4" w:space="0"/>
            </w:tcBorders>
            <w:vAlign w:val="center"/>
          </w:tcPr>
          <w:p w14:paraId="57796B67">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从事专业</w:t>
            </w:r>
          </w:p>
        </w:tc>
        <w:tc>
          <w:tcPr>
            <w:tcW w:w="1264" w:type="dxa"/>
            <w:tcBorders>
              <w:top w:val="single" w:color="auto" w:sz="4" w:space="0"/>
              <w:left w:val="nil"/>
              <w:bottom w:val="single" w:color="auto" w:sz="4" w:space="0"/>
              <w:right w:val="single" w:color="auto" w:sz="4" w:space="0"/>
            </w:tcBorders>
            <w:vAlign w:val="center"/>
          </w:tcPr>
          <w:p w14:paraId="2B7BCB64">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从业年限</w:t>
            </w:r>
          </w:p>
        </w:tc>
        <w:tc>
          <w:tcPr>
            <w:tcW w:w="2337" w:type="dxa"/>
            <w:tcBorders>
              <w:top w:val="single" w:color="auto" w:sz="4" w:space="0"/>
              <w:left w:val="nil"/>
              <w:bottom w:val="single" w:color="auto" w:sz="4" w:space="0"/>
              <w:right w:val="single" w:color="auto" w:sz="4" w:space="0"/>
            </w:tcBorders>
            <w:vAlign w:val="center"/>
          </w:tcPr>
          <w:p w14:paraId="573EC916">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备注、联系电话</w:t>
            </w:r>
          </w:p>
        </w:tc>
      </w:tr>
      <w:tr w14:paraId="2CC35EB3">
        <w:tblPrEx>
          <w:tblCellMar>
            <w:top w:w="0" w:type="dxa"/>
            <w:left w:w="108" w:type="dxa"/>
            <w:bottom w:w="0" w:type="dxa"/>
            <w:right w:w="108" w:type="dxa"/>
          </w:tblCellMar>
        </w:tblPrEx>
        <w:trPr>
          <w:trHeight w:val="531" w:hRule="atLeast"/>
        </w:trPr>
        <w:tc>
          <w:tcPr>
            <w:tcW w:w="768" w:type="dxa"/>
            <w:tcBorders>
              <w:top w:val="nil"/>
              <w:left w:val="single" w:color="auto" w:sz="4" w:space="0"/>
              <w:bottom w:val="single" w:color="auto" w:sz="4" w:space="0"/>
              <w:right w:val="single" w:color="auto" w:sz="4" w:space="0"/>
            </w:tcBorders>
          </w:tcPr>
          <w:p w14:paraId="3449FD2E">
            <w:pPr>
              <w:widowControl/>
              <w:jc w:val="center"/>
              <w:rPr>
                <w:rFonts w:ascii="宋体" w:hAnsi="宋体"/>
                <w:bCs/>
                <w:color w:val="000000" w:themeColor="text1"/>
                <w:kern w:val="0"/>
                <w:highlight w:val="none"/>
                <w14:textFill>
                  <w14:solidFill>
                    <w14:schemeClr w14:val="tx1"/>
                  </w14:solidFill>
                </w14:textFill>
              </w:rPr>
            </w:pPr>
            <w:r>
              <w:rPr>
                <w:rFonts w:hint="eastAsia" w:ascii="宋体" w:hAnsi="宋体"/>
                <w:bCs/>
                <w:color w:val="000000" w:themeColor="text1"/>
                <w:kern w:val="0"/>
                <w:highlight w:val="none"/>
                <w14:textFill>
                  <w14:solidFill>
                    <w14:schemeClr w14:val="tx1"/>
                  </w14:solidFill>
                </w14:textFill>
              </w:rPr>
              <w:t>1</w:t>
            </w:r>
          </w:p>
        </w:tc>
        <w:tc>
          <w:tcPr>
            <w:tcW w:w="866" w:type="dxa"/>
            <w:tcBorders>
              <w:top w:val="nil"/>
              <w:left w:val="single" w:color="auto" w:sz="4" w:space="0"/>
              <w:bottom w:val="single" w:color="auto" w:sz="4" w:space="0"/>
              <w:right w:val="single" w:color="auto" w:sz="4" w:space="0"/>
            </w:tcBorders>
            <w:vAlign w:val="center"/>
          </w:tcPr>
          <w:p w14:paraId="0DB0D5A2">
            <w:pPr>
              <w:widowControl/>
              <w:jc w:val="center"/>
              <w:rPr>
                <w:rFonts w:ascii="宋体" w:hAnsi="宋体"/>
                <w:b/>
                <w:bCs/>
                <w:color w:val="000000" w:themeColor="text1"/>
                <w:kern w:val="0"/>
                <w:highlight w:val="none"/>
                <w14:textFill>
                  <w14:solidFill>
                    <w14:schemeClr w14:val="tx1"/>
                  </w14:solidFill>
                </w14:textFill>
              </w:rPr>
            </w:pPr>
          </w:p>
        </w:tc>
        <w:tc>
          <w:tcPr>
            <w:tcW w:w="532" w:type="dxa"/>
            <w:tcBorders>
              <w:top w:val="nil"/>
              <w:left w:val="nil"/>
              <w:bottom w:val="single" w:color="auto" w:sz="4" w:space="0"/>
              <w:right w:val="single" w:color="auto" w:sz="4" w:space="0"/>
            </w:tcBorders>
            <w:vAlign w:val="center"/>
          </w:tcPr>
          <w:p w14:paraId="33B29AD8">
            <w:pPr>
              <w:widowControl/>
              <w:jc w:val="center"/>
              <w:rPr>
                <w:rFonts w:ascii="宋体" w:hAnsi="宋体"/>
                <w:color w:val="000000" w:themeColor="text1"/>
                <w:kern w:val="0"/>
                <w:highlight w:val="none"/>
                <w14:textFill>
                  <w14:solidFill>
                    <w14:schemeClr w14:val="tx1"/>
                  </w14:solidFill>
                </w14:textFill>
              </w:rPr>
            </w:pPr>
          </w:p>
        </w:tc>
        <w:tc>
          <w:tcPr>
            <w:tcW w:w="1378" w:type="dxa"/>
            <w:tcBorders>
              <w:top w:val="nil"/>
              <w:left w:val="nil"/>
              <w:bottom w:val="single" w:color="auto" w:sz="4" w:space="0"/>
              <w:right w:val="single" w:color="auto" w:sz="4" w:space="0"/>
            </w:tcBorders>
            <w:vAlign w:val="center"/>
          </w:tcPr>
          <w:p w14:paraId="5C136EBE">
            <w:pPr>
              <w:widowControl/>
              <w:jc w:val="center"/>
              <w:rPr>
                <w:rFonts w:ascii="宋体" w:hAnsi="宋体"/>
                <w:color w:val="000000" w:themeColor="text1"/>
                <w:kern w:val="0"/>
                <w:highlight w:val="none"/>
                <w14:textFill>
                  <w14:solidFill>
                    <w14:schemeClr w14:val="tx1"/>
                  </w14:solidFill>
                </w14:textFill>
              </w:rPr>
            </w:pPr>
          </w:p>
        </w:tc>
        <w:tc>
          <w:tcPr>
            <w:tcW w:w="1403" w:type="dxa"/>
            <w:tcBorders>
              <w:top w:val="nil"/>
              <w:left w:val="nil"/>
              <w:bottom w:val="single" w:color="auto" w:sz="4" w:space="0"/>
              <w:right w:val="single" w:color="auto" w:sz="4" w:space="0"/>
            </w:tcBorders>
            <w:vAlign w:val="center"/>
          </w:tcPr>
          <w:p w14:paraId="321840C5">
            <w:pPr>
              <w:widowControl/>
              <w:jc w:val="center"/>
              <w:rPr>
                <w:rFonts w:ascii="宋体" w:hAnsi="宋体"/>
                <w:color w:val="000000" w:themeColor="text1"/>
                <w:kern w:val="0"/>
                <w:highlight w:val="none"/>
                <w14:textFill>
                  <w14:solidFill>
                    <w14:schemeClr w14:val="tx1"/>
                  </w14:solidFill>
                </w14:textFill>
              </w:rPr>
            </w:pPr>
          </w:p>
        </w:tc>
        <w:tc>
          <w:tcPr>
            <w:tcW w:w="1295" w:type="dxa"/>
            <w:tcBorders>
              <w:top w:val="nil"/>
              <w:left w:val="nil"/>
              <w:bottom w:val="single" w:color="auto" w:sz="4" w:space="0"/>
              <w:right w:val="single" w:color="auto" w:sz="4" w:space="0"/>
            </w:tcBorders>
            <w:vAlign w:val="center"/>
          </w:tcPr>
          <w:p w14:paraId="6E8C5D84">
            <w:pPr>
              <w:widowControl/>
              <w:jc w:val="center"/>
              <w:rPr>
                <w:rFonts w:ascii="宋体" w:hAnsi="宋体"/>
                <w:color w:val="000000" w:themeColor="text1"/>
                <w:kern w:val="0"/>
                <w:highlight w:val="none"/>
                <w14:textFill>
                  <w14:solidFill>
                    <w14:schemeClr w14:val="tx1"/>
                  </w14:solidFill>
                </w14:textFill>
              </w:rPr>
            </w:pPr>
          </w:p>
        </w:tc>
        <w:tc>
          <w:tcPr>
            <w:tcW w:w="1403" w:type="dxa"/>
            <w:tcBorders>
              <w:top w:val="nil"/>
              <w:left w:val="nil"/>
              <w:bottom w:val="single" w:color="auto" w:sz="4" w:space="0"/>
              <w:right w:val="single" w:color="auto" w:sz="4" w:space="0"/>
            </w:tcBorders>
            <w:vAlign w:val="center"/>
          </w:tcPr>
          <w:p w14:paraId="4821B6AE">
            <w:pPr>
              <w:widowControl/>
              <w:jc w:val="center"/>
              <w:rPr>
                <w:rFonts w:ascii="宋体" w:hAnsi="宋体"/>
                <w:color w:val="000000" w:themeColor="text1"/>
                <w:kern w:val="0"/>
                <w:highlight w:val="none"/>
                <w14:textFill>
                  <w14:solidFill>
                    <w14:schemeClr w14:val="tx1"/>
                  </w14:solidFill>
                </w14:textFill>
              </w:rPr>
            </w:pPr>
          </w:p>
        </w:tc>
        <w:tc>
          <w:tcPr>
            <w:tcW w:w="1370" w:type="dxa"/>
            <w:tcBorders>
              <w:top w:val="nil"/>
              <w:left w:val="nil"/>
              <w:bottom w:val="single" w:color="auto" w:sz="4" w:space="0"/>
              <w:right w:val="single" w:color="auto" w:sz="4" w:space="0"/>
            </w:tcBorders>
            <w:vAlign w:val="center"/>
          </w:tcPr>
          <w:p w14:paraId="028C3963">
            <w:pPr>
              <w:widowControl/>
              <w:jc w:val="center"/>
              <w:rPr>
                <w:rFonts w:ascii="宋体" w:hAnsi="宋体"/>
                <w:color w:val="000000" w:themeColor="text1"/>
                <w:kern w:val="0"/>
                <w:highlight w:val="none"/>
                <w14:textFill>
                  <w14:solidFill>
                    <w14:schemeClr w14:val="tx1"/>
                  </w14:solidFill>
                </w14:textFill>
              </w:rPr>
            </w:pPr>
          </w:p>
        </w:tc>
        <w:tc>
          <w:tcPr>
            <w:tcW w:w="1439" w:type="dxa"/>
            <w:tcBorders>
              <w:top w:val="nil"/>
              <w:left w:val="nil"/>
              <w:bottom w:val="single" w:color="auto" w:sz="4" w:space="0"/>
              <w:right w:val="single" w:color="auto" w:sz="4" w:space="0"/>
            </w:tcBorders>
            <w:vAlign w:val="center"/>
          </w:tcPr>
          <w:p w14:paraId="46F33D35">
            <w:pPr>
              <w:widowControl/>
              <w:jc w:val="center"/>
              <w:rPr>
                <w:rFonts w:ascii="宋体" w:hAnsi="宋体"/>
                <w:color w:val="000000" w:themeColor="text1"/>
                <w:kern w:val="0"/>
                <w:highlight w:val="none"/>
                <w14:textFill>
                  <w14:solidFill>
                    <w14:schemeClr w14:val="tx1"/>
                  </w14:solidFill>
                </w14:textFill>
              </w:rPr>
            </w:pPr>
          </w:p>
        </w:tc>
        <w:tc>
          <w:tcPr>
            <w:tcW w:w="1264" w:type="dxa"/>
            <w:tcBorders>
              <w:top w:val="nil"/>
              <w:left w:val="nil"/>
              <w:bottom w:val="single" w:color="auto" w:sz="4" w:space="0"/>
              <w:right w:val="single" w:color="auto" w:sz="4" w:space="0"/>
            </w:tcBorders>
            <w:vAlign w:val="center"/>
          </w:tcPr>
          <w:p w14:paraId="568A6952">
            <w:pPr>
              <w:widowControl/>
              <w:jc w:val="center"/>
              <w:rPr>
                <w:rFonts w:ascii="宋体" w:hAnsi="宋体"/>
                <w:color w:val="000000" w:themeColor="text1"/>
                <w:kern w:val="0"/>
                <w:highlight w:val="none"/>
                <w14:textFill>
                  <w14:solidFill>
                    <w14:schemeClr w14:val="tx1"/>
                  </w14:solidFill>
                </w14:textFill>
              </w:rPr>
            </w:pPr>
          </w:p>
        </w:tc>
        <w:tc>
          <w:tcPr>
            <w:tcW w:w="2337" w:type="dxa"/>
            <w:tcBorders>
              <w:top w:val="nil"/>
              <w:left w:val="nil"/>
              <w:bottom w:val="single" w:color="auto" w:sz="4" w:space="0"/>
              <w:right w:val="single" w:color="auto" w:sz="4" w:space="0"/>
            </w:tcBorders>
            <w:vAlign w:val="center"/>
          </w:tcPr>
          <w:p w14:paraId="008016DF">
            <w:pPr>
              <w:widowControl/>
              <w:jc w:val="center"/>
              <w:rPr>
                <w:rFonts w:ascii="宋体" w:hAnsi="宋体"/>
                <w:color w:val="000000" w:themeColor="text1"/>
                <w:kern w:val="0"/>
                <w:highlight w:val="none"/>
                <w14:textFill>
                  <w14:solidFill>
                    <w14:schemeClr w14:val="tx1"/>
                  </w14:solidFill>
                </w14:textFill>
              </w:rPr>
            </w:pPr>
          </w:p>
        </w:tc>
      </w:tr>
      <w:tr w14:paraId="60F92C78">
        <w:tblPrEx>
          <w:tblCellMar>
            <w:top w:w="0" w:type="dxa"/>
            <w:left w:w="108" w:type="dxa"/>
            <w:bottom w:w="0" w:type="dxa"/>
            <w:right w:w="108" w:type="dxa"/>
          </w:tblCellMar>
        </w:tblPrEx>
        <w:trPr>
          <w:trHeight w:val="531" w:hRule="atLeast"/>
        </w:trPr>
        <w:tc>
          <w:tcPr>
            <w:tcW w:w="768" w:type="dxa"/>
            <w:tcBorders>
              <w:top w:val="nil"/>
              <w:left w:val="single" w:color="auto" w:sz="4" w:space="0"/>
              <w:bottom w:val="single" w:color="auto" w:sz="4" w:space="0"/>
              <w:right w:val="single" w:color="auto" w:sz="4" w:space="0"/>
            </w:tcBorders>
          </w:tcPr>
          <w:p w14:paraId="507B47F7">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2</w:t>
            </w:r>
          </w:p>
        </w:tc>
        <w:tc>
          <w:tcPr>
            <w:tcW w:w="866" w:type="dxa"/>
            <w:tcBorders>
              <w:top w:val="nil"/>
              <w:left w:val="single" w:color="auto" w:sz="4" w:space="0"/>
              <w:bottom w:val="single" w:color="auto" w:sz="4" w:space="0"/>
              <w:right w:val="single" w:color="auto" w:sz="4" w:space="0"/>
            </w:tcBorders>
            <w:vAlign w:val="center"/>
          </w:tcPr>
          <w:p w14:paraId="12C72259">
            <w:pPr>
              <w:widowControl/>
              <w:jc w:val="center"/>
              <w:rPr>
                <w:rFonts w:ascii="宋体" w:hAnsi="宋体"/>
                <w:color w:val="000000" w:themeColor="text1"/>
                <w:kern w:val="0"/>
                <w:highlight w:val="none"/>
                <w14:textFill>
                  <w14:solidFill>
                    <w14:schemeClr w14:val="tx1"/>
                  </w14:solidFill>
                </w14:textFill>
              </w:rPr>
            </w:pPr>
          </w:p>
        </w:tc>
        <w:tc>
          <w:tcPr>
            <w:tcW w:w="532" w:type="dxa"/>
            <w:tcBorders>
              <w:top w:val="nil"/>
              <w:left w:val="nil"/>
              <w:bottom w:val="single" w:color="auto" w:sz="4" w:space="0"/>
              <w:right w:val="single" w:color="auto" w:sz="4" w:space="0"/>
            </w:tcBorders>
            <w:vAlign w:val="center"/>
          </w:tcPr>
          <w:p w14:paraId="6AF806C9">
            <w:pPr>
              <w:widowControl/>
              <w:jc w:val="center"/>
              <w:rPr>
                <w:rFonts w:ascii="宋体" w:hAnsi="宋体"/>
                <w:color w:val="000000" w:themeColor="text1"/>
                <w:kern w:val="0"/>
                <w:highlight w:val="none"/>
                <w14:textFill>
                  <w14:solidFill>
                    <w14:schemeClr w14:val="tx1"/>
                  </w14:solidFill>
                </w14:textFill>
              </w:rPr>
            </w:pPr>
          </w:p>
        </w:tc>
        <w:tc>
          <w:tcPr>
            <w:tcW w:w="1378" w:type="dxa"/>
            <w:tcBorders>
              <w:top w:val="nil"/>
              <w:left w:val="nil"/>
              <w:bottom w:val="single" w:color="auto" w:sz="4" w:space="0"/>
              <w:right w:val="single" w:color="auto" w:sz="4" w:space="0"/>
            </w:tcBorders>
            <w:vAlign w:val="center"/>
          </w:tcPr>
          <w:p w14:paraId="4875A50C">
            <w:pPr>
              <w:widowControl/>
              <w:jc w:val="center"/>
              <w:rPr>
                <w:rFonts w:ascii="宋体" w:hAnsi="宋体"/>
                <w:color w:val="000000" w:themeColor="text1"/>
                <w:kern w:val="0"/>
                <w:highlight w:val="none"/>
                <w14:textFill>
                  <w14:solidFill>
                    <w14:schemeClr w14:val="tx1"/>
                  </w14:solidFill>
                </w14:textFill>
              </w:rPr>
            </w:pPr>
          </w:p>
        </w:tc>
        <w:tc>
          <w:tcPr>
            <w:tcW w:w="1403" w:type="dxa"/>
            <w:tcBorders>
              <w:top w:val="nil"/>
              <w:left w:val="nil"/>
              <w:bottom w:val="single" w:color="auto" w:sz="4" w:space="0"/>
              <w:right w:val="single" w:color="auto" w:sz="4" w:space="0"/>
            </w:tcBorders>
            <w:vAlign w:val="center"/>
          </w:tcPr>
          <w:p w14:paraId="147731FF">
            <w:pPr>
              <w:widowControl/>
              <w:jc w:val="center"/>
              <w:rPr>
                <w:rFonts w:ascii="宋体" w:hAnsi="宋体"/>
                <w:color w:val="000000" w:themeColor="text1"/>
                <w:kern w:val="0"/>
                <w:highlight w:val="none"/>
                <w14:textFill>
                  <w14:solidFill>
                    <w14:schemeClr w14:val="tx1"/>
                  </w14:solidFill>
                </w14:textFill>
              </w:rPr>
            </w:pPr>
          </w:p>
        </w:tc>
        <w:tc>
          <w:tcPr>
            <w:tcW w:w="1295" w:type="dxa"/>
            <w:tcBorders>
              <w:top w:val="nil"/>
              <w:left w:val="nil"/>
              <w:bottom w:val="single" w:color="auto" w:sz="4" w:space="0"/>
              <w:right w:val="single" w:color="auto" w:sz="4" w:space="0"/>
            </w:tcBorders>
            <w:vAlign w:val="center"/>
          </w:tcPr>
          <w:p w14:paraId="52A96F36">
            <w:pPr>
              <w:widowControl/>
              <w:jc w:val="center"/>
              <w:rPr>
                <w:rFonts w:ascii="宋体" w:hAnsi="宋体"/>
                <w:color w:val="000000" w:themeColor="text1"/>
                <w:kern w:val="0"/>
                <w:highlight w:val="none"/>
                <w14:textFill>
                  <w14:solidFill>
                    <w14:schemeClr w14:val="tx1"/>
                  </w14:solidFill>
                </w14:textFill>
              </w:rPr>
            </w:pPr>
          </w:p>
        </w:tc>
        <w:tc>
          <w:tcPr>
            <w:tcW w:w="1403" w:type="dxa"/>
            <w:tcBorders>
              <w:top w:val="nil"/>
              <w:left w:val="nil"/>
              <w:bottom w:val="single" w:color="auto" w:sz="4" w:space="0"/>
              <w:right w:val="single" w:color="auto" w:sz="4" w:space="0"/>
            </w:tcBorders>
            <w:vAlign w:val="center"/>
          </w:tcPr>
          <w:p w14:paraId="2776F527">
            <w:pPr>
              <w:widowControl/>
              <w:jc w:val="center"/>
              <w:rPr>
                <w:rFonts w:ascii="宋体" w:hAnsi="宋体"/>
                <w:color w:val="000000" w:themeColor="text1"/>
                <w:kern w:val="0"/>
                <w:highlight w:val="none"/>
                <w14:textFill>
                  <w14:solidFill>
                    <w14:schemeClr w14:val="tx1"/>
                  </w14:solidFill>
                </w14:textFill>
              </w:rPr>
            </w:pPr>
          </w:p>
        </w:tc>
        <w:tc>
          <w:tcPr>
            <w:tcW w:w="1370" w:type="dxa"/>
            <w:tcBorders>
              <w:top w:val="nil"/>
              <w:left w:val="nil"/>
              <w:bottom w:val="single" w:color="auto" w:sz="4" w:space="0"/>
              <w:right w:val="single" w:color="auto" w:sz="4" w:space="0"/>
            </w:tcBorders>
            <w:vAlign w:val="center"/>
          </w:tcPr>
          <w:p w14:paraId="759BDA66">
            <w:pPr>
              <w:widowControl/>
              <w:jc w:val="center"/>
              <w:rPr>
                <w:rFonts w:ascii="宋体" w:hAnsi="宋体"/>
                <w:color w:val="000000" w:themeColor="text1"/>
                <w:kern w:val="0"/>
                <w:highlight w:val="none"/>
                <w14:textFill>
                  <w14:solidFill>
                    <w14:schemeClr w14:val="tx1"/>
                  </w14:solidFill>
                </w14:textFill>
              </w:rPr>
            </w:pPr>
          </w:p>
        </w:tc>
        <w:tc>
          <w:tcPr>
            <w:tcW w:w="1439" w:type="dxa"/>
            <w:tcBorders>
              <w:top w:val="nil"/>
              <w:left w:val="nil"/>
              <w:bottom w:val="single" w:color="auto" w:sz="4" w:space="0"/>
              <w:right w:val="single" w:color="auto" w:sz="4" w:space="0"/>
            </w:tcBorders>
            <w:vAlign w:val="center"/>
          </w:tcPr>
          <w:p w14:paraId="688FA9C0">
            <w:pPr>
              <w:widowControl/>
              <w:jc w:val="center"/>
              <w:rPr>
                <w:rFonts w:ascii="宋体" w:hAnsi="宋体"/>
                <w:color w:val="000000" w:themeColor="text1"/>
                <w:kern w:val="0"/>
                <w:highlight w:val="none"/>
                <w14:textFill>
                  <w14:solidFill>
                    <w14:schemeClr w14:val="tx1"/>
                  </w14:solidFill>
                </w14:textFill>
              </w:rPr>
            </w:pPr>
          </w:p>
        </w:tc>
        <w:tc>
          <w:tcPr>
            <w:tcW w:w="1264" w:type="dxa"/>
            <w:tcBorders>
              <w:top w:val="nil"/>
              <w:left w:val="nil"/>
              <w:bottom w:val="single" w:color="auto" w:sz="4" w:space="0"/>
              <w:right w:val="single" w:color="auto" w:sz="4" w:space="0"/>
            </w:tcBorders>
            <w:vAlign w:val="center"/>
          </w:tcPr>
          <w:p w14:paraId="1DCBADBF">
            <w:pPr>
              <w:widowControl/>
              <w:jc w:val="center"/>
              <w:rPr>
                <w:rFonts w:ascii="宋体" w:hAnsi="宋体"/>
                <w:color w:val="000000" w:themeColor="text1"/>
                <w:kern w:val="0"/>
                <w:highlight w:val="none"/>
                <w14:textFill>
                  <w14:solidFill>
                    <w14:schemeClr w14:val="tx1"/>
                  </w14:solidFill>
                </w14:textFill>
              </w:rPr>
            </w:pPr>
          </w:p>
        </w:tc>
        <w:tc>
          <w:tcPr>
            <w:tcW w:w="2337" w:type="dxa"/>
            <w:tcBorders>
              <w:top w:val="nil"/>
              <w:left w:val="nil"/>
              <w:bottom w:val="single" w:color="auto" w:sz="4" w:space="0"/>
              <w:right w:val="single" w:color="auto" w:sz="4" w:space="0"/>
            </w:tcBorders>
            <w:vAlign w:val="center"/>
          </w:tcPr>
          <w:p w14:paraId="7E75A4A1">
            <w:pPr>
              <w:widowControl/>
              <w:jc w:val="center"/>
              <w:rPr>
                <w:rFonts w:ascii="宋体" w:hAnsi="宋体"/>
                <w:color w:val="000000" w:themeColor="text1"/>
                <w:kern w:val="0"/>
                <w:highlight w:val="none"/>
                <w14:textFill>
                  <w14:solidFill>
                    <w14:schemeClr w14:val="tx1"/>
                  </w14:solidFill>
                </w14:textFill>
              </w:rPr>
            </w:pPr>
          </w:p>
        </w:tc>
      </w:tr>
      <w:tr w14:paraId="302911F1">
        <w:tblPrEx>
          <w:tblCellMar>
            <w:top w:w="0" w:type="dxa"/>
            <w:left w:w="108" w:type="dxa"/>
            <w:bottom w:w="0" w:type="dxa"/>
            <w:right w:w="108" w:type="dxa"/>
          </w:tblCellMar>
        </w:tblPrEx>
        <w:trPr>
          <w:trHeight w:val="531" w:hRule="atLeast"/>
        </w:trPr>
        <w:tc>
          <w:tcPr>
            <w:tcW w:w="768" w:type="dxa"/>
            <w:tcBorders>
              <w:top w:val="nil"/>
              <w:left w:val="single" w:color="auto" w:sz="4" w:space="0"/>
              <w:bottom w:val="single" w:color="auto" w:sz="4" w:space="0"/>
              <w:right w:val="single" w:color="auto" w:sz="4" w:space="0"/>
            </w:tcBorders>
          </w:tcPr>
          <w:p w14:paraId="7776ADCE">
            <w:pPr>
              <w:widowControl/>
              <w:jc w:val="center"/>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3</w:t>
            </w:r>
          </w:p>
        </w:tc>
        <w:tc>
          <w:tcPr>
            <w:tcW w:w="866" w:type="dxa"/>
            <w:tcBorders>
              <w:top w:val="nil"/>
              <w:left w:val="single" w:color="auto" w:sz="4" w:space="0"/>
              <w:bottom w:val="single" w:color="auto" w:sz="4" w:space="0"/>
              <w:right w:val="single" w:color="auto" w:sz="4" w:space="0"/>
            </w:tcBorders>
            <w:vAlign w:val="center"/>
          </w:tcPr>
          <w:p w14:paraId="5582FFB5">
            <w:pPr>
              <w:widowControl/>
              <w:jc w:val="center"/>
              <w:rPr>
                <w:rFonts w:ascii="宋体" w:hAnsi="宋体"/>
                <w:color w:val="000000" w:themeColor="text1"/>
                <w:kern w:val="0"/>
                <w:highlight w:val="none"/>
                <w14:textFill>
                  <w14:solidFill>
                    <w14:schemeClr w14:val="tx1"/>
                  </w14:solidFill>
                </w14:textFill>
              </w:rPr>
            </w:pPr>
          </w:p>
        </w:tc>
        <w:tc>
          <w:tcPr>
            <w:tcW w:w="532" w:type="dxa"/>
            <w:tcBorders>
              <w:top w:val="nil"/>
              <w:left w:val="nil"/>
              <w:bottom w:val="single" w:color="auto" w:sz="4" w:space="0"/>
              <w:right w:val="single" w:color="auto" w:sz="4" w:space="0"/>
            </w:tcBorders>
            <w:vAlign w:val="center"/>
          </w:tcPr>
          <w:p w14:paraId="5AF809D1">
            <w:pPr>
              <w:widowControl/>
              <w:jc w:val="center"/>
              <w:rPr>
                <w:rFonts w:ascii="宋体" w:hAnsi="宋体"/>
                <w:color w:val="000000" w:themeColor="text1"/>
                <w:kern w:val="0"/>
                <w:highlight w:val="none"/>
                <w14:textFill>
                  <w14:solidFill>
                    <w14:schemeClr w14:val="tx1"/>
                  </w14:solidFill>
                </w14:textFill>
              </w:rPr>
            </w:pPr>
          </w:p>
        </w:tc>
        <w:tc>
          <w:tcPr>
            <w:tcW w:w="1378" w:type="dxa"/>
            <w:tcBorders>
              <w:top w:val="nil"/>
              <w:left w:val="nil"/>
              <w:bottom w:val="single" w:color="auto" w:sz="4" w:space="0"/>
              <w:right w:val="single" w:color="auto" w:sz="4" w:space="0"/>
            </w:tcBorders>
            <w:vAlign w:val="center"/>
          </w:tcPr>
          <w:p w14:paraId="07CB16B0">
            <w:pPr>
              <w:widowControl/>
              <w:jc w:val="center"/>
              <w:rPr>
                <w:rFonts w:ascii="宋体" w:hAnsi="宋体"/>
                <w:color w:val="000000" w:themeColor="text1"/>
                <w:kern w:val="0"/>
                <w:highlight w:val="none"/>
                <w14:textFill>
                  <w14:solidFill>
                    <w14:schemeClr w14:val="tx1"/>
                  </w14:solidFill>
                </w14:textFill>
              </w:rPr>
            </w:pPr>
          </w:p>
        </w:tc>
        <w:tc>
          <w:tcPr>
            <w:tcW w:w="1403" w:type="dxa"/>
            <w:tcBorders>
              <w:top w:val="nil"/>
              <w:left w:val="nil"/>
              <w:bottom w:val="single" w:color="auto" w:sz="4" w:space="0"/>
              <w:right w:val="single" w:color="auto" w:sz="4" w:space="0"/>
            </w:tcBorders>
            <w:vAlign w:val="center"/>
          </w:tcPr>
          <w:p w14:paraId="60F364CC">
            <w:pPr>
              <w:widowControl/>
              <w:jc w:val="center"/>
              <w:rPr>
                <w:rFonts w:ascii="宋体" w:hAnsi="宋体"/>
                <w:color w:val="000000" w:themeColor="text1"/>
                <w:kern w:val="0"/>
                <w:highlight w:val="none"/>
                <w14:textFill>
                  <w14:solidFill>
                    <w14:schemeClr w14:val="tx1"/>
                  </w14:solidFill>
                </w14:textFill>
              </w:rPr>
            </w:pPr>
          </w:p>
        </w:tc>
        <w:tc>
          <w:tcPr>
            <w:tcW w:w="1295" w:type="dxa"/>
            <w:tcBorders>
              <w:top w:val="nil"/>
              <w:left w:val="nil"/>
              <w:bottom w:val="single" w:color="auto" w:sz="4" w:space="0"/>
              <w:right w:val="single" w:color="auto" w:sz="4" w:space="0"/>
            </w:tcBorders>
            <w:vAlign w:val="center"/>
          </w:tcPr>
          <w:p w14:paraId="2142A17F">
            <w:pPr>
              <w:widowControl/>
              <w:jc w:val="center"/>
              <w:rPr>
                <w:rFonts w:ascii="宋体" w:hAnsi="宋体"/>
                <w:color w:val="000000" w:themeColor="text1"/>
                <w:kern w:val="0"/>
                <w:highlight w:val="none"/>
                <w14:textFill>
                  <w14:solidFill>
                    <w14:schemeClr w14:val="tx1"/>
                  </w14:solidFill>
                </w14:textFill>
              </w:rPr>
            </w:pPr>
          </w:p>
        </w:tc>
        <w:tc>
          <w:tcPr>
            <w:tcW w:w="1403" w:type="dxa"/>
            <w:tcBorders>
              <w:top w:val="nil"/>
              <w:left w:val="nil"/>
              <w:bottom w:val="single" w:color="auto" w:sz="4" w:space="0"/>
              <w:right w:val="single" w:color="auto" w:sz="4" w:space="0"/>
            </w:tcBorders>
            <w:vAlign w:val="center"/>
          </w:tcPr>
          <w:p w14:paraId="3C09762F">
            <w:pPr>
              <w:widowControl/>
              <w:jc w:val="center"/>
              <w:rPr>
                <w:rFonts w:ascii="宋体" w:hAnsi="宋体"/>
                <w:color w:val="000000" w:themeColor="text1"/>
                <w:kern w:val="0"/>
                <w:highlight w:val="none"/>
                <w14:textFill>
                  <w14:solidFill>
                    <w14:schemeClr w14:val="tx1"/>
                  </w14:solidFill>
                </w14:textFill>
              </w:rPr>
            </w:pPr>
          </w:p>
        </w:tc>
        <w:tc>
          <w:tcPr>
            <w:tcW w:w="1370" w:type="dxa"/>
            <w:tcBorders>
              <w:top w:val="nil"/>
              <w:left w:val="nil"/>
              <w:bottom w:val="single" w:color="auto" w:sz="4" w:space="0"/>
              <w:right w:val="single" w:color="auto" w:sz="4" w:space="0"/>
            </w:tcBorders>
            <w:vAlign w:val="center"/>
          </w:tcPr>
          <w:p w14:paraId="11D1056C">
            <w:pPr>
              <w:widowControl/>
              <w:jc w:val="center"/>
              <w:rPr>
                <w:rFonts w:ascii="宋体" w:hAnsi="宋体"/>
                <w:color w:val="000000" w:themeColor="text1"/>
                <w:kern w:val="0"/>
                <w:highlight w:val="none"/>
                <w14:textFill>
                  <w14:solidFill>
                    <w14:schemeClr w14:val="tx1"/>
                  </w14:solidFill>
                </w14:textFill>
              </w:rPr>
            </w:pPr>
          </w:p>
        </w:tc>
        <w:tc>
          <w:tcPr>
            <w:tcW w:w="1439" w:type="dxa"/>
            <w:tcBorders>
              <w:top w:val="nil"/>
              <w:left w:val="nil"/>
              <w:bottom w:val="single" w:color="auto" w:sz="4" w:space="0"/>
              <w:right w:val="single" w:color="auto" w:sz="4" w:space="0"/>
            </w:tcBorders>
            <w:vAlign w:val="center"/>
          </w:tcPr>
          <w:p w14:paraId="68FF579C">
            <w:pPr>
              <w:widowControl/>
              <w:jc w:val="center"/>
              <w:rPr>
                <w:rFonts w:ascii="宋体" w:hAnsi="宋体"/>
                <w:color w:val="000000" w:themeColor="text1"/>
                <w:kern w:val="0"/>
                <w:highlight w:val="none"/>
                <w14:textFill>
                  <w14:solidFill>
                    <w14:schemeClr w14:val="tx1"/>
                  </w14:solidFill>
                </w14:textFill>
              </w:rPr>
            </w:pPr>
          </w:p>
        </w:tc>
        <w:tc>
          <w:tcPr>
            <w:tcW w:w="1264" w:type="dxa"/>
            <w:tcBorders>
              <w:top w:val="nil"/>
              <w:left w:val="nil"/>
              <w:bottom w:val="single" w:color="auto" w:sz="4" w:space="0"/>
              <w:right w:val="single" w:color="auto" w:sz="4" w:space="0"/>
            </w:tcBorders>
            <w:vAlign w:val="center"/>
          </w:tcPr>
          <w:p w14:paraId="5E06F702">
            <w:pPr>
              <w:widowControl/>
              <w:jc w:val="center"/>
              <w:rPr>
                <w:rFonts w:ascii="宋体" w:hAnsi="宋体"/>
                <w:color w:val="000000" w:themeColor="text1"/>
                <w:kern w:val="0"/>
                <w:highlight w:val="none"/>
                <w14:textFill>
                  <w14:solidFill>
                    <w14:schemeClr w14:val="tx1"/>
                  </w14:solidFill>
                </w14:textFill>
              </w:rPr>
            </w:pPr>
          </w:p>
        </w:tc>
        <w:tc>
          <w:tcPr>
            <w:tcW w:w="2337" w:type="dxa"/>
            <w:tcBorders>
              <w:top w:val="nil"/>
              <w:left w:val="nil"/>
              <w:bottom w:val="single" w:color="auto" w:sz="4" w:space="0"/>
              <w:right w:val="single" w:color="auto" w:sz="4" w:space="0"/>
            </w:tcBorders>
            <w:vAlign w:val="center"/>
          </w:tcPr>
          <w:p w14:paraId="7DE14955">
            <w:pPr>
              <w:widowControl/>
              <w:jc w:val="center"/>
              <w:rPr>
                <w:rFonts w:ascii="宋体" w:hAnsi="宋体"/>
                <w:color w:val="000000" w:themeColor="text1"/>
                <w:kern w:val="0"/>
                <w:highlight w:val="none"/>
                <w14:textFill>
                  <w14:solidFill>
                    <w14:schemeClr w14:val="tx1"/>
                  </w14:solidFill>
                </w14:textFill>
              </w:rPr>
            </w:pPr>
          </w:p>
        </w:tc>
      </w:tr>
      <w:tr w14:paraId="24A2985B">
        <w:tblPrEx>
          <w:tblCellMar>
            <w:top w:w="0" w:type="dxa"/>
            <w:left w:w="108" w:type="dxa"/>
            <w:bottom w:w="0" w:type="dxa"/>
            <w:right w:w="108" w:type="dxa"/>
          </w:tblCellMar>
        </w:tblPrEx>
        <w:trPr>
          <w:trHeight w:val="531" w:hRule="atLeast"/>
        </w:trPr>
        <w:tc>
          <w:tcPr>
            <w:tcW w:w="768" w:type="dxa"/>
            <w:tcBorders>
              <w:top w:val="nil"/>
              <w:left w:val="single" w:color="auto" w:sz="4" w:space="0"/>
              <w:bottom w:val="single" w:color="auto" w:sz="4" w:space="0"/>
              <w:right w:val="single" w:color="auto" w:sz="4" w:space="0"/>
            </w:tcBorders>
          </w:tcPr>
          <w:p w14:paraId="263E5A43">
            <w:pPr>
              <w:widowControl/>
              <w:jc w:val="center"/>
              <w:rPr>
                <w:rFonts w:ascii="宋体" w:hAnsi="宋体"/>
                <w:color w:val="000000" w:themeColor="text1"/>
                <w:kern w:val="0"/>
                <w:highlight w:val="none"/>
                <w14:textFill>
                  <w14:solidFill>
                    <w14:schemeClr w14:val="tx1"/>
                  </w14:solidFill>
                </w14:textFill>
              </w:rPr>
            </w:pPr>
            <w:r>
              <w:rPr>
                <w:rFonts w:ascii="Arial" w:hAnsi="Arial" w:cs="Arial"/>
                <w:color w:val="000000" w:themeColor="text1"/>
                <w:kern w:val="0"/>
                <w:highlight w:val="none"/>
                <w14:textFill>
                  <w14:solidFill>
                    <w14:schemeClr w14:val="tx1"/>
                  </w14:solidFill>
                </w14:textFill>
              </w:rPr>
              <w:t>…</w:t>
            </w:r>
          </w:p>
        </w:tc>
        <w:tc>
          <w:tcPr>
            <w:tcW w:w="866" w:type="dxa"/>
            <w:tcBorders>
              <w:top w:val="nil"/>
              <w:left w:val="single" w:color="auto" w:sz="4" w:space="0"/>
              <w:bottom w:val="single" w:color="auto" w:sz="4" w:space="0"/>
              <w:right w:val="single" w:color="auto" w:sz="4" w:space="0"/>
            </w:tcBorders>
            <w:vAlign w:val="center"/>
          </w:tcPr>
          <w:p w14:paraId="6B5CDE4A">
            <w:pPr>
              <w:widowControl/>
              <w:jc w:val="center"/>
              <w:rPr>
                <w:rFonts w:ascii="宋体" w:hAnsi="宋体"/>
                <w:color w:val="000000" w:themeColor="text1"/>
                <w:kern w:val="0"/>
                <w:highlight w:val="none"/>
                <w14:textFill>
                  <w14:solidFill>
                    <w14:schemeClr w14:val="tx1"/>
                  </w14:solidFill>
                </w14:textFill>
              </w:rPr>
            </w:pPr>
          </w:p>
        </w:tc>
        <w:tc>
          <w:tcPr>
            <w:tcW w:w="532" w:type="dxa"/>
            <w:tcBorders>
              <w:top w:val="nil"/>
              <w:left w:val="nil"/>
              <w:bottom w:val="single" w:color="auto" w:sz="4" w:space="0"/>
              <w:right w:val="single" w:color="auto" w:sz="4" w:space="0"/>
            </w:tcBorders>
            <w:vAlign w:val="center"/>
          </w:tcPr>
          <w:p w14:paraId="449D2279">
            <w:pPr>
              <w:widowControl/>
              <w:jc w:val="center"/>
              <w:rPr>
                <w:rFonts w:ascii="宋体" w:hAnsi="宋体"/>
                <w:color w:val="000000" w:themeColor="text1"/>
                <w:kern w:val="0"/>
                <w:highlight w:val="none"/>
                <w14:textFill>
                  <w14:solidFill>
                    <w14:schemeClr w14:val="tx1"/>
                  </w14:solidFill>
                </w14:textFill>
              </w:rPr>
            </w:pPr>
          </w:p>
        </w:tc>
        <w:tc>
          <w:tcPr>
            <w:tcW w:w="1378" w:type="dxa"/>
            <w:tcBorders>
              <w:top w:val="nil"/>
              <w:left w:val="nil"/>
              <w:bottom w:val="single" w:color="auto" w:sz="4" w:space="0"/>
              <w:right w:val="single" w:color="auto" w:sz="4" w:space="0"/>
            </w:tcBorders>
            <w:vAlign w:val="center"/>
          </w:tcPr>
          <w:p w14:paraId="5CD35974">
            <w:pPr>
              <w:widowControl/>
              <w:jc w:val="center"/>
              <w:rPr>
                <w:rFonts w:ascii="宋体" w:hAnsi="宋体"/>
                <w:color w:val="000000" w:themeColor="text1"/>
                <w:kern w:val="0"/>
                <w:highlight w:val="none"/>
                <w14:textFill>
                  <w14:solidFill>
                    <w14:schemeClr w14:val="tx1"/>
                  </w14:solidFill>
                </w14:textFill>
              </w:rPr>
            </w:pPr>
          </w:p>
        </w:tc>
        <w:tc>
          <w:tcPr>
            <w:tcW w:w="1403" w:type="dxa"/>
            <w:tcBorders>
              <w:top w:val="nil"/>
              <w:left w:val="nil"/>
              <w:bottom w:val="single" w:color="auto" w:sz="4" w:space="0"/>
              <w:right w:val="single" w:color="auto" w:sz="4" w:space="0"/>
            </w:tcBorders>
            <w:vAlign w:val="center"/>
          </w:tcPr>
          <w:p w14:paraId="58A2A16D">
            <w:pPr>
              <w:widowControl/>
              <w:jc w:val="center"/>
              <w:rPr>
                <w:rFonts w:ascii="宋体" w:hAnsi="宋体"/>
                <w:color w:val="000000" w:themeColor="text1"/>
                <w:kern w:val="0"/>
                <w:highlight w:val="none"/>
                <w14:textFill>
                  <w14:solidFill>
                    <w14:schemeClr w14:val="tx1"/>
                  </w14:solidFill>
                </w14:textFill>
              </w:rPr>
            </w:pPr>
          </w:p>
        </w:tc>
        <w:tc>
          <w:tcPr>
            <w:tcW w:w="1295" w:type="dxa"/>
            <w:tcBorders>
              <w:top w:val="nil"/>
              <w:left w:val="nil"/>
              <w:bottom w:val="single" w:color="auto" w:sz="4" w:space="0"/>
              <w:right w:val="single" w:color="auto" w:sz="4" w:space="0"/>
            </w:tcBorders>
            <w:vAlign w:val="center"/>
          </w:tcPr>
          <w:p w14:paraId="1EEF20A9">
            <w:pPr>
              <w:widowControl/>
              <w:jc w:val="center"/>
              <w:rPr>
                <w:rFonts w:ascii="宋体" w:hAnsi="宋体"/>
                <w:color w:val="000000" w:themeColor="text1"/>
                <w:kern w:val="0"/>
                <w:highlight w:val="none"/>
                <w14:textFill>
                  <w14:solidFill>
                    <w14:schemeClr w14:val="tx1"/>
                  </w14:solidFill>
                </w14:textFill>
              </w:rPr>
            </w:pPr>
          </w:p>
        </w:tc>
        <w:tc>
          <w:tcPr>
            <w:tcW w:w="1403" w:type="dxa"/>
            <w:tcBorders>
              <w:top w:val="nil"/>
              <w:left w:val="nil"/>
              <w:bottom w:val="single" w:color="auto" w:sz="4" w:space="0"/>
              <w:right w:val="single" w:color="auto" w:sz="4" w:space="0"/>
            </w:tcBorders>
            <w:vAlign w:val="center"/>
          </w:tcPr>
          <w:p w14:paraId="22D01CC3">
            <w:pPr>
              <w:widowControl/>
              <w:jc w:val="center"/>
              <w:rPr>
                <w:rFonts w:ascii="宋体" w:hAnsi="宋体"/>
                <w:color w:val="000000" w:themeColor="text1"/>
                <w:kern w:val="0"/>
                <w:highlight w:val="none"/>
                <w14:textFill>
                  <w14:solidFill>
                    <w14:schemeClr w14:val="tx1"/>
                  </w14:solidFill>
                </w14:textFill>
              </w:rPr>
            </w:pPr>
          </w:p>
        </w:tc>
        <w:tc>
          <w:tcPr>
            <w:tcW w:w="1370" w:type="dxa"/>
            <w:tcBorders>
              <w:top w:val="nil"/>
              <w:left w:val="nil"/>
              <w:bottom w:val="single" w:color="auto" w:sz="4" w:space="0"/>
              <w:right w:val="single" w:color="auto" w:sz="4" w:space="0"/>
            </w:tcBorders>
            <w:vAlign w:val="center"/>
          </w:tcPr>
          <w:p w14:paraId="3742480B">
            <w:pPr>
              <w:widowControl/>
              <w:jc w:val="center"/>
              <w:rPr>
                <w:rFonts w:ascii="宋体" w:hAnsi="宋体"/>
                <w:color w:val="000000" w:themeColor="text1"/>
                <w:kern w:val="0"/>
                <w:highlight w:val="none"/>
                <w14:textFill>
                  <w14:solidFill>
                    <w14:schemeClr w14:val="tx1"/>
                  </w14:solidFill>
                </w14:textFill>
              </w:rPr>
            </w:pPr>
          </w:p>
        </w:tc>
        <w:tc>
          <w:tcPr>
            <w:tcW w:w="1439" w:type="dxa"/>
            <w:tcBorders>
              <w:top w:val="nil"/>
              <w:left w:val="nil"/>
              <w:bottom w:val="single" w:color="auto" w:sz="4" w:space="0"/>
              <w:right w:val="single" w:color="auto" w:sz="4" w:space="0"/>
            </w:tcBorders>
            <w:vAlign w:val="center"/>
          </w:tcPr>
          <w:p w14:paraId="23E90D5A">
            <w:pPr>
              <w:widowControl/>
              <w:jc w:val="center"/>
              <w:rPr>
                <w:rFonts w:ascii="宋体" w:hAnsi="宋体"/>
                <w:color w:val="000000" w:themeColor="text1"/>
                <w:kern w:val="0"/>
                <w:highlight w:val="none"/>
                <w14:textFill>
                  <w14:solidFill>
                    <w14:schemeClr w14:val="tx1"/>
                  </w14:solidFill>
                </w14:textFill>
              </w:rPr>
            </w:pPr>
          </w:p>
        </w:tc>
        <w:tc>
          <w:tcPr>
            <w:tcW w:w="1264" w:type="dxa"/>
            <w:tcBorders>
              <w:top w:val="nil"/>
              <w:left w:val="nil"/>
              <w:bottom w:val="single" w:color="auto" w:sz="4" w:space="0"/>
              <w:right w:val="single" w:color="auto" w:sz="4" w:space="0"/>
            </w:tcBorders>
            <w:vAlign w:val="center"/>
          </w:tcPr>
          <w:p w14:paraId="6C8EEDBA">
            <w:pPr>
              <w:widowControl/>
              <w:jc w:val="center"/>
              <w:rPr>
                <w:rFonts w:ascii="宋体" w:hAnsi="宋体"/>
                <w:color w:val="000000" w:themeColor="text1"/>
                <w:kern w:val="0"/>
                <w:highlight w:val="none"/>
                <w14:textFill>
                  <w14:solidFill>
                    <w14:schemeClr w14:val="tx1"/>
                  </w14:solidFill>
                </w14:textFill>
              </w:rPr>
            </w:pPr>
          </w:p>
        </w:tc>
        <w:tc>
          <w:tcPr>
            <w:tcW w:w="2337" w:type="dxa"/>
            <w:tcBorders>
              <w:top w:val="nil"/>
              <w:left w:val="nil"/>
              <w:bottom w:val="single" w:color="auto" w:sz="4" w:space="0"/>
              <w:right w:val="single" w:color="auto" w:sz="4" w:space="0"/>
            </w:tcBorders>
            <w:vAlign w:val="center"/>
          </w:tcPr>
          <w:p w14:paraId="195D62E9">
            <w:pPr>
              <w:widowControl/>
              <w:jc w:val="center"/>
              <w:rPr>
                <w:rFonts w:ascii="宋体" w:hAnsi="宋体"/>
                <w:color w:val="000000" w:themeColor="text1"/>
                <w:kern w:val="0"/>
                <w:highlight w:val="none"/>
                <w14:textFill>
                  <w14:solidFill>
                    <w14:schemeClr w14:val="tx1"/>
                  </w14:solidFill>
                </w14:textFill>
              </w:rPr>
            </w:pPr>
          </w:p>
        </w:tc>
      </w:tr>
    </w:tbl>
    <w:p w14:paraId="2B3012BC">
      <w:pPr>
        <w:spacing w:line="400" w:lineRule="exact"/>
        <w:rPr>
          <w:rFonts w:asciiTheme="majorEastAsia" w:hAnsiTheme="majorEastAsia" w:eastAsiaTheme="majorEastAsia" w:cstheme="majorEastAsia"/>
          <w:color w:val="000000" w:themeColor="text1"/>
          <w:sz w:val="21"/>
          <w:szCs w:val="21"/>
          <w:highlight w:val="none"/>
          <w14:textFill>
            <w14:solidFill>
              <w14:schemeClr w14:val="tx1"/>
            </w14:solidFill>
          </w14:textFill>
        </w:rPr>
      </w:pPr>
    </w:p>
    <w:p w14:paraId="6B5EEEDD">
      <w:pPr>
        <w:spacing w:line="276" w:lineRule="auto"/>
        <w:ind w:firstLine="420" w:firstLineChars="20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说明：</w:t>
      </w:r>
    </w:p>
    <w:p w14:paraId="7632C266">
      <w:pPr>
        <w:spacing w:line="276" w:lineRule="auto"/>
        <w:ind w:firstLine="420" w:firstLineChars="20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1.拟派团队组成员（不含团队负责人）8人及以上，并具备相关专业的注册二级造价工程师及以上证书（造价工程师需注册在供应商处）。</w:t>
      </w:r>
    </w:p>
    <w:p w14:paraId="59C99F31">
      <w:pPr>
        <w:spacing w:line="276" w:lineRule="auto"/>
        <w:ind w:firstLine="420" w:firstLineChars="20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2.表格后面附清晰可辨的证书、身份证彩色扫描件（正反面）。</w:t>
      </w:r>
    </w:p>
    <w:p w14:paraId="6786A579">
      <w:pPr>
        <w:spacing w:line="276" w:lineRule="auto"/>
        <w:ind w:firstLine="420" w:firstLineChars="20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3.表格后面附项目团队组成员响应截止时间前3个月的社会保险参保证明，出具时参保单位须与响应供应商一致，如参保单位为响应供应商总公司［或分公司］或响应供应商母公司［或子公司］，均予以认可；无社保的退休人员须提供与响应供应商签订的劳动合同）</w:t>
      </w:r>
    </w:p>
    <w:p w14:paraId="7EA35516">
      <w:pPr>
        <w:spacing w:line="276" w:lineRule="auto"/>
        <w:ind w:firstLine="420" w:firstLineChars="20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4.造价工程师已注册未领证或因换证、年审、变更等原因无法提供证书原件扫描件的，须提供相关主管部门证明原件扫描件及造价工程师注册管理系统的打印件。</w:t>
      </w:r>
    </w:p>
    <w:p w14:paraId="2F91B603">
      <w:pPr>
        <w:pStyle w:val="12"/>
        <w:rPr>
          <w:color w:val="000000" w:themeColor="text1"/>
          <w:highlight w:val="none"/>
          <w14:textFill>
            <w14:solidFill>
              <w14:schemeClr w14:val="tx1"/>
            </w14:solidFill>
          </w14:textFill>
        </w:rPr>
      </w:pPr>
    </w:p>
    <w:p w14:paraId="5CBD0BEC">
      <w:pPr>
        <w:snapToGrid w:val="0"/>
        <w:spacing w:before="120" w:beforeLines="50" w:line="360" w:lineRule="auto"/>
        <w:jc w:val="right"/>
        <w:rPr>
          <w:rFonts w:ascii="宋体" w:hAnsi="宋体"/>
          <w:color w:val="000000" w:themeColor="text1"/>
          <w:szCs w:val="20"/>
          <w:highlight w:val="none"/>
          <w:u w:val="single"/>
          <w14:textFill>
            <w14:solidFill>
              <w14:schemeClr w14:val="tx1"/>
            </w14:solidFill>
          </w14:textFill>
        </w:rPr>
      </w:pPr>
      <w:r>
        <w:rPr>
          <w:rFonts w:hint="eastAsia" w:ascii="宋体" w:hAnsi="宋体" w:cs="Arial"/>
          <w:color w:val="000000" w:themeColor="text1"/>
          <w:kern w:val="0"/>
          <w:highlight w:val="none"/>
          <w14:textFill>
            <w14:solidFill>
              <w14:schemeClr w14:val="tx1"/>
            </w14:solidFill>
          </w14:textFill>
        </w:rPr>
        <w:t xml:space="preserve">         法定代表人或</w:t>
      </w:r>
      <w:r>
        <w:rPr>
          <w:rFonts w:hint="eastAsia" w:ascii="宋体" w:hAnsi="宋体"/>
          <w:color w:val="000000" w:themeColor="text1"/>
          <w:highlight w:val="none"/>
          <w14:textFill>
            <w14:solidFill>
              <w14:schemeClr w14:val="tx1"/>
            </w14:solidFill>
          </w14:textFill>
        </w:rPr>
        <w:t>被授权人签字（或盖章）：</w:t>
      </w:r>
    </w:p>
    <w:p w14:paraId="1503047C">
      <w:pPr>
        <w:pStyle w:val="33"/>
        <w:spacing w:line="360" w:lineRule="auto"/>
        <w:jc w:val="right"/>
        <w:rPr>
          <w:rFonts w:hAnsi="宋体" w:eastAsia="宋体" w:cs="宋体"/>
          <w:color w:val="000000" w:themeColor="text1"/>
          <w:sz w:val="24"/>
          <w:highlight w:val="none"/>
          <w14:textFill>
            <w14:solidFill>
              <w14:schemeClr w14:val="tx1"/>
            </w14:solidFill>
          </w14:textFill>
        </w:rPr>
      </w:pPr>
      <w:r>
        <w:rPr>
          <w:rFonts w:hint="eastAsia" w:hAnsi="宋体" w:eastAsia="宋体" w:cs="宋体"/>
          <w:color w:val="000000" w:themeColor="text1"/>
          <w:sz w:val="24"/>
          <w:highlight w:val="none"/>
          <w14:textFill>
            <w14:solidFill>
              <w14:schemeClr w14:val="tx1"/>
            </w14:solidFill>
          </w14:textFill>
        </w:rPr>
        <w:t xml:space="preserve">                         供应商名称（公章）：</w:t>
      </w:r>
    </w:p>
    <w:p w14:paraId="04155886">
      <w:pPr>
        <w:pStyle w:val="33"/>
        <w:spacing w:line="360" w:lineRule="auto"/>
        <w:jc w:val="right"/>
        <w:rPr>
          <w:rFonts w:asciiTheme="majorEastAsia" w:hAnsiTheme="majorEastAsia" w:eastAsiaTheme="majorEastAsia" w:cstheme="majorEastAsia"/>
          <w:b/>
          <w:snapToGrid w:val="0"/>
          <w:color w:val="000000" w:themeColor="text1"/>
          <w:sz w:val="28"/>
          <w:highlight w:val="none"/>
          <w14:textFill>
            <w14:solidFill>
              <w14:schemeClr w14:val="tx1"/>
            </w14:solidFill>
          </w14:textFill>
        </w:rPr>
        <w:sectPr>
          <w:pgSz w:w="16781" w:h="11849" w:orient="landscape"/>
          <w:pgMar w:top="1247" w:right="1531" w:bottom="1134" w:left="1531" w:header="851" w:footer="850" w:gutter="0"/>
          <w:cols w:space="0" w:num="1"/>
          <w:docGrid w:linePitch="312" w:charSpace="0"/>
        </w:sectPr>
      </w:pPr>
      <w:r>
        <w:rPr>
          <w:rFonts w:hint="eastAsia" w:hAnsi="宋体" w:eastAsia="宋体"/>
          <w:color w:val="000000" w:themeColor="text1"/>
          <w:sz w:val="24"/>
          <w:szCs w:val="24"/>
          <w:highlight w:val="none"/>
          <w14:textFill>
            <w14:solidFill>
              <w14:schemeClr w14:val="tx1"/>
            </w14:solidFill>
          </w14:textFill>
        </w:rPr>
        <w:t xml:space="preserve">                          日期： 年  月  日</w:t>
      </w:r>
    </w:p>
    <w:p w14:paraId="25609433">
      <w:pPr>
        <w:keepNext w:val="0"/>
        <w:keepLines w:val="0"/>
        <w:pageBreakBefore w:val="0"/>
        <w:widowControl w:val="0"/>
        <w:kinsoku/>
        <w:wordWrap/>
        <w:overflowPunct/>
        <w:topLinePunct w:val="0"/>
        <w:autoSpaceDE/>
        <w:autoSpaceDN/>
        <w:bidi w:val="0"/>
        <w:adjustRightInd/>
        <w:snapToGrid/>
        <w:spacing w:before="157" w:beforeLines="50" w:after="157" w:afterLines="50"/>
        <w:jc w:val="center"/>
        <w:textAlignment w:val="auto"/>
        <w:rPr>
          <w:rFonts w:asciiTheme="majorEastAsia" w:hAnsiTheme="majorEastAsia" w:eastAsiaTheme="majorEastAsia" w:cstheme="majorEastAsia"/>
          <w:b/>
          <w:snapToGrid w:val="0"/>
          <w:color w:val="000000" w:themeColor="text1"/>
          <w:sz w:val="28"/>
          <w:highlight w:val="none"/>
          <w14:textFill>
            <w14:solidFill>
              <w14:schemeClr w14:val="tx1"/>
            </w14:solidFill>
          </w14:textFill>
        </w:rPr>
      </w:pPr>
      <w:r>
        <w:rPr>
          <w:rFonts w:hint="eastAsia" w:asciiTheme="majorEastAsia" w:hAnsiTheme="majorEastAsia" w:eastAsiaTheme="majorEastAsia" w:cstheme="majorEastAsia"/>
          <w:b/>
          <w:snapToGrid w:val="0"/>
          <w:color w:val="000000" w:themeColor="text1"/>
          <w:sz w:val="28"/>
          <w:highlight w:val="none"/>
          <w14:textFill>
            <w14:solidFill>
              <w14:schemeClr w14:val="tx1"/>
            </w14:solidFill>
          </w14:textFill>
        </w:rPr>
        <w:t>供应商拟派团队组成员工作经验一览表</w:t>
      </w:r>
    </w:p>
    <w:tbl>
      <w:tblPr>
        <w:tblStyle w:val="25"/>
        <w:tblW w:w="136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0"/>
        <w:gridCol w:w="2127"/>
        <w:gridCol w:w="1723"/>
        <w:gridCol w:w="2062"/>
        <w:gridCol w:w="1693"/>
        <w:gridCol w:w="1701"/>
        <w:gridCol w:w="1985"/>
        <w:gridCol w:w="1598"/>
      </w:tblGrid>
      <w:tr w14:paraId="7F7084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750" w:type="dxa"/>
            <w:tcBorders>
              <w:top w:val="single" w:color="auto" w:sz="4" w:space="0"/>
              <w:left w:val="single" w:color="auto" w:sz="4" w:space="0"/>
              <w:bottom w:val="single" w:color="auto" w:sz="4" w:space="0"/>
              <w:right w:val="single" w:color="auto" w:sz="4" w:space="0"/>
            </w:tcBorders>
            <w:noWrap/>
            <w:vAlign w:val="center"/>
          </w:tcPr>
          <w:p w14:paraId="34C4BE46">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1"/>
                <w:szCs w:val="21"/>
                <w:highlight w:val="none"/>
                <w14:textFill>
                  <w14:solidFill>
                    <w14:schemeClr w14:val="tx1"/>
                  </w14:solidFill>
                </w14:textFill>
              </w:rPr>
              <w:t>序号</w:t>
            </w:r>
          </w:p>
        </w:tc>
        <w:tc>
          <w:tcPr>
            <w:tcW w:w="2127" w:type="dxa"/>
            <w:tcBorders>
              <w:top w:val="single" w:color="auto" w:sz="4" w:space="0"/>
              <w:left w:val="single" w:color="auto" w:sz="4" w:space="0"/>
              <w:bottom w:val="single" w:color="auto" w:sz="4" w:space="0"/>
              <w:right w:val="single" w:color="auto" w:sz="4" w:space="0"/>
            </w:tcBorders>
            <w:noWrap/>
            <w:vAlign w:val="center"/>
          </w:tcPr>
          <w:p w14:paraId="6BAE5E2E">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1"/>
                <w:szCs w:val="21"/>
                <w:highlight w:val="none"/>
                <w14:textFill>
                  <w14:solidFill>
                    <w14:schemeClr w14:val="tx1"/>
                  </w14:solidFill>
                </w14:textFill>
              </w:rPr>
              <w:t>项目名称</w:t>
            </w:r>
          </w:p>
        </w:tc>
        <w:tc>
          <w:tcPr>
            <w:tcW w:w="1723" w:type="dxa"/>
            <w:tcBorders>
              <w:top w:val="single" w:color="auto" w:sz="4" w:space="0"/>
              <w:left w:val="single" w:color="auto" w:sz="4" w:space="0"/>
              <w:bottom w:val="single" w:color="auto" w:sz="4" w:space="0"/>
              <w:right w:val="single" w:color="auto" w:sz="4" w:space="0"/>
            </w:tcBorders>
            <w:noWrap/>
            <w:vAlign w:val="center"/>
          </w:tcPr>
          <w:p w14:paraId="1B392469">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1"/>
                <w:szCs w:val="21"/>
                <w:highlight w:val="none"/>
                <w14:textFill>
                  <w14:solidFill>
                    <w14:schemeClr w14:val="tx1"/>
                  </w14:solidFill>
                </w14:textFill>
              </w:rPr>
              <w:t>采购单位名称</w:t>
            </w:r>
          </w:p>
        </w:tc>
        <w:tc>
          <w:tcPr>
            <w:tcW w:w="2062" w:type="dxa"/>
            <w:tcBorders>
              <w:top w:val="single" w:color="auto" w:sz="4" w:space="0"/>
              <w:left w:val="single" w:color="auto" w:sz="4" w:space="0"/>
              <w:right w:val="single" w:color="auto" w:sz="4" w:space="0"/>
            </w:tcBorders>
            <w:noWrap/>
            <w:vAlign w:val="center"/>
          </w:tcPr>
          <w:p w14:paraId="5B57D104">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1"/>
                <w:szCs w:val="21"/>
                <w:highlight w:val="none"/>
                <w14:textFill>
                  <w14:solidFill>
                    <w14:schemeClr w14:val="tx1"/>
                  </w14:solidFill>
                </w14:textFill>
              </w:rPr>
              <w:t>委托合同签订时间</w:t>
            </w:r>
          </w:p>
        </w:tc>
        <w:tc>
          <w:tcPr>
            <w:tcW w:w="1693" w:type="dxa"/>
            <w:tcBorders>
              <w:top w:val="single" w:color="auto" w:sz="4" w:space="0"/>
              <w:left w:val="single" w:color="auto" w:sz="4" w:space="0"/>
              <w:bottom w:val="single" w:color="auto" w:sz="4" w:space="0"/>
              <w:right w:val="single" w:color="auto" w:sz="4" w:space="0"/>
            </w:tcBorders>
            <w:noWrap/>
            <w:vAlign w:val="center"/>
          </w:tcPr>
          <w:p w14:paraId="3A2F765F">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1"/>
                <w:szCs w:val="21"/>
                <w:highlight w:val="none"/>
                <w14:textFill>
                  <w14:solidFill>
                    <w14:schemeClr w14:val="tx1"/>
                  </w14:solidFill>
                </w14:textFill>
              </w:rPr>
              <w:t xml:space="preserve">项目组成员 </w:t>
            </w:r>
          </w:p>
        </w:tc>
        <w:tc>
          <w:tcPr>
            <w:tcW w:w="1701" w:type="dxa"/>
            <w:tcBorders>
              <w:top w:val="single" w:color="auto" w:sz="4" w:space="0"/>
              <w:left w:val="single" w:color="auto" w:sz="4" w:space="0"/>
              <w:bottom w:val="single" w:color="auto" w:sz="4" w:space="0"/>
              <w:right w:val="single" w:color="auto" w:sz="4" w:space="0"/>
            </w:tcBorders>
            <w:noWrap/>
            <w:vAlign w:val="center"/>
          </w:tcPr>
          <w:p w14:paraId="41A79D43">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1"/>
                <w:szCs w:val="21"/>
                <w:highlight w:val="none"/>
                <w14:textFill>
                  <w14:solidFill>
                    <w14:schemeClr w14:val="tx1"/>
                  </w14:solidFill>
                </w14:textFill>
              </w:rPr>
              <w:t>项目所属专业</w:t>
            </w:r>
          </w:p>
        </w:tc>
        <w:tc>
          <w:tcPr>
            <w:tcW w:w="1985" w:type="dxa"/>
            <w:tcBorders>
              <w:top w:val="single" w:color="auto" w:sz="4" w:space="0"/>
              <w:left w:val="single" w:color="auto" w:sz="4" w:space="0"/>
              <w:bottom w:val="single" w:color="auto" w:sz="4" w:space="0"/>
              <w:right w:val="single" w:color="auto" w:sz="4" w:space="0"/>
            </w:tcBorders>
            <w:noWrap/>
            <w:vAlign w:val="center"/>
          </w:tcPr>
          <w:p w14:paraId="22954E25">
            <w:pPr>
              <w:snapToGrid w:val="0"/>
              <w:spacing w:line="36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1"/>
                <w:szCs w:val="21"/>
                <w:highlight w:val="none"/>
                <w14:textFill>
                  <w14:solidFill>
                    <w14:schemeClr w14:val="tx1"/>
                  </w14:solidFill>
                </w14:textFill>
              </w:rPr>
              <w:t>中标价（招标代理）</w:t>
            </w:r>
          </w:p>
          <w:p w14:paraId="0EBB1E5D">
            <w:pPr>
              <w:snapToGrid w:val="0"/>
              <w:spacing w:line="36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1"/>
                <w:szCs w:val="21"/>
                <w:highlight w:val="none"/>
                <w14:textFill>
                  <w14:solidFill>
                    <w14:schemeClr w14:val="tx1"/>
                  </w14:solidFill>
                </w14:textFill>
              </w:rPr>
              <w:t>审定价（造价咨询）</w:t>
            </w:r>
          </w:p>
        </w:tc>
        <w:tc>
          <w:tcPr>
            <w:tcW w:w="1598" w:type="dxa"/>
            <w:tcBorders>
              <w:top w:val="single" w:color="auto" w:sz="4" w:space="0"/>
              <w:left w:val="single" w:color="auto" w:sz="4" w:space="0"/>
              <w:bottom w:val="single" w:color="auto" w:sz="4" w:space="0"/>
              <w:right w:val="single" w:color="auto" w:sz="4" w:space="0"/>
            </w:tcBorders>
            <w:noWrap/>
            <w:vAlign w:val="center"/>
          </w:tcPr>
          <w:p w14:paraId="4E1EFB33">
            <w:pPr>
              <w:widowControl/>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
                <w:bCs/>
                <w:color w:val="000000" w:themeColor="text1"/>
                <w:sz w:val="21"/>
                <w:szCs w:val="21"/>
                <w:highlight w:val="none"/>
                <w14:textFill>
                  <w14:solidFill>
                    <w14:schemeClr w14:val="tx1"/>
                  </w14:solidFill>
                </w14:textFill>
              </w:rPr>
              <w:t>采购单位联系人及联系电话</w:t>
            </w:r>
          </w:p>
        </w:tc>
      </w:tr>
      <w:tr w14:paraId="7F9FE7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750" w:type="dxa"/>
            <w:tcBorders>
              <w:top w:val="single" w:color="auto" w:sz="4" w:space="0"/>
              <w:left w:val="single" w:color="auto" w:sz="4" w:space="0"/>
              <w:bottom w:val="single" w:color="auto" w:sz="4" w:space="0"/>
              <w:right w:val="single" w:color="auto" w:sz="4" w:space="0"/>
            </w:tcBorders>
            <w:noWrap/>
            <w:vAlign w:val="center"/>
          </w:tcPr>
          <w:p w14:paraId="0F34F2D2">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3CF93E47">
            <w:pPr>
              <w:snapToGrid w:val="0"/>
              <w:spacing w:line="240" w:lineRule="exact"/>
              <w:jc w:val="center"/>
              <w:rPr>
                <w:rFonts w:asciiTheme="majorEastAsia" w:hAnsiTheme="majorEastAsia" w:eastAsiaTheme="majorEastAsia" w:cstheme="majorEastAsia"/>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bCs/>
                <w:color w:val="000000" w:themeColor="text1"/>
                <w:sz w:val="21"/>
                <w:szCs w:val="21"/>
                <w:highlight w:val="none"/>
                <w14:textFill>
                  <w14:solidFill>
                    <w14:schemeClr w14:val="tx1"/>
                  </w14:solidFill>
                </w14:textFill>
              </w:rPr>
              <w:t>招标代理</w:t>
            </w:r>
          </w:p>
        </w:tc>
        <w:tc>
          <w:tcPr>
            <w:tcW w:w="1723" w:type="dxa"/>
            <w:tcBorders>
              <w:top w:val="single" w:color="auto" w:sz="4" w:space="0"/>
              <w:left w:val="single" w:color="auto" w:sz="4" w:space="0"/>
              <w:bottom w:val="single" w:color="auto" w:sz="4" w:space="0"/>
              <w:right w:val="single" w:color="auto" w:sz="4" w:space="0"/>
            </w:tcBorders>
            <w:noWrap/>
            <w:vAlign w:val="center"/>
          </w:tcPr>
          <w:p w14:paraId="50868B69">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2062" w:type="dxa"/>
            <w:tcBorders>
              <w:top w:val="single" w:color="auto" w:sz="4" w:space="0"/>
              <w:left w:val="single" w:color="auto" w:sz="4" w:space="0"/>
              <w:right w:val="single" w:color="auto" w:sz="4" w:space="0"/>
            </w:tcBorders>
            <w:noWrap/>
            <w:vAlign w:val="center"/>
          </w:tcPr>
          <w:p w14:paraId="73F73EAE">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1693" w:type="dxa"/>
            <w:tcBorders>
              <w:top w:val="single" w:color="auto" w:sz="4" w:space="0"/>
              <w:left w:val="single" w:color="auto" w:sz="4" w:space="0"/>
              <w:bottom w:val="single" w:color="auto" w:sz="4" w:space="0"/>
              <w:right w:val="single" w:color="auto" w:sz="4" w:space="0"/>
            </w:tcBorders>
            <w:noWrap/>
            <w:vAlign w:val="center"/>
          </w:tcPr>
          <w:p w14:paraId="2883AA31">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484DDAA4">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1985" w:type="dxa"/>
            <w:tcBorders>
              <w:top w:val="single" w:color="auto" w:sz="4" w:space="0"/>
              <w:left w:val="single" w:color="auto" w:sz="4" w:space="0"/>
              <w:bottom w:val="single" w:color="auto" w:sz="4" w:space="0"/>
              <w:right w:val="single" w:color="auto" w:sz="4" w:space="0"/>
            </w:tcBorders>
            <w:noWrap/>
            <w:vAlign w:val="center"/>
          </w:tcPr>
          <w:p w14:paraId="0CCAEE41">
            <w:pPr>
              <w:snapToGrid w:val="0"/>
              <w:spacing w:line="36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1598" w:type="dxa"/>
            <w:tcBorders>
              <w:top w:val="single" w:color="auto" w:sz="4" w:space="0"/>
              <w:left w:val="single" w:color="auto" w:sz="4" w:space="0"/>
              <w:bottom w:val="single" w:color="auto" w:sz="4" w:space="0"/>
              <w:right w:val="single" w:color="auto" w:sz="4" w:space="0"/>
            </w:tcBorders>
            <w:noWrap/>
            <w:vAlign w:val="center"/>
          </w:tcPr>
          <w:p w14:paraId="0A6664D7">
            <w:pPr>
              <w:widowControl/>
              <w:spacing w:line="36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r>
      <w:tr w14:paraId="039E6B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750" w:type="dxa"/>
            <w:tcBorders>
              <w:top w:val="single" w:color="auto" w:sz="4" w:space="0"/>
              <w:left w:val="single" w:color="auto" w:sz="4" w:space="0"/>
              <w:bottom w:val="single" w:color="auto" w:sz="4" w:space="0"/>
              <w:right w:val="single" w:color="auto" w:sz="4" w:space="0"/>
            </w:tcBorders>
            <w:noWrap/>
            <w:vAlign w:val="center"/>
          </w:tcPr>
          <w:p w14:paraId="1DC966E7">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w:t>
            </w:r>
          </w:p>
        </w:tc>
        <w:tc>
          <w:tcPr>
            <w:tcW w:w="2127" w:type="dxa"/>
            <w:tcBorders>
              <w:top w:val="single" w:color="auto" w:sz="4" w:space="0"/>
              <w:left w:val="single" w:color="auto" w:sz="4" w:space="0"/>
              <w:bottom w:val="single" w:color="auto" w:sz="4" w:space="0"/>
              <w:right w:val="single" w:color="auto" w:sz="4" w:space="0"/>
            </w:tcBorders>
            <w:noWrap/>
            <w:vAlign w:val="center"/>
          </w:tcPr>
          <w:p w14:paraId="088CED67">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1723" w:type="dxa"/>
            <w:tcBorders>
              <w:top w:val="single" w:color="auto" w:sz="4" w:space="0"/>
              <w:left w:val="single" w:color="auto" w:sz="4" w:space="0"/>
              <w:bottom w:val="single" w:color="auto" w:sz="4" w:space="0"/>
              <w:right w:val="single" w:color="auto" w:sz="4" w:space="0"/>
            </w:tcBorders>
            <w:noWrap/>
            <w:vAlign w:val="center"/>
          </w:tcPr>
          <w:p w14:paraId="43FB5E98">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2062" w:type="dxa"/>
            <w:tcBorders>
              <w:top w:val="single" w:color="auto" w:sz="4" w:space="0"/>
              <w:left w:val="single" w:color="auto" w:sz="4" w:space="0"/>
              <w:bottom w:val="single" w:color="auto" w:sz="4" w:space="0"/>
              <w:right w:val="single" w:color="auto" w:sz="4" w:space="0"/>
            </w:tcBorders>
            <w:noWrap/>
            <w:vAlign w:val="center"/>
          </w:tcPr>
          <w:p w14:paraId="6427E4A5">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1693" w:type="dxa"/>
            <w:tcBorders>
              <w:top w:val="single" w:color="auto" w:sz="4" w:space="0"/>
              <w:left w:val="single" w:color="auto" w:sz="4" w:space="0"/>
              <w:bottom w:val="single" w:color="auto" w:sz="4" w:space="0"/>
              <w:right w:val="single" w:color="auto" w:sz="4" w:space="0"/>
            </w:tcBorders>
            <w:noWrap/>
            <w:vAlign w:val="center"/>
          </w:tcPr>
          <w:p w14:paraId="61450F8E">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014A0DDF">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c>
          <w:tcPr>
            <w:tcW w:w="1985" w:type="dxa"/>
            <w:tcBorders>
              <w:top w:val="single" w:color="auto" w:sz="4" w:space="0"/>
              <w:left w:val="single" w:color="auto" w:sz="4" w:space="0"/>
              <w:bottom w:val="single" w:color="auto" w:sz="4" w:space="0"/>
              <w:right w:val="single" w:color="auto" w:sz="4" w:space="0"/>
            </w:tcBorders>
            <w:noWrap/>
            <w:vAlign w:val="center"/>
          </w:tcPr>
          <w:p w14:paraId="02E19143">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c>
          <w:tcPr>
            <w:tcW w:w="1598" w:type="dxa"/>
            <w:tcBorders>
              <w:top w:val="single" w:color="auto" w:sz="4" w:space="0"/>
              <w:left w:val="single" w:color="auto" w:sz="4" w:space="0"/>
              <w:bottom w:val="single" w:color="auto" w:sz="4" w:space="0"/>
              <w:right w:val="single" w:color="auto" w:sz="4" w:space="0"/>
            </w:tcBorders>
            <w:noWrap/>
            <w:vAlign w:val="center"/>
          </w:tcPr>
          <w:p w14:paraId="0835C230">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14:paraId="6F5B5B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750" w:type="dxa"/>
            <w:tcBorders>
              <w:top w:val="single" w:color="auto" w:sz="4" w:space="0"/>
              <w:left w:val="single" w:color="auto" w:sz="4" w:space="0"/>
              <w:bottom w:val="single" w:color="auto" w:sz="4" w:space="0"/>
              <w:right w:val="single" w:color="auto" w:sz="4" w:space="0"/>
            </w:tcBorders>
            <w:noWrap/>
            <w:vAlign w:val="center"/>
          </w:tcPr>
          <w:p w14:paraId="3AD3FACD">
            <w:pPr>
              <w:snapToGrid w:val="0"/>
              <w:spacing w:line="240" w:lineRule="exact"/>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w:t>
            </w:r>
          </w:p>
        </w:tc>
        <w:tc>
          <w:tcPr>
            <w:tcW w:w="2127" w:type="dxa"/>
            <w:tcBorders>
              <w:top w:val="single" w:color="auto" w:sz="4" w:space="0"/>
              <w:left w:val="single" w:color="auto" w:sz="4" w:space="0"/>
              <w:bottom w:val="single" w:color="auto" w:sz="4" w:space="0"/>
              <w:right w:val="single" w:color="auto" w:sz="4" w:space="0"/>
            </w:tcBorders>
            <w:noWrap/>
            <w:vAlign w:val="center"/>
          </w:tcPr>
          <w:p w14:paraId="6D139066">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1723" w:type="dxa"/>
            <w:tcBorders>
              <w:top w:val="single" w:color="auto" w:sz="4" w:space="0"/>
              <w:left w:val="single" w:color="auto" w:sz="4" w:space="0"/>
              <w:bottom w:val="single" w:color="auto" w:sz="4" w:space="0"/>
              <w:right w:val="single" w:color="auto" w:sz="4" w:space="0"/>
            </w:tcBorders>
            <w:noWrap/>
            <w:vAlign w:val="center"/>
          </w:tcPr>
          <w:p w14:paraId="0E6093E4">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2062" w:type="dxa"/>
            <w:tcBorders>
              <w:top w:val="single" w:color="auto" w:sz="4" w:space="0"/>
              <w:left w:val="single" w:color="auto" w:sz="4" w:space="0"/>
              <w:bottom w:val="single" w:color="auto" w:sz="4" w:space="0"/>
              <w:right w:val="single" w:color="auto" w:sz="4" w:space="0"/>
            </w:tcBorders>
            <w:noWrap/>
            <w:vAlign w:val="center"/>
          </w:tcPr>
          <w:p w14:paraId="0FE72169">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1693" w:type="dxa"/>
            <w:tcBorders>
              <w:top w:val="single" w:color="auto" w:sz="4" w:space="0"/>
              <w:left w:val="single" w:color="auto" w:sz="4" w:space="0"/>
              <w:bottom w:val="single" w:color="auto" w:sz="4" w:space="0"/>
              <w:right w:val="single" w:color="auto" w:sz="4" w:space="0"/>
            </w:tcBorders>
            <w:noWrap/>
            <w:vAlign w:val="center"/>
          </w:tcPr>
          <w:p w14:paraId="28F30580">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1C9D91CB">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c>
          <w:tcPr>
            <w:tcW w:w="1985" w:type="dxa"/>
            <w:tcBorders>
              <w:top w:val="single" w:color="auto" w:sz="4" w:space="0"/>
              <w:left w:val="single" w:color="auto" w:sz="4" w:space="0"/>
              <w:bottom w:val="single" w:color="auto" w:sz="4" w:space="0"/>
              <w:right w:val="single" w:color="auto" w:sz="4" w:space="0"/>
            </w:tcBorders>
            <w:noWrap/>
            <w:vAlign w:val="center"/>
          </w:tcPr>
          <w:p w14:paraId="64DCBBC3">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c>
          <w:tcPr>
            <w:tcW w:w="1598" w:type="dxa"/>
            <w:tcBorders>
              <w:top w:val="single" w:color="auto" w:sz="4" w:space="0"/>
              <w:left w:val="single" w:color="auto" w:sz="4" w:space="0"/>
              <w:bottom w:val="single" w:color="auto" w:sz="4" w:space="0"/>
              <w:right w:val="single" w:color="auto" w:sz="4" w:space="0"/>
            </w:tcBorders>
            <w:noWrap/>
            <w:vAlign w:val="center"/>
          </w:tcPr>
          <w:p w14:paraId="1DF09F36">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14:paraId="19A5BD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750" w:type="dxa"/>
            <w:tcBorders>
              <w:top w:val="single" w:color="auto" w:sz="4" w:space="0"/>
              <w:left w:val="single" w:color="auto" w:sz="4" w:space="0"/>
              <w:bottom w:val="single" w:color="auto" w:sz="4" w:space="0"/>
              <w:right w:val="single" w:color="auto" w:sz="4" w:space="0"/>
            </w:tcBorders>
            <w:noWrap/>
            <w:vAlign w:val="center"/>
          </w:tcPr>
          <w:p w14:paraId="31C9ACE9">
            <w:pPr>
              <w:snapToGrid w:val="0"/>
              <w:spacing w:line="240" w:lineRule="exact"/>
              <w:jc w:val="center"/>
              <w:rPr>
                <w:rFonts w:asciiTheme="majorEastAsia" w:hAnsiTheme="majorEastAsia" w:eastAsiaTheme="majorEastAsia" w:cstheme="majorEastAsia"/>
                <w:color w:val="000000" w:themeColor="text1"/>
                <w:sz w:val="21"/>
                <w:szCs w:val="21"/>
                <w:highlight w:val="none"/>
                <w14:textFill>
                  <w14:solidFill>
                    <w14:schemeClr w14:val="tx1"/>
                  </w14:solidFill>
                </w14:textFill>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5215C634">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t>……</w:t>
            </w:r>
          </w:p>
        </w:tc>
        <w:tc>
          <w:tcPr>
            <w:tcW w:w="1723" w:type="dxa"/>
            <w:tcBorders>
              <w:top w:val="single" w:color="auto" w:sz="4" w:space="0"/>
              <w:left w:val="single" w:color="auto" w:sz="4" w:space="0"/>
              <w:bottom w:val="single" w:color="auto" w:sz="4" w:space="0"/>
              <w:right w:val="single" w:color="auto" w:sz="4" w:space="0"/>
            </w:tcBorders>
            <w:noWrap/>
            <w:vAlign w:val="center"/>
          </w:tcPr>
          <w:p w14:paraId="71D2FCEB">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2062" w:type="dxa"/>
            <w:tcBorders>
              <w:top w:val="single" w:color="auto" w:sz="4" w:space="0"/>
              <w:left w:val="single" w:color="auto" w:sz="4" w:space="0"/>
              <w:bottom w:val="single" w:color="auto" w:sz="4" w:space="0"/>
              <w:right w:val="single" w:color="auto" w:sz="4" w:space="0"/>
            </w:tcBorders>
            <w:noWrap/>
            <w:vAlign w:val="center"/>
          </w:tcPr>
          <w:p w14:paraId="4ABDDA21">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p>
        </w:tc>
        <w:tc>
          <w:tcPr>
            <w:tcW w:w="1693" w:type="dxa"/>
            <w:tcBorders>
              <w:top w:val="single" w:color="auto" w:sz="4" w:space="0"/>
              <w:left w:val="single" w:color="auto" w:sz="4" w:space="0"/>
              <w:bottom w:val="single" w:color="auto" w:sz="4" w:space="0"/>
              <w:right w:val="single" w:color="auto" w:sz="4" w:space="0"/>
            </w:tcBorders>
            <w:noWrap/>
            <w:vAlign w:val="center"/>
          </w:tcPr>
          <w:p w14:paraId="07D73C4F">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323D565A">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c>
          <w:tcPr>
            <w:tcW w:w="1985" w:type="dxa"/>
            <w:tcBorders>
              <w:top w:val="single" w:color="auto" w:sz="4" w:space="0"/>
              <w:left w:val="single" w:color="auto" w:sz="4" w:space="0"/>
              <w:bottom w:val="single" w:color="auto" w:sz="4" w:space="0"/>
              <w:right w:val="single" w:color="auto" w:sz="4" w:space="0"/>
            </w:tcBorders>
            <w:noWrap/>
            <w:vAlign w:val="center"/>
          </w:tcPr>
          <w:p w14:paraId="0157948C">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c>
          <w:tcPr>
            <w:tcW w:w="1598" w:type="dxa"/>
            <w:tcBorders>
              <w:top w:val="single" w:color="auto" w:sz="4" w:space="0"/>
              <w:left w:val="single" w:color="auto" w:sz="4" w:space="0"/>
              <w:bottom w:val="single" w:color="auto" w:sz="4" w:space="0"/>
              <w:right w:val="single" w:color="auto" w:sz="4" w:space="0"/>
            </w:tcBorders>
            <w:noWrap/>
            <w:vAlign w:val="center"/>
          </w:tcPr>
          <w:p w14:paraId="490C0799">
            <w:pPr>
              <w:snapToGrid w:val="0"/>
              <w:spacing w:line="240" w:lineRule="exact"/>
              <w:jc w:val="center"/>
              <w:rPr>
                <w:rFonts w:asciiTheme="majorEastAsia" w:hAnsiTheme="majorEastAsia" w:eastAsiaTheme="majorEastAsia" w:cstheme="majorEastAsia"/>
                <w:color w:val="000000" w:themeColor="text1"/>
                <w:highlight w:val="none"/>
                <w14:textFill>
                  <w14:solidFill>
                    <w14:schemeClr w14:val="tx1"/>
                  </w14:solidFill>
                </w14:textFill>
              </w:rPr>
            </w:pPr>
          </w:p>
        </w:tc>
      </w:tr>
      <w:tr w14:paraId="0A4AD2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750" w:type="dxa"/>
            <w:tcBorders>
              <w:top w:val="single" w:color="auto" w:sz="4" w:space="0"/>
              <w:left w:val="single" w:color="auto" w:sz="4" w:space="0"/>
              <w:bottom w:val="single" w:color="auto" w:sz="4" w:space="0"/>
              <w:right w:val="single" w:color="auto" w:sz="4" w:space="0"/>
            </w:tcBorders>
            <w:noWrap/>
            <w:vAlign w:val="center"/>
          </w:tcPr>
          <w:p w14:paraId="6FACFC4C">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4F4D5769">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r>
              <w:rPr>
                <w:rFonts w:asciiTheme="majorEastAsia" w:hAnsiTheme="majorEastAsia" w:eastAsiaTheme="majorEastAsia" w:cstheme="majorEastAsia"/>
                <w:color w:val="000000" w:themeColor="text1"/>
                <w:szCs w:val="20"/>
                <w:highlight w:val="none"/>
                <w14:textFill>
                  <w14:solidFill>
                    <w14:schemeClr w14:val="tx1"/>
                  </w14:solidFill>
                </w14:textFill>
              </w:rPr>
              <w:t>造价咨询</w:t>
            </w:r>
          </w:p>
        </w:tc>
        <w:tc>
          <w:tcPr>
            <w:tcW w:w="1723" w:type="dxa"/>
            <w:tcBorders>
              <w:top w:val="single" w:color="auto" w:sz="4" w:space="0"/>
              <w:left w:val="single" w:color="auto" w:sz="4" w:space="0"/>
              <w:bottom w:val="single" w:color="auto" w:sz="4" w:space="0"/>
              <w:right w:val="single" w:color="auto" w:sz="4" w:space="0"/>
            </w:tcBorders>
            <w:noWrap/>
            <w:vAlign w:val="center"/>
          </w:tcPr>
          <w:p w14:paraId="1FD64846">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2062" w:type="dxa"/>
            <w:tcBorders>
              <w:top w:val="single" w:color="auto" w:sz="4" w:space="0"/>
              <w:left w:val="single" w:color="auto" w:sz="4" w:space="0"/>
              <w:bottom w:val="single" w:color="auto" w:sz="4" w:space="0"/>
              <w:right w:val="single" w:color="auto" w:sz="4" w:space="0"/>
            </w:tcBorders>
            <w:noWrap/>
            <w:vAlign w:val="center"/>
          </w:tcPr>
          <w:p w14:paraId="29B0ECED">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693" w:type="dxa"/>
            <w:tcBorders>
              <w:top w:val="single" w:color="auto" w:sz="4" w:space="0"/>
              <w:left w:val="single" w:color="auto" w:sz="4" w:space="0"/>
              <w:bottom w:val="single" w:color="auto" w:sz="4" w:space="0"/>
              <w:right w:val="single" w:color="auto" w:sz="4" w:space="0"/>
            </w:tcBorders>
            <w:noWrap/>
            <w:vAlign w:val="center"/>
          </w:tcPr>
          <w:p w14:paraId="5C708E66">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51140FC4">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985" w:type="dxa"/>
            <w:tcBorders>
              <w:top w:val="single" w:color="auto" w:sz="4" w:space="0"/>
              <w:left w:val="single" w:color="auto" w:sz="4" w:space="0"/>
              <w:bottom w:val="single" w:color="auto" w:sz="4" w:space="0"/>
              <w:right w:val="single" w:color="auto" w:sz="4" w:space="0"/>
            </w:tcBorders>
            <w:noWrap/>
            <w:vAlign w:val="center"/>
          </w:tcPr>
          <w:p w14:paraId="50802AAC">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598" w:type="dxa"/>
            <w:tcBorders>
              <w:top w:val="single" w:color="auto" w:sz="4" w:space="0"/>
              <w:left w:val="single" w:color="auto" w:sz="4" w:space="0"/>
              <w:bottom w:val="single" w:color="auto" w:sz="4" w:space="0"/>
              <w:right w:val="single" w:color="auto" w:sz="4" w:space="0"/>
            </w:tcBorders>
            <w:noWrap/>
            <w:vAlign w:val="center"/>
          </w:tcPr>
          <w:p w14:paraId="11D39A51">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r>
      <w:tr w14:paraId="69B03F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750" w:type="dxa"/>
            <w:tcBorders>
              <w:top w:val="single" w:color="auto" w:sz="4" w:space="0"/>
              <w:left w:val="single" w:color="auto" w:sz="4" w:space="0"/>
              <w:bottom w:val="single" w:color="auto" w:sz="4" w:space="0"/>
              <w:right w:val="single" w:color="auto" w:sz="4" w:space="0"/>
            </w:tcBorders>
            <w:noWrap/>
            <w:vAlign w:val="center"/>
          </w:tcPr>
          <w:p w14:paraId="1F469D80">
            <w:pPr>
              <w:snapToGrid w:val="0"/>
              <w:spacing w:line="240" w:lineRule="exact"/>
              <w:jc w:val="center"/>
              <w:rPr>
                <w:rFonts w:asciiTheme="majorEastAsia" w:hAnsiTheme="majorEastAsia" w:eastAsiaTheme="majorEastAsia" w:cstheme="majorEastAsia"/>
                <w:b/>
                <w:bCs/>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w:t>
            </w:r>
          </w:p>
        </w:tc>
        <w:tc>
          <w:tcPr>
            <w:tcW w:w="2127" w:type="dxa"/>
            <w:tcBorders>
              <w:top w:val="single" w:color="auto" w:sz="4" w:space="0"/>
              <w:left w:val="single" w:color="auto" w:sz="4" w:space="0"/>
              <w:bottom w:val="single" w:color="auto" w:sz="4" w:space="0"/>
              <w:right w:val="single" w:color="auto" w:sz="4" w:space="0"/>
            </w:tcBorders>
            <w:noWrap/>
            <w:vAlign w:val="center"/>
          </w:tcPr>
          <w:p w14:paraId="1FD401FB">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723" w:type="dxa"/>
            <w:tcBorders>
              <w:top w:val="single" w:color="auto" w:sz="4" w:space="0"/>
              <w:left w:val="single" w:color="auto" w:sz="4" w:space="0"/>
              <w:bottom w:val="single" w:color="auto" w:sz="4" w:space="0"/>
              <w:right w:val="single" w:color="auto" w:sz="4" w:space="0"/>
            </w:tcBorders>
            <w:noWrap/>
            <w:vAlign w:val="center"/>
          </w:tcPr>
          <w:p w14:paraId="24D20EB2">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2062" w:type="dxa"/>
            <w:tcBorders>
              <w:top w:val="single" w:color="auto" w:sz="4" w:space="0"/>
              <w:left w:val="single" w:color="auto" w:sz="4" w:space="0"/>
              <w:bottom w:val="single" w:color="auto" w:sz="4" w:space="0"/>
              <w:right w:val="single" w:color="auto" w:sz="4" w:space="0"/>
            </w:tcBorders>
            <w:noWrap/>
            <w:vAlign w:val="center"/>
          </w:tcPr>
          <w:p w14:paraId="7015B1E9">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693" w:type="dxa"/>
            <w:tcBorders>
              <w:top w:val="single" w:color="auto" w:sz="4" w:space="0"/>
              <w:left w:val="single" w:color="auto" w:sz="4" w:space="0"/>
              <w:bottom w:val="single" w:color="auto" w:sz="4" w:space="0"/>
              <w:right w:val="single" w:color="auto" w:sz="4" w:space="0"/>
            </w:tcBorders>
            <w:noWrap/>
            <w:vAlign w:val="center"/>
          </w:tcPr>
          <w:p w14:paraId="4FBE71A4">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622EB620">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985" w:type="dxa"/>
            <w:tcBorders>
              <w:top w:val="single" w:color="auto" w:sz="4" w:space="0"/>
              <w:left w:val="single" w:color="auto" w:sz="4" w:space="0"/>
              <w:bottom w:val="single" w:color="auto" w:sz="4" w:space="0"/>
              <w:right w:val="single" w:color="auto" w:sz="4" w:space="0"/>
            </w:tcBorders>
            <w:noWrap/>
            <w:vAlign w:val="center"/>
          </w:tcPr>
          <w:p w14:paraId="3BC43C0D">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598" w:type="dxa"/>
            <w:tcBorders>
              <w:top w:val="single" w:color="auto" w:sz="4" w:space="0"/>
              <w:left w:val="single" w:color="auto" w:sz="4" w:space="0"/>
              <w:bottom w:val="single" w:color="auto" w:sz="4" w:space="0"/>
              <w:right w:val="single" w:color="auto" w:sz="4" w:space="0"/>
            </w:tcBorders>
            <w:noWrap/>
            <w:vAlign w:val="center"/>
          </w:tcPr>
          <w:p w14:paraId="0A0A0C8F">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r>
      <w:tr w14:paraId="0847CA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750" w:type="dxa"/>
            <w:tcBorders>
              <w:top w:val="single" w:color="auto" w:sz="4" w:space="0"/>
              <w:left w:val="single" w:color="auto" w:sz="4" w:space="0"/>
              <w:bottom w:val="single" w:color="auto" w:sz="4" w:space="0"/>
              <w:right w:val="single" w:color="auto" w:sz="4" w:space="0"/>
            </w:tcBorders>
            <w:noWrap/>
            <w:vAlign w:val="center"/>
          </w:tcPr>
          <w:p w14:paraId="78C916E3">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r>
              <w:rPr>
                <w:rFonts w:hint="eastAsia" w:asciiTheme="majorEastAsia" w:hAnsiTheme="majorEastAsia" w:eastAsiaTheme="majorEastAsia" w:cstheme="majorEastAsia"/>
                <w:color w:val="000000" w:themeColor="text1"/>
                <w:szCs w:val="20"/>
                <w:highlight w:val="none"/>
                <w14:textFill>
                  <w14:solidFill>
                    <w14:schemeClr w14:val="tx1"/>
                  </w14:solidFill>
                </w14:textFill>
              </w:rPr>
              <w:t>2</w:t>
            </w:r>
          </w:p>
        </w:tc>
        <w:tc>
          <w:tcPr>
            <w:tcW w:w="2127" w:type="dxa"/>
            <w:tcBorders>
              <w:top w:val="single" w:color="auto" w:sz="4" w:space="0"/>
              <w:left w:val="single" w:color="auto" w:sz="4" w:space="0"/>
              <w:bottom w:val="single" w:color="auto" w:sz="4" w:space="0"/>
              <w:right w:val="single" w:color="auto" w:sz="4" w:space="0"/>
            </w:tcBorders>
            <w:noWrap/>
            <w:vAlign w:val="center"/>
          </w:tcPr>
          <w:p w14:paraId="0979CD8D">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723" w:type="dxa"/>
            <w:tcBorders>
              <w:top w:val="single" w:color="auto" w:sz="4" w:space="0"/>
              <w:left w:val="single" w:color="auto" w:sz="4" w:space="0"/>
              <w:bottom w:val="single" w:color="auto" w:sz="4" w:space="0"/>
              <w:right w:val="single" w:color="auto" w:sz="4" w:space="0"/>
            </w:tcBorders>
            <w:noWrap/>
            <w:vAlign w:val="center"/>
          </w:tcPr>
          <w:p w14:paraId="6E95DA67">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2062" w:type="dxa"/>
            <w:tcBorders>
              <w:top w:val="single" w:color="auto" w:sz="4" w:space="0"/>
              <w:left w:val="single" w:color="auto" w:sz="4" w:space="0"/>
              <w:bottom w:val="single" w:color="auto" w:sz="4" w:space="0"/>
              <w:right w:val="single" w:color="auto" w:sz="4" w:space="0"/>
            </w:tcBorders>
            <w:noWrap/>
            <w:vAlign w:val="center"/>
          </w:tcPr>
          <w:p w14:paraId="52FB1C98">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693" w:type="dxa"/>
            <w:tcBorders>
              <w:top w:val="single" w:color="auto" w:sz="4" w:space="0"/>
              <w:left w:val="single" w:color="auto" w:sz="4" w:space="0"/>
              <w:bottom w:val="single" w:color="auto" w:sz="4" w:space="0"/>
              <w:right w:val="single" w:color="auto" w:sz="4" w:space="0"/>
            </w:tcBorders>
            <w:noWrap/>
            <w:vAlign w:val="center"/>
          </w:tcPr>
          <w:p w14:paraId="425D78EF">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64F53198">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985" w:type="dxa"/>
            <w:tcBorders>
              <w:top w:val="single" w:color="auto" w:sz="4" w:space="0"/>
              <w:left w:val="single" w:color="auto" w:sz="4" w:space="0"/>
              <w:bottom w:val="single" w:color="auto" w:sz="4" w:space="0"/>
              <w:right w:val="single" w:color="auto" w:sz="4" w:space="0"/>
            </w:tcBorders>
            <w:noWrap/>
            <w:vAlign w:val="center"/>
          </w:tcPr>
          <w:p w14:paraId="15AAB000">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598" w:type="dxa"/>
            <w:tcBorders>
              <w:top w:val="single" w:color="auto" w:sz="4" w:space="0"/>
              <w:left w:val="single" w:color="auto" w:sz="4" w:space="0"/>
              <w:bottom w:val="single" w:color="auto" w:sz="4" w:space="0"/>
              <w:right w:val="single" w:color="auto" w:sz="4" w:space="0"/>
            </w:tcBorders>
            <w:noWrap/>
            <w:vAlign w:val="center"/>
          </w:tcPr>
          <w:p w14:paraId="60565F43">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r>
      <w:tr w14:paraId="27D9DC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750" w:type="dxa"/>
            <w:tcBorders>
              <w:top w:val="single" w:color="auto" w:sz="4" w:space="0"/>
              <w:left w:val="single" w:color="auto" w:sz="4" w:space="0"/>
              <w:bottom w:val="single" w:color="auto" w:sz="4" w:space="0"/>
              <w:right w:val="single" w:color="auto" w:sz="4" w:space="0"/>
            </w:tcBorders>
            <w:noWrap/>
            <w:vAlign w:val="center"/>
          </w:tcPr>
          <w:p w14:paraId="4D97D346">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2127" w:type="dxa"/>
            <w:tcBorders>
              <w:top w:val="single" w:color="auto" w:sz="4" w:space="0"/>
              <w:left w:val="single" w:color="auto" w:sz="4" w:space="0"/>
              <w:bottom w:val="single" w:color="auto" w:sz="4" w:space="0"/>
              <w:right w:val="single" w:color="auto" w:sz="4" w:space="0"/>
            </w:tcBorders>
            <w:noWrap/>
            <w:vAlign w:val="center"/>
          </w:tcPr>
          <w:p w14:paraId="26291340">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r>
              <w:rPr>
                <w:rFonts w:asciiTheme="majorEastAsia" w:hAnsiTheme="majorEastAsia" w:eastAsiaTheme="majorEastAsia" w:cstheme="majorEastAsia"/>
                <w:color w:val="000000" w:themeColor="text1"/>
                <w:szCs w:val="20"/>
                <w:highlight w:val="none"/>
                <w14:textFill>
                  <w14:solidFill>
                    <w14:schemeClr w14:val="tx1"/>
                  </w14:solidFill>
                </w14:textFill>
              </w:rPr>
              <w:t>……</w:t>
            </w:r>
          </w:p>
        </w:tc>
        <w:tc>
          <w:tcPr>
            <w:tcW w:w="1723" w:type="dxa"/>
            <w:tcBorders>
              <w:top w:val="single" w:color="auto" w:sz="4" w:space="0"/>
              <w:left w:val="single" w:color="auto" w:sz="4" w:space="0"/>
              <w:bottom w:val="single" w:color="auto" w:sz="4" w:space="0"/>
              <w:right w:val="single" w:color="auto" w:sz="4" w:space="0"/>
            </w:tcBorders>
            <w:noWrap/>
            <w:vAlign w:val="center"/>
          </w:tcPr>
          <w:p w14:paraId="694D1017">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2062" w:type="dxa"/>
            <w:tcBorders>
              <w:top w:val="single" w:color="auto" w:sz="4" w:space="0"/>
              <w:left w:val="single" w:color="auto" w:sz="4" w:space="0"/>
              <w:bottom w:val="single" w:color="auto" w:sz="4" w:space="0"/>
              <w:right w:val="single" w:color="auto" w:sz="4" w:space="0"/>
            </w:tcBorders>
            <w:noWrap/>
            <w:vAlign w:val="center"/>
          </w:tcPr>
          <w:p w14:paraId="26C9B65D">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693" w:type="dxa"/>
            <w:tcBorders>
              <w:top w:val="single" w:color="auto" w:sz="4" w:space="0"/>
              <w:left w:val="single" w:color="auto" w:sz="4" w:space="0"/>
              <w:bottom w:val="single" w:color="auto" w:sz="4" w:space="0"/>
              <w:right w:val="single" w:color="auto" w:sz="4" w:space="0"/>
            </w:tcBorders>
            <w:noWrap/>
            <w:vAlign w:val="center"/>
          </w:tcPr>
          <w:p w14:paraId="764DD53F">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312EAFB6">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985" w:type="dxa"/>
            <w:tcBorders>
              <w:top w:val="single" w:color="auto" w:sz="4" w:space="0"/>
              <w:left w:val="single" w:color="auto" w:sz="4" w:space="0"/>
              <w:bottom w:val="single" w:color="auto" w:sz="4" w:space="0"/>
              <w:right w:val="single" w:color="auto" w:sz="4" w:space="0"/>
            </w:tcBorders>
            <w:noWrap/>
            <w:vAlign w:val="center"/>
          </w:tcPr>
          <w:p w14:paraId="34ECF8D1">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c>
          <w:tcPr>
            <w:tcW w:w="1598" w:type="dxa"/>
            <w:tcBorders>
              <w:top w:val="single" w:color="auto" w:sz="4" w:space="0"/>
              <w:left w:val="single" w:color="auto" w:sz="4" w:space="0"/>
              <w:bottom w:val="single" w:color="auto" w:sz="4" w:space="0"/>
              <w:right w:val="single" w:color="auto" w:sz="4" w:space="0"/>
            </w:tcBorders>
            <w:noWrap/>
            <w:vAlign w:val="center"/>
          </w:tcPr>
          <w:p w14:paraId="7B9FB819">
            <w:pPr>
              <w:snapToGrid w:val="0"/>
              <w:spacing w:before="50" w:after="120" w:afterLines="50" w:line="400" w:lineRule="exact"/>
              <w:jc w:val="center"/>
              <w:rPr>
                <w:rFonts w:asciiTheme="majorEastAsia" w:hAnsiTheme="majorEastAsia" w:eastAsiaTheme="majorEastAsia" w:cstheme="majorEastAsia"/>
                <w:color w:val="000000" w:themeColor="text1"/>
                <w:szCs w:val="20"/>
                <w:highlight w:val="none"/>
                <w14:textFill>
                  <w14:solidFill>
                    <w14:schemeClr w14:val="tx1"/>
                  </w14:solidFill>
                </w14:textFill>
              </w:rPr>
            </w:pPr>
          </w:p>
        </w:tc>
      </w:tr>
    </w:tbl>
    <w:p w14:paraId="5AD7E4CF">
      <w:pPr>
        <w:spacing w:line="400" w:lineRule="exact"/>
        <w:ind w:firstLine="420" w:firstLineChars="20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说明：</w:t>
      </w:r>
    </w:p>
    <w:p w14:paraId="270D9F33">
      <w:pPr>
        <w:spacing w:line="400" w:lineRule="exact"/>
        <w:ind w:firstLine="420" w:firstLineChars="20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1.响应文件中须提供清晰可辨的委托合同、中标通知书（招标代理）、咨询成果文件（造价咨询）等。</w:t>
      </w:r>
    </w:p>
    <w:p w14:paraId="09928F60">
      <w:pPr>
        <w:spacing w:line="400" w:lineRule="exact"/>
        <w:ind w:firstLine="420" w:firstLineChars="200"/>
        <w:rPr>
          <w:rFonts w:asciiTheme="majorEastAsia" w:hAnsiTheme="majorEastAsia" w:eastAsiaTheme="majorEastAsia" w:cstheme="majorEastAsia"/>
          <w:color w:val="000000" w:themeColor="text1"/>
          <w:sz w:val="21"/>
          <w:szCs w:val="21"/>
          <w:highlight w:val="none"/>
          <w14:textFill>
            <w14:solidFill>
              <w14:schemeClr w14:val="tx1"/>
            </w14:solidFill>
          </w14:textFill>
        </w:rPr>
      </w:pP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2.如供应商提供的合同扫描件因模糊不清而造成评标委员会在评审时做出对供应商不利的评审由供应商自行承担。</w:t>
      </w:r>
    </w:p>
    <w:p w14:paraId="4FCE9E30">
      <w:pPr>
        <w:snapToGrid w:val="0"/>
        <w:spacing w:line="360" w:lineRule="auto"/>
        <w:ind w:left="720" w:leftChars="100" w:hanging="480" w:hangingChars="200"/>
        <w:jc w:val="right"/>
        <w:rPr>
          <w:rFonts w:hint="eastAsia" w:asciiTheme="majorEastAsia" w:hAnsiTheme="majorEastAsia" w:eastAsiaTheme="majorEastAsia" w:cstheme="majorEastAsia"/>
          <w:color w:val="000000" w:themeColor="text1"/>
          <w:highlight w:val="none"/>
          <w14:textFill>
            <w14:solidFill>
              <w14:schemeClr w14:val="tx1"/>
            </w14:solidFill>
          </w14:textFill>
        </w:rPr>
      </w:pPr>
    </w:p>
    <w:p w14:paraId="049C9530">
      <w:pPr>
        <w:snapToGrid w:val="0"/>
        <w:spacing w:line="360" w:lineRule="auto"/>
        <w:ind w:left="720" w:leftChars="100" w:hanging="480" w:hangingChars="200"/>
        <w:jc w:val="righ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法定代表人或其授权代表（签名）：</w:t>
      </w:r>
    </w:p>
    <w:p w14:paraId="4760CF18">
      <w:pPr>
        <w:snapToGrid w:val="0"/>
        <w:spacing w:line="360" w:lineRule="auto"/>
        <w:ind w:left="720" w:leftChars="100" w:hanging="480" w:hangingChars="200"/>
        <w:jc w:val="right"/>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供应商名称（公章）</w:t>
      </w:r>
      <w:r>
        <w:rPr>
          <w:rFonts w:hint="eastAsia" w:asciiTheme="majorEastAsia" w:hAnsiTheme="majorEastAsia" w:eastAsiaTheme="majorEastAsia" w:cstheme="majorEastAsia"/>
          <w:color w:val="000000" w:themeColor="text1"/>
          <w:highlight w:val="none"/>
          <w14:textFill>
            <w14:solidFill>
              <w14:schemeClr w14:val="tx1"/>
            </w14:solidFill>
          </w14:textFill>
        </w:rPr>
        <w:t>：</w:t>
      </w:r>
    </w:p>
    <w:p w14:paraId="28C50BB0">
      <w:pPr>
        <w:snapToGrid w:val="0"/>
        <w:spacing w:line="360" w:lineRule="auto"/>
        <w:ind w:left="720" w:leftChars="100" w:hanging="480" w:hangingChars="200"/>
        <w:jc w:val="right"/>
        <w:rPr>
          <w:rFonts w:asciiTheme="majorEastAsia" w:hAnsiTheme="majorEastAsia" w:eastAsiaTheme="majorEastAsia" w:cstheme="majorEastAsia"/>
          <w:color w:val="000000" w:themeColor="text1"/>
          <w:sz w:val="21"/>
          <w:szCs w:val="21"/>
          <w:highlight w:val="none"/>
          <w14:textFill>
            <w14:solidFill>
              <w14:schemeClr w14:val="tx1"/>
            </w14:solidFill>
          </w14:textFill>
        </w:rPr>
        <w:sectPr>
          <w:pgSz w:w="16781" w:h="11849" w:orient="landscape"/>
          <w:pgMar w:top="1247" w:right="1531" w:bottom="1134" w:left="1531" w:header="851" w:footer="850" w:gutter="0"/>
          <w:cols w:space="0" w:num="1"/>
          <w:docGrid w:linePitch="312" w:charSpace="0"/>
        </w:sectPr>
      </w:pPr>
      <w:r>
        <w:rPr>
          <w:rFonts w:hint="eastAsia" w:asciiTheme="majorEastAsia" w:hAnsiTheme="majorEastAsia" w:eastAsiaTheme="majorEastAsia" w:cstheme="majorEastAsia"/>
          <w:color w:val="000000" w:themeColor="text1"/>
          <w:highlight w:val="none"/>
          <w14:textFill>
            <w14:solidFill>
              <w14:schemeClr w14:val="tx1"/>
            </w14:solidFill>
          </w14:textFill>
        </w:rPr>
        <w:t>年    月   日</w:t>
      </w:r>
    </w:p>
    <w:p w14:paraId="12C95EA2">
      <w:pPr>
        <w:jc w:val="cente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t>六、评分对应表</w:t>
      </w:r>
    </w:p>
    <w:p w14:paraId="7959553E">
      <w:pPr>
        <w:snapToGrid w:val="0"/>
        <w:spacing w:before="50"/>
        <w:jc w:val="center"/>
        <w:rPr>
          <w:rFonts w:ascii="仿宋" w:hAnsi="仿宋" w:eastAsia="仿宋"/>
          <w:b/>
          <w:color w:val="000000" w:themeColor="text1"/>
          <w:sz w:val="32"/>
          <w:szCs w:val="32"/>
          <w:highlight w:val="none"/>
          <w14:textFill>
            <w14:solidFill>
              <w14:schemeClr w14:val="tx1"/>
            </w14:solidFill>
          </w14:textFill>
        </w:rPr>
      </w:pPr>
    </w:p>
    <w:tbl>
      <w:tblPr>
        <w:tblStyle w:val="25"/>
        <w:tblW w:w="890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956"/>
      </w:tblGrid>
      <w:tr w14:paraId="70BCB5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3888" w:type="dxa"/>
            <w:tcBorders>
              <w:top w:val="single" w:color="auto" w:sz="4" w:space="0"/>
              <w:left w:val="single" w:color="auto" w:sz="4" w:space="0"/>
              <w:bottom w:val="single" w:color="auto" w:sz="4" w:space="0"/>
              <w:right w:val="single" w:color="auto" w:sz="4" w:space="0"/>
            </w:tcBorders>
            <w:noWrap/>
            <w:vAlign w:val="center"/>
          </w:tcPr>
          <w:p w14:paraId="17458A68">
            <w:pPr>
              <w:spacing w:before="240" w:after="240"/>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评分项目</w:t>
            </w:r>
          </w:p>
        </w:tc>
        <w:tc>
          <w:tcPr>
            <w:tcW w:w="3060" w:type="dxa"/>
            <w:tcBorders>
              <w:top w:val="single" w:color="auto" w:sz="4" w:space="0"/>
              <w:left w:val="single" w:color="auto" w:sz="4" w:space="0"/>
              <w:bottom w:val="single" w:color="auto" w:sz="4" w:space="0"/>
              <w:right w:val="single" w:color="auto" w:sz="4" w:space="0"/>
            </w:tcBorders>
            <w:noWrap/>
            <w:vAlign w:val="center"/>
          </w:tcPr>
          <w:p w14:paraId="7F943B0B">
            <w:pPr>
              <w:spacing w:before="240" w:after="240"/>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响应文件对应资料</w:t>
            </w:r>
          </w:p>
        </w:tc>
        <w:tc>
          <w:tcPr>
            <w:tcW w:w="1956" w:type="dxa"/>
            <w:tcBorders>
              <w:top w:val="single" w:color="auto" w:sz="4" w:space="0"/>
              <w:left w:val="single" w:color="auto" w:sz="4" w:space="0"/>
              <w:bottom w:val="single" w:color="auto" w:sz="4" w:space="0"/>
              <w:right w:val="single" w:color="auto" w:sz="4" w:space="0"/>
            </w:tcBorders>
            <w:noWrap/>
            <w:vAlign w:val="center"/>
          </w:tcPr>
          <w:p w14:paraId="2EAC307A">
            <w:pPr>
              <w:spacing w:before="240" w:after="240"/>
              <w:jc w:val="center"/>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响应文件页码</w:t>
            </w:r>
          </w:p>
        </w:tc>
      </w:tr>
      <w:tr w14:paraId="21E2CD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888" w:type="dxa"/>
            <w:tcBorders>
              <w:top w:val="single" w:color="auto" w:sz="4" w:space="0"/>
              <w:left w:val="single" w:color="auto" w:sz="4" w:space="0"/>
              <w:bottom w:val="single" w:color="auto" w:sz="4" w:space="0"/>
              <w:right w:val="single" w:color="auto" w:sz="4" w:space="0"/>
            </w:tcBorders>
            <w:noWrap/>
          </w:tcPr>
          <w:p w14:paraId="77F4A9BF">
            <w:pPr>
              <w:spacing w:before="240" w:after="240"/>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对应第四章评分办法及评分标准（报价除外）</w:t>
            </w:r>
          </w:p>
        </w:tc>
        <w:tc>
          <w:tcPr>
            <w:tcW w:w="3060" w:type="dxa"/>
            <w:tcBorders>
              <w:top w:val="single" w:color="auto" w:sz="4" w:space="0"/>
              <w:left w:val="single" w:color="auto" w:sz="4" w:space="0"/>
              <w:bottom w:val="single" w:color="auto" w:sz="4" w:space="0"/>
              <w:right w:val="single" w:color="auto" w:sz="4" w:space="0"/>
            </w:tcBorders>
            <w:noWrap/>
          </w:tcPr>
          <w:p w14:paraId="3C25565B">
            <w:pPr>
              <w:snapToGrid w:val="0"/>
              <w:spacing w:before="120" w:beforeLines="50"/>
              <w:rPr>
                <w:rFonts w:ascii="仿宋" w:hAnsi="仿宋" w:eastAsia="仿宋"/>
                <w:color w:val="000000" w:themeColor="text1"/>
                <w:sz w:val="30"/>
                <w:szCs w:val="30"/>
                <w:highlight w:val="none"/>
                <w14:textFill>
                  <w14:solidFill>
                    <w14:schemeClr w14:val="tx1"/>
                  </w14:solidFill>
                </w14:textFill>
              </w:rPr>
            </w:pPr>
          </w:p>
        </w:tc>
        <w:tc>
          <w:tcPr>
            <w:tcW w:w="1956" w:type="dxa"/>
            <w:tcBorders>
              <w:top w:val="single" w:color="auto" w:sz="4" w:space="0"/>
              <w:left w:val="single" w:color="auto" w:sz="4" w:space="0"/>
              <w:bottom w:val="single" w:color="auto" w:sz="4" w:space="0"/>
              <w:right w:val="single" w:color="auto" w:sz="4" w:space="0"/>
            </w:tcBorders>
            <w:noWrap/>
          </w:tcPr>
          <w:p w14:paraId="758E65F9">
            <w:pPr>
              <w:snapToGrid w:val="0"/>
              <w:spacing w:before="120" w:beforeLines="50"/>
              <w:rPr>
                <w:rFonts w:ascii="仿宋" w:hAnsi="仿宋" w:eastAsia="仿宋"/>
                <w:b/>
                <w:bCs/>
                <w:color w:val="000000" w:themeColor="text1"/>
                <w:sz w:val="30"/>
                <w:szCs w:val="30"/>
                <w:highlight w:val="none"/>
                <w14:textFill>
                  <w14:solidFill>
                    <w14:schemeClr w14:val="tx1"/>
                  </w14:solidFill>
                </w14:textFill>
              </w:rPr>
            </w:pPr>
          </w:p>
        </w:tc>
      </w:tr>
      <w:tr w14:paraId="621155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888" w:type="dxa"/>
            <w:tcBorders>
              <w:top w:val="single" w:color="auto" w:sz="4" w:space="0"/>
              <w:left w:val="single" w:color="auto" w:sz="4" w:space="0"/>
              <w:bottom w:val="single" w:color="auto" w:sz="4" w:space="0"/>
              <w:right w:val="single" w:color="auto" w:sz="4" w:space="0"/>
            </w:tcBorders>
            <w:noWrap/>
          </w:tcPr>
          <w:p w14:paraId="17C8D1F4">
            <w:pPr>
              <w:spacing w:before="240" w:after="240"/>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p>
        </w:tc>
        <w:tc>
          <w:tcPr>
            <w:tcW w:w="3060" w:type="dxa"/>
            <w:tcBorders>
              <w:top w:val="single" w:color="auto" w:sz="4" w:space="0"/>
              <w:left w:val="single" w:color="auto" w:sz="4" w:space="0"/>
              <w:bottom w:val="single" w:color="auto" w:sz="4" w:space="0"/>
              <w:right w:val="single" w:color="auto" w:sz="4" w:space="0"/>
            </w:tcBorders>
            <w:noWrap/>
          </w:tcPr>
          <w:p w14:paraId="51BBBBFE">
            <w:pPr>
              <w:snapToGrid w:val="0"/>
              <w:spacing w:before="120" w:beforeLines="50"/>
              <w:rPr>
                <w:rFonts w:ascii="仿宋" w:hAnsi="仿宋" w:eastAsia="仿宋"/>
                <w:color w:val="000000" w:themeColor="text1"/>
                <w:sz w:val="30"/>
                <w:szCs w:val="30"/>
                <w:highlight w:val="none"/>
                <w14:textFill>
                  <w14:solidFill>
                    <w14:schemeClr w14:val="tx1"/>
                  </w14:solidFill>
                </w14:textFill>
              </w:rPr>
            </w:pPr>
          </w:p>
        </w:tc>
        <w:tc>
          <w:tcPr>
            <w:tcW w:w="1956" w:type="dxa"/>
            <w:tcBorders>
              <w:top w:val="single" w:color="auto" w:sz="4" w:space="0"/>
              <w:left w:val="single" w:color="auto" w:sz="4" w:space="0"/>
              <w:bottom w:val="single" w:color="auto" w:sz="4" w:space="0"/>
              <w:right w:val="single" w:color="auto" w:sz="4" w:space="0"/>
            </w:tcBorders>
            <w:noWrap/>
          </w:tcPr>
          <w:p w14:paraId="1916A5F9">
            <w:pPr>
              <w:snapToGrid w:val="0"/>
              <w:spacing w:before="120" w:beforeLines="50"/>
              <w:ind w:left="43"/>
              <w:rPr>
                <w:rFonts w:ascii="仿宋" w:hAnsi="仿宋" w:eastAsia="仿宋"/>
                <w:b/>
                <w:bCs/>
                <w:color w:val="000000" w:themeColor="text1"/>
                <w:sz w:val="30"/>
                <w:szCs w:val="30"/>
                <w:highlight w:val="none"/>
                <w14:textFill>
                  <w14:solidFill>
                    <w14:schemeClr w14:val="tx1"/>
                  </w14:solidFill>
                </w14:textFill>
              </w:rPr>
            </w:pPr>
          </w:p>
        </w:tc>
      </w:tr>
      <w:tr w14:paraId="412EA6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888" w:type="dxa"/>
            <w:tcBorders>
              <w:top w:val="single" w:color="auto" w:sz="4" w:space="0"/>
              <w:left w:val="single" w:color="auto" w:sz="4" w:space="0"/>
              <w:bottom w:val="single" w:color="auto" w:sz="4" w:space="0"/>
              <w:right w:val="single" w:color="auto" w:sz="4" w:space="0"/>
            </w:tcBorders>
            <w:noWrap/>
          </w:tcPr>
          <w:p w14:paraId="2CD562F3">
            <w:pPr>
              <w:snapToGrid w:val="0"/>
              <w:rPr>
                <w:rFonts w:ascii="仿宋" w:hAnsi="仿宋" w:eastAsia="仿宋"/>
                <w:color w:val="000000" w:themeColor="text1"/>
                <w:sz w:val="30"/>
                <w:szCs w:val="30"/>
                <w:highlight w:val="none"/>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noWrap/>
          </w:tcPr>
          <w:p w14:paraId="109210E0">
            <w:pPr>
              <w:snapToGrid w:val="0"/>
              <w:spacing w:before="120" w:beforeLines="50"/>
              <w:rPr>
                <w:rFonts w:ascii="仿宋" w:hAnsi="仿宋" w:eastAsia="仿宋"/>
                <w:color w:val="000000" w:themeColor="text1"/>
                <w:sz w:val="30"/>
                <w:szCs w:val="30"/>
                <w:highlight w:val="none"/>
                <w14:textFill>
                  <w14:solidFill>
                    <w14:schemeClr w14:val="tx1"/>
                  </w14:solidFill>
                </w14:textFill>
              </w:rPr>
            </w:pPr>
          </w:p>
        </w:tc>
        <w:tc>
          <w:tcPr>
            <w:tcW w:w="1956" w:type="dxa"/>
            <w:tcBorders>
              <w:top w:val="single" w:color="auto" w:sz="4" w:space="0"/>
              <w:left w:val="single" w:color="auto" w:sz="4" w:space="0"/>
              <w:bottom w:val="single" w:color="auto" w:sz="4" w:space="0"/>
              <w:right w:val="single" w:color="auto" w:sz="4" w:space="0"/>
            </w:tcBorders>
            <w:noWrap/>
          </w:tcPr>
          <w:p w14:paraId="50513F94">
            <w:pPr>
              <w:snapToGrid w:val="0"/>
              <w:spacing w:before="120" w:beforeLines="50"/>
              <w:ind w:left="43"/>
              <w:rPr>
                <w:rFonts w:ascii="仿宋" w:hAnsi="仿宋" w:eastAsia="仿宋"/>
                <w:b/>
                <w:bCs/>
                <w:color w:val="000000" w:themeColor="text1"/>
                <w:sz w:val="30"/>
                <w:szCs w:val="30"/>
                <w:highlight w:val="none"/>
                <w14:textFill>
                  <w14:solidFill>
                    <w14:schemeClr w14:val="tx1"/>
                  </w14:solidFill>
                </w14:textFill>
              </w:rPr>
            </w:pPr>
          </w:p>
        </w:tc>
      </w:tr>
      <w:tr w14:paraId="4DE527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888" w:type="dxa"/>
            <w:tcBorders>
              <w:top w:val="single" w:color="auto" w:sz="4" w:space="0"/>
              <w:left w:val="single" w:color="auto" w:sz="4" w:space="0"/>
              <w:bottom w:val="single" w:color="auto" w:sz="4" w:space="0"/>
              <w:right w:val="single" w:color="auto" w:sz="4" w:space="0"/>
            </w:tcBorders>
            <w:noWrap/>
          </w:tcPr>
          <w:p w14:paraId="56633BA4">
            <w:pPr>
              <w:snapToGrid w:val="0"/>
              <w:rPr>
                <w:rFonts w:ascii="仿宋" w:hAnsi="仿宋" w:eastAsia="仿宋"/>
                <w:color w:val="000000" w:themeColor="text1"/>
                <w:sz w:val="30"/>
                <w:szCs w:val="30"/>
                <w:highlight w:val="none"/>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noWrap/>
          </w:tcPr>
          <w:p w14:paraId="7EFBBB6A">
            <w:pPr>
              <w:snapToGrid w:val="0"/>
              <w:spacing w:before="120" w:beforeLines="50"/>
              <w:rPr>
                <w:rFonts w:ascii="仿宋" w:hAnsi="仿宋" w:eastAsia="仿宋"/>
                <w:color w:val="000000" w:themeColor="text1"/>
                <w:sz w:val="30"/>
                <w:szCs w:val="30"/>
                <w:highlight w:val="none"/>
                <w14:textFill>
                  <w14:solidFill>
                    <w14:schemeClr w14:val="tx1"/>
                  </w14:solidFill>
                </w14:textFill>
              </w:rPr>
            </w:pPr>
          </w:p>
        </w:tc>
        <w:tc>
          <w:tcPr>
            <w:tcW w:w="1956" w:type="dxa"/>
            <w:tcBorders>
              <w:top w:val="single" w:color="auto" w:sz="4" w:space="0"/>
              <w:left w:val="single" w:color="auto" w:sz="4" w:space="0"/>
              <w:bottom w:val="single" w:color="auto" w:sz="4" w:space="0"/>
              <w:right w:val="single" w:color="auto" w:sz="4" w:space="0"/>
            </w:tcBorders>
            <w:noWrap/>
          </w:tcPr>
          <w:p w14:paraId="6112E94A">
            <w:pPr>
              <w:snapToGrid w:val="0"/>
              <w:spacing w:before="120" w:beforeLines="50"/>
              <w:ind w:left="43"/>
              <w:rPr>
                <w:rFonts w:ascii="仿宋" w:hAnsi="仿宋" w:eastAsia="仿宋"/>
                <w:b/>
                <w:bCs/>
                <w:color w:val="000000" w:themeColor="text1"/>
                <w:sz w:val="30"/>
                <w:szCs w:val="30"/>
                <w:highlight w:val="none"/>
                <w14:textFill>
                  <w14:solidFill>
                    <w14:schemeClr w14:val="tx1"/>
                  </w14:solidFill>
                </w14:textFill>
              </w:rPr>
            </w:pPr>
          </w:p>
        </w:tc>
      </w:tr>
      <w:tr w14:paraId="34223F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888" w:type="dxa"/>
            <w:tcBorders>
              <w:top w:val="single" w:color="auto" w:sz="4" w:space="0"/>
              <w:left w:val="single" w:color="auto" w:sz="4" w:space="0"/>
              <w:bottom w:val="single" w:color="auto" w:sz="4" w:space="0"/>
              <w:right w:val="single" w:color="auto" w:sz="4" w:space="0"/>
            </w:tcBorders>
            <w:noWrap/>
          </w:tcPr>
          <w:p w14:paraId="7CF1C672">
            <w:pPr>
              <w:snapToGrid w:val="0"/>
              <w:rPr>
                <w:rFonts w:ascii="仿宋" w:hAnsi="仿宋" w:eastAsia="仿宋"/>
                <w:color w:val="000000" w:themeColor="text1"/>
                <w:sz w:val="30"/>
                <w:szCs w:val="30"/>
                <w:highlight w:val="none"/>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noWrap/>
          </w:tcPr>
          <w:p w14:paraId="5CD21518">
            <w:pPr>
              <w:snapToGrid w:val="0"/>
              <w:spacing w:before="120" w:beforeLines="50"/>
              <w:rPr>
                <w:rFonts w:ascii="仿宋" w:hAnsi="仿宋" w:eastAsia="仿宋"/>
                <w:color w:val="000000" w:themeColor="text1"/>
                <w:sz w:val="30"/>
                <w:szCs w:val="30"/>
                <w:highlight w:val="none"/>
                <w14:textFill>
                  <w14:solidFill>
                    <w14:schemeClr w14:val="tx1"/>
                  </w14:solidFill>
                </w14:textFill>
              </w:rPr>
            </w:pPr>
          </w:p>
        </w:tc>
        <w:tc>
          <w:tcPr>
            <w:tcW w:w="1956" w:type="dxa"/>
            <w:tcBorders>
              <w:top w:val="single" w:color="auto" w:sz="4" w:space="0"/>
              <w:left w:val="single" w:color="auto" w:sz="4" w:space="0"/>
              <w:bottom w:val="single" w:color="auto" w:sz="4" w:space="0"/>
              <w:right w:val="single" w:color="auto" w:sz="4" w:space="0"/>
            </w:tcBorders>
            <w:noWrap/>
          </w:tcPr>
          <w:p w14:paraId="4FE05F40">
            <w:pPr>
              <w:snapToGrid w:val="0"/>
              <w:spacing w:before="120" w:beforeLines="50"/>
              <w:rPr>
                <w:rFonts w:ascii="仿宋" w:hAnsi="仿宋" w:eastAsia="仿宋"/>
                <w:b/>
                <w:bCs/>
                <w:color w:val="000000" w:themeColor="text1"/>
                <w:sz w:val="30"/>
                <w:szCs w:val="30"/>
                <w:highlight w:val="none"/>
                <w14:textFill>
                  <w14:solidFill>
                    <w14:schemeClr w14:val="tx1"/>
                  </w14:solidFill>
                </w14:textFill>
              </w:rPr>
            </w:pPr>
          </w:p>
        </w:tc>
      </w:tr>
      <w:tr w14:paraId="2D309F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888" w:type="dxa"/>
            <w:tcBorders>
              <w:top w:val="single" w:color="auto" w:sz="4" w:space="0"/>
              <w:left w:val="single" w:color="auto" w:sz="4" w:space="0"/>
              <w:bottom w:val="single" w:color="auto" w:sz="4" w:space="0"/>
              <w:right w:val="single" w:color="auto" w:sz="4" w:space="0"/>
            </w:tcBorders>
            <w:noWrap/>
          </w:tcPr>
          <w:p w14:paraId="07AF6AE8">
            <w:pPr>
              <w:snapToGrid w:val="0"/>
              <w:rPr>
                <w:rFonts w:ascii="仿宋" w:hAnsi="仿宋" w:eastAsia="仿宋"/>
                <w:color w:val="000000" w:themeColor="text1"/>
                <w:sz w:val="30"/>
                <w:szCs w:val="30"/>
                <w:highlight w:val="none"/>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noWrap/>
          </w:tcPr>
          <w:p w14:paraId="06328F91">
            <w:pPr>
              <w:snapToGrid w:val="0"/>
              <w:spacing w:before="120" w:beforeLines="50"/>
              <w:rPr>
                <w:rFonts w:ascii="仿宋" w:hAnsi="仿宋" w:eastAsia="仿宋"/>
                <w:color w:val="000000" w:themeColor="text1"/>
                <w:sz w:val="30"/>
                <w:szCs w:val="30"/>
                <w:highlight w:val="none"/>
                <w14:textFill>
                  <w14:solidFill>
                    <w14:schemeClr w14:val="tx1"/>
                  </w14:solidFill>
                </w14:textFill>
              </w:rPr>
            </w:pPr>
          </w:p>
        </w:tc>
        <w:tc>
          <w:tcPr>
            <w:tcW w:w="1956" w:type="dxa"/>
            <w:tcBorders>
              <w:top w:val="single" w:color="auto" w:sz="4" w:space="0"/>
              <w:left w:val="single" w:color="auto" w:sz="4" w:space="0"/>
              <w:bottom w:val="single" w:color="auto" w:sz="4" w:space="0"/>
              <w:right w:val="single" w:color="auto" w:sz="4" w:space="0"/>
            </w:tcBorders>
            <w:noWrap/>
          </w:tcPr>
          <w:p w14:paraId="0FC39341">
            <w:pPr>
              <w:snapToGrid w:val="0"/>
              <w:spacing w:before="120" w:beforeLines="50"/>
              <w:rPr>
                <w:rFonts w:ascii="仿宋" w:hAnsi="仿宋" w:eastAsia="仿宋"/>
                <w:b/>
                <w:bCs/>
                <w:color w:val="000000" w:themeColor="text1"/>
                <w:sz w:val="30"/>
                <w:szCs w:val="30"/>
                <w:highlight w:val="none"/>
                <w14:textFill>
                  <w14:solidFill>
                    <w14:schemeClr w14:val="tx1"/>
                  </w14:solidFill>
                </w14:textFill>
              </w:rPr>
            </w:pPr>
          </w:p>
        </w:tc>
      </w:tr>
      <w:tr w14:paraId="0E1CA5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888" w:type="dxa"/>
            <w:tcBorders>
              <w:top w:val="single" w:color="auto" w:sz="4" w:space="0"/>
              <w:left w:val="single" w:color="auto" w:sz="4" w:space="0"/>
              <w:bottom w:val="single" w:color="auto" w:sz="4" w:space="0"/>
              <w:right w:val="single" w:color="auto" w:sz="4" w:space="0"/>
            </w:tcBorders>
            <w:noWrap/>
          </w:tcPr>
          <w:p w14:paraId="4CCEC84C">
            <w:pPr>
              <w:snapToGrid w:val="0"/>
              <w:rPr>
                <w:rFonts w:ascii="仿宋" w:hAnsi="仿宋" w:eastAsia="仿宋"/>
                <w:color w:val="000000" w:themeColor="text1"/>
                <w:sz w:val="30"/>
                <w:szCs w:val="30"/>
                <w:highlight w:val="none"/>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noWrap/>
          </w:tcPr>
          <w:p w14:paraId="7305166E">
            <w:pPr>
              <w:snapToGrid w:val="0"/>
              <w:spacing w:before="120" w:beforeLines="50"/>
              <w:rPr>
                <w:rFonts w:ascii="仿宋" w:hAnsi="仿宋" w:eastAsia="仿宋"/>
                <w:color w:val="000000" w:themeColor="text1"/>
                <w:sz w:val="30"/>
                <w:szCs w:val="30"/>
                <w:highlight w:val="none"/>
                <w14:textFill>
                  <w14:solidFill>
                    <w14:schemeClr w14:val="tx1"/>
                  </w14:solidFill>
                </w14:textFill>
              </w:rPr>
            </w:pPr>
          </w:p>
        </w:tc>
        <w:tc>
          <w:tcPr>
            <w:tcW w:w="1956" w:type="dxa"/>
            <w:tcBorders>
              <w:top w:val="single" w:color="auto" w:sz="4" w:space="0"/>
              <w:left w:val="single" w:color="auto" w:sz="4" w:space="0"/>
              <w:bottom w:val="single" w:color="auto" w:sz="4" w:space="0"/>
              <w:right w:val="single" w:color="auto" w:sz="4" w:space="0"/>
            </w:tcBorders>
            <w:noWrap/>
          </w:tcPr>
          <w:p w14:paraId="5DCF6F71">
            <w:pPr>
              <w:snapToGrid w:val="0"/>
              <w:spacing w:before="120" w:beforeLines="50"/>
              <w:rPr>
                <w:rFonts w:ascii="仿宋" w:hAnsi="仿宋" w:eastAsia="仿宋"/>
                <w:b/>
                <w:bCs/>
                <w:color w:val="000000" w:themeColor="text1"/>
                <w:sz w:val="30"/>
                <w:szCs w:val="30"/>
                <w:highlight w:val="none"/>
                <w14:textFill>
                  <w14:solidFill>
                    <w14:schemeClr w14:val="tx1"/>
                  </w14:solidFill>
                </w14:textFill>
              </w:rPr>
            </w:pPr>
          </w:p>
        </w:tc>
      </w:tr>
      <w:tr w14:paraId="20C531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888" w:type="dxa"/>
            <w:tcBorders>
              <w:top w:val="single" w:color="auto" w:sz="4" w:space="0"/>
              <w:left w:val="single" w:color="auto" w:sz="4" w:space="0"/>
              <w:bottom w:val="single" w:color="auto" w:sz="4" w:space="0"/>
              <w:right w:val="single" w:color="auto" w:sz="4" w:space="0"/>
            </w:tcBorders>
            <w:noWrap/>
          </w:tcPr>
          <w:p w14:paraId="0E3AE039">
            <w:pPr>
              <w:snapToGrid w:val="0"/>
              <w:rPr>
                <w:rFonts w:ascii="仿宋" w:hAnsi="仿宋" w:eastAsia="仿宋"/>
                <w:color w:val="000000" w:themeColor="text1"/>
                <w:sz w:val="30"/>
                <w:szCs w:val="30"/>
                <w:highlight w:val="none"/>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noWrap/>
          </w:tcPr>
          <w:p w14:paraId="2F0E58A0">
            <w:pPr>
              <w:snapToGrid w:val="0"/>
              <w:spacing w:before="120" w:beforeLines="50"/>
              <w:rPr>
                <w:rFonts w:ascii="仿宋" w:hAnsi="仿宋" w:eastAsia="仿宋"/>
                <w:color w:val="000000" w:themeColor="text1"/>
                <w:sz w:val="30"/>
                <w:szCs w:val="30"/>
                <w:highlight w:val="none"/>
                <w14:textFill>
                  <w14:solidFill>
                    <w14:schemeClr w14:val="tx1"/>
                  </w14:solidFill>
                </w14:textFill>
              </w:rPr>
            </w:pPr>
          </w:p>
        </w:tc>
        <w:tc>
          <w:tcPr>
            <w:tcW w:w="1956" w:type="dxa"/>
            <w:tcBorders>
              <w:top w:val="single" w:color="auto" w:sz="4" w:space="0"/>
              <w:left w:val="single" w:color="auto" w:sz="4" w:space="0"/>
              <w:bottom w:val="single" w:color="auto" w:sz="4" w:space="0"/>
              <w:right w:val="single" w:color="auto" w:sz="4" w:space="0"/>
            </w:tcBorders>
            <w:noWrap/>
          </w:tcPr>
          <w:p w14:paraId="506D5B9D">
            <w:pPr>
              <w:snapToGrid w:val="0"/>
              <w:spacing w:before="120" w:beforeLines="50"/>
              <w:rPr>
                <w:rFonts w:ascii="仿宋" w:hAnsi="仿宋" w:eastAsia="仿宋"/>
                <w:b/>
                <w:bCs/>
                <w:color w:val="000000" w:themeColor="text1"/>
                <w:sz w:val="30"/>
                <w:szCs w:val="30"/>
                <w:highlight w:val="none"/>
                <w14:textFill>
                  <w14:solidFill>
                    <w14:schemeClr w14:val="tx1"/>
                  </w14:solidFill>
                </w14:textFill>
              </w:rPr>
            </w:pPr>
          </w:p>
        </w:tc>
      </w:tr>
      <w:tr w14:paraId="13F762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3888" w:type="dxa"/>
            <w:tcBorders>
              <w:top w:val="single" w:color="auto" w:sz="4" w:space="0"/>
              <w:left w:val="single" w:color="auto" w:sz="4" w:space="0"/>
              <w:bottom w:val="single" w:color="auto" w:sz="4" w:space="0"/>
              <w:right w:val="single" w:color="auto" w:sz="4" w:space="0"/>
            </w:tcBorders>
            <w:noWrap/>
          </w:tcPr>
          <w:p w14:paraId="2A677B9C">
            <w:pPr>
              <w:snapToGrid w:val="0"/>
              <w:rPr>
                <w:rFonts w:ascii="仿宋" w:hAnsi="仿宋" w:eastAsia="仿宋"/>
                <w:color w:val="000000" w:themeColor="text1"/>
                <w:sz w:val="30"/>
                <w:szCs w:val="30"/>
                <w:highlight w:val="none"/>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noWrap/>
          </w:tcPr>
          <w:p w14:paraId="471109B8">
            <w:pPr>
              <w:snapToGrid w:val="0"/>
              <w:spacing w:before="120" w:beforeLines="50"/>
              <w:rPr>
                <w:rFonts w:ascii="仿宋" w:hAnsi="仿宋" w:eastAsia="仿宋"/>
                <w:color w:val="000000" w:themeColor="text1"/>
                <w:sz w:val="30"/>
                <w:szCs w:val="30"/>
                <w:highlight w:val="none"/>
                <w14:textFill>
                  <w14:solidFill>
                    <w14:schemeClr w14:val="tx1"/>
                  </w14:solidFill>
                </w14:textFill>
              </w:rPr>
            </w:pPr>
          </w:p>
        </w:tc>
        <w:tc>
          <w:tcPr>
            <w:tcW w:w="1956" w:type="dxa"/>
            <w:tcBorders>
              <w:top w:val="single" w:color="auto" w:sz="4" w:space="0"/>
              <w:left w:val="single" w:color="auto" w:sz="4" w:space="0"/>
              <w:bottom w:val="single" w:color="auto" w:sz="4" w:space="0"/>
              <w:right w:val="single" w:color="auto" w:sz="4" w:space="0"/>
            </w:tcBorders>
            <w:noWrap/>
          </w:tcPr>
          <w:p w14:paraId="5F77A29A">
            <w:pPr>
              <w:snapToGrid w:val="0"/>
              <w:spacing w:before="120" w:beforeLines="50"/>
              <w:rPr>
                <w:rFonts w:ascii="仿宋" w:hAnsi="仿宋" w:eastAsia="仿宋"/>
                <w:b/>
                <w:bCs/>
                <w:color w:val="000000" w:themeColor="text1"/>
                <w:sz w:val="30"/>
                <w:szCs w:val="30"/>
                <w:highlight w:val="none"/>
                <w14:textFill>
                  <w14:solidFill>
                    <w14:schemeClr w14:val="tx1"/>
                  </w14:solidFill>
                </w14:textFill>
              </w:rPr>
            </w:pPr>
          </w:p>
        </w:tc>
      </w:tr>
    </w:tbl>
    <w:p w14:paraId="3D125C48">
      <w:pPr>
        <w:keepNext w:val="0"/>
        <w:keepLines w:val="0"/>
        <w:pageBreakBefore w:val="0"/>
        <w:widowControl w:val="0"/>
        <w:kinsoku/>
        <w:wordWrap/>
        <w:overflowPunct/>
        <w:topLinePunct w:val="0"/>
        <w:autoSpaceDE/>
        <w:autoSpaceDN/>
        <w:bidi w:val="0"/>
        <w:adjustRightInd/>
        <w:snapToGrid w:val="0"/>
        <w:spacing w:before="313" w:beforeLines="100" w:line="360" w:lineRule="auto"/>
        <w:jc w:val="right"/>
        <w:textAlignment w:val="auto"/>
        <w:rPr>
          <w:rFonts w:ascii="宋体" w:hAnsi="宋体"/>
          <w:color w:val="000000" w:themeColor="text1"/>
          <w:szCs w:val="20"/>
          <w:highlight w:val="none"/>
          <w:u w:val="single"/>
          <w14:textFill>
            <w14:solidFill>
              <w14:schemeClr w14:val="tx1"/>
            </w14:solidFill>
          </w14:textFill>
        </w:rPr>
      </w:pPr>
      <w:r>
        <w:rPr>
          <w:rFonts w:hint="eastAsia" w:ascii="宋体" w:hAnsi="宋体" w:cs="Arial"/>
          <w:color w:val="000000" w:themeColor="text1"/>
          <w:kern w:val="0"/>
          <w:highlight w:val="none"/>
          <w14:textFill>
            <w14:solidFill>
              <w14:schemeClr w14:val="tx1"/>
            </w14:solidFill>
          </w14:textFill>
        </w:rPr>
        <w:t>法定代表人或</w:t>
      </w:r>
      <w:r>
        <w:rPr>
          <w:rFonts w:hint="eastAsia" w:ascii="宋体" w:hAnsi="宋体"/>
          <w:color w:val="000000" w:themeColor="text1"/>
          <w:highlight w:val="none"/>
          <w14:textFill>
            <w14:solidFill>
              <w14:schemeClr w14:val="tx1"/>
            </w14:solidFill>
          </w14:textFill>
        </w:rPr>
        <w:t>被授权人签字（或盖章）：</w:t>
      </w:r>
    </w:p>
    <w:p w14:paraId="35B500BD">
      <w:pPr>
        <w:pStyle w:val="33"/>
        <w:spacing w:line="360" w:lineRule="auto"/>
        <w:jc w:val="right"/>
        <w:rPr>
          <w:rFonts w:hAnsi="宋体" w:eastAsia="宋体" w:cs="宋体"/>
          <w:color w:val="000000" w:themeColor="text1"/>
          <w:sz w:val="24"/>
          <w:highlight w:val="none"/>
          <w14:textFill>
            <w14:solidFill>
              <w14:schemeClr w14:val="tx1"/>
            </w14:solidFill>
          </w14:textFill>
        </w:rPr>
      </w:pPr>
      <w:r>
        <w:rPr>
          <w:rFonts w:hint="eastAsia" w:hAnsi="宋体" w:eastAsia="宋体" w:cs="宋体"/>
          <w:color w:val="000000" w:themeColor="text1"/>
          <w:sz w:val="24"/>
          <w:highlight w:val="none"/>
          <w14:textFill>
            <w14:solidFill>
              <w14:schemeClr w14:val="tx1"/>
            </w14:solidFill>
          </w14:textFill>
        </w:rPr>
        <w:t>供应商名称（公章）：</w:t>
      </w:r>
    </w:p>
    <w:p w14:paraId="01C72DCE">
      <w:pPr>
        <w:pStyle w:val="33"/>
        <w:spacing w:line="360" w:lineRule="auto"/>
        <w:jc w:val="right"/>
        <w:rPr>
          <w:rFonts w:hAnsi="宋体" w:eastAsia="宋体"/>
          <w:color w:val="000000" w:themeColor="text1"/>
          <w:sz w:val="24"/>
          <w:szCs w:val="24"/>
          <w:highlight w:val="none"/>
          <w14:textFill>
            <w14:solidFill>
              <w14:schemeClr w14:val="tx1"/>
            </w14:solidFill>
          </w14:textFill>
        </w:rPr>
      </w:pPr>
      <w:r>
        <w:rPr>
          <w:rFonts w:hint="eastAsia" w:hAnsi="宋体" w:eastAsia="宋体"/>
          <w:color w:val="000000" w:themeColor="text1"/>
          <w:sz w:val="24"/>
          <w:szCs w:val="24"/>
          <w:highlight w:val="none"/>
          <w14:textFill>
            <w14:solidFill>
              <w14:schemeClr w14:val="tx1"/>
            </w14:solidFill>
          </w14:textFill>
        </w:rPr>
        <w:t>日期： 年 月 日</w:t>
      </w:r>
    </w:p>
    <w:p w14:paraId="3298D7D5">
      <w:pPr>
        <w:pStyle w:val="14"/>
        <w:snapToGrid w:val="0"/>
        <w:spacing w:beforeLines="0" w:afterLines="0"/>
        <w:jc w:val="center"/>
        <w:outlineLvl w:val="2"/>
        <w:rPr>
          <w:rFonts w:asciiTheme="majorEastAsia" w:hAnsiTheme="majorEastAsia" w:eastAsiaTheme="majorEastAsia" w:cstheme="majorEastAsia"/>
          <w:b/>
          <w:bCs/>
          <w:color w:val="000000" w:themeColor="text1"/>
          <w:sz w:val="32"/>
          <w:szCs w:val="32"/>
          <w:highlight w:val="none"/>
          <w14:textFill>
            <w14:solidFill>
              <w14:schemeClr w14:val="tx1"/>
            </w14:solidFill>
          </w14:textFill>
        </w:rPr>
      </w:pPr>
    </w:p>
    <w:p w14:paraId="03491CB8">
      <w:pPr>
        <w:rPr>
          <w:rFonts w:asciiTheme="majorEastAsia" w:hAnsiTheme="majorEastAsia" w:eastAsiaTheme="majorEastAsia" w:cstheme="majorEastAsia"/>
          <w:b/>
          <w:bCs/>
          <w:color w:val="000000" w:themeColor="text1"/>
          <w:sz w:val="32"/>
          <w:szCs w:val="32"/>
          <w:highlight w:val="none"/>
          <w14:textFill>
            <w14:solidFill>
              <w14:schemeClr w14:val="tx1"/>
            </w14:solidFill>
          </w14:textFill>
        </w:rPr>
      </w:pPr>
    </w:p>
    <w:p w14:paraId="4B867910">
      <w:pPr>
        <w:pStyle w:val="12"/>
        <w:rPr>
          <w:rFonts w:asciiTheme="majorEastAsia" w:hAnsiTheme="majorEastAsia" w:eastAsiaTheme="majorEastAsia" w:cstheme="majorEastAsia"/>
          <w:b/>
          <w:bCs/>
          <w:color w:val="000000" w:themeColor="text1"/>
          <w:sz w:val="32"/>
          <w:szCs w:val="32"/>
          <w:highlight w:val="none"/>
          <w14:textFill>
            <w14:solidFill>
              <w14:schemeClr w14:val="tx1"/>
            </w14:solidFill>
          </w14:textFill>
        </w:rPr>
      </w:pPr>
    </w:p>
    <w:p w14:paraId="58115A26">
      <w:pPr>
        <w:pStyle w:val="24"/>
        <w:ind w:left="480" w:firstLine="627"/>
        <w:rPr>
          <w:rFonts w:asciiTheme="majorEastAsia" w:hAnsiTheme="majorEastAsia" w:eastAsiaTheme="majorEastAsia" w:cstheme="majorEastAsia"/>
          <w:b/>
          <w:bCs/>
          <w:color w:val="000000" w:themeColor="text1"/>
          <w:sz w:val="32"/>
          <w:szCs w:val="32"/>
          <w:highlight w:val="none"/>
          <w14:textFill>
            <w14:solidFill>
              <w14:schemeClr w14:val="tx1"/>
            </w14:solidFill>
          </w14:textFill>
        </w:rPr>
      </w:pPr>
    </w:p>
    <w:p w14:paraId="04349281">
      <w:pPr>
        <w:pStyle w:val="24"/>
        <w:ind w:left="480" w:firstLine="627"/>
        <w:rPr>
          <w:rFonts w:asciiTheme="majorEastAsia" w:hAnsiTheme="majorEastAsia" w:eastAsiaTheme="majorEastAsia" w:cstheme="majorEastAsia"/>
          <w:b/>
          <w:bCs/>
          <w:color w:val="000000" w:themeColor="text1"/>
          <w:sz w:val="32"/>
          <w:szCs w:val="32"/>
          <w:highlight w:val="none"/>
          <w14:textFill>
            <w14:solidFill>
              <w14:schemeClr w14:val="tx1"/>
            </w14:solidFill>
          </w14:textFill>
        </w:rPr>
      </w:pPr>
    </w:p>
    <w:p w14:paraId="0105D2FD">
      <w:pPr>
        <w:pStyle w:val="24"/>
        <w:ind w:left="480" w:firstLine="627"/>
        <w:rPr>
          <w:rFonts w:asciiTheme="majorEastAsia" w:hAnsiTheme="majorEastAsia" w:eastAsiaTheme="majorEastAsia" w:cstheme="majorEastAsia"/>
          <w:b/>
          <w:bCs/>
          <w:color w:val="000000" w:themeColor="text1"/>
          <w:sz w:val="32"/>
          <w:szCs w:val="32"/>
          <w:highlight w:val="none"/>
          <w14:textFill>
            <w14:solidFill>
              <w14:schemeClr w14:val="tx1"/>
            </w14:solidFill>
          </w14:textFill>
        </w:rPr>
      </w:pPr>
    </w:p>
    <w:p w14:paraId="03F763B5">
      <w:pPr>
        <w:pStyle w:val="14"/>
        <w:snapToGrid w:val="0"/>
        <w:spacing w:beforeLines="0" w:afterLines="0"/>
        <w:jc w:val="center"/>
        <w:outlineLvl w:val="2"/>
        <w:rPr>
          <w:rFonts w:asciiTheme="majorEastAsia" w:hAnsiTheme="majorEastAsia" w:eastAsiaTheme="majorEastAsia" w:cstheme="majorEastAsia"/>
          <w:b/>
          <w:bCs/>
          <w:color w:val="000000" w:themeColor="text1"/>
          <w:sz w:val="32"/>
          <w:szCs w:val="32"/>
          <w:highlight w:val="none"/>
          <w14:textFill>
            <w14:solidFill>
              <w14:schemeClr w14:val="tx1"/>
            </w14:solidFill>
          </w14:textFill>
        </w:rPr>
      </w:pPr>
    </w:p>
    <w:p w14:paraId="5A34F4EF">
      <w:pP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br w:type="page"/>
      </w:r>
    </w:p>
    <w:p w14:paraId="414B1614">
      <w:pPr>
        <w:jc w:val="center"/>
        <w:rPr>
          <w:rFonts w:asciiTheme="majorEastAsia" w:hAnsiTheme="majorEastAsia" w:eastAsiaTheme="majorEastAsia" w:cstheme="majorEastAsia"/>
          <w:b/>
          <w:color w:val="000000" w:themeColor="text1"/>
          <w:kern w:val="0"/>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2"/>
          <w:szCs w:val="32"/>
          <w:highlight w:val="none"/>
          <w14:textFill>
            <w14:solidFill>
              <w14:schemeClr w14:val="tx1"/>
            </w14:solidFill>
          </w14:textFill>
        </w:rPr>
        <w:t>七、供应商自评表</w:t>
      </w:r>
    </w:p>
    <w:p w14:paraId="5AF85CCF">
      <w:pPr>
        <w:snapToGrid w:val="0"/>
        <w:spacing w:before="50" w:after="120" w:afterLines="50"/>
        <w:jc w:val="left"/>
        <w:rPr>
          <w:rFonts w:asciiTheme="majorEastAsia" w:hAnsiTheme="majorEastAsia" w:eastAsiaTheme="majorEastAsia" w:cstheme="majorEastAsia"/>
          <w:color w:val="000000" w:themeColor="text1"/>
          <w:szCs w:val="20"/>
          <w:highlight w:val="none"/>
          <w14:textFill>
            <w14:solidFill>
              <w14:schemeClr w14:val="tx1"/>
            </w14:solidFill>
          </w14:textFill>
        </w:rPr>
      </w:pPr>
    </w:p>
    <w:tbl>
      <w:tblPr>
        <w:tblStyle w:val="25"/>
        <w:tblW w:w="91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4"/>
        <w:gridCol w:w="3870"/>
        <w:gridCol w:w="1431"/>
        <w:gridCol w:w="2955"/>
      </w:tblGrid>
      <w:tr w14:paraId="524C1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34" w:type="dxa"/>
            <w:vAlign w:val="center"/>
          </w:tcPr>
          <w:p w14:paraId="51FE04D8">
            <w:pPr>
              <w:snapToGrid w:val="0"/>
              <w:spacing w:line="240" w:lineRule="atLeast"/>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序号</w:t>
            </w:r>
          </w:p>
        </w:tc>
        <w:tc>
          <w:tcPr>
            <w:tcW w:w="3870" w:type="dxa"/>
            <w:vAlign w:val="center"/>
          </w:tcPr>
          <w:p w14:paraId="73763B72">
            <w:pPr>
              <w:snapToGrid w:val="0"/>
              <w:spacing w:line="240" w:lineRule="atLeast"/>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评分要求</w:t>
            </w:r>
          </w:p>
        </w:tc>
        <w:tc>
          <w:tcPr>
            <w:tcW w:w="1431" w:type="dxa"/>
            <w:vAlign w:val="center"/>
          </w:tcPr>
          <w:p w14:paraId="60AE790E">
            <w:pPr>
              <w:snapToGrid w:val="0"/>
              <w:spacing w:line="240" w:lineRule="atLeast"/>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自评分数</w:t>
            </w:r>
          </w:p>
        </w:tc>
        <w:tc>
          <w:tcPr>
            <w:tcW w:w="2955" w:type="dxa"/>
            <w:vAlign w:val="center"/>
          </w:tcPr>
          <w:p w14:paraId="2D552306">
            <w:pPr>
              <w:snapToGrid w:val="0"/>
              <w:spacing w:line="240" w:lineRule="atLeast"/>
              <w:jc w:val="center"/>
              <w:rPr>
                <w:rFonts w:asciiTheme="majorEastAsia" w:hAnsiTheme="majorEastAsia" w:eastAsiaTheme="majorEastAsia" w:cstheme="majorEastAsia"/>
                <w:b/>
                <w:color w:val="000000" w:themeColor="text1"/>
                <w:highlight w:val="none"/>
                <w14:textFill>
                  <w14:solidFill>
                    <w14:schemeClr w14:val="tx1"/>
                  </w14:solidFill>
                </w14:textFill>
              </w:rPr>
            </w:pPr>
            <w:r>
              <w:rPr>
                <w:rFonts w:hint="eastAsia" w:asciiTheme="majorEastAsia" w:hAnsiTheme="majorEastAsia" w:eastAsiaTheme="majorEastAsia" w:cstheme="majorEastAsia"/>
                <w:b/>
                <w:color w:val="000000" w:themeColor="text1"/>
                <w:highlight w:val="none"/>
                <w14:textFill>
                  <w14:solidFill>
                    <w14:schemeClr w14:val="tx1"/>
                  </w14:solidFill>
                </w14:textFill>
              </w:rPr>
              <w:t>响应文件中的页码位置</w:t>
            </w:r>
          </w:p>
        </w:tc>
      </w:tr>
      <w:tr w14:paraId="19D8A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934" w:type="dxa"/>
            <w:vAlign w:val="center"/>
          </w:tcPr>
          <w:p w14:paraId="6D89817F">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1</w:t>
            </w:r>
          </w:p>
        </w:tc>
        <w:tc>
          <w:tcPr>
            <w:tcW w:w="3870" w:type="dxa"/>
            <w:vAlign w:val="center"/>
          </w:tcPr>
          <w:p w14:paraId="3F49C2A0">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r>
              <w:rPr>
                <w:rFonts w:asciiTheme="majorEastAsia" w:hAnsiTheme="majorEastAsia" w:eastAsiaTheme="majorEastAsia" w:cstheme="majorEastAsia"/>
                <w:bCs/>
                <w:color w:val="000000" w:themeColor="text1"/>
                <w:highlight w:val="none"/>
                <w:lang w:val="zh-CN"/>
                <w14:textFill>
                  <w14:solidFill>
                    <w14:schemeClr w14:val="tx1"/>
                  </w14:solidFill>
                </w14:textFill>
              </w:rPr>
              <w:t>见评分办法</w:t>
            </w:r>
          </w:p>
        </w:tc>
        <w:tc>
          <w:tcPr>
            <w:tcW w:w="1431" w:type="dxa"/>
            <w:vAlign w:val="center"/>
          </w:tcPr>
          <w:p w14:paraId="4A065432">
            <w:pPr>
              <w:spacing w:line="360" w:lineRule="auto"/>
              <w:jc w:val="center"/>
              <w:rPr>
                <w:rFonts w:asciiTheme="majorEastAsia" w:hAnsiTheme="majorEastAsia" w:eastAsiaTheme="majorEastAsia" w:cstheme="majorEastAsia"/>
                <w:color w:val="000000" w:themeColor="text1"/>
                <w:highlight w:val="none"/>
                <w:lang w:val="zh-CN"/>
                <w14:textFill>
                  <w14:solidFill>
                    <w14:schemeClr w14:val="tx1"/>
                  </w14:solidFill>
                </w14:textFill>
              </w:rPr>
            </w:pPr>
          </w:p>
        </w:tc>
        <w:tc>
          <w:tcPr>
            <w:tcW w:w="2955" w:type="dxa"/>
            <w:vAlign w:val="center"/>
          </w:tcPr>
          <w:p w14:paraId="7C225BF2">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见响应文件第</w:t>
            </w:r>
            <w:r>
              <w:rPr>
                <w:rFonts w:hint="eastAsia" w:asciiTheme="majorEastAsia" w:hAnsiTheme="majorEastAsia" w:eastAsiaTheme="majorEastAsia" w:cstheme="majorEastAsia"/>
                <w:bCs/>
                <w:color w:val="000000" w:themeColor="text1"/>
                <w:highlight w:val="none"/>
                <w:u w:val="single"/>
                <w14:textFill>
                  <w14:solidFill>
                    <w14:schemeClr w14:val="tx1"/>
                  </w14:solidFill>
                </w14:textFill>
              </w:rPr>
              <w:t xml:space="preserve">   </w:t>
            </w: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页</w:t>
            </w:r>
          </w:p>
        </w:tc>
      </w:tr>
      <w:tr w14:paraId="49B61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934" w:type="dxa"/>
            <w:vAlign w:val="center"/>
          </w:tcPr>
          <w:p w14:paraId="3CE3A1A1">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2</w:t>
            </w:r>
          </w:p>
        </w:tc>
        <w:tc>
          <w:tcPr>
            <w:tcW w:w="3870" w:type="dxa"/>
            <w:vAlign w:val="center"/>
          </w:tcPr>
          <w:p w14:paraId="082A71F6">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p>
        </w:tc>
        <w:tc>
          <w:tcPr>
            <w:tcW w:w="1431" w:type="dxa"/>
            <w:vAlign w:val="center"/>
          </w:tcPr>
          <w:p w14:paraId="54A2AAAD">
            <w:pPr>
              <w:spacing w:line="360" w:lineRule="auto"/>
              <w:jc w:val="center"/>
              <w:rPr>
                <w:rFonts w:asciiTheme="majorEastAsia" w:hAnsiTheme="majorEastAsia" w:eastAsiaTheme="majorEastAsia" w:cstheme="majorEastAsia"/>
                <w:color w:val="000000" w:themeColor="text1"/>
                <w:highlight w:val="none"/>
                <w:lang w:val="zh-CN"/>
                <w14:textFill>
                  <w14:solidFill>
                    <w14:schemeClr w14:val="tx1"/>
                  </w14:solidFill>
                </w14:textFill>
              </w:rPr>
            </w:pPr>
          </w:p>
        </w:tc>
        <w:tc>
          <w:tcPr>
            <w:tcW w:w="2955" w:type="dxa"/>
            <w:vAlign w:val="center"/>
          </w:tcPr>
          <w:p w14:paraId="7FCC44F9">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p>
        </w:tc>
      </w:tr>
      <w:tr w14:paraId="4FC75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trPr>
        <w:tc>
          <w:tcPr>
            <w:tcW w:w="934" w:type="dxa"/>
            <w:vAlign w:val="center"/>
          </w:tcPr>
          <w:p w14:paraId="47FC25EC">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3</w:t>
            </w:r>
          </w:p>
        </w:tc>
        <w:tc>
          <w:tcPr>
            <w:tcW w:w="3870" w:type="dxa"/>
            <w:vAlign w:val="center"/>
          </w:tcPr>
          <w:p w14:paraId="20F2F840">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p>
        </w:tc>
        <w:tc>
          <w:tcPr>
            <w:tcW w:w="1431" w:type="dxa"/>
            <w:vAlign w:val="center"/>
          </w:tcPr>
          <w:p w14:paraId="4C36B3C6">
            <w:pPr>
              <w:spacing w:line="360" w:lineRule="auto"/>
              <w:jc w:val="center"/>
              <w:rPr>
                <w:rFonts w:asciiTheme="majorEastAsia" w:hAnsiTheme="majorEastAsia" w:eastAsiaTheme="majorEastAsia" w:cstheme="majorEastAsia"/>
                <w:color w:val="000000" w:themeColor="text1"/>
                <w:highlight w:val="none"/>
                <w:lang w:val="zh-CN"/>
                <w14:textFill>
                  <w14:solidFill>
                    <w14:schemeClr w14:val="tx1"/>
                  </w14:solidFill>
                </w14:textFill>
              </w:rPr>
            </w:pPr>
          </w:p>
        </w:tc>
        <w:tc>
          <w:tcPr>
            <w:tcW w:w="2955" w:type="dxa"/>
            <w:vAlign w:val="center"/>
          </w:tcPr>
          <w:p w14:paraId="14A70A10">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p>
        </w:tc>
      </w:tr>
      <w:tr w14:paraId="5D0E3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934" w:type="dxa"/>
            <w:vAlign w:val="center"/>
          </w:tcPr>
          <w:p w14:paraId="653BDAA8">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4</w:t>
            </w:r>
          </w:p>
        </w:tc>
        <w:tc>
          <w:tcPr>
            <w:tcW w:w="3870" w:type="dxa"/>
            <w:vAlign w:val="center"/>
          </w:tcPr>
          <w:p w14:paraId="52D45614">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p>
        </w:tc>
        <w:tc>
          <w:tcPr>
            <w:tcW w:w="1431" w:type="dxa"/>
            <w:vAlign w:val="center"/>
          </w:tcPr>
          <w:p w14:paraId="5B66480D">
            <w:pPr>
              <w:spacing w:line="360" w:lineRule="auto"/>
              <w:jc w:val="center"/>
              <w:rPr>
                <w:rFonts w:asciiTheme="majorEastAsia" w:hAnsiTheme="majorEastAsia" w:eastAsiaTheme="majorEastAsia" w:cstheme="majorEastAsia"/>
                <w:color w:val="000000" w:themeColor="text1"/>
                <w:highlight w:val="none"/>
                <w:lang w:val="zh-CN"/>
                <w14:textFill>
                  <w14:solidFill>
                    <w14:schemeClr w14:val="tx1"/>
                  </w14:solidFill>
                </w14:textFill>
              </w:rPr>
            </w:pPr>
          </w:p>
        </w:tc>
        <w:tc>
          <w:tcPr>
            <w:tcW w:w="2955" w:type="dxa"/>
            <w:vAlign w:val="center"/>
          </w:tcPr>
          <w:p w14:paraId="7256F6CE">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p>
        </w:tc>
      </w:tr>
      <w:tr w14:paraId="5F644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934" w:type="dxa"/>
            <w:vAlign w:val="center"/>
          </w:tcPr>
          <w:p w14:paraId="3BA57843">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r>
              <w:rPr>
                <w:rFonts w:hint="eastAsia" w:asciiTheme="majorEastAsia" w:hAnsiTheme="majorEastAsia" w:eastAsiaTheme="majorEastAsia" w:cstheme="majorEastAsia"/>
                <w:bCs/>
                <w:color w:val="000000" w:themeColor="text1"/>
                <w:highlight w:val="none"/>
                <w:lang w:val="zh-CN"/>
                <w14:textFill>
                  <w14:solidFill>
                    <w14:schemeClr w14:val="tx1"/>
                  </w14:solidFill>
                </w14:textFill>
              </w:rPr>
              <w:t>5</w:t>
            </w:r>
          </w:p>
        </w:tc>
        <w:tc>
          <w:tcPr>
            <w:tcW w:w="3870" w:type="dxa"/>
            <w:vAlign w:val="center"/>
          </w:tcPr>
          <w:p w14:paraId="67B12397">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p>
        </w:tc>
        <w:tc>
          <w:tcPr>
            <w:tcW w:w="1431" w:type="dxa"/>
            <w:vAlign w:val="center"/>
          </w:tcPr>
          <w:p w14:paraId="365EB676">
            <w:pPr>
              <w:spacing w:line="360" w:lineRule="auto"/>
              <w:jc w:val="center"/>
              <w:rPr>
                <w:rFonts w:asciiTheme="majorEastAsia" w:hAnsiTheme="majorEastAsia" w:eastAsiaTheme="majorEastAsia" w:cstheme="majorEastAsia"/>
                <w:color w:val="000000" w:themeColor="text1"/>
                <w:highlight w:val="none"/>
                <w:lang w:val="zh-CN"/>
                <w14:textFill>
                  <w14:solidFill>
                    <w14:schemeClr w14:val="tx1"/>
                  </w14:solidFill>
                </w14:textFill>
              </w:rPr>
            </w:pPr>
          </w:p>
        </w:tc>
        <w:tc>
          <w:tcPr>
            <w:tcW w:w="2955" w:type="dxa"/>
            <w:vAlign w:val="center"/>
          </w:tcPr>
          <w:p w14:paraId="5C7A89F6">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p>
        </w:tc>
      </w:tr>
      <w:tr w14:paraId="51035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34" w:type="dxa"/>
            <w:vAlign w:val="center"/>
          </w:tcPr>
          <w:p w14:paraId="2E2DEBFE">
            <w:pPr>
              <w:snapToGrid w:val="0"/>
              <w:spacing w:line="240" w:lineRule="atLeast"/>
              <w:jc w:val="center"/>
              <w:rPr>
                <w:rFonts w:asciiTheme="majorEastAsia" w:hAnsiTheme="majorEastAsia" w:eastAsiaTheme="majorEastAsia" w:cstheme="majorEastAsia"/>
                <w:bCs/>
                <w:color w:val="000000" w:themeColor="text1"/>
                <w:highlight w:val="none"/>
                <w14:textFill>
                  <w14:solidFill>
                    <w14:schemeClr w14:val="tx1"/>
                  </w14:solidFill>
                </w14:textFill>
              </w:rPr>
            </w:pPr>
            <w:r>
              <w:rPr>
                <w:rFonts w:hint="eastAsia" w:asciiTheme="majorEastAsia" w:hAnsiTheme="majorEastAsia" w:eastAsiaTheme="majorEastAsia" w:cstheme="majorEastAsia"/>
                <w:bCs/>
                <w:color w:val="000000" w:themeColor="text1"/>
                <w:highlight w:val="none"/>
                <w14:textFill>
                  <w14:solidFill>
                    <w14:schemeClr w14:val="tx1"/>
                  </w14:solidFill>
                </w14:textFill>
              </w:rPr>
              <w:t>6</w:t>
            </w:r>
          </w:p>
        </w:tc>
        <w:tc>
          <w:tcPr>
            <w:tcW w:w="3870" w:type="dxa"/>
            <w:vAlign w:val="center"/>
          </w:tcPr>
          <w:p w14:paraId="04077E0F">
            <w:pPr>
              <w:snapToGrid w:val="0"/>
              <w:spacing w:line="240" w:lineRule="atLeast"/>
              <w:jc w:val="center"/>
              <w:rPr>
                <w:rFonts w:asciiTheme="majorEastAsia" w:hAnsiTheme="majorEastAsia" w:eastAsiaTheme="majorEastAsia" w:cstheme="majorEastAsia"/>
                <w:bCs/>
                <w:color w:val="000000" w:themeColor="text1"/>
                <w:highlight w:val="none"/>
                <w14:textFill>
                  <w14:solidFill>
                    <w14:schemeClr w14:val="tx1"/>
                  </w14:solidFill>
                </w14:textFill>
              </w:rPr>
            </w:pPr>
          </w:p>
        </w:tc>
        <w:tc>
          <w:tcPr>
            <w:tcW w:w="1431" w:type="dxa"/>
            <w:vAlign w:val="center"/>
          </w:tcPr>
          <w:p w14:paraId="48826E22">
            <w:pPr>
              <w:spacing w:line="360" w:lineRule="auto"/>
              <w:jc w:val="center"/>
              <w:rPr>
                <w:rFonts w:asciiTheme="majorEastAsia" w:hAnsiTheme="majorEastAsia" w:eastAsiaTheme="majorEastAsia" w:cstheme="majorEastAsia"/>
                <w:color w:val="000000" w:themeColor="text1"/>
                <w:highlight w:val="none"/>
                <w:lang w:val="zh-CN"/>
                <w14:textFill>
                  <w14:solidFill>
                    <w14:schemeClr w14:val="tx1"/>
                  </w14:solidFill>
                </w14:textFill>
              </w:rPr>
            </w:pPr>
          </w:p>
        </w:tc>
        <w:tc>
          <w:tcPr>
            <w:tcW w:w="2955" w:type="dxa"/>
            <w:vAlign w:val="center"/>
          </w:tcPr>
          <w:p w14:paraId="04D4A932">
            <w:pPr>
              <w:snapToGrid w:val="0"/>
              <w:spacing w:line="240" w:lineRule="atLeast"/>
              <w:jc w:val="center"/>
              <w:rPr>
                <w:rFonts w:asciiTheme="majorEastAsia" w:hAnsiTheme="majorEastAsia" w:eastAsiaTheme="majorEastAsia" w:cstheme="majorEastAsia"/>
                <w:bCs/>
                <w:color w:val="000000" w:themeColor="text1"/>
                <w:highlight w:val="none"/>
                <w:lang w:val="zh-CN"/>
                <w14:textFill>
                  <w14:solidFill>
                    <w14:schemeClr w14:val="tx1"/>
                  </w14:solidFill>
                </w14:textFill>
              </w:rPr>
            </w:pPr>
          </w:p>
        </w:tc>
      </w:tr>
    </w:tbl>
    <w:p w14:paraId="2998A435">
      <w:pPr>
        <w:jc w:val="right"/>
        <w:rPr>
          <w:rFonts w:asciiTheme="majorEastAsia" w:hAnsiTheme="majorEastAsia" w:eastAsiaTheme="majorEastAsia" w:cstheme="majorEastAsia"/>
          <w:color w:val="000000" w:themeColor="text1"/>
          <w:sz w:val="32"/>
          <w:szCs w:val="32"/>
          <w:highlight w:val="none"/>
          <w14:textFill>
            <w14:solidFill>
              <w14:schemeClr w14:val="tx1"/>
            </w14:solidFill>
          </w14:textFill>
        </w:rPr>
      </w:pPr>
    </w:p>
    <w:p w14:paraId="75F99754">
      <w:pPr>
        <w:snapToGrid w:val="0"/>
        <w:spacing w:before="120" w:beforeLines="50" w:line="360" w:lineRule="auto"/>
        <w:jc w:val="right"/>
        <w:rPr>
          <w:rFonts w:ascii="宋体" w:hAnsi="宋体"/>
          <w:color w:val="000000" w:themeColor="text1"/>
          <w:szCs w:val="20"/>
          <w:highlight w:val="none"/>
          <w:u w:val="single"/>
          <w14:textFill>
            <w14:solidFill>
              <w14:schemeClr w14:val="tx1"/>
            </w14:solidFill>
          </w14:textFill>
        </w:rPr>
      </w:pPr>
      <w:r>
        <w:rPr>
          <w:rFonts w:hint="eastAsia" w:ascii="宋体" w:hAnsi="宋体" w:cs="Arial"/>
          <w:color w:val="000000" w:themeColor="text1"/>
          <w:kern w:val="0"/>
          <w:highlight w:val="none"/>
          <w14:textFill>
            <w14:solidFill>
              <w14:schemeClr w14:val="tx1"/>
            </w14:solidFill>
          </w14:textFill>
        </w:rPr>
        <w:t>法定代表人或</w:t>
      </w:r>
      <w:r>
        <w:rPr>
          <w:rFonts w:hint="eastAsia" w:ascii="宋体" w:hAnsi="宋体"/>
          <w:color w:val="000000" w:themeColor="text1"/>
          <w:highlight w:val="none"/>
          <w14:textFill>
            <w14:solidFill>
              <w14:schemeClr w14:val="tx1"/>
            </w14:solidFill>
          </w14:textFill>
        </w:rPr>
        <w:t>被授权人签字（或盖章）：</w:t>
      </w:r>
    </w:p>
    <w:p w14:paraId="7533E099">
      <w:pPr>
        <w:pStyle w:val="33"/>
        <w:spacing w:line="360" w:lineRule="auto"/>
        <w:jc w:val="right"/>
        <w:rPr>
          <w:rFonts w:hAnsi="宋体" w:eastAsia="宋体" w:cs="宋体"/>
          <w:color w:val="000000" w:themeColor="text1"/>
          <w:sz w:val="24"/>
          <w:highlight w:val="none"/>
          <w14:textFill>
            <w14:solidFill>
              <w14:schemeClr w14:val="tx1"/>
            </w14:solidFill>
          </w14:textFill>
        </w:rPr>
      </w:pPr>
      <w:r>
        <w:rPr>
          <w:rFonts w:hint="eastAsia" w:hAnsi="宋体" w:eastAsia="宋体" w:cs="宋体"/>
          <w:color w:val="000000" w:themeColor="text1"/>
          <w:sz w:val="24"/>
          <w:highlight w:val="none"/>
          <w14:textFill>
            <w14:solidFill>
              <w14:schemeClr w14:val="tx1"/>
            </w14:solidFill>
          </w14:textFill>
        </w:rPr>
        <w:t xml:space="preserve">             供应商名称（公章）：</w:t>
      </w:r>
    </w:p>
    <w:p w14:paraId="6E9BB683">
      <w:pPr>
        <w:pStyle w:val="33"/>
        <w:spacing w:line="360" w:lineRule="auto"/>
        <w:jc w:val="right"/>
        <w:rPr>
          <w:rFonts w:hAnsi="宋体" w:eastAsia="宋体"/>
          <w:color w:val="000000" w:themeColor="text1"/>
          <w:sz w:val="24"/>
          <w:szCs w:val="24"/>
          <w:highlight w:val="none"/>
          <w14:textFill>
            <w14:solidFill>
              <w14:schemeClr w14:val="tx1"/>
            </w14:solidFill>
          </w14:textFill>
        </w:rPr>
      </w:pPr>
      <w:r>
        <w:rPr>
          <w:rFonts w:hint="eastAsia" w:hAnsi="宋体" w:eastAsia="宋体"/>
          <w:color w:val="000000" w:themeColor="text1"/>
          <w:sz w:val="24"/>
          <w:szCs w:val="24"/>
          <w:highlight w:val="none"/>
          <w14:textFill>
            <w14:solidFill>
              <w14:schemeClr w14:val="tx1"/>
            </w14:solidFill>
          </w14:textFill>
        </w:rPr>
        <w:t xml:space="preserve">          日期： 年 月 日</w:t>
      </w:r>
    </w:p>
    <w:p w14:paraId="509E78A4">
      <w:pPr>
        <w:jc w:val="center"/>
        <w:rPr>
          <w:rFonts w:asciiTheme="majorEastAsia" w:hAnsiTheme="majorEastAsia" w:eastAsiaTheme="majorEastAsia" w:cstheme="majorEastAsia"/>
          <w:color w:val="000000" w:themeColor="text1"/>
          <w:sz w:val="32"/>
          <w:szCs w:val="32"/>
          <w:highlight w:val="none"/>
          <w14:textFill>
            <w14:solidFill>
              <w14:schemeClr w14:val="tx1"/>
            </w14:solidFill>
          </w14:textFill>
        </w:rPr>
      </w:pPr>
    </w:p>
    <w:p w14:paraId="071A2301">
      <w:pPr>
        <w:spacing w:line="360" w:lineRule="auto"/>
        <w:jc w:val="center"/>
        <w:outlineLvl w:val="0"/>
        <w:rPr>
          <w:rFonts w:asciiTheme="majorEastAsia" w:hAnsiTheme="majorEastAsia" w:eastAsiaTheme="majorEastAsia" w:cstheme="majorEastAsia"/>
          <w:b/>
          <w:color w:val="000000" w:themeColor="text1"/>
          <w:kern w:val="0"/>
          <w:sz w:val="36"/>
          <w:szCs w:val="36"/>
          <w:highlight w:val="none"/>
          <w14:textFill>
            <w14:solidFill>
              <w14:schemeClr w14:val="tx1"/>
            </w14:solidFill>
          </w14:textFill>
        </w:rPr>
      </w:pPr>
      <w:bookmarkStart w:id="115" w:name="_Toc729599692"/>
      <w:bookmarkStart w:id="116" w:name="_Toc1362663693"/>
    </w:p>
    <w:p w14:paraId="632B293B">
      <w:pPr>
        <w:spacing w:line="360" w:lineRule="auto"/>
        <w:jc w:val="center"/>
        <w:outlineLvl w:val="0"/>
        <w:rPr>
          <w:rFonts w:asciiTheme="majorEastAsia" w:hAnsiTheme="majorEastAsia" w:eastAsiaTheme="majorEastAsia" w:cstheme="majorEastAsia"/>
          <w:b/>
          <w:color w:val="000000" w:themeColor="text1"/>
          <w:kern w:val="0"/>
          <w:sz w:val="36"/>
          <w:szCs w:val="36"/>
          <w:highlight w:val="none"/>
          <w14:textFill>
            <w14:solidFill>
              <w14:schemeClr w14:val="tx1"/>
            </w14:solidFill>
          </w14:textFill>
        </w:rPr>
      </w:pPr>
    </w:p>
    <w:p w14:paraId="50B60924">
      <w:pPr>
        <w:pStyle w:val="12"/>
        <w:rPr>
          <w:rFonts w:asciiTheme="majorEastAsia" w:hAnsiTheme="majorEastAsia" w:eastAsiaTheme="majorEastAsia" w:cstheme="majorEastAsia"/>
          <w:b/>
          <w:color w:val="000000" w:themeColor="text1"/>
          <w:sz w:val="36"/>
          <w:szCs w:val="36"/>
          <w:highlight w:val="none"/>
          <w14:textFill>
            <w14:solidFill>
              <w14:schemeClr w14:val="tx1"/>
            </w14:solidFill>
          </w14:textFill>
        </w:rPr>
      </w:pPr>
    </w:p>
    <w:p w14:paraId="61B474E8">
      <w:pPr>
        <w:pStyle w:val="24"/>
        <w:ind w:left="480" w:firstLine="707"/>
        <w:rPr>
          <w:rFonts w:asciiTheme="majorEastAsia" w:hAnsiTheme="majorEastAsia" w:eastAsiaTheme="majorEastAsia" w:cstheme="majorEastAsia"/>
          <w:b/>
          <w:color w:val="000000" w:themeColor="text1"/>
          <w:sz w:val="36"/>
          <w:szCs w:val="36"/>
          <w:highlight w:val="none"/>
          <w14:textFill>
            <w14:solidFill>
              <w14:schemeClr w14:val="tx1"/>
            </w14:solidFill>
          </w14:textFill>
        </w:rPr>
      </w:pPr>
    </w:p>
    <w:p w14:paraId="35541F4D">
      <w:pPr>
        <w:pStyle w:val="24"/>
        <w:ind w:left="480" w:firstLine="707"/>
        <w:rPr>
          <w:rFonts w:asciiTheme="majorEastAsia" w:hAnsiTheme="majorEastAsia" w:eastAsiaTheme="majorEastAsia" w:cstheme="majorEastAsia"/>
          <w:b/>
          <w:color w:val="000000" w:themeColor="text1"/>
          <w:sz w:val="36"/>
          <w:szCs w:val="36"/>
          <w:highlight w:val="none"/>
          <w14:textFill>
            <w14:solidFill>
              <w14:schemeClr w14:val="tx1"/>
            </w14:solidFill>
          </w14:textFill>
        </w:rPr>
      </w:pPr>
    </w:p>
    <w:p w14:paraId="0149A25B">
      <w:pPr>
        <w:pStyle w:val="24"/>
        <w:ind w:left="480" w:firstLine="707"/>
        <w:rPr>
          <w:rFonts w:asciiTheme="majorEastAsia" w:hAnsiTheme="majorEastAsia" w:eastAsiaTheme="majorEastAsia" w:cstheme="majorEastAsia"/>
          <w:b/>
          <w:color w:val="000000" w:themeColor="text1"/>
          <w:sz w:val="36"/>
          <w:szCs w:val="36"/>
          <w:highlight w:val="none"/>
          <w14:textFill>
            <w14:solidFill>
              <w14:schemeClr w14:val="tx1"/>
            </w14:solidFill>
          </w14:textFill>
        </w:rPr>
      </w:pPr>
    </w:p>
    <w:p w14:paraId="692F8369">
      <w:pPr>
        <w:rPr>
          <w:rFonts w:asciiTheme="majorEastAsia" w:hAnsiTheme="majorEastAsia" w:eastAsiaTheme="majorEastAsia" w:cstheme="majorEastAsia"/>
          <w:b/>
          <w:color w:val="000000" w:themeColor="text1"/>
          <w:kern w:val="0"/>
          <w:sz w:val="36"/>
          <w:szCs w:val="36"/>
          <w:highlight w:val="none"/>
          <w14:textFill>
            <w14:solidFill>
              <w14:schemeClr w14:val="tx1"/>
            </w14:solidFill>
          </w14:textFill>
        </w:rPr>
      </w:pPr>
      <w:bookmarkStart w:id="117" w:name="_Toc3700"/>
      <w:r>
        <w:rPr>
          <w:rFonts w:hint="eastAsia" w:asciiTheme="majorEastAsia" w:hAnsiTheme="majorEastAsia" w:eastAsiaTheme="majorEastAsia" w:cstheme="majorEastAsia"/>
          <w:b/>
          <w:color w:val="000000" w:themeColor="text1"/>
          <w:kern w:val="0"/>
          <w:sz w:val="36"/>
          <w:szCs w:val="36"/>
          <w:highlight w:val="none"/>
          <w14:textFill>
            <w14:solidFill>
              <w14:schemeClr w14:val="tx1"/>
            </w14:solidFill>
          </w14:textFill>
        </w:rPr>
        <w:br w:type="page"/>
      </w:r>
    </w:p>
    <w:p w14:paraId="27C7CB73">
      <w:pPr>
        <w:spacing w:line="360" w:lineRule="auto"/>
        <w:jc w:val="center"/>
        <w:outlineLvl w:val="0"/>
        <w:rPr>
          <w:rFonts w:asciiTheme="majorEastAsia" w:hAnsiTheme="majorEastAsia" w:eastAsiaTheme="majorEastAsia" w:cstheme="majorEastAsia"/>
          <w:b/>
          <w:color w:val="000000" w:themeColor="text1"/>
          <w:kern w:val="0"/>
          <w:sz w:val="36"/>
          <w:szCs w:val="36"/>
          <w:highlight w:val="none"/>
          <w14:textFill>
            <w14:solidFill>
              <w14:schemeClr w14:val="tx1"/>
            </w14:solidFill>
          </w14:textFill>
        </w:rPr>
      </w:pPr>
      <w:r>
        <w:rPr>
          <w:rFonts w:hint="eastAsia" w:asciiTheme="majorEastAsia" w:hAnsiTheme="majorEastAsia" w:eastAsiaTheme="majorEastAsia" w:cstheme="majorEastAsia"/>
          <w:b/>
          <w:color w:val="000000" w:themeColor="text1"/>
          <w:kern w:val="0"/>
          <w:sz w:val="36"/>
          <w:szCs w:val="36"/>
          <w:highlight w:val="none"/>
          <w14:textFill>
            <w14:solidFill>
              <w14:schemeClr w14:val="tx1"/>
            </w14:solidFill>
          </w14:textFill>
        </w:rPr>
        <w:t>报价文件部分</w:t>
      </w:r>
      <w:bookmarkEnd w:id="115"/>
      <w:bookmarkEnd w:id="116"/>
      <w:bookmarkEnd w:id="117"/>
    </w:p>
    <w:p w14:paraId="05F0A9BC">
      <w:pPr>
        <w:spacing w:line="360" w:lineRule="auto"/>
        <w:jc w:val="center"/>
        <w:outlineLvl w:val="0"/>
        <w:rPr>
          <w:rFonts w:asciiTheme="majorEastAsia" w:hAnsiTheme="majorEastAsia" w:eastAsiaTheme="majorEastAsia" w:cstheme="majorEastAsia"/>
          <w:b/>
          <w:color w:val="000000" w:themeColor="text1"/>
          <w:kern w:val="0"/>
          <w:sz w:val="36"/>
          <w:szCs w:val="36"/>
          <w:highlight w:val="none"/>
          <w14:textFill>
            <w14:solidFill>
              <w14:schemeClr w14:val="tx1"/>
            </w14:solidFill>
          </w14:textFill>
        </w:rPr>
      </w:pPr>
      <w:bookmarkStart w:id="118" w:name="_Toc535733120"/>
      <w:bookmarkStart w:id="119" w:name="_Toc3337"/>
      <w:bookmarkStart w:id="120" w:name="_Toc1219753586"/>
      <w:r>
        <w:rPr>
          <w:rFonts w:hint="eastAsia" w:asciiTheme="majorEastAsia" w:hAnsiTheme="majorEastAsia" w:eastAsiaTheme="majorEastAsia" w:cstheme="majorEastAsia"/>
          <w:b/>
          <w:color w:val="000000" w:themeColor="text1"/>
          <w:kern w:val="0"/>
          <w:sz w:val="36"/>
          <w:szCs w:val="36"/>
          <w:highlight w:val="none"/>
          <w14:textFill>
            <w14:solidFill>
              <w14:schemeClr w14:val="tx1"/>
            </w14:solidFill>
          </w14:textFill>
        </w:rPr>
        <w:t>目录</w:t>
      </w:r>
      <w:bookmarkEnd w:id="118"/>
      <w:bookmarkEnd w:id="119"/>
      <w:bookmarkEnd w:id="120"/>
    </w:p>
    <w:p w14:paraId="010333EA">
      <w:pPr>
        <w:spacing w:line="360" w:lineRule="auto"/>
        <w:jc w:val="center"/>
        <w:outlineLvl w:val="0"/>
        <w:rPr>
          <w:rFonts w:asciiTheme="majorEastAsia" w:hAnsiTheme="majorEastAsia" w:eastAsiaTheme="majorEastAsia" w:cstheme="majorEastAsia"/>
          <w:b/>
          <w:color w:val="000000" w:themeColor="text1"/>
          <w:kern w:val="0"/>
          <w:sz w:val="36"/>
          <w:szCs w:val="36"/>
          <w:highlight w:val="none"/>
          <w14:textFill>
            <w14:solidFill>
              <w14:schemeClr w14:val="tx1"/>
            </w14:solidFill>
          </w14:textFill>
        </w:rPr>
      </w:pPr>
    </w:p>
    <w:p w14:paraId="007CC0A0">
      <w:pPr>
        <w:snapToGrid w:val="0"/>
        <w:spacing w:line="360" w:lineRule="auto"/>
        <w:rPr>
          <w:rFonts w:asciiTheme="majorEastAsia" w:hAnsiTheme="majorEastAsia" w:eastAsiaTheme="majorEastAsia" w:cstheme="majorEastAsia"/>
          <w:color w:val="000000" w:themeColor="text1"/>
          <w:highlight w:val="none"/>
          <w14:textFill>
            <w14:solidFill>
              <w14:schemeClr w14:val="tx1"/>
            </w14:solidFill>
          </w14:textFill>
        </w:rPr>
      </w:pPr>
      <w:r>
        <w:rPr>
          <w:rFonts w:hint="eastAsia" w:asciiTheme="majorEastAsia" w:hAnsiTheme="majorEastAsia" w:eastAsiaTheme="majorEastAsia" w:cstheme="majorEastAsia"/>
          <w:color w:val="000000" w:themeColor="text1"/>
          <w:highlight w:val="none"/>
          <w14:textFill>
            <w14:solidFill>
              <w14:schemeClr w14:val="tx1"/>
            </w14:solidFill>
          </w14:textFill>
        </w:rPr>
        <w:t>（1）报价承诺函……………………………………………………………（页码）</w:t>
      </w:r>
    </w:p>
    <w:p w14:paraId="3C02B6E6">
      <w:pPr>
        <w:snapToGrid w:val="0"/>
        <w:spacing w:line="360" w:lineRule="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（2）中小企业声明函………………………………………………………（页码）</w:t>
      </w:r>
    </w:p>
    <w:p w14:paraId="02114BDE">
      <w:pPr>
        <w:jc w:val="center"/>
        <w:rPr>
          <w:rFonts w:asciiTheme="majorEastAsia" w:hAnsiTheme="majorEastAsia" w:eastAsiaTheme="majorEastAsia" w:cstheme="majorEastAsia"/>
          <w:color w:val="000000" w:themeColor="text1"/>
          <w:sz w:val="32"/>
          <w:szCs w:val="32"/>
          <w:highlight w:val="none"/>
          <w14:textFill>
            <w14:solidFill>
              <w14:schemeClr w14:val="tx1"/>
            </w14:solidFill>
          </w14:textFill>
        </w:rPr>
      </w:pPr>
    </w:p>
    <w:p w14:paraId="106D21DB">
      <w:pPr>
        <w:rPr>
          <w:rFonts w:asciiTheme="majorEastAsia" w:hAnsiTheme="majorEastAsia" w:eastAsiaTheme="majorEastAsia" w:cstheme="majorEastAsia"/>
          <w:b/>
          <w:color w:val="000000" w:themeColor="text1"/>
          <w:sz w:val="32"/>
          <w:szCs w:val="32"/>
          <w:highlight w:val="none"/>
          <w14:textFill>
            <w14:solidFill>
              <w14:schemeClr w14:val="tx1"/>
            </w14:solidFill>
          </w14:textFill>
        </w:rPr>
      </w:pPr>
      <w:bookmarkStart w:id="121" w:name="_Toc644826177"/>
      <w:bookmarkStart w:id="122" w:name="_Toc1762729663"/>
      <w:r>
        <w:rPr>
          <w:rFonts w:hint="eastAsia" w:asciiTheme="majorEastAsia" w:hAnsiTheme="majorEastAsia" w:eastAsiaTheme="majorEastAsia" w:cstheme="majorEastAsia"/>
          <w:b/>
          <w:color w:val="000000" w:themeColor="text1"/>
          <w:sz w:val="32"/>
          <w:szCs w:val="32"/>
          <w:highlight w:val="none"/>
          <w14:textFill>
            <w14:solidFill>
              <w14:schemeClr w14:val="tx1"/>
            </w14:solidFill>
          </w14:textFill>
        </w:rPr>
        <w:br w:type="page"/>
      </w:r>
    </w:p>
    <w:p w14:paraId="3ABC37CB">
      <w:pPr>
        <w:pStyle w:val="35"/>
        <w:spacing w:before="240" w:beforeLines="100" w:after="240" w:afterLines="100" w:line="360" w:lineRule="auto"/>
        <w:jc w:val="center"/>
        <w:rPr>
          <w:rFonts w:asciiTheme="majorEastAsia" w:hAnsiTheme="majorEastAsia" w:eastAsiaTheme="majorEastAsia" w:cstheme="majorEastAsia"/>
          <w:b/>
          <w:color w:val="000000" w:themeColor="text1"/>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32"/>
          <w:szCs w:val="32"/>
          <w:highlight w:val="none"/>
          <w14:textFill>
            <w14:solidFill>
              <w14:schemeClr w14:val="tx1"/>
            </w14:solidFill>
          </w14:textFill>
        </w:rPr>
        <w:t>一、报价承诺函</w:t>
      </w:r>
    </w:p>
    <w:p w14:paraId="23394009">
      <w:pPr>
        <w:pStyle w:val="35"/>
        <w:snapToGrid w:val="0"/>
        <w:spacing w:line="324" w:lineRule="auto"/>
        <w:rPr>
          <w:rFonts w:asciiTheme="majorEastAsia" w:hAnsiTheme="majorEastAsia" w:eastAsiaTheme="majorEastAsia" w:cstheme="majorEastAsia"/>
          <w:b/>
          <w:bCs/>
          <w:color w:val="000000" w:themeColor="text1"/>
          <w:sz w:val="24"/>
          <w:highlight w:val="none"/>
          <w:lang w:val="zh-CN"/>
          <w14:textFill>
            <w14:solidFill>
              <w14:schemeClr w14:val="tx1"/>
            </w14:solidFill>
          </w14:textFill>
        </w:rPr>
      </w:pPr>
      <w:r>
        <w:rPr>
          <w:rFonts w:hint="eastAsia" w:asciiTheme="majorEastAsia" w:hAnsiTheme="majorEastAsia" w:eastAsiaTheme="majorEastAsia" w:cstheme="majorEastAsia"/>
          <w:b/>
          <w:bCs/>
          <w:color w:val="000000" w:themeColor="text1"/>
          <w:sz w:val="24"/>
          <w:highlight w:val="none"/>
          <w:u w:val="single"/>
          <w:lang w:val="zh-CN"/>
          <w14:textFill>
            <w14:solidFill>
              <w14:schemeClr w14:val="tx1"/>
            </w14:solidFill>
          </w14:textFill>
        </w:rPr>
        <w:t>嘉兴市南湖区交通运输局</w:t>
      </w:r>
      <w:r>
        <w:rPr>
          <w:rFonts w:hint="eastAsia" w:asciiTheme="majorEastAsia" w:hAnsiTheme="majorEastAsia" w:eastAsiaTheme="majorEastAsia" w:cstheme="majorEastAsia"/>
          <w:b/>
          <w:bCs/>
          <w:color w:val="000000" w:themeColor="text1"/>
          <w:sz w:val="24"/>
          <w:highlight w:val="none"/>
          <w:u w:val="single"/>
          <w14:textFill>
            <w14:solidFill>
              <w14:schemeClr w14:val="tx1"/>
            </w14:solidFill>
          </w14:textFill>
        </w:rPr>
        <w:t xml:space="preserve"> </w:t>
      </w:r>
      <w:r>
        <w:rPr>
          <w:rFonts w:hint="eastAsia" w:asciiTheme="majorEastAsia" w:hAnsiTheme="majorEastAsia" w:eastAsiaTheme="majorEastAsia" w:cstheme="majorEastAsia"/>
          <w:b/>
          <w:bCs/>
          <w:color w:val="000000" w:themeColor="text1"/>
          <w:sz w:val="24"/>
          <w:highlight w:val="none"/>
          <w:lang w:val="zh-CN"/>
          <w14:textFill>
            <w14:solidFill>
              <w14:schemeClr w14:val="tx1"/>
            </w14:solidFill>
          </w14:textFill>
        </w:rPr>
        <w:t>：</w:t>
      </w:r>
    </w:p>
    <w:p w14:paraId="6101774D">
      <w:pPr>
        <w:keepNext w:val="0"/>
        <w:keepLines w:val="0"/>
        <w:pageBreakBefore w:val="0"/>
        <w:widowControl w:val="0"/>
        <w:kinsoku/>
        <w:wordWrap/>
        <w:overflowPunct/>
        <w:topLinePunct w:val="0"/>
        <w:autoSpaceDE/>
        <w:autoSpaceDN/>
        <w:bidi w:val="0"/>
        <w:adjustRightInd w:val="0"/>
        <w:snapToGrid w:val="0"/>
        <w:spacing w:before="120" w:beforeLines="50" w:line="348" w:lineRule="auto"/>
        <w:ind w:firstLine="480" w:firstLineChars="200"/>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我方已全面阅读和研究了贵方项目征集文件和补充文件（若有），同意接受征集文件和补充文件的全部内容和条件，以本响应文件向你方采购的</w:t>
      </w:r>
      <w:r>
        <w:rPr>
          <w:rFonts w:hint="eastAsia" w:ascii="宋体" w:hAnsi="宋体"/>
          <w:color w:val="000000" w:themeColor="text1"/>
          <w:highlight w:val="none"/>
          <w:u w:val="single"/>
          <w14:textFill>
            <w14:solidFill>
              <w14:schemeClr w14:val="tx1"/>
            </w14:solidFill>
          </w14:textFill>
        </w:rPr>
        <w:t xml:space="preserve">  </w:t>
      </w:r>
      <w:r>
        <w:rPr>
          <w:rFonts w:hint="eastAsia" w:ascii="宋体" w:hAnsi="宋体"/>
          <w:color w:val="000000" w:themeColor="text1"/>
          <w:highlight w:val="none"/>
          <w:u w:val="single"/>
          <w:lang w:eastAsia="zh-CN"/>
          <w14:textFill>
            <w14:solidFill>
              <w14:schemeClr w14:val="tx1"/>
            </w14:solidFill>
          </w14:textFill>
        </w:rPr>
        <w:t>嘉兴市南湖区交通运输局2025-2027年度招标代理和造价咨询服务框架协议采购</w:t>
      </w:r>
      <w:r>
        <w:rPr>
          <w:rFonts w:hint="eastAsia" w:ascii="宋体" w:hAnsi="宋体"/>
          <w:color w:val="000000" w:themeColor="text1"/>
          <w:highlight w:val="none"/>
          <w:u w:val="single"/>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项目的全部内容进行投标响应。现经我方认真研究，结合实际情况和自身实力，我方郑重承诺一旦我方入围，我方服务费收费将按：</w:t>
      </w:r>
    </w:p>
    <w:p w14:paraId="3811CCE2">
      <w:pPr>
        <w:keepNext w:val="0"/>
        <w:keepLines w:val="0"/>
        <w:pageBreakBefore w:val="0"/>
        <w:widowControl w:val="0"/>
        <w:kinsoku/>
        <w:wordWrap/>
        <w:overflowPunct/>
        <w:topLinePunct w:val="0"/>
        <w:autoSpaceDE/>
        <w:autoSpaceDN/>
        <w:bidi w:val="0"/>
        <w:adjustRightInd w:val="0"/>
        <w:snapToGrid w:val="0"/>
        <w:spacing w:before="120" w:beforeLines="50" w:line="348" w:lineRule="auto"/>
        <w:ind w:firstLine="480" w:firstLineChars="200"/>
        <w:textAlignment w:val="auto"/>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（1）招标代理服务费按计价格[2002]1980号文及浙价服【2009】172等相关文件规定收费标准的70%计取</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14:textFill>
            <w14:solidFill>
              <w14:schemeClr w14:val="tx1"/>
            </w14:solidFill>
          </w14:textFill>
        </w:rPr>
        <w:t>招标代理服务费最低收费按</w:t>
      </w:r>
      <w:r>
        <w:rPr>
          <w:rFonts w:hint="eastAsia" w:ascii="宋体" w:hAnsi="宋体"/>
          <w:color w:val="000000" w:themeColor="text1"/>
          <w:highlight w:val="none"/>
          <w:lang w:val="en-US" w:eastAsia="zh-CN"/>
          <w14:textFill>
            <w14:solidFill>
              <w14:schemeClr w14:val="tx1"/>
            </w14:solidFill>
          </w14:textFill>
        </w:rPr>
        <w:t>5</w:t>
      </w:r>
      <w:r>
        <w:rPr>
          <w:rFonts w:hint="eastAsia" w:ascii="宋体" w:hAnsi="宋体"/>
          <w:color w:val="000000" w:themeColor="text1"/>
          <w:highlight w:val="none"/>
          <w14:textFill>
            <w14:solidFill>
              <w14:schemeClr w14:val="tx1"/>
            </w14:solidFill>
          </w14:textFill>
        </w:rPr>
        <w:t>000元/个计费</w:t>
      </w:r>
      <w:r>
        <w:rPr>
          <w:rFonts w:hint="eastAsia" w:ascii="宋体" w:hAnsi="宋体"/>
          <w:color w:val="000000" w:themeColor="text1"/>
          <w:highlight w:val="none"/>
          <w:lang w:eastAsia="zh-CN"/>
          <w14:textFill>
            <w14:solidFill>
              <w14:schemeClr w14:val="tx1"/>
            </w14:solidFill>
          </w14:textFill>
        </w:rPr>
        <w:t>；</w:t>
      </w:r>
    </w:p>
    <w:p w14:paraId="304056B5">
      <w:pPr>
        <w:keepNext w:val="0"/>
        <w:keepLines w:val="0"/>
        <w:pageBreakBefore w:val="0"/>
        <w:widowControl w:val="0"/>
        <w:kinsoku/>
        <w:wordWrap/>
        <w:overflowPunct/>
        <w:topLinePunct w:val="0"/>
        <w:autoSpaceDE/>
        <w:autoSpaceDN/>
        <w:bidi w:val="0"/>
        <w:adjustRightInd w:val="0"/>
        <w:snapToGrid w:val="0"/>
        <w:spacing w:before="120" w:beforeLines="50" w:line="348" w:lineRule="auto"/>
        <w:ind w:firstLine="480" w:firstLineChars="200"/>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（2）工程量清单及预算、招</w:t>
      </w:r>
      <w:bookmarkStart w:id="123" w:name="_GoBack"/>
      <w:bookmarkEnd w:id="123"/>
      <w:r>
        <w:rPr>
          <w:rFonts w:hint="eastAsia" w:ascii="宋体" w:hAnsi="宋体"/>
          <w:color w:val="000000" w:themeColor="text1"/>
          <w:highlight w:val="none"/>
          <w14:textFill>
            <w14:solidFill>
              <w14:schemeClr w14:val="tx1"/>
            </w14:solidFill>
          </w14:textFill>
        </w:rPr>
        <w:t>标控制价等工程造价文件的第三方审核服务，收费按《浙江省建设工程造价咨询服务收费标准》（浙价服【2009】84号文）规定的收费标准</w:t>
      </w:r>
      <w:r>
        <w:rPr>
          <w:rFonts w:hint="eastAsia" w:ascii="宋体" w:hAnsi="宋体"/>
          <w:color w:val="000000" w:themeColor="text1"/>
          <w:highlight w:val="none"/>
          <w:lang w:val="en-US" w:eastAsia="zh-CN"/>
          <w14:textFill>
            <w14:solidFill>
              <w14:schemeClr w14:val="tx1"/>
            </w14:solidFill>
          </w14:textFill>
        </w:rPr>
        <w:t>28</w:t>
      </w:r>
      <w:r>
        <w:rPr>
          <w:rFonts w:hint="eastAsia" w:ascii="宋体" w:hAnsi="宋体"/>
          <w:color w:val="000000" w:themeColor="text1"/>
          <w:highlight w:val="none"/>
          <w14:textFill>
            <w14:solidFill>
              <w14:schemeClr w14:val="tx1"/>
            </w14:solidFill>
          </w14:textFill>
        </w:rPr>
        <w:t>%计取，</w:t>
      </w:r>
      <w:r>
        <w:rPr>
          <w:rFonts w:hint="eastAsia" w:ascii="宋体" w:hAnsi="宋体"/>
          <w:color w:val="000000" w:themeColor="text1"/>
          <w:highlight w:val="none"/>
          <w14:textFill>
            <w14:solidFill>
              <w14:schemeClr w14:val="tx1"/>
            </w14:solidFill>
          </w14:textFill>
        </w:rPr>
        <w:t>最低按2000元/个计费；</w:t>
      </w:r>
    </w:p>
    <w:p w14:paraId="4F3CAB5C">
      <w:pPr>
        <w:keepNext w:val="0"/>
        <w:keepLines w:val="0"/>
        <w:pageBreakBefore w:val="0"/>
        <w:widowControl w:val="0"/>
        <w:kinsoku/>
        <w:wordWrap/>
        <w:overflowPunct/>
        <w:topLinePunct w:val="0"/>
        <w:autoSpaceDE/>
        <w:autoSpaceDN/>
        <w:bidi w:val="0"/>
        <w:adjustRightInd w:val="0"/>
        <w:snapToGrid w:val="0"/>
        <w:spacing w:before="120" w:beforeLines="50" w:line="348" w:lineRule="auto"/>
        <w:ind w:firstLine="480" w:firstLineChars="200"/>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工程造价结算审计服务：收费按《浙江省建设工程造价咨询服务收费标准》（浙价服【2009】84号文）规定的收费标准70%计取，最低按2000元/个计费。其中追加收费由各咨询单位向施工单位自行收取；</w:t>
      </w:r>
    </w:p>
    <w:p w14:paraId="6A2A1E74">
      <w:pPr>
        <w:keepNext w:val="0"/>
        <w:keepLines w:val="0"/>
        <w:pageBreakBefore w:val="0"/>
        <w:widowControl w:val="0"/>
        <w:kinsoku/>
        <w:wordWrap/>
        <w:overflowPunct/>
        <w:topLinePunct w:val="0"/>
        <w:autoSpaceDE/>
        <w:autoSpaceDN/>
        <w:bidi w:val="0"/>
        <w:adjustRightInd w:val="0"/>
        <w:snapToGrid w:val="0"/>
        <w:spacing w:before="120" w:beforeLines="50" w:line="348" w:lineRule="auto"/>
        <w:ind w:firstLine="480" w:firstLineChars="200"/>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跟踪审计服务：收费按《浙江省建设工程造价咨询服务收费标准》（浙价服【2009】84号文）规定的收费标准70%计取，最低按2000元/个计费。</w:t>
      </w:r>
    </w:p>
    <w:p w14:paraId="001A7EE6">
      <w:pPr>
        <w:keepNext w:val="0"/>
        <w:keepLines w:val="0"/>
        <w:pageBreakBefore w:val="0"/>
        <w:widowControl w:val="0"/>
        <w:kinsoku/>
        <w:wordWrap/>
        <w:overflowPunct/>
        <w:topLinePunct w:val="0"/>
        <w:autoSpaceDE/>
        <w:autoSpaceDN/>
        <w:bidi w:val="0"/>
        <w:adjustRightInd w:val="0"/>
        <w:snapToGrid w:val="0"/>
        <w:spacing w:line="348" w:lineRule="auto"/>
        <w:ind w:firstLine="480" w:firstLineChars="200"/>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我方将严格按照有关建设工程招标投标法规及征集文件的规定参加投标响应。如由我方入围，在接到你方发出的入围通知书起30天内，按入围通知书、征集文件和本响应文件的约定与你方签订入围服务框架协议，履行协议规定的一切责任和义务。</w:t>
      </w:r>
    </w:p>
    <w:p w14:paraId="3F19C618">
      <w:pPr>
        <w:keepNext w:val="0"/>
        <w:keepLines w:val="0"/>
        <w:pageBreakBefore w:val="0"/>
        <w:widowControl w:val="0"/>
        <w:kinsoku/>
        <w:wordWrap/>
        <w:overflowPunct/>
        <w:topLinePunct w:val="0"/>
        <w:autoSpaceDE/>
        <w:autoSpaceDN/>
        <w:bidi w:val="0"/>
        <w:adjustRightInd w:val="0"/>
        <w:snapToGrid w:val="0"/>
        <w:spacing w:line="348" w:lineRule="auto"/>
        <w:ind w:firstLine="480" w:firstLineChars="200"/>
        <w:textAlignment w:val="auto"/>
        <w:rPr>
          <w:rFonts w:ascii="宋体" w:hAnsi="宋体"/>
          <w:color w:val="000000" w:themeColor="text1"/>
          <w:kern w:val="0"/>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本投标响应文件自递交你方之日起</w:t>
      </w:r>
      <w:r>
        <w:rPr>
          <w:rFonts w:hint="eastAsia" w:ascii="宋体" w:hAnsi="宋体"/>
          <w:color w:val="000000" w:themeColor="text1"/>
          <w:highlight w:val="none"/>
          <w:u w:val="single"/>
          <w14:textFill>
            <w14:solidFill>
              <w14:schemeClr w14:val="tx1"/>
            </w14:solidFill>
          </w14:textFill>
        </w:rPr>
        <w:t>90</w:t>
      </w:r>
      <w:r>
        <w:rPr>
          <w:rFonts w:hint="eastAsia" w:ascii="宋体" w:hAnsi="宋体"/>
          <w:color w:val="000000" w:themeColor="text1"/>
          <w:highlight w:val="none"/>
          <w14:textFill>
            <w14:solidFill>
              <w14:schemeClr w14:val="tx1"/>
            </w14:solidFill>
          </w14:textFill>
        </w:rPr>
        <w:t>天内有效，在此有效期内，全部条款内容对我方具有约束力</w:t>
      </w:r>
      <w:r>
        <w:rPr>
          <w:rFonts w:hint="eastAsia" w:ascii="宋体" w:hAnsi="宋体"/>
          <w:color w:val="000000" w:themeColor="text1"/>
          <w:kern w:val="0"/>
          <w:highlight w:val="none"/>
          <w14:textFill>
            <w14:solidFill>
              <w14:schemeClr w14:val="tx1"/>
            </w14:solidFill>
          </w14:textFill>
        </w:rPr>
        <w:t>。</w:t>
      </w:r>
    </w:p>
    <w:p w14:paraId="3336A0CB">
      <w:pPr>
        <w:pStyle w:val="24"/>
        <w:ind w:left="0" w:leftChars="0" w:right="960" w:rightChars="400" w:firstLine="464"/>
        <w:jc w:val="right"/>
        <w:rPr>
          <w:rFonts w:hAnsi="宋体" w:cs="宋体"/>
          <w:color w:val="000000" w:themeColor="text1"/>
          <w:sz w:val="24"/>
          <w:highlight w:val="none"/>
          <w14:textFill>
            <w14:solidFill>
              <w14:schemeClr w14:val="tx1"/>
            </w14:solidFill>
          </w14:textFill>
        </w:rPr>
      </w:pPr>
    </w:p>
    <w:p w14:paraId="440A064D">
      <w:pPr>
        <w:snapToGrid w:val="0"/>
        <w:spacing w:before="120" w:beforeLines="50" w:line="360" w:lineRule="auto"/>
        <w:ind w:right="960" w:rightChars="400" w:firstLine="480" w:firstLineChars="200"/>
        <w:jc w:val="right"/>
        <w:rPr>
          <w:rFonts w:hint="eastAsia" w:ascii="宋体" w:hAnsi="宋体"/>
          <w:color w:val="000000" w:themeColor="text1"/>
          <w:kern w:val="0"/>
          <w:highlight w:val="none"/>
          <w14:textFill>
            <w14:solidFill>
              <w14:schemeClr w14:val="tx1"/>
            </w14:solidFill>
          </w14:textFill>
        </w:rPr>
      </w:pPr>
    </w:p>
    <w:p w14:paraId="6D6E7163">
      <w:pPr>
        <w:snapToGrid w:val="0"/>
        <w:spacing w:before="120" w:beforeLines="50" w:line="360" w:lineRule="auto"/>
        <w:ind w:right="960" w:rightChars="400" w:firstLine="480" w:firstLineChars="200"/>
        <w:jc w:val="right"/>
        <w:rPr>
          <w:rFonts w:ascii="宋体" w:hAnsi="宋体"/>
          <w:color w:val="000000" w:themeColor="text1"/>
          <w:highlight w:val="none"/>
          <w:u w:val="single"/>
          <w14:textFill>
            <w14:solidFill>
              <w14:schemeClr w14:val="tx1"/>
            </w14:solidFill>
          </w14:textFill>
        </w:rPr>
      </w:pPr>
      <w:r>
        <w:rPr>
          <w:rFonts w:hint="eastAsia" w:ascii="宋体" w:hAnsi="宋体"/>
          <w:color w:val="000000" w:themeColor="text1"/>
          <w:kern w:val="0"/>
          <w:highlight w:val="none"/>
          <w14:textFill>
            <w14:solidFill>
              <w14:schemeClr w14:val="tx1"/>
            </w14:solidFill>
          </w14:textFill>
        </w:rPr>
        <w:t>法定代表人或</w:t>
      </w:r>
      <w:r>
        <w:rPr>
          <w:rFonts w:hint="eastAsia" w:ascii="宋体" w:hAnsi="宋体"/>
          <w:color w:val="000000" w:themeColor="text1"/>
          <w:highlight w:val="none"/>
          <w14:textFill>
            <w14:solidFill>
              <w14:schemeClr w14:val="tx1"/>
            </w14:solidFill>
          </w14:textFill>
        </w:rPr>
        <w:t>被授权人签字（或盖章）：</w:t>
      </w:r>
    </w:p>
    <w:p w14:paraId="7CA8509C">
      <w:pPr>
        <w:pStyle w:val="33"/>
        <w:spacing w:line="360" w:lineRule="auto"/>
        <w:ind w:right="960" w:rightChars="400" w:firstLine="480" w:firstLineChars="200"/>
        <w:jc w:val="right"/>
        <w:rPr>
          <w:rFonts w:hAnsi="宋体" w:eastAsia="宋体" w:cs="宋体"/>
          <w:color w:val="000000" w:themeColor="text1"/>
          <w:sz w:val="24"/>
          <w:szCs w:val="24"/>
          <w:highlight w:val="none"/>
          <w14:textFill>
            <w14:solidFill>
              <w14:schemeClr w14:val="tx1"/>
            </w14:solidFill>
          </w14:textFill>
        </w:rPr>
      </w:pPr>
      <w:r>
        <w:rPr>
          <w:rFonts w:hint="eastAsia" w:hAnsi="宋体" w:eastAsia="宋体" w:cs="宋体"/>
          <w:color w:val="000000" w:themeColor="text1"/>
          <w:sz w:val="24"/>
          <w:szCs w:val="24"/>
          <w:highlight w:val="none"/>
          <w14:textFill>
            <w14:solidFill>
              <w14:schemeClr w14:val="tx1"/>
            </w14:solidFill>
          </w14:textFill>
        </w:rPr>
        <w:t xml:space="preserve">             供应商名称（公章）：</w:t>
      </w:r>
    </w:p>
    <w:p w14:paraId="23BCD3F8">
      <w:pPr>
        <w:pStyle w:val="33"/>
        <w:spacing w:line="360" w:lineRule="auto"/>
        <w:ind w:right="960" w:rightChars="400" w:firstLine="480" w:firstLineChars="200"/>
        <w:jc w:val="right"/>
        <w:rPr>
          <w:rFonts w:hAnsi="宋体" w:eastAsia="宋体" w:cs="宋体"/>
          <w:color w:val="000000" w:themeColor="text1"/>
          <w:sz w:val="24"/>
          <w:szCs w:val="24"/>
          <w:highlight w:val="none"/>
          <w14:textFill>
            <w14:solidFill>
              <w14:schemeClr w14:val="tx1"/>
            </w14:solidFill>
          </w14:textFill>
        </w:rPr>
      </w:pPr>
      <w:r>
        <w:rPr>
          <w:rFonts w:hint="eastAsia" w:hAnsi="宋体" w:eastAsia="宋体" w:cs="宋体"/>
          <w:color w:val="000000" w:themeColor="text1"/>
          <w:sz w:val="24"/>
          <w:szCs w:val="24"/>
          <w:highlight w:val="none"/>
          <w14:textFill>
            <w14:solidFill>
              <w14:schemeClr w14:val="tx1"/>
            </w14:solidFill>
          </w14:textFill>
        </w:rPr>
        <w:t xml:space="preserve">          日期：  年 月 日</w:t>
      </w:r>
    </w:p>
    <w:bookmarkEnd w:id="121"/>
    <w:bookmarkEnd w:id="122"/>
    <w:p w14:paraId="27AC1C86">
      <w:pPr>
        <w:rPr>
          <w:rFonts w:asciiTheme="majorEastAsia" w:hAnsiTheme="majorEastAsia" w:eastAsiaTheme="majorEastAsia" w:cstheme="majorEastAsia"/>
          <w:b/>
          <w:color w:val="000000" w:themeColor="text1"/>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32"/>
          <w:szCs w:val="32"/>
          <w:highlight w:val="none"/>
          <w14:textFill>
            <w14:solidFill>
              <w14:schemeClr w14:val="tx1"/>
            </w14:solidFill>
          </w14:textFill>
        </w:rPr>
        <w:br w:type="page"/>
      </w:r>
    </w:p>
    <w:p w14:paraId="5671ADDD">
      <w:pPr>
        <w:pStyle w:val="35"/>
        <w:spacing w:line="360" w:lineRule="auto"/>
        <w:jc w:val="center"/>
        <w:rPr>
          <w:rFonts w:asciiTheme="majorEastAsia" w:hAnsiTheme="majorEastAsia" w:eastAsiaTheme="majorEastAsia" w:cstheme="majorEastAsia"/>
          <w:b/>
          <w:color w:val="000000" w:themeColor="text1"/>
          <w:sz w:val="32"/>
          <w:szCs w:val="32"/>
          <w:highlight w:val="none"/>
          <w14:textFill>
            <w14:solidFill>
              <w14:schemeClr w14:val="tx1"/>
            </w14:solidFill>
          </w14:textFill>
        </w:rPr>
      </w:pPr>
      <w:r>
        <w:rPr>
          <w:rFonts w:hint="eastAsia" w:asciiTheme="majorEastAsia" w:hAnsiTheme="majorEastAsia" w:eastAsiaTheme="majorEastAsia" w:cstheme="majorEastAsia"/>
          <w:b/>
          <w:color w:val="000000" w:themeColor="text1"/>
          <w:sz w:val="32"/>
          <w:szCs w:val="32"/>
          <w:highlight w:val="none"/>
          <w14:textFill>
            <w14:solidFill>
              <w14:schemeClr w14:val="tx1"/>
            </w14:solidFill>
          </w14:textFill>
        </w:rPr>
        <w:t>二、中小企业声明函</w:t>
      </w:r>
    </w:p>
    <w:p w14:paraId="10F75C35">
      <w:pPr>
        <w:keepNext w:val="0"/>
        <w:keepLines w:val="0"/>
        <w:pageBreakBefore w:val="0"/>
        <w:widowControl w:val="0"/>
        <w:kinsoku/>
        <w:wordWrap/>
        <w:overflowPunct/>
        <w:topLinePunct w:val="0"/>
        <w:autoSpaceDE/>
        <w:autoSpaceDN/>
        <w:bidi w:val="0"/>
        <w:adjustRightInd/>
        <w:snapToGrid/>
        <w:spacing w:line="360" w:lineRule="auto"/>
        <w:ind w:right="0" w:firstLine="468" w:firstLineChars="200"/>
        <w:textAlignment w:val="auto"/>
        <w:rPr>
          <w:rFonts w:ascii="宋体" w:hAnsi="宋体"/>
          <w:b w:val="0"/>
          <w:bCs w:val="0"/>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本公司郑重声明，根据《政府采购促进中小企业发展管理办法》（财库﹝2020﹞46 号）的规定，本公司参加</w:t>
      </w:r>
      <w:r>
        <w:rPr>
          <w:rFonts w:hint="eastAsia" w:ascii="宋体" w:hAnsi="宋体"/>
          <w:color w:val="000000" w:themeColor="text1"/>
          <w:spacing w:val="-3"/>
          <w:highlight w:val="none"/>
          <w:u w:val="single"/>
          <w14:textFill>
            <w14:solidFill>
              <w14:schemeClr w14:val="tx1"/>
            </w14:solidFill>
          </w14:textFill>
        </w:rPr>
        <w:t xml:space="preserve">（单位名称） </w:t>
      </w:r>
      <w:r>
        <w:rPr>
          <w:rFonts w:hint="eastAsia" w:ascii="宋体" w:hAnsi="宋体"/>
          <w:color w:val="000000" w:themeColor="text1"/>
          <w:spacing w:val="-3"/>
          <w:highlight w:val="none"/>
          <w14:textFill>
            <w14:solidFill>
              <w14:schemeClr w14:val="tx1"/>
            </w14:solidFill>
          </w14:textFill>
        </w:rPr>
        <w:t xml:space="preserve"> 的 </w:t>
      </w:r>
      <w:r>
        <w:rPr>
          <w:rFonts w:hint="eastAsia" w:ascii="宋体" w:hAnsi="宋体"/>
          <w:color w:val="000000" w:themeColor="text1"/>
          <w:spacing w:val="-3"/>
          <w:highlight w:val="none"/>
          <w:u w:val="single"/>
          <w14:textFill>
            <w14:solidFill>
              <w14:schemeClr w14:val="tx1"/>
            </w14:solidFill>
          </w14:textFill>
        </w:rPr>
        <w:t xml:space="preserve">  （项目名称）</w:t>
      </w:r>
      <w:r>
        <w:rPr>
          <w:rFonts w:hint="eastAsia" w:ascii="宋体" w:hAnsi="宋体"/>
          <w:color w:val="000000" w:themeColor="text1"/>
          <w:spacing w:val="-3"/>
          <w:highlight w:val="none"/>
          <w14:textFill>
            <w14:solidFill>
              <w14:schemeClr w14:val="tx1"/>
            </w14:solidFill>
          </w14:textFill>
        </w:rPr>
        <w:t>采购活</w:t>
      </w:r>
      <w:r>
        <w:rPr>
          <w:rFonts w:hint="eastAsia" w:ascii="宋体" w:hAnsi="宋体"/>
          <w:b w:val="0"/>
          <w:bCs w:val="0"/>
          <w:color w:val="000000" w:themeColor="text1"/>
          <w:spacing w:val="-3"/>
          <w:highlight w:val="none"/>
          <w14:textFill>
            <w14:solidFill>
              <w14:schemeClr w14:val="tx1"/>
            </w14:solidFill>
          </w14:textFill>
        </w:rPr>
        <w:t>动，服务全部由符合政策要求的中小企业承接。相关企业</w:t>
      </w:r>
      <w:r>
        <w:rPr>
          <w:rFonts w:hint="eastAsia" w:ascii="宋体" w:hAnsi="宋体"/>
          <w:b w:val="0"/>
          <w:bCs w:val="0"/>
          <w:color w:val="000000" w:themeColor="text1"/>
          <w:highlight w:val="none"/>
          <w14:textFill>
            <w14:solidFill>
              <w14:schemeClr w14:val="tx1"/>
            </w14:solidFill>
          </w14:textFill>
        </w:rPr>
        <w:t>的具体情况如下：</w:t>
      </w:r>
    </w:p>
    <w:p w14:paraId="7CB561A5">
      <w:pPr>
        <w:keepNext w:val="0"/>
        <w:keepLines w:val="0"/>
        <w:pageBreakBefore w:val="0"/>
        <w:widowControl w:val="0"/>
        <w:kinsoku/>
        <w:wordWrap/>
        <w:overflowPunct/>
        <w:topLinePunct w:val="0"/>
        <w:autoSpaceDE/>
        <w:autoSpaceDN/>
        <w:bidi w:val="0"/>
        <w:adjustRightInd/>
        <w:snapToGrid/>
        <w:spacing w:line="360" w:lineRule="auto"/>
        <w:ind w:right="0" w:firstLine="468" w:firstLineChars="200"/>
        <w:textAlignment w:val="auto"/>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1.</w:t>
      </w:r>
      <w:r>
        <w:rPr>
          <w:rFonts w:hint="eastAsia" w:ascii="宋体" w:hAnsi="宋体"/>
          <w:color w:val="000000" w:themeColor="text1"/>
          <w:spacing w:val="-3"/>
          <w:highlight w:val="none"/>
          <w:u w:val="single"/>
          <w14:textFill>
            <w14:solidFill>
              <w14:schemeClr w14:val="tx1"/>
            </w14:solidFill>
          </w14:textFill>
        </w:rPr>
        <w:t>（标的名称）</w:t>
      </w:r>
      <w:r>
        <w:rPr>
          <w:rFonts w:hint="eastAsia" w:ascii="宋体" w:hAnsi="宋体"/>
          <w:color w:val="000000" w:themeColor="text1"/>
          <w:spacing w:val="-3"/>
          <w:highlight w:val="none"/>
          <w14:textFill>
            <w14:solidFill>
              <w14:schemeClr w14:val="tx1"/>
            </w14:solidFill>
          </w14:textFill>
        </w:rPr>
        <w:t>，属于</w:t>
      </w:r>
      <w:r>
        <w:rPr>
          <w:rFonts w:hint="eastAsia" w:ascii="宋体" w:hAnsi="宋体"/>
          <w:color w:val="000000" w:themeColor="text1"/>
          <w:spacing w:val="-3"/>
          <w:highlight w:val="none"/>
          <w:u w:val="single"/>
          <w14:textFill>
            <w14:solidFill>
              <w14:schemeClr w14:val="tx1"/>
            </w14:solidFill>
          </w14:textFill>
        </w:rPr>
        <w:t>（采购文件中明确所属行业）</w:t>
      </w:r>
      <w:r>
        <w:rPr>
          <w:rFonts w:hint="eastAsia" w:ascii="宋体" w:hAnsi="宋体"/>
          <w:color w:val="000000" w:themeColor="text1"/>
          <w:spacing w:val="-3"/>
          <w:highlight w:val="none"/>
          <w14:textFill>
            <w14:solidFill>
              <w14:schemeClr w14:val="tx1"/>
            </w14:solidFill>
          </w14:textFill>
        </w:rPr>
        <w:t>承接企业为</w:t>
      </w:r>
      <w:r>
        <w:rPr>
          <w:rFonts w:hint="eastAsia" w:ascii="宋体" w:hAnsi="宋体"/>
          <w:color w:val="000000" w:themeColor="text1"/>
          <w:spacing w:val="-3"/>
          <w:highlight w:val="none"/>
          <w:u w:val="single"/>
          <w14:textFill>
            <w14:solidFill>
              <w14:schemeClr w14:val="tx1"/>
            </w14:solidFill>
          </w14:textFill>
        </w:rPr>
        <w:t>（企业名称）</w:t>
      </w:r>
      <w:r>
        <w:rPr>
          <w:rFonts w:hint="eastAsia" w:ascii="宋体" w:hAnsi="宋体"/>
          <w:color w:val="000000" w:themeColor="text1"/>
          <w:spacing w:val="-3"/>
          <w:highlight w:val="none"/>
          <w14:textFill>
            <w14:solidFill>
              <w14:schemeClr w14:val="tx1"/>
            </w14:solidFill>
          </w14:textFill>
        </w:rPr>
        <w:t>从业人员</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u w:val="single"/>
          <w14:textFill>
            <w14:solidFill>
              <w14:schemeClr w14:val="tx1"/>
            </w14:solidFill>
          </w14:textFill>
        </w:rPr>
        <w:tab/>
      </w:r>
      <w:r>
        <w:rPr>
          <w:rFonts w:hint="eastAsia" w:ascii="宋体" w:hAnsi="宋体"/>
          <w:color w:val="000000" w:themeColor="text1"/>
          <w:spacing w:val="-3"/>
          <w:highlight w:val="none"/>
          <w14:textFill>
            <w14:solidFill>
              <w14:schemeClr w14:val="tx1"/>
            </w14:solidFill>
          </w14:textFill>
        </w:rPr>
        <w:t>人，营业收入为</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u w:val="single"/>
          <w14:textFill>
            <w14:solidFill>
              <w14:schemeClr w14:val="tx1"/>
            </w14:solidFill>
          </w14:textFill>
        </w:rPr>
        <w:tab/>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14:textFill>
            <w14:solidFill>
              <w14:schemeClr w14:val="tx1"/>
            </w14:solidFill>
          </w14:textFill>
        </w:rPr>
        <w:t>万元，资产总额为</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14:textFill>
            <w14:solidFill>
              <w14:schemeClr w14:val="tx1"/>
            </w14:solidFill>
          </w14:textFill>
        </w:rPr>
        <w:t>万元¹，属于（</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中型企业、</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小型企业、</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微型企业</w:t>
      </w:r>
      <w:r>
        <w:rPr>
          <w:rFonts w:hint="eastAsia" w:ascii="宋体" w:hAnsi="宋体"/>
          <w:color w:val="000000" w:themeColor="text1"/>
          <w:spacing w:val="-3"/>
          <w:highlight w:val="none"/>
          <w14:textFill>
            <w14:solidFill>
              <w14:schemeClr w14:val="tx1"/>
            </w14:solidFill>
          </w14:textFill>
        </w:rPr>
        <w:t>）；</w:t>
      </w:r>
    </w:p>
    <w:p w14:paraId="01807C6E">
      <w:pPr>
        <w:keepNext w:val="0"/>
        <w:keepLines w:val="0"/>
        <w:pageBreakBefore w:val="0"/>
        <w:widowControl w:val="0"/>
        <w:kinsoku/>
        <w:wordWrap/>
        <w:overflowPunct/>
        <w:topLinePunct w:val="0"/>
        <w:autoSpaceDE/>
        <w:autoSpaceDN/>
        <w:bidi w:val="0"/>
        <w:adjustRightInd/>
        <w:snapToGrid/>
        <w:spacing w:line="360" w:lineRule="auto"/>
        <w:ind w:right="0" w:firstLine="468" w:firstLineChars="200"/>
        <w:textAlignment w:val="auto"/>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2.（</w:t>
      </w:r>
      <w:r>
        <w:rPr>
          <w:rFonts w:hint="eastAsia" w:ascii="宋体" w:hAnsi="宋体"/>
          <w:color w:val="000000" w:themeColor="text1"/>
          <w:spacing w:val="-3"/>
          <w:highlight w:val="none"/>
          <w:u w:val="single"/>
          <w14:textFill>
            <w14:solidFill>
              <w14:schemeClr w14:val="tx1"/>
            </w14:solidFill>
          </w14:textFill>
        </w:rPr>
        <w:t>标的名称）</w:t>
      </w:r>
      <w:r>
        <w:rPr>
          <w:rFonts w:hint="eastAsia" w:ascii="宋体" w:hAnsi="宋体"/>
          <w:color w:val="000000" w:themeColor="text1"/>
          <w:spacing w:val="-3"/>
          <w:highlight w:val="none"/>
          <w14:textFill>
            <w14:solidFill>
              <w14:schemeClr w14:val="tx1"/>
            </w14:solidFill>
          </w14:textFill>
        </w:rPr>
        <w:t>，属于</w:t>
      </w:r>
      <w:r>
        <w:rPr>
          <w:rFonts w:hint="eastAsia" w:ascii="宋体" w:hAnsi="宋体"/>
          <w:color w:val="000000" w:themeColor="text1"/>
          <w:spacing w:val="-3"/>
          <w:highlight w:val="none"/>
          <w:u w:val="single"/>
          <w14:textFill>
            <w14:solidFill>
              <w14:schemeClr w14:val="tx1"/>
            </w14:solidFill>
          </w14:textFill>
        </w:rPr>
        <w:t>（采购文件中明确所属行业）</w:t>
      </w:r>
      <w:r>
        <w:rPr>
          <w:rFonts w:hint="eastAsia" w:ascii="宋体" w:hAnsi="宋体"/>
          <w:color w:val="000000" w:themeColor="text1"/>
          <w:spacing w:val="-3"/>
          <w:highlight w:val="none"/>
          <w14:textFill>
            <w14:solidFill>
              <w14:schemeClr w14:val="tx1"/>
            </w14:solidFill>
          </w14:textFill>
        </w:rPr>
        <w:t>承接企业为</w:t>
      </w:r>
      <w:r>
        <w:rPr>
          <w:rFonts w:hint="eastAsia" w:ascii="宋体" w:hAnsi="宋体"/>
          <w:color w:val="000000" w:themeColor="text1"/>
          <w:spacing w:val="-3"/>
          <w:highlight w:val="none"/>
          <w:u w:val="single"/>
          <w14:textFill>
            <w14:solidFill>
              <w14:schemeClr w14:val="tx1"/>
            </w14:solidFill>
          </w14:textFill>
        </w:rPr>
        <w:t>（企业名称）</w:t>
      </w:r>
      <w:r>
        <w:rPr>
          <w:rFonts w:hint="eastAsia" w:ascii="宋体" w:hAnsi="宋体"/>
          <w:color w:val="000000" w:themeColor="text1"/>
          <w:spacing w:val="-3"/>
          <w:highlight w:val="none"/>
          <w14:textFill>
            <w14:solidFill>
              <w14:schemeClr w14:val="tx1"/>
            </w14:solidFill>
          </w14:textFill>
        </w:rPr>
        <w:t>从业人员</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u w:val="single"/>
          <w14:textFill>
            <w14:solidFill>
              <w14:schemeClr w14:val="tx1"/>
            </w14:solidFill>
          </w14:textFill>
        </w:rPr>
        <w:tab/>
      </w:r>
      <w:r>
        <w:rPr>
          <w:rFonts w:hint="eastAsia" w:ascii="宋体" w:hAnsi="宋体"/>
          <w:color w:val="000000" w:themeColor="text1"/>
          <w:spacing w:val="-3"/>
          <w:highlight w:val="none"/>
          <w14:textFill>
            <w14:solidFill>
              <w14:schemeClr w14:val="tx1"/>
            </w14:solidFill>
          </w14:textFill>
        </w:rPr>
        <w:t>人，营业收入为</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u w:val="single"/>
          <w14:textFill>
            <w14:solidFill>
              <w14:schemeClr w14:val="tx1"/>
            </w14:solidFill>
          </w14:textFill>
        </w:rPr>
        <w:tab/>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14:textFill>
            <w14:solidFill>
              <w14:schemeClr w14:val="tx1"/>
            </w14:solidFill>
          </w14:textFill>
        </w:rPr>
        <w:t>万元，资产总额为</w:t>
      </w:r>
      <w:r>
        <w:rPr>
          <w:rFonts w:hint="eastAsia" w:ascii="宋体" w:hAnsi="宋体"/>
          <w:color w:val="000000" w:themeColor="text1"/>
          <w:spacing w:val="-3"/>
          <w:highlight w:val="none"/>
          <w:u w:val="single"/>
          <w14:textFill>
            <w14:solidFill>
              <w14:schemeClr w14:val="tx1"/>
            </w14:solidFill>
          </w14:textFill>
        </w:rPr>
        <w:t xml:space="preserve">       </w:t>
      </w:r>
      <w:r>
        <w:rPr>
          <w:rFonts w:hint="eastAsia" w:ascii="宋体" w:hAnsi="宋体"/>
          <w:color w:val="000000" w:themeColor="text1"/>
          <w:spacing w:val="-3"/>
          <w:highlight w:val="none"/>
          <w14:textFill>
            <w14:solidFill>
              <w14:schemeClr w14:val="tx1"/>
            </w14:solidFill>
          </w14:textFill>
        </w:rPr>
        <w:t>万元，属于（</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中型企业、</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小型企业、</w:t>
      </w:r>
      <w:r>
        <w:rPr>
          <w:rFonts w:hint="eastAsia" w:ascii="宋体" w:hAnsi="宋体"/>
          <w:color w:val="000000" w:themeColor="text1"/>
          <w:highlight w:val="none"/>
          <w14:textFill>
            <w14:solidFill>
              <w14:schemeClr w14:val="tx1"/>
            </w14:solidFill>
          </w14:textFill>
        </w:rPr>
        <w:sym w:font="Wingdings" w:char="00A8"/>
      </w:r>
      <w:r>
        <w:rPr>
          <w:rFonts w:hint="eastAsia" w:ascii="宋体" w:hAnsi="宋体"/>
          <w:color w:val="000000" w:themeColor="text1"/>
          <w:highlight w:val="none"/>
          <w14:textFill>
            <w14:solidFill>
              <w14:schemeClr w14:val="tx1"/>
            </w14:solidFill>
          </w14:textFill>
        </w:rPr>
        <w:t>微型企业</w:t>
      </w:r>
      <w:r>
        <w:rPr>
          <w:rFonts w:hint="eastAsia" w:ascii="宋体" w:hAnsi="宋体"/>
          <w:color w:val="000000" w:themeColor="text1"/>
          <w:spacing w:val="-3"/>
          <w:highlight w:val="none"/>
          <w14:textFill>
            <w14:solidFill>
              <w14:schemeClr w14:val="tx1"/>
            </w14:solidFill>
          </w14:textFill>
        </w:rPr>
        <w:t>）；</w:t>
      </w:r>
    </w:p>
    <w:p w14:paraId="0C59DDEA">
      <w:pPr>
        <w:keepNext w:val="0"/>
        <w:keepLines w:val="0"/>
        <w:pageBreakBefore w:val="0"/>
        <w:widowControl w:val="0"/>
        <w:kinsoku/>
        <w:wordWrap/>
        <w:overflowPunct/>
        <w:topLinePunct w:val="0"/>
        <w:autoSpaceDE/>
        <w:autoSpaceDN/>
        <w:bidi w:val="0"/>
        <w:adjustRightInd/>
        <w:snapToGrid/>
        <w:spacing w:before="108" w:after="120" w:line="360" w:lineRule="auto"/>
        <w:ind w:right="0" w:firstLine="468" w:firstLineChars="200"/>
        <w:textAlignment w:val="auto"/>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w:t>
      </w:r>
    </w:p>
    <w:p w14:paraId="50FFDC5A">
      <w:pPr>
        <w:keepNext w:val="0"/>
        <w:keepLines w:val="0"/>
        <w:pageBreakBefore w:val="0"/>
        <w:widowControl w:val="0"/>
        <w:kinsoku/>
        <w:wordWrap/>
        <w:overflowPunct/>
        <w:topLinePunct w:val="0"/>
        <w:autoSpaceDE/>
        <w:autoSpaceDN/>
        <w:bidi w:val="0"/>
        <w:adjustRightInd/>
        <w:snapToGrid/>
        <w:spacing w:before="108" w:after="120" w:line="360" w:lineRule="auto"/>
        <w:ind w:right="0" w:firstLine="468" w:firstLineChars="200"/>
        <w:textAlignment w:val="auto"/>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以上企业，不属于大企业的分支机构，不存在控股股东为大企业的情形，也不存在与大企业的负责人为同一人的情形。</w:t>
      </w:r>
    </w:p>
    <w:p w14:paraId="3943E55B">
      <w:pPr>
        <w:keepNext w:val="0"/>
        <w:keepLines w:val="0"/>
        <w:pageBreakBefore w:val="0"/>
        <w:widowControl w:val="0"/>
        <w:kinsoku/>
        <w:wordWrap/>
        <w:overflowPunct/>
        <w:topLinePunct w:val="0"/>
        <w:autoSpaceDE/>
        <w:autoSpaceDN/>
        <w:bidi w:val="0"/>
        <w:adjustRightInd/>
        <w:snapToGrid/>
        <w:spacing w:before="108" w:after="120" w:line="360" w:lineRule="auto"/>
        <w:ind w:right="0" w:firstLine="468" w:firstLineChars="200"/>
        <w:textAlignment w:val="auto"/>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本企业对上述声明内容的真实性负责。如有虚假，将依法承担相应责任。</w:t>
      </w:r>
    </w:p>
    <w:p w14:paraId="29A259A3">
      <w:pPr>
        <w:spacing w:before="108" w:after="120" w:line="304" w:lineRule="auto"/>
        <w:ind w:right="417"/>
        <w:rPr>
          <w:rFonts w:ascii="宋体" w:hAnsi="宋体"/>
          <w:color w:val="000000" w:themeColor="text1"/>
          <w:spacing w:val="-3"/>
          <w:highlight w:val="none"/>
          <w14:textFill>
            <w14:solidFill>
              <w14:schemeClr w14:val="tx1"/>
            </w14:solidFill>
          </w14:textFill>
        </w:rPr>
      </w:pPr>
    </w:p>
    <w:p w14:paraId="6BD22913">
      <w:pPr>
        <w:wordWrap w:val="0"/>
        <w:snapToGrid w:val="0"/>
        <w:spacing w:before="50" w:after="50" w:line="360" w:lineRule="auto"/>
        <w:ind w:right="720" w:rightChars="300"/>
        <w:jc w:val="right"/>
        <w:rPr>
          <w:rFonts w:ascii="宋体" w:hAnsi="宋体"/>
          <w:color w:val="000000" w:themeColor="text1"/>
          <w:highlight w:val="none"/>
          <w14:textFill>
            <w14:solidFill>
              <w14:schemeClr w14:val="tx1"/>
            </w14:solidFill>
          </w14:textFill>
        </w:rPr>
      </w:pPr>
      <w:r>
        <w:rPr>
          <w:rFonts w:hint="eastAsia" w:ascii="宋体" w:hAnsi="宋体"/>
          <w:color w:val="000000" w:themeColor="text1"/>
          <w:spacing w:val="-3"/>
          <w:highlight w:val="none"/>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法定代表人或被授权人签字（或盖章）：</w:t>
      </w:r>
    </w:p>
    <w:p w14:paraId="01F41348">
      <w:pPr>
        <w:snapToGrid w:val="0"/>
        <w:spacing w:before="50" w:after="50" w:line="360" w:lineRule="auto"/>
        <w:ind w:right="720" w:rightChars="300"/>
        <w:jc w:val="right"/>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 xml:space="preserve">                                     供应商（公章）：</w:t>
      </w:r>
    </w:p>
    <w:p w14:paraId="448B4C6F">
      <w:pPr>
        <w:snapToGrid w:val="0"/>
        <w:spacing w:before="50" w:after="50" w:line="360" w:lineRule="auto"/>
        <w:ind w:right="720" w:rightChars="300"/>
        <w:jc w:val="right"/>
        <w:rPr>
          <w:rFonts w:ascii="宋体" w:hAnsi="宋体"/>
          <w:color w:val="000000" w:themeColor="text1"/>
          <w:spacing w:val="-3"/>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日期：   年  月  日</w:t>
      </w:r>
    </w:p>
    <w:p w14:paraId="5D71B2E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color w:val="000000" w:themeColor="text1"/>
          <w:highlight w:val="none"/>
          <w14:textFill>
            <w14:solidFill>
              <w14:schemeClr w14:val="tx1"/>
            </w14:solidFill>
          </w14:textFill>
        </w:rPr>
        <w:t>注：1.¹从业人员、营业收入、资产总额填报上一年度数据，无上一年度数据的新成立企业可不填报</w:t>
      </w:r>
      <w:r>
        <w:rPr>
          <w:rFonts w:hint="eastAsia" w:ascii="宋体" w:hAnsi="宋体"/>
          <w:color w:val="000000" w:themeColor="text1"/>
          <w:highlight w:val="none"/>
          <w:lang w:eastAsia="zh-CN"/>
          <w14:textFill>
            <w14:solidFill>
              <w14:schemeClr w14:val="tx1"/>
            </w14:solidFill>
          </w14:textFill>
        </w:rPr>
        <w:t>。</w:t>
      </w:r>
    </w:p>
    <w:p w14:paraId="2A452CA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80" w:firstLineChars="200"/>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2.</w:t>
      </w:r>
      <w:r>
        <w:rPr>
          <w:rFonts w:hint="eastAsia" w:ascii="宋体" w:hAnsi="宋体"/>
          <w:color w:val="000000" w:themeColor="text1"/>
          <w:highlight w:val="none"/>
          <w14:textFill>
            <w14:solidFill>
              <w14:schemeClr w14:val="tx1"/>
            </w14:solidFill>
          </w14:textFill>
        </w:rPr>
        <w:t>根据财库〔2020〕46号的第十三条、第二十条规定：入围供应商享受本办法规定的中小企业扶持政策的，采购人、采购代理机构应当随入围结果公开入围供应商的《中小企业声明函》。 供应商按照本办法规定提供声明函内容不实的，属于提供虚假材料谋取入围，依照《中华人民共和国政府采购法》等国家有关规定追究相应责任。</w:t>
      </w:r>
    </w:p>
    <w:p w14:paraId="0074AC5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b w:val="0"/>
          <w:bCs w:val="0"/>
          <w:color w:val="000000" w:themeColor="text1"/>
          <w:highlight w:val="none"/>
          <w14:textFill>
            <w14:solidFill>
              <w14:schemeClr w14:val="tx1"/>
            </w14:solidFill>
          </w14:textFill>
        </w:rPr>
      </w:pPr>
      <w:r>
        <w:rPr>
          <w:rFonts w:hint="eastAsia" w:ascii="宋体" w:hAnsi="宋体"/>
          <w:b w:val="0"/>
          <w:bCs w:val="0"/>
          <w:color w:val="000000" w:themeColor="text1"/>
          <w:highlight w:val="none"/>
          <w14:textFill>
            <w14:solidFill>
              <w14:schemeClr w14:val="tx1"/>
            </w14:solidFill>
          </w14:textFill>
        </w:rPr>
        <w:t>3.根据实际情况，在（</w:t>
      </w:r>
      <w:r>
        <w:rPr>
          <w:rFonts w:hint="eastAsia" w:ascii="宋体" w:hAnsi="宋体"/>
          <w:b w:val="0"/>
          <w:bCs w:val="0"/>
          <w:color w:val="000000" w:themeColor="text1"/>
          <w:highlight w:val="none"/>
          <w14:textFill>
            <w14:solidFill>
              <w14:schemeClr w14:val="tx1"/>
            </w14:solidFill>
          </w14:textFill>
        </w:rPr>
        <w:sym w:font="Wingdings" w:char="00A8"/>
      </w:r>
      <w:r>
        <w:rPr>
          <w:rFonts w:hint="eastAsia" w:ascii="宋体" w:hAnsi="宋体"/>
          <w:b w:val="0"/>
          <w:bCs w:val="0"/>
          <w:color w:val="000000" w:themeColor="text1"/>
          <w:highlight w:val="none"/>
          <w14:textFill>
            <w14:solidFill>
              <w14:schemeClr w14:val="tx1"/>
            </w14:solidFill>
          </w14:textFill>
        </w:rPr>
        <w:t>中型企业、</w:t>
      </w:r>
      <w:r>
        <w:rPr>
          <w:rFonts w:hint="eastAsia" w:ascii="宋体" w:hAnsi="宋体"/>
          <w:b w:val="0"/>
          <w:bCs w:val="0"/>
          <w:color w:val="000000" w:themeColor="text1"/>
          <w:highlight w:val="none"/>
          <w14:textFill>
            <w14:solidFill>
              <w14:schemeClr w14:val="tx1"/>
            </w14:solidFill>
          </w14:textFill>
        </w:rPr>
        <w:sym w:font="Wingdings" w:char="00A8"/>
      </w:r>
      <w:r>
        <w:rPr>
          <w:rFonts w:hint="eastAsia" w:ascii="宋体" w:hAnsi="宋体"/>
          <w:b w:val="0"/>
          <w:bCs w:val="0"/>
          <w:color w:val="000000" w:themeColor="text1"/>
          <w:highlight w:val="none"/>
          <w14:textFill>
            <w14:solidFill>
              <w14:schemeClr w14:val="tx1"/>
            </w14:solidFill>
          </w14:textFill>
        </w:rPr>
        <w:t>小型企业、</w:t>
      </w:r>
      <w:r>
        <w:rPr>
          <w:rFonts w:hint="eastAsia" w:ascii="宋体" w:hAnsi="宋体"/>
          <w:b w:val="0"/>
          <w:bCs w:val="0"/>
          <w:color w:val="000000" w:themeColor="text1"/>
          <w:highlight w:val="none"/>
          <w14:textFill>
            <w14:solidFill>
              <w14:schemeClr w14:val="tx1"/>
            </w14:solidFill>
          </w14:textFill>
        </w:rPr>
        <w:sym w:font="Wingdings" w:char="00A8"/>
      </w:r>
      <w:r>
        <w:rPr>
          <w:rFonts w:hint="eastAsia" w:ascii="宋体" w:hAnsi="宋体"/>
          <w:b w:val="0"/>
          <w:bCs w:val="0"/>
          <w:color w:val="000000" w:themeColor="text1"/>
          <w:highlight w:val="none"/>
          <w14:textFill>
            <w14:solidFill>
              <w14:schemeClr w14:val="tx1"/>
            </w14:solidFill>
          </w14:textFill>
        </w:rPr>
        <w:t>微型企业）处</w:t>
      </w:r>
      <w:r>
        <w:rPr>
          <w:rFonts w:hint="eastAsia" w:ascii="宋体" w:hAnsi="宋体"/>
          <w:b w:val="0"/>
          <w:bCs w:val="0"/>
          <w:color w:val="000000" w:themeColor="text1"/>
          <w:highlight w:val="none"/>
          <w:lang w:val="en-US" w:eastAsia="zh-CN"/>
          <w14:textFill>
            <w14:solidFill>
              <w14:schemeClr w14:val="tx1"/>
            </w14:solidFill>
          </w14:textFill>
        </w:rPr>
        <w:t>点击</w:t>
      </w:r>
      <w:r>
        <w:rPr>
          <w:rFonts w:hint="eastAsia" w:ascii="宋体" w:hAnsi="宋体"/>
          <w:b w:val="0"/>
          <w:bCs w:val="0"/>
          <w:color w:val="000000" w:themeColor="text1"/>
          <w:highlight w:val="none"/>
          <w14:textFill>
            <w14:solidFill>
              <w14:schemeClr w14:val="tx1"/>
            </w14:solidFill>
          </w14:textFill>
        </w:rPr>
        <w:t>进行勾选。</w:t>
      </w:r>
    </w:p>
    <w:sectPr>
      <w:pgSz w:w="11849" w:h="16781"/>
      <w:pgMar w:top="1247" w:right="1531" w:bottom="1134" w:left="1531" w:header="851" w:footer="850"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2B285B">
    <w:pPr>
      <w:pStyle w:val="18"/>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656CA1">
                          <w:pPr>
                            <w:pStyle w:val="18"/>
                          </w:pPr>
                          <w:r>
                            <w:t xml:space="preserve">第 </w:t>
                          </w:r>
                          <w:r>
                            <w:fldChar w:fldCharType="begin"/>
                          </w:r>
                          <w:r>
                            <w:instrText xml:space="preserve"> PAGE  \* MERGEFORMAT </w:instrText>
                          </w:r>
                          <w:r>
                            <w:fldChar w:fldCharType="separate"/>
                          </w:r>
                          <w:r>
                            <w:t>33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21656CA1">
                    <w:pPr>
                      <w:pStyle w:val="18"/>
                    </w:pPr>
                    <w:r>
                      <w:t xml:space="preserve">第 </w:t>
                    </w:r>
                    <w:r>
                      <w:fldChar w:fldCharType="begin"/>
                    </w:r>
                    <w:r>
                      <w:instrText xml:space="preserve"> PAGE  \* MERGEFORMAT </w:instrText>
                    </w:r>
                    <w:r>
                      <w:fldChar w:fldCharType="separate"/>
                    </w:r>
                    <w:r>
                      <w:t>33</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39876">
    <w:pPr>
      <w:pStyle w:val="18"/>
      <w:ind w:right="720" w:firstLine="210" w:firstLineChars="100"/>
      <w:jc w:val="center"/>
      <w:rPr>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727835" cy="17272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727835" cy="172720"/>
                      </a:xfrm>
                      <a:prstGeom prst="rect">
                        <a:avLst/>
                      </a:prstGeom>
                      <a:noFill/>
                      <a:ln>
                        <a:noFill/>
                      </a:ln>
                      <a:effectLst/>
                    </wps:spPr>
                    <wps:txbx>
                      <w:txbxContent>
                        <w:p w14:paraId="0732D1B6">
                          <w:pPr>
                            <w:pStyle w:val="18"/>
                            <w:ind w:right="720" w:firstLine="180" w:firstLineChars="100"/>
                            <w:jc w:val="center"/>
                          </w:pPr>
                          <w:r>
                            <w:t xml:space="preserve">第 </w:t>
                          </w:r>
                          <w:r>
                            <w:fldChar w:fldCharType="begin"/>
                          </w:r>
                          <w:r>
                            <w:instrText xml:space="preserve"> PAGE  \* MERGEFORMAT </w:instrText>
                          </w:r>
                          <w:r>
                            <w:fldChar w:fldCharType="separate"/>
                          </w:r>
                          <w:r>
                            <w:t>46</w:t>
                          </w:r>
                          <w:r>
                            <w:fldChar w:fldCharType="end"/>
                          </w:r>
                          <w: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3.6pt;width:136.05pt;mso-position-horizontal:center;mso-position-horizontal-relative:margin;mso-wrap-style:none;z-index:251659264;mso-width-relative:page;mso-height-relative:page;" filled="f" stroked="f" coordsize="21600,21600" o:gfxdata="UEsDBAoAAAAAAIdO4kAAAAAAAAAAAAAAAAAEAAAAZHJzL1BLAwQUAAAACACHTuJAeJywytAAAAAE&#10;AQAADwAAAGRycy9kb3ducmV2LnhtbE2PMU/DMBCFdyT+g3VIbNRJBlqlcTpU6sJGQUhsbnyNo9rn&#10;yHbT5N9zdIHl9E7v9N53zW72TkwY0xBIQbkqQCB1wQzUK/j8OLxsQKSsyWgXCBUsmGDXPj40ujbh&#10;Ru84HXMvOIRSrRXYnMdaytRZ9DqtwojE3jlErzOvsZcm6huHeyeroniVXg/EDVaPuLfYXY5Xr2A9&#10;fwUcE+7x+zx10Q7Lxr0tSj0/lcUWRMY5/x3DLz6jQ8tMp3Alk4RTwI/k+2SvWlcliNNdgGwb+R++&#10;/QFQSwMEFAAAAAgAh07iQLMZBXvRAQAApgMAAA4AAABkcnMvZTJvRG9jLnhtbK1TS44TMRDdI3EH&#10;y3vSSRDMqJXOCBQNQkKANMMBHHc5bck/uZx05wJwA1Zs2HOunIOyu5OBYTMLNu5yufzqvefq1c1g&#10;DTtARO1dwxezOWfgpG+12zX8y/3ti2vOMAnXCuMdNPwIyG/Wz5+t+lDD0nfetBAZgTis+9DwLqVQ&#10;VxXKDqzAmQ/g6FD5aEWibdxVbRQ9oVtTLefz11XvYxuil4BI2c14yCfE+BRAr5SWsPFyb8GlETWC&#10;EYkkYacD8nVhqxTI9EkphMRMw0lpKis1oXib12q9EvUuitBpOVEQT6HwSJMV2lHTC9RGJMH2Uf8D&#10;ZbWMHr1KM+ltNQopjpCKxfyRN3edCFC0kNUYLqbj/4OVHw+fI9MtTQJnTlh68NP3b6cfv04/v7JF&#10;tqcPWFPVXaC6NLz1Qy6d8kjJrHpQ0eYv6WF0TuYeL+bCkJjMl66WV9cvX3Em6SxvlsX96uF2iJje&#10;gbcsBw2P9HjFU3H4gIk6Uum5JDdz/lYbUx7QuL8SVDhmoEzAdDsLGQnnKA3bYVKx9e2RxPU0BQ13&#10;NPScmfeOTM4Dcw7iOdieg32IetcR0UVhieHNPhGlwjR3GGGJdt7Q8xUB06jl+fhzX6oefq/1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HicsMrQAAAABAEAAA8AAAAAAAAAAQAgAAAAIgAAAGRycy9k&#10;b3ducmV2LnhtbFBLAQIUABQAAAAIAIdO4kCzGQV70QEAAKYDAAAOAAAAAAAAAAEAIAAAAB8BAABk&#10;cnMvZTJvRG9jLnhtbFBLBQYAAAAABgAGAFkBAABiBQAAAAA=&#10;">
              <v:fill on="f" focussize="0,0"/>
              <v:stroke on="f"/>
              <v:imagedata o:title=""/>
              <o:lock v:ext="edit" aspectratio="f"/>
              <v:textbox inset="0mm,0mm,0mm,0mm" style="mso-fit-shape-to-text:t;">
                <w:txbxContent>
                  <w:p w14:paraId="0732D1B6">
                    <w:pPr>
                      <w:pStyle w:val="18"/>
                      <w:ind w:right="720" w:firstLine="180" w:firstLineChars="100"/>
                      <w:jc w:val="center"/>
                    </w:pPr>
                    <w:r>
                      <w:t xml:space="preserve">第 </w:t>
                    </w:r>
                    <w:r>
                      <w:fldChar w:fldCharType="begin"/>
                    </w:r>
                    <w:r>
                      <w:instrText xml:space="preserve"> PAGE  \* MERGEFORMAT </w:instrText>
                    </w:r>
                    <w:r>
                      <w:fldChar w:fldCharType="separate"/>
                    </w:r>
                    <w:r>
                      <w:t>46</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95A16">
    <w:pPr>
      <w:pStyle w:val="18"/>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07D1C0">
                          <w:pPr>
                            <w:pStyle w:val="18"/>
                          </w:pPr>
                          <w:r>
                            <w:t xml:space="preserve">第 </w:t>
                          </w:r>
                          <w:r>
                            <w:fldChar w:fldCharType="begin"/>
                          </w:r>
                          <w:r>
                            <w:instrText xml:space="preserve"> PAGE  \* MERGEFORMAT </w:instrText>
                          </w:r>
                          <w:r>
                            <w:fldChar w:fldCharType="separate"/>
                          </w:r>
                          <w:r>
                            <w:t>54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1707D1C0">
                    <w:pPr>
                      <w:pStyle w:val="18"/>
                    </w:pPr>
                    <w:r>
                      <w:t xml:space="preserve">第 </w:t>
                    </w:r>
                    <w:r>
                      <w:fldChar w:fldCharType="begin"/>
                    </w:r>
                    <w:r>
                      <w:instrText xml:space="preserve"> PAGE  \* MERGEFORMAT </w:instrText>
                    </w:r>
                    <w:r>
                      <w:fldChar w:fldCharType="separate"/>
                    </w:r>
                    <w:r>
                      <w:t>54</w:t>
                    </w:r>
                    <w:r>
                      <w:fldChar w:fldCharType="end"/>
                    </w:r>
                    <w:r>
                      <w:t xml:space="preserve"> 页</w:t>
                    </w:r>
                  </w:p>
                </w:txbxContent>
              </v:textbox>
            </v:shape>
          </w:pict>
        </mc:Fallback>
      </mc:AlternateContent>
    </w:r>
  </w:p>
  <w:p w14:paraId="0927D062">
    <w:pPr>
      <w:pStyle w:val="18"/>
      <w:ind w:right="720" w:firstLine="210" w:firstLineChars="100"/>
      <w:jc w:val="center"/>
      <w:rPr>
        <w:sz w:val="21"/>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CCA85">
    <w:pPr>
      <w:pStyle w:val="19"/>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28365">
    <w:pPr>
      <w:pStyle w:val="19"/>
      <w:pBdr>
        <w:bottom w:val="none" w:color="auto" w:sz="0" w:space="1"/>
      </w:pBdr>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2CA47C">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ABFF80"/>
    <w:multiLevelType w:val="singleLevel"/>
    <w:tmpl w:val="85ABFF80"/>
    <w:lvl w:ilvl="0" w:tentative="0">
      <w:start w:val="2"/>
      <w:numFmt w:val="decimal"/>
      <w:lvlText w:val="%1."/>
      <w:lvlJc w:val="left"/>
      <w:pPr>
        <w:tabs>
          <w:tab w:val="left" w:pos="312"/>
        </w:tabs>
      </w:pPr>
    </w:lvl>
  </w:abstractNum>
  <w:abstractNum w:abstractNumId="1">
    <w:nsid w:val="91B18877"/>
    <w:multiLevelType w:val="singleLevel"/>
    <w:tmpl w:val="91B18877"/>
    <w:lvl w:ilvl="0" w:tentative="0">
      <w:start w:val="1"/>
      <w:numFmt w:val="decimal"/>
      <w:suff w:val="nothing"/>
      <w:lvlText w:val="%1．"/>
      <w:lvlJc w:val="left"/>
      <w:pPr>
        <w:ind w:left="0" w:firstLine="400"/>
      </w:pPr>
      <w:rPr>
        <w:rFonts w:hint="default"/>
      </w:rPr>
    </w:lvl>
  </w:abstractNum>
  <w:abstractNum w:abstractNumId="2">
    <w:nsid w:val="C22CED86"/>
    <w:multiLevelType w:val="singleLevel"/>
    <w:tmpl w:val="C22CED86"/>
    <w:lvl w:ilvl="0" w:tentative="0">
      <w:start w:val="1"/>
      <w:numFmt w:val="decimal"/>
      <w:lvlText w:val="(%1)"/>
      <w:lvlJc w:val="left"/>
      <w:pPr>
        <w:tabs>
          <w:tab w:val="left" w:pos="0"/>
        </w:tabs>
        <w:ind w:left="0" w:firstLine="0"/>
      </w:pPr>
      <w:rPr>
        <w:rFonts w:hint="default"/>
      </w:rPr>
    </w:lvl>
  </w:abstractNum>
  <w:abstractNum w:abstractNumId="3">
    <w:nsid w:val="C6F6BED5"/>
    <w:multiLevelType w:val="singleLevel"/>
    <w:tmpl w:val="C6F6BED5"/>
    <w:lvl w:ilvl="0" w:tentative="0">
      <w:start w:val="3"/>
      <w:numFmt w:val="decimal"/>
      <w:suff w:val="nothing"/>
      <w:lvlText w:val="%1、"/>
      <w:lvlJc w:val="left"/>
    </w:lvl>
  </w:abstractNum>
  <w:abstractNum w:abstractNumId="4">
    <w:nsid w:val="D6356B61"/>
    <w:multiLevelType w:val="singleLevel"/>
    <w:tmpl w:val="D6356B61"/>
    <w:lvl w:ilvl="0" w:tentative="0">
      <w:start w:val="1"/>
      <w:numFmt w:val="decimal"/>
      <w:suff w:val="space"/>
      <w:lvlText w:val="%1."/>
      <w:lvlJc w:val="left"/>
    </w:lvl>
  </w:abstractNum>
  <w:abstractNum w:abstractNumId="5">
    <w:nsid w:val="DB05AE5D"/>
    <w:multiLevelType w:val="singleLevel"/>
    <w:tmpl w:val="DB05AE5D"/>
    <w:lvl w:ilvl="0" w:tentative="0">
      <w:start w:val="3"/>
      <w:numFmt w:val="decimal"/>
      <w:suff w:val="nothing"/>
      <w:lvlText w:val="（%1）"/>
      <w:lvlJc w:val="left"/>
    </w:lvl>
  </w:abstractNum>
  <w:abstractNum w:abstractNumId="6">
    <w:nsid w:val="FF7FC551"/>
    <w:multiLevelType w:val="singleLevel"/>
    <w:tmpl w:val="FF7FC551"/>
    <w:lvl w:ilvl="0" w:tentative="0">
      <w:start w:val="1"/>
      <w:numFmt w:val="decimal"/>
      <w:suff w:val="nothing"/>
      <w:lvlText w:val="（%1）"/>
      <w:lvlJc w:val="left"/>
    </w:lvl>
  </w:abstractNum>
  <w:abstractNum w:abstractNumId="7">
    <w:nsid w:val="1A7DF1BB"/>
    <w:multiLevelType w:val="singleLevel"/>
    <w:tmpl w:val="1A7DF1BB"/>
    <w:lvl w:ilvl="0" w:tentative="0">
      <w:start w:val="1"/>
      <w:numFmt w:val="decimal"/>
      <w:suff w:val="nothing"/>
      <w:lvlText w:val="%1．"/>
      <w:lvlJc w:val="left"/>
      <w:pPr>
        <w:ind w:left="0" w:firstLine="400"/>
      </w:pPr>
      <w:rPr>
        <w:rFonts w:hint="default"/>
      </w:rPr>
    </w:lvl>
  </w:abstractNum>
  <w:abstractNum w:abstractNumId="8">
    <w:nsid w:val="4F58A4F0"/>
    <w:multiLevelType w:val="singleLevel"/>
    <w:tmpl w:val="4F58A4F0"/>
    <w:lvl w:ilvl="0" w:tentative="0">
      <w:start w:val="1"/>
      <w:numFmt w:val="decimal"/>
      <w:suff w:val="nothing"/>
      <w:lvlText w:val="%1．"/>
      <w:lvlJc w:val="left"/>
      <w:pPr>
        <w:ind w:left="0" w:firstLine="400"/>
      </w:pPr>
      <w:rPr>
        <w:rFonts w:hint="default"/>
      </w:rPr>
    </w:lvl>
  </w:abstractNum>
  <w:abstractNum w:abstractNumId="9">
    <w:nsid w:val="52E2E5D5"/>
    <w:multiLevelType w:val="singleLevel"/>
    <w:tmpl w:val="52E2E5D5"/>
    <w:lvl w:ilvl="0" w:tentative="0">
      <w:start w:val="1"/>
      <w:numFmt w:val="decimal"/>
      <w:lvlText w:val="(%1)"/>
      <w:lvlJc w:val="left"/>
      <w:pPr>
        <w:tabs>
          <w:tab w:val="left" w:pos="0"/>
        </w:tabs>
        <w:ind w:left="0" w:firstLine="0"/>
      </w:pPr>
      <w:rPr>
        <w:rFonts w:hint="default"/>
      </w:rPr>
    </w:lvl>
  </w:abstractNum>
  <w:abstractNum w:abstractNumId="10">
    <w:nsid w:val="6AB019D5"/>
    <w:multiLevelType w:val="singleLevel"/>
    <w:tmpl w:val="6AB019D5"/>
    <w:lvl w:ilvl="0" w:tentative="0">
      <w:start w:val="4"/>
      <w:numFmt w:val="decimal"/>
      <w:lvlText w:val="%1."/>
      <w:lvlJc w:val="left"/>
      <w:pPr>
        <w:tabs>
          <w:tab w:val="left" w:pos="312"/>
        </w:tabs>
      </w:pPr>
    </w:lvl>
  </w:abstractNum>
  <w:abstractNum w:abstractNumId="11">
    <w:nsid w:val="6F1F1FA5"/>
    <w:multiLevelType w:val="singleLevel"/>
    <w:tmpl w:val="6F1F1FA5"/>
    <w:lvl w:ilvl="0" w:tentative="0">
      <w:start w:val="1"/>
      <w:numFmt w:val="decimal"/>
      <w:pStyle w:val="7"/>
      <w:lvlText w:val="%1."/>
      <w:lvlJc w:val="left"/>
      <w:pPr>
        <w:tabs>
          <w:tab w:val="left" w:pos="360"/>
        </w:tabs>
        <w:ind w:left="360" w:hanging="360"/>
      </w:pPr>
    </w:lvl>
  </w:abstractNum>
  <w:abstractNum w:abstractNumId="12">
    <w:nsid w:val="6FFE7F61"/>
    <w:multiLevelType w:val="singleLevel"/>
    <w:tmpl w:val="6FFE7F61"/>
    <w:lvl w:ilvl="0" w:tentative="0">
      <w:start w:val="1"/>
      <w:numFmt w:val="decimal"/>
      <w:lvlText w:val="(%1)"/>
      <w:lvlJc w:val="left"/>
      <w:pPr>
        <w:tabs>
          <w:tab w:val="left" w:pos="0"/>
        </w:tabs>
        <w:ind w:left="0" w:firstLine="0"/>
      </w:pPr>
      <w:rPr>
        <w:rFonts w:hint="default"/>
      </w:rPr>
    </w:lvl>
  </w:abstractNum>
  <w:abstractNum w:abstractNumId="13">
    <w:nsid w:val="78EF7919"/>
    <w:multiLevelType w:val="singleLevel"/>
    <w:tmpl w:val="78EF7919"/>
    <w:lvl w:ilvl="0" w:tentative="0">
      <w:start w:val="1"/>
      <w:numFmt w:val="decimal"/>
      <w:lvlText w:val="(%1)"/>
      <w:lvlJc w:val="left"/>
      <w:pPr>
        <w:tabs>
          <w:tab w:val="left" w:pos="0"/>
        </w:tabs>
        <w:ind w:left="0" w:firstLine="0"/>
      </w:pPr>
      <w:rPr>
        <w:rFonts w:hint="default"/>
      </w:rPr>
    </w:lvl>
  </w:abstractNum>
  <w:abstractNum w:abstractNumId="14">
    <w:nsid w:val="7EEEC8A2"/>
    <w:multiLevelType w:val="singleLevel"/>
    <w:tmpl w:val="7EEEC8A2"/>
    <w:lvl w:ilvl="0" w:tentative="0">
      <w:start w:val="1"/>
      <w:numFmt w:val="decimal"/>
      <w:suff w:val="nothing"/>
      <w:lvlText w:val="（%1）"/>
      <w:lvlJc w:val="left"/>
    </w:lvl>
  </w:abstractNum>
  <w:num w:numId="1">
    <w:abstractNumId w:val="11"/>
  </w:num>
  <w:num w:numId="2">
    <w:abstractNumId w:val="3"/>
  </w:num>
  <w:num w:numId="3">
    <w:abstractNumId w:val="9"/>
  </w:num>
  <w:num w:numId="4">
    <w:abstractNumId w:val="12"/>
  </w:num>
  <w:num w:numId="5">
    <w:abstractNumId w:val="10"/>
  </w:num>
  <w:num w:numId="6">
    <w:abstractNumId w:val="2"/>
  </w:num>
  <w:num w:numId="7">
    <w:abstractNumId w:val="13"/>
  </w:num>
  <w:num w:numId="8">
    <w:abstractNumId w:val="5"/>
  </w:num>
  <w:num w:numId="9">
    <w:abstractNumId w:val="1"/>
  </w:num>
  <w:num w:numId="10">
    <w:abstractNumId w:val="7"/>
  </w:num>
  <w:num w:numId="11">
    <w:abstractNumId w:val="8"/>
  </w:num>
  <w:num w:numId="12">
    <w:abstractNumId w:val="6"/>
  </w:num>
  <w:num w:numId="13">
    <w:abstractNumId w:val="0"/>
  </w:num>
  <w:num w:numId="14">
    <w:abstractNumId w:val="14"/>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SystemFonts/>
  <w:bordersDoNotSurroundHeader w:val="1"/>
  <w:bordersDoNotSurroundFooter w:val="1"/>
  <w:documentProtection w:enforcement="0"/>
  <w:defaultTabStop w:val="0"/>
  <w:drawingGridHorizontalSpacing w:val="1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1ZTZmYzMzNDA2NWY2ZTVmZWE4MWE3MGUyZDFiMGUifQ=="/>
  </w:docVars>
  <w:rsids>
    <w:rsidRoot w:val="3B9B3E26"/>
    <w:rsid w:val="00002AA7"/>
    <w:rsid w:val="00002B1F"/>
    <w:rsid w:val="00004555"/>
    <w:rsid w:val="00006D34"/>
    <w:rsid w:val="000108B6"/>
    <w:rsid w:val="00011F31"/>
    <w:rsid w:val="00014A54"/>
    <w:rsid w:val="000175CA"/>
    <w:rsid w:val="00017601"/>
    <w:rsid w:val="00020E19"/>
    <w:rsid w:val="00022413"/>
    <w:rsid w:val="000279C0"/>
    <w:rsid w:val="00030559"/>
    <w:rsid w:val="0003664B"/>
    <w:rsid w:val="00036B88"/>
    <w:rsid w:val="00042AB1"/>
    <w:rsid w:val="0004607B"/>
    <w:rsid w:val="000511DF"/>
    <w:rsid w:val="000518FB"/>
    <w:rsid w:val="00053754"/>
    <w:rsid w:val="0005456A"/>
    <w:rsid w:val="00056756"/>
    <w:rsid w:val="00061B17"/>
    <w:rsid w:val="00065907"/>
    <w:rsid w:val="00067BC8"/>
    <w:rsid w:val="00071B7E"/>
    <w:rsid w:val="00072CA4"/>
    <w:rsid w:val="00072F55"/>
    <w:rsid w:val="00077280"/>
    <w:rsid w:val="00077396"/>
    <w:rsid w:val="00077E34"/>
    <w:rsid w:val="00081D6D"/>
    <w:rsid w:val="00083106"/>
    <w:rsid w:val="00084C23"/>
    <w:rsid w:val="00084E44"/>
    <w:rsid w:val="00085656"/>
    <w:rsid w:val="00086A9C"/>
    <w:rsid w:val="00096578"/>
    <w:rsid w:val="000978DB"/>
    <w:rsid w:val="000A1849"/>
    <w:rsid w:val="000A1AA8"/>
    <w:rsid w:val="000A24BA"/>
    <w:rsid w:val="000A3EC9"/>
    <w:rsid w:val="000A5FC9"/>
    <w:rsid w:val="000B281A"/>
    <w:rsid w:val="000C0B7C"/>
    <w:rsid w:val="000C3713"/>
    <w:rsid w:val="000C3F2D"/>
    <w:rsid w:val="000D4119"/>
    <w:rsid w:val="000D5ACE"/>
    <w:rsid w:val="000E2908"/>
    <w:rsid w:val="000F0ED6"/>
    <w:rsid w:val="000F4372"/>
    <w:rsid w:val="000F5D32"/>
    <w:rsid w:val="0010133B"/>
    <w:rsid w:val="00103375"/>
    <w:rsid w:val="00103726"/>
    <w:rsid w:val="001050AF"/>
    <w:rsid w:val="0010549D"/>
    <w:rsid w:val="00106EA7"/>
    <w:rsid w:val="00107633"/>
    <w:rsid w:val="00113C7E"/>
    <w:rsid w:val="00115454"/>
    <w:rsid w:val="00116E8C"/>
    <w:rsid w:val="001174FA"/>
    <w:rsid w:val="00136DC7"/>
    <w:rsid w:val="001465F9"/>
    <w:rsid w:val="00146C3D"/>
    <w:rsid w:val="001653E5"/>
    <w:rsid w:val="001669C2"/>
    <w:rsid w:val="00167A9E"/>
    <w:rsid w:val="00170E51"/>
    <w:rsid w:val="001720DA"/>
    <w:rsid w:val="0017308E"/>
    <w:rsid w:val="00173758"/>
    <w:rsid w:val="00174695"/>
    <w:rsid w:val="0017602E"/>
    <w:rsid w:val="00176270"/>
    <w:rsid w:val="00180604"/>
    <w:rsid w:val="00182F2F"/>
    <w:rsid w:val="001859B1"/>
    <w:rsid w:val="00186951"/>
    <w:rsid w:val="00191EB8"/>
    <w:rsid w:val="00194949"/>
    <w:rsid w:val="00197F27"/>
    <w:rsid w:val="001A0EF4"/>
    <w:rsid w:val="001A1887"/>
    <w:rsid w:val="001A5D16"/>
    <w:rsid w:val="001A6E55"/>
    <w:rsid w:val="001B0B0A"/>
    <w:rsid w:val="001B3DF6"/>
    <w:rsid w:val="001C13C4"/>
    <w:rsid w:val="001C38FC"/>
    <w:rsid w:val="001C4134"/>
    <w:rsid w:val="001C6DEB"/>
    <w:rsid w:val="001D0165"/>
    <w:rsid w:val="001E668B"/>
    <w:rsid w:val="001F58CE"/>
    <w:rsid w:val="001F5ED5"/>
    <w:rsid w:val="001F6327"/>
    <w:rsid w:val="002013B5"/>
    <w:rsid w:val="0020169F"/>
    <w:rsid w:val="00201854"/>
    <w:rsid w:val="00201AC5"/>
    <w:rsid w:val="00206B02"/>
    <w:rsid w:val="00210038"/>
    <w:rsid w:val="00211272"/>
    <w:rsid w:val="00214D1B"/>
    <w:rsid w:val="00215E82"/>
    <w:rsid w:val="00216FCA"/>
    <w:rsid w:val="002176D0"/>
    <w:rsid w:val="00224612"/>
    <w:rsid w:val="00226792"/>
    <w:rsid w:val="00232287"/>
    <w:rsid w:val="00233162"/>
    <w:rsid w:val="002358CC"/>
    <w:rsid w:val="00240D1F"/>
    <w:rsid w:val="00241CBF"/>
    <w:rsid w:val="00242DE4"/>
    <w:rsid w:val="002457A9"/>
    <w:rsid w:val="00255B69"/>
    <w:rsid w:val="00262574"/>
    <w:rsid w:val="00262DA9"/>
    <w:rsid w:val="00263474"/>
    <w:rsid w:val="00272130"/>
    <w:rsid w:val="00275638"/>
    <w:rsid w:val="0027613E"/>
    <w:rsid w:val="00281EF6"/>
    <w:rsid w:val="0028406C"/>
    <w:rsid w:val="0028450E"/>
    <w:rsid w:val="00291D66"/>
    <w:rsid w:val="002922DF"/>
    <w:rsid w:val="0029244B"/>
    <w:rsid w:val="00296412"/>
    <w:rsid w:val="002A0C37"/>
    <w:rsid w:val="002A1ACB"/>
    <w:rsid w:val="002A56BA"/>
    <w:rsid w:val="002B1C80"/>
    <w:rsid w:val="002B5558"/>
    <w:rsid w:val="002D2F19"/>
    <w:rsid w:val="002D3223"/>
    <w:rsid w:val="002D3D8C"/>
    <w:rsid w:val="002D48A1"/>
    <w:rsid w:val="002D67C4"/>
    <w:rsid w:val="002E605F"/>
    <w:rsid w:val="002F0C4F"/>
    <w:rsid w:val="002F2151"/>
    <w:rsid w:val="002F6074"/>
    <w:rsid w:val="003018D2"/>
    <w:rsid w:val="00303782"/>
    <w:rsid w:val="00304192"/>
    <w:rsid w:val="00305861"/>
    <w:rsid w:val="0031097E"/>
    <w:rsid w:val="00316620"/>
    <w:rsid w:val="00317F6B"/>
    <w:rsid w:val="003222AF"/>
    <w:rsid w:val="00324DD5"/>
    <w:rsid w:val="00326C8F"/>
    <w:rsid w:val="00327F5F"/>
    <w:rsid w:val="00330E7E"/>
    <w:rsid w:val="00335CFF"/>
    <w:rsid w:val="00341B73"/>
    <w:rsid w:val="003427BC"/>
    <w:rsid w:val="003447BE"/>
    <w:rsid w:val="0034588E"/>
    <w:rsid w:val="00351363"/>
    <w:rsid w:val="003545F3"/>
    <w:rsid w:val="00354B71"/>
    <w:rsid w:val="00361E8E"/>
    <w:rsid w:val="003666CD"/>
    <w:rsid w:val="003809D7"/>
    <w:rsid w:val="003824B9"/>
    <w:rsid w:val="00385451"/>
    <w:rsid w:val="00387139"/>
    <w:rsid w:val="00387219"/>
    <w:rsid w:val="00393038"/>
    <w:rsid w:val="003962EF"/>
    <w:rsid w:val="003A2188"/>
    <w:rsid w:val="003A3D3C"/>
    <w:rsid w:val="003A6229"/>
    <w:rsid w:val="003B19F5"/>
    <w:rsid w:val="003B3214"/>
    <w:rsid w:val="003B7A51"/>
    <w:rsid w:val="003B7A68"/>
    <w:rsid w:val="003C6A04"/>
    <w:rsid w:val="003C6A35"/>
    <w:rsid w:val="003D1010"/>
    <w:rsid w:val="003D5C96"/>
    <w:rsid w:val="003E1989"/>
    <w:rsid w:val="003E2FBF"/>
    <w:rsid w:val="003E620D"/>
    <w:rsid w:val="003E650D"/>
    <w:rsid w:val="003F1C4E"/>
    <w:rsid w:val="0040059A"/>
    <w:rsid w:val="00415232"/>
    <w:rsid w:val="0041525E"/>
    <w:rsid w:val="004166A8"/>
    <w:rsid w:val="00417567"/>
    <w:rsid w:val="004200F4"/>
    <w:rsid w:val="004201A1"/>
    <w:rsid w:val="00421089"/>
    <w:rsid w:val="00421DBC"/>
    <w:rsid w:val="00422779"/>
    <w:rsid w:val="00423C6D"/>
    <w:rsid w:val="00427CA1"/>
    <w:rsid w:val="00430FFA"/>
    <w:rsid w:val="00432D25"/>
    <w:rsid w:val="00447C76"/>
    <w:rsid w:val="00452451"/>
    <w:rsid w:val="004533DF"/>
    <w:rsid w:val="004606C9"/>
    <w:rsid w:val="004619C7"/>
    <w:rsid w:val="00463D5D"/>
    <w:rsid w:val="004752A1"/>
    <w:rsid w:val="00476D65"/>
    <w:rsid w:val="00476E8D"/>
    <w:rsid w:val="00480403"/>
    <w:rsid w:val="00480EDE"/>
    <w:rsid w:val="00485905"/>
    <w:rsid w:val="0049437D"/>
    <w:rsid w:val="00494B07"/>
    <w:rsid w:val="004A3215"/>
    <w:rsid w:val="004A3DA2"/>
    <w:rsid w:val="004A6A1B"/>
    <w:rsid w:val="004B26FA"/>
    <w:rsid w:val="004B37A2"/>
    <w:rsid w:val="004B636C"/>
    <w:rsid w:val="004B6A13"/>
    <w:rsid w:val="004B77C3"/>
    <w:rsid w:val="004C4B98"/>
    <w:rsid w:val="004D3AE9"/>
    <w:rsid w:val="004D6328"/>
    <w:rsid w:val="004E04D8"/>
    <w:rsid w:val="004E1196"/>
    <w:rsid w:val="004F5AF4"/>
    <w:rsid w:val="004F5BA1"/>
    <w:rsid w:val="00501FE7"/>
    <w:rsid w:val="00502E96"/>
    <w:rsid w:val="00512161"/>
    <w:rsid w:val="00512C31"/>
    <w:rsid w:val="0051346E"/>
    <w:rsid w:val="00522102"/>
    <w:rsid w:val="005245F8"/>
    <w:rsid w:val="0053010F"/>
    <w:rsid w:val="00530BF1"/>
    <w:rsid w:val="00536467"/>
    <w:rsid w:val="00537071"/>
    <w:rsid w:val="0053711C"/>
    <w:rsid w:val="00541162"/>
    <w:rsid w:val="00547238"/>
    <w:rsid w:val="0054770F"/>
    <w:rsid w:val="00550DA8"/>
    <w:rsid w:val="00566D26"/>
    <w:rsid w:val="00567C8A"/>
    <w:rsid w:val="005705C1"/>
    <w:rsid w:val="00570CEA"/>
    <w:rsid w:val="00584C14"/>
    <w:rsid w:val="00585390"/>
    <w:rsid w:val="00585DAF"/>
    <w:rsid w:val="00593384"/>
    <w:rsid w:val="00593B2C"/>
    <w:rsid w:val="00593BC9"/>
    <w:rsid w:val="00593F38"/>
    <w:rsid w:val="0059523F"/>
    <w:rsid w:val="005A4A72"/>
    <w:rsid w:val="005A4ADD"/>
    <w:rsid w:val="005A51BD"/>
    <w:rsid w:val="005A5986"/>
    <w:rsid w:val="005B5E33"/>
    <w:rsid w:val="005B6A37"/>
    <w:rsid w:val="005C3A90"/>
    <w:rsid w:val="005C3C35"/>
    <w:rsid w:val="005C5371"/>
    <w:rsid w:val="005C798B"/>
    <w:rsid w:val="005D1964"/>
    <w:rsid w:val="005D2348"/>
    <w:rsid w:val="005D28FD"/>
    <w:rsid w:val="005F003C"/>
    <w:rsid w:val="005F63D4"/>
    <w:rsid w:val="005F7297"/>
    <w:rsid w:val="00606F46"/>
    <w:rsid w:val="00612422"/>
    <w:rsid w:val="00616042"/>
    <w:rsid w:val="006161A3"/>
    <w:rsid w:val="00620016"/>
    <w:rsid w:val="00624D1E"/>
    <w:rsid w:val="00626E73"/>
    <w:rsid w:val="00630577"/>
    <w:rsid w:val="00632CE7"/>
    <w:rsid w:val="00633208"/>
    <w:rsid w:val="006369B1"/>
    <w:rsid w:val="00637C1B"/>
    <w:rsid w:val="006402EC"/>
    <w:rsid w:val="00650056"/>
    <w:rsid w:val="0065005A"/>
    <w:rsid w:val="0065579B"/>
    <w:rsid w:val="0066031D"/>
    <w:rsid w:val="00661139"/>
    <w:rsid w:val="006616EC"/>
    <w:rsid w:val="00662866"/>
    <w:rsid w:val="0066376A"/>
    <w:rsid w:val="00665F48"/>
    <w:rsid w:val="006767D7"/>
    <w:rsid w:val="006824DD"/>
    <w:rsid w:val="006856C9"/>
    <w:rsid w:val="006873F4"/>
    <w:rsid w:val="00694E50"/>
    <w:rsid w:val="006A0C43"/>
    <w:rsid w:val="006A3620"/>
    <w:rsid w:val="006A5443"/>
    <w:rsid w:val="006B3920"/>
    <w:rsid w:val="006B55E6"/>
    <w:rsid w:val="006B6005"/>
    <w:rsid w:val="006C68DE"/>
    <w:rsid w:val="006C76FD"/>
    <w:rsid w:val="006D2B18"/>
    <w:rsid w:val="006D51F1"/>
    <w:rsid w:val="006D7824"/>
    <w:rsid w:val="006E0A01"/>
    <w:rsid w:val="006E1BAF"/>
    <w:rsid w:val="006E46F0"/>
    <w:rsid w:val="006E77D4"/>
    <w:rsid w:val="006F5633"/>
    <w:rsid w:val="006F7650"/>
    <w:rsid w:val="00701F25"/>
    <w:rsid w:val="00702C2B"/>
    <w:rsid w:val="007079D3"/>
    <w:rsid w:val="00710759"/>
    <w:rsid w:val="0071125B"/>
    <w:rsid w:val="00714814"/>
    <w:rsid w:val="0072661E"/>
    <w:rsid w:val="00730C48"/>
    <w:rsid w:val="00731F5F"/>
    <w:rsid w:val="007358B1"/>
    <w:rsid w:val="00736023"/>
    <w:rsid w:val="007417EA"/>
    <w:rsid w:val="0074271E"/>
    <w:rsid w:val="007428C1"/>
    <w:rsid w:val="00743764"/>
    <w:rsid w:val="00743AD4"/>
    <w:rsid w:val="00746A54"/>
    <w:rsid w:val="00747365"/>
    <w:rsid w:val="007507A9"/>
    <w:rsid w:val="007512BE"/>
    <w:rsid w:val="0075171F"/>
    <w:rsid w:val="0075199A"/>
    <w:rsid w:val="00751A38"/>
    <w:rsid w:val="007557F1"/>
    <w:rsid w:val="00762736"/>
    <w:rsid w:val="00762840"/>
    <w:rsid w:val="00762DF1"/>
    <w:rsid w:val="00764858"/>
    <w:rsid w:val="007701B8"/>
    <w:rsid w:val="00777662"/>
    <w:rsid w:val="00782FD1"/>
    <w:rsid w:val="00790180"/>
    <w:rsid w:val="00790B3F"/>
    <w:rsid w:val="007953A5"/>
    <w:rsid w:val="007972F1"/>
    <w:rsid w:val="007B054E"/>
    <w:rsid w:val="007B0C5C"/>
    <w:rsid w:val="007B10AF"/>
    <w:rsid w:val="007B2A3C"/>
    <w:rsid w:val="007C2644"/>
    <w:rsid w:val="007C2A45"/>
    <w:rsid w:val="007C3BDA"/>
    <w:rsid w:val="007D0208"/>
    <w:rsid w:val="007D0467"/>
    <w:rsid w:val="007D0F50"/>
    <w:rsid w:val="007D468D"/>
    <w:rsid w:val="007D4B53"/>
    <w:rsid w:val="007D66DA"/>
    <w:rsid w:val="007D7449"/>
    <w:rsid w:val="007E1047"/>
    <w:rsid w:val="007E3AC8"/>
    <w:rsid w:val="007E3CEB"/>
    <w:rsid w:val="007E5865"/>
    <w:rsid w:val="007F35CA"/>
    <w:rsid w:val="008003A6"/>
    <w:rsid w:val="00800BA4"/>
    <w:rsid w:val="008072DC"/>
    <w:rsid w:val="00807552"/>
    <w:rsid w:val="008140DA"/>
    <w:rsid w:val="00814CB1"/>
    <w:rsid w:val="008152EA"/>
    <w:rsid w:val="00816440"/>
    <w:rsid w:val="00822F4F"/>
    <w:rsid w:val="00824C6C"/>
    <w:rsid w:val="00827DB0"/>
    <w:rsid w:val="00831642"/>
    <w:rsid w:val="00833056"/>
    <w:rsid w:val="008357F1"/>
    <w:rsid w:val="00835E3D"/>
    <w:rsid w:val="00836D80"/>
    <w:rsid w:val="00837EBD"/>
    <w:rsid w:val="008421A8"/>
    <w:rsid w:val="00845029"/>
    <w:rsid w:val="00845F50"/>
    <w:rsid w:val="008476FF"/>
    <w:rsid w:val="0084775A"/>
    <w:rsid w:val="00852036"/>
    <w:rsid w:val="00856CC5"/>
    <w:rsid w:val="00860502"/>
    <w:rsid w:val="0086095F"/>
    <w:rsid w:val="008655CD"/>
    <w:rsid w:val="00866BA0"/>
    <w:rsid w:val="008717A0"/>
    <w:rsid w:val="00872707"/>
    <w:rsid w:val="00873C56"/>
    <w:rsid w:val="00876301"/>
    <w:rsid w:val="00876A8D"/>
    <w:rsid w:val="00882C40"/>
    <w:rsid w:val="00884AC4"/>
    <w:rsid w:val="00885415"/>
    <w:rsid w:val="00887472"/>
    <w:rsid w:val="00891E9C"/>
    <w:rsid w:val="00893F30"/>
    <w:rsid w:val="008948B0"/>
    <w:rsid w:val="00894A74"/>
    <w:rsid w:val="00896A0A"/>
    <w:rsid w:val="008A0B79"/>
    <w:rsid w:val="008A14FD"/>
    <w:rsid w:val="008A2E8A"/>
    <w:rsid w:val="008A3E0B"/>
    <w:rsid w:val="008A6110"/>
    <w:rsid w:val="008A6747"/>
    <w:rsid w:val="008B14FE"/>
    <w:rsid w:val="008B1782"/>
    <w:rsid w:val="008B1AB0"/>
    <w:rsid w:val="008B3393"/>
    <w:rsid w:val="008C2CC2"/>
    <w:rsid w:val="008C3276"/>
    <w:rsid w:val="008C3913"/>
    <w:rsid w:val="008D52BF"/>
    <w:rsid w:val="008D5D57"/>
    <w:rsid w:val="008E53D1"/>
    <w:rsid w:val="008E5FAE"/>
    <w:rsid w:val="008E7124"/>
    <w:rsid w:val="008F099B"/>
    <w:rsid w:val="008F09F1"/>
    <w:rsid w:val="008F5851"/>
    <w:rsid w:val="009057C4"/>
    <w:rsid w:val="0090636E"/>
    <w:rsid w:val="00906669"/>
    <w:rsid w:val="00910033"/>
    <w:rsid w:val="00911B1A"/>
    <w:rsid w:val="00911F32"/>
    <w:rsid w:val="00912A8D"/>
    <w:rsid w:val="00912D1C"/>
    <w:rsid w:val="00912E64"/>
    <w:rsid w:val="00914F6C"/>
    <w:rsid w:val="00923322"/>
    <w:rsid w:val="00923BDF"/>
    <w:rsid w:val="00924059"/>
    <w:rsid w:val="00924F90"/>
    <w:rsid w:val="009273DA"/>
    <w:rsid w:val="00933CEB"/>
    <w:rsid w:val="00936692"/>
    <w:rsid w:val="00936701"/>
    <w:rsid w:val="00937228"/>
    <w:rsid w:val="009455C5"/>
    <w:rsid w:val="0094628E"/>
    <w:rsid w:val="009509E2"/>
    <w:rsid w:val="009521B7"/>
    <w:rsid w:val="00955AA9"/>
    <w:rsid w:val="009567DC"/>
    <w:rsid w:val="00961B74"/>
    <w:rsid w:val="00962DBE"/>
    <w:rsid w:val="00963885"/>
    <w:rsid w:val="00964112"/>
    <w:rsid w:val="009641AD"/>
    <w:rsid w:val="00964D50"/>
    <w:rsid w:val="00966CFE"/>
    <w:rsid w:val="00972A61"/>
    <w:rsid w:val="00987D75"/>
    <w:rsid w:val="00992AE8"/>
    <w:rsid w:val="0099787C"/>
    <w:rsid w:val="009A3101"/>
    <w:rsid w:val="009A4ED6"/>
    <w:rsid w:val="009A5CC7"/>
    <w:rsid w:val="009A6AC4"/>
    <w:rsid w:val="009A796B"/>
    <w:rsid w:val="009A7BB4"/>
    <w:rsid w:val="009B0237"/>
    <w:rsid w:val="009B0BEB"/>
    <w:rsid w:val="009B3B9A"/>
    <w:rsid w:val="009B3D64"/>
    <w:rsid w:val="009B79C0"/>
    <w:rsid w:val="009C15C8"/>
    <w:rsid w:val="009D6A62"/>
    <w:rsid w:val="009E1C5C"/>
    <w:rsid w:val="009E2BD0"/>
    <w:rsid w:val="009E357E"/>
    <w:rsid w:val="009E4DC6"/>
    <w:rsid w:val="009E56E3"/>
    <w:rsid w:val="009E6ACC"/>
    <w:rsid w:val="009F1C10"/>
    <w:rsid w:val="009F21BD"/>
    <w:rsid w:val="009F26CB"/>
    <w:rsid w:val="009F2A5B"/>
    <w:rsid w:val="009F33C0"/>
    <w:rsid w:val="009F4B4A"/>
    <w:rsid w:val="009F509A"/>
    <w:rsid w:val="009F6B44"/>
    <w:rsid w:val="00A0178A"/>
    <w:rsid w:val="00A0306B"/>
    <w:rsid w:val="00A04526"/>
    <w:rsid w:val="00A22874"/>
    <w:rsid w:val="00A24A39"/>
    <w:rsid w:val="00A3295D"/>
    <w:rsid w:val="00A3558B"/>
    <w:rsid w:val="00A531B7"/>
    <w:rsid w:val="00A61466"/>
    <w:rsid w:val="00A65C2F"/>
    <w:rsid w:val="00A668F5"/>
    <w:rsid w:val="00A73E3A"/>
    <w:rsid w:val="00A76F48"/>
    <w:rsid w:val="00A77C9C"/>
    <w:rsid w:val="00A80DB9"/>
    <w:rsid w:val="00A8215A"/>
    <w:rsid w:val="00A84C3F"/>
    <w:rsid w:val="00A9520F"/>
    <w:rsid w:val="00AA1C3A"/>
    <w:rsid w:val="00AA2016"/>
    <w:rsid w:val="00AA4496"/>
    <w:rsid w:val="00AA6E7A"/>
    <w:rsid w:val="00AB4263"/>
    <w:rsid w:val="00AB63F8"/>
    <w:rsid w:val="00AC099D"/>
    <w:rsid w:val="00AC770B"/>
    <w:rsid w:val="00AD4A0D"/>
    <w:rsid w:val="00AD54ED"/>
    <w:rsid w:val="00AD57C8"/>
    <w:rsid w:val="00AE633D"/>
    <w:rsid w:val="00AF1623"/>
    <w:rsid w:val="00AF29DA"/>
    <w:rsid w:val="00AF2BE3"/>
    <w:rsid w:val="00AF3BBE"/>
    <w:rsid w:val="00AF4939"/>
    <w:rsid w:val="00AF49CE"/>
    <w:rsid w:val="00AF4A10"/>
    <w:rsid w:val="00B0036F"/>
    <w:rsid w:val="00B00811"/>
    <w:rsid w:val="00B04DDF"/>
    <w:rsid w:val="00B054AB"/>
    <w:rsid w:val="00B067DE"/>
    <w:rsid w:val="00B0718C"/>
    <w:rsid w:val="00B109BA"/>
    <w:rsid w:val="00B10DD9"/>
    <w:rsid w:val="00B11EBB"/>
    <w:rsid w:val="00B1628B"/>
    <w:rsid w:val="00B20241"/>
    <w:rsid w:val="00B227CE"/>
    <w:rsid w:val="00B23139"/>
    <w:rsid w:val="00B25C0F"/>
    <w:rsid w:val="00B2703E"/>
    <w:rsid w:val="00B276DD"/>
    <w:rsid w:val="00B27B0B"/>
    <w:rsid w:val="00B31220"/>
    <w:rsid w:val="00B32197"/>
    <w:rsid w:val="00B33316"/>
    <w:rsid w:val="00B3466A"/>
    <w:rsid w:val="00B3598B"/>
    <w:rsid w:val="00B405C1"/>
    <w:rsid w:val="00B471BC"/>
    <w:rsid w:val="00B477D2"/>
    <w:rsid w:val="00B52D85"/>
    <w:rsid w:val="00B5486A"/>
    <w:rsid w:val="00B551ED"/>
    <w:rsid w:val="00B556AE"/>
    <w:rsid w:val="00B56CFB"/>
    <w:rsid w:val="00B60799"/>
    <w:rsid w:val="00B619EE"/>
    <w:rsid w:val="00B63515"/>
    <w:rsid w:val="00B652F7"/>
    <w:rsid w:val="00B72B6F"/>
    <w:rsid w:val="00B744D7"/>
    <w:rsid w:val="00B80A86"/>
    <w:rsid w:val="00B80EAC"/>
    <w:rsid w:val="00B824F0"/>
    <w:rsid w:val="00B8273D"/>
    <w:rsid w:val="00B85CA0"/>
    <w:rsid w:val="00B9110F"/>
    <w:rsid w:val="00B95EB3"/>
    <w:rsid w:val="00BA6B41"/>
    <w:rsid w:val="00BA72F3"/>
    <w:rsid w:val="00BA79CE"/>
    <w:rsid w:val="00BB229B"/>
    <w:rsid w:val="00BB28A6"/>
    <w:rsid w:val="00BB44D8"/>
    <w:rsid w:val="00BB52C7"/>
    <w:rsid w:val="00BC5F7E"/>
    <w:rsid w:val="00BD0387"/>
    <w:rsid w:val="00BD1E64"/>
    <w:rsid w:val="00BD2852"/>
    <w:rsid w:val="00BE2AD3"/>
    <w:rsid w:val="00BE5063"/>
    <w:rsid w:val="00BF05B5"/>
    <w:rsid w:val="00C00AF1"/>
    <w:rsid w:val="00C0193C"/>
    <w:rsid w:val="00C02CEA"/>
    <w:rsid w:val="00C0402A"/>
    <w:rsid w:val="00C15976"/>
    <w:rsid w:val="00C23F51"/>
    <w:rsid w:val="00C246AC"/>
    <w:rsid w:val="00C2629C"/>
    <w:rsid w:val="00C26FC3"/>
    <w:rsid w:val="00C2758E"/>
    <w:rsid w:val="00C3596E"/>
    <w:rsid w:val="00C412CC"/>
    <w:rsid w:val="00C4480B"/>
    <w:rsid w:val="00C50A2C"/>
    <w:rsid w:val="00C51931"/>
    <w:rsid w:val="00C55278"/>
    <w:rsid w:val="00C63AC9"/>
    <w:rsid w:val="00C70FF9"/>
    <w:rsid w:val="00C71AFF"/>
    <w:rsid w:val="00C7545E"/>
    <w:rsid w:val="00C75E6F"/>
    <w:rsid w:val="00C80FAF"/>
    <w:rsid w:val="00C80FDC"/>
    <w:rsid w:val="00C82663"/>
    <w:rsid w:val="00C82B5F"/>
    <w:rsid w:val="00C8431C"/>
    <w:rsid w:val="00C85810"/>
    <w:rsid w:val="00C91006"/>
    <w:rsid w:val="00C92681"/>
    <w:rsid w:val="00C92E4C"/>
    <w:rsid w:val="00C9344F"/>
    <w:rsid w:val="00C96E72"/>
    <w:rsid w:val="00CA1FB0"/>
    <w:rsid w:val="00CA6161"/>
    <w:rsid w:val="00CB2E58"/>
    <w:rsid w:val="00CB689C"/>
    <w:rsid w:val="00CB6E9D"/>
    <w:rsid w:val="00CC3637"/>
    <w:rsid w:val="00CC5EB8"/>
    <w:rsid w:val="00CC69D2"/>
    <w:rsid w:val="00CC6E77"/>
    <w:rsid w:val="00CC76E4"/>
    <w:rsid w:val="00CC7FE8"/>
    <w:rsid w:val="00CD0870"/>
    <w:rsid w:val="00CD5269"/>
    <w:rsid w:val="00CE0586"/>
    <w:rsid w:val="00CE059D"/>
    <w:rsid w:val="00CF29E1"/>
    <w:rsid w:val="00CF2AD5"/>
    <w:rsid w:val="00CF54D6"/>
    <w:rsid w:val="00D00D1B"/>
    <w:rsid w:val="00D03596"/>
    <w:rsid w:val="00D03E34"/>
    <w:rsid w:val="00D03E7C"/>
    <w:rsid w:val="00D13AFD"/>
    <w:rsid w:val="00D1701A"/>
    <w:rsid w:val="00D20DF3"/>
    <w:rsid w:val="00D222D9"/>
    <w:rsid w:val="00D23242"/>
    <w:rsid w:val="00D235F4"/>
    <w:rsid w:val="00D25ECD"/>
    <w:rsid w:val="00D34718"/>
    <w:rsid w:val="00D367E3"/>
    <w:rsid w:val="00D36CA1"/>
    <w:rsid w:val="00D40D14"/>
    <w:rsid w:val="00D419D0"/>
    <w:rsid w:val="00D42ECF"/>
    <w:rsid w:val="00D43AFC"/>
    <w:rsid w:val="00D4586F"/>
    <w:rsid w:val="00D53208"/>
    <w:rsid w:val="00D5339C"/>
    <w:rsid w:val="00D55484"/>
    <w:rsid w:val="00D564FD"/>
    <w:rsid w:val="00D6539E"/>
    <w:rsid w:val="00D6742B"/>
    <w:rsid w:val="00D709D5"/>
    <w:rsid w:val="00D70DB4"/>
    <w:rsid w:val="00D7387F"/>
    <w:rsid w:val="00D8213D"/>
    <w:rsid w:val="00D86F6F"/>
    <w:rsid w:val="00D87289"/>
    <w:rsid w:val="00D8783A"/>
    <w:rsid w:val="00D9188C"/>
    <w:rsid w:val="00D96816"/>
    <w:rsid w:val="00DA5C53"/>
    <w:rsid w:val="00DA69A7"/>
    <w:rsid w:val="00DA76C3"/>
    <w:rsid w:val="00DB00F4"/>
    <w:rsid w:val="00DB0E5F"/>
    <w:rsid w:val="00DB2E05"/>
    <w:rsid w:val="00DB3AD2"/>
    <w:rsid w:val="00DC00DA"/>
    <w:rsid w:val="00DC1573"/>
    <w:rsid w:val="00DC4367"/>
    <w:rsid w:val="00DC6CAE"/>
    <w:rsid w:val="00DC7912"/>
    <w:rsid w:val="00DD3792"/>
    <w:rsid w:val="00DD65C5"/>
    <w:rsid w:val="00DE1734"/>
    <w:rsid w:val="00DE601E"/>
    <w:rsid w:val="00DE7FBB"/>
    <w:rsid w:val="00DF2AD4"/>
    <w:rsid w:val="00DF3E1C"/>
    <w:rsid w:val="00DF5E16"/>
    <w:rsid w:val="00DF630E"/>
    <w:rsid w:val="00DF6E98"/>
    <w:rsid w:val="00E01410"/>
    <w:rsid w:val="00E04D7F"/>
    <w:rsid w:val="00E10C76"/>
    <w:rsid w:val="00E1625E"/>
    <w:rsid w:val="00E20D8A"/>
    <w:rsid w:val="00E24D87"/>
    <w:rsid w:val="00E25662"/>
    <w:rsid w:val="00E279A0"/>
    <w:rsid w:val="00E30408"/>
    <w:rsid w:val="00E32E10"/>
    <w:rsid w:val="00E51156"/>
    <w:rsid w:val="00E55368"/>
    <w:rsid w:val="00E571A8"/>
    <w:rsid w:val="00E61B01"/>
    <w:rsid w:val="00E70DB8"/>
    <w:rsid w:val="00E728AD"/>
    <w:rsid w:val="00E73335"/>
    <w:rsid w:val="00E737D4"/>
    <w:rsid w:val="00E76EE7"/>
    <w:rsid w:val="00E77FD4"/>
    <w:rsid w:val="00E863B1"/>
    <w:rsid w:val="00E86484"/>
    <w:rsid w:val="00E86D50"/>
    <w:rsid w:val="00E9083D"/>
    <w:rsid w:val="00E97C9F"/>
    <w:rsid w:val="00EA38FF"/>
    <w:rsid w:val="00EA6663"/>
    <w:rsid w:val="00EB161C"/>
    <w:rsid w:val="00EB2EDD"/>
    <w:rsid w:val="00EB4578"/>
    <w:rsid w:val="00EB45B9"/>
    <w:rsid w:val="00EB65E3"/>
    <w:rsid w:val="00EC1A3B"/>
    <w:rsid w:val="00EC21F1"/>
    <w:rsid w:val="00EC302F"/>
    <w:rsid w:val="00ED1EE8"/>
    <w:rsid w:val="00ED5E22"/>
    <w:rsid w:val="00ED6374"/>
    <w:rsid w:val="00ED7158"/>
    <w:rsid w:val="00EE050A"/>
    <w:rsid w:val="00EE15CB"/>
    <w:rsid w:val="00EE2D33"/>
    <w:rsid w:val="00EE56A1"/>
    <w:rsid w:val="00EF2FF2"/>
    <w:rsid w:val="00EF74FB"/>
    <w:rsid w:val="00F010B1"/>
    <w:rsid w:val="00F0255D"/>
    <w:rsid w:val="00F13DFE"/>
    <w:rsid w:val="00F15F93"/>
    <w:rsid w:val="00F17992"/>
    <w:rsid w:val="00F17AD6"/>
    <w:rsid w:val="00F20639"/>
    <w:rsid w:val="00F24300"/>
    <w:rsid w:val="00F26F8E"/>
    <w:rsid w:val="00F27CEF"/>
    <w:rsid w:val="00F32B47"/>
    <w:rsid w:val="00F41396"/>
    <w:rsid w:val="00F54234"/>
    <w:rsid w:val="00F54BFD"/>
    <w:rsid w:val="00F57822"/>
    <w:rsid w:val="00F603A3"/>
    <w:rsid w:val="00F64AF8"/>
    <w:rsid w:val="00F70D3B"/>
    <w:rsid w:val="00F715D3"/>
    <w:rsid w:val="00F767E6"/>
    <w:rsid w:val="00F77536"/>
    <w:rsid w:val="00F803C6"/>
    <w:rsid w:val="00F821BA"/>
    <w:rsid w:val="00F845F7"/>
    <w:rsid w:val="00F902AE"/>
    <w:rsid w:val="00F93259"/>
    <w:rsid w:val="00FA17C9"/>
    <w:rsid w:val="00FA52BB"/>
    <w:rsid w:val="00FA5CDE"/>
    <w:rsid w:val="00FC035C"/>
    <w:rsid w:val="00FC2F73"/>
    <w:rsid w:val="00FC3CC1"/>
    <w:rsid w:val="00FC67CE"/>
    <w:rsid w:val="00FC6899"/>
    <w:rsid w:val="00FC726A"/>
    <w:rsid w:val="00FD3FA8"/>
    <w:rsid w:val="00FD411E"/>
    <w:rsid w:val="00FD4E54"/>
    <w:rsid w:val="00FD60AC"/>
    <w:rsid w:val="00FE0968"/>
    <w:rsid w:val="00FE3DA5"/>
    <w:rsid w:val="00FE7C3E"/>
    <w:rsid w:val="00FF4988"/>
    <w:rsid w:val="011253ED"/>
    <w:rsid w:val="01AB4620"/>
    <w:rsid w:val="01D134FA"/>
    <w:rsid w:val="01E66FA5"/>
    <w:rsid w:val="02145195"/>
    <w:rsid w:val="022F6ED4"/>
    <w:rsid w:val="02A7100A"/>
    <w:rsid w:val="02D2752A"/>
    <w:rsid w:val="03493372"/>
    <w:rsid w:val="038C592B"/>
    <w:rsid w:val="03B60BF9"/>
    <w:rsid w:val="041F054D"/>
    <w:rsid w:val="045F4DED"/>
    <w:rsid w:val="04675FDB"/>
    <w:rsid w:val="04A575B9"/>
    <w:rsid w:val="04BA2023"/>
    <w:rsid w:val="04FD0162"/>
    <w:rsid w:val="057071F9"/>
    <w:rsid w:val="05EB4FCC"/>
    <w:rsid w:val="063302DF"/>
    <w:rsid w:val="06456265"/>
    <w:rsid w:val="06563FCE"/>
    <w:rsid w:val="066C37F1"/>
    <w:rsid w:val="06936FD0"/>
    <w:rsid w:val="069A65B0"/>
    <w:rsid w:val="06EA6DA4"/>
    <w:rsid w:val="075A7AEE"/>
    <w:rsid w:val="077A3CEC"/>
    <w:rsid w:val="07CA07CF"/>
    <w:rsid w:val="08A62AEA"/>
    <w:rsid w:val="08A70B11"/>
    <w:rsid w:val="08F0070A"/>
    <w:rsid w:val="09045F63"/>
    <w:rsid w:val="096F5AD2"/>
    <w:rsid w:val="099C43EE"/>
    <w:rsid w:val="09AF4121"/>
    <w:rsid w:val="09CF6571"/>
    <w:rsid w:val="0A0F2E11"/>
    <w:rsid w:val="0A122363"/>
    <w:rsid w:val="0A187D10"/>
    <w:rsid w:val="0A310FDA"/>
    <w:rsid w:val="0ADD677E"/>
    <w:rsid w:val="0AFC4321"/>
    <w:rsid w:val="0B521208"/>
    <w:rsid w:val="0B584344"/>
    <w:rsid w:val="0BAB6B6A"/>
    <w:rsid w:val="0BF202F5"/>
    <w:rsid w:val="0C2C7CAB"/>
    <w:rsid w:val="0D116EA1"/>
    <w:rsid w:val="0D306B23"/>
    <w:rsid w:val="0D4A4AAD"/>
    <w:rsid w:val="0D765FD0"/>
    <w:rsid w:val="0D9A6E96"/>
    <w:rsid w:val="0DA90E87"/>
    <w:rsid w:val="0DD507D3"/>
    <w:rsid w:val="0DF06AB6"/>
    <w:rsid w:val="0E4D5CB6"/>
    <w:rsid w:val="0E8813E4"/>
    <w:rsid w:val="0ED4462A"/>
    <w:rsid w:val="0F0767AD"/>
    <w:rsid w:val="0F73174D"/>
    <w:rsid w:val="0FBA381F"/>
    <w:rsid w:val="0FED7751"/>
    <w:rsid w:val="0FFF3146"/>
    <w:rsid w:val="101E5B5C"/>
    <w:rsid w:val="102869DB"/>
    <w:rsid w:val="107B4D5D"/>
    <w:rsid w:val="10BE733F"/>
    <w:rsid w:val="10C304B2"/>
    <w:rsid w:val="10EC06BD"/>
    <w:rsid w:val="11034D52"/>
    <w:rsid w:val="11056D1C"/>
    <w:rsid w:val="11072A94"/>
    <w:rsid w:val="11252F1A"/>
    <w:rsid w:val="11645E15"/>
    <w:rsid w:val="12107727"/>
    <w:rsid w:val="122C2663"/>
    <w:rsid w:val="123A0C48"/>
    <w:rsid w:val="12543AB7"/>
    <w:rsid w:val="13272F7A"/>
    <w:rsid w:val="13452FC8"/>
    <w:rsid w:val="13EB21F9"/>
    <w:rsid w:val="13F54E26"/>
    <w:rsid w:val="141A2ADF"/>
    <w:rsid w:val="147A532B"/>
    <w:rsid w:val="14D0319D"/>
    <w:rsid w:val="15204125"/>
    <w:rsid w:val="15326804"/>
    <w:rsid w:val="15C01464"/>
    <w:rsid w:val="162807C6"/>
    <w:rsid w:val="16314110"/>
    <w:rsid w:val="164756E1"/>
    <w:rsid w:val="16CD208A"/>
    <w:rsid w:val="16CF7BB0"/>
    <w:rsid w:val="17575DF8"/>
    <w:rsid w:val="176D342B"/>
    <w:rsid w:val="182D2D36"/>
    <w:rsid w:val="188872B9"/>
    <w:rsid w:val="189F6752"/>
    <w:rsid w:val="18F338FE"/>
    <w:rsid w:val="18F71640"/>
    <w:rsid w:val="1901601B"/>
    <w:rsid w:val="19241D0A"/>
    <w:rsid w:val="19244BA8"/>
    <w:rsid w:val="19306900"/>
    <w:rsid w:val="195C5947"/>
    <w:rsid w:val="19946E8F"/>
    <w:rsid w:val="1A383CBF"/>
    <w:rsid w:val="1A5F124B"/>
    <w:rsid w:val="1A604FC3"/>
    <w:rsid w:val="1A847E44"/>
    <w:rsid w:val="1AE87493"/>
    <w:rsid w:val="1AF57E02"/>
    <w:rsid w:val="1B5A260C"/>
    <w:rsid w:val="1B666609"/>
    <w:rsid w:val="1B9118D8"/>
    <w:rsid w:val="1BA333BA"/>
    <w:rsid w:val="1BAD4238"/>
    <w:rsid w:val="1BB13D28"/>
    <w:rsid w:val="1BBE1FA1"/>
    <w:rsid w:val="1C563974"/>
    <w:rsid w:val="1C984EE8"/>
    <w:rsid w:val="1D19735C"/>
    <w:rsid w:val="1D7E40DE"/>
    <w:rsid w:val="1DBC4C07"/>
    <w:rsid w:val="1E0D5462"/>
    <w:rsid w:val="1E1E766F"/>
    <w:rsid w:val="1E761259"/>
    <w:rsid w:val="1E94348E"/>
    <w:rsid w:val="1ED7D089"/>
    <w:rsid w:val="1EE75B81"/>
    <w:rsid w:val="1F0C1276"/>
    <w:rsid w:val="1FCE3F40"/>
    <w:rsid w:val="1FD224BF"/>
    <w:rsid w:val="20085DD4"/>
    <w:rsid w:val="20575593"/>
    <w:rsid w:val="20A8480D"/>
    <w:rsid w:val="21020B82"/>
    <w:rsid w:val="21110DC5"/>
    <w:rsid w:val="2173382E"/>
    <w:rsid w:val="21817CF9"/>
    <w:rsid w:val="219F2875"/>
    <w:rsid w:val="21E8421C"/>
    <w:rsid w:val="23243032"/>
    <w:rsid w:val="23264FFC"/>
    <w:rsid w:val="236478D2"/>
    <w:rsid w:val="242A28CA"/>
    <w:rsid w:val="24AF7273"/>
    <w:rsid w:val="2505779F"/>
    <w:rsid w:val="250A26FB"/>
    <w:rsid w:val="251D5F8B"/>
    <w:rsid w:val="251F7F55"/>
    <w:rsid w:val="256C0CC0"/>
    <w:rsid w:val="25A55F80"/>
    <w:rsid w:val="25A62424"/>
    <w:rsid w:val="25E97374"/>
    <w:rsid w:val="2668592C"/>
    <w:rsid w:val="26712A32"/>
    <w:rsid w:val="26AB4379"/>
    <w:rsid w:val="27090EBD"/>
    <w:rsid w:val="274F43F6"/>
    <w:rsid w:val="2753038A"/>
    <w:rsid w:val="277E2C99"/>
    <w:rsid w:val="28081174"/>
    <w:rsid w:val="282A3C41"/>
    <w:rsid w:val="28395E4A"/>
    <w:rsid w:val="28924EE2"/>
    <w:rsid w:val="28CA01D8"/>
    <w:rsid w:val="290851A4"/>
    <w:rsid w:val="29235B3A"/>
    <w:rsid w:val="292713F3"/>
    <w:rsid w:val="292F44DF"/>
    <w:rsid w:val="29436DBF"/>
    <w:rsid w:val="2A714A62"/>
    <w:rsid w:val="2A77438F"/>
    <w:rsid w:val="2AFC6642"/>
    <w:rsid w:val="2B1B11BE"/>
    <w:rsid w:val="2B632B65"/>
    <w:rsid w:val="2BB331A5"/>
    <w:rsid w:val="2BB77950"/>
    <w:rsid w:val="2BC2163A"/>
    <w:rsid w:val="2C163B34"/>
    <w:rsid w:val="2D5E5392"/>
    <w:rsid w:val="2D5E6029"/>
    <w:rsid w:val="2D60735C"/>
    <w:rsid w:val="2D825525"/>
    <w:rsid w:val="2E513149"/>
    <w:rsid w:val="2E5642BC"/>
    <w:rsid w:val="2EC97183"/>
    <w:rsid w:val="2EEC7A71"/>
    <w:rsid w:val="2EEE2746"/>
    <w:rsid w:val="2F0B64E8"/>
    <w:rsid w:val="2F124686"/>
    <w:rsid w:val="2F5702EB"/>
    <w:rsid w:val="2FA653B8"/>
    <w:rsid w:val="2FC8609F"/>
    <w:rsid w:val="2FE80560"/>
    <w:rsid w:val="30093CDB"/>
    <w:rsid w:val="300E12F2"/>
    <w:rsid w:val="302A11B1"/>
    <w:rsid w:val="30470360"/>
    <w:rsid w:val="305F58BB"/>
    <w:rsid w:val="308710A4"/>
    <w:rsid w:val="30BF083E"/>
    <w:rsid w:val="310A306A"/>
    <w:rsid w:val="318B24CE"/>
    <w:rsid w:val="31F99018"/>
    <w:rsid w:val="32103B6D"/>
    <w:rsid w:val="3243100D"/>
    <w:rsid w:val="336456CD"/>
    <w:rsid w:val="33857B1D"/>
    <w:rsid w:val="33C30645"/>
    <w:rsid w:val="33F702EF"/>
    <w:rsid w:val="33FA6E98"/>
    <w:rsid w:val="34126ED7"/>
    <w:rsid w:val="34A044E2"/>
    <w:rsid w:val="34AA5361"/>
    <w:rsid w:val="34C208FD"/>
    <w:rsid w:val="35164541"/>
    <w:rsid w:val="354D5128"/>
    <w:rsid w:val="359559D7"/>
    <w:rsid w:val="35B00755"/>
    <w:rsid w:val="35BB5A78"/>
    <w:rsid w:val="35EA5196"/>
    <w:rsid w:val="361909F0"/>
    <w:rsid w:val="364041CF"/>
    <w:rsid w:val="36533F02"/>
    <w:rsid w:val="366D3B9C"/>
    <w:rsid w:val="36897924"/>
    <w:rsid w:val="36962041"/>
    <w:rsid w:val="36AA789A"/>
    <w:rsid w:val="36B54B99"/>
    <w:rsid w:val="36C344B8"/>
    <w:rsid w:val="36C46BAE"/>
    <w:rsid w:val="36C97D20"/>
    <w:rsid w:val="36F75237"/>
    <w:rsid w:val="37182A56"/>
    <w:rsid w:val="37537A7E"/>
    <w:rsid w:val="375A12C0"/>
    <w:rsid w:val="377516F6"/>
    <w:rsid w:val="37797999"/>
    <w:rsid w:val="37DD15AA"/>
    <w:rsid w:val="38545D10"/>
    <w:rsid w:val="38606463"/>
    <w:rsid w:val="386F66A6"/>
    <w:rsid w:val="38AA1DD4"/>
    <w:rsid w:val="38F372D7"/>
    <w:rsid w:val="393D67A4"/>
    <w:rsid w:val="394A0EC1"/>
    <w:rsid w:val="39A84565"/>
    <w:rsid w:val="3A00614F"/>
    <w:rsid w:val="3A377697"/>
    <w:rsid w:val="3B4E4C98"/>
    <w:rsid w:val="3B6C3370"/>
    <w:rsid w:val="3B8A0DC3"/>
    <w:rsid w:val="3B9B3E26"/>
    <w:rsid w:val="3BA01094"/>
    <w:rsid w:val="3BD31204"/>
    <w:rsid w:val="3BDD7DCA"/>
    <w:rsid w:val="3BE41D98"/>
    <w:rsid w:val="3C073099"/>
    <w:rsid w:val="3C1F4887"/>
    <w:rsid w:val="3CDC0434"/>
    <w:rsid w:val="3CDE3DFA"/>
    <w:rsid w:val="3CED6733"/>
    <w:rsid w:val="3D04115D"/>
    <w:rsid w:val="3D193084"/>
    <w:rsid w:val="3D803103"/>
    <w:rsid w:val="3D8A3F82"/>
    <w:rsid w:val="3D9C011A"/>
    <w:rsid w:val="3DABB585"/>
    <w:rsid w:val="3DDB71B2"/>
    <w:rsid w:val="3DFF0A6B"/>
    <w:rsid w:val="3DFF671E"/>
    <w:rsid w:val="3E067AAC"/>
    <w:rsid w:val="3E29203F"/>
    <w:rsid w:val="3E344619"/>
    <w:rsid w:val="3E483C21"/>
    <w:rsid w:val="3E6842C3"/>
    <w:rsid w:val="3EF7C7E5"/>
    <w:rsid w:val="3F6525B0"/>
    <w:rsid w:val="3F6F342F"/>
    <w:rsid w:val="3F762A0F"/>
    <w:rsid w:val="3FD55988"/>
    <w:rsid w:val="3FDA4D4C"/>
    <w:rsid w:val="3FDB0AC5"/>
    <w:rsid w:val="40B6011F"/>
    <w:rsid w:val="40CF0629"/>
    <w:rsid w:val="40E63BC5"/>
    <w:rsid w:val="40F30D18"/>
    <w:rsid w:val="40FE2CBD"/>
    <w:rsid w:val="41281AE7"/>
    <w:rsid w:val="41764F49"/>
    <w:rsid w:val="417E204F"/>
    <w:rsid w:val="41941570"/>
    <w:rsid w:val="41957FCE"/>
    <w:rsid w:val="41BE41FA"/>
    <w:rsid w:val="41CE08E1"/>
    <w:rsid w:val="426B4382"/>
    <w:rsid w:val="42A31D6D"/>
    <w:rsid w:val="42B75819"/>
    <w:rsid w:val="42B871C2"/>
    <w:rsid w:val="42CB3072"/>
    <w:rsid w:val="434F15AD"/>
    <w:rsid w:val="442C5D93"/>
    <w:rsid w:val="445B0426"/>
    <w:rsid w:val="4473751E"/>
    <w:rsid w:val="44CE660D"/>
    <w:rsid w:val="44FA379B"/>
    <w:rsid w:val="45356EC9"/>
    <w:rsid w:val="45AB5FA2"/>
    <w:rsid w:val="45F0284B"/>
    <w:rsid w:val="466C691A"/>
    <w:rsid w:val="46E93AC7"/>
    <w:rsid w:val="46F551AD"/>
    <w:rsid w:val="46F669BE"/>
    <w:rsid w:val="471274C2"/>
    <w:rsid w:val="474F4272"/>
    <w:rsid w:val="47585AAB"/>
    <w:rsid w:val="47723ABC"/>
    <w:rsid w:val="47D44777"/>
    <w:rsid w:val="47FF264A"/>
    <w:rsid w:val="48C055EE"/>
    <w:rsid w:val="48C7608A"/>
    <w:rsid w:val="48E56510"/>
    <w:rsid w:val="49030FD7"/>
    <w:rsid w:val="492359B6"/>
    <w:rsid w:val="493516BE"/>
    <w:rsid w:val="497C6E74"/>
    <w:rsid w:val="49B605D8"/>
    <w:rsid w:val="49CD76D0"/>
    <w:rsid w:val="4A1672C9"/>
    <w:rsid w:val="4A857FAB"/>
    <w:rsid w:val="4B2D01A5"/>
    <w:rsid w:val="4B35377F"/>
    <w:rsid w:val="4B685902"/>
    <w:rsid w:val="4C4A00F0"/>
    <w:rsid w:val="4CAB763C"/>
    <w:rsid w:val="4CD945DE"/>
    <w:rsid w:val="4CE94821"/>
    <w:rsid w:val="4DBA7040"/>
    <w:rsid w:val="4E685C19"/>
    <w:rsid w:val="4E7DFC62"/>
    <w:rsid w:val="4E880069"/>
    <w:rsid w:val="4EC927B3"/>
    <w:rsid w:val="4EEF1EC7"/>
    <w:rsid w:val="4FA47125"/>
    <w:rsid w:val="4FFF56D4"/>
    <w:rsid w:val="500B32A2"/>
    <w:rsid w:val="501047BA"/>
    <w:rsid w:val="50AF3E9A"/>
    <w:rsid w:val="51823496"/>
    <w:rsid w:val="51AF240B"/>
    <w:rsid w:val="51EE6435"/>
    <w:rsid w:val="522B77E3"/>
    <w:rsid w:val="52524C09"/>
    <w:rsid w:val="525E7A5F"/>
    <w:rsid w:val="528D20F2"/>
    <w:rsid w:val="52A86F2C"/>
    <w:rsid w:val="52C04276"/>
    <w:rsid w:val="52EC6E19"/>
    <w:rsid w:val="531FF1BA"/>
    <w:rsid w:val="53D0673A"/>
    <w:rsid w:val="53F11286"/>
    <w:rsid w:val="5415414D"/>
    <w:rsid w:val="543A3BB4"/>
    <w:rsid w:val="54815C87"/>
    <w:rsid w:val="54CF6DAE"/>
    <w:rsid w:val="54E724F8"/>
    <w:rsid w:val="54F40207"/>
    <w:rsid w:val="55202DAA"/>
    <w:rsid w:val="56576C9F"/>
    <w:rsid w:val="565E7575"/>
    <w:rsid w:val="56BF6137"/>
    <w:rsid w:val="56DFF686"/>
    <w:rsid w:val="57342C46"/>
    <w:rsid w:val="574216FD"/>
    <w:rsid w:val="574C432A"/>
    <w:rsid w:val="57C2639A"/>
    <w:rsid w:val="58037926"/>
    <w:rsid w:val="583A23D4"/>
    <w:rsid w:val="58953AAF"/>
    <w:rsid w:val="58A837E2"/>
    <w:rsid w:val="58C425E6"/>
    <w:rsid w:val="58CF5213"/>
    <w:rsid w:val="58ED7447"/>
    <w:rsid w:val="592E180D"/>
    <w:rsid w:val="59452BF2"/>
    <w:rsid w:val="59AA17DC"/>
    <w:rsid w:val="5A470DD9"/>
    <w:rsid w:val="5A492DA3"/>
    <w:rsid w:val="5A8913F1"/>
    <w:rsid w:val="5A8E2EAB"/>
    <w:rsid w:val="5A9F29C3"/>
    <w:rsid w:val="5AAE2C06"/>
    <w:rsid w:val="5AC643F3"/>
    <w:rsid w:val="5AFD6CA4"/>
    <w:rsid w:val="5B042C10"/>
    <w:rsid w:val="5B112DAB"/>
    <w:rsid w:val="5B2253AB"/>
    <w:rsid w:val="5B4416BC"/>
    <w:rsid w:val="5C292E8C"/>
    <w:rsid w:val="5C441A74"/>
    <w:rsid w:val="5C846314"/>
    <w:rsid w:val="5CDE0DF7"/>
    <w:rsid w:val="5CFD4F96"/>
    <w:rsid w:val="5D720862"/>
    <w:rsid w:val="5DB22581"/>
    <w:rsid w:val="5DDC5CDC"/>
    <w:rsid w:val="5DE210E1"/>
    <w:rsid w:val="5DFE25AA"/>
    <w:rsid w:val="5E057E90"/>
    <w:rsid w:val="5E150B63"/>
    <w:rsid w:val="5E16137A"/>
    <w:rsid w:val="5E211941"/>
    <w:rsid w:val="5E234674"/>
    <w:rsid w:val="5E3A53FE"/>
    <w:rsid w:val="5E745F14"/>
    <w:rsid w:val="5E820631"/>
    <w:rsid w:val="5E907E2E"/>
    <w:rsid w:val="5EAD73F2"/>
    <w:rsid w:val="5F0201B3"/>
    <w:rsid w:val="5F1A5BA5"/>
    <w:rsid w:val="5F245B8C"/>
    <w:rsid w:val="5F28567D"/>
    <w:rsid w:val="5F4E7B3B"/>
    <w:rsid w:val="5F64242D"/>
    <w:rsid w:val="5F7F0ABD"/>
    <w:rsid w:val="5F88611B"/>
    <w:rsid w:val="5F922AF6"/>
    <w:rsid w:val="5FF74115"/>
    <w:rsid w:val="60600E46"/>
    <w:rsid w:val="61265BEC"/>
    <w:rsid w:val="615F10FE"/>
    <w:rsid w:val="61DE5866"/>
    <w:rsid w:val="622F287E"/>
    <w:rsid w:val="62C54F90"/>
    <w:rsid w:val="62EA5C02"/>
    <w:rsid w:val="62F66167"/>
    <w:rsid w:val="62FF66F4"/>
    <w:rsid w:val="632C5010"/>
    <w:rsid w:val="632E2B36"/>
    <w:rsid w:val="63626C83"/>
    <w:rsid w:val="63AD1FEB"/>
    <w:rsid w:val="63B374DF"/>
    <w:rsid w:val="63D57455"/>
    <w:rsid w:val="64436AB5"/>
    <w:rsid w:val="649B4AC0"/>
    <w:rsid w:val="64C2311B"/>
    <w:rsid w:val="64C319A4"/>
    <w:rsid w:val="64E35BA2"/>
    <w:rsid w:val="65085608"/>
    <w:rsid w:val="656A1E1F"/>
    <w:rsid w:val="65BF03BD"/>
    <w:rsid w:val="65FF711F"/>
    <w:rsid w:val="66650F64"/>
    <w:rsid w:val="66731B64"/>
    <w:rsid w:val="66996E60"/>
    <w:rsid w:val="66B15B81"/>
    <w:rsid w:val="66E13B1A"/>
    <w:rsid w:val="66E16111"/>
    <w:rsid w:val="67310E46"/>
    <w:rsid w:val="67492634"/>
    <w:rsid w:val="678A0557"/>
    <w:rsid w:val="67CC0B6F"/>
    <w:rsid w:val="67D06AB1"/>
    <w:rsid w:val="685E3EBD"/>
    <w:rsid w:val="69623539"/>
    <w:rsid w:val="699B2153"/>
    <w:rsid w:val="69A2427D"/>
    <w:rsid w:val="69DC778F"/>
    <w:rsid w:val="69F12B0F"/>
    <w:rsid w:val="69F30635"/>
    <w:rsid w:val="6B0F76F1"/>
    <w:rsid w:val="6B4A697B"/>
    <w:rsid w:val="6B57052D"/>
    <w:rsid w:val="6BF83858"/>
    <w:rsid w:val="6C275586"/>
    <w:rsid w:val="6CD3474E"/>
    <w:rsid w:val="6D064B23"/>
    <w:rsid w:val="6D8E2C25"/>
    <w:rsid w:val="6D94212F"/>
    <w:rsid w:val="6D9B526C"/>
    <w:rsid w:val="6ED8429D"/>
    <w:rsid w:val="6F03131A"/>
    <w:rsid w:val="6F0F5F11"/>
    <w:rsid w:val="6F1F1ECC"/>
    <w:rsid w:val="6F457B85"/>
    <w:rsid w:val="6F4F7B98"/>
    <w:rsid w:val="6F573E0F"/>
    <w:rsid w:val="6F5C0A2B"/>
    <w:rsid w:val="70333E81"/>
    <w:rsid w:val="70B86252"/>
    <w:rsid w:val="70FC4273"/>
    <w:rsid w:val="7104581E"/>
    <w:rsid w:val="712E4649"/>
    <w:rsid w:val="71496F6A"/>
    <w:rsid w:val="71852D14"/>
    <w:rsid w:val="71B40089"/>
    <w:rsid w:val="71D451F0"/>
    <w:rsid w:val="7209659F"/>
    <w:rsid w:val="72331F17"/>
    <w:rsid w:val="72395053"/>
    <w:rsid w:val="72402885"/>
    <w:rsid w:val="72492030"/>
    <w:rsid w:val="724E4FA2"/>
    <w:rsid w:val="7250629C"/>
    <w:rsid w:val="729A1F96"/>
    <w:rsid w:val="72AB1405"/>
    <w:rsid w:val="72DF209E"/>
    <w:rsid w:val="72E53A82"/>
    <w:rsid w:val="72EE22E1"/>
    <w:rsid w:val="73014B22"/>
    <w:rsid w:val="731035D0"/>
    <w:rsid w:val="73330D44"/>
    <w:rsid w:val="735A7977"/>
    <w:rsid w:val="736B518C"/>
    <w:rsid w:val="73722F12"/>
    <w:rsid w:val="738A5B9F"/>
    <w:rsid w:val="73C44DF0"/>
    <w:rsid w:val="741B2C62"/>
    <w:rsid w:val="74890514"/>
    <w:rsid w:val="74AA1ED0"/>
    <w:rsid w:val="74DA0439"/>
    <w:rsid w:val="75226272"/>
    <w:rsid w:val="75575F1C"/>
    <w:rsid w:val="75663D13"/>
    <w:rsid w:val="757A1C0A"/>
    <w:rsid w:val="75D532E5"/>
    <w:rsid w:val="75F776FF"/>
    <w:rsid w:val="75F79F2E"/>
    <w:rsid w:val="75FE0BA8"/>
    <w:rsid w:val="762F1005"/>
    <w:rsid w:val="767936DC"/>
    <w:rsid w:val="77324E93"/>
    <w:rsid w:val="77770AF7"/>
    <w:rsid w:val="77E76A2C"/>
    <w:rsid w:val="7808174F"/>
    <w:rsid w:val="783833C6"/>
    <w:rsid w:val="78A05419"/>
    <w:rsid w:val="78A21BA4"/>
    <w:rsid w:val="78A51694"/>
    <w:rsid w:val="78CC4E73"/>
    <w:rsid w:val="78D02FC1"/>
    <w:rsid w:val="79057639"/>
    <w:rsid w:val="79346574"/>
    <w:rsid w:val="799A0ACD"/>
    <w:rsid w:val="79A33E26"/>
    <w:rsid w:val="79FB19A4"/>
    <w:rsid w:val="79FD67C2"/>
    <w:rsid w:val="79FEE19D"/>
    <w:rsid w:val="7A170370"/>
    <w:rsid w:val="7A28257D"/>
    <w:rsid w:val="7A3A0B44"/>
    <w:rsid w:val="7AE244DA"/>
    <w:rsid w:val="7AE91D0C"/>
    <w:rsid w:val="7AF10BC1"/>
    <w:rsid w:val="7B0326A2"/>
    <w:rsid w:val="7B0B090B"/>
    <w:rsid w:val="7B62561B"/>
    <w:rsid w:val="7BA7127F"/>
    <w:rsid w:val="7BBFDE4E"/>
    <w:rsid w:val="7C2B3C5E"/>
    <w:rsid w:val="7C6333F8"/>
    <w:rsid w:val="7CE85FF3"/>
    <w:rsid w:val="7D052701"/>
    <w:rsid w:val="7D450D50"/>
    <w:rsid w:val="7DCBAADA"/>
    <w:rsid w:val="7E301A00"/>
    <w:rsid w:val="7E5A0FDB"/>
    <w:rsid w:val="7E6F077A"/>
    <w:rsid w:val="7E79314E"/>
    <w:rsid w:val="7EAFD3F7"/>
    <w:rsid w:val="7ED55B24"/>
    <w:rsid w:val="7ED9F2B8"/>
    <w:rsid w:val="7F857B2A"/>
    <w:rsid w:val="7F923FCB"/>
    <w:rsid w:val="7FB14DC3"/>
    <w:rsid w:val="7FF64583"/>
    <w:rsid w:val="7FFBE644"/>
    <w:rsid w:val="92FF3DE6"/>
    <w:rsid w:val="AFEE2D01"/>
    <w:rsid w:val="BBFDED99"/>
    <w:rsid w:val="BDFD0E1B"/>
    <w:rsid w:val="BF7FC307"/>
    <w:rsid w:val="C775A97E"/>
    <w:rsid w:val="CC7EE142"/>
    <w:rsid w:val="CF6F8B4E"/>
    <w:rsid w:val="D6F6855B"/>
    <w:rsid w:val="D7F73119"/>
    <w:rsid w:val="DABFA47E"/>
    <w:rsid w:val="DB3E3CCF"/>
    <w:rsid w:val="DEDF86ED"/>
    <w:rsid w:val="DEFF29A1"/>
    <w:rsid w:val="DF571034"/>
    <w:rsid w:val="E2FD9A42"/>
    <w:rsid w:val="E6BE8510"/>
    <w:rsid w:val="E96E2C7B"/>
    <w:rsid w:val="EAFA6E78"/>
    <w:rsid w:val="EDD938E8"/>
    <w:rsid w:val="EDFF68D6"/>
    <w:rsid w:val="F45FABEA"/>
    <w:rsid w:val="F5F59F92"/>
    <w:rsid w:val="F76F85C3"/>
    <w:rsid w:val="F97BB14E"/>
    <w:rsid w:val="F9E7EAAB"/>
    <w:rsid w:val="FA6F9E5B"/>
    <w:rsid w:val="FEB76718"/>
    <w:rsid w:val="FF338262"/>
    <w:rsid w:val="FF53F1B1"/>
    <w:rsid w:val="FF611D4C"/>
    <w:rsid w:val="FFBBA200"/>
    <w:rsid w:val="FFD1AF35"/>
    <w:rsid w:val="FFFF76DB"/>
    <w:rsid w:val="FFFFA264"/>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宋体"/>
      <w:kern w:val="2"/>
      <w:sz w:val="24"/>
      <w:szCs w:val="24"/>
      <w:lang w:val="en-US" w:eastAsia="zh-CN" w:bidi="ar-SA"/>
    </w:rPr>
  </w:style>
  <w:style w:type="paragraph" w:styleId="3">
    <w:name w:val="heading 1"/>
    <w:basedOn w:val="1"/>
    <w:next w:val="1"/>
    <w:qFormat/>
    <w:uiPriority w:val="0"/>
    <w:pPr>
      <w:keepNext/>
      <w:keepLines/>
      <w:spacing w:before="340" w:after="330" w:line="360" w:lineRule="auto"/>
      <w:jc w:val="center"/>
      <w:outlineLvl w:val="0"/>
    </w:pPr>
    <w:rPr>
      <w:rFonts w:ascii="楷体_GB2312" w:eastAsia="楷体_GB2312" w:cs="Times New Roman"/>
      <w:b/>
      <w:bCs/>
      <w:kern w:val="44"/>
      <w:sz w:val="44"/>
      <w:szCs w:val="44"/>
    </w:rPr>
  </w:style>
  <w:style w:type="paragraph" w:styleId="4">
    <w:name w:val="heading 2"/>
    <w:basedOn w:val="1"/>
    <w:next w:val="5"/>
    <w:qFormat/>
    <w:uiPriority w:val="0"/>
    <w:pPr>
      <w:keepNext/>
      <w:keepLines/>
      <w:spacing w:line="540" w:lineRule="exact"/>
      <w:jc w:val="left"/>
      <w:outlineLvl w:val="1"/>
    </w:pPr>
    <w:rPr>
      <w:rFonts w:ascii="Arial" w:hAnsi="Arial" w:cs="Times New Roman"/>
      <w:b/>
      <w:bCs/>
      <w:kern w:val="0"/>
      <w:szCs w:val="32"/>
    </w:rPr>
  </w:style>
  <w:style w:type="paragraph" w:styleId="6">
    <w:name w:val="heading 3"/>
    <w:basedOn w:val="1"/>
    <w:next w:val="1"/>
    <w:qFormat/>
    <w:uiPriority w:val="0"/>
    <w:pPr>
      <w:keepNext/>
      <w:keepLines/>
      <w:spacing w:line="360" w:lineRule="auto"/>
      <w:ind w:firstLine="482"/>
      <w:jc w:val="left"/>
      <w:outlineLvl w:val="2"/>
    </w:pPr>
    <w:rPr>
      <w:rFonts w:ascii="Cambria" w:hAnsi="Cambria" w:cs="Times New Roman"/>
      <w:b/>
      <w:bCs/>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customStyle="1" w:styleId="5">
    <w:name w:val="标准正文"/>
    <w:basedOn w:val="1"/>
    <w:qFormat/>
    <w:uiPriority w:val="0"/>
    <w:pPr>
      <w:spacing w:line="360" w:lineRule="auto"/>
      <w:ind w:firstLine="200" w:firstLineChars="200"/>
    </w:pPr>
    <w:rPr>
      <w:rFonts w:cs="Times New Roman"/>
      <w:szCs w:val="20"/>
    </w:rPr>
  </w:style>
  <w:style w:type="paragraph" w:styleId="7">
    <w:name w:val="List Number"/>
    <w:basedOn w:val="1"/>
    <w:qFormat/>
    <w:uiPriority w:val="0"/>
    <w:pPr>
      <w:numPr>
        <w:ilvl w:val="0"/>
        <w:numId w:val="1"/>
      </w:numPr>
    </w:pPr>
  </w:style>
  <w:style w:type="paragraph" w:styleId="8">
    <w:name w:val="Normal Indent"/>
    <w:basedOn w:val="1"/>
    <w:qFormat/>
    <w:uiPriority w:val="0"/>
    <w:pPr>
      <w:ind w:firstLine="420"/>
    </w:pPr>
    <w:rPr>
      <w:rFonts w:cs="Times New Roman"/>
      <w:szCs w:val="22"/>
    </w:rPr>
  </w:style>
  <w:style w:type="paragraph" w:styleId="9">
    <w:name w:val="caption"/>
    <w:basedOn w:val="1"/>
    <w:next w:val="1"/>
    <w:qFormat/>
    <w:uiPriority w:val="0"/>
    <w:pPr>
      <w:spacing w:before="152" w:after="160"/>
    </w:pPr>
    <w:rPr>
      <w:rFonts w:ascii="Arial" w:hAnsi="Arial" w:eastAsia="黑体" w:cs="Arial"/>
      <w:sz w:val="20"/>
      <w:szCs w:val="20"/>
    </w:rPr>
  </w:style>
  <w:style w:type="paragraph" w:styleId="10">
    <w:name w:val="Body Text"/>
    <w:basedOn w:val="1"/>
    <w:next w:val="11"/>
    <w:link w:val="36"/>
    <w:qFormat/>
    <w:uiPriority w:val="0"/>
    <w:pPr>
      <w:spacing w:after="120"/>
    </w:pPr>
  </w:style>
  <w:style w:type="paragraph" w:styleId="11">
    <w:name w:val="Body Text First Indent"/>
    <w:basedOn w:val="10"/>
    <w:next w:val="1"/>
    <w:unhideWhenUsed/>
    <w:qFormat/>
    <w:uiPriority w:val="0"/>
    <w:pPr>
      <w:ind w:firstLine="420" w:firstLineChars="100"/>
    </w:pPr>
    <w:rPr>
      <w:rFonts w:ascii="Calibri" w:hAnsi="Calibri"/>
    </w:rPr>
  </w:style>
  <w:style w:type="paragraph" w:styleId="12">
    <w:name w:val="Body Text Indent"/>
    <w:basedOn w:val="1"/>
    <w:next w:val="1"/>
    <w:qFormat/>
    <w:uiPriority w:val="0"/>
    <w:pPr>
      <w:spacing w:line="200" w:lineRule="exact"/>
      <w:ind w:firstLine="301"/>
    </w:pPr>
    <w:rPr>
      <w:rFonts w:ascii="宋体" w:hAnsi="Courier New" w:cs="Times New Roman"/>
      <w:spacing w:val="-4"/>
      <w:kern w:val="0"/>
      <w:sz w:val="18"/>
      <w:szCs w:val="20"/>
    </w:rPr>
  </w:style>
  <w:style w:type="paragraph" w:styleId="13">
    <w:name w:val="Block Text"/>
    <w:basedOn w:val="1"/>
    <w:qFormat/>
    <w:uiPriority w:val="0"/>
    <w:pPr>
      <w:spacing w:before="120" w:line="360" w:lineRule="auto"/>
      <w:ind w:left="824" w:right="202"/>
    </w:pPr>
    <w:rPr>
      <w:rFonts w:ascii="宋体" w:cs="Times New Roman"/>
      <w:szCs w:val="21"/>
    </w:rPr>
  </w:style>
  <w:style w:type="paragraph" w:styleId="14">
    <w:name w:val="Plain Text"/>
    <w:basedOn w:val="1"/>
    <w:next w:val="8"/>
    <w:link w:val="37"/>
    <w:qFormat/>
    <w:uiPriority w:val="0"/>
    <w:pPr>
      <w:spacing w:beforeLines="50" w:afterLines="50" w:line="400" w:lineRule="exact"/>
    </w:pPr>
    <w:rPr>
      <w:rFonts w:ascii="宋体" w:hAnsi="Courier New" w:cs="Times New Roman"/>
      <w:kern w:val="0"/>
    </w:rPr>
  </w:style>
  <w:style w:type="paragraph" w:styleId="15">
    <w:name w:val="Date"/>
    <w:basedOn w:val="1"/>
    <w:next w:val="1"/>
    <w:qFormat/>
    <w:uiPriority w:val="0"/>
    <w:pPr>
      <w:ind w:left="2500" w:leftChars="2500"/>
    </w:pPr>
    <w:rPr>
      <w:rFonts w:eastAsia="楷体_GB2312"/>
      <w:kern w:val="0"/>
      <w:sz w:val="32"/>
      <w:szCs w:val="20"/>
    </w:rPr>
  </w:style>
  <w:style w:type="paragraph" w:styleId="16">
    <w:name w:val="Body Text Indent 2"/>
    <w:basedOn w:val="1"/>
    <w:qFormat/>
    <w:uiPriority w:val="0"/>
    <w:pPr>
      <w:spacing w:after="120" w:line="480" w:lineRule="auto"/>
      <w:ind w:left="420" w:leftChars="200"/>
    </w:pPr>
  </w:style>
  <w:style w:type="paragraph" w:styleId="17">
    <w:name w:val="Balloon Text"/>
    <w:basedOn w:val="1"/>
    <w:qFormat/>
    <w:uiPriority w:val="0"/>
    <w:rPr>
      <w:rFonts w:cs="Times New Roman"/>
      <w:kern w:val="0"/>
      <w:sz w:val="18"/>
      <w:szCs w:val="18"/>
    </w:rPr>
  </w:style>
  <w:style w:type="paragraph" w:styleId="18">
    <w:name w:val="footer"/>
    <w:basedOn w:val="1"/>
    <w:qFormat/>
    <w:uiPriority w:val="0"/>
    <w:pPr>
      <w:tabs>
        <w:tab w:val="center" w:pos="4153"/>
        <w:tab w:val="right" w:pos="8306"/>
      </w:tabs>
      <w:snapToGrid w:val="0"/>
      <w:jc w:val="left"/>
    </w:pPr>
    <w:rPr>
      <w:rFonts w:cs="Times New Roman"/>
      <w:kern w:val="0"/>
      <w:sz w:val="18"/>
      <w:szCs w:val="18"/>
    </w:rPr>
  </w:style>
  <w:style w:type="paragraph" w:styleId="19">
    <w:name w:val="header"/>
    <w:basedOn w:val="1"/>
    <w:qFormat/>
    <w:uiPriority w:val="0"/>
    <w:pPr>
      <w:pBdr>
        <w:bottom w:val="single" w:color="auto" w:sz="6" w:space="1"/>
      </w:pBdr>
      <w:tabs>
        <w:tab w:val="center" w:pos="4153"/>
        <w:tab w:val="right" w:pos="8306"/>
      </w:tabs>
      <w:snapToGrid w:val="0"/>
      <w:jc w:val="center"/>
    </w:pPr>
    <w:rPr>
      <w:rFonts w:cs="Times New Roman"/>
      <w:sz w:val="18"/>
      <w:szCs w:val="18"/>
    </w:rPr>
  </w:style>
  <w:style w:type="paragraph" w:styleId="20">
    <w:name w:val="toc 1"/>
    <w:basedOn w:val="1"/>
    <w:next w:val="1"/>
    <w:qFormat/>
    <w:uiPriority w:val="0"/>
    <w:rPr>
      <w:rFonts w:cs="Times New Roman"/>
    </w:rPr>
  </w:style>
  <w:style w:type="paragraph" w:styleId="21">
    <w:name w:val="List"/>
    <w:basedOn w:val="1"/>
    <w:qFormat/>
    <w:uiPriority w:val="0"/>
    <w:pPr>
      <w:ind w:left="200" w:hanging="200" w:hangingChars="200"/>
    </w:pPr>
    <w:rPr>
      <w:sz w:val="28"/>
    </w:rPr>
  </w:style>
  <w:style w:type="paragraph" w:styleId="22">
    <w:name w:val="Body Text Indent 3"/>
    <w:basedOn w:val="1"/>
    <w:qFormat/>
    <w:uiPriority w:val="0"/>
    <w:pPr>
      <w:snapToGrid w:val="0"/>
      <w:ind w:firstLine="480" w:firstLineChars="200"/>
      <w:jc w:val="left"/>
    </w:pPr>
    <w:rPr>
      <w:rFonts w:ascii="仿宋_GB2312" w:hAnsi="宋体" w:eastAsia="仿宋_GB2312" w:cs="Times New Roman"/>
      <w:color w:val="000000"/>
      <w:kern w:val="0"/>
    </w:rPr>
  </w:style>
  <w:style w:type="paragraph" w:styleId="23">
    <w:name w:val="Normal (Web)"/>
    <w:basedOn w:val="1"/>
    <w:qFormat/>
    <w:uiPriority w:val="0"/>
    <w:pPr>
      <w:widowControl/>
      <w:spacing w:before="100" w:beforeAutospacing="1" w:after="100" w:afterAutospacing="1"/>
      <w:jc w:val="left"/>
    </w:pPr>
    <w:rPr>
      <w:rFonts w:ascii="宋体" w:hAnsi="宋体" w:cs="Times New Roman"/>
      <w:kern w:val="0"/>
    </w:rPr>
  </w:style>
  <w:style w:type="paragraph" w:styleId="24">
    <w:name w:val="Body Text First Indent 2"/>
    <w:basedOn w:val="12"/>
    <w:qFormat/>
    <w:uiPriority w:val="0"/>
    <w:pPr>
      <w:spacing w:after="120" w:line="240" w:lineRule="auto"/>
      <w:ind w:left="420" w:leftChars="200" w:firstLine="420" w:firstLineChars="200"/>
    </w:pPr>
    <w:rPr>
      <w:sz w:val="21"/>
      <w:szCs w:val="24"/>
    </w:rPr>
  </w:style>
  <w:style w:type="table" w:styleId="26">
    <w:name w:val="Table Grid"/>
    <w:basedOn w:val="25"/>
    <w:qFormat/>
    <w:uiPriority w:val="0"/>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page number"/>
    <w:basedOn w:val="27"/>
    <w:qFormat/>
    <w:uiPriority w:val="0"/>
  </w:style>
  <w:style w:type="character" w:styleId="29">
    <w:name w:val="Hyperlink"/>
    <w:qFormat/>
    <w:uiPriority w:val="0"/>
    <w:rPr>
      <w:rFonts w:ascii="Times New Roman" w:hAnsi="Times New Roman" w:eastAsia="宋体" w:cs="Times New Roman"/>
      <w:color w:val="0000FF"/>
      <w:u w:val="single"/>
    </w:rPr>
  </w:style>
  <w:style w:type="paragraph" w:customStyle="1" w:styleId="30">
    <w:name w:val="Default"/>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customStyle="1" w:styleId="31">
    <w:name w:val="正文2"/>
    <w:basedOn w:val="1"/>
    <w:qFormat/>
    <w:uiPriority w:val="0"/>
    <w:pPr>
      <w:spacing w:before="156" w:line="360" w:lineRule="auto"/>
      <w:ind w:firstLine="510" w:firstLineChars="200"/>
    </w:pPr>
    <w:rPr>
      <w:szCs w:val="20"/>
    </w:rPr>
  </w:style>
  <w:style w:type="paragraph" w:customStyle="1" w:styleId="32">
    <w:name w:val="List Paragraph1"/>
    <w:basedOn w:val="1"/>
    <w:qFormat/>
    <w:uiPriority w:val="0"/>
    <w:pPr>
      <w:ind w:firstLine="200" w:firstLineChars="200"/>
    </w:pPr>
    <w:rPr>
      <w:sz w:val="28"/>
      <w:szCs w:val="28"/>
    </w:rPr>
  </w:style>
  <w:style w:type="paragraph" w:customStyle="1" w:styleId="33">
    <w:name w:val="纯文本1"/>
    <w:basedOn w:val="1"/>
    <w:qFormat/>
    <w:uiPriority w:val="0"/>
    <w:pPr>
      <w:adjustRightInd w:val="0"/>
      <w:textAlignment w:val="baseline"/>
    </w:pPr>
    <w:rPr>
      <w:rFonts w:ascii="宋体" w:hAnsi="Courier New" w:eastAsia="楷体_GB2312" w:cs="Times New Roman"/>
      <w:sz w:val="26"/>
      <w:szCs w:val="20"/>
    </w:rPr>
  </w:style>
  <w:style w:type="paragraph" w:customStyle="1" w:styleId="3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5">
    <w:name w:val="纯文本2"/>
    <w:basedOn w:val="1"/>
    <w:qFormat/>
    <w:uiPriority w:val="0"/>
    <w:pPr>
      <w:adjustRightInd w:val="0"/>
      <w:textAlignment w:val="baseline"/>
    </w:pPr>
    <w:rPr>
      <w:rFonts w:ascii="宋体" w:hAnsi="Courier New" w:eastAsia="楷体_GB2312" w:cs="Times New Roman"/>
      <w:sz w:val="26"/>
      <w:szCs w:val="20"/>
    </w:rPr>
  </w:style>
  <w:style w:type="character" w:customStyle="1" w:styleId="36">
    <w:name w:val="正文文本 Char"/>
    <w:basedOn w:val="27"/>
    <w:link w:val="10"/>
    <w:qFormat/>
    <w:uiPriority w:val="0"/>
    <w:rPr>
      <w:rFonts w:ascii="Times New Roman" w:hAnsi="Times New Roman" w:eastAsia="宋体" w:cs="宋体"/>
      <w:kern w:val="2"/>
      <w:sz w:val="24"/>
      <w:szCs w:val="24"/>
    </w:rPr>
  </w:style>
  <w:style w:type="character" w:customStyle="1" w:styleId="37">
    <w:name w:val="纯文本 Char"/>
    <w:basedOn w:val="27"/>
    <w:link w:val="14"/>
    <w:qFormat/>
    <w:uiPriority w:val="0"/>
    <w:rPr>
      <w:rFonts w:ascii="宋体" w:hAnsi="Courier New"/>
      <w:sz w:val="24"/>
      <w:szCs w:val="24"/>
    </w:rPr>
  </w:style>
  <w:style w:type="table" w:customStyle="1" w:styleId="38">
    <w:name w:val="Table Normal"/>
    <w:semiHidden/>
    <w:unhideWhenUsed/>
    <w:qFormat/>
    <w:uiPriority w:val="0"/>
    <w:tblPr>
      <w:tblCellMar>
        <w:top w:w="0" w:type="dxa"/>
        <w:left w:w="0" w:type="dxa"/>
        <w:bottom w:w="0" w:type="dxa"/>
        <w:right w:w="0" w:type="dxa"/>
      </w:tblCellMar>
    </w:tblPr>
  </w:style>
  <w:style w:type="paragraph" w:styleId="39">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2017.4</Company>
  <Pages>62</Pages>
  <Words>29485</Words>
  <Characters>31140</Characters>
  <Lines>287</Lines>
  <Paragraphs>80</Paragraphs>
  <TotalTime>52</TotalTime>
  <ScaleCrop>false</ScaleCrop>
  <LinksUpToDate>false</LinksUpToDate>
  <CharactersWithSpaces>31364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2022-03-28T15:25:00Z</dcterms:created>
  <dc:creator>戴文娥</dc:creator>
  <cp:lastModifiedBy>jackyiceblue</cp:lastModifiedBy>
  <cp:lastPrinted>2023-01-30T08:46:00Z</cp:lastPrinted>
  <dcterms:modified xsi:type="dcterms:W3CDTF">2025-02-28T08:19:22Z</dcterms:modified>
  <dc:title>框架协议征集文件</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728F4C4C94F34CE888A07541EC6CC80B_13</vt:lpwstr>
  </property>
  <property fmtid="{D5CDD505-2E9C-101B-9397-08002B2CF9AE}" pid="4" name="woTemplateTypoMode" linkTarget="0">
    <vt:lpwstr>web</vt:lpwstr>
  </property>
  <property fmtid="{D5CDD505-2E9C-101B-9397-08002B2CF9AE}" pid="5" name="woTemplate" linkTarget="0">
    <vt:i4>1</vt:i4>
  </property>
  <property fmtid="{D5CDD505-2E9C-101B-9397-08002B2CF9AE}" pid="6" name="KSOTemplateDocerSaveRecord">
    <vt:lpwstr>eyJoZGlkIjoiMGU0MTc0MjUwMTAxNjRiYzYwYThhOTE3NjMyMmEwMzciLCJ1c2VySWQiOiIxOTAyMTI3NDAifQ==</vt:lpwstr>
  </property>
</Properties>
</file>