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27D203A">
      <w:pPr>
        <w:spacing w:line="360" w:lineRule="auto"/>
        <w:jc w:val="center"/>
        <w:rPr>
          <w:rFonts w:cs="仿宋_GB2312" w:asciiTheme="minorEastAsia" w:hAnsiTheme="minorEastAsia" w:eastAsiaTheme="minorEastAsia"/>
          <w:b/>
          <w:sz w:val="24"/>
        </w:rPr>
      </w:pPr>
    </w:p>
    <w:p w14:paraId="2610E590">
      <w:pPr>
        <w:spacing w:line="360" w:lineRule="auto"/>
        <w:jc w:val="center"/>
        <w:rPr>
          <w:rFonts w:cs="仿宋_GB2312" w:asciiTheme="minorEastAsia" w:hAnsiTheme="minorEastAsia" w:eastAsiaTheme="minorEastAsia"/>
          <w:b/>
          <w:sz w:val="24"/>
        </w:rPr>
      </w:pPr>
    </w:p>
    <w:p w14:paraId="0972EB1F">
      <w:pPr>
        <w:adjustRightInd/>
        <w:spacing w:line="360" w:lineRule="auto"/>
        <w:jc w:val="center"/>
        <w:rPr>
          <w:rFonts w:cs="仿宋_GB2312" w:asciiTheme="minorEastAsia" w:hAnsiTheme="minorEastAsia" w:eastAsiaTheme="minorEastAsia"/>
          <w:b/>
          <w:sz w:val="44"/>
          <w:szCs w:val="44"/>
        </w:rPr>
      </w:pPr>
    </w:p>
    <w:p w14:paraId="4879DFBA">
      <w:pPr>
        <w:adjustRightInd/>
        <w:spacing w:line="360" w:lineRule="auto"/>
        <w:jc w:val="center"/>
        <w:rPr>
          <w:rFonts w:cs="仿宋_GB2312" w:asciiTheme="minorEastAsia" w:hAnsiTheme="minorEastAsia" w:eastAsiaTheme="minorEastAsia"/>
          <w:b/>
          <w:sz w:val="44"/>
          <w:szCs w:val="44"/>
        </w:rPr>
      </w:pPr>
    </w:p>
    <w:p w14:paraId="4EC6C25A">
      <w:pPr>
        <w:adjustRightInd/>
        <w:spacing w:line="360" w:lineRule="auto"/>
        <w:jc w:val="center"/>
        <w:rPr>
          <w:rFonts w:cs="仿宋_GB2312" w:asciiTheme="minorEastAsia" w:hAnsiTheme="minorEastAsia" w:eastAsiaTheme="minorEastAsia"/>
          <w:b/>
          <w:color w:val="auto"/>
          <w:sz w:val="72"/>
          <w:szCs w:val="72"/>
        </w:rPr>
      </w:pPr>
      <w:r>
        <w:rPr>
          <w:rFonts w:hint="eastAsia" w:cs="仿宋_GB2312" w:asciiTheme="minorEastAsia" w:hAnsiTheme="minorEastAsia" w:eastAsiaTheme="minorEastAsia"/>
          <w:b/>
          <w:bCs/>
          <w:color w:val="auto"/>
          <w:w w:val="95"/>
          <w:sz w:val="44"/>
          <w:szCs w:val="44"/>
          <w:lang w:val="zh-CN"/>
        </w:rPr>
        <w:t>嘉兴市统计局社情民意调查服务外包项目</w:t>
      </w:r>
      <w:r>
        <w:rPr>
          <w:rFonts w:hint="eastAsia" w:cs="仿宋_GB2312" w:asciiTheme="minorEastAsia" w:hAnsiTheme="minorEastAsia" w:eastAsiaTheme="minorEastAsia"/>
          <w:b/>
          <w:bCs/>
          <w:color w:val="auto"/>
          <w:w w:val="95"/>
          <w:sz w:val="72"/>
          <w:szCs w:val="72"/>
          <w:lang w:val="zh-CN"/>
        </w:rPr>
        <w:t>竞争性磋商</w:t>
      </w:r>
      <w:r>
        <w:rPr>
          <w:rFonts w:hint="eastAsia" w:cs="仿宋_GB2312" w:asciiTheme="minorEastAsia" w:hAnsiTheme="minorEastAsia" w:eastAsiaTheme="minorEastAsia"/>
          <w:b/>
          <w:color w:val="auto"/>
          <w:sz w:val="72"/>
          <w:szCs w:val="72"/>
        </w:rPr>
        <w:t>文件</w:t>
      </w:r>
    </w:p>
    <w:p w14:paraId="14D7CEA5">
      <w:pPr>
        <w:adjustRightInd/>
        <w:spacing w:line="360" w:lineRule="auto"/>
        <w:jc w:val="center"/>
        <w:rPr>
          <w:rFonts w:cs="仿宋_GB2312" w:asciiTheme="minorEastAsia" w:hAnsiTheme="minorEastAsia" w:eastAsiaTheme="minorEastAsia"/>
          <w:b/>
          <w:color w:val="auto"/>
          <w:sz w:val="44"/>
          <w:szCs w:val="44"/>
        </w:rPr>
      </w:pPr>
      <w:r>
        <w:rPr>
          <w:rFonts w:hint="eastAsia" w:cs="仿宋_GB2312" w:asciiTheme="minorEastAsia" w:hAnsiTheme="minorEastAsia" w:eastAsiaTheme="minorEastAsia"/>
          <w:b/>
          <w:color w:val="auto"/>
          <w:sz w:val="44"/>
          <w:szCs w:val="44"/>
        </w:rPr>
        <w:t>（电子交易）</w:t>
      </w:r>
    </w:p>
    <w:p w14:paraId="3D20C0BC">
      <w:pPr>
        <w:snapToGrid w:val="0"/>
        <w:spacing w:line="360" w:lineRule="auto"/>
        <w:jc w:val="center"/>
        <w:rPr>
          <w:rFonts w:cs="仿宋_GB2312" w:asciiTheme="minorEastAsia" w:hAnsiTheme="minorEastAsia" w:eastAsiaTheme="minorEastAsia"/>
          <w:color w:val="auto"/>
          <w:sz w:val="30"/>
          <w:szCs w:val="30"/>
        </w:rPr>
      </w:pPr>
    </w:p>
    <w:p w14:paraId="7BFA328E">
      <w:pPr>
        <w:snapToGrid w:val="0"/>
        <w:spacing w:line="360" w:lineRule="auto"/>
        <w:jc w:val="center"/>
        <w:rPr>
          <w:rFonts w:hint="eastAsia" w:cs="仿宋_GB2312" w:asciiTheme="minorEastAsia" w:hAnsiTheme="minorEastAsia" w:eastAsiaTheme="minorEastAsia"/>
          <w:color w:val="auto"/>
          <w:sz w:val="30"/>
          <w:szCs w:val="30"/>
        </w:rPr>
      </w:pPr>
    </w:p>
    <w:p w14:paraId="76639718">
      <w:pPr>
        <w:snapToGrid w:val="0"/>
        <w:spacing w:line="360" w:lineRule="auto"/>
        <w:jc w:val="center"/>
        <w:rPr>
          <w:rFonts w:hint="eastAsia" w:cs="仿宋_GB2312" w:asciiTheme="minorEastAsia" w:hAnsiTheme="minorEastAsia" w:eastAsiaTheme="minorEastAsia"/>
          <w:color w:val="auto"/>
          <w:sz w:val="30"/>
          <w:szCs w:val="30"/>
        </w:rPr>
      </w:pPr>
    </w:p>
    <w:p w14:paraId="533DE8BE">
      <w:pPr>
        <w:adjustRightInd/>
        <w:spacing w:line="360" w:lineRule="auto"/>
        <w:jc w:val="center"/>
        <w:rPr>
          <w:rFonts w:hint="default" w:cs="仿宋_GB2312" w:asciiTheme="minorEastAsia" w:hAnsiTheme="minorEastAsia" w:eastAsiaTheme="minorEastAsia"/>
          <w:color w:val="auto"/>
          <w:sz w:val="28"/>
          <w:szCs w:val="20"/>
          <w:lang w:val="en-US" w:eastAsia="zh-CN"/>
        </w:rPr>
      </w:pPr>
      <w:r>
        <w:rPr>
          <w:rFonts w:hint="eastAsia" w:cs="仿宋_GB2312" w:asciiTheme="minorEastAsia" w:hAnsiTheme="minorEastAsia" w:eastAsiaTheme="minorEastAsia"/>
          <w:color w:val="auto"/>
          <w:sz w:val="30"/>
          <w:szCs w:val="30"/>
        </w:rPr>
        <w:t>项目编号:JXSJ-202</w:t>
      </w:r>
      <w:r>
        <w:rPr>
          <w:rFonts w:hint="eastAsia" w:cs="仿宋_GB2312" w:asciiTheme="minorEastAsia" w:hAnsiTheme="minorEastAsia" w:eastAsiaTheme="minorEastAsia"/>
          <w:color w:val="auto"/>
          <w:sz w:val="30"/>
          <w:szCs w:val="30"/>
          <w:lang w:val="en-US" w:eastAsia="zh-CN"/>
        </w:rPr>
        <w:t>5</w:t>
      </w:r>
      <w:r>
        <w:rPr>
          <w:rFonts w:hint="eastAsia" w:cs="仿宋_GB2312" w:asciiTheme="minorEastAsia" w:hAnsiTheme="minorEastAsia" w:eastAsiaTheme="minorEastAsia"/>
          <w:color w:val="auto"/>
          <w:sz w:val="30"/>
          <w:szCs w:val="30"/>
        </w:rPr>
        <w:t>-</w:t>
      </w:r>
      <w:r>
        <w:rPr>
          <w:rFonts w:hint="eastAsia" w:cs="仿宋_GB2312" w:asciiTheme="minorEastAsia" w:hAnsiTheme="minorEastAsia" w:eastAsiaTheme="minorEastAsia"/>
          <w:color w:val="auto"/>
          <w:sz w:val="30"/>
          <w:szCs w:val="30"/>
          <w:lang w:val="en-US" w:eastAsia="zh-CN"/>
        </w:rPr>
        <w:t>18</w:t>
      </w:r>
    </w:p>
    <w:p w14:paraId="4FB09D3F">
      <w:pPr>
        <w:spacing w:line="360" w:lineRule="auto"/>
        <w:jc w:val="center"/>
        <w:rPr>
          <w:rFonts w:cs="仿宋_GB2312" w:asciiTheme="minorEastAsia" w:hAnsiTheme="minorEastAsia" w:eastAsiaTheme="minorEastAsia"/>
          <w:color w:val="auto"/>
          <w:sz w:val="24"/>
        </w:rPr>
      </w:pPr>
    </w:p>
    <w:p w14:paraId="3FF97F59">
      <w:pPr>
        <w:spacing w:line="360" w:lineRule="auto"/>
        <w:jc w:val="center"/>
        <w:rPr>
          <w:rFonts w:cs="仿宋_GB2312" w:asciiTheme="minorEastAsia" w:hAnsiTheme="minorEastAsia" w:eastAsiaTheme="minorEastAsia"/>
          <w:color w:val="auto"/>
          <w:sz w:val="24"/>
        </w:rPr>
      </w:pPr>
    </w:p>
    <w:p w14:paraId="78A386E8">
      <w:pPr>
        <w:pStyle w:val="182"/>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5D17ADD0">
      <w:pPr>
        <w:pStyle w:val="182"/>
        <w:widowControl w:val="0"/>
        <w:spacing w:before="0" w:beforeAutospacing="0" w:after="0" w:afterAutospacing="0" w:line="360" w:lineRule="auto"/>
        <w:textAlignment w:val="auto"/>
        <w:rPr>
          <w:rFonts w:hint="default" w:cs="仿宋_GB2312" w:asciiTheme="minorEastAsia" w:hAnsiTheme="minorEastAsia" w:eastAsiaTheme="minorEastAsia"/>
          <w:color w:val="auto"/>
          <w:kern w:val="2"/>
        </w:rPr>
      </w:pPr>
    </w:p>
    <w:p w14:paraId="4E7B530F">
      <w:pPr>
        <w:spacing w:line="360" w:lineRule="auto"/>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24"/>
        </w:rPr>
        <w:t xml:space="preserve">                               </w:t>
      </w:r>
    </w:p>
    <w:p w14:paraId="7448CB5A">
      <w:pPr>
        <w:snapToGrid w:val="0"/>
        <w:spacing w:line="360" w:lineRule="auto"/>
        <w:ind w:firstLine="640" w:firstLineChars="200"/>
        <w:jc w:val="both"/>
        <w:rPr>
          <w:rFonts w:hint="eastAsia" w:ascii="宋体" w:hAnsi="宋体" w:cs="宋体"/>
          <w:bCs/>
          <w:color w:val="auto"/>
          <w:sz w:val="32"/>
          <w:szCs w:val="32"/>
          <w:lang w:eastAsia="zh-CN"/>
        </w:rPr>
      </w:pPr>
      <w:r>
        <w:rPr>
          <w:rFonts w:hint="eastAsia" w:ascii="宋体" w:hAnsi="宋体" w:cs="宋体"/>
          <w:color w:val="auto"/>
          <w:sz w:val="32"/>
          <w:szCs w:val="32"/>
        </w:rPr>
        <w:t>采</w:t>
      </w:r>
      <w:r>
        <w:rPr>
          <w:rFonts w:hint="eastAsia" w:ascii="宋体" w:hAnsi="宋体" w:cs="宋体"/>
          <w:color w:val="auto"/>
          <w:sz w:val="32"/>
          <w:szCs w:val="32"/>
          <w:lang w:val="en-US" w:eastAsia="zh-CN"/>
        </w:rPr>
        <w:t xml:space="preserve"> </w:t>
      </w:r>
      <w:r>
        <w:rPr>
          <w:rFonts w:hint="eastAsia" w:ascii="宋体" w:hAnsi="宋体" w:cs="宋体"/>
          <w:bCs/>
          <w:color w:val="auto"/>
          <w:sz w:val="32"/>
          <w:szCs w:val="32"/>
          <w:lang w:eastAsia="zh-CN"/>
        </w:rPr>
        <w:t>购人：</w:t>
      </w:r>
      <w:r>
        <w:rPr>
          <w:rFonts w:hint="eastAsia" w:ascii="宋体" w:hAnsi="宋体" w:cs="宋体"/>
          <w:bCs/>
          <w:color w:val="auto"/>
          <w:sz w:val="32"/>
          <w:szCs w:val="32"/>
          <w:lang w:val="zh-CN" w:eastAsia="zh-CN"/>
        </w:rPr>
        <w:t>嘉兴市统计局</w:t>
      </w:r>
    </w:p>
    <w:p w14:paraId="2E307EB4">
      <w:pPr>
        <w:spacing w:line="360" w:lineRule="auto"/>
        <w:jc w:val="center"/>
        <w:rPr>
          <w:rFonts w:hint="eastAsia" w:eastAsia="宋体" w:cs="仿宋_GB2312" w:asciiTheme="minorEastAsia" w:hAnsiTheme="minorEastAsia"/>
          <w:bCs/>
          <w:color w:val="auto"/>
          <w:sz w:val="32"/>
          <w:szCs w:val="32"/>
          <w:lang w:eastAsia="zh-CN"/>
        </w:rPr>
      </w:pPr>
      <w:r>
        <w:rPr>
          <w:rFonts w:hint="eastAsia" w:ascii="宋体" w:hAnsi="宋体" w:cs="宋体"/>
          <w:bCs/>
          <w:color w:val="auto"/>
          <w:sz w:val="32"/>
          <w:szCs w:val="32"/>
        </w:rPr>
        <w:t>代理机构</w:t>
      </w:r>
      <w:r>
        <w:rPr>
          <w:rFonts w:hint="eastAsia" w:ascii="宋体" w:hAnsi="宋体" w:cs="宋体"/>
          <w:bCs/>
          <w:color w:val="auto"/>
          <w:sz w:val="32"/>
          <w:szCs w:val="32"/>
          <w:lang w:eastAsia="zh-CN"/>
        </w:rPr>
        <w:t>：嘉兴市建新工程造价咨询事务所有限公司</w:t>
      </w:r>
    </w:p>
    <w:p w14:paraId="026204E7">
      <w:pPr>
        <w:snapToGrid w:val="0"/>
        <w:spacing w:line="360" w:lineRule="auto"/>
        <w:jc w:val="center"/>
        <w:rPr>
          <w:rFonts w:cs="仿宋_GB2312" w:asciiTheme="minorEastAsia" w:hAnsiTheme="minorEastAsia" w:eastAsiaTheme="minorEastAsia"/>
          <w:bCs/>
          <w:color w:val="auto"/>
          <w:sz w:val="32"/>
          <w:szCs w:val="32"/>
        </w:rPr>
      </w:pPr>
      <w:r>
        <w:rPr>
          <w:rFonts w:hint="eastAsia" w:cs="仿宋_GB2312" w:asciiTheme="minorEastAsia" w:hAnsiTheme="minorEastAsia" w:eastAsiaTheme="minorEastAsia"/>
          <w:bCs/>
          <w:color w:val="auto"/>
          <w:sz w:val="32"/>
          <w:szCs w:val="32"/>
        </w:rPr>
        <w:t>二</w:t>
      </w:r>
      <w:r>
        <w:rPr>
          <w:rFonts w:hint="eastAsia" w:cs="宋体" w:asciiTheme="minorEastAsia" w:hAnsiTheme="minorEastAsia" w:eastAsiaTheme="minorEastAsia"/>
          <w:bCs/>
          <w:color w:val="auto"/>
          <w:sz w:val="32"/>
          <w:szCs w:val="32"/>
        </w:rPr>
        <w:t>〇</w:t>
      </w:r>
      <w:r>
        <w:rPr>
          <w:rFonts w:hint="eastAsia" w:cs="仿宋_GB2312" w:asciiTheme="minorEastAsia" w:hAnsiTheme="minorEastAsia" w:eastAsiaTheme="minorEastAsia"/>
          <w:bCs/>
          <w:color w:val="auto"/>
          <w:sz w:val="32"/>
          <w:szCs w:val="32"/>
        </w:rPr>
        <w:t>二</w:t>
      </w:r>
      <w:r>
        <w:rPr>
          <w:rFonts w:hint="eastAsia" w:cs="仿宋_GB2312" w:asciiTheme="minorEastAsia" w:hAnsiTheme="minorEastAsia" w:eastAsiaTheme="minorEastAsia"/>
          <w:bCs/>
          <w:color w:val="auto"/>
          <w:sz w:val="32"/>
          <w:szCs w:val="32"/>
          <w:lang w:eastAsia="zh-CN"/>
        </w:rPr>
        <w:t>五</w:t>
      </w:r>
      <w:r>
        <w:rPr>
          <w:rFonts w:hint="eastAsia" w:cs="仿宋_GB2312" w:asciiTheme="minorEastAsia" w:hAnsiTheme="minorEastAsia" w:eastAsiaTheme="minorEastAsia"/>
          <w:bCs/>
          <w:color w:val="auto"/>
          <w:sz w:val="32"/>
          <w:szCs w:val="32"/>
        </w:rPr>
        <w:t>年</w:t>
      </w:r>
      <w:r>
        <w:rPr>
          <w:rFonts w:hint="eastAsia" w:cs="仿宋_GB2312" w:asciiTheme="minorEastAsia" w:hAnsiTheme="minorEastAsia" w:eastAsiaTheme="minorEastAsia"/>
          <w:bCs/>
          <w:color w:val="auto"/>
          <w:sz w:val="32"/>
          <w:szCs w:val="32"/>
          <w:lang w:eastAsia="zh-CN"/>
        </w:rPr>
        <w:t>三</w:t>
      </w:r>
      <w:r>
        <w:rPr>
          <w:rFonts w:hint="eastAsia" w:cs="仿宋_GB2312" w:asciiTheme="minorEastAsia" w:hAnsiTheme="minorEastAsia" w:eastAsiaTheme="minorEastAsia"/>
          <w:bCs/>
          <w:color w:val="auto"/>
          <w:sz w:val="32"/>
          <w:szCs w:val="32"/>
        </w:rPr>
        <w:t>月</w:t>
      </w:r>
    </w:p>
    <w:p w14:paraId="1BF3883E">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br w:type="page"/>
      </w:r>
      <w:bookmarkStart w:id="0" w:name="_Hlt67893495"/>
      <w:bookmarkEnd w:id="0"/>
    </w:p>
    <w:p w14:paraId="39DF4A40">
      <w:pPr>
        <w:tabs>
          <w:tab w:val="left" w:pos="2268"/>
        </w:tabs>
        <w:spacing w:line="360" w:lineRule="auto"/>
        <w:jc w:val="center"/>
        <w:rPr>
          <w:rFonts w:cs="仿宋_GB2312" w:asciiTheme="minorEastAsia" w:hAnsiTheme="minorEastAsia" w:eastAsiaTheme="minorEastAsia"/>
          <w:color w:val="auto"/>
          <w:sz w:val="24"/>
        </w:rPr>
      </w:pPr>
    </w:p>
    <w:p w14:paraId="6F204586">
      <w:pPr>
        <w:spacing w:line="360" w:lineRule="auto"/>
        <w:jc w:val="center"/>
        <w:rPr>
          <w:rFonts w:cs="仿宋_GB2312" w:asciiTheme="minorEastAsia" w:hAnsiTheme="minorEastAsia" w:eastAsiaTheme="minorEastAsia"/>
          <w:b/>
          <w:color w:val="auto"/>
          <w:sz w:val="48"/>
          <w:szCs w:val="48"/>
        </w:rPr>
      </w:pPr>
      <w:r>
        <w:rPr>
          <w:rFonts w:hint="eastAsia" w:cs="仿宋_GB2312" w:asciiTheme="minorEastAsia" w:hAnsiTheme="minorEastAsia" w:eastAsiaTheme="minorEastAsia"/>
          <w:b/>
          <w:color w:val="auto"/>
          <w:sz w:val="48"/>
          <w:szCs w:val="48"/>
        </w:rPr>
        <w:t>目  录</w:t>
      </w:r>
    </w:p>
    <w:p w14:paraId="4EA63E3B">
      <w:pPr>
        <w:spacing w:line="360" w:lineRule="auto"/>
        <w:rPr>
          <w:rFonts w:cs="仿宋_GB2312" w:asciiTheme="minorEastAsia" w:hAnsiTheme="minorEastAsia" w:eastAsiaTheme="minorEastAsia"/>
          <w:color w:val="auto"/>
          <w:sz w:val="32"/>
          <w:szCs w:val="32"/>
        </w:rPr>
      </w:pPr>
    </w:p>
    <w:p w14:paraId="687BEC76">
      <w:pPr>
        <w:spacing w:line="360" w:lineRule="auto"/>
        <w:rPr>
          <w:rFonts w:cs="仿宋_GB2312" w:asciiTheme="minorEastAsia" w:hAnsiTheme="minorEastAsia" w:eastAsiaTheme="minorEastAsia"/>
          <w:color w:val="auto"/>
          <w:sz w:val="32"/>
          <w:szCs w:val="32"/>
        </w:rPr>
      </w:pPr>
    </w:p>
    <w:p w14:paraId="0A567729">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第一部分      供应商</w:t>
      </w:r>
    </w:p>
    <w:p w14:paraId="688A3DAA">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第二部分      竞争性磋商流程</w:t>
      </w:r>
    </w:p>
    <w:p w14:paraId="584A7184">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第三部分      供应商须知</w:t>
      </w:r>
    </w:p>
    <w:p w14:paraId="59322BDC">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第四部分      采购需求</w:t>
      </w:r>
    </w:p>
    <w:p w14:paraId="57B2B864">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第五部分      评审方法及评审标准</w:t>
      </w:r>
    </w:p>
    <w:p w14:paraId="2AB76452">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第六部分      拟签订的合同文本</w:t>
      </w:r>
    </w:p>
    <w:p w14:paraId="70A1E1D5">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第七部分      应提交的有关格式范例</w:t>
      </w:r>
    </w:p>
    <w:p w14:paraId="28E1E7C9">
      <w:pPr>
        <w:spacing w:line="360" w:lineRule="auto"/>
        <w:ind w:firstLine="1280" w:firstLineChars="400"/>
        <w:rPr>
          <w:rFonts w:cs="仿宋_GB2312" w:asciiTheme="minorEastAsia" w:hAnsiTheme="minorEastAsia" w:eastAsiaTheme="minorEastAsia"/>
          <w:color w:val="auto"/>
          <w:sz w:val="32"/>
          <w:szCs w:val="32"/>
        </w:rPr>
      </w:pPr>
      <w:r>
        <w:rPr>
          <w:rFonts w:hint="eastAsia" w:cs="仿宋_GB2312" w:asciiTheme="minorEastAsia" w:hAnsiTheme="minorEastAsia" w:eastAsiaTheme="minorEastAsia"/>
          <w:color w:val="auto"/>
          <w:sz w:val="32"/>
          <w:szCs w:val="32"/>
        </w:rPr>
        <w:t>第八部分      最后报价格式</w:t>
      </w:r>
    </w:p>
    <w:p w14:paraId="0F217FEF">
      <w:pPr>
        <w:spacing w:line="360" w:lineRule="auto"/>
        <w:ind w:firstLine="549" w:firstLineChars="229"/>
        <w:rPr>
          <w:rFonts w:cs="仿宋_GB2312" w:asciiTheme="minorEastAsia" w:hAnsiTheme="minorEastAsia" w:eastAsiaTheme="minorEastAsia"/>
          <w:color w:val="auto"/>
          <w:sz w:val="24"/>
        </w:rPr>
      </w:pPr>
      <w:bookmarkStart w:id="1" w:name="_Hlt91233176"/>
      <w:bookmarkEnd w:id="1"/>
      <w:bookmarkStart w:id="2" w:name="_Toc91899869"/>
    </w:p>
    <w:p w14:paraId="06E9584B">
      <w:pPr>
        <w:spacing w:line="360" w:lineRule="auto"/>
        <w:ind w:firstLine="549" w:firstLineChars="229"/>
        <w:rPr>
          <w:rFonts w:cs="仿宋_GB2312" w:asciiTheme="minorEastAsia" w:hAnsiTheme="minorEastAsia" w:eastAsiaTheme="minorEastAsia"/>
          <w:color w:val="auto"/>
          <w:sz w:val="24"/>
        </w:rPr>
      </w:pPr>
    </w:p>
    <w:p w14:paraId="69356515">
      <w:pPr>
        <w:spacing w:line="360" w:lineRule="auto"/>
        <w:ind w:firstLine="549" w:firstLineChars="229"/>
        <w:rPr>
          <w:rFonts w:cs="仿宋_GB2312" w:asciiTheme="minorEastAsia" w:hAnsiTheme="minorEastAsia" w:eastAsiaTheme="minorEastAsia"/>
          <w:color w:val="auto"/>
          <w:sz w:val="24"/>
        </w:rPr>
      </w:pPr>
    </w:p>
    <w:p w14:paraId="734BA460">
      <w:pPr>
        <w:spacing w:line="360" w:lineRule="auto"/>
        <w:ind w:firstLine="549" w:firstLineChars="229"/>
        <w:rPr>
          <w:rFonts w:cs="仿宋_GB2312" w:asciiTheme="minorEastAsia" w:hAnsiTheme="minorEastAsia" w:eastAsiaTheme="minorEastAsia"/>
          <w:color w:val="auto"/>
          <w:sz w:val="24"/>
        </w:rPr>
      </w:pPr>
    </w:p>
    <w:p w14:paraId="689C827A">
      <w:pPr>
        <w:spacing w:line="360" w:lineRule="auto"/>
        <w:ind w:firstLine="549" w:firstLineChars="229"/>
        <w:rPr>
          <w:rFonts w:cs="仿宋_GB2312" w:asciiTheme="minorEastAsia" w:hAnsiTheme="minorEastAsia" w:eastAsiaTheme="minorEastAsia"/>
          <w:color w:val="auto"/>
          <w:sz w:val="24"/>
        </w:rPr>
      </w:pPr>
    </w:p>
    <w:p w14:paraId="734DED3C">
      <w:pPr>
        <w:spacing w:line="360" w:lineRule="auto"/>
        <w:ind w:firstLine="549" w:firstLineChars="229"/>
        <w:rPr>
          <w:rFonts w:cs="仿宋_GB2312" w:asciiTheme="minorEastAsia" w:hAnsiTheme="minorEastAsia" w:eastAsiaTheme="minorEastAsia"/>
          <w:color w:val="auto"/>
          <w:sz w:val="24"/>
        </w:rPr>
      </w:pPr>
    </w:p>
    <w:p w14:paraId="78E10A52">
      <w:pPr>
        <w:spacing w:line="360" w:lineRule="auto"/>
        <w:ind w:firstLine="549" w:firstLineChars="229"/>
        <w:rPr>
          <w:rFonts w:cs="仿宋_GB2312" w:asciiTheme="minorEastAsia" w:hAnsiTheme="minorEastAsia" w:eastAsiaTheme="minorEastAsia"/>
          <w:color w:val="auto"/>
          <w:sz w:val="24"/>
        </w:rPr>
      </w:pPr>
    </w:p>
    <w:p w14:paraId="51BEE10E">
      <w:pPr>
        <w:spacing w:line="360" w:lineRule="auto"/>
        <w:ind w:firstLine="549" w:firstLineChars="229"/>
        <w:rPr>
          <w:rFonts w:cs="仿宋_GB2312" w:asciiTheme="minorEastAsia" w:hAnsiTheme="minorEastAsia" w:eastAsiaTheme="minorEastAsia"/>
          <w:color w:val="auto"/>
          <w:sz w:val="24"/>
        </w:rPr>
      </w:pPr>
    </w:p>
    <w:p w14:paraId="3F84C381">
      <w:pPr>
        <w:spacing w:line="360" w:lineRule="auto"/>
        <w:ind w:firstLine="549" w:firstLineChars="229"/>
        <w:rPr>
          <w:rFonts w:cs="仿宋_GB2312" w:asciiTheme="minorEastAsia" w:hAnsiTheme="minorEastAsia" w:eastAsiaTheme="minorEastAsia"/>
          <w:color w:val="auto"/>
          <w:sz w:val="24"/>
        </w:rPr>
      </w:pPr>
    </w:p>
    <w:p w14:paraId="635E7BC7">
      <w:pPr>
        <w:spacing w:line="360" w:lineRule="auto"/>
        <w:ind w:firstLine="549" w:firstLineChars="229"/>
        <w:rPr>
          <w:rFonts w:cs="仿宋_GB2312" w:asciiTheme="minorEastAsia" w:hAnsiTheme="minorEastAsia" w:eastAsiaTheme="minorEastAsia"/>
          <w:color w:val="auto"/>
          <w:sz w:val="24"/>
        </w:rPr>
      </w:pPr>
    </w:p>
    <w:p w14:paraId="13F09708">
      <w:pPr>
        <w:spacing w:line="360" w:lineRule="auto"/>
        <w:ind w:firstLine="549" w:firstLineChars="229"/>
        <w:rPr>
          <w:rFonts w:cs="仿宋_GB2312" w:asciiTheme="minorEastAsia" w:hAnsiTheme="minorEastAsia" w:eastAsiaTheme="minorEastAsia"/>
          <w:color w:val="auto"/>
          <w:sz w:val="24"/>
        </w:rPr>
      </w:pPr>
    </w:p>
    <w:p w14:paraId="4ECB28E2">
      <w:pPr>
        <w:spacing w:line="360" w:lineRule="auto"/>
        <w:ind w:firstLine="549" w:firstLineChars="229"/>
        <w:rPr>
          <w:rFonts w:cs="仿宋_GB2312" w:asciiTheme="minorEastAsia" w:hAnsiTheme="minorEastAsia" w:eastAsiaTheme="minorEastAsia"/>
          <w:color w:val="auto"/>
          <w:sz w:val="24"/>
        </w:rPr>
      </w:pPr>
    </w:p>
    <w:p w14:paraId="122E6F35">
      <w:pPr>
        <w:spacing w:line="360" w:lineRule="auto"/>
        <w:ind w:firstLine="549" w:firstLineChars="229"/>
        <w:rPr>
          <w:rFonts w:cs="仿宋_GB2312" w:asciiTheme="minorEastAsia" w:hAnsiTheme="minorEastAsia" w:eastAsiaTheme="minorEastAsia"/>
          <w:color w:val="auto"/>
          <w:sz w:val="24"/>
        </w:rPr>
      </w:pPr>
    </w:p>
    <w:bookmarkEnd w:id="2"/>
    <w:p w14:paraId="208E593F">
      <w:pPr>
        <w:adjustRightInd/>
        <w:spacing w:line="360" w:lineRule="auto"/>
        <w:jc w:val="center"/>
        <w:outlineLvl w:val="0"/>
        <w:rPr>
          <w:rFonts w:cs="仿宋_GB2312" w:asciiTheme="minorEastAsia" w:hAnsiTheme="minorEastAsia" w:eastAsiaTheme="minorEastAsia"/>
          <w:b/>
          <w:color w:val="auto"/>
          <w:sz w:val="36"/>
          <w:szCs w:val="20"/>
        </w:rPr>
      </w:pPr>
      <w:bookmarkStart w:id="3" w:name="_Hlt74729822"/>
      <w:bookmarkEnd w:id="3"/>
      <w:bookmarkStart w:id="4" w:name="_Hlt74728647"/>
      <w:bookmarkEnd w:id="4"/>
      <w:bookmarkStart w:id="5" w:name="_Hlt74649545"/>
      <w:bookmarkEnd w:id="5"/>
      <w:bookmarkStart w:id="6" w:name="_Hlt74707423"/>
      <w:bookmarkEnd w:id="6"/>
      <w:bookmarkStart w:id="7" w:name="第二部分"/>
      <w:bookmarkStart w:id="8" w:name="_Toc91899870"/>
      <w:bookmarkStart w:id="9" w:name="_Toc91899871"/>
      <w:r>
        <w:rPr>
          <w:rFonts w:hint="eastAsia" w:cs="仿宋_GB2312" w:asciiTheme="minorEastAsia" w:hAnsiTheme="minorEastAsia" w:eastAsiaTheme="minorEastAsia"/>
          <w:b/>
          <w:color w:val="auto"/>
          <w:sz w:val="36"/>
          <w:szCs w:val="20"/>
        </w:rPr>
        <w:t>第一部分 竞争性磋商邀请公告</w:t>
      </w:r>
    </w:p>
    <w:p w14:paraId="0E5C0D66">
      <w:pPr>
        <w:spacing w:line="360" w:lineRule="auto"/>
        <w:rPr>
          <w:rFonts w:asciiTheme="minorEastAsia" w:hAnsiTheme="minorEastAsia" w:eastAsiaTheme="minorEastAsia"/>
          <w:color w:val="auto"/>
          <w:sz w:val="24"/>
        </w:rPr>
      </w:pPr>
    </w:p>
    <w:p w14:paraId="197D6D44">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项目概况</w:t>
      </w:r>
    </w:p>
    <w:p w14:paraId="65F041AE">
      <w:pPr>
        <w:pBdr>
          <w:top w:val="single" w:color="auto" w:sz="4" w:space="1"/>
          <w:left w:val="single" w:color="auto" w:sz="4" w:space="4"/>
          <w:bottom w:val="single" w:color="auto" w:sz="4" w:space="1"/>
          <w:right w:val="single" w:color="auto" w:sz="4" w:space="4"/>
        </w:pBdr>
        <w:spacing w:line="360" w:lineRule="auto"/>
        <w:ind w:firstLine="480" w:firstLineChars="2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lang w:val="zh-CN"/>
        </w:rPr>
        <w:t>嘉兴市统计局社情民意调查服务外包项目</w:t>
      </w:r>
      <w:r>
        <w:rPr>
          <w:rFonts w:hint="eastAsia" w:asciiTheme="minorEastAsia" w:hAnsiTheme="minorEastAsia" w:eastAsiaTheme="minorEastAsia"/>
          <w:color w:val="auto"/>
          <w:sz w:val="24"/>
        </w:rPr>
        <w:t>的潜在供应商应在</w:t>
      </w:r>
      <w:r>
        <w:rPr>
          <w:rFonts w:hint="eastAsia" w:cs="仿宋_GB2312" w:asciiTheme="minorEastAsia" w:hAnsiTheme="minorEastAsia" w:eastAsiaTheme="minorEastAsia"/>
          <w:color w:val="auto"/>
          <w:sz w:val="24"/>
          <w:u w:val="single"/>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color w:val="auto"/>
          <w:sz w:val="24"/>
          <w:u w:val="single"/>
        </w:rPr>
        <w:t>https://www.zcygov.cn/</w:t>
      </w:r>
      <w:r>
        <w:rPr>
          <w:rStyle w:val="68"/>
          <w:rFonts w:hint="eastAsia" w:cs="仿宋_GB2312" w:asciiTheme="minorEastAsia" w:hAnsiTheme="minorEastAsia" w:eastAsiaTheme="minorEastAsia"/>
          <w:color w:val="auto"/>
          <w:sz w:val="24"/>
          <w:u w:val="single"/>
        </w:rPr>
        <w:fldChar w:fldCharType="end"/>
      </w:r>
      <w:r>
        <w:rPr>
          <w:rFonts w:hint="eastAsia" w:cs="仿宋_GB2312" w:asciiTheme="minorEastAsia" w:hAnsiTheme="minorEastAsia" w:eastAsiaTheme="minorEastAsia"/>
          <w:color w:val="auto"/>
          <w:sz w:val="24"/>
          <w:u w:val="single"/>
        </w:rPr>
        <w:t>）</w:t>
      </w:r>
      <w:r>
        <w:rPr>
          <w:rFonts w:hint="eastAsia" w:asciiTheme="minorEastAsia" w:hAnsiTheme="minorEastAsia" w:eastAsiaTheme="minorEastAsia"/>
          <w:color w:val="auto"/>
          <w:sz w:val="24"/>
        </w:rPr>
        <w:t>获取采购文件，并于</w:t>
      </w:r>
      <w:r>
        <w:rPr>
          <w:rFonts w:hint="eastAsia" w:asciiTheme="minorEastAsia" w:hAnsiTheme="minorEastAsia" w:eastAsiaTheme="minorEastAsia"/>
          <w:color w:val="auto"/>
          <w:sz w:val="24"/>
          <w:u w:val="single"/>
        </w:rPr>
        <w:t>202</w:t>
      </w:r>
      <w:r>
        <w:rPr>
          <w:rFonts w:hint="eastAsia" w:asciiTheme="minorEastAsia" w:hAnsiTheme="minorEastAsia" w:eastAsiaTheme="minorEastAsia"/>
          <w:color w:val="auto"/>
          <w:sz w:val="24"/>
          <w:u w:val="single"/>
          <w:lang w:val="en-US" w:eastAsia="zh-CN"/>
        </w:rPr>
        <w:t>5</w:t>
      </w:r>
      <w:r>
        <w:rPr>
          <w:rFonts w:hint="eastAsia" w:asciiTheme="minorEastAsia" w:hAnsiTheme="minorEastAsia" w:eastAsiaTheme="minorEastAsia"/>
          <w:bCs/>
          <w:color w:val="auto"/>
          <w:sz w:val="24"/>
          <w:u w:val="single"/>
        </w:rPr>
        <w:t>年</w:t>
      </w:r>
      <w:r>
        <w:rPr>
          <w:rFonts w:hint="eastAsia" w:asciiTheme="minorEastAsia" w:hAnsiTheme="minorEastAsia" w:eastAsiaTheme="minorEastAsia"/>
          <w:bCs/>
          <w:color w:val="auto"/>
          <w:sz w:val="24"/>
          <w:u w:val="single"/>
          <w:lang w:val="en-US" w:eastAsia="zh-CN"/>
        </w:rPr>
        <w:t>3</w:t>
      </w:r>
      <w:r>
        <w:rPr>
          <w:rFonts w:hint="eastAsia" w:asciiTheme="minorEastAsia" w:hAnsiTheme="minorEastAsia" w:eastAsiaTheme="minorEastAsia"/>
          <w:bCs/>
          <w:color w:val="auto"/>
          <w:sz w:val="24"/>
          <w:u w:val="single"/>
        </w:rPr>
        <w:t>月</w:t>
      </w:r>
      <w:r>
        <w:rPr>
          <w:rFonts w:hint="eastAsia" w:asciiTheme="minorEastAsia" w:hAnsiTheme="minorEastAsia" w:eastAsiaTheme="minorEastAsia"/>
          <w:bCs/>
          <w:color w:val="auto"/>
          <w:sz w:val="24"/>
          <w:u w:val="single"/>
          <w:lang w:val="en-US" w:eastAsia="zh-CN"/>
        </w:rPr>
        <w:t>31</w:t>
      </w:r>
      <w:r>
        <w:rPr>
          <w:rFonts w:hint="eastAsia" w:asciiTheme="minorEastAsia" w:hAnsiTheme="minorEastAsia" w:eastAsiaTheme="minorEastAsia"/>
          <w:bCs/>
          <w:color w:val="auto"/>
          <w:sz w:val="24"/>
          <w:u w:val="single"/>
        </w:rPr>
        <w:t>日</w:t>
      </w:r>
      <w:r>
        <w:rPr>
          <w:rFonts w:hint="eastAsia" w:asciiTheme="minorEastAsia" w:hAnsiTheme="minorEastAsia" w:eastAsiaTheme="minorEastAsia"/>
          <w:bCs/>
          <w:color w:val="auto"/>
          <w:sz w:val="24"/>
          <w:u w:val="single"/>
          <w:lang w:val="en-US" w:eastAsia="zh-CN"/>
        </w:rPr>
        <w:t>9</w:t>
      </w:r>
      <w:r>
        <w:rPr>
          <w:rFonts w:hint="eastAsia" w:asciiTheme="minorEastAsia" w:hAnsiTheme="minorEastAsia" w:eastAsiaTheme="minorEastAsia"/>
          <w:bCs/>
          <w:color w:val="auto"/>
          <w:sz w:val="24"/>
          <w:u w:val="single"/>
          <w:lang w:eastAsia="zh-CN"/>
        </w:rPr>
        <w:t>时</w:t>
      </w:r>
      <w:r>
        <w:rPr>
          <w:rFonts w:hint="eastAsia" w:asciiTheme="minorEastAsia" w:hAnsiTheme="minorEastAsia" w:eastAsiaTheme="minorEastAsia"/>
          <w:bCs/>
          <w:color w:val="auto"/>
          <w:sz w:val="24"/>
          <w:u w:val="single"/>
          <w:lang w:val="en-US" w:eastAsia="zh-CN"/>
        </w:rPr>
        <w:t>30</w:t>
      </w:r>
      <w:r>
        <w:rPr>
          <w:rFonts w:hint="eastAsia" w:asciiTheme="minorEastAsia" w:hAnsiTheme="minorEastAsia" w:eastAsiaTheme="minorEastAsia"/>
          <w:bCs/>
          <w:color w:val="auto"/>
          <w:sz w:val="24"/>
          <w:u w:val="single"/>
        </w:rPr>
        <w:t>分00秒</w:t>
      </w:r>
      <w:r>
        <w:rPr>
          <w:rFonts w:hint="eastAsia" w:asciiTheme="minorEastAsia" w:hAnsiTheme="minorEastAsia" w:eastAsiaTheme="minorEastAsia"/>
          <w:bCs/>
          <w:color w:val="auto"/>
          <w:sz w:val="24"/>
        </w:rPr>
        <w:t>（北京时间）前提交响应文件</w:t>
      </w:r>
      <w:r>
        <w:rPr>
          <w:rFonts w:hint="eastAsia" w:asciiTheme="minorEastAsia" w:hAnsiTheme="minorEastAsia" w:eastAsiaTheme="minorEastAsia"/>
          <w:color w:val="auto"/>
          <w:sz w:val="24"/>
        </w:rPr>
        <w:t>。</w:t>
      </w:r>
    </w:p>
    <w:p w14:paraId="03D1D059">
      <w:pPr>
        <w:spacing w:line="360" w:lineRule="auto"/>
        <w:rPr>
          <w:rFonts w:asciiTheme="minorEastAsia" w:hAnsiTheme="minorEastAsia" w:eastAsiaTheme="minorEastAsia"/>
          <w:color w:val="auto"/>
          <w:sz w:val="24"/>
        </w:rPr>
      </w:pPr>
    </w:p>
    <w:p w14:paraId="44C4DDD9">
      <w:pPr>
        <w:pStyle w:val="3"/>
        <w:numPr>
          <w:ilvl w:val="0"/>
          <w:numId w:val="0"/>
        </w:numPr>
        <w:ind w:left="432" w:hanging="432"/>
        <w:rPr>
          <w:rFonts w:cs="宋体" w:asciiTheme="minorEastAsia" w:hAnsiTheme="minorEastAsia" w:eastAsiaTheme="minorEastAsia"/>
          <w:color w:val="auto"/>
          <w:sz w:val="24"/>
          <w:szCs w:val="24"/>
        </w:rPr>
      </w:pPr>
      <w:bookmarkStart w:id="10" w:name="_Toc28359012"/>
      <w:bookmarkStart w:id="11" w:name="_Toc35393629"/>
      <w:bookmarkStart w:id="12" w:name="_Toc28359089"/>
      <w:bookmarkStart w:id="13" w:name="_Toc35393798"/>
      <w:r>
        <w:rPr>
          <w:rFonts w:hint="eastAsia" w:cs="宋体" w:asciiTheme="minorEastAsia" w:hAnsiTheme="minorEastAsia" w:eastAsiaTheme="minorEastAsia"/>
          <w:color w:val="auto"/>
          <w:sz w:val="24"/>
          <w:szCs w:val="24"/>
        </w:rPr>
        <w:t>一、项目基本情况</w:t>
      </w:r>
      <w:bookmarkEnd w:id="10"/>
      <w:bookmarkEnd w:id="11"/>
      <w:bookmarkEnd w:id="12"/>
      <w:bookmarkEnd w:id="13"/>
    </w:p>
    <w:p w14:paraId="4C3169A5">
      <w:pPr>
        <w:spacing w:line="360" w:lineRule="auto"/>
        <w:ind w:firstLine="482" w:firstLineChars="200"/>
        <w:rPr>
          <w:rFonts w:hint="default" w:asciiTheme="minorEastAsia" w:hAnsiTheme="minorEastAsia" w:eastAsiaTheme="minorEastAsia"/>
          <w:color w:val="auto"/>
          <w:sz w:val="24"/>
          <w:lang w:val="en-US" w:eastAsia="zh-CN"/>
        </w:rPr>
      </w:pPr>
      <w:r>
        <w:rPr>
          <w:rFonts w:hint="eastAsia" w:asciiTheme="minorEastAsia" w:hAnsiTheme="minorEastAsia" w:eastAsiaTheme="minorEastAsia"/>
          <w:b/>
          <w:color w:val="auto"/>
          <w:sz w:val="24"/>
        </w:rPr>
        <w:t>项目编号：JXSJ-202</w:t>
      </w:r>
      <w:r>
        <w:rPr>
          <w:rFonts w:hint="eastAsia" w:asciiTheme="minorEastAsia" w:hAnsiTheme="minorEastAsia" w:eastAsiaTheme="minorEastAsia"/>
          <w:b/>
          <w:color w:val="auto"/>
          <w:sz w:val="24"/>
          <w:lang w:val="en-US" w:eastAsia="zh-CN"/>
        </w:rPr>
        <w:t>5</w:t>
      </w:r>
      <w:r>
        <w:rPr>
          <w:rFonts w:hint="eastAsia" w:asciiTheme="minorEastAsia" w:hAnsiTheme="minorEastAsia" w:eastAsiaTheme="minorEastAsia"/>
          <w:b/>
          <w:color w:val="auto"/>
          <w:sz w:val="24"/>
        </w:rPr>
        <w:t>-</w:t>
      </w:r>
      <w:r>
        <w:rPr>
          <w:rFonts w:hint="eastAsia" w:asciiTheme="minorEastAsia" w:hAnsiTheme="minorEastAsia" w:eastAsiaTheme="minorEastAsia"/>
          <w:b/>
          <w:color w:val="auto"/>
          <w:sz w:val="24"/>
          <w:lang w:val="en-US" w:eastAsia="zh-CN"/>
        </w:rPr>
        <w:t>18</w:t>
      </w:r>
    </w:p>
    <w:p w14:paraId="3279F02D">
      <w:pPr>
        <w:spacing w:line="360" w:lineRule="auto"/>
        <w:ind w:firstLine="482" w:firstLineChars="200"/>
        <w:rPr>
          <w:rFonts w:asciiTheme="minorEastAsia" w:hAnsiTheme="minorEastAsia" w:eastAsiaTheme="minorEastAsia"/>
          <w:color w:val="auto"/>
          <w:sz w:val="24"/>
          <w:u w:val="single"/>
        </w:rPr>
      </w:pPr>
      <w:r>
        <w:rPr>
          <w:rFonts w:hint="eastAsia" w:asciiTheme="minorEastAsia" w:hAnsiTheme="minorEastAsia" w:eastAsiaTheme="minorEastAsia"/>
          <w:b/>
          <w:color w:val="auto"/>
          <w:sz w:val="24"/>
        </w:rPr>
        <w:t>项目名称：</w:t>
      </w:r>
      <w:r>
        <w:rPr>
          <w:rFonts w:hint="eastAsia" w:asciiTheme="minorEastAsia" w:hAnsiTheme="minorEastAsia" w:eastAsiaTheme="minorEastAsia"/>
          <w:color w:val="auto"/>
          <w:sz w:val="24"/>
          <w:lang w:val="zh-CN"/>
        </w:rPr>
        <w:t>嘉兴市统计局社情民意调查服务外包项目</w:t>
      </w:r>
    </w:p>
    <w:p w14:paraId="2310C97B">
      <w:pPr>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采购方式：</w:t>
      </w:r>
      <w:r>
        <w:rPr>
          <w:rFonts w:hint="eastAsia" w:asciiTheme="minorEastAsia" w:hAnsiTheme="minorEastAsia" w:eastAsiaTheme="minorEastAsia"/>
          <w:color w:val="auto"/>
          <w:sz w:val="24"/>
        </w:rPr>
        <w:t>竞争性磋商</w:t>
      </w:r>
    </w:p>
    <w:p w14:paraId="6E7931EA">
      <w:pPr>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预算金额（元）：</w:t>
      </w:r>
      <w:r>
        <w:rPr>
          <w:rFonts w:hint="eastAsia" w:asciiTheme="minorEastAsia" w:hAnsiTheme="minorEastAsia" w:eastAsiaTheme="minorEastAsia"/>
          <w:b/>
          <w:color w:val="auto"/>
          <w:sz w:val="24"/>
          <w:lang w:val="en-US" w:eastAsia="zh-CN"/>
        </w:rPr>
        <w:t>950000</w:t>
      </w:r>
      <w:r>
        <w:rPr>
          <w:rFonts w:asciiTheme="minorEastAsia" w:hAnsiTheme="minorEastAsia" w:eastAsiaTheme="minorEastAsia"/>
          <w:b/>
          <w:color w:val="auto"/>
          <w:sz w:val="24"/>
        </w:rPr>
        <w:t xml:space="preserve"> </w:t>
      </w:r>
    </w:p>
    <w:p w14:paraId="0AB6E94E">
      <w:pPr>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最高限价（元）：</w:t>
      </w:r>
      <w:r>
        <w:rPr>
          <w:rFonts w:hint="eastAsia" w:asciiTheme="minorEastAsia" w:hAnsiTheme="minorEastAsia" w:eastAsiaTheme="minorEastAsia"/>
          <w:b/>
          <w:color w:val="auto"/>
          <w:sz w:val="24"/>
          <w:lang w:val="en-US" w:eastAsia="zh-CN"/>
        </w:rPr>
        <w:t>950000</w:t>
      </w:r>
      <w:r>
        <w:rPr>
          <w:rFonts w:asciiTheme="minorEastAsia" w:hAnsiTheme="minorEastAsia" w:eastAsiaTheme="minorEastAsia"/>
          <w:b/>
          <w:color w:val="auto"/>
          <w:sz w:val="24"/>
        </w:rPr>
        <w:t xml:space="preserve"> </w:t>
      </w:r>
    </w:p>
    <w:p w14:paraId="1C484BD1">
      <w:pPr>
        <w:spacing w:line="360" w:lineRule="auto"/>
        <w:ind w:firstLine="482" w:firstLineChars="200"/>
        <w:rPr>
          <w:rFonts w:asciiTheme="minorEastAsia" w:hAnsiTheme="minorEastAsia" w:eastAsiaTheme="minorEastAsia"/>
          <w:b w:val="0"/>
          <w:bCs/>
          <w:color w:val="auto"/>
          <w:sz w:val="24"/>
        </w:rPr>
      </w:pPr>
      <w:r>
        <w:rPr>
          <w:rFonts w:hint="eastAsia" w:asciiTheme="minorEastAsia" w:hAnsiTheme="minorEastAsia" w:eastAsiaTheme="minorEastAsia"/>
          <w:b/>
          <w:color w:val="auto"/>
          <w:sz w:val="24"/>
        </w:rPr>
        <w:t>采购需求：</w:t>
      </w:r>
      <w:r>
        <w:rPr>
          <w:rFonts w:hint="eastAsia" w:asciiTheme="minorEastAsia" w:hAnsiTheme="minorEastAsia" w:eastAsiaTheme="minorEastAsia"/>
          <w:b w:val="0"/>
          <w:bCs/>
          <w:color w:val="auto"/>
          <w:sz w:val="24"/>
        </w:rPr>
        <w:t>嘉兴市统计局开展社情民意调查的方式主要有CATI调查和面访调查等，全年承担民意调查项目30个左右，涉及有效样本</w:t>
      </w:r>
      <w:r>
        <w:rPr>
          <w:rFonts w:hint="eastAsia" w:asciiTheme="minorEastAsia" w:hAnsiTheme="minorEastAsia" w:eastAsiaTheme="minorEastAsia"/>
          <w:b w:val="0"/>
          <w:bCs/>
          <w:color w:val="auto"/>
          <w:sz w:val="24"/>
          <w:lang w:val="en-US" w:eastAsia="zh-CN"/>
        </w:rPr>
        <w:t>9</w:t>
      </w:r>
      <w:r>
        <w:rPr>
          <w:rFonts w:hint="eastAsia" w:asciiTheme="minorEastAsia" w:hAnsiTheme="minorEastAsia" w:eastAsiaTheme="minorEastAsia"/>
          <w:b w:val="0"/>
          <w:bCs/>
          <w:color w:val="auto"/>
          <w:sz w:val="24"/>
        </w:rPr>
        <w:t>万个左右</w:t>
      </w:r>
      <w:r>
        <w:rPr>
          <w:rFonts w:hint="eastAsia" w:asciiTheme="minorEastAsia" w:hAnsiTheme="minorEastAsia" w:eastAsiaTheme="minorEastAsia"/>
          <w:b w:val="0"/>
          <w:bCs/>
          <w:color w:val="auto"/>
          <w:sz w:val="24"/>
          <w:lang w:eastAsia="zh-CN"/>
        </w:rPr>
        <w:t>，其中</w:t>
      </w:r>
      <w:r>
        <w:rPr>
          <w:rFonts w:hint="eastAsia" w:asciiTheme="minorEastAsia" w:hAnsiTheme="minorEastAsia" w:eastAsiaTheme="minorEastAsia"/>
          <w:b w:val="0"/>
          <w:bCs/>
          <w:color w:val="auto"/>
          <w:sz w:val="24"/>
          <w:lang w:val="en-US" w:eastAsia="zh-CN"/>
        </w:rPr>
        <w:t>CATI调查项目占比在95%左右</w:t>
      </w:r>
      <w:r>
        <w:rPr>
          <w:rFonts w:hint="eastAsia" w:asciiTheme="minorEastAsia" w:hAnsiTheme="minorEastAsia" w:eastAsiaTheme="minorEastAsia"/>
          <w:b w:val="0"/>
          <w:bCs/>
          <w:color w:val="auto"/>
          <w:sz w:val="24"/>
        </w:rPr>
        <w:t>。本次招标标的是CATI调查和面访调查过程中的访员招聘管理、现场督导、数据采集、样本审核等环节的服务外包。</w:t>
      </w:r>
      <w:r>
        <w:rPr>
          <w:rFonts w:hint="eastAsia" w:cs="仿宋_GB2312" w:asciiTheme="minorEastAsia" w:hAnsiTheme="minorEastAsia" w:eastAsiaTheme="minorEastAsia"/>
          <w:b w:val="0"/>
          <w:bCs/>
          <w:color w:val="auto"/>
          <w:sz w:val="24"/>
        </w:rPr>
        <w:t>详见磋商文件。</w:t>
      </w:r>
    </w:p>
    <w:p w14:paraId="31BCACEF">
      <w:pPr>
        <w:spacing w:line="360" w:lineRule="auto"/>
        <w:ind w:firstLine="482" w:firstLineChars="200"/>
        <w:rPr>
          <w:rFonts w:hint="eastAsia" w:asciiTheme="minorEastAsia" w:hAnsiTheme="minorEastAsia" w:eastAsiaTheme="minorEastAsia"/>
          <w:color w:val="auto"/>
          <w:sz w:val="24"/>
          <w:u w:val="single"/>
          <w:lang w:eastAsia="zh-CN"/>
        </w:rPr>
      </w:pPr>
      <w:r>
        <w:rPr>
          <w:rFonts w:hint="eastAsia" w:asciiTheme="minorEastAsia" w:hAnsiTheme="minorEastAsia" w:eastAsiaTheme="minorEastAsia"/>
          <w:b/>
          <w:color w:val="auto"/>
          <w:sz w:val="24"/>
        </w:rPr>
        <w:t>合同履行期限</w:t>
      </w:r>
      <w:r>
        <w:rPr>
          <w:rFonts w:hint="eastAsia" w:asciiTheme="minorEastAsia" w:hAnsiTheme="minorEastAsia" w:eastAsiaTheme="minorEastAsia"/>
          <w:color w:val="auto"/>
          <w:sz w:val="24"/>
        </w:rPr>
        <w:t>：</w:t>
      </w:r>
      <w:r>
        <w:rPr>
          <w:rFonts w:hint="eastAsia" w:asciiTheme="minorEastAsia" w:hAnsiTheme="minorEastAsia" w:eastAsiaTheme="minorEastAsia"/>
          <w:color w:val="auto"/>
          <w:sz w:val="24"/>
          <w:lang w:val="en-US" w:eastAsia="zh-CN"/>
        </w:rPr>
        <w:t>服务</w:t>
      </w:r>
      <w:r>
        <w:rPr>
          <w:rFonts w:hint="eastAsia" w:asciiTheme="minorEastAsia" w:hAnsiTheme="minorEastAsia" w:eastAsiaTheme="minorEastAsia"/>
          <w:color w:val="auto"/>
          <w:sz w:val="24"/>
        </w:rPr>
        <w:t>有效期为签订合同之日起</w:t>
      </w:r>
      <w:r>
        <w:rPr>
          <w:rFonts w:hint="eastAsia" w:asciiTheme="minorEastAsia" w:hAnsiTheme="minorEastAsia" w:eastAsiaTheme="minorEastAsia"/>
          <w:color w:val="auto"/>
          <w:sz w:val="24"/>
          <w:lang w:val="en-US" w:eastAsia="zh-CN"/>
        </w:rPr>
        <w:t>三</w:t>
      </w:r>
      <w:r>
        <w:rPr>
          <w:rFonts w:hint="eastAsia" w:asciiTheme="minorEastAsia" w:hAnsiTheme="minorEastAsia" w:eastAsiaTheme="minorEastAsia"/>
          <w:color w:val="auto"/>
          <w:sz w:val="24"/>
        </w:rPr>
        <w:t>年。</w:t>
      </w:r>
      <w:r>
        <w:rPr>
          <w:rFonts w:hint="eastAsia" w:asciiTheme="minorEastAsia" w:hAnsiTheme="minorEastAsia" w:eastAsiaTheme="minorEastAsia"/>
          <w:color w:val="auto"/>
          <w:sz w:val="24"/>
          <w:lang w:val="en-US" w:eastAsia="zh-CN"/>
        </w:rPr>
        <w:t>合同</w:t>
      </w:r>
      <w:r>
        <w:rPr>
          <w:rFonts w:hint="eastAsia" w:asciiTheme="minorEastAsia" w:hAnsiTheme="minorEastAsia" w:eastAsiaTheme="minorEastAsia"/>
          <w:color w:val="auto"/>
          <w:sz w:val="24"/>
        </w:rPr>
        <w:t>一年</w:t>
      </w:r>
      <w:r>
        <w:rPr>
          <w:rFonts w:hint="eastAsia" w:asciiTheme="minorEastAsia" w:hAnsiTheme="minorEastAsia" w:eastAsiaTheme="minorEastAsia"/>
          <w:color w:val="auto"/>
          <w:sz w:val="24"/>
          <w:lang w:val="en-US" w:eastAsia="zh-CN"/>
        </w:rPr>
        <w:t>一签</w:t>
      </w:r>
      <w:r>
        <w:rPr>
          <w:rFonts w:hint="eastAsia" w:asciiTheme="minorEastAsia" w:hAnsiTheme="minorEastAsia" w:eastAsiaTheme="minorEastAsia"/>
          <w:color w:val="auto"/>
          <w:sz w:val="24"/>
        </w:rPr>
        <w:t>。若合同到期，</w:t>
      </w:r>
      <w:r>
        <w:rPr>
          <w:rFonts w:hint="eastAsia" w:asciiTheme="minorEastAsia" w:hAnsiTheme="minorEastAsia" w:eastAsiaTheme="minorEastAsia"/>
          <w:color w:val="auto"/>
          <w:sz w:val="24"/>
          <w:lang w:eastAsia="zh-CN"/>
        </w:rPr>
        <w:t>采购方</w:t>
      </w:r>
      <w:r>
        <w:rPr>
          <w:rFonts w:hint="eastAsia" w:asciiTheme="minorEastAsia" w:hAnsiTheme="minorEastAsia" w:eastAsiaTheme="minorEastAsia"/>
          <w:color w:val="auto"/>
          <w:sz w:val="24"/>
        </w:rPr>
        <w:t>有权根据上一年合同履约和</w:t>
      </w:r>
      <w:r>
        <w:rPr>
          <w:rFonts w:hint="eastAsia" w:asciiTheme="minorEastAsia" w:hAnsiTheme="minorEastAsia" w:eastAsiaTheme="minorEastAsia"/>
          <w:color w:val="auto"/>
          <w:sz w:val="24"/>
          <w:lang w:val="en-US" w:eastAsia="zh-CN"/>
        </w:rPr>
        <w:t>绩效</w:t>
      </w:r>
      <w:r>
        <w:rPr>
          <w:rFonts w:hint="eastAsia" w:asciiTheme="minorEastAsia" w:hAnsiTheme="minorEastAsia" w:eastAsiaTheme="minorEastAsia"/>
          <w:color w:val="auto"/>
          <w:sz w:val="24"/>
        </w:rPr>
        <w:t>考核情况，决定是否续签下一年度合同，最多续签两次，续签期间按原合同履行。</w:t>
      </w:r>
    </w:p>
    <w:p w14:paraId="2D6B62C2">
      <w:pPr>
        <w:spacing w:line="360" w:lineRule="auto"/>
        <w:ind w:firstLine="482" w:firstLineChars="200"/>
        <w:rPr>
          <w:rFonts w:asciiTheme="minorEastAsia" w:hAnsiTheme="minorEastAsia" w:eastAsiaTheme="minorEastAsia"/>
          <w:b/>
          <w:color w:val="auto"/>
          <w:sz w:val="24"/>
        </w:rPr>
      </w:pPr>
      <w:r>
        <w:rPr>
          <w:rFonts w:hint="eastAsia" w:asciiTheme="minorEastAsia" w:hAnsiTheme="minorEastAsia" w:eastAsiaTheme="minorEastAsia"/>
          <w:b/>
          <w:color w:val="auto"/>
          <w:sz w:val="24"/>
        </w:rPr>
        <w:t>本项目接受联合体投标：</w:t>
      </w:r>
      <w:sdt>
        <w:sdtPr>
          <w:rPr>
            <w:rFonts w:hint="eastAsia" w:asciiTheme="minorEastAsia" w:hAnsiTheme="minorEastAsia" w:eastAsiaTheme="minorEastAsia"/>
            <w:b/>
            <w:color w:val="auto"/>
            <w:sz w:val="24"/>
          </w:rPr>
          <w:id w:val="2035453831"/>
          <w14:checkbox>
            <w14:checked w14:val="0"/>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MS Gothic" w:hAnsi="MS Gothic" w:eastAsia="MS Gothic"/>
              <w:b/>
              <w:color w:val="auto"/>
              <w:sz w:val="24"/>
            </w:rPr>
            <w:t>☐</w:t>
          </w:r>
        </w:sdtContent>
      </w:sdt>
      <w:r>
        <w:rPr>
          <w:rFonts w:hint="eastAsia" w:asciiTheme="minorEastAsia" w:hAnsiTheme="minorEastAsia" w:eastAsiaTheme="minorEastAsia"/>
          <w:b/>
          <w:color w:val="auto"/>
          <w:sz w:val="24"/>
        </w:rPr>
        <w:t>是，</w:t>
      </w:r>
      <w:sdt>
        <w:sdtPr>
          <w:rPr>
            <w:rFonts w:hint="eastAsia" w:asciiTheme="minorEastAsia" w:hAnsiTheme="minorEastAsia" w:eastAsiaTheme="minorEastAsia"/>
            <w:b/>
            <w:color w:val="auto"/>
            <w:sz w:val="24"/>
          </w:rPr>
          <w:id w:val="-1765526721"/>
          <w14:checkbox>
            <w14:checked w14:val="1"/>
            <w14:checkedState w14:val="00FE" w14:font="Wingdings"/>
            <w14:uncheckedState w14:val="2610" w14:font="MS Gothic"/>
          </w14:checkbox>
        </w:sdtPr>
        <w:sdtEndPr>
          <w:rPr>
            <w:rFonts w:hint="eastAsia" w:asciiTheme="minorEastAsia" w:hAnsiTheme="minorEastAsia" w:eastAsiaTheme="minorEastAsia"/>
            <w:b/>
            <w:color w:val="auto"/>
            <w:sz w:val="24"/>
          </w:rPr>
        </w:sdtEndPr>
        <w:sdtContent>
          <w:r>
            <w:rPr>
              <w:rFonts w:hint="eastAsia" w:ascii="Wingdings" w:hAnsi="Wingdings" w:eastAsia="MS Mincho" w:cs="MS Mincho"/>
              <w:b/>
              <w:color w:val="auto"/>
              <w:kern w:val="2"/>
              <w:sz w:val="24"/>
              <w:szCs w:val="24"/>
              <w:lang w:val="en-US" w:eastAsia="zh-CN" w:bidi="ar-SA"/>
            </w:rPr>
            <w:t>þ</w:t>
          </w:r>
        </w:sdtContent>
      </w:sdt>
      <w:r>
        <w:rPr>
          <w:rFonts w:hint="eastAsia" w:asciiTheme="minorEastAsia" w:hAnsiTheme="minorEastAsia" w:eastAsiaTheme="minorEastAsia"/>
          <w:b/>
          <w:color w:val="auto"/>
          <w:sz w:val="24"/>
        </w:rPr>
        <w:t>否。</w:t>
      </w:r>
    </w:p>
    <w:p w14:paraId="4344B3FD">
      <w:pPr>
        <w:spacing w:line="360" w:lineRule="auto"/>
        <w:ind w:firstLine="480" w:firstLineChars="200"/>
        <w:rPr>
          <w:rFonts w:cs="宋体" w:asciiTheme="minorEastAsia" w:hAnsiTheme="minorEastAsia" w:eastAsiaTheme="minorEastAsia"/>
          <w:color w:val="auto"/>
          <w:sz w:val="24"/>
        </w:rPr>
      </w:pPr>
      <w:bookmarkStart w:id="14" w:name="_Toc35393630"/>
      <w:bookmarkStart w:id="15" w:name="_Toc35393799"/>
      <w:bookmarkStart w:id="16" w:name="_Toc28359013"/>
      <w:bookmarkStart w:id="17" w:name="_Toc28359090"/>
      <w:r>
        <w:rPr>
          <w:rFonts w:hint="eastAsia" w:cs="宋体" w:asciiTheme="minorEastAsia" w:hAnsiTheme="minorEastAsia" w:eastAsiaTheme="minorEastAsia"/>
          <w:color w:val="auto"/>
          <w:sz w:val="24"/>
        </w:rPr>
        <w:t>二、申请人的资格要求：</w:t>
      </w:r>
      <w:bookmarkEnd w:id="14"/>
      <w:bookmarkEnd w:id="15"/>
      <w:bookmarkEnd w:id="16"/>
      <w:bookmarkEnd w:id="17"/>
    </w:p>
    <w:p w14:paraId="3773A6CF">
      <w:pPr>
        <w:spacing w:line="360" w:lineRule="auto"/>
        <w:ind w:firstLine="480"/>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0D961AA6">
      <w:pPr>
        <w:spacing w:line="360" w:lineRule="auto"/>
        <w:rPr>
          <w:rFonts w:cs="宋体" w:asciiTheme="minorEastAsia" w:hAnsiTheme="minorEastAsia" w:eastAsiaTheme="minorEastAsia"/>
          <w:snapToGrid w:val="0"/>
          <w:color w:val="auto"/>
          <w:kern w:val="28"/>
          <w:sz w:val="24"/>
          <w:szCs w:val="20"/>
        </w:rPr>
      </w:pPr>
      <w:r>
        <w:rPr>
          <w:rFonts w:hint="eastAsia" w:cs="宋体" w:asciiTheme="minorEastAsia" w:hAnsiTheme="minorEastAsia" w:eastAsiaTheme="minorEastAsia"/>
          <w:snapToGrid w:val="0"/>
          <w:color w:val="auto"/>
          <w:kern w:val="28"/>
          <w:sz w:val="24"/>
          <w:szCs w:val="20"/>
        </w:rPr>
        <w:t xml:space="preserve">   </w:t>
      </w:r>
      <w:r>
        <w:rPr>
          <w:rFonts w:hint="eastAsia" w:cs="宋体" w:asciiTheme="minorEastAsia" w:hAnsiTheme="minorEastAsia" w:eastAsiaTheme="minorEastAsia"/>
          <w:snapToGrid w:val="0"/>
          <w:color w:val="auto"/>
          <w:kern w:val="28"/>
          <w:sz w:val="24"/>
          <w:szCs w:val="20"/>
          <w:lang w:val="en-US" w:eastAsia="zh-CN"/>
        </w:rPr>
        <w:t>2</w:t>
      </w:r>
      <w:r>
        <w:rPr>
          <w:rFonts w:hint="eastAsia" w:cs="宋体" w:asciiTheme="minorEastAsia" w:hAnsiTheme="minorEastAsia" w:eastAsiaTheme="minorEastAsia"/>
          <w:snapToGrid w:val="0"/>
          <w:color w:val="auto"/>
          <w:kern w:val="28"/>
          <w:sz w:val="24"/>
          <w:szCs w:val="20"/>
        </w:rPr>
        <w:t>.落实政府采购政策需满足的资格要求：</w:t>
      </w:r>
    </w:p>
    <w:p w14:paraId="427BF7DD">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1928616923"/>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无</w:t>
      </w:r>
      <w:r>
        <w:rPr>
          <w:rFonts w:hint="eastAsia" w:ascii="宋体" w:hAnsi="宋体" w:cs="宋体"/>
          <w:snapToGrid w:val="0"/>
          <w:color w:val="auto"/>
          <w:kern w:val="28"/>
          <w:sz w:val="24"/>
          <w:szCs w:val="20"/>
        </w:rPr>
        <w:t>（注：不得限制大中型企业与小微企业组成联合体参与响应）</w:t>
      </w:r>
      <w:r>
        <w:rPr>
          <w:rFonts w:hint="eastAsia" w:cs="宋体" w:asciiTheme="minorEastAsia" w:hAnsiTheme="minorEastAsia" w:eastAsiaTheme="minorEastAsia"/>
          <w:color w:val="auto"/>
          <w:sz w:val="24"/>
        </w:rPr>
        <w:t>；</w:t>
      </w:r>
    </w:p>
    <w:p w14:paraId="7C061047">
      <w:pPr>
        <w:spacing w:line="360" w:lineRule="auto"/>
        <w:ind w:firstLine="480" w:firstLineChars="200"/>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1024704304"/>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专</w:t>
      </w:r>
      <w:r>
        <w:rPr>
          <w:rFonts w:hint="eastAsia" w:cs="宋体" w:asciiTheme="minorEastAsia" w:hAnsiTheme="minorEastAsia" w:eastAsiaTheme="minorEastAsia"/>
          <w:color w:val="auto"/>
          <w:sz w:val="24"/>
        </w:rPr>
        <w:t>门面向中小企业</w:t>
      </w:r>
    </w:p>
    <w:p w14:paraId="63271AD1">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333685401"/>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sz w:val="24"/>
        </w:rPr>
        <w:t>服务全部由符合政策要求的中小企业承接，提供中小企业声明函；</w:t>
      </w:r>
    </w:p>
    <w:p w14:paraId="03C672DB">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214102535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服务全部由符合政策要求的小微企业承接，提供中小企业声明函；</w:t>
      </w:r>
    </w:p>
    <w:p w14:paraId="78726D96">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198560779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要求以联合体形式参加，提供联合协议和中小企业声明函，联合协议中中小企业合同金额应当达到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视同符合了资格条件，无需再与其他中小企业组成联合体参加政府采购活动，无需提供联合协议</w:t>
      </w:r>
      <w:r>
        <w:rPr>
          <w:rFonts w:hint="eastAsia" w:cs="宋体" w:asciiTheme="minorEastAsia" w:hAnsiTheme="minorEastAsia" w:eastAsiaTheme="minorEastAsia"/>
          <w:color w:val="auto"/>
          <w:sz w:val="24"/>
        </w:rPr>
        <w:t>；</w:t>
      </w:r>
    </w:p>
    <w:p w14:paraId="1C168D25">
      <w:pPr>
        <w:spacing w:line="360" w:lineRule="auto"/>
        <w:ind w:firstLine="897" w:firstLineChars="374"/>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3463064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要求合同分包，提供分包意向协议和中小企业声明函，分包意向协议中中小企业合同金额应当达到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，其中小微企业合同金额应当达到</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 ;</w:t>
      </w:r>
      <w:r>
        <w:rPr>
          <w:rFonts w:hint="eastAsia" w:cs="宋体" w:asciiTheme="minorEastAsia" w:hAnsiTheme="minorEastAsia" w:eastAsiaTheme="minorEastAsia"/>
          <w:color w:val="auto"/>
          <w:spacing w:val="8"/>
          <w:kern w:val="0"/>
          <w:sz w:val="24"/>
        </w:rPr>
        <w:t>如果供应商本身提供所有标的均由中小企业制造、承建或承接，</w:t>
      </w:r>
      <w:r>
        <w:rPr>
          <w:rFonts w:hint="eastAsia" w:ascii="宋体" w:hAnsi="宋体" w:cs="宋体"/>
          <w:color w:val="auto"/>
          <w:spacing w:val="8"/>
          <w:kern w:val="0"/>
          <w:sz w:val="24"/>
        </w:rPr>
        <w:t>并相应达到了前述比例要求，</w:t>
      </w:r>
      <w:r>
        <w:rPr>
          <w:rFonts w:hint="eastAsia" w:cs="宋体" w:asciiTheme="minorEastAsia" w:hAnsiTheme="minorEastAsia" w:eastAsiaTheme="minorEastAsia"/>
          <w:color w:val="auto"/>
          <w:spacing w:val="8"/>
          <w:kern w:val="0"/>
          <w:sz w:val="24"/>
        </w:rPr>
        <w:t>视同符合了资格条件，无需再向中小企业分包，无需提供分包意向协议</w:t>
      </w:r>
      <w:r>
        <w:rPr>
          <w:rFonts w:hint="eastAsia" w:cs="宋体" w:asciiTheme="minorEastAsia" w:hAnsiTheme="minorEastAsia" w:eastAsiaTheme="minorEastAsia"/>
          <w:color w:val="auto"/>
          <w:sz w:val="24"/>
        </w:rPr>
        <w:t>；</w:t>
      </w:r>
    </w:p>
    <w:p w14:paraId="3CF8807F">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3</w:t>
      </w:r>
      <w:r>
        <w:rPr>
          <w:rFonts w:hint="eastAsia" w:cs="宋体" w:asciiTheme="minorEastAsia" w:hAnsiTheme="minorEastAsia" w:eastAsiaTheme="minorEastAsia"/>
          <w:color w:val="auto"/>
          <w:sz w:val="24"/>
        </w:rPr>
        <w:t>.本项目的特定资格要求：无；</w:t>
      </w:r>
    </w:p>
    <w:p w14:paraId="68FB0816">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4</w:t>
      </w:r>
      <w:r>
        <w:rPr>
          <w:rFonts w:hint="eastAsia" w:cs="宋体" w:asciiTheme="minorEastAsia" w:hAnsiTheme="minorEastAsia" w:eastAsiaTheme="minorEastAsia"/>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8997152">
      <w:pPr>
        <w:spacing w:line="360" w:lineRule="auto"/>
        <w:ind w:firstLine="480" w:firstLineChars="200"/>
        <w:rPr>
          <w:rFonts w:cs="宋体" w:asciiTheme="minorEastAsia" w:hAnsiTheme="minorEastAsia" w:eastAsiaTheme="minorEastAsia"/>
          <w:color w:val="auto"/>
          <w:sz w:val="24"/>
        </w:rPr>
      </w:pPr>
      <w:bookmarkStart w:id="18" w:name="_Toc28359014"/>
      <w:bookmarkStart w:id="19" w:name="_Toc28359091"/>
      <w:bookmarkStart w:id="20" w:name="_Toc35393631"/>
      <w:bookmarkStart w:id="21" w:name="_Toc35393800"/>
      <w:r>
        <w:rPr>
          <w:rFonts w:hint="eastAsia" w:cs="宋体" w:asciiTheme="minorEastAsia" w:hAnsiTheme="minorEastAsia" w:eastAsiaTheme="minorEastAsia"/>
          <w:color w:val="auto"/>
          <w:sz w:val="24"/>
        </w:rPr>
        <w:t>三、获取（下载）采购文件</w:t>
      </w:r>
      <w:bookmarkEnd w:id="18"/>
      <w:bookmarkEnd w:id="19"/>
      <w:bookmarkEnd w:id="20"/>
      <w:bookmarkEnd w:id="21"/>
    </w:p>
    <w:p w14:paraId="46FE0291">
      <w:pPr>
        <w:spacing w:line="360" w:lineRule="auto"/>
        <w:ind w:firstLine="540"/>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时间：</w:t>
      </w:r>
      <w:r>
        <w:rPr>
          <w:rFonts w:hint="eastAsia" w:asciiTheme="minorEastAsia" w:hAnsiTheme="minorEastAsia" w:eastAsiaTheme="minorEastAsia"/>
          <w:color w:val="auto"/>
          <w:sz w:val="27"/>
          <w:szCs w:val="27"/>
        </w:rPr>
        <w:t>/</w:t>
      </w:r>
      <w:r>
        <w:rPr>
          <w:rFonts w:hint="eastAsia" w:cs="宋体" w:asciiTheme="minorEastAsia" w:hAnsiTheme="minorEastAsia" w:eastAsiaTheme="minorEastAsia"/>
          <w:color w:val="auto"/>
          <w:sz w:val="24"/>
        </w:rPr>
        <w:t>至202</w:t>
      </w:r>
      <w:r>
        <w:rPr>
          <w:rFonts w:hint="eastAsia" w:cs="宋体" w:asciiTheme="minorEastAsia" w:hAnsiTheme="minorEastAsia" w:eastAsiaTheme="minorEastAsia"/>
          <w:color w:val="auto"/>
          <w:sz w:val="24"/>
          <w:lang w:val="en-US" w:eastAsia="zh-CN"/>
        </w:rPr>
        <w:t>5</w:t>
      </w:r>
      <w:r>
        <w:rPr>
          <w:rFonts w:hint="eastAsia" w:cs="宋体" w:asciiTheme="minorEastAsia" w:hAnsiTheme="minorEastAsia" w:eastAsiaTheme="minorEastAsia"/>
          <w:color w:val="auto"/>
          <w:sz w:val="24"/>
        </w:rPr>
        <w:t>年</w:t>
      </w:r>
      <w:r>
        <w:rPr>
          <w:rFonts w:hint="eastAsia" w:cs="宋体" w:asciiTheme="minorEastAsia" w:hAnsiTheme="minorEastAsia" w:eastAsiaTheme="minorEastAsia"/>
          <w:color w:val="auto"/>
          <w:sz w:val="24"/>
          <w:lang w:val="en-US" w:eastAsia="zh-CN"/>
        </w:rPr>
        <w:t>3</w:t>
      </w:r>
      <w:r>
        <w:rPr>
          <w:rFonts w:hint="eastAsia" w:cs="宋体" w:asciiTheme="minorEastAsia" w:hAnsiTheme="minorEastAsia" w:eastAsiaTheme="minorEastAsia"/>
          <w:color w:val="auto"/>
          <w:sz w:val="24"/>
        </w:rPr>
        <w:t>月</w:t>
      </w:r>
      <w:r>
        <w:rPr>
          <w:rFonts w:hint="eastAsia" w:cs="宋体" w:asciiTheme="minorEastAsia" w:hAnsiTheme="minorEastAsia" w:eastAsiaTheme="minorEastAsia"/>
          <w:color w:val="auto"/>
          <w:sz w:val="24"/>
          <w:lang w:val="en-US" w:eastAsia="zh-CN"/>
        </w:rPr>
        <w:t>31</w:t>
      </w:r>
      <w:r>
        <w:rPr>
          <w:rFonts w:hint="eastAsia" w:cs="宋体" w:asciiTheme="minorEastAsia" w:hAnsiTheme="minorEastAsia" w:eastAsiaTheme="minorEastAsia"/>
          <w:color w:val="auto"/>
          <w:sz w:val="24"/>
        </w:rPr>
        <w:t>日，每天上午</w:t>
      </w:r>
      <w:r>
        <w:rPr>
          <w:rFonts w:hint="eastAsia" w:asciiTheme="minorEastAsia" w:hAnsiTheme="minorEastAsia" w:eastAsiaTheme="minorEastAsia"/>
          <w:color w:val="auto"/>
          <w:sz w:val="24"/>
        </w:rPr>
        <w:t>00:00至12:00 ，下午12:00至23:59</w:t>
      </w:r>
      <w:r>
        <w:rPr>
          <w:rFonts w:hint="eastAsia" w:cs="宋体" w:asciiTheme="minorEastAsia" w:hAnsiTheme="minorEastAsia" w:eastAsiaTheme="minorEastAsia"/>
          <w:color w:val="auto"/>
          <w:sz w:val="24"/>
        </w:rPr>
        <w:t>（北京时间</w:t>
      </w:r>
      <w:r>
        <w:rPr>
          <w:rFonts w:hint="eastAsia" w:asciiTheme="minorEastAsia" w:hAnsiTheme="minorEastAsia" w:eastAsiaTheme="minorEastAsia"/>
          <w:color w:val="auto"/>
          <w:sz w:val="24"/>
        </w:rPr>
        <w:t>，线上获取法定节假日均可，线下获取文件法定节假日除外</w:t>
      </w:r>
      <w:r>
        <w:rPr>
          <w:rFonts w:hint="eastAsia" w:cs="宋体" w:asciiTheme="minorEastAsia" w:hAnsiTheme="minorEastAsia" w:eastAsiaTheme="minorEastAsia"/>
          <w:color w:val="auto"/>
          <w:sz w:val="24"/>
        </w:rPr>
        <w:t>）；</w:t>
      </w:r>
    </w:p>
    <w:p w14:paraId="1D0E5473">
      <w:pPr>
        <w:spacing w:line="360" w:lineRule="auto"/>
        <w:ind w:firstLine="540"/>
        <w:rPr>
          <w:rFonts w:cs="宋体" w:asciiTheme="minorEastAsia" w:hAnsiTheme="minorEastAsia" w:eastAsiaTheme="minorEastAsia"/>
          <w:color w:val="auto"/>
          <w:sz w:val="28"/>
          <w:szCs w:val="28"/>
          <w:u w:val="single"/>
        </w:rPr>
      </w:pPr>
      <w:r>
        <w:rPr>
          <w:rFonts w:hint="eastAsia" w:cs="宋体" w:asciiTheme="minorEastAsia" w:hAnsiTheme="minorEastAsia" w:eastAsiaTheme="minorEastAsia"/>
          <w:b/>
          <w:color w:val="auto"/>
          <w:sz w:val="24"/>
        </w:rPr>
        <w:t>地点（网址）：</w:t>
      </w:r>
      <w:r>
        <w:rPr>
          <w:rFonts w:hint="eastAsia" w:cs="仿宋_GB2312" w:asciiTheme="minorEastAsia" w:hAnsiTheme="minorEastAsia" w:eastAsiaTheme="min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b/>
          <w:color w:val="auto"/>
          <w:sz w:val="24"/>
        </w:rPr>
        <w:t>https://www.zcygov.cn/</w:t>
      </w:r>
      <w:r>
        <w:rPr>
          <w:rStyle w:val="68"/>
          <w:rFonts w:hint="eastAsia" w:cs="仿宋_GB2312" w:asciiTheme="minorEastAsia" w:hAnsiTheme="minorEastAsia" w:eastAsiaTheme="minorEastAsia"/>
          <w:b/>
          <w:color w:val="auto"/>
          <w:sz w:val="24"/>
        </w:rPr>
        <w:fldChar w:fldCharType="end"/>
      </w:r>
      <w:r>
        <w:rPr>
          <w:rFonts w:hint="eastAsia" w:cs="仿宋_GB2312" w:asciiTheme="minorEastAsia" w:hAnsiTheme="minorEastAsia" w:eastAsiaTheme="minorEastAsia"/>
          <w:b/>
          <w:color w:val="auto"/>
          <w:sz w:val="24"/>
        </w:rPr>
        <w:t>）</w:t>
      </w:r>
    </w:p>
    <w:p w14:paraId="6865E89E">
      <w:pPr>
        <w:spacing w:line="360" w:lineRule="auto"/>
        <w:ind w:firstLine="540"/>
        <w:rPr>
          <w:rFonts w:cs="宋体" w:asciiTheme="minorEastAsia" w:hAnsiTheme="minorEastAsia" w:eastAsiaTheme="minorEastAsia"/>
          <w:color w:val="auto"/>
          <w:sz w:val="24"/>
          <w:u w:val="single"/>
        </w:rPr>
      </w:pPr>
      <w:r>
        <w:rPr>
          <w:rFonts w:hint="eastAsia" w:cs="宋体" w:asciiTheme="minorEastAsia" w:hAnsiTheme="minorEastAsia" w:eastAsiaTheme="minorEastAsia"/>
          <w:b/>
          <w:color w:val="auto"/>
          <w:sz w:val="24"/>
        </w:rPr>
        <w:t>方式：</w:t>
      </w:r>
      <w:r>
        <w:rPr>
          <w:rFonts w:hint="eastAsia" w:cs="宋体" w:asciiTheme="minorEastAsia" w:hAnsiTheme="minorEastAsia" w:eastAsiaTheme="minorEastAsia"/>
          <w:color w:val="auto"/>
          <w:sz w:val="24"/>
        </w:rPr>
        <w:t>供应商登录政采云平台https://www.zcygov.cn/在线申请获取采购文件（进入“项目采购”应用，在获取采购文件菜单中选择项目，申请获取采购文件）。</w:t>
      </w:r>
    </w:p>
    <w:p w14:paraId="3047BE61">
      <w:pPr>
        <w:spacing w:line="360" w:lineRule="auto"/>
        <w:ind w:firstLine="540"/>
        <w:rPr>
          <w:rFonts w:cs="宋体" w:asciiTheme="minorEastAsia" w:hAnsiTheme="minorEastAsia" w:eastAsiaTheme="minorEastAsia"/>
          <w:color w:val="auto"/>
          <w:sz w:val="28"/>
          <w:szCs w:val="28"/>
        </w:rPr>
      </w:pPr>
      <w:r>
        <w:rPr>
          <w:rFonts w:hint="eastAsia" w:cs="宋体" w:asciiTheme="minorEastAsia" w:hAnsiTheme="minorEastAsia" w:eastAsiaTheme="minorEastAsia"/>
          <w:b/>
          <w:color w:val="auto"/>
          <w:sz w:val="24"/>
        </w:rPr>
        <w:t>售价：</w:t>
      </w:r>
      <w:r>
        <w:rPr>
          <w:rFonts w:hint="eastAsia" w:cs="仿宋_GB2312" w:asciiTheme="minorEastAsia" w:hAnsiTheme="minorEastAsia" w:eastAsiaTheme="minorEastAsia"/>
          <w:color w:val="auto"/>
          <w:sz w:val="24"/>
        </w:rPr>
        <w:t>免费。</w:t>
      </w:r>
    </w:p>
    <w:p w14:paraId="061DEB77">
      <w:pPr>
        <w:pStyle w:val="3"/>
        <w:numPr>
          <w:ilvl w:val="0"/>
          <w:numId w:val="0"/>
        </w:numPr>
        <w:ind w:left="432" w:hanging="432"/>
        <w:rPr>
          <w:rFonts w:cs="宋体" w:asciiTheme="minorEastAsia" w:hAnsiTheme="minorEastAsia" w:eastAsiaTheme="minorEastAsia"/>
          <w:color w:val="auto"/>
          <w:sz w:val="24"/>
          <w:szCs w:val="24"/>
        </w:rPr>
      </w:pPr>
      <w:bookmarkStart w:id="22" w:name="_Toc28359092"/>
      <w:bookmarkStart w:id="23" w:name="_Toc28359015"/>
      <w:bookmarkStart w:id="24" w:name="_Toc35393801"/>
      <w:bookmarkStart w:id="25" w:name="_Toc35393632"/>
      <w:r>
        <w:rPr>
          <w:rFonts w:hint="eastAsia" w:cs="宋体" w:asciiTheme="minorEastAsia" w:hAnsiTheme="minorEastAsia" w:eastAsiaTheme="minorEastAsia"/>
          <w:color w:val="auto"/>
          <w:sz w:val="24"/>
          <w:szCs w:val="24"/>
        </w:rPr>
        <w:t>四、响应文件提交</w:t>
      </w:r>
      <w:bookmarkEnd w:id="22"/>
      <w:bookmarkEnd w:id="23"/>
      <w:bookmarkEnd w:id="24"/>
      <w:bookmarkEnd w:id="25"/>
      <w:r>
        <w:rPr>
          <w:rFonts w:hint="eastAsia" w:cs="宋体" w:asciiTheme="minorEastAsia" w:hAnsiTheme="minorEastAsia" w:eastAsiaTheme="minorEastAsia"/>
          <w:color w:val="auto"/>
          <w:sz w:val="24"/>
          <w:szCs w:val="24"/>
        </w:rPr>
        <w:t>（上传）</w:t>
      </w:r>
    </w:p>
    <w:p w14:paraId="61785FD4">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截止时间：</w:t>
      </w:r>
      <w:r>
        <w:rPr>
          <w:rFonts w:hint="eastAsia" w:asciiTheme="minorEastAsia" w:hAnsiTheme="minorEastAsia" w:eastAsiaTheme="minorEastAsia"/>
          <w:color w:val="auto"/>
          <w:sz w:val="24"/>
          <w:u w:val="single"/>
        </w:rPr>
        <w:t>202</w:t>
      </w:r>
      <w:r>
        <w:rPr>
          <w:rFonts w:hint="eastAsia" w:asciiTheme="minorEastAsia" w:hAnsiTheme="minorEastAsia" w:eastAsiaTheme="minorEastAsia"/>
          <w:color w:val="auto"/>
          <w:sz w:val="24"/>
          <w:u w:val="single"/>
          <w:lang w:val="en-US" w:eastAsia="zh-CN"/>
        </w:rPr>
        <w:t>5</w:t>
      </w:r>
      <w:r>
        <w:rPr>
          <w:rFonts w:hint="eastAsia" w:asciiTheme="minorEastAsia" w:hAnsiTheme="minorEastAsia" w:eastAsiaTheme="minorEastAsia"/>
          <w:bCs/>
          <w:color w:val="auto"/>
          <w:sz w:val="24"/>
          <w:u w:val="single"/>
        </w:rPr>
        <w:t>年</w:t>
      </w:r>
      <w:r>
        <w:rPr>
          <w:rFonts w:hint="eastAsia" w:asciiTheme="minorEastAsia" w:hAnsiTheme="minorEastAsia" w:eastAsiaTheme="minorEastAsia"/>
          <w:bCs/>
          <w:color w:val="auto"/>
          <w:sz w:val="24"/>
          <w:u w:val="single"/>
          <w:lang w:val="en-US" w:eastAsia="zh-CN"/>
        </w:rPr>
        <w:t>3</w:t>
      </w:r>
      <w:r>
        <w:rPr>
          <w:rFonts w:hint="eastAsia" w:asciiTheme="minorEastAsia" w:hAnsiTheme="minorEastAsia" w:eastAsiaTheme="minorEastAsia"/>
          <w:bCs/>
          <w:color w:val="auto"/>
          <w:sz w:val="24"/>
          <w:u w:val="single"/>
        </w:rPr>
        <w:t>月</w:t>
      </w:r>
      <w:r>
        <w:rPr>
          <w:rFonts w:hint="eastAsia" w:asciiTheme="minorEastAsia" w:hAnsiTheme="minorEastAsia" w:eastAsiaTheme="minorEastAsia"/>
          <w:bCs/>
          <w:color w:val="auto"/>
          <w:sz w:val="24"/>
          <w:u w:val="single"/>
          <w:lang w:val="en-US" w:eastAsia="zh-CN"/>
        </w:rPr>
        <w:t>31</w:t>
      </w:r>
      <w:r>
        <w:rPr>
          <w:rFonts w:hint="eastAsia" w:asciiTheme="minorEastAsia" w:hAnsiTheme="minorEastAsia" w:eastAsiaTheme="minorEastAsia"/>
          <w:bCs/>
          <w:color w:val="auto"/>
          <w:sz w:val="24"/>
          <w:u w:val="single"/>
        </w:rPr>
        <w:t>日</w:t>
      </w:r>
      <w:r>
        <w:rPr>
          <w:rFonts w:hint="eastAsia" w:asciiTheme="minorEastAsia" w:hAnsiTheme="minorEastAsia" w:eastAsiaTheme="minorEastAsia"/>
          <w:bCs/>
          <w:color w:val="auto"/>
          <w:sz w:val="24"/>
          <w:u w:val="single"/>
          <w:lang w:val="en-US" w:eastAsia="zh-CN"/>
        </w:rPr>
        <w:t>9</w:t>
      </w:r>
      <w:r>
        <w:rPr>
          <w:rFonts w:hint="eastAsia" w:asciiTheme="minorEastAsia" w:hAnsiTheme="minorEastAsia" w:eastAsiaTheme="minorEastAsia"/>
          <w:bCs/>
          <w:color w:val="auto"/>
          <w:sz w:val="24"/>
          <w:u w:val="single"/>
          <w:lang w:eastAsia="zh-CN"/>
        </w:rPr>
        <w:t>时</w:t>
      </w:r>
      <w:r>
        <w:rPr>
          <w:rFonts w:hint="eastAsia" w:asciiTheme="minorEastAsia" w:hAnsiTheme="minorEastAsia" w:eastAsiaTheme="minorEastAsia"/>
          <w:bCs/>
          <w:color w:val="auto"/>
          <w:sz w:val="24"/>
          <w:u w:val="single"/>
          <w:lang w:val="en-US" w:eastAsia="zh-CN"/>
        </w:rPr>
        <w:t>30</w:t>
      </w:r>
      <w:r>
        <w:rPr>
          <w:rFonts w:hint="eastAsia" w:asciiTheme="minorEastAsia" w:hAnsiTheme="minorEastAsia" w:eastAsiaTheme="minorEastAsia"/>
          <w:bCs/>
          <w:color w:val="auto"/>
          <w:sz w:val="24"/>
          <w:u w:val="single"/>
        </w:rPr>
        <w:t>分00秒</w:t>
      </w:r>
      <w:r>
        <w:rPr>
          <w:rFonts w:hint="eastAsia" w:asciiTheme="minorEastAsia" w:hAnsiTheme="minorEastAsia" w:eastAsiaTheme="minorEastAsia"/>
          <w:bCs/>
          <w:color w:val="auto"/>
          <w:sz w:val="24"/>
        </w:rPr>
        <w:t>（北京时间）</w:t>
      </w:r>
    </w:p>
    <w:p w14:paraId="4788D839">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地点：</w:t>
      </w:r>
      <w:r>
        <w:rPr>
          <w:rFonts w:hint="eastAsia" w:cs="仿宋_GB2312" w:asciiTheme="minorEastAsia" w:hAnsiTheme="minorEastAsia" w:eastAsiaTheme="minorEastAsia"/>
          <w:b/>
          <w:color w:val="auto"/>
          <w:sz w:val="24"/>
        </w:rPr>
        <w:t>政采云平台（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仿宋_GB2312" w:asciiTheme="minorEastAsia" w:hAnsiTheme="minorEastAsia" w:eastAsiaTheme="minorEastAsia"/>
          <w:b/>
          <w:color w:val="auto"/>
          <w:kern w:val="2"/>
          <w:sz w:val="24"/>
          <w:szCs w:val="24"/>
        </w:rPr>
        <w:t>https://www.zcygov.cn/</w:t>
      </w:r>
      <w:r>
        <w:rPr>
          <w:rStyle w:val="68"/>
          <w:rFonts w:hint="eastAsia" w:cs="仿宋_GB2312" w:asciiTheme="minorEastAsia" w:hAnsiTheme="minorEastAsia" w:eastAsiaTheme="minorEastAsia"/>
          <w:b/>
          <w:color w:val="auto"/>
          <w:kern w:val="2"/>
          <w:sz w:val="24"/>
          <w:szCs w:val="24"/>
        </w:rPr>
        <w:fldChar w:fldCharType="end"/>
      </w:r>
      <w:r>
        <w:rPr>
          <w:rFonts w:hint="eastAsia" w:cs="仿宋_GB2312" w:asciiTheme="minorEastAsia" w:hAnsiTheme="minorEastAsia" w:eastAsiaTheme="minorEastAsia"/>
          <w:b/>
          <w:color w:val="auto"/>
          <w:sz w:val="24"/>
        </w:rPr>
        <w:t>）。</w:t>
      </w:r>
    </w:p>
    <w:p w14:paraId="60BDF5EA">
      <w:pPr>
        <w:pStyle w:val="3"/>
        <w:numPr>
          <w:ilvl w:val="0"/>
          <w:numId w:val="0"/>
        </w:numPr>
        <w:ind w:left="432" w:hanging="432"/>
        <w:rPr>
          <w:rFonts w:cs="宋体" w:asciiTheme="minorEastAsia" w:hAnsiTheme="minorEastAsia" w:eastAsiaTheme="minorEastAsia"/>
          <w:color w:val="auto"/>
          <w:sz w:val="24"/>
          <w:szCs w:val="24"/>
        </w:rPr>
      </w:pPr>
      <w:bookmarkStart w:id="26" w:name="_Toc35393633"/>
      <w:bookmarkStart w:id="27" w:name="_Toc35393802"/>
      <w:bookmarkStart w:id="28" w:name="_Toc28359093"/>
      <w:bookmarkStart w:id="29" w:name="_Toc28359016"/>
      <w:r>
        <w:rPr>
          <w:rFonts w:hint="eastAsia" w:cs="宋体" w:asciiTheme="minorEastAsia" w:hAnsiTheme="minorEastAsia" w:eastAsiaTheme="minorEastAsia"/>
          <w:color w:val="auto"/>
          <w:sz w:val="24"/>
          <w:szCs w:val="24"/>
        </w:rPr>
        <w:t>五、响应文件开启</w:t>
      </w:r>
      <w:bookmarkEnd w:id="26"/>
      <w:bookmarkEnd w:id="27"/>
      <w:bookmarkEnd w:id="28"/>
      <w:bookmarkEnd w:id="29"/>
    </w:p>
    <w:p w14:paraId="5E3F23C7">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时间：</w:t>
      </w:r>
      <w:r>
        <w:rPr>
          <w:rFonts w:hint="eastAsia" w:asciiTheme="minorEastAsia" w:hAnsiTheme="minorEastAsia" w:eastAsiaTheme="minorEastAsia"/>
          <w:color w:val="auto"/>
          <w:sz w:val="24"/>
          <w:u w:val="single"/>
        </w:rPr>
        <w:t>202</w:t>
      </w:r>
      <w:r>
        <w:rPr>
          <w:rFonts w:hint="eastAsia" w:asciiTheme="minorEastAsia" w:hAnsiTheme="minorEastAsia" w:eastAsiaTheme="minorEastAsia"/>
          <w:color w:val="auto"/>
          <w:sz w:val="24"/>
          <w:u w:val="single"/>
          <w:lang w:val="en-US" w:eastAsia="zh-CN"/>
        </w:rPr>
        <w:t>5</w:t>
      </w:r>
      <w:r>
        <w:rPr>
          <w:rFonts w:hint="eastAsia" w:asciiTheme="minorEastAsia" w:hAnsiTheme="minorEastAsia" w:eastAsiaTheme="minorEastAsia"/>
          <w:bCs/>
          <w:color w:val="auto"/>
          <w:sz w:val="24"/>
          <w:u w:val="single"/>
        </w:rPr>
        <w:t>年</w:t>
      </w:r>
      <w:r>
        <w:rPr>
          <w:rFonts w:hint="eastAsia" w:asciiTheme="minorEastAsia" w:hAnsiTheme="minorEastAsia" w:eastAsiaTheme="minorEastAsia"/>
          <w:bCs/>
          <w:color w:val="auto"/>
          <w:sz w:val="24"/>
          <w:u w:val="single"/>
          <w:lang w:val="en-US" w:eastAsia="zh-CN"/>
        </w:rPr>
        <w:t>3</w:t>
      </w:r>
      <w:r>
        <w:rPr>
          <w:rFonts w:hint="eastAsia" w:asciiTheme="minorEastAsia" w:hAnsiTheme="minorEastAsia" w:eastAsiaTheme="minorEastAsia"/>
          <w:bCs/>
          <w:color w:val="auto"/>
          <w:sz w:val="24"/>
          <w:u w:val="single"/>
        </w:rPr>
        <w:t>月</w:t>
      </w:r>
      <w:r>
        <w:rPr>
          <w:rFonts w:hint="eastAsia" w:asciiTheme="minorEastAsia" w:hAnsiTheme="minorEastAsia" w:eastAsiaTheme="minorEastAsia"/>
          <w:bCs/>
          <w:color w:val="auto"/>
          <w:sz w:val="24"/>
          <w:u w:val="single"/>
          <w:lang w:val="en-US" w:eastAsia="zh-CN"/>
        </w:rPr>
        <w:t>31</w:t>
      </w:r>
      <w:r>
        <w:rPr>
          <w:rFonts w:hint="eastAsia" w:asciiTheme="minorEastAsia" w:hAnsiTheme="minorEastAsia" w:eastAsiaTheme="minorEastAsia"/>
          <w:bCs/>
          <w:color w:val="auto"/>
          <w:sz w:val="24"/>
          <w:u w:val="single"/>
        </w:rPr>
        <w:t>日</w:t>
      </w:r>
      <w:r>
        <w:rPr>
          <w:rFonts w:hint="eastAsia" w:asciiTheme="minorEastAsia" w:hAnsiTheme="minorEastAsia" w:eastAsiaTheme="minorEastAsia"/>
          <w:bCs/>
          <w:color w:val="auto"/>
          <w:sz w:val="24"/>
          <w:u w:val="single"/>
          <w:lang w:val="en-US" w:eastAsia="zh-CN"/>
        </w:rPr>
        <w:t>9</w:t>
      </w:r>
      <w:r>
        <w:rPr>
          <w:rFonts w:hint="eastAsia" w:asciiTheme="minorEastAsia" w:hAnsiTheme="minorEastAsia" w:eastAsiaTheme="minorEastAsia"/>
          <w:bCs/>
          <w:color w:val="auto"/>
          <w:sz w:val="24"/>
          <w:u w:val="single"/>
          <w:lang w:eastAsia="zh-CN"/>
        </w:rPr>
        <w:t>时</w:t>
      </w:r>
      <w:r>
        <w:rPr>
          <w:rFonts w:hint="eastAsia" w:asciiTheme="minorEastAsia" w:hAnsiTheme="minorEastAsia" w:eastAsiaTheme="minorEastAsia"/>
          <w:bCs/>
          <w:color w:val="auto"/>
          <w:sz w:val="24"/>
          <w:u w:val="single"/>
          <w:lang w:val="en-US" w:eastAsia="zh-CN"/>
        </w:rPr>
        <w:t>30</w:t>
      </w:r>
      <w:r>
        <w:rPr>
          <w:rFonts w:hint="eastAsia" w:asciiTheme="minorEastAsia" w:hAnsiTheme="minorEastAsia" w:eastAsiaTheme="minorEastAsia"/>
          <w:bCs/>
          <w:color w:val="auto"/>
          <w:sz w:val="24"/>
          <w:u w:val="single"/>
        </w:rPr>
        <w:t>分00秒</w:t>
      </w:r>
      <w:r>
        <w:rPr>
          <w:rFonts w:hint="eastAsia" w:asciiTheme="minorEastAsia" w:hAnsiTheme="minorEastAsia" w:eastAsiaTheme="minorEastAsia"/>
          <w:bCs/>
          <w:color w:val="auto"/>
          <w:sz w:val="24"/>
        </w:rPr>
        <w:t>（北京时间）</w:t>
      </w:r>
    </w:p>
    <w:p w14:paraId="42DB67EF">
      <w:pPr>
        <w:spacing w:line="360" w:lineRule="auto"/>
        <w:ind w:firstLine="480" w:firstLineChars="200"/>
        <w:rPr>
          <w:rFonts w:asciiTheme="minorEastAsia" w:hAnsiTheme="minorEastAsia" w:eastAsiaTheme="minorEastAsia"/>
          <w:bCs/>
          <w:color w:val="auto"/>
          <w:sz w:val="24"/>
          <w:u w:val="single"/>
        </w:rPr>
      </w:pPr>
      <w:r>
        <w:rPr>
          <w:rFonts w:hint="eastAsia" w:asciiTheme="minorEastAsia" w:hAnsiTheme="minorEastAsia" w:eastAsiaTheme="minorEastAsia"/>
          <w:color w:val="auto"/>
          <w:sz w:val="24"/>
        </w:rPr>
        <w:t>地点：</w:t>
      </w:r>
      <w:r>
        <w:rPr>
          <w:rFonts w:hint="eastAsia" w:asciiTheme="minorEastAsia" w:hAnsiTheme="minorEastAsia" w:eastAsiaTheme="minorEastAsia"/>
          <w:color w:val="auto"/>
          <w:sz w:val="24"/>
          <w:lang w:eastAsia="zh-CN"/>
        </w:rPr>
        <w:t>嘉兴市建新工程造价咨询事务所有限公司三楼</w:t>
      </w:r>
      <w:r>
        <w:rPr>
          <w:rFonts w:hint="eastAsia" w:asciiTheme="minorEastAsia" w:hAnsiTheme="minorEastAsia" w:eastAsiaTheme="minorEastAsia"/>
          <w:color w:val="auto"/>
          <w:sz w:val="24"/>
          <w:lang w:val="en-US" w:eastAsia="zh-CN"/>
        </w:rPr>
        <w:t>323室（会展路207号）</w:t>
      </w:r>
      <w:r>
        <w:rPr>
          <w:rFonts w:hint="eastAsia" w:cs="宋体" w:asciiTheme="minorEastAsia" w:hAnsiTheme="minorEastAsia" w:eastAsiaTheme="minorEastAsia"/>
          <w:color w:val="auto"/>
          <w:sz w:val="24"/>
        </w:rPr>
        <w:t>。</w:t>
      </w:r>
    </w:p>
    <w:p w14:paraId="51E55F04">
      <w:pPr>
        <w:pStyle w:val="3"/>
        <w:numPr>
          <w:ilvl w:val="0"/>
          <w:numId w:val="0"/>
        </w:numPr>
        <w:ind w:left="432" w:hanging="432"/>
        <w:rPr>
          <w:rFonts w:cs="宋体" w:asciiTheme="minorEastAsia" w:hAnsiTheme="minorEastAsia" w:eastAsiaTheme="minorEastAsia"/>
          <w:color w:val="auto"/>
          <w:sz w:val="24"/>
          <w:szCs w:val="24"/>
        </w:rPr>
      </w:pPr>
      <w:bookmarkStart w:id="30" w:name="_Toc35393803"/>
      <w:bookmarkStart w:id="31" w:name="_Toc28359017"/>
      <w:bookmarkStart w:id="32" w:name="_Toc28359094"/>
      <w:bookmarkStart w:id="33" w:name="_Toc35393634"/>
      <w:r>
        <w:rPr>
          <w:rFonts w:hint="eastAsia" w:cs="宋体" w:asciiTheme="minorEastAsia" w:hAnsiTheme="minorEastAsia" w:eastAsiaTheme="minorEastAsia"/>
          <w:color w:val="auto"/>
          <w:sz w:val="24"/>
          <w:szCs w:val="24"/>
        </w:rPr>
        <w:t>六、公告期限</w:t>
      </w:r>
      <w:bookmarkEnd w:id="30"/>
      <w:bookmarkEnd w:id="31"/>
      <w:bookmarkEnd w:id="32"/>
      <w:bookmarkEnd w:id="33"/>
    </w:p>
    <w:p w14:paraId="4CFAEA4A">
      <w:pPr>
        <w:spacing w:line="360" w:lineRule="auto"/>
        <w:ind w:firstLine="480" w:firstLineChars="200"/>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自本公告发布之日起3个工作日。</w:t>
      </w:r>
    </w:p>
    <w:p w14:paraId="4E4304E9">
      <w:pPr>
        <w:pStyle w:val="3"/>
        <w:numPr>
          <w:ilvl w:val="0"/>
          <w:numId w:val="0"/>
        </w:numPr>
        <w:ind w:left="432" w:hanging="432"/>
        <w:rPr>
          <w:rFonts w:cs="宋体" w:asciiTheme="minorEastAsia" w:hAnsiTheme="minorEastAsia" w:eastAsiaTheme="minorEastAsia"/>
          <w:color w:val="auto"/>
          <w:sz w:val="24"/>
          <w:szCs w:val="24"/>
        </w:rPr>
      </w:pPr>
      <w:bookmarkStart w:id="34" w:name="_Toc35393635"/>
      <w:bookmarkStart w:id="35" w:name="_Toc35393804"/>
      <w:r>
        <w:rPr>
          <w:rFonts w:hint="eastAsia" w:cs="宋体" w:asciiTheme="minorEastAsia" w:hAnsiTheme="minorEastAsia" w:eastAsiaTheme="minorEastAsia"/>
          <w:color w:val="auto"/>
          <w:sz w:val="24"/>
          <w:szCs w:val="24"/>
        </w:rPr>
        <w:t>七、其他补充事宜</w:t>
      </w:r>
      <w:bookmarkEnd w:id="34"/>
      <w:bookmarkEnd w:id="35"/>
    </w:p>
    <w:p w14:paraId="58E92356">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r>
        <w:rPr>
          <w:rFonts w:hint="eastAsia" w:ascii="宋体" w:hAnsi="宋体" w:cs="宋体"/>
          <w:color w:val="auto"/>
          <w:sz w:val="24"/>
        </w:rPr>
        <w:t>.</w:t>
      </w:r>
      <w:r>
        <w:rPr>
          <w:rFonts w:ascii="宋体" w:hAnsi="宋体" w:cs="宋体"/>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cs="宋体" w:asciiTheme="minorEastAsia" w:hAnsiTheme="minorEastAsia" w:eastAsiaTheme="minorEastAsia"/>
          <w:color w:val="auto"/>
          <w:sz w:val="24"/>
        </w:rPr>
        <w:t>。</w:t>
      </w:r>
    </w:p>
    <w:p w14:paraId="32F6024D">
      <w:pPr>
        <w:spacing w:line="360" w:lineRule="auto"/>
        <w:ind w:firstLine="480" w:firstLineChars="200"/>
        <w:rPr>
          <w:rFonts w:cs="宋体" w:asciiTheme="minorEastAsia" w:hAnsiTheme="minorEastAsia" w:eastAsiaTheme="minorEastAsia"/>
          <w:color w:val="auto"/>
          <w:sz w:val="24"/>
        </w:rPr>
      </w:pPr>
      <w:r>
        <w:rPr>
          <w:rFonts w:cs="宋体" w:asciiTheme="minorEastAsia" w:hAnsiTheme="minorEastAsia" w:eastAsiaTheme="minorEastAsia"/>
          <w:color w:val="auto"/>
          <w:sz w:val="24"/>
        </w:rPr>
        <w:t xml:space="preserve"> 2.根据《浙江省财政厅关于进一步促进政府采购公平竞</w:t>
      </w:r>
      <w:r>
        <w:rPr>
          <w:rFonts w:hint="eastAsia" w:cs="宋体" w:asciiTheme="minorEastAsia" w:hAnsiTheme="minorEastAsia" w:eastAsiaTheme="minorEastAsia"/>
          <w:color w:val="auto"/>
          <w:sz w:val="24"/>
        </w:rPr>
        <w:t>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F230D73">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F73CF88">
      <w:pPr>
        <w:spacing w:line="360" w:lineRule="auto"/>
        <w:ind w:firstLine="482" w:firstLineChars="200"/>
        <w:rPr>
          <w:rFonts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4. 其他事项：（1）需要落实的政府采购政策：</w:t>
      </w:r>
      <w:r>
        <w:rPr>
          <w:rFonts w:hint="eastAsia" w:cs="宋体" w:asciiTheme="minorEastAsia" w:hAnsiTheme="minorEastAsia" w:eastAsiaTheme="minorEastAsia"/>
          <w:color w:val="auto"/>
          <w:kern w:val="0"/>
          <w:sz w:val="24"/>
        </w:rPr>
        <w:t>包括节约资源、保护环境、</w:t>
      </w:r>
      <w:r>
        <w:rPr>
          <w:rFonts w:hint="eastAsia" w:cs="宋体" w:asciiTheme="minorEastAsia" w:hAnsiTheme="minorEastAsia" w:eastAsiaTheme="minorEastAsia"/>
          <w:color w:val="auto"/>
          <w:sz w:val="24"/>
        </w:rPr>
        <w:t>支持创新、</w:t>
      </w:r>
      <w:r>
        <w:rPr>
          <w:rFonts w:hint="eastAsia" w:cs="宋体" w:asciiTheme="minorEastAsia" w:hAnsiTheme="minorEastAsia" w:eastAsiaTheme="minorEastAsia"/>
          <w:color w:val="auto"/>
          <w:kern w:val="0"/>
          <w:sz w:val="24"/>
        </w:rPr>
        <w:t>促进中小企业发展等，详见磋商文件第三部分。</w:t>
      </w:r>
      <w:r>
        <w:rPr>
          <w:rFonts w:hint="eastAsia" w:cs="宋体" w:asciiTheme="minorEastAsia" w:hAnsiTheme="minorEastAsia" w:eastAsiaTheme="minorEastAsia"/>
          <w:b/>
          <w:color w:val="auto"/>
          <w:kern w:val="0"/>
          <w:sz w:val="24"/>
          <w:szCs w:val="20"/>
        </w:rPr>
        <w:t>（2）</w:t>
      </w:r>
      <w:r>
        <w:rPr>
          <w:rFonts w:hint="eastAsia" w:cs="仿宋_GB2312" w:asciiTheme="minorEastAsia" w:hAnsiTheme="minorEastAsia" w:eastAsiaTheme="minorEastAsia"/>
          <w:b/>
          <w:color w:val="auto"/>
          <w:sz w:val="24"/>
        </w:rPr>
        <w:t>电子交易的说明: 1）电子交易：</w:t>
      </w:r>
      <w:r>
        <w:rPr>
          <w:rFonts w:hint="eastAsia" w:cs="仿宋_GB2312" w:asciiTheme="minorEastAsia" w:hAnsiTheme="minorEastAsia" w:eastAsiaTheme="minorEastAsia"/>
          <w:color w:val="auto"/>
          <w:sz w:val="24"/>
        </w:rPr>
        <w:t>本项目以数据电文形式，依托“政府采购云平台（www.zcygov.cn）”进行采购活动，不接受纸质响应文件。</w:t>
      </w:r>
      <w:r>
        <w:rPr>
          <w:rFonts w:hint="eastAsia" w:cs="仿宋_GB2312" w:asciiTheme="minorEastAsia" w:hAnsiTheme="minorEastAsia" w:eastAsiaTheme="minorEastAsia"/>
          <w:b/>
          <w:color w:val="auto"/>
          <w:sz w:val="24"/>
        </w:rPr>
        <w:t>2）响应准备：</w:t>
      </w:r>
      <w:r>
        <w:rPr>
          <w:rFonts w:hint="eastAsia" w:cs="仿宋_GB2312" w:asciiTheme="minorEastAsia" w:hAnsiTheme="minorEastAsia" w:eastAsiaTheme="minorEastAsia"/>
          <w:color w:val="auto"/>
          <w:sz w:val="24"/>
        </w:rPr>
        <w:t>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r>
        <w:rPr>
          <w:rFonts w:hint="eastAsia" w:cs="仿宋_GB2312" w:asciiTheme="minorEastAsia" w:hAnsiTheme="minorEastAsia" w:eastAsiaTheme="minorEastAsia"/>
          <w:b/>
          <w:color w:val="auto"/>
          <w:sz w:val="24"/>
        </w:rPr>
        <w:t>3）磋商文件的获取：</w:t>
      </w:r>
      <w:r>
        <w:rPr>
          <w:rFonts w:hint="eastAsia" w:cs="仿宋_GB2312" w:asciiTheme="minorEastAsia" w:hAnsiTheme="minorEastAsia" w:eastAsiaTheme="minorEastAsia"/>
          <w:color w:val="auto"/>
          <w:sz w:val="24"/>
        </w:rPr>
        <w:t>使用账号登录或者使用CA登录政采云平台；进入“项目采购”应用，在获取采购文件菜单中选择项目，获取磋商文件。</w:t>
      </w:r>
      <w:r>
        <w:rPr>
          <w:rFonts w:hint="eastAsia" w:cs="仿宋_GB2312" w:asciiTheme="minorEastAsia" w:hAnsiTheme="minorEastAsia" w:eastAsiaTheme="minorEastAsia"/>
          <w:b/>
          <w:color w:val="auto"/>
          <w:sz w:val="24"/>
        </w:rPr>
        <w:t>4）响应文件的制作：</w:t>
      </w:r>
      <w:r>
        <w:rPr>
          <w:rFonts w:hint="eastAsia" w:cs="仿宋_GB2312" w:asciiTheme="minorEastAsia" w:hAnsiTheme="minorEastAsia" w:eastAsiaTheme="minorEastAsia"/>
          <w:color w:val="auto"/>
          <w:sz w:val="24"/>
        </w:rPr>
        <w:t>在“政采云电子交易客户端”中完成“填写基本信息”、“导入投标文件”、“标书关联”、“标书检查”、“电子签名”、“生成电子标书”等操作。</w:t>
      </w:r>
      <w:r>
        <w:rPr>
          <w:rFonts w:cs="仿宋_GB2312" w:asciiTheme="minorEastAsia" w:hAnsiTheme="minorEastAsia" w:eastAsiaTheme="minorEastAsia"/>
          <w:b/>
          <w:color w:val="auto"/>
          <w:sz w:val="24"/>
        </w:rPr>
        <w:t>5）</w:t>
      </w:r>
      <w:r>
        <w:rPr>
          <w:rFonts w:hint="eastAsia" w:cs="仿宋_GB2312" w:asciiTheme="minorEastAsia" w:hAnsiTheme="minorEastAsia" w:eastAsiaTheme="minorEastAsia"/>
          <w:color w:val="auto"/>
          <w:sz w:val="24"/>
        </w:rPr>
        <w:t>采购人、</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将依托政采云平台完成本项目的电子交易活动，平台不接受未按本公告约定方式获取磋商文件的供应商进行响应活动；</w:t>
      </w:r>
      <w:r>
        <w:rPr>
          <w:rFonts w:cs="仿宋_GB2312" w:asciiTheme="minorEastAsia" w:hAnsiTheme="minorEastAsia" w:eastAsiaTheme="minorEastAsia"/>
          <w:b/>
          <w:color w:val="auto"/>
          <w:sz w:val="24"/>
        </w:rPr>
        <w:t>6）</w:t>
      </w:r>
      <w:r>
        <w:rPr>
          <w:rFonts w:hint="eastAsia" w:cs="仿宋_GB2312" w:asciiTheme="minorEastAsia" w:hAnsiTheme="minorEastAsia" w:eastAsiaTheme="minorEastAsia"/>
          <w:color w:val="auto"/>
          <w:sz w:val="24"/>
        </w:rPr>
        <w:t>对未按上述方式获取磋商文件的供应商对该文件提出的质疑，采购人或采购代理机构将不予处理</w:t>
      </w:r>
      <w:r>
        <w:rPr>
          <w:rFonts w:hint="eastAsia" w:cs="仿宋_GB2312" w:asciiTheme="minorEastAsia" w:hAnsiTheme="minorEastAsia" w:eastAsiaTheme="minorEastAsia"/>
          <w:b/>
          <w:color w:val="auto"/>
          <w:sz w:val="24"/>
        </w:rPr>
        <w:t>；</w:t>
      </w:r>
      <w:r>
        <w:rPr>
          <w:rFonts w:cs="仿宋_GB2312" w:asciiTheme="minorEastAsia" w:hAnsiTheme="minorEastAsia" w:eastAsiaTheme="minorEastAsia"/>
          <w:b/>
          <w:color w:val="auto"/>
          <w:sz w:val="24"/>
        </w:rPr>
        <w:t>7）</w:t>
      </w:r>
      <w:r>
        <w:rPr>
          <w:rFonts w:hint="eastAsia" w:cs="仿宋_GB2312" w:asciiTheme="minorEastAsia" w:hAnsiTheme="minorEastAsia" w:eastAsiaTheme="minorEastAsia"/>
          <w:color w:val="auto"/>
          <w:sz w:val="24"/>
        </w:rPr>
        <w:t>不提供磋商文件纸质版；</w:t>
      </w:r>
      <w:r>
        <w:rPr>
          <w:rFonts w:cs="仿宋_GB2312" w:asciiTheme="minorEastAsia" w:hAnsiTheme="minorEastAsia" w:eastAsiaTheme="minorEastAsia"/>
          <w:b/>
          <w:color w:val="auto"/>
          <w:sz w:val="24"/>
        </w:rPr>
        <w:t>8</w:t>
      </w:r>
      <w:r>
        <w:rPr>
          <w:rFonts w:hint="eastAsia" w:cs="仿宋_GB2312" w:asciiTheme="minorEastAsia" w:hAnsiTheme="minorEastAsia" w:eastAsiaTheme="minorEastAsia"/>
          <w:b/>
          <w:color w:val="auto"/>
          <w:sz w:val="24"/>
        </w:rPr>
        <w:t>）响应文件的传输提交：</w:t>
      </w:r>
      <w:r>
        <w:rPr>
          <w:rFonts w:hint="eastAsia" w:cs="仿宋_GB2312" w:asciiTheme="minorEastAsia" w:hAnsiTheme="minorEastAsia" w:eastAsiaTheme="minorEastAsia"/>
          <w:color w:val="auto"/>
          <w:sz w:val="24"/>
        </w:rPr>
        <w:t>供应商在提交响应文件的截止时间前将加密的响应文件上传至政府采购云平台，还可以在提交响应文件的截止时间前直接提交或者以邮政快递方式提交备份响应文件1份。备份响应文件的制作、存储、密封详见磋商文件第三部分 “备份响应文件”；</w:t>
      </w:r>
      <w:r>
        <w:rPr>
          <w:rFonts w:hint="eastAsia" w:cs="仿宋_GB2312" w:asciiTheme="minorEastAsia" w:hAnsiTheme="minorEastAsia" w:eastAsiaTheme="minorEastAsia"/>
          <w:b/>
          <w:color w:val="auto"/>
          <w:sz w:val="24"/>
        </w:rPr>
        <w:t>9）响应文件的解密：</w:t>
      </w:r>
      <w:r>
        <w:rPr>
          <w:rFonts w:hint="eastAsia" w:cs="仿宋_GB2312" w:asciiTheme="minorEastAsia" w:hAnsiTheme="minorEastAsia" w:eastAsiaTheme="minorEastAsia"/>
          <w:color w:val="auto"/>
          <w:sz w:val="24"/>
        </w:rPr>
        <w:t>供应商按照平台提示和磋商文件的规定在半小时内完成在线解密。通过“政府采购云平台”上传递交的响应文件无法按时解密，供应商递交了备份响应文件的，以备份响应文件为依据，否则视为响应文件撤回。通过“政府采购云平台”上传提交的响应文件已按时解密的，备份响应文件自动失效。供应商仅提交备份响应文件，没有在电子交易平台传输提交响应文件的，响应无效；10</w:t>
      </w:r>
      <w:r>
        <w:rPr>
          <w:rFonts w:hint="eastAsia" w:cs="仿宋_GB2312" w:asciiTheme="minorEastAsia" w:hAnsiTheme="minorEastAsia" w:eastAsiaTheme="minorEastAsia"/>
          <w:b/>
          <w:color w:val="auto"/>
          <w:sz w:val="24"/>
        </w:rPr>
        <w:t>）具体操作指南</w:t>
      </w:r>
      <w:r>
        <w:rPr>
          <w:rFonts w:hint="eastAsia" w:cs="仿宋_GB2312" w:asciiTheme="minorEastAsia" w:hAnsiTheme="minorEastAsia" w:eastAsiaTheme="minorEastAsia"/>
          <w:color w:val="auto"/>
          <w:sz w:val="24"/>
        </w:rPr>
        <w:t>：详见政采云平台“服务中心-帮助文档-项目采购-操作流程-电子招投标-政府采购项目电子交易管理操作指南-供应商”。</w:t>
      </w:r>
      <w:r>
        <w:rPr>
          <w:rFonts w:hint="eastAsia" w:cs="宋体" w:asciiTheme="minorEastAsia" w:hAnsiTheme="minorEastAsia" w:eastAsiaTheme="minorEastAsia"/>
          <w:color w:val="auto"/>
          <w:sz w:val="24"/>
        </w:rPr>
        <w:t>（3磋商文件公告期限与磋商公告的公告期限一致。</w:t>
      </w:r>
    </w:p>
    <w:p w14:paraId="0BBF337D">
      <w:pPr>
        <w:pStyle w:val="3"/>
        <w:numPr>
          <w:ilvl w:val="0"/>
          <w:numId w:val="0"/>
        </w:numPr>
        <w:ind w:left="432" w:hanging="432"/>
        <w:rPr>
          <w:rFonts w:cs="宋体" w:asciiTheme="minorEastAsia" w:hAnsiTheme="minorEastAsia" w:eastAsiaTheme="minorEastAsia"/>
          <w:color w:val="auto"/>
          <w:sz w:val="24"/>
          <w:szCs w:val="24"/>
        </w:rPr>
      </w:pPr>
      <w:bookmarkStart w:id="36" w:name="_Toc28359095"/>
      <w:bookmarkStart w:id="37" w:name="_Toc35393636"/>
      <w:bookmarkStart w:id="38" w:name="_Toc28359018"/>
      <w:bookmarkStart w:id="39" w:name="_Toc35393805"/>
      <w:r>
        <w:rPr>
          <w:rFonts w:hint="eastAsia" w:cs="宋体" w:asciiTheme="minorEastAsia" w:hAnsiTheme="minorEastAsia" w:eastAsiaTheme="minorEastAsia"/>
          <w:color w:val="auto"/>
          <w:sz w:val="24"/>
          <w:szCs w:val="24"/>
        </w:rPr>
        <w:t>八、凡对本次采购提出询问</w:t>
      </w:r>
      <w:r>
        <w:rPr>
          <w:rFonts w:hint="eastAsia" w:cs="宋体" w:asciiTheme="minorEastAsia" w:hAnsiTheme="minorEastAsia" w:eastAsiaTheme="minorEastAsia"/>
          <w:bCs w:val="0"/>
          <w:color w:val="auto"/>
          <w:sz w:val="24"/>
          <w:szCs w:val="24"/>
        </w:rPr>
        <w:t>、质疑、投诉</w:t>
      </w:r>
      <w:r>
        <w:rPr>
          <w:rFonts w:hint="eastAsia" w:cs="宋体" w:asciiTheme="minorEastAsia" w:hAnsiTheme="minorEastAsia" w:eastAsiaTheme="minorEastAsia"/>
          <w:color w:val="auto"/>
          <w:sz w:val="24"/>
          <w:szCs w:val="24"/>
        </w:rPr>
        <w:t>，请按以下方式联系</w:t>
      </w:r>
      <w:bookmarkEnd w:id="36"/>
      <w:bookmarkEnd w:id="37"/>
      <w:bookmarkEnd w:id="38"/>
      <w:bookmarkEnd w:id="39"/>
    </w:p>
    <w:p w14:paraId="4A260A47">
      <w:pPr>
        <w:pStyle w:val="3"/>
        <w:numPr>
          <w:ilvl w:val="0"/>
          <w:numId w:val="0"/>
        </w:numPr>
        <w:ind w:left="432" w:hanging="432"/>
        <w:rPr>
          <w:rFonts w:cs="宋体" w:asciiTheme="minorEastAsia" w:hAnsiTheme="minorEastAsia" w:eastAsiaTheme="minorEastAsia"/>
          <w:color w:val="auto"/>
          <w:sz w:val="24"/>
          <w:szCs w:val="24"/>
        </w:rPr>
      </w:pPr>
      <w:bookmarkStart w:id="40" w:name="_Toc35393637"/>
      <w:bookmarkStart w:id="41" w:name="_Toc35393806"/>
      <w:bookmarkStart w:id="42" w:name="_Toc28359019"/>
      <w:bookmarkStart w:id="43" w:name="_Toc28359096"/>
      <w:r>
        <w:rPr>
          <w:rFonts w:hint="eastAsia" w:cs="宋体" w:asciiTheme="minorEastAsia" w:hAnsiTheme="minorEastAsia" w:eastAsiaTheme="minorEastAsia"/>
          <w:color w:val="auto"/>
          <w:sz w:val="24"/>
          <w:szCs w:val="24"/>
        </w:rPr>
        <w:t>1.采购人信息</w:t>
      </w:r>
      <w:bookmarkEnd w:id="40"/>
      <w:bookmarkEnd w:id="41"/>
      <w:bookmarkEnd w:id="42"/>
      <w:bookmarkEnd w:id="43"/>
      <w:r>
        <w:rPr>
          <w:rFonts w:hint="eastAsia" w:cs="宋体" w:asciiTheme="minorEastAsia" w:hAnsiTheme="minorEastAsia" w:eastAsiaTheme="minorEastAsia"/>
          <w:color w:val="auto"/>
          <w:sz w:val="24"/>
          <w:szCs w:val="24"/>
        </w:rPr>
        <w:t>：</w:t>
      </w:r>
    </w:p>
    <w:p w14:paraId="48B609AF">
      <w:pPr>
        <w:spacing w:line="360" w:lineRule="auto"/>
        <w:ind w:firstLine="480" w:firstLineChars="200"/>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rPr>
        <w:t>名</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称：</w:t>
      </w:r>
      <w:r>
        <w:rPr>
          <w:rFonts w:hint="eastAsia" w:asciiTheme="minorEastAsia" w:hAnsiTheme="minorEastAsia" w:eastAsiaTheme="minorEastAsia"/>
          <w:color w:val="auto"/>
          <w:sz w:val="24"/>
          <w:lang w:eastAsia="zh-CN"/>
        </w:rPr>
        <w:t>嘉兴市统计局</w:t>
      </w:r>
    </w:p>
    <w:p w14:paraId="1029E671">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地    址：嘉兴市南湖区南湖街道祝家港路中南大厦18楼</w:t>
      </w:r>
      <w:r>
        <w:rPr>
          <w:rFonts w:asciiTheme="minorEastAsia" w:hAnsiTheme="minorEastAsia" w:eastAsiaTheme="minorEastAsia"/>
          <w:color w:val="auto"/>
          <w:sz w:val="24"/>
        </w:rPr>
        <w:t xml:space="preserve"> </w:t>
      </w:r>
    </w:p>
    <w:p w14:paraId="299FE874">
      <w:pPr>
        <w:spacing w:line="360" w:lineRule="auto"/>
        <w:ind w:firstLine="480" w:firstLineChars="200"/>
        <w:rPr>
          <w:rFonts w:hint="eastAsia" w:asciiTheme="minorEastAsia" w:hAnsiTheme="minorEastAsia" w:eastAsiaTheme="minorEastAsia"/>
          <w:color w:val="auto"/>
          <w:sz w:val="24"/>
          <w:lang w:val="en-US" w:eastAsia="zh-CN"/>
        </w:rPr>
      </w:pPr>
      <w:r>
        <w:rPr>
          <w:rFonts w:hint="eastAsia" w:asciiTheme="minorEastAsia" w:hAnsiTheme="minorEastAsia" w:eastAsiaTheme="minorEastAsia"/>
          <w:color w:val="auto"/>
          <w:sz w:val="24"/>
        </w:rPr>
        <w:t>传    真：</w:t>
      </w:r>
      <w:r>
        <w:rPr>
          <w:rFonts w:hint="eastAsia" w:asciiTheme="minorEastAsia" w:hAnsiTheme="minorEastAsia" w:eastAsiaTheme="minorEastAsia"/>
          <w:color w:val="auto"/>
          <w:sz w:val="24"/>
          <w:lang w:val="en-US" w:eastAsia="zh-CN"/>
        </w:rPr>
        <w:t>/</w:t>
      </w:r>
    </w:p>
    <w:p w14:paraId="4EFE751F">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项目联系人（询问）：</w:t>
      </w:r>
      <w:r>
        <w:rPr>
          <w:rFonts w:hint="eastAsia" w:asciiTheme="minorEastAsia" w:hAnsiTheme="minorEastAsia" w:eastAsiaTheme="minorEastAsia"/>
          <w:color w:val="auto"/>
          <w:sz w:val="24"/>
          <w:lang w:val="en-US" w:eastAsia="zh-CN"/>
        </w:rPr>
        <w:t>马女士</w:t>
      </w:r>
      <w:r>
        <w:rPr>
          <w:rFonts w:hint="eastAsia" w:asciiTheme="minorEastAsia" w:hAnsiTheme="minorEastAsia" w:eastAsiaTheme="minorEastAsia"/>
          <w:color w:val="auto"/>
          <w:sz w:val="24"/>
        </w:rPr>
        <w:t xml:space="preserve"> </w:t>
      </w:r>
    </w:p>
    <w:p w14:paraId="5C8234A7">
      <w:pPr>
        <w:spacing w:line="360" w:lineRule="auto"/>
        <w:ind w:firstLine="480"/>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rPr>
        <w:t>项目联系方式（询问）：</w:t>
      </w:r>
      <w:r>
        <w:rPr>
          <w:rFonts w:hint="eastAsia" w:ascii="宋体" w:hAnsi="宋体"/>
          <w:color w:val="auto"/>
          <w:sz w:val="24"/>
          <w:highlight w:val="none"/>
          <w:lang w:val="en-US" w:eastAsia="zh-CN"/>
        </w:rPr>
        <w:t>15712626203</w:t>
      </w:r>
      <w:r>
        <w:rPr>
          <w:rFonts w:hint="eastAsia" w:asciiTheme="minorEastAsia" w:hAnsiTheme="minorEastAsia" w:eastAsiaTheme="minorEastAsia"/>
          <w:color w:val="auto"/>
          <w:sz w:val="24"/>
          <w:highlight w:val="none"/>
        </w:rPr>
        <w:t xml:space="preserve">    </w:t>
      </w:r>
    </w:p>
    <w:p w14:paraId="6D24387C">
      <w:pPr>
        <w:spacing w:line="360" w:lineRule="auto"/>
        <w:ind w:firstLine="480"/>
        <w:rPr>
          <w:rFonts w:ascii="宋体" w:hAnsi="宋体" w:eastAsia="宋体"/>
          <w:color w:val="auto"/>
          <w:sz w:val="24"/>
          <w:highlight w:val="none"/>
        </w:rPr>
      </w:pPr>
      <w:r>
        <w:rPr>
          <w:rFonts w:hint="eastAsia" w:ascii="宋体" w:hAnsi="宋体" w:eastAsia="宋体"/>
          <w:color w:val="auto"/>
          <w:sz w:val="24"/>
          <w:highlight w:val="none"/>
        </w:rPr>
        <w:t>质疑联系人：</w:t>
      </w:r>
      <w:r>
        <w:rPr>
          <w:rFonts w:hint="eastAsia" w:ascii="宋体" w:hAnsi="宋体"/>
          <w:color w:val="auto"/>
          <w:sz w:val="24"/>
          <w:highlight w:val="none"/>
          <w:lang w:val="en-US" w:eastAsia="zh-CN"/>
        </w:rPr>
        <w:t>方女士</w:t>
      </w:r>
      <w:r>
        <w:rPr>
          <w:rFonts w:hint="eastAsia" w:ascii="宋体" w:hAnsi="宋体" w:eastAsia="宋体"/>
          <w:color w:val="auto"/>
          <w:sz w:val="24"/>
          <w:highlight w:val="none"/>
        </w:rPr>
        <w:t xml:space="preserve"> </w:t>
      </w:r>
    </w:p>
    <w:p w14:paraId="1E954AE8">
      <w:pPr>
        <w:spacing w:line="360" w:lineRule="auto"/>
        <w:rPr>
          <w:rFonts w:hint="default" w:eastAsia="宋体" w:asciiTheme="minorEastAsia" w:hAnsiTheme="minorEastAsia"/>
          <w:color w:val="auto"/>
          <w:sz w:val="24"/>
          <w:highlight w:val="none"/>
          <w:lang w:val="en-US" w:eastAsia="zh-CN"/>
        </w:rPr>
      </w:pPr>
      <w:r>
        <w:rPr>
          <w:rFonts w:hint="eastAsia" w:ascii="宋体" w:hAnsi="宋体" w:eastAsia="宋体"/>
          <w:color w:val="auto"/>
          <w:sz w:val="24"/>
          <w:highlight w:val="none"/>
        </w:rPr>
        <w:t xml:space="preserve">    质疑联系方式：</w:t>
      </w:r>
      <w:r>
        <w:rPr>
          <w:rFonts w:hint="eastAsia" w:asciiTheme="minorEastAsia" w:hAnsiTheme="minorEastAsia" w:eastAsiaTheme="minorEastAsia"/>
          <w:color w:val="auto"/>
          <w:sz w:val="24"/>
          <w:highlight w:val="none"/>
          <w:lang w:val="en-US" w:eastAsia="zh-CN"/>
        </w:rPr>
        <w:t>0573-82521562</w:t>
      </w:r>
    </w:p>
    <w:p w14:paraId="58235254">
      <w:pPr>
        <w:pStyle w:val="3"/>
        <w:numPr>
          <w:ilvl w:val="0"/>
          <w:numId w:val="0"/>
        </w:numPr>
        <w:ind w:left="432" w:hanging="432"/>
        <w:rPr>
          <w:rFonts w:cs="宋体" w:asciiTheme="minorEastAsia" w:hAnsiTheme="minorEastAsia" w:eastAsiaTheme="minorEastAsia"/>
          <w:color w:val="auto"/>
          <w:sz w:val="24"/>
        </w:rPr>
      </w:pPr>
      <w:bookmarkStart w:id="44" w:name="_Toc28359020"/>
      <w:bookmarkStart w:id="45" w:name="_Toc28359097"/>
      <w:bookmarkStart w:id="46" w:name="_Toc35393638"/>
      <w:bookmarkStart w:id="47" w:name="_Toc35393807"/>
      <w:r>
        <w:rPr>
          <w:rFonts w:hint="eastAsia" w:cs="宋体" w:asciiTheme="minorEastAsia" w:hAnsiTheme="minorEastAsia" w:eastAsiaTheme="minorEastAsia"/>
          <w:color w:val="auto"/>
          <w:sz w:val="24"/>
          <w:szCs w:val="24"/>
        </w:rPr>
        <w:t>2.采购代理机构信息</w:t>
      </w:r>
      <w:bookmarkEnd w:id="44"/>
      <w:bookmarkEnd w:id="45"/>
      <w:bookmarkEnd w:id="46"/>
      <w:bookmarkEnd w:id="47"/>
      <w:r>
        <w:rPr>
          <w:rFonts w:hint="eastAsia" w:cs="宋体" w:asciiTheme="minorEastAsia" w:hAnsiTheme="minorEastAsia" w:eastAsiaTheme="minorEastAsia"/>
          <w:color w:val="auto"/>
          <w:sz w:val="24"/>
          <w:szCs w:val="24"/>
        </w:rPr>
        <w:t>：</w:t>
      </w:r>
    </w:p>
    <w:p w14:paraId="4F7DFBC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名    称：</w:t>
      </w:r>
      <w:r>
        <w:rPr>
          <w:rFonts w:hint="eastAsia" w:asciiTheme="minorEastAsia" w:hAnsiTheme="minorEastAsia" w:eastAsiaTheme="minorEastAsia"/>
          <w:color w:val="auto"/>
          <w:sz w:val="24"/>
          <w:lang w:eastAsia="zh-CN"/>
        </w:rPr>
        <w:t>嘉兴市建新工程造价咨询事务所有限公司</w:t>
      </w:r>
      <w:r>
        <w:rPr>
          <w:rFonts w:hint="eastAsia" w:asciiTheme="minorEastAsia" w:hAnsiTheme="minorEastAsia" w:eastAsiaTheme="minorEastAsia"/>
          <w:color w:val="auto"/>
          <w:sz w:val="24"/>
        </w:rPr>
        <w:t xml:space="preserve">             </w:t>
      </w:r>
    </w:p>
    <w:p w14:paraId="4F825ADE">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地    址：</w:t>
      </w:r>
      <w:r>
        <w:rPr>
          <w:rFonts w:hint="eastAsia" w:asciiTheme="minorEastAsia" w:hAnsiTheme="minorEastAsia" w:eastAsiaTheme="minorEastAsia"/>
          <w:color w:val="auto"/>
          <w:sz w:val="24"/>
          <w:lang w:eastAsia="zh-CN"/>
        </w:rPr>
        <w:t>会展路</w:t>
      </w:r>
      <w:r>
        <w:rPr>
          <w:rFonts w:hint="eastAsia" w:asciiTheme="minorEastAsia" w:hAnsiTheme="minorEastAsia" w:eastAsiaTheme="minorEastAsia"/>
          <w:color w:val="auto"/>
          <w:sz w:val="24"/>
          <w:lang w:val="en-US" w:eastAsia="zh-CN"/>
        </w:rPr>
        <w:t>207号</w:t>
      </w:r>
      <w:r>
        <w:rPr>
          <w:rFonts w:asciiTheme="minorEastAsia" w:hAnsiTheme="minorEastAsia" w:eastAsiaTheme="minorEastAsia"/>
          <w:color w:val="auto"/>
          <w:sz w:val="24"/>
        </w:rPr>
        <w:t xml:space="preserve"> </w:t>
      </w:r>
    </w:p>
    <w:p w14:paraId="5583673C">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传    真：/             </w:t>
      </w:r>
    </w:p>
    <w:p w14:paraId="5B8321FE">
      <w:pPr>
        <w:spacing w:line="360" w:lineRule="auto"/>
        <w:rPr>
          <w:rFonts w:hint="eastAsia" w:asciiTheme="minorEastAsia" w:hAnsiTheme="minorEastAsia" w:eastAsiaTheme="minorEastAsia"/>
          <w:color w:val="auto"/>
          <w:sz w:val="24"/>
          <w:lang w:eastAsia="zh-CN"/>
        </w:rPr>
      </w:pPr>
      <w:r>
        <w:rPr>
          <w:rFonts w:hint="eastAsia" w:asciiTheme="minorEastAsia" w:hAnsiTheme="minorEastAsia" w:eastAsiaTheme="minorEastAsia"/>
          <w:color w:val="auto"/>
          <w:sz w:val="24"/>
        </w:rPr>
        <w:t xml:space="preserve">    项目联系人（询问）：</w:t>
      </w:r>
      <w:r>
        <w:rPr>
          <w:rFonts w:hint="eastAsia" w:asciiTheme="minorEastAsia" w:hAnsiTheme="minorEastAsia" w:eastAsiaTheme="minorEastAsia"/>
          <w:color w:val="auto"/>
          <w:sz w:val="24"/>
          <w:lang w:eastAsia="zh-CN"/>
        </w:rPr>
        <w:t>陆燕</w:t>
      </w:r>
    </w:p>
    <w:p w14:paraId="1F1446AF">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项目联系方式（询问）：</w:t>
      </w:r>
      <w:r>
        <w:rPr>
          <w:rFonts w:hint="eastAsia" w:asciiTheme="minorEastAsia" w:hAnsiTheme="minorEastAsia" w:eastAsiaTheme="minorEastAsia"/>
          <w:color w:val="auto"/>
          <w:sz w:val="24"/>
          <w:lang w:val="en-US" w:eastAsia="zh-CN"/>
        </w:rPr>
        <w:t>15157385672</w:t>
      </w:r>
      <w:r>
        <w:rPr>
          <w:rFonts w:hint="eastAsia" w:asciiTheme="minorEastAsia" w:hAnsiTheme="minorEastAsia" w:eastAsiaTheme="minorEastAsia"/>
          <w:color w:val="auto"/>
          <w:sz w:val="24"/>
        </w:rPr>
        <w:t xml:space="preserve"> </w:t>
      </w:r>
    </w:p>
    <w:p w14:paraId="2C73531A">
      <w:pPr>
        <w:spacing w:line="360" w:lineRule="auto"/>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    质疑联系人：</w:t>
      </w:r>
      <w:r>
        <w:rPr>
          <w:rFonts w:hint="eastAsia" w:asciiTheme="minorEastAsia" w:hAnsiTheme="minorEastAsia" w:eastAsiaTheme="minorEastAsia"/>
          <w:color w:val="auto"/>
          <w:sz w:val="24"/>
          <w:lang w:eastAsia="zh-CN"/>
        </w:rPr>
        <w:t>高张燕</w:t>
      </w:r>
      <w:r>
        <w:rPr>
          <w:rFonts w:hint="eastAsia" w:asciiTheme="minorEastAsia" w:hAnsiTheme="minorEastAsia" w:eastAsiaTheme="minorEastAsia"/>
          <w:color w:val="auto"/>
          <w:sz w:val="24"/>
        </w:rPr>
        <w:t xml:space="preserve">             </w:t>
      </w:r>
    </w:p>
    <w:p w14:paraId="018642F5">
      <w:pPr>
        <w:spacing w:line="360" w:lineRule="auto"/>
        <w:rPr>
          <w:rFonts w:hint="default" w:asciiTheme="minorEastAsia" w:hAnsiTheme="minorEastAsia" w:eastAsiaTheme="minorEastAsia"/>
          <w:color w:val="auto"/>
          <w:sz w:val="24"/>
          <w:lang w:val="en-US" w:eastAsia="zh-CN"/>
        </w:rPr>
      </w:pPr>
      <w:r>
        <w:rPr>
          <w:rFonts w:hint="eastAsia" w:asciiTheme="minorEastAsia" w:hAnsiTheme="minorEastAsia" w:eastAsiaTheme="minorEastAsia"/>
          <w:color w:val="auto"/>
          <w:sz w:val="24"/>
        </w:rPr>
        <w:t xml:space="preserve">    质疑联系方式：</w:t>
      </w:r>
      <w:r>
        <w:rPr>
          <w:rFonts w:hint="eastAsia" w:asciiTheme="minorEastAsia" w:hAnsiTheme="minorEastAsia" w:eastAsiaTheme="minorEastAsia"/>
          <w:color w:val="auto"/>
          <w:sz w:val="24"/>
          <w:lang w:val="en-US" w:eastAsia="zh-CN"/>
        </w:rPr>
        <w:t>15157400827</w:t>
      </w:r>
    </w:p>
    <w:p w14:paraId="5DE52228">
      <w:pPr>
        <w:spacing w:line="360" w:lineRule="auto"/>
        <w:rPr>
          <w:rFonts w:asciiTheme="minorEastAsia" w:hAnsiTheme="minorEastAsia" w:eastAsiaTheme="minorEastAsia"/>
          <w:b/>
          <w:color w:val="auto"/>
          <w:sz w:val="24"/>
        </w:rPr>
      </w:pPr>
      <w:bookmarkStart w:id="48" w:name="_Toc35393808"/>
      <w:bookmarkStart w:id="49" w:name="_Toc35393639"/>
      <w:bookmarkStart w:id="50" w:name="_Toc28359021"/>
      <w:bookmarkStart w:id="51" w:name="_Toc28359098"/>
      <w:r>
        <w:rPr>
          <w:rFonts w:hint="eastAsia" w:cs="宋体" w:asciiTheme="minorEastAsia" w:hAnsiTheme="minorEastAsia" w:eastAsiaTheme="minorEastAsia"/>
          <w:b/>
          <w:bCs/>
          <w:color w:val="auto"/>
          <w:sz w:val="24"/>
        </w:rPr>
        <w:t>3.</w:t>
      </w:r>
      <w:r>
        <w:rPr>
          <w:rFonts w:hint="eastAsia" w:asciiTheme="minorEastAsia" w:hAnsiTheme="minorEastAsia" w:eastAsiaTheme="minorEastAsia"/>
          <w:b/>
          <w:color w:val="auto"/>
          <w:sz w:val="24"/>
        </w:rPr>
        <w:t xml:space="preserve"> 同级政府采购监督管理部门：            </w:t>
      </w:r>
    </w:p>
    <w:bookmarkEnd w:id="48"/>
    <w:bookmarkEnd w:id="49"/>
    <w:bookmarkEnd w:id="50"/>
    <w:bookmarkEnd w:id="51"/>
    <w:p w14:paraId="20A26A09">
      <w:pPr>
        <w:spacing w:line="360" w:lineRule="auto"/>
        <w:ind w:firstLine="480"/>
        <w:rPr>
          <w:rFonts w:hint="eastAsia" w:ascii="宋体" w:hAnsi="宋体" w:cs="宋体"/>
          <w:color w:val="auto"/>
          <w:sz w:val="24"/>
          <w:lang w:eastAsia="zh-CN"/>
        </w:rPr>
      </w:pPr>
      <w:r>
        <w:rPr>
          <w:rFonts w:hint="eastAsia" w:ascii="宋体" w:hAnsi="宋体" w:cs="宋体"/>
          <w:color w:val="auto"/>
          <w:sz w:val="24"/>
        </w:rPr>
        <w:t>名    称：</w:t>
      </w:r>
      <w:r>
        <w:rPr>
          <w:rFonts w:hint="eastAsia" w:ascii="宋体" w:hAnsi="宋体" w:cs="宋体"/>
          <w:color w:val="auto"/>
          <w:sz w:val="24"/>
          <w:lang w:eastAsia="zh-CN"/>
        </w:rPr>
        <w:t>嘉兴市财政局</w:t>
      </w:r>
    </w:p>
    <w:p w14:paraId="4A637D46">
      <w:pPr>
        <w:spacing w:line="360" w:lineRule="auto"/>
        <w:rPr>
          <w:rFonts w:asciiTheme="minorEastAsia" w:hAnsiTheme="minorEastAsia" w:eastAsiaTheme="minorEastAsia"/>
          <w:color w:val="auto"/>
          <w:sz w:val="24"/>
        </w:rPr>
      </w:pPr>
      <w:r>
        <w:rPr>
          <w:rFonts w:hint="eastAsia" w:ascii="宋体" w:hAnsi="宋体" w:cs="宋体"/>
          <w:color w:val="auto"/>
          <w:sz w:val="24"/>
        </w:rPr>
        <w:t xml:space="preserve"> </w:t>
      </w:r>
      <w:r>
        <w:rPr>
          <w:rFonts w:hint="eastAsia" w:ascii="宋体" w:hAnsi="宋体" w:cs="宋体"/>
          <w:color w:val="auto"/>
          <w:sz w:val="24"/>
          <w:lang w:val="en-US" w:eastAsia="zh-CN"/>
        </w:rPr>
        <w:t xml:space="preserve">  </w:t>
      </w:r>
      <w:r>
        <w:rPr>
          <w:rFonts w:hint="eastAsia" w:ascii="宋体" w:hAnsi="宋体" w:cs="宋体"/>
          <w:color w:val="auto"/>
          <w:sz w:val="24"/>
        </w:rPr>
        <w:t>地    址：</w:t>
      </w:r>
      <w:r>
        <w:rPr>
          <w:rFonts w:hint="eastAsia" w:asciiTheme="minorEastAsia" w:hAnsiTheme="minorEastAsia" w:eastAsiaTheme="minorEastAsia"/>
          <w:color w:val="auto"/>
          <w:sz w:val="24"/>
        </w:rPr>
        <w:t>嘉兴市</w:t>
      </w:r>
      <w:r>
        <w:rPr>
          <w:rFonts w:hint="eastAsia" w:asciiTheme="minorEastAsia" w:hAnsiTheme="minorEastAsia" w:eastAsiaTheme="minorEastAsia"/>
          <w:color w:val="auto"/>
          <w:sz w:val="24"/>
          <w:lang w:eastAsia="zh-CN"/>
        </w:rPr>
        <w:t>环城西路</w:t>
      </w:r>
      <w:r>
        <w:rPr>
          <w:rFonts w:hint="eastAsia" w:asciiTheme="minorEastAsia" w:hAnsiTheme="minorEastAsia" w:eastAsiaTheme="minorEastAsia"/>
          <w:color w:val="auto"/>
          <w:sz w:val="24"/>
          <w:lang w:val="en-US" w:eastAsia="zh-CN"/>
        </w:rPr>
        <w:t>55</w:t>
      </w:r>
      <w:r>
        <w:rPr>
          <w:rFonts w:hint="eastAsia" w:asciiTheme="minorEastAsia" w:hAnsiTheme="minorEastAsia" w:eastAsiaTheme="minorEastAsia"/>
          <w:color w:val="auto"/>
          <w:sz w:val="24"/>
        </w:rPr>
        <w:t>号</w:t>
      </w:r>
      <w:r>
        <w:rPr>
          <w:rFonts w:asciiTheme="minorEastAsia" w:hAnsiTheme="minorEastAsia" w:eastAsiaTheme="minorEastAsia"/>
          <w:color w:val="auto"/>
          <w:sz w:val="24"/>
        </w:rPr>
        <w:t xml:space="preserve"> </w:t>
      </w:r>
    </w:p>
    <w:p w14:paraId="197A5550">
      <w:pPr>
        <w:spacing w:line="360" w:lineRule="auto"/>
        <w:rPr>
          <w:rFonts w:ascii="宋体" w:hAnsi="宋体" w:cs="宋体"/>
          <w:color w:val="auto"/>
          <w:sz w:val="24"/>
        </w:rPr>
      </w:pPr>
      <w:r>
        <w:rPr>
          <w:rFonts w:hint="eastAsia" w:ascii="宋体" w:hAnsi="宋体" w:cs="宋体"/>
          <w:color w:val="auto"/>
          <w:sz w:val="24"/>
        </w:rPr>
        <w:t xml:space="preserve">    传    真： /</w:t>
      </w:r>
    </w:p>
    <w:p w14:paraId="06715ADA">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联系人 ：</w:t>
      </w:r>
      <w:r>
        <w:rPr>
          <w:rFonts w:hint="eastAsia" w:ascii="宋体" w:hAnsi="宋体" w:cs="宋体"/>
          <w:color w:val="auto"/>
          <w:sz w:val="24"/>
          <w:lang w:eastAsia="zh-CN"/>
        </w:rPr>
        <w:t>姚先生</w:t>
      </w:r>
    </w:p>
    <w:p w14:paraId="6D6C62DC">
      <w:pPr>
        <w:spacing w:line="360" w:lineRule="auto"/>
        <w:ind w:firstLine="480"/>
        <w:rPr>
          <w:rFonts w:hint="default" w:ascii="宋体" w:hAnsi="宋体" w:eastAsia="宋体" w:cs="宋体"/>
          <w:color w:val="auto"/>
          <w:sz w:val="24"/>
          <w:lang w:val="en-US" w:eastAsia="zh-CN"/>
        </w:rPr>
      </w:pPr>
      <w:r>
        <w:rPr>
          <w:rFonts w:hint="eastAsia" w:ascii="宋体" w:hAnsi="宋体" w:cs="宋体"/>
          <w:color w:val="auto"/>
          <w:sz w:val="24"/>
        </w:rPr>
        <w:t>监督投诉电话：电话：</w:t>
      </w:r>
      <w:bookmarkStart w:id="52" w:name="OLE_LINK1"/>
      <w:r>
        <w:rPr>
          <w:rFonts w:hint="eastAsia" w:ascii="宋体" w:hAnsi="宋体" w:cs="宋体"/>
          <w:color w:val="auto"/>
          <w:sz w:val="24"/>
        </w:rPr>
        <w:t>0573-82</w:t>
      </w:r>
      <w:r>
        <w:rPr>
          <w:rFonts w:hint="eastAsia" w:ascii="宋体" w:hAnsi="宋体" w:cs="宋体"/>
          <w:color w:val="auto"/>
          <w:sz w:val="24"/>
          <w:lang w:val="en-US" w:eastAsia="zh-CN"/>
        </w:rPr>
        <w:t>031217</w:t>
      </w:r>
    </w:p>
    <w:bookmarkEnd w:id="52"/>
    <w:p w14:paraId="3418F17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若对项目采购电子交易系统操作有疑问，可登录政采云（</w:t>
      </w:r>
      <w:r>
        <w:rPr>
          <w:rFonts w:asciiTheme="minorEastAsia" w:hAnsiTheme="minorEastAsia" w:eastAsiaTheme="minorEastAsia"/>
          <w:color w:val="auto"/>
          <w:sz w:val="24"/>
        </w:rPr>
        <w:t>https://www.zcygov.cn/），点击右侧咨询小采，获取采小蜜智能服务管家帮助，或拨打政</w:t>
      </w:r>
      <w:r>
        <w:rPr>
          <w:rFonts w:hint="eastAsia" w:asciiTheme="minorEastAsia" w:hAnsiTheme="minorEastAsia" w:eastAsiaTheme="minorEastAsia"/>
          <w:color w:val="auto"/>
          <w:sz w:val="24"/>
        </w:rPr>
        <w:t>采云服务热线95763</w:t>
      </w:r>
      <w:r>
        <w:rPr>
          <w:rFonts w:asciiTheme="minorEastAsia" w:hAnsiTheme="minorEastAsia" w:eastAsiaTheme="minorEastAsia"/>
          <w:color w:val="auto"/>
          <w:sz w:val="24"/>
        </w:rPr>
        <w:t>获取热线服务帮助。</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r>
        <w:rPr>
          <w:rFonts w:asciiTheme="minorEastAsia" w:hAnsiTheme="minorEastAsia" w:eastAsiaTheme="minorEastAsia"/>
          <w:color w:val="auto"/>
          <w:sz w:val="24"/>
        </w:rPr>
        <w:t xml:space="preserve"> </w:t>
      </w:r>
      <w:r>
        <w:rPr>
          <w:rFonts w:hint="eastAsia" w:asciiTheme="minorEastAsia" w:hAnsiTheme="minorEastAsia" w:eastAsiaTheme="minorEastAsia"/>
          <w:color w:val="auto"/>
          <w:sz w:val="24"/>
        </w:rPr>
        <w:t>  </w:t>
      </w:r>
    </w:p>
    <w:p w14:paraId="57569BFD">
      <w:pPr>
        <w:spacing w:line="360" w:lineRule="auto"/>
        <w:ind w:firstLine="480" w:firstLineChars="200"/>
        <w:rPr>
          <w:rFonts w:asciiTheme="minorEastAsia" w:hAnsiTheme="minorEastAsia" w:eastAsiaTheme="minorEastAsia"/>
          <w:color w:val="auto"/>
          <w:sz w:val="24"/>
        </w:rPr>
      </w:pPr>
    </w:p>
    <w:p w14:paraId="0E8E1969">
      <w:pPr>
        <w:spacing w:line="360" w:lineRule="auto"/>
        <w:ind w:firstLine="480" w:firstLineChars="200"/>
        <w:rPr>
          <w:rFonts w:asciiTheme="minorEastAsia" w:hAnsiTheme="minorEastAsia" w:eastAsiaTheme="minorEastAsia"/>
          <w:color w:val="auto"/>
          <w:sz w:val="24"/>
        </w:rPr>
      </w:pPr>
      <w:r>
        <w:rPr>
          <w:rFonts w:asciiTheme="minorEastAsia" w:hAnsiTheme="minorEastAsia" w:eastAsiaTheme="minorEastAsia"/>
          <w:color w:val="auto"/>
          <w:sz w:val="24"/>
        </w:rPr>
        <w:t>CA问题联系电话（人工）：</w:t>
      </w:r>
      <w:r>
        <w:rPr>
          <w:rFonts w:hint="eastAsia" w:asciiTheme="minorEastAsia" w:hAnsiTheme="minorEastAsia" w:eastAsiaTheme="minorEastAsia"/>
          <w:color w:val="auto"/>
          <w:sz w:val="24"/>
        </w:rPr>
        <w:t>汇信</w:t>
      </w:r>
      <w:r>
        <w:rPr>
          <w:rFonts w:asciiTheme="minorEastAsia" w:hAnsiTheme="minorEastAsia" w:eastAsiaTheme="minorEastAsia"/>
          <w:color w:val="auto"/>
          <w:sz w:val="24"/>
        </w:rPr>
        <w:t>CA 400-888-4636；天谷CA 400-087-8198。</w:t>
      </w:r>
    </w:p>
    <w:p w14:paraId="186756CC">
      <w:pPr>
        <w:pStyle w:val="31"/>
        <w:spacing w:line="360" w:lineRule="auto"/>
        <w:ind w:firstLine="480" w:firstLineChars="200"/>
        <w:jc w:val="right"/>
        <w:rPr>
          <w:rFonts w:cs="仿宋_GB2312" w:asciiTheme="minorEastAsia" w:hAnsiTheme="minorEastAsia" w:eastAsiaTheme="minorEastAsia"/>
          <w:color w:val="auto"/>
          <w:sz w:val="24"/>
          <w:szCs w:val="24"/>
        </w:rPr>
      </w:pPr>
    </w:p>
    <w:p w14:paraId="7373A953">
      <w:pPr>
        <w:pStyle w:val="31"/>
        <w:spacing w:line="360" w:lineRule="auto"/>
        <w:ind w:firstLine="480" w:firstLineChars="200"/>
        <w:rPr>
          <w:rFonts w:cs="仿宋_GB2312" w:asciiTheme="minorEastAsia" w:hAnsiTheme="minorEastAsia" w:eastAsiaTheme="minorEastAsia"/>
          <w:color w:val="auto"/>
          <w:sz w:val="24"/>
          <w:szCs w:val="24"/>
        </w:rPr>
      </w:pPr>
    </w:p>
    <w:p w14:paraId="0A116BE6">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br w:type="page"/>
      </w:r>
    </w:p>
    <w:p w14:paraId="314A6EB6">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6"/>
          <w:szCs w:val="20"/>
        </w:rPr>
        <w:t>第二部分 竞争性磋商流程</w:t>
      </w:r>
    </w:p>
    <w:p w14:paraId="7AF20FF8">
      <w:pPr>
        <w:pStyle w:val="392"/>
        <w:spacing w:before="0"/>
        <w:ind w:firstLine="0" w:firstLineChars="0"/>
        <w:rPr>
          <w:rFonts w:asciiTheme="minorEastAsia" w:hAnsiTheme="minorEastAsia" w:eastAsiaTheme="minorEastAsia"/>
          <w:b/>
          <w:color w:val="auto"/>
        </w:rPr>
      </w:pPr>
      <w:bookmarkStart w:id="53" w:name="OLE_LINK2"/>
      <w:r>
        <w:rPr>
          <w:rFonts w:hint="eastAsia" w:asciiTheme="minorEastAsia" w:hAnsiTheme="minorEastAsia" w:eastAsiaTheme="minorEastAsia"/>
          <w:b/>
          <w:color w:val="auto"/>
          <w:lang w:val="en-US" w:eastAsia="zh-CN"/>
        </w:rPr>
        <w:t>1</w:t>
      </w:r>
      <w:r>
        <w:rPr>
          <w:rFonts w:hint="eastAsia" w:asciiTheme="minorEastAsia" w:hAnsiTheme="minorEastAsia" w:eastAsiaTheme="minorEastAsia"/>
          <w:b/>
          <w:color w:val="auto"/>
        </w:rPr>
        <w:t>.响应文件开启与信用信息查询</w:t>
      </w:r>
    </w:p>
    <w:p w14:paraId="6B59D293">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lang w:val="en-US" w:eastAsia="zh-CN"/>
        </w:rPr>
        <w:t>1</w:t>
      </w:r>
      <w:r>
        <w:rPr>
          <w:rFonts w:hint="eastAsia" w:asciiTheme="minorEastAsia" w:hAnsiTheme="minorEastAsia" w:eastAsiaTheme="minorEastAsia"/>
          <w:color w:val="auto"/>
          <w:szCs w:val="24"/>
        </w:rPr>
        <w:t>.1供应商依据“提交响应文件的截止时间与地点”通过政采云平台在线提交响应文件。供应商在提交响应文件的截止时间前，可以补充、修改或撤回响应文件。</w:t>
      </w:r>
    </w:p>
    <w:p w14:paraId="6E78A38B">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lang w:val="en-US" w:eastAsia="zh-CN"/>
        </w:rPr>
        <w:t>1</w:t>
      </w:r>
      <w:r>
        <w:rPr>
          <w:rFonts w:hint="eastAsia" w:asciiTheme="minorEastAsia" w:hAnsiTheme="minorEastAsia" w:eastAsiaTheme="minorEastAsia"/>
          <w:color w:val="auto"/>
          <w:szCs w:val="24"/>
        </w:rPr>
        <w:t>.2</w:t>
      </w:r>
      <w:r>
        <w:rPr>
          <w:rFonts w:hint="eastAsia" w:cs="Arial" w:asciiTheme="minorEastAsia" w:hAnsiTheme="minorEastAsia" w:eastAsiaTheme="minorEastAsia"/>
          <w:color w:val="auto"/>
          <w:kern w:val="0"/>
          <w:szCs w:val="24"/>
          <w:lang w:eastAsia="zh-CN"/>
        </w:rPr>
        <w:t>采购代理机构</w:t>
      </w:r>
      <w:r>
        <w:rPr>
          <w:rFonts w:hint="eastAsia" w:cs="Arial" w:asciiTheme="minorEastAsia" w:hAnsiTheme="minorEastAsia" w:eastAsiaTheme="minorEastAsia"/>
          <w:color w:val="auto"/>
          <w:kern w:val="0"/>
          <w:szCs w:val="24"/>
        </w:rPr>
        <w:t>将通过“信用中国”网站(</w:t>
      </w:r>
      <w:r>
        <w:rPr>
          <w:color w:val="auto"/>
        </w:rPr>
        <w:fldChar w:fldCharType="begin"/>
      </w:r>
      <w:r>
        <w:rPr>
          <w:color w:val="auto"/>
        </w:rPr>
        <w:instrText xml:space="preserve"> HYPERLINK "http://www.creditchina.gov.cn" </w:instrText>
      </w:r>
      <w:r>
        <w:rPr>
          <w:color w:val="auto"/>
        </w:rP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color w:val="auto"/>
          <w:kern w:val="0"/>
          <w:szCs w:val="24"/>
        </w:rPr>
        <w:t>)和中国政府采购网(www.ccgp.gov.cn)渠道查询供应商响应截止时间当日的信用记录。</w:t>
      </w:r>
    </w:p>
    <w:p w14:paraId="5BCD553D">
      <w:pPr>
        <w:pStyle w:val="392"/>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lang w:val="en-US" w:eastAsia="zh-CN"/>
        </w:rPr>
        <w:t>2</w:t>
      </w:r>
      <w:r>
        <w:rPr>
          <w:rFonts w:hint="eastAsia" w:asciiTheme="minorEastAsia" w:hAnsiTheme="minorEastAsia" w:eastAsiaTheme="minorEastAsia"/>
          <w:b/>
          <w:color w:val="auto"/>
        </w:rPr>
        <w:t>.磋商与评审</w:t>
      </w:r>
    </w:p>
    <w:p w14:paraId="51D5D462">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lang w:val="en-US" w:eastAsia="zh-CN"/>
        </w:rPr>
        <w:t>2</w:t>
      </w:r>
      <w:r>
        <w:rPr>
          <w:rFonts w:hint="eastAsia" w:asciiTheme="minorEastAsia" w:hAnsiTheme="minorEastAsia" w:eastAsiaTheme="minorEastAsia"/>
          <w:color w:val="auto"/>
          <w:szCs w:val="24"/>
        </w:rPr>
        <w:t>.1磋商小组签到。</w:t>
      </w:r>
    </w:p>
    <w:p w14:paraId="7FEA02BD">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lang w:val="en-US" w:eastAsia="zh-CN"/>
        </w:rPr>
        <w:t>2</w:t>
      </w:r>
      <w:r>
        <w:rPr>
          <w:rFonts w:hint="eastAsia" w:asciiTheme="minorEastAsia" w:hAnsiTheme="minorEastAsia" w:eastAsiaTheme="minorEastAsia"/>
          <w:color w:val="auto"/>
          <w:szCs w:val="24"/>
        </w:rPr>
        <w:t>.2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宣布有关纪律以及磋商、评审工作程序。</w:t>
      </w:r>
    </w:p>
    <w:p w14:paraId="72495B64">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lang w:val="en-US" w:eastAsia="zh-CN"/>
        </w:rPr>
        <w:t>2</w:t>
      </w:r>
      <w:r>
        <w:rPr>
          <w:rFonts w:hint="eastAsia" w:asciiTheme="minorEastAsia" w:hAnsiTheme="minorEastAsia" w:eastAsiaTheme="minorEastAsia"/>
          <w:color w:val="auto"/>
          <w:szCs w:val="24"/>
        </w:rPr>
        <w:t>.3磋商小组审查确认磋商文件。磋商文件内容违反国家有关强制性规定的，磋商小组应当停止评审并向</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说明情况。</w:t>
      </w:r>
    </w:p>
    <w:p w14:paraId="46186A6D">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lang w:val="en-US" w:eastAsia="zh-CN"/>
        </w:rPr>
        <w:t>2</w:t>
      </w:r>
      <w:r>
        <w:rPr>
          <w:rFonts w:hint="eastAsia" w:asciiTheme="minorEastAsia" w:hAnsiTheme="minorEastAsia" w:eastAsiaTheme="minorEastAsia"/>
          <w:color w:val="auto"/>
          <w:szCs w:val="24"/>
        </w:rPr>
        <w:t>.4磋商小组对供应商的资格进行审查。</w:t>
      </w:r>
    </w:p>
    <w:p w14:paraId="34AD2E73">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lang w:val="en-US" w:eastAsia="zh-CN"/>
        </w:rPr>
        <w:t>2</w:t>
      </w:r>
      <w:r>
        <w:rPr>
          <w:rFonts w:hint="eastAsia" w:asciiTheme="minorEastAsia" w:hAnsiTheme="minorEastAsia" w:eastAsiaTheme="minorEastAsia"/>
          <w:color w:val="auto"/>
          <w:szCs w:val="24"/>
        </w:rPr>
        <w:t>.5磋商小组审查响应文件。</w:t>
      </w:r>
    </w:p>
    <w:p w14:paraId="295F821C">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lang w:val="en-US" w:eastAsia="zh-CN"/>
        </w:rPr>
        <w:t>2</w:t>
      </w:r>
      <w:r>
        <w:rPr>
          <w:rFonts w:hint="eastAsia" w:asciiTheme="minorEastAsia" w:hAnsiTheme="minorEastAsia" w:eastAsiaTheme="minorEastAsia"/>
          <w:color w:val="auto"/>
          <w:szCs w:val="24"/>
        </w:rPr>
        <w:t>.6对于未实质性响应磋商文件的响应文件由磋商小组认定响应无效，并告知该供应商。</w:t>
      </w:r>
    </w:p>
    <w:p w14:paraId="52CDA7FE">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lang w:val="en-US" w:eastAsia="zh-CN"/>
        </w:rPr>
        <w:t>2</w:t>
      </w:r>
      <w:r>
        <w:rPr>
          <w:rFonts w:hint="eastAsia" w:asciiTheme="minorEastAsia" w:hAnsiTheme="minorEastAsia" w:eastAsiaTheme="minorEastAsia"/>
          <w:color w:val="auto"/>
          <w:szCs w:val="24"/>
        </w:rPr>
        <w:t>.7供应商根据磋商小组要求对响应文件中含义不明确、同类问题表述不一致或者有明显文字和计算错误的内容等作出必要的澄清、说明或者更正。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更正不得超出响应文件的范围或者改变响应文件的实质性内容。</w:t>
      </w:r>
    </w:p>
    <w:p w14:paraId="3310E3B1">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lang w:val="en-US" w:eastAsia="zh-CN"/>
        </w:rPr>
        <w:t>2</w:t>
      </w:r>
      <w:r>
        <w:rPr>
          <w:rFonts w:hint="eastAsia" w:asciiTheme="minorEastAsia" w:hAnsiTheme="minorEastAsia" w:eastAsiaTheme="minorEastAsia"/>
          <w:color w:val="auto"/>
          <w:szCs w:val="24"/>
        </w:rPr>
        <w:t>.8磋商小组与符合要求的供应商进行磋商。磋商小组所有成员按照响应文件解密次序集中与单一供应商分别进行磋商，并给予所有参加磋商的供应商平等的磋商机会。磋商过程中，磋商小组可以根据磋商情况调整轮次。</w:t>
      </w:r>
    </w:p>
    <w:p w14:paraId="5649372A">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lang w:val="en-US" w:eastAsia="zh-CN"/>
        </w:rPr>
        <w:t>2</w:t>
      </w:r>
      <w:r>
        <w:rPr>
          <w:rFonts w:hint="eastAsia" w:asciiTheme="minorEastAsia" w:hAnsiTheme="minorEastAsia" w:eastAsiaTheme="minorEastAsia"/>
          <w:color w:val="auto"/>
          <w:szCs w:val="24"/>
        </w:rPr>
        <w:t>.9经磋商确定磋商文件的变动情况。对磋商文件作出的实质性变动是磋商文件的有效组成部分，磋商小组应当及时以书面形式同时通知所有参加磋商的供应商。</w:t>
      </w:r>
    </w:p>
    <w:p w14:paraId="048203E1">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3.10 供应商应当按照磋商文件的变动情况及磋商小组的要求通过电子交易平台重新提交响应文件和最后报价，并使用电子签名（如果有）。已提交响应文件的供应商，在提交最后报价之前，可以根据磋商情况退出磋商。如供应商未按磋商小组的要求在规定的时间内提交最后报价的，视为退出磋商。</w:t>
      </w:r>
    </w:p>
    <w:p w14:paraId="4F729800">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3.11磋商小组按照下列方式确定提交最后报价的供应商，有特殊规定的从其规定：</w:t>
      </w:r>
    </w:p>
    <w:p w14:paraId="13E92C3C">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磋商文件能够详细列明采购标的的技术、服务要求的，磋商结束后，磋商小组应当要求所有实质性响应的供应商在规定时间内在电子交易平台提交最后报价，提交最后报价的供应商不得少于3家。</w:t>
      </w:r>
    </w:p>
    <w:p w14:paraId="6DDF997F">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磋商文件不能详细列明采购标的的技术、服务要求，需经磋商由供应商提供最终设计方案或解决方案的，磋商结束后，磋商小组应当按照少数服从多数的原则投票推荐3家及以上供应商的设计方案或者解决方案，并要求其在规定时间内在电子交易平台提交最后报价。</w:t>
      </w:r>
    </w:p>
    <w:p w14:paraId="3D835655">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3.12确定进入最后报价的供应商在规定时间内提交最后报价。</w:t>
      </w:r>
    </w:p>
    <w:p w14:paraId="2833BC05">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3.13</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唱价。</w:t>
      </w:r>
    </w:p>
    <w:p w14:paraId="4C13F65C">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3.14由磋商小组根据磋商文件确定的评审办法及评审标准对提交最后报价的供应商的响应文件和最后报价进行综合评分。磋商小组各成员应当独立对每个有效响应的文件进行评价、打分，然后汇总每个供应商每项评分因素的得分。</w:t>
      </w:r>
    </w:p>
    <w:p w14:paraId="605F9623">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3.15磋商小组应当根据综合评分情况，按照评审得分由高到低顺序推荐3名以上成交候选供应商，并编写评审报告。</w:t>
      </w:r>
    </w:p>
    <w:p w14:paraId="0D6D0770">
      <w:pPr>
        <w:pStyle w:val="392"/>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4. 成交</w:t>
      </w:r>
    </w:p>
    <w:p w14:paraId="27F689E2">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4.1</w:t>
      </w:r>
      <w:r>
        <w:rPr>
          <w:rFonts w:hint="eastAsia" w:ascii="宋体" w:hAnsi="宋体" w:cs="宋体"/>
          <w:color w:val="auto"/>
          <w:szCs w:val="24"/>
        </w:rPr>
        <w:t>政府采购项目实行全流程电子化，评审报告送交、采购结果确定和结果公告均在线完成。</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应当</w:t>
      </w:r>
      <w:r>
        <w:rPr>
          <w:rFonts w:hint="eastAsia" w:ascii="宋体" w:hAnsi="宋体" w:cs="宋体"/>
          <w:color w:val="auto"/>
          <w:szCs w:val="24"/>
        </w:rPr>
        <w:t>依法及时</w:t>
      </w:r>
      <w:r>
        <w:rPr>
          <w:rFonts w:hint="eastAsia" w:asciiTheme="minorEastAsia" w:hAnsiTheme="minorEastAsia" w:eastAsiaTheme="minorEastAsia"/>
          <w:color w:val="auto"/>
          <w:szCs w:val="24"/>
        </w:rPr>
        <w:t>将评审报告在线送交采购人确认。采购人应当在收到评审报告后2个工作日内，从评审报告提出的成交候选供应商中，按照排序由高到低的原则确定成交供应商，采购人也可以书面授权磋商小组直接确定成交供应商。</w:t>
      </w:r>
    </w:p>
    <w:p w14:paraId="31A31BAB">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4.2</w:t>
      </w:r>
      <w:r>
        <w:rPr>
          <w:rFonts w:hint="eastAsia" w:asciiTheme="minorEastAsia" w:hAnsiTheme="minorEastAsia" w:eastAsiaTheme="minorEastAsia"/>
          <w:color w:val="auto"/>
          <w:szCs w:val="24"/>
          <w:lang w:eastAsia="zh-CN"/>
        </w:rPr>
        <w:t>采购代理机构</w:t>
      </w:r>
      <w:r>
        <w:rPr>
          <w:rFonts w:hint="eastAsia" w:asciiTheme="minorEastAsia" w:hAnsiTheme="minorEastAsia" w:eastAsiaTheme="minorEastAsia"/>
          <w:color w:val="auto"/>
          <w:szCs w:val="24"/>
        </w:rPr>
        <w:t>在收到采购人对评审报告的确认意见和对成交供应商的确定结果后，应当在2个工作日内，在浙江政府采购网（政采云）上公告成交结果，同时向成交供应商发出成交通知书，并将磋商文件随成交结果同时公告。</w:t>
      </w:r>
    </w:p>
    <w:p w14:paraId="09D501F7">
      <w:pPr>
        <w:pStyle w:val="392"/>
        <w:spacing w:before="0"/>
        <w:ind w:firstLine="0" w:firstLineChars="0"/>
        <w:rPr>
          <w:rFonts w:cs="宋体" w:asciiTheme="minorEastAsia" w:hAnsiTheme="minorEastAsia" w:eastAsiaTheme="minorEastAsia"/>
          <w:color w:val="auto"/>
          <w:kern w:val="0"/>
          <w:szCs w:val="21"/>
        </w:rPr>
      </w:pPr>
      <w:r>
        <w:rPr>
          <w:rFonts w:hint="eastAsia" w:asciiTheme="minorEastAsia" w:hAnsiTheme="minorEastAsia" w:eastAsiaTheme="minorEastAsia"/>
          <w:b/>
          <w:color w:val="auto"/>
        </w:rPr>
        <w:t>5.合同及履约验收</w:t>
      </w:r>
    </w:p>
    <w:p w14:paraId="25BE8D8C">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5.1采购人与成交供应商应当在成交通知书发出之日起10个工作日内签订政府采购合同。</w:t>
      </w:r>
    </w:p>
    <w:p w14:paraId="2847CD23">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w:t>
      </w:r>
      <w:r>
        <w:rPr>
          <w:rFonts w:hint="eastAsia" w:asciiTheme="minorEastAsia" w:hAnsiTheme="minorEastAsia" w:eastAsiaTheme="minorEastAsia"/>
          <w:color w:val="auto"/>
          <w:szCs w:val="24"/>
          <w:lang w:val="en-US" w:eastAsia="zh-CN"/>
        </w:rPr>
        <w:t>2</w:t>
      </w:r>
      <w:r>
        <w:rPr>
          <w:rFonts w:hint="eastAsia" w:asciiTheme="minorEastAsia" w:hAnsiTheme="minorEastAsia" w:eastAsiaTheme="minorEastAsia"/>
          <w:color w:val="auto"/>
          <w:szCs w:val="24"/>
        </w:rPr>
        <w:t>合同履约。</w:t>
      </w:r>
    </w:p>
    <w:p w14:paraId="62505FC6">
      <w:pPr>
        <w:pStyle w:val="392"/>
        <w:spacing w:before="0"/>
        <w:ind w:firstLine="480"/>
        <w:rPr>
          <w:rFonts w:asciiTheme="minorEastAsia" w:hAnsiTheme="minorEastAsia" w:eastAsiaTheme="minorEastAsia"/>
          <w:color w:val="auto"/>
          <w:szCs w:val="24"/>
        </w:rPr>
      </w:pPr>
      <w:r>
        <w:rPr>
          <w:rFonts w:hint="eastAsia" w:asciiTheme="minorEastAsia" w:hAnsiTheme="minorEastAsia" w:eastAsiaTheme="minorEastAsia"/>
          <w:color w:val="auto"/>
          <w:szCs w:val="24"/>
        </w:rPr>
        <w:t>5.</w:t>
      </w:r>
      <w:r>
        <w:rPr>
          <w:rFonts w:hint="eastAsia" w:asciiTheme="minorEastAsia" w:hAnsiTheme="minorEastAsia" w:eastAsiaTheme="minorEastAsia"/>
          <w:color w:val="auto"/>
          <w:szCs w:val="24"/>
          <w:lang w:val="en-US" w:eastAsia="zh-CN"/>
        </w:rPr>
        <w:t>3</w:t>
      </w:r>
      <w:r>
        <w:rPr>
          <w:rFonts w:hint="eastAsia" w:asciiTheme="minorEastAsia" w:hAnsiTheme="minorEastAsia" w:eastAsiaTheme="minorEastAsia"/>
          <w:color w:val="auto"/>
          <w:szCs w:val="24"/>
        </w:rPr>
        <w:t>采购人组织验收。</w:t>
      </w:r>
    </w:p>
    <w:p w14:paraId="63ABE72A">
      <w:pPr>
        <w:widowControl/>
        <w:adjustRightInd/>
        <w:jc w:val="left"/>
        <w:rPr>
          <w:rFonts w:asciiTheme="minorEastAsia" w:hAnsiTheme="minorEastAsia" w:eastAsiaTheme="minorEastAsia"/>
          <w:b/>
          <w:color w:val="auto"/>
          <w:sz w:val="24"/>
          <w:szCs w:val="20"/>
        </w:rPr>
      </w:pPr>
      <w:r>
        <w:rPr>
          <w:rFonts w:hint="eastAsia" w:asciiTheme="minorEastAsia" w:hAnsiTheme="minorEastAsia" w:eastAsiaTheme="minorEastAsia"/>
          <w:b/>
          <w:color w:val="auto"/>
        </w:rPr>
        <w:br w:type="page"/>
      </w:r>
    </w:p>
    <w:bookmarkEnd w:id="53"/>
    <w:p w14:paraId="35DE9599">
      <w:pPr>
        <w:pStyle w:val="392"/>
        <w:spacing w:before="0"/>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6.竞争性磋商流程图</w:t>
      </w:r>
    </w:p>
    <w:p w14:paraId="40294684">
      <w:pPr>
        <w:pStyle w:val="392"/>
        <w:spacing w:before="0"/>
        <w:ind w:firstLine="0" w:firstLineChars="0"/>
        <w:rPr>
          <w:rFonts w:asciiTheme="minorEastAsia" w:hAnsiTheme="minorEastAsia" w:eastAsiaTheme="minorEastAsia"/>
          <w:b/>
          <w:color w:val="auto"/>
        </w:rPr>
      </w:pPr>
    </w:p>
    <w:p w14:paraId="03A9AA11">
      <w:pPr>
        <w:widowControl/>
        <w:adjustRightInd/>
        <w:jc w:val="left"/>
        <w:rPr>
          <w:rFonts w:cs="仿宋_GB2312" w:asciiTheme="minorEastAsia" w:hAnsiTheme="minorEastAsia" w:eastAsiaTheme="minorEastAsia"/>
          <w:b/>
          <w:color w:val="auto"/>
          <w:sz w:val="36"/>
          <w:szCs w:val="20"/>
        </w:rPr>
      </w:pP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0288" behindDoc="0" locked="0" layoutInCell="1" allowOverlap="1">
                <wp:simplePos x="0" y="0"/>
                <wp:positionH relativeFrom="column">
                  <wp:posOffset>1405255</wp:posOffset>
                </wp:positionH>
                <wp:positionV relativeFrom="paragraph">
                  <wp:posOffset>361315</wp:posOffset>
                </wp:positionV>
                <wp:extent cx="1089025" cy="356870"/>
                <wp:effectExtent l="4445" t="4445" r="11430" b="19685"/>
                <wp:wrapNone/>
                <wp:docPr id="21" name="文本框 21"/>
                <wp:cNvGraphicFramePr/>
                <a:graphic xmlns:a="http://schemas.openxmlformats.org/drawingml/2006/main">
                  <a:graphicData uri="http://schemas.microsoft.com/office/word/2010/wordprocessingShape">
                    <wps:wsp>
                      <wps:cNvSpPr txBox="1"/>
                      <wps:spPr>
                        <a:xfrm>
                          <a:off x="0" y="0"/>
                          <a:ext cx="1089271" cy="35687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271FC69">
                            <w:pPr>
                              <w:jc w:val="center"/>
                              <w:rPr>
                                <w:rFonts w:asciiTheme="minorEastAsia" w:hAnsiTheme="minorEastAsia" w:eastAsiaTheme="minorEastAsia"/>
                              </w:rPr>
                            </w:pPr>
                            <w:r>
                              <w:rPr>
                                <w:rFonts w:hint="eastAsia" w:asciiTheme="minorEastAsia" w:hAnsiTheme="minorEastAsia" w:eastAsiaTheme="minorEastAsia"/>
                              </w:rPr>
                              <w:t>编制磋商文件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28.45pt;height:28.1pt;width:85.75pt;z-index:251660288;mso-width-relative:page;mso-height-relative:page;" fillcolor="#DBEEF4 [664]" filled="t" stroked="t" coordsize="21600,21600" o:gfxdata="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NY6oanYAAAACgEAAA8AAAAAAAAAAQAg&#10;AAAAIgAAAGRycy9kb3ducmV2LnhtbFBLAQIUABQAAAAIAIdO4kCo0ob1gAIAAAAFAAAOAAAAAAAA&#10;AAEAIAAAACcBAABkcnMvZTJvRG9jLnhtbFBLBQYAAAAABgAGAFkBAAAZBgAAAAA=&#10;">
                <v:fill on="t" focussize="0,0"/>
                <v:stroke weight="0.5pt" color="#000000 [3204]" joinstyle="round"/>
                <v:imagedata o:title=""/>
                <o:lock v:ext="edit" aspectratio="f"/>
                <v:textbox>
                  <w:txbxContent>
                    <w:p w14:paraId="1271FC69">
                      <w:pPr>
                        <w:jc w:val="center"/>
                        <w:rPr>
                          <w:rFonts w:asciiTheme="minorEastAsia" w:hAnsiTheme="minorEastAsia" w:eastAsiaTheme="minorEastAsia"/>
                        </w:rPr>
                      </w:pPr>
                      <w:r>
                        <w:rPr>
                          <w:rFonts w:hint="eastAsia" w:asciiTheme="minorEastAsia" w:hAnsiTheme="minorEastAsia" w:eastAsiaTheme="minorEastAsia"/>
                        </w:rPr>
                        <w:t>编制磋商文件</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6432" behindDoc="0" locked="0" layoutInCell="1" allowOverlap="1">
                <wp:simplePos x="0" y="0"/>
                <wp:positionH relativeFrom="column">
                  <wp:posOffset>1929765</wp:posOffset>
                </wp:positionH>
                <wp:positionV relativeFrom="paragraph">
                  <wp:posOffset>735965</wp:posOffset>
                </wp:positionV>
                <wp:extent cx="0" cy="262255"/>
                <wp:effectExtent l="95250" t="0" r="57150" b="62230"/>
                <wp:wrapNone/>
                <wp:docPr id="42" name="直接箭头连接符 42"/>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1.95pt;margin-top:57.95pt;height:20.65pt;width:0pt;z-index:251666432;mso-width-relative:page;mso-height-relative:page;" filled="f" stroked="t" coordsize="21600,21600" o:gfxdata="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CmoqBz2QAAAAsBAAAPAAAA&#10;AAAAAAEAIAAAACIAAABkcnMvZG93bnJldi54bWxQSwECFAAUAAAACACHTuJAme7FIhQCAAABBAAA&#10;DgAAAAAAAAABACAAAAAoAQAAZHJzL2Uyb0RvYy54bWxQSwUGAAAAAAYABgBZAQAArgUAAAAA&#10;">
                <v:fill on="f" focussize="0,0"/>
                <v:stroke color="#4A7EBB [3204]" joinstyle="round" endarrow="open"/>
                <v:imagedata o:title=""/>
                <o:lock v:ext="edit" aspectratio="f"/>
              </v:shape>
            </w:pict>
          </mc:Fallback>
        </mc:AlternateContent>
      </w:r>
      <w:r>
        <w:rPr>
          <w:rFonts w:hint="eastAsia" w:asciiTheme="minorEastAsia" w:hAnsiTheme="minorEastAsia" w:eastAsiaTheme="minorEastAsia"/>
          <w:color w:val="auto"/>
          <w:sz w:val="24"/>
        </w:rPr>
        <w:t xml:space="preserve">  </w: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2336" behindDoc="0" locked="0" layoutInCell="1" allowOverlap="1">
                <wp:simplePos x="0" y="0"/>
                <wp:positionH relativeFrom="column">
                  <wp:posOffset>1665605</wp:posOffset>
                </wp:positionH>
                <wp:positionV relativeFrom="paragraph">
                  <wp:posOffset>5859145</wp:posOffset>
                </wp:positionV>
                <wp:extent cx="492125" cy="261620"/>
                <wp:effectExtent l="0" t="0" r="22225" b="24130"/>
                <wp:wrapNone/>
                <wp:docPr id="2" name="文本框 2"/>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B81A400">
                            <w:pPr>
                              <w:rPr>
                                <w:rFonts w:asciiTheme="minorEastAsia" w:hAnsiTheme="minorEastAsia" w:eastAsiaTheme="minorEastAsia"/>
                              </w:rPr>
                            </w:pPr>
                            <w:r>
                              <w:rPr>
                                <w:rFonts w:hint="eastAsia" w:asciiTheme="minorEastAsia" w:hAnsiTheme="minorEastAsia" w:eastAsiaTheme="minorEastAsia"/>
                              </w:rPr>
                              <w:t>验收</w:t>
                            </w:r>
                          </w:p>
                          <w:p w14:paraId="758121E3">
                            <w:pPr>
                              <w:rPr>
                                <w:rFonts w:ascii="仿宋_GB2312" w:eastAsia="仿宋_GB2312"/>
                              </w:rPr>
                            </w:pPr>
                            <w:r>
                              <w:rPr>
                                <w:rFonts w:hint="eastAsia" w:ascii="仿宋_GB2312" w:eastAsia="仿宋_GB2312"/>
                              </w:rPr>
                              <w:t>立项</w:t>
                            </w:r>
                          </w:p>
                          <w:p w14:paraId="1255976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15pt;margin-top:461.35pt;height:20.6pt;width:38.75pt;z-index:251662336;mso-width-relative:page;mso-height-relative:page;" fillcolor="#DBEEF4 [664]" filled="t" stroked="t" coordsize="21600,21600" o:gfxdata="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I4xobDZAAAACwEAAA8AAAAAAAAAAQAg&#10;AAAAIgAAAGRycy9kb3ducmV2LnhtbFBLAQIUABQAAAAIAIdO4kAWe3M4fwIAAP0EAAAOAAAAAAAA&#10;AAEAIAAAACgBAABkcnMvZTJvRG9jLnhtbFBLBQYAAAAABgAGAFkBAAAZBgAAAAA=&#10;">
                <v:fill on="t" focussize="0,0"/>
                <v:stroke weight="0.5pt" color="#000000 [3204]" joinstyle="round"/>
                <v:imagedata o:title=""/>
                <o:lock v:ext="edit" aspectratio="f"/>
                <v:textbox>
                  <w:txbxContent>
                    <w:p w14:paraId="7B81A400">
                      <w:pPr>
                        <w:rPr>
                          <w:rFonts w:asciiTheme="minorEastAsia" w:hAnsiTheme="minorEastAsia" w:eastAsiaTheme="minorEastAsia"/>
                        </w:rPr>
                      </w:pPr>
                      <w:r>
                        <w:rPr>
                          <w:rFonts w:hint="eastAsia" w:asciiTheme="minorEastAsia" w:hAnsiTheme="minorEastAsia" w:eastAsiaTheme="minorEastAsia"/>
                        </w:rPr>
                        <w:t>验收</w:t>
                      </w:r>
                    </w:p>
                    <w:p w14:paraId="758121E3">
                      <w:pPr>
                        <w:rPr>
                          <w:rFonts w:ascii="仿宋_GB2312" w:eastAsia="仿宋_GB2312"/>
                        </w:rPr>
                      </w:pPr>
                      <w:r>
                        <w:rPr>
                          <w:rFonts w:hint="eastAsia" w:ascii="仿宋_GB2312" w:eastAsia="仿宋_GB2312"/>
                        </w:rPr>
                        <w:t>立项</w:t>
                      </w:r>
                    </w:p>
                    <w:p w14:paraId="1255976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80768" behindDoc="0" locked="0" layoutInCell="1" allowOverlap="1">
                <wp:simplePos x="0" y="0"/>
                <wp:positionH relativeFrom="column">
                  <wp:posOffset>1898650</wp:posOffset>
                </wp:positionH>
                <wp:positionV relativeFrom="paragraph">
                  <wp:posOffset>5595620</wp:posOffset>
                </wp:positionV>
                <wp:extent cx="0" cy="262255"/>
                <wp:effectExtent l="95250" t="0" r="57150" b="61595"/>
                <wp:wrapNone/>
                <wp:docPr id="3" name="直接箭头连接符 3"/>
                <wp:cNvGraphicFramePr/>
                <a:graphic xmlns:a="http://schemas.openxmlformats.org/drawingml/2006/main">
                  <a:graphicData uri="http://schemas.microsoft.com/office/word/2010/wordprocessingShape">
                    <wps:wsp>
                      <wps:cNvCnPr/>
                      <wps:spPr>
                        <a:xfrm>
                          <a:off x="0" y="0"/>
                          <a:ext cx="0" cy="262255"/>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49.5pt;margin-top:440.6pt;height:20.65pt;width:0pt;z-index:251680768;mso-width-relative:page;mso-height-relative:page;" filled="f" stroked="t" coordsize="21600,21600" o:gfxdata="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lpzJv2gAAAAsBAAAPAAAA&#10;AAAAAAEAIAAAACIAAABkcnMvZG93bnJldi54bWxQSwECFAAUAAAACACHTuJAKkv3thMCAAD/AwAA&#10;DgAAAAAAAAABACAAAAAp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3360" behindDoc="0" locked="0" layoutInCell="1" allowOverlap="1">
                <wp:simplePos x="0" y="0"/>
                <wp:positionH relativeFrom="column">
                  <wp:posOffset>1663700</wp:posOffset>
                </wp:positionH>
                <wp:positionV relativeFrom="paragraph">
                  <wp:posOffset>5332095</wp:posOffset>
                </wp:positionV>
                <wp:extent cx="492125" cy="261620"/>
                <wp:effectExtent l="0" t="0" r="22225" b="24130"/>
                <wp:wrapNone/>
                <wp:docPr id="9" name="文本框 9"/>
                <wp:cNvGraphicFramePr/>
                <a:graphic xmlns:a="http://schemas.openxmlformats.org/drawingml/2006/main">
                  <a:graphicData uri="http://schemas.microsoft.com/office/word/2010/wordprocessingShape">
                    <wps:wsp>
                      <wps:cNvSpPr txBox="1"/>
                      <wps:spPr>
                        <a:xfrm>
                          <a:off x="0" y="0"/>
                          <a:ext cx="49212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15824845">
                            <w:pPr>
                              <w:rPr>
                                <w:rFonts w:asciiTheme="minorEastAsia" w:hAnsiTheme="minorEastAsia" w:eastAsiaTheme="minorEastAsia"/>
                              </w:rPr>
                            </w:pPr>
                            <w:r>
                              <w:rPr>
                                <w:rFonts w:hint="eastAsia" w:asciiTheme="minorEastAsia" w:hAnsiTheme="minorEastAsia" w:eastAsiaTheme="minorEastAsia"/>
                              </w:rPr>
                              <w:t>履约</w:t>
                            </w:r>
                          </w:p>
                          <w:p w14:paraId="55E09A04">
                            <w:pPr>
                              <w:rPr>
                                <w:rFonts w:ascii="仿宋_GB2312" w:eastAsia="仿宋_GB2312"/>
                              </w:rPr>
                            </w:pPr>
                            <w:r>
                              <w:rPr>
                                <w:rFonts w:hint="eastAsia" w:ascii="仿宋_GB2312" w:eastAsia="仿宋_GB2312"/>
                              </w:rPr>
                              <w:t>立项</w:t>
                            </w:r>
                          </w:p>
                          <w:p w14:paraId="6C5F7AE2">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31pt;margin-top:419.85pt;height:20.6pt;width:38.75pt;z-index:251663360;mso-width-relative:page;mso-height-relative:page;" fillcolor="#DBEEF4 [664]" filled="t" stroked="t" coordsize="21600,21600" o:gfxdata="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">
                <v:fill on="t" focussize="0,0"/>
                <v:stroke weight="0.5pt" color="#000000 [3204]" joinstyle="round"/>
                <v:imagedata o:title=""/>
                <o:lock v:ext="edit" aspectratio="f"/>
                <v:textbox>
                  <w:txbxContent>
                    <w:p w14:paraId="15824845">
                      <w:pPr>
                        <w:rPr>
                          <w:rFonts w:asciiTheme="minorEastAsia" w:hAnsiTheme="minorEastAsia" w:eastAsiaTheme="minorEastAsia"/>
                        </w:rPr>
                      </w:pPr>
                      <w:r>
                        <w:rPr>
                          <w:rFonts w:hint="eastAsia" w:asciiTheme="minorEastAsia" w:hAnsiTheme="minorEastAsia" w:eastAsiaTheme="minorEastAsia"/>
                        </w:rPr>
                        <w:t>履约</w:t>
                      </w:r>
                    </w:p>
                    <w:p w14:paraId="55E09A04">
                      <w:pPr>
                        <w:rPr>
                          <w:rFonts w:ascii="仿宋_GB2312" w:eastAsia="仿宋_GB2312"/>
                        </w:rPr>
                      </w:pPr>
                      <w:r>
                        <w:rPr>
                          <w:rFonts w:hint="eastAsia" w:ascii="仿宋_GB2312" w:eastAsia="仿宋_GB2312"/>
                        </w:rPr>
                        <w:t>立项</w:t>
                      </w:r>
                    </w:p>
                    <w:p w14:paraId="6C5F7AE2">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7696" behindDoc="0" locked="0" layoutInCell="1" allowOverlap="1">
                <wp:simplePos x="0" y="0"/>
                <wp:positionH relativeFrom="column">
                  <wp:posOffset>1380490</wp:posOffset>
                </wp:positionH>
                <wp:positionV relativeFrom="paragraph">
                  <wp:posOffset>4802505</wp:posOffset>
                </wp:positionV>
                <wp:extent cx="1072515" cy="262255"/>
                <wp:effectExtent l="0" t="0" r="13335" b="23495"/>
                <wp:wrapNone/>
                <wp:docPr id="10" name="文本框 10"/>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6F337451">
                            <w:pPr>
                              <w:jc w:val="center"/>
                              <w:rPr>
                                <w:rFonts w:asciiTheme="minorEastAsia" w:hAnsiTheme="minorEastAsia" w:eastAsiaTheme="minorEastAsia"/>
                              </w:rPr>
                            </w:pPr>
                            <w:r>
                              <w:rPr>
                                <w:rFonts w:hint="eastAsia" w:asciiTheme="minorEastAsia" w:hAnsiTheme="minorEastAsia" w:eastAsiaTheme="minorEastAsia"/>
                              </w:rPr>
                              <w:t>签订合同</w:t>
                            </w:r>
                          </w:p>
                          <w:p w14:paraId="09DD5282">
                            <w:pPr>
                              <w:rPr>
                                <w:rFonts w:ascii="仿宋_GB2312" w:eastAsia="仿宋_GB2312"/>
                              </w:rPr>
                            </w:pPr>
                            <w:r>
                              <w:rPr>
                                <w:rFonts w:hint="eastAsia" w:ascii="仿宋_GB2312" w:eastAsia="仿宋_GB2312"/>
                              </w:rPr>
                              <w:t>立项</w:t>
                            </w:r>
                          </w:p>
                          <w:p w14:paraId="09E184D7">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7pt;margin-top:378.15pt;height:20.65pt;width:84.45pt;z-index:251677696;mso-width-relative:page;mso-height-relative:page;" fillcolor="#DBEEF4 [664]" filled="t" stroked="t" coordsize="21600,21600" o:gfxdata="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Bnurs+2QAAAAsBAAAPAAAAAAAAAAEAIAAA&#10;ACIAAABkcnMvZG93bnJldi54bWxQSwECFAAUAAAACACHTuJAH18gOn0CAAAABQAADgAAAAAAAAAB&#10;ACAAAAAoAQAAZHJzL2Uyb0RvYy54bWxQSwUGAAAAAAYABgBZAQAAFwYAAAAA&#10;">
                <v:fill on="t" focussize="0,0"/>
                <v:stroke weight="0.5pt" color="#000000 [3204]" joinstyle="round"/>
                <v:imagedata o:title=""/>
                <o:lock v:ext="edit" aspectratio="f"/>
                <v:textbox>
                  <w:txbxContent>
                    <w:p w14:paraId="6F337451">
                      <w:pPr>
                        <w:jc w:val="center"/>
                        <w:rPr>
                          <w:rFonts w:asciiTheme="minorEastAsia" w:hAnsiTheme="minorEastAsia" w:eastAsiaTheme="minorEastAsia"/>
                        </w:rPr>
                      </w:pPr>
                      <w:r>
                        <w:rPr>
                          <w:rFonts w:hint="eastAsia" w:asciiTheme="minorEastAsia" w:hAnsiTheme="minorEastAsia" w:eastAsiaTheme="minorEastAsia"/>
                        </w:rPr>
                        <w:t>签订合同</w:t>
                      </w:r>
                    </w:p>
                    <w:p w14:paraId="09DD5282">
                      <w:pPr>
                        <w:rPr>
                          <w:rFonts w:ascii="仿宋_GB2312" w:eastAsia="仿宋_GB2312"/>
                        </w:rPr>
                      </w:pPr>
                      <w:r>
                        <w:rPr>
                          <w:rFonts w:hint="eastAsia" w:ascii="仿宋_GB2312" w:eastAsia="仿宋_GB2312"/>
                        </w:rPr>
                        <w:t>立项</w:t>
                      </w:r>
                    </w:p>
                    <w:p w14:paraId="09E184D7">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4624" behindDoc="0" locked="0" layoutInCell="1" allowOverlap="1">
                <wp:simplePos x="0" y="0"/>
                <wp:positionH relativeFrom="column">
                  <wp:posOffset>1159510</wp:posOffset>
                </wp:positionH>
                <wp:positionV relativeFrom="paragraph">
                  <wp:posOffset>4292600</wp:posOffset>
                </wp:positionV>
                <wp:extent cx="1581785" cy="261620"/>
                <wp:effectExtent l="0" t="0" r="18415" b="24130"/>
                <wp:wrapNone/>
                <wp:docPr id="11" name="文本框 11"/>
                <wp:cNvGraphicFramePr/>
                <a:graphic xmlns:a="http://schemas.openxmlformats.org/drawingml/2006/main">
                  <a:graphicData uri="http://schemas.microsoft.com/office/word/2010/wordprocessingShape">
                    <wps:wsp>
                      <wps:cNvSpPr txBox="1"/>
                      <wps:spPr>
                        <a:xfrm>
                          <a:off x="0" y="0"/>
                          <a:ext cx="158178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FD53CF7">
                            <w:pPr>
                              <w:rPr>
                                <w:rFonts w:asciiTheme="minorEastAsia" w:hAnsiTheme="minorEastAsia" w:eastAsiaTheme="minorEastAsia"/>
                              </w:rPr>
                            </w:pPr>
                            <w:r>
                              <w:rPr>
                                <w:rFonts w:hint="eastAsia" w:asciiTheme="minorEastAsia" w:hAnsiTheme="minorEastAsia" w:eastAsiaTheme="minorEastAsia"/>
                              </w:rPr>
                              <w:t>成交公告；成交通知书</w:t>
                            </w:r>
                          </w:p>
                          <w:p w14:paraId="391EBC18">
                            <w:pPr>
                              <w:rPr>
                                <w:rFonts w:ascii="仿宋_GB2312" w:eastAsia="仿宋_GB2312"/>
                              </w:rPr>
                            </w:pPr>
                            <w:r>
                              <w:rPr>
                                <w:rFonts w:hint="eastAsia" w:ascii="仿宋_GB2312" w:eastAsia="仿宋_GB2312"/>
                              </w:rPr>
                              <w:t>立项</w:t>
                            </w:r>
                          </w:p>
                          <w:p w14:paraId="38F3A9E3">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1.3pt;margin-top:338pt;height:20.6pt;width:124.55pt;z-index:251674624;mso-width-relative:page;mso-height-relative:page;" fillcolor="#DBEEF4 [664]" filled="t" stroked="t" coordsize="21600,21600" o:gfxdata="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">
                <v:fill on="t" focussize="0,0"/>
                <v:stroke weight="0.5pt" color="#000000 [3204]" joinstyle="round"/>
                <v:imagedata o:title=""/>
                <o:lock v:ext="edit" aspectratio="f"/>
                <v:textbox>
                  <w:txbxContent>
                    <w:p w14:paraId="4FD53CF7">
                      <w:pPr>
                        <w:rPr>
                          <w:rFonts w:asciiTheme="minorEastAsia" w:hAnsiTheme="minorEastAsia" w:eastAsiaTheme="minorEastAsia"/>
                        </w:rPr>
                      </w:pPr>
                      <w:r>
                        <w:rPr>
                          <w:rFonts w:hint="eastAsia" w:asciiTheme="minorEastAsia" w:hAnsiTheme="minorEastAsia" w:eastAsiaTheme="minorEastAsia"/>
                        </w:rPr>
                        <w:t>成交公告；成交通知书</w:t>
                      </w:r>
                    </w:p>
                    <w:p w14:paraId="391EBC18">
                      <w:pPr>
                        <w:rPr>
                          <w:rFonts w:ascii="仿宋_GB2312" w:eastAsia="仿宋_GB2312"/>
                        </w:rPr>
                      </w:pPr>
                      <w:r>
                        <w:rPr>
                          <w:rFonts w:hint="eastAsia" w:ascii="仿宋_GB2312" w:eastAsia="仿宋_GB2312"/>
                        </w:rPr>
                        <w:t>立项</w:t>
                      </w:r>
                    </w:p>
                    <w:p w14:paraId="38F3A9E3">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5648" behindDoc="0" locked="0" layoutInCell="1" allowOverlap="1">
                <wp:simplePos x="0" y="0"/>
                <wp:positionH relativeFrom="column">
                  <wp:posOffset>1383665</wp:posOffset>
                </wp:positionH>
                <wp:positionV relativeFrom="paragraph">
                  <wp:posOffset>3750310</wp:posOffset>
                </wp:positionV>
                <wp:extent cx="1072515" cy="262255"/>
                <wp:effectExtent l="0" t="0" r="13335" b="23495"/>
                <wp:wrapNone/>
                <wp:docPr id="12" name="文本框 12"/>
                <wp:cNvGraphicFramePr/>
                <a:graphic xmlns:a="http://schemas.openxmlformats.org/drawingml/2006/main">
                  <a:graphicData uri="http://schemas.microsoft.com/office/word/2010/wordprocessingShape">
                    <wps:wsp>
                      <wps:cNvSpPr txBox="1"/>
                      <wps:spPr>
                        <a:xfrm>
                          <a:off x="0" y="0"/>
                          <a:ext cx="107251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5B26EF1">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66869A5F">
                            <w:pPr>
                              <w:rPr>
                                <w:rFonts w:ascii="仿宋_GB2312" w:eastAsia="仿宋_GB2312"/>
                              </w:rPr>
                            </w:pPr>
                            <w:r>
                              <w:rPr>
                                <w:rFonts w:hint="eastAsia" w:ascii="仿宋_GB2312" w:eastAsia="仿宋_GB2312"/>
                              </w:rPr>
                              <w:t>立项</w:t>
                            </w:r>
                          </w:p>
                          <w:p w14:paraId="77289EC8">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5pt;margin-top:295.3pt;height:20.65pt;width:84.45pt;z-index:251675648;mso-width-relative:page;mso-height-relative:page;" fillcolor="#DBEEF4 [664]" filled="t" stroked="t" coordsize="21600,21600" o:gfxdata="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">
                <v:fill on="t" focussize="0,0"/>
                <v:stroke weight="0.5pt" color="#000000 [3204]" joinstyle="round"/>
                <v:imagedata o:title=""/>
                <o:lock v:ext="edit" aspectratio="f"/>
                <v:textbox>
                  <w:txbxContent>
                    <w:p w14:paraId="55B26EF1">
                      <w:pPr>
                        <w:ind w:firstLine="105" w:firstLineChars="50"/>
                        <w:rPr>
                          <w:rFonts w:asciiTheme="minorEastAsia" w:hAnsiTheme="minorEastAsia" w:eastAsiaTheme="minorEastAsia"/>
                        </w:rPr>
                      </w:pPr>
                      <w:r>
                        <w:rPr>
                          <w:rFonts w:hint="eastAsia" w:asciiTheme="minorEastAsia" w:hAnsiTheme="minorEastAsia" w:eastAsiaTheme="minorEastAsia"/>
                        </w:rPr>
                        <w:t>编写评审报告</w:t>
                      </w:r>
                    </w:p>
                    <w:p w14:paraId="66869A5F">
                      <w:pPr>
                        <w:rPr>
                          <w:rFonts w:ascii="仿宋_GB2312" w:eastAsia="仿宋_GB2312"/>
                        </w:rPr>
                      </w:pPr>
                      <w:r>
                        <w:rPr>
                          <w:rFonts w:hint="eastAsia" w:ascii="仿宋_GB2312" w:eastAsia="仿宋_GB2312"/>
                        </w:rPr>
                        <w:t>立项</w:t>
                      </w:r>
                    </w:p>
                    <w:p w14:paraId="77289EC8">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4384" behindDoc="0" locked="0" layoutInCell="1" allowOverlap="1">
                <wp:simplePos x="0" y="0"/>
                <wp:positionH relativeFrom="column">
                  <wp:posOffset>1398905</wp:posOffset>
                </wp:positionH>
                <wp:positionV relativeFrom="paragraph">
                  <wp:posOffset>3225800</wp:posOffset>
                </wp:positionV>
                <wp:extent cx="1073150" cy="262255"/>
                <wp:effectExtent l="0" t="0" r="12700" b="23495"/>
                <wp:wrapNone/>
                <wp:docPr id="13" name="文本框 13"/>
                <wp:cNvGraphicFramePr/>
                <a:graphic xmlns:a="http://schemas.openxmlformats.org/drawingml/2006/main">
                  <a:graphicData uri="http://schemas.microsoft.com/office/word/2010/wordprocessingShape">
                    <wps:wsp>
                      <wps:cNvSpPr txBox="1"/>
                      <wps:spPr>
                        <a:xfrm>
                          <a:off x="0" y="0"/>
                          <a:ext cx="107315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0069844">
                            <w:pPr>
                              <w:jc w:val="center"/>
                              <w:rPr>
                                <w:rFonts w:asciiTheme="minorEastAsia" w:hAnsiTheme="minorEastAsia" w:eastAsiaTheme="minorEastAsia"/>
                              </w:rPr>
                            </w:pPr>
                            <w:r>
                              <w:rPr>
                                <w:rFonts w:hint="eastAsia" w:asciiTheme="minorEastAsia" w:hAnsiTheme="minorEastAsia" w:eastAsiaTheme="minorEastAsia"/>
                              </w:rPr>
                              <w:t>评审打分</w:t>
                            </w:r>
                          </w:p>
                          <w:p w14:paraId="3453815C">
                            <w:pPr>
                              <w:rPr>
                                <w:rFonts w:ascii="仿宋_GB2312" w:eastAsia="仿宋_GB2312"/>
                              </w:rPr>
                            </w:pPr>
                            <w:r>
                              <w:rPr>
                                <w:rFonts w:hint="eastAsia" w:ascii="仿宋_GB2312" w:eastAsia="仿宋_GB2312"/>
                              </w:rPr>
                              <w:t>立项</w:t>
                            </w:r>
                          </w:p>
                          <w:p w14:paraId="0E58FE3E">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15pt;margin-top:254pt;height:20.65pt;width:84.5pt;z-index:251664384;mso-width-relative:page;mso-height-relative:page;" fillcolor="#DBEEF4 [664]" filled="t" stroked="t" coordsize="21600,21600" o:gfxdata="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">
                <v:fill on="t" focussize="0,0"/>
                <v:stroke weight="0.5pt" color="#000000 [3204]" joinstyle="round"/>
                <v:imagedata o:title=""/>
                <o:lock v:ext="edit" aspectratio="f"/>
                <v:textbox>
                  <w:txbxContent>
                    <w:p w14:paraId="20069844">
                      <w:pPr>
                        <w:jc w:val="center"/>
                        <w:rPr>
                          <w:rFonts w:asciiTheme="minorEastAsia" w:hAnsiTheme="minorEastAsia" w:eastAsiaTheme="minorEastAsia"/>
                        </w:rPr>
                      </w:pPr>
                      <w:r>
                        <w:rPr>
                          <w:rFonts w:hint="eastAsia" w:asciiTheme="minorEastAsia" w:hAnsiTheme="minorEastAsia" w:eastAsiaTheme="minorEastAsia"/>
                        </w:rPr>
                        <w:t>评审打分</w:t>
                      </w:r>
                    </w:p>
                    <w:p w14:paraId="3453815C">
                      <w:pPr>
                        <w:rPr>
                          <w:rFonts w:ascii="仿宋_GB2312" w:eastAsia="仿宋_GB2312"/>
                        </w:rPr>
                      </w:pPr>
                      <w:r>
                        <w:rPr>
                          <w:rFonts w:hint="eastAsia" w:ascii="仿宋_GB2312" w:eastAsia="仿宋_GB2312"/>
                        </w:rPr>
                        <w:t>立项</w:t>
                      </w:r>
                    </w:p>
                    <w:p w14:paraId="0E58FE3E">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1552" behindDoc="0" locked="0" layoutInCell="1" allowOverlap="1">
                <wp:simplePos x="0" y="0"/>
                <wp:positionH relativeFrom="column">
                  <wp:posOffset>1247140</wp:posOffset>
                </wp:positionH>
                <wp:positionV relativeFrom="paragraph">
                  <wp:posOffset>2703830</wp:posOffset>
                </wp:positionV>
                <wp:extent cx="1453515" cy="261620"/>
                <wp:effectExtent l="0" t="0" r="13335" b="24130"/>
                <wp:wrapNone/>
                <wp:docPr id="14" name="文本框 14"/>
                <wp:cNvGraphicFramePr/>
                <a:graphic xmlns:a="http://schemas.openxmlformats.org/drawingml/2006/main">
                  <a:graphicData uri="http://schemas.microsoft.com/office/word/2010/wordprocessingShape">
                    <wps:wsp>
                      <wps:cNvSpPr txBox="1"/>
                      <wps:spPr>
                        <a:xfrm>
                          <a:off x="0" y="0"/>
                          <a:ext cx="1453515" cy="261620"/>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186BADA">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4570BA64">
                            <w:pPr>
                              <w:rPr>
                                <w:rFonts w:ascii="仿宋_GB2312" w:eastAsia="仿宋_GB2312"/>
                              </w:rPr>
                            </w:pPr>
                            <w:r>
                              <w:rPr>
                                <w:rFonts w:hint="eastAsia" w:ascii="仿宋_GB2312" w:eastAsia="仿宋_GB2312"/>
                              </w:rPr>
                              <w:t>立项</w:t>
                            </w:r>
                          </w:p>
                          <w:p w14:paraId="756B4E39">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8.2pt;margin-top:212.9pt;height:20.6pt;width:114.45pt;z-index:251671552;mso-width-relative:page;mso-height-relative:page;" fillcolor="#DBEEF4 [664]" filled="t" stroked="t" coordsize="21600,21600" o:gfxdata="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D7BB3dgAAAALAQAADwAAAAAAAAABACAA&#10;AAAiAAAAZHJzL2Rvd25yZXYueG1sUEsBAhQAFAAAAAgAh07iQNnk1bJ/AgAAAAUAAA4AAAAAAAAA&#10;AQAgAAAAJwEAAGRycy9lMm9Eb2MueG1sUEsFBgAAAAAGAAYAWQEAABgGAAAAAA==&#10;">
                <v:fill on="t" focussize="0,0"/>
                <v:stroke weight="0.5pt" color="#000000 [3204]" joinstyle="round"/>
                <v:imagedata o:title=""/>
                <o:lock v:ext="edit" aspectratio="f"/>
                <v:textbox>
                  <w:txbxContent>
                    <w:p w14:paraId="0186BADA">
                      <w:pPr>
                        <w:jc w:val="center"/>
                        <w:rPr>
                          <w:rFonts w:asciiTheme="minorEastAsia" w:hAnsiTheme="minorEastAsia" w:eastAsiaTheme="minorEastAsia"/>
                        </w:rPr>
                      </w:pPr>
                      <w:r>
                        <w:rPr>
                          <w:rFonts w:hint="eastAsia" w:asciiTheme="minorEastAsia" w:hAnsiTheme="minorEastAsia" w:eastAsiaTheme="minorEastAsia"/>
                        </w:rPr>
                        <w:t>供应商提交最后报价</w:t>
                      </w:r>
                    </w:p>
                    <w:p w14:paraId="4570BA64">
                      <w:pPr>
                        <w:rPr>
                          <w:rFonts w:ascii="仿宋_GB2312" w:eastAsia="仿宋_GB2312"/>
                        </w:rPr>
                      </w:pPr>
                      <w:r>
                        <w:rPr>
                          <w:rFonts w:hint="eastAsia" w:ascii="仿宋_GB2312" w:eastAsia="仿宋_GB2312"/>
                        </w:rPr>
                        <w:t>立项</w:t>
                      </w:r>
                    </w:p>
                    <w:p w14:paraId="756B4E39">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0528" behindDoc="0" locked="0" layoutInCell="1" allowOverlap="1">
                <wp:simplePos x="0" y="0"/>
                <wp:positionH relativeFrom="column">
                  <wp:posOffset>1383030</wp:posOffset>
                </wp:positionH>
                <wp:positionV relativeFrom="paragraph">
                  <wp:posOffset>2178685</wp:posOffset>
                </wp:positionV>
                <wp:extent cx="1089025" cy="262255"/>
                <wp:effectExtent l="0" t="0" r="15875" b="23495"/>
                <wp:wrapNone/>
                <wp:docPr id="15" name="文本框 15"/>
                <wp:cNvGraphicFramePr/>
                <a:graphic xmlns:a="http://schemas.openxmlformats.org/drawingml/2006/main">
                  <a:graphicData uri="http://schemas.microsoft.com/office/word/2010/wordprocessingShape">
                    <wps:wsp>
                      <wps:cNvSpPr txBox="1"/>
                      <wps:spPr>
                        <a:xfrm>
                          <a:off x="0" y="0"/>
                          <a:ext cx="1089025"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01BEC054">
                            <w:pPr>
                              <w:jc w:val="center"/>
                              <w:rPr>
                                <w:rFonts w:asciiTheme="minorEastAsia" w:hAnsiTheme="minorEastAsia" w:eastAsiaTheme="minorEastAsia"/>
                              </w:rPr>
                            </w:pPr>
                            <w:r>
                              <w:rPr>
                                <w:rFonts w:hint="eastAsia" w:asciiTheme="minorEastAsia" w:hAnsiTheme="minorEastAsia" w:eastAsiaTheme="minorEastAsia"/>
                              </w:rPr>
                              <w:t>磋商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8.9pt;margin-top:171.55pt;height:20.65pt;width:85.75pt;z-index:251670528;mso-width-relative:page;mso-height-relative:page;" fillcolor="#DBEEF4 [664]" filled="t" stroked="t" coordsize="21600,21600" o:gfxdata="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avU/hNkAAAALAQAADwAAAAAAAAABACAA&#10;AAAiAAAAZHJzL2Rvd25yZXYueG1sUEsBAhQAFAAAAAgAh07iQAHru3p+AgAAAAUAAA4AAAAAAAAA&#10;AQAgAAAAKAEAAGRycy9lMm9Eb2MueG1sUEsFBgAAAAAGAAYAWQEAABgGAAAAAA==&#10;">
                <v:fill on="t" focussize="0,0"/>
                <v:stroke weight="0.5pt" color="#000000 [3204]" joinstyle="round"/>
                <v:imagedata o:title=""/>
                <o:lock v:ext="edit" aspectratio="f"/>
                <v:textbox>
                  <w:txbxContent>
                    <w:p w14:paraId="01BEC054">
                      <w:pPr>
                        <w:jc w:val="center"/>
                        <w:rPr>
                          <w:rFonts w:asciiTheme="minorEastAsia" w:hAnsiTheme="minorEastAsia" w:eastAsiaTheme="minorEastAsia"/>
                        </w:rPr>
                      </w:pPr>
                      <w:r>
                        <w:rPr>
                          <w:rFonts w:hint="eastAsia" w:asciiTheme="minorEastAsia" w:hAnsiTheme="minorEastAsia" w:eastAsiaTheme="minorEastAsia"/>
                        </w:rPr>
                        <w:t>磋商</w:t>
                      </w: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9744" behindDoc="0" locked="0" layoutInCell="1" allowOverlap="1">
                <wp:simplePos x="0" y="0"/>
                <wp:positionH relativeFrom="column">
                  <wp:posOffset>1395095</wp:posOffset>
                </wp:positionH>
                <wp:positionV relativeFrom="paragraph">
                  <wp:posOffset>1667510</wp:posOffset>
                </wp:positionV>
                <wp:extent cx="1088390" cy="262255"/>
                <wp:effectExtent l="0" t="0" r="16510" b="23495"/>
                <wp:wrapNone/>
                <wp:docPr id="16" name="文本框 16"/>
                <wp:cNvGraphicFramePr/>
                <a:graphic xmlns:a="http://schemas.openxmlformats.org/drawingml/2006/main">
                  <a:graphicData uri="http://schemas.microsoft.com/office/word/2010/wordprocessingShape">
                    <wps:wsp>
                      <wps:cNvSpPr txBox="1"/>
                      <wps:spPr>
                        <a:xfrm>
                          <a:off x="0" y="0"/>
                          <a:ext cx="1088390" cy="262255"/>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3D861420">
                            <w:pPr>
                              <w:jc w:val="center"/>
                              <w:rPr>
                                <w:rFonts w:asciiTheme="minorEastAsia" w:hAnsiTheme="minorEastAsia" w:eastAsiaTheme="minorEastAsia"/>
                              </w:rPr>
                            </w:pPr>
                            <w:r>
                              <w:rPr>
                                <w:rFonts w:hint="eastAsia" w:asciiTheme="minorEastAsia" w:hAnsiTheme="minorEastAsia" w:eastAsiaTheme="minorEastAsia"/>
                              </w:rPr>
                              <w:t>资格审查</w:t>
                            </w:r>
                          </w:p>
                          <w:p w14:paraId="3A596DE9">
                            <w:pPr>
                              <w:jc w:val="center"/>
                              <w:rPr>
                                <w:rFonts w:ascii="仿宋_GB2312" w:eastAsia="仿宋_GB2312"/>
                              </w:rPr>
                            </w:pPr>
                          </w:p>
                          <w:p w14:paraId="51ABFC80">
                            <w:pPr>
                              <w:rPr>
                                <w:rFonts w:ascii="仿宋_GB2312" w:eastAsia="仿宋_GB2312"/>
                              </w:rPr>
                            </w:pPr>
                            <w:r>
                              <w:rPr>
                                <w:rFonts w:hint="eastAsia" w:ascii="仿宋_GB2312" w:eastAsia="仿宋_GB2312"/>
                              </w:rPr>
                              <w:t>立项</w:t>
                            </w:r>
                          </w:p>
                          <w:p w14:paraId="06726BC5">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09.85pt;margin-top:131.3pt;height:20.65pt;width:85.7pt;z-index:251679744;mso-width-relative:page;mso-height-relative:page;" fillcolor="#DBEEF4 [664]" filled="t" stroked="t" coordsize="21600,21600" o:gfxdata="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H3l30NkAAAALAQAADwAAAAAAAAABACAA&#10;AAAiAAAAZHJzL2Rvd25yZXYueG1sUEsBAhQAFAAAAAgAh07iQIa9T/5+AgAAAAUAAA4AAAAAAAAA&#10;AQAgAAAAKAEAAGRycy9lMm9Eb2MueG1sUEsFBgAAAAAGAAYAWQEAABgGAAAAAA==&#10;">
                <v:fill on="t" focussize="0,0"/>
                <v:stroke weight="0.5pt" color="#000000 [3204]" joinstyle="round"/>
                <v:imagedata o:title=""/>
                <o:lock v:ext="edit" aspectratio="f"/>
                <v:textbox>
                  <w:txbxContent>
                    <w:p w14:paraId="3D861420">
                      <w:pPr>
                        <w:jc w:val="center"/>
                        <w:rPr>
                          <w:rFonts w:asciiTheme="minorEastAsia" w:hAnsiTheme="minorEastAsia" w:eastAsiaTheme="minorEastAsia"/>
                        </w:rPr>
                      </w:pPr>
                      <w:r>
                        <w:rPr>
                          <w:rFonts w:hint="eastAsia" w:asciiTheme="minorEastAsia" w:hAnsiTheme="minorEastAsia" w:eastAsiaTheme="minorEastAsia"/>
                        </w:rPr>
                        <w:t>资格审查</w:t>
                      </w:r>
                    </w:p>
                    <w:p w14:paraId="3A596DE9">
                      <w:pPr>
                        <w:jc w:val="center"/>
                        <w:rPr>
                          <w:rFonts w:ascii="仿宋_GB2312" w:eastAsia="仿宋_GB2312"/>
                        </w:rPr>
                      </w:pPr>
                    </w:p>
                    <w:p w14:paraId="51ABFC80">
                      <w:pPr>
                        <w:rPr>
                          <w:rFonts w:ascii="仿宋_GB2312" w:eastAsia="仿宋_GB2312"/>
                        </w:rPr>
                      </w:pPr>
                      <w:r>
                        <w:rPr>
                          <w:rFonts w:hint="eastAsia" w:ascii="仿宋_GB2312" w:eastAsia="仿宋_GB2312"/>
                        </w:rPr>
                        <w:t>立项</w:t>
                      </w:r>
                    </w:p>
                    <w:p w14:paraId="06726BC5">
                      <w:pPr>
                        <w:rPr>
                          <w:rFonts w:ascii="仿宋_GB2312" w:eastAsia="仿宋_GB2312"/>
                        </w:rPr>
                      </w:pPr>
                    </w:p>
                  </w:txbxContent>
                </v:textbox>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78720" behindDoc="0" locked="0" layoutInCell="1" allowOverlap="1">
                <wp:simplePos x="0" y="0"/>
                <wp:positionH relativeFrom="column">
                  <wp:posOffset>1906270</wp:posOffset>
                </wp:positionH>
                <wp:positionV relativeFrom="paragraph">
                  <wp:posOffset>5068570</wp:posOffset>
                </wp:positionV>
                <wp:extent cx="0" cy="261620"/>
                <wp:effectExtent l="95250" t="0" r="57150" b="62230"/>
                <wp:wrapNone/>
                <wp:docPr id="17" name="直接箭头连接符 17"/>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99.1pt;height:20.6pt;width:0pt;z-index:251678720;mso-width-relative:page;mso-height-relative:page;" filled="f" stroked="t" coordsize="21600,21600" o:gfxdata="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DNHujd2gAAAAsBAAAP&#10;AAAAAAAAAAEAIAAAACIAAABkcnMvZG93bnJldi54bWxQSwECFAAUAAAACACHTuJAfOofuBYCAAAB&#10;BAAADgAAAAAAAAABACAAAAApAQAAZHJzL2Uyb0RvYy54bWxQSwUGAAAAAAYABgBZAQAAsQUAAAAA&#10;">
                <v:fill on="f" focussize="0,0"/>
                <v:stroke color="#4A7EBB [3204]" joinstyle="round" endarrow="open"/>
                <v:imagedata o:title=""/>
                <o:lock v:ext="edit" aspectratio="f"/>
              </v:shape>
            </w:pict>
          </mc:Fallback>
        </mc:AlternateContent>
      </w:r>
      <w:r>
        <w:rPr>
          <w:rFonts w:asciiTheme="minorEastAsia" w:hAnsiTheme="minorEastAsia" w:eastAsiaTheme="minorEastAsia"/>
          <w:color w:val="auto"/>
          <w:sz w:val="24"/>
        </w:rPr>
        <mc:AlternateContent>
          <mc:Choice Requires="wps">
            <w:drawing>
              <wp:anchor distT="0" distB="0" distL="114300" distR="114300" simplePos="0" relativeHeight="251661312" behindDoc="0" locked="0" layoutInCell="1" allowOverlap="1">
                <wp:simplePos x="0" y="0"/>
                <wp:positionH relativeFrom="column">
                  <wp:posOffset>1905000</wp:posOffset>
                </wp:positionH>
                <wp:positionV relativeFrom="paragraph">
                  <wp:posOffset>4542155</wp:posOffset>
                </wp:positionV>
                <wp:extent cx="0" cy="261620"/>
                <wp:effectExtent l="95250" t="0" r="57150" b="62230"/>
                <wp:wrapNone/>
                <wp:docPr id="19" name="直接箭头连接符 19"/>
                <wp:cNvGraphicFramePr/>
                <a:graphic xmlns:a="http://schemas.openxmlformats.org/drawingml/2006/main">
                  <a:graphicData uri="http://schemas.microsoft.com/office/word/2010/wordprocessingShape">
                    <wps:wsp>
                      <wps:cNvCnPr/>
                      <wps:spPr>
                        <a:xfrm>
                          <a:off x="0" y="0"/>
                          <a:ext cx="0" cy="26162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pt;margin-top:357.65pt;height:20.6pt;width:0pt;z-index:251661312;mso-width-relative:page;mso-height-relative:page;" filled="f" stroked="t" coordsize="21600,21600" o:gfxdata="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IWEuFjZAAAACwEAAA8A&#10;AAAAAAAAAQAgAAAAIgAAAGRycy9kb3ducmV2LnhtbFBLAQIUABQAAAAIAIdO4kCE52acFgIAAAEE&#10;AAAOAAAAAAAAAAEAIAAAACgBAABkcnMvZTJvRG9jLnhtbFBLBQYAAAAABgAGAFkBAACw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5408" behindDoc="0" locked="0" layoutInCell="1" allowOverlap="1">
                <wp:simplePos x="0" y="0"/>
                <wp:positionH relativeFrom="column">
                  <wp:posOffset>1405255</wp:posOffset>
                </wp:positionH>
                <wp:positionV relativeFrom="paragraph">
                  <wp:posOffset>1134110</wp:posOffset>
                </wp:positionV>
                <wp:extent cx="1088390" cy="262255"/>
                <wp:effectExtent l="0" t="0" r="16510" b="23495"/>
                <wp:wrapNone/>
                <wp:docPr id="40" name="文本框 40"/>
                <wp:cNvGraphicFramePr/>
                <a:graphic xmlns:a="http://schemas.openxmlformats.org/drawingml/2006/main">
                  <a:graphicData uri="http://schemas.microsoft.com/office/word/2010/wordprocessingShape">
                    <wps:wsp>
                      <wps:cNvSpPr txBox="1"/>
                      <wps:spPr>
                        <a:xfrm>
                          <a:off x="0" y="0"/>
                          <a:ext cx="1088359" cy="262249"/>
                        </a:xfrm>
                        <a:prstGeom prst="rect">
                          <a:avLst/>
                        </a:prstGeom>
                        <a:solidFill>
                          <a:schemeClr val="accent5">
                            <a:lumMod val="20000"/>
                            <a:lumOff val="80000"/>
                          </a:schemeClr>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6E5289E">
                            <w:pPr>
                              <w:jc w:val="center"/>
                              <w:rPr>
                                <w:rFonts w:asciiTheme="minorEastAsia" w:hAnsiTheme="minorEastAsia" w:eastAsiaTheme="minorEastAsia"/>
                              </w:rPr>
                            </w:pPr>
                            <w:r>
                              <w:rPr>
                                <w:rFonts w:hint="eastAsia" w:asciiTheme="minorEastAsia" w:hAnsiTheme="minorEastAsia" w:eastAsiaTheme="minorEastAsia"/>
                              </w:rPr>
                              <w:t>开启响应文件</w:t>
                            </w:r>
                          </w:p>
                          <w:p w14:paraId="7BDB452F">
                            <w:pPr>
                              <w:rPr>
                                <w:rFonts w:ascii="仿宋_GB2312" w:eastAsia="仿宋_GB2312"/>
                              </w:rPr>
                            </w:pPr>
                            <w:r>
                              <w:rPr>
                                <w:rFonts w:hint="eastAsia" w:ascii="仿宋_GB2312" w:eastAsia="仿宋_GB2312"/>
                              </w:rPr>
                              <w:t>立项</w:t>
                            </w:r>
                          </w:p>
                          <w:p w14:paraId="50CFC296">
                            <w:pPr>
                              <w:rPr>
                                <w:rFonts w:ascii="仿宋_GB2312" w:eastAsia="仿宋_GB2312"/>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110.65pt;margin-top:89.3pt;height:20.65pt;width:85.7pt;z-index:251665408;mso-width-relative:page;mso-height-relative:page;" fillcolor="#DBEEF4 [664]" filled="t" stroked="t" coordsize="21600,21600" o:gfxdata="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">
                <v:fill on="t" focussize="0,0"/>
                <v:stroke weight="0.5pt" color="#000000 [3204]" joinstyle="round"/>
                <v:imagedata o:title=""/>
                <o:lock v:ext="edit" aspectratio="f"/>
                <v:textbox>
                  <w:txbxContent>
                    <w:p w14:paraId="76E5289E">
                      <w:pPr>
                        <w:jc w:val="center"/>
                        <w:rPr>
                          <w:rFonts w:asciiTheme="minorEastAsia" w:hAnsiTheme="minorEastAsia" w:eastAsiaTheme="minorEastAsia"/>
                        </w:rPr>
                      </w:pPr>
                      <w:r>
                        <w:rPr>
                          <w:rFonts w:hint="eastAsia" w:asciiTheme="minorEastAsia" w:hAnsiTheme="minorEastAsia" w:eastAsiaTheme="minorEastAsia"/>
                        </w:rPr>
                        <w:t>开启响应文件</w:t>
                      </w:r>
                    </w:p>
                    <w:p w14:paraId="7BDB452F">
                      <w:pPr>
                        <w:rPr>
                          <w:rFonts w:ascii="仿宋_GB2312" w:eastAsia="仿宋_GB2312"/>
                        </w:rPr>
                      </w:pPr>
                      <w:r>
                        <w:rPr>
                          <w:rFonts w:hint="eastAsia" w:ascii="仿宋_GB2312" w:eastAsia="仿宋_GB2312"/>
                        </w:rPr>
                        <w:t>立项</w:t>
                      </w:r>
                    </w:p>
                    <w:p w14:paraId="50CFC296">
                      <w:pPr>
                        <w:rPr>
                          <w:rFonts w:ascii="仿宋_GB2312" w:eastAsia="仿宋_GB2312"/>
                        </w:rPr>
                      </w:pPr>
                    </w:p>
                  </w:txbxContent>
                </v:textbox>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7456" behindDoc="0" locked="0" layoutInCell="1" allowOverlap="1">
                <wp:simplePos x="0" y="0"/>
                <wp:positionH relativeFrom="column">
                  <wp:posOffset>1906270</wp:posOffset>
                </wp:positionH>
                <wp:positionV relativeFrom="paragraph">
                  <wp:posOffset>2437765</wp:posOffset>
                </wp:positionV>
                <wp:extent cx="0" cy="262255"/>
                <wp:effectExtent l="95250" t="0" r="57150" b="62230"/>
                <wp:wrapNone/>
                <wp:docPr id="44" name="直接箭头连接符 44"/>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91.95pt;height:20.65pt;width:0pt;z-index:251667456;mso-width-relative:page;mso-height-relative:page;" filled="f" stroked="t" coordsize="21600,21600" o:gfxdata="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AyPnwL2QAAAAsBAAAPAAAA&#10;AAAAAAEAIAAAACIAAABkcnMvZG93bnJldi54bWxQSwECFAAUAAAACACHTuJAbFzA+R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8480" behindDoc="0" locked="0" layoutInCell="1" allowOverlap="1">
                <wp:simplePos x="0" y="0"/>
                <wp:positionH relativeFrom="column">
                  <wp:posOffset>1906270</wp:posOffset>
                </wp:positionH>
                <wp:positionV relativeFrom="paragraph">
                  <wp:posOffset>1921510</wp:posOffset>
                </wp:positionV>
                <wp:extent cx="0" cy="262255"/>
                <wp:effectExtent l="95250" t="0" r="57150" b="62230"/>
                <wp:wrapNone/>
                <wp:docPr id="45" name="直接箭头连接符 45"/>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51.3pt;height:20.65pt;width:0pt;z-index:251668480;mso-width-relative:page;mso-height-relative:page;" filled="f" stroked="t" coordsize="21600,21600" o:gfxdata="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IVti8rYAAAACwEAAA8AAAAA&#10;AAAAAQAgAAAAIgAAAGRycy9kb3ducmV2LnhtbFBLAQIUABQAAAAIAIdO4kBlaPk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69504" behindDoc="0" locked="0" layoutInCell="1" allowOverlap="1">
                <wp:simplePos x="0" y="0"/>
                <wp:positionH relativeFrom="column">
                  <wp:posOffset>1906270</wp:posOffset>
                </wp:positionH>
                <wp:positionV relativeFrom="paragraph">
                  <wp:posOffset>1396365</wp:posOffset>
                </wp:positionV>
                <wp:extent cx="0" cy="262255"/>
                <wp:effectExtent l="95250" t="0" r="57150" b="62230"/>
                <wp:wrapNone/>
                <wp:docPr id="46" name="直接箭头连接符 46"/>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109.95pt;height:20.65pt;width:0pt;z-index:251669504;mso-width-relative:page;mso-height-relative:page;" filled="f" stroked="t" coordsize="21600,21600" o:gfxdata="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2576" behindDoc="0" locked="0" layoutInCell="1" allowOverlap="1">
                <wp:simplePos x="0" y="0"/>
                <wp:positionH relativeFrom="column">
                  <wp:posOffset>1906270</wp:posOffset>
                </wp:positionH>
                <wp:positionV relativeFrom="paragraph">
                  <wp:posOffset>3487420</wp:posOffset>
                </wp:positionV>
                <wp:extent cx="0" cy="262255"/>
                <wp:effectExtent l="95250" t="0" r="57150" b="62230"/>
                <wp:wrapNone/>
                <wp:docPr id="47" name="直接箭头连接符 47"/>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74.6pt;height:20.65pt;width:0pt;z-index:251672576;mso-width-relative:page;mso-height-relative:page;" filled="f" stroked="t" coordsize="21600,21600" o:gfxdata="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QAE9f9kAAAALAQAADwAA&#10;AAAAAAABACAAAAAiAAAAZHJzL2Rvd25yZXYueG1sUEsBAhQAFAAAAAgAh07iQDYG+nkVAgAAAQQA&#10;AA4AAAAAAAAAAQAgAAAAKAEAAGRycy9lMm9Eb2MueG1sUEsFBgAAAAAGAAYAWQEAAK8FA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3600" behindDoc="0" locked="0" layoutInCell="1" allowOverlap="1">
                <wp:simplePos x="0" y="0"/>
                <wp:positionH relativeFrom="column">
                  <wp:posOffset>1906270</wp:posOffset>
                </wp:positionH>
                <wp:positionV relativeFrom="paragraph">
                  <wp:posOffset>2962910</wp:posOffset>
                </wp:positionV>
                <wp:extent cx="0" cy="262255"/>
                <wp:effectExtent l="95250" t="0" r="57150" b="62230"/>
                <wp:wrapNone/>
                <wp:docPr id="48" name="直接箭头连接符 48"/>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233.3pt;height:20.65pt;width:0pt;z-index:251673600;mso-width-relative:page;mso-height-relative:page;" filled="f" stroked="t" coordsize="21600,21600" o:gfxdata="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">
                <v:fill on="f" focussize="0,0"/>
                <v:stroke color="#4A7EBB [3204]" joinstyle="round" endarrow="open"/>
                <v:imagedata o:title=""/>
                <o:lock v:ext="edit" aspectratio="f"/>
              </v:shape>
            </w:pict>
          </mc:Fallback>
        </mc:AlternateContent>
      </w:r>
      <w:r>
        <w:rPr>
          <w:rFonts w:cs="仿宋_GB2312" w:asciiTheme="minorEastAsia" w:hAnsiTheme="minorEastAsia" w:eastAsiaTheme="minorEastAsia"/>
          <w:b/>
          <w:color w:val="auto"/>
          <w:sz w:val="36"/>
          <w:szCs w:val="20"/>
        </w:rPr>
        <mc:AlternateContent>
          <mc:Choice Requires="wps">
            <w:drawing>
              <wp:anchor distT="0" distB="0" distL="114300" distR="114300" simplePos="0" relativeHeight="251676672" behindDoc="0" locked="0" layoutInCell="1" allowOverlap="1">
                <wp:simplePos x="0" y="0"/>
                <wp:positionH relativeFrom="column">
                  <wp:posOffset>1906270</wp:posOffset>
                </wp:positionH>
                <wp:positionV relativeFrom="paragraph">
                  <wp:posOffset>4012565</wp:posOffset>
                </wp:positionV>
                <wp:extent cx="0" cy="262255"/>
                <wp:effectExtent l="95250" t="0" r="57150" b="62230"/>
                <wp:wrapNone/>
                <wp:docPr id="49" name="直接箭头连接符 49"/>
                <wp:cNvGraphicFramePr/>
                <a:graphic xmlns:a="http://schemas.openxmlformats.org/drawingml/2006/main">
                  <a:graphicData uri="http://schemas.microsoft.com/office/word/2010/wordprocessingShape">
                    <wps:wsp>
                      <wps:cNvCnPr/>
                      <wps:spPr>
                        <a:xfrm>
                          <a:off x="0" y="0"/>
                          <a:ext cx="0" cy="262249"/>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_x0000_s1026" o:spid="_x0000_s1026" o:spt="32" type="#_x0000_t32" style="position:absolute;left:0pt;margin-left:150.1pt;margin-top:315.95pt;height:20.65pt;width:0pt;z-index:251676672;mso-width-relative:page;mso-height-relative:page;" filled="f" stroked="t" coordsize="21600,21600" o:gfxdata="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L4rJWdkAAAALAQAADwAA&#10;AAAAAAABACAAAAAiAAAAZHJzL2Rvd25yZXYueG1sUEsBAhQAFAAAAAgAh07iQM4Lg10VAgAAAQQA&#10;AA4AAAAAAAAAAQAgAAAAKAEAAGRycy9lMm9Eb2MueG1sUEsFBgAAAAAGAAYAWQEAAK8FAAAAAA==&#10;">
                <v:fill on="f" focussize="0,0"/>
                <v:stroke color="#4A7EBB [3204]" joinstyle="round" endarrow="open"/>
                <v:imagedata o:title=""/>
                <o:lock v:ext="edit" aspectratio="f"/>
              </v:shape>
            </w:pict>
          </mc:Fallback>
        </mc:AlternateContent>
      </w:r>
      <w:r>
        <w:rPr>
          <w:rFonts w:hint="eastAsia" w:cs="仿宋_GB2312" w:asciiTheme="minorEastAsia" w:hAnsiTheme="minorEastAsia" w:eastAsiaTheme="minorEastAsia"/>
          <w:b/>
          <w:color w:val="auto"/>
          <w:sz w:val="36"/>
          <w:szCs w:val="20"/>
        </w:rPr>
        <w:br w:type="page"/>
      </w:r>
    </w:p>
    <w:p w14:paraId="23543726">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第三部分</w:t>
      </w:r>
      <w:bookmarkEnd w:id="7"/>
      <w:r>
        <w:rPr>
          <w:rFonts w:hint="eastAsia" w:cs="仿宋_GB2312" w:asciiTheme="minorEastAsia" w:hAnsiTheme="minorEastAsia" w:eastAsiaTheme="minorEastAsia"/>
          <w:b/>
          <w:color w:val="auto"/>
          <w:sz w:val="36"/>
          <w:szCs w:val="20"/>
        </w:rPr>
        <w:t xml:space="preserve">  供应商须知</w:t>
      </w:r>
      <w:bookmarkEnd w:id="8"/>
    </w:p>
    <w:p w14:paraId="1C0D076C">
      <w:pPr>
        <w:adjustRightInd/>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一、前附表</w:t>
      </w:r>
    </w:p>
    <w:tbl>
      <w:tblPr>
        <w:tblStyle w:val="60"/>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0F82DF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229ACBB6">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04C87C29">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456CE0F2">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本项目的特别规定</w:t>
            </w:r>
          </w:p>
        </w:tc>
      </w:tr>
      <w:tr w14:paraId="44A2BF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55"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4FB55AFF">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30ABF74C">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5F2E0C2C">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服务类。</w:t>
            </w:r>
          </w:p>
        </w:tc>
      </w:tr>
      <w:tr w14:paraId="22A1AF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14"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C40674D">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430783FA">
            <w:pPr>
              <w:snapToGrid w:val="0"/>
              <w:spacing w:line="360" w:lineRule="auto"/>
              <w:rPr>
                <w:rFonts w:cs="宋体" w:asciiTheme="minorEastAsia" w:hAnsiTheme="minorEastAsia" w:eastAsiaTheme="minorEastAsia"/>
                <w:b/>
                <w:color w:val="auto"/>
                <w:kern w:val="0"/>
                <w:sz w:val="24"/>
              </w:rPr>
            </w:pPr>
            <w:r>
              <w:rPr>
                <w:rFonts w:hint="eastAsia" w:cs="宋体" w:asciiTheme="minorEastAsia" w:hAnsiTheme="minorEastAsia" w:eastAsiaTheme="minorEastAsia"/>
                <w:b/>
                <w:color w:val="auto"/>
                <w:kern w:val="0"/>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1F6FA0AB">
            <w:pPr>
              <w:snapToGrid w:val="0"/>
              <w:spacing w:line="360" w:lineRule="auto"/>
              <w:rPr>
                <w:rFonts w:cs="宋体" w:asciiTheme="minorEastAsia" w:hAnsiTheme="minorEastAsia" w:eastAsiaTheme="minorEastAsia"/>
                <w:b w:val="0"/>
                <w:bCs w:val="0"/>
                <w:color w:val="auto"/>
                <w:kern w:val="0"/>
                <w:sz w:val="24"/>
                <w:szCs w:val="24"/>
                <w:lang w:val="en-US"/>
              </w:rPr>
            </w:pPr>
            <w:r>
              <w:rPr>
                <w:rFonts w:hint="eastAsia" w:cs="宋体" w:asciiTheme="minorEastAsia" w:hAnsiTheme="minorEastAsia" w:eastAsiaTheme="minorEastAsia"/>
                <w:color w:val="auto"/>
                <w:kern w:val="0"/>
                <w:sz w:val="24"/>
              </w:rPr>
              <w:t>标的：嘉兴市统计局社情民意调查服务外包项目，属于</w:t>
            </w:r>
            <w:r>
              <w:rPr>
                <w:rFonts w:hint="eastAsia" w:cs="宋体" w:asciiTheme="minorEastAsia" w:hAnsiTheme="minorEastAsia" w:eastAsiaTheme="minorEastAsia"/>
                <w:color w:val="auto"/>
                <w:kern w:val="0"/>
                <w:sz w:val="24"/>
                <w:u w:val="single"/>
                <w:lang w:eastAsia="zh-CN"/>
              </w:rPr>
              <w:t>商务服务</w:t>
            </w:r>
            <w:r>
              <w:rPr>
                <w:rFonts w:hint="eastAsia" w:cs="宋体" w:asciiTheme="minorEastAsia" w:hAnsiTheme="minorEastAsia" w:eastAsiaTheme="minorEastAsia"/>
                <w:color w:val="auto"/>
                <w:kern w:val="0"/>
                <w:sz w:val="24"/>
              </w:rPr>
              <w:t>行业；</w:t>
            </w:r>
          </w:p>
        </w:tc>
      </w:tr>
      <w:tr w14:paraId="191087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52F9E6EE">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58506F3E">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485A3CC3">
            <w:pPr>
              <w:spacing w:line="360" w:lineRule="auto"/>
              <w:rPr>
                <w:rFonts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182842570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本项目不允许采购进口产品。</w:t>
            </w:r>
          </w:p>
          <w:p w14:paraId="5A4A08C4">
            <w:pPr>
              <w:spacing w:line="360" w:lineRule="auto"/>
              <w:rPr>
                <w:rFonts w:cs="宋体" w:asciiTheme="minorEastAsia" w:hAnsiTheme="minorEastAsia" w:eastAsiaTheme="minorEastAsia"/>
                <w:color w:val="auto"/>
              </w:rPr>
            </w:pPr>
            <w:sdt>
              <w:sdtPr>
                <w:rPr>
                  <w:rFonts w:hint="eastAsia" w:cs="宋体" w:asciiTheme="minorEastAsia" w:hAnsiTheme="minorEastAsia" w:eastAsiaTheme="minorEastAsia"/>
                  <w:color w:val="auto"/>
                  <w:kern w:val="0"/>
                  <w:sz w:val="24"/>
                </w:rPr>
                <w:id w:val="-5285282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可以就</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u w:val="single"/>
                <w:lang w:val="en-US" w:eastAsia="zh-CN"/>
              </w:rPr>
              <w:t xml:space="preserve">/  </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kern w:val="0"/>
                <w:sz w:val="24"/>
              </w:rPr>
              <w:t>采购进口产品。</w:t>
            </w:r>
          </w:p>
        </w:tc>
      </w:tr>
      <w:tr w14:paraId="09696E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47"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7D020F10">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055DF413">
            <w:pPr>
              <w:snapToGrid w:val="0"/>
              <w:spacing w:line="360" w:lineRule="auto"/>
              <w:ind w:firstLine="482" w:firstLineChars="2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3D8F9292">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1477286927"/>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Gothic" w:hAnsi="MS Gothic" w:eastAsia="MS Gothic" w:cs="宋体"/>
                    <w:color w:val="auto"/>
                    <w:kern w:val="0"/>
                    <w:sz w:val="24"/>
                    <w:szCs w:val="24"/>
                    <w:lang w:val="en-US" w:eastAsia="zh-CN" w:bidi="ar-SA"/>
                  </w:rPr>
                  <w:t>☐</w:t>
                </w:r>
              </w:sdtContent>
            </w:sdt>
            <w:r>
              <w:rPr>
                <w:rFonts w:hint="eastAsia" w:cs="宋体" w:asciiTheme="minorEastAsia" w:hAnsiTheme="minorEastAsia" w:eastAsiaTheme="minorEastAsia"/>
                <w:color w:val="auto"/>
                <w:kern w:val="0"/>
                <w:sz w:val="24"/>
              </w:rPr>
              <w:t xml:space="preserve"> A</w:t>
            </w:r>
            <w:r>
              <w:rPr>
                <w:rFonts w:hint="eastAsia" w:cs="宋体" w:asciiTheme="minorEastAsia" w:hAnsiTheme="minorEastAsia" w:eastAsiaTheme="minorEastAsia"/>
                <w:color w:val="auto"/>
                <w:sz w:val="24"/>
              </w:rPr>
              <w:t>同意将非主体、非关键性的</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u w:val="single"/>
                <w:lang w:val="en-US" w:eastAsia="zh-CN"/>
              </w:rPr>
              <w:t>/</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工作分包。</w:t>
            </w:r>
            <w:sdt>
              <w:sdtPr>
                <w:rPr>
                  <w:rFonts w:hint="eastAsia" w:cs="宋体" w:asciiTheme="minorEastAsia" w:hAnsiTheme="minorEastAsia" w:eastAsiaTheme="minorEastAsia"/>
                  <w:color w:val="auto"/>
                  <w:kern w:val="0"/>
                  <w:sz w:val="24"/>
                </w:rPr>
                <w:id w:val="-1276331357"/>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Mincho" w:cs="MS Mincho"/>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 xml:space="preserve"> B</w:t>
            </w:r>
            <w:r>
              <w:rPr>
                <w:rFonts w:hint="eastAsia" w:cs="宋体" w:asciiTheme="minorEastAsia" w:hAnsiTheme="minorEastAsia" w:eastAsiaTheme="minorEastAsia"/>
                <w:color w:val="auto"/>
                <w:sz w:val="24"/>
              </w:rPr>
              <w:t>不同意分包。</w:t>
            </w:r>
          </w:p>
          <w:p w14:paraId="584545EE">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注：不得限制大中型企业向小微企业合理分包。</w:t>
            </w:r>
          </w:p>
        </w:tc>
      </w:tr>
      <w:tr w14:paraId="58E3DB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46"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0C246454">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03ACDB5D">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663CEB7C">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212966419"/>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不组织。</w:t>
            </w:r>
          </w:p>
          <w:p w14:paraId="1E818998">
            <w:pPr>
              <w:spacing w:line="360" w:lineRule="auto"/>
              <w:rPr>
                <w:rFonts w:hint="eastAsia" w:cs="宋体" w:asciiTheme="minorEastAsia" w:hAnsiTheme="minorEastAsia" w:eastAsiaTheme="minorEastAsia"/>
                <w:color w:val="auto"/>
                <w:sz w:val="24"/>
                <w:szCs w:val="20"/>
                <w:lang w:eastAsia="zh-CN"/>
              </w:rPr>
            </w:pPr>
            <w:sdt>
              <w:sdtPr>
                <w:rPr>
                  <w:rFonts w:hint="eastAsia" w:cs="宋体" w:asciiTheme="minorEastAsia" w:hAnsiTheme="minorEastAsia" w:eastAsiaTheme="minorEastAsia"/>
                  <w:color w:val="auto"/>
                  <w:kern w:val="0"/>
                  <w:sz w:val="24"/>
                </w:rPr>
                <w:id w:val="-999802974"/>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B组织</w:t>
            </w:r>
            <w:r>
              <w:rPr>
                <w:rFonts w:hint="eastAsia" w:cs="宋体" w:asciiTheme="minorEastAsia" w:hAnsiTheme="minorEastAsia" w:eastAsiaTheme="minorEastAsia"/>
                <w:color w:val="auto"/>
                <w:kern w:val="0"/>
                <w:sz w:val="24"/>
                <w:lang w:eastAsia="zh-CN"/>
              </w:rPr>
              <w:t>。</w:t>
            </w:r>
          </w:p>
        </w:tc>
      </w:tr>
      <w:tr w14:paraId="088331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01"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12DF4201">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4C4FDD22">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6AD70163">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163994648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不要求提供。</w:t>
            </w:r>
          </w:p>
          <w:p w14:paraId="4DD628BF">
            <w:pPr>
              <w:spacing w:line="360" w:lineRule="auto"/>
              <w:rPr>
                <w:rFonts w:cs="宋体" w:asciiTheme="minorEastAsia" w:hAnsiTheme="minorEastAsia" w:eastAsiaTheme="minorEastAsia"/>
                <w:b/>
                <w:color w:val="auto"/>
                <w:sz w:val="24"/>
              </w:rPr>
            </w:pPr>
            <w:sdt>
              <w:sdtPr>
                <w:rPr>
                  <w:rFonts w:hint="eastAsia" w:cs="宋体" w:asciiTheme="minorEastAsia" w:hAnsiTheme="minorEastAsia" w:eastAsiaTheme="minorEastAsia"/>
                  <w:color w:val="auto"/>
                  <w:kern w:val="0"/>
                  <w:sz w:val="24"/>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kern w:val="0"/>
                <w:sz w:val="24"/>
              </w:rPr>
              <w:t>B要求提供，</w:t>
            </w:r>
          </w:p>
        </w:tc>
      </w:tr>
      <w:tr w14:paraId="3F8B96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82" w:hRule="atLeast"/>
          <w:tblHeader/>
          <w:jc w:val="center"/>
        </w:trPr>
        <w:tc>
          <w:tcPr>
            <w:tcW w:w="629" w:type="dxa"/>
            <w:tcBorders>
              <w:top w:val="single" w:color="auto" w:sz="4" w:space="0"/>
              <w:left w:val="single" w:color="auto" w:sz="4" w:space="0"/>
              <w:bottom w:val="single" w:color="auto" w:sz="4" w:space="0"/>
              <w:right w:val="single" w:color="auto" w:sz="4" w:space="0"/>
            </w:tcBorders>
            <w:vAlign w:val="center"/>
          </w:tcPr>
          <w:p w14:paraId="503F3FCD">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7274A00D">
            <w:pPr>
              <w:snapToGrid w:val="0"/>
              <w:spacing w:line="360" w:lineRule="auto"/>
              <w:jc w:val="center"/>
              <w:rPr>
                <w:rFonts w:cs="宋体" w:asciiTheme="minorEastAsia" w:hAnsiTheme="minorEastAsia" w:eastAsiaTheme="minorEastAsia"/>
                <w:bCs/>
                <w:color w:val="auto"/>
                <w:sz w:val="24"/>
              </w:rPr>
            </w:pPr>
            <w:r>
              <w:rPr>
                <w:rFonts w:hint="eastAsia" w:cs="宋体" w:asciiTheme="minorEastAsia" w:hAnsiTheme="minorEastAsia" w:eastAsiaTheme="minorEastAsia"/>
                <w:b/>
                <w:color w:val="auto"/>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2AE9C15D">
            <w:pPr>
              <w:spacing w:line="360" w:lineRule="auto"/>
              <w:rPr>
                <w:rFonts w:cs="宋体" w:asciiTheme="minorEastAsia" w:hAnsiTheme="minorEastAsia" w:eastAsiaTheme="minorEastAsia"/>
                <w:color w:val="auto"/>
                <w:sz w:val="24"/>
              </w:rPr>
            </w:pPr>
            <w:sdt>
              <w:sdtPr>
                <w:rPr>
                  <w:rFonts w:hint="eastAsia" w:cs="宋体" w:asciiTheme="minorEastAsia" w:hAnsiTheme="minorEastAsia" w:eastAsiaTheme="minorEastAsia"/>
                  <w:color w:val="auto"/>
                  <w:kern w:val="0"/>
                  <w:sz w:val="24"/>
                </w:rPr>
                <w:id w:val="-1859348549"/>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Gothic" w:hAnsi="MS Gothic" w:eastAsia="MS Gothic" w:cs="宋体"/>
                    <w:color w:val="auto"/>
                    <w:kern w:val="0"/>
                    <w:sz w:val="24"/>
                    <w:szCs w:val="24"/>
                    <w:lang w:val="en-US" w:eastAsia="zh-CN" w:bidi="ar-SA"/>
                  </w:rPr>
                  <w:t>☐</w:t>
                </w:r>
              </w:sdtContent>
            </w:sdt>
            <w:r>
              <w:rPr>
                <w:rFonts w:hint="eastAsia" w:cs="宋体" w:asciiTheme="minorEastAsia" w:hAnsiTheme="minorEastAsia" w:eastAsiaTheme="minorEastAsia"/>
                <w:color w:val="auto"/>
                <w:kern w:val="0"/>
                <w:sz w:val="24"/>
              </w:rPr>
              <w:t>A</w:t>
            </w:r>
            <w:r>
              <w:rPr>
                <w:rFonts w:hint="eastAsia" w:cs="宋体" w:asciiTheme="minorEastAsia" w:hAnsiTheme="minorEastAsia" w:eastAsiaTheme="minorEastAsia"/>
                <w:color w:val="auto"/>
                <w:sz w:val="24"/>
              </w:rPr>
              <w:t>不组织。</w:t>
            </w:r>
          </w:p>
          <w:p w14:paraId="6A1BDA06">
            <w:pPr>
              <w:spacing w:line="360" w:lineRule="auto"/>
              <w:rPr>
                <w:rFonts w:hint="eastAsia" w:cs="宋体" w:asciiTheme="minorEastAsia" w:hAnsiTheme="minorEastAsia" w:eastAsiaTheme="minorEastAsia"/>
                <w:color w:val="auto"/>
                <w:kern w:val="0"/>
                <w:sz w:val="24"/>
              </w:rPr>
            </w:pPr>
            <w:sdt>
              <w:sdtPr>
                <w:rPr>
                  <w:rFonts w:hint="eastAsia" w:cs="宋体" w:asciiTheme="minorEastAsia" w:hAnsiTheme="minorEastAsia" w:eastAsiaTheme="minorEastAsia"/>
                  <w:color w:val="auto"/>
                  <w:kern w:val="0"/>
                  <w:sz w:val="24"/>
                </w:rPr>
                <w:id w:val="1174071719"/>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Wingdings" w:hAnsi="Wingdings" w:eastAsia="MS Mincho" w:cs="MS Mincho"/>
                    <w:color w:val="auto"/>
                    <w:kern w:val="0"/>
                    <w:sz w:val="24"/>
                    <w:szCs w:val="24"/>
                    <w:lang w:val="en-US" w:eastAsia="zh-CN" w:bidi="ar-SA"/>
                  </w:rPr>
                  <w:t>þ</w:t>
                </w:r>
              </w:sdtContent>
            </w:sdt>
            <w:r>
              <w:rPr>
                <w:rFonts w:hint="eastAsia" w:cs="宋体" w:asciiTheme="minorEastAsia" w:hAnsiTheme="minorEastAsia" w:eastAsiaTheme="minorEastAsia"/>
                <w:color w:val="auto"/>
                <w:kern w:val="0"/>
                <w:sz w:val="24"/>
              </w:rPr>
              <w:t>B组织。</w:t>
            </w:r>
          </w:p>
          <w:p w14:paraId="678E2E1F">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（1）在评审时安排每个供应商进行方案讲解演示。每个供应商时间不超过</w:t>
            </w:r>
            <w:r>
              <w:rPr>
                <w:rFonts w:hint="eastAsia" w:cs="宋体" w:asciiTheme="minorEastAsia" w:hAnsiTheme="minorEastAsia" w:eastAsiaTheme="minorEastAsia"/>
                <w:color w:val="auto"/>
                <w:kern w:val="0"/>
                <w:sz w:val="24"/>
                <w:u w:val="single"/>
                <w:lang w:val="en-US" w:eastAsia="zh-CN"/>
              </w:rPr>
              <w:t>15</w:t>
            </w:r>
            <w:r>
              <w:rPr>
                <w:rFonts w:hint="eastAsia" w:cs="宋体" w:asciiTheme="minorEastAsia" w:hAnsiTheme="minorEastAsia" w:eastAsiaTheme="minorEastAsia"/>
                <w:color w:val="auto"/>
                <w:kern w:val="0"/>
                <w:sz w:val="24"/>
              </w:rPr>
              <w:t>分钟，讲解次序以响应文件解密时间先后次序为准，讲解演示人员</w:t>
            </w:r>
            <w:r>
              <w:rPr>
                <w:rFonts w:hint="eastAsia" w:cs="宋体" w:asciiTheme="minorEastAsia" w:hAnsiTheme="minorEastAsia" w:eastAsiaTheme="minorEastAsia"/>
                <w:color w:val="auto"/>
                <w:kern w:val="0"/>
                <w:sz w:val="24"/>
                <w:lang w:eastAsia="zh-CN"/>
              </w:rPr>
              <w:t>（项目负责人）</w:t>
            </w:r>
            <w:r>
              <w:rPr>
                <w:rFonts w:hint="eastAsia" w:cs="宋体" w:asciiTheme="minorEastAsia" w:hAnsiTheme="minorEastAsia" w:eastAsiaTheme="minorEastAsia"/>
                <w:color w:val="auto"/>
                <w:kern w:val="0"/>
                <w:sz w:val="24"/>
                <w:lang w:val="en-US" w:eastAsia="zh-CN"/>
              </w:rPr>
              <w:t>1</w:t>
            </w:r>
            <w:r>
              <w:rPr>
                <w:rFonts w:hint="eastAsia" w:cs="宋体" w:asciiTheme="minorEastAsia" w:hAnsiTheme="minorEastAsia" w:eastAsiaTheme="minorEastAsia"/>
                <w:color w:val="auto"/>
                <w:kern w:val="0"/>
                <w:sz w:val="24"/>
              </w:rPr>
              <w:t>人。讲解演示结束后按要求解答评标委员会提问。</w:t>
            </w:r>
          </w:p>
          <w:p w14:paraId="4228F1F2">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（2）方案讲解演示可选择以下其中一种方式：</w:t>
            </w:r>
          </w:p>
          <w:p w14:paraId="09681538">
            <w:pPr>
              <w:pStyle w:val="3"/>
              <w:keepNext/>
              <w:keepLines/>
              <w:pageBreakBefore w:val="0"/>
              <w:widowControl w:val="0"/>
              <w:numPr>
                <w:ilvl w:val="0"/>
                <w:numId w:val="0"/>
              </w:numPr>
              <w:kinsoku/>
              <w:wordWrap/>
              <w:overflowPunct/>
              <w:topLinePunct w:val="0"/>
              <w:autoSpaceDE/>
              <w:autoSpaceDN/>
              <w:bidi w:val="0"/>
              <w:adjustRightInd/>
              <w:snapToGrid/>
              <w:ind w:leftChars="0"/>
              <w:jc w:val="both"/>
              <w:textAlignment w:val="auto"/>
              <w:rPr>
                <w:rFonts w:ascii="宋体" w:hAnsi="宋体" w:eastAsia="宋体" w:cs="宋体"/>
                <w:b w:val="0"/>
                <w:bCs w:val="0"/>
                <w:color w:val="auto"/>
                <w:kern w:val="0"/>
                <w:sz w:val="24"/>
                <w:szCs w:val="24"/>
                <w:lang w:val="en-US"/>
              </w:rPr>
            </w:pPr>
            <w:r>
              <w:rPr>
                <w:rFonts w:hint="eastAsia" w:cs="宋体" w:asciiTheme="minorEastAsia" w:hAnsiTheme="minorEastAsia" w:eastAsiaTheme="minorEastAsia"/>
                <w:b w:val="0"/>
                <w:bCs w:val="0"/>
                <w:color w:val="auto"/>
                <w:kern w:val="0"/>
                <w:sz w:val="24"/>
              </w:rPr>
              <w:t>方式一：</w:t>
            </w:r>
            <w:r>
              <w:rPr>
                <w:rFonts w:hint="eastAsia" w:ascii="宋体" w:hAnsi="宋体" w:eastAsia="宋体" w:cs="宋体"/>
                <w:b w:val="0"/>
                <w:bCs w:val="0"/>
                <w:color w:val="auto"/>
                <w:kern w:val="0"/>
                <w:sz w:val="24"/>
                <w:szCs w:val="24"/>
                <w:lang w:val="en-US"/>
              </w:rPr>
              <w:t>刻录优盘邮寄至代理机构，地址：嘉兴市建新工程造价咨询事务所有限公司三楼321室（会展路207号嘉宇商务楼3楼）。</w:t>
            </w:r>
          </w:p>
          <w:p w14:paraId="3EAF0CB5">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rPr>
              <w:t>方式二：现场讲解演示。现场讲解地点为</w:t>
            </w:r>
            <w:r>
              <w:rPr>
                <w:rFonts w:hint="eastAsia" w:cs="宋体" w:asciiTheme="minorEastAsia" w:hAnsiTheme="minorEastAsia" w:eastAsiaTheme="minorEastAsia"/>
                <w:color w:val="auto"/>
                <w:kern w:val="0"/>
                <w:sz w:val="24"/>
                <w:u w:val="single"/>
                <w:lang w:eastAsia="zh-CN"/>
              </w:rPr>
              <w:t>嘉兴市建新工程造价咨询事务所有限公司三楼</w:t>
            </w:r>
            <w:r>
              <w:rPr>
                <w:rFonts w:hint="eastAsia" w:cs="宋体" w:asciiTheme="minorEastAsia" w:hAnsiTheme="minorEastAsia" w:eastAsiaTheme="minorEastAsia"/>
                <w:color w:val="auto"/>
                <w:kern w:val="0"/>
                <w:sz w:val="24"/>
                <w:u w:val="single"/>
                <w:lang w:val="en-US" w:eastAsia="zh-CN"/>
              </w:rPr>
              <w:t>321室（会展路207号嘉宇商务楼3楼）</w:t>
            </w:r>
            <w:r>
              <w:rPr>
                <w:rFonts w:hint="eastAsia" w:cs="宋体" w:asciiTheme="minorEastAsia" w:hAnsiTheme="minorEastAsia" w:eastAsiaTheme="minorEastAsia"/>
                <w:color w:val="auto"/>
                <w:kern w:val="0"/>
                <w:sz w:val="24"/>
              </w:rPr>
              <w:t>，讲解演示所用电脑等设备由供应商自备。现场讲解演示人员进场时提供讲解人员名单（加盖公章或授权代表签名）及身份证明，</w:t>
            </w:r>
            <w:r>
              <w:rPr>
                <w:rFonts w:hint="eastAsia" w:cs="宋体" w:asciiTheme="minorEastAsia" w:hAnsiTheme="minorEastAsia" w:eastAsiaTheme="minorEastAsia"/>
                <w:b/>
                <w:bCs/>
                <w:color w:val="auto"/>
                <w:kern w:val="0"/>
                <w:sz w:val="24"/>
              </w:rPr>
              <w:t>否则不得讲解演示。</w:t>
            </w:r>
          </w:p>
          <w:p w14:paraId="430650A5">
            <w:pPr>
              <w:pStyle w:val="22"/>
              <w:rPr>
                <w:color w:val="auto"/>
                <w:lang w:val="zh-CN"/>
              </w:rPr>
            </w:pPr>
            <w:r>
              <w:rPr>
                <w:rFonts w:hint="eastAsia" w:cs="宋体" w:asciiTheme="minorEastAsia" w:hAnsiTheme="minorEastAsia" w:eastAsiaTheme="minorEastAsia"/>
                <w:color w:val="auto"/>
                <w:kern w:val="0"/>
                <w:sz w:val="24"/>
              </w:rPr>
              <w:t>注：因供应商自身原因导致无法演示或者演示效果不理想的，责任自负。因</w:t>
            </w:r>
            <w:r>
              <w:rPr>
                <w:rFonts w:hint="eastAsia" w:cs="宋体" w:asciiTheme="minorEastAsia" w:hAnsiTheme="minorEastAsia" w:eastAsiaTheme="minorEastAsia"/>
                <w:color w:val="auto"/>
                <w:kern w:val="0"/>
                <w:sz w:val="24"/>
                <w:lang w:eastAsia="zh-CN"/>
              </w:rPr>
              <w:t>优盘</w:t>
            </w:r>
            <w:r>
              <w:rPr>
                <w:rFonts w:hint="eastAsia" w:cs="宋体" w:asciiTheme="minorEastAsia" w:hAnsiTheme="minorEastAsia" w:eastAsiaTheme="minorEastAsia"/>
                <w:color w:val="auto"/>
                <w:kern w:val="0"/>
                <w:sz w:val="24"/>
              </w:rPr>
              <w:t>原因导致本项目方案讲解演示环节无法顺利开展，责任自负。</w:t>
            </w:r>
          </w:p>
        </w:tc>
      </w:tr>
      <w:tr w14:paraId="70CDED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jc w:val="center"/>
        </w:trPr>
        <w:tc>
          <w:tcPr>
            <w:tcW w:w="629" w:type="dxa"/>
            <w:vMerge w:val="restart"/>
            <w:tcBorders>
              <w:top w:val="single" w:color="auto" w:sz="4" w:space="0"/>
              <w:left w:val="single" w:color="auto" w:sz="4" w:space="0"/>
              <w:right w:val="single" w:color="auto" w:sz="4" w:space="0"/>
            </w:tcBorders>
            <w:vAlign w:val="center"/>
          </w:tcPr>
          <w:p w14:paraId="22B843C6">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8</w:t>
            </w:r>
          </w:p>
        </w:tc>
        <w:tc>
          <w:tcPr>
            <w:tcW w:w="1843" w:type="dxa"/>
            <w:vMerge w:val="restart"/>
            <w:tcBorders>
              <w:top w:val="single" w:color="000000" w:sz="8" w:space="0"/>
              <w:left w:val="single" w:color="auto" w:sz="4" w:space="0"/>
              <w:right w:val="single" w:color="000000" w:sz="8" w:space="0"/>
            </w:tcBorders>
            <w:vAlign w:val="center"/>
          </w:tcPr>
          <w:p w14:paraId="65DEDA18">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供应商应当提供的资格、资信证明文件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3A43CD9F">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（1）资格证明文件：见招标文件第二部分11.1。</w:t>
            </w:r>
          </w:p>
          <w:p w14:paraId="0F705BD1">
            <w:pPr>
              <w:spacing w:line="360" w:lineRule="auto"/>
              <w:rPr>
                <w:rFonts w:cs="宋体" w:asciiTheme="minorEastAsia" w:hAnsiTheme="minorEastAsia" w:eastAsiaTheme="minorEastAsia"/>
                <w:snapToGrid w:val="0"/>
                <w:color w:val="auto"/>
                <w:kern w:val="0"/>
                <w:szCs w:val="21"/>
              </w:rPr>
            </w:pPr>
            <w:r>
              <w:rPr>
                <w:rFonts w:hint="eastAsia" w:cs="宋体" w:asciiTheme="minorEastAsia" w:hAnsiTheme="minorEastAsia" w:eastAsiaTheme="minorEastAsia"/>
                <w:color w:val="auto"/>
                <w:kern w:val="0"/>
                <w:sz w:val="24"/>
                <w:lang w:val="zh-CN"/>
              </w:rPr>
              <w:t>供应商未提供有效的资格证明文件的，视为供应商不具备磋商文件中规定的资格要求，响应无效。</w:t>
            </w:r>
          </w:p>
        </w:tc>
      </w:tr>
      <w:tr w14:paraId="0FCF58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62" w:hRule="atLeast"/>
          <w:tblHeader/>
          <w:jc w:val="center"/>
        </w:trPr>
        <w:tc>
          <w:tcPr>
            <w:tcW w:w="629" w:type="dxa"/>
            <w:vMerge w:val="continue"/>
            <w:tcBorders>
              <w:left w:val="single" w:color="auto" w:sz="4" w:space="0"/>
              <w:bottom w:val="single" w:color="auto" w:sz="4" w:space="0"/>
              <w:right w:val="single" w:color="auto" w:sz="4" w:space="0"/>
            </w:tcBorders>
            <w:vAlign w:val="center"/>
          </w:tcPr>
          <w:p w14:paraId="36B2575A">
            <w:pPr>
              <w:snapToGrid w:val="0"/>
              <w:spacing w:line="360" w:lineRule="auto"/>
              <w:jc w:val="center"/>
              <w:rPr>
                <w:rFonts w:cs="宋体" w:asciiTheme="minorEastAsia" w:hAnsiTheme="minorEastAsia" w:eastAsiaTheme="minorEastAsia"/>
                <w:color w:val="auto"/>
                <w:sz w:val="24"/>
              </w:rPr>
            </w:pPr>
          </w:p>
        </w:tc>
        <w:tc>
          <w:tcPr>
            <w:tcW w:w="1843" w:type="dxa"/>
            <w:vMerge w:val="continue"/>
            <w:tcBorders>
              <w:left w:val="single" w:color="auto" w:sz="4" w:space="0"/>
              <w:bottom w:val="single" w:color="000000" w:sz="8" w:space="0"/>
              <w:right w:val="single" w:color="000000" w:sz="8" w:space="0"/>
            </w:tcBorders>
            <w:vAlign w:val="center"/>
          </w:tcPr>
          <w:p w14:paraId="4A4B2400">
            <w:pPr>
              <w:snapToGrid w:val="0"/>
              <w:spacing w:line="360" w:lineRule="auto"/>
              <w:jc w:val="center"/>
              <w:rPr>
                <w:rFonts w:cs="宋体" w:asciiTheme="minorEastAsia" w:hAnsiTheme="minorEastAsia" w:eastAsiaTheme="minorEastAsia"/>
                <w:b/>
                <w:color w:val="auto"/>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0793266D">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（2）资信证明文件：根据磋商文件第五部分评审标准提供。</w:t>
            </w:r>
          </w:p>
        </w:tc>
      </w:tr>
      <w:tr w14:paraId="594187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78C755B8">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0365E355">
            <w:pPr>
              <w:snapToGrid w:val="0"/>
              <w:spacing w:line="360" w:lineRule="auto"/>
              <w:jc w:val="center"/>
              <w:rPr>
                <w:rFonts w:hint="eastAsia" w:cs="宋体" w:asciiTheme="minorEastAsia" w:hAnsiTheme="minorEastAsia" w:eastAsiaTheme="minorEastAsia"/>
                <w:b/>
                <w:color w:val="auto"/>
                <w:sz w:val="24"/>
                <w:lang w:eastAsia="zh-CN"/>
              </w:rPr>
            </w:pPr>
            <w:r>
              <w:rPr>
                <w:rFonts w:hint="eastAsia" w:cs="宋体" w:asciiTheme="minorEastAsia" w:hAnsiTheme="minorEastAsia" w:eastAsiaTheme="minorEastAsia"/>
                <w:b/>
                <w:color w:val="auto"/>
                <w:sz w:val="24"/>
              </w:rPr>
              <w:t>节能产品、环境标志产品</w:t>
            </w:r>
            <w:r>
              <w:rPr>
                <w:rFonts w:hint="eastAsia" w:cs="宋体" w:asciiTheme="minorEastAsia" w:hAnsiTheme="minorEastAsia" w:eastAsiaTheme="minorEastAsia"/>
                <w:b/>
                <w:color w:val="auto"/>
                <w:sz w:val="24"/>
                <w:lang w:eastAsia="zh-CN"/>
              </w:rPr>
              <w:t>（不适用）</w:t>
            </w:r>
          </w:p>
        </w:tc>
        <w:tc>
          <w:tcPr>
            <w:tcW w:w="6095" w:type="dxa"/>
            <w:tcBorders>
              <w:top w:val="single" w:color="000000" w:sz="8" w:space="0"/>
              <w:left w:val="single" w:color="000000" w:sz="2" w:space="0"/>
              <w:bottom w:val="single" w:color="000000" w:sz="8" w:space="0"/>
              <w:right w:val="single" w:color="000000" w:sz="8" w:space="0"/>
            </w:tcBorders>
            <w:vAlign w:val="center"/>
          </w:tcPr>
          <w:p w14:paraId="2D557F9B">
            <w:pPr>
              <w:snapToGrid w:val="0"/>
              <w:spacing w:line="360" w:lineRule="auto"/>
              <w:rPr>
                <w:rFonts w:cs="宋体" w:asciiTheme="minorEastAsia" w:hAnsiTheme="minorEastAsia" w:eastAsiaTheme="minorEastAsia"/>
                <w:color w:val="auto"/>
              </w:rPr>
            </w:pPr>
            <w:r>
              <w:rPr>
                <w:rFonts w:hint="eastAsia" w:cs="宋体" w:asciiTheme="minorEastAsia" w:hAnsiTheme="minorEastAsia" w:eastAsiaTheme="minorEastAsia"/>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11E482C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401A790C">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7E1B3A5F">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385761B6">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color w:val="auto"/>
                <w:kern w:val="0"/>
                <w:sz w:val="24"/>
                <w:lang w:val="zh-CN"/>
              </w:rPr>
              <w:t>有关本项目实施所需的所有费用（含税费）均计入最后报价。《最后报价</w:t>
            </w:r>
            <w:r>
              <w:rPr>
                <w:rFonts w:hint="eastAsia" w:cs="宋体" w:asciiTheme="minorEastAsia" w:hAnsiTheme="minorEastAsia" w:eastAsiaTheme="minorEastAsia"/>
                <w:color w:val="auto"/>
                <w:sz w:val="24"/>
              </w:rPr>
              <w:t>一览表（报价表）</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color w:val="auto"/>
                <w:sz w:val="24"/>
              </w:rPr>
              <w:t>是最后报价的唯一载体</w:t>
            </w:r>
            <w:r>
              <w:rPr>
                <w:rFonts w:hint="eastAsia" w:cs="宋体" w:asciiTheme="minorEastAsia" w:hAnsiTheme="minorEastAsia" w:eastAsiaTheme="minorEastAsia"/>
                <w:color w:val="auto"/>
                <w:kern w:val="0"/>
                <w:sz w:val="24"/>
                <w:lang w:val="zh-CN"/>
              </w:rPr>
              <w:t>。磋商文件中价格全部采用人民币报价。磋商文件未列明，而供应商认为必需的费用也需列入报价。</w:t>
            </w:r>
          </w:p>
          <w:p w14:paraId="20BE38C3">
            <w:pPr>
              <w:snapToGrid w:val="0"/>
              <w:spacing w:line="360" w:lineRule="auto"/>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最后报价出现下列情形的，响应无效：</w:t>
            </w:r>
          </w:p>
          <w:p w14:paraId="6CBCC8A5">
            <w:pPr>
              <w:snapToGrid w:val="0"/>
              <w:spacing w:line="360" w:lineRule="auto"/>
              <w:ind w:firstLine="241" w:firstLineChars="100"/>
              <w:jc w:val="left"/>
              <w:rPr>
                <w:rFonts w:cs="宋体" w:asciiTheme="minorEastAsia" w:hAnsiTheme="minorEastAsia" w:eastAsiaTheme="minorEastAsia"/>
                <w:b/>
                <w:color w:val="auto"/>
                <w:kern w:val="0"/>
                <w:sz w:val="24"/>
                <w:lang w:val="zh-CN"/>
              </w:rPr>
            </w:pPr>
            <w:r>
              <w:rPr>
                <w:rFonts w:hint="eastAsia" w:cs="宋体" w:asciiTheme="minorEastAsia" w:hAnsiTheme="minorEastAsia" w:eastAsiaTheme="minorEastAsia"/>
                <w:b/>
                <w:color w:val="auto"/>
                <w:kern w:val="0"/>
                <w:sz w:val="24"/>
                <w:lang w:val="zh-CN"/>
              </w:rPr>
              <w:t>响应文件出现不是唯一的、有选择性的最后报价的；</w:t>
            </w:r>
          </w:p>
          <w:p w14:paraId="45EDCED7">
            <w:pPr>
              <w:snapToGrid w:val="0"/>
              <w:spacing w:line="360" w:lineRule="auto"/>
              <w:ind w:firstLine="241" w:firstLineChars="1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b/>
                <w:color w:val="auto"/>
                <w:kern w:val="0"/>
                <w:sz w:val="24"/>
                <w:lang w:val="zh-CN"/>
              </w:rPr>
              <w:t>最后报价超过磋商文件中规定的预算金额或者最高限价的;</w:t>
            </w:r>
          </w:p>
          <w:p w14:paraId="4C4B964A">
            <w:pPr>
              <w:spacing w:line="360" w:lineRule="auto"/>
              <w:ind w:firstLine="241" w:firstLineChars="100"/>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kern w:val="0"/>
                <w:sz w:val="24"/>
              </w:rPr>
              <w:t>最后报价明显低于其他通过符合性审查供应商的报价，有可能影响产品质量或者不能诚信履约的，未能按要求提供书面说明或者提交相关证明材料证明其报价合理性的</w:t>
            </w:r>
            <w:r>
              <w:rPr>
                <w:rFonts w:hint="eastAsia" w:cs="宋体" w:asciiTheme="minorEastAsia" w:hAnsiTheme="minorEastAsia" w:eastAsiaTheme="minorEastAsia"/>
                <w:b/>
                <w:color w:val="auto"/>
                <w:sz w:val="24"/>
                <w:szCs w:val="21"/>
              </w:rPr>
              <w:t>;</w:t>
            </w:r>
          </w:p>
          <w:p w14:paraId="7D5726BC">
            <w:pPr>
              <w:spacing w:line="360" w:lineRule="auto"/>
              <w:ind w:firstLine="241" w:firstLineChars="100"/>
              <w:rPr>
                <w:rFonts w:cs="宋体" w:asciiTheme="minorEastAsia" w:hAnsiTheme="minorEastAsia" w:eastAsiaTheme="minorEastAsia"/>
                <w:color w:val="auto"/>
                <w:sz w:val="24"/>
              </w:rPr>
            </w:pPr>
            <w:r>
              <w:rPr>
                <w:rFonts w:hint="eastAsia" w:cs="宋体" w:asciiTheme="minorEastAsia" w:hAnsiTheme="minorEastAsia" w:eastAsiaTheme="minorEastAsia"/>
                <w:b/>
                <w:color w:val="auto"/>
                <w:kern w:val="0"/>
                <w:sz w:val="24"/>
              </w:rPr>
              <w:t>供应商对根据修正原则修正后的报价不确认的</w:t>
            </w:r>
            <w:r>
              <w:rPr>
                <w:rFonts w:hint="eastAsia" w:cs="宋体" w:asciiTheme="minorEastAsia" w:hAnsiTheme="minorEastAsia" w:eastAsiaTheme="minorEastAsia"/>
                <w:b/>
                <w:color w:val="auto"/>
                <w:sz w:val="24"/>
              </w:rPr>
              <w:t>。</w:t>
            </w:r>
          </w:p>
        </w:tc>
      </w:tr>
      <w:tr w14:paraId="101104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03" w:hRule="atLeast"/>
          <w:tblHeader/>
          <w:jc w:val="center"/>
        </w:trPr>
        <w:tc>
          <w:tcPr>
            <w:tcW w:w="629" w:type="dxa"/>
            <w:tcBorders>
              <w:top w:val="single" w:color="auto" w:sz="4" w:space="0"/>
              <w:left w:val="single" w:color="000000" w:sz="8" w:space="0"/>
              <w:right w:val="single" w:color="000000" w:sz="2" w:space="0"/>
            </w:tcBorders>
            <w:vAlign w:val="center"/>
          </w:tcPr>
          <w:p w14:paraId="272DBE34">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11</w:t>
            </w:r>
          </w:p>
        </w:tc>
        <w:tc>
          <w:tcPr>
            <w:tcW w:w="1843" w:type="dxa"/>
            <w:tcBorders>
              <w:top w:val="single" w:color="000000" w:sz="8" w:space="0"/>
              <w:left w:val="single" w:color="000000" w:sz="2" w:space="0"/>
              <w:right w:val="single" w:color="000000" w:sz="8" w:space="0"/>
            </w:tcBorders>
            <w:vAlign w:val="center"/>
          </w:tcPr>
          <w:p w14:paraId="08F0C93C">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中小企业信用融资</w:t>
            </w:r>
          </w:p>
        </w:tc>
        <w:tc>
          <w:tcPr>
            <w:tcW w:w="6095" w:type="dxa"/>
            <w:tcBorders>
              <w:top w:val="single" w:color="000000" w:sz="8" w:space="0"/>
              <w:left w:val="single" w:color="000000" w:sz="2" w:space="0"/>
              <w:right w:val="single" w:color="000000" w:sz="8" w:space="0"/>
            </w:tcBorders>
            <w:vAlign w:val="center"/>
          </w:tcPr>
          <w:p w14:paraId="31F7E7FD">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snapToGrid w:val="0"/>
                <w:color w:val="auto"/>
                <w:kern w:val="28"/>
                <w:sz w:val="24"/>
              </w:rPr>
              <w:t>供应商成交后也可在“政采云”平台申请政采贷：操作路径：登录政采云平台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23424D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jc w:val="center"/>
        </w:trPr>
        <w:tc>
          <w:tcPr>
            <w:tcW w:w="629" w:type="dxa"/>
            <w:tcBorders>
              <w:top w:val="single" w:color="auto" w:sz="4" w:space="0"/>
              <w:left w:val="single" w:color="000000" w:sz="8" w:space="0"/>
              <w:bottom w:val="single" w:color="auto" w:sz="4" w:space="0"/>
              <w:right w:val="single" w:color="000000" w:sz="2" w:space="0"/>
            </w:tcBorders>
            <w:vAlign w:val="center"/>
          </w:tcPr>
          <w:p w14:paraId="7795C933">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60589E6F">
            <w:pPr>
              <w:snapToGrid w:val="0"/>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 xml:space="preserve">备份响应文件送达地点和签收人员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1A7B17D8">
            <w:pPr>
              <w:pStyle w:val="31"/>
              <w:spacing w:line="360" w:lineRule="auto"/>
              <w:rPr>
                <w:rFonts w:cs="宋体" w:asciiTheme="minorEastAsia" w:hAnsiTheme="minorEastAsia" w:eastAsiaTheme="minorEastAsia"/>
                <w:color w:val="auto"/>
                <w:kern w:val="28"/>
                <w:sz w:val="24"/>
              </w:rPr>
            </w:pPr>
            <w:r>
              <w:rPr>
                <w:rFonts w:hint="eastAsia" w:cs="宋体" w:asciiTheme="minorEastAsia" w:hAnsiTheme="minorEastAsia" w:eastAsiaTheme="minorEastAsia"/>
                <w:color w:val="auto"/>
                <w:kern w:val="28"/>
                <w:sz w:val="24"/>
                <w:szCs w:val="24"/>
              </w:rPr>
              <w:t>备份响应文件送达地点：</w:t>
            </w:r>
            <w:r>
              <w:rPr>
                <w:rFonts w:hint="eastAsia" w:cs="宋体" w:asciiTheme="minorEastAsia" w:hAnsiTheme="minorEastAsia" w:eastAsiaTheme="minorEastAsia"/>
                <w:color w:val="auto"/>
                <w:sz w:val="24"/>
                <w:u w:val="single"/>
                <w:lang w:eastAsia="zh-CN"/>
              </w:rPr>
              <w:t>嘉兴市建新工程造价咨询事务所有限公司三楼</w:t>
            </w:r>
            <w:r>
              <w:rPr>
                <w:rFonts w:hint="eastAsia" w:cs="宋体" w:asciiTheme="minorEastAsia" w:hAnsiTheme="minorEastAsia" w:eastAsiaTheme="minorEastAsia"/>
                <w:color w:val="auto"/>
                <w:sz w:val="24"/>
                <w:u w:val="single"/>
                <w:lang w:val="en-US" w:eastAsia="zh-CN"/>
              </w:rPr>
              <w:t>323室（会展路207号）</w:t>
            </w:r>
            <w:r>
              <w:rPr>
                <w:rFonts w:hint="eastAsia" w:cs="宋体" w:asciiTheme="minorEastAsia" w:hAnsiTheme="minorEastAsia" w:eastAsiaTheme="minorEastAsia"/>
                <w:color w:val="auto"/>
                <w:kern w:val="28"/>
                <w:sz w:val="24"/>
                <w:szCs w:val="24"/>
              </w:rPr>
              <w:t>；备份响应文件签收人员联系电话：</w:t>
            </w:r>
            <w:r>
              <w:rPr>
                <w:rFonts w:hint="eastAsia" w:cs="宋体" w:asciiTheme="minorEastAsia" w:hAnsiTheme="minorEastAsia" w:eastAsiaTheme="minorEastAsia"/>
                <w:color w:val="auto"/>
                <w:kern w:val="28"/>
                <w:sz w:val="24"/>
                <w:szCs w:val="24"/>
                <w:u w:val="single"/>
                <w:lang w:eastAsia="zh-CN"/>
              </w:rPr>
              <w:t>陆燕，</w:t>
            </w:r>
            <w:r>
              <w:rPr>
                <w:rFonts w:hint="eastAsia" w:cs="宋体" w:asciiTheme="minorEastAsia" w:hAnsiTheme="minorEastAsia" w:eastAsiaTheme="minorEastAsia"/>
                <w:color w:val="auto"/>
                <w:kern w:val="28"/>
                <w:sz w:val="24"/>
                <w:szCs w:val="24"/>
                <w:u w:val="single"/>
                <w:lang w:val="en-US" w:eastAsia="zh-CN"/>
              </w:rPr>
              <w:t xml:space="preserve">15157385672 </w:t>
            </w:r>
            <w:r>
              <w:rPr>
                <w:rFonts w:hint="eastAsia" w:cs="宋体" w:asciiTheme="minorEastAsia" w:hAnsiTheme="minorEastAsia" w:eastAsiaTheme="minorEastAsia"/>
                <w:color w:val="auto"/>
                <w:sz w:val="24"/>
                <w:szCs w:val="24"/>
              </w:rPr>
              <w:t>。</w:t>
            </w:r>
            <w:r>
              <w:rPr>
                <w:rFonts w:hint="eastAsia" w:cs="宋体" w:asciiTheme="minorEastAsia" w:hAnsiTheme="minorEastAsia" w:eastAsiaTheme="minorEastAsia"/>
                <w:b/>
                <w:color w:val="auto"/>
                <w:sz w:val="24"/>
                <w:szCs w:val="24"/>
              </w:rPr>
              <w:t>不强制供应商提交备份响应文件。</w:t>
            </w:r>
          </w:p>
        </w:tc>
      </w:tr>
    </w:tbl>
    <w:p w14:paraId="769FEA8C">
      <w:pPr>
        <w:snapToGrid w:val="0"/>
        <w:jc w:val="center"/>
        <w:rPr>
          <w:rFonts w:cs="仿宋_GB2312" w:asciiTheme="minorEastAsia" w:hAnsiTheme="minorEastAsia" w:eastAsiaTheme="minorEastAsia"/>
          <w:b/>
          <w:color w:val="auto"/>
          <w:sz w:val="32"/>
          <w:szCs w:val="20"/>
        </w:rPr>
      </w:pPr>
    </w:p>
    <w:p w14:paraId="5FDF3D85">
      <w:pPr>
        <w:rPr>
          <w:color w:val="auto"/>
        </w:rPr>
      </w:pPr>
    </w:p>
    <w:p w14:paraId="7982FDD6">
      <w:pPr>
        <w:pStyle w:val="22"/>
        <w:rPr>
          <w:color w:val="auto"/>
        </w:rPr>
      </w:pPr>
    </w:p>
    <w:p w14:paraId="162F0E7B">
      <w:pPr>
        <w:pStyle w:val="33"/>
        <w:rPr>
          <w:color w:val="auto"/>
        </w:rPr>
      </w:pPr>
    </w:p>
    <w:p w14:paraId="6DE7A608">
      <w:pPr>
        <w:adjustRightInd/>
        <w:spacing w:line="360" w:lineRule="auto"/>
        <w:ind w:firstLine="3845" w:firstLineChars="1197"/>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二、总则</w:t>
      </w:r>
    </w:p>
    <w:p w14:paraId="677D24D9">
      <w:pPr>
        <w:snapToGrid w:val="0"/>
        <w:spacing w:line="360" w:lineRule="auto"/>
        <w:jc w:val="left"/>
        <w:outlineLvl w:val="1"/>
        <w:rPr>
          <w:rFonts w:asciiTheme="minorEastAsia" w:hAnsiTheme="minorEastAsia" w:eastAsiaTheme="minorEastAsia"/>
          <w:b/>
          <w:color w:val="auto"/>
          <w:sz w:val="24"/>
        </w:rPr>
      </w:pPr>
      <w:r>
        <w:rPr>
          <w:rFonts w:hint="eastAsia" w:asciiTheme="minorEastAsia" w:hAnsiTheme="minorEastAsia" w:eastAsiaTheme="minorEastAsia"/>
          <w:b/>
          <w:color w:val="auto"/>
          <w:sz w:val="24"/>
        </w:rPr>
        <w:t>1. 适用范围</w:t>
      </w:r>
    </w:p>
    <w:p w14:paraId="6C136D66">
      <w:pPr>
        <w:snapToGrid w:val="0"/>
        <w:spacing w:line="360" w:lineRule="auto"/>
        <w:ind w:firstLine="480" w:firstLineChars="200"/>
        <w:jc w:val="left"/>
        <w:rPr>
          <w:rFonts w:asciiTheme="minorEastAsia" w:hAnsiTheme="minorEastAsia" w:eastAsiaTheme="minorEastAsia"/>
          <w:color w:val="auto"/>
          <w:sz w:val="24"/>
        </w:rPr>
      </w:pPr>
      <w:r>
        <w:rPr>
          <w:rFonts w:hint="eastAsia" w:asciiTheme="minorEastAsia" w:hAnsiTheme="minorEastAsia" w:eastAsiaTheme="minorEastAsia"/>
          <w:color w:val="auto"/>
          <w:sz w:val="24"/>
        </w:rPr>
        <w:t>本磋商文件适用于该项目的邀请、响应、开启响应文件、信用信息查询、资格性审查、评审、成交、合同、验收等行为（法律、法规另有规定的，从其规定）。</w:t>
      </w:r>
    </w:p>
    <w:p w14:paraId="260FBDAF">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2.定义</w:t>
      </w:r>
    </w:p>
    <w:p w14:paraId="04A1668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2.1 “采购人”系指磋商公告中载明的本项目的采购人。</w:t>
      </w:r>
    </w:p>
    <w:p w14:paraId="1FD763C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2.2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”系指磋商公告中载明的本项目的</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w:t>
      </w:r>
    </w:p>
    <w:p w14:paraId="5EDBA70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2.3 “供应商”系指响应磋商、参加本次竞争的法人、其他组织或自然人。</w:t>
      </w:r>
    </w:p>
    <w:p w14:paraId="19E850A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2.4 “负责人”系指法人企业的法定负责人，或其他组织为法律、行政法规规定代表单位行使职权的主要负责人，或自然人本人。</w:t>
      </w:r>
    </w:p>
    <w:p w14:paraId="24EE4322">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2.5 “成交人”系指经评审确定的成交供应商。</w:t>
      </w:r>
    </w:p>
    <w:p w14:paraId="62A1BEFA">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2.6“响应文件”系指供应商提交的商务技术文件。供应商提交最后报价后，最后报价是供应商响应文件的有效组成部分。</w:t>
      </w:r>
    </w:p>
    <w:p w14:paraId="5648B62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2.7“电子交易平台”</w:t>
      </w:r>
      <w:r>
        <w:rPr>
          <w:rFonts w:hint="eastAsia" w:asciiTheme="minorEastAsia" w:hAnsiTheme="minorEastAsia" w:eastAsiaTheme="minorEastAsia"/>
          <w:color w:val="auto"/>
          <w:sz w:val="24"/>
          <w:lang w:val="en-US" w:eastAsia="zh-CN"/>
        </w:rPr>
        <w:t>系</w:t>
      </w:r>
      <w:r>
        <w:rPr>
          <w:rFonts w:hint="eastAsia" w:asciiTheme="minorEastAsia" w:hAnsiTheme="minorEastAsia" w:eastAsiaTheme="minorEastAsia"/>
          <w:color w:val="auto"/>
          <w:sz w:val="24"/>
        </w:rPr>
        <w:t>指本项目政府采购活动所依托的政府采购云平台（</w:t>
      </w:r>
      <w:r>
        <w:rPr>
          <w:color w:val="auto"/>
        </w:rPr>
        <w:fldChar w:fldCharType="begin"/>
      </w:r>
      <w:r>
        <w:rPr>
          <w:color w:val="auto"/>
        </w:rPr>
        <w:instrText xml:space="preserve"> HYPERLINK "https://www.zcygov.cn/" </w:instrText>
      </w:r>
      <w:r>
        <w:rPr>
          <w:color w:val="auto"/>
        </w:rPr>
        <w:fldChar w:fldCharType="separate"/>
      </w:r>
      <w:r>
        <w:rPr>
          <w:rStyle w:val="68"/>
          <w:rFonts w:hint="eastAsia" w:cs="Times New Roman" w:asciiTheme="minorEastAsia" w:hAnsiTheme="minorEastAsia" w:eastAsiaTheme="minorEastAsia"/>
          <w:snapToGrid/>
          <w:color w:val="auto"/>
          <w:kern w:val="2"/>
          <w:sz w:val="24"/>
          <w:szCs w:val="24"/>
        </w:rPr>
        <w:t>https://www.zcygov.cn/</w:t>
      </w:r>
      <w:r>
        <w:rPr>
          <w:rStyle w:val="68"/>
          <w:rFonts w:hint="eastAsia" w:cs="Times New Roman" w:asciiTheme="minorEastAsia" w:hAnsiTheme="minorEastAsia" w:eastAsiaTheme="minorEastAsia"/>
          <w:snapToGrid/>
          <w:color w:val="auto"/>
          <w:kern w:val="2"/>
          <w:sz w:val="24"/>
          <w:szCs w:val="24"/>
        </w:rPr>
        <w:fldChar w:fldCharType="end"/>
      </w:r>
      <w:r>
        <w:rPr>
          <w:rFonts w:hint="eastAsia" w:asciiTheme="minorEastAsia" w:hAnsiTheme="minorEastAsia" w:eastAsiaTheme="minorEastAsia"/>
          <w:color w:val="auto"/>
          <w:sz w:val="24"/>
        </w:rPr>
        <w:t>）。</w:t>
      </w:r>
    </w:p>
    <w:p w14:paraId="4D8DF2B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2.8“电子签名”系指数据电文中以电子形式所含、所附用于识别签名人身份并表明签名人认可其中内容的数据；“公章”系指单位法定名称章。</w:t>
      </w:r>
    </w:p>
    <w:p w14:paraId="3E39734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2.9 </w:t>
      </w:r>
      <w:r>
        <w:rPr>
          <w:rFonts w:hint="eastAsia" w:asciiTheme="minorEastAsia" w:hAnsiTheme="minorEastAsia" w:eastAsiaTheme="minorEastAsia"/>
          <w:color w:val="auto"/>
          <w:sz w:val="24"/>
          <w:u w:val="single"/>
        </w:rPr>
        <w:t>“书面形式”包括数据电文形式与纸质形式。数据电文形式与纸质形式的采购活动具有同等法律效力。</w:t>
      </w:r>
    </w:p>
    <w:p w14:paraId="5689B238">
      <w:pPr>
        <w:snapToGrid w:val="0"/>
        <w:spacing w:line="360" w:lineRule="auto"/>
        <w:ind w:firstLine="480" w:firstLineChars="200"/>
        <w:jc w:val="left"/>
        <w:rPr>
          <w:rFonts w:asciiTheme="minorEastAsia" w:hAnsiTheme="minorEastAsia" w:eastAsiaTheme="minorEastAsia"/>
          <w:b/>
          <w:color w:val="auto"/>
          <w:sz w:val="24"/>
        </w:rPr>
      </w:pPr>
      <w:r>
        <w:rPr>
          <w:rFonts w:hint="eastAsia" w:asciiTheme="minorEastAsia" w:hAnsiTheme="minorEastAsia" w:eastAsiaTheme="minorEastAsia"/>
          <w:color w:val="auto"/>
          <w:sz w:val="24"/>
        </w:rPr>
        <w:t>2.10 “▲” 系指实质性要求条款， “※”系指磋商过程中可能实质性变动的内容，</w:t>
      </w:r>
      <w:r>
        <w:rPr>
          <w:rFonts w:asciiTheme="minorEastAsia" w:hAnsiTheme="minorEastAsia" w:eastAsiaTheme="minorEastAsia"/>
          <w:color w:val="auto"/>
          <w:sz w:val="24"/>
        </w:rPr>
        <w:t xml:space="preserve"> </w:t>
      </w:r>
      <w:r>
        <w:rPr>
          <w:rFonts w:hint="eastAsia" w:cs="宋体" w:asciiTheme="minorEastAsia" w:hAnsiTheme="minorEastAsia" w:eastAsiaTheme="minorEastAsia"/>
          <w:color w:val="auto"/>
          <w:sz w:val="24"/>
        </w:rPr>
        <w:t>“</w:t>
      </w:r>
      <w:sdt>
        <w:sdtPr>
          <w:rPr>
            <w:rFonts w:hint="eastAsia" w:cs="宋体" w:asciiTheme="minorEastAsia" w:hAnsiTheme="minorEastAsia" w:eastAsiaTheme="minorEastAsia"/>
            <w:color w:val="auto"/>
            <w:kern w:val="0"/>
            <w:sz w:val="24"/>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ascii="Wingdings" w:hAnsi="Wingdings" w:cs="宋体" w:eastAsiaTheme="minorEastAsia"/>
              <w:color w:val="auto"/>
              <w:kern w:val="0"/>
              <w:sz w:val="24"/>
              <w:szCs w:val="24"/>
              <w:lang w:val="en-US" w:eastAsia="zh-CN" w:bidi="ar-SA"/>
            </w:rPr>
            <w:t>þ</w:t>
          </w:r>
        </w:sdtContent>
      </w:sdt>
      <w:r>
        <w:rPr>
          <w:rFonts w:hint="eastAsia" w:cs="宋体" w:asciiTheme="minorEastAsia" w:hAnsiTheme="minorEastAsia" w:eastAsiaTheme="minorEastAsia"/>
          <w:color w:val="auto"/>
          <w:sz w:val="24"/>
        </w:rPr>
        <w:t>” 系指适用本项目的要求，“</w:t>
      </w:r>
      <w:sdt>
        <w:sdtPr>
          <w:rPr>
            <w:rFonts w:hint="eastAsia" w:cs="宋体" w:asciiTheme="minorEastAsia" w:hAnsiTheme="minorEastAsia" w:eastAsiaTheme="minorEastAsia"/>
            <w:color w:val="auto"/>
            <w:kern w:val="0"/>
            <w:sz w:val="24"/>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cs="宋体" w:asciiTheme="minorEastAsia" w:hAnsiTheme="minorEastAsia" w:eastAsiaTheme="minorEastAsia"/>
          <w:color w:val="auto"/>
          <w:sz w:val="24"/>
        </w:rPr>
        <w:t>” 系指不适用本项目的要求。</w:t>
      </w:r>
    </w:p>
    <w:p w14:paraId="0A49DD36">
      <w:pPr>
        <w:adjustRightInd/>
        <w:spacing w:line="360" w:lineRule="auto"/>
        <w:outlineLvl w:val="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3. 响应有效期</w:t>
      </w:r>
    </w:p>
    <w:p w14:paraId="43CC925C">
      <w:pPr>
        <w:spacing w:line="360" w:lineRule="auto"/>
        <w:ind w:firstLine="480" w:firstLineChars="200"/>
        <w:rPr>
          <w:rFonts w:cs="仿宋_GB2312" w:asciiTheme="minorEastAsia" w:hAnsiTheme="minorEastAsia" w:eastAsiaTheme="minorEastAsia"/>
          <w:b/>
          <w:color w:val="auto"/>
          <w:sz w:val="24"/>
          <w:szCs w:val="21"/>
        </w:rPr>
      </w:pPr>
      <w:r>
        <w:rPr>
          <w:rFonts w:hint="eastAsia" w:cs="仿宋_GB2312" w:asciiTheme="minorEastAsia" w:hAnsiTheme="minorEastAsia" w:eastAsiaTheme="minorEastAsia"/>
          <w:color w:val="auto"/>
          <w:sz w:val="24"/>
          <w:szCs w:val="20"/>
        </w:rPr>
        <w:t>▲3.1</w:t>
      </w:r>
      <w:r>
        <w:rPr>
          <w:rFonts w:hint="eastAsia" w:cs="仿宋_GB2312" w:asciiTheme="minorEastAsia" w:hAnsiTheme="minorEastAsia" w:eastAsiaTheme="minorEastAsia"/>
          <w:b/>
          <w:color w:val="auto"/>
          <w:sz w:val="24"/>
          <w:szCs w:val="20"/>
        </w:rPr>
        <w:t>响应有效期为从提交响应文件的截止之日起90天。供应商的响应文件中承</w:t>
      </w:r>
      <w:r>
        <w:rPr>
          <w:rFonts w:hint="eastAsia" w:cs="仿宋_GB2312" w:asciiTheme="minorEastAsia" w:hAnsiTheme="minorEastAsia" w:eastAsiaTheme="minorEastAsia"/>
          <w:b/>
          <w:color w:val="auto"/>
          <w:sz w:val="24"/>
          <w:szCs w:val="21"/>
        </w:rPr>
        <w:t>诺的响应有效期少于磋商文件中载明的磋商有效期的，响应无效。</w:t>
      </w:r>
    </w:p>
    <w:p w14:paraId="6A82491D">
      <w:pPr>
        <w:pStyle w:val="392"/>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3.2响应文件合格提交后，自响应截止日期起，在响应有效期内有效。</w:t>
      </w:r>
    </w:p>
    <w:p w14:paraId="42D41571">
      <w:pPr>
        <w:pStyle w:val="392"/>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3.3在原定响应有效期满之前，如果出现特殊情况，</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可以以书面形式通知供应商延长响应有效期。供应商同意延长的，不得要求或被允许修改其响应文件;供应商拒绝延长的，其响应无效。</w:t>
      </w:r>
      <w:r>
        <w:rPr>
          <w:rFonts w:hint="eastAsia" w:asciiTheme="minorEastAsia" w:hAnsiTheme="minorEastAsia" w:eastAsiaTheme="minorEastAsia"/>
          <w:color w:val="auto"/>
          <w:szCs w:val="24"/>
        </w:rPr>
        <w:t>拒绝延长磋商有效期的供应商不得再参与该项目后续采购活动。</w:t>
      </w:r>
    </w:p>
    <w:p w14:paraId="4B1BF5AC">
      <w:pPr>
        <w:tabs>
          <w:tab w:val="left" w:pos="378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4．响应费用</w:t>
      </w:r>
    </w:p>
    <w:p w14:paraId="0107C1AF">
      <w:pPr>
        <w:pStyle w:val="31"/>
        <w:spacing w:line="360" w:lineRule="auto"/>
        <w:ind w:firstLine="360" w:firstLineChars="150"/>
        <w:rPr>
          <w:rFonts w:asciiTheme="minorEastAsia" w:hAnsiTheme="minorEastAsia" w:eastAsiaTheme="minorEastAsia"/>
          <w:color w:val="auto"/>
          <w:sz w:val="24"/>
          <w:lang w:val="zh-CN"/>
        </w:rPr>
      </w:pPr>
      <w:r>
        <w:rPr>
          <w:rFonts w:hint="eastAsia" w:asciiTheme="minorEastAsia" w:hAnsiTheme="minorEastAsia" w:eastAsiaTheme="minorEastAsia"/>
          <w:color w:val="auto"/>
          <w:sz w:val="24"/>
        </w:rPr>
        <w:t>供应商需自行承担涉及响应的一切费用</w:t>
      </w:r>
      <w:r>
        <w:rPr>
          <w:rFonts w:hint="eastAsia" w:asciiTheme="minorEastAsia" w:hAnsiTheme="minorEastAsia" w:eastAsiaTheme="minorEastAsia"/>
          <w:color w:val="auto"/>
          <w:sz w:val="24"/>
          <w:lang w:val="zh-CN"/>
        </w:rPr>
        <w:t>。</w:t>
      </w:r>
    </w:p>
    <w:p w14:paraId="799C6F34">
      <w:pPr>
        <w:spacing w:line="360" w:lineRule="auto"/>
        <w:jc w:val="center"/>
        <w:rPr>
          <w:rFonts w:cs="仿宋_GB2312" w:asciiTheme="minorEastAsia" w:hAnsiTheme="minorEastAsia" w:eastAsiaTheme="minorEastAsia"/>
          <w:b/>
          <w:color w:val="auto"/>
          <w:sz w:val="24"/>
        </w:rPr>
      </w:pPr>
    </w:p>
    <w:p w14:paraId="1E85693B">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三、需要落实的政府采购政策</w:t>
      </w:r>
    </w:p>
    <w:p w14:paraId="4644D198">
      <w:pPr>
        <w:pStyle w:val="392"/>
        <w:spacing w:before="0"/>
        <w:ind w:firstLine="0" w:firstLineChars="0"/>
        <w:rPr>
          <w:rFonts w:hint="eastAsia" w:asciiTheme="minorEastAsia" w:hAnsiTheme="minorEastAsia" w:eastAsiaTheme="minorEastAsia"/>
          <w:b/>
          <w:color w:val="auto"/>
          <w:szCs w:val="24"/>
          <w:lang w:eastAsia="zh-CN"/>
        </w:rPr>
      </w:pPr>
      <w:r>
        <w:rPr>
          <w:rFonts w:hint="eastAsia" w:asciiTheme="minorEastAsia" w:hAnsiTheme="minorEastAsia" w:eastAsiaTheme="minorEastAsia"/>
          <w:b/>
          <w:color w:val="auto"/>
          <w:szCs w:val="24"/>
        </w:rPr>
        <w:t>1.是否允许采购进口产品要求</w:t>
      </w:r>
      <w:r>
        <w:rPr>
          <w:rFonts w:hint="eastAsia" w:asciiTheme="minorEastAsia" w:hAnsiTheme="minorEastAsia" w:eastAsiaTheme="minorEastAsia"/>
          <w:b/>
          <w:color w:val="auto"/>
          <w:szCs w:val="24"/>
          <w:lang w:eastAsia="zh-CN"/>
        </w:rPr>
        <w:t>：不允许</w:t>
      </w:r>
    </w:p>
    <w:p w14:paraId="477CE993">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2.支持绿色发展</w:t>
      </w:r>
    </w:p>
    <w:p w14:paraId="7DF0FD7A">
      <w:pPr>
        <w:spacing w:line="360" w:lineRule="auto"/>
        <w:ind w:firstLine="480" w:firstLineChars="200"/>
        <w:rPr>
          <w:rFonts w:hint="eastAsia" w:eastAsia="宋体" w:cs="宋体" w:asciiTheme="minorEastAsia" w:hAnsiTheme="minorEastAsia"/>
          <w:b/>
          <w:color w:val="auto"/>
          <w:sz w:val="24"/>
          <w:lang w:eastAsia="zh-CN"/>
        </w:rPr>
      </w:pPr>
      <w:r>
        <w:rPr>
          <w:rFonts w:hint="eastAsia" w:cs="宋体" w:asciiTheme="minorEastAsia" w:hAnsiTheme="minorEastAsia" w:eastAsiaTheme="minorEastAsia"/>
          <w:color w:val="auto"/>
          <w:sz w:val="24"/>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磋商文件要求提供相关产品认证证书。</w:t>
      </w:r>
      <w:r>
        <w:rPr>
          <w:rFonts w:hint="eastAsia" w:ascii="宋体" w:hAnsi="宋体" w:cs="宋体"/>
          <w:b/>
          <w:color w:val="auto"/>
          <w:sz w:val="24"/>
        </w:rPr>
        <w:t>▲采购人拟采购的产品属于政府强制采购的节能产品品目清单范围的，供应商相应的响应产品未获得国家确定的认证机构出具的、处于有效期之内的节能产品认证证书的，响应无效。</w:t>
      </w:r>
      <w:r>
        <w:rPr>
          <w:rFonts w:hint="eastAsia" w:ascii="宋体" w:hAnsi="宋体" w:cs="宋体"/>
          <w:b/>
          <w:color w:val="auto"/>
          <w:sz w:val="24"/>
          <w:lang w:eastAsia="zh-CN"/>
        </w:rPr>
        <w:t>（不适用）</w:t>
      </w:r>
    </w:p>
    <w:p w14:paraId="3AEA14B9">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2.2</w:t>
      </w:r>
      <w:r>
        <w:rPr>
          <w:rFonts w:hint="eastAsia" w:ascii="宋体" w:hAnsi="宋体" w:cs="宋体"/>
          <w:color w:val="auto"/>
          <w:sz w:val="24"/>
        </w:rPr>
        <w:t>纳入政府采购管理的修缮、装修类项目采购建材的，鼓励采购单位将绿色建材性能、指标等作为实质性条件纳入采购文件和合同，具体性能指标要求参考相关绿色建材政府采购需求标准</w:t>
      </w:r>
      <w:r>
        <w:rPr>
          <w:rFonts w:hint="eastAsia" w:cs="宋体" w:asciiTheme="minorEastAsia" w:hAnsiTheme="minorEastAsia" w:eastAsiaTheme="minorEastAsia"/>
          <w:color w:val="auto"/>
          <w:sz w:val="24"/>
        </w:rPr>
        <w:t>。</w:t>
      </w:r>
    </w:p>
    <w:p w14:paraId="2A1C38EA">
      <w:pPr>
        <w:spacing w:line="360" w:lineRule="auto"/>
        <w:ind w:firstLine="480" w:firstLineChars="200"/>
        <w:rPr>
          <w:rFonts w:ascii="宋体" w:hAnsi="宋体" w:cs="宋体"/>
          <w:color w:val="auto"/>
          <w:sz w:val="24"/>
        </w:rPr>
      </w:pPr>
      <w:r>
        <w:rPr>
          <w:rFonts w:hint="eastAsia" w:cs="宋体" w:asciiTheme="minorEastAsia" w:hAnsiTheme="minorEastAsia" w:eastAsiaTheme="minorEastAsia"/>
          <w:color w:val="auto"/>
          <w:sz w:val="24"/>
        </w:rPr>
        <w:t>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4C9B8248">
      <w:pPr>
        <w:spacing w:line="360" w:lineRule="auto"/>
        <w:ind w:firstLine="480" w:firstLineChars="200"/>
        <w:rPr>
          <w:rFonts w:ascii="宋体" w:hAnsi="宋体" w:cs="宋体"/>
          <w:color w:val="auto"/>
          <w:sz w:val="24"/>
        </w:rPr>
      </w:pPr>
      <w:r>
        <w:rPr>
          <w:rFonts w:ascii="宋体" w:hAnsi="宋体" w:cs="宋体"/>
          <w:color w:val="auto"/>
          <w:sz w:val="24"/>
          <w:highlight w:val="none"/>
        </w:rPr>
        <w:t xml:space="preserve">2.4 </w:t>
      </w:r>
      <w:r>
        <w:rPr>
          <w:rFonts w:hint="eastAsia" w:ascii="宋体" w:hAnsi="宋体" w:cs="宋体"/>
          <w:color w:val="auto"/>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14:paraId="1C3FE544">
      <w:pPr>
        <w:pStyle w:val="31"/>
        <w:spacing w:line="360" w:lineRule="auto"/>
        <w:rPr>
          <w:rFonts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3.支持中小企业发展。</w:t>
      </w:r>
    </w:p>
    <w:p w14:paraId="6E76DF33">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0D22BAA2">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符合中小企业划分标准的个体工商户，在政府采购活动中视同中小企业。</w:t>
      </w:r>
    </w:p>
    <w:p w14:paraId="2F0D1751">
      <w:pPr>
        <w:widowControl/>
        <w:spacing w:line="360" w:lineRule="auto"/>
        <w:ind w:firstLine="480" w:firstLineChars="200"/>
        <w:jc w:val="left"/>
        <w:rPr>
          <w:rFonts w:cs="宋体" w:asciiTheme="minorEastAsia" w:hAnsiTheme="minorEastAsia" w:eastAsiaTheme="minorEastAsia"/>
          <w:color w:val="auto"/>
          <w:kern w:val="0"/>
          <w:sz w:val="24"/>
        </w:rPr>
      </w:pPr>
      <w:r>
        <w:rPr>
          <w:rFonts w:cs="宋体" w:asciiTheme="minorEastAsia" w:hAnsiTheme="minorEastAsia" w:eastAsiaTheme="minorEastAsia"/>
          <w:bCs/>
          <w:color w:val="auto"/>
          <w:sz w:val="24"/>
        </w:rPr>
        <w:t>3.2</w:t>
      </w:r>
      <w:r>
        <w:rPr>
          <w:rFonts w:hint="eastAsia" w:cs="宋体" w:asciiTheme="minorEastAsia" w:hAnsiTheme="minorEastAsia" w:eastAsiaTheme="minorEastAsia"/>
          <w:color w:val="auto"/>
          <w:kern w:val="0"/>
          <w:sz w:val="24"/>
        </w:rPr>
        <w:t>在政府采购活动中，服务类项目采购，服务由中小企业承接，即提供服务的人员为中小企业依照《中华人民共和国劳动合同法》订立劳动合同的从业人员，</w:t>
      </w:r>
      <w:r>
        <w:rPr>
          <w:rFonts w:hint="eastAsia" w:ascii="宋体" w:hAnsi="宋体" w:cs="宋体"/>
          <w:color w:val="auto"/>
          <w:kern w:val="0"/>
          <w:sz w:val="24"/>
        </w:rPr>
        <w:t>享受中小企业扶持政策。</w:t>
      </w:r>
    </w:p>
    <w:p w14:paraId="40915D8A">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3.3对于未预留份额专门面向中小企业的政府采购服务项目，以及预留份额政府采购服务项目中的非预留部分标项，对小型和微型企业的最后报价给予</w:t>
      </w:r>
      <w:r>
        <w:rPr>
          <w:rFonts w:hint="eastAsia" w:cs="宋体" w:asciiTheme="minorEastAsia" w:hAnsiTheme="minorEastAsia" w:eastAsiaTheme="minorEastAsia"/>
          <w:color w:val="auto"/>
          <w:sz w:val="24"/>
          <w:lang w:val="en-US" w:eastAsia="zh-CN"/>
        </w:rPr>
        <w:t>1</w:t>
      </w:r>
      <w:r>
        <w:rPr>
          <w:rFonts w:hint="eastAsia" w:cs="宋体" w:asciiTheme="minorEastAsia" w:hAnsiTheme="minorEastAsia" w:eastAsiaTheme="minorEastAsia"/>
          <w:color w:val="auto"/>
          <w:sz w:val="24"/>
        </w:rPr>
        <w:t>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最后报价给予6%的扣除，用扣除后的价格参加评审。组成联合体或者接受分包的小微企业与联合体内其他企业、分包企业之间存在直接控股、管理关系的，不享受价格扣除优惠政策。</w:t>
      </w:r>
    </w:p>
    <w:p w14:paraId="0EE7377E">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3.4符合《关于促进残疾人就业政府采购政策的通知》（财库〔2017〕141号）规定的条件并提供《残疾人福利性单位声明函》（附件</w:t>
      </w:r>
      <w:r>
        <w:rPr>
          <w:rFonts w:cs="宋体" w:asciiTheme="minorEastAsia" w:hAnsiTheme="minorEastAsia" w:eastAsiaTheme="minorEastAsia"/>
          <w:color w:val="auto"/>
          <w:sz w:val="24"/>
        </w:rPr>
        <w:t>3</w:t>
      </w:r>
      <w:r>
        <w:rPr>
          <w:rFonts w:hint="eastAsia" w:cs="宋体" w:asciiTheme="minorEastAsia" w:hAnsiTheme="minorEastAsia" w:eastAsiaTheme="minorEastAsia"/>
          <w:color w:val="auto"/>
          <w:sz w:val="24"/>
        </w:rPr>
        <w:t>）的残疾人福利性单位视同小型、微型企业；</w:t>
      </w:r>
    </w:p>
    <w:p w14:paraId="1138495F">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10D26649">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3.6可享受中小企业扶持政策的供应商应按照磋商文件格式要求提供《中小企业声明函》，供应商提供的《中小企业声明函》与实际情况不符的，不享受中小企业扶持政策。声明内容不实的，属于提供虚假材料谋取中标、成交的，依法承担法律责任。</w:t>
      </w:r>
    </w:p>
    <w:p w14:paraId="5A773487">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3.7中小企业享受扶持政策获得政府采购合同的，小微企业不得将合同分包给大中型企业，中型企业不得将合同分包给大型企业。</w:t>
      </w:r>
    </w:p>
    <w:p w14:paraId="5D8A0544">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4.</w:t>
      </w:r>
      <w:r>
        <w:rPr>
          <w:rFonts w:hint="eastAsia" w:cs="宋体" w:asciiTheme="minorEastAsia" w:hAnsiTheme="minorEastAsia" w:eastAsiaTheme="minorEastAsia"/>
          <w:b/>
          <w:bCs/>
          <w:color w:val="auto"/>
          <w:sz w:val="24"/>
        </w:rPr>
        <w:t>支持创新发展</w:t>
      </w:r>
    </w:p>
    <w:p w14:paraId="7FBF63AF">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4.1 采购人优先采购被认定为首台套产品和“制造精品”的自主创新产品。</w:t>
      </w:r>
    </w:p>
    <w:p w14:paraId="65DB0D5A">
      <w:pPr>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30674B22">
      <w:pPr>
        <w:spacing w:line="360" w:lineRule="auto"/>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5.平等对待内外资企业和符合条件的破产重整企业</w:t>
      </w:r>
    </w:p>
    <w:p w14:paraId="4D606812">
      <w:pPr>
        <w:spacing w:line="360" w:lineRule="auto"/>
        <w:ind w:firstLine="480" w:firstLineChars="200"/>
        <w:rPr>
          <w:rFonts w:asciiTheme="minorEastAsia" w:hAnsiTheme="minorEastAsia" w:eastAsiaTheme="minorEastAsia"/>
          <w:color w:val="auto"/>
          <w:sz w:val="24"/>
        </w:rPr>
      </w:pPr>
      <w:r>
        <w:rPr>
          <w:rFonts w:hint="eastAsia" w:cs="宋体" w:asciiTheme="minorEastAsia" w:hAnsiTheme="minorEastAsia" w:eastAsiaTheme="minorEastAsia"/>
          <w:color w:val="auto"/>
          <w:sz w:val="24"/>
        </w:rPr>
        <w:t>平等对待内外资企业和符合条件的破产重整企业，切实保障企业公平竞争，平等维护企业的合法利益。</w:t>
      </w:r>
    </w:p>
    <w:p w14:paraId="7E8AC3F0">
      <w:pPr>
        <w:spacing w:line="360" w:lineRule="auto"/>
        <w:ind w:firstLine="480" w:firstLineChars="200"/>
        <w:rPr>
          <w:rFonts w:asciiTheme="minorEastAsia" w:hAnsiTheme="minorEastAsia" w:eastAsiaTheme="minorEastAsia"/>
          <w:color w:val="auto"/>
          <w:sz w:val="24"/>
        </w:rPr>
      </w:pPr>
    </w:p>
    <w:p w14:paraId="4E1DCDE4">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四、询问、质疑与投诉</w:t>
      </w:r>
    </w:p>
    <w:p w14:paraId="6CD88C14">
      <w:pPr>
        <w:pStyle w:val="31"/>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1.在线询问、质疑、投诉</w:t>
      </w:r>
    </w:p>
    <w:p w14:paraId="58F5EF21">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982EC4A">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 供应商询问</w:t>
      </w:r>
    </w:p>
    <w:p w14:paraId="6239207B">
      <w:pPr>
        <w:autoSpaceDE w:val="0"/>
        <w:autoSpaceDN w:val="0"/>
        <w:spacing w:line="360" w:lineRule="auto"/>
        <w:ind w:firstLine="480" w:firstLineChars="200"/>
        <w:jc w:val="left"/>
        <w:rPr>
          <w:rFonts w:cs="宋体" w:asciiTheme="minorEastAsia" w:hAnsiTheme="minorEastAsia" w:eastAsiaTheme="minorEastAsia"/>
          <w:color w:val="auto"/>
          <w:kern w:val="0"/>
          <w:sz w:val="24"/>
          <w:lang w:val="zh-CN"/>
        </w:rPr>
      </w:pPr>
      <w:r>
        <w:rPr>
          <w:rFonts w:hint="eastAsia" w:cs="宋体" w:asciiTheme="minorEastAsia" w:hAnsiTheme="minorEastAsia" w:eastAsiaTheme="minorEastAsia"/>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79F5018">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3. 供应商质疑</w:t>
      </w:r>
    </w:p>
    <w:p w14:paraId="775F1898">
      <w:pPr>
        <w:pStyle w:val="31"/>
        <w:spacing w:line="360" w:lineRule="auto"/>
        <w:ind w:firstLine="482" w:firstLineChars="200"/>
        <w:rPr>
          <w:rFonts w:asciiTheme="minorEastAsia" w:hAnsiTheme="minorEastAsia" w:eastAsiaTheme="minorEastAsia"/>
          <w:b/>
          <w:color w:val="auto"/>
          <w:sz w:val="24"/>
        </w:rPr>
      </w:pPr>
      <w:r>
        <w:rPr>
          <w:rFonts w:hint="eastAsia" w:cs="微软雅黑" w:asciiTheme="minorEastAsia" w:hAnsiTheme="minorEastAsia" w:eastAsiaTheme="minorEastAsia"/>
          <w:b/>
          <w:color w:val="auto"/>
          <w:kern w:val="0"/>
          <w:sz w:val="24"/>
          <w:lang w:val="zh-CN"/>
        </w:rPr>
        <w:t>3</w:t>
      </w:r>
      <w:r>
        <w:rPr>
          <w:rFonts w:hint="eastAsia" w:asciiTheme="minorEastAsia" w:hAnsiTheme="minorEastAsia" w:eastAsiaTheme="minorEastAsia"/>
          <w:b/>
          <w:color w:val="auto"/>
          <w:sz w:val="24"/>
        </w:rPr>
        <w:t>.1质疑提出时效</w:t>
      </w:r>
    </w:p>
    <w:p w14:paraId="41BD46A9">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3.1.1提出质疑的供应商应当是参与所质疑项目采购活动的供应商。潜在供应商已依法获取其可质疑的采购文件的，可以对该文件提出质疑。</w:t>
      </w:r>
    </w:p>
    <w:p w14:paraId="243BF3A3">
      <w:pPr>
        <w:pStyle w:val="31"/>
        <w:spacing w:line="360" w:lineRule="auto"/>
        <w:ind w:firstLine="480" w:firstLineChars="200"/>
        <w:rPr>
          <w:rFonts w:asciiTheme="minorEastAsia" w:hAnsiTheme="minorEastAsia" w:eastAsiaTheme="minorEastAsia"/>
          <w:color w:val="auto"/>
          <w:sz w:val="24"/>
        </w:rPr>
      </w:pPr>
      <w:r>
        <w:rPr>
          <w:rFonts w:hint="eastAsia" w:cs="微软雅黑" w:asciiTheme="minorEastAsia" w:hAnsiTheme="minorEastAsia" w:eastAsiaTheme="minorEastAsia"/>
          <w:color w:val="auto"/>
          <w:kern w:val="0"/>
          <w:sz w:val="24"/>
          <w:lang w:val="zh-CN"/>
        </w:rPr>
        <w:t>3</w:t>
      </w:r>
      <w:r>
        <w:rPr>
          <w:rFonts w:hint="eastAsia" w:asciiTheme="minorEastAsia" w:hAnsiTheme="minorEastAsia" w:eastAsiaTheme="minorEastAsia"/>
          <w:color w:val="auto"/>
          <w:sz w:val="24"/>
        </w:rPr>
        <w:t>.1.2供应商认为采购文件、采购过程和成交结果使自己的权益受到损害的，可以在知道或者应知其权益受到损害之日起七个工作日内，以书面形式向采购人或者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提出质疑，否则，采购人或者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不予受理：</w:t>
      </w:r>
    </w:p>
    <w:p w14:paraId="341D2A07">
      <w:pPr>
        <w:pStyle w:val="15"/>
        <w:spacing w:line="360" w:lineRule="auto"/>
        <w:ind w:firstLine="434" w:firstLineChars="181"/>
        <w:rPr>
          <w:rFonts w:asciiTheme="minorEastAsia" w:hAnsiTheme="minorEastAsia" w:eastAsiaTheme="minorEastAsia"/>
          <w:snapToGrid/>
          <w:color w:val="auto"/>
          <w:kern w:val="2"/>
          <w:sz w:val="24"/>
        </w:rPr>
      </w:pPr>
      <w:r>
        <w:rPr>
          <w:rFonts w:hint="eastAsia" w:asciiTheme="minorEastAsia" w:hAnsiTheme="minorEastAsia" w:eastAsiaTheme="minorEastAsia"/>
          <w:snapToGrid/>
          <w:color w:val="auto"/>
          <w:kern w:val="2"/>
          <w:sz w:val="24"/>
        </w:rPr>
        <w:t>3.1.2.1对采购文件提出质疑的，质疑期限为供应商获得采购文件之日或者采购文件公告期限届满之日起计算，采购文件在获取截止之日后获得的，应当自采购文件公告期限届满之日起计算。</w:t>
      </w:r>
    </w:p>
    <w:p w14:paraId="33E3EBFE">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3.1.2.2对采购过程提出质疑的，质疑期限为各采购程序环节结束之日起计算。</w:t>
      </w:r>
    </w:p>
    <w:p w14:paraId="5240480F">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3.1.2.3对采购结果提出质疑的，质疑期限自采购结果公告期限届满之日起计算。</w:t>
      </w:r>
    </w:p>
    <w:p w14:paraId="30CDCF6B">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3.1.2.4对同一采购程序环节的质疑，供应商须一次性提出。</w:t>
      </w:r>
    </w:p>
    <w:p w14:paraId="1E3E81C6">
      <w:pPr>
        <w:pStyle w:val="31"/>
        <w:spacing w:line="360" w:lineRule="auto"/>
        <w:ind w:firstLine="482" w:firstLineChars="200"/>
        <w:rPr>
          <w:rFonts w:asciiTheme="minorEastAsia" w:hAnsiTheme="minorEastAsia" w:eastAsiaTheme="minorEastAsia"/>
          <w:color w:val="auto"/>
          <w:sz w:val="24"/>
        </w:rPr>
      </w:pPr>
      <w:r>
        <w:rPr>
          <w:rFonts w:hint="eastAsia" w:asciiTheme="minorEastAsia" w:hAnsiTheme="minorEastAsia" w:eastAsiaTheme="minorEastAsia"/>
          <w:b/>
          <w:color w:val="auto"/>
          <w:sz w:val="24"/>
        </w:rPr>
        <w:t>3.2质疑答复</w:t>
      </w:r>
    </w:p>
    <w:p w14:paraId="7DC0EF92">
      <w:pPr>
        <w:pStyle w:val="31"/>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rPr>
        <w:t>3.2.</w:t>
      </w:r>
      <w:r>
        <w:rPr>
          <w:rFonts w:hint="eastAsia" w:asciiTheme="minorEastAsia" w:hAnsiTheme="minorEastAsia" w:eastAsiaTheme="minorEastAsia"/>
          <w:color w:val="auto"/>
          <w:sz w:val="24"/>
          <w:lang w:val="en-US" w:eastAsia="zh-CN"/>
        </w:rPr>
        <w:t>1</w:t>
      </w:r>
      <w:r>
        <w:rPr>
          <w:rFonts w:hint="eastAsia" w:asciiTheme="minorEastAsia" w:hAnsiTheme="minorEastAsia" w:eastAsiaTheme="minorEastAsia"/>
          <w:color w:val="auto"/>
          <w:sz w:val="24"/>
        </w:rPr>
        <w:t>采购人或者</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应当在收到供应商的书面质疑后七个工作日内作出答复，并以书面形式通知质疑供应商和其他与质疑处理结果有利害关系的政府采购当事人，但答复的内容不得涉及商业秘密。</w:t>
      </w:r>
    </w:p>
    <w:p w14:paraId="5DFB107D">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3. 2.</w:t>
      </w:r>
      <w:r>
        <w:rPr>
          <w:rFonts w:hint="eastAsia" w:asciiTheme="minorEastAsia" w:hAnsiTheme="minorEastAsia" w:eastAsiaTheme="minorEastAsia"/>
          <w:color w:val="auto"/>
          <w:sz w:val="24"/>
          <w:lang w:val="en-US" w:eastAsia="zh-CN"/>
        </w:rPr>
        <w:t>2</w:t>
      </w:r>
      <w:r>
        <w:rPr>
          <w:rFonts w:hint="eastAsia" w:asciiTheme="minorEastAsia" w:hAnsiTheme="minorEastAsia" w:eastAsiaTheme="minorEastAsia"/>
          <w:color w:val="auto"/>
          <w:sz w:val="24"/>
        </w:rPr>
        <w:t>询问或者质疑事项可能影响采购结果的，采购人应当暂停签订合同，已经签订合同的，应当中止履行合同。</w:t>
      </w:r>
    </w:p>
    <w:p w14:paraId="18D49E8C">
      <w:pPr>
        <w:pStyle w:val="31"/>
        <w:spacing w:line="360" w:lineRule="auto"/>
        <w:ind w:firstLine="482" w:firstLineChars="200"/>
        <w:rPr>
          <w:rFonts w:asciiTheme="minorEastAsia" w:hAnsiTheme="minorEastAsia" w:eastAsiaTheme="minorEastAsia"/>
          <w:color w:val="auto"/>
          <w:sz w:val="24"/>
        </w:rPr>
      </w:pPr>
      <w:r>
        <w:rPr>
          <w:rFonts w:hint="eastAsia" w:cs="微软雅黑" w:asciiTheme="minorEastAsia" w:hAnsiTheme="minorEastAsia" w:eastAsiaTheme="minorEastAsia"/>
          <w:b/>
          <w:color w:val="auto"/>
          <w:kern w:val="0"/>
          <w:sz w:val="24"/>
          <w:lang w:val="zh-CN"/>
        </w:rPr>
        <w:t>3.3质疑函</w:t>
      </w:r>
    </w:p>
    <w:p w14:paraId="737F0709">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3.3.1供应商提出质疑应当提交质疑函和必要的证明材料。质疑函应当包括下列内容：</w:t>
      </w:r>
    </w:p>
    <w:p w14:paraId="63EF6EB7">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供应商的姓名或者名称、地址、邮编、联系人及联系电话；</w:t>
      </w:r>
    </w:p>
    <w:p w14:paraId="34E92CCA">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质疑项目的名称、编号；</w:t>
      </w:r>
    </w:p>
    <w:p w14:paraId="18D5CDF9">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具体、明确的质疑事项和与质疑事项相关的请求；</w:t>
      </w:r>
    </w:p>
    <w:p w14:paraId="7ADC2573">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事实依据；</w:t>
      </w:r>
    </w:p>
    <w:p w14:paraId="6B78FCA2">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必要的法律依据；</w:t>
      </w:r>
    </w:p>
    <w:p w14:paraId="4095207D">
      <w:pPr>
        <w:pStyle w:val="31"/>
        <w:numPr>
          <w:ilvl w:val="0"/>
          <w:numId w:val="4"/>
        </w:numPr>
        <w:tabs>
          <w:tab w:val="left" w:pos="426"/>
          <w:tab w:val="clear" w:pos="840"/>
        </w:tabs>
        <w:spacing w:line="360" w:lineRule="auto"/>
        <w:ind w:left="284"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提出质疑的日期。</w:t>
      </w:r>
    </w:p>
    <w:p w14:paraId="0235D606">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供应商提交的质疑函需一式三份。供应商为自然人的，应当由本人签字；供应商为法人或者其他组织的，应当由法定代表人、主要负责人，或者其授权代表签字或者盖章，并加盖公章。</w:t>
      </w:r>
    </w:p>
    <w:p w14:paraId="773DBDE6">
      <w:pPr>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4</w:t>
      </w:r>
      <w:r>
        <w:rPr>
          <w:rFonts w:asciiTheme="minorEastAsia" w:hAnsiTheme="minorEastAsia" w:eastAsiaTheme="minorEastAsia"/>
          <w:b/>
          <w:color w:val="auto"/>
          <w:sz w:val="24"/>
        </w:rPr>
        <w:t>.供应商投诉</w:t>
      </w:r>
    </w:p>
    <w:p w14:paraId="2749FC7B">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.1质疑供应商对采购人、</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的答复不满意或者采购人、</w:t>
      </w:r>
      <w:r>
        <w:rPr>
          <w:rFonts w:hint="eastAsia" w:asciiTheme="minorEastAsia" w:hAnsiTheme="minorEastAsia" w:eastAsiaTheme="minorEastAsia"/>
          <w:color w:val="auto"/>
          <w:sz w:val="24"/>
          <w:lang w:eastAsia="zh-CN"/>
        </w:rPr>
        <w:t>采购代理机构</w:t>
      </w:r>
      <w:r>
        <w:rPr>
          <w:rFonts w:asciiTheme="minorEastAsia" w:hAnsiTheme="minorEastAsia" w:eastAsiaTheme="minorEastAsia"/>
          <w:color w:val="auto"/>
          <w:sz w:val="24"/>
        </w:rPr>
        <w:t>未在规定的时间内</w:t>
      </w:r>
      <w:r>
        <w:rPr>
          <w:rFonts w:hint="eastAsia" w:asciiTheme="minorEastAsia" w:hAnsiTheme="minorEastAsia" w:eastAsiaTheme="minorEastAsia"/>
          <w:color w:val="auto"/>
          <w:sz w:val="24"/>
        </w:rPr>
        <w:t>作出答复的，可以在答复期满后十五个工作日内向同级政府采购监督管理部门提出投诉。</w:t>
      </w:r>
    </w:p>
    <w:p w14:paraId="5741182E">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.2供应</w:t>
      </w:r>
      <w:r>
        <w:rPr>
          <w:rFonts w:hint="eastAsia" w:asciiTheme="minorEastAsia" w:hAnsiTheme="minorEastAsia" w:eastAsiaTheme="minorEastAsia"/>
          <w:color w:val="auto"/>
          <w:sz w:val="24"/>
        </w:rPr>
        <w:t>商投诉的事项不得超出已质疑事项的范围，基于质疑答复内容提出的投诉事项除外。</w:t>
      </w:r>
    </w:p>
    <w:p w14:paraId="5630383B">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4</w:t>
      </w:r>
      <w:r>
        <w:rPr>
          <w:rFonts w:asciiTheme="minorEastAsia" w:hAnsiTheme="minorEastAsia" w:eastAsiaTheme="minorEastAsia"/>
          <w:color w:val="auto"/>
          <w:sz w:val="24"/>
        </w:rPr>
        <w:t>.3供应</w:t>
      </w:r>
      <w:r>
        <w:rPr>
          <w:rFonts w:hint="eastAsia" w:asciiTheme="minorEastAsia" w:hAnsiTheme="minorEastAsia" w:eastAsiaTheme="minorEastAsia"/>
          <w:color w:val="auto"/>
          <w:sz w:val="24"/>
        </w:rPr>
        <w:t>商投诉应当有明确的请求和必要的证明材料。</w:t>
      </w:r>
    </w:p>
    <w:p w14:paraId="4F20C190">
      <w:pPr>
        <w:adjustRightInd/>
        <w:spacing w:line="360" w:lineRule="auto"/>
        <w:jc w:val="center"/>
        <w:outlineLvl w:val="0"/>
        <w:rPr>
          <w:rFonts w:cs="仿宋_GB2312" w:asciiTheme="minorEastAsia" w:hAnsiTheme="minorEastAsia" w:eastAsiaTheme="minorEastAsia"/>
          <w:b/>
          <w:color w:val="auto"/>
          <w:sz w:val="32"/>
          <w:szCs w:val="20"/>
        </w:rPr>
      </w:pPr>
    </w:p>
    <w:p w14:paraId="28F8271C">
      <w:pPr>
        <w:adjustRightInd/>
        <w:spacing w:line="360" w:lineRule="auto"/>
        <w:jc w:val="center"/>
        <w:outlineLvl w:val="0"/>
        <w:rPr>
          <w:rFonts w:hint="eastAsia" w:cs="仿宋_GB2312" w:asciiTheme="minorEastAsia" w:hAnsiTheme="minorEastAsia" w:eastAsiaTheme="minorEastAsia"/>
          <w:b/>
          <w:color w:val="auto"/>
          <w:sz w:val="32"/>
          <w:szCs w:val="20"/>
        </w:rPr>
      </w:pPr>
    </w:p>
    <w:p w14:paraId="2B1133D2">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五、磋商文件构成、修改、解释</w:t>
      </w:r>
    </w:p>
    <w:p w14:paraId="244EF594">
      <w:pPr>
        <w:autoSpaceDE w:val="0"/>
        <w:autoSpaceDN w:val="0"/>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1．磋商文件的构成</w:t>
      </w:r>
    </w:p>
    <w:p w14:paraId="2423D6FE">
      <w:pPr>
        <w:pStyle w:val="31"/>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1.1 磋商文件包括下列文件及附件</w:t>
      </w:r>
    </w:p>
    <w:p w14:paraId="4E540BAB">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第一部分  供应商</w:t>
      </w:r>
    </w:p>
    <w:p w14:paraId="7EE14605">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第二部分  竞争性磋商流程</w:t>
      </w:r>
    </w:p>
    <w:p w14:paraId="6DD74828">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第三部分  供应商须知</w:t>
      </w:r>
    </w:p>
    <w:p w14:paraId="1B4F455D">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第四部分  采购需求</w:t>
      </w:r>
    </w:p>
    <w:p w14:paraId="4113416E">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第五部分  评审方法及评审标准</w:t>
      </w:r>
    </w:p>
    <w:p w14:paraId="110D9F07">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第六部分  拟签订的合同文本</w:t>
      </w:r>
    </w:p>
    <w:p w14:paraId="5A4176E0">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第七部分  应提交的有关格式范例</w:t>
      </w:r>
    </w:p>
    <w:p w14:paraId="737006D2">
      <w:pPr>
        <w:pStyle w:val="31"/>
        <w:numPr>
          <w:ilvl w:val="0"/>
          <w:numId w:val="4"/>
        </w:numPr>
        <w:spacing w:line="360" w:lineRule="auto"/>
        <w:ind w:left="839"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第八部分  最后报价格式</w:t>
      </w:r>
    </w:p>
    <w:p w14:paraId="68CFF3C5">
      <w:pPr>
        <w:pStyle w:val="31"/>
        <w:spacing w:line="360" w:lineRule="auto"/>
        <w:ind w:firstLine="480" w:firstLineChars="200"/>
        <w:rPr>
          <w:rFonts w:asciiTheme="minorEastAsia" w:hAnsiTheme="minorEastAsia" w:eastAsiaTheme="minorEastAsia"/>
          <w:color w:val="auto"/>
          <w:sz w:val="24"/>
          <w:szCs w:val="24"/>
        </w:rPr>
      </w:pPr>
      <w:r>
        <w:rPr>
          <w:rFonts w:hint="eastAsia" w:asciiTheme="minorEastAsia" w:hAnsiTheme="minorEastAsia" w:eastAsiaTheme="minorEastAsia"/>
          <w:color w:val="auto"/>
          <w:sz w:val="24"/>
          <w:szCs w:val="24"/>
        </w:rPr>
        <w:t xml:space="preserve">1.2 </w:t>
      </w:r>
      <w:r>
        <w:rPr>
          <w:rFonts w:hint="eastAsia" w:asciiTheme="minorEastAsia" w:hAnsiTheme="minorEastAsia" w:eastAsiaTheme="minorEastAsia"/>
          <w:color w:val="auto"/>
          <w:sz w:val="24"/>
        </w:rPr>
        <w:t>与本项目有关的</w:t>
      </w:r>
      <w:r>
        <w:rPr>
          <w:rFonts w:hint="eastAsia" w:asciiTheme="minorEastAsia" w:hAnsiTheme="minorEastAsia" w:eastAsiaTheme="minorEastAsia"/>
          <w:bCs/>
          <w:color w:val="auto"/>
          <w:sz w:val="24"/>
        </w:rPr>
        <w:t>澄清或者修改的内容为磋商文件的组成部分</w:t>
      </w:r>
      <w:r>
        <w:rPr>
          <w:rFonts w:hint="eastAsia" w:cs="仿宋_GB2312" w:asciiTheme="minorEastAsia" w:hAnsiTheme="minorEastAsia" w:eastAsiaTheme="minorEastAsia"/>
          <w:color w:val="auto"/>
          <w:sz w:val="24"/>
        </w:rPr>
        <w:t>。</w:t>
      </w:r>
    </w:p>
    <w:p w14:paraId="1E8E8DC7">
      <w:pPr>
        <w:pStyle w:val="31"/>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2. 磋商文件的</w:t>
      </w:r>
      <w:r>
        <w:rPr>
          <w:rFonts w:hint="eastAsia" w:cs="仿宋_GB2312" w:asciiTheme="minorEastAsia" w:hAnsiTheme="minorEastAsia" w:eastAsiaTheme="minorEastAsia"/>
          <w:b/>
          <w:color w:val="auto"/>
          <w:sz w:val="24"/>
          <w:szCs w:val="24"/>
        </w:rPr>
        <w:t>澄清、修改</w:t>
      </w:r>
    </w:p>
    <w:p w14:paraId="5524EF94">
      <w:pPr>
        <w:pStyle w:val="392"/>
        <w:snapToGrid w:val="0"/>
        <w:spacing w:before="0"/>
        <w:ind w:firstLine="48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2.1已获取磋商文件的潜在供应商，若有问题需要澄清，应于提交首次响应文件截止时间前，以书面形式向</w:t>
      </w:r>
      <w:r>
        <w:rPr>
          <w:rFonts w:hint="eastAsia" w:cs="仿宋_GB2312" w:asciiTheme="minorEastAsia" w:hAnsiTheme="minorEastAsia" w:eastAsiaTheme="minorEastAsia"/>
          <w:color w:val="auto"/>
          <w:lang w:eastAsia="zh-CN"/>
        </w:rPr>
        <w:t>采购代理机构</w:t>
      </w:r>
      <w:r>
        <w:rPr>
          <w:rFonts w:hint="eastAsia" w:cs="仿宋_GB2312" w:asciiTheme="minorEastAsia" w:hAnsiTheme="minorEastAsia" w:eastAsiaTheme="minorEastAsia"/>
          <w:color w:val="auto"/>
        </w:rPr>
        <w:t>提出。</w:t>
      </w:r>
    </w:p>
    <w:p w14:paraId="48B7199F">
      <w:pPr>
        <w:pStyle w:val="392"/>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2.2</w:t>
      </w:r>
      <w:r>
        <w:rPr>
          <w:rFonts w:hint="eastAsia" w:cs="宋体" w:asciiTheme="minorEastAsia" w:hAnsiTheme="minorEastAsia" w:eastAsiaTheme="minorEastAsia"/>
          <w:color w:val="auto"/>
          <w:lang w:eastAsia="zh-CN"/>
        </w:rPr>
        <w:t>采购代理机构</w:t>
      </w:r>
      <w:r>
        <w:rPr>
          <w:rFonts w:hint="eastAsia" w:cs="宋体" w:asciiTheme="minorEastAsia" w:hAnsiTheme="minorEastAsia" w:eastAsiaTheme="minorEastAsia"/>
          <w:color w:val="auto"/>
        </w:rPr>
        <w:t>对磋商文件进行澄清或修改的，将同时通过电子交易平台通知已获取磋商文件的供应商。依法应当公告的，将按规定公告，同时视情况延长</w:t>
      </w:r>
      <w:r>
        <w:rPr>
          <w:rFonts w:hint="eastAsia" w:asciiTheme="minorEastAsia" w:hAnsiTheme="minorEastAsia" w:eastAsiaTheme="minorEastAsia"/>
          <w:color w:val="auto"/>
        </w:rPr>
        <w:t>提交首次</w:t>
      </w:r>
      <w:r>
        <w:rPr>
          <w:rFonts w:hint="eastAsia" w:cs="宋体" w:asciiTheme="minorEastAsia" w:hAnsiTheme="minorEastAsia" w:eastAsiaTheme="minorEastAsia"/>
          <w:color w:val="auto"/>
        </w:rPr>
        <w:t>响应文件截止时间和响应文件开启时间。该澄清或者修改的内容为磋商文件的组成部分。</w:t>
      </w:r>
    </w:p>
    <w:p w14:paraId="0F6E4544">
      <w:pPr>
        <w:pStyle w:val="392"/>
        <w:snapToGrid w:val="0"/>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2.3澄清或者修改的内容可能影响响应文件编制的，采购人、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应当在提交首次响应文件截止时间至少5日前，</w:t>
      </w:r>
      <w:r>
        <w:rPr>
          <w:rFonts w:hint="eastAsia" w:cs="宋体" w:asciiTheme="minorEastAsia" w:hAnsiTheme="minorEastAsia" w:eastAsiaTheme="minorEastAsia"/>
          <w:color w:val="auto"/>
        </w:rPr>
        <w:t>通过电子交易平台</w:t>
      </w:r>
      <w:r>
        <w:rPr>
          <w:rFonts w:hint="eastAsia" w:asciiTheme="minorEastAsia" w:hAnsiTheme="minorEastAsia" w:eastAsiaTheme="minorEastAsia"/>
          <w:color w:val="auto"/>
        </w:rPr>
        <w:t>通知所有获取磋商文件的供应商；不足5日的，采购人、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应当顺延提交首次响应文件截止时间。</w:t>
      </w:r>
    </w:p>
    <w:p w14:paraId="4E7C21F2">
      <w:pPr>
        <w:pStyle w:val="392"/>
        <w:snapToGrid w:val="0"/>
        <w:spacing w:before="0"/>
        <w:ind w:firstLine="482"/>
        <w:rPr>
          <w:rFonts w:asciiTheme="minorEastAsia" w:hAnsiTheme="minorEastAsia" w:eastAsiaTheme="minorEastAsia"/>
          <w:color w:val="auto"/>
        </w:rPr>
      </w:pP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szCs w:val="21"/>
        </w:rPr>
        <w:t>响应文件未按磋商文件的澄清、修改的内容编制，又不符合实质性要求的，响应无效。</w:t>
      </w:r>
    </w:p>
    <w:p w14:paraId="44AF7081">
      <w:pPr>
        <w:pStyle w:val="22"/>
        <w:rPr>
          <w:rFonts w:cs="仿宋_GB2312" w:asciiTheme="minorEastAsia" w:hAnsiTheme="minorEastAsia" w:eastAsiaTheme="minorEastAsia"/>
          <w:color w:val="auto"/>
          <w:sz w:val="18"/>
          <w:szCs w:val="18"/>
          <w:lang w:val="en-US"/>
        </w:rPr>
      </w:pPr>
      <w:r>
        <w:rPr>
          <w:rFonts w:hint="eastAsia" w:cs="仿宋_GB2312" w:asciiTheme="minorEastAsia" w:hAnsiTheme="minorEastAsia" w:eastAsiaTheme="minorEastAsia"/>
          <w:color w:val="auto"/>
          <w:szCs w:val="24"/>
          <w:lang w:val="en-US"/>
        </w:rPr>
        <w:t xml:space="preserve">    </w:t>
      </w:r>
    </w:p>
    <w:p w14:paraId="0C94017E">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六、响应文件的编制</w:t>
      </w:r>
    </w:p>
    <w:p w14:paraId="64AA4A4F">
      <w:pPr>
        <w:pStyle w:val="31"/>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1. 响应文件的语言</w:t>
      </w:r>
    </w:p>
    <w:p w14:paraId="200BE518">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响应文件及供应商与采购有关的来往通知、函件和文件均应使用中文。</w:t>
      </w:r>
    </w:p>
    <w:p w14:paraId="69139C30">
      <w:pPr>
        <w:pStyle w:val="31"/>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2. 响应文件的组成</w:t>
      </w:r>
    </w:p>
    <w:p w14:paraId="63C799C1">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响应文件应当包括以下主要内容：</w:t>
      </w:r>
    </w:p>
    <w:p w14:paraId="0A3D40C8">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（1）响应函</w:t>
      </w:r>
    </w:p>
    <w:p w14:paraId="0F3CFE09">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（2）资格文件</w:t>
      </w:r>
    </w:p>
    <w:p w14:paraId="35F47176">
      <w:pPr>
        <w:pStyle w:val="31"/>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A、</w:t>
      </w:r>
      <w:r>
        <w:rPr>
          <w:rFonts w:hint="eastAsia" w:cs="宋体" w:asciiTheme="minorEastAsia" w:hAnsiTheme="minorEastAsia" w:eastAsiaTheme="minorEastAsia"/>
          <w:color w:val="auto"/>
          <w:sz w:val="24"/>
        </w:rPr>
        <w:t>符合参加政府采购活动应当具备的一般条件的承诺函；</w:t>
      </w:r>
    </w:p>
    <w:p w14:paraId="7036EE69">
      <w:pPr>
        <w:pStyle w:val="31"/>
        <w:spacing w:line="360" w:lineRule="auto"/>
        <w:ind w:firstLine="480" w:firstLineChars="200"/>
        <w:rPr>
          <w:rFonts w:cs="仿宋_GB2312" w:asciiTheme="minorEastAsia" w:hAnsiTheme="minorEastAsia" w:eastAsiaTheme="minorEastAsia"/>
          <w:color w:val="auto"/>
          <w:sz w:val="24"/>
        </w:rPr>
      </w:pPr>
      <w:r>
        <w:rPr>
          <w:rFonts w:hint="eastAsia" w:cs="宋体" w:asciiTheme="minorEastAsia" w:hAnsiTheme="minorEastAsia" w:eastAsiaTheme="minorEastAsia"/>
          <w:color w:val="auto"/>
          <w:sz w:val="24"/>
          <w:lang w:val="en-US" w:eastAsia="zh-CN"/>
        </w:rPr>
        <w:t>B</w:t>
      </w:r>
      <w:r>
        <w:rPr>
          <w:rFonts w:hint="eastAsia" w:asciiTheme="minorEastAsia" w:hAnsiTheme="minorEastAsia" w:eastAsiaTheme="minorEastAsia"/>
          <w:color w:val="auto"/>
          <w:sz w:val="24"/>
        </w:rPr>
        <w:t>、</w:t>
      </w:r>
      <w:r>
        <w:rPr>
          <w:rFonts w:hint="eastAsia" w:cs="宋体" w:asciiTheme="minorEastAsia" w:hAnsiTheme="minorEastAsia" w:eastAsiaTheme="minorEastAsia"/>
          <w:color w:val="auto"/>
          <w:sz w:val="24"/>
        </w:rPr>
        <w:t>落实政府采购政策需满足的资格要求</w:t>
      </w:r>
      <w:r>
        <w:rPr>
          <w:rFonts w:hint="eastAsia" w:cs="宋体" w:asciiTheme="minorEastAsia" w:hAnsiTheme="minorEastAsia" w:eastAsiaTheme="minorEastAsia"/>
          <w:snapToGrid w:val="0"/>
          <w:color w:val="auto"/>
          <w:kern w:val="28"/>
          <w:sz w:val="24"/>
        </w:rPr>
        <w:t>；</w:t>
      </w:r>
      <w:r>
        <w:rPr>
          <w:rFonts w:hint="eastAsia" w:cs="仿宋_GB2312" w:asciiTheme="minorEastAsia" w:hAnsiTheme="minorEastAsia" w:eastAsiaTheme="minorEastAsia"/>
          <w:color w:val="auto"/>
          <w:sz w:val="24"/>
        </w:rPr>
        <w:tab/>
      </w:r>
      <w:r>
        <w:rPr>
          <w:rFonts w:cs="仿宋_GB2312" w:asciiTheme="minorEastAsia" w:hAnsiTheme="minorEastAsia" w:eastAsiaTheme="minorEastAsia"/>
          <w:color w:val="auto"/>
          <w:sz w:val="24"/>
        </w:rPr>
        <w:t xml:space="preserve"> </w:t>
      </w:r>
    </w:p>
    <w:p w14:paraId="567D4E94">
      <w:pPr>
        <w:pStyle w:val="31"/>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sz w:val="24"/>
        </w:rPr>
        <w:t>（3）</w:t>
      </w:r>
      <w:r>
        <w:rPr>
          <w:rFonts w:hint="eastAsia" w:hAnsi="宋体" w:cs="宋体"/>
          <w:color w:val="auto"/>
          <w:sz w:val="24"/>
        </w:rPr>
        <w:t>授权委托书或法定代表人（单位负责人、自然人本人）身份证明；</w:t>
      </w:r>
    </w:p>
    <w:p w14:paraId="6267AB46">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（5）所有资信文件</w:t>
      </w:r>
      <w:r>
        <w:rPr>
          <w:rFonts w:hint="eastAsia" w:cs="宋体" w:asciiTheme="minorEastAsia" w:hAnsiTheme="minorEastAsia" w:eastAsiaTheme="minorEastAsia"/>
          <w:color w:val="auto"/>
          <w:kern w:val="0"/>
          <w:sz w:val="24"/>
        </w:rPr>
        <w:t>（如果有）；</w:t>
      </w:r>
    </w:p>
    <w:p w14:paraId="356B8DE8">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cs="宋体" w:asciiTheme="minorEastAsia" w:hAnsiTheme="minorEastAsia" w:eastAsiaTheme="minorEastAsia"/>
          <w:color w:val="auto"/>
          <w:kern w:val="0"/>
          <w:sz w:val="24"/>
        </w:rPr>
        <w:t>（6）</w:t>
      </w:r>
      <w:r>
        <w:rPr>
          <w:rFonts w:hint="eastAsia" w:asciiTheme="minorEastAsia" w:hAnsiTheme="minorEastAsia" w:eastAsiaTheme="minorEastAsia"/>
          <w:color w:val="auto"/>
          <w:sz w:val="24"/>
        </w:rPr>
        <w:t>供应商的主要业绩证明材料；</w:t>
      </w:r>
    </w:p>
    <w:p w14:paraId="492A6B97">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snapToGrid w:val="0"/>
          <w:color w:val="auto"/>
          <w:sz w:val="24"/>
        </w:rPr>
        <w:t>（7）</w:t>
      </w:r>
      <w:r>
        <w:rPr>
          <w:rFonts w:hint="eastAsia" w:asciiTheme="minorEastAsia" w:hAnsiTheme="minorEastAsia" w:eastAsiaTheme="minorEastAsia"/>
          <w:color w:val="auto"/>
          <w:kern w:val="0"/>
          <w:sz w:val="24"/>
          <w:lang w:val="zh-CN"/>
        </w:rPr>
        <w:t>关于对磋商文件中有关条款的拒绝声明 (如果有)</w:t>
      </w:r>
      <w:r>
        <w:rPr>
          <w:rFonts w:hint="eastAsia" w:asciiTheme="minorEastAsia" w:hAnsiTheme="minorEastAsia" w:eastAsiaTheme="minorEastAsia"/>
          <w:color w:val="auto"/>
          <w:sz w:val="24"/>
          <w:lang w:val="zh-CN"/>
        </w:rPr>
        <w:t xml:space="preserve"> ；</w:t>
      </w:r>
    </w:p>
    <w:p w14:paraId="7C87A42D">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sz w:val="24"/>
        </w:rPr>
        <w:t>（8）</w:t>
      </w:r>
      <w:r>
        <w:rPr>
          <w:rFonts w:hint="eastAsia" w:asciiTheme="minorEastAsia" w:hAnsiTheme="minorEastAsia" w:eastAsiaTheme="minorEastAsia"/>
          <w:color w:val="auto"/>
          <w:kern w:val="0"/>
          <w:sz w:val="24"/>
          <w:lang w:val="zh-CN"/>
        </w:rPr>
        <w:t>认为需要的其他商务文件或说明 (如果有) ；</w:t>
      </w:r>
    </w:p>
    <w:p w14:paraId="18953E86">
      <w:pPr>
        <w:pStyle w:val="31"/>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kern w:val="0"/>
          <w:sz w:val="24"/>
          <w:lang w:val="zh-CN"/>
        </w:rPr>
        <w:t>（9）</w:t>
      </w:r>
      <w:r>
        <w:rPr>
          <w:rFonts w:hint="eastAsia" w:asciiTheme="minorEastAsia" w:hAnsiTheme="minorEastAsia" w:eastAsiaTheme="minorEastAsia"/>
          <w:color w:val="auto"/>
          <w:sz w:val="24"/>
          <w:lang w:val="zh-CN"/>
        </w:rPr>
        <w:t>技术解决方案；</w:t>
      </w:r>
    </w:p>
    <w:p w14:paraId="6DE04874">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（10）组织实施方案。本项目详细工作实施组织方案，包括(但不限于)以下内容：组织机构、工作时间进度表、工作程序和步骤、管理和协调方法、关键步骤的思路和要点；</w:t>
      </w:r>
    </w:p>
    <w:p w14:paraId="1AB09456">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11）售后服务方案。项目验收之后的维护方案；针对本项目的维护方案，包括本地售后服务机构及人员情况等。供应商应以书面形式完整准确地表述售后服务承诺(范围、标准及期限等)、供应商可能增加的服务承诺等。并明示服务承诺可能涉及的前提设定和费用，否则将被认为是无条件和免费的。承诺服务期内均提供免费上门服务；</w:t>
      </w:r>
    </w:p>
    <w:p w14:paraId="67B74149">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12）项目小组人员名单。每个专业人员的情况和人员数应该明确表示，明确各阶段投入人数；在提交的响应文件中安排的人员，须为公司的固定职员；每个参加项目人员的履历表应随响应文件一并提交，主要内容包括学历、技术职称、工作特长、经验与业绩(包括从事相关项目的经验，该人员参与的时间以及在项目中的责任)，</w:t>
      </w:r>
      <w:r>
        <w:rPr>
          <w:rFonts w:hint="eastAsia" w:cs="仿宋_GB2312" w:asciiTheme="minorEastAsia" w:hAnsiTheme="minorEastAsia" w:eastAsiaTheme="minorEastAsia"/>
          <w:color w:val="auto"/>
          <w:kern w:val="0"/>
          <w:sz w:val="24"/>
          <w:lang w:val="zh-CN"/>
        </w:rPr>
        <w:t>资质情况等</w:t>
      </w:r>
      <w:r>
        <w:rPr>
          <w:rFonts w:hint="eastAsia" w:asciiTheme="minorEastAsia" w:hAnsiTheme="minorEastAsia" w:eastAsiaTheme="minorEastAsia"/>
          <w:color w:val="auto"/>
          <w:kern w:val="0"/>
          <w:sz w:val="24"/>
          <w:lang w:val="zh-CN"/>
        </w:rPr>
        <w:t>；</w:t>
      </w:r>
    </w:p>
    <w:p w14:paraId="40989614">
      <w:pPr>
        <w:pStyle w:val="31"/>
        <w:spacing w:line="360" w:lineRule="auto"/>
        <w:ind w:firstLine="480"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color w:val="auto"/>
          <w:kern w:val="0"/>
          <w:sz w:val="24"/>
          <w:lang w:val="zh-CN"/>
        </w:rPr>
        <w:t>（13）优惠条件及特殊承诺；</w:t>
      </w:r>
    </w:p>
    <w:p w14:paraId="65145E11">
      <w:pPr>
        <w:pStyle w:val="31"/>
        <w:spacing w:line="360" w:lineRule="auto"/>
        <w:ind w:firstLine="480" w:firstLineChars="200"/>
        <w:rPr>
          <w:rFonts w:cs="仿宋_GB2312" w:asciiTheme="minorEastAsia" w:hAnsiTheme="minorEastAsia" w:eastAsiaTheme="minorEastAsia"/>
          <w:color w:val="auto"/>
          <w:kern w:val="0"/>
          <w:sz w:val="24"/>
          <w:szCs w:val="24"/>
          <w:lang w:val="zh-CN"/>
        </w:rPr>
      </w:pPr>
      <w:r>
        <w:rPr>
          <w:rFonts w:hint="eastAsia" w:asciiTheme="minorEastAsia" w:hAnsiTheme="minorEastAsia" w:eastAsiaTheme="minorEastAsia"/>
          <w:color w:val="auto"/>
          <w:sz w:val="24"/>
          <w:szCs w:val="24"/>
        </w:rPr>
        <w:t>（</w:t>
      </w:r>
      <w:r>
        <w:rPr>
          <w:rFonts w:asciiTheme="minorEastAsia" w:hAnsiTheme="minorEastAsia" w:eastAsiaTheme="minorEastAsia"/>
          <w:color w:val="auto"/>
          <w:sz w:val="24"/>
          <w:szCs w:val="24"/>
        </w:rPr>
        <w:t>1</w:t>
      </w:r>
      <w:r>
        <w:rPr>
          <w:rFonts w:hint="eastAsia" w:asciiTheme="minorEastAsia" w:hAnsiTheme="minorEastAsia" w:eastAsiaTheme="minorEastAsia"/>
          <w:color w:val="auto"/>
          <w:sz w:val="24"/>
          <w:szCs w:val="24"/>
          <w:lang w:val="en-US" w:eastAsia="zh-CN"/>
        </w:rPr>
        <w:t>4</w:t>
      </w:r>
      <w:r>
        <w:rPr>
          <w:rFonts w:hint="eastAsia" w:asciiTheme="minorEastAsia" w:hAnsiTheme="minorEastAsia" w:eastAsiaTheme="minorEastAsia"/>
          <w:color w:val="auto"/>
          <w:sz w:val="24"/>
          <w:szCs w:val="24"/>
        </w:rPr>
        <w:t>）</w:t>
      </w:r>
      <w:r>
        <w:rPr>
          <w:rFonts w:hint="eastAsia" w:cs="仿宋_GB2312" w:asciiTheme="minorEastAsia" w:hAnsiTheme="minorEastAsia" w:eastAsiaTheme="minorEastAsia"/>
          <w:color w:val="auto"/>
          <w:kern w:val="0"/>
          <w:sz w:val="24"/>
          <w:szCs w:val="24"/>
          <w:lang w:val="zh-CN"/>
        </w:rPr>
        <w:t>供应商认为需要的其他技术文件或说明（如果有）；</w:t>
      </w:r>
    </w:p>
    <w:p w14:paraId="176636F4">
      <w:pPr>
        <w:pStyle w:val="31"/>
        <w:spacing w:line="360" w:lineRule="auto"/>
        <w:ind w:firstLine="480" w:firstLineChars="200"/>
        <w:rPr>
          <w:rFonts w:cs="仿宋_GB2312" w:asciiTheme="minorEastAsia" w:hAnsiTheme="minorEastAsia" w:eastAsiaTheme="minorEastAsia"/>
          <w:color w:val="auto"/>
          <w:kern w:val="0"/>
          <w:sz w:val="24"/>
          <w:lang w:val="zh-CN"/>
        </w:rPr>
      </w:pPr>
      <w:r>
        <w:rPr>
          <w:rFonts w:hint="eastAsia" w:asciiTheme="minorEastAsia" w:hAnsiTheme="minorEastAsia" w:eastAsiaTheme="minorEastAsia"/>
          <w:color w:val="auto"/>
          <w:sz w:val="24"/>
          <w:szCs w:val="24"/>
        </w:rPr>
        <w:t>（</w:t>
      </w:r>
      <w:r>
        <w:rPr>
          <w:rFonts w:asciiTheme="minorEastAsia" w:hAnsiTheme="minorEastAsia" w:eastAsiaTheme="minorEastAsia"/>
          <w:color w:val="auto"/>
          <w:sz w:val="24"/>
          <w:szCs w:val="24"/>
        </w:rPr>
        <w:t>1</w:t>
      </w:r>
      <w:r>
        <w:rPr>
          <w:rFonts w:hint="eastAsia" w:asciiTheme="minorEastAsia" w:hAnsiTheme="minorEastAsia" w:eastAsiaTheme="minorEastAsia"/>
          <w:color w:val="auto"/>
          <w:sz w:val="24"/>
          <w:szCs w:val="24"/>
          <w:lang w:val="en-US" w:eastAsia="zh-CN"/>
        </w:rPr>
        <w:t>5</w:t>
      </w:r>
      <w:r>
        <w:rPr>
          <w:rFonts w:hint="eastAsia" w:asciiTheme="minorEastAsia" w:hAnsiTheme="minorEastAsia" w:eastAsiaTheme="minorEastAsia"/>
          <w:color w:val="auto"/>
          <w:sz w:val="24"/>
          <w:szCs w:val="24"/>
        </w:rPr>
        <w:t>）</w:t>
      </w:r>
      <w:r>
        <w:rPr>
          <w:rFonts w:hint="eastAsia" w:cs="仿宋_GB2312" w:asciiTheme="minorEastAsia" w:hAnsiTheme="minorEastAsia" w:eastAsiaTheme="minorEastAsia"/>
          <w:color w:val="auto"/>
          <w:kern w:val="0"/>
          <w:sz w:val="24"/>
          <w:lang w:val="zh-CN"/>
        </w:rPr>
        <w:t>政府采购供应商廉洁自律承诺书。</w:t>
      </w:r>
    </w:p>
    <w:p w14:paraId="70201255">
      <w:pPr>
        <w:pStyle w:val="31"/>
        <w:spacing w:line="360" w:lineRule="auto"/>
        <w:ind w:firstLine="482" w:firstLineChars="200"/>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szCs w:val="24"/>
        </w:rPr>
        <w:t>3. 响应文件的编制和签署</w:t>
      </w:r>
    </w:p>
    <w:p w14:paraId="5197EB77">
      <w:pPr>
        <w:spacing w:line="360" w:lineRule="auto"/>
        <w:ind w:firstLine="480" w:firstLineChars="200"/>
        <w:rPr>
          <w:rFonts w:cs="仿宋_GB2312" w:asciiTheme="minorEastAsia" w:hAnsiTheme="minorEastAsia" w:eastAsiaTheme="minorEastAsia"/>
          <w:b/>
          <w:color w:val="auto"/>
          <w:sz w:val="24"/>
        </w:rPr>
      </w:pPr>
      <w:r>
        <w:rPr>
          <w:rFonts w:hint="eastAsia" w:cs="仿宋_GB2312" w:asciiTheme="minorEastAsia" w:hAnsiTheme="minorEastAsia" w:eastAsiaTheme="minorEastAsia"/>
          <w:color w:val="auto"/>
          <w:kern w:val="0"/>
          <w:sz w:val="24"/>
          <w:lang w:val="zh-CN"/>
        </w:rPr>
        <w:t>3.1各供应商在编制响应文件时请按照磋商文件第七部分规定的格式进行，混乱的编排导致响应文件被误读或磋商小组查找不到有效文件是供应商的风险。</w:t>
      </w:r>
    </w:p>
    <w:p w14:paraId="6B10A53F">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3.2供应商进行电子交易应安装客户端软件—“政采云电子交易客户端”，并按照磋商文件和电子交易平台的要求编制并加密响应文件。供应商未按规定加密的响应文件，电子交易平台将拒收并提示。</w:t>
      </w:r>
    </w:p>
    <w:p w14:paraId="572CC1A6">
      <w:pPr>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3.3使用“政采云电子交易客户端”需要提前申领CA数字证书，申领流程请自行前往“浙江政府采购网-下载专区-电子交易客户端-CA驱动和申领流程”进行查阅。</w:t>
      </w:r>
    </w:p>
    <w:p w14:paraId="1A4440A9">
      <w:pPr>
        <w:pStyle w:val="392"/>
        <w:snapToGrid w:val="0"/>
        <w:spacing w:before="0"/>
        <w:ind w:firstLine="480"/>
        <w:rPr>
          <w:rFonts w:cs="仿宋_GB2312" w:asciiTheme="minorEastAsia" w:hAnsiTheme="minorEastAsia" w:eastAsiaTheme="minorEastAsia"/>
          <w:b/>
          <w:color w:val="auto"/>
        </w:rPr>
      </w:pPr>
      <w:r>
        <w:rPr>
          <w:rFonts w:hint="eastAsia" w:cs="仿宋_GB2312" w:asciiTheme="minorEastAsia" w:hAnsiTheme="minorEastAsia" w:eastAsiaTheme="minorEastAsia"/>
          <w:color w:val="auto"/>
          <w:szCs w:val="24"/>
        </w:rPr>
        <w:t>3.4响应文件按照磋商文件第七部分格式要</w:t>
      </w:r>
      <w:r>
        <w:rPr>
          <w:rFonts w:hint="eastAsia" w:cs="仿宋_GB2312" w:asciiTheme="minorEastAsia" w:hAnsiTheme="minorEastAsia" w:eastAsiaTheme="minorEastAsia"/>
          <w:color w:val="auto"/>
        </w:rPr>
        <w:t>求进行签署、盖章。</w:t>
      </w:r>
      <w:r>
        <w:rPr>
          <w:rFonts w:hint="eastAsia" w:asciiTheme="minorEastAsia" w:hAnsiTheme="minorEastAsia" w:eastAsiaTheme="minorEastAsia"/>
          <w:b/>
          <w:color w:val="auto"/>
        </w:rPr>
        <w:t>▲</w:t>
      </w:r>
      <w:r>
        <w:rPr>
          <w:rFonts w:hint="eastAsia" w:cs="仿宋_GB2312" w:asciiTheme="minorEastAsia" w:hAnsiTheme="minorEastAsia" w:eastAsiaTheme="minorEastAsia"/>
          <w:b/>
          <w:color w:val="auto"/>
        </w:rPr>
        <w:t>供应商的响应文件未按照磋商文件要求签署、盖章的，其响应无效</w:t>
      </w:r>
      <w:r>
        <w:rPr>
          <w:rFonts w:hint="eastAsia" w:cs="仿宋_GB2312" w:asciiTheme="minorEastAsia" w:hAnsiTheme="minorEastAsia" w:eastAsiaTheme="minorEastAsia"/>
          <w:color w:val="auto"/>
          <w:szCs w:val="24"/>
        </w:rPr>
        <w:t>。</w:t>
      </w:r>
    </w:p>
    <w:p w14:paraId="1A1441AF">
      <w:pPr>
        <w:pStyle w:val="392"/>
        <w:snapToGrid w:val="0"/>
        <w:spacing w:before="0"/>
        <w:ind w:firstLine="480"/>
        <w:rPr>
          <w:rFonts w:cs="宋体" w:asciiTheme="minorEastAsia" w:hAnsiTheme="minorEastAsia" w:eastAsiaTheme="minorEastAsia"/>
          <w:color w:val="auto"/>
        </w:rPr>
      </w:pPr>
      <w:r>
        <w:rPr>
          <w:rFonts w:hint="eastAsia" w:cs="仿宋_GB2312" w:asciiTheme="minorEastAsia" w:hAnsiTheme="minorEastAsia" w:eastAsiaTheme="minorEastAsia"/>
          <w:color w:val="auto"/>
          <w:szCs w:val="24"/>
        </w:rPr>
        <w:t>3.5为确保网上操作合法、有效和安全，供应商应当在响应截止时间前完成在“政府采购云平台”的身份认证，确保在电子交易过程中能够对相关数据电文进行加密和使用电子签名。</w:t>
      </w:r>
    </w:p>
    <w:p w14:paraId="3C9B5066">
      <w:pPr>
        <w:pStyle w:val="392"/>
        <w:snapToGrid w:val="0"/>
        <w:spacing w:before="0"/>
        <w:ind w:firstLine="480"/>
        <w:rPr>
          <w:rFonts w:cs="宋体" w:asciiTheme="minorEastAsia" w:hAnsiTheme="minorEastAsia" w:eastAsiaTheme="minorEastAsia"/>
          <w:color w:val="auto"/>
          <w:szCs w:val="24"/>
        </w:rPr>
      </w:pPr>
      <w:r>
        <w:rPr>
          <w:rFonts w:hint="eastAsia" w:cs="宋体" w:asciiTheme="minorEastAsia" w:hAnsiTheme="minorEastAsia" w:eastAsiaTheme="minorEastAsia"/>
          <w:color w:val="auto"/>
        </w:rPr>
        <w:t>3.6磋商文件对响应文件签署、盖章的要求适用于电子签名。</w:t>
      </w:r>
    </w:p>
    <w:p w14:paraId="16D79489">
      <w:pPr>
        <w:pStyle w:val="31"/>
        <w:spacing w:line="360" w:lineRule="auto"/>
        <w:ind w:firstLine="480" w:firstLineChars="200"/>
        <w:rPr>
          <w:rFonts w:cs="仿宋_GB2312" w:asciiTheme="minorEastAsia" w:hAnsiTheme="minorEastAsia" w:eastAsiaTheme="minorEastAsia"/>
          <w:color w:val="auto"/>
          <w:sz w:val="24"/>
          <w:szCs w:val="24"/>
        </w:rPr>
      </w:pPr>
    </w:p>
    <w:p w14:paraId="2080BFD2">
      <w:pPr>
        <w:adjustRightInd/>
        <w:spacing w:line="360" w:lineRule="auto"/>
        <w:jc w:val="center"/>
        <w:outlineLvl w:val="0"/>
        <w:rPr>
          <w:rFonts w:cs="仿宋_GB2312" w:asciiTheme="minorEastAsia" w:hAnsiTheme="minorEastAsia" w:eastAsiaTheme="minorEastAsia"/>
          <w:b/>
          <w:color w:val="auto"/>
          <w:sz w:val="32"/>
          <w:szCs w:val="20"/>
        </w:rPr>
      </w:pPr>
    </w:p>
    <w:p w14:paraId="62FBD3D4">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七、</w:t>
      </w:r>
      <w:r>
        <w:rPr>
          <w:rFonts w:hint="eastAsia" w:asciiTheme="minorEastAsia" w:hAnsiTheme="minorEastAsia" w:eastAsiaTheme="minorEastAsia"/>
          <w:b/>
          <w:color w:val="auto"/>
          <w:sz w:val="32"/>
          <w:szCs w:val="32"/>
        </w:rPr>
        <w:t>响应</w:t>
      </w:r>
      <w:r>
        <w:rPr>
          <w:rFonts w:hint="eastAsia" w:cs="仿宋_GB2312" w:asciiTheme="minorEastAsia" w:hAnsiTheme="minorEastAsia" w:eastAsiaTheme="minorEastAsia"/>
          <w:b/>
          <w:color w:val="auto"/>
          <w:sz w:val="32"/>
          <w:szCs w:val="20"/>
        </w:rPr>
        <w:t>文件的提交和备份</w:t>
      </w:r>
    </w:p>
    <w:p w14:paraId="5675054E">
      <w:pPr>
        <w:pStyle w:val="392"/>
        <w:spacing w:before="0"/>
        <w:ind w:firstLine="0" w:firstLineChars="0"/>
        <w:rPr>
          <w:rFonts w:cs="仿宋_GB2312" w:asciiTheme="minorEastAsia" w:hAnsiTheme="minorEastAsia" w:eastAsiaTheme="minorEastAsia"/>
          <w:b/>
          <w:color w:val="auto"/>
          <w:szCs w:val="24"/>
        </w:rPr>
      </w:pPr>
    </w:p>
    <w:p w14:paraId="4AC6459E">
      <w:pPr>
        <w:pStyle w:val="392"/>
        <w:spacing w:before="0"/>
        <w:ind w:firstLine="0" w:firstLineChars="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Cs w:val="24"/>
        </w:rPr>
        <w:t>1.响应文件的提交、补充、修改、撤回</w:t>
      </w:r>
    </w:p>
    <w:p w14:paraId="18324A95">
      <w:pPr>
        <w:pStyle w:val="392"/>
        <w:ind w:firstLine="480"/>
        <w:rPr>
          <w:rFonts w:cs="仿宋_GB2312" w:asciiTheme="minorEastAsia" w:hAnsiTheme="minorEastAsia" w:eastAsiaTheme="minorEastAsia"/>
          <w:color w:val="auto"/>
          <w:szCs w:val="24"/>
        </w:rPr>
      </w:pPr>
      <w:r>
        <w:rPr>
          <w:rFonts w:hint="eastAsia" w:cs="仿宋_GB2312" w:asciiTheme="minorEastAsia" w:hAnsiTheme="minorEastAsia" w:eastAsiaTheme="minorEastAsia"/>
          <w:color w:val="auto"/>
          <w:szCs w:val="24"/>
        </w:rPr>
        <w:t>1.1 供应商应当在提交响应文件截止时间前完成响应文件的传输提交，并可以补充、修改或者撤回响应文件。补充或者修改响应文件的，应当先行撤回原文件，补充、修改后重新传输提交。提交响应文件截止时间前未完成传输的，视为撤回响应文件。响应截止时间后提交的响应文件，电子交易平台将拒收。</w:t>
      </w:r>
    </w:p>
    <w:p w14:paraId="765C0EB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1.2 在响应截止时间以后，不能补充、修改响应文件。</w:t>
      </w:r>
    </w:p>
    <w:p w14:paraId="724E9AA3">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1.3 在提交“最后报价”后，供应商不能退出磋商。</w:t>
      </w:r>
    </w:p>
    <w:p w14:paraId="3DA3316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1.4 电子交易平台收到响应文件，将妥善保存并即时向供应商发出确认回执通知。在响应截止时间前，除供应商补充、修改或者撤回响应文件外，任何单位和个人不得解密或提取响应文件。</w:t>
      </w:r>
    </w:p>
    <w:p w14:paraId="7EA81C69">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1.5 </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可以视情况延长提交响应文件的截止时间。在上述情况下，</w:t>
      </w:r>
      <w:r>
        <w:rPr>
          <w:rFonts w:hint="eastAsia" w:asciiTheme="minorEastAsia" w:hAnsiTheme="minorEastAsia" w:eastAsiaTheme="minorEastAsia"/>
          <w:color w:val="auto"/>
          <w:sz w:val="24"/>
          <w:lang w:eastAsia="zh-CN"/>
        </w:rPr>
        <w:t>采购代理机构</w:t>
      </w:r>
      <w:r>
        <w:rPr>
          <w:rFonts w:hint="eastAsia" w:asciiTheme="minorEastAsia" w:hAnsiTheme="minorEastAsia" w:eastAsiaTheme="minorEastAsia"/>
          <w:color w:val="auto"/>
          <w:sz w:val="24"/>
        </w:rPr>
        <w:t>与供应商以前在响应截止期方面的全部权利、责任和义务，将适用于延长至新的响应截止期。</w:t>
      </w:r>
    </w:p>
    <w:p w14:paraId="3D372D48">
      <w:pPr>
        <w:pStyle w:val="31"/>
        <w:spacing w:line="360" w:lineRule="auto"/>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2.备份响应文件</w:t>
      </w:r>
    </w:p>
    <w:p w14:paraId="3F473276">
      <w:pPr>
        <w:pStyle w:val="31"/>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2.1 供应商在电子交易平台传输提交响应文件后，还可以在响应截止时间前直接提交或者以邮政快递方式递交备份响应文件1份，</w:t>
      </w:r>
      <w:r>
        <w:rPr>
          <w:rFonts w:hint="eastAsia" w:cs="仿宋_GB2312" w:asciiTheme="minorEastAsia" w:hAnsiTheme="minorEastAsia" w:eastAsiaTheme="minorEastAsia"/>
          <w:b/>
          <w:color w:val="auto"/>
          <w:sz w:val="24"/>
          <w:szCs w:val="24"/>
        </w:rPr>
        <w:t>不强制供应商提交备份响应文件。</w:t>
      </w:r>
    </w:p>
    <w:p w14:paraId="21D0F314">
      <w:pPr>
        <w:pStyle w:val="31"/>
        <w:spacing w:line="360" w:lineRule="auto"/>
        <w:ind w:firstLine="360"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color w:val="auto"/>
          <w:sz w:val="24"/>
          <w:szCs w:val="24"/>
        </w:rPr>
        <w:t>2.2 备份响应文件须在“政采云投标客户端”制作生成，并储存在不可修改的</w:t>
      </w:r>
      <w:r>
        <w:rPr>
          <w:rFonts w:hint="eastAsia" w:asciiTheme="minorEastAsia" w:hAnsiTheme="minorEastAsia" w:eastAsiaTheme="minorEastAsia"/>
          <w:b/>
          <w:color w:val="auto"/>
          <w:sz w:val="24"/>
          <w:u w:val="single"/>
        </w:rPr>
        <w:t>电子光盘</w:t>
      </w:r>
      <w:r>
        <w:rPr>
          <w:rFonts w:hint="eastAsia" w:asciiTheme="minorEastAsia" w:hAnsiTheme="minorEastAsia" w:eastAsiaTheme="minorEastAsia"/>
          <w:b/>
          <w:color w:val="auto"/>
          <w:sz w:val="24"/>
          <w:u w:val="single"/>
          <w:lang w:val="en-US" w:eastAsia="zh-CN"/>
        </w:rPr>
        <w:t>等存储介质</w:t>
      </w:r>
      <w:r>
        <w:rPr>
          <w:rFonts w:hint="eastAsia" w:cs="仿宋_GB2312" w:asciiTheme="minorEastAsia" w:hAnsiTheme="minorEastAsia" w:eastAsiaTheme="minorEastAsia"/>
          <w:color w:val="auto"/>
          <w:sz w:val="24"/>
          <w:szCs w:val="24"/>
        </w:rPr>
        <w:t>中。备份响应文件应当密封包装并在包装上加盖公章并注明响应项目名称，供应商名称。</w:t>
      </w:r>
      <w:r>
        <w:rPr>
          <w:rFonts w:hint="eastAsia" w:asciiTheme="minorEastAsia" w:hAnsiTheme="minorEastAsia" w:eastAsiaTheme="minorEastAsia"/>
          <w:b/>
          <w:color w:val="auto"/>
          <w:sz w:val="24"/>
        </w:rPr>
        <w:t>▲不符合上述制作、</w:t>
      </w:r>
      <w:r>
        <w:rPr>
          <w:rFonts w:hint="eastAsia" w:cs="仿宋_GB2312" w:asciiTheme="minorEastAsia" w:hAnsiTheme="minorEastAsia" w:eastAsiaTheme="minorEastAsia"/>
          <w:b/>
          <w:color w:val="auto"/>
          <w:sz w:val="24"/>
          <w:szCs w:val="24"/>
        </w:rPr>
        <w:t>存储、密封规定的备份响应文件将被视为无效或者被拒绝接收。</w:t>
      </w:r>
    </w:p>
    <w:p w14:paraId="5780D5A9">
      <w:pPr>
        <w:pStyle w:val="31"/>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2.3 直接提交备份响应文件的，供应商应于响应截止时间前在磋商公告中载明的开启响应文件的地点将备份响应文件提交给</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w:t>
      </w:r>
    </w:p>
    <w:p w14:paraId="6C6B8944">
      <w:pPr>
        <w:pStyle w:val="31"/>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2.4 以邮政快递方式递交备份响应文件的，供应商应先将备份响应文件按要求密封和标记，再进行邮政快递包装后邮寄。备份响应文件须在提交响应文件截止时间之前送达</w:t>
      </w:r>
      <w:r>
        <w:rPr>
          <w:rFonts w:hint="eastAsia" w:cs="宋体" w:asciiTheme="minorEastAsia" w:hAnsiTheme="minorEastAsia" w:eastAsiaTheme="minorEastAsia"/>
          <w:color w:val="auto"/>
          <w:sz w:val="24"/>
          <w:szCs w:val="24"/>
        </w:rPr>
        <w:t>磋商文件第三部分供应商须知前附表规定的备份响应文件送达地点</w:t>
      </w:r>
      <w:r>
        <w:rPr>
          <w:rFonts w:hint="eastAsia" w:cs="仿宋_GB2312" w:asciiTheme="minorEastAsia" w:hAnsiTheme="minorEastAsia" w:eastAsiaTheme="minorEastAsia"/>
          <w:color w:val="auto"/>
          <w:sz w:val="24"/>
          <w:szCs w:val="24"/>
        </w:rPr>
        <w:t>；送达时间以签收人签收时间为准。</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将拒绝接受逾期送达的备份响应文件。邮寄过程中，电子备份响应文件发生泄露、遗失、损坏或延期送达等情况的，由供应商自行负责。</w:t>
      </w:r>
    </w:p>
    <w:p w14:paraId="07315792">
      <w:pPr>
        <w:pStyle w:val="31"/>
        <w:spacing w:line="360" w:lineRule="auto"/>
        <w:ind w:firstLine="361"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b/>
          <w:color w:val="auto"/>
          <w:sz w:val="24"/>
          <w:szCs w:val="24"/>
        </w:rPr>
        <w:t xml:space="preserve">2.5 </w:t>
      </w:r>
      <w:r>
        <w:rPr>
          <w:rFonts w:hint="eastAsia" w:asciiTheme="minorEastAsia" w:hAnsiTheme="minorEastAsia" w:eastAsiaTheme="minorEastAsia"/>
          <w:b/>
          <w:color w:val="auto"/>
          <w:sz w:val="24"/>
        </w:rPr>
        <w:t>▲</w:t>
      </w:r>
      <w:r>
        <w:rPr>
          <w:rFonts w:hint="eastAsia" w:cs="仿宋_GB2312" w:asciiTheme="minorEastAsia" w:hAnsiTheme="minorEastAsia" w:eastAsiaTheme="minorEastAsia"/>
          <w:b/>
          <w:color w:val="auto"/>
          <w:sz w:val="24"/>
          <w:szCs w:val="24"/>
        </w:rPr>
        <w:t>供应商仅提交备份响应文件，未在电子交易平台传输提交响应文件的，响应无效。</w:t>
      </w:r>
    </w:p>
    <w:p w14:paraId="699F539B">
      <w:pPr>
        <w:adjustRightInd/>
        <w:spacing w:line="360" w:lineRule="auto"/>
        <w:jc w:val="center"/>
        <w:outlineLvl w:val="0"/>
        <w:rPr>
          <w:rFonts w:cs="仿宋_GB2312" w:asciiTheme="minorEastAsia" w:hAnsiTheme="minorEastAsia" w:eastAsiaTheme="minorEastAsia"/>
          <w:b/>
          <w:color w:val="auto"/>
          <w:sz w:val="32"/>
          <w:szCs w:val="20"/>
        </w:rPr>
      </w:pPr>
    </w:p>
    <w:p w14:paraId="32ED982C">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八、</w:t>
      </w:r>
      <w:r>
        <w:rPr>
          <w:rFonts w:hint="eastAsia" w:asciiTheme="minorEastAsia" w:hAnsiTheme="minorEastAsia" w:eastAsiaTheme="minorEastAsia"/>
          <w:b/>
          <w:color w:val="auto"/>
          <w:sz w:val="32"/>
          <w:szCs w:val="32"/>
        </w:rPr>
        <w:t>开启响应文件与信用信息查询</w:t>
      </w:r>
    </w:p>
    <w:p w14:paraId="2E2252F5">
      <w:pPr>
        <w:pStyle w:val="31"/>
        <w:spacing w:line="360" w:lineRule="auto"/>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1. 开启响应文件</w:t>
      </w:r>
    </w:p>
    <w:p w14:paraId="29D6498D">
      <w:pPr>
        <w:pStyle w:val="31"/>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 xml:space="preserve">1.1 </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按照磋商文件规定的时间通过电子交易平台组织响应文件开启，所有供应商均应当准时在线参加。</w:t>
      </w:r>
      <w:r>
        <w:rPr>
          <w:rFonts w:hint="eastAsia" w:cs="仿宋_GB2312" w:asciiTheme="minorEastAsia" w:hAnsiTheme="minorEastAsia" w:eastAsiaTheme="minorEastAsia"/>
          <w:b/>
          <w:color w:val="auto"/>
          <w:sz w:val="24"/>
          <w:szCs w:val="24"/>
        </w:rPr>
        <w:t>供应商数量不符合规定的，不得开启响应文件。</w:t>
      </w:r>
    </w:p>
    <w:p w14:paraId="30B5F237">
      <w:pPr>
        <w:pStyle w:val="31"/>
        <w:spacing w:line="360" w:lineRule="auto"/>
        <w:ind w:firstLine="360" w:firstLineChars="15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1.2开启响应文件时，电子交易平台按开启响应文件时间自动提取所有响应文件。</w:t>
      </w:r>
      <w:r>
        <w:rPr>
          <w:rFonts w:hint="eastAsia" w:cs="仿宋_GB2312" w:asciiTheme="minorEastAsia" w:hAnsiTheme="minorEastAsia" w:eastAsiaTheme="minorEastAsia"/>
          <w:color w:val="auto"/>
          <w:sz w:val="24"/>
          <w:szCs w:val="24"/>
          <w:lang w:eastAsia="zh-CN"/>
        </w:rPr>
        <w:t>采购代理机构</w:t>
      </w:r>
      <w:r>
        <w:rPr>
          <w:rFonts w:hint="eastAsia" w:cs="仿宋_GB2312" w:asciiTheme="minorEastAsia" w:hAnsiTheme="minorEastAsia" w:eastAsiaTheme="minorEastAsia"/>
          <w:color w:val="auto"/>
          <w:sz w:val="24"/>
          <w:szCs w:val="24"/>
        </w:rPr>
        <w:t>依托电子交易平台发起开始解密指令，供应商按照平台提示和磋商文件的规定在半小时内完成在线解密。</w:t>
      </w:r>
    </w:p>
    <w:p w14:paraId="4FEADC1F">
      <w:pPr>
        <w:pStyle w:val="31"/>
        <w:spacing w:line="360" w:lineRule="auto"/>
        <w:ind w:firstLine="361" w:firstLineChars="150"/>
        <w:rPr>
          <w:rFonts w:cs="仿宋_GB2312" w:asciiTheme="minorEastAsia" w:hAnsiTheme="minorEastAsia" w:eastAsiaTheme="minorEastAsia"/>
          <w:b/>
          <w:color w:val="auto"/>
          <w:sz w:val="24"/>
          <w:szCs w:val="24"/>
        </w:rPr>
      </w:pPr>
      <w:r>
        <w:rPr>
          <w:rFonts w:hint="eastAsia" w:cs="仿宋_GB2312" w:asciiTheme="minorEastAsia" w:hAnsiTheme="minorEastAsia" w:eastAsiaTheme="minorEastAsia"/>
          <w:b/>
          <w:color w:val="auto"/>
          <w:sz w:val="24"/>
          <w:szCs w:val="24"/>
        </w:rPr>
        <w:t>1.3响应文件未在规定时间内成功解密的供应商，如提交了备份响应文件的，以备份响应文件作为依据，否则视为响应文件撤回。响应文件解密成功的供应商，其备份响应文件自动失效。</w:t>
      </w:r>
    </w:p>
    <w:p w14:paraId="15042922">
      <w:pPr>
        <w:pStyle w:val="392"/>
        <w:spacing w:before="0"/>
        <w:ind w:firstLine="0" w:firstLineChars="0"/>
        <w:rPr>
          <w:rFonts w:cs="仿宋_GB2312" w:asciiTheme="minorEastAsia" w:hAnsiTheme="minorEastAsia" w:eastAsiaTheme="minorEastAsia"/>
          <w:b/>
          <w:color w:val="auto"/>
          <w:szCs w:val="24"/>
        </w:rPr>
      </w:pPr>
      <w:r>
        <w:rPr>
          <w:rFonts w:hint="eastAsia" w:cs="仿宋_GB2312" w:asciiTheme="minorEastAsia" w:hAnsiTheme="minorEastAsia" w:eastAsiaTheme="minorEastAsia"/>
          <w:b/>
          <w:color w:val="auto"/>
          <w:szCs w:val="24"/>
        </w:rPr>
        <w:t>2.信用信息查询</w:t>
      </w:r>
    </w:p>
    <w:p w14:paraId="46B7103F">
      <w:pPr>
        <w:pStyle w:val="392"/>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2.1信用信息查询渠道及截止时间：</w:t>
      </w:r>
      <w:r>
        <w:rPr>
          <w:rFonts w:hint="eastAsia" w:cs="Arial" w:asciiTheme="minorEastAsia" w:hAnsiTheme="minorEastAsia" w:eastAsiaTheme="minorEastAsia"/>
          <w:color w:val="auto"/>
          <w:kern w:val="0"/>
          <w:szCs w:val="24"/>
          <w:lang w:eastAsia="zh-CN"/>
        </w:rPr>
        <w:t>采购代理机构</w:t>
      </w:r>
      <w:r>
        <w:rPr>
          <w:rFonts w:hint="eastAsia" w:cs="Arial" w:asciiTheme="minorEastAsia" w:hAnsiTheme="minorEastAsia" w:eastAsiaTheme="minorEastAsia"/>
          <w:color w:val="auto"/>
          <w:kern w:val="0"/>
          <w:szCs w:val="24"/>
        </w:rPr>
        <w:t>将通过“信用中国”网站(</w:t>
      </w:r>
      <w:r>
        <w:rPr>
          <w:color w:val="auto"/>
        </w:rPr>
        <w:fldChar w:fldCharType="begin"/>
      </w:r>
      <w:r>
        <w:rPr>
          <w:color w:val="auto"/>
        </w:rPr>
        <w:instrText xml:space="preserve"> HYPERLINK "http://www.creditchina.gov.cn" </w:instrText>
      </w:r>
      <w:r>
        <w:rPr>
          <w:color w:val="auto"/>
        </w:rPr>
        <w:fldChar w:fldCharType="separate"/>
      </w:r>
      <w:r>
        <w:rPr>
          <w:rStyle w:val="68"/>
          <w:rFonts w:hint="eastAsia" w:asciiTheme="minorEastAsia" w:hAnsiTheme="minorEastAsia" w:eastAsiaTheme="minorEastAsia"/>
          <w:snapToGrid/>
          <w:color w:val="auto"/>
          <w:sz w:val="24"/>
          <w:szCs w:val="24"/>
        </w:rPr>
        <w:t>www.creditchina.gov.cn</w:t>
      </w:r>
      <w:r>
        <w:rPr>
          <w:rStyle w:val="68"/>
          <w:rFonts w:hint="eastAsia" w:asciiTheme="minorEastAsia" w:hAnsiTheme="minorEastAsia" w:eastAsiaTheme="minorEastAsia"/>
          <w:snapToGrid/>
          <w:color w:val="auto"/>
          <w:sz w:val="24"/>
          <w:szCs w:val="24"/>
        </w:rPr>
        <w:fldChar w:fldCharType="end"/>
      </w:r>
      <w:r>
        <w:rPr>
          <w:rFonts w:hint="eastAsia" w:cs="Arial" w:asciiTheme="minorEastAsia" w:hAnsiTheme="minorEastAsia" w:eastAsiaTheme="minorEastAsia"/>
          <w:color w:val="auto"/>
          <w:kern w:val="0"/>
          <w:szCs w:val="24"/>
        </w:rPr>
        <w:t>)、中国政府采购网(www.ccgp.gov.cn)渠道查询供应商响应截止时间前的信用记录。</w:t>
      </w:r>
    </w:p>
    <w:p w14:paraId="7BDA764E">
      <w:pPr>
        <w:pStyle w:val="392"/>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2.2信用信息查询记录和证据留存的具体方式：现场查询的供应商的信用记录、查询结果经确认后存档。</w:t>
      </w:r>
    </w:p>
    <w:p w14:paraId="1E2AC8B2">
      <w:pPr>
        <w:pStyle w:val="392"/>
        <w:spacing w:before="0"/>
        <w:ind w:firstLine="495" w:firstLineChars="0"/>
        <w:rPr>
          <w:rFonts w:cs="Arial" w:asciiTheme="minorEastAsia" w:hAnsiTheme="minorEastAsia" w:eastAsiaTheme="minorEastAsia"/>
          <w:color w:val="auto"/>
          <w:kern w:val="0"/>
          <w:szCs w:val="24"/>
        </w:rPr>
      </w:pPr>
      <w:r>
        <w:rPr>
          <w:rFonts w:hint="eastAsia" w:cs="Arial" w:asciiTheme="minorEastAsia" w:hAnsiTheme="minorEastAsia" w:eastAsiaTheme="minorEastAsia"/>
          <w:color w:val="auto"/>
          <w:kern w:val="0"/>
          <w:szCs w:val="24"/>
        </w:rPr>
        <w:t>2.3信用信息的使用规则：经查询列入失信被执行人名单、重大税收违法案件当事人名单、政府采购严重违法失信行为记录名单的供应商将被拒绝参与政府采购活动。</w:t>
      </w:r>
    </w:p>
    <w:p w14:paraId="25A87122">
      <w:pPr>
        <w:pStyle w:val="31"/>
        <w:spacing w:line="360" w:lineRule="auto"/>
        <w:rPr>
          <w:rFonts w:cs="仿宋_GB2312" w:asciiTheme="minorEastAsia" w:hAnsiTheme="minorEastAsia" w:eastAsiaTheme="minorEastAsia"/>
          <w:b/>
          <w:color w:val="auto"/>
          <w:sz w:val="24"/>
          <w:szCs w:val="24"/>
        </w:rPr>
      </w:pPr>
    </w:p>
    <w:p w14:paraId="26BE34F4">
      <w:pPr>
        <w:pStyle w:val="31"/>
        <w:spacing w:line="360" w:lineRule="auto"/>
        <w:rPr>
          <w:rFonts w:cs="仿宋_GB2312" w:asciiTheme="minorEastAsia" w:hAnsiTheme="minorEastAsia" w:eastAsiaTheme="minorEastAsia"/>
          <w:b/>
          <w:color w:val="auto"/>
          <w:sz w:val="24"/>
          <w:szCs w:val="24"/>
        </w:rPr>
      </w:pPr>
    </w:p>
    <w:p w14:paraId="374704A3">
      <w:pPr>
        <w:adjustRightInd/>
        <w:spacing w:line="360" w:lineRule="auto"/>
        <w:jc w:val="center"/>
        <w:outlineLvl w:val="0"/>
        <w:rPr>
          <w:rFonts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rPr>
        <w:t>九</w:t>
      </w:r>
      <w:r>
        <w:rPr>
          <w:rFonts w:hint="eastAsia" w:cs="仿宋_GB2312" w:asciiTheme="minorEastAsia" w:hAnsiTheme="minorEastAsia" w:eastAsiaTheme="minorEastAsia"/>
          <w:b/>
          <w:color w:val="auto"/>
          <w:sz w:val="32"/>
          <w:szCs w:val="20"/>
        </w:rPr>
        <w:t>、提交</w:t>
      </w:r>
      <w:r>
        <w:rPr>
          <w:rFonts w:hint="eastAsia" w:asciiTheme="minorEastAsia" w:hAnsiTheme="minorEastAsia" w:eastAsiaTheme="minorEastAsia"/>
          <w:b/>
          <w:color w:val="auto"/>
          <w:sz w:val="32"/>
          <w:szCs w:val="32"/>
        </w:rPr>
        <w:t>最后报价</w:t>
      </w:r>
    </w:p>
    <w:p w14:paraId="74E5D2F5">
      <w:pPr>
        <w:snapToGrid w:val="0"/>
        <w:spacing w:line="360" w:lineRule="auto"/>
        <w:rPr>
          <w:rFonts w:cs="仿宋_GB2312" w:asciiTheme="minorEastAsia" w:hAnsiTheme="minorEastAsia" w:eastAsiaTheme="minorEastAsia"/>
          <w:color w:val="auto"/>
          <w:sz w:val="24"/>
          <w:u w:val="single"/>
          <w:lang w:val="zh-CN"/>
        </w:rPr>
      </w:pPr>
      <w:r>
        <w:rPr>
          <w:rFonts w:hint="eastAsia" w:asciiTheme="minorEastAsia" w:hAnsiTheme="minorEastAsia" w:eastAsiaTheme="minorEastAsia"/>
          <w:b/>
          <w:color w:val="auto"/>
          <w:sz w:val="24"/>
        </w:rPr>
        <w:t>1.</w:t>
      </w:r>
      <w:r>
        <w:rPr>
          <w:rFonts w:hint="eastAsia" w:cs="仿宋_GB2312" w:asciiTheme="minorEastAsia" w:hAnsiTheme="minorEastAsia" w:eastAsiaTheme="minorEastAsia"/>
          <w:color w:val="auto"/>
          <w:sz w:val="24"/>
        </w:rPr>
        <w:t>供应商的</w:t>
      </w:r>
      <w:r>
        <w:rPr>
          <w:rFonts w:hint="eastAsia" w:cs="仿宋_GB2312" w:asciiTheme="minorEastAsia" w:hAnsiTheme="minorEastAsia" w:eastAsiaTheme="minorEastAsia"/>
          <w:b/>
          <w:color w:val="auto"/>
          <w:sz w:val="24"/>
        </w:rPr>
        <w:t>最后报价文件</w:t>
      </w:r>
      <w:r>
        <w:rPr>
          <w:rFonts w:hint="eastAsia" w:cs="仿宋_GB2312" w:asciiTheme="minorEastAsia" w:hAnsiTheme="minorEastAsia" w:eastAsiaTheme="minorEastAsia"/>
          <w:color w:val="auto"/>
          <w:sz w:val="24"/>
        </w:rPr>
        <w:t>应包括以下内容：</w:t>
      </w:r>
    </w:p>
    <w:p w14:paraId="1A42BD7A">
      <w:pPr>
        <w:pStyle w:val="31"/>
        <w:snapToGrid w:val="0"/>
        <w:spacing w:line="360" w:lineRule="auto"/>
        <w:ind w:firstLine="480" w:firstLineChars="200"/>
        <w:rPr>
          <w:rFonts w:cs="仿宋_GB2312" w:asciiTheme="minorEastAsia" w:hAnsiTheme="minorEastAsia" w:eastAsiaTheme="minorEastAsia"/>
          <w:color w:val="auto"/>
          <w:sz w:val="24"/>
          <w:szCs w:val="24"/>
        </w:rPr>
      </w:pPr>
      <w:r>
        <w:rPr>
          <w:rFonts w:hint="eastAsia" w:cs="仿宋_GB2312" w:asciiTheme="minorEastAsia" w:hAnsiTheme="minorEastAsia" w:eastAsiaTheme="minorEastAsia"/>
          <w:color w:val="auto"/>
          <w:sz w:val="24"/>
          <w:szCs w:val="24"/>
        </w:rPr>
        <w:t>1.1最后报价一览表；</w:t>
      </w:r>
    </w:p>
    <w:p w14:paraId="5A09E776">
      <w:pPr>
        <w:adjustRightInd/>
        <w:spacing w:line="360" w:lineRule="auto"/>
        <w:jc w:val="center"/>
        <w:outlineLvl w:val="0"/>
        <w:rPr>
          <w:rFonts w:cs="仿宋_GB2312" w:asciiTheme="minorEastAsia" w:hAnsiTheme="minorEastAsia" w:eastAsiaTheme="minorEastAsia"/>
          <w:b/>
          <w:color w:val="auto"/>
          <w:sz w:val="32"/>
          <w:szCs w:val="20"/>
        </w:rPr>
      </w:pPr>
    </w:p>
    <w:p w14:paraId="0103D7FD">
      <w:pPr>
        <w:adjustRightInd/>
        <w:spacing w:line="360" w:lineRule="auto"/>
        <w:jc w:val="center"/>
        <w:outlineLvl w:val="0"/>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szCs w:val="20"/>
        </w:rPr>
        <w:t>十、</w:t>
      </w:r>
      <w:r>
        <w:rPr>
          <w:rFonts w:hint="eastAsia" w:asciiTheme="minorEastAsia" w:hAnsiTheme="minorEastAsia" w:eastAsiaTheme="minorEastAsia"/>
          <w:b/>
          <w:color w:val="auto"/>
          <w:sz w:val="32"/>
          <w:szCs w:val="32"/>
        </w:rPr>
        <w:t>评审</w:t>
      </w:r>
    </w:p>
    <w:p w14:paraId="60F2B076">
      <w:pPr>
        <w:pStyle w:val="392"/>
        <w:spacing w:before="0"/>
        <w:ind w:firstLine="0" w:firstLineChars="0"/>
        <w:rPr>
          <w:rFonts w:cs="仿宋_GB2312" w:asciiTheme="minorEastAsia" w:hAnsiTheme="minorEastAsia" w:eastAsiaTheme="minorEastAsia"/>
          <w:b/>
          <w:color w:val="auto"/>
        </w:rPr>
      </w:pPr>
      <w:r>
        <w:rPr>
          <w:rFonts w:hint="eastAsia" w:asciiTheme="minorEastAsia" w:hAnsiTheme="minorEastAsia" w:eastAsiaTheme="minorEastAsia"/>
          <w:b/>
          <w:color w:val="auto"/>
          <w:szCs w:val="24"/>
        </w:rPr>
        <w:t>1.</w:t>
      </w:r>
      <w:r>
        <w:rPr>
          <w:rFonts w:hint="eastAsia" w:cs="仿宋_GB2312" w:asciiTheme="minorEastAsia" w:hAnsiTheme="minorEastAsia" w:eastAsiaTheme="minorEastAsia"/>
          <w:b/>
          <w:color w:val="auto"/>
        </w:rPr>
        <w:t xml:space="preserve"> 评审方法：</w:t>
      </w:r>
      <w:r>
        <w:rPr>
          <w:rFonts w:hint="eastAsia" w:cs="仿宋_GB2312" w:asciiTheme="minorEastAsia" w:hAnsiTheme="minorEastAsia" w:eastAsiaTheme="minorEastAsia"/>
          <w:color w:val="auto"/>
        </w:rPr>
        <w:t>综合评分法。</w:t>
      </w:r>
    </w:p>
    <w:p w14:paraId="13D33A92">
      <w:pPr>
        <w:pStyle w:val="392"/>
        <w:spacing w:before="0"/>
        <w:ind w:firstLine="0" w:firstLineChars="0"/>
        <w:rPr>
          <w:rFonts w:cs="仿宋_GB2312" w:asciiTheme="minorEastAsia" w:hAnsiTheme="minorEastAsia" w:eastAsiaTheme="minorEastAsia"/>
          <w:b/>
          <w:color w:val="auto"/>
        </w:rPr>
      </w:pPr>
      <w:r>
        <w:rPr>
          <w:rFonts w:hint="eastAsia" w:cs="仿宋_GB2312" w:asciiTheme="minorEastAsia" w:hAnsiTheme="minorEastAsia" w:eastAsiaTheme="minorEastAsia"/>
          <w:b/>
          <w:color w:val="auto"/>
        </w:rPr>
        <w:t>2. 价格分计算方法：</w:t>
      </w:r>
      <w:r>
        <w:rPr>
          <w:rFonts w:hint="eastAsia" w:cs="仿宋_GB2312" w:asciiTheme="minorEastAsia" w:hAnsiTheme="minorEastAsia" w:eastAsiaTheme="minorEastAsia"/>
          <w:color w:val="auto"/>
        </w:rPr>
        <w:t>低价优先法。</w:t>
      </w:r>
    </w:p>
    <w:p w14:paraId="059165AB">
      <w:pPr>
        <w:pStyle w:val="392"/>
        <w:spacing w:before="0"/>
        <w:ind w:firstLine="0" w:firstLineChars="0"/>
        <w:rPr>
          <w:rFonts w:asciiTheme="minorEastAsia" w:hAnsiTheme="minorEastAsia" w:eastAsiaTheme="minorEastAsia"/>
          <w:color w:val="auto"/>
          <w:szCs w:val="24"/>
        </w:rPr>
      </w:pPr>
      <w:r>
        <w:rPr>
          <w:rFonts w:hint="eastAsia" w:cs="仿宋_GB2312" w:asciiTheme="minorEastAsia" w:hAnsiTheme="minorEastAsia" w:eastAsiaTheme="minorEastAsia"/>
          <w:b/>
          <w:color w:val="auto"/>
        </w:rPr>
        <w:t>3. 评审要求：</w:t>
      </w:r>
      <w:r>
        <w:rPr>
          <w:rFonts w:hint="eastAsia" w:cs="仿宋_GB2312" w:asciiTheme="minorEastAsia" w:hAnsiTheme="minorEastAsia" w:eastAsiaTheme="minorEastAsia"/>
          <w:color w:val="auto"/>
        </w:rPr>
        <w:t>详见磋商文件第五部分“评审方法及评审标准”。</w:t>
      </w:r>
    </w:p>
    <w:p w14:paraId="44170AC4">
      <w:pPr>
        <w:adjustRightInd/>
        <w:spacing w:line="360" w:lineRule="auto"/>
        <w:jc w:val="center"/>
        <w:outlineLvl w:val="0"/>
        <w:rPr>
          <w:rFonts w:cs="仿宋_GB2312" w:asciiTheme="minorEastAsia" w:hAnsiTheme="minorEastAsia" w:eastAsiaTheme="minorEastAsia"/>
          <w:color w:val="auto"/>
          <w:sz w:val="24"/>
        </w:rPr>
      </w:pPr>
    </w:p>
    <w:p w14:paraId="26600390">
      <w:pPr>
        <w:adjustRightInd/>
        <w:spacing w:line="360" w:lineRule="auto"/>
        <w:jc w:val="center"/>
        <w:outlineLvl w:val="0"/>
        <w:rPr>
          <w:rFonts w:cs="仿宋_GB2312" w:asciiTheme="minorEastAsia" w:hAnsiTheme="minorEastAsia" w:eastAsiaTheme="minorEastAsia"/>
          <w:b/>
          <w:color w:val="auto"/>
          <w:sz w:val="32"/>
          <w:szCs w:val="20"/>
        </w:rPr>
      </w:pPr>
      <w:r>
        <w:rPr>
          <w:rFonts w:hint="eastAsia" w:cs="仿宋_GB2312" w:asciiTheme="minorEastAsia" w:hAnsiTheme="minorEastAsia" w:eastAsiaTheme="minorEastAsia"/>
          <w:b/>
          <w:color w:val="auto"/>
          <w:sz w:val="32"/>
          <w:szCs w:val="20"/>
        </w:rPr>
        <w:t>十一、</w:t>
      </w:r>
      <w:r>
        <w:rPr>
          <w:rFonts w:hint="eastAsia" w:asciiTheme="minorEastAsia" w:hAnsiTheme="minorEastAsia" w:eastAsiaTheme="minorEastAsia"/>
          <w:b/>
          <w:color w:val="auto"/>
          <w:sz w:val="32"/>
          <w:szCs w:val="32"/>
        </w:rPr>
        <w:t>成交</w:t>
      </w:r>
    </w:p>
    <w:p w14:paraId="0DBFCF62">
      <w:pPr>
        <w:pStyle w:val="31"/>
        <w:spacing w:line="360" w:lineRule="auto"/>
        <w:rPr>
          <w:rFonts w:cs="仿宋_GB2312" w:asciiTheme="minorEastAsia" w:hAnsiTheme="minorEastAsia" w:eastAsiaTheme="minorEastAsia"/>
          <w:b/>
          <w:color w:val="auto"/>
          <w:sz w:val="24"/>
          <w:szCs w:val="24"/>
        </w:rPr>
      </w:pPr>
      <w:r>
        <w:rPr>
          <w:rFonts w:hint="eastAsia" w:asciiTheme="minorEastAsia" w:hAnsiTheme="minorEastAsia" w:eastAsiaTheme="minorEastAsia"/>
          <w:b/>
          <w:color w:val="auto"/>
          <w:sz w:val="24"/>
        </w:rPr>
        <w:t>1. 推荐成交候选供应商</w:t>
      </w:r>
    </w:p>
    <w:p w14:paraId="11A840C4">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磋商小组将根据综合评分情况，按照评审得分由高到低顺序推荐</w:t>
      </w:r>
      <w:r>
        <w:rPr>
          <w:rFonts w:hint="eastAsia" w:asciiTheme="minorEastAsia" w:hAnsiTheme="minorEastAsia" w:eastAsiaTheme="minorEastAsia"/>
          <w:color w:val="auto"/>
          <w:sz w:val="24"/>
          <w:szCs w:val="21"/>
          <w:lang w:val="en-US" w:eastAsia="zh-CN"/>
        </w:rPr>
        <w:t>1</w:t>
      </w:r>
      <w:r>
        <w:rPr>
          <w:rFonts w:hint="eastAsia" w:asciiTheme="minorEastAsia" w:hAnsiTheme="minorEastAsia" w:eastAsiaTheme="minorEastAsia"/>
          <w:color w:val="auto"/>
          <w:sz w:val="24"/>
          <w:szCs w:val="21"/>
        </w:rPr>
        <w:t>名成交供应商，并编写评审报告。评审得分相同的，按照最后报价由低到高的顺序推荐。评审得分且最后报价相同的，按照技术指标优劣顺序推荐。</w:t>
      </w:r>
    </w:p>
    <w:p w14:paraId="75975C4E">
      <w:pPr>
        <w:pStyle w:val="31"/>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 确定成交供应商</w:t>
      </w:r>
    </w:p>
    <w:p w14:paraId="36DA0444">
      <w:pPr>
        <w:spacing w:line="360" w:lineRule="auto"/>
        <w:ind w:firstLine="360" w:firstLineChars="1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2个工作日内在线确定成交供应商。成交通知书和成交结果公告应当在规定时间内同时发出。</w:t>
      </w:r>
    </w:p>
    <w:p w14:paraId="5820AFC7">
      <w:pPr>
        <w:tabs>
          <w:tab w:val="left" w:pos="0"/>
        </w:tabs>
        <w:spacing w:line="360" w:lineRule="auto"/>
        <w:rPr>
          <w:rFonts w:cs="Helvetica" w:asciiTheme="minorEastAsia" w:hAnsiTheme="minorEastAsia" w:eastAsiaTheme="minorEastAsia"/>
          <w:color w:val="auto"/>
          <w:kern w:val="0"/>
          <w:sz w:val="24"/>
        </w:rPr>
      </w:pPr>
      <w:r>
        <w:rPr>
          <w:rFonts w:hint="eastAsia" w:asciiTheme="minorEastAsia" w:hAnsiTheme="minorEastAsia" w:eastAsiaTheme="minorEastAsia"/>
          <w:b/>
          <w:color w:val="auto"/>
          <w:sz w:val="24"/>
        </w:rPr>
        <w:t>3．成交通知及成交结果公告</w:t>
      </w:r>
    </w:p>
    <w:p w14:paraId="7639FEFC">
      <w:pPr>
        <w:spacing w:line="360" w:lineRule="auto"/>
        <w:ind w:firstLine="360" w:firstLineChars="150"/>
        <w:rPr>
          <w:rFonts w:ascii="宋体" w:hAnsi="宋体" w:cs="宋体"/>
          <w:color w:val="auto"/>
          <w:sz w:val="24"/>
        </w:rPr>
      </w:pPr>
      <w:r>
        <w:rPr>
          <w:rFonts w:hint="eastAsia" w:asciiTheme="minorEastAsia" w:hAnsiTheme="minorEastAsia" w:eastAsiaTheme="minorEastAsia"/>
          <w:color w:val="auto"/>
          <w:sz w:val="24"/>
          <w:szCs w:val="21"/>
        </w:rPr>
        <w:t>3.1自成交人确定之日起2个工作日内，</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通过电子交易平台向成交人发出成交通知书，</w:t>
      </w:r>
      <w:r>
        <w:rPr>
          <w:rFonts w:hint="eastAsia" w:cs="宋体" w:asciiTheme="minorEastAsia" w:hAnsiTheme="minorEastAsia" w:eastAsiaTheme="minorEastAsia"/>
          <w:color w:val="auto"/>
          <w:sz w:val="24"/>
        </w:rPr>
        <w:t>同时编制发布采购</w:t>
      </w:r>
      <w:r>
        <w:rPr>
          <w:rFonts w:hint="eastAsia" w:asciiTheme="minorEastAsia" w:hAnsiTheme="minorEastAsia" w:eastAsiaTheme="minorEastAsia"/>
          <w:color w:val="auto"/>
          <w:sz w:val="24"/>
          <w:szCs w:val="21"/>
        </w:rPr>
        <w:t>成交结果公告。</w:t>
      </w:r>
      <w:r>
        <w:rPr>
          <w:rFonts w:hint="eastAsia" w:ascii="宋体" w:hAnsi="宋体" w:cs="宋体" w:eastAsiaTheme="minorEastAsia"/>
          <w:color w:val="auto"/>
          <w:sz w:val="24"/>
          <w:lang w:eastAsia="zh-CN"/>
        </w:rPr>
        <w:t>采购代理机构</w:t>
      </w:r>
      <w:r>
        <w:rPr>
          <w:rFonts w:hint="eastAsia" w:ascii="宋体" w:hAnsi="宋体" w:cs="宋体"/>
          <w:color w:val="auto"/>
          <w:sz w:val="24"/>
        </w:rPr>
        <w:t>也可以以纸质形式进行成交通知。</w:t>
      </w:r>
    </w:p>
    <w:p w14:paraId="05571E42">
      <w:pPr>
        <w:spacing w:line="360" w:lineRule="auto"/>
        <w:ind w:firstLine="360" w:firstLineChars="150"/>
        <w:rPr>
          <w:rFonts w:asciiTheme="minorEastAsia" w:hAnsiTheme="minorEastAsia" w:eastAsiaTheme="minorEastAsia"/>
          <w:color w:val="auto"/>
          <w:sz w:val="24"/>
          <w:szCs w:val="21"/>
        </w:rPr>
      </w:pPr>
      <w:r>
        <w:rPr>
          <w:rFonts w:hint="eastAsia" w:ascii="宋体" w:hAnsi="宋体" w:cs="宋体"/>
          <w:color w:val="auto"/>
          <w:sz w:val="24"/>
        </w:rPr>
        <w:t>3.2</w:t>
      </w:r>
      <w:r>
        <w:rPr>
          <w:rFonts w:hint="eastAsia" w:asciiTheme="minorEastAsia" w:hAnsiTheme="minorEastAsia" w:eastAsiaTheme="minorEastAsia"/>
          <w:color w:val="auto"/>
          <w:sz w:val="24"/>
          <w:szCs w:val="21"/>
        </w:rPr>
        <w:t>成交</w:t>
      </w:r>
      <w:r>
        <w:rPr>
          <w:rFonts w:hint="eastAsia" w:cs="仿宋_GB2312" w:asciiTheme="minorEastAsia" w:hAnsiTheme="minorEastAsia" w:eastAsiaTheme="minorEastAsia"/>
          <w:color w:val="auto"/>
          <w:sz w:val="24"/>
        </w:rPr>
        <w:t>结果公告内容包括</w:t>
      </w:r>
      <w:r>
        <w:rPr>
          <w:rFonts w:hint="eastAsia" w:cs="宋体" w:asciiTheme="minorEastAsia" w:hAnsiTheme="minorEastAsia" w:eastAsiaTheme="minorEastAsia"/>
          <w:color w:val="auto"/>
          <w:sz w:val="24"/>
        </w:rPr>
        <w:t>采购人及其委托的</w:t>
      </w:r>
      <w:r>
        <w:rPr>
          <w:rFonts w:hint="eastAsia" w:cs="宋体" w:asciiTheme="minorEastAsia" w:hAnsiTheme="minorEastAsia" w:eastAsiaTheme="minorEastAsia"/>
          <w:color w:val="auto"/>
          <w:sz w:val="24"/>
          <w:lang w:eastAsia="zh-CN"/>
        </w:rPr>
        <w:t>采购代理机构</w:t>
      </w:r>
      <w:r>
        <w:rPr>
          <w:rFonts w:hint="eastAsia" w:cs="宋体" w:asciiTheme="minorEastAsia" w:hAnsiTheme="minorEastAsia" w:eastAsiaTheme="minorEastAsia"/>
          <w:color w:val="auto"/>
          <w:sz w:val="24"/>
        </w:rPr>
        <w:t>的名称、地址、联系方式，项目名称和项目编号，成交人名称、地址和成交金额，主要中标标的的名称、规格型号、数量、单价、服务要求，开标记录、</w:t>
      </w:r>
      <w:bookmarkStart w:id="54" w:name="_Hlk101184471"/>
      <w:r>
        <w:rPr>
          <w:rFonts w:hint="eastAsia" w:cs="宋体" w:asciiTheme="minorEastAsia" w:hAnsiTheme="minorEastAsia" w:eastAsiaTheme="minorEastAsia"/>
          <w:color w:val="auto"/>
          <w:sz w:val="24"/>
        </w:rPr>
        <w:t>资格审查情况、评审专家抽取规则、符合性审查情况、</w:t>
      </w:r>
      <w:bookmarkEnd w:id="54"/>
      <w:r>
        <w:rPr>
          <w:rFonts w:hint="eastAsia" w:cs="宋体" w:asciiTheme="minorEastAsia" w:hAnsiTheme="minorEastAsia" w:eastAsiaTheme="minorEastAsia"/>
          <w:color w:val="auto"/>
          <w:sz w:val="24"/>
        </w:rPr>
        <w:t>未成交情况说明、成交公告期限以及评审专家名单、评分汇总及明细。</w:t>
      </w:r>
    </w:p>
    <w:p w14:paraId="67B5D4F7">
      <w:pPr>
        <w:spacing w:line="360" w:lineRule="auto"/>
        <w:ind w:firstLine="360" w:firstLineChars="150"/>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3.3公告期限为1个工作日。</w:t>
      </w:r>
    </w:p>
    <w:p w14:paraId="627D0084">
      <w:pPr>
        <w:snapToGrid w:val="0"/>
        <w:spacing w:line="360" w:lineRule="auto"/>
        <w:jc w:val="center"/>
        <w:outlineLvl w:val="0"/>
        <w:rPr>
          <w:rFonts w:cs="仿宋_GB2312" w:asciiTheme="minorEastAsia" w:hAnsiTheme="minorEastAsia" w:eastAsiaTheme="minorEastAsia"/>
          <w:b/>
          <w:color w:val="auto"/>
          <w:sz w:val="36"/>
          <w:szCs w:val="36"/>
        </w:rPr>
      </w:pPr>
    </w:p>
    <w:p w14:paraId="57BD7888">
      <w:pPr>
        <w:snapToGrid w:val="0"/>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十二、合同</w:t>
      </w:r>
    </w:p>
    <w:p w14:paraId="2B24F8DA">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1.合同主要条款：</w:t>
      </w:r>
      <w:r>
        <w:rPr>
          <w:rFonts w:hint="eastAsia" w:asciiTheme="minorEastAsia" w:hAnsiTheme="minorEastAsia" w:eastAsiaTheme="minorEastAsia"/>
          <w:color w:val="auto"/>
          <w:sz w:val="24"/>
        </w:rPr>
        <w:t>详见“第六部分拟签订的合同文本”。</w:t>
      </w:r>
    </w:p>
    <w:p w14:paraId="0913CB2A">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2.合同的签订</w:t>
      </w:r>
    </w:p>
    <w:p w14:paraId="2FE84DE4">
      <w:pPr>
        <w:widowControl/>
        <w:shd w:val="clear" w:color="auto" w:fill="FFFFFF"/>
        <w:spacing w:line="360" w:lineRule="auto"/>
        <w:ind w:firstLine="480"/>
        <w:jc w:val="left"/>
        <w:rPr>
          <w:rFonts w:cs="宋体" w:asciiTheme="minorEastAsia" w:hAnsiTheme="minorEastAsia" w:eastAsiaTheme="minorEastAsia"/>
          <w:color w:val="auto"/>
          <w:kern w:val="0"/>
          <w:sz w:val="24"/>
        </w:rPr>
      </w:pPr>
      <w:r>
        <w:rPr>
          <w:rFonts w:hint="eastAsia" w:asciiTheme="minorEastAsia" w:hAnsiTheme="minorEastAsia" w:eastAsiaTheme="minorEastAsia"/>
          <w:color w:val="auto"/>
          <w:szCs w:val="21"/>
        </w:rPr>
        <w:t>2.1</w:t>
      </w:r>
      <w:r>
        <w:rPr>
          <w:rFonts w:hint="eastAsia" w:cs="宋体" w:asciiTheme="minorEastAsia" w:hAnsiTheme="minorEastAsia" w:eastAsiaTheme="minorEastAsia"/>
          <w:color w:val="auto"/>
          <w:kern w:val="0"/>
          <w:sz w:val="24"/>
        </w:rPr>
        <w:t>除不可抗力等特殊情况外，原则上采购人应当在成交通知书发出之日起10个工作日内，与成交供应商按照磋商文件确定的事项签订政府采购合同，并在签订之日起2个工作日内将政府采购合同在浙江政府采购网上公告。</w:t>
      </w:r>
    </w:p>
    <w:p w14:paraId="181C2AC2">
      <w:pPr>
        <w:pStyle w:val="392"/>
        <w:snapToGrid w:val="0"/>
        <w:spacing w:before="0"/>
        <w:ind w:firstLine="480"/>
        <w:rPr>
          <w:rFonts w:cs="宋体" w:asciiTheme="minorEastAsia" w:hAnsiTheme="minorEastAsia" w:eastAsiaTheme="minorEastAsia"/>
          <w:color w:val="auto"/>
          <w:kern w:val="0"/>
        </w:rPr>
      </w:pPr>
      <w:r>
        <w:rPr>
          <w:rFonts w:hint="eastAsia" w:cs="宋体" w:asciiTheme="minorEastAsia" w:hAnsiTheme="minorEastAsia" w:eastAsiaTheme="minorEastAsia"/>
          <w:color w:val="auto"/>
          <w:kern w:val="0"/>
          <w:lang w:val="zh-CN"/>
        </w:rPr>
        <w:t>2.2成交人按规定的日期、时间、地点，由法定代表人或其授权代表与采购人代表签订合同。</w:t>
      </w:r>
    </w:p>
    <w:p w14:paraId="0CEA9A0F">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2.3采购人不得向成交供应商提出超出磋商文件以外的任何要求作为签订合同的条件，不得与成交供应商订立背离磋商文件确定的合同文本以及采购标的、规格型号、采购金额、采购数量、技术和服务要求等实质性内容的协议。</w:t>
      </w:r>
    </w:p>
    <w:p w14:paraId="718676AA">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2.4成交供应商拒绝签订政府采购合同的，采购人可以按照《政府采购竞争性磋商采购方式管理暂行办法》第二十八条第二款规定的原则确定其他供应商作为成交供应商并签订政府采购合同，也可以重新开展采购活动。拒绝签订政府采购合同的成交供应商不得参加对该项目重新开展的采购活动。</w:t>
      </w:r>
    </w:p>
    <w:p w14:paraId="3068621B">
      <w:pPr>
        <w:spacing w:line="360" w:lineRule="auto"/>
        <w:ind w:firstLine="465" w:firstLineChars="194"/>
        <w:rPr>
          <w:rFonts w:cs="仿宋_GB2312" w:asciiTheme="minorEastAsia" w:hAnsiTheme="minorEastAsia" w:eastAsiaTheme="minorEastAsia"/>
          <w:color w:val="auto"/>
        </w:rPr>
      </w:pPr>
      <w:r>
        <w:rPr>
          <w:rFonts w:hint="eastAsia" w:asciiTheme="minorEastAsia" w:hAnsiTheme="minorEastAsia" w:eastAsiaTheme="minorEastAsia"/>
          <w:color w:val="auto"/>
          <w:sz w:val="24"/>
          <w:szCs w:val="21"/>
        </w:rPr>
        <w:t>2.5如签订合同并生效后，供应商无故拒绝或延期，除按照合同条款处理外，列入不良行为记录一次，并给予通报。</w:t>
      </w:r>
    </w:p>
    <w:p w14:paraId="56E77A07">
      <w:pPr>
        <w:tabs>
          <w:tab w:val="left" w:pos="0"/>
        </w:tabs>
        <w:spacing w:line="360" w:lineRule="auto"/>
        <w:rPr>
          <w:rFonts w:cs="宋体" w:asciiTheme="minorEastAsia" w:hAnsiTheme="minorEastAsia" w:eastAsiaTheme="minorEastAsia"/>
          <w:snapToGrid w:val="0"/>
          <w:color w:val="auto"/>
          <w:kern w:val="28"/>
          <w:sz w:val="24"/>
        </w:rPr>
      </w:pPr>
      <w:r>
        <w:rPr>
          <w:rFonts w:hint="eastAsia" w:asciiTheme="minorEastAsia" w:hAnsiTheme="minorEastAsia" w:eastAsiaTheme="minorEastAsia"/>
          <w:b/>
          <w:color w:val="auto"/>
          <w:sz w:val="24"/>
        </w:rPr>
        <w:t>3．履约保证金</w:t>
      </w:r>
      <w:r>
        <w:rPr>
          <w:rFonts w:hint="eastAsia" w:asciiTheme="minorEastAsia" w:hAnsiTheme="minorEastAsia" w:eastAsiaTheme="minorEastAsia"/>
          <w:b/>
          <w:color w:val="auto"/>
          <w:sz w:val="24"/>
          <w:lang w:eastAsia="zh-CN"/>
        </w:rPr>
        <w:t>：无</w:t>
      </w:r>
    </w:p>
    <w:p w14:paraId="485CC4B1">
      <w:pPr>
        <w:pStyle w:val="3"/>
        <w:numPr>
          <w:ilvl w:val="255"/>
          <w:numId w:val="0"/>
        </w:numPr>
        <w:ind w:left="0" w:firstLine="0"/>
        <w:rPr>
          <w:rFonts w:hint="eastAsia" w:ascii="宋体" w:hAnsi="宋体" w:eastAsia="宋体"/>
          <w:color w:val="auto"/>
          <w:sz w:val="24"/>
          <w:highlight w:val="none"/>
          <w:lang w:val="en-US" w:eastAsia="zh-CN"/>
        </w:rPr>
      </w:pPr>
      <w:r>
        <w:rPr>
          <w:rFonts w:ascii="宋体" w:hAnsi="宋体" w:eastAsia="宋体"/>
          <w:color w:val="auto"/>
          <w:sz w:val="24"/>
          <w:highlight w:val="none"/>
          <w:lang w:val="en-US"/>
        </w:rPr>
        <w:t>4.</w:t>
      </w:r>
      <w:r>
        <w:rPr>
          <w:rFonts w:hint="eastAsia" w:ascii="宋体" w:hAnsi="宋体" w:eastAsia="宋体"/>
          <w:color w:val="auto"/>
          <w:sz w:val="24"/>
          <w:highlight w:val="none"/>
          <w:lang w:val="en-US"/>
        </w:rPr>
        <w:t>预付款</w:t>
      </w:r>
      <w:r>
        <w:rPr>
          <w:rFonts w:hint="eastAsia" w:ascii="宋体" w:hAnsi="宋体" w:eastAsia="宋体"/>
          <w:color w:val="auto"/>
          <w:sz w:val="24"/>
          <w:highlight w:val="none"/>
          <w:lang w:val="en-US" w:eastAsia="zh-CN"/>
        </w:rPr>
        <w:t>：</w:t>
      </w:r>
    </w:p>
    <w:p w14:paraId="34F259F5">
      <w:pPr>
        <w:pStyle w:val="3"/>
        <w:numPr>
          <w:ilvl w:val="255"/>
          <w:numId w:val="0"/>
        </w:numPr>
        <w:ind w:left="0" w:firstLine="480" w:firstLineChars="200"/>
        <w:rPr>
          <w:rFonts w:hint="eastAsia" w:ascii="宋体" w:hAnsi="宋体" w:eastAsia="宋体"/>
          <w:b w:val="0"/>
          <w:bCs w:val="0"/>
          <w:color w:val="auto"/>
          <w:sz w:val="24"/>
          <w:highlight w:val="none"/>
          <w:lang w:val="en-US" w:eastAsia="zh-CN"/>
        </w:rPr>
      </w:pPr>
      <w:r>
        <w:rPr>
          <w:rFonts w:hint="eastAsia" w:ascii="宋体" w:hAnsi="宋体" w:eastAsia="宋体"/>
          <w:b w:val="0"/>
          <w:bCs w:val="0"/>
          <w:color w:val="auto"/>
          <w:sz w:val="24"/>
          <w:highlight w:val="none"/>
          <w:lang w:val="en-US" w:eastAsia="zh-CN"/>
        </w:rPr>
        <w:t>4.1付款方式：合同签订后7个工作日内支付预算金额的40%作为预付款，其余费用按季度按实结算，预付款按季度抵扣。</w:t>
      </w:r>
    </w:p>
    <w:p w14:paraId="05CF11B3">
      <w:pPr>
        <w:pStyle w:val="3"/>
        <w:numPr>
          <w:ilvl w:val="255"/>
          <w:numId w:val="0"/>
        </w:numPr>
        <w:ind w:left="0" w:firstLine="480" w:firstLineChars="200"/>
        <w:rPr>
          <w:rFonts w:hint="eastAsia" w:ascii="宋体" w:hAnsi="宋体" w:eastAsia="宋体"/>
          <w:b w:val="0"/>
          <w:bCs w:val="0"/>
          <w:color w:val="auto"/>
          <w:sz w:val="24"/>
          <w:highlight w:val="none"/>
          <w:lang w:val="en-US" w:eastAsia="zh-CN"/>
        </w:rPr>
      </w:pPr>
      <w:r>
        <w:rPr>
          <w:rFonts w:hint="eastAsia" w:ascii="宋体" w:hAnsi="宋体" w:eastAsia="宋体"/>
          <w:b w:val="0"/>
          <w:bCs w:val="0"/>
          <w:color w:val="auto"/>
          <w:sz w:val="24"/>
          <w:highlight w:val="none"/>
          <w:lang w:val="en-US" w:eastAsia="zh-CN"/>
        </w:rPr>
        <w:t>4.2单个项目服务费根据经复核检查合格后的成功样本量乘以样本单价再乘以成交供应商承诺（折扣率）计算。</w:t>
      </w:r>
    </w:p>
    <w:p w14:paraId="106DE4B1">
      <w:pPr>
        <w:pStyle w:val="3"/>
        <w:numPr>
          <w:ilvl w:val="255"/>
          <w:numId w:val="0"/>
        </w:numPr>
        <w:ind w:left="0" w:firstLine="480" w:firstLineChars="200"/>
        <w:rPr>
          <w:rFonts w:hint="eastAsia" w:eastAsia="宋体"/>
          <w:b w:val="0"/>
          <w:bCs w:val="0"/>
          <w:color w:val="auto"/>
          <w:highlight w:val="none"/>
          <w:lang w:eastAsia="zh-CN"/>
        </w:rPr>
      </w:pPr>
      <w:r>
        <w:rPr>
          <w:rFonts w:hint="eastAsia" w:ascii="宋体" w:hAnsi="宋体" w:eastAsia="宋体"/>
          <w:b w:val="0"/>
          <w:bCs w:val="0"/>
          <w:color w:val="auto"/>
          <w:sz w:val="24"/>
          <w:highlight w:val="none"/>
          <w:lang w:val="en-US" w:eastAsia="zh-CN"/>
        </w:rPr>
        <w:t>4.3成交供应商于每季度开始10个工作日之内与采购方结算上季度所有已完成项目的服务费，并开具服务发票给采购方。采购方在20个工作日之内，凭成交供应商合法发票向成交供应商支付服务外包费用。</w:t>
      </w:r>
    </w:p>
    <w:p w14:paraId="5DB73343">
      <w:pPr>
        <w:tabs>
          <w:tab w:val="left" w:pos="0"/>
        </w:tabs>
        <w:spacing w:line="360" w:lineRule="auto"/>
        <w:ind w:firstLine="0"/>
        <w:rPr>
          <w:rFonts w:cs="宋体" w:asciiTheme="minorEastAsia" w:hAnsiTheme="minorEastAsia" w:eastAsiaTheme="minorEastAsia"/>
          <w:snapToGrid w:val="0"/>
          <w:color w:val="auto"/>
          <w:kern w:val="28"/>
          <w:sz w:val="24"/>
        </w:rPr>
      </w:pPr>
    </w:p>
    <w:p w14:paraId="2DD6B215">
      <w:pPr>
        <w:snapToGrid w:val="0"/>
        <w:spacing w:line="360" w:lineRule="auto"/>
        <w:jc w:val="center"/>
        <w:rPr>
          <w:rFonts w:cs="仿宋_GB2312" w:asciiTheme="minorEastAsia" w:hAnsiTheme="minorEastAsia" w:eastAsiaTheme="minorEastAsia"/>
          <w:b/>
          <w:color w:val="auto"/>
          <w:sz w:val="36"/>
          <w:szCs w:val="36"/>
        </w:rPr>
      </w:pPr>
    </w:p>
    <w:p w14:paraId="1AAF845B">
      <w:pPr>
        <w:snapToGrid w:val="0"/>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十三、验收</w:t>
      </w:r>
    </w:p>
    <w:p w14:paraId="4A726390">
      <w:pPr>
        <w:pStyle w:val="23"/>
        <w:spacing w:line="360" w:lineRule="auto"/>
        <w:ind w:firstLine="0" w:firstLineChars="0"/>
        <w:rPr>
          <w:rFonts w:asciiTheme="minorEastAsia" w:hAnsiTheme="minorEastAsia" w:eastAsiaTheme="minorEastAsia"/>
          <w:b/>
          <w:color w:val="auto"/>
        </w:rPr>
      </w:pPr>
      <w:r>
        <w:rPr>
          <w:rFonts w:hint="eastAsia" w:asciiTheme="minorEastAsia" w:hAnsiTheme="minorEastAsia" w:eastAsiaTheme="minorEastAsia"/>
          <w:b/>
          <w:color w:val="auto"/>
        </w:rPr>
        <w:t>1.验收</w:t>
      </w:r>
    </w:p>
    <w:p w14:paraId="3CED7573">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EF410B6">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1.2采购人可以邀请参加本项目的其他供应商或者第三方机构参与验收。参与验收的供应商或者第三方机构的意见作为验收书的参考资料一并存档。</w:t>
      </w:r>
    </w:p>
    <w:p w14:paraId="62AE9CFB">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1DF8A678">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1CF4BD4C">
      <w:pPr>
        <w:snapToGrid w:val="0"/>
        <w:spacing w:line="360" w:lineRule="auto"/>
        <w:jc w:val="center"/>
        <w:rPr>
          <w:rFonts w:cs="仿宋_GB2312" w:asciiTheme="minorEastAsia" w:hAnsiTheme="minorEastAsia" w:eastAsiaTheme="minorEastAsia"/>
          <w:b/>
          <w:color w:val="auto"/>
          <w:sz w:val="36"/>
          <w:szCs w:val="36"/>
        </w:rPr>
      </w:pPr>
    </w:p>
    <w:p w14:paraId="1B6FC46B">
      <w:pPr>
        <w:snapToGrid w:val="0"/>
        <w:spacing w:line="360" w:lineRule="auto"/>
        <w:jc w:val="center"/>
        <w:rPr>
          <w:rFonts w:asciiTheme="minorEastAsia" w:hAnsiTheme="minorEastAsia" w:eastAsiaTheme="minorEastAsia"/>
          <w:b/>
          <w:color w:val="auto"/>
          <w:sz w:val="24"/>
        </w:rPr>
      </w:pPr>
      <w:r>
        <w:rPr>
          <w:rFonts w:hint="eastAsia" w:cs="仿宋_GB2312" w:asciiTheme="minorEastAsia" w:hAnsiTheme="minorEastAsia" w:eastAsiaTheme="minorEastAsia"/>
          <w:b/>
          <w:color w:val="auto"/>
          <w:sz w:val="36"/>
          <w:szCs w:val="36"/>
        </w:rPr>
        <w:t>十四、电子交易活动的中止</w:t>
      </w:r>
    </w:p>
    <w:p w14:paraId="6BA61DE2">
      <w:pPr>
        <w:tabs>
          <w:tab w:val="left" w:pos="0"/>
        </w:tabs>
        <w:spacing w:line="360" w:lineRule="auto"/>
        <w:rPr>
          <w:rFonts w:asciiTheme="minorEastAsia" w:hAnsiTheme="minorEastAsia" w:eastAsiaTheme="minorEastAsia"/>
          <w:b/>
          <w:color w:val="auto"/>
          <w:sz w:val="24"/>
        </w:rPr>
      </w:pPr>
      <w:r>
        <w:rPr>
          <w:rFonts w:hint="eastAsia" w:asciiTheme="minorEastAsia" w:hAnsiTheme="minorEastAsia" w:eastAsiaTheme="minorEastAsia"/>
          <w:b/>
          <w:color w:val="auto"/>
          <w:sz w:val="24"/>
        </w:rPr>
        <w:t>1. 电子交易活动的中止</w:t>
      </w:r>
    </w:p>
    <w:p w14:paraId="1DEB545E">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采购过程中出现以下情形，导致电子交易平台无法正常运行，或者无法保证电子交易的公平、公正和安全时，</w:t>
      </w:r>
      <w:r>
        <w:rPr>
          <w:rFonts w:hint="eastAsia" w:cs="Helvetica" w:asciiTheme="minorEastAsia" w:hAnsiTheme="minorEastAsia" w:eastAsiaTheme="minorEastAsia"/>
          <w:color w:val="auto"/>
          <w:kern w:val="0"/>
          <w:sz w:val="24"/>
          <w:lang w:eastAsia="zh-CN"/>
        </w:rPr>
        <w:t>采购代理机构</w:t>
      </w:r>
      <w:r>
        <w:rPr>
          <w:rFonts w:hint="eastAsia" w:cs="Helvetica" w:asciiTheme="minorEastAsia" w:hAnsiTheme="minorEastAsia" w:eastAsiaTheme="minorEastAsia"/>
          <w:color w:val="auto"/>
          <w:kern w:val="0"/>
          <w:sz w:val="24"/>
        </w:rPr>
        <w:t>可中止电子交易活动：</w:t>
      </w:r>
    </w:p>
    <w:p w14:paraId="140714EB">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 xml:space="preserve">1.1电子交易平台发生故障而无法登录访问的； </w:t>
      </w:r>
    </w:p>
    <w:p w14:paraId="6589BB27">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1.2电子交易平台应用或数据库出现错误，不能进行正常操作的；</w:t>
      </w:r>
    </w:p>
    <w:p w14:paraId="3C9E9A7E">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1.3电子交易平台发现严重安全漏洞，有潜在泄密危险的；</w:t>
      </w:r>
    </w:p>
    <w:p w14:paraId="5832601D">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 xml:space="preserve">1.4病毒发作导致不能进行正常操作的； </w:t>
      </w:r>
    </w:p>
    <w:p w14:paraId="55B3424D">
      <w:pPr>
        <w:tabs>
          <w:tab w:val="left" w:pos="0"/>
        </w:tabs>
        <w:spacing w:line="360" w:lineRule="auto"/>
        <w:ind w:firstLine="480"/>
        <w:rPr>
          <w:rFonts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1.5其他无法保证电子交易的公平、公正和安全的情况。</w:t>
      </w:r>
    </w:p>
    <w:p w14:paraId="569A46ED">
      <w:pPr>
        <w:numPr>
          <w:ilvl w:val="0"/>
          <w:numId w:val="7"/>
        </w:numPr>
        <w:tabs>
          <w:tab w:val="left" w:pos="0"/>
          <w:tab w:val="clear" w:pos="312"/>
        </w:tabs>
        <w:spacing w:line="360" w:lineRule="auto"/>
        <w:rPr>
          <w:rFonts w:hint="eastAsia" w:cs="Helvetica" w:asciiTheme="minorEastAsia" w:hAnsiTheme="minorEastAsia" w:eastAsiaTheme="minorEastAsia"/>
          <w:color w:val="auto"/>
          <w:kern w:val="0"/>
          <w:sz w:val="24"/>
        </w:rPr>
      </w:pPr>
      <w:r>
        <w:rPr>
          <w:rFonts w:hint="eastAsia" w:cs="Helvetica" w:asciiTheme="minorEastAsia" w:hAnsiTheme="minorEastAsia" w:eastAsiaTheme="minorEastAsia"/>
          <w:color w:val="auto"/>
          <w:kern w:val="0"/>
          <w:sz w:val="24"/>
        </w:rPr>
        <w:t>出现以上情形，不影响采购公平、公正性的，采购组织机构可以待上述情形消除后继续组织电子交易活动，也可以决定某些环节以纸质形式进行；影响或可能影响采购公平、公正性的，应当重新采购。</w:t>
      </w:r>
      <w:bookmarkEnd w:id="9"/>
      <w:bookmarkStart w:id="55" w:name="_Hlt74714665"/>
      <w:bookmarkEnd w:id="55"/>
      <w:bookmarkStart w:id="56" w:name="_Hlt75236101"/>
      <w:bookmarkEnd w:id="56"/>
      <w:bookmarkStart w:id="57" w:name="_Hlt74707468"/>
      <w:bookmarkEnd w:id="57"/>
      <w:bookmarkStart w:id="58" w:name="_Hlt75236290"/>
      <w:bookmarkEnd w:id="58"/>
      <w:bookmarkStart w:id="59" w:name="_Hlt68057669"/>
      <w:bookmarkEnd w:id="59"/>
      <w:bookmarkStart w:id="60" w:name="_Hlt74729768"/>
      <w:bookmarkEnd w:id="60"/>
      <w:bookmarkStart w:id="61" w:name="_Hlt68072990"/>
      <w:bookmarkEnd w:id="61"/>
      <w:bookmarkStart w:id="62" w:name="_Hlt74730295"/>
      <w:bookmarkEnd w:id="62"/>
      <w:bookmarkStart w:id="63" w:name="_Hlt75236011"/>
      <w:bookmarkEnd w:id="63"/>
      <w:bookmarkStart w:id="64" w:name="第三部分"/>
      <w:bookmarkStart w:id="65" w:name="_Toc164416483"/>
    </w:p>
    <w:p w14:paraId="45847CD9">
      <w:pPr>
        <w:snapToGrid w:val="0"/>
        <w:spacing w:line="360" w:lineRule="auto"/>
        <w:ind w:left="120" w:leftChars="57" w:firstLine="482" w:firstLineChars="150"/>
        <w:jc w:val="center"/>
        <w:rPr>
          <w:rFonts w:hint="eastAsia" w:ascii="宋体" w:hAnsi="宋体" w:cs="宋体"/>
          <w:b/>
          <w:color w:val="auto"/>
          <w:sz w:val="32"/>
          <w:lang w:eastAsia="zh-CN"/>
        </w:rPr>
      </w:pPr>
    </w:p>
    <w:p w14:paraId="7BD2904C">
      <w:pPr>
        <w:snapToGrid w:val="0"/>
        <w:spacing w:line="360" w:lineRule="auto"/>
        <w:ind w:left="120" w:leftChars="57" w:firstLine="2731" w:firstLineChars="850"/>
        <w:jc w:val="both"/>
        <w:rPr>
          <w:rFonts w:hint="eastAsia" w:ascii="宋体" w:hAnsi="宋体" w:cs="宋体"/>
          <w:b/>
          <w:color w:val="auto"/>
          <w:sz w:val="32"/>
          <w:lang w:eastAsia="zh-CN"/>
        </w:rPr>
      </w:pPr>
      <w:r>
        <w:rPr>
          <w:rFonts w:hint="eastAsia" w:ascii="宋体" w:hAnsi="宋体" w:cs="宋体"/>
          <w:b/>
          <w:color w:val="auto"/>
          <w:sz w:val="32"/>
          <w:lang w:eastAsia="zh-CN"/>
        </w:rPr>
        <w:t>十五、招标代理费</w:t>
      </w:r>
    </w:p>
    <w:p w14:paraId="23015052">
      <w:pPr>
        <w:tabs>
          <w:tab w:val="left" w:pos="0"/>
        </w:tabs>
        <w:spacing w:line="500" w:lineRule="exact"/>
        <w:ind w:firstLine="480"/>
        <w:rPr>
          <w:rFonts w:ascii="宋体" w:hAnsi="宋体" w:cs="宋体"/>
          <w:color w:val="auto"/>
          <w:kern w:val="0"/>
          <w:sz w:val="24"/>
        </w:rPr>
      </w:pPr>
      <w:r>
        <w:rPr>
          <w:rFonts w:hint="eastAsia" w:ascii="宋体" w:hAnsi="宋体" w:cs="宋体"/>
          <w:color w:val="auto"/>
          <w:kern w:val="0"/>
          <w:sz w:val="24"/>
        </w:rPr>
        <w:t>1、根据“国家发展和改革委员会办公厅《关于招标代理服务收费有关问题的通知》（发改办价格【2003】857号）”规定，招标代理机构向中标人收取招标代理服务费。</w:t>
      </w:r>
      <w:r>
        <w:rPr>
          <w:rFonts w:hint="eastAsia" w:ascii="宋体" w:hAnsi="宋体" w:cs="宋体"/>
          <w:color w:val="auto"/>
          <w:kern w:val="0"/>
          <w:sz w:val="24"/>
        </w:rPr>
        <w:br w:type="textWrapping"/>
      </w:r>
      <w:r>
        <w:rPr>
          <w:rFonts w:hint="eastAsia" w:ascii="宋体" w:hAnsi="宋体" w:cs="宋体"/>
          <w:color w:val="auto"/>
          <w:kern w:val="0"/>
          <w:sz w:val="24"/>
        </w:rPr>
        <w:t xml:space="preserve">    2、中标人应在收取《中标通知书》时向采购代理机构交纳招标代理服务费，服务费的收费标准按浙价服〔2003〕77号文规定计算。</w:t>
      </w:r>
    </w:p>
    <w:tbl>
      <w:tblPr>
        <w:tblStyle w:val="60"/>
        <w:tblW w:w="732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660"/>
        <w:gridCol w:w="3660"/>
      </w:tblGrid>
      <w:tr w14:paraId="655AA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3660" w:type="dxa"/>
            <w:shd w:val="clear" w:color="auto" w:fill="D9D9D9"/>
            <w:vAlign w:val="center"/>
          </w:tcPr>
          <w:p w14:paraId="15E27A17">
            <w:pPr>
              <w:tabs>
                <w:tab w:val="left" w:pos="0"/>
              </w:tabs>
              <w:spacing w:line="500" w:lineRule="exact"/>
              <w:ind w:firstLine="480"/>
              <w:rPr>
                <w:rFonts w:ascii="宋体" w:hAnsi="宋体" w:cs="宋体"/>
                <w:color w:val="auto"/>
                <w:kern w:val="0"/>
                <w:sz w:val="24"/>
              </w:rPr>
            </w:pPr>
            <w:r>
              <w:rPr>
                <w:rFonts w:hint="eastAsia" w:ascii="宋体" w:hAnsi="宋体" w:cs="宋体"/>
                <w:color w:val="auto"/>
                <w:kern w:val="0"/>
                <w:sz w:val="24"/>
              </w:rPr>
              <w:t xml:space="preserve">  中标金额（万元）</w:t>
            </w:r>
          </w:p>
        </w:tc>
        <w:tc>
          <w:tcPr>
            <w:tcW w:w="3660" w:type="dxa"/>
            <w:shd w:val="clear" w:color="auto" w:fill="D9D9D9"/>
          </w:tcPr>
          <w:p w14:paraId="32BDC0D8">
            <w:pPr>
              <w:tabs>
                <w:tab w:val="left" w:pos="0"/>
              </w:tabs>
              <w:spacing w:line="500" w:lineRule="exact"/>
              <w:ind w:firstLine="480"/>
              <w:rPr>
                <w:rFonts w:ascii="宋体" w:hAnsi="宋体" w:cs="宋体"/>
                <w:color w:val="auto"/>
                <w:kern w:val="0"/>
                <w:sz w:val="24"/>
              </w:rPr>
            </w:pPr>
            <w:r>
              <w:rPr>
                <w:rFonts w:hint="eastAsia" w:ascii="宋体" w:hAnsi="宋体" w:cs="宋体"/>
                <w:color w:val="auto"/>
                <w:kern w:val="0"/>
                <w:sz w:val="24"/>
              </w:rPr>
              <w:t>服务类招标收费费率</w:t>
            </w:r>
          </w:p>
        </w:tc>
      </w:tr>
      <w:tr w14:paraId="4CC4B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1" w:hRule="atLeast"/>
          <w:jc w:val="center"/>
        </w:trPr>
        <w:tc>
          <w:tcPr>
            <w:tcW w:w="3660" w:type="dxa"/>
          </w:tcPr>
          <w:p w14:paraId="29849B97">
            <w:pPr>
              <w:tabs>
                <w:tab w:val="left" w:pos="0"/>
              </w:tabs>
              <w:spacing w:line="500" w:lineRule="exact"/>
              <w:ind w:firstLine="1024" w:firstLineChars="427"/>
              <w:rPr>
                <w:rFonts w:ascii="宋体" w:hAnsi="宋体" w:cs="宋体"/>
                <w:color w:val="auto"/>
                <w:kern w:val="0"/>
                <w:sz w:val="24"/>
              </w:rPr>
            </w:pPr>
            <w:r>
              <w:rPr>
                <w:rFonts w:hint="eastAsia" w:ascii="宋体" w:hAnsi="宋体" w:cs="宋体"/>
                <w:color w:val="auto"/>
                <w:kern w:val="0"/>
                <w:sz w:val="24"/>
              </w:rPr>
              <w:t>100以下</w:t>
            </w:r>
          </w:p>
        </w:tc>
        <w:tc>
          <w:tcPr>
            <w:tcW w:w="3660" w:type="dxa"/>
            <w:vAlign w:val="center"/>
          </w:tcPr>
          <w:p w14:paraId="20686AA6">
            <w:pPr>
              <w:tabs>
                <w:tab w:val="left" w:pos="0"/>
              </w:tabs>
              <w:spacing w:line="500" w:lineRule="exact"/>
              <w:ind w:firstLine="1024" w:firstLineChars="427"/>
              <w:rPr>
                <w:rFonts w:ascii="宋体" w:hAnsi="宋体" w:cs="宋体"/>
                <w:color w:val="auto"/>
                <w:kern w:val="0"/>
                <w:sz w:val="24"/>
              </w:rPr>
            </w:pPr>
            <w:r>
              <w:rPr>
                <w:rFonts w:hint="eastAsia" w:ascii="宋体" w:hAnsi="宋体" w:cs="宋体"/>
                <w:color w:val="auto"/>
                <w:kern w:val="0"/>
                <w:sz w:val="24"/>
              </w:rPr>
              <w:t>1.5％</w:t>
            </w:r>
          </w:p>
        </w:tc>
      </w:tr>
    </w:tbl>
    <w:p w14:paraId="249BEAF6">
      <w:pPr>
        <w:tabs>
          <w:tab w:val="left" w:pos="0"/>
        </w:tabs>
        <w:spacing w:line="500" w:lineRule="exact"/>
        <w:ind w:firstLine="480"/>
        <w:rPr>
          <w:rFonts w:ascii="宋体" w:hAnsi="宋体" w:cs="宋体"/>
          <w:color w:val="auto"/>
          <w:kern w:val="0"/>
          <w:sz w:val="24"/>
        </w:rPr>
      </w:pPr>
      <w:r>
        <w:rPr>
          <w:rFonts w:hint="eastAsia" w:ascii="宋体" w:hAnsi="宋体" w:cs="宋体"/>
          <w:color w:val="auto"/>
          <w:kern w:val="0"/>
          <w:sz w:val="24"/>
        </w:rPr>
        <w:t>招标代理服务收费按差额定率累进法计算。</w:t>
      </w:r>
    </w:p>
    <w:p w14:paraId="72A3699C">
      <w:pPr>
        <w:tabs>
          <w:tab w:val="left" w:pos="0"/>
        </w:tabs>
        <w:spacing w:line="500" w:lineRule="exact"/>
        <w:ind w:firstLine="480"/>
        <w:rPr>
          <w:rFonts w:ascii="宋体" w:hAnsi="宋体" w:cs="宋体"/>
          <w:color w:val="auto"/>
          <w:kern w:val="0"/>
          <w:sz w:val="24"/>
        </w:rPr>
      </w:pPr>
      <w:r>
        <w:rPr>
          <w:rFonts w:hint="eastAsia" w:ascii="宋体" w:hAnsi="宋体" w:cs="宋体"/>
          <w:color w:val="auto"/>
          <w:kern w:val="0"/>
          <w:sz w:val="24"/>
        </w:rPr>
        <w:t>3、本项目以服务类招标收费标准的80%收取中标服务费，不足人民币5000元按5000元计取。</w:t>
      </w:r>
    </w:p>
    <w:p w14:paraId="4FA671CD">
      <w:pPr>
        <w:tabs>
          <w:tab w:val="left" w:pos="0"/>
        </w:tabs>
        <w:spacing w:line="500" w:lineRule="exact"/>
        <w:ind w:firstLine="480"/>
        <w:rPr>
          <w:rFonts w:ascii="宋体" w:hAnsi="宋体" w:cs="宋体"/>
          <w:color w:val="auto"/>
          <w:kern w:val="0"/>
          <w:sz w:val="24"/>
        </w:rPr>
      </w:pPr>
      <w:r>
        <w:rPr>
          <w:rFonts w:hint="eastAsia" w:ascii="宋体" w:hAnsi="宋体" w:cs="宋体"/>
          <w:color w:val="auto"/>
          <w:kern w:val="0"/>
          <w:sz w:val="24"/>
        </w:rPr>
        <w:t>4、服务费支付方式：一次性以网银、电汇的形式支付。</w:t>
      </w:r>
    </w:p>
    <w:p w14:paraId="497F2FB5">
      <w:pPr>
        <w:tabs>
          <w:tab w:val="left" w:pos="0"/>
        </w:tabs>
        <w:spacing w:line="500" w:lineRule="exact"/>
        <w:ind w:firstLine="480"/>
        <w:rPr>
          <w:rFonts w:ascii="宋体" w:hAnsi="宋体" w:cs="宋体"/>
          <w:color w:val="auto"/>
          <w:kern w:val="0"/>
          <w:sz w:val="24"/>
        </w:rPr>
      </w:pPr>
      <w:r>
        <w:rPr>
          <w:rFonts w:hint="eastAsia" w:ascii="宋体" w:hAnsi="宋体" w:cs="宋体"/>
          <w:color w:val="auto"/>
          <w:kern w:val="0"/>
          <w:sz w:val="24"/>
        </w:rPr>
        <w:t>5、服务费以银行划账方式按下列要求提交：</w:t>
      </w:r>
    </w:p>
    <w:p w14:paraId="1E2BF784">
      <w:pPr>
        <w:tabs>
          <w:tab w:val="left" w:pos="0"/>
        </w:tabs>
        <w:spacing w:line="500" w:lineRule="exact"/>
        <w:ind w:left="479" w:leftChars="228" w:firstLine="64" w:firstLineChars="27"/>
        <w:rPr>
          <w:rFonts w:ascii="宋体" w:hAnsi="宋体" w:cs="宋体"/>
          <w:color w:val="auto"/>
          <w:kern w:val="0"/>
          <w:sz w:val="24"/>
        </w:rPr>
      </w:pPr>
      <w:r>
        <w:rPr>
          <w:rFonts w:hint="eastAsia" w:ascii="宋体" w:hAnsi="宋体" w:cs="宋体"/>
          <w:color w:val="auto"/>
          <w:kern w:val="0"/>
          <w:sz w:val="24"/>
        </w:rPr>
        <w:t>单位名称：嘉兴市建新工程造价咨询事务所有限公司</w:t>
      </w:r>
      <w:r>
        <w:rPr>
          <w:rFonts w:hint="eastAsia" w:ascii="宋体" w:hAnsi="宋体" w:cs="宋体"/>
          <w:color w:val="auto"/>
          <w:kern w:val="0"/>
          <w:sz w:val="24"/>
        </w:rPr>
        <w:br w:type="textWrapping"/>
      </w:r>
      <w:r>
        <w:rPr>
          <w:rFonts w:hint="eastAsia" w:ascii="宋体" w:hAnsi="宋体" w:cs="宋体"/>
          <w:color w:val="auto"/>
          <w:kern w:val="0"/>
          <w:sz w:val="24"/>
        </w:rPr>
        <w:t>开户银行：浙江泰隆商业银行股份有限公司嘉兴南湖支行</w:t>
      </w:r>
      <w:r>
        <w:rPr>
          <w:rFonts w:hint="eastAsia" w:ascii="宋体" w:hAnsi="宋体" w:cs="宋体"/>
          <w:color w:val="auto"/>
          <w:kern w:val="0"/>
          <w:sz w:val="24"/>
        </w:rPr>
        <w:br w:type="textWrapping"/>
      </w:r>
      <w:r>
        <w:rPr>
          <w:rFonts w:hint="eastAsia" w:ascii="宋体" w:hAnsi="宋体" w:cs="宋体"/>
          <w:color w:val="auto"/>
          <w:kern w:val="0"/>
          <w:sz w:val="24"/>
        </w:rPr>
        <w:t>银行账号：33090260201000004623</w:t>
      </w:r>
    </w:p>
    <w:p w14:paraId="38AAC23C">
      <w:pPr>
        <w:tabs>
          <w:tab w:val="left" w:pos="0"/>
        </w:tabs>
        <w:spacing w:line="500" w:lineRule="exact"/>
        <w:ind w:firstLine="480"/>
        <w:rPr>
          <w:rFonts w:ascii="宋体" w:hAnsi="宋体" w:cs="宋体"/>
          <w:color w:val="auto"/>
          <w:kern w:val="0"/>
          <w:sz w:val="24"/>
        </w:rPr>
      </w:pPr>
      <w:r>
        <w:rPr>
          <w:rFonts w:hint="eastAsia" w:ascii="宋体" w:hAnsi="宋体" w:cs="宋体"/>
          <w:color w:val="auto"/>
          <w:kern w:val="0"/>
          <w:sz w:val="24"/>
        </w:rPr>
        <w:t>6、服务费支付时间：服务费必须在中标人领取《中标通知书》时一次性付清，如果中标人未能按时交纳服务费，采购代理机构/采购人保留取消其中标资格并追究其法律责任的权利。</w:t>
      </w:r>
    </w:p>
    <w:p w14:paraId="71095954">
      <w:pPr>
        <w:tabs>
          <w:tab w:val="left" w:pos="0"/>
        </w:tabs>
        <w:spacing w:line="500" w:lineRule="exact"/>
        <w:ind w:firstLine="480"/>
        <w:rPr>
          <w:rFonts w:ascii="宋体" w:hAnsi="宋体" w:cs="宋体"/>
          <w:color w:val="auto"/>
          <w:kern w:val="0"/>
          <w:sz w:val="24"/>
        </w:rPr>
        <w:sectPr>
          <w:footerReference r:id="rId3" w:type="default"/>
          <w:pgSz w:w="11849" w:h="16781"/>
          <w:pgMar w:top="1440" w:right="1797" w:bottom="1440" w:left="1797" w:header="851" w:footer="850" w:gutter="0"/>
          <w:cols w:space="720" w:num="1"/>
          <w:docGrid w:linePitch="312" w:charSpace="0"/>
        </w:sectPr>
      </w:pPr>
      <w:r>
        <w:rPr>
          <w:rFonts w:hint="eastAsia" w:ascii="宋体" w:hAnsi="宋体" w:cs="宋体"/>
          <w:color w:val="auto"/>
          <w:kern w:val="0"/>
          <w:sz w:val="24"/>
        </w:rPr>
        <w:t>7、服务费不在投标报价中单列。</w:t>
      </w:r>
    </w:p>
    <w:p w14:paraId="300B9512">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第四部分  采购需求</w:t>
      </w:r>
    </w:p>
    <w:p w14:paraId="1E0BE1EF">
      <w:pPr>
        <w:adjustRightInd/>
        <w:spacing w:line="360" w:lineRule="auto"/>
        <w:jc w:val="left"/>
        <w:outlineLvl w:val="0"/>
        <w:rPr>
          <w:rFonts w:cs="仿宋_GB2312" w:asciiTheme="minorEastAsia" w:hAnsiTheme="minorEastAsia" w:eastAsiaTheme="minorEastAsia"/>
          <w:b/>
          <w:color w:val="auto"/>
          <w:sz w:val="36"/>
          <w:szCs w:val="36"/>
          <w:u w:val="single"/>
        </w:rPr>
      </w:pPr>
      <w:r>
        <w:rPr>
          <w:rFonts w:hint="eastAsia" w:asciiTheme="minorEastAsia" w:hAnsiTheme="minorEastAsia" w:eastAsiaTheme="minorEastAsia"/>
          <w:color w:val="auto"/>
          <w:sz w:val="24"/>
          <w:u w:val="single"/>
        </w:rPr>
        <w:t>注：“▲” 系指实质性要求条款， “</w:t>
      </w:r>
      <w:r>
        <w:rPr>
          <w:rFonts w:hint="eastAsia" w:asciiTheme="minorEastAsia" w:hAnsiTheme="minorEastAsia" w:eastAsiaTheme="minorEastAsia"/>
          <w:b/>
          <w:color w:val="auto"/>
          <w:sz w:val="24"/>
          <w:u w:val="single"/>
        </w:rPr>
        <w:t>※</w:t>
      </w:r>
      <w:r>
        <w:rPr>
          <w:rFonts w:hint="eastAsia" w:asciiTheme="minorEastAsia" w:hAnsiTheme="minorEastAsia" w:eastAsiaTheme="minorEastAsia"/>
          <w:color w:val="auto"/>
          <w:sz w:val="24"/>
          <w:u w:val="single"/>
        </w:rPr>
        <w:t>”系指磋商过程中可能实质性变动的内容。</w:t>
      </w:r>
    </w:p>
    <w:p w14:paraId="0C763F6F">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一、项目概况</w:t>
      </w:r>
    </w:p>
    <w:p w14:paraId="0CDAF12A">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嘉兴市统计局开展社情民意调查的方式主要有CATI调查和面访调查等，全年承担民意调查项目30个左右，涉及有效样本</w:t>
      </w:r>
      <w:r>
        <w:rPr>
          <w:rFonts w:hint="eastAsia" w:ascii="宋体" w:hAnsi="宋体" w:eastAsia="宋体" w:cs="宋体"/>
          <w:color w:val="auto"/>
          <w:sz w:val="24"/>
          <w:szCs w:val="24"/>
          <w:lang w:val="en-US" w:eastAsia="zh-CN"/>
        </w:rPr>
        <w:t>9</w:t>
      </w:r>
      <w:r>
        <w:rPr>
          <w:rFonts w:hint="eastAsia" w:ascii="宋体" w:hAnsi="宋体" w:eastAsia="宋体" w:cs="宋体"/>
          <w:color w:val="auto"/>
          <w:sz w:val="24"/>
          <w:szCs w:val="24"/>
        </w:rPr>
        <w:t>万个左右</w:t>
      </w:r>
      <w:r>
        <w:rPr>
          <w:rFonts w:hint="eastAsia" w:ascii="宋体" w:hAnsi="宋体" w:eastAsia="宋体" w:cs="宋体"/>
          <w:color w:val="auto"/>
          <w:sz w:val="24"/>
          <w:szCs w:val="24"/>
          <w:lang w:eastAsia="zh-CN"/>
        </w:rPr>
        <w:t>，其中</w:t>
      </w:r>
      <w:r>
        <w:rPr>
          <w:rFonts w:hint="eastAsia" w:ascii="宋体" w:hAnsi="宋体" w:eastAsia="宋体" w:cs="宋体"/>
          <w:color w:val="auto"/>
          <w:sz w:val="24"/>
          <w:szCs w:val="24"/>
          <w:lang w:val="en-US" w:eastAsia="zh-CN"/>
        </w:rPr>
        <w:t>CATI调查项目占比在95%左右</w:t>
      </w:r>
      <w:r>
        <w:rPr>
          <w:rFonts w:hint="eastAsia" w:ascii="宋体" w:hAnsi="宋体" w:eastAsia="宋体" w:cs="宋体"/>
          <w:color w:val="auto"/>
          <w:sz w:val="24"/>
          <w:szCs w:val="24"/>
        </w:rPr>
        <w:t>。本次招标标的是CATI调查和面访调查过程中的访员招聘管理、现场督导、数据采集、样本审核等环节的服务外包。</w:t>
      </w:r>
    </w:p>
    <w:p w14:paraId="0EC14717">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二、项目要求</w:t>
      </w:r>
    </w:p>
    <w:p w14:paraId="6C2CE799">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val="0"/>
          <w:bCs/>
          <w:color w:val="auto"/>
          <w:sz w:val="24"/>
          <w:szCs w:val="24"/>
        </w:rPr>
      </w:pPr>
      <w:r>
        <w:rPr>
          <w:rFonts w:hint="eastAsia" w:ascii="宋体" w:hAnsi="宋体" w:eastAsia="宋体" w:cs="宋体"/>
          <w:b/>
          <w:color w:val="auto"/>
          <w:sz w:val="24"/>
          <w:szCs w:val="24"/>
        </w:rPr>
        <w:t>（一）人员要求：</w:t>
      </w:r>
      <w:r>
        <w:rPr>
          <w:rFonts w:hint="eastAsia" w:ascii="宋体" w:hAnsi="宋体" w:eastAsia="宋体" w:cs="宋体"/>
          <w:b w:val="0"/>
          <w:bCs/>
          <w:color w:val="auto"/>
          <w:sz w:val="24"/>
          <w:szCs w:val="24"/>
          <w:lang w:eastAsia="zh-CN"/>
        </w:rPr>
        <w:t>中标方</w:t>
      </w:r>
      <w:r>
        <w:rPr>
          <w:rFonts w:hint="eastAsia" w:ascii="宋体" w:hAnsi="宋体" w:eastAsia="宋体" w:cs="宋体"/>
          <w:b w:val="0"/>
          <w:bCs/>
          <w:color w:val="auto"/>
          <w:sz w:val="24"/>
          <w:szCs w:val="24"/>
        </w:rPr>
        <w:t>须为本项目成立专门的项目小组，项目负责人、现场管理人员、督导员、复核员必须为全职人员，全职人员不得少于4名，访问员中专职访问员的数量不得少于6名。要求项目小组成员在投标文件中提供个人简历、联系方式、身份证复印件、学历学位证明、开标前三个月在本公司的社保缴纳证明和从事政府CATI调查项目经验证明。</w:t>
      </w:r>
    </w:p>
    <w:p w14:paraId="44EAD0D0">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Cs/>
          <w:color w:val="auto"/>
          <w:sz w:val="24"/>
          <w:szCs w:val="24"/>
        </w:rPr>
      </w:pPr>
      <w:r>
        <w:rPr>
          <w:rFonts w:hint="eastAsia" w:ascii="宋体" w:hAnsi="宋体" w:eastAsia="宋体" w:cs="宋体"/>
          <w:b w:val="0"/>
          <w:bCs/>
          <w:color w:val="auto"/>
          <w:sz w:val="24"/>
          <w:szCs w:val="24"/>
        </w:rPr>
        <w:t>各类专职人员须认真接受</w:t>
      </w:r>
      <w:r>
        <w:rPr>
          <w:rFonts w:hint="eastAsia" w:ascii="宋体" w:hAnsi="宋体" w:eastAsia="宋体" w:cs="宋体"/>
          <w:b w:val="0"/>
          <w:bCs/>
          <w:color w:val="auto"/>
          <w:sz w:val="24"/>
          <w:szCs w:val="24"/>
          <w:lang w:eastAsia="zh-CN"/>
        </w:rPr>
        <w:t>采购方</w:t>
      </w:r>
      <w:r>
        <w:rPr>
          <w:rFonts w:hint="eastAsia" w:ascii="宋体" w:hAnsi="宋体" w:eastAsia="宋体" w:cs="宋体"/>
          <w:b w:val="0"/>
          <w:bCs/>
          <w:color w:val="auto"/>
          <w:sz w:val="24"/>
          <w:szCs w:val="24"/>
        </w:rPr>
        <w:t>调查项目培训，通过</w:t>
      </w:r>
      <w:r>
        <w:rPr>
          <w:rFonts w:hint="eastAsia" w:ascii="宋体" w:hAnsi="宋体" w:eastAsia="宋体" w:cs="宋体"/>
          <w:b w:val="0"/>
          <w:bCs/>
          <w:color w:val="auto"/>
          <w:sz w:val="24"/>
          <w:szCs w:val="24"/>
          <w:lang w:eastAsia="zh-CN"/>
        </w:rPr>
        <w:t>采购方</w:t>
      </w:r>
      <w:r>
        <w:rPr>
          <w:rFonts w:hint="eastAsia" w:ascii="宋体" w:hAnsi="宋体" w:eastAsia="宋体" w:cs="宋体"/>
          <w:b w:val="0"/>
          <w:bCs/>
          <w:color w:val="auto"/>
          <w:sz w:val="24"/>
          <w:szCs w:val="24"/>
        </w:rPr>
        <w:t>测验合格后方可上岗工作</w:t>
      </w:r>
      <w:r>
        <w:rPr>
          <w:rFonts w:hint="eastAsia" w:ascii="宋体" w:hAnsi="宋体" w:eastAsia="宋体" w:cs="宋体"/>
          <w:bCs/>
          <w:color w:val="auto"/>
          <w:sz w:val="24"/>
          <w:szCs w:val="24"/>
        </w:rPr>
        <w:t>。具体组成如下：</w:t>
      </w:r>
    </w:p>
    <w:p w14:paraId="18C0B9F7">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1.项目负责人（1名）：对项目负总责，包括项目管理、访员招聘与管理、质量监督等。人员要求年龄35-50</w:t>
      </w:r>
      <w:r>
        <w:rPr>
          <w:rFonts w:hint="eastAsia" w:ascii="宋体" w:hAnsi="宋体" w:cs="宋体"/>
          <w:bCs/>
          <w:color w:val="auto"/>
          <w:sz w:val="24"/>
          <w:szCs w:val="24"/>
          <w:lang w:val="en-US" w:eastAsia="zh-CN"/>
        </w:rPr>
        <w:t>周</w:t>
      </w:r>
      <w:r>
        <w:rPr>
          <w:rFonts w:hint="eastAsia" w:ascii="宋体" w:hAnsi="宋体" w:eastAsia="宋体" w:cs="宋体"/>
          <w:bCs/>
          <w:color w:val="auto"/>
          <w:sz w:val="24"/>
          <w:szCs w:val="24"/>
        </w:rPr>
        <w:t>岁，本科</w:t>
      </w:r>
      <w:r>
        <w:rPr>
          <w:rFonts w:hint="eastAsia" w:ascii="宋体" w:hAnsi="宋体" w:cs="宋体"/>
          <w:bCs/>
          <w:color w:val="auto"/>
          <w:sz w:val="24"/>
          <w:szCs w:val="24"/>
          <w:lang w:val="en-US" w:eastAsia="zh-CN"/>
        </w:rPr>
        <w:t>及</w:t>
      </w:r>
      <w:r>
        <w:rPr>
          <w:rFonts w:hint="eastAsia" w:ascii="宋体" w:hAnsi="宋体" w:eastAsia="宋体" w:cs="宋体"/>
          <w:bCs/>
          <w:color w:val="auto"/>
          <w:sz w:val="24"/>
          <w:szCs w:val="24"/>
        </w:rPr>
        <w:t>以上文化程度，须具有五年以上CATI调查工作经验和一定管理协调能力。</w:t>
      </w:r>
    </w:p>
    <w:p w14:paraId="2D558C65">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▲中标方拟派项目负责人未经采购方同意不得更换。</w:t>
      </w:r>
    </w:p>
    <w:p w14:paraId="69CEA483">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2.现场管理人员、督导员（1-2名）：负责调查项目的访问员培训、调查执行及现场管理等。人员要求年龄2</w:t>
      </w:r>
      <w:r>
        <w:rPr>
          <w:rFonts w:hint="eastAsia" w:ascii="宋体" w:hAnsi="宋体" w:eastAsia="宋体" w:cs="宋体"/>
          <w:bCs/>
          <w:color w:val="auto"/>
          <w:sz w:val="24"/>
          <w:szCs w:val="24"/>
          <w:lang w:val="en-US" w:eastAsia="zh-CN"/>
        </w:rPr>
        <w:t>2</w:t>
      </w:r>
      <w:r>
        <w:rPr>
          <w:rFonts w:hint="eastAsia" w:ascii="宋体" w:hAnsi="宋体" w:eastAsia="宋体" w:cs="宋体"/>
          <w:bCs/>
          <w:color w:val="auto"/>
          <w:sz w:val="24"/>
          <w:szCs w:val="24"/>
        </w:rPr>
        <w:t>-40</w:t>
      </w:r>
      <w:r>
        <w:rPr>
          <w:rFonts w:hint="eastAsia" w:ascii="宋体" w:hAnsi="宋体" w:cs="宋体"/>
          <w:bCs/>
          <w:color w:val="auto"/>
          <w:sz w:val="24"/>
          <w:szCs w:val="24"/>
          <w:lang w:val="en-US" w:eastAsia="zh-CN"/>
        </w:rPr>
        <w:t>周</w:t>
      </w:r>
      <w:r>
        <w:rPr>
          <w:rFonts w:hint="eastAsia" w:ascii="宋体" w:hAnsi="宋体" w:eastAsia="宋体" w:cs="宋体"/>
          <w:bCs/>
          <w:color w:val="auto"/>
          <w:sz w:val="24"/>
          <w:szCs w:val="24"/>
        </w:rPr>
        <w:t>岁，本科</w:t>
      </w:r>
      <w:r>
        <w:rPr>
          <w:rFonts w:hint="eastAsia" w:ascii="宋体" w:hAnsi="宋体" w:cs="宋体"/>
          <w:bCs/>
          <w:color w:val="auto"/>
          <w:sz w:val="24"/>
          <w:szCs w:val="24"/>
          <w:lang w:val="en-US" w:eastAsia="zh-CN"/>
        </w:rPr>
        <w:t>及</w:t>
      </w:r>
      <w:r>
        <w:rPr>
          <w:rFonts w:hint="eastAsia" w:ascii="宋体" w:hAnsi="宋体" w:eastAsia="宋体" w:cs="宋体"/>
          <w:bCs/>
          <w:color w:val="auto"/>
          <w:sz w:val="24"/>
          <w:szCs w:val="24"/>
        </w:rPr>
        <w:t>以上文化程度，有</w:t>
      </w:r>
      <w:r>
        <w:rPr>
          <w:rFonts w:hint="eastAsia" w:ascii="宋体" w:hAnsi="宋体" w:eastAsia="宋体" w:cs="宋体"/>
          <w:bCs/>
          <w:color w:val="auto"/>
          <w:sz w:val="24"/>
          <w:szCs w:val="24"/>
          <w:lang w:val="en-US" w:eastAsia="zh-CN"/>
        </w:rPr>
        <w:t>三</w:t>
      </w:r>
      <w:r>
        <w:rPr>
          <w:rFonts w:hint="eastAsia" w:ascii="宋体" w:hAnsi="宋体" w:eastAsia="宋体" w:cs="宋体"/>
          <w:bCs/>
          <w:color w:val="auto"/>
          <w:sz w:val="24"/>
          <w:szCs w:val="24"/>
        </w:rPr>
        <w:t>年以上从事CATI调查项目经验（由政府CATI调查委托能力的政府部门、事业单位等单位出具）。须认真接受采购方调查项目培训，通过采购单位测验合格后方可上岗工作。</w:t>
      </w:r>
    </w:p>
    <w:p w14:paraId="6BB8674A">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3.复核员（1-2名）：负责实时监听、录音审核等。人员要求年龄2</w:t>
      </w:r>
      <w:r>
        <w:rPr>
          <w:rFonts w:hint="eastAsia" w:ascii="宋体" w:hAnsi="宋体" w:eastAsia="宋体" w:cs="宋体"/>
          <w:bCs/>
          <w:color w:val="auto"/>
          <w:sz w:val="24"/>
          <w:szCs w:val="24"/>
          <w:lang w:val="en-US" w:eastAsia="zh-CN"/>
        </w:rPr>
        <w:t>2</w:t>
      </w:r>
      <w:r>
        <w:rPr>
          <w:rFonts w:hint="eastAsia" w:ascii="宋体" w:hAnsi="宋体" w:eastAsia="宋体" w:cs="宋体"/>
          <w:bCs/>
          <w:color w:val="auto"/>
          <w:sz w:val="24"/>
          <w:szCs w:val="24"/>
        </w:rPr>
        <w:t>-40</w:t>
      </w:r>
      <w:r>
        <w:rPr>
          <w:rFonts w:hint="eastAsia" w:ascii="宋体" w:hAnsi="宋体" w:cs="宋体"/>
          <w:bCs/>
          <w:color w:val="auto"/>
          <w:sz w:val="24"/>
          <w:szCs w:val="24"/>
          <w:lang w:val="en-US" w:eastAsia="zh-CN"/>
        </w:rPr>
        <w:t>周</w:t>
      </w:r>
      <w:r>
        <w:rPr>
          <w:rFonts w:hint="eastAsia" w:ascii="宋体" w:hAnsi="宋体" w:eastAsia="宋体" w:cs="宋体"/>
          <w:bCs/>
          <w:color w:val="auto"/>
          <w:sz w:val="24"/>
          <w:szCs w:val="24"/>
        </w:rPr>
        <w:t>岁，大专</w:t>
      </w:r>
      <w:r>
        <w:rPr>
          <w:rFonts w:hint="eastAsia" w:ascii="宋体" w:hAnsi="宋体" w:cs="宋体"/>
          <w:bCs/>
          <w:color w:val="auto"/>
          <w:sz w:val="24"/>
          <w:szCs w:val="24"/>
          <w:lang w:val="en-US" w:eastAsia="zh-CN"/>
        </w:rPr>
        <w:t>及</w:t>
      </w:r>
      <w:r>
        <w:rPr>
          <w:rFonts w:hint="eastAsia" w:ascii="宋体" w:hAnsi="宋体" w:eastAsia="宋体" w:cs="宋体"/>
          <w:bCs/>
          <w:color w:val="auto"/>
          <w:sz w:val="24"/>
          <w:szCs w:val="24"/>
        </w:rPr>
        <w:t>以上文化程度，有</w:t>
      </w:r>
      <w:r>
        <w:rPr>
          <w:rFonts w:hint="eastAsia" w:ascii="宋体" w:hAnsi="宋体" w:eastAsia="宋体" w:cs="宋体"/>
          <w:bCs/>
          <w:color w:val="auto"/>
          <w:sz w:val="24"/>
          <w:szCs w:val="24"/>
          <w:lang w:val="en-US" w:eastAsia="zh-CN"/>
        </w:rPr>
        <w:t>一年以上</w:t>
      </w:r>
      <w:r>
        <w:rPr>
          <w:rFonts w:hint="eastAsia" w:ascii="宋体" w:hAnsi="宋体" w:eastAsia="宋体" w:cs="宋体"/>
          <w:bCs/>
          <w:color w:val="auto"/>
          <w:sz w:val="24"/>
          <w:szCs w:val="24"/>
        </w:rPr>
        <w:t>从事CATI调查项目经验，有责任心，能吃苦耐劳。须认真接受采购方调查项目培训，通过采购单位测验合格后方可上岗工作。</w:t>
      </w:r>
    </w:p>
    <w:p w14:paraId="7F4DA256">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4.访问员：负责调查过程中的数据采集。要求年龄18-35</w:t>
      </w:r>
      <w:r>
        <w:rPr>
          <w:rFonts w:hint="eastAsia" w:ascii="宋体" w:hAnsi="宋体" w:cs="宋体"/>
          <w:bCs/>
          <w:color w:val="auto"/>
          <w:sz w:val="24"/>
          <w:szCs w:val="24"/>
          <w:lang w:val="en-US" w:eastAsia="zh-CN"/>
        </w:rPr>
        <w:t>周</w:t>
      </w:r>
      <w:r>
        <w:rPr>
          <w:rFonts w:hint="eastAsia" w:ascii="宋体" w:hAnsi="宋体" w:eastAsia="宋体" w:cs="宋体"/>
          <w:bCs/>
          <w:color w:val="auto"/>
          <w:sz w:val="24"/>
          <w:szCs w:val="24"/>
        </w:rPr>
        <w:t>岁，普通话标准，语言表达能力强，无口吃结巴等语言表达障碍；以女性访员为主，社会学、心理学、统计学等相关专业优先。其中专职访问员人数不少于6人，每次调查专职访问员比例不低于20%。</w:t>
      </w:r>
    </w:p>
    <w:p w14:paraId="1D79EB0F">
      <w:pPr>
        <w:pageBreakBefore w:val="0"/>
        <w:widowControl w:val="0"/>
        <w:kinsoku/>
        <w:wordWrap/>
        <w:overflowPunct/>
        <w:topLinePunct w:val="0"/>
        <w:autoSpaceDE/>
        <w:autoSpaceDN/>
        <w:bidi w:val="0"/>
        <w:adjustRightInd/>
        <w:spacing w:line="360" w:lineRule="auto"/>
        <w:ind w:left="0" w:right="0" w:firstLine="480" w:firstLineChars="200"/>
        <w:jc w:val="left"/>
        <w:textAlignment w:val="auto"/>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lang w:eastAsia="zh-CN"/>
        </w:rPr>
        <w:t>以上从事</w:t>
      </w:r>
      <w:r>
        <w:rPr>
          <w:rFonts w:hint="eastAsia" w:ascii="宋体" w:hAnsi="宋体" w:eastAsia="宋体" w:cs="宋体"/>
          <w:b w:val="0"/>
          <w:bCs/>
          <w:color w:val="auto"/>
          <w:sz w:val="24"/>
          <w:szCs w:val="24"/>
          <w:lang w:val="en-US" w:eastAsia="zh-CN"/>
        </w:rPr>
        <w:t>政府</w:t>
      </w:r>
      <w:r>
        <w:rPr>
          <w:rFonts w:hint="eastAsia" w:ascii="宋体" w:hAnsi="宋体" w:eastAsia="宋体" w:cs="宋体"/>
          <w:b w:val="0"/>
          <w:bCs/>
          <w:color w:val="auto"/>
          <w:sz w:val="24"/>
          <w:szCs w:val="24"/>
        </w:rPr>
        <w:t>CATI调查项目经验</w:t>
      </w:r>
      <w:r>
        <w:rPr>
          <w:rFonts w:hint="eastAsia" w:ascii="宋体" w:hAnsi="宋体" w:eastAsia="宋体" w:cs="宋体"/>
          <w:b w:val="0"/>
          <w:bCs/>
          <w:color w:val="auto"/>
          <w:sz w:val="24"/>
          <w:szCs w:val="24"/>
          <w:lang w:eastAsia="zh-CN"/>
        </w:rPr>
        <w:t>要求有</w:t>
      </w:r>
      <w:r>
        <w:rPr>
          <w:rFonts w:hint="eastAsia" w:ascii="宋体" w:hAnsi="宋体" w:eastAsia="宋体" w:cs="宋体"/>
          <w:b w:val="0"/>
          <w:bCs/>
          <w:color w:val="auto"/>
          <w:sz w:val="24"/>
          <w:szCs w:val="24"/>
          <w:lang w:val="en-US" w:eastAsia="zh-CN"/>
        </w:rPr>
        <w:t>政府CATI调查委托能力的政府部门、事业单位等单位出具</w:t>
      </w:r>
      <w:r>
        <w:rPr>
          <w:rFonts w:hint="eastAsia" w:ascii="宋体" w:hAnsi="宋体" w:eastAsia="宋体" w:cs="宋体"/>
          <w:b w:val="0"/>
          <w:bCs/>
          <w:color w:val="auto"/>
          <w:sz w:val="24"/>
          <w:szCs w:val="24"/>
        </w:rPr>
        <w:t>。</w:t>
      </w:r>
    </w:p>
    <w:p w14:paraId="752D13C7">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val="0"/>
          <w:bCs/>
          <w:color w:val="auto"/>
          <w:sz w:val="24"/>
          <w:szCs w:val="24"/>
        </w:rPr>
      </w:pPr>
      <w:r>
        <w:rPr>
          <w:rFonts w:hint="eastAsia" w:ascii="宋体" w:hAnsi="宋体" w:eastAsia="宋体" w:cs="宋体"/>
          <w:b w:val="0"/>
          <w:bCs/>
          <w:color w:val="auto"/>
          <w:sz w:val="24"/>
          <w:szCs w:val="24"/>
          <w:lang w:val="en-US" w:eastAsia="zh-CN"/>
        </w:rPr>
        <w:t>注：1.</w:t>
      </w:r>
      <w:r>
        <w:rPr>
          <w:rFonts w:hint="eastAsia" w:ascii="宋体" w:hAnsi="宋体" w:eastAsia="宋体" w:cs="宋体"/>
          <w:b w:val="0"/>
          <w:bCs/>
          <w:color w:val="auto"/>
          <w:sz w:val="24"/>
          <w:szCs w:val="24"/>
          <w:lang w:eastAsia="zh-CN"/>
        </w:rPr>
        <w:t>中标方</w:t>
      </w:r>
      <w:r>
        <w:rPr>
          <w:rFonts w:hint="eastAsia" w:ascii="宋体" w:hAnsi="宋体" w:eastAsia="宋体" w:cs="宋体"/>
          <w:b w:val="0"/>
          <w:bCs/>
          <w:color w:val="auto"/>
          <w:sz w:val="24"/>
          <w:szCs w:val="24"/>
        </w:rPr>
        <w:t>应及时做好现场席位上座率、全职管理人员人数、调查进度控制等调度、保障工作，确保按</w:t>
      </w:r>
      <w:r>
        <w:rPr>
          <w:rFonts w:hint="eastAsia" w:ascii="宋体" w:hAnsi="宋体" w:eastAsia="宋体" w:cs="宋体"/>
          <w:b w:val="0"/>
          <w:bCs/>
          <w:color w:val="auto"/>
          <w:sz w:val="24"/>
          <w:szCs w:val="24"/>
          <w:lang w:eastAsia="zh-CN"/>
        </w:rPr>
        <w:t>采购方</w:t>
      </w:r>
      <w:r>
        <w:rPr>
          <w:rFonts w:hint="eastAsia" w:ascii="宋体" w:hAnsi="宋体" w:eastAsia="宋体" w:cs="宋体"/>
          <w:b w:val="0"/>
          <w:bCs/>
          <w:color w:val="auto"/>
          <w:sz w:val="24"/>
          <w:szCs w:val="24"/>
        </w:rPr>
        <w:t xml:space="preserve">指定进度完成调查任务。 </w:t>
      </w:r>
    </w:p>
    <w:p w14:paraId="6A7C2586">
      <w:pPr>
        <w:pageBreakBefore w:val="0"/>
        <w:widowControl w:val="0"/>
        <w:kinsoku/>
        <w:wordWrap/>
        <w:overflowPunct/>
        <w:topLinePunct w:val="0"/>
        <w:autoSpaceDE/>
        <w:autoSpaceDN/>
        <w:bidi w:val="0"/>
        <w:spacing w:line="360" w:lineRule="auto"/>
        <w:ind w:left="0" w:leftChars="0" w:firstLine="480" w:firstLineChars="200"/>
        <w:jc w:val="left"/>
        <w:textAlignment w:val="auto"/>
        <w:rPr>
          <w:rFonts w:hint="eastAsia" w:ascii="宋体" w:hAnsi="宋体" w:eastAsia="宋体" w:cs="宋体"/>
          <w:b w:val="0"/>
          <w:bCs/>
          <w:color w:val="auto"/>
          <w:sz w:val="24"/>
          <w:szCs w:val="24"/>
          <w:highlight w:val="none"/>
          <w:lang w:eastAsia="zh-CN"/>
        </w:rPr>
      </w:pPr>
      <w:r>
        <w:rPr>
          <w:rFonts w:hint="eastAsia" w:ascii="宋体" w:hAnsi="宋体" w:eastAsia="宋体" w:cs="宋体"/>
          <w:b w:val="0"/>
          <w:bCs/>
          <w:color w:val="auto"/>
          <w:sz w:val="24"/>
          <w:szCs w:val="24"/>
          <w:lang w:val="en-US" w:eastAsia="zh-CN"/>
        </w:rPr>
        <w:t>2</w:t>
      </w:r>
      <w:r>
        <w:rPr>
          <w:rFonts w:hint="eastAsia" w:ascii="宋体" w:hAnsi="宋体" w:eastAsia="宋体" w:cs="宋体"/>
          <w:b w:val="0"/>
          <w:bCs/>
          <w:color w:val="auto"/>
          <w:sz w:val="24"/>
          <w:szCs w:val="24"/>
          <w:highlight w:val="none"/>
          <w:lang w:val="en-US" w:eastAsia="zh-CN"/>
        </w:rPr>
        <w:t>.投标</w:t>
      </w:r>
      <w:r>
        <w:rPr>
          <w:rFonts w:hint="eastAsia" w:ascii="宋体" w:hAnsi="宋体" w:eastAsia="宋体" w:cs="宋体"/>
          <w:b w:val="0"/>
          <w:bCs/>
          <w:color w:val="auto"/>
          <w:sz w:val="24"/>
          <w:szCs w:val="24"/>
          <w:lang w:val="en-US" w:eastAsia="zh-CN"/>
        </w:rPr>
        <w:t>方</w:t>
      </w:r>
      <w:r>
        <w:rPr>
          <w:rFonts w:hint="eastAsia" w:ascii="宋体" w:hAnsi="宋体" w:eastAsia="宋体" w:cs="宋体"/>
          <w:b w:val="0"/>
          <w:bCs/>
          <w:color w:val="auto"/>
          <w:sz w:val="24"/>
          <w:szCs w:val="24"/>
          <w:highlight w:val="none"/>
          <w:lang w:val="en-US" w:eastAsia="zh-CN"/>
        </w:rPr>
        <w:t>须在投标文件中承诺：中标</w:t>
      </w:r>
      <w:r>
        <w:rPr>
          <w:rFonts w:hint="eastAsia" w:ascii="宋体" w:hAnsi="宋体" w:eastAsia="宋体" w:cs="宋体"/>
          <w:b w:val="0"/>
          <w:bCs/>
          <w:color w:val="auto"/>
          <w:sz w:val="24"/>
          <w:szCs w:val="24"/>
          <w:highlight w:val="none"/>
          <w:lang w:eastAsia="zh-CN"/>
        </w:rPr>
        <w:t>项目进场后，</w:t>
      </w:r>
      <w:r>
        <w:rPr>
          <w:rFonts w:hint="eastAsia" w:ascii="宋体" w:hAnsi="宋体" w:eastAsia="宋体" w:cs="宋体"/>
          <w:b w:val="0"/>
          <w:bCs/>
          <w:color w:val="auto"/>
          <w:sz w:val="24"/>
          <w:szCs w:val="24"/>
          <w:lang w:eastAsia="zh-CN"/>
        </w:rPr>
        <w:t>中标方</w:t>
      </w:r>
      <w:r>
        <w:rPr>
          <w:rFonts w:hint="eastAsia" w:ascii="宋体" w:hAnsi="宋体" w:eastAsia="宋体" w:cs="宋体"/>
          <w:b w:val="0"/>
          <w:bCs/>
          <w:color w:val="auto"/>
          <w:sz w:val="24"/>
          <w:szCs w:val="24"/>
          <w:highlight w:val="none"/>
          <w:lang w:val="en-US" w:eastAsia="zh-CN"/>
        </w:rPr>
        <w:t>按</w:t>
      </w:r>
      <w:r>
        <w:rPr>
          <w:rFonts w:hint="eastAsia" w:ascii="宋体" w:hAnsi="宋体" w:eastAsia="宋体" w:cs="宋体"/>
          <w:b w:val="0"/>
          <w:bCs/>
          <w:color w:val="auto"/>
          <w:sz w:val="24"/>
          <w:szCs w:val="24"/>
          <w:highlight w:val="none"/>
          <w:lang w:eastAsia="zh-CN"/>
        </w:rPr>
        <w:t>投标文件中的</w:t>
      </w:r>
      <w:r>
        <w:rPr>
          <w:rFonts w:hint="eastAsia" w:ascii="宋体" w:hAnsi="宋体" w:eastAsia="宋体" w:cs="宋体"/>
          <w:b w:val="0"/>
          <w:bCs/>
          <w:color w:val="auto"/>
          <w:sz w:val="24"/>
          <w:szCs w:val="24"/>
          <w:highlight w:val="none"/>
          <w:lang w:val="en-US" w:eastAsia="zh-CN"/>
        </w:rPr>
        <w:t>项目小组人员驻场，如</w:t>
      </w:r>
      <w:r>
        <w:rPr>
          <w:rFonts w:hint="eastAsia" w:ascii="宋体" w:hAnsi="宋体" w:eastAsia="宋体" w:cs="宋体"/>
          <w:b w:val="0"/>
          <w:bCs/>
          <w:color w:val="auto"/>
          <w:sz w:val="24"/>
          <w:szCs w:val="24"/>
          <w:highlight w:val="none"/>
          <w:lang w:eastAsia="zh-CN"/>
        </w:rPr>
        <w:t>未按投标文件中的</w:t>
      </w:r>
      <w:r>
        <w:rPr>
          <w:rFonts w:hint="eastAsia" w:ascii="宋体" w:hAnsi="宋体" w:eastAsia="宋体" w:cs="宋体"/>
          <w:b w:val="0"/>
          <w:bCs/>
          <w:color w:val="auto"/>
          <w:sz w:val="24"/>
          <w:szCs w:val="24"/>
          <w:highlight w:val="none"/>
          <w:lang w:val="en-US" w:eastAsia="zh-CN"/>
        </w:rPr>
        <w:t>项目小组人员驻场，即为虚假投标</w:t>
      </w:r>
      <w:r>
        <w:rPr>
          <w:rFonts w:hint="eastAsia" w:ascii="宋体" w:hAnsi="宋体" w:eastAsia="宋体" w:cs="宋体"/>
          <w:b w:val="0"/>
          <w:bCs/>
          <w:color w:val="auto"/>
          <w:sz w:val="24"/>
          <w:szCs w:val="24"/>
          <w:highlight w:val="none"/>
          <w:lang w:eastAsia="zh-CN"/>
        </w:rPr>
        <w:t>；</w:t>
      </w:r>
      <w:r>
        <w:rPr>
          <w:rFonts w:hint="eastAsia" w:ascii="宋体" w:hAnsi="宋体" w:eastAsia="宋体" w:cs="宋体"/>
          <w:b w:val="0"/>
          <w:bCs/>
          <w:color w:val="auto"/>
          <w:sz w:val="24"/>
          <w:szCs w:val="24"/>
          <w:highlight w:val="none"/>
          <w:lang w:val="en-US" w:eastAsia="zh-CN"/>
        </w:rPr>
        <w:t>未按上述要求承诺的为无效投标</w:t>
      </w:r>
      <w:r>
        <w:rPr>
          <w:rFonts w:hint="eastAsia" w:ascii="宋体" w:hAnsi="宋体" w:eastAsia="宋体" w:cs="宋体"/>
          <w:b w:val="0"/>
          <w:bCs/>
          <w:color w:val="auto"/>
          <w:sz w:val="24"/>
          <w:szCs w:val="24"/>
          <w:highlight w:val="none"/>
        </w:rPr>
        <w:t>。</w:t>
      </w:r>
    </w:p>
    <w:p w14:paraId="0CE82F41">
      <w:pPr>
        <w:pageBreakBefore w:val="0"/>
        <w:widowControl w:val="0"/>
        <w:kinsoku/>
        <w:wordWrap/>
        <w:overflowPunct/>
        <w:topLinePunct w:val="0"/>
        <w:autoSpaceDE/>
        <w:autoSpaceDN/>
        <w:bidi w:val="0"/>
        <w:adjustRightInd/>
        <w:spacing w:line="360" w:lineRule="auto"/>
        <w:ind w:left="0" w:right="0" w:firstLine="480" w:firstLineChars="200"/>
        <w:jc w:val="left"/>
        <w:textAlignment w:val="auto"/>
        <w:rPr>
          <w:rFonts w:hint="eastAsia" w:ascii="宋体" w:hAnsi="宋体" w:eastAsia="宋体" w:cs="宋体"/>
          <w:b w:val="0"/>
          <w:bCs/>
          <w:color w:val="auto"/>
          <w:sz w:val="24"/>
          <w:szCs w:val="24"/>
          <w:highlight w:val="none"/>
          <w:lang w:val="en-US" w:eastAsia="zh-CN"/>
        </w:rPr>
      </w:pPr>
      <w:r>
        <w:rPr>
          <w:rFonts w:hint="eastAsia" w:ascii="宋体" w:hAnsi="宋体" w:eastAsia="宋体" w:cs="宋体"/>
          <w:b w:val="0"/>
          <w:bCs/>
          <w:color w:val="auto"/>
          <w:sz w:val="24"/>
          <w:szCs w:val="24"/>
          <w:lang w:val="en-US" w:eastAsia="zh-CN"/>
        </w:rPr>
        <w:t>3</w:t>
      </w:r>
      <w:r>
        <w:rPr>
          <w:rFonts w:hint="eastAsia" w:ascii="宋体" w:hAnsi="宋体" w:eastAsia="宋体" w:cs="宋体"/>
          <w:b w:val="0"/>
          <w:bCs/>
          <w:color w:val="auto"/>
          <w:sz w:val="24"/>
          <w:szCs w:val="24"/>
          <w:highlight w:val="none"/>
          <w:lang w:val="en-US" w:eastAsia="zh-CN"/>
        </w:rPr>
        <w:t>.本采购文件中的政府CATI调查指政府部门的计算机辅助电话调查，非简单的电话调查。</w:t>
      </w:r>
    </w:p>
    <w:p w14:paraId="13E5D634">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（二）技术能力要求</w:t>
      </w:r>
    </w:p>
    <w:p w14:paraId="51247D16">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1.技术能力要求：本次采购方要求投标方以</w:t>
      </w:r>
      <w:r>
        <w:rPr>
          <w:rFonts w:hint="eastAsia" w:ascii="宋体" w:hAnsi="宋体" w:eastAsia="宋体" w:cs="宋体"/>
          <w:b/>
          <w:bCs w:val="0"/>
          <w:color w:val="auto"/>
          <w:sz w:val="24"/>
          <w:szCs w:val="24"/>
          <w:lang w:val="en-US" w:eastAsia="zh-CN"/>
        </w:rPr>
        <w:t>嘉兴市民生实事社会公众满意度</w:t>
      </w:r>
      <w:r>
        <w:rPr>
          <w:rFonts w:hint="eastAsia" w:ascii="宋体" w:hAnsi="宋体" w:eastAsia="宋体" w:cs="宋体"/>
          <w:b/>
          <w:bCs w:val="0"/>
          <w:color w:val="auto"/>
          <w:sz w:val="24"/>
          <w:szCs w:val="24"/>
        </w:rPr>
        <w:t>CATI调查</w:t>
      </w:r>
      <w:r>
        <w:rPr>
          <w:rFonts w:hint="eastAsia" w:ascii="宋体" w:hAnsi="宋体" w:eastAsia="宋体" w:cs="宋体"/>
          <w:bCs/>
          <w:color w:val="auto"/>
          <w:sz w:val="24"/>
          <w:szCs w:val="24"/>
        </w:rPr>
        <w:t xml:space="preserve">为主题设计调查组织实施工作方案，内容包括但不限于：调查目的、人员构成与责任分工、访员管理、培训管理、质量控制、保密及安全措施、调查进度安排、调查问卷设计等内容。重点评估人员构成与责任分工、访员管理、培训管理、质量控制、调查问卷设计等内容。同时要求调查项目负责人熟悉CATI系统基本操作，能熟练操作CATI系统各项功能。  </w:t>
      </w:r>
    </w:p>
    <w:p w14:paraId="56ECFA80">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要求项目负责人现场讲解CATI调查组织实施工作方案，时间不超过10分钟；同时采购方组织CATI系统基本功能现场操作考核，时间不超过5分钟（具体考核方式详见第四章评标方法中的“方案整体质量及讲解情况”和“CATI操作”部分）。</w:t>
      </w:r>
    </w:p>
    <w:p w14:paraId="63D4EE1A">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Cs/>
          <w:color w:val="auto"/>
          <w:sz w:val="24"/>
          <w:szCs w:val="24"/>
          <w:highlight w:val="red"/>
        </w:rPr>
      </w:pPr>
      <w:r>
        <w:rPr>
          <w:rFonts w:hint="eastAsia" w:ascii="宋体" w:hAnsi="宋体" w:eastAsia="宋体" w:cs="宋体"/>
          <w:bCs/>
          <w:color w:val="auto"/>
          <w:sz w:val="24"/>
          <w:szCs w:val="24"/>
        </w:rPr>
        <w:t>2.自建CATI机房要求：本次</w:t>
      </w:r>
      <w:r>
        <w:rPr>
          <w:rFonts w:hint="eastAsia" w:ascii="宋体" w:hAnsi="宋体" w:eastAsia="宋体" w:cs="宋体"/>
          <w:bCs/>
          <w:color w:val="auto"/>
          <w:sz w:val="24"/>
          <w:szCs w:val="24"/>
          <w:lang w:eastAsia="zh-CN"/>
        </w:rPr>
        <w:t>采购方</w:t>
      </w:r>
      <w:r>
        <w:rPr>
          <w:rFonts w:hint="eastAsia" w:ascii="宋体" w:hAnsi="宋体" w:eastAsia="宋体" w:cs="宋体"/>
          <w:bCs/>
          <w:color w:val="auto"/>
          <w:sz w:val="24"/>
          <w:szCs w:val="24"/>
        </w:rPr>
        <w:t>要求投标方有自建CATI机房，席位不少于34个；机房要求具备基本CATI</w:t>
      </w:r>
      <w:r>
        <w:rPr>
          <w:rFonts w:hint="eastAsia" w:ascii="宋体" w:hAnsi="宋体" w:eastAsia="宋体" w:cs="宋体"/>
          <w:bCs/>
          <w:color w:val="auto"/>
          <w:sz w:val="24"/>
          <w:szCs w:val="24"/>
          <w:lang w:val="en-US" w:eastAsia="zh-CN"/>
        </w:rPr>
        <w:t>调查</w:t>
      </w:r>
      <w:r>
        <w:rPr>
          <w:rFonts w:hint="eastAsia" w:ascii="宋体" w:hAnsi="宋体" w:eastAsia="宋体" w:cs="宋体"/>
          <w:bCs/>
          <w:color w:val="auto"/>
          <w:sz w:val="24"/>
          <w:szCs w:val="24"/>
        </w:rPr>
        <w:t>条件及网络</w:t>
      </w:r>
      <w:r>
        <w:rPr>
          <w:rFonts w:hint="eastAsia" w:ascii="宋体" w:hAnsi="宋体" w:eastAsia="宋体" w:cs="宋体"/>
          <w:bCs/>
          <w:color w:val="auto"/>
          <w:sz w:val="24"/>
          <w:szCs w:val="24"/>
          <w:lang w:val="en-US" w:eastAsia="zh-CN"/>
        </w:rPr>
        <w:t>安全</w:t>
      </w:r>
      <w:r>
        <w:rPr>
          <w:rFonts w:hint="eastAsia" w:ascii="宋体" w:hAnsi="宋体" w:eastAsia="宋体" w:cs="宋体"/>
          <w:bCs/>
          <w:color w:val="auto"/>
          <w:sz w:val="24"/>
          <w:szCs w:val="24"/>
        </w:rPr>
        <w:t>环境。如遇公共卫生事件等导致</w:t>
      </w:r>
      <w:r>
        <w:rPr>
          <w:rFonts w:hint="eastAsia" w:ascii="宋体" w:hAnsi="宋体" w:eastAsia="宋体" w:cs="宋体"/>
          <w:bCs/>
          <w:color w:val="auto"/>
          <w:sz w:val="24"/>
          <w:szCs w:val="24"/>
          <w:lang w:eastAsia="zh-CN"/>
        </w:rPr>
        <w:t>采购方</w:t>
      </w:r>
      <w:r>
        <w:rPr>
          <w:rFonts w:hint="eastAsia" w:ascii="宋体" w:hAnsi="宋体" w:eastAsia="宋体" w:cs="宋体"/>
          <w:bCs/>
          <w:color w:val="auto"/>
          <w:sz w:val="24"/>
          <w:szCs w:val="24"/>
        </w:rPr>
        <w:t>CATI机房受限制或不能使用的特殊情况时，</w:t>
      </w:r>
      <w:r>
        <w:rPr>
          <w:rFonts w:hint="eastAsia" w:ascii="宋体" w:hAnsi="宋体" w:eastAsia="宋体" w:cs="宋体"/>
          <w:bCs/>
          <w:color w:val="auto"/>
          <w:sz w:val="24"/>
          <w:szCs w:val="24"/>
          <w:lang w:eastAsia="zh-CN"/>
        </w:rPr>
        <w:t>采购方</w:t>
      </w:r>
      <w:r>
        <w:rPr>
          <w:rFonts w:hint="eastAsia" w:ascii="宋体" w:hAnsi="宋体" w:eastAsia="宋体" w:cs="宋体"/>
          <w:bCs/>
          <w:color w:val="auto"/>
          <w:sz w:val="24"/>
          <w:szCs w:val="24"/>
        </w:rPr>
        <w:t>有权临时借用</w:t>
      </w:r>
      <w:r>
        <w:rPr>
          <w:rFonts w:hint="eastAsia" w:ascii="宋体" w:hAnsi="宋体" w:eastAsia="宋体" w:cs="宋体"/>
          <w:bCs/>
          <w:color w:val="auto"/>
          <w:sz w:val="24"/>
          <w:szCs w:val="24"/>
          <w:lang w:eastAsia="zh-CN"/>
        </w:rPr>
        <w:t>中标方</w:t>
      </w:r>
      <w:r>
        <w:rPr>
          <w:rFonts w:hint="eastAsia" w:ascii="宋体" w:hAnsi="宋体" w:eastAsia="宋体" w:cs="宋体"/>
          <w:bCs/>
          <w:color w:val="auto"/>
          <w:sz w:val="24"/>
          <w:szCs w:val="24"/>
        </w:rPr>
        <w:t>的机房席位作为备用席位使用，</w:t>
      </w:r>
      <w:r>
        <w:rPr>
          <w:rFonts w:hint="eastAsia" w:ascii="宋体" w:hAnsi="宋体" w:eastAsia="宋体" w:cs="宋体"/>
          <w:bCs/>
          <w:color w:val="auto"/>
          <w:sz w:val="24"/>
          <w:szCs w:val="24"/>
          <w:lang w:eastAsia="zh-CN"/>
        </w:rPr>
        <w:t>中标方</w:t>
      </w:r>
      <w:r>
        <w:rPr>
          <w:rFonts w:hint="eastAsia" w:ascii="宋体" w:hAnsi="宋体" w:eastAsia="宋体" w:cs="宋体"/>
          <w:bCs/>
          <w:color w:val="auto"/>
          <w:sz w:val="24"/>
          <w:szCs w:val="24"/>
        </w:rPr>
        <w:t>须配合</w:t>
      </w:r>
      <w:r>
        <w:rPr>
          <w:rFonts w:hint="eastAsia" w:ascii="宋体" w:hAnsi="宋体" w:eastAsia="宋体" w:cs="宋体"/>
          <w:bCs/>
          <w:color w:val="auto"/>
          <w:sz w:val="24"/>
          <w:szCs w:val="24"/>
          <w:lang w:eastAsia="zh-CN"/>
        </w:rPr>
        <w:t>采购方</w:t>
      </w:r>
      <w:r>
        <w:rPr>
          <w:rFonts w:hint="eastAsia" w:ascii="宋体" w:hAnsi="宋体" w:eastAsia="宋体" w:cs="宋体"/>
          <w:bCs/>
          <w:color w:val="auto"/>
          <w:sz w:val="24"/>
          <w:szCs w:val="24"/>
        </w:rPr>
        <w:t>的临时借用需求，由此产生的新费用中的调查通讯费由</w:t>
      </w:r>
      <w:r>
        <w:rPr>
          <w:rFonts w:hint="eastAsia" w:ascii="宋体" w:hAnsi="宋体" w:eastAsia="宋体" w:cs="宋体"/>
          <w:bCs/>
          <w:color w:val="auto"/>
          <w:sz w:val="24"/>
          <w:szCs w:val="24"/>
          <w:lang w:eastAsia="zh-CN"/>
        </w:rPr>
        <w:t>采购方</w:t>
      </w:r>
      <w:r>
        <w:rPr>
          <w:rFonts w:hint="eastAsia" w:ascii="宋体" w:hAnsi="宋体" w:eastAsia="宋体" w:cs="宋体"/>
          <w:bCs/>
          <w:color w:val="auto"/>
          <w:sz w:val="24"/>
          <w:szCs w:val="24"/>
        </w:rPr>
        <w:t>承担，其它费用由</w:t>
      </w:r>
      <w:r>
        <w:rPr>
          <w:rFonts w:hint="eastAsia" w:ascii="宋体" w:hAnsi="宋体" w:eastAsia="宋体" w:cs="宋体"/>
          <w:bCs/>
          <w:color w:val="auto"/>
          <w:sz w:val="24"/>
          <w:szCs w:val="24"/>
          <w:lang w:eastAsia="zh-CN"/>
        </w:rPr>
        <w:t>中标方</w:t>
      </w:r>
      <w:r>
        <w:rPr>
          <w:rFonts w:hint="eastAsia" w:ascii="宋体" w:hAnsi="宋体" w:eastAsia="宋体" w:cs="宋体"/>
          <w:bCs/>
          <w:color w:val="auto"/>
          <w:sz w:val="24"/>
          <w:szCs w:val="24"/>
        </w:rPr>
        <w:t>承担。。投标方须提供CATI系统销售合同复印件及机房席位设备证明（照片）、场地租用合同等证明文件。中标后，采购方将对中标方的CATI机房组织实地现场勘察，如遇</w:t>
      </w:r>
      <w:r>
        <w:rPr>
          <w:rFonts w:hint="eastAsia" w:ascii="宋体" w:hAnsi="宋体" w:cs="宋体"/>
          <w:bCs/>
          <w:color w:val="auto"/>
          <w:sz w:val="24"/>
          <w:szCs w:val="24"/>
          <w:lang w:val="en-US" w:eastAsia="zh-CN"/>
        </w:rPr>
        <w:t>与</w:t>
      </w:r>
      <w:r>
        <w:rPr>
          <w:rFonts w:hint="eastAsia" w:ascii="宋体" w:hAnsi="宋体" w:eastAsia="宋体" w:cs="宋体"/>
          <w:bCs/>
          <w:color w:val="auto"/>
          <w:sz w:val="24"/>
          <w:szCs w:val="24"/>
        </w:rPr>
        <w:t>投标文件中不符的，涉嫌虚假投标的，将依法报告财政部门处理。</w:t>
      </w:r>
    </w:p>
    <w:p w14:paraId="360416A6">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三</w:t>
      </w:r>
      <w:r>
        <w:rPr>
          <w:rFonts w:hint="eastAsia" w:ascii="宋体" w:hAnsi="宋体" w:eastAsia="宋体" w:cs="宋体"/>
          <w:b/>
          <w:color w:val="auto"/>
          <w:sz w:val="24"/>
          <w:szCs w:val="24"/>
          <w:highlight w:val="none"/>
        </w:rPr>
        <w:t>）纪律要求</w:t>
      </w:r>
    </w:p>
    <w:p w14:paraId="0CAB2376">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lang w:eastAsia="zh-CN"/>
        </w:rPr>
        <w:t>中标方</w:t>
      </w:r>
      <w:r>
        <w:rPr>
          <w:rFonts w:hint="eastAsia" w:ascii="宋体" w:hAnsi="宋体" w:eastAsia="宋体" w:cs="宋体"/>
          <w:color w:val="auto"/>
          <w:sz w:val="24"/>
          <w:szCs w:val="24"/>
          <w:highlight w:val="none"/>
        </w:rPr>
        <w:t>派遣人员</w:t>
      </w:r>
      <w:r>
        <w:rPr>
          <w:rFonts w:hint="eastAsia" w:ascii="宋体" w:hAnsi="宋体" w:cs="宋体"/>
          <w:color w:val="auto"/>
          <w:sz w:val="24"/>
          <w:szCs w:val="24"/>
          <w:highlight w:val="none"/>
          <w:lang w:val="en-US" w:eastAsia="zh-CN"/>
        </w:rPr>
        <w:t>须</w:t>
      </w:r>
      <w:r>
        <w:rPr>
          <w:rFonts w:hint="eastAsia" w:ascii="宋体" w:hAnsi="宋体" w:eastAsia="宋体" w:cs="宋体"/>
          <w:color w:val="auto"/>
          <w:sz w:val="24"/>
          <w:szCs w:val="24"/>
          <w:highlight w:val="none"/>
        </w:rPr>
        <w:t>严格遵守</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highlight w:val="none"/>
        </w:rPr>
        <w:t>的各项规章制度，如有违反，</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highlight w:val="none"/>
        </w:rPr>
        <w:t>有权终止合同。</w:t>
      </w:r>
    </w:p>
    <w:p w14:paraId="491F6C1E">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（四）质量要求</w:t>
      </w:r>
    </w:p>
    <w:p w14:paraId="2D9DB11E">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根据CATI调查方式的特点，采用录音复核和现场监听相结合的方式。其中录音复核样本比例一般性调查不低于样本总量的20%，测评类调查不低于50%，现场监听数量要求每个访员</w:t>
      </w:r>
      <w:r>
        <w:rPr>
          <w:rFonts w:hint="eastAsia" w:ascii="宋体" w:hAnsi="宋体" w:cs="宋体"/>
          <w:color w:val="auto"/>
          <w:sz w:val="24"/>
          <w:szCs w:val="24"/>
          <w:lang w:val="en-US" w:eastAsia="zh-CN"/>
        </w:rPr>
        <w:t>首日</w:t>
      </w:r>
      <w:r>
        <w:rPr>
          <w:rFonts w:hint="eastAsia" w:ascii="宋体" w:hAnsi="宋体" w:eastAsia="宋体" w:cs="宋体"/>
          <w:color w:val="auto"/>
          <w:sz w:val="24"/>
          <w:szCs w:val="24"/>
        </w:rPr>
        <w:t>监听数量不低于2个，新访员不低于4个，录音复核和现场监听样本要求涵盖调查所涉及的所有访问员。</w:t>
      </w:r>
    </w:p>
    <w:p w14:paraId="1CBEF32F">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审核过程中若发现访员有跳题、代答等弄虚作假行为按照发现作假样本数假一罚十扣除完成样本量，发现3份以上样本作假扣除该人员全部费用；复核员、督导员如有作假行为</w:t>
      </w:r>
      <w:r>
        <w:rPr>
          <w:rFonts w:hint="eastAsia" w:ascii="宋体" w:hAnsi="宋体" w:cs="宋体"/>
          <w:color w:val="auto"/>
          <w:sz w:val="24"/>
          <w:szCs w:val="24"/>
          <w:lang w:val="en-US" w:eastAsia="zh-CN"/>
        </w:rPr>
        <w:t>的</w:t>
      </w:r>
      <w:r>
        <w:rPr>
          <w:rFonts w:hint="eastAsia" w:ascii="宋体" w:hAnsi="宋体" w:eastAsia="宋体" w:cs="宋体"/>
          <w:color w:val="auto"/>
          <w:sz w:val="24"/>
          <w:szCs w:val="24"/>
        </w:rPr>
        <w:t>，</w:t>
      </w:r>
      <w:r>
        <w:rPr>
          <w:rFonts w:hint="eastAsia" w:ascii="宋体" w:hAnsi="宋体" w:cs="宋体"/>
          <w:color w:val="auto"/>
          <w:sz w:val="24"/>
          <w:szCs w:val="24"/>
          <w:lang w:val="en-US" w:eastAsia="zh-CN"/>
        </w:rPr>
        <w:t>发现</w:t>
      </w:r>
      <w:r>
        <w:rPr>
          <w:rFonts w:hint="eastAsia" w:ascii="宋体" w:hAnsi="宋体" w:eastAsia="宋体" w:cs="宋体"/>
          <w:color w:val="auto"/>
          <w:sz w:val="24"/>
          <w:szCs w:val="24"/>
        </w:rPr>
        <w:t xml:space="preserve">第一次给予警告，发现第二次取消督导资格并责成中标方予以更换。对于情节特别严重的，采购方有权终止合同。 </w:t>
      </w:r>
    </w:p>
    <w:p w14:paraId="38DE8B68">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（五）应急处理能力要求</w:t>
      </w:r>
    </w:p>
    <w:p w14:paraId="43A2039F">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要求项目负责人、现场管理人员具备应对紧急突发状况的能力，制定符合调查实际的应急预案。日常调查中做好对访员的相关培训，在调查访问中出现可能引起舆情的突发状况，</w:t>
      </w:r>
      <w:r>
        <w:rPr>
          <w:rFonts w:hint="eastAsia" w:ascii="宋体" w:hAnsi="宋体" w:cs="宋体"/>
          <w:bCs/>
          <w:color w:val="auto"/>
          <w:sz w:val="24"/>
          <w:szCs w:val="24"/>
          <w:lang w:val="en-US" w:eastAsia="zh-CN"/>
        </w:rPr>
        <w:t>须</w:t>
      </w:r>
      <w:r>
        <w:rPr>
          <w:rFonts w:hint="eastAsia" w:ascii="宋体" w:hAnsi="宋体" w:eastAsia="宋体" w:cs="宋体"/>
          <w:bCs/>
          <w:color w:val="auto"/>
          <w:sz w:val="24"/>
          <w:szCs w:val="24"/>
        </w:rPr>
        <w:t xml:space="preserve">严格按照应急预案要求处理，同时第一时间报告采购方。若出现突发状况处理不当引起的舆情事件，中标方承担相应责任，对于情节特别严重的，采购方有权终止合同。 </w:t>
      </w:r>
    </w:p>
    <w:p w14:paraId="48E0AE24">
      <w:pPr>
        <w:pageBreakBefore w:val="0"/>
        <w:widowControl w:val="0"/>
        <w:kinsoku/>
        <w:wordWrap/>
        <w:overflowPunct/>
        <w:topLinePunct w:val="0"/>
        <w:autoSpaceDE/>
        <w:autoSpaceDN/>
        <w:bidi w:val="0"/>
        <w:adjustRightInd w:val="0"/>
        <w:snapToGrid w:val="0"/>
        <w:spacing w:line="360" w:lineRule="auto"/>
        <w:ind w:left="0"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（六）绩效考核要求</w:t>
      </w:r>
    </w:p>
    <w:p w14:paraId="01D8E5E5">
      <w:pPr>
        <w:pageBreakBefore w:val="0"/>
        <w:widowControl w:val="0"/>
        <w:kinsoku/>
        <w:wordWrap/>
        <w:overflowPunct/>
        <w:topLinePunct w:val="0"/>
        <w:autoSpaceDE/>
        <w:autoSpaceDN/>
        <w:bidi w:val="0"/>
        <w:adjustRightInd w:val="0"/>
        <w:snapToGrid w:val="0"/>
        <w:spacing w:line="360" w:lineRule="auto"/>
        <w:ind w:left="0" w:firstLine="480" w:firstLineChars="200"/>
        <w:textAlignment w:val="auto"/>
        <w:outlineLvl w:val="0"/>
        <w:rPr>
          <w:rFonts w:hint="eastAsia" w:ascii="宋体" w:hAnsi="宋体" w:eastAsia="宋体" w:cs="宋体"/>
          <w:color w:val="auto"/>
          <w:sz w:val="24"/>
          <w:szCs w:val="24"/>
        </w:rPr>
      </w:pPr>
      <w:r>
        <w:rPr>
          <w:rFonts w:hint="eastAsia" w:ascii="宋体" w:hAnsi="宋体" w:eastAsia="宋体" w:cs="宋体"/>
          <w:color w:val="auto"/>
          <w:sz w:val="24"/>
          <w:szCs w:val="24"/>
        </w:rPr>
        <w:t>采购方定期组织对中标方进行调查工作绩效考核：绩效考核按项目进行，重点考核服务外包公司</w:t>
      </w:r>
      <w:r>
        <w:rPr>
          <w:rFonts w:hint="eastAsia" w:ascii="宋体" w:hAnsi="宋体" w:eastAsia="宋体" w:cs="宋体"/>
          <w:color w:val="auto"/>
          <w:sz w:val="24"/>
          <w:szCs w:val="24"/>
          <w:lang w:eastAsia="zh-CN"/>
        </w:rPr>
        <w:t>民意</w:t>
      </w:r>
      <w:r>
        <w:rPr>
          <w:rFonts w:hint="eastAsia" w:ascii="宋体" w:hAnsi="宋体" w:eastAsia="宋体" w:cs="宋体"/>
          <w:color w:val="auto"/>
          <w:sz w:val="24"/>
          <w:szCs w:val="24"/>
        </w:rPr>
        <w:t>调查项目的执行情况，具体包括服务能力、服务管理、服务质量、扣分项四个方面。(具体详见</w:t>
      </w:r>
      <w:r>
        <w:rPr>
          <w:rFonts w:hint="eastAsia" w:ascii="宋体" w:hAnsi="宋体" w:eastAsia="宋体" w:cs="宋体"/>
          <w:color w:val="auto"/>
          <w:sz w:val="24"/>
          <w:szCs w:val="24"/>
          <w:lang w:eastAsia="zh-CN"/>
        </w:rPr>
        <w:t>附件：</w:t>
      </w:r>
      <w:r>
        <w:rPr>
          <w:rFonts w:hint="eastAsia" w:ascii="宋体" w:hAnsi="宋体" w:eastAsia="宋体" w:cs="宋体"/>
          <w:color w:val="auto"/>
          <w:sz w:val="24"/>
          <w:szCs w:val="24"/>
        </w:rPr>
        <w:t>社情民意调查服务外包绩效考核办法）</w:t>
      </w:r>
    </w:p>
    <w:p w14:paraId="7403ED17">
      <w:pPr>
        <w:pageBreakBefore w:val="0"/>
        <w:widowControl w:val="0"/>
        <w:kinsoku/>
        <w:wordWrap/>
        <w:overflowPunct/>
        <w:topLinePunct w:val="0"/>
        <w:autoSpaceDE/>
        <w:autoSpaceDN/>
        <w:bidi w:val="0"/>
        <w:adjustRightInd w:val="0"/>
        <w:snapToGrid w:val="0"/>
        <w:spacing w:line="360" w:lineRule="auto"/>
        <w:ind w:left="0"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（七）保密要求</w:t>
      </w:r>
    </w:p>
    <w:p w14:paraId="09A57159">
      <w:pPr>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中标方须与采购方签订保密协议，中标方及所派遣人员不得对外泄露任何采购单位调查项目有关内容，如调查时间、调查方式、调查对象、调查内容和调查结果等，否则采购方将终止合同并追究有关经济和法律责任。</w:t>
      </w:r>
    </w:p>
    <w:p w14:paraId="3E62FEDF">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调查过程中形成的调查资料、数据、结论所享有的知识产权归采购</w:t>
      </w:r>
      <w:r>
        <w:rPr>
          <w:rFonts w:hint="eastAsia" w:ascii="宋体" w:hAnsi="宋体" w:eastAsia="宋体" w:cs="宋体"/>
          <w:color w:val="auto"/>
          <w:sz w:val="24"/>
          <w:szCs w:val="24"/>
          <w:lang w:eastAsia="zh-CN"/>
        </w:rPr>
        <w:t>方</w:t>
      </w:r>
      <w:r>
        <w:rPr>
          <w:rFonts w:hint="eastAsia" w:ascii="宋体" w:hAnsi="宋体" w:eastAsia="宋体" w:cs="宋体"/>
          <w:color w:val="auto"/>
          <w:sz w:val="24"/>
          <w:szCs w:val="24"/>
        </w:rPr>
        <w:t xml:space="preserve">所有。中标方不得将上述调查资料、数据向第三方提供。 </w:t>
      </w:r>
    </w:p>
    <w:p w14:paraId="161F42A0">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中标方应告知并以适当方式要求其参与调查人员遵守本条规定，若参与调查人员违反保密规定，中标方应承担连带责任。</w:t>
      </w:r>
    </w:p>
    <w:p w14:paraId="2D3F973B">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保密期限为长期。</w:t>
      </w:r>
    </w:p>
    <w:p w14:paraId="126DB4F4">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（八）免责协定</w:t>
      </w:r>
    </w:p>
    <w:p w14:paraId="55812DB7">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中标方按照国家有关法律法规政策对其派出的调查及督导人员提供法律法规政策所规定的相关劳动保障，并为其完善必要的安全措施，采购方不对中标方派出的调查与督导人员的劳务纠纷及安全问题承担任何责任。</w:t>
      </w:r>
    </w:p>
    <w:p w14:paraId="7CB044FF">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三、投标报价要求</w:t>
      </w:r>
    </w:p>
    <w:p w14:paraId="4373523A">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（一）调查难度与最高限价如下：</w:t>
      </w:r>
    </w:p>
    <w:tbl>
      <w:tblPr>
        <w:tblStyle w:val="60"/>
        <w:tblW w:w="527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57"/>
        <w:gridCol w:w="2622"/>
      </w:tblGrid>
      <w:tr w14:paraId="48E1E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60" w:hRule="atLeast"/>
          <w:jc w:val="center"/>
        </w:trPr>
        <w:tc>
          <w:tcPr>
            <w:tcW w:w="2657" w:type="dxa"/>
            <w:noWrap/>
            <w:vAlign w:val="center"/>
          </w:tcPr>
          <w:p w14:paraId="441B51A2">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难度系数</w:t>
            </w:r>
          </w:p>
        </w:tc>
        <w:tc>
          <w:tcPr>
            <w:tcW w:w="2622" w:type="dxa"/>
            <w:noWrap/>
            <w:vAlign w:val="center"/>
          </w:tcPr>
          <w:p w14:paraId="34EA6458">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最高限价</w:t>
            </w:r>
          </w:p>
          <w:p w14:paraId="4ECCB457">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(元/成功样本)</w:t>
            </w:r>
          </w:p>
        </w:tc>
      </w:tr>
      <w:tr w14:paraId="687611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2657" w:type="dxa"/>
            <w:noWrap/>
            <w:vAlign w:val="center"/>
          </w:tcPr>
          <w:p w14:paraId="2D24B9C3">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9以上</w:t>
            </w:r>
          </w:p>
        </w:tc>
        <w:tc>
          <w:tcPr>
            <w:tcW w:w="2622" w:type="dxa"/>
            <w:noWrap/>
            <w:vAlign w:val="center"/>
          </w:tcPr>
          <w:p w14:paraId="1BA92E95">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lang w:val="en-US" w:eastAsia="zh-CN"/>
              </w:rPr>
              <w:t>19</w:t>
            </w:r>
          </w:p>
        </w:tc>
      </w:tr>
      <w:tr w14:paraId="2EEC4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2657" w:type="dxa"/>
            <w:noWrap/>
            <w:vAlign w:val="center"/>
          </w:tcPr>
          <w:p w14:paraId="23502FCC">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lang w:val="en-US" w:eastAsia="zh-CN"/>
              </w:rPr>
            </w:pPr>
            <w:r>
              <w:rPr>
                <w:rFonts w:hint="eastAsia" w:ascii="宋体" w:hAnsi="宋体" w:eastAsia="宋体" w:cs="宋体"/>
                <w:bCs/>
                <w:color w:val="auto"/>
                <w:sz w:val="24"/>
                <w:szCs w:val="24"/>
              </w:rPr>
              <w:t>8</w:t>
            </w:r>
            <w:r>
              <w:rPr>
                <w:rFonts w:hint="eastAsia" w:ascii="宋体" w:hAnsi="宋体" w:eastAsia="宋体" w:cs="宋体"/>
                <w:bCs/>
                <w:color w:val="auto"/>
                <w:sz w:val="24"/>
                <w:szCs w:val="24"/>
                <w:lang w:val="en-US" w:eastAsia="zh-CN"/>
              </w:rPr>
              <w:t>至9</w:t>
            </w:r>
          </w:p>
        </w:tc>
        <w:tc>
          <w:tcPr>
            <w:tcW w:w="2622" w:type="dxa"/>
            <w:noWrap/>
            <w:vAlign w:val="center"/>
          </w:tcPr>
          <w:p w14:paraId="5C22E638">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1</w:t>
            </w:r>
            <w:r>
              <w:rPr>
                <w:rFonts w:hint="eastAsia" w:ascii="宋体" w:hAnsi="宋体" w:eastAsia="宋体" w:cs="宋体"/>
                <w:bCs/>
                <w:color w:val="auto"/>
                <w:sz w:val="24"/>
                <w:szCs w:val="24"/>
                <w:lang w:val="en-US" w:eastAsia="zh-CN"/>
              </w:rPr>
              <w:t>8</w:t>
            </w:r>
          </w:p>
        </w:tc>
      </w:tr>
      <w:tr w14:paraId="67924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657" w:type="dxa"/>
            <w:noWrap/>
            <w:vAlign w:val="center"/>
          </w:tcPr>
          <w:p w14:paraId="62CD4D7F">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7至8</w:t>
            </w:r>
          </w:p>
        </w:tc>
        <w:tc>
          <w:tcPr>
            <w:tcW w:w="2622" w:type="dxa"/>
            <w:noWrap/>
            <w:vAlign w:val="center"/>
          </w:tcPr>
          <w:p w14:paraId="125B2432">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1</w:t>
            </w:r>
            <w:r>
              <w:rPr>
                <w:rFonts w:hint="eastAsia" w:ascii="宋体" w:hAnsi="宋体" w:eastAsia="宋体" w:cs="宋体"/>
                <w:bCs/>
                <w:color w:val="auto"/>
                <w:sz w:val="24"/>
                <w:szCs w:val="24"/>
                <w:lang w:val="en-US" w:eastAsia="zh-CN"/>
              </w:rPr>
              <w:t>7</w:t>
            </w:r>
          </w:p>
        </w:tc>
      </w:tr>
      <w:tr w14:paraId="263F3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657" w:type="dxa"/>
            <w:noWrap/>
            <w:vAlign w:val="center"/>
          </w:tcPr>
          <w:p w14:paraId="083F8790">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6至7</w:t>
            </w:r>
          </w:p>
        </w:tc>
        <w:tc>
          <w:tcPr>
            <w:tcW w:w="2622" w:type="dxa"/>
            <w:noWrap/>
            <w:vAlign w:val="center"/>
          </w:tcPr>
          <w:p w14:paraId="3322FC44">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1</w:t>
            </w:r>
            <w:r>
              <w:rPr>
                <w:rFonts w:hint="eastAsia" w:ascii="宋体" w:hAnsi="宋体" w:eastAsia="宋体" w:cs="宋体"/>
                <w:bCs/>
                <w:color w:val="auto"/>
                <w:sz w:val="24"/>
                <w:szCs w:val="24"/>
                <w:lang w:val="en-US" w:eastAsia="zh-CN"/>
              </w:rPr>
              <w:t>6</w:t>
            </w:r>
          </w:p>
        </w:tc>
      </w:tr>
      <w:tr w14:paraId="3DAD58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657" w:type="dxa"/>
            <w:noWrap/>
            <w:vAlign w:val="center"/>
          </w:tcPr>
          <w:p w14:paraId="544EC07C">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5至6</w:t>
            </w:r>
          </w:p>
        </w:tc>
        <w:tc>
          <w:tcPr>
            <w:tcW w:w="2622" w:type="dxa"/>
            <w:noWrap/>
            <w:vAlign w:val="center"/>
          </w:tcPr>
          <w:p w14:paraId="25B4605C">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1</w:t>
            </w:r>
            <w:r>
              <w:rPr>
                <w:rFonts w:hint="eastAsia" w:ascii="宋体" w:hAnsi="宋体" w:eastAsia="宋体" w:cs="宋体"/>
                <w:bCs/>
                <w:color w:val="auto"/>
                <w:sz w:val="24"/>
                <w:szCs w:val="24"/>
                <w:lang w:val="en-US" w:eastAsia="zh-CN"/>
              </w:rPr>
              <w:t>5</w:t>
            </w:r>
          </w:p>
        </w:tc>
      </w:tr>
      <w:tr w14:paraId="5E8B4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657" w:type="dxa"/>
            <w:noWrap/>
            <w:vAlign w:val="center"/>
          </w:tcPr>
          <w:p w14:paraId="2955E310">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4至5</w:t>
            </w:r>
          </w:p>
        </w:tc>
        <w:tc>
          <w:tcPr>
            <w:tcW w:w="2622" w:type="dxa"/>
            <w:noWrap/>
            <w:vAlign w:val="center"/>
          </w:tcPr>
          <w:p w14:paraId="50828B57">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1</w:t>
            </w:r>
            <w:r>
              <w:rPr>
                <w:rFonts w:hint="eastAsia" w:ascii="宋体" w:hAnsi="宋体" w:eastAsia="宋体" w:cs="宋体"/>
                <w:bCs/>
                <w:color w:val="auto"/>
                <w:sz w:val="24"/>
                <w:szCs w:val="24"/>
                <w:lang w:val="en-US" w:eastAsia="zh-CN"/>
              </w:rPr>
              <w:t>4</w:t>
            </w:r>
          </w:p>
        </w:tc>
      </w:tr>
      <w:tr w14:paraId="4254B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657" w:type="dxa"/>
            <w:noWrap/>
            <w:vAlign w:val="center"/>
          </w:tcPr>
          <w:p w14:paraId="4B4BCE91">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3至4</w:t>
            </w:r>
          </w:p>
        </w:tc>
        <w:tc>
          <w:tcPr>
            <w:tcW w:w="2622" w:type="dxa"/>
            <w:noWrap/>
            <w:vAlign w:val="center"/>
          </w:tcPr>
          <w:p w14:paraId="524325FA">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1</w:t>
            </w:r>
            <w:r>
              <w:rPr>
                <w:rFonts w:hint="eastAsia" w:ascii="宋体" w:hAnsi="宋体" w:eastAsia="宋体" w:cs="宋体"/>
                <w:bCs/>
                <w:color w:val="auto"/>
                <w:sz w:val="24"/>
                <w:szCs w:val="24"/>
                <w:lang w:val="en-US" w:eastAsia="zh-CN"/>
              </w:rPr>
              <w:t>3</w:t>
            </w:r>
          </w:p>
        </w:tc>
      </w:tr>
      <w:tr w14:paraId="492C8B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657" w:type="dxa"/>
            <w:noWrap/>
            <w:vAlign w:val="center"/>
          </w:tcPr>
          <w:p w14:paraId="726FF877">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3至2</w:t>
            </w:r>
          </w:p>
        </w:tc>
        <w:tc>
          <w:tcPr>
            <w:tcW w:w="2622" w:type="dxa"/>
            <w:noWrap/>
            <w:vAlign w:val="center"/>
          </w:tcPr>
          <w:p w14:paraId="4905139B">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1</w:t>
            </w:r>
            <w:r>
              <w:rPr>
                <w:rFonts w:hint="eastAsia" w:ascii="宋体" w:hAnsi="宋体" w:eastAsia="宋体" w:cs="宋体"/>
                <w:bCs/>
                <w:color w:val="auto"/>
                <w:sz w:val="24"/>
                <w:szCs w:val="24"/>
                <w:lang w:val="en-US" w:eastAsia="zh-CN"/>
              </w:rPr>
              <w:t>2</w:t>
            </w:r>
          </w:p>
        </w:tc>
      </w:tr>
      <w:tr w14:paraId="09F39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2657" w:type="dxa"/>
            <w:noWrap/>
            <w:vAlign w:val="center"/>
          </w:tcPr>
          <w:p w14:paraId="66940241">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2以下</w:t>
            </w:r>
          </w:p>
        </w:tc>
        <w:tc>
          <w:tcPr>
            <w:tcW w:w="2622" w:type="dxa"/>
            <w:noWrap/>
            <w:vAlign w:val="center"/>
          </w:tcPr>
          <w:p w14:paraId="02FFEF7B">
            <w:pPr>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bCs/>
                <w:color w:val="auto"/>
                <w:sz w:val="24"/>
                <w:szCs w:val="24"/>
                <w:lang w:eastAsia="zh-CN"/>
              </w:rPr>
            </w:pPr>
            <w:r>
              <w:rPr>
                <w:rFonts w:hint="eastAsia" w:ascii="宋体" w:hAnsi="宋体" w:eastAsia="宋体" w:cs="宋体"/>
                <w:bCs/>
                <w:color w:val="auto"/>
                <w:sz w:val="24"/>
                <w:szCs w:val="24"/>
              </w:rPr>
              <w:t>1</w:t>
            </w:r>
            <w:r>
              <w:rPr>
                <w:rFonts w:hint="eastAsia" w:ascii="宋体" w:hAnsi="宋体" w:eastAsia="宋体" w:cs="宋体"/>
                <w:bCs/>
                <w:color w:val="auto"/>
                <w:sz w:val="24"/>
                <w:szCs w:val="24"/>
                <w:lang w:val="en-US" w:eastAsia="zh-CN"/>
              </w:rPr>
              <w:t>1</w:t>
            </w:r>
          </w:p>
        </w:tc>
      </w:tr>
    </w:tbl>
    <w:p w14:paraId="1C0D6FBF">
      <w:pPr>
        <w:pageBreakBefore w:val="0"/>
        <w:widowControl w:val="0"/>
        <w:kinsoku/>
        <w:wordWrap/>
        <w:overflowPunct/>
        <w:topLinePunct w:val="0"/>
        <w:autoSpaceDE/>
        <w:autoSpaceDN/>
        <w:bidi w:val="0"/>
        <w:adjustRightInd w:val="0"/>
        <w:snapToGrid w:val="0"/>
        <w:spacing w:line="360" w:lineRule="auto"/>
        <w:ind w:left="0" w:firstLine="480" w:firstLineChars="200"/>
        <w:jc w:val="both"/>
        <w:textAlignment w:val="auto"/>
        <w:rPr>
          <w:rFonts w:hint="eastAsia" w:ascii="宋体" w:hAnsi="宋体" w:eastAsia="宋体" w:cs="宋体"/>
          <w:color w:val="auto"/>
          <w:sz w:val="24"/>
          <w:szCs w:val="24"/>
        </w:rPr>
      </w:pPr>
    </w:p>
    <w:p w14:paraId="75E0028C">
      <w:pPr>
        <w:pageBreakBefore w:val="0"/>
        <w:widowControl w:val="0"/>
        <w:kinsoku/>
        <w:wordWrap/>
        <w:overflowPunct/>
        <w:topLinePunct w:val="0"/>
        <w:autoSpaceDE/>
        <w:autoSpaceDN/>
        <w:bidi w:val="0"/>
        <w:adjustRightInd w:val="0"/>
        <w:snapToGrid w:val="0"/>
        <w:spacing w:line="360" w:lineRule="auto"/>
        <w:ind w:left="0" w:firstLine="480" w:firstLineChars="200"/>
        <w:jc w:val="lef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难度系数为成功通话时长与成功比（接通数/成功数）的加权平均值。其计算公式为：难度系数=成功通话时长*0.6+成功比（接通数/成功数）*0.4，该系数由CATI系统计算产生。</w:t>
      </w:r>
    </w:p>
    <w:p w14:paraId="46505808">
      <w:pPr>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例：</w:t>
      </w:r>
    </w:p>
    <w:p w14:paraId="427CEA8F">
      <w:pPr>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1.调查内容：生态环境质量公众满意度调查问卷共包含12个问题（不含甄别题、背景题），其中单选10个、多选1个、开放题1个，设置跳题点一个。</w:t>
      </w:r>
    </w:p>
    <w:p w14:paraId="45FE2ADB">
      <w:pPr>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2.调查方式：CATI（计算机辅助电话调查）调查，在</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rPr>
        <w:t>的机房统一进行；</w:t>
      </w:r>
    </w:p>
    <w:p w14:paraId="7F621975">
      <w:pPr>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3.调查样本量：全市7个县（市、区）及经开、港区共采集3500个成功样本。</w:t>
      </w:r>
    </w:p>
    <w:p w14:paraId="77DC161B">
      <w:pPr>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4.调查进度：根据以往调查实践，生态环境质量公众满意度调查成功通话时长为4.5分钟，样本成功比为4.91，难度系数为4.67，单价为1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元</w:t>
      </w:r>
      <w:r>
        <w:rPr>
          <w:rFonts w:hint="eastAsia" w:ascii="宋体" w:hAnsi="宋体" w:eastAsia="宋体" w:cs="宋体"/>
          <w:color w:val="auto"/>
          <w:sz w:val="24"/>
          <w:szCs w:val="24"/>
          <w:lang w:val="en-US" w:eastAsia="zh-CN"/>
        </w:rPr>
        <w:t>*成交供应商折扣率</w:t>
      </w:r>
      <w:r>
        <w:rPr>
          <w:rFonts w:hint="eastAsia" w:ascii="宋体" w:hAnsi="宋体" w:eastAsia="宋体" w:cs="宋体"/>
          <w:color w:val="auto"/>
          <w:sz w:val="24"/>
          <w:szCs w:val="24"/>
        </w:rPr>
        <w:t>/个。</w:t>
      </w:r>
    </w:p>
    <w:p w14:paraId="3E37FA81">
      <w:pPr>
        <w:pStyle w:val="3"/>
        <w:pageBreakBefore w:val="0"/>
        <w:widowControl w:val="0"/>
        <w:kinsoku/>
        <w:wordWrap/>
        <w:overflowPunct/>
        <w:topLinePunct w:val="0"/>
        <w:autoSpaceDE/>
        <w:autoSpaceDN/>
        <w:bidi w:val="0"/>
        <w:adjustRightInd w:val="0"/>
        <w:snapToGrid w:val="0"/>
        <w:spacing w:line="360" w:lineRule="auto"/>
        <w:ind w:left="0" w:firstLine="482"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注：按照202</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年调查项目测算，难度系数在</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以上的项目占40%，</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以下的项目占60%。</w:t>
      </w:r>
    </w:p>
    <w:p w14:paraId="36AC82ED">
      <w:pPr>
        <w:pageBreakBefore w:val="0"/>
        <w:widowControl w:val="0"/>
        <w:kinsoku/>
        <w:wordWrap/>
        <w:overflowPunct/>
        <w:topLinePunct w:val="0"/>
        <w:autoSpaceDE/>
        <w:autoSpaceDN/>
        <w:bidi w:val="0"/>
        <w:adjustRightInd w:val="0"/>
        <w:snapToGrid w:val="0"/>
        <w:spacing w:line="360" w:lineRule="auto"/>
        <w:ind w:left="0"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（二）面访调查</w:t>
      </w:r>
    </w:p>
    <w:tbl>
      <w:tblPr>
        <w:tblStyle w:val="60"/>
        <w:tblW w:w="7139" w:type="dxa"/>
        <w:jc w:val="center"/>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3780"/>
        <w:gridCol w:w="3359"/>
      </w:tblGrid>
      <w:tr w14:paraId="3D8922C5">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PrEx>
        <w:trPr>
          <w:trHeight w:val="613" w:hRule="atLeast"/>
          <w:jc w:val="center"/>
        </w:trPr>
        <w:tc>
          <w:tcPr>
            <w:tcW w:w="3780" w:type="dxa"/>
            <w:tcBorders>
              <w:left w:val="single" w:color="auto" w:sz="4" w:space="0"/>
            </w:tcBorders>
            <w:vAlign w:val="center"/>
          </w:tcPr>
          <w:p w14:paraId="197F7C6F">
            <w:pPr>
              <w:keepNext w:val="0"/>
              <w:keepLines w:val="0"/>
              <w:pageBreakBefore w:val="0"/>
              <w:widowControl w:val="0"/>
              <w:kinsoku/>
              <w:wordWrap/>
              <w:overflowPunct/>
              <w:topLinePunct w:val="0"/>
              <w:autoSpaceDE/>
              <w:autoSpaceDN/>
              <w:bidi w:val="0"/>
              <w:adjustRightInd w:val="0"/>
              <w:snapToGrid/>
              <w:spacing w:line="360" w:lineRule="auto"/>
              <w:ind w:left="0" w:firstLine="0" w:firstLineChars="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调查方式</w:t>
            </w:r>
          </w:p>
        </w:tc>
        <w:tc>
          <w:tcPr>
            <w:tcW w:w="3359" w:type="dxa"/>
            <w:tcBorders>
              <w:right w:val="single" w:color="auto" w:sz="4" w:space="0"/>
            </w:tcBorders>
            <w:vAlign w:val="center"/>
          </w:tcPr>
          <w:p w14:paraId="55EEFDAE">
            <w:pPr>
              <w:keepNext w:val="0"/>
              <w:keepLines w:val="0"/>
              <w:pageBreakBefore w:val="0"/>
              <w:widowControl w:val="0"/>
              <w:kinsoku/>
              <w:wordWrap/>
              <w:overflowPunct/>
              <w:topLinePunct w:val="0"/>
              <w:autoSpaceDE/>
              <w:autoSpaceDN/>
              <w:bidi w:val="0"/>
              <w:adjustRightInd w:val="0"/>
              <w:snapToGrid/>
              <w:spacing w:line="360" w:lineRule="auto"/>
              <w:ind w:left="0" w:firstLine="0" w:firstLineChars="0"/>
              <w:jc w:val="center"/>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上限单价（元/成功样本）</w:t>
            </w:r>
          </w:p>
        </w:tc>
      </w:tr>
      <w:tr w14:paraId="6BEC3177">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3780" w:type="dxa"/>
            <w:tcBorders>
              <w:left w:val="single" w:color="auto" w:sz="4" w:space="0"/>
            </w:tcBorders>
            <w:vAlign w:val="center"/>
          </w:tcPr>
          <w:p w14:paraId="463CB403">
            <w:pPr>
              <w:keepNext w:val="0"/>
              <w:keepLines w:val="0"/>
              <w:pageBreakBefore w:val="0"/>
              <w:widowControl w:val="0"/>
              <w:kinsoku/>
              <w:wordWrap/>
              <w:overflowPunct/>
              <w:topLinePunct w:val="0"/>
              <w:autoSpaceDE/>
              <w:autoSpaceDN/>
              <w:bidi w:val="0"/>
              <w:adjustRightInd w:val="0"/>
              <w:snapToGrid/>
              <w:spacing w:line="360" w:lineRule="auto"/>
              <w:ind w:lef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入户</w:t>
            </w:r>
          </w:p>
        </w:tc>
        <w:tc>
          <w:tcPr>
            <w:tcW w:w="3359" w:type="dxa"/>
            <w:tcBorders>
              <w:right w:val="single" w:color="auto" w:sz="4" w:space="0"/>
            </w:tcBorders>
            <w:vAlign w:val="center"/>
          </w:tcPr>
          <w:p w14:paraId="2F5AEF97">
            <w:pPr>
              <w:keepNext w:val="0"/>
              <w:keepLines w:val="0"/>
              <w:pageBreakBefore w:val="0"/>
              <w:widowControl w:val="0"/>
              <w:kinsoku/>
              <w:wordWrap/>
              <w:overflowPunct/>
              <w:topLinePunct w:val="0"/>
              <w:autoSpaceDE/>
              <w:autoSpaceDN/>
              <w:bidi w:val="0"/>
              <w:adjustRightInd w:val="0"/>
              <w:snapToGrid/>
              <w:spacing w:line="360" w:lineRule="auto"/>
              <w:ind w:lef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8</w:t>
            </w:r>
            <w:r>
              <w:rPr>
                <w:rFonts w:hint="eastAsia" w:ascii="宋体" w:hAnsi="宋体" w:eastAsia="宋体" w:cs="宋体"/>
                <w:color w:val="auto"/>
                <w:sz w:val="24"/>
                <w:szCs w:val="24"/>
              </w:rPr>
              <w:t>0</w:t>
            </w:r>
          </w:p>
        </w:tc>
      </w:tr>
      <w:tr w14:paraId="670B99B9">
        <w:tblPrEx>
          <w:tblBorders>
            <w:top w:val="single" w:color="auto" w:sz="12" w:space="0"/>
            <w:left w:val="none" w:color="auto" w:sz="0" w:space="0"/>
            <w:bottom w:val="single" w:color="auto" w:sz="12" w:space="0"/>
            <w:right w:val="none" w:color="auto" w:sz="0"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3780" w:type="dxa"/>
            <w:tcBorders>
              <w:left w:val="single" w:color="auto" w:sz="4" w:space="0"/>
            </w:tcBorders>
            <w:vAlign w:val="center"/>
          </w:tcPr>
          <w:p w14:paraId="70E16118">
            <w:pPr>
              <w:keepNext w:val="0"/>
              <w:keepLines w:val="0"/>
              <w:pageBreakBefore w:val="0"/>
              <w:widowControl w:val="0"/>
              <w:kinsoku/>
              <w:wordWrap/>
              <w:overflowPunct/>
              <w:topLinePunct w:val="0"/>
              <w:autoSpaceDE/>
              <w:autoSpaceDN/>
              <w:bidi w:val="0"/>
              <w:adjustRightInd w:val="0"/>
              <w:snapToGrid/>
              <w:spacing w:line="360" w:lineRule="auto"/>
              <w:ind w:lef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拦截</w:t>
            </w:r>
          </w:p>
        </w:tc>
        <w:tc>
          <w:tcPr>
            <w:tcW w:w="3359" w:type="dxa"/>
            <w:tcBorders>
              <w:right w:val="single" w:color="auto" w:sz="4" w:space="0"/>
            </w:tcBorders>
            <w:vAlign w:val="center"/>
          </w:tcPr>
          <w:p w14:paraId="4E378ADA">
            <w:pPr>
              <w:keepNext w:val="0"/>
              <w:keepLines w:val="0"/>
              <w:pageBreakBefore w:val="0"/>
              <w:widowControl w:val="0"/>
              <w:kinsoku/>
              <w:wordWrap/>
              <w:overflowPunct/>
              <w:topLinePunct w:val="0"/>
              <w:autoSpaceDE/>
              <w:autoSpaceDN/>
              <w:bidi w:val="0"/>
              <w:adjustRightInd w:val="0"/>
              <w:snapToGrid/>
              <w:spacing w:line="360" w:lineRule="auto"/>
              <w:ind w:lef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0</w:t>
            </w:r>
          </w:p>
        </w:tc>
      </w:tr>
    </w:tbl>
    <w:p w14:paraId="68E7462C">
      <w:pPr>
        <w:pageBreakBefore w:val="0"/>
        <w:widowControl w:val="0"/>
        <w:kinsoku/>
        <w:wordWrap/>
        <w:overflowPunct/>
        <w:topLinePunct w:val="0"/>
        <w:autoSpaceDE/>
        <w:autoSpaceDN/>
        <w:bidi w:val="0"/>
        <w:spacing w:line="360" w:lineRule="auto"/>
        <w:ind w:left="0" w:firstLine="482" w:firstLineChars="200"/>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（三）暗访调查：</w:t>
      </w:r>
      <w:r>
        <w:rPr>
          <w:rFonts w:hint="eastAsia" w:ascii="宋体" w:hAnsi="宋体" w:eastAsia="宋体" w:cs="宋体"/>
          <w:color w:val="auto"/>
          <w:sz w:val="24"/>
          <w:szCs w:val="24"/>
        </w:rPr>
        <w:t>上限价：300元/人/天。</w:t>
      </w:r>
    </w:p>
    <w:p w14:paraId="1EA76A2C">
      <w:pPr>
        <w:pageBreakBefore w:val="0"/>
        <w:widowControl w:val="0"/>
        <w:kinsoku/>
        <w:wordWrap/>
        <w:overflowPunct/>
        <w:topLinePunct w:val="0"/>
        <w:autoSpaceDE/>
        <w:autoSpaceDN/>
        <w:bidi w:val="0"/>
        <w:spacing w:line="360" w:lineRule="auto"/>
        <w:ind w:left="0" w:firstLine="480" w:firstLineChars="200"/>
        <w:textAlignment w:val="auto"/>
        <w:rPr>
          <w:rFonts w:hint="eastAsia" w:ascii="宋体" w:hAnsi="宋体" w:eastAsia="宋体" w:cs="宋体"/>
          <w:b/>
          <w:color w:val="auto"/>
          <w:sz w:val="24"/>
          <w:szCs w:val="24"/>
        </w:rPr>
      </w:pPr>
      <w:r>
        <w:rPr>
          <w:rFonts w:hint="eastAsia" w:ascii="宋体" w:hAnsi="宋体" w:eastAsia="宋体" w:cs="宋体"/>
          <w:color w:val="auto"/>
          <w:sz w:val="24"/>
          <w:szCs w:val="24"/>
        </w:rPr>
        <w:t>▲</w:t>
      </w:r>
      <w:r>
        <w:rPr>
          <w:rFonts w:hint="eastAsia" w:ascii="宋体" w:hAnsi="宋体" w:eastAsia="宋体" w:cs="宋体"/>
          <w:b/>
          <w:color w:val="auto"/>
          <w:sz w:val="24"/>
          <w:szCs w:val="24"/>
        </w:rPr>
        <w:t>各磋商供应商根据上述三部分限价投报统一的折扣，报价包含完成本项目所需的所有费用。</w:t>
      </w:r>
    </w:p>
    <w:p w14:paraId="7330BB49">
      <w:pPr>
        <w:pageBreakBefore w:val="0"/>
        <w:widowControl w:val="0"/>
        <w:kinsoku/>
        <w:wordWrap/>
        <w:overflowPunct/>
        <w:topLinePunct w:val="0"/>
        <w:autoSpaceDE/>
        <w:autoSpaceDN/>
        <w:bidi w:val="0"/>
        <w:snapToGrid w:val="0"/>
        <w:spacing w:line="360" w:lineRule="auto"/>
        <w:ind w:left="0" w:firstLine="482" w:firstLineChars="200"/>
        <w:textAlignment w:val="auto"/>
        <w:outlineLvl w:val="0"/>
        <w:rPr>
          <w:rFonts w:hint="eastAsia" w:ascii="宋体" w:hAnsi="宋体" w:eastAsia="宋体" w:cs="宋体"/>
          <w:b/>
          <w:color w:val="auto"/>
          <w:sz w:val="24"/>
          <w:szCs w:val="24"/>
        </w:rPr>
      </w:pPr>
      <w:r>
        <w:rPr>
          <w:rFonts w:hint="eastAsia" w:ascii="宋体" w:hAnsi="宋体" w:eastAsia="宋体" w:cs="宋体"/>
          <w:b/>
          <w:color w:val="auto"/>
          <w:sz w:val="24"/>
          <w:szCs w:val="24"/>
        </w:rPr>
        <w:t>四、商务要求（项目要求里另有注明的以项目要求为准）</w:t>
      </w:r>
    </w:p>
    <w:tbl>
      <w:tblPr>
        <w:tblStyle w:val="60"/>
        <w:tblW w:w="927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630"/>
        <w:gridCol w:w="7641"/>
      </w:tblGrid>
      <w:tr w14:paraId="38FD78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630" w:type="dxa"/>
            <w:tcBorders>
              <w:top w:val="single" w:color="auto" w:sz="4" w:space="0"/>
              <w:left w:val="single" w:color="auto" w:sz="4" w:space="0"/>
              <w:bottom w:val="single" w:color="auto" w:sz="4" w:space="0"/>
              <w:right w:val="single" w:color="auto" w:sz="4" w:space="0"/>
            </w:tcBorders>
            <w:vAlign w:val="center"/>
          </w:tcPr>
          <w:p w14:paraId="2CAA307C">
            <w:pPr>
              <w:keepNext w:val="0"/>
              <w:keepLines w:val="0"/>
              <w:pageBreakBefore w:val="0"/>
              <w:widowControl w:val="0"/>
              <w:kinsoku/>
              <w:wordWrap/>
              <w:overflowPunct/>
              <w:topLinePunct w:val="0"/>
              <w:autoSpaceDE/>
              <w:autoSpaceDN/>
              <w:bidi w:val="0"/>
              <w:adjustRightInd w:val="0"/>
              <w:spacing w:line="360" w:lineRule="auto"/>
              <w:ind w:lef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付款条件</w:t>
            </w:r>
          </w:p>
        </w:tc>
        <w:tc>
          <w:tcPr>
            <w:tcW w:w="7641" w:type="dxa"/>
            <w:tcBorders>
              <w:top w:val="single" w:color="auto" w:sz="4" w:space="0"/>
              <w:left w:val="single" w:color="auto" w:sz="4" w:space="0"/>
              <w:bottom w:val="single" w:color="auto" w:sz="4" w:space="0"/>
              <w:right w:val="single" w:color="auto" w:sz="4" w:space="0"/>
            </w:tcBorders>
            <w:vAlign w:val="center"/>
          </w:tcPr>
          <w:p w14:paraId="00311AC0">
            <w:pPr>
              <w:pStyle w:val="31"/>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1、付款方式：合同签订后7个工作日内支付预算金额的</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0%作为预付款，其余费用按季度按实结算，预付款按季度抵扣。</w:t>
            </w:r>
          </w:p>
          <w:p w14:paraId="2BD447C2">
            <w:pPr>
              <w:pStyle w:val="31"/>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2、单个项目服务费根据经复核检查合格后的成功样本量乘以样本单价再乘以成交供应商承诺（折扣率）计算。</w:t>
            </w:r>
          </w:p>
          <w:p w14:paraId="43BB16B9">
            <w:pPr>
              <w:pStyle w:val="31"/>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3、成交供应商于每季度开始10个工作日之内与</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rPr>
              <w:t>结算上季度所有已完成项目的服务费，并开具服务发票给</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rPr>
              <w:t>在20个工作日之内，凭成交供应商合法发票向成交供应商支付服务外包费用。</w:t>
            </w:r>
          </w:p>
        </w:tc>
      </w:tr>
      <w:tr w14:paraId="0F760D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630" w:type="dxa"/>
            <w:tcBorders>
              <w:top w:val="single" w:color="auto" w:sz="4" w:space="0"/>
              <w:left w:val="single" w:color="auto" w:sz="4" w:space="0"/>
              <w:bottom w:val="single" w:color="auto" w:sz="4" w:space="0"/>
              <w:right w:val="single" w:color="auto" w:sz="4" w:space="0"/>
            </w:tcBorders>
            <w:vAlign w:val="center"/>
          </w:tcPr>
          <w:p w14:paraId="5AC8A101">
            <w:pPr>
              <w:pStyle w:val="31"/>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履约保证金</w:t>
            </w:r>
          </w:p>
        </w:tc>
        <w:tc>
          <w:tcPr>
            <w:tcW w:w="7641" w:type="dxa"/>
            <w:tcBorders>
              <w:top w:val="single" w:color="auto" w:sz="4" w:space="0"/>
              <w:left w:val="single" w:color="auto" w:sz="4" w:space="0"/>
              <w:bottom w:val="single" w:color="auto" w:sz="4" w:space="0"/>
              <w:right w:val="single" w:color="auto" w:sz="4" w:space="0"/>
            </w:tcBorders>
            <w:vAlign w:val="center"/>
          </w:tcPr>
          <w:p w14:paraId="2DAA73B0">
            <w:pPr>
              <w:pStyle w:val="31"/>
              <w:keepNext w:val="0"/>
              <w:keepLines w:val="0"/>
              <w:pageBreakBefore w:val="0"/>
              <w:widowControl w:val="0"/>
              <w:kinsoku/>
              <w:wordWrap/>
              <w:overflowPunct/>
              <w:topLinePunct w:val="0"/>
              <w:autoSpaceDE/>
              <w:autoSpaceDN/>
              <w:bidi w:val="0"/>
              <w:adjustRightInd w:val="0"/>
              <w:snapToGrid w:val="0"/>
              <w:spacing w:line="360" w:lineRule="auto"/>
              <w:ind w:left="0"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无</w:t>
            </w:r>
          </w:p>
        </w:tc>
      </w:tr>
      <w:tr w14:paraId="56848E8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630" w:type="dxa"/>
            <w:tcBorders>
              <w:top w:val="single" w:color="auto" w:sz="4" w:space="0"/>
              <w:left w:val="single" w:color="auto" w:sz="4" w:space="0"/>
              <w:bottom w:val="single" w:color="auto" w:sz="4" w:space="0"/>
              <w:right w:val="single" w:color="auto" w:sz="4" w:space="0"/>
            </w:tcBorders>
            <w:vAlign w:val="center"/>
          </w:tcPr>
          <w:p w14:paraId="12432A59">
            <w:pPr>
              <w:keepNext w:val="0"/>
              <w:keepLines w:val="0"/>
              <w:pageBreakBefore w:val="0"/>
              <w:widowControl w:val="0"/>
              <w:kinsoku/>
              <w:wordWrap/>
              <w:overflowPunct/>
              <w:topLinePunct w:val="0"/>
              <w:autoSpaceDE/>
              <w:autoSpaceDN/>
              <w:bidi w:val="0"/>
              <w:adjustRightInd w:val="0"/>
              <w:spacing w:line="360" w:lineRule="auto"/>
              <w:ind w:lef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服务地点</w:t>
            </w:r>
          </w:p>
        </w:tc>
        <w:tc>
          <w:tcPr>
            <w:tcW w:w="7641" w:type="dxa"/>
            <w:tcBorders>
              <w:top w:val="single" w:color="auto" w:sz="4" w:space="0"/>
              <w:left w:val="single" w:color="auto" w:sz="4" w:space="0"/>
              <w:bottom w:val="single" w:color="auto" w:sz="4" w:space="0"/>
              <w:right w:val="single" w:color="auto" w:sz="4" w:space="0"/>
            </w:tcBorders>
            <w:vAlign w:val="center"/>
          </w:tcPr>
          <w:p w14:paraId="7B0F3F71">
            <w:pPr>
              <w:keepNext w:val="0"/>
              <w:keepLines w:val="0"/>
              <w:pageBreakBefore w:val="0"/>
              <w:widowControl w:val="0"/>
              <w:kinsoku/>
              <w:wordWrap/>
              <w:overflowPunct/>
              <w:topLinePunct w:val="0"/>
              <w:autoSpaceDE/>
              <w:autoSpaceDN/>
              <w:bidi w:val="0"/>
              <w:adjustRightInd w:val="0"/>
              <w:spacing w:line="360" w:lineRule="auto"/>
              <w:ind w:left="0"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CATI服务地点：一般情形下在</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rPr>
              <w:t>的CATI机房，如遇公共卫生事件等导致</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rPr>
              <w:t>CATI机房不能正常使用的特殊情况，服务地点改为</w:t>
            </w:r>
            <w:r>
              <w:rPr>
                <w:rFonts w:hint="eastAsia" w:ascii="宋体" w:hAnsi="宋体" w:eastAsia="宋体" w:cs="宋体"/>
                <w:color w:val="auto"/>
                <w:sz w:val="24"/>
                <w:szCs w:val="24"/>
                <w:lang w:eastAsia="zh-CN"/>
              </w:rPr>
              <w:t>中标方</w:t>
            </w:r>
            <w:r>
              <w:rPr>
                <w:rFonts w:hint="eastAsia" w:ascii="宋体" w:hAnsi="宋体" w:eastAsia="宋体" w:cs="宋体"/>
                <w:color w:val="auto"/>
                <w:sz w:val="24"/>
                <w:szCs w:val="24"/>
              </w:rPr>
              <w:t>的自建CATI机房。</w:t>
            </w:r>
          </w:p>
          <w:p w14:paraId="69DBEEB8">
            <w:pPr>
              <w:keepNext w:val="0"/>
              <w:keepLines w:val="0"/>
              <w:pageBreakBefore w:val="0"/>
              <w:widowControl w:val="0"/>
              <w:kinsoku/>
              <w:wordWrap/>
              <w:overflowPunct/>
              <w:topLinePunct w:val="0"/>
              <w:autoSpaceDE/>
              <w:autoSpaceDN/>
              <w:bidi w:val="0"/>
              <w:adjustRightInd w:val="0"/>
              <w:spacing w:line="360" w:lineRule="auto"/>
              <w:ind w:left="0"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面访</w:t>
            </w:r>
            <w:r>
              <w:rPr>
                <w:rFonts w:hint="eastAsia" w:ascii="宋体" w:hAnsi="宋体" w:eastAsia="宋体" w:cs="宋体"/>
                <w:color w:val="auto"/>
                <w:sz w:val="24"/>
                <w:szCs w:val="24"/>
                <w:lang w:val="en-US" w:eastAsia="zh-CN"/>
              </w:rPr>
              <w:t>/暗访调查</w:t>
            </w:r>
            <w:r>
              <w:rPr>
                <w:rFonts w:hint="eastAsia" w:ascii="宋体" w:hAnsi="宋体" w:eastAsia="宋体" w:cs="宋体"/>
                <w:color w:val="auto"/>
                <w:sz w:val="24"/>
                <w:szCs w:val="24"/>
              </w:rPr>
              <w:t>服务地点：为面访</w:t>
            </w:r>
            <w:r>
              <w:rPr>
                <w:rFonts w:hint="eastAsia" w:ascii="宋体" w:hAnsi="宋体" w:eastAsia="宋体" w:cs="宋体"/>
                <w:color w:val="auto"/>
                <w:sz w:val="24"/>
                <w:szCs w:val="24"/>
                <w:lang w:val="en-US" w:eastAsia="zh-CN"/>
              </w:rPr>
              <w:t>/暗访</w:t>
            </w:r>
            <w:r>
              <w:rPr>
                <w:rFonts w:hint="eastAsia" w:ascii="宋体" w:hAnsi="宋体" w:eastAsia="宋体" w:cs="宋体"/>
                <w:color w:val="auto"/>
                <w:sz w:val="24"/>
                <w:szCs w:val="24"/>
              </w:rPr>
              <w:t>调查项目所在区域。</w:t>
            </w:r>
          </w:p>
        </w:tc>
      </w:tr>
      <w:tr w14:paraId="00518B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1630" w:type="dxa"/>
            <w:tcBorders>
              <w:top w:val="single" w:color="auto" w:sz="4" w:space="0"/>
              <w:left w:val="single" w:color="auto" w:sz="4" w:space="0"/>
              <w:bottom w:val="single" w:color="auto" w:sz="4" w:space="0"/>
              <w:right w:val="single" w:color="auto" w:sz="4" w:space="0"/>
            </w:tcBorders>
            <w:vAlign w:val="center"/>
          </w:tcPr>
          <w:p w14:paraId="7EBC0401">
            <w:pPr>
              <w:keepNext w:val="0"/>
              <w:keepLines w:val="0"/>
              <w:pageBreakBefore w:val="0"/>
              <w:widowControl w:val="0"/>
              <w:kinsoku/>
              <w:wordWrap/>
              <w:overflowPunct/>
              <w:topLinePunct w:val="0"/>
              <w:autoSpaceDE/>
              <w:autoSpaceDN/>
              <w:bidi w:val="0"/>
              <w:adjustRightInd w:val="0"/>
              <w:spacing w:line="360" w:lineRule="auto"/>
              <w:ind w:lef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服务期</w:t>
            </w:r>
          </w:p>
        </w:tc>
        <w:tc>
          <w:tcPr>
            <w:tcW w:w="7641" w:type="dxa"/>
            <w:tcBorders>
              <w:top w:val="single" w:color="auto" w:sz="4" w:space="0"/>
              <w:left w:val="single" w:color="auto" w:sz="4" w:space="0"/>
              <w:bottom w:val="single" w:color="auto" w:sz="4" w:space="0"/>
              <w:right w:val="single" w:color="auto" w:sz="4" w:space="0"/>
            </w:tcBorders>
            <w:vAlign w:val="center"/>
          </w:tcPr>
          <w:p w14:paraId="56199AFB">
            <w:pPr>
              <w:keepNext w:val="0"/>
              <w:keepLines w:val="0"/>
              <w:pageBreakBefore w:val="0"/>
              <w:widowControl w:val="0"/>
              <w:kinsoku/>
              <w:wordWrap/>
              <w:overflowPunct/>
              <w:topLinePunct w:val="0"/>
              <w:autoSpaceDE/>
              <w:autoSpaceDN/>
              <w:bidi w:val="0"/>
              <w:adjustRightInd w:val="0"/>
              <w:spacing w:line="360" w:lineRule="auto"/>
              <w:ind w:left="0"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服务</w:t>
            </w:r>
            <w:r>
              <w:rPr>
                <w:rFonts w:hint="eastAsia" w:ascii="宋体" w:hAnsi="宋体" w:eastAsia="宋体" w:cs="宋体"/>
                <w:color w:val="auto"/>
                <w:sz w:val="24"/>
                <w:szCs w:val="24"/>
              </w:rPr>
              <w:t>有效期为签订合同之日起</w:t>
            </w:r>
            <w:r>
              <w:rPr>
                <w:rFonts w:hint="eastAsia" w:ascii="宋体" w:hAnsi="宋体" w:eastAsia="宋体" w:cs="宋体"/>
                <w:color w:val="auto"/>
                <w:sz w:val="24"/>
                <w:szCs w:val="24"/>
                <w:lang w:val="en-US" w:eastAsia="zh-CN"/>
              </w:rPr>
              <w:t>三</w:t>
            </w:r>
            <w:r>
              <w:rPr>
                <w:rFonts w:hint="eastAsia" w:ascii="宋体" w:hAnsi="宋体" w:eastAsia="宋体" w:cs="宋体"/>
                <w:color w:val="auto"/>
                <w:sz w:val="24"/>
                <w:szCs w:val="24"/>
              </w:rPr>
              <w:t>年。</w:t>
            </w:r>
            <w:r>
              <w:rPr>
                <w:rFonts w:hint="eastAsia" w:ascii="宋体" w:hAnsi="宋体" w:eastAsia="宋体" w:cs="宋体"/>
                <w:color w:val="auto"/>
                <w:sz w:val="24"/>
                <w:szCs w:val="24"/>
                <w:lang w:val="en-US" w:eastAsia="zh-CN"/>
              </w:rPr>
              <w:t>合同</w:t>
            </w:r>
            <w:r>
              <w:rPr>
                <w:rFonts w:hint="eastAsia" w:ascii="宋体" w:hAnsi="宋体" w:eastAsia="宋体" w:cs="宋体"/>
                <w:color w:val="auto"/>
                <w:sz w:val="24"/>
                <w:szCs w:val="24"/>
              </w:rPr>
              <w:t>一年</w:t>
            </w:r>
            <w:r>
              <w:rPr>
                <w:rFonts w:hint="eastAsia" w:ascii="宋体" w:hAnsi="宋体" w:eastAsia="宋体" w:cs="宋体"/>
                <w:color w:val="auto"/>
                <w:sz w:val="24"/>
                <w:szCs w:val="24"/>
                <w:lang w:val="en-US" w:eastAsia="zh-CN"/>
              </w:rPr>
              <w:t>一签</w:t>
            </w:r>
            <w:r>
              <w:rPr>
                <w:rFonts w:hint="eastAsia" w:ascii="宋体" w:hAnsi="宋体" w:eastAsia="宋体" w:cs="宋体"/>
                <w:color w:val="auto"/>
                <w:sz w:val="24"/>
                <w:szCs w:val="24"/>
              </w:rPr>
              <w:t>。若合同到期，</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rPr>
              <w:t>有权根据上一年合同履约和</w:t>
            </w:r>
            <w:r>
              <w:rPr>
                <w:rFonts w:hint="eastAsia" w:ascii="宋体" w:hAnsi="宋体" w:eastAsia="宋体" w:cs="宋体"/>
                <w:color w:val="auto"/>
                <w:sz w:val="24"/>
                <w:szCs w:val="24"/>
                <w:lang w:val="en-US" w:eastAsia="zh-CN"/>
              </w:rPr>
              <w:t>绩效</w:t>
            </w:r>
            <w:r>
              <w:rPr>
                <w:rFonts w:hint="eastAsia" w:ascii="宋体" w:hAnsi="宋体" w:eastAsia="宋体" w:cs="宋体"/>
                <w:color w:val="auto"/>
                <w:sz w:val="24"/>
                <w:szCs w:val="24"/>
              </w:rPr>
              <w:t>考核情况，决定是否续签下一年度合同，最多续签两次，续签期间按原合同履行。</w:t>
            </w:r>
          </w:p>
        </w:tc>
      </w:tr>
      <w:tr w14:paraId="122809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630" w:type="dxa"/>
            <w:tcBorders>
              <w:top w:val="single" w:color="auto" w:sz="4" w:space="0"/>
              <w:left w:val="single" w:color="auto" w:sz="4" w:space="0"/>
              <w:bottom w:val="single" w:color="auto" w:sz="4" w:space="0"/>
              <w:right w:val="single" w:color="auto" w:sz="4" w:space="0"/>
            </w:tcBorders>
            <w:vAlign w:val="center"/>
          </w:tcPr>
          <w:p w14:paraId="51FE82CB">
            <w:pPr>
              <w:keepNext w:val="0"/>
              <w:keepLines w:val="0"/>
              <w:pageBreakBefore w:val="0"/>
              <w:widowControl w:val="0"/>
              <w:kinsoku/>
              <w:wordWrap/>
              <w:overflowPunct/>
              <w:topLinePunct w:val="0"/>
              <w:autoSpaceDE/>
              <w:autoSpaceDN/>
              <w:bidi w:val="0"/>
              <w:adjustRightInd w:val="0"/>
              <w:spacing w:line="360" w:lineRule="auto"/>
              <w:ind w:left="0" w:firstLine="0" w:firstLineChars="0"/>
              <w:jc w:val="center"/>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服务要求</w:t>
            </w:r>
          </w:p>
        </w:tc>
        <w:tc>
          <w:tcPr>
            <w:tcW w:w="7641" w:type="dxa"/>
            <w:tcBorders>
              <w:top w:val="single" w:color="auto" w:sz="4" w:space="0"/>
              <w:left w:val="single" w:color="auto" w:sz="4" w:space="0"/>
              <w:bottom w:val="single" w:color="auto" w:sz="4" w:space="0"/>
              <w:right w:val="single" w:color="auto" w:sz="4" w:space="0"/>
            </w:tcBorders>
            <w:vAlign w:val="center"/>
          </w:tcPr>
          <w:p w14:paraId="7E611E1E">
            <w:pPr>
              <w:keepNext w:val="0"/>
              <w:keepLines w:val="0"/>
              <w:pageBreakBefore w:val="0"/>
              <w:widowControl w:val="0"/>
              <w:kinsoku/>
              <w:wordWrap/>
              <w:overflowPunct/>
              <w:topLinePunct w:val="0"/>
              <w:autoSpaceDE/>
              <w:autoSpaceDN/>
              <w:bidi w:val="0"/>
              <w:adjustRightInd w:val="0"/>
              <w:spacing w:line="360" w:lineRule="auto"/>
              <w:ind w:left="0" w:firstLine="0" w:firstLineChars="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根据每个调查项目的需要，</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rPr>
              <w:t>在项目启动前2天内通知供应商，供应商须按</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rPr>
              <w:t>要求在规定时间内派遣工作人员到达指定场地工作。供应商派出督导及调查人员不得无故迟到、早退、缺勤，或项目中途要求退出。</w:t>
            </w:r>
          </w:p>
        </w:tc>
      </w:tr>
      <w:tr w14:paraId="647E28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630" w:type="dxa"/>
            <w:tcBorders>
              <w:top w:val="single" w:color="auto" w:sz="4" w:space="0"/>
              <w:left w:val="single" w:color="auto" w:sz="4" w:space="0"/>
              <w:bottom w:val="single" w:color="auto" w:sz="4" w:space="0"/>
              <w:right w:val="single" w:color="auto" w:sz="4" w:space="0"/>
            </w:tcBorders>
            <w:vAlign w:val="center"/>
          </w:tcPr>
          <w:p w14:paraId="659C2A7E">
            <w:pPr>
              <w:keepNext w:val="0"/>
              <w:keepLines w:val="0"/>
              <w:pageBreakBefore w:val="0"/>
              <w:widowControl w:val="0"/>
              <w:kinsoku/>
              <w:wordWrap/>
              <w:overflowPunct/>
              <w:topLinePunct w:val="0"/>
              <w:autoSpaceDE/>
              <w:autoSpaceDN/>
              <w:bidi w:val="0"/>
              <w:adjustRightInd w:val="0"/>
              <w:spacing w:line="360" w:lineRule="auto"/>
              <w:ind w:left="0" w:firstLine="0" w:firstLineChars="0"/>
              <w:jc w:val="center"/>
              <w:textAlignment w:val="auto"/>
              <w:rPr>
                <w:rFonts w:hint="eastAsia" w:ascii="宋体" w:hAnsi="宋体" w:eastAsia="宋体" w:cs="宋体"/>
                <w:color w:val="auto"/>
                <w:sz w:val="24"/>
                <w:szCs w:val="24"/>
                <w:lang w:eastAsia="zh-CN"/>
              </w:rPr>
            </w:pPr>
            <w:r>
              <w:rPr>
                <w:rFonts w:hint="eastAsia" w:ascii="宋体" w:hAnsi="宋体" w:cs="宋体"/>
                <w:color w:val="auto"/>
                <w:sz w:val="24"/>
                <w:szCs w:val="24"/>
                <w:lang w:eastAsia="zh-CN"/>
              </w:rPr>
              <w:t>其他说明</w:t>
            </w:r>
          </w:p>
        </w:tc>
        <w:tc>
          <w:tcPr>
            <w:tcW w:w="7641" w:type="dxa"/>
            <w:tcBorders>
              <w:top w:val="single" w:color="auto" w:sz="4" w:space="0"/>
              <w:left w:val="single" w:color="auto" w:sz="4" w:space="0"/>
              <w:bottom w:val="single" w:color="auto" w:sz="4" w:space="0"/>
              <w:right w:val="single" w:color="auto" w:sz="4" w:space="0"/>
            </w:tcBorders>
            <w:vAlign w:val="center"/>
          </w:tcPr>
          <w:p w14:paraId="570D50AF">
            <w:pPr>
              <w:spacing w:line="360" w:lineRule="auto"/>
              <w:rPr>
                <w:rFonts w:hint="eastAsia" w:ascii="宋体" w:hAnsi="宋体" w:eastAsia="宋体" w:cs="宋体"/>
                <w:color w:val="auto"/>
                <w:sz w:val="24"/>
                <w:szCs w:val="24"/>
              </w:rPr>
            </w:pPr>
            <w:r>
              <w:rPr>
                <w:rFonts w:hint="eastAsia" w:ascii="宋体" w:hAnsi="宋体"/>
                <w:color w:val="auto"/>
                <w:sz w:val="24"/>
              </w:rPr>
              <w:t>本项目采用统招分签的方式进行招标，投标单位中标后</w:t>
            </w:r>
            <w:r>
              <w:rPr>
                <w:rFonts w:hint="eastAsia" w:ascii="宋体" w:hAnsi="宋体"/>
                <w:color w:val="auto"/>
                <w:sz w:val="24"/>
                <w:lang w:eastAsia="zh-CN"/>
              </w:rPr>
              <w:t>统一与采购</w:t>
            </w:r>
            <w:r>
              <w:rPr>
                <w:rFonts w:hint="eastAsia" w:ascii="宋体" w:hAnsi="宋体"/>
                <w:color w:val="auto"/>
                <w:sz w:val="24"/>
              </w:rPr>
              <w:t>单位签订合同</w:t>
            </w:r>
            <w:r>
              <w:rPr>
                <w:rFonts w:hint="eastAsia" w:ascii="宋体" w:hAnsi="宋体"/>
                <w:color w:val="auto"/>
                <w:sz w:val="24"/>
                <w:lang w:eastAsia="zh-CN"/>
              </w:rPr>
              <w:t>，合同内容包含区县使用单位招标内容</w:t>
            </w:r>
            <w:r>
              <w:rPr>
                <w:rFonts w:hint="eastAsia" w:ascii="宋体" w:hAnsi="宋体"/>
                <w:color w:val="auto"/>
                <w:sz w:val="24"/>
              </w:rPr>
              <w:t>。</w:t>
            </w:r>
          </w:p>
        </w:tc>
      </w:tr>
    </w:tbl>
    <w:p w14:paraId="420DDBDA">
      <w:pPr>
        <w:pageBreakBefore w:val="0"/>
        <w:widowControl w:val="0"/>
        <w:kinsoku/>
        <w:wordWrap/>
        <w:overflowPunct/>
        <w:topLinePunct w:val="0"/>
        <w:autoSpaceDE/>
        <w:autoSpaceDN/>
        <w:bidi w:val="0"/>
        <w:adjustRightInd w:val="0"/>
        <w:snapToGrid w:val="0"/>
        <w:spacing w:line="360" w:lineRule="auto"/>
        <w:ind w:left="0" w:firstLine="482" w:firstLineChars="200"/>
        <w:jc w:val="center"/>
        <w:textAlignment w:val="auto"/>
        <w:outlineLvl w:val="0"/>
        <w:rPr>
          <w:rFonts w:hint="eastAsia" w:ascii="宋体" w:hAnsi="宋体" w:eastAsia="宋体" w:cs="宋体"/>
          <w:b/>
          <w:color w:val="auto"/>
          <w:sz w:val="24"/>
          <w:szCs w:val="24"/>
        </w:rPr>
        <w:sectPr>
          <w:footerReference r:id="rId4" w:type="default"/>
          <w:pgSz w:w="11850" w:h="16783"/>
          <w:pgMar w:top="1417" w:right="1418" w:bottom="1417" w:left="1418" w:header="851" w:footer="850" w:gutter="0"/>
          <w:cols w:space="720" w:num="1"/>
          <w:docGrid w:type="lines" w:linePitch="381" w:charSpace="0"/>
        </w:sectPr>
      </w:pPr>
    </w:p>
    <w:p w14:paraId="5FF1C3B7">
      <w:pPr>
        <w:keepNext w:val="0"/>
        <w:keepLines w:val="0"/>
        <w:pageBreakBefore w:val="0"/>
        <w:widowControl w:val="0"/>
        <w:kinsoku/>
        <w:wordWrap/>
        <w:overflowPunct/>
        <w:topLinePunct w:val="0"/>
        <w:autoSpaceDE/>
        <w:autoSpaceDN/>
        <w:bidi w:val="0"/>
        <w:adjustRightInd w:val="0"/>
        <w:snapToGrid w:val="0"/>
        <w:spacing w:line="360" w:lineRule="auto"/>
        <w:ind w:left="0" w:firstLine="482" w:firstLineChars="200"/>
        <w:textAlignment w:val="auto"/>
        <w:outlineLvl w:val="0"/>
        <w:rPr>
          <w:rFonts w:hint="eastAsia" w:ascii="宋体" w:hAnsi="宋体" w:eastAsia="宋体" w:cs="宋体"/>
          <w:b/>
          <w:color w:val="auto"/>
          <w:sz w:val="24"/>
          <w:szCs w:val="24"/>
        </w:rPr>
      </w:pPr>
      <w:r>
        <w:rPr>
          <w:rFonts w:hint="eastAsia" w:ascii="宋体" w:hAnsi="宋体" w:eastAsia="宋体" w:cs="宋体"/>
          <w:b/>
          <w:color w:val="auto"/>
          <w:sz w:val="24"/>
          <w:szCs w:val="24"/>
        </w:rPr>
        <w:t xml:space="preserve">附           </w:t>
      </w:r>
      <w:r>
        <w:rPr>
          <w:rFonts w:hint="eastAsia" w:ascii="宋体" w:hAnsi="宋体" w:cs="宋体"/>
          <w:b/>
          <w:color w:val="auto"/>
          <w:sz w:val="24"/>
          <w:szCs w:val="24"/>
          <w:lang w:val="en-US" w:eastAsia="zh-CN"/>
        </w:rPr>
        <w:t xml:space="preserve">   </w:t>
      </w:r>
      <w:bookmarkStart w:id="178" w:name="_GoBack"/>
      <w:bookmarkEnd w:id="178"/>
      <w:r>
        <w:rPr>
          <w:rFonts w:hint="eastAsia" w:ascii="宋体" w:hAnsi="宋体" w:eastAsia="宋体" w:cs="宋体"/>
          <w:b/>
          <w:color w:val="auto"/>
          <w:sz w:val="24"/>
          <w:szCs w:val="24"/>
        </w:rPr>
        <w:t xml:space="preserve"> 社情民意调查服务外包绩效考核办法</w:t>
      </w:r>
    </w:p>
    <w:p w14:paraId="20ABCCD5">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为进一步规范服务外包工作，建立健全</w:t>
      </w:r>
      <w:r>
        <w:rPr>
          <w:rFonts w:hint="eastAsia" w:ascii="宋体" w:hAnsi="宋体" w:eastAsia="宋体" w:cs="宋体"/>
          <w:color w:val="auto"/>
          <w:sz w:val="24"/>
          <w:szCs w:val="24"/>
          <w:lang w:eastAsia="zh-CN"/>
        </w:rPr>
        <w:t>社情</w:t>
      </w:r>
      <w:r>
        <w:rPr>
          <w:rFonts w:hint="eastAsia" w:ascii="宋体" w:hAnsi="宋体" w:eastAsia="宋体" w:cs="宋体"/>
          <w:color w:val="auto"/>
          <w:sz w:val="24"/>
          <w:szCs w:val="24"/>
        </w:rPr>
        <w:t>民意调查服务外包绩效考核标准，保障各项</w:t>
      </w:r>
      <w:r>
        <w:rPr>
          <w:rFonts w:hint="eastAsia" w:ascii="宋体" w:hAnsi="宋体" w:eastAsia="宋体" w:cs="宋体"/>
          <w:color w:val="auto"/>
          <w:sz w:val="24"/>
          <w:szCs w:val="24"/>
          <w:lang w:eastAsia="zh-CN"/>
        </w:rPr>
        <w:t>社情</w:t>
      </w:r>
      <w:r>
        <w:rPr>
          <w:rFonts w:hint="eastAsia" w:ascii="宋体" w:hAnsi="宋体" w:eastAsia="宋体" w:cs="宋体"/>
          <w:color w:val="auto"/>
          <w:sz w:val="24"/>
          <w:szCs w:val="24"/>
        </w:rPr>
        <w:t>民意调查的顺利实施，特制定本办法。</w:t>
      </w:r>
    </w:p>
    <w:p w14:paraId="2CBDBAA8">
      <w:pPr>
        <w:keepNext w:val="0"/>
        <w:keepLines w:val="0"/>
        <w:pageBreakBefore w:val="0"/>
        <w:widowControl w:val="0"/>
        <w:numPr>
          <w:ilvl w:val="0"/>
          <w:numId w:val="8"/>
        </w:numPr>
        <w:kinsoku/>
        <w:wordWrap/>
        <w:overflowPunct/>
        <w:topLinePunct w:val="0"/>
        <w:autoSpaceDE/>
        <w:autoSpaceDN/>
        <w:bidi w:val="0"/>
        <w:adjustRightInd w:val="0"/>
        <w:snapToGrid w:val="0"/>
        <w:spacing w:line="360" w:lineRule="auto"/>
        <w:ind w:left="0"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考核内容：项目绩效考核按项目进行，重点考核各服务外包公司</w:t>
      </w:r>
      <w:r>
        <w:rPr>
          <w:rFonts w:hint="eastAsia" w:ascii="宋体" w:hAnsi="宋体" w:eastAsia="宋体" w:cs="宋体"/>
          <w:color w:val="auto"/>
          <w:sz w:val="24"/>
          <w:szCs w:val="24"/>
          <w:lang w:eastAsia="zh-CN"/>
        </w:rPr>
        <w:t>社情</w:t>
      </w:r>
      <w:r>
        <w:rPr>
          <w:rFonts w:hint="eastAsia" w:ascii="宋体" w:hAnsi="宋体" w:eastAsia="宋体" w:cs="宋体"/>
          <w:color w:val="auto"/>
          <w:sz w:val="24"/>
          <w:szCs w:val="24"/>
        </w:rPr>
        <w:t>民意调查项目的执行情况，具体包括服务能力、服务管理、服务质量、扣分项四个方面，具体指标详见《社情民意调查劳务外包项目绩效考核表》。</w:t>
      </w:r>
    </w:p>
    <w:p w14:paraId="20B9C6BE">
      <w:pPr>
        <w:keepNext w:val="0"/>
        <w:keepLines w:val="0"/>
        <w:pageBreakBefore w:val="0"/>
        <w:widowControl w:val="0"/>
        <w:numPr>
          <w:ilvl w:val="0"/>
          <w:numId w:val="8"/>
        </w:numPr>
        <w:kinsoku/>
        <w:wordWrap/>
        <w:overflowPunct/>
        <w:topLinePunct w:val="0"/>
        <w:autoSpaceDE/>
        <w:autoSpaceDN/>
        <w:bidi w:val="0"/>
        <w:adjustRightInd w:val="0"/>
        <w:snapToGrid w:val="0"/>
        <w:spacing w:line="360" w:lineRule="auto"/>
        <w:ind w:left="0"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考核指标：采取“定量+定性”的方式设计，尽可能量化，不能量化的尽量细化。并对该指标体系及评价标准实行动态管理，及时进行修订、完善。</w:t>
      </w:r>
    </w:p>
    <w:p w14:paraId="24B33F67">
      <w:pPr>
        <w:keepNext w:val="0"/>
        <w:keepLines w:val="0"/>
        <w:pageBreakBefore w:val="0"/>
        <w:widowControl w:val="0"/>
        <w:numPr>
          <w:ilvl w:val="0"/>
          <w:numId w:val="8"/>
        </w:numPr>
        <w:kinsoku/>
        <w:wordWrap/>
        <w:overflowPunct/>
        <w:topLinePunct w:val="0"/>
        <w:autoSpaceDE/>
        <w:autoSpaceDN/>
        <w:bidi w:val="0"/>
        <w:adjustRightInd w:val="0"/>
        <w:snapToGrid w:val="0"/>
        <w:spacing w:line="360" w:lineRule="auto"/>
        <w:ind w:left="0"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评分方法：实行百分制，其中90分以上为优秀，80-90为良好，60-80为合格，60分以下为不合格。各指标具体分值为：服务能力（18分）、服务管理（2</w:t>
      </w:r>
      <w:r>
        <w:rPr>
          <w:rFonts w:hint="eastAsia" w:ascii="宋体" w:hAnsi="宋体" w:cs="宋体"/>
          <w:color w:val="auto"/>
          <w:sz w:val="24"/>
          <w:szCs w:val="24"/>
          <w:lang w:val="en-US" w:eastAsia="zh-CN"/>
        </w:rPr>
        <w:t>9分</w:t>
      </w:r>
      <w:r>
        <w:rPr>
          <w:rFonts w:hint="eastAsia" w:ascii="宋体" w:hAnsi="宋体" w:eastAsia="宋体" w:cs="宋体"/>
          <w:color w:val="auto"/>
          <w:sz w:val="24"/>
          <w:szCs w:val="24"/>
        </w:rPr>
        <w:t>）和服务质量（5</w:t>
      </w:r>
      <w:r>
        <w:rPr>
          <w:rFonts w:hint="eastAsia" w:ascii="宋体" w:hAnsi="宋体" w:cs="宋体"/>
          <w:color w:val="auto"/>
          <w:sz w:val="24"/>
          <w:szCs w:val="24"/>
          <w:lang w:val="en-US" w:eastAsia="zh-CN"/>
        </w:rPr>
        <w:t>3</w:t>
      </w:r>
      <w:r>
        <w:rPr>
          <w:rFonts w:hint="eastAsia" w:ascii="宋体" w:hAnsi="宋体" w:eastAsia="宋体" w:cs="宋体"/>
          <w:color w:val="auto"/>
          <w:sz w:val="24"/>
          <w:szCs w:val="24"/>
        </w:rPr>
        <w:t>分）；扣分项（经查实的扣分行为每起扣10分，造成恶劣影响的终止服务外包合作并追究相关责任）。</w:t>
      </w:r>
    </w:p>
    <w:p w14:paraId="71C7CC3D">
      <w:pPr>
        <w:keepNext w:val="0"/>
        <w:keepLines w:val="0"/>
        <w:pageBreakBefore w:val="0"/>
        <w:widowControl w:val="0"/>
        <w:numPr>
          <w:ilvl w:val="0"/>
          <w:numId w:val="8"/>
        </w:numPr>
        <w:kinsoku/>
        <w:wordWrap/>
        <w:overflowPunct/>
        <w:topLinePunct w:val="0"/>
        <w:autoSpaceDE/>
        <w:autoSpaceDN/>
        <w:bidi w:val="0"/>
        <w:adjustRightInd w:val="0"/>
        <w:snapToGrid w:val="0"/>
        <w:spacing w:line="360" w:lineRule="auto"/>
        <w:ind w:left="0"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组织实施：项目绩效考核由调查项目组组织实施，每半年考核一次。</w:t>
      </w:r>
    </w:p>
    <w:p w14:paraId="1CB2CBF5">
      <w:pPr>
        <w:keepNext w:val="0"/>
        <w:keepLines w:val="0"/>
        <w:pageBreakBefore w:val="0"/>
        <w:widowControl w:val="0"/>
        <w:numPr>
          <w:ilvl w:val="0"/>
          <w:numId w:val="8"/>
        </w:numPr>
        <w:kinsoku/>
        <w:wordWrap/>
        <w:overflowPunct/>
        <w:topLinePunct w:val="0"/>
        <w:autoSpaceDE/>
        <w:autoSpaceDN/>
        <w:bidi w:val="0"/>
        <w:adjustRightInd w:val="0"/>
        <w:snapToGrid w:val="0"/>
        <w:spacing w:line="360" w:lineRule="auto"/>
        <w:ind w:left="0"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考核结果的运用:</w:t>
      </w:r>
    </w:p>
    <w:p w14:paraId="60C9FF82">
      <w:pPr>
        <w:keepNext w:val="0"/>
        <w:keepLines w:val="0"/>
        <w:pageBreakBefore w:val="0"/>
        <w:widowControl w:val="0"/>
        <w:tabs>
          <w:tab w:val="left" w:pos="851"/>
          <w:tab w:val="left" w:pos="993"/>
        </w:tabs>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社情民意调查服务外包采取年度考核的方式，年度考核评分低于60分的，甲方第二年将不进行合同续签。</w:t>
      </w:r>
    </w:p>
    <w:p w14:paraId="015A4693">
      <w:pPr>
        <w:keepNext w:val="0"/>
        <w:keepLines w:val="0"/>
        <w:pageBreakBefore w:val="0"/>
        <w:widowControl w:val="0"/>
        <w:tabs>
          <w:tab w:val="left" w:pos="851"/>
          <w:tab w:val="left" w:pos="993"/>
        </w:tabs>
        <w:kinsoku/>
        <w:wordWrap/>
        <w:overflowPunct/>
        <w:topLinePunct w:val="0"/>
        <w:autoSpaceDE/>
        <w:autoSpaceDN/>
        <w:bidi w:val="0"/>
        <w:adjustRightInd w:val="0"/>
        <w:snapToGrid w:val="0"/>
        <w:spacing w:line="360" w:lineRule="auto"/>
        <w:ind w:left="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附则</w:t>
      </w:r>
    </w:p>
    <w:p w14:paraId="414B674F">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（一）本办法适用于本服务外包项目。</w:t>
      </w:r>
    </w:p>
    <w:p w14:paraId="63FC9210">
      <w:pPr>
        <w:keepNext w:val="0"/>
        <w:keepLines w:val="0"/>
        <w:pageBreakBefore w:val="0"/>
        <w:widowControl w:val="0"/>
        <w:kinsoku/>
        <w:wordWrap/>
        <w:overflowPunct/>
        <w:topLinePunct w:val="0"/>
        <w:autoSpaceDE/>
        <w:autoSpaceDN/>
        <w:bidi w:val="0"/>
        <w:adjustRightInd w:val="0"/>
        <w:snapToGrid w:val="0"/>
        <w:spacing w:line="360" w:lineRule="auto"/>
        <w:ind w:left="0"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（二）本办法由嘉兴市统计局负责解释。</w:t>
      </w:r>
    </w:p>
    <w:p w14:paraId="4A321759">
      <w:pPr>
        <w:pStyle w:val="59"/>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（三）本办法自</w:t>
      </w:r>
      <w:r>
        <w:rPr>
          <w:rFonts w:hint="eastAsia" w:ascii="宋体" w:hAnsi="宋体" w:eastAsia="宋体" w:cs="宋体"/>
          <w:color w:val="auto"/>
          <w:sz w:val="24"/>
          <w:szCs w:val="24"/>
          <w:u w:val="single"/>
        </w:rPr>
        <w:t>202</w:t>
      </w:r>
      <w:r>
        <w:rPr>
          <w:rFonts w:hint="eastAsia" w:ascii="宋体" w:hAnsi="宋体" w:eastAsia="宋体" w:cs="宋体"/>
          <w:color w:val="auto"/>
          <w:sz w:val="24"/>
          <w:szCs w:val="24"/>
          <w:u w:val="single"/>
          <w:lang w:val="en-US" w:eastAsia="zh-CN"/>
        </w:rPr>
        <w:t>5</w:t>
      </w:r>
      <w:r>
        <w:rPr>
          <w:rFonts w:hint="eastAsia" w:ascii="宋体" w:hAnsi="宋体" w:eastAsia="宋体" w:cs="宋体"/>
          <w:color w:val="auto"/>
          <w:sz w:val="24"/>
          <w:szCs w:val="24"/>
          <w:u w:val="single"/>
        </w:rPr>
        <w:t>年   月   日</w:t>
      </w:r>
      <w:r>
        <w:rPr>
          <w:rFonts w:hint="eastAsia" w:ascii="宋体" w:hAnsi="宋体" w:eastAsia="宋体" w:cs="宋体"/>
          <w:color w:val="auto"/>
          <w:sz w:val="24"/>
          <w:szCs w:val="24"/>
        </w:rPr>
        <w:t>起试行。</w:t>
      </w:r>
    </w:p>
    <w:p w14:paraId="7240ED17">
      <w:pPr>
        <w:pStyle w:val="59"/>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宋体" w:hAnsi="宋体" w:eastAsia="宋体" w:cs="宋体"/>
          <w:color w:val="auto"/>
          <w:sz w:val="24"/>
          <w:szCs w:val="24"/>
        </w:rPr>
      </w:pPr>
    </w:p>
    <w:p w14:paraId="30463D1F">
      <w:pPr>
        <w:pStyle w:val="59"/>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宋体" w:hAnsi="宋体" w:eastAsia="宋体" w:cs="宋体"/>
          <w:color w:val="auto"/>
          <w:sz w:val="24"/>
          <w:szCs w:val="24"/>
        </w:rPr>
      </w:pPr>
    </w:p>
    <w:p w14:paraId="6C40584D">
      <w:pPr>
        <w:pStyle w:val="59"/>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宋体" w:hAnsi="宋体" w:eastAsia="宋体" w:cs="宋体"/>
          <w:color w:val="auto"/>
          <w:sz w:val="24"/>
          <w:szCs w:val="24"/>
        </w:rPr>
      </w:pPr>
    </w:p>
    <w:p w14:paraId="24D40E86">
      <w:pPr>
        <w:pStyle w:val="59"/>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宋体" w:hAnsi="宋体" w:eastAsia="宋体" w:cs="宋体"/>
          <w:color w:val="auto"/>
          <w:sz w:val="24"/>
          <w:szCs w:val="24"/>
        </w:rPr>
      </w:pPr>
    </w:p>
    <w:p w14:paraId="3F995556">
      <w:pPr>
        <w:pStyle w:val="59"/>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宋体" w:hAnsi="宋体" w:eastAsia="宋体" w:cs="宋体"/>
          <w:color w:val="auto"/>
          <w:sz w:val="24"/>
          <w:szCs w:val="24"/>
        </w:rPr>
      </w:pPr>
    </w:p>
    <w:p w14:paraId="3CF6401E">
      <w:pPr>
        <w:pStyle w:val="59"/>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宋体" w:hAnsi="宋体" w:eastAsia="宋体" w:cs="宋体"/>
          <w:color w:val="auto"/>
          <w:sz w:val="24"/>
          <w:szCs w:val="24"/>
        </w:rPr>
      </w:pPr>
    </w:p>
    <w:p w14:paraId="079BF990">
      <w:pPr>
        <w:pStyle w:val="59"/>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宋体" w:hAnsi="宋体" w:eastAsia="宋体" w:cs="宋体"/>
          <w:color w:val="auto"/>
          <w:sz w:val="24"/>
          <w:szCs w:val="24"/>
        </w:rPr>
      </w:pPr>
    </w:p>
    <w:p w14:paraId="38C6FE39">
      <w:pPr>
        <w:pStyle w:val="59"/>
        <w:keepNext w:val="0"/>
        <w:keepLines w:val="0"/>
        <w:pageBreakBefore w:val="0"/>
        <w:widowControl w:val="0"/>
        <w:kinsoku/>
        <w:wordWrap/>
        <w:overflowPunct/>
        <w:topLinePunct w:val="0"/>
        <w:autoSpaceDE/>
        <w:autoSpaceDN/>
        <w:bidi w:val="0"/>
        <w:adjustRightInd w:val="0"/>
        <w:snapToGrid w:val="0"/>
        <w:spacing w:after="0" w:line="360" w:lineRule="auto"/>
        <w:ind w:left="0" w:leftChars="0" w:firstLine="480" w:firstLineChars="200"/>
        <w:jc w:val="both"/>
        <w:textAlignment w:val="auto"/>
        <w:rPr>
          <w:rFonts w:hint="eastAsia" w:ascii="宋体" w:hAnsi="宋体" w:eastAsia="宋体" w:cs="宋体"/>
          <w:color w:val="auto"/>
          <w:sz w:val="24"/>
          <w:szCs w:val="24"/>
        </w:rPr>
      </w:pPr>
    </w:p>
    <w:p w14:paraId="4F203F58">
      <w:pPr>
        <w:adjustRightInd/>
        <w:spacing w:line="360" w:lineRule="auto"/>
        <w:jc w:val="center"/>
        <w:outlineLvl w:val="0"/>
        <w:rPr>
          <w:rFonts w:hint="eastAsia" w:cs="仿宋_GB2312" w:asciiTheme="minorEastAsia" w:hAnsiTheme="minorEastAsia" w:eastAsiaTheme="minorEastAsia"/>
          <w:b/>
          <w:color w:val="auto"/>
          <w:sz w:val="36"/>
          <w:szCs w:val="36"/>
        </w:rPr>
      </w:pPr>
    </w:p>
    <w:p w14:paraId="2509893F">
      <w:pPr>
        <w:adjustRightInd/>
        <w:spacing w:line="360" w:lineRule="auto"/>
        <w:jc w:val="center"/>
        <w:outlineLvl w:val="0"/>
        <w:rPr>
          <w:rFonts w:hint="eastAsia" w:cs="仿宋_GB2312" w:asciiTheme="minorEastAsia" w:hAnsiTheme="minorEastAsia" w:eastAsiaTheme="minorEastAsia"/>
          <w:b/>
          <w:color w:val="auto"/>
          <w:sz w:val="36"/>
          <w:szCs w:val="36"/>
        </w:rPr>
      </w:pPr>
    </w:p>
    <w:p w14:paraId="3C8EC663">
      <w:pPr>
        <w:adjustRightInd/>
        <w:spacing w:line="360" w:lineRule="auto"/>
        <w:jc w:val="center"/>
        <w:outlineLvl w:val="0"/>
        <w:rPr>
          <w:rFonts w:hint="eastAsia" w:cs="仿宋_GB2312" w:asciiTheme="minorEastAsia" w:hAnsiTheme="minorEastAsia" w:eastAsiaTheme="minorEastAsia"/>
          <w:b/>
          <w:color w:val="auto"/>
          <w:sz w:val="36"/>
          <w:szCs w:val="36"/>
        </w:rPr>
        <w:sectPr>
          <w:headerReference r:id="rId6" w:type="first"/>
          <w:footerReference r:id="rId9" w:type="first"/>
          <w:headerReference r:id="rId5" w:type="default"/>
          <w:footerReference r:id="rId7" w:type="default"/>
          <w:footerReference r:id="rId8" w:type="even"/>
          <w:pgSz w:w="11906" w:h="16838"/>
          <w:pgMar w:top="1247" w:right="1418" w:bottom="1276" w:left="1418" w:header="851" w:footer="992" w:gutter="0"/>
          <w:pgBorders>
            <w:top w:val="none" w:sz="0" w:space="0"/>
            <w:left w:val="none" w:sz="0" w:space="0"/>
            <w:bottom w:val="none" w:sz="0" w:space="0"/>
            <w:right w:val="none" w:sz="0" w:space="0"/>
          </w:pgBorders>
          <w:cols w:space="720" w:num="1"/>
          <w:titlePg/>
          <w:docGrid w:linePitch="312" w:charSpace="0"/>
        </w:sectPr>
      </w:pPr>
    </w:p>
    <w:tbl>
      <w:tblPr>
        <w:tblStyle w:val="60"/>
        <w:tblW w:w="1494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1293"/>
        <w:gridCol w:w="1293"/>
        <w:gridCol w:w="1408"/>
        <w:gridCol w:w="3160"/>
        <w:gridCol w:w="6177"/>
        <w:gridCol w:w="718"/>
        <w:gridCol w:w="891"/>
      </w:tblGrid>
      <w:tr w14:paraId="58ED047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0" w:hRule="atLeast"/>
          <w:jc w:val="center"/>
        </w:trPr>
        <w:tc>
          <w:tcPr>
            <w:tcW w:w="14940" w:type="dxa"/>
            <w:gridSpan w:val="7"/>
            <w:tcBorders>
              <w:top w:val="nil"/>
              <w:left w:val="nil"/>
              <w:bottom w:val="single" w:color="auto" w:sz="12" w:space="0"/>
              <w:right w:val="nil"/>
            </w:tcBorders>
            <w:vAlign w:val="center"/>
          </w:tcPr>
          <w:p w14:paraId="42030590">
            <w:pPr>
              <w:adjustRightInd w:val="0"/>
              <w:snapToGrid w:val="0"/>
              <w:rPr>
                <w:rFonts w:hint="eastAsia" w:ascii="宋体" w:hAnsi="宋体" w:eastAsia="宋体" w:cs="宋体"/>
                <w:b/>
                <w:color w:val="auto"/>
                <w:sz w:val="24"/>
                <w:szCs w:val="24"/>
              </w:rPr>
            </w:pPr>
            <w:r>
              <w:rPr>
                <w:rFonts w:hint="eastAsia" w:ascii="宋体" w:hAnsi="宋体" w:eastAsia="宋体" w:cs="宋体"/>
                <w:b/>
                <w:color w:val="auto"/>
                <w:sz w:val="24"/>
                <w:szCs w:val="24"/>
              </w:rPr>
              <w:t>附表：                                           社情民意调查服务外包项目绩效考核表</w:t>
            </w:r>
          </w:p>
        </w:tc>
      </w:tr>
      <w:tr w14:paraId="4F9D12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44" w:hRule="atLeast"/>
          <w:jc w:val="center"/>
        </w:trPr>
        <w:tc>
          <w:tcPr>
            <w:tcW w:w="1293" w:type="dxa"/>
            <w:tcBorders>
              <w:top w:val="single" w:color="auto" w:sz="12" w:space="0"/>
              <w:bottom w:val="single" w:color="auto" w:sz="6" w:space="0"/>
            </w:tcBorders>
            <w:vAlign w:val="center"/>
          </w:tcPr>
          <w:p w14:paraId="28DD2E15">
            <w:pPr>
              <w:adjustRightInd w:val="0"/>
              <w:snapToGrid w:val="0"/>
              <w:rPr>
                <w:rFonts w:hint="eastAsia" w:ascii="宋体" w:hAnsi="宋体" w:eastAsia="宋体" w:cs="宋体"/>
                <w:b/>
                <w:color w:val="auto"/>
                <w:sz w:val="24"/>
                <w:szCs w:val="24"/>
              </w:rPr>
            </w:pPr>
            <w:r>
              <w:rPr>
                <w:rFonts w:hint="eastAsia" w:ascii="宋体" w:hAnsi="宋体" w:eastAsia="宋体" w:cs="宋体"/>
                <w:b/>
                <w:color w:val="auto"/>
                <w:sz w:val="24"/>
                <w:szCs w:val="24"/>
              </w:rPr>
              <w:t>二级指标</w:t>
            </w:r>
          </w:p>
        </w:tc>
        <w:tc>
          <w:tcPr>
            <w:tcW w:w="1293" w:type="dxa"/>
            <w:tcBorders>
              <w:top w:val="single" w:color="auto" w:sz="12" w:space="0"/>
              <w:bottom w:val="single" w:color="auto" w:sz="6" w:space="0"/>
            </w:tcBorders>
            <w:vAlign w:val="center"/>
          </w:tcPr>
          <w:p w14:paraId="70A3739B">
            <w:pPr>
              <w:adjustRightInd w:val="0"/>
              <w:snapToGrid w:val="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三级指标</w:t>
            </w:r>
          </w:p>
        </w:tc>
        <w:tc>
          <w:tcPr>
            <w:tcW w:w="1408" w:type="dxa"/>
            <w:tcBorders>
              <w:top w:val="single" w:color="auto" w:sz="12" w:space="0"/>
              <w:bottom w:val="single" w:color="auto" w:sz="6" w:space="0"/>
            </w:tcBorders>
            <w:vAlign w:val="center"/>
          </w:tcPr>
          <w:p w14:paraId="1D8E82DC">
            <w:pPr>
              <w:adjustRightInd w:val="0"/>
              <w:snapToGrid w:val="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四级指标</w:t>
            </w:r>
          </w:p>
        </w:tc>
        <w:tc>
          <w:tcPr>
            <w:tcW w:w="3160" w:type="dxa"/>
            <w:tcBorders>
              <w:top w:val="single" w:color="auto" w:sz="12" w:space="0"/>
              <w:bottom w:val="single" w:color="auto" w:sz="6" w:space="0"/>
            </w:tcBorders>
            <w:vAlign w:val="center"/>
          </w:tcPr>
          <w:p w14:paraId="1C21587A">
            <w:pPr>
              <w:adjustRightInd w:val="0"/>
              <w:snapToGrid w:val="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指标说明与标准</w:t>
            </w:r>
          </w:p>
        </w:tc>
        <w:tc>
          <w:tcPr>
            <w:tcW w:w="6177" w:type="dxa"/>
            <w:tcBorders>
              <w:top w:val="single" w:color="auto" w:sz="12" w:space="0"/>
              <w:bottom w:val="single" w:color="auto" w:sz="6" w:space="0"/>
            </w:tcBorders>
            <w:vAlign w:val="center"/>
          </w:tcPr>
          <w:p w14:paraId="01B792ED">
            <w:pPr>
              <w:adjustRightInd w:val="0"/>
              <w:snapToGrid w:val="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考核办法</w:t>
            </w:r>
          </w:p>
        </w:tc>
        <w:tc>
          <w:tcPr>
            <w:tcW w:w="718" w:type="dxa"/>
            <w:tcBorders>
              <w:top w:val="single" w:color="auto" w:sz="12" w:space="0"/>
              <w:bottom w:val="single" w:color="auto" w:sz="6" w:space="0"/>
            </w:tcBorders>
            <w:vAlign w:val="center"/>
          </w:tcPr>
          <w:p w14:paraId="01A4643C">
            <w:pPr>
              <w:adjustRightInd w:val="0"/>
              <w:snapToGrid w:val="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权重</w:t>
            </w:r>
          </w:p>
        </w:tc>
        <w:tc>
          <w:tcPr>
            <w:tcW w:w="891" w:type="dxa"/>
            <w:tcBorders>
              <w:top w:val="single" w:color="auto" w:sz="12" w:space="0"/>
              <w:bottom w:val="single" w:color="auto" w:sz="6" w:space="0"/>
            </w:tcBorders>
            <w:vAlign w:val="center"/>
          </w:tcPr>
          <w:p w14:paraId="5B6A484D">
            <w:pPr>
              <w:adjustRightInd w:val="0"/>
              <w:snapToGrid w:val="0"/>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备注</w:t>
            </w:r>
          </w:p>
        </w:tc>
      </w:tr>
      <w:tr w14:paraId="4C6FEA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7" w:hRule="atLeast"/>
          <w:jc w:val="center"/>
        </w:trPr>
        <w:tc>
          <w:tcPr>
            <w:tcW w:w="1293" w:type="dxa"/>
            <w:vMerge w:val="restart"/>
            <w:tcBorders>
              <w:top w:val="single" w:color="auto" w:sz="6" w:space="0"/>
              <w:bottom w:val="single" w:color="auto" w:sz="6" w:space="0"/>
            </w:tcBorders>
            <w:vAlign w:val="center"/>
          </w:tcPr>
          <w:p w14:paraId="5E2FB841">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一、服务能力</w:t>
            </w:r>
          </w:p>
        </w:tc>
        <w:tc>
          <w:tcPr>
            <w:tcW w:w="1293" w:type="dxa"/>
            <w:tcBorders>
              <w:top w:val="single" w:color="auto" w:sz="6" w:space="0"/>
              <w:bottom w:val="single" w:color="auto" w:sz="6" w:space="0"/>
            </w:tcBorders>
            <w:vAlign w:val="center"/>
          </w:tcPr>
          <w:p w14:paraId="79E84F51">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访员保障</w:t>
            </w:r>
          </w:p>
        </w:tc>
        <w:tc>
          <w:tcPr>
            <w:tcW w:w="1408" w:type="dxa"/>
            <w:tcBorders>
              <w:top w:val="single" w:color="auto" w:sz="6" w:space="0"/>
              <w:bottom w:val="single" w:color="auto" w:sz="6" w:space="0"/>
            </w:tcBorders>
            <w:vAlign w:val="center"/>
          </w:tcPr>
          <w:p w14:paraId="45288FA6">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访员上座率</w:t>
            </w:r>
          </w:p>
        </w:tc>
        <w:tc>
          <w:tcPr>
            <w:tcW w:w="3160" w:type="dxa"/>
            <w:tcBorders>
              <w:top w:val="single" w:color="auto" w:sz="6" w:space="0"/>
              <w:bottom w:val="single" w:color="auto" w:sz="6" w:space="0"/>
            </w:tcBorders>
            <w:vAlign w:val="center"/>
          </w:tcPr>
          <w:p w14:paraId="58BA2D0C">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根据访员流动情况及时调整访员数量</w:t>
            </w:r>
          </w:p>
        </w:tc>
        <w:tc>
          <w:tcPr>
            <w:tcW w:w="6177" w:type="dxa"/>
            <w:tcBorders>
              <w:top w:val="single" w:color="auto" w:sz="6" w:space="0"/>
              <w:bottom w:val="single" w:color="auto" w:sz="6" w:space="0"/>
            </w:tcBorders>
            <w:vAlign w:val="center"/>
          </w:tcPr>
          <w:p w14:paraId="589487C6">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项目负责人按项目进行评估，根据访员上座率情况酌情扣分,单个项目访员工作日人数不低于10人，周末节假日不低于20人，每少一人扣0.2分。</w:t>
            </w:r>
          </w:p>
        </w:tc>
        <w:tc>
          <w:tcPr>
            <w:tcW w:w="718" w:type="dxa"/>
            <w:tcBorders>
              <w:top w:val="single" w:color="auto" w:sz="6" w:space="0"/>
              <w:bottom w:val="single" w:color="auto" w:sz="6" w:space="0"/>
            </w:tcBorders>
            <w:vAlign w:val="center"/>
          </w:tcPr>
          <w:p w14:paraId="3A266F63">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15</w:t>
            </w:r>
          </w:p>
        </w:tc>
        <w:tc>
          <w:tcPr>
            <w:tcW w:w="891" w:type="dxa"/>
            <w:tcBorders>
              <w:top w:val="single" w:color="auto" w:sz="6" w:space="0"/>
              <w:bottom w:val="single" w:color="auto" w:sz="6" w:space="0"/>
            </w:tcBorders>
            <w:vAlign w:val="center"/>
          </w:tcPr>
          <w:p w14:paraId="133E7702">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客观</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指标</w:t>
            </w:r>
          </w:p>
        </w:tc>
      </w:tr>
      <w:tr w14:paraId="4BCF1F1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1" w:hRule="atLeast"/>
          <w:jc w:val="center"/>
        </w:trPr>
        <w:tc>
          <w:tcPr>
            <w:tcW w:w="1293" w:type="dxa"/>
            <w:vMerge w:val="continue"/>
            <w:tcBorders>
              <w:top w:val="single" w:color="auto" w:sz="6" w:space="0"/>
              <w:bottom w:val="single" w:color="auto" w:sz="6" w:space="0"/>
            </w:tcBorders>
            <w:vAlign w:val="center"/>
          </w:tcPr>
          <w:p w14:paraId="4B0D63F4">
            <w:pPr>
              <w:adjustRightInd w:val="0"/>
              <w:snapToGrid w:val="0"/>
              <w:rPr>
                <w:rFonts w:hint="eastAsia" w:ascii="宋体" w:hAnsi="宋体" w:eastAsia="宋体" w:cs="宋体"/>
                <w:color w:val="auto"/>
                <w:sz w:val="24"/>
                <w:szCs w:val="24"/>
              </w:rPr>
            </w:pPr>
          </w:p>
        </w:tc>
        <w:tc>
          <w:tcPr>
            <w:tcW w:w="1293" w:type="dxa"/>
            <w:tcBorders>
              <w:top w:val="single" w:color="auto" w:sz="6" w:space="0"/>
              <w:bottom w:val="single" w:color="auto" w:sz="6" w:space="0"/>
            </w:tcBorders>
            <w:vAlign w:val="center"/>
          </w:tcPr>
          <w:p w14:paraId="5522C073">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督导配备</w:t>
            </w:r>
          </w:p>
        </w:tc>
        <w:tc>
          <w:tcPr>
            <w:tcW w:w="1408" w:type="dxa"/>
            <w:tcBorders>
              <w:top w:val="single" w:color="auto" w:sz="6" w:space="0"/>
              <w:bottom w:val="single" w:color="auto" w:sz="6" w:space="0"/>
            </w:tcBorders>
            <w:vAlign w:val="center"/>
          </w:tcPr>
          <w:p w14:paraId="75F45335">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督导配备率</w:t>
            </w:r>
          </w:p>
        </w:tc>
        <w:tc>
          <w:tcPr>
            <w:tcW w:w="3160" w:type="dxa"/>
            <w:tcBorders>
              <w:top w:val="single" w:color="auto" w:sz="6" w:space="0"/>
              <w:bottom w:val="single" w:color="auto" w:sz="6" w:space="0"/>
            </w:tcBorders>
            <w:vAlign w:val="center"/>
          </w:tcPr>
          <w:p w14:paraId="2A769ED7">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督导、现场管理人员实时比例不低于访员人数的10%</w:t>
            </w:r>
          </w:p>
        </w:tc>
        <w:tc>
          <w:tcPr>
            <w:tcW w:w="6177" w:type="dxa"/>
            <w:tcBorders>
              <w:top w:val="single" w:color="auto" w:sz="6" w:space="0"/>
              <w:bottom w:val="single" w:color="auto" w:sz="6" w:space="0"/>
            </w:tcBorders>
            <w:vAlign w:val="center"/>
          </w:tcPr>
          <w:p w14:paraId="50C9A2A6">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由项目负责人按项目进行评估，根据现场督导配置率情况酌情扣分,低于10%的不给分。</w:t>
            </w:r>
          </w:p>
        </w:tc>
        <w:tc>
          <w:tcPr>
            <w:tcW w:w="718" w:type="dxa"/>
            <w:tcBorders>
              <w:top w:val="single" w:color="auto" w:sz="6" w:space="0"/>
              <w:bottom w:val="single" w:color="auto" w:sz="6" w:space="0"/>
            </w:tcBorders>
            <w:vAlign w:val="center"/>
          </w:tcPr>
          <w:p w14:paraId="7C97BA10">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891" w:type="dxa"/>
            <w:tcBorders>
              <w:top w:val="single" w:color="auto" w:sz="6" w:space="0"/>
              <w:bottom w:val="single" w:color="auto" w:sz="6" w:space="0"/>
            </w:tcBorders>
            <w:vAlign w:val="center"/>
          </w:tcPr>
          <w:p w14:paraId="3DDB068A">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主观</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指标</w:t>
            </w:r>
          </w:p>
        </w:tc>
      </w:tr>
      <w:tr w14:paraId="2500B4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1" w:hRule="atLeast"/>
          <w:jc w:val="center"/>
        </w:trPr>
        <w:tc>
          <w:tcPr>
            <w:tcW w:w="1293" w:type="dxa"/>
            <w:vMerge w:val="restart"/>
            <w:tcBorders>
              <w:top w:val="single" w:color="auto" w:sz="6" w:space="0"/>
              <w:bottom w:val="single" w:color="auto" w:sz="6" w:space="0"/>
            </w:tcBorders>
            <w:vAlign w:val="center"/>
          </w:tcPr>
          <w:p w14:paraId="33CF49AB">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二、服务管理</w:t>
            </w:r>
          </w:p>
        </w:tc>
        <w:tc>
          <w:tcPr>
            <w:tcW w:w="1293" w:type="dxa"/>
            <w:vMerge w:val="restart"/>
            <w:tcBorders>
              <w:top w:val="single" w:color="auto" w:sz="6" w:space="0"/>
              <w:bottom w:val="single" w:color="auto" w:sz="6" w:space="0"/>
            </w:tcBorders>
            <w:vAlign w:val="center"/>
          </w:tcPr>
          <w:p w14:paraId="2CBAD2CC">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职责履行</w:t>
            </w:r>
          </w:p>
        </w:tc>
        <w:tc>
          <w:tcPr>
            <w:tcW w:w="1408" w:type="dxa"/>
            <w:tcBorders>
              <w:top w:val="single" w:color="auto" w:sz="6" w:space="0"/>
              <w:bottom w:val="single" w:color="auto" w:sz="6" w:space="0"/>
            </w:tcBorders>
            <w:vAlign w:val="center"/>
          </w:tcPr>
          <w:p w14:paraId="0394C540">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访员培训</w:t>
            </w:r>
          </w:p>
        </w:tc>
        <w:tc>
          <w:tcPr>
            <w:tcW w:w="3160" w:type="dxa"/>
            <w:tcBorders>
              <w:top w:val="single" w:color="auto" w:sz="6" w:space="0"/>
              <w:bottom w:val="single" w:color="auto" w:sz="6" w:space="0"/>
            </w:tcBorders>
            <w:vAlign w:val="center"/>
          </w:tcPr>
          <w:p w14:paraId="3585460E">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确保每一名访员上机前都经过培训</w:t>
            </w:r>
          </w:p>
        </w:tc>
        <w:tc>
          <w:tcPr>
            <w:tcW w:w="6177" w:type="dxa"/>
            <w:tcBorders>
              <w:top w:val="single" w:color="auto" w:sz="6" w:space="0"/>
              <w:bottom w:val="single" w:color="auto" w:sz="6" w:space="0"/>
            </w:tcBorders>
            <w:vAlign w:val="center"/>
          </w:tcPr>
          <w:p w14:paraId="1AC2C414">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经查实未经培训直接上机的，每人次扣1分。</w:t>
            </w:r>
          </w:p>
        </w:tc>
        <w:tc>
          <w:tcPr>
            <w:tcW w:w="718" w:type="dxa"/>
            <w:tcBorders>
              <w:top w:val="single" w:color="auto" w:sz="6" w:space="0"/>
              <w:bottom w:val="single" w:color="auto" w:sz="6" w:space="0"/>
            </w:tcBorders>
            <w:vAlign w:val="center"/>
          </w:tcPr>
          <w:p w14:paraId="1E8BC350">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891" w:type="dxa"/>
            <w:tcBorders>
              <w:top w:val="single" w:color="auto" w:sz="6" w:space="0"/>
              <w:bottom w:val="single" w:color="auto" w:sz="6" w:space="0"/>
            </w:tcBorders>
            <w:vAlign w:val="center"/>
          </w:tcPr>
          <w:p w14:paraId="640E970A">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客观</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指标</w:t>
            </w:r>
          </w:p>
        </w:tc>
      </w:tr>
      <w:tr w14:paraId="78FA41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13" w:hRule="atLeast"/>
          <w:jc w:val="center"/>
        </w:trPr>
        <w:tc>
          <w:tcPr>
            <w:tcW w:w="1293" w:type="dxa"/>
            <w:vMerge w:val="continue"/>
            <w:tcBorders>
              <w:top w:val="single" w:color="auto" w:sz="6" w:space="0"/>
              <w:bottom w:val="single" w:color="auto" w:sz="6" w:space="0"/>
            </w:tcBorders>
            <w:vAlign w:val="center"/>
          </w:tcPr>
          <w:p w14:paraId="767DCC4E">
            <w:pPr>
              <w:adjustRightInd w:val="0"/>
              <w:snapToGrid w:val="0"/>
              <w:rPr>
                <w:rFonts w:hint="eastAsia" w:ascii="宋体" w:hAnsi="宋体" w:eastAsia="宋体" w:cs="宋体"/>
                <w:color w:val="auto"/>
                <w:sz w:val="24"/>
                <w:szCs w:val="24"/>
              </w:rPr>
            </w:pPr>
          </w:p>
        </w:tc>
        <w:tc>
          <w:tcPr>
            <w:tcW w:w="1293" w:type="dxa"/>
            <w:vMerge w:val="continue"/>
            <w:tcBorders>
              <w:top w:val="single" w:color="auto" w:sz="6" w:space="0"/>
              <w:bottom w:val="single" w:color="auto" w:sz="6" w:space="0"/>
            </w:tcBorders>
            <w:vAlign w:val="center"/>
          </w:tcPr>
          <w:p w14:paraId="5EF7B5D9">
            <w:pPr>
              <w:adjustRightInd w:val="0"/>
              <w:snapToGrid w:val="0"/>
              <w:rPr>
                <w:rFonts w:hint="eastAsia" w:ascii="宋体" w:hAnsi="宋体" w:eastAsia="宋体" w:cs="宋体"/>
                <w:color w:val="auto"/>
                <w:sz w:val="24"/>
                <w:szCs w:val="24"/>
              </w:rPr>
            </w:pPr>
          </w:p>
        </w:tc>
        <w:tc>
          <w:tcPr>
            <w:tcW w:w="1408" w:type="dxa"/>
            <w:tcBorders>
              <w:top w:val="single" w:color="auto" w:sz="6" w:space="0"/>
              <w:bottom w:val="single" w:color="auto" w:sz="6" w:space="0"/>
            </w:tcBorders>
            <w:vAlign w:val="center"/>
          </w:tcPr>
          <w:p w14:paraId="0BAF6567">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质量审核</w:t>
            </w:r>
          </w:p>
        </w:tc>
        <w:tc>
          <w:tcPr>
            <w:tcW w:w="3160" w:type="dxa"/>
            <w:tcBorders>
              <w:top w:val="single" w:color="auto" w:sz="6" w:space="0"/>
              <w:bottom w:val="single" w:color="auto" w:sz="6" w:space="0"/>
            </w:tcBorders>
            <w:vAlign w:val="center"/>
          </w:tcPr>
          <w:p w14:paraId="27CCC7ED">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按时保量完成实时监听、答卷审核</w:t>
            </w:r>
          </w:p>
        </w:tc>
        <w:tc>
          <w:tcPr>
            <w:tcW w:w="6177" w:type="dxa"/>
            <w:tcBorders>
              <w:top w:val="single" w:color="auto" w:sz="6" w:space="0"/>
              <w:bottom w:val="single" w:color="auto" w:sz="6" w:space="0"/>
            </w:tcBorders>
            <w:vAlign w:val="center"/>
          </w:tcPr>
          <w:p w14:paraId="57A86A9A">
            <w:pPr>
              <w:adjustRightInd w:val="0"/>
              <w:snapToGrid w:val="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1、实时监听：普通访员不低于2个/人.项目，新访员不低于4个/人.项目，不能按时完成监听比例要求的，酌情扣1-5分； 2、答卷审核：一般性调查不低于20%，考核类调查不低于30%。不能按时完成审核比例要求的，每个项目酌情扣1-5分</w:t>
            </w:r>
            <w:r>
              <w:rPr>
                <w:rFonts w:hint="eastAsia" w:ascii="宋体" w:hAnsi="宋体" w:eastAsia="宋体" w:cs="宋体"/>
                <w:color w:val="auto"/>
                <w:sz w:val="24"/>
                <w:szCs w:val="24"/>
                <w:lang w:eastAsia="zh-CN"/>
              </w:rPr>
              <w:t>。</w:t>
            </w:r>
          </w:p>
        </w:tc>
        <w:tc>
          <w:tcPr>
            <w:tcW w:w="718" w:type="dxa"/>
            <w:tcBorders>
              <w:top w:val="single" w:color="auto" w:sz="6" w:space="0"/>
              <w:bottom w:val="single" w:color="auto" w:sz="6" w:space="0"/>
            </w:tcBorders>
            <w:vAlign w:val="center"/>
          </w:tcPr>
          <w:p w14:paraId="4600B789">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13</w:t>
            </w:r>
          </w:p>
        </w:tc>
        <w:tc>
          <w:tcPr>
            <w:tcW w:w="891" w:type="dxa"/>
            <w:tcBorders>
              <w:top w:val="single" w:color="auto" w:sz="6" w:space="0"/>
              <w:bottom w:val="single" w:color="auto" w:sz="6" w:space="0"/>
            </w:tcBorders>
            <w:vAlign w:val="center"/>
          </w:tcPr>
          <w:p w14:paraId="2EC5CCDD">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客观</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指标</w:t>
            </w:r>
          </w:p>
        </w:tc>
      </w:tr>
      <w:tr w14:paraId="22646A4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7" w:hRule="atLeast"/>
          <w:jc w:val="center"/>
        </w:trPr>
        <w:tc>
          <w:tcPr>
            <w:tcW w:w="1293" w:type="dxa"/>
            <w:vMerge w:val="continue"/>
            <w:tcBorders>
              <w:top w:val="single" w:color="auto" w:sz="6" w:space="0"/>
              <w:bottom w:val="single" w:color="auto" w:sz="6" w:space="0"/>
            </w:tcBorders>
            <w:vAlign w:val="center"/>
          </w:tcPr>
          <w:p w14:paraId="56A7EDEC">
            <w:pPr>
              <w:adjustRightInd w:val="0"/>
              <w:snapToGrid w:val="0"/>
              <w:rPr>
                <w:rFonts w:hint="eastAsia" w:ascii="宋体" w:hAnsi="宋体" w:eastAsia="宋体" w:cs="宋体"/>
                <w:color w:val="auto"/>
                <w:sz w:val="24"/>
                <w:szCs w:val="24"/>
              </w:rPr>
            </w:pPr>
          </w:p>
        </w:tc>
        <w:tc>
          <w:tcPr>
            <w:tcW w:w="1293" w:type="dxa"/>
            <w:vMerge w:val="continue"/>
            <w:tcBorders>
              <w:top w:val="single" w:color="auto" w:sz="6" w:space="0"/>
              <w:bottom w:val="single" w:color="auto" w:sz="6" w:space="0"/>
            </w:tcBorders>
            <w:vAlign w:val="center"/>
          </w:tcPr>
          <w:p w14:paraId="7BCCE213">
            <w:pPr>
              <w:adjustRightInd w:val="0"/>
              <w:snapToGrid w:val="0"/>
              <w:rPr>
                <w:rFonts w:hint="eastAsia" w:ascii="宋体" w:hAnsi="宋体" w:eastAsia="宋体" w:cs="宋体"/>
                <w:color w:val="auto"/>
                <w:sz w:val="24"/>
                <w:szCs w:val="24"/>
              </w:rPr>
            </w:pPr>
          </w:p>
        </w:tc>
        <w:tc>
          <w:tcPr>
            <w:tcW w:w="1408" w:type="dxa"/>
            <w:tcBorders>
              <w:top w:val="single" w:color="auto" w:sz="6" w:space="0"/>
              <w:bottom w:val="single" w:color="auto" w:sz="6" w:space="0"/>
            </w:tcBorders>
            <w:vAlign w:val="center"/>
          </w:tcPr>
          <w:p w14:paraId="08DE0854">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现场管理应变性</w:t>
            </w:r>
          </w:p>
        </w:tc>
        <w:tc>
          <w:tcPr>
            <w:tcW w:w="3160" w:type="dxa"/>
            <w:tcBorders>
              <w:top w:val="single" w:color="auto" w:sz="6" w:space="0"/>
              <w:bottom w:val="single" w:color="auto" w:sz="6" w:space="0"/>
            </w:tcBorders>
            <w:vAlign w:val="center"/>
          </w:tcPr>
          <w:p w14:paraId="11C86ABA">
            <w:pPr>
              <w:adjustRightInd w:val="0"/>
              <w:snapToGrid w:val="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维持机房现场秩序，及时处理现场勤务问题，没有因现场组织管理不当而造成拥堵混乱等事件</w:t>
            </w:r>
          </w:p>
        </w:tc>
        <w:tc>
          <w:tcPr>
            <w:tcW w:w="6177" w:type="dxa"/>
            <w:tcBorders>
              <w:top w:val="single" w:color="auto" w:sz="6" w:space="0"/>
              <w:bottom w:val="single" w:color="auto" w:sz="6" w:space="0"/>
            </w:tcBorders>
            <w:vAlign w:val="center"/>
          </w:tcPr>
          <w:p w14:paraId="73555073">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工作时间，在访问现场高声喧哗嬉笑打闹、闲聊、吸烟、吃零食、阅读报刊书籍及从事其他与访问工作无关的活动。每发生一起，扣除0.5-3分。</w:t>
            </w:r>
          </w:p>
        </w:tc>
        <w:tc>
          <w:tcPr>
            <w:tcW w:w="718" w:type="dxa"/>
            <w:tcBorders>
              <w:top w:val="single" w:color="auto" w:sz="6" w:space="0"/>
              <w:bottom w:val="single" w:color="auto" w:sz="6" w:space="0"/>
            </w:tcBorders>
            <w:vAlign w:val="center"/>
          </w:tcPr>
          <w:p w14:paraId="0F214B52">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3</w:t>
            </w:r>
          </w:p>
        </w:tc>
        <w:tc>
          <w:tcPr>
            <w:tcW w:w="891" w:type="dxa"/>
            <w:tcBorders>
              <w:top w:val="single" w:color="auto" w:sz="6" w:space="0"/>
              <w:bottom w:val="single" w:color="auto" w:sz="6" w:space="0"/>
            </w:tcBorders>
            <w:vAlign w:val="center"/>
          </w:tcPr>
          <w:p w14:paraId="1FC4FF92">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主观</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指标</w:t>
            </w:r>
          </w:p>
        </w:tc>
      </w:tr>
      <w:tr w14:paraId="1E8F248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1" w:hRule="atLeast"/>
          <w:jc w:val="center"/>
        </w:trPr>
        <w:tc>
          <w:tcPr>
            <w:tcW w:w="1293" w:type="dxa"/>
            <w:vMerge w:val="continue"/>
            <w:tcBorders>
              <w:top w:val="single" w:color="auto" w:sz="6" w:space="0"/>
              <w:bottom w:val="single" w:color="auto" w:sz="6" w:space="0"/>
            </w:tcBorders>
            <w:vAlign w:val="center"/>
          </w:tcPr>
          <w:p w14:paraId="2EF225AD">
            <w:pPr>
              <w:adjustRightInd w:val="0"/>
              <w:snapToGrid w:val="0"/>
              <w:rPr>
                <w:rFonts w:hint="eastAsia" w:ascii="宋体" w:hAnsi="宋体" w:eastAsia="宋体" w:cs="宋体"/>
                <w:color w:val="auto"/>
                <w:sz w:val="24"/>
                <w:szCs w:val="24"/>
              </w:rPr>
            </w:pPr>
          </w:p>
        </w:tc>
        <w:tc>
          <w:tcPr>
            <w:tcW w:w="1293" w:type="dxa"/>
            <w:vMerge w:val="continue"/>
            <w:tcBorders>
              <w:top w:val="single" w:color="auto" w:sz="6" w:space="0"/>
              <w:bottom w:val="single" w:color="auto" w:sz="6" w:space="0"/>
            </w:tcBorders>
            <w:vAlign w:val="center"/>
          </w:tcPr>
          <w:p w14:paraId="2D654BDF">
            <w:pPr>
              <w:adjustRightInd w:val="0"/>
              <w:snapToGrid w:val="0"/>
              <w:rPr>
                <w:rFonts w:hint="eastAsia" w:ascii="宋体" w:hAnsi="宋体" w:eastAsia="宋体" w:cs="宋体"/>
                <w:color w:val="auto"/>
                <w:sz w:val="24"/>
                <w:szCs w:val="24"/>
              </w:rPr>
            </w:pPr>
          </w:p>
        </w:tc>
        <w:tc>
          <w:tcPr>
            <w:tcW w:w="1408" w:type="dxa"/>
            <w:tcBorders>
              <w:top w:val="single" w:color="auto" w:sz="6" w:space="0"/>
              <w:bottom w:val="single" w:color="auto" w:sz="6" w:space="0"/>
            </w:tcBorders>
            <w:vAlign w:val="center"/>
          </w:tcPr>
          <w:p w14:paraId="2A0D9BEE">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现场管理规范性</w:t>
            </w:r>
          </w:p>
        </w:tc>
        <w:tc>
          <w:tcPr>
            <w:tcW w:w="3160" w:type="dxa"/>
            <w:tcBorders>
              <w:top w:val="single" w:color="auto" w:sz="6" w:space="0"/>
              <w:bottom w:val="single" w:color="auto" w:sz="6" w:space="0"/>
            </w:tcBorders>
            <w:vAlign w:val="center"/>
          </w:tcPr>
          <w:p w14:paraId="11626269">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访问结束后，检查电脑关闭情况</w:t>
            </w:r>
          </w:p>
        </w:tc>
        <w:tc>
          <w:tcPr>
            <w:tcW w:w="6177" w:type="dxa"/>
            <w:tcBorders>
              <w:top w:val="single" w:color="auto" w:sz="6" w:space="0"/>
              <w:bottom w:val="single" w:color="auto" w:sz="6" w:space="0"/>
            </w:tcBorders>
            <w:vAlign w:val="center"/>
          </w:tcPr>
          <w:p w14:paraId="3CCD4995">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每发生一起，扣0.5分</w:t>
            </w:r>
          </w:p>
        </w:tc>
        <w:tc>
          <w:tcPr>
            <w:tcW w:w="718" w:type="dxa"/>
            <w:tcBorders>
              <w:top w:val="single" w:color="auto" w:sz="6" w:space="0"/>
              <w:bottom w:val="single" w:color="auto" w:sz="6" w:space="0"/>
            </w:tcBorders>
            <w:vAlign w:val="center"/>
          </w:tcPr>
          <w:p w14:paraId="330FCE9C">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2</w:t>
            </w:r>
          </w:p>
        </w:tc>
        <w:tc>
          <w:tcPr>
            <w:tcW w:w="891" w:type="dxa"/>
            <w:tcBorders>
              <w:top w:val="single" w:color="auto" w:sz="6" w:space="0"/>
              <w:bottom w:val="single" w:color="auto" w:sz="6" w:space="0"/>
            </w:tcBorders>
            <w:vAlign w:val="center"/>
          </w:tcPr>
          <w:p w14:paraId="75016181">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客观</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指标</w:t>
            </w:r>
          </w:p>
        </w:tc>
      </w:tr>
      <w:tr w14:paraId="241FF53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13" w:hRule="atLeast"/>
          <w:jc w:val="center"/>
        </w:trPr>
        <w:tc>
          <w:tcPr>
            <w:tcW w:w="1293" w:type="dxa"/>
            <w:vMerge w:val="continue"/>
            <w:tcBorders>
              <w:top w:val="single" w:color="auto" w:sz="6" w:space="0"/>
              <w:bottom w:val="single" w:color="auto" w:sz="6" w:space="0"/>
            </w:tcBorders>
            <w:vAlign w:val="center"/>
          </w:tcPr>
          <w:p w14:paraId="278F58C0">
            <w:pPr>
              <w:adjustRightInd w:val="0"/>
              <w:snapToGrid w:val="0"/>
              <w:rPr>
                <w:rFonts w:hint="eastAsia" w:ascii="宋体" w:hAnsi="宋体" w:eastAsia="宋体" w:cs="宋体"/>
                <w:color w:val="auto"/>
                <w:sz w:val="24"/>
                <w:szCs w:val="24"/>
              </w:rPr>
            </w:pPr>
          </w:p>
        </w:tc>
        <w:tc>
          <w:tcPr>
            <w:tcW w:w="1293" w:type="dxa"/>
            <w:vMerge w:val="continue"/>
            <w:tcBorders>
              <w:top w:val="single" w:color="auto" w:sz="6" w:space="0"/>
              <w:bottom w:val="single" w:color="auto" w:sz="6" w:space="0"/>
            </w:tcBorders>
            <w:vAlign w:val="center"/>
          </w:tcPr>
          <w:p w14:paraId="177B9FB7">
            <w:pPr>
              <w:adjustRightInd w:val="0"/>
              <w:snapToGrid w:val="0"/>
              <w:rPr>
                <w:rFonts w:hint="eastAsia" w:ascii="宋体" w:hAnsi="宋体" w:eastAsia="宋体" w:cs="宋体"/>
                <w:color w:val="auto"/>
                <w:sz w:val="24"/>
                <w:szCs w:val="24"/>
              </w:rPr>
            </w:pPr>
          </w:p>
        </w:tc>
        <w:tc>
          <w:tcPr>
            <w:tcW w:w="1408" w:type="dxa"/>
            <w:tcBorders>
              <w:top w:val="single" w:color="auto" w:sz="6" w:space="0"/>
              <w:bottom w:val="single" w:color="auto" w:sz="6" w:space="0"/>
            </w:tcBorders>
            <w:vAlign w:val="center"/>
          </w:tcPr>
          <w:p w14:paraId="5EB5EB76">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现场管理整洁性</w:t>
            </w:r>
          </w:p>
        </w:tc>
        <w:tc>
          <w:tcPr>
            <w:tcW w:w="3160" w:type="dxa"/>
            <w:tcBorders>
              <w:top w:val="single" w:color="auto" w:sz="6" w:space="0"/>
              <w:bottom w:val="single" w:color="auto" w:sz="6" w:space="0"/>
            </w:tcBorders>
            <w:vAlign w:val="center"/>
          </w:tcPr>
          <w:p w14:paraId="19BEFE99">
            <w:pPr>
              <w:adjustRightInd w:val="0"/>
              <w:snapToGrid w:val="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1.保持机房的干净、整洁</w:t>
            </w:r>
            <w:r>
              <w:rPr>
                <w:rFonts w:hint="eastAsia" w:ascii="宋体" w:hAnsi="宋体" w:cs="宋体"/>
                <w:color w:val="auto"/>
                <w:sz w:val="24"/>
                <w:szCs w:val="24"/>
                <w:lang w:eastAsia="zh-CN"/>
              </w:rPr>
              <w:t>；</w:t>
            </w:r>
          </w:p>
          <w:p w14:paraId="4CE5549A">
            <w:pPr>
              <w:adjustRightInd w:val="0"/>
              <w:snapToGrid w:val="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2.台席整洁无杂物</w:t>
            </w:r>
            <w:r>
              <w:rPr>
                <w:rFonts w:hint="eastAsia" w:ascii="宋体" w:hAnsi="宋体" w:cs="宋体"/>
                <w:color w:val="auto"/>
                <w:sz w:val="24"/>
                <w:szCs w:val="24"/>
                <w:lang w:eastAsia="zh-CN"/>
              </w:rPr>
              <w:t>；</w:t>
            </w:r>
          </w:p>
          <w:p w14:paraId="4885EC56">
            <w:pPr>
              <w:adjustRightInd w:val="0"/>
              <w:snapToGrid w:val="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3.地面清洁无垃圾</w:t>
            </w:r>
            <w:r>
              <w:rPr>
                <w:rFonts w:hint="eastAsia" w:ascii="宋体" w:hAnsi="宋体" w:cs="宋体"/>
                <w:color w:val="auto"/>
                <w:sz w:val="24"/>
                <w:szCs w:val="24"/>
                <w:lang w:eastAsia="zh-CN"/>
              </w:rPr>
              <w:t>；</w:t>
            </w:r>
          </w:p>
          <w:p w14:paraId="4A3166B3">
            <w:pPr>
              <w:adjustRightInd w:val="0"/>
              <w:snapToGrid w:val="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4.用餐后，做好垃圾分类并保持地面及垃圾房清洁</w:t>
            </w:r>
            <w:r>
              <w:rPr>
                <w:rFonts w:hint="eastAsia" w:ascii="宋体" w:hAnsi="宋体" w:cs="宋体"/>
                <w:color w:val="auto"/>
                <w:sz w:val="24"/>
                <w:szCs w:val="24"/>
                <w:lang w:eastAsia="zh-CN"/>
              </w:rPr>
              <w:t>。</w:t>
            </w:r>
          </w:p>
        </w:tc>
        <w:tc>
          <w:tcPr>
            <w:tcW w:w="6177" w:type="dxa"/>
            <w:tcBorders>
              <w:top w:val="single" w:color="auto" w:sz="6" w:space="0"/>
              <w:bottom w:val="single" w:color="auto" w:sz="6" w:space="0"/>
            </w:tcBorders>
            <w:vAlign w:val="center"/>
          </w:tcPr>
          <w:p w14:paraId="3EF40937">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每发生一起，扣0.5分</w:t>
            </w:r>
          </w:p>
        </w:tc>
        <w:tc>
          <w:tcPr>
            <w:tcW w:w="718" w:type="dxa"/>
            <w:tcBorders>
              <w:top w:val="single" w:color="auto" w:sz="6" w:space="0"/>
              <w:bottom w:val="single" w:color="auto" w:sz="6" w:space="0"/>
            </w:tcBorders>
            <w:vAlign w:val="center"/>
          </w:tcPr>
          <w:p w14:paraId="54CC90AA">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6</w:t>
            </w:r>
          </w:p>
        </w:tc>
        <w:tc>
          <w:tcPr>
            <w:tcW w:w="891" w:type="dxa"/>
            <w:tcBorders>
              <w:top w:val="single" w:color="auto" w:sz="6" w:space="0"/>
              <w:bottom w:val="single" w:color="auto" w:sz="6" w:space="0"/>
            </w:tcBorders>
            <w:vAlign w:val="center"/>
          </w:tcPr>
          <w:p w14:paraId="6F501568">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客观</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指标</w:t>
            </w:r>
          </w:p>
        </w:tc>
      </w:tr>
      <w:tr w14:paraId="141E587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7" w:hRule="atLeast"/>
          <w:jc w:val="center"/>
        </w:trPr>
        <w:tc>
          <w:tcPr>
            <w:tcW w:w="1293" w:type="dxa"/>
            <w:vMerge w:val="restart"/>
            <w:tcBorders>
              <w:top w:val="single" w:color="auto" w:sz="6" w:space="0"/>
              <w:bottom w:val="single" w:color="auto" w:sz="6" w:space="0"/>
            </w:tcBorders>
            <w:vAlign w:val="center"/>
          </w:tcPr>
          <w:p w14:paraId="1611C041">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三、服务质量</w:t>
            </w:r>
          </w:p>
        </w:tc>
        <w:tc>
          <w:tcPr>
            <w:tcW w:w="1293" w:type="dxa"/>
            <w:tcBorders>
              <w:top w:val="single" w:color="auto" w:sz="6" w:space="0"/>
              <w:bottom w:val="single" w:color="auto" w:sz="6" w:space="0"/>
            </w:tcBorders>
            <w:vAlign w:val="center"/>
          </w:tcPr>
          <w:p w14:paraId="3AA7CF93">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调查业务指标</w:t>
            </w:r>
          </w:p>
        </w:tc>
        <w:tc>
          <w:tcPr>
            <w:tcW w:w="1408" w:type="dxa"/>
            <w:tcBorders>
              <w:top w:val="single" w:color="auto" w:sz="6" w:space="0"/>
              <w:bottom w:val="single" w:color="auto" w:sz="6" w:space="0"/>
            </w:tcBorders>
            <w:vAlign w:val="center"/>
          </w:tcPr>
          <w:p w14:paraId="7C4D3BF1">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问卷质量抽查</w:t>
            </w:r>
          </w:p>
        </w:tc>
        <w:tc>
          <w:tcPr>
            <w:tcW w:w="3160" w:type="dxa"/>
            <w:tcBorders>
              <w:top w:val="single" w:color="auto" w:sz="6" w:space="0"/>
              <w:bottom w:val="single" w:color="auto" w:sz="6" w:space="0"/>
            </w:tcBorders>
            <w:vAlign w:val="center"/>
          </w:tcPr>
          <w:p w14:paraId="3C072C05">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自审作废率</w:t>
            </w:r>
          </w:p>
        </w:tc>
        <w:tc>
          <w:tcPr>
            <w:tcW w:w="6177" w:type="dxa"/>
            <w:tcBorders>
              <w:top w:val="single" w:color="auto" w:sz="6" w:space="0"/>
              <w:bottom w:val="single" w:color="auto" w:sz="6" w:space="0"/>
            </w:tcBorders>
            <w:vAlign w:val="center"/>
          </w:tcPr>
          <w:p w14:paraId="7DA9075A">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1、一般项目自审作废率不得高于2%；</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2、作废率超过2%的，或者单个访员出现较大比例作废情况的，每次酌情扣1-10分。</w:t>
            </w:r>
          </w:p>
        </w:tc>
        <w:tc>
          <w:tcPr>
            <w:tcW w:w="718" w:type="dxa"/>
            <w:tcBorders>
              <w:top w:val="single" w:color="auto" w:sz="6" w:space="0"/>
              <w:bottom w:val="single" w:color="auto" w:sz="6" w:space="0"/>
            </w:tcBorders>
            <w:vAlign w:val="center"/>
          </w:tcPr>
          <w:p w14:paraId="03D79FF9">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10</w:t>
            </w:r>
          </w:p>
        </w:tc>
        <w:tc>
          <w:tcPr>
            <w:tcW w:w="891" w:type="dxa"/>
            <w:tcBorders>
              <w:top w:val="single" w:color="auto" w:sz="6" w:space="0"/>
              <w:bottom w:val="single" w:color="auto" w:sz="6" w:space="0"/>
            </w:tcBorders>
            <w:vAlign w:val="center"/>
          </w:tcPr>
          <w:p w14:paraId="0C5396EB">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客观</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指标</w:t>
            </w:r>
          </w:p>
        </w:tc>
      </w:tr>
      <w:tr w14:paraId="10E58E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1" w:hRule="atLeast"/>
          <w:jc w:val="center"/>
        </w:trPr>
        <w:tc>
          <w:tcPr>
            <w:tcW w:w="1293" w:type="dxa"/>
            <w:vMerge w:val="continue"/>
            <w:tcBorders>
              <w:top w:val="single" w:color="auto" w:sz="6" w:space="0"/>
              <w:bottom w:val="single" w:color="auto" w:sz="6" w:space="0"/>
            </w:tcBorders>
            <w:vAlign w:val="center"/>
          </w:tcPr>
          <w:p w14:paraId="0A0A33C7">
            <w:pPr>
              <w:adjustRightInd w:val="0"/>
              <w:snapToGrid w:val="0"/>
              <w:rPr>
                <w:rFonts w:hint="eastAsia" w:ascii="宋体" w:hAnsi="宋体" w:eastAsia="宋体" w:cs="宋体"/>
                <w:color w:val="auto"/>
                <w:sz w:val="24"/>
                <w:szCs w:val="24"/>
              </w:rPr>
            </w:pPr>
          </w:p>
        </w:tc>
        <w:tc>
          <w:tcPr>
            <w:tcW w:w="1293" w:type="dxa"/>
            <w:vMerge w:val="restart"/>
            <w:tcBorders>
              <w:top w:val="single" w:color="auto" w:sz="6" w:space="0"/>
              <w:bottom w:val="single" w:color="auto" w:sz="6" w:space="0"/>
            </w:tcBorders>
            <w:vAlign w:val="center"/>
          </w:tcPr>
          <w:p w14:paraId="64AEBB2F">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调查质量指标</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（甲方抽查质量评估）</w:t>
            </w:r>
          </w:p>
        </w:tc>
        <w:tc>
          <w:tcPr>
            <w:tcW w:w="1408" w:type="dxa"/>
            <w:tcBorders>
              <w:top w:val="single" w:color="auto" w:sz="6" w:space="0"/>
              <w:bottom w:val="single" w:color="auto" w:sz="6" w:space="0"/>
            </w:tcBorders>
            <w:vAlign w:val="center"/>
          </w:tcPr>
          <w:p w14:paraId="6233259C">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抽查作废数</w:t>
            </w:r>
          </w:p>
        </w:tc>
        <w:tc>
          <w:tcPr>
            <w:tcW w:w="3160" w:type="dxa"/>
            <w:tcBorders>
              <w:top w:val="single" w:color="auto" w:sz="6" w:space="0"/>
              <w:bottom w:val="single" w:color="auto" w:sz="6" w:space="0"/>
            </w:tcBorders>
            <w:vAlign w:val="center"/>
          </w:tcPr>
          <w:p w14:paraId="77DDFB90">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由调查负责人按项目组织对服务外包公司访问质量进行评估。</w:t>
            </w:r>
          </w:p>
        </w:tc>
        <w:tc>
          <w:tcPr>
            <w:tcW w:w="6177" w:type="dxa"/>
            <w:tcBorders>
              <w:top w:val="single" w:color="auto" w:sz="6" w:space="0"/>
              <w:bottom w:val="single" w:color="auto" w:sz="6" w:space="0"/>
            </w:tcBorders>
            <w:vAlign w:val="center"/>
          </w:tcPr>
          <w:p w14:paraId="78D1C238">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经核实确认须作废的，每个作废样本扣1分。</w:t>
            </w:r>
          </w:p>
        </w:tc>
        <w:tc>
          <w:tcPr>
            <w:tcW w:w="718" w:type="dxa"/>
            <w:tcBorders>
              <w:top w:val="single" w:color="auto" w:sz="6" w:space="0"/>
              <w:bottom w:val="single" w:color="auto" w:sz="6" w:space="0"/>
            </w:tcBorders>
            <w:vAlign w:val="center"/>
          </w:tcPr>
          <w:p w14:paraId="54686572">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10</w:t>
            </w:r>
          </w:p>
        </w:tc>
        <w:tc>
          <w:tcPr>
            <w:tcW w:w="891" w:type="dxa"/>
            <w:tcBorders>
              <w:top w:val="single" w:color="auto" w:sz="6" w:space="0"/>
              <w:bottom w:val="single" w:color="auto" w:sz="6" w:space="0"/>
            </w:tcBorders>
            <w:vAlign w:val="center"/>
          </w:tcPr>
          <w:p w14:paraId="11646A9E">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客观</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指标</w:t>
            </w:r>
          </w:p>
        </w:tc>
      </w:tr>
      <w:tr w14:paraId="418ECD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65" w:hRule="atLeast"/>
          <w:jc w:val="center"/>
        </w:trPr>
        <w:tc>
          <w:tcPr>
            <w:tcW w:w="1293" w:type="dxa"/>
            <w:vMerge w:val="continue"/>
            <w:tcBorders>
              <w:top w:val="single" w:color="auto" w:sz="6" w:space="0"/>
              <w:bottom w:val="single" w:color="auto" w:sz="6" w:space="0"/>
            </w:tcBorders>
            <w:vAlign w:val="center"/>
          </w:tcPr>
          <w:p w14:paraId="7E9559F3">
            <w:pPr>
              <w:adjustRightInd w:val="0"/>
              <w:snapToGrid w:val="0"/>
              <w:rPr>
                <w:rFonts w:hint="eastAsia" w:ascii="宋体" w:hAnsi="宋体" w:eastAsia="宋体" w:cs="宋体"/>
                <w:color w:val="auto"/>
                <w:sz w:val="24"/>
                <w:szCs w:val="24"/>
              </w:rPr>
            </w:pPr>
          </w:p>
        </w:tc>
        <w:tc>
          <w:tcPr>
            <w:tcW w:w="1293" w:type="dxa"/>
            <w:vMerge w:val="continue"/>
            <w:tcBorders>
              <w:top w:val="single" w:color="auto" w:sz="6" w:space="0"/>
              <w:bottom w:val="single" w:color="auto" w:sz="6" w:space="0"/>
            </w:tcBorders>
            <w:vAlign w:val="center"/>
          </w:tcPr>
          <w:p w14:paraId="4DB00B1D">
            <w:pPr>
              <w:adjustRightInd w:val="0"/>
              <w:snapToGrid w:val="0"/>
              <w:rPr>
                <w:rFonts w:hint="eastAsia" w:ascii="宋体" w:hAnsi="宋体" w:eastAsia="宋体" w:cs="宋体"/>
                <w:color w:val="auto"/>
                <w:sz w:val="24"/>
                <w:szCs w:val="24"/>
              </w:rPr>
            </w:pPr>
          </w:p>
        </w:tc>
        <w:tc>
          <w:tcPr>
            <w:tcW w:w="1408" w:type="dxa"/>
            <w:tcBorders>
              <w:top w:val="single" w:color="auto" w:sz="6" w:space="0"/>
              <w:bottom w:val="single" w:color="auto" w:sz="6" w:space="0"/>
            </w:tcBorders>
            <w:vAlign w:val="center"/>
          </w:tcPr>
          <w:p w14:paraId="3C4DD8C8">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访员素质:言语表达（语气亲切、语音清晰、语意明确、语言得体）</w:t>
            </w:r>
          </w:p>
        </w:tc>
        <w:tc>
          <w:tcPr>
            <w:tcW w:w="3160" w:type="dxa"/>
            <w:tcBorders>
              <w:top w:val="single" w:color="auto" w:sz="6" w:space="0"/>
              <w:bottom w:val="single" w:color="auto" w:sz="6" w:space="0"/>
            </w:tcBorders>
            <w:vAlign w:val="center"/>
          </w:tcPr>
          <w:p w14:paraId="2E944204">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1）说话语气亲切，语速适中、语调平和、音量适中；</w:t>
            </w:r>
          </w:p>
          <w:p w14:paraId="60302D0A">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 xml:space="preserve">2）普通话标准，吐字清楚，保证受访者能听清、听懂； </w:t>
            </w:r>
          </w:p>
          <w:p w14:paraId="7598DF0B">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3）言语适当，使用文明用语；</w:t>
            </w:r>
          </w:p>
          <w:p w14:paraId="542404F7">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4）适度做好解释安抚工作。</w:t>
            </w:r>
          </w:p>
        </w:tc>
        <w:tc>
          <w:tcPr>
            <w:tcW w:w="6177" w:type="dxa"/>
            <w:tcBorders>
              <w:top w:val="single" w:color="auto" w:sz="6" w:space="0"/>
              <w:bottom w:val="single" w:color="auto" w:sz="6" w:space="0"/>
            </w:tcBorders>
            <w:vAlign w:val="center"/>
          </w:tcPr>
          <w:p w14:paraId="4F40C0DF">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1、由项目负责人按项目进行评估</w:t>
            </w:r>
            <w:r>
              <w:rPr>
                <w:rFonts w:hint="eastAsia" w:ascii="宋体" w:hAnsi="宋体" w:cs="宋体"/>
                <w:color w:val="auto"/>
                <w:sz w:val="24"/>
                <w:szCs w:val="24"/>
                <w:lang w:eastAsia="zh-CN"/>
              </w:rPr>
              <w:t>；</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2、根据项目访员总体情况酌情扣分。</w:t>
            </w:r>
          </w:p>
        </w:tc>
        <w:tc>
          <w:tcPr>
            <w:tcW w:w="718" w:type="dxa"/>
            <w:tcBorders>
              <w:top w:val="single" w:color="auto" w:sz="6" w:space="0"/>
              <w:bottom w:val="single" w:color="auto" w:sz="6" w:space="0"/>
            </w:tcBorders>
            <w:vAlign w:val="center"/>
          </w:tcPr>
          <w:p w14:paraId="4C29C0E9">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891" w:type="dxa"/>
            <w:tcBorders>
              <w:top w:val="single" w:color="auto" w:sz="6" w:space="0"/>
              <w:bottom w:val="single" w:color="auto" w:sz="6" w:space="0"/>
            </w:tcBorders>
            <w:vAlign w:val="center"/>
          </w:tcPr>
          <w:p w14:paraId="50652CC3">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主观</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指标</w:t>
            </w:r>
          </w:p>
        </w:tc>
      </w:tr>
      <w:tr w14:paraId="3ABA2C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17" w:hRule="atLeast"/>
          <w:jc w:val="center"/>
        </w:trPr>
        <w:tc>
          <w:tcPr>
            <w:tcW w:w="1293" w:type="dxa"/>
            <w:vMerge w:val="continue"/>
            <w:tcBorders>
              <w:top w:val="single" w:color="auto" w:sz="6" w:space="0"/>
              <w:bottom w:val="single" w:color="auto" w:sz="6" w:space="0"/>
            </w:tcBorders>
            <w:vAlign w:val="center"/>
          </w:tcPr>
          <w:p w14:paraId="39C54AEA">
            <w:pPr>
              <w:adjustRightInd w:val="0"/>
              <w:snapToGrid w:val="0"/>
              <w:rPr>
                <w:rFonts w:hint="eastAsia" w:ascii="宋体" w:hAnsi="宋体" w:eastAsia="宋体" w:cs="宋体"/>
                <w:color w:val="auto"/>
                <w:sz w:val="24"/>
                <w:szCs w:val="24"/>
              </w:rPr>
            </w:pPr>
          </w:p>
        </w:tc>
        <w:tc>
          <w:tcPr>
            <w:tcW w:w="1293" w:type="dxa"/>
            <w:vMerge w:val="continue"/>
            <w:tcBorders>
              <w:top w:val="single" w:color="auto" w:sz="6" w:space="0"/>
              <w:bottom w:val="single" w:color="auto" w:sz="6" w:space="0"/>
            </w:tcBorders>
            <w:vAlign w:val="center"/>
          </w:tcPr>
          <w:p w14:paraId="30A59EA8">
            <w:pPr>
              <w:adjustRightInd w:val="0"/>
              <w:snapToGrid w:val="0"/>
              <w:rPr>
                <w:rFonts w:hint="eastAsia" w:ascii="宋体" w:hAnsi="宋体" w:eastAsia="宋体" w:cs="宋体"/>
                <w:color w:val="auto"/>
                <w:sz w:val="24"/>
                <w:szCs w:val="24"/>
              </w:rPr>
            </w:pPr>
          </w:p>
        </w:tc>
        <w:tc>
          <w:tcPr>
            <w:tcW w:w="1408" w:type="dxa"/>
            <w:tcBorders>
              <w:top w:val="single" w:color="auto" w:sz="6" w:space="0"/>
              <w:bottom w:val="single" w:color="auto" w:sz="6" w:space="0"/>
            </w:tcBorders>
            <w:vAlign w:val="center"/>
          </w:tcPr>
          <w:p w14:paraId="10FBA988">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访员素质:沟通交流（与受访者沟通交流时耐心、专注，态度真诚）</w:t>
            </w:r>
          </w:p>
        </w:tc>
        <w:tc>
          <w:tcPr>
            <w:tcW w:w="3160" w:type="dxa"/>
            <w:tcBorders>
              <w:top w:val="single" w:color="auto" w:sz="6" w:space="0"/>
              <w:bottom w:val="single" w:color="auto" w:sz="6" w:space="0"/>
            </w:tcBorders>
            <w:vAlign w:val="center"/>
          </w:tcPr>
          <w:p w14:paraId="3BAA3C20">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1）与受访者沟通交流时耐心、专注，以示尊重，切忌急躁</w:t>
            </w:r>
            <w:r>
              <w:rPr>
                <w:rFonts w:hint="eastAsia" w:ascii="宋体" w:hAnsi="宋体" w:cs="宋体"/>
                <w:color w:val="auto"/>
                <w:sz w:val="24"/>
                <w:szCs w:val="24"/>
                <w:lang w:eastAsia="zh-CN"/>
              </w:rPr>
              <w:t>、</w:t>
            </w:r>
            <w:r>
              <w:rPr>
                <w:rFonts w:hint="eastAsia" w:ascii="宋体" w:hAnsi="宋体" w:eastAsia="宋体" w:cs="宋体"/>
                <w:color w:val="auto"/>
                <w:sz w:val="24"/>
                <w:szCs w:val="24"/>
              </w:rPr>
              <w:t>不耐烦情绪出现；</w:t>
            </w:r>
          </w:p>
          <w:p w14:paraId="0637D83A">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2）如未听清或听懂，能够做到礼貌请其重复；</w:t>
            </w:r>
          </w:p>
          <w:p w14:paraId="029B6867">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3）与受访者沟通交流时应做到态度真诚，不卑不亢；</w:t>
            </w:r>
          </w:p>
          <w:p w14:paraId="09BCC5A8">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4)交流过程中无言谈禁忌发生。</w:t>
            </w:r>
          </w:p>
        </w:tc>
        <w:tc>
          <w:tcPr>
            <w:tcW w:w="6177" w:type="dxa"/>
            <w:tcBorders>
              <w:top w:val="single" w:color="auto" w:sz="6" w:space="0"/>
              <w:bottom w:val="single" w:color="auto" w:sz="6" w:space="0"/>
            </w:tcBorders>
            <w:vAlign w:val="center"/>
          </w:tcPr>
          <w:p w14:paraId="6BD06CE6">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1、由项目负责人按项目进行评估</w:t>
            </w:r>
            <w:r>
              <w:rPr>
                <w:rFonts w:hint="eastAsia" w:ascii="宋体" w:hAnsi="宋体" w:cs="宋体"/>
                <w:color w:val="auto"/>
                <w:sz w:val="24"/>
                <w:szCs w:val="24"/>
                <w:lang w:eastAsia="zh-CN"/>
              </w:rPr>
              <w:t>；</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2、根据项目访员总体情况酌情扣分。</w:t>
            </w:r>
          </w:p>
        </w:tc>
        <w:tc>
          <w:tcPr>
            <w:tcW w:w="718" w:type="dxa"/>
            <w:tcBorders>
              <w:top w:val="single" w:color="auto" w:sz="6" w:space="0"/>
              <w:bottom w:val="single" w:color="auto" w:sz="6" w:space="0"/>
            </w:tcBorders>
            <w:vAlign w:val="center"/>
          </w:tcPr>
          <w:p w14:paraId="5AE5B7C1">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891" w:type="dxa"/>
            <w:tcBorders>
              <w:top w:val="single" w:color="auto" w:sz="6" w:space="0"/>
              <w:bottom w:val="single" w:color="auto" w:sz="6" w:space="0"/>
            </w:tcBorders>
            <w:vAlign w:val="center"/>
          </w:tcPr>
          <w:p w14:paraId="54EA51CD">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主观</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指标</w:t>
            </w:r>
          </w:p>
        </w:tc>
      </w:tr>
      <w:tr w14:paraId="141936D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1" w:hRule="atLeast"/>
          <w:jc w:val="center"/>
        </w:trPr>
        <w:tc>
          <w:tcPr>
            <w:tcW w:w="1293" w:type="dxa"/>
            <w:vMerge w:val="continue"/>
            <w:tcBorders>
              <w:top w:val="single" w:color="auto" w:sz="6" w:space="0"/>
              <w:bottom w:val="single" w:color="auto" w:sz="6" w:space="0"/>
            </w:tcBorders>
            <w:vAlign w:val="center"/>
          </w:tcPr>
          <w:p w14:paraId="16A1755E">
            <w:pPr>
              <w:adjustRightInd w:val="0"/>
              <w:snapToGrid w:val="0"/>
              <w:rPr>
                <w:rFonts w:hint="eastAsia" w:ascii="宋体" w:hAnsi="宋体" w:eastAsia="宋体" w:cs="宋体"/>
                <w:color w:val="auto"/>
                <w:sz w:val="24"/>
                <w:szCs w:val="24"/>
              </w:rPr>
            </w:pPr>
          </w:p>
        </w:tc>
        <w:tc>
          <w:tcPr>
            <w:tcW w:w="1293" w:type="dxa"/>
            <w:vMerge w:val="continue"/>
            <w:tcBorders>
              <w:top w:val="single" w:color="auto" w:sz="6" w:space="0"/>
              <w:bottom w:val="single" w:color="auto" w:sz="6" w:space="0"/>
            </w:tcBorders>
            <w:vAlign w:val="center"/>
          </w:tcPr>
          <w:p w14:paraId="645530C5">
            <w:pPr>
              <w:adjustRightInd w:val="0"/>
              <w:snapToGrid w:val="0"/>
              <w:rPr>
                <w:rFonts w:hint="eastAsia" w:ascii="宋体" w:hAnsi="宋体" w:eastAsia="宋体" w:cs="宋体"/>
                <w:color w:val="auto"/>
                <w:sz w:val="24"/>
                <w:szCs w:val="24"/>
              </w:rPr>
            </w:pPr>
          </w:p>
        </w:tc>
        <w:tc>
          <w:tcPr>
            <w:tcW w:w="1408" w:type="dxa"/>
            <w:tcBorders>
              <w:top w:val="single" w:color="auto" w:sz="6" w:space="0"/>
              <w:bottom w:val="single" w:color="auto" w:sz="6" w:space="0"/>
            </w:tcBorders>
            <w:vAlign w:val="center"/>
          </w:tcPr>
          <w:p w14:paraId="32EBDF91">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业务技能（口径准确）</w:t>
            </w:r>
          </w:p>
        </w:tc>
        <w:tc>
          <w:tcPr>
            <w:tcW w:w="3160" w:type="dxa"/>
            <w:tcBorders>
              <w:top w:val="single" w:color="auto" w:sz="6" w:space="0"/>
              <w:bottom w:val="single" w:color="auto" w:sz="6" w:space="0"/>
            </w:tcBorders>
            <w:vAlign w:val="center"/>
          </w:tcPr>
          <w:p w14:paraId="1EA9C605">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熟悉调查指标设计，问卷内容理解正确，访问符合标准，不要出现破句。</w:t>
            </w:r>
          </w:p>
        </w:tc>
        <w:tc>
          <w:tcPr>
            <w:tcW w:w="6177" w:type="dxa"/>
            <w:tcBorders>
              <w:top w:val="single" w:color="auto" w:sz="6" w:space="0"/>
              <w:bottom w:val="single" w:color="auto" w:sz="6" w:space="0"/>
            </w:tcBorders>
            <w:vAlign w:val="center"/>
          </w:tcPr>
          <w:p w14:paraId="00E9856C">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1、由项目负责人按项目进行评估</w:t>
            </w:r>
            <w:r>
              <w:rPr>
                <w:rFonts w:hint="eastAsia" w:ascii="宋体" w:hAnsi="宋体" w:cs="宋体"/>
                <w:color w:val="auto"/>
                <w:sz w:val="24"/>
                <w:szCs w:val="24"/>
                <w:lang w:eastAsia="zh-CN"/>
              </w:rPr>
              <w:t>；</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2、根据项目访员总体情况酌情扣分。</w:t>
            </w:r>
          </w:p>
        </w:tc>
        <w:tc>
          <w:tcPr>
            <w:tcW w:w="718" w:type="dxa"/>
            <w:tcBorders>
              <w:top w:val="single" w:color="auto" w:sz="6" w:space="0"/>
              <w:bottom w:val="single" w:color="auto" w:sz="6" w:space="0"/>
            </w:tcBorders>
            <w:vAlign w:val="center"/>
          </w:tcPr>
          <w:p w14:paraId="210900D2">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8</w:t>
            </w:r>
          </w:p>
        </w:tc>
        <w:tc>
          <w:tcPr>
            <w:tcW w:w="891" w:type="dxa"/>
            <w:tcBorders>
              <w:top w:val="single" w:color="auto" w:sz="6" w:space="0"/>
              <w:bottom w:val="single" w:color="auto" w:sz="6" w:space="0"/>
            </w:tcBorders>
            <w:vAlign w:val="center"/>
          </w:tcPr>
          <w:p w14:paraId="696D3609">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主观</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指标</w:t>
            </w:r>
          </w:p>
        </w:tc>
      </w:tr>
      <w:tr w14:paraId="2E8678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13" w:hRule="atLeast"/>
          <w:jc w:val="center"/>
        </w:trPr>
        <w:tc>
          <w:tcPr>
            <w:tcW w:w="1293" w:type="dxa"/>
            <w:vMerge w:val="continue"/>
            <w:tcBorders>
              <w:top w:val="single" w:color="auto" w:sz="6" w:space="0"/>
              <w:bottom w:val="single" w:color="auto" w:sz="6" w:space="0"/>
            </w:tcBorders>
            <w:vAlign w:val="center"/>
          </w:tcPr>
          <w:p w14:paraId="6168FD69">
            <w:pPr>
              <w:adjustRightInd w:val="0"/>
              <w:snapToGrid w:val="0"/>
              <w:rPr>
                <w:rFonts w:hint="eastAsia" w:ascii="宋体" w:hAnsi="宋体" w:eastAsia="宋体" w:cs="宋体"/>
                <w:color w:val="auto"/>
                <w:sz w:val="24"/>
                <w:szCs w:val="24"/>
              </w:rPr>
            </w:pPr>
          </w:p>
        </w:tc>
        <w:tc>
          <w:tcPr>
            <w:tcW w:w="1293" w:type="dxa"/>
            <w:vMerge w:val="continue"/>
            <w:tcBorders>
              <w:top w:val="single" w:color="auto" w:sz="6" w:space="0"/>
              <w:bottom w:val="single" w:color="auto" w:sz="6" w:space="0"/>
            </w:tcBorders>
            <w:vAlign w:val="center"/>
          </w:tcPr>
          <w:p w14:paraId="17B91277">
            <w:pPr>
              <w:adjustRightInd w:val="0"/>
              <w:snapToGrid w:val="0"/>
              <w:rPr>
                <w:rFonts w:hint="eastAsia" w:ascii="宋体" w:hAnsi="宋体" w:eastAsia="宋体" w:cs="宋体"/>
                <w:color w:val="auto"/>
                <w:sz w:val="24"/>
                <w:szCs w:val="24"/>
              </w:rPr>
            </w:pPr>
          </w:p>
        </w:tc>
        <w:tc>
          <w:tcPr>
            <w:tcW w:w="1408" w:type="dxa"/>
            <w:tcBorders>
              <w:top w:val="single" w:color="auto" w:sz="6" w:space="0"/>
              <w:bottom w:val="single" w:color="auto" w:sz="6" w:space="0"/>
            </w:tcBorders>
            <w:vAlign w:val="center"/>
          </w:tcPr>
          <w:p w14:paraId="3DDA8453">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业务技能（操作规范）</w:t>
            </w:r>
          </w:p>
        </w:tc>
        <w:tc>
          <w:tcPr>
            <w:tcW w:w="3160" w:type="dxa"/>
            <w:tcBorders>
              <w:top w:val="single" w:color="auto" w:sz="6" w:space="0"/>
              <w:bottom w:val="single" w:color="auto" w:sz="6" w:space="0"/>
            </w:tcBorders>
            <w:vAlign w:val="center"/>
          </w:tcPr>
          <w:p w14:paraId="50BA3D30">
            <w:pPr>
              <w:adjustRightInd w:val="0"/>
              <w:snapToGrid w:val="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1、熟知问卷调查程序及要求，CATI访问程序规范熟练</w:t>
            </w:r>
            <w:r>
              <w:rPr>
                <w:rFonts w:hint="eastAsia" w:ascii="宋体" w:hAnsi="宋体" w:cs="宋体"/>
                <w:color w:val="auto"/>
                <w:sz w:val="24"/>
                <w:szCs w:val="24"/>
                <w:lang w:eastAsia="zh-CN"/>
              </w:rPr>
              <w:t>；</w:t>
            </w:r>
          </w:p>
          <w:p w14:paraId="211B8E8F">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2、掌握基本的电话访问技巧，熟悉访问全过程的处理程序与要求。</w:t>
            </w:r>
          </w:p>
        </w:tc>
        <w:tc>
          <w:tcPr>
            <w:tcW w:w="6177" w:type="dxa"/>
            <w:tcBorders>
              <w:top w:val="single" w:color="auto" w:sz="6" w:space="0"/>
              <w:bottom w:val="single" w:color="auto" w:sz="6" w:space="0"/>
            </w:tcBorders>
            <w:vAlign w:val="center"/>
          </w:tcPr>
          <w:p w14:paraId="4AD525C4">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由项目负责人按项目进行评估，根据总体情况酌情扣分。</w:t>
            </w:r>
          </w:p>
        </w:tc>
        <w:tc>
          <w:tcPr>
            <w:tcW w:w="718" w:type="dxa"/>
            <w:tcBorders>
              <w:top w:val="single" w:color="auto" w:sz="6" w:space="0"/>
              <w:bottom w:val="single" w:color="auto" w:sz="6" w:space="0"/>
            </w:tcBorders>
            <w:vAlign w:val="center"/>
          </w:tcPr>
          <w:p w14:paraId="3802B34D">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5</w:t>
            </w:r>
          </w:p>
        </w:tc>
        <w:tc>
          <w:tcPr>
            <w:tcW w:w="891" w:type="dxa"/>
            <w:tcBorders>
              <w:top w:val="single" w:color="auto" w:sz="6" w:space="0"/>
              <w:bottom w:val="single" w:color="auto" w:sz="6" w:space="0"/>
            </w:tcBorders>
            <w:vAlign w:val="center"/>
          </w:tcPr>
          <w:p w14:paraId="0806F774">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主观</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指标</w:t>
            </w:r>
          </w:p>
        </w:tc>
      </w:tr>
      <w:tr w14:paraId="4A1FDDF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1" w:hRule="atLeast"/>
          <w:jc w:val="center"/>
        </w:trPr>
        <w:tc>
          <w:tcPr>
            <w:tcW w:w="1293" w:type="dxa"/>
            <w:vMerge w:val="continue"/>
            <w:tcBorders>
              <w:top w:val="single" w:color="auto" w:sz="6" w:space="0"/>
              <w:bottom w:val="single" w:color="auto" w:sz="6" w:space="0"/>
            </w:tcBorders>
            <w:vAlign w:val="center"/>
          </w:tcPr>
          <w:p w14:paraId="005EAF39">
            <w:pPr>
              <w:adjustRightInd w:val="0"/>
              <w:snapToGrid w:val="0"/>
              <w:rPr>
                <w:rFonts w:hint="eastAsia" w:ascii="宋体" w:hAnsi="宋体" w:eastAsia="宋体" w:cs="宋体"/>
                <w:color w:val="auto"/>
                <w:sz w:val="24"/>
                <w:szCs w:val="24"/>
              </w:rPr>
            </w:pPr>
          </w:p>
        </w:tc>
        <w:tc>
          <w:tcPr>
            <w:tcW w:w="1293" w:type="dxa"/>
            <w:vMerge w:val="continue"/>
            <w:tcBorders>
              <w:top w:val="single" w:color="auto" w:sz="6" w:space="0"/>
              <w:bottom w:val="single" w:color="auto" w:sz="6" w:space="0"/>
            </w:tcBorders>
            <w:vAlign w:val="center"/>
          </w:tcPr>
          <w:p w14:paraId="743AD327">
            <w:pPr>
              <w:adjustRightInd w:val="0"/>
              <w:snapToGrid w:val="0"/>
              <w:rPr>
                <w:rFonts w:hint="eastAsia" w:ascii="宋体" w:hAnsi="宋体" w:eastAsia="宋体" w:cs="宋体"/>
                <w:color w:val="auto"/>
                <w:sz w:val="24"/>
                <w:szCs w:val="24"/>
              </w:rPr>
            </w:pPr>
          </w:p>
        </w:tc>
        <w:tc>
          <w:tcPr>
            <w:tcW w:w="1408" w:type="dxa"/>
            <w:tcBorders>
              <w:top w:val="single" w:color="auto" w:sz="6" w:space="0"/>
              <w:bottom w:val="single" w:color="auto" w:sz="6" w:space="0"/>
            </w:tcBorders>
            <w:vAlign w:val="center"/>
          </w:tcPr>
          <w:p w14:paraId="4EFA050F">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访员差错率</w:t>
            </w:r>
          </w:p>
        </w:tc>
        <w:tc>
          <w:tcPr>
            <w:tcW w:w="3160" w:type="dxa"/>
            <w:tcBorders>
              <w:top w:val="single" w:color="auto" w:sz="6" w:space="0"/>
              <w:bottom w:val="single" w:color="auto" w:sz="6" w:space="0"/>
            </w:tcBorders>
            <w:vAlign w:val="center"/>
          </w:tcPr>
          <w:p w14:paraId="582F746A">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访员差错率</w:t>
            </w:r>
          </w:p>
        </w:tc>
        <w:tc>
          <w:tcPr>
            <w:tcW w:w="6177" w:type="dxa"/>
            <w:tcBorders>
              <w:top w:val="single" w:color="auto" w:sz="6" w:space="0"/>
              <w:bottom w:val="single" w:color="auto" w:sz="6" w:space="0"/>
            </w:tcBorders>
            <w:vAlign w:val="center"/>
          </w:tcPr>
          <w:p w14:paraId="3AF587FF">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由项目负责人对项目进行评估，单个项目访员差错率低于15%的不扣分，每高5个点扣2分，高于40%不得分。</w:t>
            </w:r>
          </w:p>
        </w:tc>
        <w:tc>
          <w:tcPr>
            <w:tcW w:w="718" w:type="dxa"/>
            <w:tcBorders>
              <w:top w:val="single" w:color="auto" w:sz="6" w:space="0"/>
              <w:bottom w:val="single" w:color="auto" w:sz="6" w:space="0"/>
            </w:tcBorders>
            <w:vAlign w:val="center"/>
          </w:tcPr>
          <w:p w14:paraId="081B28BE">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10</w:t>
            </w:r>
          </w:p>
        </w:tc>
        <w:tc>
          <w:tcPr>
            <w:tcW w:w="891" w:type="dxa"/>
            <w:tcBorders>
              <w:top w:val="single" w:color="auto" w:sz="6" w:space="0"/>
              <w:bottom w:val="single" w:color="auto" w:sz="6" w:space="0"/>
            </w:tcBorders>
            <w:vAlign w:val="center"/>
          </w:tcPr>
          <w:p w14:paraId="38F21B6D">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主观</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指标</w:t>
            </w:r>
          </w:p>
        </w:tc>
      </w:tr>
      <w:tr w14:paraId="676B11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83" w:hRule="atLeast"/>
          <w:jc w:val="center"/>
        </w:trPr>
        <w:tc>
          <w:tcPr>
            <w:tcW w:w="1293" w:type="dxa"/>
            <w:tcBorders>
              <w:top w:val="single" w:color="auto" w:sz="6" w:space="0"/>
              <w:bottom w:val="single" w:color="auto" w:sz="12" w:space="0"/>
            </w:tcBorders>
            <w:vAlign w:val="center"/>
          </w:tcPr>
          <w:p w14:paraId="534AE26E">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四、扣分项</w:t>
            </w:r>
          </w:p>
        </w:tc>
        <w:tc>
          <w:tcPr>
            <w:tcW w:w="1293" w:type="dxa"/>
            <w:tcBorders>
              <w:top w:val="single" w:color="auto" w:sz="6" w:space="0"/>
              <w:bottom w:val="single" w:color="auto" w:sz="12" w:space="0"/>
            </w:tcBorders>
            <w:vAlign w:val="center"/>
          </w:tcPr>
          <w:p w14:paraId="2DEC58A3">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扣分项</w:t>
            </w:r>
          </w:p>
        </w:tc>
        <w:tc>
          <w:tcPr>
            <w:tcW w:w="1408" w:type="dxa"/>
            <w:tcBorders>
              <w:top w:val="single" w:color="auto" w:sz="6" w:space="0"/>
              <w:bottom w:val="single" w:color="auto" w:sz="12" w:space="0"/>
            </w:tcBorders>
            <w:vAlign w:val="center"/>
          </w:tcPr>
          <w:p w14:paraId="568B8FEA">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扣分项</w:t>
            </w:r>
          </w:p>
        </w:tc>
        <w:tc>
          <w:tcPr>
            <w:tcW w:w="3160" w:type="dxa"/>
            <w:tcBorders>
              <w:top w:val="single" w:color="auto" w:sz="6" w:space="0"/>
              <w:bottom w:val="single" w:color="auto" w:sz="12" w:space="0"/>
            </w:tcBorders>
            <w:vAlign w:val="center"/>
          </w:tcPr>
          <w:p w14:paraId="310BD02B">
            <w:pPr>
              <w:adjustRightInd w:val="0"/>
              <w:snapToGrid w:val="0"/>
              <w:rPr>
                <w:rFonts w:hint="eastAsia" w:ascii="宋体" w:hAnsi="宋体" w:eastAsia="宋体" w:cs="宋体"/>
                <w:color w:val="auto"/>
                <w:sz w:val="24"/>
                <w:szCs w:val="24"/>
                <w:lang w:eastAsia="zh-CN"/>
              </w:rPr>
            </w:pPr>
            <w:r>
              <w:rPr>
                <w:rFonts w:hint="eastAsia" w:ascii="宋体" w:hAnsi="宋体" w:eastAsia="宋体" w:cs="宋体"/>
                <w:color w:val="auto"/>
                <w:sz w:val="24"/>
                <w:szCs w:val="24"/>
              </w:rPr>
              <w:t>1.经查实的国家、省、市统计局或劳动人事主管部门等部门投诉</w:t>
            </w:r>
            <w:r>
              <w:rPr>
                <w:rFonts w:hint="eastAsia" w:ascii="宋体" w:hAnsi="宋体" w:cs="宋体"/>
                <w:color w:val="auto"/>
                <w:sz w:val="24"/>
                <w:szCs w:val="24"/>
                <w:lang w:eastAsia="zh-CN"/>
              </w:rPr>
              <w:t>；</w:t>
            </w:r>
          </w:p>
          <w:p w14:paraId="32C19952">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2.发生调查资料外泄行为</w:t>
            </w:r>
            <w:r>
              <w:rPr>
                <w:rFonts w:hint="eastAsia" w:ascii="宋体" w:hAnsi="宋体" w:cs="宋体"/>
                <w:color w:val="auto"/>
                <w:sz w:val="24"/>
                <w:szCs w:val="24"/>
                <w:lang w:val="en-US" w:eastAsia="zh-CN"/>
              </w:rPr>
              <w:t>的</w:t>
            </w:r>
            <w:r>
              <w:rPr>
                <w:rFonts w:hint="eastAsia" w:ascii="宋体" w:hAnsi="宋体" w:eastAsia="宋体" w:cs="宋体"/>
                <w:color w:val="auto"/>
                <w:sz w:val="24"/>
                <w:szCs w:val="24"/>
              </w:rPr>
              <w:t>；</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3.出现调查质量严重失真行为的；</w:t>
            </w:r>
          </w:p>
          <w:p w14:paraId="2CB9190B">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4.擅自使用甲方名义，存在违规招聘等行为的。</w:t>
            </w:r>
          </w:p>
        </w:tc>
        <w:tc>
          <w:tcPr>
            <w:tcW w:w="6177" w:type="dxa"/>
            <w:tcBorders>
              <w:top w:val="single" w:color="auto" w:sz="6" w:space="0"/>
              <w:bottom w:val="single" w:color="auto" w:sz="12" w:space="0"/>
            </w:tcBorders>
            <w:vAlign w:val="center"/>
          </w:tcPr>
          <w:p w14:paraId="646D88EE">
            <w:pPr>
              <w:adjustRightInd w:val="0"/>
              <w:snapToGrid w:val="0"/>
              <w:rPr>
                <w:rFonts w:hint="eastAsia" w:ascii="宋体" w:hAnsi="宋体" w:eastAsia="宋体" w:cs="宋体"/>
                <w:color w:val="auto"/>
                <w:sz w:val="24"/>
                <w:szCs w:val="24"/>
              </w:rPr>
            </w:pPr>
            <w:r>
              <w:rPr>
                <w:rFonts w:hint="eastAsia" w:ascii="宋体" w:hAnsi="宋体" w:eastAsia="宋体" w:cs="宋体"/>
                <w:color w:val="auto"/>
                <w:sz w:val="24"/>
                <w:szCs w:val="24"/>
              </w:rPr>
              <w:t>经查实的扣分行为每起扣10分，造成恶劣影响的终止服务外包合作并追究相关责任。</w:t>
            </w:r>
          </w:p>
        </w:tc>
        <w:tc>
          <w:tcPr>
            <w:tcW w:w="718" w:type="dxa"/>
            <w:tcBorders>
              <w:top w:val="single" w:color="auto" w:sz="6" w:space="0"/>
              <w:bottom w:val="single" w:color="auto" w:sz="12" w:space="0"/>
            </w:tcBorders>
            <w:vAlign w:val="center"/>
          </w:tcPr>
          <w:p w14:paraId="26EE325D">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w:t>
            </w:r>
          </w:p>
        </w:tc>
        <w:tc>
          <w:tcPr>
            <w:tcW w:w="891" w:type="dxa"/>
            <w:tcBorders>
              <w:top w:val="single" w:color="auto" w:sz="6" w:space="0"/>
              <w:bottom w:val="single" w:color="auto" w:sz="12" w:space="0"/>
            </w:tcBorders>
            <w:vAlign w:val="center"/>
          </w:tcPr>
          <w:p w14:paraId="056EBAE3">
            <w:pPr>
              <w:adjustRightInd w:val="0"/>
              <w:snapToGrid w:val="0"/>
              <w:jc w:val="center"/>
              <w:rPr>
                <w:rFonts w:hint="eastAsia" w:ascii="宋体" w:hAnsi="宋体" w:eastAsia="宋体" w:cs="宋体"/>
                <w:color w:val="auto"/>
                <w:sz w:val="24"/>
                <w:szCs w:val="24"/>
              </w:rPr>
            </w:pPr>
            <w:r>
              <w:rPr>
                <w:rFonts w:hint="eastAsia" w:ascii="宋体" w:hAnsi="宋体" w:eastAsia="宋体" w:cs="宋体"/>
                <w:color w:val="auto"/>
                <w:sz w:val="24"/>
                <w:szCs w:val="24"/>
              </w:rPr>
              <w:t>否决</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指标</w:t>
            </w:r>
          </w:p>
        </w:tc>
      </w:tr>
    </w:tbl>
    <w:p w14:paraId="651C4111">
      <w:pPr>
        <w:adjustRightInd/>
        <w:spacing w:line="360" w:lineRule="auto"/>
        <w:jc w:val="center"/>
        <w:outlineLvl w:val="0"/>
        <w:rPr>
          <w:rFonts w:hint="eastAsia" w:cs="仿宋_GB2312" w:asciiTheme="minorEastAsia" w:hAnsiTheme="minorEastAsia" w:eastAsiaTheme="minorEastAsia"/>
          <w:b/>
          <w:color w:val="auto"/>
          <w:sz w:val="36"/>
          <w:szCs w:val="36"/>
        </w:rPr>
      </w:pPr>
    </w:p>
    <w:p w14:paraId="299DBC16">
      <w:pPr>
        <w:adjustRightInd/>
        <w:spacing w:line="360" w:lineRule="auto"/>
        <w:jc w:val="center"/>
        <w:outlineLvl w:val="0"/>
        <w:rPr>
          <w:rFonts w:hint="eastAsia" w:cs="仿宋_GB2312" w:asciiTheme="minorEastAsia" w:hAnsiTheme="minorEastAsia" w:eastAsiaTheme="minorEastAsia"/>
          <w:b/>
          <w:color w:val="auto"/>
          <w:sz w:val="36"/>
          <w:szCs w:val="36"/>
        </w:rPr>
      </w:pPr>
    </w:p>
    <w:p w14:paraId="4D54BEB5">
      <w:pPr>
        <w:adjustRightInd/>
        <w:spacing w:line="360" w:lineRule="auto"/>
        <w:jc w:val="center"/>
        <w:outlineLvl w:val="0"/>
        <w:rPr>
          <w:rFonts w:hint="eastAsia" w:cs="仿宋_GB2312" w:asciiTheme="minorEastAsia" w:hAnsiTheme="minorEastAsia" w:eastAsiaTheme="minorEastAsia"/>
          <w:b/>
          <w:color w:val="auto"/>
          <w:sz w:val="36"/>
          <w:szCs w:val="36"/>
        </w:rPr>
      </w:pPr>
    </w:p>
    <w:p w14:paraId="12268E66">
      <w:pPr>
        <w:adjustRightInd/>
        <w:spacing w:line="360" w:lineRule="auto"/>
        <w:jc w:val="center"/>
        <w:outlineLvl w:val="0"/>
        <w:rPr>
          <w:rFonts w:hint="eastAsia" w:cs="仿宋_GB2312" w:asciiTheme="minorEastAsia" w:hAnsiTheme="minorEastAsia" w:eastAsiaTheme="minorEastAsia"/>
          <w:b/>
          <w:color w:val="auto"/>
          <w:sz w:val="36"/>
          <w:szCs w:val="36"/>
        </w:rPr>
      </w:pPr>
    </w:p>
    <w:p w14:paraId="46140448">
      <w:pPr>
        <w:adjustRightInd/>
        <w:spacing w:line="360" w:lineRule="auto"/>
        <w:jc w:val="center"/>
        <w:outlineLvl w:val="0"/>
        <w:rPr>
          <w:rFonts w:hint="eastAsia" w:cs="仿宋_GB2312" w:asciiTheme="minorEastAsia" w:hAnsiTheme="minorEastAsia" w:eastAsiaTheme="minorEastAsia"/>
          <w:b/>
          <w:color w:val="auto"/>
          <w:sz w:val="36"/>
          <w:szCs w:val="36"/>
        </w:rPr>
      </w:pPr>
    </w:p>
    <w:p w14:paraId="63AD9AA8">
      <w:pPr>
        <w:adjustRightInd/>
        <w:spacing w:line="360" w:lineRule="auto"/>
        <w:jc w:val="center"/>
        <w:outlineLvl w:val="0"/>
        <w:rPr>
          <w:rFonts w:hint="eastAsia" w:cs="仿宋_GB2312" w:asciiTheme="minorEastAsia" w:hAnsiTheme="minorEastAsia" w:eastAsiaTheme="minorEastAsia"/>
          <w:b/>
          <w:color w:val="auto"/>
          <w:sz w:val="36"/>
          <w:szCs w:val="36"/>
        </w:rPr>
      </w:pPr>
    </w:p>
    <w:p w14:paraId="2C62FA66">
      <w:pPr>
        <w:adjustRightInd/>
        <w:spacing w:line="360" w:lineRule="auto"/>
        <w:jc w:val="center"/>
        <w:outlineLvl w:val="0"/>
        <w:rPr>
          <w:rFonts w:hint="eastAsia" w:cs="仿宋_GB2312" w:asciiTheme="minorEastAsia" w:hAnsiTheme="minorEastAsia" w:eastAsiaTheme="minorEastAsia"/>
          <w:b/>
          <w:color w:val="auto"/>
          <w:sz w:val="36"/>
          <w:szCs w:val="36"/>
        </w:rPr>
      </w:pPr>
    </w:p>
    <w:p w14:paraId="516C44AA">
      <w:pPr>
        <w:adjustRightInd/>
        <w:spacing w:line="360" w:lineRule="auto"/>
        <w:jc w:val="center"/>
        <w:outlineLvl w:val="0"/>
        <w:rPr>
          <w:rFonts w:hint="eastAsia" w:cs="仿宋_GB2312" w:asciiTheme="minorEastAsia" w:hAnsiTheme="minorEastAsia" w:eastAsiaTheme="minorEastAsia"/>
          <w:b/>
          <w:color w:val="auto"/>
          <w:sz w:val="36"/>
          <w:szCs w:val="36"/>
        </w:rPr>
      </w:pPr>
    </w:p>
    <w:p w14:paraId="6BBF8E21">
      <w:pPr>
        <w:adjustRightInd/>
        <w:spacing w:line="360" w:lineRule="auto"/>
        <w:jc w:val="center"/>
        <w:outlineLvl w:val="0"/>
        <w:rPr>
          <w:rFonts w:hint="eastAsia" w:cs="仿宋_GB2312" w:asciiTheme="minorEastAsia" w:hAnsiTheme="minorEastAsia" w:eastAsiaTheme="minorEastAsia"/>
          <w:b/>
          <w:color w:val="auto"/>
          <w:sz w:val="36"/>
          <w:szCs w:val="36"/>
        </w:rPr>
        <w:sectPr>
          <w:pgSz w:w="16838" w:h="11906" w:orient="landscape"/>
          <w:pgMar w:top="1417" w:right="1247" w:bottom="1417" w:left="1276" w:header="851" w:footer="992" w:gutter="0"/>
          <w:pgBorders>
            <w:top w:val="none" w:sz="0" w:space="0"/>
            <w:left w:val="none" w:sz="0" w:space="0"/>
            <w:bottom w:val="none" w:sz="0" w:space="0"/>
            <w:right w:val="none" w:sz="0" w:space="0"/>
          </w:pgBorders>
          <w:cols w:space="0" w:num="1"/>
          <w:titlePg/>
          <w:rtlGutter w:val="0"/>
          <w:docGrid w:linePitch="312" w:charSpace="0"/>
        </w:sectPr>
      </w:pPr>
    </w:p>
    <w:p w14:paraId="40059E76">
      <w:pPr>
        <w:pStyle w:val="22"/>
        <w:rPr>
          <w:rFonts w:hint="eastAsia"/>
          <w:color w:val="auto"/>
        </w:rPr>
      </w:pPr>
    </w:p>
    <w:p w14:paraId="6F1691AA">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 xml:space="preserve">第五部分  </w:t>
      </w:r>
      <w:bookmarkEnd w:id="64"/>
      <w:bookmarkEnd w:id="65"/>
      <w:bookmarkStart w:id="66" w:name="第四部分"/>
      <w:r>
        <w:rPr>
          <w:rFonts w:hint="eastAsia" w:cs="仿宋_GB2312" w:asciiTheme="minorEastAsia" w:hAnsiTheme="minorEastAsia" w:eastAsiaTheme="minorEastAsia"/>
          <w:b/>
          <w:color w:val="auto"/>
          <w:sz w:val="36"/>
          <w:szCs w:val="36"/>
        </w:rPr>
        <w:t>评审方法及评审标准</w:t>
      </w:r>
    </w:p>
    <w:p w14:paraId="307981F1">
      <w:pPr>
        <w:pStyle w:val="392"/>
        <w:spacing w:before="0"/>
        <w:ind w:firstLine="643"/>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评审方法前附表</w:t>
      </w:r>
    </w:p>
    <w:p w14:paraId="6F1BCFEF">
      <w:pPr>
        <w:numPr>
          <w:ilvl w:val="0"/>
          <w:numId w:val="9"/>
        </w:numPr>
        <w:spacing w:line="360" w:lineRule="auto"/>
        <w:rPr>
          <w:rFonts w:hint="eastAsia" w:ascii="宋体" w:hAnsi="宋体" w:eastAsia="宋体" w:cs="宋体"/>
          <w:b/>
          <w:bCs/>
          <w:color w:val="auto"/>
          <w:spacing w:val="-4"/>
          <w:kern w:val="0"/>
          <w:sz w:val="24"/>
          <w:szCs w:val="24"/>
        </w:rPr>
      </w:pPr>
      <w:r>
        <w:rPr>
          <w:rFonts w:hint="eastAsia" w:ascii="宋体" w:hAnsi="宋体" w:eastAsia="宋体" w:cs="宋体"/>
          <w:b/>
          <w:bCs/>
          <w:color w:val="auto"/>
          <w:spacing w:val="-4"/>
          <w:kern w:val="0"/>
          <w:sz w:val="24"/>
          <w:szCs w:val="24"/>
        </w:rPr>
        <w:t>价格分（</w:t>
      </w:r>
      <w:r>
        <w:rPr>
          <w:rFonts w:hint="eastAsia" w:ascii="宋体" w:hAnsi="宋体" w:cs="宋体"/>
          <w:b/>
          <w:bCs/>
          <w:color w:val="auto"/>
          <w:spacing w:val="-4"/>
          <w:kern w:val="0"/>
          <w:sz w:val="24"/>
          <w:szCs w:val="24"/>
          <w:lang w:val="en-US" w:eastAsia="zh-CN"/>
        </w:rPr>
        <w:t>10</w:t>
      </w:r>
      <w:r>
        <w:rPr>
          <w:rFonts w:hint="eastAsia" w:ascii="宋体" w:hAnsi="宋体" w:eastAsia="宋体" w:cs="宋体"/>
          <w:b/>
          <w:bCs/>
          <w:color w:val="auto"/>
          <w:spacing w:val="-4"/>
          <w:kern w:val="0"/>
          <w:sz w:val="24"/>
          <w:szCs w:val="24"/>
        </w:rPr>
        <w:t>分）</w:t>
      </w:r>
    </w:p>
    <w:p w14:paraId="1D8C78A8">
      <w:pPr>
        <w:pStyle w:val="31"/>
        <w:spacing w:line="360" w:lineRule="auto"/>
        <w:ind w:firstLine="480" w:firstLineChars="200"/>
        <w:rPr>
          <w:rFonts w:hint="eastAsia" w:ascii="宋体" w:hAnsi="宋体" w:eastAsia="宋体" w:cs="宋体"/>
          <w:color w:val="auto"/>
          <w:sz w:val="24"/>
          <w:szCs w:val="24"/>
        </w:rPr>
      </w:pPr>
      <w:r>
        <w:rPr>
          <w:rFonts w:hint="eastAsia" w:ascii="宋体" w:hAnsi="宋体" w:eastAsia="宋体" w:cs="宋体"/>
          <w:color w:val="auto"/>
          <w:sz w:val="24"/>
          <w:szCs w:val="24"/>
        </w:rPr>
        <w:t>1、价格分采用低价优先法计算，即满足招标文件要求且投标价格最低的投标报价为评标基准价，其他投标人的价格分按照下列公式计算：</w:t>
      </w:r>
    </w:p>
    <w:p w14:paraId="7C0CE6FC">
      <w:pPr>
        <w:snapToGrid w:val="0"/>
        <w:spacing w:line="360" w:lineRule="auto"/>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a、所有有效报价的最低价为评标基准价。其价格分为</w:t>
      </w:r>
      <w:r>
        <w:rPr>
          <w:rFonts w:hint="eastAsia" w:ascii="宋体" w:hAnsi="宋体" w:cs="宋体"/>
          <w:color w:val="auto"/>
          <w:sz w:val="24"/>
          <w:szCs w:val="24"/>
          <w:lang w:val="en-US" w:eastAsia="zh-CN"/>
        </w:rPr>
        <w:t>10</w:t>
      </w:r>
      <w:r>
        <w:rPr>
          <w:rFonts w:hint="eastAsia" w:ascii="宋体" w:hAnsi="宋体" w:eastAsia="宋体" w:cs="宋体"/>
          <w:color w:val="auto"/>
          <w:sz w:val="24"/>
          <w:szCs w:val="24"/>
          <w:lang w:val="zh-CN"/>
        </w:rPr>
        <w:t>分。</w:t>
      </w:r>
    </w:p>
    <w:p w14:paraId="4939288B">
      <w:pPr>
        <w:snapToGrid w:val="0"/>
        <w:spacing w:line="360" w:lineRule="auto"/>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b、供应商的报价得分：</w:t>
      </w:r>
    </w:p>
    <w:p w14:paraId="68745911">
      <w:pPr>
        <w:snapToGrid w:val="0"/>
        <w:spacing w:line="360" w:lineRule="auto"/>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报价得分＝评标基准价（最低报价）/磋商最终报价×价格权值（</w:t>
      </w:r>
      <w:r>
        <w:rPr>
          <w:rFonts w:hint="eastAsia" w:ascii="宋体" w:hAnsi="宋体" w:cs="宋体"/>
          <w:color w:val="auto"/>
          <w:sz w:val="24"/>
          <w:szCs w:val="24"/>
          <w:lang w:val="en-US" w:eastAsia="zh-CN"/>
        </w:rPr>
        <w:t>10</w:t>
      </w:r>
      <w:r>
        <w:rPr>
          <w:rFonts w:hint="eastAsia" w:ascii="宋体" w:hAnsi="宋体" w:eastAsia="宋体" w:cs="宋体"/>
          <w:color w:val="auto"/>
          <w:sz w:val="24"/>
          <w:szCs w:val="24"/>
          <w:lang w:val="zh-CN"/>
        </w:rPr>
        <w:t>％）×100</w:t>
      </w:r>
    </w:p>
    <w:p w14:paraId="64E5CD31">
      <w:pPr>
        <w:snapToGrid w:val="0"/>
        <w:spacing w:line="360" w:lineRule="auto"/>
        <w:ind w:firstLine="480" w:firstLineChars="20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c、计算报价评分不足一个百分点时，使用四舍五入计算，保留小数2位。</w:t>
      </w:r>
    </w:p>
    <w:p w14:paraId="7695E284">
      <w:pPr>
        <w:pStyle w:val="31"/>
        <w:spacing w:line="360" w:lineRule="auto"/>
        <w:ind w:firstLine="480" w:firstLineChars="200"/>
        <w:rPr>
          <w:rFonts w:hint="eastAsia" w:ascii="宋体" w:hAnsi="宋体" w:eastAsia="宋体" w:cs="宋体"/>
          <w:bCs/>
          <w:color w:val="auto"/>
          <w:sz w:val="24"/>
          <w:szCs w:val="24"/>
        </w:rPr>
      </w:pPr>
      <w:r>
        <w:rPr>
          <w:rFonts w:hint="eastAsia" w:ascii="宋体" w:hAnsi="宋体" w:eastAsia="宋体" w:cs="宋体"/>
          <w:color w:val="auto"/>
          <w:sz w:val="24"/>
          <w:szCs w:val="24"/>
        </w:rPr>
        <w:t>2、投标人的投标报价超过采购人设定的最高限价，将作为无效标。</w:t>
      </w:r>
    </w:p>
    <w:p w14:paraId="1A753913">
      <w:pPr>
        <w:pStyle w:val="23"/>
        <w:wordWrap w:val="0"/>
        <w:spacing w:line="360" w:lineRule="auto"/>
        <w:ind w:firstLine="480" w:firstLineChars="200"/>
        <w:rPr>
          <w:rFonts w:hint="eastAsia" w:ascii="宋体" w:hAnsi="宋体" w:eastAsia="宋体" w:cs="宋体"/>
          <w:bCs/>
          <w:color w:val="auto"/>
          <w:sz w:val="24"/>
          <w:szCs w:val="24"/>
        </w:rPr>
      </w:pPr>
      <w:r>
        <w:rPr>
          <w:rFonts w:hint="eastAsia" w:cs="宋体"/>
          <w:bCs/>
          <w:color w:val="auto"/>
          <w:sz w:val="24"/>
          <w:szCs w:val="24"/>
          <w:lang w:val="en-US" w:eastAsia="zh-CN"/>
        </w:rPr>
        <w:t>3、</w:t>
      </w:r>
      <w:r>
        <w:rPr>
          <w:rFonts w:hint="eastAsia" w:ascii="宋体" w:hAnsi="宋体" w:eastAsia="宋体" w:cs="宋体"/>
          <w:bCs/>
          <w:color w:val="auto"/>
          <w:sz w:val="24"/>
          <w:szCs w:val="24"/>
        </w:rPr>
        <w:t>根据〔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568CE8CE">
      <w:pPr>
        <w:pStyle w:val="23"/>
        <w:wordWrap w:val="0"/>
        <w:spacing w:line="360" w:lineRule="auto"/>
        <w:ind w:firstLine="480" w:firstLineChars="200"/>
        <w:rPr>
          <w:rFonts w:hint="eastAsia" w:ascii="宋体" w:hAnsi="宋体" w:eastAsia="宋体" w:cs="宋体"/>
          <w:bCs/>
          <w:color w:val="auto"/>
          <w:sz w:val="24"/>
          <w:szCs w:val="24"/>
        </w:rPr>
      </w:pPr>
      <w:r>
        <w:rPr>
          <w:rFonts w:hint="eastAsia" w:cs="宋体"/>
          <w:bCs/>
          <w:color w:val="auto"/>
          <w:sz w:val="24"/>
          <w:szCs w:val="24"/>
          <w:lang w:val="en-US" w:eastAsia="zh-CN"/>
        </w:rPr>
        <w:t>4、</w:t>
      </w:r>
      <w:r>
        <w:rPr>
          <w:rFonts w:hint="eastAsia" w:ascii="宋体" w:hAnsi="宋体" w:eastAsia="宋体" w:cs="宋体"/>
          <w:bCs/>
          <w:color w:val="auto"/>
          <w:sz w:val="24"/>
          <w:szCs w:val="24"/>
        </w:rPr>
        <w:t>监狱企业同视为小型、微型企业，享受小微企业政策扶持。</w:t>
      </w:r>
    </w:p>
    <w:p w14:paraId="76303201">
      <w:pPr>
        <w:pStyle w:val="23"/>
        <w:spacing w:line="360" w:lineRule="auto"/>
        <w:ind w:firstLine="482" w:firstLineChars="200"/>
        <w:rPr>
          <w:rFonts w:hint="eastAsia" w:ascii="宋体" w:hAnsi="宋体" w:eastAsia="宋体" w:cs="宋体"/>
          <w:color w:val="auto"/>
          <w:sz w:val="24"/>
          <w:szCs w:val="24"/>
        </w:rPr>
      </w:pPr>
      <w:r>
        <w:rPr>
          <w:rFonts w:hint="eastAsia" w:ascii="宋体" w:hAnsi="宋体" w:eastAsia="宋体" w:cs="宋体"/>
          <w:b/>
          <w:bCs/>
          <w:color w:val="auto"/>
          <w:sz w:val="24"/>
          <w:szCs w:val="24"/>
        </w:rPr>
        <w:t>注：中标、成交供应商为残疾人福利性单位的，采购人或者其委托的采购代理机构应当随中标、成交结果同时公告其《残疾人福利性单位声明函》，接受社会监督。供应商提供的《残疾人福利性单位声明函》与事实不符的，依照《政府采购法》第七十七条第一款的规定追究法律责任。</w:t>
      </w:r>
    </w:p>
    <w:p w14:paraId="26903FDF">
      <w:pPr>
        <w:numPr>
          <w:ilvl w:val="0"/>
          <w:numId w:val="0"/>
        </w:numPr>
        <w:spacing w:line="360" w:lineRule="auto"/>
        <w:ind w:left="466" w:leftChars="0"/>
        <w:rPr>
          <w:rFonts w:hint="eastAsia" w:ascii="宋体" w:hAnsi="宋体" w:eastAsia="宋体" w:cs="宋体"/>
          <w:b/>
          <w:color w:val="auto"/>
          <w:sz w:val="24"/>
          <w:szCs w:val="24"/>
        </w:rPr>
      </w:pPr>
      <w:r>
        <w:rPr>
          <w:rFonts w:hint="eastAsia" w:ascii="宋体" w:hAnsi="宋体" w:cs="宋体"/>
          <w:b/>
          <w:color w:val="auto"/>
          <w:sz w:val="24"/>
          <w:szCs w:val="24"/>
          <w:lang w:eastAsia="zh-CN"/>
        </w:rPr>
        <w:t>二、</w:t>
      </w:r>
      <w:r>
        <w:rPr>
          <w:rFonts w:hint="eastAsia" w:ascii="宋体" w:hAnsi="宋体" w:eastAsia="宋体" w:cs="宋体"/>
          <w:b/>
          <w:color w:val="auto"/>
          <w:sz w:val="24"/>
          <w:szCs w:val="24"/>
        </w:rPr>
        <w:t>技术分</w:t>
      </w:r>
      <w:r>
        <w:rPr>
          <w:rFonts w:hint="eastAsia" w:ascii="宋体" w:hAnsi="宋体" w:cs="宋体"/>
          <w:b/>
          <w:color w:val="auto"/>
          <w:sz w:val="24"/>
          <w:szCs w:val="24"/>
          <w:lang w:eastAsia="zh-CN"/>
        </w:rPr>
        <w:t>（</w:t>
      </w:r>
      <w:r>
        <w:rPr>
          <w:rFonts w:hint="eastAsia" w:ascii="宋体" w:hAnsi="宋体" w:cs="宋体"/>
          <w:b/>
          <w:color w:val="auto"/>
          <w:sz w:val="24"/>
          <w:szCs w:val="24"/>
          <w:lang w:val="en-US" w:eastAsia="zh-CN"/>
        </w:rPr>
        <w:t>62分</w:t>
      </w:r>
      <w:r>
        <w:rPr>
          <w:rFonts w:hint="eastAsia" w:ascii="宋体" w:hAnsi="宋体" w:cs="宋体"/>
          <w:b/>
          <w:color w:val="auto"/>
          <w:sz w:val="24"/>
          <w:szCs w:val="24"/>
          <w:lang w:eastAsia="zh-CN"/>
        </w:rPr>
        <w:t>）</w:t>
      </w:r>
      <w:r>
        <w:rPr>
          <w:rFonts w:hint="eastAsia" w:ascii="宋体" w:hAnsi="宋体" w:eastAsia="宋体" w:cs="宋体"/>
          <w:b/>
          <w:color w:val="auto"/>
          <w:sz w:val="24"/>
          <w:szCs w:val="24"/>
        </w:rPr>
        <w:t>：</w:t>
      </w:r>
    </w:p>
    <w:p w14:paraId="6EC3659B">
      <w:pPr>
        <w:pStyle w:val="23"/>
        <w:wordWrap w:val="0"/>
        <w:spacing w:line="360" w:lineRule="auto"/>
        <w:ind w:firstLine="480" w:firstLineChars="200"/>
        <w:rPr>
          <w:rFonts w:hint="eastAsia" w:ascii="宋体" w:hAnsi="宋体" w:eastAsia="宋体" w:cs="宋体"/>
          <w:bCs/>
          <w:color w:val="auto"/>
          <w:sz w:val="24"/>
          <w:szCs w:val="24"/>
        </w:rPr>
      </w:pPr>
      <w:r>
        <w:rPr>
          <w:rFonts w:hint="eastAsia" w:ascii="宋体" w:hAnsi="宋体" w:eastAsia="宋体" w:cs="宋体"/>
          <w:bCs/>
          <w:color w:val="auto"/>
          <w:sz w:val="24"/>
          <w:szCs w:val="24"/>
        </w:rPr>
        <w:t>各评委成员按评标具体办法独立进行评判，每人一张评分计算票，并记名。如某张票的一个因素项目超过规定的范围，则该张票无效。各磋商供应商的技术分值为所有评标成员给出值</w:t>
      </w:r>
      <w:r>
        <w:rPr>
          <w:rFonts w:hint="eastAsia" w:cs="宋体"/>
          <w:bCs/>
          <w:color w:val="auto"/>
          <w:sz w:val="24"/>
          <w:szCs w:val="24"/>
          <w:lang w:val="en-US" w:eastAsia="zh-CN"/>
        </w:rPr>
        <w:t>的</w:t>
      </w:r>
      <w:r>
        <w:rPr>
          <w:rFonts w:hint="eastAsia" w:ascii="宋体" w:hAnsi="宋体" w:eastAsia="宋体" w:cs="宋体"/>
          <w:bCs/>
          <w:color w:val="auto"/>
          <w:sz w:val="24"/>
          <w:szCs w:val="24"/>
        </w:rPr>
        <w:t>算术平均值。</w:t>
      </w:r>
    </w:p>
    <w:tbl>
      <w:tblPr>
        <w:tblStyle w:val="60"/>
        <w:tblW w:w="9619" w:type="dxa"/>
        <w:jc w:val="center"/>
        <w:tblLayout w:type="fixed"/>
        <w:tblCellMar>
          <w:top w:w="0" w:type="dxa"/>
          <w:left w:w="0" w:type="dxa"/>
          <w:bottom w:w="0" w:type="dxa"/>
          <w:right w:w="0" w:type="dxa"/>
        </w:tblCellMar>
      </w:tblPr>
      <w:tblGrid>
        <w:gridCol w:w="1030"/>
        <w:gridCol w:w="7697"/>
        <w:gridCol w:w="892"/>
      </w:tblGrid>
      <w:tr w14:paraId="2CEE033C">
        <w:tblPrEx>
          <w:tblCellMar>
            <w:top w:w="0" w:type="dxa"/>
            <w:left w:w="0" w:type="dxa"/>
            <w:bottom w:w="0" w:type="dxa"/>
            <w:right w:w="0" w:type="dxa"/>
          </w:tblCellMar>
        </w:tblPrEx>
        <w:trPr>
          <w:trHeight w:val="473" w:hRule="atLeast"/>
          <w:tblHeader/>
          <w:jc w:val="center"/>
        </w:trPr>
        <w:tc>
          <w:tcPr>
            <w:tcW w:w="1030" w:type="dxa"/>
            <w:tcBorders>
              <w:top w:val="single" w:color="000000" w:sz="4" w:space="0"/>
              <w:left w:val="single" w:color="000000" w:sz="4" w:space="0"/>
              <w:bottom w:val="single" w:color="000000" w:sz="4" w:space="0"/>
              <w:right w:val="single" w:color="000000" w:sz="4" w:space="0"/>
            </w:tcBorders>
            <w:vAlign w:val="center"/>
          </w:tcPr>
          <w:p w14:paraId="1CB837B5">
            <w:pPr>
              <w:widowControl w:val="0"/>
              <w:autoSpaceDE w:val="0"/>
              <w:autoSpaceDN w:val="0"/>
              <w:adjustRightInd w:val="0"/>
              <w:snapToGrid w:val="0"/>
              <w:spacing w:line="276"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评分因素</w:t>
            </w:r>
          </w:p>
        </w:tc>
        <w:tc>
          <w:tcPr>
            <w:tcW w:w="7697" w:type="dxa"/>
            <w:tcBorders>
              <w:top w:val="single" w:color="000000" w:sz="4" w:space="0"/>
              <w:left w:val="single" w:color="000000" w:sz="4" w:space="0"/>
              <w:bottom w:val="single" w:color="000000" w:sz="4" w:space="0"/>
              <w:right w:val="single" w:color="000000" w:sz="4" w:space="0"/>
            </w:tcBorders>
            <w:vAlign w:val="center"/>
          </w:tcPr>
          <w:p w14:paraId="5C149ED1">
            <w:pPr>
              <w:widowControl w:val="0"/>
              <w:autoSpaceDE w:val="0"/>
              <w:autoSpaceDN w:val="0"/>
              <w:adjustRightInd w:val="0"/>
              <w:snapToGrid w:val="0"/>
              <w:spacing w:line="276"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评分细则</w:t>
            </w:r>
          </w:p>
        </w:tc>
        <w:tc>
          <w:tcPr>
            <w:tcW w:w="892" w:type="dxa"/>
            <w:tcBorders>
              <w:top w:val="single" w:color="000000" w:sz="4" w:space="0"/>
              <w:left w:val="single" w:color="000000" w:sz="4" w:space="0"/>
              <w:bottom w:val="single" w:color="000000" w:sz="4" w:space="0"/>
              <w:right w:val="single" w:color="000000" w:sz="4" w:space="0"/>
            </w:tcBorders>
            <w:vAlign w:val="center"/>
          </w:tcPr>
          <w:p w14:paraId="286A1159">
            <w:pPr>
              <w:widowControl w:val="0"/>
              <w:autoSpaceDE w:val="0"/>
              <w:autoSpaceDN w:val="0"/>
              <w:adjustRightInd w:val="0"/>
              <w:snapToGrid w:val="0"/>
              <w:spacing w:line="276"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分值</w:t>
            </w:r>
          </w:p>
        </w:tc>
      </w:tr>
      <w:tr w14:paraId="52874575">
        <w:tblPrEx>
          <w:tblCellMar>
            <w:top w:w="0" w:type="dxa"/>
            <w:left w:w="0" w:type="dxa"/>
            <w:bottom w:w="0" w:type="dxa"/>
            <w:right w:w="0" w:type="dxa"/>
          </w:tblCellMar>
        </w:tblPrEx>
        <w:trPr>
          <w:trHeight w:val="2597" w:hRule="atLeast"/>
          <w:jc w:val="center"/>
        </w:trPr>
        <w:tc>
          <w:tcPr>
            <w:tcW w:w="1030" w:type="dxa"/>
            <w:tcBorders>
              <w:top w:val="single" w:color="000000" w:sz="4" w:space="0"/>
              <w:left w:val="single" w:color="000000" w:sz="4" w:space="0"/>
              <w:bottom w:val="single" w:color="000000" w:sz="4" w:space="0"/>
              <w:right w:val="single" w:color="000000" w:sz="4" w:space="0"/>
            </w:tcBorders>
            <w:vAlign w:val="center"/>
          </w:tcPr>
          <w:p w14:paraId="572545A0">
            <w:pPr>
              <w:widowControl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方案整体质量及讲解情况</w:t>
            </w:r>
          </w:p>
        </w:tc>
        <w:tc>
          <w:tcPr>
            <w:tcW w:w="7697" w:type="dxa"/>
            <w:tcBorders>
              <w:top w:val="single" w:color="000000" w:sz="4" w:space="0"/>
              <w:left w:val="single" w:color="000000" w:sz="4" w:space="0"/>
              <w:bottom w:val="single" w:color="000000" w:sz="4" w:space="0"/>
              <w:right w:val="single" w:color="000000" w:sz="4" w:space="0"/>
            </w:tcBorders>
            <w:vAlign w:val="center"/>
          </w:tcPr>
          <w:p w14:paraId="52ABEA7E">
            <w:pPr>
              <w:widowControl w:val="0"/>
              <w:adjustRightInd w:val="0"/>
              <w:snapToGrid w:val="0"/>
              <w:spacing w:line="276" w:lineRule="auto"/>
              <w:rPr>
                <w:rFonts w:hint="eastAsia" w:ascii="宋体" w:hAnsi="宋体" w:eastAsia="宋体" w:cs="宋体"/>
                <w:color w:val="auto"/>
                <w:sz w:val="24"/>
                <w:szCs w:val="24"/>
              </w:rPr>
            </w:pPr>
            <w:r>
              <w:rPr>
                <w:rFonts w:hint="eastAsia" w:ascii="宋体" w:hAnsi="宋体" w:eastAsia="宋体" w:cs="宋体"/>
                <w:color w:val="auto"/>
                <w:sz w:val="24"/>
                <w:szCs w:val="24"/>
              </w:rPr>
              <w:t>1.现场讲解：要求讲解项目方案简洁明了，通俗易懂，表述清晰，操作性强，内容涵盖了项目要求的所有内容，能满足项目需求和</w:t>
            </w:r>
            <w:r>
              <w:rPr>
                <w:rFonts w:hint="eastAsia" w:ascii="宋体" w:hAnsi="宋体" w:eastAsia="宋体" w:cs="宋体"/>
                <w:color w:val="auto"/>
                <w:sz w:val="24"/>
                <w:szCs w:val="24"/>
                <w:lang w:eastAsia="zh-CN"/>
              </w:rPr>
              <w:t>采购方</w:t>
            </w:r>
            <w:r>
              <w:rPr>
                <w:rFonts w:hint="eastAsia" w:ascii="宋体" w:hAnsi="宋体" w:eastAsia="宋体" w:cs="宋体"/>
                <w:color w:val="auto"/>
                <w:sz w:val="24"/>
                <w:szCs w:val="24"/>
              </w:rPr>
              <w:t>的实际需求，根据项目负责人讲解情况评分。0-6分。</w:t>
            </w:r>
            <w:r>
              <w:rPr>
                <w:rFonts w:hint="eastAsia" w:ascii="宋体" w:hAnsi="宋体" w:eastAsia="宋体" w:cs="宋体"/>
                <w:b/>
                <w:bCs/>
                <w:color w:val="auto"/>
                <w:sz w:val="24"/>
                <w:szCs w:val="24"/>
              </w:rPr>
              <w:t>不是项目负责人讲解的不得分。</w:t>
            </w:r>
          </w:p>
          <w:p w14:paraId="41E496E3">
            <w:pPr>
              <w:widowControl w:val="0"/>
              <w:adjustRightInd w:val="0"/>
              <w:snapToGrid w:val="0"/>
              <w:spacing w:line="276" w:lineRule="auto"/>
              <w:rPr>
                <w:rFonts w:hint="eastAsia" w:ascii="宋体" w:hAnsi="宋体" w:eastAsia="宋体" w:cs="宋体"/>
                <w:color w:val="auto"/>
                <w:sz w:val="24"/>
                <w:szCs w:val="24"/>
              </w:rPr>
            </w:pPr>
            <w:r>
              <w:rPr>
                <w:rFonts w:hint="eastAsia" w:ascii="宋体" w:hAnsi="宋体" w:eastAsia="宋体" w:cs="宋体"/>
                <w:color w:val="auto"/>
                <w:sz w:val="24"/>
                <w:szCs w:val="24"/>
              </w:rPr>
              <w:t>2.案例分析：</w:t>
            </w:r>
            <w:r>
              <w:rPr>
                <w:rFonts w:hint="eastAsia" w:ascii="宋体" w:hAnsi="宋体" w:eastAsia="宋体" w:cs="宋体"/>
                <w:b/>
                <w:bCs/>
                <w:color w:val="auto"/>
                <w:sz w:val="24"/>
                <w:szCs w:val="24"/>
              </w:rPr>
              <w:t>以</w:t>
            </w:r>
            <w:r>
              <w:rPr>
                <w:rFonts w:hint="eastAsia" w:ascii="宋体" w:hAnsi="宋体" w:eastAsia="宋体" w:cs="宋体"/>
                <w:b/>
                <w:bCs/>
                <w:color w:val="auto"/>
                <w:sz w:val="24"/>
                <w:szCs w:val="24"/>
                <w:lang w:val="en-US" w:eastAsia="zh-CN"/>
              </w:rPr>
              <w:t>民生实事社会公众满意度</w:t>
            </w:r>
            <w:r>
              <w:rPr>
                <w:rFonts w:hint="eastAsia" w:ascii="宋体" w:hAnsi="宋体" w:eastAsia="宋体" w:cs="宋体"/>
                <w:b/>
                <w:bCs/>
                <w:color w:val="auto"/>
                <w:sz w:val="24"/>
                <w:szCs w:val="24"/>
              </w:rPr>
              <w:t>CATI调查为例进行讲解，</w:t>
            </w:r>
            <w:r>
              <w:rPr>
                <w:rFonts w:hint="eastAsia" w:ascii="宋体" w:hAnsi="宋体" w:eastAsia="宋体" w:cs="宋体"/>
                <w:color w:val="auto"/>
                <w:sz w:val="24"/>
                <w:szCs w:val="24"/>
              </w:rPr>
              <w:t>根据案例分析综合评价投标人的专业程度，重点评估针对案例项目的人员构成合理性、调查方案设计全面性进行评价打分。0-6分。</w:t>
            </w:r>
            <w:r>
              <w:rPr>
                <w:rFonts w:hint="eastAsia" w:ascii="宋体" w:hAnsi="宋体" w:eastAsia="宋体" w:cs="宋体"/>
                <w:b/>
                <w:bCs/>
                <w:color w:val="auto"/>
                <w:sz w:val="24"/>
                <w:szCs w:val="24"/>
              </w:rPr>
              <w:t>不以此为例进行讲解的不得分。</w:t>
            </w:r>
          </w:p>
          <w:p w14:paraId="348E0DB5">
            <w:pPr>
              <w:widowControl w:val="0"/>
              <w:adjustRightInd w:val="0"/>
              <w:snapToGrid w:val="0"/>
              <w:spacing w:line="276" w:lineRule="auto"/>
              <w:rPr>
                <w:rFonts w:hint="eastAsia" w:ascii="宋体" w:hAnsi="宋体" w:eastAsia="宋体" w:cs="宋体"/>
                <w:color w:val="auto"/>
                <w:sz w:val="24"/>
                <w:szCs w:val="24"/>
              </w:rPr>
            </w:pPr>
            <w:r>
              <w:rPr>
                <w:rFonts w:hint="eastAsia" w:ascii="宋体" w:hAnsi="宋体" w:eastAsia="宋体" w:cs="宋体"/>
                <w:color w:val="auto"/>
                <w:sz w:val="24"/>
                <w:szCs w:val="24"/>
              </w:rPr>
              <w:t>3.方案可行性、完整性：根据磋商供应商项目方案可行性、完整性及与需求的吻合程度等方面进行综合评议。0-4分。</w:t>
            </w:r>
          </w:p>
        </w:tc>
        <w:tc>
          <w:tcPr>
            <w:tcW w:w="892" w:type="dxa"/>
            <w:tcBorders>
              <w:top w:val="single" w:color="000000" w:sz="4" w:space="0"/>
              <w:left w:val="single" w:color="000000" w:sz="4" w:space="0"/>
              <w:bottom w:val="single" w:color="000000" w:sz="4" w:space="0"/>
              <w:right w:val="single" w:color="000000" w:sz="4" w:space="0"/>
            </w:tcBorders>
            <w:vAlign w:val="center"/>
          </w:tcPr>
          <w:p w14:paraId="6C7FA11A">
            <w:pPr>
              <w:widowControl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16分</w:t>
            </w:r>
          </w:p>
        </w:tc>
      </w:tr>
      <w:tr w14:paraId="65A3BBB1">
        <w:tblPrEx>
          <w:tblCellMar>
            <w:top w:w="0" w:type="dxa"/>
            <w:left w:w="0" w:type="dxa"/>
            <w:bottom w:w="0" w:type="dxa"/>
            <w:right w:w="0" w:type="dxa"/>
          </w:tblCellMar>
        </w:tblPrEx>
        <w:trPr>
          <w:trHeight w:val="90" w:hRule="atLeast"/>
          <w:jc w:val="center"/>
        </w:trPr>
        <w:tc>
          <w:tcPr>
            <w:tcW w:w="1030" w:type="dxa"/>
            <w:tcBorders>
              <w:top w:val="single" w:color="000000" w:sz="4" w:space="0"/>
              <w:left w:val="single" w:color="000000" w:sz="4" w:space="0"/>
              <w:bottom w:val="single" w:color="000000" w:sz="4" w:space="0"/>
              <w:right w:val="single" w:color="000000" w:sz="4" w:space="0"/>
            </w:tcBorders>
            <w:vAlign w:val="center"/>
          </w:tcPr>
          <w:p w14:paraId="46A9B24A">
            <w:pPr>
              <w:widowControl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CATI操作</w:t>
            </w:r>
          </w:p>
        </w:tc>
        <w:tc>
          <w:tcPr>
            <w:tcW w:w="7697" w:type="dxa"/>
            <w:tcBorders>
              <w:top w:val="single" w:color="000000" w:sz="4" w:space="0"/>
              <w:left w:val="single" w:color="000000" w:sz="4" w:space="0"/>
              <w:bottom w:val="single" w:color="000000" w:sz="4" w:space="0"/>
              <w:right w:val="single" w:color="000000" w:sz="4" w:space="0"/>
            </w:tcBorders>
            <w:vAlign w:val="center"/>
          </w:tcPr>
          <w:p w14:paraId="6C4D91E0">
            <w:pPr>
              <w:widowControl w:val="0"/>
              <w:adjustRightInd w:val="0"/>
              <w:snapToGrid w:val="0"/>
              <w:spacing w:line="360" w:lineRule="exact"/>
              <w:jc w:val="both"/>
              <w:rPr>
                <w:rFonts w:hint="eastAsia" w:ascii="宋体" w:hAnsi="宋体" w:eastAsia="宋体" w:cs="宋体"/>
                <w:b/>
                <w:bCs/>
                <w:color w:val="auto"/>
                <w:sz w:val="24"/>
                <w:szCs w:val="24"/>
              </w:rPr>
            </w:pPr>
            <w:r>
              <w:rPr>
                <w:rFonts w:hint="eastAsia" w:ascii="宋体" w:hAnsi="宋体" w:eastAsia="宋体" w:cs="宋体"/>
                <w:color w:val="auto"/>
                <w:sz w:val="24"/>
                <w:szCs w:val="24"/>
              </w:rPr>
              <w:t>项目负责人须现场操作CATI系统，根据其对基本功能的熟练程度及专业程度进行评价打分，共3项，每项0-3分，最高得9分；</w:t>
            </w:r>
            <w:r>
              <w:rPr>
                <w:rFonts w:hint="eastAsia" w:ascii="宋体" w:hAnsi="宋体" w:eastAsia="宋体" w:cs="宋体"/>
                <w:b/>
                <w:bCs/>
                <w:color w:val="auto"/>
                <w:sz w:val="24"/>
                <w:szCs w:val="24"/>
              </w:rPr>
              <w:t>操作演示非本项目负责人的，本项不得分。</w:t>
            </w:r>
          </w:p>
          <w:p w14:paraId="471C32DA">
            <w:pPr>
              <w:pStyle w:val="22"/>
              <w:adjustRightInd w:val="0"/>
              <w:snapToGrid w:val="0"/>
              <w:spacing w:line="360" w:lineRule="exact"/>
              <w:rPr>
                <w:rFonts w:hint="eastAsia" w:ascii="宋体" w:hAnsi="宋体" w:eastAsia="宋体" w:cs="宋体"/>
                <w:color w:val="auto"/>
                <w:sz w:val="24"/>
                <w:szCs w:val="24"/>
              </w:rPr>
            </w:pPr>
            <w:r>
              <w:rPr>
                <w:rFonts w:hint="eastAsia" w:ascii="宋体" w:hAnsi="宋体" w:eastAsia="宋体" w:cs="宋体"/>
                <w:b/>
                <w:bCs/>
                <w:color w:val="auto"/>
                <w:sz w:val="24"/>
                <w:szCs w:val="24"/>
              </w:rPr>
              <w:t>注：</w:t>
            </w:r>
            <w:r>
              <w:rPr>
                <w:rFonts w:hint="eastAsia" w:ascii="宋体" w:hAnsi="宋体" w:eastAsia="宋体" w:cs="宋体"/>
                <w:color w:val="auto"/>
                <w:sz w:val="24"/>
                <w:szCs w:val="24"/>
              </w:rPr>
              <w:t>项目负责人先进行方案讲解，再进行CATI操作演示。其中方案讲解时长不超过10分钟，CATI实操不超过5分钟。CATI操作演示需在会议室统一提供的笔记本电脑和CATI系统环境操作。采购方将在CATI系统操作考核开始前告知投标方考核题目，总共3题，须由项目负责人本人操作。</w:t>
            </w:r>
          </w:p>
        </w:tc>
        <w:tc>
          <w:tcPr>
            <w:tcW w:w="892" w:type="dxa"/>
            <w:tcBorders>
              <w:top w:val="single" w:color="000000" w:sz="4" w:space="0"/>
              <w:left w:val="single" w:color="000000" w:sz="4" w:space="0"/>
              <w:bottom w:val="single" w:color="000000" w:sz="4" w:space="0"/>
              <w:right w:val="single" w:color="000000" w:sz="4" w:space="0"/>
            </w:tcBorders>
            <w:vAlign w:val="center"/>
          </w:tcPr>
          <w:p w14:paraId="0DCAD6AB">
            <w:pPr>
              <w:widowControl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9分</w:t>
            </w:r>
          </w:p>
        </w:tc>
      </w:tr>
      <w:tr w14:paraId="4AA73DE9">
        <w:tblPrEx>
          <w:tblCellMar>
            <w:top w:w="0" w:type="dxa"/>
            <w:left w:w="0" w:type="dxa"/>
            <w:bottom w:w="0" w:type="dxa"/>
            <w:right w:w="0" w:type="dxa"/>
          </w:tblCellMar>
        </w:tblPrEx>
        <w:trPr>
          <w:trHeight w:val="90" w:hRule="atLeast"/>
          <w:jc w:val="center"/>
        </w:trPr>
        <w:tc>
          <w:tcPr>
            <w:tcW w:w="1030" w:type="dxa"/>
            <w:tcBorders>
              <w:top w:val="single" w:color="000000" w:sz="4" w:space="0"/>
              <w:left w:val="single" w:color="000000" w:sz="4" w:space="0"/>
              <w:bottom w:val="single" w:color="000000" w:sz="4" w:space="0"/>
              <w:right w:val="single" w:color="000000" w:sz="4" w:space="0"/>
            </w:tcBorders>
            <w:vAlign w:val="center"/>
          </w:tcPr>
          <w:p w14:paraId="2AD625DE">
            <w:pPr>
              <w:widowControl w:val="0"/>
              <w:autoSpaceDE w:val="0"/>
              <w:autoSpaceDN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项目组人员构成与责任分工</w:t>
            </w:r>
          </w:p>
        </w:tc>
        <w:tc>
          <w:tcPr>
            <w:tcW w:w="7697" w:type="dxa"/>
            <w:tcBorders>
              <w:top w:val="single" w:color="000000" w:sz="4" w:space="0"/>
              <w:left w:val="single" w:color="000000" w:sz="4" w:space="0"/>
              <w:bottom w:val="single" w:color="000000" w:sz="4" w:space="0"/>
              <w:right w:val="single" w:color="000000" w:sz="4" w:space="0"/>
            </w:tcBorders>
            <w:vAlign w:val="center"/>
          </w:tcPr>
          <w:p w14:paraId="7C929E61">
            <w:pPr>
              <w:pStyle w:val="22"/>
              <w:widowControl w:val="0"/>
              <w:numPr>
                <w:ilvl w:val="0"/>
                <w:numId w:val="0"/>
              </w:numPr>
              <w:autoSpaceDE/>
              <w:autoSpaceDN/>
              <w:adjustRightInd w:val="0"/>
              <w:snapToGrid w:val="0"/>
              <w:spacing w:line="360" w:lineRule="exact"/>
              <w:rPr>
                <w:rFonts w:hint="eastAsia" w:ascii="宋体" w:hAnsi="宋体" w:eastAsia="宋体" w:cs="宋体"/>
                <w:color w:val="auto"/>
                <w:kern w:val="0"/>
                <w:sz w:val="24"/>
                <w:szCs w:val="24"/>
              </w:rPr>
            </w:pPr>
            <w:r>
              <w:rPr>
                <w:rFonts w:hint="eastAsia" w:ascii="宋体" w:hAnsi="宋体" w:eastAsia="宋体" w:cs="宋体"/>
                <w:b/>
                <w:bCs/>
                <w:color w:val="auto"/>
                <w:kern w:val="0"/>
                <w:sz w:val="24"/>
                <w:szCs w:val="24"/>
              </w:rPr>
              <w:t>1.</w:t>
            </w:r>
            <w:r>
              <w:rPr>
                <w:rFonts w:hint="eastAsia" w:ascii="宋体" w:hAnsi="宋体" w:eastAsia="宋体" w:cs="宋体"/>
                <w:b/>
                <w:bCs/>
                <w:color w:val="auto"/>
                <w:kern w:val="0"/>
                <w:sz w:val="24"/>
                <w:szCs w:val="24"/>
                <w:highlight w:val="none"/>
                <w:lang w:val="en-US" w:eastAsia="zh-CN"/>
              </w:rPr>
              <w:t>项目负责人（须为本单位在职人员且不得与其他岗位兼任）：</w:t>
            </w:r>
            <w:r>
              <w:rPr>
                <w:rFonts w:hint="eastAsia" w:ascii="宋体" w:hAnsi="宋体" w:eastAsia="宋体" w:cs="宋体"/>
                <w:color w:val="auto"/>
                <w:kern w:val="0"/>
                <w:sz w:val="24"/>
                <w:szCs w:val="24"/>
                <w:highlight w:val="none"/>
                <w:lang w:val="en-US" w:eastAsia="zh-CN"/>
              </w:rPr>
              <w:t>具有全日制大学本科及以上学历的得</w:t>
            </w:r>
            <w:r>
              <w:rPr>
                <w:rFonts w:hint="eastAsia" w:ascii="宋体" w:hAnsi="宋体" w:eastAsia="宋体" w:cs="宋体"/>
                <w:color w:val="auto"/>
                <w:kern w:val="0"/>
                <w:sz w:val="24"/>
                <w:szCs w:val="24"/>
                <w:lang w:val="en-US" w:eastAsia="zh-CN"/>
              </w:rPr>
              <w:t>2.5</w:t>
            </w:r>
            <w:r>
              <w:rPr>
                <w:rFonts w:hint="eastAsia" w:ascii="宋体" w:hAnsi="宋体" w:eastAsia="宋体" w:cs="宋体"/>
                <w:color w:val="auto"/>
                <w:kern w:val="0"/>
                <w:sz w:val="24"/>
                <w:szCs w:val="24"/>
                <w:highlight w:val="none"/>
                <w:lang w:val="en-US" w:eastAsia="zh-CN"/>
              </w:rPr>
              <w:t>分，其他不得分；具有5年及以上CATI调查相关工作经验的得3分，其他不得分；自202</w:t>
            </w:r>
            <w:r>
              <w:rPr>
                <w:rFonts w:hint="eastAsia" w:ascii="宋体" w:hAnsi="宋体" w:eastAsia="宋体" w:cs="宋体"/>
                <w:color w:val="auto"/>
                <w:kern w:val="0"/>
                <w:sz w:val="24"/>
                <w:szCs w:val="24"/>
                <w:lang w:val="en-US" w:eastAsia="zh-CN"/>
              </w:rPr>
              <w:t>4</w:t>
            </w:r>
            <w:r>
              <w:rPr>
                <w:rFonts w:hint="eastAsia" w:ascii="宋体" w:hAnsi="宋体" w:eastAsia="宋体" w:cs="宋体"/>
                <w:color w:val="auto"/>
                <w:kern w:val="0"/>
                <w:sz w:val="24"/>
                <w:szCs w:val="24"/>
                <w:highlight w:val="none"/>
                <w:lang w:val="en-US" w:eastAsia="zh-CN"/>
              </w:rPr>
              <w:t>年1月1日以来，以项目负责人身份</w:t>
            </w:r>
            <w:r>
              <w:rPr>
                <w:rFonts w:hint="eastAsia" w:ascii="宋体" w:hAnsi="宋体" w:eastAsia="宋体" w:cs="宋体"/>
                <w:color w:val="auto"/>
                <w:kern w:val="0"/>
                <w:sz w:val="24"/>
                <w:szCs w:val="24"/>
                <w:highlight w:val="none"/>
                <w:lang w:eastAsia="zh-CN"/>
              </w:rPr>
              <w:t>完成</w:t>
            </w:r>
            <w:r>
              <w:rPr>
                <w:rFonts w:hint="eastAsia" w:ascii="宋体" w:hAnsi="宋体" w:eastAsia="宋体" w:cs="宋体"/>
                <w:color w:val="auto"/>
                <w:kern w:val="0"/>
                <w:sz w:val="24"/>
                <w:szCs w:val="24"/>
                <w:highlight w:val="none"/>
                <w:lang w:val="en-US" w:eastAsia="zh-CN"/>
              </w:rPr>
              <w:t>过</w:t>
            </w:r>
            <w:r>
              <w:rPr>
                <w:rFonts w:hint="eastAsia" w:ascii="宋体" w:hAnsi="宋体" w:eastAsia="宋体" w:cs="宋体"/>
                <w:color w:val="auto"/>
                <w:kern w:val="0"/>
                <w:sz w:val="24"/>
                <w:szCs w:val="24"/>
                <w:highlight w:val="none"/>
                <w:lang w:eastAsia="zh-CN"/>
              </w:rPr>
              <w:t>政府部门</w:t>
            </w:r>
            <w:r>
              <w:rPr>
                <w:rFonts w:hint="eastAsia" w:ascii="宋体" w:hAnsi="宋体" w:eastAsia="宋体" w:cs="宋体"/>
                <w:color w:val="auto"/>
                <w:kern w:val="0"/>
                <w:sz w:val="24"/>
                <w:szCs w:val="24"/>
                <w:highlight w:val="none"/>
                <w:lang w:val="en-US" w:eastAsia="zh-CN"/>
              </w:rPr>
              <w:t>CATI调查</w:t>
            </w:r>
            <w:r>
              <w:rPr>
                <w:rFonts w:hint="eastAsia" w:ascii="宋体" w:hAnsi="宋体" w:eastAsia="宋体" w:cs="宋体"/>
                <w:color w:val="auto"/>
                <w:kern w:val="0"/>
                <w:sz w:val="24"/>
                <w:szCs w:val="24"/>
                <w:highlight w:val="none"/>
                <w:lang w:eastAsia="zh-CN"/>
              </w:rPr>
              <w:t>项目（须明确包含驻场服务）业绩的每个项目得</w:t>
            </w:r>
            <w:r>
              <w:rPr>
                <w:rFonts w:hint="eastAsia" w:ascii="宋体" w:hAnsi="宋体" w:eastAsia="宋体" w:cs="宋体"/>
                <w:color w:val="auto"/>
                <w:kern w:val="0"/>
                <w:sz w:val="24"/>
                <w:szCs w:val="24"/>
                <w:lang w:val="en-US" w:eastAsia="zh-CN"/>
              </w:rPr>
              <w:t>0.1</w:t>
            </w:r>
            <w:r>
              <w:rPr>
                <w:rFonts w:hint="eastAsia" w:ascii="宋体" w:hAnsi="宋体" w:eastAsia="宋体" w:cs="宋体"/>
                <w:color w:val="auto"/>
                <w:kern w:val="0"/>
                <w:sz w:val="24"/>
                <w:szCs w:val="24"/>
                <w:highlight w:val="none"/>
                <w:lang w:eastAsia="zh-CN"/>
              </w:rPr>
              <w:t>分，最高得</w:t>
            </w:r>
            <w:r>
              <w:rPr>
                <w:rFonts w:hint="eastAsia" w:ascii="宋体" w:hAnsi="宋体" w:eastAsia="宋体" w:cs="宋体"/>
                <w:color w:val="auto"/>
                <w:kern w:val="0"/>
                <w:sz w:val="24"/>
                <w:szCs w:val="24"/>
                <w:lang w:val="en-US" w:eastAsia="zh-CN"/>
              </w:rPr>
              <w:t>0.5</w:t>
            </w:r>
            <w:r>
              <w:rPr>
                <w:rFonts w:hint="eastAsia" w:ascii="宋体" w:hAnsi="宋体" w:eastAsia="宋体" w:cs="宋体"/>
                <w:color w:val="auto"/>
                <w:kern w:val="0"/>
                <w:sz w:val="24"/>
                <w:szCs w:val="24"/>
                <w:highlight w:val="none"/>
                <w:lang w:eastAsia="zh-CN"/>
              </w:rPr>
              <w:t>分。</w:t>
            </w:r>
          </w:p>
          <w:p w14:paraId="11564875">
            <w:pPr>
              <w:pStyle w:val="22"/>
              <w:widowControl w:val="0"/>
              <w:numPr>
                <w:ilvl w:val="0"/>
                <w:numId w:val="0"/>
              </w:numPr>
              <w:autoSpaceDE/>
              <w:autoSpaceDN/>
              <w:adjustRightInd w:val="0"/>
              <w:snapToGrid w:val="0"/>
              <w:spacing w:line="360" w:lineRule="exac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（要求提供人员身份证复印件、开标前三个月的任一个月的社保缴纳证明</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position w:val="0"/>
                <w:sz w:val="24"/>
                <w:szCs w:val="24"/>
              </w:rPr>
              <w:t>学位证书</w:t>
            </w:r>
            <w:r>
              <w:rPr>
                <w:rFonts w:hint="eastAsia" w:ascii="宋体" w:hAnsi="宋体" w:eastAsia="宋体" w:cs="宋体"/>
                <w:color w:val="auto"/>
                <w:kern w:val="0"/>
                <w:position w:val="0"/>
                <w:sz w:val="24"/>
                <w:szCs w:val="24"/>
                <w:lang w:val="en-US" w:eastAsia="zh-CN"/>
              </w:rPr>
              <w:t>复印件</w:t>
            </w:r>
            <w:r>
              <w:rPr>
                <w:rFonts w:hint="eastAsia" w:ascii="宋体" w:hAnsi="宋体" w:eastAsia="宋体" w:cs="宋体"/>
                <w:color w:val="auto"/>
                <w:kern w:val="0"/>
                <w:position w:val="0"/>
                <w:sz w:val="24"/>
                <w:szCs w:val="24"/>
              </w:rPr>
              <w:t>、</w:t>
            </w:r>
            <w:r>
              <w:rPr>
                <w:rFonts w:hint="eastAsia" w:ascii="宋体" w:hAnsi="宋体" w:eastAsia="宋体" w:cs="宋体"/>
                <w:color w:val="auto"/>
                <w:kern w:val="0"/>
                <w:sz w:val="24"/>
                <w:szCs w:val="24"/>
                <w:lang w:val="en-US" w:eastAsia="zh-CN"/>
              </w:rPr>
              <w:t>工作履历、</w:t>
            </w:r>
            <w:r>
              <w:rPr>
                <w:rFonts w:hint="eastAsia" w:ascii="宋体" w:hAnsi="宋体" w:eastAsia="宋体" w:cs="宋体"/>
                <w:color w:val="auto"/>
                <w:kern w:val="0"/>
                <w:sz w:val="24"/>
                <w:szCs w:val="24"/>
              </w:rPr>
              <w:t>个人业绩合同或业主证明材料</w:t>
            </w:r>
            <w:r>
              <w:rPr>
                <w:rFonts w:hint="eastAsia" w:ascii="宋体" w:hAnsi="宋体" w:eastAsia="宋体" w:cs="宋体"/>
                <w:color w:val="auto"/>
                <w:kern w:val="0"/>
                <w:sz w:val="24"/>
                <w:szCs w:val="24"/>
                <w:lang w:val="en-US" w:eastAsia="zh-CN"/>
              </w:rPr>
              <w:t>等，</w:t>
            </w:r>
            <w:r>
              <w:rPr>
                <w:rFonts w:hint="eastAsia" w:ascii="宋体" w:hAnsi="宋体" w:eastAsia="宋体" w:cs="宋体"/>
                <w:color w:val="auto"/>
                <w:kern w:val="0"/>
                <w:sz w:val="24"/>
                <w:szCs w:val="24"/>
              </w:rPr>
              <w:t>任意一项未提供</w:t>
            </w:r>
            <w:r>
              <w:rPr>
                <w:rFonts w:hint="eastAsia" w:ascii="宋体" w:hAnsi="宋体" w:eastAsia="宋体" w:cs="宋体"/>
                <w:color w:val="auto"/>
                <w:kern w:val="0"/>
                <w:sz w:val="24"/>
                <w:szCs w:val="24"/>
                <w:lang w:val="en-US" w:eastAsia="zh-CN"/>
              </w:rPr>
              <w:t>或证明材料不充分</w:t>
            </w:r>
            <w:r>
              <w:rPr>
                <w:rFonts w:hint="eastAsia" w:ascii="宋体" w:hAnsi="宋体" w:eastAsia="宋体" w:cs="宋体"/>
                <w:color w:val="auto"/>
                <w:kern w:val="0"/>
                <w:sz w:val="24"/>
                <w:szCs w:val="24"/>
              </w:rPr>
              <w:t>均不得分）</w:t>
            </w:r>
          </w:p>
          <w:p w14:paraId="25D18ACA">
            <w:pPr>
              <w:pStyle w:val="22"/>
              <w:widowControl w:val="0"/>
              <w:numPr>
                <w:ilvl w:val="0"/>
                <w:numId w:val="0"/>
              </w:numPr>
              <w:autoSpaceDE/>
              <w:autoSpaceDN/>
              <w:adjustRightInd w:val="0"/>
              <w:snapToGrid w:val="0"/>
              <w:spacing w:line="360" w:lineRule="exact"/>
              <w:rPr>
                <w:rFonts w:hint="eastAsia" w:ascii="宋体" w:hAnsi="宋体" w:eastAsia="宋体" w:cs="宋体"/>
                <w:color w:val="auto"/>
                <w:kern w:val="0"/>
                <w:sz w:val="24"/>
                <w:szCs w:val="24"/>
                <w:lang w:eastAsia="zh-CN"/>
              </w:rPr>
            </w:pPr>
            <w:r>
              <w:rPr>
                <w:rFonts w:hint="eastAsia" w:ascii="宋体" w:hAnsi="宋体" w:eastAsia="宋体" w:cs="宋体"/>
                <w:b/>
                <w:bCs/>
                <w:color w:val="auto"/>
                <w:sz w:val="24"/>
                <w:szCs w:val="24"/>
                <w:lang w:val="en-US" w:eastAsia="zh-CN" w:bidi="ar-SA"/>
              </w:rPr>
              <w:t>2.</w:t>
            </w:r>
            <w:r>
              <w:rPr>
                <w:rFonts w:hint="eastAsia" w:ascii="宋体" w:hAnsi="宋体" w:eastAsia="宋体" w:cs="宋体"/>
                <w:b/>
                <w:bCs/>
                <w:color w:val="auto"/>
                <w:kern w:val="0"/>
                <w:sz w:val="24"/>
                <w:szCs w:val="24"/>
              </w:rPr>
              <w:t>现场管理人员、督导员（须为本单位在职人员且不得与其他岗位兼任</w:t>
            </w:r>
            <w:r>
              <w:rPr>
                <w:rFonts w:hint="eastAsia" w:ascii="宋体" w:hAnsi="宋体" w:eastAsia="宋体" w:cs="宋体"/>
                <w:b/>
                <w:bCs/>
                <w:color w:val="auto"/>
                <w:kern w:val="0"/>
                <w:sz w:val="24"/>
                <w:szCs w:val="24"/>
                <w:lang w:eastAsia="zh-CN"/>
              </w:rPr>
              <w:t>）：</w:t>
            </w:r>
            <w:r>
              <w:rPr>
                <w:rFonts w:hint="eastAsia" w:ascii="宋体" w:hAnsi="宋体" w:eastAsia="宋体" w:cs="宋体"/>
                <w:color w:val="auto"/>
                <w:kern w:val="0"/>
                <w:sz w:val="24"/>
                <w:szCs w:val="24"/>
              </w:rPr>
              <w:t>具有本科学历的，</w:t>
            </w:r>
            <w:r>
              <w:rPr>
                <w:rFonts w:hint="eastAsia" w:hAnsi="宋体" w:cs="宋体"/>
                <w:color w:val="auto"/>
                <w:kern w:val="0"/>
                <w:sz w:val="24"/>
                <w:szCs w:val="24"/>
                <w:lang w:val="en-US" w:eastAsia="zh-CN"/>
              </w:rPr>
              <w:t>每人</w:t>
            </w:r>
            <w:r>
              <w:rPr>
                <w:rFonts w:hint="eastAsia" w:ascii="宋体" w:hAnsi="宋体" w:eastAsia="宋体" w:cs="宋体"/>
                <w:color w:val="auto"/>
                <w:kern w:val="0"/>
                <w:sz w:val="24"/>
                <w:szCs w:val="24"/>
              </w:rPr>
              <w:t>加0.5分，此项最多得</w:t>
            </w:r>
            <w:r>
              <w:rPr>
                <w:rFonts w:hint="eastAsia"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有中级统计师及以上技术职称的，</w:t>
            </w:r>
            <w:r>
              <w:rPr>
                <w:rFonts w:hint="eastAsia" w:hAnsi="宋体" w:cs="宋体"/>
                <w:color w:val="auto"/>
                <w:kern w:val="0"/>
                <w:sz w:val="24"/>
                <w:szCs w:val="24"/>
                <w:lang w:val="en-US" w:eastAsia="zh-CN"/>
              </w:rPr>
              <w:t>每人</w:t>
            </w:r>
            <w:r>
              <w:rPr>
                <w:rFonts w:hint="eastAsia" w:ascii="宋体" w:hAnsi="宋体" w:eastAsia="宋体" w:cs="宋体"/>
                <w:color w:val="auto"/>
                <w:kern w:val="0"/>
                <w:sz w:val="24"/>
                <w:szCs w:val="24"/>
              </w:rPr>
              <w:t>加1分，此项最多得2分</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具有同类CATI调查项目经验3年及以上的</w:t>
            </w:r>
            <w:r>
              <w:rPr>
                <w:rFonts w:hint="eastAsia" w:hAnsi="宋体" w:cs="宋体"/>
                <w:color w:val="auto"/>
                <w:kern w:val="0"/>
                <w:sz w:val="24"/>
                <w:szCs w:val="24"/>
                <w:lang w:eastAsia="zh-CN"/>
              </w:rPr>
              <w:t>，</w:t>
            </w:r>
            <w:r>
              <w:rPr>
                <w:rFonts w:hint="eastAsia" w:ascii="宋体" w:hAnsi="宋体" w:eastAsia="宋体" w:cs="宋体"/>
                <w:color w:val="auto"/>
                <w:kern w:val="0"/>
                <w:sz w:val="24"/>
                <w:szCs w:val="24"/>
              </w:rPr>
              <w:t>每人加1分，此项最多得2分</w:t>
            </w:r>
            <w:r>
              <w:rPr>
                <w:rFonts w:hint="eastAsia" w:ascii="宋体" w:hAnsi="宋体" w:eastAsia="宋体" w:cs="宋体"/>
                <w:color w:val="auto"/>
                <w:kern w:val="0"/>
                <w:sz w:val="24"/>
                <w:szCs w:val="24"/>
                <w:lang w:eastAsia="zh-CN"/>
              </w:rPr>
              <w:t>。</w:t>
            </w:r>
          </w:p>
          <w:p w14:paraId="103C05A2">
            <w:pPr>
              <w:pStyle w:val="22"/>
              <w:numPr>
                <w:ilvl w:val="0"/>
                <w:numId w:val="0"/>
              </w:numPr>
              <w:adjustRightInd w:val="0"/>
              <w:snapToGrid w:val="0"/>
              <w:spacing w:line="360" w:lineRule="exact"/>
              <w:rPr>
                <w:rFonts w:hint="eastAsia" w:ascii="宋体" w:hAnsi="宋体" w:eastAsia="宋体" w:cs="宋体"/>
                <w:color w:val="auto"/>
                <w:kern w:val="0"/>
                <w:sz w:val="24"/>
                <w:szCs w:val="24"/>
                <w:lang w:eastAsia="zh-CN"/>
              </w:rPr>
            </w:pPr>
            <w:r>
              <w:rPr>
                <w:rFonts w:hint="eastAsia" w:ascii="宋体" w:hAnsi="宋体" w:eastAsia="宋体" w:cs="宋体"/>
                <w:color w:val="auto"/>
                <w:kern w:val="0"/>
                <w:sz w:val="24"/>
                <w:szCs w:val="24"/>
              </w:rPr>
              <w:t>（要求提供人员身份证复印件、开标前三个月的任一个月的社保缴纳证明</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position w:val="0"/>
                <w:sz w:val="24"/>
                <w:szCs w:val="24"/>
              </w:rPr>
              <w:t>证书</w:t>
            </w:r>
            <w:r>
              <w:rPr>
                <w:rFonts w:hint="eastAsia" w:ascii="宋体" w:hAnsi="宋体" w:eastAsia="宋体" w:cs="宋体"/>
                <w:color w:val="auto"/>
                <w:kern w:val="0"/>
                <w:position w:val="0"/>
                <w:sz w:val="24"/>
                <w:szCs w:val="24"/>
                <w:lang w:val="en-US" w:eastAsia="zh-CN"/>
              </w:rPr>
              <w:t>复印件</w:t>
            </w:r>
            <w:r>
              <w:rPr>
                <w:rFonts w:hint="eastAsia" w:ascii="宋体" w:hAnsi="宋体" w:eastAsia="宋体" w:cs="宋体"/>
                <w:color w:val="auto"/>
                <w:kern w:val="0"/>
                <w:position w:val="0"/>
                <w:sz w:val="24"/>
                <w:szCs w:val="24"/>
              </w:rPr>
              <w:t>、</w:t>
            </w:r>
            <w:r>
              <w:rPr>
                <w:rFonts w:hint="eastAsia" w:ascii="宋体" w:hAnsi="宋体" w:eastAsia="宋体" w:cs="宋体"/>
                <w:color w:val="auto"/>
                <w:kern w:val="0"/>
                <w:sz w:val="24"/>
                <w:szCs w:val="24"/>
                <w:lang w:val="en-US" w:eastAsia="zh-CN"/>
              </w:rPr>
              <w:t>工作履历等</w:t>
            </w:r>
            <w:r>
              <w:rPr>
                <w:rFonts w:hint="eastAsia" w:ascii="宋体" w:hAnsi="宋体" w:eastAsia="宋体" w:cs="宋体"/>
                <w:color w:val="auto"/>
                <w:kern w:val="0"/>
                <w:sz w:val="24"/>
                <w:szCs w:val="24"/>
              </w:rPr>
              <w:t>证明材料</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任意一项未提供</w:t>
            </w:r>
            <w:r>
              <w:rPr>
                <w:rFonts w:hint="eastAsia" w:ascii="宋体" w:hAnsi="宋体" w:eastAsia="宋体" w:cs="宋体"/>
                <w:color w:val="auto"/>
                <w:kern w:val="0"/>
                <w:sz w:val="24"/>
                <w:szCs w:val="24"/>
                <w:lang w:val="en-US" w:eastAsia="zh-CN"/>
              </w:rPr>
              <w:t>或证明材料不充分</w:t>
            </w:r>
            <w:r>
              <w:rPr>
                <w:rFonts w:hint="eastAsia" w:ascii="宋体" w:hAnsi="宋体" w:eastAsia="宋体" w:cs="宋体"/>
                <w:color w:val="auto"/>
                <w:kern w:val="0"/>
                <w:sz w:val="24"/>
                <w:szCs w:val="24"/>
              </w:rPr>
              <w:t>均不得分）</w:t>
            </w:r>
          </w:p>
          <w:p w14:paraId="4F85BC7A">
            <w:pPr>
              <w:pStyle w:val="22"/>
              <w:widowControl w:val="0"/>
              <w:autoSpaceDE/>
              <w:autoSpaceDN/>
              <w:adjustRightInd w:val="0"/>
              <w:snapToGrid w:val="0"/>
              <w:spacing w:line="360" w:lineRule="exact"/>
              <w:rPr>
                <w:rFonts w:hint="eastAsia" w:ascii="宋体" w:hAnsi="宋体" w:eastAsia="宋体" w:cs="宋体"/>
                <w:color w:val="auto"/>
                <w:kern w:val="0"/>
                <w:sz w:val="24"/>
                <w:szCs w:val="24"/>
                <w:lang w:eastAsia="zh-CN"/>
              </w:rPr>
            </w:pPr>
            <w:r>
              <w:rPr>
                <w:rFonts w:hint="eastAsia" w:ascii="宋体" w:hAnsi="宋体" w:eastAsia="宋体" w:cs="宋体"/>
                <w:b/>
                <w:bCs/>
                <w:color w:val="auto"/>
                <w:kern w:val="0"/>
                <w:sz w:val="24"/>
                <w:szCs w:val="24"/>
              </w:rPr>
              <w:t>3.复核员（须为本单位在职人员且不得与其他岗位兼任</w:t>
            </w:r>
            <w:r>
              <w:rPr>
                <w:rFonts w:hint="eastAsia" w:ascii="宋体" w:hAnsi="宋体" w:eastAsia="宋体" w:cs="宋体"/>
                <w:b/>
                <w:bCs/>
                <w:color w:val="auto"/>
                <w:kern w:val="0"/>
                <w:sz w:val="24"/>
                <w:szCs w:val="24"/>
                <w:lang w:eastAsia="zh-CN"/>
              </w:rPr>
              <w:t>）：</w:t>
            </w:r>
            <w:r>
              <w:rPr>
                <w:rFonts w:hint="eastAsia" w:ascii="宋体" w:hAnsi="宋体" w:eastAsia="宋体" w:cs="宋体"/>
                <w:color w:val="auto"/>
                <w:kern w:val="0"/>
                <w:sz w:val="24"/>
                <w:szCs w:val="24"/>
              </w:rPr>
              <w:t>具有</w:t>
            </w:r>
            <w:r>
              <w:rPr>
                <w:rFonts w:hint="eastAsia" w:ascii="宋体" w:hAnsi="宋体" w:eastAsia="宋体" w:cs="宋体"/>
                <w:color w:val="auto"/>
                <w:kern w:val="0"/>
                <w:sz w:val="24"/>
                <w:szCs w:val="24"/>
                <w:lang w:val="en-US" w:eastAsia="zh-CN"/>
              </w:rPr>
              <w:t>大专及以上</w:t>
            </w:r>
            <w:r>
              <w:rPr>
                <w:rFonts w:hint="eastAsia" w:ascii="宋体" w:hAnsi="宋体" w:eastAsia="宋体" w:cs="宋体"/>
                <w:color w:val="auto"/>
                <w:kern w:val="0"/>
                <w:sz w:val="24"/>
                <w:szCs w:val="24"/>
              </w:rPr>
              <w:t>学历的，</w:t>
            </w:r>
            <w:r>
              <w:rPr>
                <w:rFonts w:hint="eastAsia" w:hAnsi="宋体" w:cs="宋体"/>
                <w:color w:val="auto"/>
                <w:kern w:val="0"/>
                <w:sz w:val="24"/>
                <w:szCs w:val="24"/>
                <w:lang w:val="en-US" w:eastAsia="zh-CN"/>
              </w:rPr>
              <w:t>每人</w:t>
            </w:r>
            <w:r>
              <w:rPr>
                <w:rFonts w:hint="eastAsia" w:ascii="宋体" w:hAnsi="宋体" w:eastAsia="宋体" w:cs="宋体"/>
                <w:color w:val="auto"/>
                <w:kern w:val="0"/>
                <w:sz w:val="24"/>
                <w:szCs w:val="24"/>
              </w:rPr>
              <w:t>加0.5分，此项最多得</w:t>
            </w:r>
            <w:r>
              <w:rPr>
                <w:rFonts w:hint="eastAsia"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rPr>
              <w:t>分</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sz w:val="24"/>
                <w:szCs w:val="24"/>
              </w:rPr>
              <w:t>具有同类CATI调查项目经验</w:t>
            </w:r>
            <w:r>
              <w:rPr>
                <w:rFonts w:hint="eastAsia" w:ascii="宋体" w:hAnsi="宋体" w:eastAsia="宋体" w:cs="宋体"/>
                <w:color w:val="auto"/>
                <w:kern w:val="0"/>
                <w:sz w:val="24"/>
                <w:szCs w:val="24"/>
                <w:lang w:val="en-US" w:eastAsia="zh-CN"/>
              </w:rPr>
              <w:t>1</w:t>
            </w:r>
            <w:r>
              <w:rPr>
                <w:rFonts w:hint="eastAsia" w:ascii="宋体" w:hAnsi="宋体" w:eastAsia="宋体" w:cs="宋体"/>
                <w:color w:val="auto"/>
                <w:kern w:val="0"/>
                <w:sz w:val="24"/>
                <w:szCs w:val="24"/>
              </w:rPr>
              <w:t>年及以上的</w:t>
            </w:r>
            <w:r>
              <w:rPr>
                <w:rFonts w:hint="eastAsia" w:hAnsi="宋体" w:cs="宋体"/>
                <w:color w:val="auto"/>
                <w:kern w:val="0"/>
                <w:sz w:val="24"/>
                <w:szCs w:val="24"/>
                <w:lang w:eastAsia="zh-CN"/>
              </w:rPr>
              <w:t>，</w:t>
            </w:r>
            <w:r>
              <w:rPr>
                <w:rFonts w:hint="eastAsia" w:ascii="宋体" w:hAnsi="宋体" w:eastAsia="宋体" w:cs="宋体"/>
                <w:color w:val="auto"/>
                <w:kern w:val="0"/>
                <w:sz w:val="24"/>
                <w:szCs w:val="24"/>
              </w:rPr>
              <w:t>每人加1分，此项最多得2分</w:t>
            </w:r>
            <w:r>
              <w:rPr>
                <w:rFonts w:hint="eastAsia" w:ascii="宋体" w:hAnsi="宋体" w:eastAsia="宋体" w:cs="宋体"/>
                <w:color w:val="auto"/>
                <w:kern w:val="0"/>
                <w:sz w:val="24"/>
                <w:szCs w:val="24"/>
                <w:lang w:eastAsia="zh-CN"/>
              </w:rPr>
              <w:t>。</w:t>
            </w:r>
          </w:p>
          <w:p w14:paraId="0A1BB6A3">
            <w:pPr>
              <w:pStyle w:val="22"/>
              <w:adjustRightInd w:val="0"/>
              <w:snapToGrid w:val="0"/>
              <w:spacing w:line="360" w:lineRule="exact"/>
              <w:rPr>
                <w:rFonts w:hint="eastAsia" w:ascii="宋体" w:hAnsi="宋体" w:eastAsia="宋体" w:cs="宋体"/>
                <w:color w:val="auto"/>
                <w:kern w:val="0"/>
                <w:sz w:val="24"/>
                <w:szCs w:val="24"/>
              </w:rPr>
            </w:pPr>
            <w:r>
              <w:rPr>
                <w:rFonts w:hint="eastAsia" w:ascii="宋体" w:hAnsi="宋体" w:eastAsia="宋体" w:cs="宋体"/>
                <w:color w:val="auto"/>
                <w:kern w:val="0"/>
                <w:sz w:val="24"/>
                <w:szCs w:val="24"/>
              </w:rPr>
              <w:t>（要求提供人员身份证复印件、开标前三个月的任一个月的社保缴纳证明</w:t>
            </w:r>
            <w:r>
              <w:rPr>
                <w:rFonts w:hint="eastAsia" w:ascii="宋体" w:hAnsi="宋体" w:eastAsia="宋体" w:cs="宋体"/>
                <w:color w:val="auto"/>
                <w:kern w:val="0"/>
                <w:sz w:val="24"/>
                <w:szCs w:val="24"/>
                <w:lang w:eastAsia="zh-CN"/>
              </w:rPr>
              <w:t>、</w:t>
            </w:r>
            <w:r>
              <w:rPr>
                <w:rFonts w:hint="eastAsia" w:ascii="宋体" w:hAnsi="宋体" w:eastAsia="宋体" w:cs="宋体"/>
                <w:color w:val="auto"/>
                <w:kern w:val="0"/>
                <w:position w:val="0"/>
                <w:sz w:val="24"/>
                <w:szCs w:val="24"/>
              </w:rPr>
              <w:t>证书</w:t>
            </w:r>
            <w:r>
              <w:rPr>
                <w:rFonts w:hint="eastAsia" w:ascii="宋体" w:hAnsi="宋体" w:eastAsia="宋体" w:cs="宋体"/>
                <w:color w:val="auto"/>
                <w:kern w:val="0"/>
                <w:position w:val="0"/>
                <w:sz w:val="24"/>
                <w:szCs w:val="24"/>
                <w:lang w:val="en-US" w:eastAsia="zh-CN"/>
              </w:rPr>
              <w:t>复印件</w:t>
            </w:r>
            <w:r>
              <w:rPr>
                <w:rFonts w:hint="eastAsia" w:ascii="宋体" w:hAnsi="宋体" w:eastAsia="宋体" w:cs="宋体"/>
                <w:color w:val="auto"/>
                <w:kern w:val="0"/>
                <w:position w:val="0"/>
                <w:sz w:val="24"/>
                <w:szCs w:val="24"/>
              </w:rPr>
              <w:t>、</w:t>
            </w:r>
            <w:r>
              <w:rPr>
                <w:rFonts w:hint="eastAsia" w:ascii="宋体" w:hAnsi="宋体" w:eastAsia="宋体" w:cs="宋体"/>
                <w:color w:val="auto"/>
                <w:kern w:val="0"/>
                <w:sz w:val="24"/>
                <w:szCs w:val="24"/>
                <w:lang w:val="en-US" w:eastAsia="zh-CN"/>
              </w:rPr>
              <w:t>工作履历等</w:t>
            </w:r>
            <w:r>
              <w:rPr>
                <w:rFonts w:hint="eastAsia" w:ascii="宋体" w:hAnsi="宋体" w:eastAsia="宋体" w:cs="宋体"/>
                <w:color w:val="auto"/>
                <w:kern w:val="0"/>
                <w:sz w:val="24"/>
                <w:szCs w:val="24"/>
              </w:rPr>
              <w:t>证明材料</w:t>
            </w:r>
            <w:r>
              <w:rPr>
                <w:rFonts w:hint="eastAsia" w:ascii="宋体" w:hAnsi="宋体" w:eastAsia="宋体" w:cs="宋体"/>
                <w:color w:val="auto"/>
                <w:kern w:val="0"/>
                <w:sz w:val="24"/>
                <w:szCs w:val="24"/>
                <w:lang w:val="en-US" w:eastAsia="zh-CN"/>
              </w:rPr>
              <w:t>，</w:t>
            </w:r>
            <w:r>
              <w:rPr>
                <w:rFonts w:hint="eastAsia" w:ascii="宋体" w:hAnsi="宋体" w:eastAsia="宋体" w:cs="宋体"/>
                <w:color w:val="auto"/>
                <w:kern w:val="0"/>
                <w:sz w:val="24"/>
                <w:szCs w:val="24"/>
              </w:rPr>
              <w:t>任意一项未提供</w:t>
            </w:r>
            <w:r>
              <w:rPr>
                <w:rFonts w:hint="eastAsia" w:ascii="宋体" w:hAnsi="宋体" w:eastAsia="宋体" w:cs="宋体"/>
                <w:color w:val="auto"/>
                <w:kern w:val="0"/>
                <w:sz w:val="24"/>
                <w:szCs w:val="24"/>
                <w:lang w:val="en-US" w:eastAsia="zh-CN"/>
              </w:rPr>
              <w:t>或证明材料不充分</w:t>
            </w:r>
            <w:r>
              <w:rPr>
                <w:rFonts w:hint="eastAsia" w:ascii="宋体" w:hAnsi="宋体" w:eastAsia="宋体" w:cs="宋体"/>
                <w:color w:val="auto"/>
                <w:kern w:val="0"/>
                <w:sz w:val="24"/>
                <w:szCs w:val="24"/>
              </w:rPr>
              <w:t>均不得分）</w:t>
            </w:r>
          </w:p>
        </w:tc>
        <w:tc>
          <w:tcPr>
            <w:tcW w:w="892" w:type="dxa"/>
            <w:tcBorders>
              <w:top w:val="single" w:color="000000" w:sz="4" w:space="0"/>
              <w:left w:val="single" w:color="000000" w:sz="4" w:space="0"/>
              <w:bottom w:val="single" w:color="000000" w:sz="4" w:space="0"/>
              <w:right w:val="single" w:color="000000" w:sz="4" w:space="0"/>
            </w:tcBorders>
            <w:vAlign w:val="center"/>
          </w:tcPr>
          <w:p w14:paraId="55624CD3">
            <w:pPr>
              <w:widowControl w:val="0"/>
              <w:autoSpaceDE w:val="0"/>
              <w:autoSpaceDN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分</w:t>
            </w:r>
          </w:p>
        </w:tc>
      </w:tr>
      <w:tr w14:paraId="6A10A661">
        <w:tblPrEx>
          <w:tblCellMar>
            <w:top w:w="0" w:type="dxa"/>
            <w:left w:w="0" w:type="dxa"/>
            <w:bottom w:w="0" w:type="dxa"/>
            <w:right w:w="0" w:type="dxa"/>
          </w:tblCellMar>
        </w:tblPrEx>
        <w:trPr>
          <w:trHeight w:val="674" w:hRule="atLeast"/>
          <w:jc w:val="center"/>
        </w:trPr>
        <w:tc>
          <w:tcPr>
            <w:tcW w:w="1030" w:type="dxa"/>
            <w:tcBorders>
              <w:top w:val="single" w:color="000000" w:sz="4" w:space="0"/>
              <w:left w:val="single" w:color="000000" w:sz="4" w:space="0"/>
              <w:bottom w:val="single" w:color="000000" w:sz="4" w:space="0"/>
              <w:right w:val="single" w:color="000000" w:sz="4" w:space="0"/>
            </w:tcBorders>
            <w:vAlign w:val="center"/>
          </w:tcPr>
          <w:p w14:paraId="0E7D8316">
            <w:pPr>
              <w:widowControl w:val="0"/>
              <w:autoSpaceDE w:val="0"/>
              <w:autoSpaceDN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培训管理</w:t>
            </w:r>
          </w:p>
        </w:tc>
        <w:tc>
          <w:tcPr>
            <w:tcW w:w="7697" w:type="dxa"/>
            <w:tcBorders>
              <w:top w:val="single" w:color="000000" w:sz="4" w:space="0"/>
              <w:left w:val="single" w:color="000000" w:sz="4" w:space="0"/>
              <w:bottom w:val="single" w:color="000000" w:sz="4" w:space="0"/>
              <w:right w:val="single" w:color="000000" w:sz="4" w:space="0"/>
            </w:tcBorders>
            <w:vAlign w:val="center"/>
          </w:tcPr>
          <w:p w14:paraId="5DDA5C69">
            <w:pPr>
              <w:widowControl w:val="0"/>
              <w:autoSpaceDE w:val="0"/>
              <w:autoSpaceDN w:val="0"/>
              <w:adjustRightInd w:val="0"/>
              <w:snapToGrid w:val="0"/>
              <w:spacing w:line="276" w:lineRule="auto"/>
              <w:rPr>
                <w:rFonts w:hint="eastAsia" w:ascii="宋体" w:hAnsi="宋体" w:eastAsia="宋体" w:cs="宋体"/>
                <w:color w:val="auto"/>
                <w:sz w:val="24"/>
                <w:szCs w:val="24"/>
              </w:rPr>
            </w:pPr>
            <w:r>
              <w:rPr>
                <w:rFonts w:hint="eastAsia" w:ascii="宋体" w:hAnsi="宋体" w:eastAsia="宋体" w:cs="宋体"/>
                <w:color w:val="auto"/>
                <w:position w:val="-2"/>
                <w:sz w:val="24"/>
                <w:szCs w:val="24"/>
              </w:rPr>
              <w:t>根据磋商供应商提供的针对本项目人员的培训流程、培训内容、访员管理等方面进行</w:t>
            </w:r>
            <w:r>
              <w:rPr>
                <w:rFonts w:hint="eastAsia" w:ascii="宋体" w:hAnsi="宋体" w:eastAsia="宋体" w:cs="宋体"/>
                <w:color w:val="auto"/>
                <w:sz w:val="24"/>
                <w:szCs w:val="24"/>
              </w:rPr>
              <w:t>综合</w:t>
            </w:r>
            <w:r>
              <w:rPr>
                <w:rFonts w:hint="eastAsia" w:ascii="宋体" w:hAnsi="宋体" w:eastAsia="宋体" w:cs="宋体"/>
                <w:color w:val="auto"/>
                <w:position w:val="-2"/>
                <w:sz w:val="24"/>
                <w:szCs w:val="24"/>
              </w:rPr>
              <w:t>打分；未提供的不得分。</w:t>
            </w:r>
          </w:p>
        </w:tc>
        <w:tc>
          <w:tcPr>
            <w:tcW w:w="892" w:type="dxa"/>
            <w:tcBorders>
              <w:top w:val="single" w:color="000000" w:sz="4" w:space="0"/>
              <w:left w:val="single" w:color="000000" w:sz="4" w:space="0"/>
              <w:bottom w:val="single" w:color="000000" w:sz="4" w:space="0"/>
              <w:right w:val="single" w:color="000000" w:sz="4" w:space="0"/>
            </w:tcBorders>
            <w:vAlign w:val="center"/>
          </w:tcPr>
          <w:p w14:paraId="1B06B7B6">
            <w:pPr>
              <w:widowControl w:val="0"/>
              <w:autoSpaceDE w:val="0"/>
              <w:autoSpaceDN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5分</w:t>
            </w:r>
          </w:p>
        </w:tc>
      </w:tr>
      <w:tr w14:paraId="4120C3E2">
        <w:tblPrEx>
          <w:tblCellMar>
            <w:top w:w="0" w:type="dxa"/>
            <w:left w:w="0" w:type="dxa"/>
            <w:bottom w:w="0" w:type="dxa"/>
            <w:right w:w="0" w:type="dxa"/>
          </w:tblCellMar>
        </w:tblPrEx>
        <w:trPr>
          <w:trHeight w:val="656" w:hRule="atLeast"/>
          <w:jc w:val="center"/>
        </w:trPr>
        <w:tc>
          <w:tcPr>
            <w:tcW w:w="1030" w:type="dxa"/>
            <w:tcBorders>
              <w:top w:val="single" w:color="000000" w:sz="4" w:space="0"/>
              <w:left w:val="single" w:color="000000" w:sz="4" w:space="0"/>
              <w:bottom w:val="single" w:color="000000" w:sz="4" w:space="0"/>
              <w:right w:val="single" w:color="000000" w:sz="4" w:space="0"/>
            </w:tcBorders>
            <w:vAlign w:val="center"/>
          </w:tcPr>
          <w:p w14:paraId="737AB6D9">
            <w:pPr>
              <w:widowControl w:val="0"/>
              <w:autoSpaceDE w:val="0"/>
              <w:autoSpaceDN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质量控制</w:t>
            </w:r>
          </w:p>
        </w:tc>
        <w:tc>
          <w:tcPr>
            <w:tcW w:w="7697" w:type="dxa"/>
            <w:tcBorders>
              <w:top w:val="single" w:color="000000" w:sz="4" w:space="0"/>
              <w:left w:val="single" w:color="000000" w:sz="4" w:space="0"/>
              <w:bottom w:val="single" w:color="000000" w:sz="4" w:space="0"/>
              <w:right w:val="single" w:color="000000" w:sz="4" w:space="0"/>
            </w:tcBorders>
            <w:vAlign w:val="center"/>
          </w:tcPr>
          <w:p w14:paraId="49DB3E94">
            <w:pPr>
              <w:widowControl w:val="0"/>
              <w:autoSpaceDE w:val="0"/>
              <w:autoSpaceDN w:val="0"/>
              <w:adjustRightInd w:val="0"/>
              <w:snapToGrid w:val="0"/>
              <w:spacing w:line="276" w:lineRule="auto"/>
              <w:rPr>
                <w:rFonts w:hint="eastAsia" w:ascii="宋体" w:hAnsi="宋体" w:eastAsia="宋体" w:cs="宋体"/>
                <w:color w:val="auto"/>
                <w:sz w:val="24"/>
                <w:szCs w:val="24"/>
              </w:rPr>
            </w:pPr>
            <w:r>
              <w:rPr>
                <w:rFonts w:hint="eastAsia" w:ascii="宋体" w:hAnsi="宋体" w:eastAsia="宋体" w:cs="宋体"/>
                <w:color w:val="auto"/>
                <w:sz w:val="24"/>
                <w:szCs w:val="24"/>
              </w:rPr>
              <w:t>根据磋商供应商提供的针对本项目的调查结果质量的控制措施及质量承诺等方面进行综合给分；未提供的不得分。</w:t>
            </w:r>
          </w:p>
        </w:tc>
        <w:tc>
          <w:tcPr>
            <w:tcW w:w="892" w:type="dxa"/>
            <w:tcBorders>
              <w:top w:val="single" w:color="000000" w:sz="4" w:space="0"/>
              <w:left w:val="single" w:color="000000" w:sz="4" w:space="0"/>
              <w:bottom w:val="single" w:color="000000" w:sz="4" w:space="0"/>
              <w:right w:val="single" w:color="000000" w:sz="4" w:space="0"/>
            </w:tcBorders>
            <w:vAlign w:val="center"/>
          </w:tcPr>
          <w:p w14:paraId="7631BDC3">
            <w:pPr>
              <w:widowControl w:val="0"/>
              <w:autoSpaceDE w:val="0"/>
              <w:autoSpaceDN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5分</w:t>
            </w:r>
          </w:p>
        </w:tc>
      </w:tr>
      <w:tr w14:paraId="36C2ED8D">
        <w:tblPrEx>
          <w:tblCellMar>
            <w:top w:w="0" w:type="dxa"/>
            <w:left w:w="0" w:type="dxa"/>
            <w:bottom w:w="0" w:type="dxa"/>
            <w:right w:w="0" w:type="dxa"/>
          </w:tblCellMar>
        </w:tblPrEx>
        <w:trPr>
          <w:trHeight w:val="656" w:hRule="atLeast"/>
          <w:jc w:val="center"/>
        </w:trPr>
        <w:tc>
          <w:tcPr>
            <w:tcW w:w="1030" w:type="dxa"/>
            <w:tcBorders>
              <w:top w:val="single" w:color="000000" w:sz="4" w:space="0"/>
              <w:left w:val="single" w:color="000000" w:sz="4" w:space="0"/>
              <w:bottom w:val="single" w:color="000000" w:sz="4" w:space="0"/>
              <w:right w:val="single" w:color="000000" w:sz="4" w:space="0"/>
            </w:tcBorders>
            <w:vAlign w:val="center"/>
          </w:tcPr>
          <w:p w14:paraId="61F6E1DB">
            <w:pPr>
              <w:widowControl w:val="0"/>
              <w:autoSpaceDE w:val="0"/>
              <w:autoSpaceDN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保密与安全措施</w:t>
            </w:r>
          </w:p>
        </w:tc>
        <w:tc>
          <w:tcPr>
            <w:tcW w:w="7697" w:type="dxa"/>
            <w:tcBorders>
              <w:top w:val="single" w:color="000000" w:sz="4" w:space="0"/>
              <w:left w:val="single" w:color="000000" w:sz="4" w:space="0"/>
              <w:bottom w:val="single" w:color="000000" w:sz="4" w:space="0"/>
              <w:right w:val="single" w:color="000000" w:sz="4" w:space="0"/>
            </w:tcBorders>
            <w:vAlign w:val="center"/>
          </w:tcPr>
          <w:p w14:paraId="354177F8">
            <w:pPr>
              <w:widowControl w:val="0"/>
              <w:autoSpaceDE w:val="0"/>
              <w:autoSpaceDN w:val="0"/>
              <w:adjustRightInd w:val="0"/>
              <w:snapToGrid w:val="0"/>
              <w:spacing w:line="276" w:lineRule="auto"/>
              <w:rPr>
                <w:rFonts w:hint="eastAsia" w:ascii="宋体" w:hAnsi="宋体" w:eastAsia="宋体" w:cs="宋体"/>
                <w:color w:val="auto"/>
                <w:sz w:val="24"/>
                <w:szCs w:val="24"/>
              </w:rPr>
            </w:pPr>
            <w:r>
              <w:rPr>
                <w:rFonts w:hint="eastAsia" w:ascii="宋体" w:hAnsi="宋体" w:eastAsia="宋体" w:cs="宋体"/>
                <w:color w:val="auto"/>
                <w:sz w:val="24"/>
                <w:szCs w:val="24"/>
              </w:rPr>
              <w:t>根据磋商供应商提供的针对本项目保密要求、数据安全性措施等方面进行综合给分；未提供的不得分。</w:t>
            </w:r>
          </w:p>
        </w:tc>
        <w:tc>
          <w:tcPr>
            <w:tcW w:w="892" w:type="dxa"/>
            <w:tcBorders>
              <w:top w:val="single" w:color="000000" w:sz="4" w:space="0"/>
              <w:left w:val="single" w:color="000000" w:sz="4" w:space="0"/>
              <w:bottom w:val="single" w:color="000000" w:sz="4" w:space="0"/>
              <w:right w:val="single" w:color="000000" w:sz="4" w:space="0"/>
            </w:tcBorders>
            <w:vAlign w:val="center"/>
          </w:tcPr>
          <w:p w14:paraId="76677496">
            <w:pPr>
              <w:widowControl w:val="0"/>
              <w:autoSpaceDE w:val="0"/>
              <w:autoSpaceDN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3分</w:t>
            </w:r>
          </w:p>
        </w:tc>
      </w:tr>
      <w:tr w14:paraId="686D4F47">
        <w:tblPrEx>
          <w:tblCellMar>
            <w:top w:w="0" w:type="dxa"/>
            <w:left w:w="0" w:type="dxa"/>
            <w:bottom w:w="0" w:type="dxa"/>
            <w:right w:w="0" w:type="dxa"/>
          </w:tblCellMar>
        </w:tblPrEx>
        <w:trPr>
          <w:trHeight w:val="595" w:hRule="atLeast"/>
          <w:jc w:val="center"/>
        </w:trPr>
        <w:tc>
          <w:tcPr>
            <w:tcW w:w="1030" w:type="dxa"/>
            <w:tcBorders>
              <w:top w:val="single" w:color="000000" w:sz="4" w:space="0"/>
              <w:left w:val="single" w:color="000000" w:sz="4" w:space="0"/>
              <w:bottom w:val="single" w:color="000000" w:sz="4" w:space="0"/>
              <w:right w:val="single" w:color="000000" w:sz="4" w:space="0"/>
            </w:tcBorders>
            <w:vAlign w:val="center"/>
          </w:tcPr>
          <w:p w14:paraId="00EF7B43">
            <w:pPr>
              <w:widowControl w:val="0"/>
              <w:autoSpaceDE w:val="0"/>
              <w:autoSpaceDN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应急处理</w:t>
            </w:r>
          </w:p>
        </w:tc>
        <w:tc>
          <w:tcPr>
            <w:tcW w:w="7697" w:type="dxa"/>
            <w:tcBorders>
              <w:top w:val="single" w:color="000000" w:sz="4" w:space="0"/>
              <w:left w:val="single" w:color="000000" w:sz="4" w:space="0"/>
              <w:bottom w:val="single" w:color="000000" w:sz="4" w:space="0"/>
              <w:right w:val="single" w:color="000000" w:sz="4" w:space="0"/>
            </w:tcBorders>
            <w:vAlign w:val="center"/>
          </w:tcPr>
          <w:p w14:paraId="31CAF2F3">
            <w:pPr>
              <w:widowControl w:val="0"/>
              <w:autoSpaceDE w:val="0"/>
              <w:autoSpaceDN w:val="0"/>
              <w:adjustRightInd w:val="0"/>
              <w:snapToGrid w:val="0"/>
              <w:spacing w:line="276" w:lineRule="auto"/>
              <w:rPr>
                <w:rFonts w:hint="eastAsia" w:ascii="宋体" w:hAnsi="宋体" w:eastAsia="宋体" w:cs="宋体"/>
                <w:color w:val="auto"/>
                <w:sz w:val="24"/>
                <w:szCs w:val="24"/>
              </w:rPr>
            </w:pPr>
            <w:r>
              <w:rPr>
                <w:rFonts w:hint="eastAsia" w:ascii="宋体" w:hAnsi="宋体" w:eastAsia="宋体" w:cs="宋体"/>
                <w:color w:val="auto"/>
                <w:sz w:val="24"/>
                <w:szCs w:val="24"/>
              </w:rPr>
              <w:t>根据磋商供应商提供的针对本项目的应急处理预案等方面进行综合给分；未提供的不得分。</w:t>
            </w:r>
          </w:p>
        </w:tc>
        <w:tc>
          <w:tcPr>
            <w:tcW w:w="892" w:type="dxa"/>
            <w:tcBorders>
              <w:top w:val="single" w:color="000000" w:sz="4" w:space="0"/>
              <w:left w:val="single" w:color="000000" w:sz="4" w:space="0"/>
              <w:bottom w:val="single" w:color="000000" w:sz="4" w:space="0"/>
              <w:right w:val="single" w:color="000000" w:sz="4" w:space="0"/>
            </w:tcBorders>
            <w:vAlign w:val="center"/>
          </w:tcPr>
          <w:p w14:paraId="3A4A7B65">
            <w:pPr>
              <w:widowControl w:val="0"/>
              <w:autoSpaceDE w:val="0"/>
              <w:autoSpaceDN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2分</w:t>
            </w:r>
          </w:p>
        </w:tc>
      </w:tr>
      <w:tr w14:paraId="1EC05E36">
        <w:tblPrEx>
          <w:tblCellMar>
            <w:top w:w="0" w:type="dxa"/>
            <w:left w:w="0" w:type="dxa"/>
            <w:bottom w:w="0" w:type="dxa"/>
            <w:right w:w="0" w:type="dxa"/>
          </w:tblCellMar>
        </w:tblPrEx>
        <w:trPr>
          <w:trHeight w:val="989" w:hRule="atLeast"/>
          <w:jc w:val="center"/>
        </w:trPr>
        <w:tc>
          <w:tcPr>
            <w:tcW w:w="1030" w:type="dxa"/>
            <w:tcBorders>
              <w:top w:val="single" w:color="000000" w:sz="4" w:space="0"/>
              <w:left w:val="single" w:color="000000" w:sz="4" w:space="0"/>
              <w:bottom w:val="single" w:color="000000" w:sz="4" w:space="0"/>
              <w:right w:val="single" w:color="000000" w:sz="4" w:space="0"/>
            </w:tcBorders>
            <w:vAlign w:val="center"/>
          </w:tcPr>
          <w:p w14:paraId="1C128634">
            <w:pPr>
              <w:widowControl w:val="0"/>
              <w:autoSpaceDE w:val="0"/>
              <w:autoSpaceDN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文明服务的计划及承诺</w:t>
            </w:r>
          </w:p>
        </w:tc>
        <w:tc>
          <w:tcPr>
            <w:tcW w:w="7697" w:type="dxa"/>
            <w:tcBorders>
              <w:top w:val="single" w:color="000000" w:sz="4" w:space="0"/>
              <w:left w:val="single" w:color="000000" w:sz="4" w:space="0"/>
              <w:bottom w:val="single" w:color="000000" w:sz="4" w:space="0"/>
              <w:right w:val="single" w:color="000000" w:sz="4" w:space="0"/>
            </w:tcBorders>
            <w:vAlign w:val="center"/>
          </w:tcPr>
          <w:p w14:paraId="2A61B418">
            <w:pPr>
              <w:widowControl w:val="0"/>
              <w:autoSpaceDE w:val="0"/>
              <w:autoSpaceDN w:val="0"/>
              <w:adjustRightInd w:val="0"/>
              <w:snapToGrid w:val="0"/>
              <w:spacing w:line="276" w:lineRule="auto"/>
              <w:rPr>
                <w:rFonts w:hint="eastAsia" w:ascii="宋体" w:hAnsi="宋体" w:eastAsia="宋体" w:cs="宋体"/>
                <w:color w:val="auto"/>
                <w:sz w:val="24"/>
                <w:szCs w:val="24"/>
              </w:rPr>
            </w:pPr>
            <w:r>
              <w:rPr>
                <w:rFonts w:hint="eastAsia" w:ascii="宋体" w:hAnsi="宋体" w:eastAsia="宋体" w:cs="宋体"/>
                <w:color w:val="auto"/>
                <w:sz w:val="24"/>
                <w:szCs w:val="24"/>
              </w:rPr>
              <w:t>根据磋商供应商提出的针对本项目的合理化建议或承诺进行综合给分；未提供的不得分。</w:t>
            </w:r>
          </w:p>
        </w:tc>
        <w:tc>
          <w:tcPr>
            <w:tcW w:w="892" w:type="dxa"/>
            <w:tcBorders>
              <w:top w:val="single" w:color="000000" w:sz="4" w:space="0"/>
              <w:left w:val="single" w:color="000000" w:sz="4" w:space="0"/>
              <w:bottom w:val="single" w:color="000000" w:sz="4" w:space="0"/>
              <w:right w:val="single" w:color="000000" w:sz="4" w:space="0"/>
            </w:tcBorders>
            <w:vAlign w:val="center"/>
          </w:tcPr>
          <w:p w14:paraId="568C0A0F">
            <w:pPr>
              <w:widowControl w:val="0"/>
              <w:autoSpaceDE w:val="0"/>
              <w:autoSpaceDN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3分</w:t>
            </w:r>
          </w:p>
        </w:tc>
      </w:tr>
      <w:tr w14:paraId="5DA923FB">
        <w:tblPrEx>
          <w:tblCellMar>
            <w:top w:w="0" w:type="dxa"/>
            <w:left w:w="0" w:type="dxa"/>
            <w:bottom w:w="0" w:type="dxa"/>
            <w:right w:w="0" w:type="dxa"/>
          </w:tblCellMar>
        </w:tblPrEx>
        <w:trPr>
          <w:trHeight w:val="989" w:hRule="atLeast"/>
          <w:jc w:val="center"/>
        </w:trPr>
        <w:tc>
          <w:tcPr>
            <w:tcW w:w="1030" w:type="dxa"/>
            <w:tcBorders>
              <w:top w:val="single" w:color="000000" w:sz="4" w:space="0"/>
              <w:left w:val="single" w:color="000000" w:sz="4" w:space="0"/>
              <w:bottom w:val="single" w:color="000000" w:sz="4" w:space="0"/>
              <w:right w:val="single" w:color="000000" w:sz="4" w:space="0"/>
            </w:tcBorders>
            <w:vAlign w:val="center"/>
          </w:tcPr>
          <w:p w14:paraId="29DA865B">
            <w:pPr>
              <w:widowControl w:val="0"/>
              <w:autoSpaceDE w:val="0"/>
              <w:autoSpaceDN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管理规范性评价</w:t>
            </w:r>
          </w:p>
        </w:tc>
        <w:tc>
          <w:tcPr>
            <w:tcW w:w="7697" w:type="dxa"/>
            <w:tcBorders>
              <w:top w:val="single" w:color="000000" w:sz="4" w:space="0"/>
              <w:left w:val="single" w:color="000000" w:sz="4" w:space="0"/>
              <w:bottom w:val="single" w:color="000000" w:sz="4" w:space="0"/>
              <w:right w:val="single" w:color="000000" w:sz="4" w:space="0"/>
            </w:tcBorders>
            <w:vAlign w:val="center"/>
          </w:tcPr>
          <w:p w14:paraId="4A4F8DCE">
            <w:pPr>
              <w:widowControl w:val="0"/>
              <w:autoSpaceDE w:val="0"/>
              <w:autoSpaceDN w:val="0"/>
              <w:adjustRightInd w:val="0"/>
              <w:snapToGrid w:val="0"/>
              <w:spacing w:line="276" w:lineRule="auto"/>
              <w:rPr>
                <w:rFonts w:hint="eastAsia" w:ascii="宋体" w:hAnsi="宋体" w:eastAsia="宋体" w:cs="宋体"/>
                <w:color w:val="auto"/>
                <w:sz w:val="24"/>
                <w:szCs w:val="24"/>
              </w:rPr>
            </w:pPr>
            <w:r>
              <w:rPr>
                <w:rFonts w:hint="eastAsia" w:ascii="宋体" w:hAnsi="宋体" w:eastAsia="宋体" w:cs="宋体"/>
                <w:color w:val="auto"/>
                <w:sz w:val="24"/>
                <w:szCs w:val="24"/>
              </w:rPr>
              <w:t>根据投标文件所提供的针对本项目的管理组织、项目实施规范、管理制度和内部管理体系等情况进行综合打分，0-</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w:t>
            </w:r>
          </w:p>
        </w:tc>
        <w:tc>
          <w:tcPr>
            <w:tcW w:w="892" w:type="dxa"/>
            <w:tcBorders>
              <w:top w:val="single" w:color="000000" w:sz="4" w:space="0"/>
              <w:left w:val="single" w:color="000000" w:sz="4" w:space="0"/>
              <w:bottom w:val="single" w:color="000000" w:sz="4" w:space="0"/>
              <w:right w:val="single" w:color="000000" w:sz="4" w:space="0"/>
            </w:tcBorders>
            <w:vAlign w:val="center"/>
          </w:tcPr>
          <w:p w14:paraId="76B00CCF">
            <w:pPr>
              <w:widowControl w:val="0"/>
              <w:autoSpaceDE w:val="0"/>
              <w:autoSpaceDN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分</w:t>
            </w:r>
          </w:p>
        </w:tc>
      </w:tr>
      <w:tr w14:paraId="3D177C53">
        <w:tblPrEx>
          <w:tblCellMar>
            <w:top w:w="0" w:type="dxa"/>
            <w:left w:w="0" w:type="dxa"/>
            <w:bottom w:w="0" w:type="dxa"/>
            <w:right w:w="0" w:type="dxa"/>
          </w:tblCellMar>
        </w:tblPrEx>
        <w:trPr>
          <w:trHeight w:val="989" w:hRule="atLeast"/>
          <w:jc w:val="center"/>
        </w:trPr>
        <w:tc>
          <w:tcPr>
            <w:tcW w:w="1030" w:type="dxa"/>
            <w:tcBorders>
              <w:top w:val="single" w:color="000000" w:sz="4" w:space="0"/>
              <w:left w:val="single" w:color="000000" w:sz="4" w:space="0"/>
              <w:bottom w:val="single" w:color="000000" w:sz="4" w:space="0"/>
              <w:right w:val="single" w:color="000000" w:sz="4" w:space="0"/>
            </w:tcBorders>
            <w:vAlign w:val="center"/>
          </w:tcPr>
          <w:p w14:paraId="72724EC2">
            <w:pPr>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优惠承诺</w:t>
            </w:r>
          </w:p>
        </w:tc>
        <w:tc>
          <w:tcPr>
            <w:tcW w:w="7697" w:type="dxa"/>
            <w:tcBorders>
              <w:top w:val="single" w:color="000000" w:sz="4" w:space="0"/>
              <w:left w:val="single" w:color="000000" w:sz="4" w:space="0"/>
              <w:bottom w:val="single" w:color="000000" w:sz="4" w:space="0"/>
              <w:right w:val="single" w:color="000000" w:sz="4" w:space="0"/>
            </w:tcBorders>
            <w:vAlign w:val="center"/>
          </w:tcPr>
          <w:p w14:paraId="4C18FBAE">
            <w:pPr>
              <w:spacing w:line="276" w:lineRule="auto"/>
              <w:rPr>
                <w:rFonts w:hint="eastAsia" w:ascii="宋体" w:hAnsi="宋体" w:eastAsia="宋体" w:cs="宋体"/>
                <w:color w:val="auto"/>
                <w:sz w:val="24"/>
                <w:szCs w:val="24"/>
              </w:rPr>
            </w:pPr>
            <w:r>
              <w:rPr>
                <w:rFonts w:hint="eastAsia" w:ascii="宋体" w:hAnsi="宋体" w:eastAsia="宋体" w:cs="宋体"/>
                <w:color w:val="auto"/>
                <w:sz w:val="24"/>
                <w:szCs w:val="24"/>
              </w:rPr>
              <w:t>根据磋商供应商提供的优惠承诺是否具有实质性和相关性酌情评分。</w:t>
            </w:r>
          </w:p>
        </w:tc>
        <w:tc>
          <w:tcPr>
            <w:tcW w:w="892" w:type="dxa"/>
            <w:tcBorders>
              <w:top w:val="single" w:color="000000" w:sz="4" w:space="0"/>
              <w:left w:val="single" w:color="000000" w:sz="4" w:space="0"/>
              <w:bottom w:val="single" w:color="000000" w:sz="4" w:space="0"/>
              <w:right w:val="single" w:color="000000" w:sz="4" w:space="0"/>
            </w:tcBorders>
            <w:vAlign w:val="center"/>
          </w:tcPr>
          <w:p w14:paraId="046E4CF5">
            <w:pPr>
              <w:widowControl w:val="0"/>
              <w:autoSpaceDE w:val="0"/>
              <w:autoSpaceDN w:val="0"/>
              <w:adjustRightInd w:val="0"/>
              <w:snapToGrid w:val="0"/>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2分</w:t>
            </w:r>
          </w:p>
        </w:tc>
      </w:tr>
    </w:tbl>
    <w:p w14:paraId="7270A2D3">
      <w:pPr>
        <w:pStyle w:val="23"/>
        <w:spacing w:before="120" w:beforeLines="50" w:afterLines="50" w:line="360" w:lineRule="auto"/>
        <w:ind w:left="0" w:leftChars="0" w:firstLine="0" w:firstLineChars="0"/>
        <w:rPr>
          <w:rFonts w:hint="eastAsia" w:ascii="宋体" w:hAnsi="宋体" w:eastAsia="宋体" w:cs="宋体"/>
          <w:b/>
          <w:bCs/>
          <w:color w:val="auto"/>
          <w:szCs w:val="21"/>
        </w:rPr>
      </w:pPr>
      <w:r>
        <w:rPr>
          <w:rFonts w:hint="eastAsia" w:ascii="宋体" w:hAnsi="宋体" w:eastAsia="宋体" w:cs="宋体"/>
          <w:b/>
          <w:bCs/>
          <w:color w:val="auto"/>
          <w:szCs w:val="21"/>
        </w:rPr>
        <w:t>三</w:t>
      </w:r>
      <w:r>
        <w:rPr>
          <w:rFonts w:hint="eastAsia" w:ascii="宋体" w:hAnsi="宋体" w:eastAsia="宋体" w:cs="宋体"/>
          <w:b/>
          <w:bCs/>
          <w:color w:val="auto"/>
          <w:szCs w:val="21"/>
          <w:lang w:eastAsia="zh-CN"/>
        </w:rPr>
        <w:t>、</w:t>
      </w:r>
      <w:r>
        <w:rPr>
          <w:rFonts w:hint="eastAsia" w:ascii="宋体" w:hAnsi="宋体" w:eastAsia="宋体" w:cs="宋体"/>
          <w:b/>
          <w:bCs/>
          <w:color w:val="auto"/>
          <w:szCs w:val="21"/>
        </w:rPr>
        <w:t>商务、资信及其他分（2</w:t>
      </w:r>
      <w:r>
        <w:rPr>
          <w:rFonts w:hint="eastAsia" w:ascii="宋体" w:hAnsi="宋体" w:eastAsia="宋体" w:cs="宋体"/>
          <w:b/>
          <w:bCs/>
          <w:color w:val="auto"/>
          <w:szCs w:val="21"/>
          <w:lang w:val="en-US" w:eastAsia="zh-CN"/>
        </w:rPr>
        <w:t>8</w:t>
      </w:r>
      <w:r>
        <w:rPr>
          <w:rFonts w:hint="eastAsia" w:ascii="宋体" w:hAnsi="宋体" w:eastAsia="宋体" w:cs="宋体"/>
          <w:b/>
          <w:bCs/>
          <w:color w:val="auto"/>
          <w:szCs w:val="21"/>
        </w:rPr>
        <w:t>分）</w:t>
      </w:r>
    </w:p>
    <w:tbl>
      <w:tblPr>
        <w:tblStyle w:val="60"/>
        <w:tblW w:w="97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68"/>
        <w:gridCol w:w="7754"/>
        <w:gridCol w:w="992"/>
      </w:tblGrid>
      <w:tr w14:paraId="2F9D75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88" w:hRule="atLeast"/>
          <w:tblHeader/>
          <w:jc w:val="center"/>
        </w:trPr>
        <w:tc>
          <w:tcPr>
            <w:tcW w:w="968" w:type="dxa"/>
            <w:vAlign w:val="center"/>
          </w:tcPr>
          <w:p w14:paraId="037D12A6">
            <w:pPr>
              <w:spacing w:line="276"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评分因素</w:t>
            </w:r>
          </w:p>
        </w:tc>
        <w:tc>
          <w:tcPr>
            <w:tcW w:w="7754" w:type="dxa"/>
            <w:vAlign w:val="center"/>
          </w:tcPr>
          <w:p w14:paraId="2CD1B912">
            <w:pPr>
              <w:spacing w:line="276"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评分细则</w:t>
            </w:r>
          </w:p>
        </w:tc>
        <w:tc>
          <w:tcPr>
            <w:tcW w:w="992" w:type="dxa"/>
            <w:vAlign w:val="center"/>
          </w:tcPr>
          <w:p w14:paraId="316990FC">
            <w:pPr>
              <w:spacing w:line="276" w:lineRule="auto"/>
              <w:jc w:val="center"/>
              <w:rPr>
                <w:rFonts w:hint="eastAsia" w:ascii="宋体" w:hAnsi="宋体" w:eastAsia="宋体" w:cs="宋体"/>
                <w:b/>
                <w:color w:val="auto"/>
                <w:sz w:val="24"/>
                <w:szCs w:val="24"/>
              </w:rPr>
            </w:pPr>
            <w:r>
              <w:rPr>
                <w:rFonts w:hint="eastAsia" w:ascii="宋体" w:hAnsi="宋体" w:eastAsia="宋体" w:cs="宋体"/>
                <w:b/>
                <w:color w:val="auto"/>
                <w:sz w:val="24"/>
                <w:szCs w:val="24"/>
              </w:rPr>
              <w:t>分值</w:t>
            </w:r>
          </w:p>
        </w:tc>
      </w:tr>
      <w:tr w14:paraId="71283E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09" w:hRule="atLeast"/>
          <w:jc w:val="center"/>
        </w:trPr>
        <w:tc>
          <w:tcPr>
            <w:tcW w:w="968" w:type="dxa"/>
            <w:vAlign w:val="center"/>
          </w:tcPr>
          <w:p w14:paraId="3DBD0E5A">
            <w:pPr>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以往履约质量情况</w:t>
            </w:r>
          </w:p>
        </w:tc>
        <w:tc>
          <w:tcPr>
            <w:tcW w:w="7754" w:type="dxa"/>
            <w:vAlign w:val="center"/>
          </w:tcPr>
          <w:p w14:paraId="7088F86E">
            <w:pPr>
              <w:widowControl w:val="0"/>
              <w:autoSpaceDE w:val="0"/>
              <w:autoSpaceDN w:val="0"/>
              <w:adjustRightInd w:val="0"/>
              <w:snapToGrid w:val="0"/>
              <w:ind w:right="-23"/>
              <w:rPr>
                <w:rFonts w:hint="eastAsia" w:ascii="宋体" w:hAnsi="宋体" w:eastAsia="宋体" w:cs="宋体"/>
                <w:color w:val="auto"/>
                <w:sz w:val="24"/>
                <w:szCs w:val="24"/>
              </w:rPr>
            </w:pPr>
            <w:r>
              <w:rPr>
                <w:rFonts w:hint="eastAsia" w:ascii="宋体" w:hAnsi="宋体" w:eastAsia="宋体" w:cs="宋体"/>
                <w:color w:val="auto"/>
                <w:sz w:val="24"/>
                <w:szCs w:val="24"/>
              </w:rPr>
              <w:t>能提供不同政府部门委托单位202</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年1月1日以来的CATI调查满意度反馈，其中业主单位评价满意（优秀、好）及以上的得</w:t>
            </w:r>
            <w:r>
              <w:rPr>
                <w:rFonts w:hint="eastAsia" w:ascii="宋体" w:hAnsi="宋体" w:eastAsia="宋体" w:cs="宋体"/>
                <w:color w:val="auto"/>
                <w:sz w:val="24"/>
                <w:szCs w:val="24"/>
                <w:lang w:val="en-US" w:eastAsia="zh-CN"/>
              </w:rPr>
              <w:t>1.5</w:t>
            </w:r>
            <w:r>
              <w:rPr>
                <w:rFonts w:hint="eastAsia" w:ascii="宋体" w:hAnsi="宋体" w:eastAsia="宋体" w:cs="宋体"/>
                <w:color w:val="auto"/>
                <w:sz w:val="24"/>
                <w:szCs w:val="24"/>
              </w:rPr>
              <w:t>分，以下不得分，最高得</w:t>
            </w:r>
            <w:r>
              <w:rPr>
                <w:rFonts w:hint="eastAsia" w:ascii="宋体" w:hAnsi="宋体" w:eastAsia="宋体" w:cs="宋体"/>
                <w:color w:val="auto"/>
                <w:sz w:val="24"/>
                <w:szCs w:val="24"/>
                <w:lang w:val="en-US" w:eastAsia="zh-CN"/>
              </w:rPr>
              <w:t>7.5</w:t>
            </w:r>
            <w:r>
              <w:rPr>
                <w:rFonts w:hint="eastAsia" w:ascii="宋体" w:hAnsi="宋体" w:eastAsia="宋体" w:cs="宋体"/>
                <w:color w:val="auto"/>
                <w:sz w:val="24"/>
                <w:szCs w:val="24"/>
              </w:rPr>
              <w:t>分。（要求提供业主单位确认意见并加盖公章，未提供不得分，同一业主单位提供的不重复得分）</w:t>
            </w:r>
          </w:p>
        </w:tc>
        <w:tc>
          <w:tcPr>
            <w:tcW w:w="992" w:type="dxa"/>
            <w:vAlign w:val="center"/>
          </w:tcPr>
          <w:p w14:paraId="64FD41BA">
            <w:pPr>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7.5</w:t>
            </w:r>
            <w:r>
              <w:rPr>
                <w:rFonts w:hint="eastAsia" w:ascii="宋体" w:hAnsi="宋体" w:eastAsia="宋体" w:cs="宋体"/>
                <w:color w:val="auto"/>
                <w:sz w:val="24"/>
                <w:szCs w:val="24"/>
              </w:rPr>
              <w:t>分</w:t>
            </w:r>
          </w:p>
        </w:tc>
      </w:tr>
      <w:tr w14:paraId="3FF480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52" w:hRule="atLeast"/>
          <w:jc w:val="center"/>
        </w:trPr>
        <w:tc>
          <w:tcPr>
            <w:tcW w:w="968" w:type="dxa"/>
            <w:vAlign w:val="center"/>
          </w:tcPr>
          <w:p w14:paraId="1DB752ED">
            <w:pPr>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服务能力</w:t>
            </w:r>
          </w:p>
        </w:tc>
        <w:tc>
          <w:tcPr>
            <w:tcW w:w="7754" w:type="dxa"/>
            <w:vAlign w:val="center"/>
          </w:tcPr>
          <w:p w14:paraId="7BAF3693">
            <w:pPr>
              <w:adjustRightInd w:val="0"/>
              <w:snapToGrid w:val="0"/>
              <w:spacing w:line="360" w:lineRule="exact"/>
              <w:jc w:val="both"/>
              <w:rPr>
                <w:rFonts w:hint="eastAsia" w:ascii="宋体" w:hAnsi="宋体" w:eastAsia="宋体" w:cs="宋体"/>
                <w:color w:val="auto"/>
                <w:sz w:val="24"/>
                <w:szCs w:val="24"/>
              </w:rPr>
            </w:pPr>
            <w:r>
              <w:rPr>
                <w:rFonts w:hint="eastAsia" w:ascii="宋体" w:hAnsi="宋体" w:eastAsia="宋体" w:cs="宋体"/>
                <w:color w:val="auto"/>
                <w:sz w:val="24"/>
                <w:szCs w:val="24"/>
              </w:rPr>
              <w:t>1.自建cati机房（不含租赁）：202</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年</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月</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日前投标人有自建CATI机房的得6分，中标后须进行实地勘察，若情况不符则视为虚假投标。（须提供CATI系统销售合同复印件及机房席位设备证明（照片）、场地租用合同等证明文件，否则不得分）</w:t>
            </w:r>
          </w:p>
          <w:p w14:paraId="6048F5B2">
            <w:pPr>
              <w:pStyle w:val="22"/>
              <w:adjustRightInd w:val="0"/>
              <w:snapToGrid w:val="0"/>
              <w:spacing w:line="360" w:lineRule="exact"/>
              <w:rPr>
                <w:rFonts w:hint="eastAsia" w:ascii="宋体" w:hAnsi="宋体" w:eastAsia="宋体" w:cs="宋体"/>
                <w:color w:val="auto"/>
                <w:sz w:val="24"/>
                <w:szCs w:val="24"/>
              </w:rPr>
            </w:pPr>
            <w:r>
              <w:rPr>
                <w:rFonts w:hint="eastAsia" w:ascii="宋体" w:hAnsi="宋体" w:eastAsia="宋体" w:cs="宋体"/>
                <w:color w:val="auto"/>
                <w:sz w:val="24"/>
                <w:szCs w:val="24"/>
              </w:rPr>
              <w:t>2.坐席要求：</w:t>
            </w:r>
            <w:r>
              <w:rPr>
                <w:rFonts w:hint="eastAsia" w:ascii="宋体" w:hAnsi="宋体" w:eastAsia="宋体" w:cs="宋体"/>
                <w:bCs/>
                <w:color w:val="auto"/>
                <w:sz w:val="24"/>
                <w:szCs w:val="24"/>
              </w:rPr>
              <w:t>CATI机房席位达到34个的得5分，每多一个加0.5分，最多得8分；小于34个的不得分。</w:t>
            </w:r>
          </w:p>
        </w:tc>
        <w:tc>
          <w:tcPr>
            <w:tcW w:w="992" w:type="dxa"/>
            <w:vAlign w:val="center"/>
          </w:tcPr>
          <w:p w14:paraId="2D6ACF74">
            <w:pPr>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14分</w:t>
            </w:r>
          </w:p>
        </w:tc>
      </w:tr>
      <w:tr w14:paraId="522C7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14" w:hRule="atLeast"/>
          <w:jc w:val="center"/>
        </w:trPr>
        <w:tc>
          <w:tcPr>
            <w:tcW w:w="968" w:type="dxa"/>
            <w:vAlign w:val="center"/>
          </w:tcPr>
          <w:p w14:paraId="1E84E64A">
            <w:pPr>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服务案例</w:t>
            </w:r>
          </w:p>
        </w:tc>
        <w:tc>
          <w:tcPr>
            <w:tcW w:w="7754" w:type="dxa"/>
            <w:vAlign w:val="center"/>
          </w:tcPr>
          <w:p w14:paraId="50BA15BE">
            <w:pPr>
              <w:adjustRightInd w:val="0"/>
              <w:snapToGrid w:val="0"/>
              <w:spacing w:line="360" w:lineRule="exact"/>
              <w:rPr>
                <w:rFonts w:hint="eastAsia" w:ascii="宋体" w:hAnsi="宋体" w:eastAsia="宋体" w:cs="宋体"/>
                <w:color w:val="auto"/>
                <w:sz w:val="24"/>
                <w:szCs w:val="24"/>
              </w:rPr>
            </w:pPr>
            <w:r>
              <w:rPr>
                <w:rFonts w:hint="eastAsia" w:ascii="宋体" w:hAnsi="宋体" w:eastAsia="宋体" w:cs="宋体"/>
                <w:color w:val="auto"/>
                <w:sz w:val="24"/>
                <w:szCs w:val="24"/>
              </w:rPr>
              <w:t>1.202</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年内承担地（市）及以上政府部门委托的CATI调查项目，每个项目得0.1分，累加最高得</w:t>
            </w:r>
            <w:r>
              <w:rPr>
                <w:rFonts w:hint="eastAsia" w:ascii="宋体" w:hAnsi="宋体" w:eastAsia="宋体" w:cs="宋体"/>
                <w:color w:val="auto"/>
                <w:sz w:val="24"/>
                <w:szCs w:val="24"/>
                <w:lang w:val="en-US" w:eastAsia="zh-CN"/>
              </w:rPr>
              <w:t>0.5</w:t>
            </w:r>
            <w:r>
              <w:rPr>
                <w:rFonts w:hint="eastAsia" w:ascii="宋体" w:hAnsi="宋体" w:eastAsia="宋体" w:cs="宋体"/>
                <w:color w:val="auto"/>
                <w:sz w:val="24"/>
                <w:szCs w:val="24"/>
              </w:rPr>
              <w:t>分，须提供成功案例合同/协议复印件。</w:t>
            </w:r>
          </w:p>
          <w:p w14:paraId="30F9BF17">
            <w:pPr>
              <w:widowControl w:val="0"/>
              <w:autoSpaceDE w:val="0"/>
              <w:autoSpaceDN w:val="0"/>
              <w:adjustRightInd w:val="0"/>
              <w:snapToGrid w:val="0"/>
              <w:spacing w:line="360" w:lineRule="exact"/>
              <w:rPr>
                <w:rFonts w:hint="eastAsia" w:ascii="宋体" w:hAnsi="宋体" w:eastAsia="宋体" w:cs="宋体"/>
                <w:color w:val="auto"/>
                <w:sz w:val="24"/>
                <w:szCs w:val="24"/>
              </w:rPr>
            </w:pPr>
            <w:r>
              <w:rPr>
                <w:rFonts w:hint="eastAsia" w:ascii="宋体" w:hAnsi="宋体" w:eastAsia="宋体" w:cs="宋体"/>
                <w:color w:val="auto"/>
                <w:sz w:val="24"/>
                <w:szCs w:val="24"/>
              </w:rPr>
              <w:t>2.无业绩、无证明材料或证明材料不充分均不得分。</w:t>
            </w:r>
          </w:p>
        </w:tc>
        <w:tc>
          <w:tcPr>
            <w:tcW w:w="992" w:type="dxa"/>
            <w:vAlign w:val="center"/>
          </w:tcPr>
          <w:p w14:paraId="1398FE44">
            <w:pPr>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0.5</w:t>
            </w:r>
            <w:r>
              <w:rPr>
                <w:rFonts w:hint="eastAsia" w:ascii="宋体" w:hAnsi="宋体" w:eastAsia="宋体" w:cs="宋体"/>
                <w:color w:val="auto"/>
                <w:sz w:val="24"/>
                <w:szCs w:val="24"/>
              </w:rPr>
              <w:t>分</w:t>
            </w:r>
          </w:p>
        </w:tc>
      </w:tr>
      <w:tr w14:paraId="1BE1E6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 w:hRule="atLeast"/>
          <w:jc w:val="center"/>
        </w:trPr>
        <w:tc>
          <w:tcPr>
            <w:tcW w:w="968" w:type="dxa"/>
            <w:vAlign w:val="center"/>
          </w:tcPr>
          <w:p w14:paraId="11D371E1">
            <w:pPr>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相关证书</w:t>
            </w:r>
          </w:p>
        </w:tc>
        <w:tc>
          <w:tcPr>
            <w:tcW w:w="7754" w:type="dxa"/>
            <w:vAlign w:val="center"/>
          </w:tcPr>
          <w:p w14:paraId="72ED3881">
            <w:pPr>
              <w:adjustRightInd w:val="0"/>
              <w:snapToGrid w:val="0"/>
              <w:spacing w:line="360" w:lineRule="exact"/>
              <w:rPr>
                <w:rFonts w:hint="eastAsia" w:ascii="宋体" w:hAnsi="宋体" w:eastAsia="宋体" w:cs="宋体"/>
                <w:color w:val="auto"/>
                <w:sz w:val="24"/>
                <w:szCs w:val="24"/>
              </w:rPr>
            </w:pPr>
            <w:r>
              <w:rPr>
                <w:rFonts w:hint="eastAsia" w:ascii="宋体" w:hAnsi="宋体" w:eastAsia="宋体" w:cs="宋体"/>
                <w:color w:val="auto"/>
                <w:sz w:val="24"/>
                <w:szCs w:val="24"/>
              </w:rPr>
              <w:t>投标人具有由中国国家认证认可监督管理委员会备案通过的认证机构颁发且在全国认证认可信息公共服务平台的网页可查询的有效期内的质量管理体系（ISO9001）、环境管理体系（ISO14001）、信息安全管理体系（ISO27001）、职业健康安全管理体系（ISO45001或OHSAS18001）认证且认证覆盖范围为民意调查的，每个认证得2分，最高</w:t>
            </w:r>
            <w:r>
              <w:rPr>
                <w:rFonts w:hint="eastAsia" w:ascii="宋体" w:hAnsi="宋体" w:eastAsia="宋体" w:cs="宋体"/>
                <w:color w:val="auto"/>
                <w:sz w:val="24"/>
                <w:szCs w:val="24"/>
                <w:lang w:eastAsia="zh-CN"/>
              </w:rPr>
              <w:t>6</w:t>
            </w:r>
            <w:r>
              <w:rPr>
                <w:rFonts w:hint="eastAsia" w:ascii="宋体" w:hAnsi="宋体" w:eastAsia="宋体" w:cs="宋体"/>
                <w:color w:val="auto"/>
                <w:sz w:val="24"/>
                <w:szCs w:val="24"/>
              </w:rPr>
              <w:t>分；提供证书复印件和全国认证认可信息公共服务平台的网页查询结果，证明材料不完善或未提供不得分。</w:t>
            </w:r>
          </w:p>
        </w:tc>
        <w:tc>
          <w:tcPr>
            <w:tcW w:w="992" w:type="dxa"/>
            <w:vAlign w:val="center"/>
          </w:tcPr>
          <w:p w14:paraId="5C3D8A0B">
            <w:pPr>
              <w:spacing w:line="276" w:lineRule="auto"/>
              <w:jc w:val="center"/>
              <w:rPr>
                <w:rFonts w:hint="eastAsia" w:ascii="宋体" w:hAnsi="宋体" w:eastAsia="宋体" w:cs="宋体"/>
                <w:color w:val="auto"/>
                <w:sz w:val="24"/>
                <w:szCs w:val="24"/>
              </w:rPr>
            </w:pPr>
            <w:r>
              <w:rPr>
                <w:rFonts w:hint="eastAsia" w:ascii="宋体" w:hAnsi="宋体" w:eastAsia="宋体" w:cs="宋体"/>
                <w:color w:val="auto"/>
                <w:sz w:val="24"/>
                <w:szCs w:val="24"/>
              </w:rPr>
              <w:t>6分</w:t>
            </w:r>
          </w:p>
        </w:tc>
      </w:tr>
    </w:tbl>
    <w:p w14:paraId="0AD06589">
      <w:pPr>
        <w:pStyle w:val="392"/>
        <w:spacing w:before="0"/>
        <w:ind w:firstLine="643"/>
        <w:jc w:val="center"/>
        <w:rPr>
          <w:rFonts w:hint="eastAsia" w:cs="仿宋_GB2312" w:asciiTheme="minorEastAsia" w:hAnsiTheme="minorEastAsia" w:eastAsiaTheme="minorEastAsia"/>
          <w:b/>
          <w:color w:val="auto"/>
          <w:sz w:val="32"/>
        </w:rPr>
      </w:pPr>
    </w:p>
    <w:p w14:paraId="04B7E8F3">
      <w:pPr>
        <w:pStyle w:val="392"/>
        <w:spacing w:before="0"/>
        <w:ind w:firstLine="643"/>
        <w:jc w:val="center"/>
        <w:rPr>
          <w:rFonts w:cs="仿宋_GB2312" w:asciiTheme="minorEastAsia" w:hAnsiTheme="minorEastAsia" w:eastAsiaTheme="minorEastAsia"/>
          <w:b/>
          <w:color w:val="auto"/>
        </w:rPr>
      </w:pPr>
      <w:r>
        <w:rPr>
          <w:rFonts w:hint="eastAsia" w:cs="仿宋_GB2312" w:asciiTheme="minorEastAsia" w:hAnsiTheme="minorEastAsia" w:eastAsiaTheme="minorEastAsia"/>
          <w:b/>
          <w:color w:val="auto"/>
          <w:sz w:val="32"/>
        </w:rPr>
        <w:t>一、评审方法</w:t>
      </w:r>
    </w:p>
    <w:p w14:paraId="4838C8E9">
      <w:pPr>
        <w:adjustRightInd/>
        <w:spacing w:line="360" w:lineRule="auto"/>
        <w:ind w:firstLine="472" w:firstLineChars="196"/>
        <w:rPr>
          <w:rFonts w:hint="eastAsia" w:ascii="宋体" w:hAnsi="宋体" w:cs="宋体"/>
          <w:b w:val="0"/>
          <w:bCs/>
          <w:color w:val="auto"/>
          <w:kern w:val="0"/>
          <w:sz w:val="24"/>
        </w:rPr>
      </w:pPr>
      <w:r>
        <w:rPr>
          <w:rFonts w:hint="eastAsia" w:cs="Arial" w:asciiTheme="minorEastAsia" w:hAnsiTheme="minorEastAsia" w:eastAsiaTheme="minorEastAsia"/>
          <w:b/>
          <w:color w:val="auto"/>
          <w:kern w:val="0"/>
          <w:sz w:val="24"/>
        </w:rPr>
        <w:t>1.综合评分法。</w:t>
      </w:r>
      <w:r>
        <w:rPr>
          <w:rFonts w:hint="eastAsia" w:ascii="宋体" w:hAnsi="宋体" w:cs="宋体"/>
          <w:b w:val="0"/>
          <w:bCs/>
          <w:color w:val="auto"/>
          <w:kern w:val="0"/>
          <w:sz w:val="24"/>
        </w:rPr>
        <w:t>总分为100分。合格供应商的评标得分为各项目汇总得分，中标候选资格按评标得分由高到低顺序排列，得分相同的，按投标报价由低到高顺序排列；得分且投标报价相同的，按技术得分由高到低顺序排列，仍不能分出前后的，以投标签到先后顺序确定中标人。排名第一的供应商为中标候选人。中标人拒绝与采购人签订合同的，采购人可以按照评审报告推荐的中标候选人名单顺序，确定下一候选人为中标人，也可以重新开展政府采购活动。评分过程中采用四舍五入法，并保留小数2位。</w:t>
      </w:r>
    </w:p>
    <w:p w14:paraId="6E26C586">
      <w:pPr>
        <w:adjustRightInd/>
        <w:spacing w:line="360" w:lineRule="auto"/>
        <w:rPr>
          <w:rFonts w:cs="Arial" w:asciiTheme="minorEastAsia" w:hAnsiTheme="minorEastAsia" w:eastAsiaTheme="minorEastAsia"/>
          <w:color w:val="auto"/>
          <w:kern w:val="0"/>
          <w:sz w:val="24"/>
        </w:rPr>
      </w:pPr>
    </w:p>
    <w:p w14:paraId="32DB07A6">
      <w:pPr>
        <w:snapToGrid w:val="0"/>
        <w:spacing w:line="360" w:lineRule="auto"/>
        <w:ind w:left="120" w:leftChars="57" w:firstLine="422" w:firstLineChars="150"/>
        <w:jc w:val="center"/>
        <w:rPr>
          <w:rFonts w:cs="仿宋_GB2312" w:asciiTheme="minorEastAsia" w:hAnsiTheme="minorEastAsia" w:eastAsiaTheme="minorEastAsia"/>
          <w:b/>
          <w:color w:val="auto"/>
          <w:sz w:val="32"/>
        </w:rPr>
      </w:pPr>
      <w:r>
        <w:rPr>
          <w:rFonts w:hint="eastAsia" w:asciiTheme="minorEastAsia" w:hAnsiTheme="minorEastAsia" w:eastAsiaTheme="minorEastAsia"/>
          <w:b/>
          <w:color w:val="auto"/>
          <w:sz w:val="28"/>
          <w:szCs w:val="28"/>
        </w:rPr>
        <w:t xml:space="preserve">   </w:t>
      </w:r>
      <w:r>
        <w:rPr>
          <w:rFonts w:hint="eastAsia" w:cs="仿宋_GB2312" w:asciiTheme="minorEastAsia" w:hAnsiTheme="minorEastAsia" w:eastAsiaTheme="minorEastAsia"/>
          <w:b/>
          <w:color w:val="auto"/>
          <w:sz w:val="32"/>
        </w:rPr>
        <w:t>二、磋商小组的组成</w:t>
      </w:r>
    </w:p>
    <w:p w14:paraId="76DDC988">
      <w:pPr>
        <w:pStyle w:val="392"/>
        <w:spacing w:before="0"/>
        <w:ind w:firstLine="0" w:firstLineChars="0"/>
        <w:rPr>
          <w:rFonts w:cs="Arial" w:asciiTheme="minorEastAsia" w:hAnsiTheme="minorEastAsia" w:eastAsiaTheme="minorEastAsia"/>
          <w:b/>
          <w:color w:val="auto"/>
          <w:kern w:val="0"/>
        </w:rPr>
      </w:pPr>
      <w:r>
        <w:rPr>
          <w:rFonts w:hint="eastAsia" w:cs="Arial" w:asciiTheme="minorEastAsia" w:hAnsiTheme="minorEastAsia" w:eastAsiaTheme="minorEastAsia"/>
          <w:b/>
          <w:color w:val="auto"/>
          <w:kern w:val="0"/>
        </w:rPr>
        <w:t>1.磋商小组的组成。</w:t>
      </w:r>
    </w:p>
    <w:p w14:paraId="59401760">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磋商小组由采购人代表和评审专家共3人单数组成，其中评审专家人数不得少于磋商小组成员总数的2/3。采购人代表不得以评审专家身份参加本部门或本单位采购项目的评审。</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人员不得参加本机构代理的采购项目的评审。</w:t>
      </w:r>
    </w:p>
    <w:p w14:paraId="6D84FD05">
      <w:pPr>
        <w:snapToGrid w:val="0"/>
        <w:spacing w:line="360" w:lineRule="auto"/>
        <w:rPr>
          <w:rFonts w:cs="Arial" w:asciiTheme="minorEastAsia" w:hAnsiTheme="minorEastAsia" w:eastAsiaTheme="minorEastAsia"/>
          <w:b/>
          <w:color w:val="auto"/>
          <w:kern w:val="0"/>
          <w:sz w:val="24"/>
          <w:szCs w:val="20"/>
        </w:rPr>
      </w:pPr>
      <w:r>
        <w:rPr>
          <w:rFonts w:hint="eastAsia" w:cs="Arial" w:asciiTheme="minorEastAsia" w:hAnsiTheme="minorEastAsia" w:eastAsiaTheme="minorEastAsia"/>
          <w:b/>
          <w:color w:val="auto"/>
          <w:kern w:val="0"/>
          <w:sz w:val="24"/>
          <w:szCs w:val="20"/>
        </w:rPr>
        <w:t>2.磋商小组的组成人员的回避。</w:t>
      </w:r>
    </w:p>
    <w:p w14:paraId="68F4D094">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在政府采购活动中，磋商小组的组成人员与供应商有下列利害关系之一的，应当回避：</w:t>
      </w:r>
    </w:p>
    <w:p w14:paraId="14AA9875">
      <w:pPr>
        <w:pStyle w:val="392"/>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2.1参加采购活动前3年内与供应商存在劳动关系；</w:t>
      </w:r>
    </w:p>
    <w:p w14:paraId="69FAFDA0">
      <w:pPr>
        <w:pStyle w:val="392"/>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2.2参加采购活动前3年内担任供应商的董事、监事；</w:t>
      </w:r>
    </w:p>
    <w:p w14:paraId="1C4B8877">
      <w:pPr>
        <w:pStyle w:val="392"/>
        <w:spacing w:before="0"/>
        <w:ind w:firstLine="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　　2.3参加采购活动前3年内是供应商的控股股东或者实际控制人；</w:t>
      </w:r>
    </w:p>
    <w:p w14:paraId="3E4CA44F">
      <w:pPr>
        <w:pStyle w:val="392"/>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2.4与供应商的法定代表人或者负责人有夫妻、直系血亲、三代以内旁系血亲或者近姻亲关系；</w:t>
      </w:r>
    </w:p>
    <w:p w14:paraId="1AD536BC">
      <w:pPr>
        <w:pStyle w:val="392"/>
        <w:spacing w:before="0"/>
        <w:ind w:firstLine="480" w:firstLineChars="0"/>
        <w:rPr>
          <w:rFonts w:cs="Arial" w:asciiTheme="minorEastAsia" w:hAnsiTheme="minorEastAsia" w:eastAsiaTheme="minorEastAsia"/>
          <w:color w:val="auto"/>
          <w:kern w:val="0"/>
        </w:rPr>
      </w:pPr>
      <w:r>
        <w:rPr>
          <w:rFonts w:hint="eastAsia" w:cs="Arial" w:asciiTheme="minorEastAsia" w:hAnsiTheme="minorEastAsia" w:eastAsiaTheme="minorEastAsia"/>
          <w:color w:val="auto"/>
          <w:kern w:val="0"/>
        </w:rPr>
        <w:t>2.5与供应商有其他可能影响政府采购活动公平、公正进行的关系。</w:t>
      </w:r>
    </w:p>
    <w:p w14:paraId="7CA53CB9">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p>
    <w:p w14:paraId="1DAC2723">
      <w:pPr>
        <w:snapToGrid w:val="0"/>
        <w:spacing w:line="360" w:lineRule="auto"/>
        <w:ind w:left="120" w:leftChars="57" w:firstLine="482" w:firstLineChars="150"/>
        <w:jc w:val="center"/>
        <w:rPr>
          <w:rFonts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rPr>
        <w:t>三、磋商小组的职责</w:t>
      </w:r>
    </w:p>
    <w:p w14:paraId="691C8450">
      <w:pPr>
        <w:pStyle w:val="392"/>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1.磋商小组负责具体评审事务，并独立履行下列职责：</w:t>
      </w:r>
    </w:p>
    <w:p w14:paraId="63409960">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1.1</w:t>
      </w:r>
      <w:r>
        <w:rPr>
          <w:rFonts w:hint="eastAsia" w:asciiTheme="minorEastAsia" w:hAnsiTheme="minorEastAsia" w:eastAsiaTheme="minorEastAsia"/>
          <w:color w:val="auto"/>
          <w:szCs w:val="24"/>
        </w:rPr>
        <w:t>对供应商的资格进行审查；</w:t>
      </w:r>
      <w:r>
        <w:rPr>
          <w:rFonts w:hint="eastAsia" w:asciiTheme="minorEastAsia" w:hAnsiTheme="minorEastAsia" w:eastAsiaTheme="minorEastAsia"/>
          <w:color w:val="auto"/>
        </w:rPr>
        <w:t>对响应文件的有效性、完整性和响应程度进行审查；</w:t>
      </w:r>
    </w:p>
    <w:p w14:paraId="61118AC9">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1.2审查、评价响应文件是否符合磋商文件的商务、技术等实质性要求；</w:t>
      </w:r>
    </w:p>
    <w:p w14:paraId="2B248047">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1.3要求供应商对响应文件有关事项作出澄清、说明或者更正；</w:t>
      </w:r>
    </w:p>
    <w:p w14:paraId="49DDD322">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1.4磋商小组集中与单一供应商分别进行磋商；</w:t>
      </w:r>
    </w:p>
    <w:p w14:paraId="0E496C2A">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1.5确定磋商文件的变动情况，并确定提交最后报价的供应商；</w:t>
      </w:r>
    </w:p>
    <w:p w14:paraId="1567C3AD">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1.6根据磋商文件确定的评审办法及评审标准对提交最后报价的供应商的响应文件和最后报价采用综合评分法进行综合评分；</w:t>
      </w:r>
    </w:p>
    <w:p w14:paraId="68BFA232">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1.7编制评审报告，确定成交候选人名单，以及根据采购人委托直接确定成交人；</w:t>
      </w:r>
    </w:p>
    <w:p w14:paraId="292AAFD5">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1.8向采购人、</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或者有关部门报告评审中发现的违法行为；</w:t>
      </w:r>
    </w:p>
    <w:p w14:paraId="01065F0E">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1.9法律、法规、规章、磋商文件等规定的其它事项。</w:t>
      </w:r>
    </w:p>
    <w:p w14:paraId="1E9C51D1">
      <w:pPr>
        <w:pStyle w:val="392"/>
        <w:spacing w:before="0"/>
        <w:ind w:firstLine="0" w:firstLineChars="0"/>
        <w:rPr>
          <w:rFonts w:cs="Arial" w:asciiTheme="minorEastAsia" w:hAnsiTheme="minorEastAsia" w:eastAsiaTheme="minorEastAsia"/>
          <w:b/>
          <w:color w:val="auto"/>
          <w:kern w:val="0"/>
          <w:szCs w:val="24"/>
        </w:rPr>
      </w:pPr>
      <w:r>
        <w:rPr>
          <w:rFonts w:hint="eastAsia" w:cs="Arial" w:asciiTheme="minorEastAsia" w:hAnsiTheme="minorEastAsia" w:eastAsiaTheme="minorEastAsia"/>
          <w:b/>
          <w:color w:val="auto"/>
          <w:kern w:val="0"/>
          <w:szCs w:val="24"/>
        </w:rPr>
        <w:t>2.磋商小组及其成员不得有下列行为：</w:t>
      </w:r>
    </w:p>
    <w:p w14:paraId="01C9F1B0">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2.1确定参与本项目至评审结束前私自接触供应商；</w:t>
      </w:r>
    </w:p>
    <w:p w14:paraId="66CC15C3">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 xml:space="preserve">2.2接受供应商提出的“超出响应文件的范围或者改变响应文件的实质性内容”的澄清、说明或者更正； </w:t>
      </w:r>
    </w:p>
    <w:p w14:paraId="692B979B">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2.3违反评审纪律发表倾向性意见或者征询采购人的倾向性意见；</w:t>
      </w:r>
    </w:p>
    <w:p w14:paraId="435649D1">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2.4对需要专业判断的主观评审因素协商评分；</w:t>
      </w:r>
    </w:p>
    <w:p w14:paraId="7D96DD7D">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2.5在评审过程中擅离职守，影响评审程序正常进行的；</w:t>
      </w:r>
    </w:p>
    <w:p w14:paraId="6C8ACFA4">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2.6记录、复制或者带走任何评审资料；</w:t>
      </w:r>
    </w:p>
    <w:p w14:paraId="77B64C9E">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2.7其他不遵守评审纪律的行为。</w:t>
      </w:r>
    </w:p>
    <w:p w14:paraId="0FCB4004">
      <w:pPr>
        <w:pStyle w:val="392"/>
        <w:spacing w:before="0"/>
        <w:ind w:firstLine="480"/>
        <w:rPr>
          <w:rFonts w:asciiTheme="minorEastAsia" w:hAnsiTheme="minorEastAsia" w:eastAsiaTheme="minorEastAsia"/>
          <w:color w:val="auto"/>
        </w:rPr>
      </w:pPr>
      <w:r>
        <w:rPr>
          <w:rFonts w:hint="eastAsia" w:asciiTheme="minorEastAsia" w:hAnsiTheme="minorEastAsia" w:eastAsiaTheme="minorEastAsia"/>
          <w:color w:val="auto"/>
        </w:rPr>
        <w:t>磋商小组成员有2.1-2.5行为之一的，其评审意见无效，并不得获取评审劳务报酬和报销异地评审差旅费。</w:t>
      </w:r>
    </w:p>
    <w:p w14:paraId="4752DAAE">
      <w:pPr>
        <w:pStyle w:val="392"/>
        <w:spacing w:before="0"/>
        <w:ind w:firstLine="0" w:firstLineChars="0"/>
        <w:rPr>
          <w:rFonts w:asciiTheme="minorEastAsia" w:hAnsiTheme="minorEastAsia" w:eastAsiaTheme="minorEastAsia"/>
          <w:b/>
          <w:color w:val="auto"/>
        </w:rPr>
      </w:pPr>
    </w:p>
    <w:p w14:paraId="72F61F60">
      <w:pPr>
        <w:pStyle w:val="392"/>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四、评审程序</w:t>
      </w:r>
    </w:p>
    <w:p w14:paraId="1AAA1D6F">
      <w:pPr>
        <w:pStyle w:val="392"/>
        <w:spacing w:before="0"/>
        <w:ind w:firstLine="472" w:firstLineChars="196"/>
        <w:rPr>
          <w:rFonts w:asciiTheme="minorEastAsia" w:hAnsiTheme="minorEastAsia" w:eastAsiaTheme="minorEastAsia"/>
          <w:b/>
          <w:color w:val="auto"/>
        </w:rPr>
      </w:pPr>
      <w:r>
        <w:rPr>
          <w:rFonts w:hint="eastAsia" w:asciiTheme="minorEastAsia" w:hAnsiTheme="minorEastAsia" w:eastAsiaTheme="minorEastAsia"/>
          <w:b/>
          <w:color w:val="auto"/>
        </w:rPr>
        <w:t>详见磋商文件“第二部分 竞争性磋商流程”。</w:t>
      </w:r>
    </w:p>
    <w:p w14:paraId="2DDDA50A">
      <w:pPr>
        <w:pStyle w:val="392"/>
        <w:spacing w:before="0"/>
        <w:ind w:firstLine="0" w:firstLineChars="0"/>
        <w:rPr>
          <w:rFonts w:asciiTheme="minorEastAsia" w:hAnsiTheme="minorEastAsia" w:eastAsiaTheme="minorEastAsia"/>
          <w:b/>
          <w:color w:val="auto"/>
        </w:rPr>
      </w:pPr>
    </w:p>
    <w:p w14:paraId="61730662">
      <w:pPr>
        <w:pStyle w:val="392"/>
        <w:spacing w:before="0"/>
        <w:ind w:firstLine="0" w:firstLineChars="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五、评审须知</w:t>
      </w:r>
    </w:p>
    <w:p w14:paraId="06BDF24B">
      <w:pPr>
        <w:pStyle w:val="392"/>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szCs w:val="24"/>
        </w:rPr>
        <w:t>1. 响应文件的澄清</w:t>
      </w:r>
    </w:p>
    <w:p w14:paraId="6C797D04">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对于响应文件中含义不明确、同类问题表述不一致或者有明显文字和计算错误的内容需要供应商做出必要的澄清、说明或者补正的，磋商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72F5CB21">
      <w:pPr>
        <w:pStyle w:val="392"/>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2.最后报价的修正原则</w:t>
      </w:r>
    </w:p>
    <w:p w14:paraId="3349F3F2">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磋商小组对响应文件的最后报价进行审核，对发现计算、书写等错误的，按以下原则进行修正：</w:t>
      </w:r>
    </w:p>
    <w:p w14:paraId="3B56E4FB">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2.1《最后报价一览表》内容与响应文件中响应内容不一致的，以《最后报价一览表》为准;</w:t>
      </w:r>
    </w:p>
    <w:p w14:paraId="746117F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2.2大写金额和小写金额不一致的，以大写金额为准;</w:t>
      </w:r>
    </w:p>
    <w:p w14:paraId="6D2ED4D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2.3单价金额小数点或者百分比有明显错位的，以《最后报价一览表》的总价为准，并修改单价;</w:t>
      </w:r>
    </w:p>
    <w:p w14:paraId="4D40317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2.4总价金额与按单价汇总金额不一致的，以单价金额计算结果为准。</w:t>
      </w:r>
    </w:p>
    <w:p w14:paraId="45EA25CB">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2.5同时出现两种以上不一致的，按照前款规定的顺序修正。</w:t>
      </w:r>
    </w:p>
    <w:p w14:paraId="1825331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2.6以修正后的总价作为最后报价。</w:t>
      </w:r>
    </w:p>
    <w:p w14:paraId="7D8396BD">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Cs/>
          <w:color w:val="auto"/>
          <w:sz w:val="24"/>
        </w:rPr>
        <w:t>▲</w:t>
      </w:r>
      <w:r>
        <w:rPr>
          <w:rFonts w:hint="eastAsia" w:cs="仿宋_GB2312" w:asciiTheme="minorEastAsia" w:hAnsiTheme="minorEastAsia" w:eastAsiaTheme="minorEastAsia"/>
          <w:b/>
          <w:bCs/>
          <w:color w:val="auto"/>
          <w:sz w:val="24"/>
        </w:rPr>
        <w:t>供应商对根据修正原则修正后的最后报价不确认的，响应无效。</w:t>
      </w:r>
    </w:p>
    <w:p w14:paraId="517E510A">
      <w:pPr>
        <w:pStyle w:val="392"/>
        <w:spacing w:before="0"/>
        <w:ind w:firstLine="0" w:firstLineChars="0"/>
        <w:rPr>
          <w:rFonts w:cs="仿宋_GB2312" w:asciiTheme="minorEastAsia" w:hAnsiTheme="minorEastAsia" w:eastAsiaTheme="minorEastAsia"/>
          <w:b/>
          <w:color w:val="auto"/>
          <w:szCs w:val="24"/>
        </w:rPr>
      </w:pPr>
      <w:r>
        <w:rPr>
          <w:rFonts w:hint="eastAsia" w:asciiTheme="minorEastAsia" w:hAnsiTheme="minorEastAsia" w:eastAsiaTheme="minorEastAsia"/>
          <w:b/>
          <w:color w:val="auto"/>
        </w:rPr>
        <w:t>3.</w:t>
      </w:r>
      <w:r>
        <w:rPr>
          <w:rFonts w:hint="eastAsia" w:asciiTheme="minorEastAsia" w:hAnsiTheme="minorEastAsia" w:eastAsiaTheme="minorEastAsia"/>
          <w:b/>
          <w:color w:val="auto"/>
          <w:spacing w:val="20"/>
        </w:rPr>
        <w:t>响应无效</w:t>
      </w:r>
    </w:p>
    <w:p w14:paraId="7766D15B">
      <w:pPr>
        <w:pStyle w:val="23"/>
        <w:spacing w:line="360" w:lineRule="auto"/>
        <w:ind w:firstLine="600" w:firstLineChars="250"/>
        <w:rPr>
          <w:rFonts w:asciiTheme="minorEastAsia" w:hAnsiTheme="minorEastAsia" w:eastAsiaTheme="minorEastAsia"/>
          <w:color w:val="auto"/>
          <w:szCs w:val="21"/>
        </w:rPr>
      </w:pPr>
      <w:r>
        <w:rPr>
          <w:rFonts w:hint="eastAsia" w:cs="仿宋_GB2312" w:asciiTheme="minorEastAsia" w:hAnsiTheme="minorEastAsia" w:eastAsiaTheme="minorEastAsia"/>
          <w:color w:val="auto"/>
          <w:szCs w:val="21"/>
        </w:rPr>
        <w:t>有下列情况之一的，响应无效</w:t>
      </w:r>
      <w:r>
        <w:rPr>
          <w:rFonts w:hint="eastAsia" w:asciiTheme="minorEastAsia" w:hAnsiTheme="minorEastAsia" w:eastAsiaTheme="minorEastAsia"/>
          <w:color w:val="auto"/>
          <w:szCs w:val="21"/>
        </w:rPr>
        <w:t>：</w:t>
      </w:r>
    </w:p>
    <w:p w14:paraId="615BCF30">
      <w:pPr>
        <w:spacing w:line="360" w:lineRule="auto"/>
        <w:ind w:firstLine="480" w:firstLineChars="200"/>
        <w:rPr>
          <w:rFonts w:cs="仿宋_GB2312" w:asciiTheme="minorEastAsia" w:hAnsiTheme="minorEastAsia" w:eastAsiaTheme="minorEastAsia"/>
          <w:color w:val="auto"/>
          <w:sz w:val="24"/>
          <w:szCs w:val="21"/>
        </w:rPr>
      </w:pPr>
      <w:r>
        <w:rPr>
          <w:rFonts w:hint="eastAsia" w:asciiTheme="minorEastAsia" w:hAnsiTheme="minorEastAsia" w:eastAsiaTheme="minorEastAsia"/>
          <w:color w:val="auto"/>
          <w:sz w:val="24"/>
        </w:rPr>
        <w:t>3.1</w:t>
      </w:r>
      <w:r>
        <w:rPr>
          <w:rFonts w:hint="eastAsia" w:cs="仿宋_GB2312" w:asciiTheme="minorEastAsia" w:hAnsiTheme="minorEastAsia" w:eastAsiaTheme="minorEastAsia"/>
          <w:color w:val="auto"/>
          <w:sz w:val="24"/>
          <w:szCs w:val="21"/>
        </w:rPr>
        <w:t>单位负责人为同一人或者存在直接控股、管理关系的不同供应商参加同一合同项下的政府采购活动的（均无效）；</w:t>
      </w:r>
    </w:p>
    <w:p w14:paraId="4CF093F1">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 xml:space="preserve">3.2为采购项目提供整体设计、规范编制或者项目管理、监理、检测等服务的供应商再参加该采购项目的其他采购活动的； </w:t>
      </w:r>
    </w:p>
    <w:p w14:paraId="505A005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3.3供应商不具备磋商文件中规定的资格要求的（供应商未提供有效的资格证明文件的，视为供应商不具备磋商文件中规定的资格要求）；</w:t>
      </w:r>
    </w:p>
    <w:p w14:paraId="5C08B6A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3.4如以联合体形式参加政府采购活动的，联合协议不符合磋商文件规定的联合协议要求的；</w:t>
      </w:r>
    </w:p>
    <w:p w14:paraId="50AB78D8">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3.5响应文件未按磋商文件的澄清、修改的内容编制，又不符合实质性要求的；</w:t>
      </w:r>
    </w:p>
    <w:p w14:paraId="7ED34694">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3.6响应文件组成漏项，内容不全或内容字迹模糊辨认不清的；</w:t>
      </w:r>
    </w:p>
    <w:p w14:paraId="2901A07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3.7响应文件中法人授权书所载内容与本项目内容有异的；</w:t>
      </w:r>
    </w:p>
    <w:p w14:paraId="29FE429A">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3.8响应文件未按照磋商文件要求签署、盖章的；</w:t>
      </w:r>
    </w:p>
    <w:p w14:paraId="5763B097">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3.9</w:t>
      </w:r>
      <w:r>
        <w:rPr>
          <w:rFonts w:hint="eastAsia" w:ascii="宋体" w:hAnsi="宋体" w:cs="宋体"/>
          <w:color w:val="auto"/>
          <w:kern w:val="0"/>
          <w:sz w:val="24"/>
        </w:rPr>
        <w:t>采购人拟采购的产品属于政府强制采购的节能产品品目清单范围的，供应商相应的响应产品未获得国家确定的认证机构出具的、处于有效期之内的节能产品认证证书的；</w:t>
      </w:r>
    </w:p>
    <w:p w14:paraId="61EA19B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3.10响应文件含有采购人不能接受的附加条件的；</w:t>
      </w:r>
    </w:p>
    <w:p w14:paraId="281C2F62">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3.11响应文件中承诺的响应有效期少于磋商文件中载明的响应有效期的；</w:t>
      </w:r>
    </w:p>
    <w:p w14:paraId="34C45FA3">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3.12供应商所投内容不符合磋商文件中实质性要求的；</w:t>
      </w:r>
    </w:p>
    <w:p w14:paraId="42E29BA0">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3.13所提交的《最后报价一览表》中出现不是唯一的、有选择性的报价的;</w:t>
      </w:r>
    </w:p>
    <w:p w14:paraId="7574137E">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3.14最后报价高于本项目采购预算或者最高限价的;</w:t>
      </w:r>
    </w:p>
    <w:p w14:paraId="13A662ED">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3.15最后报价明显低于其他供应商的最后报价，有可能影响产品质量或者不能诚信履约的，未能按要求提供书面说明或者提交相关证明材料，不能证明其报价合理性的;</w:t>
      </w:r>
    </w:p>
    <w:p w14:paraId="1193C6DC">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3.16《最后报价一览表》填写不完整或字迹不能辨认或有漏项的；</w:t>
      </w:r>
    </w:p>
    <w:p w14:paraId="230EDE75">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3.17供应商对根据修正原则修正后的最后报价不确认的；</w:t>
      </w:r>
    </w:p>
    <w:p w14:paraId="43553C33">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3.18供应商提供虚假材料响应的（包括但不限于以下情节）；</w:t>
      </w:r>
    </w:p>
    <w:p w14:paraId="346855FC">
      <w:pPr>
        <w:pStyle w:val="104"/>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使用伪造、变造的许可证件；</w:t>
      </w:r>
    </w:p>
    <w:p w14:paraId="46F9F49D">
      <w:pPr>
        <w:pStyle w:val="104"/>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提供虚假的财务状况或者业绩；</w:t>
      </w:r>
    </w:p>
    <w:p w14:paraId="06FF76AF">
      <w:pPr>
        <w:pStyle w:val="104"/>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提供虚假的项目负责人或者主要技术人员简历、劳动关系证明；</w:t>
      </w:r>
    </w:p>
    <w:p w14:paraId="26AA66FC">
      <w:pPr>
        <w:pStyle w:val="104"/>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提供虚假的信用状况；</w:t>
      </w:r>
    </w:p>
    <w:p w14:paraId="0D0C430B">
      <w:pPr>
        <w:pStyle w:val="104"/>
        <w:numPr>
          <w:ilvl w:val="0"/>
          <w:numId w:val="10"/>
        </w:numPr>
        <w:ind w:firstLineChars="0"/>
        <w:rPr>
          <w:rFonts w:asciiTheme="minorEastAsia" w:hAnsiTheme="minorEastAsia" w:eastAsiaTheme="minorEastAsia"/>
          <w:color w:val="auto"/>
        </w:rPr>
      </w:pPr>
      <w:r>
        <w:rPr>
          <w:rFonts w:hint="eastAsia" w:asciiTheme="minorEastAsia" w:hAnsiTheme="minorEastAsia" w:eastAsiaTheme="minorEastAsia"/>
          <w:color w:val="auto"/>
        </w:rPr>
        <w:t>其他弄虚作假的行为。</w:t>
      </w:r>
    </w:p>
    <w:p w14:paraId="635D5BF0">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3.19供应商有恶意串通、妨碍其他供应商的竞争行为、损害采购人或者其他供应商的合法权益情形的。</w:t>
      </w:r>
    </w:p>
    <w:p w14:paraId="12BF29F5">
      <w:pPr>
        <w:spacing w:line="360" w:lineRule="auto"/>
        <w:ind w:firstLine="480"/>
        <w:rPr>
          <w:rFonts w:asciiTheme="minorEastAsia" w:hAnsiTheme="minorEastAsia" w:eastAsiaTheme="minorEastAsia"/>
          <w:color w:val="auto"/>
          <w:sz w:val="24"/>
        </w:rPr>
      </w:pPr>
      <w:r>
        <w:rPr>
          <w:rFonts w:hint="eastAsia" w:asciiTheme="minorEastAsia" w:hAnsiTheme="minorEastAsia" w:eastAsiaTheme="minorEastAsia"/>
          <w:color w:val="auto"/>
          <w:sz w:val="24"/>
        </w:rPr>
        <w:t>有下列情形之一的，属于或视为恶意串通，其响应无效：</w:t>
      </w:r>
    </w:p>
    <w:p w14:paraId="2C043F7C">
      <w:pPr>
        <w:pStyle w:val="104"/>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供应商直接或者间接从采购人或者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处获得其他供应商的相关情况并修改其响应文件；</w:t>
      </w:r>
    </w:p>
    <w:p w14:paraId="5A211500">
      <w:pPr>
        <w:pStyle w:val="104"/>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供应商按照采购人或者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的授意撤换、修改投标文件或者响应文件；</w:t>
      </w:r>
    </w:p>
    <w:p w14:paraId="071998D5">
      <w:pPr>
        <w:pStyle w:val="104"/>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供应商之间协商报价、技术方案等投标文件或者响应文件的实质性内容；</w:t>
      </w:r>
    </w:p>
    <w:p w14:paraId="612441B1">
      <w:pPr>
        <w:pStyle w:val="104"/>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属于同一集团、协会、商会等组织成员的供应商按照该组织要求协同参加政府采购活动；</w:t>
      </w:r>
    </w:p>
    <w:p w14:paraId="2023D892">
      <w:pPr>
        <w:pStyle w:val="104"/>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供应商之间事先约定由某一特定供应商中标、成交；</w:t>
      </w:r>
    </w:p>
    <w:p w14:paraId="1F0A8537">
      <w:pPr>
        <w:pStyle w:val="104"/>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供应商之间商定部分供应商放弃参加政府采购活动或者放弃中标、成交；</w:t>
      </w:r>
    </w:p>
    <w:p w14:paraId="3CD6A7E5">
      <w:pPr>
        <w:pStyle w:val="104"/>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供应商与采购人或者</w:t>
      </w:r>
      <w:r>
        <w:rPr>
          <w:rFonts w:hint="eastAsia" w:asciiTheme="minorEastAsia" w:hAnsiTheme="minorEastAsia" w:eastAsiaTheme="minorEastAsia"/>
          <w:color w:val="auto"/>
          <w:lang w:eastAsia="zh-CN"/>
        </w:rPr>
        <w:t>采购代理机构</w:t>
      </w:r>
      <w:r>
        <w:rPr>
          <w:rFonts w:hint="eastAsia" w:asciiTheme="minorEastAsia" w:hAnsiTheme="minorEastAsia" w:eastAsiaTheme="minorEastAsia"/>
          <w:color w:val="auto"/>
        </w:rPr>
        <w:t>之间、供应商相互之间，为谋求特定供应商中标、成交或者排斥其他供应商的其他串通行为。</w:t>
      </w:r>
    </w:p>
    <w:p w14:paraId="6FA35960">
      <w:pPr>
        <w:pStyle w:val="104"/>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不同供应商的响应文件由同一单位或者个人编制；</w:t>
      </w:r>
    </w:p>
    <w:p w14:paraId="56633526">
      <w:pPr>
        <w:pStyle w:val="104"/>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不同供应商委托同一单位或者个人办理响应事宜；</w:t>
      </w:r>
    </w:p>
    <w:p w14:paraId="4A11E9B7">
      <w:pPr>
        <w:pStyle w:val="104"/>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不同供应商的响应文件载明的项目管理成员或者联系人员为同一人；</w:t>
      </w:r>
    </w:p>
    <w:p w14:paraId="2FFD3FC9">
      <w:pPr>
        <w:pStyle w:val="104"/>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不同供应商的响应文件异常一致或者最后报价呈规律性差异；</w:t>
      </w:r>
    </w:p>
    <w:p w14:paraId="3D3769B0">
      <w:pPr>
        <w:pStyle w:val="104"/>
        <w:numPr>
          <w:ilvl w:val="0"/>
          <w:numId w:val="11"/>
        </w:numPr>
        <w:ind w:firstLineChars="0"/>
        <w:rPr>
          <w:rFonts w:asciiTheme="minorEastAsia" w:hAnsiTheme="minorEastAsia" w:eastAsiaTheme="minorEastAsia"/>
          <w:color w:val="auto"/>
        </w:rPr>
      </w:pPr>
      <w:r>
        <w:rPr>
          <w:rFonts w:hint="eastAsia" w:asciiTheme="minorEastAsia" w:hAnsiTheme="minorEastAsia" w:eastAsiaTheme="minorEastAsia"/>
          <w:color w:val="auto"/>
        </w:rPr>
        <w:t>不同供应商的响应文件相互混装。</w:t>
      </w:r>
    </w:p>
    <w:p w14:paraId="653E3A72">
      <w:pPr>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rPr>
        <w:t>3.20供应商仅提交备份响应文件，没有在电子交易平台传输提交响应文件的，响应无效；</w:t>
      </w:r>
    </w:p>
    <w:p w14:paraId="3196984F">
      <w:pPr>
        <w:spacing w:line="360" w:lineRule="auto"/>
        <w:ind w:firstLine="480" w:firstLineChars="200"/>
        <w:rPr>
          <w:rFonts w:hint="eastAsia" w:asciiTheme="minorEastAsia" w:hAnsiTheme="minorEastAsia" w:eastAsiaTheme="minorEastAsia"/>
          <w:color w:val="auto"/>
          <w:sz w:val="24"/>
          <w:lang w:val="en-US" w:eastAsia="zh-CN"/>
        </w:rPr>
      </w:pPr>
      <w:r>
        <w:rPr>
          <w:rFonts w:hint="eastAsia" w:asciiTheme="minorEastAsia" w:hAnsiTheme="minorEastAsia" w:eastAsiaTheme="minorEastAsia"/>
          <w:color w:val="auto"/>
          <w:sz w:val="24"/>
          <w:lang w:val="en-US" w:eastAsia="zh-CN"/>
        </w:rPr>
        <w:t>3.21不同供应商的电子投标（响应）文件上传计算机的网卡MAC地址、CPU序列号和硬盘序列号等硬件信息相同的；</w:t>
      </w:r>
    </w:p>
    <w:p w14:paraId="7A244583">
      <w:pPr>
        <w:spacing w:line="360" w:lineRule="auto"/>
        <w:ind w:firstLine="480" w:firstLineChars="200"/>
        <w:rPr>
          <w:rFonts w:hint="eastAsia" w:asciiTheme="minorEastAsia" w:hAnsiTheme="minorEastAsia" w:eastAsiaTheme="minorEastAsia"/>
          <w:color w:val="auto"/>
          <w:sz w:val="24"/>
          <w:lang w:val="en-US" w:eastAsia="zh-CN"/>
        </w:rPr>
      </w:pPr>
      <w:r>
        <w:rPr>
          <w:rFonts w:hint="eastAsia" w:asciiTheme="minorEastAsia" w:hAnsiTheme="minorEastAsia" w:eastAsiaTheme="minorEastAsia"/>
          <w:color w:val="auto"/>
          <w:sz w:val="24"/>
          <w:lang w:val="en-US" w:eastAsia="zh-CN"/>
        </w:rPr>
        <w:t xml:space="preserve">3.22上传的电子投标（响应）文件若出现使用本项目其他投标（响应）供应商的数字证书加息密的，或者加盖本项目其他投标（响应）供应商的电子印章的； </w:t>
      </w:r>
    </w:p>
    <w:p w14:paraId="5D5A3029">
      <w:pPr>
        <w:spacing w:line="360" w:lineRule="auto"/>
        <w:ind w:firstLine="480" w:firstLineChars="200"/>
        <w:rPr>
          <w:rFonts w:hint="eastAsia" w:asciiTheme="minorEastAsia" w:hAnsiTheme="minorEastAsia" w:eastAsiaTheme="minorEastAsia"/>
          <w:color w:val="auto"/>
          <w:sz w:val="24"/>
          <w:lang w:val="en-US" w:eastAsia="zh-CN"/>
        </w:rPr>
      </w:pPr>
      <w:r>
        <w:rPr>
          <w:rFonts w:hint="eastAsia" w:asciiTheme="minorEastAsia" w:hAnsiTheme="minorEastAsia" w:eastAsiaTheme="minorEastAsia"/>
          <w:color w:val="auto"/>
          <w:sz w:val="24"/>
          <w:lang w:val="en-US" w:eastAsia="zh-CN"/>
        </w:rPr>
        <w:t>3.23不同供应商的投标（响应）文件的内容存在三处（含）以上错误一致，且无法合理解释的；</w:t>
      </w:r>
    </w:p>
    <w:p w14:paraId="25CB0E77">
      <w:pPr>
        <w:spacing w:line="360" w:lineRule="auto"/>
        <w:ind w:firstLine="480" w:firstLineChars="200"/>
        <w:rPr>
          <w:rFonts w:hint="eastAsia" w:asciiTheme="minorEastAsia" w:hAnsiTheme="minorEastAsia" w:eastAsiaTheme="minorEastAsia"/>
          <w:color w:val="auto"/>
          <w:sz w:val="24"/>
        </w:rPr>
      </w:pPr>
      <w:r>
        <w:rPr>
          <w:rFonts w:hint="eastAsia" w:asciiTheme="minorEastAsia" w:hAnsiTheme="minorEastAsia" w:eastAsiaTheme="minorEastAsia"/>
          <w:color w:val="auto"/>
          <w:sz w:val="24"/>
          <w:lang w:val="en-US" w:eastAsia="zh-CN"/>
        </w:rPr>
        <w:t>3.24不同供应商联系人为同一人或不同联系人的联系电话一致，且无法合理解释的。</w:t>
      </w:r>
    </w:p>
    <w:p w14:paraId="61351D7F">
      <w:pPr>
        <w:spacing w:line="360" w:lineRule="auto"/>
        <w:ind w:firstLine="480" w:firstLineChars="200"/>
        <w:rPr>
          <w:rFonts w:asciiTheme="minorEastAsia" w:hAnsiTheme="minorEastAsia" w:eastAsiaTheme="minorEastAsia"/>
          <w:color w:val="auto"/>
          <w:sz w:val="24"/>
        </w:rPr>
      </w:pPr>
      <w:r>
        <w:rPr>
          <w:rFonts w:hint="eastAsia" w:asciiTheme="minorEastAsia" w:hAnsiTheme="minorEastAsia" w:eastAsiaTheme="minorEastAsia"/>
          <w:color w:val="auto"/>
          <w:sz w:val="24"/>
        </w:rPr>
        <w:t>3.2</w:t>
      </w:r>
      <w:r>
        <w:rPr>
          <w:rFonts w:hint="eastAsia" w:asciiTheme="minorEastAsia" w:hAnsiTheme="minorEastAsia" w:eastAsiaTheme="minorEastAsia"/>
          <w:color w:val="auto"/>
          <w:sz w:val="24"/>
          <w:lang w:val="en-US" w:eastAsia="zh-CN"/>
        </w:rPr>
        <w:t>5</w:t>
      </w:r>
      <w:r>
        <w:rPr>
          <w:rFonts w:hint="eastAsia" w:asciiTheme="minorEastAsia" w:hAnsiTheme="minorEastAsia" w:eastAsiaTheme="minorEastAsia"/>
          <w:color w:val="auto"/>
          <w:sz w:val="24"/>
        </w:rPr>
        <w:t>法律、法规、规章（适用本市的）及省级以上规范性文件（适用本市的）规定的其他无效情形。</w:t>
      </w:r>
    </w:p>
    <w:p w14:paraId="1D81BF49">
      <w:pPr>
        <w:pStyle w:val="392"/>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4. 重新开展采购活动</w:t>
      </w:r>
    </w:p>
    <w:p w14:paraId="562CC92B">
      <w:pPr>
        <w:spacing w:line="360" w:lineRule="auto"/>
        <w:ind w:firstLine="407" w:firstLineChars="194"/>
        <w:rPr>
          <w:rFonts w:asciiTheme="minorEastAsia" w:hAnsiTheme="minorEastAsia" w:eastAsiaTheme="minorEastAsia"/>
          <w:color w:val="auto"/>
          <w:sz w:val="24"/>
          <w:szCs w:val="21"/>
        </w:rPr>
      </w:pPr>
      <w:r>
        <w:rPr>
          <w:rFonts w:hint="eastAsia" w:cs="Arial" w:asciiTheme="minorEastAsia" w:hAnsiTheme="minorEastAsia" w:eastAsiaTheme="minorEastAsia"/>
          <w:color w:val="auto"/>
          <w:szCs w:val="21"/>
        </w:rPr>
        <w:t xml:space="preserve"> </w:t>
      </w:r>
      <w:r>
        <w:rPr>
          <w:rFonts w:hint="eastAsia" w:asciiTheme="minorEastAsia" w:hAnsiTheme="minorEastAsia" w:eastAsiaTheme="minorEastAsia"/>
          <w:color w:val="auto"/>
          <w:sz w:val="24"/>
          <w:szCs w:val="21"/>
        </w:rPr>
        <w:t>出现下列情形之一的，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应当终止竞争性磋商采购活动，通过电子交易平台发布项目终止公告并说明原因，重新开展采购活动：</w:t>
      </w:r>
    </w:p>
    <w:p w14:paraId="556FC7D1">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（1）因情况变化，不再符合规定的竞争性磋商采购方式适用情形的；</w:t>
      </w:r>
    </w:p>
    <w:p w14:paraId="3579966E">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（2）出现影响采购公正的违法、违规行为的；</w:t>
      </w:r>
    </w:p>
    <w:p w14:paraId="5C44BAA3">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（3）在采购过程中符合要求的供应商或者最后报价未超过采购预算的供应商不足3家的（有特殊规定的从其规定）。</w:t>
      </w:r>
    </w:p>
    <w:p w14:paraId="7EAC230F">
      <w:pPr>
        <w:pStyle w:val="392"/>
        <w:spacing w:before="0"/>
        <w:ind w:firstLine="0" w:firstLineChars="0"/>
        <w:rPr>
          <w:rFonts w:asciiTheme="minorEastAsia" w:hAnsiTheme="minorEastAsia" w:eastAsiaTheme="minorEastAsia"/>
          <w:b/>
          <w:color w:val="auto"/>
          <w:szCs w:val="24"/>
        </w:rPr>
      </w:pPr>
      <w:r>
        <w:rPr>
          <w:rFonts w:hint="eastAsia" w:asciiTheme="minorEastAsia" w:hAnsiTheme="minorEastAsia" w:eastAsiaTheme="minorEastAsia"/>
          <w:b/>
          <w:color w:val="auto"/>
          <w:szCs w:val="24"/>
        </w:rPr>
        <w:t>5. 终止采购活动</w:t>
      </w:r>
    </w:p>
    <w:p w14:paraId="2024B863">
      <w:pPr>
        <w:spacing w:line="360" w:lineRule="auto"/>
        <w:ind w:firstLine="465" w:firstLineChars="194"/>
        <w:rPr>
          <w:rFonts w:asciiTheme="minorEastAsia" w:hAnsiTheme="minorEastAsia" w:eastAsiaTheme="minorEastAsia"/>
          <w:color w:val="auto"/>
          <w:sz w:val="24"/>
          <w:szCs w:val="21"/>
        </w:rPr>
      </w:pPr>
      <w:r>
        <w:rPr>
          <w:rFonts w:hint="eastAsia" w:asciiTheme="minorEastAsia" w:hAnsiTheme="minorEastAsia" w:eastAsiaTheme="minorEastAsia"/>
          <w:color w:val="auto"/>
          <w:sz w:val="24"/>
          <w:szCs w:val="21"/>
        </w:rPr>
        <w:t>在采购活动中因重大变故，采购任务取消的，</w:t>
      </w:r>
      <w:r>
        <w:rPr>
          <w:rFonts w:hint="eastAsia" w:asciiTheme="minorEastAsia" w:hAnsiTheme="minorEastAsia" w:eastAsiaTheme="minorEastAsia"/>
          <w:color w:val="auto"/>
          <w:sz w:val="24"/>
          <w:szCs w:val="21"/>
          <w:lang w:eastAsia="zh-CN"/>
        </w:rPr>
        <w:t>采购代理机构</w:t>
      </w:r>
      <w:r>
        <w:rPr>
          <w:rFonts w:hint="eastAsia" w:asciiTheme="minorEastAsia" w:hAnsiTheme="minorEastAsia" w:eastAsiaTheme="minorEastAsia"/>
          <w:color w:val="auto"/>
          <w:sz w:val="24"/>
          <w:szCs w:val="21"/>
        </w:rPr>
        <w:t>将终止采购活动，通过电子交易平台通知所有参加采购活动的供应商，并将项目实施情况和采购任务取消原因报送本级财政部门。</w:t>
      </w:r>
    </w:p>
    <w:p w14:paraId="26878C78">
      <w:pPr>
        <w:spacing w:line="360" w:lineRule="auto"/>
        <w:rPr>
          <w:rFonts w:cs="仿宋_GB2312" w:asciiTheme="minorEastAsia" w:hAnsiTheme="minorEastAsia" w:eastAsiaTheme="minorEastAsia"/>
          <w:color w:val="auto"/>
          <w:sz w:val="24"/>
        </w:rPr>
      </w:pPr>
      <w:r>
        <w:rPr>
          <w:rFonts w:asciiTheme="minorEastAsia" w:hAnsiTheme="minorEastAsia" w:eastAsiaTheme="minorEastAsia"/>
          <w:b/>
          <w:color w:val="auto"/>
          <w:sz w:val="24"/>
        </w:rPr>
        <w:t xml:space="preserve">6. </w:t>
      </w:r>
      <w:r>
        <w:rPr>
          <w:rFonts w:hint="eastAsia" w:cs="仿宋_GB2312" w:asciiTheme="minorEastAsia" w:hAnsiTheme="minorEastAsia" w:eastAsiaTheme="minorEastAsia"/>
          <w:b/>
          <w:color w:val="auto"/>
          <w:sz w:val="24"/>
          <w:lang w:eastAsia="zh-CN"/>
        </w:rPr>
        <w:t>采购代理机构</w:t>
      </w:r>
      <w:r>
        <w:rPr>
          <w:rFonts w:hint="eastAsia" w:cs="仿宋_GB2312" w:asciiTheme="minorEastAsia" w:hAnsiTheme="minorEastAsia" w:eastAsiaTheme="minorEastAsia"/>
          <w:b/>
          <w:color w:val="auto"/>
          <w:sz w:val="24"/>
        </w:rPr>
        <w:t>有权对磋商小组各成员的评分情况和评审意见进行合理性和合规性审查</w:t>
      </w:r>
      <w:r>
        <w:rPr>
          <w:rFonts w:hint="eastAsia" w:cs="仿宋_GB2312" w:asciiTheme="minorEastAsia" w:hAnsiTheme="minorEastAsia" w:eastAsiaTheme="minorEastAsia"/>
          <w:color w:val="auto"/>
          <w:sz w:val="24"/>
        </w:rPr>
        <w:t>，如发现磋商小组成员的评审意见带有明显倾向性，或不按规定程序和标准评审、计分的，磋商小组成员应进行书面澄清和说明；磋商小组成员拒不接受</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审查的，</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将向同级政府采购监督管理部门报告并予以处理。</w:t>
      </w:r>
    </w:p>
    <w:p w14:paraId="59BDEEEE">
      <w:pPr>
        <w:pStyle w:val="392"/>
        <w:spacing w:before="0"/>
        <w:ind w:firstLine="0" w:firstLineChars="0"/>
        <w:rPr>
          <w:rFonts w:cs="仿宋_GB2312" w:asciiTheme="minorEastAsia" w:hAnsiTheme="minorEastAsia" w:eastAsiaTheme="minorEastAsia"/>
          <w:b/>
          <w:color w:val="auto"/>
        </w:rPr>
      </w:pPr>
    </w:p>
    <w:p w14:paraId="057F2D54">
      <w:pPr>
        <w:snapToGrid w:val="0"/>
        <w:spacing w:line="360" w:lineRule="auto"/>
        <w:ind w:left="120" w:leftChars="57" w:firstLine="482" w:firstLineChars="150"/>
        <w:jc w:val="center"/>
        <w:rPr>
          <w:rFonts w:cs="仿宋_GB2312" w:asciiTheme="minorEastAsia" w:hAnsiTheme="minorEastAsia" w:eastAsiaTheme="minorEastAsia"/>
          <w:b/>
          <w:color w:val="auto"/>
          <w:sz w:val="32"/>
        </w:rPr>
      </w:pPr>
      <w:r>
        <w:rPr>
          <w:rFonts w:hint="eastAsia" w:cs="仿宋_GB2312" w:asciiTheme="minorEastAsia" w:hAnsiTheme="minorEastAsia" w:eastAsiaTheme="minorEastAsia"/>
          <w:b/>
          <w:color w:val="auto"/>
          <w:sz w:val="32"/>
        </w:rPr>
        <w:t>六、评审过程的保密与录像</w:t>
      </w:r>
    </w:p>
    <w:p w14:paraId="6ADD9B99">
      <w:pPr>
        <w:widowControl/>
        <w:spacing w:line="360" w:lineRule="auto"/>
        <w:ind w:firstLine="482"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1.保密。</w:t>
      </w:r>
      <w:r>
        <w:rPr>
          <w:rFonts w:hint="eastAsia" w:cs="仿宋_GB2312" w:asciiTheme="minorEastAsia" w:hAnsiTheme="minorEastAsia" w:eastAsiaTheme="minorEastAsia"/>
          <w:color w:val="auto"/>
          <w:sz w:val="24"/>
        </w:rPr>
        <w:t>评审活动在严格保密的情况下进行。评审过程中凡是与采购响应文件评审和比较、成交人推荐等评审有关的情况，以及涉及国家秘密和商业秘密等信息，磋商小组成员、采购人和</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工作人员、相关监督人员等与评审有关的人员应当予以保密。</w:t>
      </w:r>
    </w:p>
    <w:p w14:paraId="57031EB5">
      <w:pPr>
        <w:widowControl/>
        <w:spacing w:line="360" w:lineRule="auto"/>
        <w:ind w:firstLine="482"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2.录音录像。</w:t>
      </w:r>
      <w:r>
        <w:rPr>
          <w:rFonts w:hint="eastAsia" w:cs="仿宋_GB2312" w:asciiTheme="minorEastAsia" w:hAnsiTheme="minorEastAsia" w:eastAsiaTheme="minorEastAsia"/>
          <w:color w:val="auto"/>
          <w:sz w:val="24"/>
          <w:lang w:eastAsia="zh-CN"/>
        </w:rPr>
        <w:t>采购代理机构</w:t>
      </w:r>
      <w:r>
        <w:rPr>
          <w:rFonts w:hint="eastAsia" w:cs="仿宋_GB2312" w:asciiTheme="minorEastAsia" w:hAnsiTheme="minorEastAsia" w:eastAsiaTheme="minorEastAsia"/>
          <w:color w:val="auto"/>
          <w:sz w:val="24"/>
        </w:rPr>
        <w:t>对评审工作现场进行全过程录音录像，录音录像资料作为采购项目文件随其他文件一并存档。</w:t>
      </w:r>
    </w:p>
    <w:p w14:paraId="74DE983E">
      <w:pPr>
        <w:widowControl/>
        <w:adjustRightInd/>
        <w:jc w:val="left"/>
        <w:rPr>
          <w:rFonts w:cs="仿宋_GB2312" w:asciiTheme="minorEastAsia" w:hAnsiTheme="minorEastAsia" w:eastAsiaTheme="minorEastAsia"/>
          <w:b/>
          <w:color w:val="auto"/>
          <w:sz w:val="36"/>
          <w:szCs w:val="36"/>
        </w:rPr>
      </w:pPr>
      <w:r>
        <w:rPr>
          <w:rFonts w:cs="仿宋_GB2312" w:asciiTheme="minorEastAsia" w:hAnsiTheme="minorEastAsia" w:eastAsiaTheme="minorEastAsia"/>
          <w:b/>
          <w:color w:val="auto"/>
          <w:sz w:val="36"/>
          <w:szCs w:val="36"/>
        </w:rPr>
        <w:br w:type="page"/>
      </w:r>
    </w:p>
    <w:p w14:paraId="1F9F3BAE">
      <w:pPr>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第六部分</w:t>
      </w:r>
      <w:bookmarkEnd w:id="66"/>
      <w:r>
        <w:rPr>
          <w:rFonts w:hint="eastAsia" w:cs="仿宋_GB2312" w:asciiTheme="minorEastAsia" w:hAnsiTheme="minorEastAsia" w:eastAsiaTheme="minorEastAsia"/>
          <w:b/>
          <w:color w:val="auto"/>
          <w:sz w:val="36"/>
          <w:szCs w:val="36"/>
        </w:rPr>
        <w:t xml:space="preserve">  拟签订的合同文本</w:t>
      </w:r>
    </w:p>
    <w:p w14:paraId="21F99289">
      <w:pPr>
        <w:spacing w:line="360" w:lineRule="auto"/>
        <w:rPr>
          <w:rFonts w:asciiTheme="minorEastAsia" w:hAnsiTheme="minorEastAsia" w:eastAsiaTheme="minorEastAsia"/>
          <w:color w:val="auto"/>
          <w:sz w:val="24"/>
        </w:rPr>
      </w:pPr>
      <w:bookmarkStart w:id="67" w:name="第五部分"/>
      <w:bookmarkStart w:id="68" w:name="_Toc86217003"/>
    </w:p>
    <w:p w14:paraId="230482D1">
      <w:pPr>
        <w:spacing w:line="360" w:lineRule="auto"/>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合同编号：</w:t>
      </w:r>
      <w:r>
        <w:rPr>
          <w:rFonts w:hint="eastAsia" w:asciiTheme="minorEastAsia" w:hAnsiTheme="minorEastAsia" w:eastAsiaTheme="minorEastAsia"/>
          <w:color w:val="auto"/>
          <w:sz w:val="24"/>
          <w:u w:val="single"/>
        </w:rPr>
        <w:t xml:space="preserve">           </w:t>
      </w:r>
    </w:p>
    <w:p w14:paraId="118BBFC7">
      <w:pPr>
        <w:spacing w:line="360" w:lineRule="auto"/>
        <w:rPr>
          <w:rFonts w:asciiTheme="minorEastAsia" w:hAnsiTheme="minorEastAsia" w:eastAsiaTheme="minorEastAsia"/>
          <w:color w:val="auto"/>
          <w:sz w:val="24"/>
          <w:u w:val="single"/>
        </w:rPr>
      </w:pPr>
    </w:p>
    <w:p w14:paraId="4CB2FD2B">
      <w:pPr>
        <w:pStyle w:val="281"/>
        <w:ind w:leftChars="0" w:firstLine="2465" w:firstLineChars="682"/>
        <w:jc w:val="left"/>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政府采购合同书</w:t>
      </w:r>
    </w:p>
    <w:p w14:paraId="4A9DD4BD">
      <w:pPr>
        <w:pStyle w:val="281"/>
        <w:rPr>
          <w:rFonts w:asciiTheme="minorEastAsia" w:hAnsiTheme="minorEastAsia" w:eastAsiaTheme="minorEastAsia"/>
          <w:color w:val="auto"/>
          <w:szCs w:val="24"/>
        </w:rPr>
      </w:pPr>
    </w:p>
    <w:p w14:paraId="7DD08581">
      <w:pPr>
        <w:pStyle w:val="281"/>
        <w:rPr>
          <w:rFonts w:asciiTheme="minorEastAsia" w:hAnsiTheme="minorEastAsia" w:eastAsiaTheme="minorEastAsia"/>
          <w:color w:val="auto"/>
          <w:szCs w:val="24"/>
        </w:rPr>
      </w:pPr>
    </w:p>
    <w:p w14:paraId="7A618077">
      <w:pPr>
        <w:spacing w:before="120" w:line="360" w:lineRule="auto"/>
        <w:rPr>
          <w:rFonts w:asciiTheme="minorEastAsia" w:hAnsiTheme="minorEastAsia" w:eastAsiaTheme="minorEastAsia"/>
          <w:color w:val="auto"/>
          <w:sz w:val="24"/>
        </w:rPr>
      </w:pPr>
    </w:p>
    <w:p w14:paraId="7A32CD75">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项目名称：</w:t>
      </w:r>
      <w:r>
        <w:rPr>
          <w:rFonts w:hint="eastAsia" w:asciiTheme="minorEastAsia" w:hAnsiTheme="minorEastAsia" w:eastAsiaTheme="minorEastAsia"/>
          <w:color w:val="auto"/>
          <w:sz w:val="24"/>
          <w:u w:val="single"/>
        </w:rPr>
        <w:t xml:space="preserve">                                   </w:t>
      </w:r>
    </w:p>
    <w:p w14:paraId="280CB160">
      <w:pPr>
        <w:pStyle w:val="616"/>
        <w:spacing w:before="120"/>
        <w:rPr>
          <w:rFonts w:asciiTheme="minorEastAsia" w:hAnsiTheme="minorEastAsia" w:eastAsiaTheme="minorEastAsia"/>
          <w:color w:val="auto"/>
          <w:szCs w:val="24"/>
        </w:rPr>
      </w:pPr>
    </w:p>
    <w:p w14:paraId="22076686">
      <w:pPr>
        <w:spacing w:line="360" w:lineRule="auto"/>
        <w:rPr>
          <w:rFonts w:asciiTheme="minorEastAsia" w:hAnsiTheme="minorEastAsia" w:eastAsiaTheme="minorEastAsia"/>
          <w:color w:val="auto"/>
          <w:sz w:val="24"/>
        </w:rPr>
      </w:pPr>
    </w:p>
    <w:p w14:paraId="5EC2F6DF">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甲方：</w:t>
      </w:r>
      <w:r>
        <w:rPr>
          <w:rFonts w:hint="eastAsia" w:asciiTheme="minorEastAsia" w:hAnsiTheme="minorEastAsia" w:eastAsiaTheme="minorEastAsia"/>
          <w:color w:val="auto"/>
          <w:sz w:val="24"/>
          <w:u w:val="single"/>
        </w:rPr>
        <w:t xml:space="preserve">                                       </w:t>
      </w:r>
    </w:p>
    <w:p w14:paraId="2FFDB5D7">
      <w:pPr>
        <w:spacing w:before="120" w:line="360" w:lineRule="auto"/>
        <w:rPr>
          <w:rFonts w:asciiTheme="minorEastAsia" w:hAnsiTheme="minorEastAsia" w:eastAsiaTheme="minorEastAsia"/>
          <w:color w:val="auto"/>
          <w:sz w:val="24"/>
        </w:rPr>
      </w:pPr>
    </w:p>
    <w:p w14:paraId="573CA83C">
      <w:pPr>
        <w:spacing w:before="120" w:line="360" w:lineRule="auto"/>
        <w:ind w:left="96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乙方：</w:t>
      </w:r>
      <w:r>
        <w:rPr>
          <w:rFonts w:hint="eastAsia" w:asciiTheme="minorEastAsia" w:hAnsiTheme="minorEastAsia" w:eastAsiaTheme="minorEastAsia"/>
          <w:color w:val="auto"/>
          <w:sz w:val="24"/>
          <w:u w:val="single"/>
        </w:rPr>
        <w:t xml:space="preserve">                                       </w:t>
      </w:r>
    </w:p>
    <w:p w14:paraId="395182CF">
      <w:pPr>
        <w:spacing w:before="120" w:line="360" w:lineRule="auto"/>
        <w:rPr>
          <w:rFonts w:asciiTheme="minorEastAsia" w:hAnsiTheme="minorEastAsia" w:eastAsiaTheme="minorEastAsia"/>
          <w:color w:val="auto"/>
          <w:sz w:val="24"/>
        </w:rPr>
      </w:pPr>
    </w:p>
    <w:p w14:paraId="198F4A5F">
      <w:pPr>
        <w:spacing w:before="120" w:line="360" w:lineRule="auto"/>
        <w:ind w:firstLine="960" w:firstLineChars="4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签订地：</w:t>
      </w:r>
      <w:r>
        <w:rPr>
          <w:rFonts w:hint="eastAsia" w:asciiTheme="minorEastAsia" w:hAnsiTheme="minorEastAsia" w:eastAsiaTheme="minorEastAsia"/>
          <w:color w:val="auto"/>
          <w:sz w:val="24"/>
          <w:u w:val="single"/>
        </w:rPr>
        <w:t xml:space="preserve">                                     </w:t>
      </w:r>
    </w:p>
    <w:p w14:paraId="1009203A">
      <w:pPr>
        <w:spacing w:before="120" w:line="360" w:lineRule="auto"/>
        <w:rPr>
          <w:rFonts w:asciiTheme="minorEastAsia" w:hAnsiTheme="minorEastAsia" w:eastAsiaTheme="minorEastAsia"/>
          <w:color w:val="auto"/>
          <w:sz w:val="24"/>
        </w:rPr>
      </w:pPr>
    </w:p>
    <w:p w14:paraId="31371B16">
      <w:pPr>
        <w:spacing w:before="120" w:line="360" w:lineRule="auto"/>
        <w:ind w:firstLine="960" w:firstLineChars="400"/>
        <w:rPr>
          <w:rFonts w:asciiTheme="minorEastAsia" w:hAnsiTheme="minorEastAsia" w:eastAsiaTheme="minorEastAsia"/>
          <w:color w:val="auto"/>
          <w:sz w:val="24"/>
          <w:u w:val="single"/>
        </w:rPr>
      </w:pPr>
      <w:r>
        <w:rPr>
          <w:rFonts w:hint="eastAsia" w:asciiTheme="minorEastAsia" w:hAnsiTheme="minorEastAsia" w:eastAsiaTheme="minorEastAsia"/>
          <w:color w:val="auto"/>
          <w:sz w:val="24"/>
        </w:rPr>
        <w:t>签订日期：</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年</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月</w:t>
      </w:r>
      <w:r>
        <w:rPr>
          <w:rFonts w:hint="eastAsia" w:asciiTheme="minorEastAsia" w:hAnsiTheme="minorEastAsia" w:eastAsiaTheme="minorEastAsia"/>
          <w:color w:val="auto"/>
          <w:sz w:val="24"/>
          <w:u w:val="single"/>
        </w:rPr>
        <w:t xml:space="preserve">       </w:t>
      </w:r>
      <w:r>
        <w:rPr>
          <w:rFonts w:hint="eastAsia" w:asciiTheme="minorEastAsia" w:hAnsiTheme="minorEastAsia" w:eastAsiaTheme="minorEastAsia"/>
          <w:color w:val="auto"/>
          <w:sz w:val="24"/>
        </w:rPr>
        <w:t>日</w:t>
      </w:r>
    </w:p>
    <w:p w14:paraId="74C43DA8">
      <w:pPr>
        <w:widowControl/>
        <w:adjustRightInd/>
        <w:jc w:val="left"/>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br w:type="page"/>
      </w:r>
    </w:p>
    <w:p w14:paraId="0CEA7600">
      <w:pPr>
        <w:rPr>
          <w:rFonts w:ascii="宋体" w:hAnsi="宋体" w:cs="宋体"/>
          <w:b/>
          <w:color w:val="auto"/>
          <w:sz w:val="24"/>
        </w:rPr>
      </w:pPr>
    </w:p>
    <w:p w14:paraId="11810E07">
      <w:pPr>
        <w:spacing w:line="560" w:lineRule="exact"/>
        <w:ind w:firstLine="480" w:firstLineChars="200"/>
        <w:rPr>
          <w:rFonts w:ascii="宋体" w:hAnsi="宋体"/>
          <w:color w:val="auto"/>
          <w:sz w:val="24"/>
        </w:rPr>
      </w:pPr>
      <w:r>
        <w:rPr>
          <w:rFonts w:ascii="宋体" w:hAnsi="宋体"/>
          <w:color w:val="auto"/>
          <w:sz w:val="24"/>
          <w:u w:val="single"/>
          <w:lang w:val="zh-CN"/>
        </w:rPr>
        <w:t xml:space="preserve">        </w:t>
      </w:r>
      <w:r>
        <w:rPr>
          <w:rFonts w:hint="eastAsia" w:ascii="宋体" w:hAnsi="宋体"/>
          <w:color w:val="auto"/>
          <w:sz w:val="24"/>
          <w:lang w:val="zh-CN"/>
        </w:rPr>
        <w:t>年</w:t>
      </w:r>
      <w:r>
        <w:rPr>
          <w:rFonts w:ascii="宋体" w:hAnsi="宋体"/>
          <w:color w:val="auto"/>
          <w:sz w:val="24"/>
          <w:u w:val="single"/>
          <w:lang w:val="zh-CN"/>
        </w:rPr>
        <w:t xml:space="preserve">    </w:t>
      </w:r>
      <w:r>
        <w:rPr>
          <w:rFonts w:hint="eastAsia" w:ascii="宋体" w:hAnsi="宋体"/>
          <w:color w:val="auto"/>
          <w:sz w:val="24"/>
          <w:lang w:val="zh-CN"/>
        </w:rPr>
        <w:t>月</w:t>
      </w:r>
      <w:r>
        <w:rPr>
          <w:rFonts w:ascii="宋体" w:hAnsi="宋体"/>
          <w:color w:val="auto"/>
          <w:sz w:val="24"/>
          <w:u w:val="single"/>
          <w:lang w:val="zh-CN"/>
        </w:rPr>
        <w:t xml:space="preserve">    </w:t>
      </w:r>
      <w:r>
        <w:rPr>
          <w:rFonts w:hint="eastAsia" w:ascii="宋体" w:hAnsi="宋体"/>
          <w:color w:val="auto"/>
          <w:sz w:val="24"/>
          <w:lang w:val="zh-CN"/>
        </w:rPr>
        <w:t>日</w:t>
      </w:r>
      <w:r>
        <w:rPr>
          <w:rFonts w:hint="eastAsia" w:ascii="宋体" w:hAnsi="宋体"/>
          <w:color w:val="auto"/>
          <w:sz w:val="24"/>
        </w:rPr>
        <w:t>，</w:t>
      </w:r>
      <w:r>
        <w:rPr>
          <w:rFonts w:ascii="宋体" w:hAnsi="宋体"/>
          <w:color w:val="auto"/>
          <w:sz w:val="24"/>
          <w:u w:val="single"/>
        </w:rPr>
        <w:t xml:space="preserve">   </w:t>
      </w:r>
      <w:r>
        <w:rPr>
          <w:rFonts w:hint="eastAsia" w:ascii="宋体" w:hAnsi="宋体" w:cs="宋体"/>
          <w:color w:val="auto"/>
          <w:sz w:val="24"/>
          <w:u w:val="single"/>
        </w:rPr>
        <w:t>（采购人）</w:t>
      </w:r>
      <w:r>
        <w:rPr>
          <w:rFonts w:ascii="宋体" w:hAnsi="宋体"/>
          <w:color w:val="auto"/>
          <w:sz w:val="24"/>
          <w:u w:val="single"/>
        </w:rPr>
        <w:t xml:space="preserve">   </w:t>
      </w:r>
      <w:r>
        <w:rPr>
          <w:rFonts w:hint="eastAsia" w:ascii="宋体" w:hAnsi="宋体"/>
          <w:color w:val="auto"/>
          <w:sz w:val="24"/>
        </w:rPr>
        <w:t>以</w:t>
      </w:r>
      <w:r>
        <w:rPr>
          <w:rFonts w:ascii="宋体" w:hAnsi="宋体"/>
          <w:color w:val="auto"/>
          <w:sz w:val="24"/>
          <w:u w:val="single"/>
        </w:rPr>
        <w:t xml:space="preserve">   （政府采购方式）  </w:t>
      </w:r>
      <w:r>
        <w:rPr>
          <w:rFonts w:hint="eastAsia" w:ascii="宋体" w:hAnsi="宋体"/>
          <w:color w:val="auto"/>
          <w:sz w:val="24"/>
        </w:rPr>
        <w:t>对</w:t>
      </w:r>
      <w:r>
        <w:rPr>
          <w:rFonts w:ascii="宋体" w:hAnsi="宋体"/>
          <w:color w:val="auto"/>
          <w:sz w:val="24"/>
          <w:u w:val="single"/>
        </w:rPr>
        <w:t xml:space="preserve">  </w:t>
      </w:r>
      <w:r>
        <w:rPr>
          <w:rFonts w:hint="eastAsia" w:ascii="宋体" w:hAnsi="宋体" w:cs="宋体"/>
          <w:color w:val="auto"/>
          <w:sz w:val="24"/>
          <w:u w:val="single"/>
        </w:rPr>
        <w:t xml:space="preserve">（项目名称）  </w:t>
      </w:r>
      <w:r>
        <w:rPr>
          <w:rFonts w:ascii="宋体" w:hAnsi="宋体"/>
          <w:color w:val="auto"/>
          <w:sz w:val="24"/>
          <w:u w:val="single"/>
        </w:rPr>
        <w:t xml:space="preserve">  </w:t>
      </w:r>
      <w:r>
        <w:rPr>
          <w:rFonts w:hint="eastAsia" w:ascii="宋体" w:hAnsi="宋体"/>
          <w:color w:val="auto"/>
          <w:sz w:val="24"/>
        </w:rPr>
        <w:t>项目进行了采购。经</w:t>
      </w:r>
      <w:r>
        <w:rPr>
          <w:rFonts w:ascii="宋体" w:hAnsi="宋体"/>
          <w:color w:val="auto"/>
          <w:sz w:val="24"/>
          <w:u w:val="single"/>
        </w:rPr>
        <w:t xml:space="preserve">   （相关评定主体名称）   </w:t>
      </w:r>
      <w:r>
        <w:rPr>
          <w:rFonts w:hint="eastAsia" w:ascii="宋体" w:hAnsi="宋体"/>
          <w:color w:val="auto"/>
          <w:sz w:val="24"/>
        </w:rPr>
        <w:t>评定，</w:t>
      </w:r>
      <w:r>
        <w:rPr>
          <w:rFonts w:ascii="宋体" w:hAnsi="宋体"/>
          <w:color w:val="auto"/>
          <w:sz w:val="24"/>
          <w:u w:val="single"/>
        </w:rPr>
        <w:t xml:space="preserve">   （中标</w:t>
      </w:r>
      <w:r>
        <w:rPr>
          <w:rFonts w:hint="eastAsia" w:ascii="宋体" w:hAnsi="宋体"/>
          <w:color w:val="auto"/>
          <w:sz w:val="24"/>
          <w:u w:val="single"/>
        </w:rPr>
        <w:t>或者成交</w:t>
      </w:r>
      <w:r>
        <w:rPr>
          <w:rFonts w:ascii="宋体" w:hAnsi="宋体"/>
          <w:color w:val="auto"/>
          <w:sz w:val="24"/>
          <w:u w:val="single"/>
        </w:rPr>
        <w:t xml:space="preserve">供应商名称） </w:t>
      </w:r>
      <w:r>
        <w:rPr>
          <w:rFonts w:hint="eastAsia" w:ascii="宋体" w:hAnsi="宋体"/>
          <w:color w:val="auto"/>
          <w:sz w:val="24"/>
        </w:rPr>
        <w:t>为该项目</w:t>
      </w:r>
      <w:r>
        <w:rPr>
          <w:rFonts w:hint="eastAsia" w:ascii="宋体" w:hAnsi="宋体" w:cs="宋体"/>
          <w:color w:val="auto"/>
          <w:sz w:val="24"/>
        </w:rPr>
        <w:t>中标或者成交供应商</w:t>
      </w:r>
      <w:r>
        <w:rPr>
          <w:rFonts w:hint="eastAsia" w:ascii="宋体" w:hAnsi="宋体"/>
          <w:color w:val="auto"/>
          <w:sz w:val="24"/>
        </w:rPr>
        <w:t>。现于</w:t>
      </w:r>
      <w:r>
        <w:rPr>
          <w:rFonts w:hint="eastAsia" w:ascii="宋体" w:hAnsi="宋体" w:cs="宋体"/>
          <w:color w:val="auto"/>
          <w:sz w:val="24"/>
        </w:rPr>
        <w:t>中标或者成交通知书</w:t>
      </w:r>
      <w:r>
        <w:rPr>
          <w:rFonts w:hint="eastAsia" w:ascii="宋体" w:hAnsi="宋体"/>
          <w:color w:val="auto"/>
          <w:sz w:val="24"/>
        </w:rPr>
        <w:t>发出之日起10个工作日内，按照采购文件确定的事项签订本合同。</w:t>
      </w:r>
    </w:p>
    <w:p w14:paraId="2C813762">
      <w:pPr>
        <w:spacing w:line="560" w:lineRule="exact"/>
        <w:ind w:firstLine="480" w:firstLineChars="200"/>
        <w:rPr>
          <w:rFonts w:ascii="宋体" w:hAnsi="宋体"/>
          <w:color w:val="auto"/>
          <w:sz w:val="24"/>
        </w:rPr>
      </w:pPr>
      <w:r>
        <w:rPr>
          <w:rFonts w:hint="eastAsia" w:ascii="宋体" w:hAnsi="宋体"/>
          <w:color w:val="auto"/>
          <w:sz w:val="24"/>
          <w:lang w:val="zh-CN"/>
        </w:rPr>
        <w:t>根据《中华人民共和国民法典》《中华人民共和国政府采购法》等相关法律法规之规定，按照平等、自愿、公平和诚实信用的原则，经</w:t>
      </w:r>
      <w:r>
        <w:rPr>
          <w:rFonts w:ascii="宋体" w:hAnsi="宋体"/>
          <w:color w:val="auto"/>
          <w:sz w:val="24"/>
          <w:u w:val="single"/>
        </w:rPr>
        <w:t xml:space="preserve">   （采购人）   </w:t>
      </w:r>
      <w:r>
        <w:rPr>
          <w:rFonts w:ascii="宋体" w:hAnsi="宋体"/>
          <w:color w:val="auto"/>
          <w:sz w:val="24"/>
          <w:lang w:val="zh-CN"/>
        </w:rPr>
        <w:t>(以下简称：甲方)和</w:t>
      </w:r>
      <w:r>
        <w:rPr>
          <w:rFonts w:ascii="宋体" w:hAnsi="宋体"/>
          <w:color w:val="auto"/>
          <w:sz w:val="24"/>
          <w:u w:val="single"/>
        </w:rPr>
        <w:t xml:space="preserve">   （中</w:t>
      </w:r>
      <w:r>
        <w:rPr>
          <w:rFonts w:hint="eastAsia" w:ascii="宋体" w:hAnsi="宋体"/>
          <w:color w:val="auto"/>
          <w:sz w:val="24"/>
          <w:u w:val="single"/>
        </w:rPr>
        <w:t>或者成交</w:t>
      </w:r>
      <w:r>
        <w:rPr>
          <w:rFonts w:ascii="宋体" w:hAnsi="宋体"/>
          <w:color w:val="auto"/>
          <w:sz w:val="24"/>
          <w:u w:val="single"/>
        </w:rPr>
        <w:t xml:space="preserve">标供应商名称）   </w:t>
      </w:r>
      <w:r>
        <w:rPr>
          <w:rFonts w:ascii="宋体" w:hAnsi="宋体"/>
          <w:color w:val="auto"/>
          <w:sz w:val="24"/>
          <w:lang w:val="zh-CN"/>
        </w:rPr>
        <w:t>(以下简称：乙方)协商一致，约定以下合同</w:t>
      </w:r>
      <w:r>
        <w:rPr>
          <w:rFonts w:hint="eastAsia" w:ascii="宋体" w:hAnsi="宋体"/>
          <w:color w:val="auto"/>
          <w:sz w:val="24"/>
        </w:rPr>
        <w:t>条款，以兹共同遵守、全面履行。</w:t>
      </w:r>
    </w:p>
    <w:p w14:paraId="347B491A">
      <w:pPr>
        <w:spacing w:line="560" w:lineRule="exact"/>
        <w:ind w:firstLine="482" w:firstLineChars="200"/>
        <w:outlineLvl w:val="0"/>
        <w:rPr>
          <w:rFonts w:ascii="宋体" w:hAnsi="宋体"/>
          <w:color w:val="auto"/>
          <w:sz w:val="24"/>
        </w:rPr>
      </w:pPr>
      <w:bookmarkStart w:id="69" w:name="_Toc20421"/>
      <w:bookmarkStart w:id="70" w:name="_Toc28855"/>
      <w:bookmarkStart w:id="71" w:name="_Toc19273"/>
      <w:bookmarkStart w:id="72" w:name="_Toc15367"/>
      <w:bookmarkStart w:id="73" w:name="_Toc22967"/>
      <w:r>
        <w:rPr>
          <w:rFonts w:ascii="宋体" w:hAnsi="宋体"/>
          <w:b/>
          <w:color w:val="auto"/>
          <w:sz w:val="24"/>
        </w:rPr>
        <w:t xml:space="preserve">1.1 </w:t>
      </w:r>
      <w:r>
        <w:rPr>
          <w:rFonts w:hint="eastAsia" w:ascii="宋体" w:hAnsi="宋体"/>
          <w:b/>
          <w:color w:val="auto"/>
          <w:sz w:val="24"/>
        </w:rPr>
        <w:t>合同组成部分</w:t>
      </w:r>
      <w:bookmarkEnd w:id="69"/>
      <w:bookmarkEnd w:id="70"/>
      <w:bookmarkEnd w:id="71"/>
      <w:bookmarkEnd w:id="72"/>
      <w:bookmarkEnd w:id="73"/>
    </w:p>
    <w:p w14:paraId="1805A892">
      <w:pPr>
        <w:spacing w:line="560" w:lineRule="exact"/>
        <w:ind w:firstLine="480" w:firstLineChars="200"/>
        <w:rPr>
          <w:rFonts w:ascii="宋体" w:hAnsi="宋体"/>
          <w:color w:val="auto"/>
          <w:sz w:val="24"/>
        </w:rPr>
      </w:pPr>
      <w:r>
        <w:rPr>
          <w:rFonts w:hint="eastAsia" w:ascii="宋体" w:hAnsi="宋体"/>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2495C155">
      <w:pPr>
        <w:spacing w:line="560" w:lineRule="exact"/>
        <w:ind w:firstLine="480" w:firstLineChars="200"/>
        <w:rPr>
          <w:rFonts w:ascii="宋体" w:hAnsi="宋体"/>
          <w:color w:val="auto"/>
          <w:sz w:val="24"/>
        </w:rPr>
      </w:pPr>
      <w:r>
        <w:rPr>
          <w:rFonts w:ascii="宋体" w:hAnsi="宋体"/>
          <w:color w:val="auto"/>
          <w:sz w:val="24"/>
        </w:rPr>
        <w:t xml:space="preserve">1.1.1 </w:t>
      </w:r>
      <w:r>
        <w:rPr>
          <w:rFonts w:hint="eastAsia" w:ascii="宋体" w:hAnsi="宋体"/>
          <w:color w:val="auto"/>
          <w:sz w:val="24"/>
        </w:rPr>
        <w:t>本合同及其补充合同、变更协议；</w:t>
      </w:r>
    </w:p>
    <w:p w14:paraId="1CC02E41">
      <w:pPr>
        <w:spacing w:line="560" w:lineRule="exact"/>
        <w:ind w:firstLine="480" w:firstLineChars="200"/>
        <w:rPr>
          <w:rFonts w:ascii="宋体" w:hAnsi="宋体"/>
          <w:color w:val="auto"/>
          <w:sz w:val="24"/>
        </w:rPr>
      </w:pPr>
      <w:r>
        <w:rPr>
          <w:rFonts w:ascii="宋体" w:hAnsi="宋体"/>
          <w:color w:val="auto"/>
          <w:sz w:val="24"/>
        </w:rPr>
        <w:t xml:space="preserve">1.1.2 </w:t>
      </w:r>
      <w:r>
        <w:rPr>
          <w:rFonts w:hint="eastAsia" w:ascii="宋体" w:hAnsi="宋体"/>
          <w:color w:val="auto"/>
          <w:sz w:val="24"/>
        </w:rPr>
        <w:t>中标或者成交通知书；</w:t>
      </w:r>
    </w:p>
    <w:p w14:paraId="51A22D3D">
      <w:pPr>
        <w:spacing w:line="560" w:lineRule="exact"/>
        <w:ind w:firstLine="480" w:firstLineChars="200"/>
        <w:rPr>
          <w:rFonts w:ascii="宋体" w:hAnsi="宋体"/>
          <w:color w:val="auto"/>
          <w:sz w:val="24"/>
        </w:rPr>
      </w:pPr>
      <w:r>
        <w:rPr>
          <w:rFonts w:ascii="宋体" w:hAnsi="宋体"/>
          <w:color w:val="auto"/>
          <w:sz w:val="24"/>
        </w:rPr>
        <w:t xml:space="preserve">1.1.3 </w:t>
      </w:r>
      <w:r>
        <w:rPr>
          <w:rFonts w:hint="eastAsia" w:ascii="宋体" w:hAnsi="宋体"/>
          <w:color w:val="auto"/>
          <w:sz w:val="24"/>
        </w:rPr>
        <w:t>投标或者响应文件（含澄清或者说明文件）；</w:t>
      </w:r>
    </w:p>
    <w:p w14:paraId="20037739">
      <w:pPr>
        <w:spacing w:line="560" w:lineRule="exact"/>
        <w:ind w:firstLine="480" w:firstLineChars="200"/>
        <w:rPr>
          <w:rFonts w:ascii="宋体" w:hAnsi="宋体"/>
          <w:color w:val="auto"/>
          <w:sz w:val="24"/>
        </w:rPr>
      </w:pPr>
      <w:r>
        <w:rPr>
          <w:rFonts w:ascii="宋体" w:hAnsi="宋体"/>
          <w:color w:val="auto"/>
          <w:sz w:val="24"/>
        </w:rPr>
        <w:t xml:space="preserve">1.1.4 </w:t>
      </w:r>
      <w:r>
        <w:rPr>
          <w:rFonts w:hint="eastAsia" w:ascii="宋体" w:hAnsi="宋体"/>
          <w:color w:val="auto"/>
          <w:sz w:val="24"/>
        </w:rPr>
        <w:t>采购文件（含澄清或者修改文件）；</w:t>
      </w:r>
    </w:p>
    <w:p w14:paraId="694E9A84">
      <w:pPr>
        <w:spacing w:line="560" w:lineRule="exact"/>
        <w:ind w:firstLine="480" w:firstLineChars="200"/>
        <w:rPr>
          <w:rFonts w:ascii="宋体" w:hAnsi="宋体"/>
          <w:color w:val="auto"/>
          <w:sz w:val="24"/>
        </w:rPr>
      </w:pPr>
      <w:r>
        <w:rPr>
          <w:rFonts w:ascii="宋体" w:hAnsi="宋体"/>
          <w:color w:val="auto"/>
          <w:sz w:val="24"/>
        </w:rPr>
        <w:t xml:space="preserve">1.1.5 </w:t>
      </w:r>
      <w:r>
        <w:rPr>
          <w:rFonts w:hint="eastAsia" w:ascii="宋体" w:hAnsi="宋体"/>
          <w:color w:val="auto"/>
          <w:sz w:val="24"/>
        </w:rPr>
        <w:t>其他相关采购文件。</w:t>
      </w:r>
    </w:p>
    <w:p w14:paraId="28F24F76">
      <w:pPr>
        <w:spacing w:line="560" w:lineRule="exact"/>
        <w:ind w:firstLine="482" w:firstLineChars="200"/>
        <w:outlineLvl w:val="0"/>
        <w:rPr>
          <w:rFonts w:ascii="宋体" w:hAnsi="宋体"/>
          <w:b/>
          <w:color w:val="auto"/>
          <w:sz w:val="24"/>
        </w:rPr>
      </w:pPr>
      <w:bookmarkStart w:id="74" w:name="_Toc6311"/>
      <w:bookmarkStart w:id="75" w:name="_Toc6773"/>
      <w:bookmarkStart w:id="76" w:name="_Toc22185"/>
      <w:bookmarkStart w:id="77" w:name="_Toc18585"/>
      <w:bookmarkStart w:id="78" w:name="_Toc2918"/>
      <w:r>
        <w:rPr>
          <w:rFonts w:ascii="宋体" w:hAnsi="宋体"/>
          <w:b/>
          <w:color w:val="auto"/>
          <w:sz w:val="24"/>
        </w:rPr>
        <w:t xml:space="preserve">1.2 </w:t>
      </w:r>
      <w:r>
        <w:rPr>
          <w:rFonts w:hint="eastAsia" w:ascii="宋体" w:hAnsi="宋体"/>
          <w:b/>
          <w:color w:val="auto"/>
          <w:sz w:val="24"/>
        </w:rPr>
        <w:t>标的</w:t>
      </w:r>
      <w:bookmarkEnd w:id="74"/>
      <w:bookmarkEnd w:id="75"/>
      <w:bookmarkEnd w:id="76"/>
      <w:bookmarkEnd w:id="77"/>
      <w:bookmarkEnd w:id="78"/>
    </w:p>
    <w:p w14:paraId="5E2C5BD4">
      <w:pPr>
        <w:spacing w:line="560" w:lineRule="exact"/>
        <w:ind w:firstLine="480" w:firstLineChars="200"/>
        <w:rPr>
          <w:rFonts w:ascii="宋体" w:hAnsi="宋体"/>
          <w:color w:val="auto"/>
          <w:sz w:val="24"/>
          <w:u w:val="single"/>
        </w:rPr>
      </w:pPr>
      <w:r>
        <w:rPr>
          <w:rFonts w:ascii="宋体" w:hAnsi="宋体"/>
          <w:color w:val="auto"/>
          <w:sz w:val="24"/>
        </w:rPr>
        <w:t xml:space="preserve">1.2.1 </w:t>
      </w:r>
      <w:r>
        <w:rPr>
          <w:rFonts w:hint="eastAsia" w:ascii="宋体" w:hAnsi="宋体"/>
          <w:color w:val="auto"/>
          <w:sz w:val="24"/>
        </w:rPr>
        <w:t>服务内容</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14:paraId="25E713D6">
      <w:pPr>
        <w:spacing w:line="560" w:lineRule="exact"/>
        <w:ind w:firstLine="480" w:firstLineChars="200"/>
        <w:rPr>
          <w:rFonts w:ascii="宋体" w:hAnsi="宋体"/>
          <w:color w:val="auto"/>
          <w:sz w:val="24"/>
          <w:u w:val="single"/>
        </w:rPr>
      </w:pPr>
      <w:r>
        <w:rPr>
          <w:rFonts w:ascii="宋体" w:hAnsi="宋体"/>
          <w:color w:val="auto"/>
          <w:sz w:val="24"/>
        </w:rPr>
        <w:t xml:space="preserve">1.2.2 </w:t>
      </w:r>
      <w:r>
        <w:rPr>
          <w:rFonts w:hint="eastAsia" w:ascii="宋体" w:hAnsi="宋体"/>
          <w:color w:val="auto"/>
          <w:sz w:val="24"/>
        </w:rPr>
        <w:t>服务标准</w:t>
      </w:r>
      <w:r>
        <w:rPr>
          <w:rFonts w:ascii="宋体" w:hAnsi="宋体"/>
          <w:color w:val="auto"/>
          <w:sz w:val="24"/>
        </w:rPr>
        <w:t>：</w:t>
      </w:r>
      <w:r>
        <w:rPr>
          <w:rFonts w:ascii="宋体" w:hAnsi="宋体"/>
          <w:color w:val="auto"/>
          <w:sz w:val="24"/>
          <w:u w:val="single"/>
        </w:rPr>
        <w:t xml:space="preserve">                                                </w:t>
      </w:r>
      <w:r>
        <w:rPr>
          <w:rFonts w:hint="eastAsia" w:ascii="宋体" w:hAnsi="宋体"/>
          <w:color w:val="auto"/>
          <w:sz w:val="24"/>
        </w:rPr>
        <w:t>；</w:t>
      </w:r>
    </w:p>
    <w:p w14:paraId="241222F7">
      <w:pPr>
        <w:spacing w:line="560" w:lineRule="exact"/>
        <w:ind w:firstLine="480" w:firstLineChars="200"/>
        <w:rPr>
          <w:rFonts w:ascii="宋体" w:hAnsi="宋体"/>
          <w:color w:val="auto"/>
          <w:sz w:val="24"/>
          <w:u w:val="single"/>
        </w:rPr>
      </w:pPr>
      <w:r>
        <w:rPr>
          <w:rFonts w:ascii="宋体" w:hAnsi="宋体"/>
          <w:color w:val="auto"/>
          <w:sz w:val="24"/>
        </w:rPr>
        <w:t xml:space="preserve">1.2.3 </w:t>
      </w:r>
      <w:r>
        <w:rPr>
          <w:rFonts w:hint="eastAsia" w:ascii="宋体" w:hAnsi="宋体"/>
          <w:color w:val="auto"/>
          <w:sz w:val="24"/>
        </w:rPr>
        <w:t>技术保障：</w:t>
      </w:r>
      <w:r>
        <w:rPr>
          <w:rFonts w:ascii="宋体" w:hAnsi="宋体"/>
          <w:color w:val="auto"/>
          <w:sz w:val="24"/>
          <w:u w:val="single"/>
        </w:rPr>
        <w:t xml:space="preserve">　　　　　　　　　                      　      </w:t>
      </w:r>
      <w:r>
        <w:rPr>
          <w:rFonts w:hint="eastAsia" w:ascii="宋体" w:hAnsi="宋体"/>
          <w:color w:val="auto"/>
          <w:sz w:val="24"/>
          <w:u w:val="single"/>
        </w:rPr>
        <w:t>；</w:t>
      </w:r>
    </w:p>
    <w:p w14:paraId="4F060B10">
      <w:pPr>
        <w:spacing w:line="560" w:lineRule="exact"/>
        <w:ind w:firstLine="480" w:firstLineChars="200"/>
        <w:jc w:val="left"/>
        <w:rPr>
          <w:rFonts w:ascii="宋体" w:hAnsi="宋体"/>
          <w:color w:val="auto"/>
          <w:sz w:val="24"/>
        </w:rPr>
      </w:pPr>
      <w:r>
        <w:rPr>
          <w:rFonts w:hint="eastAsia" w:ascii="宋体" w:hAnsi="宋体"/>
          <w:color w:val="auto"/>
          <w:sz w:val="24"/>
        </w:rPr>
        <w:t>1.2.4 服务人员组成：</w:t>
      </w:r>
      <w:r>
        <w:rPr>
          <w:rFonts w:ascii="宋体" w:hAnsi="宋体"/>
          <w:color w:val="auto"/>
          <w:sz w:val="24"/>
          <w:u w:val="single"/>
        </w:rPr>
        <w:t xml:space="preserve">　　             　      </w:t>
      </w:r>
      <w:r>
        <w:rPr>
          <w:rFonts w:hint="eastAsia" w:ascii="宋体" w:hAnsi="宋体"/>
          <w:color w:val="auto"/>
          <w:sz w:val="24"/>
        </w:rPr>
        <w:t>；</w:t>
      </w:r>
    </w:p>
    <w:p w14:paraId="182C6026">
      <w:pPr>
        <w:spacing w:line="560" w:lineRule="exact"/>
        <w:ind w:firstLine="482" w:firstLineChars="200"/>
        <w:outlineLvl w:val="0"/>
        <w:rPr>
          <w:rFonts w:ascii="宋体" w:hAnsi="宋体"/>
          <w:b/>
          <w:color w:val="auto"/>
          <w:sz w:val="24"/>
        </w:rPr>
      </w:pPr>
      <w:bookmarkStart w:id="79" w:name="_Toc21124"/>
      <w:bookmarkStart w:id="80" w:name="_Toc1386"/>
      <w:bookmarkStart w:id="81" w:name="_Toc13918"/>
      <w:bookmarkStart w:id="82" w:name="_Toc4929"/>
      <w:bookmarkStart w:id="83" w:name="_Toc5635"/>
      <w:r>
        <w:rPr>
          <w:rFonts w:ascii="宋体" w:hAnsi="宋体"/>
          <w:b/>
          <w:color w:val="auto"/>
          <w:sz w:val="24"/>
        </w:rPr>
        <w:t>1.3 价款</w:t>
      </w:r>
      <w:bookmarkEnd w:id="79"/>
      <w:bookmarkEnd w:id="80"/>
      <w:bookmarkEnd w:id="81"/>
      <w:bookmarkEnd w:id="82"/>
      <w:bookmarkEnd w:id="83"/>
    </w:p>
    <w:p w14:paraId="772A2AD8">
      <w:pPr>
        <w:spacing w:line="560" w:lineRule="exact"/>
        <w:ind w:firstLine="480" w:firstLineChars="200"/>
        <w:rPr>
          <w:rFonts w:ascii="宋体" w:hAnsi="宋体"/>
          <w:color w:val="auto"/>
          <w:sz w:val="24"/>
        </w:rPr>
      </w:pPr>
      <w:r>
        <w:rPr>
          <w:rFonts w:hint="eastAsia" w:ascii="宋体" w:hAnsi="宋体" w:cs="宋体"/>
          <w:color w:val="auto"/>
          <w:sz w:val="24"/>
        </w:rPr>
        <w:t>本项目采用以下第</w:t>
      </w:r>
      <w:r>
        <w:rPr>
          <w:rFonts w:hint="eastAsia" w:ascii="宋体" w:hAnsi="宋体" w:cs="宋体"/>
          <w:color w:val="auto"/>
          <w:sz w:val="24"/>
          <w:u w:val="single"/>
        </w:rPr>
        <w:t xml:space="preserve">     </w:t>
      </w:r>
      <w:r>
        <w:rPr>
          <w:rFonts w:hint="eastAsia" w:ascii="宋体" w:hAnsi="宋体" w:cs="宋体"/>
          <w:color w:val="auto"/>
          <w:sz w:val="24"/>
        </w:rPr>
        <w:t>条款规定的计价方式计价。</w:t>
      </w:r>
    </w:p>
    <w:p w14:paraId="3AB12231">
      <w:pPr>
        <w:spacing w:line="560" w:lineRule="exact"/>
        <w:ind w:firstLine="480" w:firstLineChars="200"/>
        <w:rPr>
          <w:rFonts w:ascii="宋体" w:hAnsi="宋体"/>
          <w:color w:val="auto"/>
          <w:sz w:val="24"/>
        </w:rPr>
      </w:pPr>
      <w:r>
        <w:rPr>
          <w:rFonts w:hint="eastAsia" w:ascii="宋体" w:hAnsi="宋体"/>
          <w:color w:val="auto"/>
          <w:sz w:val="24"/>
        </w:rPr>
        <w:t>1.3.1总价合同，</w:t>
      </w:r>
      <w:r>
        <w:rPr>
          <w:rFonts w:ascii="宋体" w:hAnsi="宋体"/>
          <w:color w:val="auto"/>
          <w:sz w:val="24"/>
        </w:rPr>
        <w:t>本合同总价</w:t>
      </w:r>
      <w:r>
        <w:rPr>
          <w:rFonts w:hint="eastAsia" w:ascii="宋体" w:hAnsi="宋体"/>
          <w:color w:val="auto"/>
          <w:sz w:val="24"/>
        </w:rPr>
        <w:t>（含税）</w:t>
      </w:r>
      <w:r>
        <w:rPr>
          <w:rFonts w:ascii="宋体" w:hAnsi="宋体"/>
          <w:color w:val="auto"/>
          <w:sz w:val="24"/>
        </w:rPr>
        <w:t>为</w:t>
      </w:r>
      <w:r>
        <w:rPr>
          <w:rFonts w:hint="eastAsia" w:ascii="宋体" w:hAnsi="宋体"/>
          <w:color w:val="auto"/>
          <w:sz w:val="24"/>
        </w:rPr>
        <w:t>：￥</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r>
        <w:rPr>
          <w:rFonts w:ascii="宋体" w:hAnsi="宋体"/>
          <w:color w:val="auto"/>
          <w:sz w:val="24"/>
        </w:rPr>
        <w:t>。</w:t>
      </w:r>
    </w:p>
    <w:p w14:paraId="2FB7BAEC">
      <w:pPr>
        <w:spacing w:line="560" w:lineRule="exact"/>
        <w:ind w:firstLine="480" w:firstLineChars="200"/>
        <w:rPr>
          <w:rFonts w:ascii="宋体" w:hAnsi="宋体"/>
          <w:color w:val="auto"/>
          <w:sz w:val="24"/>
          <w:u w:val="single"/>
        </w:rPr>
      </w:pPr>
      <w:r>
        <w:rPr>
          <w:rFonts w:ascii="宋体" w:hAnsi="宋体"/>
          <w:color w:val="auto"/>
          <w:sz w:val="24"/>
        </w:rPr>
        <w:t>分项价格：</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7E989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A8BAD3A">
            <w:pPr>
              <w:pStyle w:val="621"/>
              <w:spacing w:line="560" w:lineRule="exact"/>
              <w:jc w:val="center"/>
              <w:rPr>
                <w:rFonts w:hAnsi="宋体"/>
                <w:color w:val="auto"/>
                <w:sz w:val="24"/>
                <w:szCs w:val="24"/>
              </w:rPr>
            </w:pPr>
            <w:r>
              <w:rPr>
                <w:rFonts w:hAnsi="宋体"/>
                <w:color w:val="auto"/>
                <w:sz w:val="24"/>
                <w:szCs w:val="24"/>
              </w:rPr>
              <w:t>序号</w:t>
            </w:r>
          </w:p>
        </w:tc>
        <w:tc>
          <w:tcPr>
            <w:tcW w:w="3402" w:type="dxa"/>
            <w:vAlign w:val="center"/>
          </w:tcPr>
          <w:p w14:paraId="48C2179F">
            <w:pPr>
              <w:pStyle w:val="621"/>
              <w:spacing w:line="560" w:lineRule="exact"/>
              <w:ind w:firstLine="200"/>
              <w:jc w:val="center"/>
              <w:rPr>
                <w:rFonts w:hAnsi="宋体"/>
                <w:color w:val="auto"/>
                <w:sz w:val="24"/>
                <w:szCs w:val="24"/>
              </w:rPr>
            </w:pPr>
            <w:r>
              <w:rPr>
                <w:rFonts w:hint="eastAsia" w:hAnsi="宋体"/>
                <w:color w:val="auto"/>
                <w:sz w:val="24"/>
                <w:szCs w:val="24"/>
              </w:rPr>
              <w:t>分项名称</w:t>
            </w:r>
          </w:p>
        </w:tc>
        <w:tc>
          <w:tcPr>
            <w:tcW w:w="2552" w:type="dxa"/>
            <w:vAlign w:val="center"/>
          </w:tcPr>
          <w:p w14:paraId="1CD8B50B">
            <w:pPr>
              <w:pStyle w:val="621"/>
              <w:spacing w:line="560" w:lineRule="exact"/>
              <w:jc w:val="center"/>
              <w:rPr>
                <w:rFonts w:hAnsi="宋体"/>
                <w:color w:val="auto"/>
                <w:sz w:val="24"/>
                <w:szCs w:val="24"/>
              </w:rPr>
            </w:pPr>
            <w:r>
              <w:rPr>
                <w:rFonts w:hAnsi="宋体"/>
                <w:color w:val="auto"/>
                <w:sz w:val="24"/>
                <w:szCs w:val="24"/>
              </w:rPr>
              <w:t>分项价格</w:t>
            </w:r>
          </w:p>
        </w:tc>
      </w:tr>
      <w:tr w14:paraId="36069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0AC20702">
            <w:pPr>
              <w:pStyle w:val="621"/>
              <w:spacing w:line="560" w:lineRule="exact"/>
              <w:ind w:firstLine="200"/>
              <w:jc w:val="center"/>
              <w:rPr>
                <w:rFonts w:hAnsi="宋体"/>
                <w:color w:val="auto"/>
                <w:sz w:val="24"/>
                <w:szCs w:val="24"/>
              </w:rPr>
            </w:pPr>
          </w:p>
        </w:tc>
        <w:tc>
          <w:tcPr>
            <w:tcW w:w="3402" w:type="dxa"/>
            <w:vAlign w:val="center"/>
          </w:tcPr>
          <w:p w14:paraId="0DEF333D">
            <w:pPr>
              <w:pStyle w:val="621"/>
              <w:spacing w:line="560" w:lineRule="exact"/>
              <w:ind w:firstLine="200"/>
              <w:jc w:val="center"/>
              <w:rPr>
                <w:rFonts w:hAnsi="宋体"/>
                <w:color w:val="auto"/>
                <w:sz w:val="24"/>
                <w:szCs w:val="24"/>
              </w:rPr>
            </w:pPr>
          </w:p>
        </w:tc>
        <w:tc>
          <w:tcPr>
            <w:tcW w:w="2552" w:type="dxa"/>
            <w:vAlign w:val="center"/>
          </w:tcPr>
          <w:p w14:paraId="2DE4A7A7">
            <w:pPr>
              <w:pStyle w:val="621"/>
              <w:spacing w:line="560" w:lineRule="exact"/>
              <w:ind w:firstLine="200"/>
              <w:jc w:val="center"/>
              <w:rPr>
                <w:rFonts w:hAnsi="宋体"/>
                <w:color w:val="auto"/>
                <w:sz w:val="24"/>
                <w:szCs w:val="24"/>
              </w:rPr>
            </w:pPr>
          </w:p>
        </w:tc>
      </w:tr>
      <w:tr w14:paraId="77CB5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3C0085F4">
            <w:pPr>
              <w:pStyle w:val="621"/>
              <w:spacing w:line="560" w:lineRule="exact"/>
              <w:ind w:firstLine="200"/>
              <w:jc w:val="center"/>
              <w:rPr>
                <w:rFonts w:hAnsi="宋体"/>
                <w:color w:val="auto"/>
                <w:sz w:val="24"/>
                <w:szCs w:val="24"/>
              </w:rPr>
            </w:pPr>
          </w:p>
        </w:tc>
        <w:tc>
          <w:tcPr>
            <w:tcW w:w="3402" w:type="dxa"/>
            <w:vAlign w:val="center"/>
          </w:tcPr>
          <w:p w14:paraId="5F813C34">
            <w:pPr>
              <w:pStyle w:val="621"/>
              <w:spacing w:line="560" w:lineRule="exact"/>
              <w:ind w:firstLine="200"/>
              <w:jc w:val="center"/>
              <w:rPr>
                <w:rFonts w:hAnsi="宋体"/>
                <w:color w:val="auto"/>
                <w:sz w:val="24"/>
                <w:szCs w:val="24"/>
              </w:rPr>
            </w:pPr>
          </w:p>
        </w:tc>
        <w:tc>
          <w:tcPr>
            <w:tcW w:w="2552" w:type="dxa"/>
            <w:vAlign w:val="center"/>
          </w:tcPr>
          <w:p w14:paraId="6433001C">
            <w:pPr>
              <w:pStyle w:val="621"/>
              <w:spacing w:line="560" w:lineRule="exact"/>
              <w:ind w:firstLine="200"/>
              <w:jc w:val="center"/>
              <w:rPr>
                <w:rFonts w:hAnsi="宋体"/>
                <w:color w:val="auto"/>
                <w:sz w:val="24"/>
                <w:szCs w:val="24"/>
              </w:rPr>
            </w:pPr>
          </w:p>
        </w:tc>
      </w:tr>
      <w:tr w14:paraId="426A79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4B998EAB">
            <w:pPr>
              <w:pStyle w:val="621"/>
              <w:spacing w:line="560" w:lineRule="exact"/>
              <w:ind w:firstLine="200"/>
              <w:jc w:val="center"/>
              <w:rPr>
                <w:rFonts w:hAnsi="宋体"/>
                <w:color w:val="auto"/>
                <w:sz w:val="24"/>
                <w:szCs w:val="24"/>
              </w:rPr>
            </w:pPr>
          </w:p>
        </w:tc>
        <w:tc>
          <w:tcPr>
            <w:tcW w:w="3402" w:type="dxa"/>
            <w:vAlign w:val="center"/>
          </w:tcPr>
          <w:p w14:paraId="5685A22A">
            <w:pPr>
              <w:pStyle w:val="621"/>
              <w:spacing w:line="560" w:lineRule="exact"/>
              <w:ind w:firstLine="200"/>
              <w:jc w:val="center"/>
              <w:rPr>
                <w:rFonts w:hAnsi="宋体"/>
                <w:color w:val="auto"/>
                <w:sz w:val="24"/>
                <w:szCs w:val="24"/>
              </w:rPr>
            </w:pPr>
          </w:p>
        </w:tc>
        <w:tc>
          <w:tcPr>
            <w:tcW w:w="2552" w:type="dxa"/>
            <w:vAlign w:val="center"/>
          </w:tcPr>
          <w:p w14:paraId="692AC31E">
            <w:pPr>
              <w:pStyle w:val="621"/>
              <w:spacing w:line="560" w:lineRule="exact"/>
              <w:ind w:firstLine="200"/>
              <w:jc w:val="center"/>
              <w:rPr>
                <w:rFonts w:hAnsi="宋体"/>
                <w:color w:val="auto"/>
                <w:sz w:val="24"/>
                <w:szCs w:val="24"/>
              </w:rPr>
            </w:pPr>
          </w:p>
        </w:tc>
      </w:tr>
      <w:tr w14:paraId="42161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1B5314F3">
            <w:pPr>
              <w:pStyle w:val="621"/>
              <w:spacing w:line="560" w:lineRule="exact"/>
              <w:ind w:firstLine="200"/>
              <w:jc w:val="center"/>
              <w:rPr>
                <w:rFonts w:hAnsi="宋体"/>
                <w:color w:val="auto"/>
                <w:sz w:val="24"/>
                <w:szCs w:val="24"/>
              </w:rPr>
            </w:pPr>
          </w:p>
        </w:tc>
        <w:tc>
          <w:tcPr>
            <w:tcW w:w="3402" w:type="dxa"/>
            <w:vAlign w:val="center"/>
          </w:tcPr>
          <w:p w14:paraId="4B0639EF">
            <w:pPr>
              <w:pStyle w:val="621"/>
              <w:spacing w:line="560" w:lineRule="exact"/>
              <w:ind w:firstLine="200"/>
              <w:jc w:val="center"/>
              <w:rPr>
                <w:rFonts w:hAnsi="宋体"/>
                <w:color w:val="auto"/>
                <w:sz w:val="24"/>
                <w:szCs w:val="24"/>
              </w:rPr>
            </w:pPr>
          </w:p>
        </w:tc>
        <w:tc>
          <w:tcPr>
            <w:tcW w:w="2552" w:type="dxa"/>
            <w:vAlign w:val="center"/>
          </w:tcPr>
          <w:p w14:paraId="1B72DC40">
            <w:pPr>
              <w:pStyle w:val="621"/>
              <w:spacing w:line="560" w:lineRule="exact"/>
              <w:ind w:firstLine="200"/>
              <w:jc w:val="center"/>
              <w:rPr>
                <w:rFonts w:hAnsi="宋体"/>
                <w:color w:val="auto"/>
                <w:sz w:val="24"/>
                <w:szCs w:val="24"/>
              </w:rPr>
            </w:pPr>
          </w:p>
        </w:tc>
      </w:tr>
      <w:tr w14:paraId="68570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6A27844B">
            <w:pPr>
              <w:pStyle w:val="621"/>
              <w:spacing w:line="560" w:lineRule="exact"/>
              <w:ind w:firstLine="200"/>
              <w:jc w:val="center"/>
              <w:rPr>
                <w:rFonts w:hAnsi="宋体"/>
                <w:color w:val="auto"/>
                <w:sz w:val="24"/>
                <w:szCs w:val="24"/>
              </w:rPr>
            </w:pPr>
            <w:r>
              <w:rPr>
                <w:rFonts w:hint="eastAsia" w:hAnsi="宋体"/>
                <w:color w:val="auto"/>
                <w:sz w:val="24"/>
                <w:szCs w:val="24"/>
              </w:rPr>
              <w:t>总价</w:t>
            </w:r>
          </w:p>
        </w:tc>
        <w:tc>
          <w:tcPr>
            <w:tcW w:w="2552" w:type="dxa"/>
            <w:vAlign w:val="center"/>
          </w:tcPr>
          <w:p w14:paraId="59E2B883">
            <w:pPr>
              <w:pStyle w:val="621"/>
              <w:spacing w:line="560" w:lineRule="exact"/>
              <w:ind w:firstLine="200"/>
              <w:jc w:val="center"/>
              <w:rPr>
                <w:rFonts w:hAnsi="宋体"/>
                <w:color w:val="auto"/>
                <w:sz w:val="24"/>
                <w:szCs w:val="24"/>
              </w:rPr>
            </w:pPr>
          </w:p>
        </w:tc>
      </w:tr>
    </w:tbl>
    <w:p w14:paraId="495C7B15">
      <w:pPr>
        <w:spacing w:line="560" w:lineRule="exact"/>
        <w:ind w:firstLine="480" w:firstLineChars="200"/>
        <w:rPr>
          <w:rFonts w:ascii="宋体" w:hAnsi="宋体"/>
          <w:color w:val="auto"/>
          <w:sz w:val="24"/>
        </w:rPr>
      </w:pPr>
      <w:bookmarkStart w:id="84" w:name="_Toc30506"/>
      <w:bookmarkStart w:id="85" w:name="_Toc14993"/>
      <w:bookmarkStart w:id="86" w:name="_Toc3654"/>
      <w:bookmarkStart w:id="87" w:name="_Toc26916"/>
      <w:bookmarkStart w:id="88" w:name="_Toc30158"/>
      <w:r>
        <w:rPr>
          <w:rFonts w:hint="eastAsia" w:ascii="宋体" w:hAnsi="宋体"/>
          <w:bCs/>
          <w:color w:val="auto"/>
          <w:sz w:val="24"/>
        </w:rPr>
        <w:t>1.3.2单价合同，本合同单价（含税）标准为：</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服务工作量的计量方式为：</w:t>
      </w:r>
      <w:r>
        <w:rPr>
          <w:rFonts w:hint="eastAsia" w:ascii="宋体" w:hAnsi="宋体"/>
          <w:bCs/>
          <w:color w:val="auto"/>
          <w:sz w:val="24"/>
          <w:u w:val="single"/>
        </w:rPr>
        <w:t xml:space="preserve">       </w:t>
      </w:r>
      <w:r>
        <w:rPr>
          <w:rFonts w:hint="eastAsia" w:ascii="宋体" w:hAnsi="宋体" w:cs="宋体"/>
          <w:b/>
          <w:i/>
          <w:color w:val="auto"/>
          <w:sz w:val="24"/>
          <w:u w:val="single"/>
        </w:rPr>
        <w:t>合同专用条款</w:t>
      </w:r>
      <w:r>
        <w:rPr>
          <w:rFonts w:hint="eastAsia" w:ascii="宋体" w:hAnsi="宋体"/>
          <w:bCs/>
          <w:color w:val="auto"/>
          <w:sz w:val="24"/>
          <w:u w:val="single"/>
        </w:rPr>
        <w:t xml:space="preserve">     </w:t>
      </w:r>
      <w:r>
        <w:rPr>
          <w:rFonts w:ascii="宋体" w:hAnsi="宋体"/>
          <w:color w:val="auto"/>
          <w:sz w:val="24"/>
        </w:rPr>
        <w:t>。</w:t>
      </w:r>
      <w:r>
        <w:rPr>
          <w:rFonts w:hint="eastAsia" w:ascii="宋体" w:hAnsi="宋体"/>
          <w:color w:val="auto"/>
          <w:sz w:val="24"/>
        </w:rPr>
        <w:t>单价合同，在合同履行期间内，根据实际完成的工作量据实结算，但结算总价上限不得超过预算金额或者双方确定的金额￥</w:t>
      </w:r>
      <w:r>
        <w:rPr>
          <w:rFonts w:ascii="宋体" w:hAnsi="宋体"/>
          <w:color w:val="auto"/>
          <w:sz w:val="24"/>
          <w:u w:val="single"/>
        </w:rPr>
        <w:t xml:space="preserve">           </w:t>
      </w:r>
      <w:r>
        <w:rPr>
          <w:rFonts w:ascii="宋体" w:hAnsi="宋体"/>
          <w:color w:val="auto"/>
          <w:sz w:val="24"/>
        </w:rPr>
        <w:t>元</w:t>
      </w:r>
      <w:r>
        <w:rPr>
          <w:rFonts w:hint="eastAsia" w:ascii="宋体" w:hAnsi="宋体"/>
          <w:color w:val="auto"/>
          <w:sz w:val="24"/>
        </w:rPr>
        <w:t>（大写：</w:t>
      </w:r>
      <w:r>
        <w:rPr>
          <w:rFonts w:ascii="宋体" w:hAnsi="宋体"/>
          <w:color w:val="auto"/>
          <w:sz w:val="24"/>
          <w:u w:val="single"/>
        </w:rPr>
        <w:t xml:space="preserve">                 </w:t>
      </w:r>
      <w:r>
        <w:rPr>
          <w:rFonts w:hint="eastAsia" w:ascii="宋体" w:hAnsi="宋体"/>
          <w:color w:val="auto"/>
          <w:sz w:val="24"/>
        </w:rPr>
        <w:t>元人民币）。</w:t>
      </w:r>
    </w:p>
    <w:p w14:paraId="1A1278F5">
      <w:pPr>
        <w:pStyle w:val="3"/>
        <w:numPr>
          <w:ilvl w:val="0"/>
          <w:numId w:val="0"/>
        </w:numPr>
        <w:ind w:leftChars="0"/>
        <w:rPr>
          <w:color w:val="auto"/>
          <w:lang w:val="en-US"/>
        </w:rPr>
      </w:pPr>
      <w:r>
        <w:rPr>
          <w:rFonts w:hint="eastAsia" w:ascii="宋体" w:hAnsi="宋体"/>
          <w:color w:val="auto"/>
          <w:sz w:val="24"/>
          <w:lang w:val="en-US"/>
        </w:rPr>
        <w:t xml:space="preserve">    </w:t>
      </w:r>
      <w:r>
        <w:rPr>
          <w:rFonts w:hint="eastAsia" w:ascii="宋体" w:hAnsi="宋体" w:eastAsia="宋体" w:cs="宋体"/>
          <w:b w:val="0"/>
          <w:bCs w:val="0"/>
          <w:color w:val="auto"/>
          <w:sz w:val="24"/>
          <w:lang w:val="en-US"/>
        </w:rPr>
        <w:t>1.3.3其他计价方式：</w:t>
      </w:r>
      <w:r>
        <w:rPr>
          <w:rFonts w:hint="eastAsia" w:ascii="宋体" w:hAnsi="宋体" w:eastAsia="宋体" w:cs="宋体"/>
          <w:b w:val="0"/>
          <w:bCs w:val="0"/>
          <w:color w:val="auto"/>
          <w:sz w:val="24"/>
          <w:u w:val="single"/>
          <w:lang w:val="en-US"/>
        </w:rPr>
        <w:t xml:space="preserve">                   </w:t>
      </w:r>
      <w:r>
        <w:rPr>
          <w:rFonts w:hint="eastAsia" w:ascii="宋体" w:hAnsi="宋体" w:eastAsia="宋体" w:cs="宋体"/>
          <w:b w:val="0"/>
          <w:bCs w:val="0"/>
          <w:color w:val="auto"/>
          <w:sz w:val="24"/>
        </w:rPr>
        <w:t>。</w:t>
      </w:r>
    </w:p>
    <w:bookmarkEnd w:id="84"/>
    <w:bookmarkEnd w:id="85"/>
    <w:bookmarkEnd w:id="86"/>
    <w:bookmarkEnd w:id="87"/>
    <w:bookmarkEnd w:id="88"/>
    <w:p w14:paraId="3C2EBE59">
      <w:pPr>
        <w:pStyle w:val="629"/>
        <w:spacing w:before="0" w:beforeAutospacing="0" w:after="0" w:afterAutospacing="0" w:line="360" w:lineRule="auto"/>
        <w:ind w:firstLine="480"/>
        <w:rPr>
          <w:rFonts w:hint="eastAsia" w:eastAsia="宋体"/>
          <w:b/>
          <w:color w:val="auto"/>
          <w:lang w:eastAsia="zh-CN"/>
        </w:rPr>
      </w:pPr>
      <w:bookmarkStart w:id="89" w:name="_Toc10340"/>
      <w:bookmarkStart w:id="90" w:name="_Toc22618"/>
      <w:bookmarkStart w:id="91" w:name="_Toc1814"/>
      <w:bookmarkStart w:id="92" w:name="_Toc4760"/>
      <w:bookmarkStart w:id="93" w:name="_Toc11108"/>
      <w:bookmarkStart w:id="94" w:name="_Toc3625"/>
      <w:bookmarkStart w:id="95" w:name="_Toc31421"/>
      <w:bookmarkStart w:id="96" w:name="_Toc8772"/>
      <w:r>
        <w:rPr>
          <w:rFonts w:hint="eastAsia"/>
          <w:b/>
          <w:color w:val="auto"/>
        </w:rPr>
        <w:t>1.4履约保证金</w:t>
      </w:r>
      <w:r>
        <w:rPr>
          <w:rFonts w:hint="eastAsia"/>
          <w:b/>
          <w:color w:val="auto"/>
          <w:lang w:eastAsia="zh-CN"/>
        </w:rPr>
        <w:t>：无</w:t>
      </w:r>
    </w:p>
    <w:p w14:paraId="0DB6DE75">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1.5</w:t>
      </w:r>
      <w:bookmarkEnd w:id="89"/>
      <w:bookmarkEnd w:id="90"/>
      <w:bookmarkEnd w:id="91"/>
      <w:r>
        <w:rPr>
          <w:rFonts w:hint="eastAsia" w:ascii="宋体" w:hAnsi="宋体" w:cs="宋体"/>
          <w:b/>
          <w:color w:val="auto"/>
          <w:sz w:val="24"/>
        </w:rPr>
        <w:t>预付款</w:t>
      </w:r>
    </w:p>
    <w:p w14:paraId="40BB61A3">
      <w:pPr>
        <w:pStyle w:val="629"/>
        <w:spacing w:before="0" w:beforeAutospacing="0" w:after="0" w:afterAutospacing="0" w:line="360" w:lineRule="auto"/>
        <w:ind w:firstLine="480"/>
        <w:rPr>
          <w:color w:val="auto"/>
        </w:rPr>
      </w:pPr>
      <w:r>
        <w:rPr>
          <w:rFonts w:hint="eastAsia"/>
          <w:color w:val="auto"/>
        </w:rPr>
        <w:t>甲方</w:t>
      </w:r>
      <w:r>
        <w:rPr>
          <w:rFonts w:hint="eastAsia"/>
          <w:color w:val="auto"/>
          <w:u w:val="single"/>
        </w:rPr>
        <w:t xml:space="preserve">     </w:t>
      </w:r>
      <w:r>
        <w:rPr>
          <w:rFonts w:hint="eastAsia"/>
          <w:color w:val="auto"/>
        </w:rPr>
        <w:t>（是</w:t>
      </w:r>
      <w:r>
        <w:rPr>
          <w:rFonts w:hint="eastAsia" w:ascii="仿宋" w:hAnsi="仿宋" w:eastAsia="仿宋" w:cs="仿宋"/>
          <w:color w:val="auto"/>
        </w:rPr>
        <w:t>/</w:t>
      </w:r>
      <w:r>
        <w:rPr>
          <w:rFonts w:hint="eastAsia"/>
          <w:color w:val="auto"/>
        </w:rPr>
        <w:t>否）需要支付预付款。若需要支付预付款的，则：</w:t>
      </w:r>
    </w:p>
    <w:p w14:paraId="1D34508E">
      <w:pPr>
        <w:spacing w:line="560" w:lineRule="exact"/>
        <w:ind w:firstLine="480" w:firstLineChars="200"/>
        <w:rPr>
          <w:rFonts w:ascii="宋体" w:hAnsi="宋体" w:cs="宋体"/>
          <w:color w:val="auto"/>
          <w:kern w:val="0"/>
          <w:sz w:val="24"/>
        </w:rPr>
      </w:pPr>
      <w:r>
        <w:rPr>
          <w:rFonts w:hint="eastAsia" w:ascii="宋体" w:hAnsi="宋体" w:cs="宋体"/>
          <w:color w:val="auto"/>
          <w:kern w:val="0"/>
          <w:sz w:val="24"/>
        </w:rPr>
        <w:t>1.5.1预付款比例、支付方式、时间详见</w:t>
      </w:r>
      <w:r>
        <w:rPr>
          <w:rFonts w:hint="eastAsia" w:ascii="宋体" w:hAnsi="宋体" w:cs="宋体"/>
          <w:color w:val="auto"/>
          <w:kern w:val="0"/>
          <w:sz w:val="24"/>
          <w:u w:val="single"/>
        </w:rPr>
        <w:t xml:space="preserve">    </w:t>
      </w:r>
      <w:r>
        <w:rPr>
          <w:rFonts w:hint="eastAsia" w:ascii="宋体" w:hAnsi="宋体" w:cs="宋体"/>
          <w:b/>
          <w:i/>
          <w:color w:val="auto"/>
          <w:sz w:val="24"/>
          <w:u w:val="single"/>
        </w:rPr>
        <w:t>合同专用条款</w:t>
      </w:r>
      <w:r>
        <w:rPr>
          <w:rFonts w:hint="eastAsia" w:ascii="宋体" w:hAnsi="宋体" w:cs="宋体"/>
          <w:color w:val="auto"/>
          <w:kern w:val="0"/>
          <w:sz w:val="24"/>
          <w:u w:val="single"/>
        </w:rPr>
        <w:t xml:space="preserve">           </w:t>
      </w:r>
      <w:r>
        <w:rPr>
          <w:rFonts w:hint="eastAsia" w:ascii="宋体" w:hAnsi="宋体" w:cs="宋体"/>
          <w:color w:val="auto"/>
          <w:kern w:val="0"/>
          <w:sz w:val="24"/>
        </w:rPr>
        <w:t>；</w:t>
      </w:r>
    </w:p>
    <w:p w14:paraId="5194237C">
      <w:pPr>
        <w:pStyle w:val="629"/>
        <w:spacing w:before="0" w:beforeAutospacing="0" w:after="0" w:afterAutospacing="0" w:line="360" w:lineRule="auto"/>
        <w:ind w:firstLine="480"/>
        <w:rPr>
          <w:color w:val="auto"/>
        </w:rPr>
      </w:pPr>
      <w:r>
        <w:rPr>
          <w:rFonts w:hint="eastAsia"/>
          <w:color w:val="auto"/>
        </w:rPr>
        <w:t>1.5.2预付款的扣回方式详见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76E970BF">
      <w:pPr>
        <w:pStyle w:val="629"/>
        <w:spacing w:before="0" w:beforeAutospacing="0" w:after="0" w:afterAutospacing="0" w:line="360" w:lineRule="auto"/>
        <w:ind w:firstLine="480"/>
        <w:rPr>
          <w:color w:val="auto"/>
          <w:u w:val="single"/>
        </w:rPr>
      </w:pPr>
      <w:r>
        <w:rPr>
          <w:rFonts w:hint="eastAsia"/>
          <w:color w:val="auto"/>
        </w:rPr>
        <w:t>1.5.3预付款的担保措施详见</w:t>
      </w:r>
      <w:r>
        <w:rPr>
          <w:rFonts w:hint="eastAsia"/>
          <w:color w:val="auto"/>
          <w:u w:val="single"/>
        </w:rPr>
        <w:t xml:space="preserve">    </w:t>
      </w:r>
      <w:r>
        <w:rPr>
          <w:rFonts w:hint="eastAsia"/>
          <w:b/>
          <w:i/>
          <w:color w:val="auto"/>
          <w:u w:val="single"/>
        </w:rPr>
        <w:t>合同专用条款</w:t>
      </w:r>
      <w:r>
        <w:rPr>
          <w:rFonts w:hint="eastAsia"/>
          <w:color w:val="auto"/>
          <w:u w:val="single"/>
        </w:rPr>
        <w:t xml:space="preserve">          </w:t>
      </w:r>
      <w:r>
        <w:rPr>
          <w:rFonts w:hint="eastAsia"/>
          <w:color w:val="auto"/>
        </w:rPr>
        <w:t>。</w:t>
      </w:r>
    </w:p>
    <w:p w14:paraId="5F063576">
      <w:pPr>
        <w:pStyle w:val="629"/>
        <w:spacing w:before="0" w:beforeAutospacing="0" w:after="0" w:afterAutospacing="0" w:line="360" w:lineRule="auto"/>
        <w:ind w:firstLine="480"/>
        <w:rPr>
          <w:b/>
          <w:bCs/>
          <w:color w:val="auto"/>
        </w:rPr>
      </w:pPr>
      <w:r>
        <w:rPr>
          <w:rFonts w:hint="eastAsia"/>
          <w:b/>
          <w:bCs/>
          <w:color w:val="auto"/>
        </w:rPr>
        <w:t>1.6资金支付</w:t>
      </w:r>
    </w:p>
    <w:p w14:paraId="4932CE5F">
      <w:pPr>
        <w:pStyle w:val="629"/>
        <w:spacing w:before="0" w:beforeAutospacing="0" w:after="0" w:afterAutospacing="0" w:line="360" w:lineRule="auto"/>
        <w:ind w:firstLine="480"/>
        <w:rPr>
          <w:color w:val="auto"/>
        </w:rPr>
      </w:pPr>
      <w:r>
        <w:rPr>
          <w:rFonts w:hint="eastAsia"/>
          <w:color w:val="auto"/>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359F84BF">
      <w:pPr>
        <w:spacing w:line="560" w:lineRule="exact"/>
        <w:ind w:firstLine="480" w:firstLineChars="200"/>
        <w:outlineLvl w:val="0"/>
        <w:rPr>
          <w:rFonts w:ascii="宋体" w:hAnsi="宋体" w:cs="宋体"/>
          <w:color w:val="auto"/>
          <w:sz w:val="24"/>
        </w:rPr>
      </w:pPr>
      <w:r>
        <w:rPr>
          <w:rFonts w:hint="eastAsia" w:ascii="宋体" w:hAnsi="宋体" w:cs="宋体"/>
          <w:color w:val="auto"/>
          <w:sz w:val="24"/>
        </w:rPr>
        <w:t>1.6.2资金支付的方式、时间和条件详见</w:t>
      </w:r>
      <w:r>
        <w:rPr>
          <w:rFonts w:hint="eastAsia" w:ascii="宋体" w:hAnsi="宋体" w:cs="宋体"/>
          <w:b/>
          <w:i/>
          <w:color w:val="auto"/>
          <w:sz w:val="24"/>
          <w:u w:val="single"/>
        </w:rPr>
        <w:t>合同专用条款</w:t>
      </w:r>
      <w:r>
        <w:rPr>
          <w:rFonts w:hint="eastAsia" w:ascii="宋体" w:hAnsi="宋体" w:cs="宋体"/>
          <w:color w:val="auto"/>
          <w:sz w:val="24"/>
        </w:rPr>
        <w:t>。</w:t>
      </w:r>
    </w:p>
    <w:p w14:paraId="0B738B05">
      <w:pPr>
        <w:spacing w:line="560" w:lineRule="exact"/>
        <w:ind w:firstLine="482" w:firstLineChars="200"/>
        <w:outlineLvl w:val="0"/>
        <w:rPr>
          <w:rFonts w:ascii="宋体" w:hAnsi="宋体"/>
          <w:b/>
          <w:color w:val="auto"/>
          <w:sz w:val="24"/>
        </w:rPr>
      </w:pPr>
      <w:r>
        <w:rPr>
          <w:rFonts w:ascii="宋体" w:hAnsi="宋体"/>
          <w:b/>
          <w:color w:val="auto"/>
          <w:sz w:val="24"/>
        </w:rPr>
        <w:t>1.</w:t>
      </w:r>
      <w:r>
        <w:rPr>
          <w:rFonts w:hint="eastAsia" w:ascii="宋体" w:hAnsi="宋体"/>
          <w:b/>
          <w:color w:val="auto"/>
          <w:sz w:val="24"/>
        </w:rPr>
        <w:t>7</w:t>
      </w:r>
      <w:r>
        <w:rPr>
          <w:rFonts w:ascii="宋体" w:hAnsi="宋体"/>
          <w:b/>
          <w:color w:val="auto"/>
          <w:sz w:val="24"/>
        </w:rPr>
        <w:t xml:space="preserve"> 履行期限</w:t>
      </w:r>
      <w:r>
        <w:rPr>
          <w:rFonts w:hint="eastAsia" w:ascii="宋体" w:hAnsi="宋体"/>
          <w:b/>
          <w:color w:val="auto"/>
          <w:sz w:val="24"/>
        </w:rPr>
        <w:t>、地点和方式</w:t>
      </w:r>
      <w:bookmarkEnd w:id="92"/>
      <w:bookmarkEnd w:id="93"/>
      <w:bookmarkEnd w:id="94"/>
      <w:bookmarkEnd w:id="95"/>
      <w:bookmarkEnd w:id="96"/>
    </w:p>
    <w:p w14:paraId="5CE21AFB">
      <w:pPr>
        <w:spacing w:line="560" w:lineRule="exact"/>
        <w:ind w:firstLine="480" w:firstLineChars="200"/>
        <w:rPr>
          <w:rFonts w:ascii="宋体" w:hAnsi="宋体"/>
          <w:color w:val="auto"/>
          <w:sz w:val="24"/>
          <w:u w:val="single"/>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.1 </w:t>
      </w:r>
      <w:r>
        <w:rPr>
          <w:rFonts w:hint="eastAsia" w:ascii="宋体" w:hAnsi="宋体"/>
          <w:color w:val="auto"/>
          <w:sz w:val="24"/>
        </w:rPr>
        <w:t>服务交付（实施）的时间（期限）</w:t>
      </w:r>
      <w:r>
        <w:rPr>
          <w:rFonts w:ascii="宋体" w:hAnsi="宋体"/>
          <w:color w:val="auto"/>
          <w:sz w:val="24"/>
        </w:rPr>
        <w:t>：</w:t>
      </w:r>
      <w:r>
        <w:rPr>
          <w:rFonts w:hint="eastAsia" w:ascii="宋体" w:hAnsi="宋体"/>
          <w:b/>
          <w:i/>
          <w:color w:val="auto"/>
          <w:sz w:val="24"/>
          <w:u w:val="single"/>
        </w:rPr>
        <w:t>合同专用条款</w:t>
      </w:r>
      <w:r>
        <w:rPr>
          <w:rFonts w:hint="eastAsia" w:ascii="宋体" w:hAnsi="宋体"/>
          <w:color w:val="auto"/>
          <w:sz w:val="24"/>
        </w:rPr>
        <w:t>；</w:t>
      </w:r>
    </w:p>
    <w:p w14:paraId="35F9EC88">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.2 </w:t>
      </w:r>
      <w:r>
        <w:rPr>
          <w:rFonts w:hint="eastAsia" w:ascii="宋体" w:hAnsi="宋体"/>
          <w:color w:val="auto"/>
          <w:sz w:val="24"/>
        </w:rPr>
        <w:t>服</w:t>
      </w:r>
      <w:r>
        <w:rPr>
          <w:rFonts w:hint="eastAsia" w:ascii="宋体" w:hAnsi="宋体" w:cs="宋体"/>
          <w:color w:val="auto"/>
          <w:sz w:val="24"/>
        </w:rPr>
        <w:t>务交付（实施）的地点（地域范围）：</w:t>
      </w:r>
      <w:r>
        <w:rPr>
          <w:rFonts w:hint="eastAsia" w:ascii="宋体" w:hAnsi="宋体"/>
          <w:b/>
          <w:i/>
          <w:color w:val="auto"/>
          <w:sz w:val="24"/>
          <w:u w:val="single"/>
        </w:rPr>
        <w:t>合同专用条款</w:t>
      </w:r>
      <w:r>
        <w:rPr>
          <w:rFonts w:hint="eastAsia" w:ascii="宋体" w:hAnsi="宋体"/>
          <w:color w:val="auto"/>
          <w:sz w:val="24"/>
        </w:rPr>
        <w:t>；</w:t>
      </w:r>
    </w:p>
    <w:p w14:paraId="3FFFBDEA">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7</w:t>
      </w:r>
      <w:r>
        <w:rPr>
          <w:rFonts w:ascii="宋体" w:hAnsi="宋体"/>
          <w:color w:val="auto"/>
          <w:sz w:val="24"/>
        </w:rPr>
        <w:t xml:space="preserve">.3 </w:t>
      </w:r>
      <w:r>
        <w:rPr>
          <w:rFonts w:hint="eastAsia" w:ascii="宋体" w:hAnsi="宋体"/>
          <w:color w:val="auto"/>
          <w:sz w:val="24"/>
        </w:rPr>
        <w:t>服务交付（实施）的方式：</w:t>
      </w:r>
      <w:r>
        <w:rPr>
          <w:rFonts w:hint="eastAsia" w:ascii="宋体" w:hAnsi="宋体"/>
          <w:b/>
          <w:i/>
          <w:color w:val="auto"/>
          <w:sz w:val="24"/>
          <w:u w:val="single"/>
        </w:rPr>
        <w:t>合同专用条款</w:t>
      </w:r>
      <w:r>
        <w:rPr>
          <w:rFonts w:hint="eastAsia" w:ascii="宋体" w:hAnsi="宋体"/>
          <w:color w:val="auto"/>
          <w:sz w:val="24"/>
        </w:rPr>
        <w:t>。</w:t>
      </w:r>
    </w:p>
    <w:p w14:paraId="121B3CDA">
      <w:pPr>
        <w:spacing w:line="560" w:lineRule="exact"/>
        <w:ind w:firstLine="480" w:firstLineChars="200"/>
        <w:outlineLvl w:val="0"/>
        <w:rPr>
          <w:rFonts w:ascii="宋体" w:hAnsi="宋体"/>
          <w:bCs/>
          <w:color w:val="auto"/>
          <w:sz w:val="24"/>
        </w:rPr>
      </w:pPr>
      <w:bookmarkStart w:id="97" w:name="_Toc24662"/>
      <w:bookmarkStart w:id="98" w:name="_Toc8586"/>
      <w:bookmarkStart w:id="99" w:name="_Toc5698"/>
      <w:bookmarkStart w:id="100" w:name="_Toc3079"/>
      <w:bookmarkStart w:id="101" w:name="_Toc2375"/>
      <w:r>
        <w:rPr>
          <w:rFonts w:hint="eastAsia" w:ascii="宋体" w:hAnsi="宋体"/>
          <w:bCs/>
          <w:color w:val="auto"/>
          <w:sz w:val="24"/>
        </w:rPr>
        <w:t>1.7.4若服务</w:t>
      </w:r>
      <w:r>
        <w:rPr>
          <w:rFonts w:hint="eastAsia"/>
          <w:bCs/>
          <w:color w:val="auto"/>
          <w:sz w:val="24"/>
        </w:rPr>
        <w:t>涉及货物的，则货物的：</w:t>
      </w:r>
    </w:p>
    <w:p w14:paraId="0601747E">
      <w:pPr>
        <w:spacing w:line="560" w:lineRule="exact"/>
        <w:ind w:firstLine="480" w:firstLineChars="200"/>
        <w:rPr>
          <w:rFonts w:ascii="宋体" w:hAnsi="宋体" w:cs="宋体"/>
          <w:color w:val="auto"/>
          <w:sz w:val="24"/>
          <w:u w:val="single"/>
        </w:rPr>
      </w:pPr>
      <w:r>
        <w:rPr>
          <w:rFonts w:hint="eastAsia" w:ascii="宋体" w:hAnsi="宋体" w:cs="宋体"/>
          <w:color w:val="auto"/>
          <w:sz w:val="24"/>
        </w:rPr>
        <w:t>1.7.4.1 交付期限：详见</w:t>
      </w:r>
      <w:r>
        <w:rPr>
          <w:rFonts w:hint="eastAsia" w:ascii="宋体" w:hAnsi="宋体" w:cs="宋体"/>
          <w:b/>
          <w:i/>
          <w:color w:val="auto"/>
          <w:sz w:val="24"/>
          <w:u w:val="single"/>
        </w:rPr>
        <w:t>合同专用条款</w:t>
      </w:r>
      <w:r>
        <w:rPr>
          <w:rFonts w:hint="eastAsia" w:ascii="宋体" w:hAnsi="宋体" w:cs="宋体"/>
          <w:color w:val="auto"/>
          <w:sz w:val="24"/>
        </w:rPr>
        <w:t>；</w:t>
      </w:r>
    </w:p>
    <w:p w14:paraId="4B1B8EF0">
      <w:pPr>
        <w:spacing w:line="560" w:lineRule="exact"/>
        <w:ind w:firstLine="480" w:firstLineChars="200"/>
        <w:rPr>
          <w:rFonts w:ascii="宋体" w:hAnsi="宋体" w:cs="宋体"/>
          <w:color w:val="auto"/>
          <w:sz w:val="24"/>
        </w:rPr>
      </w:pPr>
      <w:r>
        <w:rPr>
          <w:rFonts w:hint="eastAsia" w:ascii="宋体" w:hAnsi="宋体" w:cs="宋体"/>
          <w:color w:val="auto"/>
          <w:sz w:val="24"/>
        </w:rPr>
        <w:t>1.7.4.2 交付地点：</w:t>
      </w:r>
      <w:r>
        <w:rPr>
          <w:rFonts w:hint="eastAsia" w:ascii="宋体" w:hAnsi="宋体" w:cs="宋体"/>
          <w:b/>
          <w:i/>
          <w:color w:val="auto"/>
          <w:sz w:val="24"/>
          <w:u w:val="single"/>
        </w:rPr>
        <w:t>合同专用条款</w:t>
      </w:r>
      <w:r>
        <w:rPr>
          <w:rFonts w:hint="eastAsia" w:ascii="宋体" w:hAnsi="宋体" w:cs="宋体"/>
          <w:color w:val="auto"/>
          <w:sz w:val="24"/>
        </w:rPr>
        <w:t>；</w:t>
      </w:r>
    </w:p>
    <w:p w14:paraId="66F17404">
      <w:pPr>
        <w:spacing w:line="560" w:lineRule="exact"/>
        <w:ind w:firstLine="480" w:firstLineChars="200"/>
        <w:rPr>
          <w:rFonts w:ascii="宋体" w:hAnsi="宋体" w:cs="宋体"/>
          <w:color w:val="auto"/>
          <w:sz w:val="24"/>
        </w:rPr>
      </w:pPr>
      <w:r>
        <w:rPr>
          <w:rFonts w:hint="eastAsia" w:ascii="宋体" w:hAnsi="宋体" w:cs="宋体"/>
          <w:color w:val="auto"/>
          <w:sz w:val="24"/>
        </w:rPr>
        <w:t>1.7.4.3 交付方式：</w:t>
      </w:r>
      <w:r>
        <w:rPr>
          <w:rFonts w:hint="eastAsia" w:ascii="宋体" w:hAnsi="宋体" w:cs="宋体"/>
          <w:b/>
          <w:i/>
          <w:color w:val="auto"/>
          <w:sz w:val="24"/>
          <w:u w:val="single"/>
        </w:rPr>
        <w:t>合同专用条款</w:t>
      </w:r>
      <w:r>
        <w:rPr>
          <w:rFonts w:hint="eastAsia" w:ascii="宋体" w:hAnsi="宋体" w:cs="宋体"/>
          <w:color w:val="auto"/>
          <w:sz w:val="24"/>
        </w:rPr>
        <w:t>。</w:t>
      </w:r>
    </w:p>
    <w:p w14:paraId="5C3CCE93">
      <w:pPr>
        <w:spacing w:line="560" w:lineRule="exact"/>
        <w:ind w:firstLine="482" w:firstLineChars="200"/>
        <w:outlineLvl w:val="0"/>
        <w:rPr>
          <w:rFonts w:ascii="宋体" w:hAnsi="宋体"/>
          <w:color w:val="auto"/>
          <w:sz w:val="24"/>
          <w:u w:val="single"/>
        </w:rPr>
      </w:pPr>
      <w:r>
        <w:rPr>
          <w:rFonts w:ascii="宋体" w:hAnsi="宋体"/>
          <w:b/>
          <w:color w:val="auto"/>
          <w:sz w:val="24"/>
        </w:rPr>
        <w:t>1.</w:t>
      </w:r>
      <w:r>
        <w:rPr>
          <w:rFonts w:hint="eastAsia" w:ascii="宋体" w:hAnsi="宋体"/>
          <w:b/>
          <w:color w:val="auto"/>
          <w:sz w:val="24"/>
        </w:rPr>
        <w:t>8违约责任</w:t>
      </w:r>
      <w:bookmarkEnd w:id="97"/>
      <w:bookmarkEnd w:id="98"/>
      <w:bookmarkEnd w:id="99"/>
      <w:bookmarkEnd w:id="100"/>
      <w:bookmarkEnd w:id="101"/>
    </w:p>
    <w:p w14:paraId="0C6DC14F">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.1 除不可抗力外，如果乙方没有按照本合同约定的期限</w:t>
      </w:r>
      <w:r>
        <w:rPr>
          <w:rFonts w:hint="eastAsia" w:ascii="宋体" w:hAnsi="宋体"/>
          <w:color w:val="auto"/>
          <w:sz w:val="24"/>
        </w:rPr>
        <w:t>、</w:t>
      </w:r>
      <w:r>
        <w:rPr>
          <w:rFonts w:ascii="宋体" w:hAnsi="宋体"/>
          <w:color w:val="auto"/>
          <w:sz w:val="24"/>
        </w:rPr>
        <w:t>地点和方式</w:t>
      </w:r>
      <w:r>
        <w:rPr>
          <w:rFonts w:hint="eastAsia" w:ascii="宋体" w:hAnsi="宋体"/>
          <w:color w:val="auto"/>
          <w:sz w:val="24"/>
        </w:rPr>
        <w:t>交付服务成果或者实施服务</w:t>
      </w:r>
      <w:r>
        <w:rPr>
          <w:rFonts w:ascii="宋体" w:hAnsi="宋体"/>
          <w:color w:val="auto"/>
          <w:sz w:val="24"/>
        </w:rPr>
        <w:t>，那么甲方可要求乙方支付违约金</w:t>
      </w:r>
      <w:r>
        <w:rPr>
          <w:rFonts w:hint="eastAsia" w:ascii="宋体" w:hAnsi="宋体"/>
          <w:color w:val="auto"/>
          <w:sz w:val="24"/>
        </w:rPr>
        <w:t>，迟延履行</w:t>
      </w:r>
      <w:r>
        <w:rPr>
          <w:rFonts w:ascii="宋体" w:hAnsi="宋体"/>
          <w:color w:val="auto"/>
          <w:sz w:val="24"/>
        </w:rPr>
        <w:t>违约金按每迟延</w:t>
      </w:r>
      <w:r>
        <w:rPr>
          <w:rFonts w:hint="eastAsia" w:ascii="宋体" w:hAnsi="宋体"/>
          <w:color w:val="auto"/>
          <w:sz w:val="24"/>
        </w:rPr>
        <w:t>履行</w:t>
      </w:r>
      <w:r>
        <w:rPr>
          <w:rFonts w:ascii="宋体" w:hAnsi="宋体"/>
          <w:color w:val="auto"/>
          <w:sz w:val="24"/>
        </w:rPr>
        <w:t>一日的应提供而未</w:t>
      </w:r>
      <w:r>
        <w:rPr>
          <w:rFonts w:hint="eastAsia" w:ascii="宋体" w:hAnsi="宋体"/>
          <w:color w:val="auto"/>
          <w:sz w:val="24"/>
        </w:rPr>
        <w:t>提供</w:t>
      </w:r>
      <w:r>
        <w:rPr>
          <w:rFonts w:ascii="宋体" w:hAnsi="宋体"/>
          <w:color w:val="auto"/>
          <w:sz w:val="24"/>
        </w:rPr>
        <w:t>服务价格的</w:t>
      </w:r>
      <w:r>
        <w:rPr>
          <w:rFonts w:hint="eastAsia" w:ascii="宋体" w:hAnsi="宋体"/>
          <w:color w:val="auto"/>
          <w:sz w:val="24"/>
          <w:u w:val="single"/>
        </w:rPr>
        <w:t>0.05</w:t>
      </w:r>
      <w:r>
        <w:rPr>
          <w:rFonts w:ascii="宋体" w:hAnsi="宋体"/>
          <w:color w:val="auto"/>
          <w:sz w:val="24"/>
          <w:u w:val="single"/>
        </w:rPr>
        <w:t xml:space="preserve"> </w:t>
      </w:r>
      <w:r>
        <w:rPr>
          <w:rFonts w:ascii="宋体" w:hAnsi="宋体"/>
          <w:color w:val="auto"/>
          <w:sz w:val="24"/>
        </w:rPr>
        <w:t>%计算</w:t>
      </w:r>
      <w:r>
        <w:rPr>
          <w:rFonts w:hint="eastAsia" w:ascii="宋体" w:hAnsi="宋体"/>
          <w:color w:val="auto"/>
          <w:sz w:val="24"/>
        </w:rPr>
        <w:t>，</w:t>
      </w:r>
      <w:r>
        <w:rPr>
          <w:rFonts w:ascii="宋体" w:hAnsi="宋体"/>
          <w:color w:val="auto"/>
          <w:sz w:val="24"/>
        </w:rPr>
        <w:t>最高限额为</w:t>
      </w:r>
      <w:r>
        <w:rPr>
          <w:rFonts w:hint="eastAsia" w:ascii="宋体" w:hAnsi="宋体"/>
          <w:color w:val="auto"/>
          <w:sz w:val="24"/>
        </w:rPr>
        <w:t>本</w:t>
      </w:r>
      <w:r>
        <w:rPr>
          <w:rFonts w:ascii="宋体" w:hAnsi="宋体"/>
          <w:color w:val="auto"/>
          <w:sz w:val="24"/>
        </w:rPr>
        <w:t>合同总价的</w:t>
      </w:r>
      <w:r>
        <w:rPr>
          <w:rFonts w:ascii="宋体" w:hAnsi="宋体"/>
          <w:color w:val="auto"/>
          <w:sz w:val="24"/>
          <w:u w:val="single"/>
        </w:rPr>
        <w:t xml:space="preserve">  20   </w:t>
      </w:r>
      <w:r>
        <w:rPr>
          <w:rFonts w:ascii="宋体" w:hAnsi="宋体"/>
          <w:color w:val="auto"/>
          <w:sz w:val="24"/>
        </w:rPr>
        <w:t>%</w:t>
      </w:r>
      <w:r>
        <w:rPr>
          <w:rFonts w:hint="eastAsia" w:ascii="宋体" w:hAnsi="宋体"/>
          <w:color w:val="auto"/>
          <w:sz w:val="24"/>
        </w:rPr>
        <w:t>；</w:t>
      </w:r>
      <w:r>
        <w:rPr>
          <w:rFonts w:ascii="宋体" w:hAnsi="宋体"/>
          <w:color w:val="auto"/>
          <w:sz w:val="24"/>
        </w:rPr>
        <w:t>迟延</w:t>
      </w:r>
      <w:r>
        <w:rPr>
          <w:rFonts w:hint="eastAsia" w:ascii="宋体" w:hAnsi="宋体"/>
          <w:color w:val="auto"/>
          <w:sz w:val="24"/>
        </w:rPr>
        <w:t>履行</w:t>
      </w:r>
      <w:r>
        <w:rPr>
          <w:rFonts w:ascii="宋体" w:hAnsi="宋体"/>
          <w:color w:val="auto"/>
          <w:sz w:val="24"/>
        </w:rPr>
        <w:t>的违约金计算数额达到前述最高限额之日起</w:t>
      </w:r>
      <w:r>
        <w:rPr>
          <w:rFonts w:hint="eastAsia" w:ascii="宋体" w:hAnsi="宋体"/>
          <w:color w:val="auto"/>
          <w:sz w:val="24"/>
        </w:rPr>
        <w:t>，</w:t>
      </w:r>
      <w:r>
        <w:rPr>
          <w:rFonts w:ascii="宋体" w:hAnsi="宋体"/>
          <w:color w:val="auto"/>
          <w:sz w:val="24"/>
        </w:rPr>
        <w:t>甲方有权在要求乙方支付违约金的同时</w:t>
      </w:r>
      <w:r>
        <w:rPr>
          <w:rFonts w:hint="eastAsia" w:ascii="宋体" w:hAnsi="宋体"/>
          <w:color w:val="auto"/>
          <w:sz w:val="24"/>
        </w:rPr>
        <w:t>，书面通知乙方</w:t>
      </w:r>
      <w:r>
        <w:rPr>
          <w:rFonts w:ascii="宋体" w:hAnsi="宋体"/>
          <w:color w:val="auto"/>
          <w:sz w:val="24"/>
        </w:rPr>
        <w:t>解除本合同</w:t>
      </w:r>
      <w:r>
        <w:rPr>
          <w:rFonts w:hint="eastAsia" w:ascii="宋体" w:hAnsi="宋体"/>
          <w:color w:val="auto"/>
          <w:sz w:val="24"/>
        </w:rPr>
        <w:t>；</w:t>
      </w:r>
    </w:p>
    <w:p w14:paraId="6EB64618">
      <w:pPr>
        <w:pStyle w:val="3"/>
        <w:ind w:left="0" w:firstLine="480" w:firstLineChars="200"/>
        <w:rPr>
          <w:rFonts w:ascii="宋体" w:hAnsi="宋体" w:eastAsia="宋体" w:cs="宋体"/>
          <w:b w:val="0"/>
          <w:bCs w:val="0"/>
          <w:color w:val="auto"/>
          <w:sz w:val="24"/>
          <w:szCs w:val="24"/>
          <w:lang w:val="en-US"/>
        </w:rPr>
      </w:pPr>
      <w:r>
        <w:rPr>
          <w:rFonts w:hint="eastAsia" w:ascii="宋体" w:hAnsi="宋体" w:eastAsia="宋体" w:cs="宋体"/>
          <w:b w:val="0"/>
          <w:bCs w:val="0"/>
          <w:color w:val="auto"/>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color w:val="auto"/>
          <w:sz w:val="24"/>
          <w:szCs w:val="24"/>
          <w:u w:val="single"/>
          <w:lang w:val="en-US"/>
        </w:rPr>
        <w:t xml:space="preserve">  0.0</w:t>
      </w:r>
      <w:r>
        <w:rPr>
          <w:rFonts w:hint="eastAsia" w:ascii="宋体" w:hAnsi="宋体" w:eastAsia="宋体" w:cs="宋体"/>
          <w:b w:val="0"/>
          <w:bCs w:val="0"/>
          <w:color w:val="auto"/>
          <w:sz w:val="24"/>
          <w:szCs w:val="24"/>
          <w:lang w:val="en-US"/>
        </w:rPr>
        <w:t xml:space="preserve">5（可根据情况修改） </w:t>
      </w:r>
      <w:r>
        <w:rPr>
          <w:rFonts w:hint="eastAsia" w:ascii="宋体" w:hAnsi="宋体" w:eastAsia="宋体" w:cs="宋体"/>
          <w:b w:val="0"/>
          <w:bCs w:val="0"/>
          <w:color w:val="auto"/>
          <w:sz w:val="24"/>
          <w:szCs w:val="24"/>
          <w:u w:val="single"/>
          <w:lang w:val="en-US"/>
        </w:rPr>
        <w:t xml:space="preserve">  </w:t>
      </w:r>
      <w:r>
        <w:rPr>
          <w:rFonts w:hint="eastAsia" w:ascii="宋体" w:hAnsi="宋体" w:eastAsia="宋体" w:cs="宋体"/>
          <w:b w:val="0"/>
          <w:bCs w:val="0"/>
          <w:color w:val="auto"/>
          <w:sz w:val="24"/>
          <w:szCs w:val="24"/>
          <w:lang w:val="en-US"/>
        </w:rPr>
        <w:t>%计算，最高限额为本合同总价的</w:t>
      </w:r>
      <w:r>
        <w:rPr>
          <w:rFonts w:hint="eastAsia" w:ascii="宋体" w:hAnsi="宋体" w:eastAsia="宋体" w:cs="宋体"/>
          <w:b w:val="0"/>
          <w:bCs w:val="0"/>
          <w:color w:val="auto"/>
          <w:sz w:val="24"/>
          <w:szCs w:val="24"/>
          <w:u w:val="single"/>
          <w:lang w:val="en-US"/>
        </w:rPr>
        <w:t xml:space="preserve">  20  </w:t>
      </w:r>
      <w:r>
        <w:rPr>
          <w:rFonts w:hint="eastAsia" w:ascii="宋体" w:hAnsi="宋体" w:eastAsia="宋体" w:cs="宋体"/>
          <w:b w:val="0"/>
          <w:bCs w:val="0"/>
          <w:color w:val="auto"/>
          <w:sz w:val="24"/>
          <w:szCs w:val="24"/>
          <w:lang w:val="en-US"/>
        </w:rPr>
        <w:t>%；迟延交付货物的违约金计算数额达到前述最高限额之日起，甲方有权在要求乙方支付违约金的同时，书面通知乙方解除本合同；</w:t>
      </w:r>
    </w:p>
    <w:p w14:paraId="7A8E22EB">
      <w:pPr>
        <w:spacing w:line="560" w:lineRule="exact"/>
        <w:ind w:firstLine="480" w:firstLineChars="200"/>
        <w:rPr>
          <w:rFonts w:ascii="宋体" w:hAnsi="宋体"/>
          <w:color w:val="auto"/>
          <w:sz w:val="24"/>
        </w:rPr>
      </w:pPr>
      <w:r>
        <w:rPr>
          <w:rFonts w:ascii="宋体" w:hAnsi="宋体"/>
          <w:color w:val="auto"/>
          <w:sz w:val="24"/>
        </w:rPr>
        <w:t>1.</w:t>
      </w:r>
      <w:r>
        <w:rPr>
          <w:rFonts w:hint="eastAsia" w:ascii="宋体" w:hAnsi="宋体"/>
          <w:color w:val="auto"/>
          <w:sz w:val="24"/>
        </w:rPr>
        <w:t>8</w:t>
      </w:r>
      <w:r>
        <w:rPr>
          <w:rFonts w:ascii="宋体" w:hAnsi="宋体"/>
          <w:color w:val="auto"/>
          <w:sz w:val="24"/>
        </w:rPr>
        <w:t>.</w:t>
      </w:r>
      <w:r>
        <w:rPr>
          <w:rFonts w:hint="eastAsia" w:ascii="宋体" w:hAnsi="宋体"/>
          <w:color w:val="auto"/>
          <w:sz w:val="24"/>
        </w:rPr>
        <w:t>3</w:t>
      </w:r>
      <w:r>
        <w:rPr>
          <w:rFonts w:hint="eastAsia" w:ascii="宋体" w:hAnsi="宋体" w:cs="宋体"/>
          <w:color w:val="auto"/>
          <w:sz w:val="24"/>
        </w:rPr>
        <w:t>除不可抗力外，如果甲方没有按照本合同约定的付款方式付款，那么乙方可要求甲方支付违约金，违约金按每迟延付款一日的应付而未付款的</w:t>
      </w:r>
      <w:r>
        <w:rPr>
          <w:rFonts w:hint="eastAsia" w:ascii="宋体" w:hAnsi="宋体" w:cs="宋体"/>
          <w:color w:val="auto"/>
          <w:sz w:val="24"/>
          <w:u w:val="single"/>
        </w:rPr>
        <w:t xml:space="preserve">   0.05   </w:t>
      </w:r>
      <w:r>
        <w:rPr>
          <w:rFonts w:hint="eastAsia" w:ascii="宋体" w:hAnsi="宋体" w:cs="宋体"/>
          <w:color w:val="auto"/>
          <w:sz w:val="24"/>
        </w:rPr>
        <w:t>%计算，最高限额为本合同总价的</w:t>
      </w:r>
      <w:r>
        <w:rPr>
          <w:rFonts w:hint="eastAsia" w:ascii="宋体" w:hAnsi="宋体" w:cs="宋体"/>
          <w:color w:val="auto"/>
          <w:sz w:val="24"/>
          <w:u w:val="single"/>
        </w:rPr>
        <w:t xml:space="preserve">   20</w:t>
      </w:r>
      <w:r>
        <w:rPr>
          <w:rFonts w:hint="eastAsia" w:ascii="宋体" w:hAnsi="宋体" w:cs="宋体"/>
          <w:color w:val="auto"/>
          <w:kern w:val="0"/>
          <w:sz w:val="24"/>
          <w:u w:val="single"/>
        </w:rPr>
        <w:t>（可根据情况修改）</w:t>
      </w:r>
      <w:r>
        <w:rPr>
          <w:rFonts w:hint="eastAsia" w:ascii="宋体" w:hAnsi="宋体" w:cs="宋体"/>
          <w:color w:val="auto"/>
          <w:sz w:val="24"/>
          <w:u w:val="single"/>
        </w:rPr>
        <w:t xml:space="preserve">   </w:t>
      </w:r>
      <w:r>
        <w:rPr>
          <w:rFonts w:hint="eastAsia" w:ascii="宋体" w:hAnsi="宋体" w:cs="宋体"/>
          <w:color w:val="auto"/>
          <w:sz w:val="24"/>
        </w:rPr>
        <w:t>%；迟延付款的违约金计算数额达到前述最高限额之日起，乙方有权在要求甲方支付违约金的同时，书面通知甲方解除本合同</w:t>
      </w:r>
      <w:r>
        <w:rPr>
          <w:rFonts w:hint="eastAsia" w:ascii="宋体" w:hAnsi="宋体"/>
          <w:color w:val="auto"/>
          <w:sz w:val="24"/>
        </w:rPr>
        <w:t>；</w:t>
      </w:r>
    </w:p>
    <w:p w14:paraId="6F8750F6">
      <w:pPr>
        <w:spacing w:line="560" w:lineRule="exact"/>
        <w:ind w:firstLine="480" w:firstLineChars="200"/>
        <w:rPr>
          <w:rFonts w:ascii="宋体" w:hAnsi="宋体" w:cs="宋体"/>
          <w:color w:val="auto"/>
          <w:sz w:val="24"/>
        </w:rPr>
      </w:pPr>
      <w:bookmarkStart w:id="102" w:name="_Toc9497"/>
      <w:bookmarkStart w:id="103" w:name="_Toc32454"/>
      <w:bookmarkStart w:id="104" w:name="_Toc26807"/>
      <w:bookmarkStart w:id="105" w:name="_Toc18683"/>
      <w:bookmarkStart w:id="106" w:name="_Toc30329"/>
      <w:r>
        <w:rPr>
          <w:rFonts w:hint="eastAsia" w:ascii="宋体" w:hAnsi="宋体" w:cs="宋体"/>
          <w:color w:val="auto"/>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458086D3">
      <w:pPr>
        <w:spacing w:line="560" w:lineRule="exact"/>
        <w:ind w:firstLine="480" w:firstLineChars="200"/>
        <w:rPr>
          <w:rFonts w:ascii="宋体" w:hAnsi="宋体" w:cs="宋体"/>
          <w:color w:val="auto"/>
          <w:sz w:val="24"/>
        </w:rPr>
      </w:pPr>
      <w:r>
        <w:rPr>
          <w:rFonts w:hint="eastAsia" w:ascii="宋体" w:hAnsi="宋体" w:cs="宋体"/>
          <w:color w:val="auto"/>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7B7FEF96">
      <w:pPr>
        <w:spacing w:line="560" w:lineRule="exact"/>
        <w:ind w:firstLine="480" w:firstLineChars="200"/>
        <w:rPr>
          <w:rFonts w:ascii="宋体" w:hAnsi="宋体" w:cs="宋体"/>
          <w:color w:val="auto"/>
          <w:sz w:val="24"/>
        </w:rPr>
      </w:pPr>
      <w:r>
        <w:rPr>
          <w:rFonts w:hint="eastAsia" w:ascii="宋体" w:hAnsi="宋体" w:cs="宋体"/>
          <w:color w:val="auto"/>
          <w:sz w:val="24"/>
        </w:rPr>
        <w:t>1.8.6如果出现政府采购监督管理部门在处理投诉事项期间，书面通知甲方暂停采购活动的情形，或者询问或质疑事项可能影响中标或者成交结果的，导致甲方中止履行合同的情形，均不视为甲方违约。</w:t>
      </w:r>
    </w:p>
    <w:p w14:paraId="1469BA1A">
      <w:pPr>
        <w:spacing w:line="560" w:lineRule="exact"/>
        <w:ind w:right="-420" w:rightChars="-200" w:firstLine="480" w:firstLineChars="200"/>
        <w:rPr>
          <w:rFonts w:ascii="宋体" w:hAnsi="宋体" w:cs="宋体"/>
          <w:color w:val="auto"/>
        </w:rPr>
      </w:pPr>
      <w:r>
        <w:rPr>
          <w:rFonts w:hint="eastAsia" w:ascii="宋体" w:hAnsi="宋体" w:cs="宋体"/>
          <w:color w:val="auto"/>
          <w:sz w:val="24"/>
        </w:rPr>
        <w:t>1.8.7违约责任</w:t>
      </w:r>
      <w:r>
        <w:rPr>
          <w:rFonts w:hint="eastAsia" w:ascii="宋体" w:hAnsi="宋体" w:cs="宋体"/>
          <w:b/>
          <w:i/>
          <w:color w:val="auto"/>
          <w:sz w:val="24"/>
          <w:u w:val="single"/>
        </w:rPr>
        <w:t>合同专用条款</w:t>
      </w:r>
      <w:r>
        <w:rPr>
          <w:rFonts w:hint="eastAsia" w:ascii="宋体" w:hAnsi="宋体" w:cs="宋体"/>
          <w:color w:val="auto"/>
          <w:sz w:val="24"/>
        </w:rPr>
        <w:t>另有约定的，从其约定。</w:t>
      </w:r>
    </w:p>
    <w:bookmarkEnd w:id="102"/>
    <w:bookmarkEnd w:id="103"/>
    <w:bookmarkEnd w:id="104"/>
    <w:bookmarkEnd w:id="105"/>
    <w:bookmarkEnd w:id="106"/>
    <w:p w14:paraId="2EA4617E">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1.9合同争议的解决</w:t>
      </w:r>
    </w:p>
    <w:p w14:paraId="587C88EE">
      <w:pPr>
        <w:spacing w:line="560" w:lineRule="exact"/>
        <w:ind w:left="-61" w:leftChars="-29" w:right="-420" w:rightChars="-200" w:firstLine="240" w:firstLineChars="100"/>
        <w:rPr>
          <w:rFonts w:ascii="宋体" w:hAnsi="宋体" w:cs="宋体"/>
          <w:color w:val="auto"/>
          <w:sz w:val="24"/>
        </w:rPr>
      </w:pPr>
      <w:r>
        <w:rPr>
          <w:rFonts w:hint="eastAsia" w:ascii="宋体" w:hAnsi="宋体" w:cs="宋体"/>
          <w:color w:val="auto"/>
          <w:sz w:val="24"/>
        </w:rPr>
        <w:t xml:space="preserve">  本合同履行过程中发生的任何争议，双方当事人均可通过和解或者调解解决；不愿和解、调解或者和解、调解不成的，可以选择以下第</w:t>
      </w:r>
      <w:r>
        <w:rPr>
          <w:rFonts w:hint="eastAsia" w:ascii="宋体" w:hAnsi="宋体" w:cs="宋体"/>
          <w:b/>
          <w:i/>
          <w:color w:val="auto"/>
          <w:sz w:val="24"/>
          <w:u w:val="single"/>
        </w:rPr>
        <w:t xml:space="preserve">      </w:t>
      </w:r>
      <w:r>
        <w:rPr>
          <w:rFonts w:hint="eastAsia" w:ascii="宋体" w:hAnsi="宋体" w:cs="宋体"/>
          <w:color w:val="auto"/>
          <w:sz w:val="24"/>
        </w:rPr>
        <w:t>条款规定的方式解决：</w:t>
      </w:r>
    </w:p>
    <w:p w14:paraId="2497291D">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1.9.1 将争议提交</w:t>
      </w:r>
      <w:r>
        <w:rPr>
          <w:rFonts w:hint="eastAsia" w:ascii="宋体" w:hAnsi="宋体" w:cs="宋体"/>
          <w:b/>
          <w:i/>
          <w:color w:val="auto"/>
          <w:sz w:val="24"/>
          <w:u w:val="single"/>
        </w:rPr>
        <w:t>合同专用条款</w:t>
      </w:r>
      <w:r>
        <w:rPr>
          <w:rFonts w:hint="eastAsia" w:ascii="宋体" w:hAnsi="宋体" w:cs="宋体"/>
          <w:color w:val="auto"/>
          <w:sz w:val="24"/>
        </w:rPr>
        <w:t>仲裁委员会依申请仲裁时其现行有效的仲裁规则裁决；</w:t>
      </w:r>
    </w:p>
    <w:p w14:paraId="04170121">
      <w:pPr>
        <w:spacing w:line="560" w:lineRule="exact"/>
        <w:ind w:left="-420" w:leftChars="-200" w:right="-420" w:rightChars="-200" w:firstLine="600" w:firstLineChars="250"/>
        <w:rPr>
          <w:rFonts w:ascii="宋体" w:hAnsi="宋体" w:cs="宋体"/>
          <w:color w:val="auto"/>
          <w:sz w:val="24"/>
        </w:rPr>
      </w:pPr>
      <w:r>
        <w:rPr>
          <w:rFonts w:hint="eastAsia" w:ascii="宋体" w:hAnsi="宋体" w:cs="宋体"/>
          <w:color w:val="auto"/>
          <w:sz w:val="24"/>
        </w:rPr>
        <w:t>1.9.2 向</w:t>
      </w:r>
      <w:r>
        <w:rPr>
          <w:rFonts w:hint="eastAsia" w:ascii="宋体" w:hAnsi="宋体" w:cs="宋体"/>
          <w:b/>
          <w:i/>
          <w:color w:val="auto"/>
          <w:sz w:val="24"/>
          <w:u w:val="single"/>
        </w:rPr>
        <w:t>合同专用条款</w:t>
      </w:r>
      <w:r>
        <w:rPr>
          <w:rFonts w:hint="eastAsia" w:ascii="宋体" w:hAnsi="宋体" w:cs="宋体"/>
          <w:color w:val="auto"/>
          <w:sz w:val="24"/>
        </w:rPr>
        <w:t>人民法院起诉。</w:t>
      </w:r>
    </w:p>
    <w:p w14:paraId="2E3C31FC">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2.0 合同生效</w:t>
      </w:r>
    </w:p>
    <w:p w14:paraId="614B44D8">
      <w:pPr>
        <w:spacing w:line="560" w:lineRule="exact"/>
        <w:ind w:firstLine="480" w:firstLineChars="200"/>
        <w:rPr>
          <w:rFonts w:ascii="宋体" w:hAnsi="宋体" w:cs="宋体"/>
          <w:b/>
          <w:color w:val="auto"/>
          <w:sz w:val="24"/>
        </w:rPr>
      </w:pPr>
      <w:r>
        <w:rPr>
          <w:rFonts w:hint="eastAsia" w:ascii="宋体" w:hAnsi="宋体" w:cs="宋体"/>
          <w:color w:val="auto"/>
          <w:sz w:val="24"/>
        </w:rPr>
        <w:t>本合同自双方当事人盖章签字时生效。</w:t>
      </w:r>
    </w:p>
    <w:p w14:paraId="5222474A">
      <w:pPr>
        <w:autoSpaceDE w:val="0"/>
        <w:autoSpaceDN w:val="0"/>
        <w:spacing w:line="560" w:lineRule="exact"/>
        <w:rPr>
          <w:rFonts w:ascii="宋体" w:hAnsi="宋体"/>
          <w:color w:val="auto"/>
          <w:sz w:val="24"/>
          <w:lang w:val="zh-CN"/>
        </w:rPr>
      </w:pPr>
    </w:p>
    <w:p w14:paraId="619EFBAE">
      <w:pPr>
        <w:autoSpaceDE w:val="0"/>
        <w:autoSpaceDN w:val="0"/>
        <w:spacing w:line="560" w:lineRule="exact"/>
        <w:rPr>
          <w:rFonts w:ascii="宋体" w:hAnsi="宋体"/>
          <w:color w:val="auto"/>
          <w:sz w:val="24"/>
          <w:lang w:val="zh-CN"/>
        </w:rPr>
      </w:pPr>
      <w:r>
        <w:rPr>
          <w:rFonts w:hint="eastAsia" w:ascii="宋体" w:hAnsi="宋体"/>
          <w:b/>
          <w:color w:val="auto"/>
          <w:sz w:val="24"/>
          <w:lang w:val="zh-CN"/>
        </w:rPr>
        <w:t>甲方</w:t>
      </w:r>
      <w:r>
        <w:rPr>
          <w:rFonts w:hint="eastAsia" w:ascii="宋体" w:hAnsi="宋体"/>
          <w:color w:val="auto"/>
          <w:sz w:val="24"/>
          <w:lang w:val="zh-CN"/>
        </w:rPr>
        <w:t>：</w:t>
      </w:r>
      <w:r>
        <w:rPr>
          <w:rFonts w:ascii="宋体" w:hAnsi="宋体"/>
          <w:color w:val="auto"/>
          <w:sz w:val="24"/>
          <w:lang w:val="zh-CN"/>
        </w:rPr>
        <w:t xml:space="preserve">                             </w:t>
      </w:r>
      <w:r>
        <w:rPr>
          <w:rFonts w:ascii="宋体" w:hAnsi="宋体"/>
          <w:b/>
          <w:color w:val="auto"/>
          <w:sz w:val="24"/>
          <w:lang w:val="zh-CN"/>
        </w:rPr>
        <w:t xml:space="preserve">      乙方</w:t>
      </w:r>
      <w:r>
        <w:rPr>
          <w:rFonts w:hint="eastAsia" w:ascii="宋体" w:hAnsi="宋体"/>
          <w:color w:val="auto"/>
          <w:sz w:val="24"/>
          <w:lang w:val="zh-CN"/>
        </w:rPr>
        <w:t>：</w:t>
      </w:r>
    </w:p>
    <w:p w14:paraId="0BC6B387">
      <w:pPr>
        <w:autoSpaceDE w:val="0"/>
        <w:autoSpaceDN w:val="0"/>
        <w:spacing w:line="560" w:lineRule="exact"/>
        <w:rPr>
          <w:rFonts w:ascii="宋体" w:hAnsi="宋体"/>
          <w:color w:val="auto"/>
          <w:sz w:val="24"/>
          <w:lang w:val="zh-CN"/>
        </w:rPr>
      </w:pPr>
      <w:r>
        <w:rPr>
          <w:rFonts w:hint="eastAsia" w:ascii="宋体" w:hAnsi="宋体"/>
          <w:color w:val="auto"/>
          <w:sz w:val="24"/>
          <w:lang w:val="zh-CN"/>
        </w:rPr>
        <w:t>统一社会信用代码：</w:t>
      </w:r>
      <w:r>
        <w:rPr>
          <w:rFonts w:ascii="宋体" w:hAnsi="宋体"/>
          <w:color w:val="auto"/>
          <w:sz w:val="24"/>
          <w:lang w:val="zh-CN"/>
        </w:rPr>
        <w:t xml:space="preserve">                        </w:t>
      </w:r>
      <w:r>
        <w:rPr>
          <w:rFonts w:hint="eastAsia" w:ascii="宋体" w:hAnsi="宋体"/>
          <w:color w:val="auto"/>
          <w:sz w:val="24"/>
          <w:lang w:val="zh-CN"/>
        </w:rPr>
        <w:t>统一社会信用代码或身份证号码：</w:t>
      </w:r>
    </w:p>
    <w:p w14:paraId="1422E300">
      <w:pPr>
        <w:autoSpaceDE w:val="0"/>
        <w:autoSpaceDN w:val="0"/>
        <w:spacing w:line="560" w:lineRule="exact"/>
        <w:rPr>
          <w:rFonts w:ascii="宋体" w:hAnsi="宋体"/>
          <w:color w:val="auto"/>
          <w:sz w:val="24"/>
          <w:lang w:val="zh-CN"/>
        </w:rPr>
      </w:pPr>
    </w:p>
    <w:p w14:paraId="6865C3A4">
      <w:pPr>
        <w:autoSpaceDE w:val="0"/>
        <w:autoSpaceDN w:val="0"/>
        <w:spacing w:line="560" w:lineRule="exact"/>
        <w:rPr>
          <w:rFonts w:ascii="宋体" w:hAnsi="宋体"/>
          <w:color w:val="auto"/>
          <w:sz w:val="24"/>
          <w:lang w:val="zh-CN"/>
        </w:rPr>
      </w:pPr>
      <w:r>
        <w:rPr>
          <w:rFonts w:hint="eastAsia" w:ascii="宋体" w:hAnsi="宋体"/>
          <w:color w:val="auto"/>
          <w:sz w:val="24"/>
          <w:lang w:val="zh-CN"/>
        </w:rPr>
        <w:t>住所：</w:t>
      </w:r>
      <w:r>
        <w:rPr>
          <w:rFonts w:ascii="宋体" w:hAnsi="宋体"/>
          <w:color w:val="auto"/>
          <w:sz w:val="24"/>
          <w:lang w:val="zh-CN"/>
        </w:rPr>
        <w:t xml:space="preserve">                                   </w:t>
      </w:r>
      <w:r>
        <w:rPr>
          <w:rFonts w:hint="eastAsia" w:ascii="宋体" w:hAnsi="宋体"/>
          <w:color w:val="auto"/>
          <w:sz w:val="24"/>
          <w:lang w:val="zh-CN"/>
        </w:rPr>
        <w:t>住所：</w:t>
      </w:r>
    </w:p>
    <w:p w14:paraId="09C78FCC">
      <w:pPr>
        <w:autoSpaceDE w:val="0"/>
        <w:autoSpaceDN w:val="0"/>
        <w:spacing w:line="560" w:lineRule="exact"/>
        <w:rPr>
          <w:rFonts w:ascii="宋体" w:hAnsi="宋体"/>
          <w:color w:val="auto"/>
          <w:sz w:val="24"/>
          <w:lang w:val="zh-CN"/>
        </w:rPr>
      </w:pPr>
      <w:r>
        <w:rPr>
          <w:rFonts w:hint="eastAsia" w:ascii="宋体" w:hAnsi="宋体"/>
          <w:color w:val="auto"/>
          <w:sz w:val="24"/>
          <w:lang w:val="zh-CN"/>
        </w:rPr>
        <w:t>法定代表人或</w:t>
      </w:r>
      <w:r>
        <w:rPr>
          <w:rFonts w:ascii="宋体" w:hAnsi="宋体"/>
          <w:color w:val="auto"/>
          <w:sz w:val="24"/>
          <w:lang w:val="zh-CN"/>
        </w:rPr>
        <w:t xml:space="preserve">                             </w:t>
      </w:r>
      <w:r>
        <w:rPr>
          <w:rFonts w:hint="eastAsia" w:ascii="宋体" w:hAnsi="宋体"/>
          <w:color w:val="auto"/>
          <w:sz w:val="24"/>
          <w:lang w:val="zh-CN"/>
        </w:rPr>
        <w:t>法定代表人或</w:t>
      </w:r>
    </w:p>
    <w:p w14:paraId="093DD5F8">
      <w:pPr>
        <w:autoSpaceDE w:val="0"/>
        <w:autoSpaceDN w:val="0"/>
        <w:spacing w:line="560" w:lineRule="exact"/>
        <w:rPr>
          <w:rFonts w:ascii="宋体" w:hAnsi="宋体"/>
          <w:color w:val="auto"/>
          <w:sz w:val="24"/>
          <w:lang w:val="zh-CN"/>
        </w:rPr>
      </w:pPr>
      <w:r>
        <w:rPr>
          <w:rFonts w:hint="eastAsia" w:ascii="宋体" w:hAnsi="宋体"/>
          <w:color w:val="auto"/>
          <w:sz w:val="24"/>
          <w:lang w:val="zh-CN"/>
        </w:rPr>
        <w:t>授权代表（签字）：</w:t>
      </w:r>
      <w:r>
        <w:rPr>
          <w:rFonts w:ascii="宋体" w:hAnsi="宋体"/>
          <w:color w:val="auto"/>
          <w:sz w:val="24"/>
          <w:lang w:val="zh-CN"/>
        </w:rPr>
        <w:t xml:space="preserve">                       授权代表（签字）: </w:t>
      </w:r>
    </w:p>
    <w:p w14:paraId="6FCCDD4D">
      <w:pPr>
        <w:autoSpaceDE w:val="0"/>
        <w:autoSpaceDN w:val="0"/>
        <w:spacing w:line="560" w:lineRule="exact"/>
        <w:rPr>
          <w:rFonts w:ascii="宋体" w:hAnsi="宋体"/>
          <w:color w:val="auto"/>
          <w:sz w:val="24"/>
          <w:lang w:val="zh-CN"/>
        </w:rPr>
      </w:pPr>
      <w:r>
        <w:rPr>
          <w:rFonts w:hint="eastAsia" w:ascii="宋体" w:hAnsi="宋体"/>
          <w:color w:val="auto"/>
          <w:sz w:val="24"/>
          <w:lang w:val="zh-CN"/>
        </w:rPr>
        <w:t>联系人：</w:t>
      </w:r>
      <w:r>
        <w:rPr>
          <w:rFonts w:ascii="宋体" w:hAnsi="宋体"/>
          <w:color w:val="auto"/>
          <w:sz w:val="24"/>
          <w:lang w:val="zh-CN"/>
        </w:rPr>
        <w:t xml:space="preserve">                                 </w:t>
      </w:r>
      <w:r>
        <w:rPr>
          <w:rFonts w:hint="eastAsia" w:ascii="宋体" w:hAnsi="宋体"/>
          <w:color w:val="auto"/>
          <w:sz w:val="24"/>
          <w:lang w:val="zh-CN"/>
        </w:rPr>
        <w:t>联系人：</w:t>
      </w:r>
    </w:p>
    <w:p w14:paraId="44FDC2A5">
      <w:pPr>
        <w:autoSpaceDE w:val="0"/>
        <w:autoSpaceDN w:val="0"/>
        <w:spacing w:line="560" w:lineRule="exact"/>
        <w:rPr>
          <w:rFonts w:ascii="宋体" w:hAnsi="宋体"/>
          <w:color w:val="auto"/>
          <w:sz w:val="24"/>
          <w:lang w:val="zh-CN"/>
        </w:rPr>
      </w:pPr>
      <w:r>
        <w:rPr>
          <w:rFonts w:hint="eastAsia" w:ascii="宋体" w:hAnsi="宋体"/>
          <w:color w:val="auto"/>
          <w:sz w:val="24"/>
          <w:lang w:val="zh-CN"/>
        </w:rPr>
        <w:t>约定送达地址：</w:t>
      </w:r>
      <w:r>
        <w:rPr>
          <w:rFonts w:ascii="宋体" w:hAnsi="宋体"/>
          <w:color w:val="auto"/>
          <w:sz w:val="24"/>
          <w:lang w:val="zh-CN"/>
        </w:rPr>
        <w:t xml:space="preserve">                           </w:t>
      </w:r>
      <w:r>
        <w:rPr>
          <w:rFonts w:hint="eastAsia" w:ascii="宋体" w:hAnsi="宋体"/>
          <w:color w:val="auto"/>
          <w:sz w:val="24"/>
          <w:lang w:val="zh-CN"/>
        </w:rPr>
        <w:t>约定送达地址：</w:t>
      </w:r>
    </w:p>
    <w:p w14:paraId="3048897E">
      <w:pPr>
        <w:autoSpaceDE w:val="0"/>
        <w:autoSpaceDN w:val="0"/>
        <w:spacing w:line="560" w:lineRule="exact"/>
        <w:rPr>
          <w:rFonts w:ascii="宋体" w:hAnsi="宋体"/>
          <w:color w:val="auto"/>
          <w:sz w:val="24"/>
          <w:lang w:val="zh-CN"/>
        </w:rPr>
      </w:pPr>
      <w:r>
        <w:rPr>
          <w:rFonts w:hint="eastAsia" w:ascii="宋体" w:hAnsi="宋体"/>
          <w:color w:val="auto"/>
          <w:sz w:val="24"/>
          <w:lang w:val="zh-CN"/>
        </w:rPr>
        <w:t>邮政编码：</w:t>
      </w:r>
      <w:r>
        <w:rPr>
          <w:rFonts w:ascii="宋体" w:hAnsi="宋体"/>
          <w:color w:val="auto"/>
          <w:sz w:val="24"/>
          <w:lang w:val="zh-CN"/>
        </w:rPr>
        <w:t xml:space="preserve">                               </w:t>
      </w:r>
      <w:r>
        <w:rPr>
          <w:rFonts w:hint="eastAsia" w:ascii="宋体" w:hAnsi="宋体"/>
          <w:color w:val="auto"/>
          <w:sz w:val="24"/>
          <w:lang w:val="zh-CN"/>
        </w:rPr>
        <w:t>邮政编码：</w:t>
      </w:r>
    </w:p>
    <w:p w14:paraId="7EE26D93">
      <w:pPr>
        <w:autoSpaceDE w:val="0"/>
        <w:autoSpaceDN w:val="0"/>
        <w:spacing w:line="560" w:lineRule="exact"/>
        <w:rPr>
          <w:rFonts w:ascii="宋体" w:hAnsi="宋体"/>
          <w:color w:val="auto"/>
          <w:sz w:val="24"/>
          <w:lang w:val="zh-CN"/>
        </w:rPr>
      </w:pPr>
      <w:r>
        <w:rPr>
          <w:rFonts w:hint="eastAsia" w:ascii="宋体" w:hAnsi="宋体"/>
          <w:color w:val="auto"/>
          <w:sz w:val="24"/>
          <w:lang w:val="zh-CN"/>
        </w:rPr>
        <w:t>电话</w:t>
      </w:r>
      <w:r>
        <w:rPr>
          <w:rFonts w:ascii="宋体" w:hAnsi="宋体"/>
          <w:color w:val="auto"/>
          <w:sz w:val="24"/>
          <w:lang w:val="zh-CN"/>
        </w:rPr>
        <w:t xml:space="preserve">:                                    电话: </w:t>
      </w:r>
    </w:p>
    <w:p w14:paraId="19DC374F">
      <w:pPr>
        <w:autoSpaceDE w:val="0"/>
        <w:autoSpaceDN w:val="0"/>
        <w:spacing w:line="560" w:lineRule="exact"/>
        <w:rPr>
          <w:rFonts w:ascii="宋体" w:hAnsi="宋体"/>
          <w:color w:val="auto"/>
          <w:sz w:val="24"/>
          <w:lang w:val="zh-CN"/>
        </w:rPr>
      </w:pPr>
      <w:r>
        <w:rPr>
          <w:rFonts w:hint="eastAsia" w:ascii="宋体" w:hAnsi="宋体"/>
          <w:color w:val="auto"/>
          <w:sz w:val="24"/>
          <w:lang w:val="zh-CN"/>
        </w:rPr>
        <w:t>传真</w:t>
      </w:r>
      <w:r>
        <w:rPr>
          <w:rFonts w:ascii="宋体" w:hAnsi="宋体"/>
          <w:color w:val="auto"/>
          <w:sz w:val="24"/>
          <w:lang w:val="zh-CN"/>
        </w:rPr>
        <w:t xml:space="preserve">:                                    </w:t>
      </w:r>
      <w:r>
        <w:rPr>
          <w:rFonts w:hint="eastAsia" w:ascii="宋体" w:hAnsi="宋体"/>
          <w:color w:val="auto"/>
          <w:sz w:val="24"/>
          <w:lang w:val="zh-CN"/>
        </w:rPr>
        <w:t>传真</w:t>
      </w:r>
      <w:r>
        <w:rPr>
          <w:rFonts w:ascii="宋体" w:hAnsi="宋体"/>
          <w:color w:val="auto"/>
          <w:sz w:val="24"/>
          <w:lang w:val="zh-CN"/>
        </w:rPr>
        <w:t>:</w:t>
      </w:r>
    </w:p>
    <w:p w14:paraId="7597ACCB">
      <w:pPr>
        <w:autoSpaceDE w:val="0"/>
        <w:autoSpaceDN w:val="0"/>
        <w:spacing w:line="560" w:lineRule="exact"/>
        <w:rPr>
          <w:rFonts w:ascii="宋体" w:hAnsi="宋体"/>
          <w:color w:val="auto"/>
          <w:sz w:val="24"/>
        </w:rPr>
      </w:pPr>
      <w:r>
        <w:rPr>
          <w:rFonts w:hint="eastAsia" w:ascii="宋体" w:hAnsi="宋体"/>
          <w:color w:val="auto"/>
          <w:sz w:val="24"/>
          <w:lang w:val="zh-CN"/>
        </w:rPr>
        <w:t>电子邮箱：</w:t>
      </w:r>
      <w:r>
        <w:rPr>
          <w:rFonts w:ascii="宋体" w:hAnsi="宋体"/>
          <w:color w:val="auto"/>
          <w:sz w:val="24"/>
          <w:lang w:val="zh-CN"/>
        </w:rPr>
        <w:t xml:space="preserve">                               </w:t>
      </w:r>
      <w:r>
        <w:rPr>
          <w:rFonts w:hint="eastAsia" w:ascii="宋体" w:hAnsi="宋体"/>
          <w:color w:val="auto"/>
          <w:sz w:val="24"/>
          <w:lang w:val="zh-CN"/>
        </w:rPr>
        <w:t>电子邮箱：</w:t>
      </w:r>
    </w:p>
    <w:p w14:paraId="0BD99357">
      <w:pPr>
        <w:autoSpaceDE w:val="0"/>
        <w:autoSpaceDN w:val="0"/>
        <w:spacing w:line="560" w:lineRule="exact"/>
        <w:rPr>
          <w:rFonts w:ascii="宋体" w:hAnsi="宋体"/>
          <w:color w:val="auto"/>
          <w:sz w:val="24"/>
        </w:rPr>
      </w:pPr>
      <w:r>
        <w:rPr>
          <w:rFonts w:hint="eastAsia" w:ascii="宋体" w:hAnsi="宋体"/>
          <w:color w:val="auto"/>
          <w:sz w:val="24"/>
        </w:rPr>
        <w:t>开户银行：</w:t>
      </w:r>
      <w:r>
        <w:rPr>
          <w:rFonts w:ascii="宋体" w:hAnsi="宋体"/>
          <w:color w:val="auto"/>
          <w:sz w:val="24"/>
        </w:rPr>
        <w:t xml:space="preserve">                               开户银行： </w:t>
      </w:r>
    </w:p>
    <w:p w14:paraId="2A3333F8">
      <w:pPr>
        <w:autoSpaceDE w:val="0"/>
        <w:autoSpaceDN w:val="0"/>
        <w:spacing w:line="560" w:lineRule="exact"/>
        <w:rPr>
          <w:rFonts w:ascii="宋体" w:hAnsi="宋体"/>
          <w:color w:val="auto"/>
          <w:sz w:val="24"/>
        </w:rPr>
      </w:pPr>
      <w:r>
        <w:rPr>
          <w:rFonts w:hint="eastAsia" w:ascii="宋体" w:hAnsi="宋体"/>
          <w:color w:val="auto"/>
          <w:sz w:val="24"/>
        </w:rPr>
        <w:t>开户名称：</w:t>
      </w:r>
      <w:r>
        <w:rPr>
          <w:rFonts w:ascii="宋体" w:hAnsi="宋体"/>
          <w:color w:val="auto"/>
          <w:sz w:val="24"/>
        </w:rPr>
        <w:t xml:space="preserve">                               开户名称： </w:t>
      </w:r>
    </w:p>
    <w:p w14:paraId="26573925">
      <w:pPr>
        <w:autoSpaceDE w:val="0"/>
        <w:autoSpaceDN w:val="0"/>
        <w:spacing w:line="560" w:lineRule="exact"/>
        <w:rPr>
          <w:rFonts w:ascii="宋体" w:hAnsi="宋体"/>
          <w:color w:val="auto"/>
          <w:sz w:val="24"/>
        </w:rPr>
      </w:pPr>
      <w:r>
        <w:rPr>
          <w:rFonts w:hint="eastAsia" w:ascii="宋体" w:hAnsi="宋体"/>
          <w:color w:val="auto"/>
          <w:sz w:val="24"/>
        </w:rPr>
        <w:t>开户账号：</w:t>
      </w:r>
      <w:r>
        <w:rPr>
          <w:rFonts w:ascii="宋体" w:hAnsi="宋体"/>
          <w:color w:val="auto"/>
          <w:sz w:val="24"/>
          <w:lang w:val="zh-CN"/>
        </w:rPr>
        <w:t xml:space="preserve">                               </w:t>
      </w:r>
      <w:r>
        <w:rPr>
          <w:rFonts w:hint="eastAsia" w:ascii="宋体" w:hAnsi="宋体"/>
          <w:color w:val="auto"/>
          <w:sz w:val="24"/>
        </w:rPr>
        <w:t>开户账号：</w:t>
      </w:r>
    </w:p>
    <w:p w14:paraId="5FFFE1F0">
      <w:pPr>
        <w:widowControl/>
        <w:spacing w:line="560" w:lineRule="exact"/>
        <w:jc w:val="left"/>
        <w:rPr>
          <w:rFonts w:ascii="宋体" w:hAnsi="宋体"/>
          <w:b/>
          <w:color w:val="auto"/>
          <w:sz w:val="24"/>
        </w:rPr>
      </w:pPr>
    </w:p>
    <w:p w14:paraId="1D0D6356">
      <w:pPr>
        <w:widowControl/>
        <w:adjustRightInd/>
        <w:jc w:val="left"/>
        <w:rPr>
          <w:rFonts w:ascii="宋体" w:hAnsi="宋体"/>
          <w:b/>
          <w:color w:val="auto"/>
          <w:sz w:val="24"/>
        </w:rPr>
      </w:pPr>
      <w:r>
        <w:rPr>
          <w:rFonts w:ascii="宋体" w:hAnsi="宋体"/>
          <w:b/>
          <w:color w:val="auto"/>
        </w:rPr>
        <w:br w:type="page"/>
      </w:r>
    </w:p>
    <w:p w14:paraId="331536A6">
      <w:pPr>
        <w:pStyle w:val="281"/>
        <w:spacing w:line="560" w:lineRule="exact"/>
        <w:ind w:firstLine="482"/>
        <w:jc w:val="center"/>
        <w:rPr>
          <w:rFonts w:ascii="宋体" w:hAnsi="宋体"/>
          <w:b/>
          <w:color w:val="auto"/>
          <w:szCs w:val="24"/>
        </w:rPr>
      </w:pPr>
      <w:r>
        <w:rPr>
          <w:rFonts w:hint="eastAsia" w:ascii="宋体" w:hAnsi="宋体"/>
          <w:b/>
          <w:color w:val="auto"/>
          <w:szCs w:val="24"/>
        </w:rPr>
        <w:t>第二部分</w:t>
      </w:r>
      <w:r>
        <w:rPr>
          <w:rFonts w:ascii="宋体" w:hAnsi="宋体"/>
          <w:b/>
          <w:color w:val="auto"/>
          <w:szCs w:val="24"/>
        </w:rPr>
        <w:t xml:space="preserve"> </w:t>
      </w:r>
      <w:r>
        <w:rPr>
          <w:rFonts w:hint="eastAsia" w:ascii="宋体" w:hAnsi="宋体"/>
          <w:b/>
          <w:color w:val="auto"/>
          <w:szCs w:val="24"/>
        </w:rPr>
        <w:t>合同一般条款</w:t>
      </w:r>
    </w:p>
    <w:p w14:paraId="238C7AA7">
      <w:pPr>
        <w:spacing w:line="560" w:lineRule="exact"/>
        <w:ind w:firstLine="482" w:firstLineChars="200"/>
        <w:outlineLvl w:val="0"/>
        <w:rPr>
          <w:rFonts w:ascii="宋体" w:hAnsi="宋体"/>
          <w:b/>
          <w:color w:val="auto"/>
          <w:sz w:val="24"/>
        </w:rPr>
      </w:pPr>
      <w:bookmarkStart w:id="107" w:name="_Toc31297"/>
      <w:bookmarkStart w:id="108" w:name="_Toc19680"/>
      <w:bookmarkStart w:id="109" w:name="_Toc25079"/>
      <w:bookmarkStart w:id="110" w:name="_Toc14021"/>
      <w:bookmarkStart w:id="111" w:name="_Toc5228"/>
      <w:r>
        <w:rPr>
          <w:rFonts w:ascii="宋体" w:hAnsi="宋体"/>
          <w:b/>
          <w:color w:val="auto"/>
          <w:sz w:val="24"/>
        </w:rPr>
        <w:t>2.1 定义</w:t>
      </w:r>
      <w:bookmarkEnd w:id="107"/>
      <w:bookmarkEnd w:id="108"/>
      <w:bookmarkEnd w:id="109"/>
      <w:bookmarkEnd w:id="110"/>
      <w:bookmarkEnd w:id="111"/>
    </w:p>
    <w:p w14:paraId="6499F15E">
      <w:pPr>
        <w:spacing w:line="560" w:lineRule="exact"/>
        <w:ind w:firstLine="480" w:firstLineChars="200"/>
        <w:rPr>
          <w:rFonts w:ascii="宋体" w:hAnsi="宋体"/>
          <w:color w:val="auto"/>
          <w:sz w:val="24"/>
        </w:rPr>
      </w:pPr>
      <w:r>
        <w:rPr>
          <w:rFonts w:ascii="宋体" w:hAnsi="宋体"/>
          <w:color w:val="auto"/>
          <w:sz w:val="24"/>
        </w:rPr>
        <w:t>本合同中的下列</w:t>
      </w:r>
      <w:r>
        <w:rPr>
          <w:rFonts w:hint="eastAsia" w:ascii="宋体" w:hAnsi="宋体"/>
          <w:color w:val="auto"/>
          <w:sz w:val="24"/>
        </w:rPr>
        <w:t>词</w:t>
      </w:r>
      <w:r>
        <w:rPr>
          <w:rFonts w:ascii="宋体" w:hAnsi="宋体"/>
          <w:color w:val="auto"/>
          <w:sz w:val="24"/>
        </w:rPr>
        <w:t>语应</w:t>
      </w:r>
      <w:r>
        <w:rPr>
          <w:rFonts w:hint="eastAsia" w:ascii="宋体" w:hAnsi="宋体"/>
          <w:color w:val="auto"/>
          <w:sz w:val="24"/>
        </w:rPr>
        <w:t>按以下内容进行</w:t>
      </w:r>
      <w:r>
        <w:rPr>
          <w:rFonts w:ascii="宋体" w:hAnsi="宋体"/>
          <w:color w:val="auto"/>
          <w:sz w:val="24"/>
        </w:rPr>
        <w:t>解释：</w:t>
      </w:r>
    </w:p>
    <w:p w14:paraId="4F24EA71">
      <w:pPr>
        <w:spacing w:line="560" w:lineRule="exact"/>
        <w:ind w:firstLine="480" w:firstLineChars="200"/>
        <w:rPr>
          <w:rFonts w:ascii="宋体" w:hAnsi="宋体"/>
          <w:color w:val="auto"/>
          <w:sz w:val="24"/>
        </w:rPr>
      </w:pPr>
      <w:r>
        <w:rPr>
          <w:rFonts w:ascii="宋体" w:hAnsi="宋体"/>
          <w:color w:val="auto"/>
          <w:sz w:val="24"/>
        </w:rPr>
        <w:t>2.1.1 “合同”系指采购人和</w:t>
      </w:r>
      <w:r>
        <w:rPr>
          <w:rFonts w:hint="eastAsia" w:ascii="宋体" w:hAnsi="宋体" w:cs="宋体"/>
          <w:color w:val="auto"/>
          <w:sz w:val="24"/>
        </w:rPr>
        <w:t>中标或成交</w:t>
      </w:r>
      <w:r>
        <w:rPr>
          <w:rFonts w:ascii="宋体" w:hAnsi="宋体"/>
          <w:color w:val="auto"/>
          <w:sz w:val="24"/>
        </w:rPr>
        <w:t>供应商签订的载明双方当事人所达成的协议，并包括所有的附件、附录和构成合同的其他文件。</w:t>
      </w:r>
    </w:p>
    <w:p w14:paraId="0701A7BC">
      <w:pPr>
        <w:spacing w:line="560" w:lineRule="exact"/>
        <w:ind w:firstLine="480" w:firstLineChars="200"/>
        <w:rPr>
          <w:rFonts w:ascii="宋体" w:hAnsi="宋体"/>
          <w:color w:val="auto"/>
          <w:sz w:val="24"/>
        </w:rPr>
      </w:pPr>
      <w:r>
        <w:rPr>
          <w:rFonts w:ascii="宋体" w:hAnsi="宋体"/>
          <w:color w:val="auto"/>
          <w:sz w:val="24"/>
        </w:rPr>
        <w:t>2.1.2 “合同价”系指根据合同约定，</w:t>
      </w:r>
      <w:r>
        <w:rPr>
          <w:rFonts w:hint="eastAsia" w:ascii="宋体" w:hAnsi="宋体" w:cs="宋体"/>
          <w:color w:val="auto"/>
          <w:sz w:val="24"/>
        </w:rPr>
        <w:t>中标或成交</w:t>
      </w:r>
      <w:r>
        <w:rPr>
          <w:rFonts w:ascii="宋体" w:hAnsi="宋体"/>
          <w:color w:val="auto"/>
          <w:sz w:val="24"/>
        </w:rPr>
        <w:t>供应商在完全履行合同义务后</w:t>
      </w:r>
      <w:r>
        <w:rPr>
          <w:rFonts w:hint="eastAsia" w:ascii="宋体" w:hAnsi="宋体"/>
          <w:color w:val="auto"/>
          <w:sz w:val="24"/>
        </w:rPr>
        <w:t>，</w:t>
      </w:r>
      <w:r>
        <w:rPr>
          <w:rFonts w:ascii="宋体" w:hAnsi="宋体"/>
          <w:color w:val="auto"/>
          <w:sz w:val="24"/>
        </w:rPr>
        <w:t>采购人应支付给</w:t>
      </w:r>
      <w:r>
        <w:rPr>
          <w:rFonts w:hint="eastAsia" w:ascii="宋体" w:hAnsi="宋体" w:cs="宋体"/>
          <w:color w:val="auto"/>
          <w:sz w:val="24"/>
        </w:rPr>
        <w:t>中标或成交</w:t>
      </w:r>
      <w:r>
        <w:rPr>
          <w:rFonts w:ascii="宋体" w:hAnsi="宋体"/>
          <w:color w:val="auto"/>
          <w:sz w:val="24"/>
        </w:rPr>
        <w:t>供应商的价格。</w:t>
      </w:r>
    </w:p>
    <w:p w14:paraId="67A0A10F">
      <w:pPr>
        <w:spacing w:line="560" w:lineRule="exact"/>
        <w:ind w:firstLine="480" w:firstLineChars="200"/>
        <w:rPr>
          <w:rFonts w:ascii="宋体" w:hAnsi="宋体"/>
          <w:color w:val="auto"/>
          <w:sz w:val="24"/>
        </w:rPr>
      </w:pPr>
      <w:r>
        <w:rPr>
          <w:rFonts w:ascii="宋体" w:hAnsi="宋体"/>
          <w:color w:val="auto"/>
          <w:sz w:val="24"/>
        </w:rPr>
        <w:t>2.1.3 “</w:t>
      </w:r>
      <w:r>
        <w:rPr>
          <w:rFonts w:hint="eastAsia" w:ascii="宋体" w:hAnsi="宋体"/>
          <w:color w:val="auto"/>
          <w:sz w:val="24"/>
        </w:rPr>
        <w:t>服务</w:t>
      </w:r>
      <w:r>
        <w:rPr>
          <w:rFonts w:ascii="宋体" w:hAnsi="宋体"/>
          <w:color w:val="auto"/>
          <w:sz w:val="24"/>
        </w:rPr>
        <w:t>”系指</w:t>
      </w:r>
      <w:r>
        <w:rPr>
          <w:rFonts w:hint="eastAsia" w:ascii="宋体" w:hAnsi="宋体" w:cs="宋体"/>
          <w:color w:val="auto"/>
          <w:sz w:val="24"/>
        </w:rPr>
        <w:t>中标或成交</w:t>
      </w:r>
      <w:r>
        <w:rPr>
          <w:rFonts w:hint="eastAsia" w:ascii="宋体" w:hAnsi="宋体"/>
          <w:color w:val="auto"/>
          <w:sz w:val="24"/>
        </w:rPr>
        <w:t>供应商</w:t>
      </w:r>
      <w:r>
        <w:rPr>
          <w:rFonts w:ascii="宋体" w:hAnsi="宋体"/>
          <w:color w:val="auto"/>
          <w:sz w:val="24"/>
        </w:rPr>
        <w:t>根据合同约定应向采购人</w:t>
      </w:r>
      <w:r>
        <w:rPr>
          <w:rFonts w:hint="eastAsia" w:ascii="宋体" w:hAnsi="宋体"/>
          <w:color w:val="auto"/>
          <w:sz w:val="24"/>
        </w:rPr>
        <w:t>履行</w:t>
      </w:r>
      <w:r>
        <w:rPr>
          <w:rFonts w:ascii="宋体" w:hAnsi="宋体"/>
          <w:color w:val="auto"/>
          <w:sz w:val="24"/>
        </w:rPr>
        <w:t>的</w:t>
      </w:r>
      <w:r>
        <w:rPr>
          <w:rFonts w:hint="eastAsia" w:ascii="宋体" w:hAnsi="宋体"/>
          <w:color w:val="auto"/>
          <w:sz w:val="24"/>
        </w:rPr>
        <w:t>除货物和工程以外的其他政府采购对象，包括采购人自身需要的服务和向社会公众提供的公共服务。</w:t>
      </w:r>
    </w:p>
    <w:p w14:paraId="6A755C54">
      <w:pPr>
        <w:spacing w:line="560" w:lineRule="exact"/>
        <w:ind w:firstLine="480" w:firstLineChars="200"/>
        <w:rPr>
          <w:rFonts w:ascii="宋体" w:hAnsi="宋体"/>
          <w:color w:val="auto"/>
          <w:sz w:val="24"/>
        </w:rPr>
      </w:pPr>
      <w:r>
        <w:rPr>
          <w:rFonts w:ascii="宋体" w:hAnsi="宋体"/>
          <w:color w:val="auto"/>
          <w:sz w:val="24"/>
        </w:rPr>
        <w:t>2.1.4 “</w:t>
      </w:r>
      <w:r>
        <w:rPr>
          <w:rFonts w:hint="eastAsia" w:ascii="宋体" w:hAnsi="宋体"/>
          <w:color w:val="auto"/>
          <w:sz w:val="24"/>
        </w:rPr>
        <w:t>甲方</w:t>
      </w:r>
      <w:r>
        <w:rPr>
          <w:rFonts w:ascii="宋体" w:hAnsi="宋体"/>
          <w:color w:val="auto"/>
          <w:sz w:val="24"/>
        </w:rPr>
        <w:t>”系指与</w:t>
      </w:r>
      <w:r>
        <w:rPr>
          <w:rFonts w:hint="eastAsia" w:ascii="宋体" w:hAnsi="宋体" w:cs="宋体"/>
          <w:color w:val="auto"/>
          <w:sz w:val="24"/>
        </w:rPr>
        <w:t>中标或成交</w:t>
      </w:r>
      <w:r>
        <w:rPr>
          <w:rFonts w:hint="eastAsia" w:ascii="宋体" w:hAnsi="宋体"/>
          <w:color w:val="auto"/>
          <w:sz w:val="24"/>
        </w:rPr>
        <w:t>供应商</w:t>
      </w:r>
      <w:r>
        <w:rPr>
          <w:rFonts w:ascii="宋体" w:hAnsi="宋体"/>
          <w:color w:val="auto"/>
          <w:sz w:val="24"/>
        </w:rPr>
        <w:t>签署合同的采购人</w:t>
      </w:r>
      <w:r>
        <w:rPr>
          <w:rFonts w:hint="eastAsia" w:ascii="宋体" w:hAnsi="宋体"/>
          <w:color w:val="auto"/>
          <w:sz w:val="24"/>
        </w:rPr>
        <w:t>；采购人委托采购代理机构代表其与乙方签订合同的，采购人的授权委托书作为合同附件。</w:t>
      </w:r>
    </w:p>
    <w:p w14:paraId="56F5AC73">
      <w:pPr>
        <w:spacing w:line="560" w:lineRule="exact"/>
        <w:ind w:firstLine="480" w:firstLineChars="200"/>
        <w:rPr>
          <w:rFonts w:ascii="宋体" w:hAnsi="宋体"/>
          <w:color w:val="auto"/>
          <w:sz w:val="24"/>
        </w:rPr>
      </w:pPr>
      <w:r>
        <w:rPr>
          <w:rFonts w:ascii="宋体" w:hAnsi="宋体"/>
          <w:color w:val="auto"/>
          <w:sz w:val="24"/>
        </w:rPr>
        <w:t>2.1.5 “乙方”系指根据合同约定提供服务的</w:t>
      </w:r>
      <w:r>
        <w:rPr>
          <w:rFonts w:hint="eastAsia" w:ascii="宋体" w:hAnsi="宋体" w:cs="宋体"/>
          <w:color w:val="auto"/>
          <w:sz w:val="24"/>
        </w:rPr>
        <w:t>中标或成交</w:t>
      </w:r>
      <w:r>
        <w:rPr>
          <w:rFonts w:ascii="宋体" w:hAnsi="宋体"/>
          <w:color w:val="auto"/>
          <w:sz w:val="24"/>
        </w:rPr>
        <w:t>供应商</w:t>
      </w:r>
      <w:r>
        <w:rPr>
          <w:rFonts w:hint="eastAsia" w:ascii="宋体" w:hAnsi="宋体"/>
          <w:color w:val="auto"/>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647B2104">
      <w:pPr>
        <w:spacing w:line="560" w:lineRule="exact"/>
        <w:ind w:firstLine="480" w:firstLineChars="200"/>
        <w:rPr>
          <w:rFonts w:ascii="宋体" w:hAnsi="宋体"/>
          <w:color w:val="auto"/>
          <w:sz w:val="24"/>
        </w:rPr>
      </w:pPr>
      <w:r>
        <w:rPr>
          <w:rFonts w:ascii="宋体" w:hAnsi="宋体"/>
          <w:color w:val="auto"/>
          <w:sz w:val="24"/>
        </w:rPr>
        <w:t>2.1.6 “现场”系指合同约定提供服务的地点。</w:t>
      </w:r>
    </w:p>
    <w:p w14:paraId="0C406F13">
      <w:pPr>
        <w:spacing w:line="560" w:lineRule="exact"/>
        <w:ind w:firstLine="482" w:firstLineChars="200"/>
        <w:outlineLvl w:val="0"/>
        <w:rPr>
          <w:rFonts w:ascii="宋体" w:hAnsi="宋体"/>
          <w:b/>
          <w:color w:val="auto"/>
          <w:sz w:val="24"/>
        </w:rPr>
      </w:pPr>
      <w:bookmarkStart w:id="112" w:name="_Toc19539"/>
      <w:bookmarkStart w:id="113" w:name="_Toc31402"/>
      <w:bookmarkStart w:id="114" w:name="_Toc23289"/>
      <w:bookmarkStart w:id="115" w:name="_Toc16752"/>
      <w:bookmarkStart w:id="116" w:name="_Toc3769"/>
      <w:r>
        <w:rPr>
          <w:rFonts w:ascii="宋体" w:hAnsi="宋体"/>
          <w:b/>
          <w:color w:val="auto"/>
          <w:sz w:val="24"/>
        </w:rPr>
        <w:t>2.2 技术规范</w:t>
      </w:r>
      <w:bookmarkEnd w:id="112"/>
      <w:bookmarkEnd w:id="113"/>
      <w:bookmarkEnd w:id="114"/>
      <w:bookmarkEnd w:id="115"/>
      <w:bookmarkEnd w:id="116"/>
    </w:p>
    <w:p w14:paraId="364869F4">
      <w:pPr>
        <w:spacing w:line="560" w:lineRule="exact"/>
        <w:ind w:firstLine="480" w:firstLineChars="200"/>
        <w:rPr>
          <w:rFonts w:ascii="宋体" w:hAnsi="宋体"/>
          <w:color w:val="auto"/>
          <w:sz w:val="24"/>
        </w:rPr>
      </w:pPr>
      <w:r>
        <w:rPr>
          <w:rFonts w:hint="eastAsia" w:ascii="宋体" w:hAnsi="宋体"/>
          <w:color w:val="auto"/>
          <w:sz w:val="24"/>
        </w:rPr>
        <w:t>服务</w:t>
      </w:r>
      <w:r>
        <w:rPr>
          <w:rFonts w:ascii="宋体" w:hAnsi="宋体"/>
          <w:color w:val="auto"/>
          <w:sz w:val="24"/>
        </w:rPr>
        <w:t>所应遵守的技术规范应与采购文件规定的技术规范和技术规范附件(如果有的话)及其技术规范偏差表(如果被甲方接受的话)相一致</w:t>
      </w:r>
      <w:r>
        <w:rPr>
          <w:rFonts w:hint="eastAsia" w:ascii="宋体" w:hAnsi="宋体"/>
          <w:color w:val="auto"/>
          <w:sz w:val="24"/>
        </w:rPr>
        <w:t>；</w:t>
      </w:r>
      <w:r>
        <w:rPr>
          <w:rFonts w:ascii="宋体" w:hAnsi="宋体"/>
          <w:color w:val="auto"/>
          <w:sz w:val="24"/>
        </w:rPr>
        <w:t>如果采购文件中没有技术规范的相应说明，那么应以国家有关部门最新颁布的相应标准</w:t>
      </w:r>
      <w:r>
        <w:rPr>
          <w:rFonts w:hint="eastAsia" w:ascii="宋体" w:hAnsi="宋体"/>
          <w:color w:val="auto"/>
          <w:sz w:val="24"/>
        </w:rPr>
        <w:t>和</w:t>
      </w:r>
      <w:r>
        <w:rPr>
          <w:rFonts w:ascii="宋体" w:hAnsi="宋体"/>
          <w:color w:val="auto"/>
          <w:sz w:val="24"/>
        </w:rPr>
        <w:t>规范为准。</w:t>
      </w:r>
    </w:p>
    <w:p w14:paraId="3877B129">
      <w:pPr>
        <w:spacing w:line="560" w:lineRule="exact"/>
        <w:ind w:firstLine="482" w:firstLineChars="200"/>
        <w:outlineLvl w:val="0"/>
        <w:rPr>
          <w:rFonts w:ascii="宋体" w:hAnsi="宋体"/>
          <w:b/>
          <w:color w:val="auto"/>
          <w:sz w:val="24"/>
        </w:rPr>
      </w:pPr>
      <w:bookmarkStart w:id="117" w:name="_Toc12412"/>
      <w:bookmarkStart w:id="118" w:name="_Toc13673"/>
      <w:bookmarkStart w:id="119" w:name="_Toc4133"/>
      <w:bookmarkStart w:id="120" w:name="_Toc27945"/>
      <w:bookmarkStart w:id="121" w:name="_Toc9161"/>
      <w:r>
        <w:rPr>
          <w:rFonts w:ascii="宋体" w:hAnsi="宋体"/>
          <w:b/>
          <w:color w:val="auto"/>
          <w:sz w:val="24"/>
        </w:rPr>
        <w:t>2.3 知识产权</w:t>
      </w:r>
      <w:bookmarkEnd w:id="117"/>
      <w:bookmarkEnd w:id="118"/>
      <w:bookmarkEnd w:id="119"/>
      <w:bookmarkEnd w:id="120"/>
      <w:bookmarkEnd w:id="121"/>
    </w:p>
    <w:p w14:paraId="37C583D8">
      <w:pPr>
        <w:spacing w:line="560" w:lineRule="exact"/>
        <w:ind w:firstLine="480" w:firstLineChars="200"/>
        <w:rPr>
          <w:rFonts w:ascii="宋体" w:hAnsi="宋体"/>
          <w:color w:val="auto"/>
          <w:sz w:val="24"/>
        </w:rPr>
      </w:pPr>
      <w:r>
        <w:rPr>
          <w:rFonts w:ascii="宋体" w:hAnsi="宋体"/>
          <w:color w:val="auto"/>
          <w:sz w:val="24"/>
        </w:rPr>
        <w:t xml:space="preserve">2.3.1 </w:t>
      </w:r>
      <w:r>
        <w:rPr>
          <w:rFonts w:hint="eastAsia" w:ascii="宋体" w:hAnsi="宋体"/>
          <w:color w:val="auto"/>
          <w:sz w:val="24"/>
        </w:rPr>
        <w:t>乙</w:t>
      </w:r>
      <w:r>
        <w:rPr>
          <w:rFonts w:ascii="宋体" w:hAnsi="宋体"/>
          <w:color w:val="auto"/>
          <w:sz w:val="24"/>
        </w:rPr>
        <w:t>方应保证</w:t>
      </w:r>
      <w:r>
        <w:rPr>
          <w:rFonts w:hint="eastAsia" w:ascii="宋体" w:hAnsi="宋体"/>
          <w:color w:val="auto"/>
          <w:sz w:val="24"/>
        </w:rPr>
        <w:t>其提供的服务</w:t>
      </w:r>
      <w:r>
        <w:rPr>
          <w:rFonts w:ascii="宋体" w:hAnsi="宋体"/>
          <w:color w:val="auto"/>
          <w:sz w:val="24"/>
        </w:rPr>
        <w:t>不受任何第三方提出的侵犯其著作权、商标权、专利权等知识产权方面的起诉</w:t>
      </w:r>
      <w:r>
        <w:rPr>
          <w:rFonts w:hint="eastAsia" w:ascii="宋体" w:hAnsi="宋体"/>
          <w:color w:val="auto"/>
          <w:sz w:val="24"/>
        </w:rPr>
        <w:t>；</w:t>
      </w:r>
      <w:r>
        <w:rPr>
          <w:rFonts w:ascii="宋体" w:hAnsi="宋体"/>
          <w:color w:val="auto"/>
          <w:sz w:val="24"/>
        </w:rPr>
        <w:t>如果任何第三方提出侵权</w:t>
      </w:r>
      <w:r>
        <w:rPr>
          <w:rFonts w:hint="eastAsia" w:ascii="宋体" w:hAnsi="宋体"/>
          <w:color w:val="auto"/>
          <w:sz w:val="24"/>
        </w:rPr>
        <w:t>指控</w:t>
      </w:r>
      <w:r>
        <w:rPr>
          <w:rFonts w:ascii="宋体" w:hAnsi="宋体"/>
          <w:color w:val="auto"/>
          <w:sz w:val="24"/>
        </w:rPr>
        <w:t>，那么乙方须与该第三方交涉并承担由此发生的一切责任、费用和赔偿</w:t>
      </w:r>
      <w:r>
        <w:rPr>
          <w:rFonts w:hint="eastAsia" w:ascii="宋体" w:hAnsi="宋体"/>
          <w:color w:val="auto"/>
          <w:sz w:val="24"/>
        </w:rPr>
        <w:t>，乙方还应及时澄清相关信息，使甲方声誉免受损害，甲方保留追责的权利。</w:t>
      </w:r>
    </w:p>
    <w:p w14:paraId="16E2B6C8">
      <w:pPr>
        <w:spacing w:line="560" w:lineRule="exact"/>
        <w:ind w:firstLine="480" w:firstLineChars="200"/>
        <w:rPr>
          <w:rFonts w:ascii="宋体" w:hAnsi="宋体"/>
          <w:color w:val="auto"/>
          <w:sz w:val="24"/>
        </w:rPr>
      </w:pPr>
      <w:r>
        <w:rPr>
          <w:rFonts w:ascii="宋体" w:hAnsi="宋体"/>
          <w:color w:val="auto"/>
          <w:sz w:val="24"/>
        </w:rPr>
        <w:t xml:space="preserve">2.3.2 </w:t>
      </w:r>
      <w:r>
        <w:rPr>
          <w:rFonts w:hint="eastAsia" w:ascii="宋体" w:hAnsi="宋体"/>
          <w:color w:val="auto"/>
          <w:sz w:val="24"/>
        </w:rPr>
        <w:t>合同涉及技术成果的归属和收益的分成办法的，</w:t>
      </w:r>
      <w:r>
        <w:rPr>
          <w:rFonts w:ascii="宋体" w:hAnsi="宋体"/>
          <w:color w:val="auto"/>
          <w:sz w:val="24"/>
        </w:rPr>
        <w:t>详见</w:t>
      </w:r>
      <w:r>
        <w:rPr>
          <w:rFonts w:ascii="宋体" w:hAnsi="宋体"/>
          <w:b/>
          <w:i/>
          <w:color w:val="auto"/>
          <w:sz w:val="24"/>
          <w:u w:val="single"/>
        </w:rPr>
        <w:t>合同专用条款</w:t>
      </w:r>
      <w:r>
        <w:rPr>
          <w:rFonts w:ascii="宋体" w:hAnsi="宋体"/>
          <w:color w:val="auto"/>
          <w:sz w:val="24"/>
        </w:rPr>
        <w:t>。</w:t>
      </w:r>
    </w:p>
    <w:p w14:paraId="20BF7AB6">
      <w:pPr>
        <w:spacing w:line="560" w:lineRule="exact"/>
        <w:ind w:firstLine="482" w:firstLineChars="200"/>
        <w:rPr>
          <w:rFonts w:ascii="宋体" w:hAnsi="宋体"/>
          <w:b/>
          <w:color w:val="auto"/>
          <w:sz w:val="24"/>
        </w:rPr>
      </w:pPr>
      <w:r>
        <w:rPr>
          <w:rFonts w:ascii="宋体" w:hAnsi="宋体"/>
          <w:b/>
          <w:color w:val="auto"/>
          <w:sz w:val="24"/>
        </w:rPr>
        <w:t xml:space="preserve">2.4 </w:t>
      </w:r>
      <w:r>
        <w:rPr>
          <w:rFonts w:hint="eastAsia" w:ascii="宋体" w:hAnsi="宋体"/>
          <w:b/>
          <w:color w:val="auto"/>
          <w:sz w:val="24"/>
        </w:rPr>
        <w:t>履约检查和问题反馈</w:t>
      </w:r>
    </w:p>
    <w:p w14:paraId="7D109338">
      <w:pPr>
        <w:spacing w:line="560" w:lineRule="exact"/>
        <w:ind w:firstLine="480" w:firstLineChars="200"/>
        <w:rPr>
          <w:rFonts w:ascii="宋体" w:hAnsi="宋体"/>
          <w:color w:val="auto"/>
          <w:sz w:val="24"/>
        </w:rPr>
      </w:pPr>
      <w:r>
        <w:rPr>
          <w:rFonts w:ascii="宋体" w:hAnsi="宋体"/>
          <w:color w:val="auto"/>
          <w:sz w:val="24"/>
        </w:rPr>
        <w:t>2.4.1甲方</w:t>
      </w:r>
      <w:r>
        <w:rPr>
          <w:rFonts w:hint="eastAsia" w:ascii="宋体" w:hAnsi="宋体"/>
          <w:color w:val="auto"/>
          <w:sz w:val="24"/>
        </w:rPr>
        <w:t>有权</w:t>
      </w:r>
      <w:r>
        <w:rPr>
          <w:rFonts w:ascii="宋体" w:hAnsi="宋体"/>
          <w:color w:val="auto"/>
          <w:sz w:val="24"/>
        </w:rPr>
        <w:t>在其认为必要时</w:t>
      </w:r>
      <w:r>
        <w:rPr>
          <w:rFonts w:hint="eastAsia" w:ascii="宋体" w:hAnsi="宋体"/>
          <w:color w:val="auto"/>
          <w:sz w:val="24"/>
        </w:rPr>
        <w:t>，对乙方是否能够按照合同约定提供服务进行履约检查，以确保乙方所提供的服务能够依约满足甲方之项目需求，但不得因履约检查妨碍乙方的正常工作，乙方应予积极配合；</w:t>
      </w:r>
    </w:p>
    <w:p w14:paraId="31DBA37F">
      <w:pPr>
        <w:spacing w:line="560" w:lineRule="exact"/>
        <w:ind w:firstLine="480" w:firstLineChars="200"/>
        <w:rPr>
          <w:rFonts w:ascii="宋体" w:hAnsi="宋体"/>
          <w:color w:val="auto"/>
          <w:sz w:val="24"/>
        </w:rPr>
      </w:pPr>
      <w:r>
        <w:rPr>
          <w:rFonts w:ascii="宋体" w:hAnsi="宋体"/>
          <w:color w:val="auto"/>
          <w:sz w:val="24"/>
        </w:rPr>
        <w:t xml:space="preserve">2.4.2 </w:t>
      </w:r>
      <w:r>
        <w:rPr>
          <w:rFonts w:hint="eastAsia" w:ascii="宋体" w:hAnsi="宋体"/>
          <w:color w:val="auto"/>
          <w:sz w:val="24"/>
        </w:rPr>
        <w:t>合同履行期间，甲方有权将履行过程中出现的问题反馈给乙方，双方当事人应以书面形式约定需要完善和改进的内容。</w:t>
      </w:r>
    </w:p>
    <w:p w14:paraId="2C059596">
      <w:pPr>
        <w:spacing w:line="560" w:lineRule="exact"/>
        <w:ind w:firstLine="482" w:firstLineChars="200"/>
        <w:outlineLvl w:val="0"/>
        <w:rPr>
          <w:rFonts w:ascii="宋体" w:hAnsi="宋体"/>
          <w:b/>
          <w:color w:val="auto"/>
          <w:sz w:val="24"/>
        </w:rPr>
      </w:pPr>
      <w:bookmarkStart w:id="122" w:name="_Toc22011"/>
      <w:bookmarkStart w:id="123" w:name="_Toc15447"/>
      <w:bookmarkStart w:id="124" w:name="_Toc26555"/>
      <w:bookmarkStart w:id="125" w:name="_Toc32670"/>
      <w:bookmarkStart w:id="126" w:name="_Toc31233"/>
      <w:r>
        <w:rPr>
          <w:rFonts w:ascii="宋体" w:hAnsi="宋体"/>
          <w:b/>
          <w:color w:val="auto"/>
          <w:sz w:val="24"/>
        </w:rPr>
        <w:t>2.5 结算方式和付款条件</w:t>
      </w:r>
      <w:bookmarkEnd w:id="122"/>
      <w:bookmarkEnd w:id="123"/>
      <w:bookmarkEnd w:id="124"/>
      <w:bookmarkEnd w:id="125"/>
      <w:bookmarkEnd w:id="126"/>
    </w:p>
    <w:p w14:paraId="373581F0">
      <w:pPr>
        <w:spacing w:line="560" w:lineRule="exact"/>
        <w:ind w:firstLine="480" w:firstLineChars="200"/>
        <w:rPr>
          <w:rFonts w:ascii="宋体" w:hAnsi="宋体"/>
          <w:color w:val="auto"/>
          <w:sz w:val="24"/>
        </w:rPr>
      </w:pPr>
      <w:r>
        <w:rPr>
          <w:rFonts w:ascii="宋体" w:hAnsi="宋体"/>
          <w:color w:val="auto"/>
          <w:sz w:val="24"/>
        </w:rPr>
        <w:t>详见</w:t>
      </w:r>
      <w:r>
        <w:rPr>
          <w:rFonts w:ascii="宋体" w:hAnsi="宋体"/>
          <w:b/>
          <w:i/>
          <w:color w:val="auto"/>
          <w:sz w:val="24"/>
          <w:u w:val="single"/>
        </w:rPr>
        <w:t>合同专用条款</w:t>
      </w:r>
      <w:r>
        <w:rPr>
          <w:rFonts w:ascii="宋体" w:hAnsi="宋体"/>
          <w:color w:val="auto"/>
          <w:sz w:val="24"/>
        </w:rPr>
        <w:t>。</w:t>
      </w:r>
    </w:p>
    <w:p w14:paraId="50606EE8">
      <w:pPr>
        <w:spacing w:line="560" w:lineRule="exact"/>
        <w:ind w:firstLine="482" w:firstLineChars="200"/>
        <w:outlineLvl w:val="0"/>
        <w:rPr>
          <w:rFonts w:ascii="宋体" w:hAnsi="宋体"/>
          <w:b/>
          <w:color w:val="auto"/>
          <w:sz w:val="24"/>
        </w:rPr>
      </w:pPr>
      <w:bookmarkStart w:id="127" w:name="_Toc30507"/>
      <w:bookmarkStart w:id="128" w:name="_Toc16163"/>
      <w:bookmarkStart w:id="129" w:name="_Toc13154"/>
      <w:bookmarkStart w:id="130" w:name="_Toc13467"/>
      <w:bookmarkStart w:id="131" w:name="_Toc18990"/>
      <w:r>
        <w:rPr>
          <w:rFonts w:ascii="宋体" w:hAnsi="宋体"/>
          <w:b/>
          <w:color w:val="auto"/>
          <w:sz w:val="24"/>
        </w:rPr>
        <w:t>2.6 技术资料和保密义务</w:t>
      </w:r>
      <w:bookmarkEnd w:id="127"/>
      <w:bookmarkEnd w:id="128"/>
      <w:bookmarkEnd w:id="129"/>
      <w:bookmarkEnd w:id="130"/>
      <w:bookmarkEnd w:id="131"/>
    </w:p>
    <w:p w14:paraId="257ABDF2">
      <w:pPr>
        <w:spacing w:line="560" w:lineRule="exact"/>
        <w:ind w:firstLine="480" w:firstLineChars="200"/>
        <w:rPr>
          <w:rFonts w:ascii="宋体" w:hAnsi="宋体"/>
          <w:color w:val="auto"/>
          <w:sz w:val="24"/>
        </w:rPr>
      </w:pPr>
      <w:r>
        <w:rPr>
          <w:rFonts w:ascii="宋体" w:hAnsi="宋体"/>
          <w:color w:val="auto"/>
          <w:sz w:val="24"/>
        </w:rPr>
        <w:t>2.6.1 乙方有权依据合同约定和项目需要，向甲方了解有关情况，调阅有关资料等，甲方应予积极配合；</w:t>
      </w:r>
    </w:p>
    <w:p w14:paraId="6E58FCF8">
      <w:pPr>
        <w:spacing w:line="560" w:lineRule="exact"/>
        <w:ind w:firstLine="480" w:firstLineChars="200"/>
        <w:rPr>
          <w:rFonts w:ascii="宋体" w:hAnsi="宋体"/>
          <w:color w:val="auto"/>
          <w:sz w:val="24"/>
        </w:rPr>
      </w:pPr>
      <w:r>
        <w:rPr>
          <w:rFonts w:ascii="宋体" w:hAnsi="宋体"/>
          <w:color w:val="auto"/>
          <w:sz w:val="24"/>
        </w:rPr>
        <w:t xml:space="preserve">2.6.2 </w:t>
      </w:r>
      <w:r>
        <w:rPr>
          <w:rFonts w:hint="eastAsia" w:ascii="宋体" w:hAnsi="宋体"/>
          <w:color w:val="auto"/>
          <w:sz w:val="24"/>
        </w:rPr>
        <w:t>乙方有义务妥善保管和保护由甲方提供的前款信息和资料等；</w:t>
      </w:r>
    </w:p>
    <w:p w14:paraId="41D0F226">
      <w:pPr>
        <w:spacing w:line="560" w:lineRule="exact"/>
        <w:ind w:firstLine="480" w:firstLineChars="200"/>
        <w:rPr>
          <w:rFonts w:ascii="宋体" w:hAnsi="宋体"/>
          <w:color w:val="auto"/>
          <w:sz w:val="24"/>
        </w:rPr>
      </w:pPr>
      <w:r>
        <w:rPr>
          <w:rFonts w:ascii="宋体" w:hAnsi="宋体"/>
          <w:color w:val="auto"/>
          <w:sz w:val="24"/>
        </w:rPr>
        <w:t xml:space="preserve">2.6.3 </w:t>
      </w:r>
      <w:r>
        <w:rPr>
          <w:rFonts w:hint="eastAsia" w:ascii="宋体" w:hAnsi="宋体"/>
          <w:color w:val="auto"/>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color w:val="auto"/>
          <w:sz w:val="24"/>
        </w:rPr>
        <w:t>技术情报</w:t>
      </w:r>
      <w:r>
        <w:rPr>
          <w:rFonts w:hint="eastAsia" w:ascii="宋体" w:hAnsi="宋体"/>
          <w:color w:val="auto"/>
          <w:sz w:val="24"/>
        </w:rPr>
        <w:t>、</w:t>
      </w:r>
      <w:r>
        <w:rPr>
          <w:rFonts w:ascii="宋体" w:hAnsi="宋体"/>
          <w:color w:val="auto"/>
          <w:sz w:val="24"/>
        </w:rPr>
        <w:t>技术资料</w:t>
      </w:r>
      <w:r>
        <w:rPr>
          <w:rFonts w:hint="eastAsia" w:ascii="宋体" w:hAnsi="宋体"/>
          <w:color w:val="auto"/>
          <w:sz w:val="24"/>
        </w:rPr>
        <w:t>、商业秘密和商业信息等，并采取一切合理和必要措施和方式防止任何第三方接触到对方当事人的上述保密信息和资料。</w:t>
      </w:r>
    </w:p>
    <w:p w14:paraId="68B91FA8">
      <w:pPr>
        <w:spacing w:line="560" w:lineRule="exact"/>
        <w:ind w:firstLine="482" w:firstLineChars="200"/>
        <w:outlineLvl w:val="0"/>
        <w:rPr>
          <w:rFonts w:ascii="宋体" w:hAnsi="宋体"/>
          <w:b/>
          <w:color w:val="auto"/>
          <w:sz w:val="24"/>
        </w:rPr>
      </w:pPr>
      <w:bookmarkStart w:id="132" w:name="_Toc19069"/>
      <w:r>
        <w:rPr>
          <w:rFonts w:ascii="宋体" w:hAnsi="宋体"/>
          <w:b/>
          <w:color w:val="auto"/>
          <w:sz w:val="24"/>
        </w:rPr>
        <w:t xml:space="preserve">2.7 </w:t>
      </w:r>
      <w:r>
        <w:rPr>
          <w:rFonts w:hint="eastAsia" w:ascii="宋体" w:hAnsi="宋体"/>
          <w:b/>
          <w:color w:val="auto"/>
          <w:sz w:val="24"/>
        </w:rPr>
        <w:t>质量保证</w:t>
      </w:r>
      <w:bookmarkEnd w:id="132"/>
    </w:p>
    <w:p w14:paraId="7074DA71">
      <w:pPr>
        <w:spacing w:line="560" w:lineRule="exact"/>
        <w:ind w:firstLine="480" w:firstLineChars="200"/>
        <w:rPr>
          <w:rFonts w:ascii="宋体" w:hAnsi="宋体"/>
          <w:color w:val="auto"/>
          <w:sz w:val="24"/>
        </w:rPr>
      </w:pPr>
      <w:r>
        <w:rPr>
          <w:rFonts w:ascii="宋体" w:hAnsi="宋体"/>
          <w:color w:val="auto"/>
          <w:sz w:val="24"/>
        </w:rPr>
        <w:t xml:space="preserve">2.7.1 </w:t>
      </w:r>
      <w:r>
        <w:rPr>
          <w:rFonts w:hint="eastAsia" w:ascii="宋体" w:hAnsi="宋体"/>
          <w:color w:val="auto"/>
          <w:sz w:val="24"/>
        </w:rPr>
        <w:t>乙方应建立和完善履行合同的内部质量保证体系，并提供相关内部规章制度给甲方，以便甲方进行监督检查；</w:t>
      </w:r>
    </w:p>
    <w:p w14:paraId="6F141D9D">
      <w:pPr>
        <w:spacing w:line="560" w:lineRule="exact"/>
        <w:ind w:firstLine="480" w:firstLineChars="200"/>
        <w:rPr>
          <w:rFonts w:ascii="宋体" w:hAnsi="宋体"/>
          <w:color w:val="auto"/>
          <w:sz w:val="24"/>
        </w:rPr>
      </w:pPr>
      <w:r>
        <w:rPr>
          <w:rFonts w:ascii="宋体" w:hAnsi="宋体"/>
          <w:color w:val="auto"/>
          <w:sz w:val="24"/>
        </w:rPr>
        <w:t xml:space="preserve">2.7.2 </w:t>
      </w:r>
      <w:r>
        <w:rPr>
          <w:rFonts w:hint="eastAsia" w:ascii="宋体" w:hAnsi="宋体"/>
          <w:color w:val="auto"/>
          <w:sz w:val="24"/>
        </w:rPr>
        <w:t>乙方应保证履行合同的人员数量和素质、软件和硬件设备的配置、场地、环境和设施等满足全面履行合同的要求，并应接受甲方的监督检查。</w:t>
      </w:r>
    </w:p>
    <w:p w14:paraId="118C9336">
      <w:pPr>
        <w:spacing w:line="560" w:lineRule="exact"/>
        <w:ind w:firstLine="482" w:firstLineChars="200"/>
        <w:outlineLvl w:val="0"/>
        <w:rPr>
          <w:rFonts w:ascii="宋体" w:hAnsi="宋体"/>
          <w:b/>
          <w:color w:val="auto"/>
          <w:sz w:val="24"/>
        </w:rPr>
      </w:pPr>
      <w:bookmarkStart w:id="133" w:name="_Toc22267"/>
      <w:r>
        <w:rPr>
          <w:rFonts w:ascii="宋体" w:hAnsi="宋体"/>
          <w:b/>
          <w:color w:val="auto"/>
          <w:sz w:val="24"/>
        </w:rPr>
        <w:t xml:space="preserve">2.8 </w:t>
      </w:r>
      <w:r>
        <w:rPr>
          <w:rFonts w:hint="eastAsia" w:ascii="宋体" w:hAnsi="宋体"/>
          <w:b/>
          <w:color w:val="auto"/>
          <w:sz w:val="24"/>
        </w:rPr>
        <w:t>延迟履行</w:t>
      </w:r>
      <w:bookmarkEnd w:id="133"/>
    </w:p>
    <w:p w14:paraId="0CB3E2E9">
      <w:pPr>
        <w:spacing w:line="560" w:lineRule="exact"/>
        <w:ind w:firstLine="480" w:firstLineChars="200"/>
        <w:rPr>
          <w:rFonts w:ascii="宋体" w:hAnsi="宋体"/>
          <w:color w:val="auto"/>
          <w:sz w:val="24"/>
        </w:rPr>
      </w:pPr>
      <w:r>
        <w:rPr>
          <w:rFonts w:hint="eastAsia" w:ascii="宋体" w:hAnsi="宋体"/>
          <w:color w:val="auto"/>
          <w:sz w:val="24"/>
        </w:rPr>
        <w:t>甲乙双方签订合同后，乙方应按照合同约定履行合同义务，除不可抗力外，乙方不得延迟履行。</w:t>
      </w:r>
      <w:r>
        <w:rPr>
          <w:rFonts w:ascii="宋体" w:hAnsi="宋体"/>
          <w:color w:val="auto"/>
          <w:sz w:val="24"/>
        </w:rPr>
        <w:t>在合同履行过程中，如果</w:t>
      </w:r>
      <w:r>
        <w:rPr>
          <w:rFonts w:hint="eastAsia" w:ascii="宋体" w:hAnsi="宋体"/>
          <w:color w:val="auto"/>
          <w:sz w:val="24"/>
        </w:rPr>
        <w:t>因不可抗力，</w:t>
      </w:r>
      <w:r>
        <w:rPr>
          <w:rFonts w:ascii="宋体" w:hAnsi="宋体"/>
          <w:color w:val="auto"/>
          <w:sz w:val="24"/>
        </w:rPr>
        <w:t>乙方遇到不能按时</w:t>
      </w:r>
      <w:r>
        <w:rPr>
          <w:rFonts w:hint="eastAsia" w:ascii="宋体" w:hAnsi="宋体"/>
          <w:color w:val="auto"/>
          <w:sz w:val="24"/>
        </w:rPr>
        <w:t>提供服务</w:t>
      </w:r>
      <w:r>
        <w:rPr>
          <w:rFonts w:ascii="宋体" w:hAnsi="宋体"/>
          <w:color w:val="auto"/>
          <w:sz w:val="24"/>
        </w:rPr>
        <w:t>的情况，应及时以书面形式将不能按时</w:t>
      </w:r>
      <w:r>
        <w:rPr>
          <w:rFonts w:hint="eastAsia" w:ascii="宋体" w:hAnsi="宋体"/>
          <w:color w:val="auto"/>
          <w:sz w:val="24"/>
        </w:rPr>
        <w:t>提供服务</w:t>
      </w:r>
      <w:r>
        <w:rPr>
          <w:rFonts w:ascii="宋体" w:hAnsi="宋体"/>
          <w:color w:val="auto"/>
          <w:sz w:val="24"/>
        </w:rPr>
        <w:t>的理由、预期延误时间通知甲方</w:t>
      </w:r>
      <w:r>
        <w:rPr>
          <w:rFonts w:hint="eastAsia" w:ascii="宋体" w:hAnsi="宋体"/>
          <w:color w:val="auto"/>
          <w:sz w:val="24"/>
        </w:rPr>
        <w:t>；甲</w:t>
      </w:r>
      <w:r>
        <w:rPr>
          <w:rFonts w:ascii="宋体" w:hAnsi="宋体"/>
          <w:color w:val="auto"/>
          <w:sz w:val="24"/>
        </w:rPr>
        <w:t>方收到乙方通知后，认为其理由正当的，可以书面形式酌情同意乙方可以延长</w:t>
      </w:r>
      <w:r>
        <w:rPr>
          <w:rFonts w:hint="eastAsia" w:ascii="宋体" w:hAnsi="宋体"/>
          <w:color w:val="auto"/>
          <w:sz w:val="24"/>
        </w:rPr>
        <w:t>履行</w:t>
      </w:r>
      <w:r>
        <w:rPr>
          <w:rFonts w:ascii="宋体" w:hAnsi="宋体"/>
          <w:color w:val="auto"/>
          <w:sz w:val="24"/>
        </w:rPr>
        <w:t>的具体时间。</w:t>
      </w:r>
    </w:p>
    <w:p w14:paraId="0B69C737">
      <w:pPr>
        <w:spacing w:line="560" w:lineRule="exact"/>
        <w:ind w:firstLine="482" w:firstLineChars="200"/>
        <w:outlineLvl w:val="0"/>
        <w:rPr>
          <w:rFonts w:ascii="宋体" w:hAnsi="宋体"/>
          <w:b/>
          <w:color w:val="auto"/>
          <w:sz w:val="24"/>
        </w:rPr>
      </w:pPr>
      <w:bookmarkStart w:id="134" w:name="_Toc10611"/>
      <w:r>
        <w:rPr>
          <w:rFonts w:ascii="宋体" w:hAnsi="宋体"/>
          <w:b/>
          <w:color w:val="auto"/>
          <w:sz w:val="24"/>
        </w:rPr>
        <w:t xml:space="preserve">2.9 </w:t>
      </w:r>
      <w:r>
        <w:rPr>
          <w:rFonts w:hint="eastAsia" w:ascii="宋体" w:hAnsi="宋体"/>
          <w:b/>
          <w:color w:val="auto"/>
          <w:sz w:val="24"/>
        </w:rPr>
        <w:t>合同变更</w:t>
      </w:r>
      <w:bookmarkEnd w:id="134"/>
    </w:p>
    <w:p w14:paraId="60CA2DA2">
      <w:pPr>
        <w:spacing w:line="560" w:lineRule="exact"/>
        <w:ind w:firstLine="480" w:firstLineChars="200"/>
        <w:rPr>
          <w:rFonts w:ascii="宋体" w:hAnsi="宋体"/>
          <w:color w:val="auto"/>
          <w:sz w:val="24"/>
        </w:rPr>
      </w:pPr>
      <w:r>
        <w:rPr>
          <w:rFonts w:hint="eastAsia" w:ascii="宋体" w:hAnsi="宋体"/>
          <w:color w:val="auto"/>
          <w:sz w:val="24"/>
        </w:rPr>
        <w:t>合同继续履行将损害国家利益和社会公共利益的，双方当事人应当以书面形式变更合同。有过错的一方应当承担赔偿责任，双方当事人都有过错的，各自承担相应的责任。</w:t>
      </w:r>
    </w:p>
    <w:p w14:paraId="2DE9E830">
      <w:pPr>
        <w:spacing w:line="560" w:lineRule="exact"/>
        <w:ind w:firstLine="482" w:firstLineChars="200"/>
        <w:outlineLvl w:val="0"/>
        <w:rPr>
          <w:rFonts w:ascii="宋体" w:hAnsi="宋体"/>
          <w:b/>
          <w:color w:val="auto"/>
          <w:sz w:val="24"/>
        </w:rPr>
      </w:pPr>
      <w:bookmarkStart w:id="135" w:name="_Toc23368"/>
      <w:bookmarkStart w:id="136" w:name="_Toc21830"/>
      <w:bookmarkStart w:id="137" w:name="_Toc10663"/>
      <w:bookmarkStart w:id="138" w:name="_Toc42"/>
      <w:bookmarkStart w:id="139" w:name="_Toc26689"/>
      <w:r>
        <w:rPr>
          <w:rFonts w:ascii="宋体" w:hAnsi="宋体"/>
          <w:b/>
          <w:color w:val="auto"/>
          <w:sz w:val="24"/>
        </w:rPr>
        <w:t>2.10 合同转让和分包</w:t>
      </w:r>
      <w:bookmarkEnd w:id="135"/>
      <w:bookmarkEnd w:id="136"/>
      <w:bookmarkEnd w:id="137"/>
      <w:bookmarkEnd w:id="138"/>
      <w:bookmarkEnd w:id="139"/>
    </w:p>
    <w:p w14:paraId="13613CEC">
      <w:pPr>
        <w:spacing w:line="560" w:lineRule="exact"/>
        <w:ind w:firstLine="480" w:firstLineChars="200"/>
        <w:rPr>
          <w:rFonts w:ascii="宋体" w:hAnsi="宋体"/>
          <w:color w:val="auto"/>
          <w:sz w:val="24"/>
        </w:rPr>
      </w:pPr>
      <w:r>
        <w:rPr>
          <w:rFonts w:ascii="宋体" w:hAnsi="宋体"/>
          <w:color w:val="auto"/>
          <w:sz w:val="24"/>
        </w:rPr>
        <w:t>合同的权利义务依法不</w:t>
      </w:r>
      <w:r>
        <w:rPr>
          <w:rFonts w:hint="eastAsia" w:ascii="宋体" w:hAnsi="宋体"/>
          <w:color w:val="auto"/>
          <w:sz w:val="24"/>
        </w:rPr>
        <w:t>得</w:t>
      </w:r>
      <w:r>
        <w:rPr>
          <w:rFonts w:ascii="宋体" w:hAnsi="宋体"/>
          <w:color w:val="auto"/>
          <w:sz w:val="24"/>
        </w:rPr>
        <w:t>转让</w:t>
      </w:r>
      <w:r>
        <w:rPr>
          <w:rFonts w:hint="eastAsia" w:ascii="宋体" w:hAnsi="宋体"/>
          <w:color w:val="auto"/>
          <w:sz w:val="24"/>
        </w:rPr>
        <w:t>，</w:t>
      </w:r>
      <w:r>
        <w:rPr>
          <w:rFonts w:ascii="宋体" w:hAnsi="宋体"/>
          <w:color w:val="auto"/>
          <w:sz w:val="24"/>
        </w:rPr>
        <w:t>但经甲方</w:t>
      </w:r>
      <w:r>
        <w:rPr>
          <w:rFonts w:hint="eastAsia" w:ascii="宋体" w:hAnsi="宋体"/>
          <w:color w:val="auto"/>
          <w:sz w:val="24"/>
        </w:rPr>
        <w:t>同意，乙方可以依法采取分包方式履行合同，即：依法可以</w:t>
      </w:r>
      <w:r>
        <w:rPr>
          <w:rFonts w:ascii="宋体" w:hAnsi="宋体"/>
          <w:color w:val="auto"/>
          <w:sz w:val="24"/>
        </w:rPr>
        <w:t>将合同项下的部分非主体、非关键性工作分包给他人完成</w:t>
      </w:r>
      <w:r>
        <w:rPr>
          <w:rFonts w:hint="eastAsia" w:ascii="宋体" w:hAnsi="宋体"/>
          <w:color w:val="auto"/>
          <w:sz w:val="24"/>
        </w:rPr>
        <w:t>，</w:t>
      </w:r>
      <w:r>
        <w:rPr>
          <w:rFonts w:ascii="宋体" w:hAnsi="宋体"/>
          <w:color w:val="auto"/>
          <w:sz w:val="24"/>
        </w:rPr>
        <w:t>接受分包的人应当具备相应的资格条件，并不得再次分包</w:t>
      </w:r>
      <w:r>
        <w:rPr>
          <w:rFonts w:hint="eastAsia" w:ascii="宋体" w:hAnsi="宋体"/>
          <w:color w:val="auto"/>
          <w:sz w:val="24"/>
        </w:rPr>
        <w:t>，</w:t>
      </w:r>
      <w:r>
        <w:rPr>
          <w:rFonts w:ascii="宋体" w:hAnsi="宋体"/>
          <w:color w:val="auto"/>
          <w:sz w:val="24"/>
        </w:rPr>
        <w:t>且乙方应就分包项目向甲方负责</w:t>
      </w:r>
      <w:r>
        <w:rPr>
          <w:rFonts w:hint="eastAsia" w:ascii="宋体" w:hAnsi="宋体"/>
          <w:color w:val="auto"/>
          <w:sz w:val="24"/>
        </w:rPr>
        <w:t>，</w:t>
      </w:r>
      <w:r>
        <w:rPr>
          <w:rFonts w:ascii="宋体" w:hAnsi="宋体"/>
          <w:color w:val="auto"/>
          <w:sz w:val="24"/>
        </w:rPr>
        <w:t>并</w:t>
      </w:r>
      <w:r>
        <w:rPr>
          <w:rFonts w:hint="eastAsia" w:ascii="宋体" w:hAnsi="宋体"/>
          <w:color w:val="auto"/>
          <w:sz w:val="24"/>
        </w:rPr>
        <w:t>与分包供应商就分包项目向甲方承担连带责任。</w:t>
      </w:r>
    </w:p>
    <w:p w14:paraId="4F6898A6">
      <w:pPr>
        <w:spacing w:line="560" w:lineRule="exact"/>
        <w:ind w:firstLine="482" w:firstLineChars="200"/>
        <w:outlineLvl w:val="0"/>
        <w:rPr>
          <w:rFonts w:ascii="宋体" w:hAnsi="宋体"/>
          <w:b/>
          <w:color w:val="auto"/>
          <w:sz w:val="24"/>
        </w:rPr>
      </w:pPr>
      <w:bookmarkStart w:id="140" w:name="_Toc25571"/>
      <w:bookmarkStart w:id="141" w:name="_Toc32494"/>
      <w:bookmarkStart w:id="142" w:name="_Toc14371"/>
      <w:bookmarkStart w:id="143" w:name="_Toc26633"/>
      <w:bookmarkStart w:id="144" w:name="_Toc4720"/>
      <w:r>
        <w:rPr>
          <w:rFonts w:ascii="宋体" w:hAnsi="宋体"/>
          <w:b/>
          <w:color w:val="auto"/>
          <w:sz w:val="24"/>
        </w:rPr>
        <w:t>2.11 不可抗力</w:t>
      </w:r>
      <w:bookmarkEnd w:id="140"/>
      <w:bookmarkEnd w:id="141"/>
      <w:bookmarkEnd w:id="142"/>
      <w:bookmarkEnd w:id="143"/>
      <w:bookmarkEnd w:id="144"/>
    </w:p>
    <w:p w14:paraId="54AC47AF">
      <w:pPr>
        <w:spacing w:line="560" w:lineRule="exact"/>
        <w:ind w:firstLine="480" w:firstLineChars="200"/>
        <w:rPr>
          <w:rFonts w:ascii="宋体" w:hAnsi="宋体"/>
          <w:color w:val="auto"/>
          <w:sz w:val="24"/>
        </w:rPr>
      </w:pPr>
      <w:r>
        <w:rPr>
          <w:rFonts w:ascii="宋体" w:hAnsi="宋体"/>
          <w:color w:val="auto"/>
          <w:sz w:val="24"/>
        </w:rPr>
        <w:t>2.11.1如果任何一方遭遇法律规定的不可抗力，致使合同履行受阻时，履行合同的期限应予延长，延长的期限应相当于不可抗力所影响的时间</w:t>
      </w:r>
      <w:r>
        <w:rPr>
          <w:rFonts w:hint="eastAsia" w:ascii="宋体" w:hAnsi="宋体"/>
          <w:color w:val="auto"/>
          <w:sz w:val="24"/>
        </w:rPr>
        <w:t>；</w:t>
      </w:r>
    </w:p>
    <w:p w14:paraId="642EB50E">
      <w:pPr>
        <w:spacing w:line="560" w:lineRule="exact"/>
        <w:ind w:firstLine="480" w:firstLineChars="200"/>
        <w:rPr>
          <w:rFonts w:ascii="宋体" w:hAnsi="宋体"/>
          <w:color w:val="auto"/>
          <w:sz w:val="24"/>
        </w:rPr>
      </w:pPr>
      <w:r>
        <w:rPr>
          <w:rFonts w:ascii="宋体" w:hAnsi="宋体"/>
          <w:color w:val="auto"/>
          <w:sz w:val="24"/>
        </w:rPr>
        <w:t xml:space="preserve">2.11.2 </w:t>
      </w:r>
      <w:r>
        <w:rPr>
          <w:rFonts w:hint="eastAsia" w:ascii="宋体" w:hAnsi="宋体"/>
          <w:color w:val="auto"/>
          <w:sz w:val="24"/>
        </w:rPr>
        <w:t>因不可抗力致使不能实现合同目的的，当事人可以解除合同；</w:t>
      </w:r>
    </w:p>
    <w:p w14:paraId="76A1595E">
      <w:pPr>
        <w:spacing w:line="560" w:lineRule="exact"/>
        <w:ind w:firstLine="480" w:firstLineChars="200"/>
        <w:rPr>
          <w:rFonts w:ascii="宋体" w:hAnsi="宋体"/>
          <w:color w:val="auto"/>
          <w:sz w:val="24"/>
        </w:rPr>
      </w:pPr>
      <w:r>
        <w:rPr>
          <w:rFonts w:ascii="宋体" w:hAnsi="宋体"/>
          <w:color w:val="auto"/>
          <w:sz w:val="24"/>
        </w:rPr>
        <w:t xml:space="preserve">2.11.3 </w:t>
      </w:r>
      <w:r>
        <w:rPr>
          <w:rFonts w:hint="eastAsia" w:ascii="宋体" w:hAnsi="宋体"/>
          <w:color w:val="auto"/>
          <w:sz w:val="24"/>
        </w:rPr>
        <w:t>因</w:t>
      </w:r>
      <w:r>
        <w:rPr>
          <w:rFonts w:ascii="宋体" w:hAnsi="宋体"/>
          <w:color w:val="auto"/>
          <w:sz w:val="24"/>
        </w:rPr>
        <w:t>不可抗力致使合同有变更必要的，双方当事人应在</w:t>
      </w:r>
      <w:r>
        <w:rPr>
          <w:rFonts w:ascii="宋体" w:hAnsi="宋体"/>
          <w:b/>
          <w:i/>
          <w:color w:val="auto"/>
          <w:sz w:val="24"/>
          <w:u w:val="single"/>
        </w:rPr>
        <w:t>合同专用条款</w:t>
      </w:r>
      <w:r>
        <w:rPr>
          <w:rFonts w:ascii="宋体" w:hAnsi="宋体"/>
          <w:color w:val="auto"/>
          <w:sz w:val="24"/>
        </w:rPr>
        <w:t>约定时间内以书面形式变更合同</w:t>
      </w:r>
      <w:r>
        <w:rPr>
          <w:rFonts w:hint="eastAsia" w:ascii="宋体" w:hAnsi="宋体"/>
          <w:color w:val="auto"/>
          <w:sz w:val="24"/>
        </w:rPr>
        <w:t>；</w:t>
      </w:r>
    </w:p>
    <w:p w14:paraId="40648E1E">
      <w:pPr>
        <w:spacing w:line="560" w:lineRule="exact"/>
        <w:ind w:firstLine="480" w:firstLineChars="200"/>
        <w:rPr>
          <w:rFonts w:ascii="宋体" w:hAnsi="宋体"/>
          <w:color w:val="auto"/>
          <w:sz w:val="24"/>
        </w:rPr>
      </w:pPr>
      <w:r>
        <w:rPr>
          <w:rFonts w:ascii="宋体" w:hAnsi="宋体"/>
          <w:color w:val="auto"/>
          <w:sz w:val="24"/>
        </w:rPr>
        <w:t>2.11.4受</w:t>
      </w:r>
      <w:r>
        <w:rPr>
          <w:rFonts w:hint="eastAsia" w:ascii="宋体" w:hAnsi="宋体"/>
          <w:color w:val="auto"/>
          <w:sz w:val="24"/>
        </w:rPr>
        <w:t>不可抗力</w:t>
      </w:r>
      <w:r>
        <w:rPr>
          <w:rFonts w:ascii="宋体" w:hAnsi="宋体"/>
          <w:color w:val="auto"/>
          <w:sz w:val="24"/>
        </w:rPr>
        <w:t>影响的一方在不可抗力发生后</w:t>
      </w:r>
      <w:r>
        <w:rPr>
          <w:rFonts w:hint="eastAsia" w:ascii="宋体" w:hAnsi="宋体"/>
          <w:color w:val="auto"/>
          <w:sz w:val="24"/>
        </w:rPr>
        <w:t>，</w:t>
      </w:r>
      <w:r>
        <w:rPr>
          <w:rFonts w:ascii="宋体" w:hAnsi="宋体"/>
          <w:color w:val="auto"/>
          <w:sz w:val="24"/>
        </w:rPr>
        <w:t>应在</w:t>
      </w:r>
      <w:r>
        <w:rPr>
          <w:rFonts w:ascii="宋体" w:hAnsi="宋体"/>
          <w:b/>
          <w:i/>
          <w:color w:val="auto"/>
          <w:sz w:val="24"/>
          <w:u w:val="single"/>
        </w:rPr>
        <w:t>合同专用条款</w:t>
      </w:r>
      <w:r>
        <w:rPr>
          <w:rFonts w:ascii="宋体" w:hAnsi="宋体"/>
          <w:color w:val="auto"/>
          <w:sz w:val="24"/>
        </w:rPr>
        <w:t>约定时间内以书面形式通知</w:t>
      </w:r>
      <w:r>
        <w:rPr>
          <w:rFonts w:hint="eastAsia" w:ascii="宋体" w:hAnsi="宋体"/>
          <w:color w:val="auto"/>
          <w:sz w:val="24"/>
        </w:rPr>
        <w:t>对</w:t>
      </w:r>
      <w:r>
        <w:rPr>
          <w:rFonts w:ascii="宋体" w:hAnsi="宋体"/>
          <w:color w:val="auto"/>
          <w:sz w:val="24"/>
        </w:rPr>
        <w:t>方当事人，并在</w:t>
      </w:r>
      <w:r>
        <w:rPr>
          <w:rFonts w:ascii="宋体" w:hAnsi="宋体"/>
          <w:b/>
          <w:i/>
          <w:color w:val="auto"/>
          <w:sz w:val="24"/>
          <w:u w:val="single"/>
        </w:rPr>
        <w:t>合同专用条款</w:t>
      </w:r>
      <w:r>
        <w:rPr>
          <w:rFonts w:ascii="宋体" w:hAnsi="宋体"/>
          <w:color w:val="auto"/>
          <w:sz w:val="24"/>
        </w:rPr>
        <w:t>约定时间内，将有关部门出具的证明文件送达</w:t>
      </w:r>
      <w:r>
        <w:rPr>
          <w:rFonts w:hint="eastAsia" w:ascii="宋体" w:hAnsi="宋体"/>
          <w:color w:val="auto"/>
          <w:sz w:val="24"/>
        </w:rPr>
        <w:t>对方当事人</w:t>
      </w:r>
      <w:r>
        <w:rPr>
          <w:rFonts w:ascii="宋体" w:hAnsi="宋体"/>
          <w:color w:val="auto"/>
          <w:sz w:val="24"/>
        </w:rPr>
        <w:t>。</w:t>
      </w:r>
    </w:p>
    <w:p w14:paraId="57491F1F">
      <w:pPr>
        <w:spacing w:line="560" w:lineRule="exact"/>
        <w:ind w:firstLine="482" w:firstLineChars="200"/>
        <w:outlineLvl w:val="0"/>
        <w:rPr>
          <w:rFonts w:ascii="宋体" w:hAnsi="宋体"/>
          <w:b/>
          <w:color w:val="auto"/>
          <w:sz w:val="24"/>
        </w:rPr>
      </w:pPr>
      <w:bookmarkStart w:id="145" w:name="_Toc14115"/>
      <w:bookmarkStart w:id="146" w:name="_Toc24465"/>
      <w:bookmarkStart w:id="147" w:name="_Toc23854"/>
      <w:bookmarkStart w:id="148" w:name="_Toc25783"/>
      <w:bookmarkStart w:id="149" w:name="_Toc3638"/>
      <w:r>
        <w:rPr>
          <w:rFonts w:ascii="宋体" w:hAnsi="宋体"/>
          <w:b/>
          <w:color w:val="auto"/>
          <w:sz w:val="24"/>
        </w:rPr>
        <w:t>2.12 税费</w:t>
      </w:r>
      <w:bookmarkEnd w:id="145"/>
      <w:bookmarkEnd w:id="146"/>
      <w:bookmarkEnd w:id="147"/>
      <w:bookmarkEnd w:id="148"/>
      <w:bookmarkEnd w:id="149"/>
    </w:p>
    <w:p w14:paraId="5A2879DE">
      <w:pPr>
        <w:spacing w:line="560" w:lineRule="exact"/>
        <w:ind w:firstLine="480" w:firstLineChars="200"/>
        <w:rPr>
          <w:rFonts w:ascii="宋体" w:hAnsi="宋体"/>
          <w:color w:val="auto"/>
          <w:sz w:val="24"/>
        </w:rPr>
      </w:pPr>
      <w:r>
        <w:rPr>
          <w:rFonts w:ascii="宋体" w:hAnsi="宋体"/>
          <w:color w:val="auto"/>
          <w:sz w:val="24"/>
        </w:rPr>
        <w:t>与合同有关的一切税费</w:t>
      </w:r>
      <w:r>
        <w:rPr>
          <w:rFonts w:hint="eastAsia" w:ascii="宋体" w:hAnsi="宋体"/>
          <w:color w:val="auto"/>
          <w:sz w:val="24"/>
        </w:rPr>
        <w:t>，</w:t>
      </w:r>
      <w:r>
        <w:rPr>
          <w:rFonts w:ascii="宋体" w:hAnsi="宋体"/>
          <w:color w:val="auto"/>
          <w:sz w:val="24"/>
        </w:rPr>
        <w:t>均按照中华人民共和国法律的相关规定缴纳。</w:t>
      </w:r>
    </w:p>
    <w:p w14:paraId="7DD3A6E2">
      <w:pPr>
        <w:spacing w:line="560" w:lineRule="exact"/>
        <w:ind w:firstLine="482" w:firstLineChars="200"/>
        <w:outlineLvl w:val="0"/>
        <w:rPr>
          <w:rFonts w:ascii="宋体" w:hAnsi="宋体"/>
          <w:b/>
          <w:color w:val="auto"/>
          <w:sz w:val="24"/>
        </w:rPr>
      </w:pPr>
      <w:bookmarkStart w:id="150" w:name="_Toc7315"/>
      <w:bookmarkStart w:id="151" w:name="_Toc14814"/>
      <w:bookmarkStart w:id="152" w:name="_Toc25525"/>
      <w:bookmarkStart w:id="153" w:name="_Toc30105"/>
      <w:bookmarkStart w:id="154" w:name="_Toc26883"/>
      <w:r>
        <w:rPr>
          <w:rFonts w:ascii="宋体" w:hAnsi="宋体"/>
          <w:b/>
          <w:color w:val="auto"/>
          <w:sz w:val="24"/>
        </w:rPr>
        <w:t>2.13 乙方破产</w:t>
      </w:r>
      <w:bookmarkEnd w:id="150"/>
      <w:bookmarkEnd w:id="151"/>
      <w:bookmarkEnd w:id="152"/>
      <w:bookmarkEnd w:id="153"/>
      <w:bookmarkEnd w:id="154"/>
    </w:p>
    <w:p w14:paraId="2E9B3553">
      <w:pPr>
        <w:spacing w:line="560" w:lineRule="exact"/>
        <w:ind w:firstLine="480" w:firstLineChars="200"/>
        <w:rPr>
          <w:rFonts w:ascii="宋体" w:hAnsi="宋体"/>
          <w:color w:val="auto"/>
          <w:sz w:val="24"/>
        </w:rPr>
      </w:pPr>
      <w:r>
        <w:rPr>
          <w:rFonts w:ascii="宋体" w:hAnsi="宋体"/>
          <w:color w:val="auto"/>
          <w:sz w:val="24"/>
        </w:rPr>
        <w:t>如果乙方破产导致合同无法履行时，甲方可以书面形式通知乙方终止合同且不给予乙方任何补偿和赔偿</w:t>
      </w:r>
      <w:r>
        <w:rPr>
          <w:rFonts w:hint="eastAsia" w:ascii="宋体" w:hAnsi="宋体"/>
          <w:color w:val="auto"/>
          <w:sz w:val="24"/>
        </w:rPr>
        <w:t>，但合同的</w:t>
      </w:r>
      <w:r>
        <w:rPr>
          <w:rFonts w:ascii="宋体" w:hAnsi="宋体"/>
          <w:color w:val="auto"/>
          <w:sz w:val="24"/>
        </w:rPr>
        <w:t>终止不损害或不影响甲方已经采取或将要采取的任何要求乙方支付违约金</w:t>
      </w:r>
      <w:r>
        <w:rPr>
          <w:rFonts w:hint="eastAsia" w:ascii="宋体" w:hAnsi="宋体"/>
          <w:color w:val="auto"/>
          <w:sz w:val="24"/>
        </w:rPr>
        <w:t>、</w:t>
      </w:r>
      <w:r>
        <w:rPr>
          <w:rFonts w:ascii="宋体" w:hAnsi="宋体"/>
          <w:color w:val="auto"/>
          <w:sz w:val="24"/>
        </w:rPr>
        <w:t>赔偿损失等的行动或补救措施的权利</w:t>
      </w:r>
      <w:r>
        <w:rPr>
          <w:rFonts w:hint="eastAsia" w:ascii="宋体" w:hAnsi="宋体"/>
          <w:color w:val="auto"/>
          <w:sz w:val="24"/>
        </w:rPr>
        <w:t>。</w:t>
      </w:r>
    </w:p>
    <w:p w14:paraId="67964C7F">
      <w:pPr>
        <w:spacing w:line="560" w:lineRule="exact"/>
        <w:ind w:firstLine="482" w:firstLineChars="200"/>
        <w:outlineLvl w:val="0"/>
        <w:rPr>
          <w:rFonts w:ascii="宋体" w:hAnsi="宋体"/>
          <w:b/>
          <w:color w:val="auto"/>
          <w:sz w:val="24"/>
        </w:rPr>
      </w:pPr>
      <w:bookmarkStart w:id="155" w:name="_Toc2016"/>
      <w:bookmarkStart w:id="156" w:name="_Toc1123"/>
      <w:bookmarkStart w:id="157" w:name="_Toc23323"/>
      <w:r>
        <w:rPr>
          <w:rFonts w:ascii="宋体" w:hAnsi="宋体"/>
          <w:b/>
          <w:color w:val="auto"/>
          <w:sz w:val="24"/>
        </w:rPr>
        <w:t>2.14 合同中止、终止</w:t>
      </w:r>
      <w:bookmarkEnd w:id="155"/>
      <w:bookmarkEnd w:id="156"/>
      <w:bookmarkEnd w:id="157"/>
    </w:p>
    <w:p w14:paraId="57D518B5">
      <w:pPr>
        <w:spacing w:line="560" w:lineRule="exact"/>
        <w:ind w:firstLine="480" w:firstLineChars="200"/>
        <w:rPr>
          <w:rFonts w:ascii="宋体" w:hAnsi="宋体"/>
          <w:color w:val="auto"/>
          <w:sz w:val="24"/>
        </w:rPr>
      </w:pPr>
      <w:r>
        <w:rPr>
          <w:rFonts w:ascii="宋体" w:hAnsi="宋体"/>
          <w:color w:val="auto"/>
          <w:sz w:val="24"/>
        </w:rPr>
        <w:t xml:space="preserve">2.14.1 </w:t>
      </w:r>
      <w:r>
        <w:rPr>
          <w:rFonts w:hint="eastAsia" w:ascii="宋体" w:hAnsi="宋体"/>
          <w:color w:val="auto"/>
          <w:sz w:val="24"/>
        </w:rPr>
        <w:t>双方当事人不得擅自中止或者终止合同；</w:t>
      </w:r>
    </w:p>
    <w:p w14:paraId="6657DDF1">
      <w:pPr>
        <w:spacing w:line="560" w:lineRule="exact"/>
        <w:ind w:firstLine="480" w:firstLineChars="200"/>
        <w:rPr>
          <w:rFonts w:ascii="宋体" w:hAnsi="宋体"/>
          <w:color w:val="auto"/>
          <w:sz w:val="24"/>
        </w:rPr>
      </w:pPr>
      <w:r>
        <w:rPr>
          <w:rFonts w:ascii="宋体" w:hAnsi="宋体"/>
          <w:color w:val="auto"/>
          <w:sz w:val="24"/>
        </w:rPr>
        <w:t>2.14.2合同继续履行将损害国家利益和社会公共利益的，双方当事人应当中止或者终止合同。有过错的一方应当承担赔偿责任，双方当事人都有过错的，各自承担相应的责任。</w:t>
      </w:r>
    </w:p>
    <w:p w14:paraId="12CFF491">
      <w:pPr>
        <w:spacing w:line="560" w:lineRule="exact"/>
        <w:ind w:firstLine="482" w:firstLineChars="200"/>
        <w:outlineLvl w:val="0"/>
        <w:rPr>
          <w:rFonts w:ascii="宋体" w:hAnsi="宋体"/>
          <w:b/>
          <w:color w:val="auto"/>
          <w:sz w:val="24"/>
        </w:rPr>
      </w:pPr>
      <w:bookmarkStart w:id="158" w:name="_Toc17363"/>
      <w:bookmarkStart w:id="159" w:name="_Toc1969"/>
      <w:bookmarkStart w:id="160" w:name="_Toc14525"/>
      <w:r>
        <w:rPr>
          <w:rFonts w:ascii="宋体" w:hAnsi="宋体"/>
          <w:b/>
          <w:color w:val="auto"/>
          <w:sz w:val="24"/>
        </w:rPr>
        <w:t>2.15 检验和验收</w:t>
      </w:r>
      <w:bookmarkEnd w:id="158"/>
      <w:bookmarkEnd w:id="159"/>
      <w:bookmarkEnd w:id="160"/>
    </w:p>
    <w:p w14:paraId="5591C0CF">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2.15.1 </w:t>
      </w:r>
      <w:r>
        <w:rPr>
          <w:rFonts w:hint="eastAsia" w:ascii="宋体" w:hAnsi="宋体"/>
          <w:color w:val="auto"/>
          <w:sz w:val="24"/>
        </w:rPr>
        <w:t>乙方按照</w:t>
      </w:r>
      <w:r>
        <w:rPr>
          <w:rFonts w:ascii="宋体" w:hAnsi="宋体"/>
          <w:b/>
          <w:i/>
          <w:color w:val="auto"/>
          <w:sz w:val="24"/>
          <w:u w:val="single"/>
        </w:rPr>
        <w:t>合同专用条款</w:t>
      </w:r>
      <w:r>
        <w:rPr>
          <w:rFonts w:ascii="宋体" w:hAnsi="宋体"/>
          <w:color w:val="auto"/>
          <w:sz w:val="24"/>
        </w:rPr>
        <w:t>的约定</w:t>
      </w:r>
      <w:r>
        <w:rPr>
          <w:rFonts w:hint="eastAsia" w:ascii="宋体" w:hAnsi="宋体"/>
          <w:color w:val="auto"/>
          <w:sz w:val="24"/>
        </w:rPr>
        <w:t>，</w:t>
      </w:r>
      <w:r>
        <w:rPr>
          <w:rFonts w:ascii="宋体" w:hAnsi="宋体"/>
          <w:color w:val="auto"/>
          <w:sz w:val="24"/>
        </w:rPr>
        <w:t>定期提交服务报告</w:t>
      </w:r>
      <w:r>
        <w:rPr>
          <w:rFonts w:hint="eastAsia" w:ascii="宋体" w:hAnsi="宋体"/>
          <w:color w:val="auto"/>
          <w:sz w:val="24"/>
        </w:rPr>
        <w:t>，甲方按照</w:t>
      </w:r>
      <w:r>
        <w:rPr>
          <w:rFonts w:ascii="宋体" w:hAnsi="宋体"/>
          <w:b/>
          <w:i/>
          <w:color w:val="auto"/>
          <w:sz w:val="24"/>
          <w:u w:val="single"/>
        </w:rPr>
        <w:t>合同专用条款</w:t>
      </w:r>
      <w:r>
        <w:rPr>
          <w:rFonts w:ascii="宋体" w:hAnsi="宋体"/>
          <w:color w:val="auto"/>
          <w:sz w:val="24"/>
        </w:rPr>
        <w:t>的约定进行定期验收</w:t>
      </w:r>
      <w:r>
        <w:rPr>
          <w:rFonts w:hint="eastAsia" w:ascii="宋体" w:hAnsi="宋体"/>
          <w:color w:val="auto"/>
          <w:sz w:val="24"/>
        </w:rPr>
        <w:t>；</w:t>
      </w:r>
    </w:p>
    <w:p w14:paraId="040ADADD">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2.15.2 </w:t>
      </w:r>
      <w:r>
        <w:rPr>
          <w:rFonts w:hint="eastAsia" w:ascii="宋体" w:hAnsi="宋体"/>
          <w:color w:val="auto"/>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FA729A1">
      <w:pPr>
        <w:tabs>
          <w:tab w:val="left" w:pos="360"/>
          <w:tab w:val="left" w:pos="540"/>
          <w:tab w:val="left" w:pos="1080"/>
        </w:tabs>
        <w:spacing w:line="560" w:lineRule="exact"/>
        <w:ind w:firstLine="480" w:firstLineChars="200"/>
        <w:rPr>
          <w:rFonts w:ascii="宋体" w:hAnsi="宋体"/>
          <w:color w:val="auto"/>
          <w:sz w:val="24"/>
        </w:rPr>
      </w:pPr>
      <w:r>
        <w:rPr>
          <w:rFonts w:ascii="宋体" w:hAnsi="宋体"/>
          <w:color w:val="auto"/>
          <w:sz w:val="24"/>
        </w:rPr>
        <w:t xml:space="preserve">2.15.3 </w:t>
      </w:r>
      <w:r>
        <w:rPr>
          <w:rFonts w:hint="eastAsia" w:ascii="宋体" w:hAnsi="宋体"/>
          <w:color w:val="auto"/>
          <w:sz w:val="24"/>
        </w:rPr>
        <w:t>检验和验收标准、程序等具体内容以及前述验收书的效力详见</w:t>
      </w:r>
      <w:r>
        <w:rPr>
          <w:rFonts w:ascii="宋体" w:hAnsi="宋体"/>
          <w:b/>
          <w:i/>
          <w:color w:val="auto"/>
          <w:sz w:val="24"/>
          <w:u w:val="single"/>
        </w:rPr>
        <w:t>合同专用条款</w:t>
      </w:r>
      <w:r>
        <w:rPr>
          <w:rFonts w:hint="eastAsia" w:ascii="宋体" w:hAnsi="宋体"/>
          <w:i/>
          <w:color w:val="auto"/>
          <w:sz w:val="24"/>
        </w:rPr>
        <w:t>。</w:t>
      </w:r>
    </w:p>
    <w:p w14:paraId="3254276E">
      <w:pPr>
        <w:spacing w:line="560" w:lineRule="exact"/>
        <w:ind w:firstLine="482" w:firstLineChars="200"/>
        <w:outlineLvl w:val="0"/>
        <w:rPr>
          <w:rFonts w:ascii="宋体" w:hAnsi="宋体"/>
          <w:b/>
          <w:color w:val="auto"/>
          <w:sz w:val="24"/>
        </w:rPr>
      </w:pPr>
      <w:bookmarkStart w:id="161" w:name="_Toc25198"/>
      <w:bookmarkStart w:id="162" w:name="_Toc12666"/>
      <w:bookmarkStart w:id="163" w:name="_Toc9808"/>
      <w:bookmarkStart w:id="164" w:name="_Toc2308"/>
      <w:bookmarkStart w:id="165" w:name="_Toc31892"/>
      <w:r>
        <w:rPr>
          <w:rFonts w:ascii="宋体" w:hAnsi="宋体"/>
          <w:b/>
          <w:color w:val="auto"/>
          <w:sz w:val="24"/>
        </w:rPr>
        <w:t>2.16 通知和送达</w:t>
      </w:r>
      <w:bookmarkEnd w:id="161"/>
      <w:bookmarkEnd w:id="162"/>
      <w:bookmarkEnd w:id="163"/>
      <w:bookmarkEnd w:id="164"/>
      <w:bookmarkEnd w:id="165"/>
    </w:p>
    <w:p w14:paraId="5C49500D">
      <w:pPr>
        <w:spacing w:line="560" w:lineRule="exact"/>
        <w:ind w:firstLine="480" w:firstLineChars="200"/>
        <w:rPr>
          <w:rFonts w:ascii="宋体" w:hAnsi="宋体"/>
          <w:color w:val="auto"/>
          <w:sz w:val="24"/>
        </w:rPr>
      </w:pPr>
      <w:bookmarkStart w:id="166" w:name="_Toc27674"/>
      <w:bookmarkStart w:id="167" w:name="_Toc18401"/>
      <w:r>
        <w:rPr>
          <w:rFonts w:ascii="宋体" w:hAnsi="宋体"/>
          <w:color w:val="auto"/>
          <w:sz w:val="24"/>
        </w:rPr>
        <w:t>2.17.1</w:t>
      </w:r>
      <w:r>
        <w:rPr>
          <w:rFonts w:hint="eastAsia" w:ascii="宋体" w:hAnsi="宋体"/>
          <w:color w:val="auto"/>
          <w:sz w:val="24"/>
        </w:rPr>
        <w:t>任何一方因履行合同而以合同第一部分尾部所列明的传真或电子邮件</w:t>
      </w:r>
      <w:r>
        <w:rPr>
          <w:rFonts w:ascii="宋体" w:hAnsi="宋体"/>
          <w:color w:val="auto"/>
          <w:sz w:val="24"/>
        </w:rPr>
        <w:t xml:space="preserve"> </w:t>
      </w:r>
      <w:r>
        <w:rPr>
          <w:rFonts w:ascii="宋体" w:hAnsi="宋体"/>
          <w:color w:val="auto"/>
          <w:sz w:val="24"/>
          <w:u w:val="single"/>
        </w:rPr>
        <w:t xml:space="preserve">       </w:t>
      </w:r>
      <w:r>
        <w:rPr>
          <w:rFonts w:hint="eastAsia" w:ascii="宋体" w:hAnsi="宋体"/>
          <w:color w:val="auto"/>
          <w:sz w:val="24"/>
        </w:rPr>
        <w:t>发出的所有通知、文件、材料，均视为已向对方当事人送达；任何一方变更上述送达方式或者地址的，应于</w:t>
      </w:r>
      <w:r>
        <w:rPr>
          <w:rFonts w:ascii="宋体" w:hAnsi="宋体"/>
          <w:color w:val="auto"/>
          <w:sz w:val="24"/>
          <w:u w:val="single"/>
        </w:rPr>
        <w:t>3</w:t>
      </w:r>
      <w:r>
        <w:rPr>
          <w:rFonts w:hint="eastAsia" w:ascii="宋体" w:hAnsi="宋体"/>
          <w:color w:val="auto"/>
          <w:sz w:val="24"/>
        </w:rPr>
        <w:t>个工作日内书面通知对方当事人，在对方当事人收到有关变更通知之前，变更前的约定送达方式或者地址仍视为有效。</w:t>
      </w:r>
    </w:p>
    <w:p w14:paraId="54585922">
      <w:pPr>
        <w:spacing w:line="560" w:lineRule="exact"/>
        <w:ind w:firstLine="480" w:firstLineChars="200"/>
        <w:rPr>
          <w:rFonts w:ascii="宋体" w:hAnsi="宋体"/>
          <w:color w:val="auto"/>
          <w:sz w:val="24"/>
        </w:rPr>
      </w:pPr>
      <w:r>
        <w:rPr>
          <w:rFonts w:ascii="宋体" w:hAnsi="宋体"/>
          <w:color w:val="auto"/>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color w:val="auto"/>
          <w:sz w:val="24"/>
        </w:rPr>
        <w:t>的，邮件挂号寄出或者交邮之日之次日视为送达。</w:t>
      </w:r>
      <w:bookmarkEnd w:id="166"/>
      <w:bookmarkEnd w:id="167"/>
    </w:p>
    <w:p w14:paraId="7DBB1A06">
      <w:pPr>
        <w:spacing w:line="560" w:lineRule="exact"/>
        <w:ind w:firstLine="482" w:firstLineChars="200"/>
        <w:outlineLvl w:val="0"/>
        <w:rPr>
          <w:rFonts w:ascii="宋体" w:hAnsi="宋体"/>
          <w:b/>
          <w:color w:val="auto"/>
          <w:sz w:val="24"/>
        </w:rPr>
      </w:pPr>
      <w:bookmarkStart w:id="168" w:name="_Toc12254"/>
      <w:bookmarkStart w:id="169" w:name="_Toc28906"/>
      <w:bookmarkStart w:id="170" w:name="_Toc20808"/>
      <w:bookmarkStart w:id="171" w:name="_Toc5063"/>
      <w:bookmarkStart w:id="172" w:name="_Toc27644"/>
      <w:r>
        <w:rPr>
          <w:rFonts w:ascii="宋体" w:hAnsi="宋体"/>
          <w:b/>
          <w:color w:val="auto"/>
          <w:sz w:val="24"/>
        </w:rPr>
        <w:t xml:space="preserve">2.17 </w:t>
      </w:r>
      <w:r>
        <w:rPr>
          <w:rFonts w:hint="eastAsia" w:ascii="宋体" w:hAnsi="宋体"/>
          <w:b/>
          <w:color w:val="auto"/>
          <w:sz w:val="24"/>
        </w:rPr>
        <w:t>合同使用的文字和</w:t>
      </w:r>
      <w:r>
        <w:rPr>
          <w:rFonts w:ascii="宋体" w:hAnsi="宋体"/>
          <w:b/>
          <w:color w:val="auto"/>
          <w:sz w:val="24"/>
        </w:rPr>
        <w:t>适用的法律</w:t>
      </w:r>
      <w:bookmarkEnd w:id="168"/>
      <w:bookmarkEnd w:id="169"/>
      <w:bookmarkEnd w:id="170"/>
      <w:bookmarkEnd w:id="171"/>
      <w:bookmarkEnd w:id="172"/>
    </w:p>
    <w:p w14:paraId="572F0202">
      <w:pPr>
        <w:spacing w:line="560" w:lineRule="exact"/>
        <w:ind w:firstLine="480" w:firstLineChars="200"/>
        <w:rPr>
          <w:rFonts w:ascii="宋体" w:hAnsi="宋体"/>
          <w:color w:val="auto"/>
          <w:sz w:val="24"/>
        </w:rPr>
      </w:pPr>
      <w:r>
        <w:rPr>
          <w:rFonts w:ascii="宋体" w:hAnsi="宋体"/>
          <w:color w:val="auto"/>
          <w:sz w:val="24"/>
        </w:rPr>
        <w:t>2.17.1 合同使用汉语书就</w:t>
      </w:r>
      <w:r>
        <w:rPr>
          <w:rFonts w:hint="eastAsia" w:ascii="宋体" w:hAnsi="宋体"/>
          <w:color w:val="auto"/>
          <w:sz w:val="24"/>
        </w:rPr>
        <w:t>、</w:t>
      </w:r>
      <w:r>
        <w:rPr>
          <w:rFonts w:ascii="宋体" w:hAnsi="宋体"/>
          <w:color w:val="auto"/>
          <w:sz w:val="24"/>
        </w:rPr>
        <w:t>变更和解释</w:t>
      </w:r>
      <w:r>
        <w:rPr>
          <w:rFonts w:hint="eastAsia" w:ascii="宋体" w:hAnsi="宋体"/>
          <w:color w:val="auto"/>
          <w:sz w:val="24"/>
        </w:rPr>
        <w:t>；</w:t>
      </w:r>
    </w:p>
    <w:p w14:paraId="365DC867">
      <w:pPr>
        <w:spacing w:line="560" w:lineRule="exact"/>
        <w:ind w:firstLine="480" w:firstLineChars="200"/>
        <w:rPr>
          <w:rFonts w:ascii="宋体" w:hAnsi="宋体"/>
          <w:color w:val="auto"/>
          <w:sz w:val="24"/>
        </w:rPr>
      </w:pPr>
      <w:r>
        <w:rPr>
          <w:rFonts w:ascii="宋体" w:hAnsi="宋体"/>
          <w:color w:val="auto"/>
          <w:sz w:val="24"/>
        </w:rPr>
        <w:t xml:space="preserve">2.17.2 </w:t>
      </w:r>
      <w:r>
        <w:rPr>
          <w:rFonts w:hint="eastAsia" w:ascii="宋体" w:hAnsi="宋体"/>
          <w:color w:val="auto"/>
          <w:sz w:val="24"/>
        </w:rPr>
        <w:t>合同适用</w:t>
      </w:r>
      <w:r>
        <w:rPr>
          <w:rFonts w:ascii="宋体" w:hAnsi="宋体"/>
          <w:color w:val="auto"/>
          <w:sz w:val="24"/>
        </w:rPr>
        <w:t>中华人民共和国法律。</w:t>
      </w:r>
    </w:p>
    <w:p w14:paraId="0681D69F">
      <w:pPr>
        <w:spacing w:line="560" w:lineRule="exact"/>
        <w:ind w:firstLine="482" w:firstLineChars="200"/>
        <w:outlineLvl w:val="0"/>
        <w:rPr>
          <w:rFonts w:ascii="宋体" w:hAnsi="宋体" w:cs="宋体"/>
          <w:b/>
          <w:color w:val="auto"/>
          <w:sz w:val="24"/>
        </w:rPr>
      </w:pPr>
      <w:r>
        <w:rPr>
          <w:rFonts w:hint="eastAsia" w:ascii="宋体" w:hAnsi="宋体" w:cs="宋体"/>
          <w:b/>
          <w:color w:val="auto"/>
          <w:sz w:val="24"/>
        </w:rPr>
        <w:t>2.18 计量单位</w:t>
      </w:r>
    </w:p>
    <w:p w14:paraId="0FD2E134">
      <w:pPr>
        <w:spacing w:line="560" w:lineRule="exact"/>
        <w:ind w:firstLine="480" w:firstLineChars="200"/>
        <w:rPr>
          <w:rFonts w:ascii="宋体" w:hAnsi="宋体" w:cs="宋体"/>
          <w:color w:val="auto"/>
          <w:sz w:val="24"/>
        </w:rPr>
      </w:pPr>
      <w:r>
        <w:rPr>
          <w:rFonts w:hint="eastAsia" w:ascii="宋体" w:hAnsi="宋体" w:cs="宋体"/>
          <w:color w:val="auto"/>
          <w:sz w:val="24"/>
        </w:rPr>
        <w:t>除技术规范中另有规定外,合同的计量单位均使用国家法定计量单位。</w:t>
      </w:r>
    </w:p>
    <w:p w14:paraId="0D1C6A0C">
      <w:pPr>
        <w:spacing w:line="560" w:lineRule="exact"/>
        <w:ind w:firstLine="482" w:firstLineChars="200"/>
        <w:rPr>
          <w:rFonts w:ascii="宋体" w:hAnsi="宋体"/>
          <w:b/>
          <w:color w:val="auto"/>
          <w:sz w:val="24"/>
        </w:rPr>
      </w:pPr>
      <w:r>
        <w:rPr>
          <w:rFonts w:ascii="宋体" w:hAnsi="宋体"/>
          <w:b/>
          <w:color w:val="auto"/>
          <w:sz w:val="24"/>
        </w:rPr>
        <w:t>2.</w:t>
      </w:r>
      <w:r>
        <w:rPr>
          <w:rFonts w:hint="eastAsia" w:ascii="宋体" w:hAnsi="宋体"/>
          <w:b/>
          <w:color w:val="auto"/>
          <w:sz w:val="24"/>
        </w:rPr>
        <w:t>19</w:t>
      </w:r>
      <w:r>
        <w:rPr>
          <w:rFonts w:ascii="宋体" w:hAnsi="宋体"/>
          <w:b/>
          <w:color w:val="auto"/>
          <w:sz w:val="24"/>
        </w:rPr>
        <w:t>合同份数</w:t>
      </w:r>
    </w:p>
    <w:p w14:paraId="2A5E77EF">
      <w:pPr>
        <w:spacing w:line="560" w:lineRule="exact"/>
        <w:ind w:firstLine="480" w:firstLineChars="200"/>
        <w:rPr>
          <w:rFonts w:ascii="宋体" w:hAnsi="宋体"/>
          <w:color w:val="auto"/>
          <w:sz w:val="24"/>
        </w:rPr>
      </w:pPr>
      <w:r>
        <w:rPr>
          <w:rFonts w:ascii="宋体" w:hAnsi="宋体"/>
          <w:color w:val="auto"/>
          <w:sz w:val="24"/>
        </w:rPr>
        <w:t>合同份数按</w:t>
      </w:r>
      <w:r>
        <w:rPr>
          <w:rFonts w:ascii="宋体" w:hAnsi="宋体"/>
          <w:b/>
          <w:i/>
          <w:color w:val="auto"/>
          <w:sz w:val="24"/>
          <w:u w:val="single"/>
        </w:rPr>
        <w:t>合同专用条款</w:t>
      </w:r>
      <w:r>
        <w:rPr>
          <w:rFonts w:ascii="宋体" w:hAnsi="宋体"/>
          <w:color w:val="auto"/>
          <w:sz w:val="24"/>
        </w:rPr>
        <w:t>规定</w:t>
      </w:r>
      <w:r>
        <w:rPr>
          <w:rFonts w:hint="eastAsia" w:ascii="宋体" w:hAnsi="宋体"/>
          <w:color w:val="auto"/>
          <w:sz w:val="24"/>
        </w:rPr>
        <w:t>，</w:t>
      </w:r>
      <w:r>
        <w:rPr>
          <w:rFonts w:ascii="宋体" w:hAnsi="宋体"/>
          <w:color w:val="auto"/>
          <w:sz w:val="24"/>
        </w:rPr>
        <w:t>每份均具有同等法律效力</w:t>
      </w:r>
      <w:r>
        <w:rPr>
          <w:rFonts w:hint="eastAsia" w:ascii="宋体" w:hAnsi="宋体"/>
          <w:color w:val="auto"/>
          <w:sz w:val="24"/>
        </w:rPr>
        <w:t>。</w:t>
      </w:r>
    </w:p>
    <w:p w14:paraId="32065DB6">
      <w:pPr>
        <w:spacing w:line="360" w:lineRule="auto"/>
        <w:jc w:val="center"/>
        <w:outlineLvl w:val="0"/>
        <w:rPr>
          <w:rFonts w:ascii="宋体" w:hAnsi="宋体" w:cs="宋体"/>
          <w:b/>
          <w:color w:val="auto"/>
          <w:sz w:val="24"/>
        </w:rPr>
      </w:pPr>
      <w:r>
        <w:rPr>
          <w:rFonts w:hint="eastAsia" w:ascii="宋体" w:hAnsi="宋体" w:cs="宋体"/>
          <w:color w:val="auto"/>
          <w:kern w:val="0"/>
        </w:rPr>
        <w:br w:type="page"/>
      </w:r>
      <w:r>
        <w:rPr>
          <w:rFonts w:hint="eastAsia" w:ascii="宋体" w:hAnsi="宋体" w:cs="宋体"/>
          <w:b/>
          <w:color w:val="auto"/>
          <w:sz w:val="24"/>
        </w:rPr>
        <w:t xml:space="preserve"> 第三部分  合同专用条款</w:t>
      </w:r>
    </w:p>
    <w:p w14:paraId="39008712">
      <w:pPr>
        <w:spacing w:line="560" w:lineRule="exact"/>
        <w:ind w:left="-420" w:leftChars="-200" w:right="-420" w:rightChars="-200" w:firstLine="480" w:firstLineChars="200"/>
        <w:rPr>
          <w:rFonts w:ascii="宋体" w:hAnsi="宋体" w:cs="宋体"/>
          <w:color w:val="auto"/>
        </w:rPr>
      </w:pPr>
      <w:r>
        <w:rPr>
          <w:rFonts w:hint="eastAsia" w:ascii="宋体" w:hAnsi="宋体" w:cs="宋体"/>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0"/>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977"/>
        <w:gridCol w:w="8151"/>
      </w:tblGrid>
      <w:tr w14:paraId="1CF447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535" w:type="pct"/>
            <w:tcBorders>
              <w:left w:val="single" w:color="auto" w:sz="4" w:space="0"/>
            </w:tcBorders>
            <w:vAlign w:val="center"/>
          </w:tcPr>
          <w:p w14:paraId="7AD0C11D">
            <w:pPr>
              <w:spacing w:line="360" w:lineRule="auto"/>
              <w:jc w:val="center"/>
              <w:rPr>
                <w:rFonts w:ascii="宋体" w:hAnsi="宋体" w:cs="宋体"/>
                <w:b/>
                <w:color w:val="auto"/>
                <w:sz w:val="24"/>
              </w:rPr>
            </w:pPr>
            <w:r>
              <w:rPr>
                <w:rFonts w:hint="eastAsia" w:ascii="宋体" w:hAnsi="宋体" w:cs="宋体"/>
                <w:b/>
                <w:color w:val="auto"/>
                <w:sz w:val="24"/>
              </w:rPr>
              <w:t>条款号</w:t>
            </w:r>
          </w:p>
        </w:tc>
        <w:tc>
          <w:tcPr>
            <w:tcW w:w="4464" w:type="pct"/>
            <w:vAlign w:val="center"/>
          </w:tcPr>
          <w:p w14:paraId="049330CB">
            <w:pPr>
              <w:spacing w:line="360" w:lineRule="auto"/>
              <w:jc w:val="center"/>
              <w:rPr>
                <w:rFonts w:ascii="宋体" w:hAnsi="宋体" w:cs="宋体"/>
                <w:b/>
                <w:color w:val="auto"/>
                <w:sz w:val="24"/>
              </w:rPr>
            </w:pPr>
            <w:r>
              <w:rPr>
                <w:rFonts w:hint="eastAsia" w:ascii="宋体" w:hAnsi="宋体" w:cs="宋体"/>
                <w:b/>
                <w:color w:val="auto"/>
                <w:sz w:val="24"/>
              </w:rPr>
              <w:t>约定内容</w:t>
            </w:r>
          </w:p>
        </w:tc>
      </w:tr>
      <w:tr w14:paraId="00557D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71C7DD3">
            <w:pPr>
              <w:spacing w:line="360" w:lineRule="auto"/>
              <w:rPr>
                <w:rFonts w:ascii="宋体" w:hAnsi="宋体" w:cs="宋体"/>
                <w:color w:val="auto"/>
                <w:sz w:val="24"/>
              </w:rPr>
            </w:pPr>
            <w:r>
              <w:rPr>
                <w:rFonts w:hint="eastAsia" w:ascii="宋体" w:hAnsi="宋体" w:cs="宋体"/>
                <w:color w:val="auto"/>
                <w:sz w:val="24"/>
              </w:rPr>
              <w:t>1.3.2</w:t>
            </w:r>
          </w:p>
        </w:tc>
        <w:tc>
          <w:tcPr>
            <w:tcW w:w="4464" w:type="pct"/>
            <w:vAlign w:val="center"/>
          </w:tcPr>
          <w:p w14:paraId="16D84DBF">
            <w:pPr>
              <w:spacing w:line="360" w:lineRule="auto"/>
              <w:rPr>
                <w:rFonts w:ascii="宋体" w:hAnsi="宋体" w:cs="宋体"/>
                <w:color w:val="auto"/>
                <w:sz w:val="24"/>
              </w:rPr>
            </w:pPr>
          </w:p>
        </w:tc>
      </w:tr>
      <w:tr w14:paraId="063F64A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76586A2">
            <w:pPr>
              <w:spacing w:line="360" w:lineRule="auto"/>
              <w:rPr>
                <w:rFonts w:ascii="宋体" w:hAnsi="宋体" w:cs="宋体"/>
                <w:color w:val="auto"/>
                <w:sz w:val="24"/>
              </w:rPr>
            </w:pPr>
            <w:r>
              <w:rPr>
                <w:rFonts w:hint="eastAsia" w:ascii="宋体" w:hAnsi="宋体" w:cs="宋体"/>
                <w:color w:val="auto"/>
                <w:sz w:val="24"/>
              </w:rPr>
              <w:t>1.4.2</w:t>
            </w:r>
          </w:p>
        </w:tc>
        <w:tc>
          <w:tcPr>
            <w:tcW w:w="4464" w:type="pct"/>
            <w:vAlign w:val="center"/>
          </w:tcPr>
          <w:p w14:paraId="612D8EF6">
            <w:pPr>
              <w:spacing w:line="360" w:lineRule="auto"/>
              <w:rPr>
                <w:rFonts w:ascii="宋体" w:hAnsi="宋体" w:cs="宋体"/>
                <w:color w:val="auto"/>
                <w:sz w:val="24"/>
              </w:rPr>
            </w:pPr>
          </w:p>
        </w:tc>
      </w:tr>
      <w:tr w14:paraId="718ADC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FA6479B">
            <w:pPr>
              <w:spacing w:line="360" w:lineRule="auto"/>
              <w:rPr>
                <w:rFonts w:ascii="宋体" w:hAnsi="宋体" w:cs="宋体"/>
                <w:color w:val="auto"/>
                <w:sz w:val="24"/>
              </w:rPr>
            </w:pPr>
            <w:r>
              <w:rPr>
                <w:rFonts w:hint="eastAsia" w:ascii="宋体" w:hAnsi="宋体" w:cs="宋体"/>
                <w:color w:val="auto"/>
                <w:sz w:val="24"/>
              </w:rPr>
              <w:t xml:space="preserve">1.5.1 </w:t>
            </w:r>
          </w:p>
        </w:tc>
        <w:tc>
          <w:tcPr>
            <w:tcW w:w="4464" w:type="pct"/>
            <w:vAlign w:val="center"/>
          </w:tcPr>
          <w:p w14:paraId="161057FE">
            <w:pPr>
              <w:spacing w:line="360" w:lineRule="auto"/>
              <w:rPr>
                <w:rFonts w:ascii="宋体" w:hAnsi="宋体" w:cs="宋体"/>
                <w:color w:val="auto"/>
                <w:sz w:val="24"/>
              </w:rPr>
            </w:pPr>
          </w:p>
        </w:tc>
      </w:tr>
      <w:tr w14:paraId="4675928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12252566">
            <w:pPr>
              <w:spacing w:line="360" w:lineRule="auto"/>
              <w:rPr>
                <w:rFonts w:ascii="宋体" w:hAnsi="宋体" w:cs="宋体"/>
                <w:color w:val="auto"/>
                <w:sz w:val="24"/>
              </w:rPr>
            </w:pPr>
            <w:r>
              <w:rPr>
                <w:rFonts w:hint="eastAsia" w:ascii="宋体" w:hAnsi="宋体" w:cs="宋体"/>
                <w:color w:val="auto"/>
                <w:sz w:val="24"/>
              </w:rPr>
              <w:t>1.5.2</w:t>
            </w:r>
          </w:p>
        </w:tc>
        <w:tc>
          <w:tcPr>
            <w:tcW w:w="4464" w:type="pct"/>
            <w:vAlign w:val="center"/>
          </w:tcPr>
          <w:p w14:paraId="57467EBC">
            <w:pPr>
              <w:spacing w:line="360" w:lineRule="auto"/>
              <w:rPr>
                <w:rFonts w:ascii="宋体" w:hAnsi="宋体" w:cs="宋体"/>
                <w:color w:val="auto"/>
                <w:sz w:val="24"/>
              </w:rPr>
            </w:pPr>
          </w:p>
        </w:tc>
      </w:tr>
      <w:tr w14:paraId="7C6F2B0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560267D">
            <w:pPr>
              <w:spacing w:line="360" w:lineRule="auto"/>
              <w:rPr>
                <w:rFonts w:ascii="宋体" w:hAnsi="宋体" w:cs="宋体"/>
                <w:color w:val="auto"/>
                <w:sz w:val="24"/>
              </w:rPr>
            </w:pPr>
            <w:r>
              <w:rPr>
                <w:rFonts w:hint="eastAsia" w:ascii="宋体" w:hAnsi="宋体" w:cs="宋体"/>
                <w:color w:val="auto"/>
                <w:sz w:val="24"/>
              </w:rPr>
              <w:t xml:space="preserve">1.5.3 </w:t>
            </w:r>
          </w:p>
        </w:tc>
        <w:tc>
          <w:tcPr>
            <w:tcW w:w="4464" w:type="pct"/>
            <w:vAlign w:val="center"/>
          </w:tcPr>
          <w:p w14:paraId="73C3816B">
            <w:pPr>
              <w:spacing w:line="360" w:lineRule="auto"/>
              <w:rPr>
                <w:rFonts w:ascii="宋体" w:hAnsi="宋体" w:cs="宋体"/>
                <w:color w:val="auto"/>
                <w:sz w:val="24"/>
              </w:rPr>
            </w:pPr>
          </w:p>
        </w:tc>
      </w:tr>
      <w:tr w14:paraId="0584E1AD">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74A10FE">
            <w:pPr>
              <w:spacing w:line="360" w:lineRule="auto"/>
              <w:rPr>
                <w:rFonts w:ascii="宋体" w:hAnsi="宋体" w:cs="宋体"/>
                <w:color w:val="auto"/>
                <w:sz w:val="24"/>
              </w:rPr>
            </w:pPr>
            <w:r>
              <w:rPr>
                <w:rFonts w:hint="eastAsia" w:ascii="宋体" w:hAnsi="宋体" w:cs="宋体"/>
                <w:color w:val="auto"/>
                <w:sz w:val="24"/>
              </w:rPr>
              <w:t>1.6.2</w:t>
            </w:r>
          </w:p>
        </w:tc>
        <w:tc>
          <w:tcPr>
            <w:tcW w:w="4464" w:type="pct"/>
            <w:vAlign w:val="center"/>
          </w:tcPr>
          <w:p w14:paraId="450B1A4E">
            <w:pPr>
              <w:spacing w:line="360" w:lineRule="auto"/>
              <w:rPr>
                <w:rFonts w:ascii="宋体" w:hAnsi="宋体" w:cs="宋体"/>
                <w:color w:val="auto"/>
                <w:sz w:val="24"/>
              </w:rPr>
            </w:pPr>
          </w:p>
        </w:tc>
      </w:tr>
      <w:tr w14:paraId="4B60692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F554A01">
            <w:pPr>
              <w:spacing w:line="360" w:lineRule="auto"/>
              <w:rPr>
                <w:rFonts w:ascii="宋体" w:hAnsi="宋体" w:cs="宋体"/>
                <w:color w:val="auto"/>
                <w:sz w:val="24"/>
              </w:rPr>
            </w:pPr>
            <w:r>
              <w:rPr>
                <w:rFonts w:hint="eastAsia" w:ascii="宋体" w:hAnsi="宋体" w:cs="宋体"/>
                <w:color w:val="auto"/>
                <w:sz w:val="24"/>
              </w:rPr>
              <w:t>1.7.1</w:t>
            </w:r>
          </w:p>
        </w:tc>
        <w:tc>
          <w:tcPr>
            <w:tcW w:w="4464" w:type="pct"/>
            <w:vAlign w:val="center"/>
          </w:tcPr>
          <w:p w14:paraId="07769CC0">
            <w:pPr>
              <w:spacing w:line="360" w:lineRule="auto"/>
              <w:rPr>
                <w:rFonts w:ascii="宋体" w:hAnsi="宋体" w:cs="宋体"/>
                <w:color w:val="auto"/>
                <w:sz w:val="24"/>
              </w:rPr>
            </w:pPr>
          </w:p>
        </w:tc>
      </w:tr>
      <w:tr w14:paraId="4136274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81CC90F">
            <w:pPr>
              <w:spacing w:line="360" w:lineRule="auto"/>
              <w:rPr>
                <w:rFonts w:ascii="宋体" w:hAnsi="宋体" w:cs="宋体"/>
                <w:color w:val="auto"/>
                <w:sz w:val="24"/>
              </w:rPr>
            </w:pPr>
            <w:r>
              <w:rPr>
                <w:rFonts w:hint="eastAsia" w:ascii="宋体" w:hAnsi="宋体" w:cs="宋体"/>
                <w:color w:val="auto"/>
                <w:sz w:val="24"/>
              </w:rPr>
              <w:t>1.7.2</w:t>
            </w:r>
          </w:p>
        </w:tc>
        <w:tc>
          <w:tcPr>
            <w:tcW w:w="4464" w:type="pct"/>
            <w:vAlign w:val="center"/>
          </w:tcPr>
          <w:p w14:paraId="570253F8">
            <w:pPr>
              <w:spacing w:line="360" w:lineRule="auto"/>
              <w:rPr>
                <w:rFonts w:ascii="宋体" w:hAnsi="宋体" w:cs="宋体"/>
                <w:color w:val="auto"/>
                <w:sz w:val="24"/>
              </w:rPr>
            </w:pPr>
          </w:p>
        </w:tc>
      </w:tr>
      <w:tr w14:paraId="5FB44B0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188F541">
            <w:pPr>
              <w:spacing w:line="360" w:lineRule="auto"/>
              <w:rPr>
                <w:rFonts w:ascii="宋体" w:hAnsi="宋体" w:cs="宋体"/>
                <w:color w:val="auto"/>
                <w:sz w:val="24"/>
              </w:rPr>
            </w:pPr>
            <w:r>
              <w:rPr>
                <w:rFonts w:hint="eastAsia" w:ascii="宋体" w:hAnsi="宋体" w:cs="宋体"/>
                <w:color w:val="auto"/>
                <w:sz w:val="24"/>
              </w:rPr>
              <w:t>1.7.3</w:t>
            </w:r>
          </w:p>
        </w:tc>
        <w:tc>
          <w:tcPr>
            <w:tcW w:w="4464" w:type="pct"/>
            <w:vAlign w:val="center"/>
          </w:tcPr>
          <w:p w14:paraId="040DCDB1">
            <w:pPr>
              <w:spacing w:line="360" w:lineRule="auto"/>
              <w:rPr>
                <w:rFonts w:ascii="宋体" w:hAnsi="宋体" w:cs="宋体"/>
                <w:color w:val="auto"/>
                <w:sz w:val="24"/>
              </w:rPr>
            </w:pPr>
          </w:p>
        </w:tc>
      </w:tr>
      <w:tr w14:paraId="3EB61A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6CEF433">
            <w:pPr>
              <w:spacing w:line="360" w:lineRule="auto"/>
              <w:rPr>
                <w:rFonts w:ascii="宋体" w:hAnsi="宋体" w:cs="宋体"/>
                <w:color w:val="auto"/>
                <w:sz w:val="24"/>
              </w:rPr>
            </w:pPr>
            <w:r>
              <w:rPr>
                <w:rFonts w:hint="eastAsia" w:ascii="宋体" w:hAnsi="宋体" w:cs="宋体"/>
                <w:color w:val="auto"/>
                <w:sz w:val="24"/>
              </w:rPr>
              <w:t>1.7.4.1</w:t>
            </w:r>
          </w:p>
        </w:tc>
        <w:tc>
          <w:tcPr>
            <w:tcW w:w="4464" w:type="pct"/>
            <w:vAlign w:val="center"/>
          </w:tcPr>
          <w:p w14:paraId="61AEEB76">
            <w:pPr>
              <w:spacing w:line="360" w:lineRule="auto"/>
              <w:rPr>
                <w:rFonts w:ascii="宋体" w:hAnsi="宋体" w:cs="宋体"/>
                <w:color w:val="auto"/>
                <w:sz w:val="24"/>
              </w:rPr>
            </w:pPr>
          </w:p>
        </w:tc>
      </w:tr>
      <w:tr w14:paraId="31345F0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5558C21">
            <w:pPr>
              <w:spacing w:line="360" w:lineRule="auto"/>
              <w:rPr>
                <w:rFonts w:ascii="宋体" w:hAnsi="宋体" w:cs="宋体"/>
                <w:color w:val="auto"/>
                <w:sz w:val="24"/>
              </w:rPr>
            </w:pPr>
            <w:r>
              <w:rPr>
                <w:rFonts w:hint="eastAsia" w:ascii="宋体" w:hAnsi="宋体" w:cs="宋体"/>
                <w:color w:val="auto"/>
                <w:sz w:val="24"/>
              </w:rPr>
              <w:t>1.7.4.2</w:t>
            </w:r>
          </w:p>
        </w:tc>
        <w:tc>
          <w:tcPr>
            <w:tcW w:w="4464" w:type="pct"/>
            <w:vAlign w:val="center"/>
          </w:tcPr>
          <w:p w14:paraId="17395027">
            <w:pPr>
              <w:spacing w:line="360" w:lineRule="auto"/>
              <w:rPr>
                <w:rFonts w:ascii="宋体" w:hAnsi="宋体" w:cs="宋体"/>
                <w:color w:val="auto"/>
                <w:sz w:val="24"/>
              </w:rPr>
            </w:pPr>
          </w:p>
        </w:tc>
      </w:tr>
      <w:tr w14:paraId="5D8C3C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015A200">
            <w:pPr>
              <w:spacing w:line="360" w:lineRule="auto"/>
              <w:rPr>
                <w:rFonts w:ascii="宋体" w:hAnsi="宋体" w:cs="宋体"/>
                <w:color w:val="auto"/>
                <w:sz w:val="24"/>
              </w:rPr>
            </w:pPr>
            <w:r>
              <w:rPr>
                <w:rFonts w:hint="eastAsia" w:ascii="宋体" w:hAnsi="宋体" w:cs="宋体"/>
                <w:color w:val="auto"/>
                <w:sz w:val="24"/>
              </w:rPr>
              <w:t>1.7.4.3</w:t>
            </w:r>
          </w:p>
        </w:tc>
        <w:tc>
          <w:tcPr>
            <w:tcW w:w="4464" w:type="pct"/>
            <w:vAlign w:val="center"/>
          </w:tcPr>
          <w:p w14:paraId="5E7BFDD2">
            <w:pPr>
              <w:spacing w:line="360" w:lineRule="auto"/>
              <w:rPr>
                <w:rFonts w:ascii="宋体" w:hAnsi="宋体" w:cs="宋体"/>
                <w:color w:val="auto"/>
                <w:sz w:val="24"/>
              </w:rPr>
            </w:pPr>
          </w:p>
        </w:tc>
      </w:tr>
      <w:tr w14:paraId="78A5742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79A270A4">
            <w:pPr>
              <w:spacing w:line="360" w:lineRule="auto"/>
              <w:rPr>
                <w:rFonts w:ascii="宋体" w:hAnsi="宋体" w:cs="宋体"/>
                <w:color w:val="auto"/>
                <w:sz w:val="24"/>
              </w:rPr>
            </w:pPr>
            <w:r>
              <w:rPr>
                <w:rFonts w:hint="eastAsia" w:ascii="宋体" w:hAnsi="宋体" w:cs="宋体"/>
                <w:color w:val="auto"/>
                <w:sz w:val="24"/>
              </w:rPr>
              <w:t>1.8.7</w:t>
            </w:r>
          </w:p>
        </w:tc>
        <w:tc>
          <w:tcPr>
            <w:tcW w:w="4464" w:type="pct"/>
            <w:vAlign w:val="center"/>
          </w:tcPr>
          <w:p w14:paraId="2E61A773">
            <w:pPr>
              <w:spacing w:line="360" w:lineRule="auto"/>
              <w:rPr>
                <w:rFonts w:ascii="宋体" w:hAnsi="宋体" w:cs="宋体"/>
                <w:color w:val="auto"/>
                <w:sz w:val="24"/>
              </w:rPr>
            </w:pPr>
          </w:p>
        </w:tc>
      </w:tr>
      <w:tr w14:paraId="50DC6F8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76800BA">
            <w:pPr>
              <w:spacing w:line="360" w:lineRule="auto"/>
              <w:rPr>
                <w:rFonts w:ascii="宋体" w:hAnsi="宋体" w:cs="宋体"/>
                <w:color w:val="auto"/>
                <w:sz w:val="24"/>
              </w:rPr>
            </w:pPr>
            <w:r>
              <w:rPr>
                <w:rFonts w:hint="eastAsia" w:ascii="宋体" w:hAnsi="宋体" w:cs="宋体"/>
                <w:color w:val="auto"/>
                <w:sz w:val="24"/>
              </w:rPr>
              <w:t>1.9.1</w:t>
            </w:r>
          </w:p>
        </w:tc>
        <w:tc>
          <w:tcPr>
            <w:tcW w:w="4464" w:type="pct"/>
            <w:vAlign w:val="center"/>
          </w:tcPr>
          <w:p w14:paraId="59E340AC">
            <w:pPr>
              <w:spacing w:line="360" w:lineRule="auto"/>
              <w:rPr>
                <w:rFonts w:ascii="宋体" w:hAnsi="宋体" w:cs="宋体"/>
                <w:color w:val="auto"/>
                <w:sz w:val="24"/>
              </w:rPr>
            </w:pPr>
          </w:p>
        </w:tc>
      </w:tr>
      <w:tr w14:paraId="75923B1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3C61198">
            <w:pPr>
              <w:spacing w:line="360" w:lineRule="auto"/>
              <w:rPr>
                <w:rFonts w:ascii="宋体" w:hAnsi="宋体" w:cs="宋体"/>
                <w:color w:val="auto"/>
                <w:sz w:val="24"/>
              </w:rPr>
            </w:pPr>
            <w:r>
              <w:rPr>
                <w:rFonts w:hint="eastAsia" w:ascii="宋体" w:hAnsi="宋体" w:cs="宋体"/>
                <w:color w:val="auto"/>
                <w:sz w:val="24"/>
              </w:rPr>
              <w:t>1.9.2</w:t>
            </w:r>
          </w:p>
        </w:tc>
        <w:tc>
          <w:tcPr>
            <w:tcW w:w="4464" w:type="pct"/>
            <w:vAlign w:val="center"/>
          </w:tcPr>
          <w:p w14:paraId="55972A0D">
            <w:pPr>
              <w:spacing w:line="360" w:lineRule="auto"/>
              <w:rPr>
                <w:rFonts w:ascii="宋体" w:hAnsi="宋体" w:cs="宋体"/>
                <w:color w:val="auto"/>
                <w:sz w:val="24"/>
              </w:rPr>
            </w:pPr>
          </w:p>
        </w:tc>
      </w:tr>
      <w:tr w14:paraId="4BC8F3F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26205FB6">
            <w:pPr>
              <w:spacing w:line="360" w:lineRule="auto"/>
              <w:rPr>
                <w:rFonts w:ascii="宋体" w:hAnsi="宋体" w:cs="宋体"/>
                <w:color w:val="auto"/>
                <w:sz w:val="24"/>
              </w:rPr>
            </w:pPr>
            <w:r>
              <w:rPr>
                <w:rFonts w:hint="eastAsia" w:ascii="宋体" w:hAnsi="宋体" w:cs="宋体"/>
                <w:color w:val="auto"/>
                <w:sz w:val="24"/>
              </w:rPr>
              <w:t>2.3.2</w:t>
            </w:r>
          </w:p>
        </w:tc>
        <w:tc>
          <w:tcPr>
            <w:tcW w:w="4464" w:type="pct"/>
            <w:vAlign w:val="center"/>
          </w:tcPr>
          <w:p w14:paraId="6902FC2E">
            <w:pPr>
              <w:spacing w:line="360" w:lineRule="auto"/>
              <w:ind w:left="-420" w:leftChars="-200" w:right="-420" w:rightChars="-200" w:firstLine="480" w:firstLineChars="200"/>
              <w:rPr>
                <w:rFonts w:ascii="宋体" w:hAnsi="宋体" w:cs="宋体"/>
                <w:color w:val="auto"/>
                <w:sz w:val="24"/>
              </w:rPr>
            </w:pPr>
          </w:p>
        </w:tc>
      </w:tr>
      <w:tr w14:paraId="10EF82C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36AF695D">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5</w:t>
            </w:r>
          </w:p>
        </w:tc>
        <w:tc>
          <w:tcPr>
            <w:tcW w:w="4464" w:type="pct"/>
            <w:vAlign w:val="center"/>
          </w:tcPr>
          <w:p w14:paraId="60ED83C4">
            <w:pPr>
              <w:spacing w:line="360" w:lineRule="auto"/>
              <w:ind w:left="-420" w:leftChars="-200" w:right="-420" w:rightChars="-200" w:firstLine="480" w:firstLineChars="200"/>
              <w:rPr>
                <w:rFonts w:ascii="宋体" w:hAnsi="宋体" w:cs="宋体"/>
                <w:color w:val="auto"/>
                <w:sz w:val="24"/>
              </w:rPr>
            </w:pPr>
          </w:p>
        </w:tc>
      </w:tr>
      <w:tr w14:paraId="6C1514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434DD169">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11</w:t>
            </w:r>
            <w:r>
              <w:rPr>
                <w:rFonts w:hint="eastAsia" w:ascii="宋体" w:hAnsi="宋体" w:cs="宋体"/>
                <w:color w:val="auto"/>
                <w:sz w:val="24"/>
              </w:rPr>
              <w:t>.</w:t>
            </w:r>
            <w:r>
              <w:rPr>
                <w:rFonts w:ascii="宋体" w:hAnsi="宋体" w:cs="宋体"/>
                <w:color w:val="auto"/>
                <w:sz w:val="24"/>
              </w:rPr>
              <w:t>3</w:t>
            </w:r>
          </w:p>
        </w:tc>
        <w:tc>
          <w:tcPr>
            <w:tcW w:w="4464" w:type="pct"/>
            <w:vAlign w:val="center"/>
          </w:tcPr>
          <w:p w14:paraId="2A731FA2">
            <w:pPr>
              <w:spacing w:line="360" w:lineRule="auto"/>
              <w:rPr>
                <w:rFonts w:ascii="宋体" w:hAnsi="宋体" w:cs="宋体"/>
                <w:color w:val="auto"/>
                <w:sz w:val="24"/>
              </w:rPr>
            </w:pPr>
          </w:p>
        </w:tc>
      </w:tr>
      <w:tr w14:paraId="342F94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tcPr>
          <w:p w14:paraId="48A8F612">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11.4</w:t>
            </w:r>
            <w:r>
              <w:rPr>
                <w:rFonts w:hint="eastAsia" w:ascii="宋体" w:hAnsi="宋体" w:cs="宋体"/>
                <w:color w:val="auto"/>
                <w:sz w:val="24"/>
              </w:rPr>
              <w:t xml:space="preserve"> </w:t>
            </w:r>
          </w:p>
        </w:tc>
        <w:tc>
          <w:tcPr>
            <w:tcW w:w="4464" w:type="pct"/>
          </w:tcPr>
          <w:p w14:paraId="013FBF64">
            <w:pPr>
              <w:spacing w:line="360" w:lineRule="auto"/>
              <w:rPr>
                <w:rFonts w:ascii="宋体" w:hAnsi="宋体" w:cs="宋体"/>
                <w:color w:val="auto"/>
                <w:sz w:val="24"/>
              </w:rPr>
            </w:pPr>
          </w:p>
        </w:tc>
      </w:tr>
      <w:tr w14:paraId="4693F71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6FEDBDC">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15</w:t>
            </w:r>
            <w:r>
              <w:rPr>
                <w:rFonts w:hint="eastAsia" w:ascii="宋体" w:hAnsi="宋体" w:cs="宋体"/>
                <w:color w:val="auto"/>
                <w:sz w:val="24"/>
              </w:rPr>
              <w:t>.</w:t>
            </w:r>
            <w:r>
              <w:rPr>
                <w:rFonts w:ascii="宋体" w:hAnsi="宋体" w:cs="宋体"/>
                <w:color w:val="auto"/>
                <w:sz w:val="24"/>
              </w:rPr>
              <w:t>1</w:t>
            </w:r>
          </w:p>
        </w:tc>
        <w:tc>
          <w:tcPr>
            <w:tcW w:w="4464" w:type="pct"/>
            <w:vAlign w:val="center"/>
          </w:tcPr>
          <w:p w14:paraId="52851E12">
            <w:pPr>
              <w:spacing w:line="360" w:lineRule="auto"/>
              <w:rPr>
                <w:rFonts w:ascii="宋体" w:hAnsi="宋体" w:cs="宋体"/>
                <w:color w:val="auto"/>
                <w:sz w:val="24"/>
              </w:rPr>
            </w:pPr>
          </w:p>
        </w:tc>
      </w:tr>
      <w:tr w14:paraId="3615FF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535" w:type="pct"/>
            <w:tcBorders>
              <w:left w:val="single" w:color="auto" w:sz="4" w:space="0"/>
            </w:tcBorders>
            <w:vAlign w:val="center"/>
          </w:tcPr>
          <w:p w14:paraId="5FA200B7">
            <w:pPr>
              <w:spacing w:line="360" w:lineRule="auto"/>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15</w:t>
            </w:r>
            <w:r>
              <w:rPr>
                <w:rFonts w:hint="eastAsia" w:ascii="宋体" w:hAnsi="宋体" w:cs="宋体"/>
                <w:color w:val="auto"/>
                <w:sz w:val="24"/>
              </w:rPr>
              <w:t>.</w:t>
            </w:r>
            <w:r>
              <w:rPr>
                <w:rFonts w:ascii="宋体" w:hAnsi="宋体" w:cs="宋体"/>
                <w:color w:val="auto"/>
                <w:sz w:val="24"/>
              </w:rPr>
              <w:t>3</w:t>
            </w:r>
          </w:p>
        </w:tc>
        <w:tc>
          <w:tcPr>
            <w:tcW w:w="4464" w:type="pct"/>
            <w:vAlign w:val="center"/>
          </w:tcPr>
          <w:p w14:paraId="7E296A9C">
            <w:pPr>
              <w:spacing w:line="360" w:lineRule="auto"/>
              <w:rPr>
                <w:rFonts w:ascii="宋体" w:hAnsi="宋体" w:cs="宋体"/>
                <w:color w:val="auto"/>
                <w:sz w:val="24"/>
              </w:rPr>
            </w:pPr>
          </w:p>
        </w:tc>
      </w:tr>
      <w:tr w14:paraId="13DBDB8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535" w:type="pct"/>
            <w:tcBorders>
              <w:left w:val="single" w:color="auto" w:sz="4" w:space="0"/>
            </w:tcBorders>
          </w:tcPr>
          <w:p w14:paraId="17F0E3A6">
            <w:pPr>
              <w:spacing w:line="360" w:lineRule="auto"/>
              <w:rPr>
                <w:rFonts w:ascii="宋体" w:hAnsi="宋体" w:cs="宋体"/>
                <w:color w:val="auto"/>
                <w:sz w:val="24"/>
              </w:rPr>
            </w:pPr>
            <w:r>
              <w:rPr>
                <w:rFonts w:hint="eastAsia" w:ascii="宋体" w:hAnsi="宋体" w:cs="宋体"/>
                <w:color w:val="auto"/>
                <w:sz w:val="24"/>
              </w:rPr>
              <w:t>2.19</w:t>
            </w:r>
          </w:p>
        </w:tc>
        <w:tc>
          <w:tcPr>
            <w:tcW w:w="4464" w:type="pct"/>
          </w:tcPr>
          <w:p w14:paraId="228F7BBE">
            <w:pPr>
              <w:spacing w:line="360" w:lineRule="auto"/>
              <w:rPr>
                <w:rFonts w:ascii="宋体" w:hAnsi="宋体" w:cs="宋体"/>
                <w:color w:val="auto"/>
                <w:sz w:val="24"/>
              </w:rPr>
            </w:pPr>
          </w:p>
        </w:tc>
      </w:tr>
    </w:tbl>
    <w:p w14:paraId="6FBB6D80">
      <w:pPr>
        <w:spacing w:line="360" w:lineRule="auto"/>
        <w:ind w:left="-420" w:leftChars="-200" w:right="-420" w:rightChars="-200" w:firstLine="480" w:firstLineChars="200"/>
        <w:rPr>
          <w:rFonts w:ascii="宋体" w:hAnsi="宋体" w:cs="宋体"/>
          <w:color w:val="auto"/>
          <w:sz w:val="24"/>
        </w:rPr>
      </w:pPr>
    </w:p>
    <w:p w14:paraId="63739DE1">
      <w:pPr>
        <w:spacing w:line="360" w:lineRule="auto"/>
        <w:ind w:firstLine="562" w:firstLineChars="200"/>
        <w:jc w:val="center"/>
        <w:rPr>
          <w:rFonts w:asciiTheme="minorEastAsia" w:hAnsiTheme="minorEastAsia" w:eastAsiaTheme="minorEastAsia"/>
          <w:b/>
          <w:color w:val="auto"/>
          <w:sz w:val="28"/>
          <w:szCs w:val="28"/>
        </w:rPr>
      </w:pPr>
    </w:p>
    <w:p w14:paraId="725D3380">
      <w:pPr>
        <w:snapToGrid w:val="0"/>
        <w:spacing w:line="360" w:lineRule="auto"/>
        <w:jc w:val="center"/>
        <w:outlineLvl w:val="0"/>
        <w:rPr>
          <w:rFonts w:cs="仿宋_GB2312" w:asciiTheme="minorEastAsia" w:hAnsiTheme="minorEastAsia" w:eastAsiaTheme="minorEastAsia"/>
          <w:b/>
          <w:color w:val="auto"/>
          <w:sz w:val="36"/>
          <w:szCs w:val="20"/>
        </w:rPr>
      </w:pPr>
      <w:r>
        <w:rPr>
          <w:rFonts w:hint="eastAsia" w:cs="仿宋_GB2312" w:asciiTheme="minorEastAsia" w:hAnsiTheme="minorEastAsia" w:eastAsiaTheme="minorEastAsia"/>
          <w:b/>
          <w:color w:val="auto"/>
          <w:sz w:val="36"/>
          <w:szCs w:val="20"/>
        </w:rPr>
        <w:t>第七部分</w:t>
      </w:r>
      <w:bookmarkEnd w:id="67"/>
      <w:r>
        <w:rPr>
          <w:rFonts w:hint="eastAsia" w:cs="仿宋_GB2312" w:asciiTheme="minorEastAsia" w:hAnsiTheme="minorEastAsia" w:eastAsiaTheme="minorEastAsia"/>
          <w:b/>
          <w:color w:val="auto"/>
          <w:sz w:val="36"/>
          <w:szCs w:val="20"/>
        </w:rPr>
        <w:t xml:space="preserve">  </w:t>
      </w:r>
      <w:bookmarkEnd w:id="68"/>
      <w:r>
        <w:rPr>
          <w:rFonts w:hint="eastAsia" w:cs="仿宋_GB2312" w:asciiTheme="minorEastAsia" w:hAnsiTheme="minorEastAsia" w:eastAsiaTheme="minorEastAsia"/>
          <w:b/>
          <w:color w:val="auto"/>
          <w:sz w:val="36"/>
          <w:szCs w:val="20"/>
        </w:rPr>
        <w:t>应提交的有关格式范例</w:t>
      </w:r>
    </w:p>
    <w:p w14:paraId="11ED4107">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供应商按照以下格式编制响应文件。</w:t>
      </w:r>
    </w:p>
    <w:p w14:paraId="6147CC10">
      <w:pPr>
        <w:spacing w:line="360" w:lineRule="auto"/>
        <w:ind w:firstLine="480" w:firstLineChars="200"/>
        <w:rPr>
          <w:rFonts w:cs="仿宋_GB2312" w:asciiTheme="minorEastAsia" w:hAnsiTheme="minorEastAsia" w:eastAsiaTheme="minorEastAsia"/>
          <w:color w:val="auto"/>
          <w:sz w:val="24"/>
        </w:rPr>
      </w:pPr>
    </w:p>
    <w:p w14:paraId="3417EFAA">
      <w:pPr>
        <w:spacing w:line="360" w:lineRule="auto"/>
        <w:jc w:val="center"/>
        <w:rPr>
          <w:rFonts w:cs="仿宋_GB2312" w:asciiTheme="minorEastAsia" w:hAnsiTheme="minorEastAsia" w:eastAsiaTheme="minorEastAsia"/>
          <w:b/>
          <w:color w:val="auto"/>
          <w:kern w:val="0"/>
          <w:sz w:val="36"/>
          <w:szCs w:val="36"/>
        </w:rPr>
      </w:pPr>
      <w:r>
        <w:rPr>
          <w:rFonts w:hint="eastAsia" w:cs="仿宋_GB2312" w:asciiTheme="minorEastAsia" w:hAnsiTheme="minorEastAsia" w:eastAsiaTheme="minorEastAsia"/>
          <w:b/>
          <w:color w:val="auto"/>
          <w:kern w:val="0"/>
          <w:sz w:val="36"/>
          <w:szCs w:val="36"/>
        </w:rPr>
        <w:t>目录</w:t>
      </w:r>
    </w:p>
    <w:p w14:paraId="7F5BB80E">
      <w:pPr>
        <w:pStyle w:val="183"/>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（1）响应函………………………………………………………………………（页码）</w:t>
      </w:r>
    </w:p>
    <w:p w14:paraId="5EEBADC3">
      <w:pPr>
        <w:pStyle w:val="183"/>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（2）资格文件…………………………………………………………………（页码）</w:t>
      </w:r>
    </w:p>
    <w:p w14:paraId="79E1E43E">
      <w:pPr>
        <w:pStyle w:val="183"/>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（3）法人授权书</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4040FE68">
      <w:pPr>
        <w:pStyle w:val="183"/>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en-US" w:eastAsia="zh-CN"/>
        </w:rPr>
        <w:t>4</w:t>
      </w:r>
      <w:r>
        <w:rPr>
          <w:rFonts w:hint="eastAsia" w:cs="仿宋_GB2312" w:asciiTheme="minorEastAsia" w:hAnsiTheme="minorEastAsia" w:eastAsiaTheme="minorEastAsia"/>
          <w:color w:val="auto"/>
        </w:rPr>
        <w:t>）所有资信文件（复印件）…………………………………………………（页码）</w:t>
      </w:r>
    </w:p>
    <w:p w14:paraId="1AAD462D">
      <w:pPr>
        <w:pStyle w:val="183"/>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en-US" w:eastAsia="zh-CN"/>
        </w:rPr>
        <w:t>5</w:t>
      </w:r>
      <w:r>
        <w:rPr>
          <w:rFonts w:hint="eastAsia" w:cs="仿宋_GB2312" w:asciiTheme="minorEastAsia" w:hAnsiTheme="minorEastAsia" w:eastAsiaTheme="minorEastAsia"/>
          <w:color w:val="auto"/>
        </w:rPr>
        <w:t>）主要业绩证明</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33C41527">
      <w:pPr>
        <w:pStyle w:val="183"/>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en-US" w:eastAsia="zh-CN"/>
        </w:rPr>
        <w:t>6</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关于对磋商文件中有关条款的拒绝声明……………</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zh-CN"/>
        </w:rPr>
        <w:t>……………</w:t>
      </w:r>
      <w:r>
        <w:rPr>
          <w:rFonts w:hint="eastAsia" w:cs="仿宋_GB2312" w:asciiTheme="minorEastAsia" w:hAnsiTheme="minorEastAsia" w:eastAsiaTheme="minorEastAsia"/>
          <w:color w:val="auto"/>
        </w:rPr>
        <w:t>（页码）</w:t>
      </w:r>
    </w:p>
    <w:p w14:paraId="4B141F87">
      <w:pPr>
        <w:pStyle w:val="183"/>
        <w:spacing w:line="360" w:lineRule="auto"/>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lang w:val="en-US" w:eastAsia="zh-CN"/>
        </w:rPr>
        <w:t>7</w:t>
      </w:r>
      <w:r>
        <w:rPr>
          <w:rFonts w:hint="eastAsia" w:cs="仿宋_GB2312" w:asciiTheme="minorEastAsia" w:hAnsiTheme="minorEastAsia" w:eastAsiaTheme="minorEastAsia"/>
          <w:color w:val="auto"/>
        </w:rPr>
        <w:t>）认为需要的其他商务文件或说明…………………………………………（页码）</w:t>
      </w:r>
    </w:p>
    <w:p w14:paraId="1C42A2D3">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kern w:val="0"/>
          <w:sz w:val="24"/>
          <w:lang w:val="en-US" w:eastAsia="zh-CN"/>
        </w:rPr>
        <w:t>8</w:t>
      </w:r>
      <w:r>
        <w:rPr>
          <w:rFonts w:hint="eastAsia" w:cs="仿宋_GB2312" w:asciiTheme="minorEastAsia" w:hAnsiTheme="minorEastAsia" w:eastAsiaTheme="minorEastAsia"/>
          <w:color w:val="auto"/>
          <w:kern w:val="0"/>
          <w:sz w:val="24"/>
        </w:rPr>
        <w:t>）技术解决方案…………………………………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0FE3C215">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kern w:val="0"/>
          <w:sz w:val="24"/>
          <w:lang w:val="en-US" w:eastAsia="zh-CN"/>
        </w:rPr>
        <w:t>9</w:t>
      </w:r>
      <w:r>
        <w:rPr>
          <w:rFonts w:cs="仿宋_GB2312" w:asciiTheme="minorEastAsia" w:hAnsiTheme="minorEastAsia" w:eastAsiaTheme="minorEastAsia"/>
          <w:color w:val="auto"/>
          <w:kern w:val="0"/>
          <w:sz w:val="24"/>
        </w:rPr>
        <w:t>）组织实施方案………………………………………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552B4E4D">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kern w:val="0"/>
          <w:sz w:val="24"/>
          <w:lang w:val="en-US" w:eastAsia="zh-CN"/>
        </w:rPr>
        <w:t>10</w:t>
      </w:r>
      <w:r>
        <w:rPr>
          <w:rFonts w:cs="仿宋_GB2312" w:asciiTheme="minorEastAsia" w:hAnsiTheme="minorEastAsia" w:eastAsiaTheme="minorEastAsia"/>
          <w:color w:val="auto"/>
          <w:kern w:val="0"/>
          <w:sz w:val="24"/>
        </w:rPr>
        <w:t>）售后服务方案……………………………………</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706B82A3">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kern w:val="0"/>
          <w:sz w:val="24"/>
          <w:lang w:val="en-US" w:eastAsia="zh-CN"/>
        </w:rPr>
        <w:t>11</w:t>
      </w:r>
      <w:r>
        <w:rPr>
          <w:rFonts w:cs="仿宋_GB2312" w:asciiTheme="minorEastAsia" w:hAnsiTheme="minorEastAsia" w:eastAsiaTheme="minorEastAsia"/>
          <w:color w:val="auto"/>
          <w:kern w:val="0"/>
          <w:sz w:val="24"/>
        </w:rPr>
        <w:t>）项目小组人员名单…</w:t>
      </w: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rPr>
        <w:t>…………………（页码）</w:t>
      </w:r>
    </w:p>
    <w:p w14:paraId="0491BF0A">
      <w:pPr>
        <w:spacing w:line="360" w:lineRule="auto"/>
        <w:ind w:firstLine="480" w:firstLineChars="2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kern w:val="0"/>
          <w:sz w:val="24"/>
          <w:lang w:val="en-US" w:eastAsia="zh-CN"/>
        </w:rPr>
        <w:t>12</w:t>
      </w: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kern w:val="0"/>
          <w:sz w:val="24"/>
          <w:lang w:val="zh-CN"/>
        </w:rPr>
        <w:t>优惠条件及特殊承诺………………………………</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7BD51D32">
      <w:pPr>
        <w:spacing w:line="360" w:lineRule="auto"/>
        <w:ind w:firstLine="480"/>
        <w:jc w:val="center"/>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（1</w:t>
      </w:r>
      <w:r>
        <w:rPr>
          <w:rFonts w:hint="eastAsia" w:cs="仿宋_GB2312" w:asciiTheme="minorEastAsia" w:hAnsiTheme="minorEastAsia" w:eastAsiaTheme="minorEastAsia"/>
          <w:color w:val="auto"/>
          <w:kern w:val="0"/>
          <w:sz w:val="24"/>
          <w:lang w:val="en-US" w:eastAsia="zh-CN"/>
        </w:rPr>
        <w:t>3</w:t>
      </w: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kern w:val="0"/>
          <w:sz w:val="24"/>
          <w:lang w:val="zh-CN"/>
        </w:rPr>
        <w:t>认为需要的其他技术文件或说明…………………</w:t>
      </w:r>
      <w:r>
        <w:rPr>
          <w:rFonts w:hint="eastAsia" w:cs="仿宋_GB2312" w:asciiTheme="minorEastAsia" w:hAnsiTheme="minorEastAsia" w:eastAsiaTheme="minorEastAsia"/>
          <w:color w:val="auto"/>
        </w:rPr>
        <w:t>…………</w:t>
      </w:r>
      <w:r>
        <w:rPr>
          <w:rFonts w:hint="eastAsia" w:cs="仿宋_GB2312" w:asciiTheme="minorEastAsia" w:hAnsiTheme="minorEastAsia" w:eastAsiaTheme="minorEastAsia"/>
          <w:color w:val="auto"/>
          <w:kern w:val="0"/>
          <w:sz w:val="24"/>
          <w:lang w:val="zh-CN"/>
        </w:rPr>
        <w:t>……………</w:t>
      </w:r>
      <w:r>
        <w:rPr>
          <w:rFonts w:hint="eastAsia" w:cs="仿宋_GB2312" w:asciiTheme="minorEastAsia" w:hAnsiTheme="minorEastAsia" w:eastAsiaTheme="minorEastAsia"/>
          <w:color w:val="auto"/>
          <w:kern w:val="0"/>
          <w:sz w:val="24"/>
        </w:rPr>
        <w:t>（页码）</w:t>
      </w:r>
    </w:p>
    <w:p w14:paraId="443DC805">
      <w:pPr>
        <w:tabs>
          <w:tab w:val="left" w:pos="0"/>
        </w:tabs>
        <w:autoSpaceDE w:val="0"/>
        <w:autoSpaceDN w:val="0"/>
        <w:spacing w:line="360" w:lineRule="auto"/>
        <w:ind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rPr>
        <w:t>（1</w:t>
      </w:r>
      <w:r>
        <w:rPr>
          <w:rFonts w:hint="eastAsia" w:cs="仿宋_GB2312" w:asciiTheme="minorEastAsia" w:hAnsiTheme="minorEastAsia" w:eastAsiaTheme="minorEastAsia"/>
          <w:color w:val="auto"/>
          <w:kern w:val="0"/>
          <w:sz w:val="24"/>
          <w:lang w:val="en-US" w:eastAsia="zh-CN"/>
        </w:rPr>
        <w:t>4</w:t>
      </w: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kern w:val="0"/>
          <w:sz w:val="24"/>
          <w:lang w:val="zh-CN"/>
        </w:rPr>
        <w:t>政府采购供应商廉洁自律承诺书………………………………………</w:t>
      </w:r>
      <w:r>
        <w:rPr>
          <w:rFonts w:hint="eastAsia" w:cs="仿宋_GB2312" w:asciiTheme="minorEastAsia" w:hAnsiTheme="minorEastAsia" w:eastAsiaTheme="minorEastAsia"/>
          <w:color w:val="auto"/>
          <w:kern w:val="0"/>
          <w:sz w:val="24"/>
        </w:rPr>
        <w:t>（页码）</w:t>
      </w:r>
    </w:p>
    <w:p w14:paraId="2F8221B1">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bCs/>
          <w:color w:val="auto"/>
          <w:sz w:val="24"/>
        </w:rPr>
        <w:t>注：以上目录是编制供应商响应文件的基本格式要求，各供应商可根据自身情况进一步细化。</w:t>
      </w:r>
    </w:p>
    <w:p w14:paraId="66769737">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color w:val="auto"/>
          <w:sz w:val="36"/>
          <w:szCs w:val="36"/>
        </w:rPr>
        <w:br w:type="page"/>
      </w:r>
      <w:r>
        <w:rPr>
          <w:rFonts w:hint="eastAsia" w:cs="仿宋_GB2312" w:asciiTheme="minorEastAsia" w:hAnsiTheme="minorEastAsia" w:eastAsiaTheme="minorEastAsia"/>
          <w:b/>
          <w:color w:val="auto"/>
          <w:kern w:val="0"/>
          <w:sz w:val="32"/>
          <w:szCs w:val="32"/>
        </w:rPr>
        <w:t>一、响应</w:t>
      </w:r>
      <w:r>
        <w:rPr>
          <w:rFonts w:hint="eastAsia" w:cs="仿宋_GB2312" w:asciiTheme="minorEastAsia" w:hAnsiTheme="minorEastAsia" w:eastAsiaTheme="minorEastAsia"/>
          <w:b/>
          <w:color w:val="auto"/>
          <w:sz w:val="32"/>
          <w:szCs w:val="32"/>
        </w:rPr>
        <w:t>函</w:t>
      </w:r>
    </w:p>
    <w:p w14:paraId="5B47DA5B">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p>
    <w:p w14:paraId="169CB8B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(供应商全称)授权</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(全权代表姓名)</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sz w:val="24"/>
        </w:rPr>
        <w:t>(职务、职称)为全权代表，参加贵方组织的（项目名称）【项目编号：（采购编号）】的有关活动，并对此项目进行响应。为此：</w:t>
      </w:r>
    </w:p>
    <w:p w14:paraId="2D218D5A">
      <w:pPr>
        <w:pStyle w:val="104"/>
        <w:numPr>
          <w:ilvl w:val="0"/>
          <w:numId w:val="12"/>
        </w:numPr>
        <w:snapToGrid w:val="0"/>
        <w:ind w:firstLineChars="0"/>
        <w:rPr>
          <w:rFonts w:cs="仿宋_GB2312" w:asciiTheme="minorEastAsia" w:hAnsiTheme="minorEastAsia" w:eastAsiaTheme="minorEastAsia"/>
          <w:color w:val="auto"/>
        </w:rPr>
      </w:pPr>
      <w:r>
        <w:rPr>
          <w:rFonts w:hint="eastAsia" w:cs="仿宋_GB2312" w:asciiTheme="minorEastAsia" w:hAnsiTheme="minorEastAsia" w:eastAsiaTheme="minorEastAsia"/>
          <w:color w:val="auto"/>
        </w:rPr>
        <w:t>我方承诺响应有效期从提交响应文件的截止之日起</w:t>
      </w:r>
      <w:r>
        <w:rPr>
          <w:rFonts w:hint="eastAsia" w:cs="仿宋_GB2312" w:asciiTheme="minorEastAsia" w:hAnsiTheme="minorEastAsia" w:eastAsiaTheme="minorEastAsia"/>
          <w:color w:val="auto"/>
          <w:u w:val="single"/>
        </w:rPr>
        <w:t xml:space="preserve">     </w:t>
      </w:r>
      <w:r>
        <w:rPr>
          <w:rFonts w:hint="eastAsia" w:cs="仿宋_GB2312" w:asciiTheme="minorEastAsia" w:hAnsiTheme="minorEastAsia" w:eastAsiaTheme="minorEastAsia"/>
          <w:color w:val="auto"/>
        </w:rPr>
        <w:t>天，</w:t>
      </w:r>
      <w:r>
        <w:rPr>
          <w:rFonts w:hint="eastAsia" w:cs="宋体" w:asciiTheme="minorEastAsia" w:hAnsiTheme="minorEastAsia" w:eastAsiaTheme="minorEastAsia"/>
          <w:color w:val="auto"/>
        </w:rPr>
        <w:t>（不少于90天），</w:t>
      </w:r>
      <w:r>
        <w:rPr>
          <w:rFonts w:hint="eastAsia" w:cs="仿宋_GB2312" w:asciiTheme="minorEastAsia" w:hAnsiTheme="minorEastAsia" w:eastAsiaTheme="minorEastAsia"/>
          <w:color w:val="auto"/>
        </w:rPr>
        <w:t>本响应文件在响应有效期满之前均具有约束力。</w:t>
      </w:r>
    </w:p>
    <w:p w14:paraId="23ACC484">
      <w:pPr>
        <w:numPr>
          <w:ilvl w:val="0"/>
          <w:numId w:val="12"/>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提供</w:t>
      </w:r>
      <w:r>
        <w:rPr>
          <w:rFonts w:hint="eastAsia" w:cs="仿宋_GB2312" w:asciiTheme="minorEastAsia" w:hAnsiTheme="minorEastAsia" w:eastAsiaTheme="minorEastAsia"/>
          <w:bCs/>
          <w:color w:val="auto"/>
          <w:kern w:val="44"/>
          <w:sz w:val="24"/>
        </w:rPr>
        <w:t>磋商文件中</w:t>
      </w:r>
      <w:r>
        <w:rPr>
          <w:rFonts w:hint="eastAsia" w:cs="仿宋_GB2312" w:asciiTheme="minorEastAsia" w:hAnsiTheme="minorEastAsia" w:eastAsiaTheme="minorEastAsia"/>
          <w:color w:val="auto"/>
          <w:sz w:val="24"/>
        </w:rPr>
        <w:t>规定的全部响应文件。</w:t>
      </w:r>
    </w:p>
    <w:p w14:paraId="47793D54">
      <w:pPr>
        <w:numPr>
          <w:ilvl w:val="0"/>
          <w:numId w:val="12"/>
        </w:numPr>
        <w:adjustRightInd/>
        <w:spacing w:line="360" w:lineRule="auto"/>
        <w:rPr>
          <w:rFonts w:cs="仿宋_GB2312" w:asciiTheme="minorEastAsia" w:hAnsiTheme="minorEastAsia" w:eastAsiaTheme="minorEastAsia"/>
          <w:color w:val="auto"/>
          <w:sz w:val="24"/>
        </w:rPr>
      </w:pPr>
      <w:r>
        <w:rPr>
          <w:rFonts w:hint="eastAsia" w:cs="宋体" w:asciiTheme="minorEastAsia" w:hAnsiTheme="minorEastAsia" w:eastAsiaTheme="minorEastAsia"/>
          <w:color w:val="auto"/>
          <w:sz w:val="24"/>
        </w:rPr>
        <w:t>我方承诺除响应文件列出的偏离外，我方响应磋商文件的全部要求。</w:t>
      </w:r>
    </w:p>
    <w:p w14:paraId="7BEC0A74">
      <w:pPr>
        <w:numPr>
          <w:ilvl w:val="0"/>
          <w:numId w:val="12"/>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保证遵守磋商文件中的其他有关规定。</w:t>
      </w:r>
    </w:p>
    <w:p w14:paraId="114B4FF6">
      <w:pPr>
        <w:numPr>
          <w:ilvl w:val="0"/>
          <w:numId w:val="12"/>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我方愿意向贵方提供任何与该项目响应有关的数据、情况和技术资料。若贵方需要，我方愿意提供我方作出的一切承诺的证明材料。</w:t>
      </w:r>
    </w:p>
    <w:p w14:paraId="697ADF93">
      <w:pPr>
        <w:numPr>
          <w:ilvl w:val="0"/>
          <w:numId w:val="12"/>
        </w:numPr>
        <w:adjustRightInd/>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10、我方已详细阅读全部磋商文件，包括磋商文件“更正（延期）公告”（如果有）、参考资料及有关附件，确认无误。</w:t>
      </w:r>
    </w:p>
    <w:p w14:paraId="2B0C020E">
      <w:pPr>
        <w:numPr>
          <w:ilvl w:val="0"/>
          <w:numId w:val="12"/>
        </w:numPr>
        <w:adjustRightInd/>
        <w:spacing w:line="360" w:lineRule="auto"/>
        <w:rPr>
          <w:rFonts w:cs="仿宋_GB2312" w:asciiTheme="minorEastAsia" w:hAnsiTheme="minorEastAsia" w:eastAsiaTheme="minorEastAsia"/>
          <w:color w:val="auto"/>
          <w:sz w:val="24"/>
        </w:rPr>
      </w:pPr>
      <w:r>
        <w:rPr>
          <w:rFonts w:hint="eastAsia" w:cs="宋体" w:asciiTheme="minorEastAsia" w:hAnsiTheme="minorEastAsia" w:eastAsiaTheme="minorEastAsia"/>
          <w:color w:val="auto"/>
          <w:sz w:val="24"/>
        </w:rPr>
        <w:t>如我方成交，我方承诺：</w:t>
      </w:r>
    </w:p>
    <w:p w14:paraId="78C09249">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4.1在收到成交通知书后，在成交通知书规定的期限内与你方签订合同； </w:t>
      </w:r>
    </w:p>
    <w:p w14:paraId="2FEA0BB6">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4.2在签订合同时不向你方提出附加条件； </w:t>
      </w:r>
    </w:p>
    <w:p w14:paraId="78C0AF7C">
      <w:pPr>
        <w:snapToGrid w:val="0"/>
        <w:spacing w:line="360" w:lineRule="auto"/>
        <w:ind w:left="210" w:leftChars="10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w:t>
      </w:r>
      <w:r>
        <w:rPr>
          <w:rFonts w:hint="eastAsia" w:cs="宋体" w:asciiTheme="minorEastAsia" w:hAnsiTheme="minorEastAsia" w:eastAsiaTheme="minorEastAsia"/>
          <w:color w:val="auto"/>
          <w:sz w:val="24"/>
          <w:lang w:val="en-US" w:eastAsia="zh-CN"/>
        </w:rPr>
        <w:t>3</w:t>
      </w:r>
      <w:r>
        <w:rPr>
          <w:rFonts w:hint="eastAsia" w:cs="宋体" w:asciiTheme="minorEastAsia" w:hAnsiTheme="minorEastAsia" w:eastAsiaTheme="minorEastAsia"/>
          <w:color w:val="auto"/>
          <w:sz w:val="24"/>
        </w:rPr>
        <w:t xml:space="preserve">在合同约定的期限内完成合同规定的全部义务。 </w:t>
      </w:r>
    </w:p>
    <w:p w14:paraId="731ECFE4">
      <w:pPr>
        <w:numPr>
          <w:ilvl w:val="0"/>
          <w:numId w:val="12"/>
        </w:numPr>
        <w:adjustRightInd/>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其他补充说明:                                        。</w:t>
      </w:r>
    </w:p>
    <w:p w14:paraId="2DD609F5">
      <w:pPr>
        <w:autoSpaceDE w:val="0"/>
        <w:autoSpaceDN w:val="0"/>
        <w:spacing w:line="360" w:lineRule="auto"/>
        <w:ind w:firstLine="3960" w:firstLineChars="1650"/>
        <w:rPr>
          <w:rFonts w:cs="仿宋_GB2312" w:asciiTheme="minorEastAsia" w:hAnsiTheme="minorEastAsia" w:eastAsiaTheme="minorEastAsia"/>
          <w:color w:val="auto"/>
          <w:kern w:val="0"/>
          <w:sz w:val="24"/>
          <w:lang w:val="zh-CN"/>
        </w:rPr>
      </w:pPr>
    </w:p>
    <w:p w14:paraId="17EE41D7">
      <w:pPr>
        <w:spacing w:line="360" w:lineRule="auto"/>
        <w:ind w:firstLine="3600" w:firstLineChars="15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供应商名称（电子签名）：                          </w:t>
      </w:r>
    </w:p>
    <w:p w14:paraId="4011EADD">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日期：  年   月   日</w:t>
      </w:r>
    </w:p>
    <w:p w14:paraId="774090FC">
      <w:pPr>
        <w:spacing w:line="360" w:lineRule="auto"/>
        <w:ind w:right="42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注：按本格式和要求提供。</w:t>
      </w:r>
    </w:p>
    <w:p w14:paraId="439113D2">
      <w:pPr>
        <w:autoSpaceDE w:val="0"/>
        <w:autoSpaceDN w:val="0"/>
        <w:spacing w:line="360" w:lineRule="auto"/>
        <w:rPr>
          <w:rFonts w:cs="仿宋_GB2312" w:asciiTheme="minorEastAsia" w:hAnsiTheme="minorEastAsia" w:eastAsiaTheme="minorEastAsia"/>
          <w:color w:val="auto"/>
          <w:kern w:val="0"/>
          <w:sz w:val="24"/>
        </w:rPr>
      </w:pPr>
    </w:p>
    <w:p w14:paraId="668A3BBC">
      <w:pPr>
        <w:pStyle w:val="114"/>
        <w:keepNext w:val="0"/>
        <w:pageBreakBefore w:val="0"/>
        <w:tabs>
          <w:tab w:val="clear" w:pos="720"/>
        </w:tabs>
        <w:jc w:val="both"/>
        <w:outlineLvl w:val="9"/>
        <w:rPr>
          <w:rFonts w:cs="仿宋_GB2312" w:asciiTheme="minorEastAsia" w:hAnsiTheme="minorEastAsia" w:eastAsiaTheme="minorEastAsia"/>
          <w:color w:val="auto"/>
          <w:sz w:val="24"/>
          <w:szCs w:val="24"/>
        </w:rPr>
      </w:pPr>
    </w:p>
    <w:p w14:paraId="5C1AAB99">
      <w:pPr>
        <w:spacing w:line="360" w:lineRule="auto"/>
        <w:rPr>
          <w:rFonts w:cs="仿宋_GB2312" w:asciiTheme="minorEastAsia" w:hAnsiTheme="minorEastAsia" w:eastAsiaTheme="minorEastAsia"/>
          <w:color w:val="auto"/>
          <w:sz w:val="24"/>
        </w:rPr>
      </w:pPr>
    </w:p>
    <w:p w14:paraId="31AC1100">
      <w:pPr>
        <w:spacing w:line="360" w:lineRule="auto"/>
        <w:rPr>
          <w:rFonts w:cs="仿宋_GB2312" w:asciiTheme="minorEastAsia" w:hAnsiTheme="minorEastAsia" w:eastAsiaTheme="minorEastAsia"/>
          <w:color w:val="auto"/>
          <w:sz w:val="18"/>
          <w:szCs w:val="18"/>
        </w:rPr>
      </w:pPr>
    </w:p>
    <w:p w14:paraId="31FC539E">
      <w:pPr>
        <w:spacing w:line="360" w:lineRule="auto"/>
        <w:rPr>
          <w:rFonts w:cs="仿宋_GB2312" w:asciiTheme="minorEastAsia" w:hAnsiTheme="minorEastAsia" w:eastAsiaTheme="minorEastAsia"/>
          <w:color w:val="auto"/>
          <w:sz w:val="18"/>
          <w:szCs w:val="18"/>
        </w:rPr>
      </w:pPr>
    </w:p>
    <w:p w14:paraId="5AD6E1AA">
      <w:pPr>
        <w:widowControl/>
        <w:adjustRightInd/>
        <w:jc w:val="left"/>
        <w:rPr>
          <w:rFonts w:cs="仿宋_GB2312" w:asciiTheme="minorEastAsia" w:hAnsiTheme="minorEastAsia" w:eastAsiaTheme="minorEastAsia"/>
          <w:b/>
          <w:color w:val="auto"/>
          <w:kern w:val="0"/>
          <w:sz w:val="32"/>
          <w:szCs w:val="32"/>
        </w:rPr>
      </w:pPr>
      <w:r>
        <w:rPr>
          <w:rFonts w:cs="仿宋_GB2312" w:asciiTheme="minorEastAsia" w:hAnsiTheme="minorEastAsia" w:eastAsiaTheme="minorEastAsia"/>
          <w:b/>
          <w:color w:val="auto"/>
          <w:kern w:val="0"/>
          <w:sz w:val="32"/>
          <w:szCs w:val="32"/>
        </w:rPr>
        <w:br w:type="page"/>
      </w:r>
    </w:p>
    <w:p w14:paraId="76BF5A3E">
      <w:pPr>
        <w:widowControl/>
        <w:tabs>
          <w:tab w:val="left" w:pos="1200"/>
        </w:tabs>
        <w:adjustRightInd/>
        <w:ind w:left="840"/>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二、资格文件</w:t>
      </w:r>
    </w:p>
    <w:p w14:paraId="30FA2AF3">
      <w:pPr>
        <w:pStyle w:val="104"/>
        <w:widowControl/>
        <w:tabs>
          <w:tab w:val="left" w:pos="1200"/>
          <w:tab w:val="left" w:pos="1560"/>
        </w:tabs>
        <w:adjustRightInd/>
        <w:ind w:left="1560" w:firstLine="0" w:firstLineChars="0"/>
        <w:jc w:val="left"/>
        <w:rPr>
          <w:rFonts w:cs="仿宋_GB2312" w:asciiTheme="minorEastAsia" w:hAnsiTheme="minorEastAsia" w:eastAsiaTheme="minorEastAsia"/>
          <w:b/>
          <w:color w:val="auto"/>
          <w:sz w:val="30"/>
          <w:szCs w:val="30"/>
        </w:rPr>
      </w:pPr>
    </w:p>
    <w:p w14:paraId="07446EF1">
      <w:pPr>
        <w:snapToGrid w:val="0"/>
        <w:spacing w:line="360" w:lineRule="auto"/>
        <w:ind w:right="480"/>
        <w:jc w:val="center"/>
        <w:rPr>
          <w:rFonts w:cs="宋体" w:asciiTheme="minorEastAsia" w:hAnsiTheme="minorEastAsia" w:eastAsiaTheme="minorEastAsia"/>
          <w:b/>
          <w:color w:val="auto"/>
          <w:kern w:val="0"/>
          <w:sz w:val="32"/>
          <w:szCs w:val="32"/>
        </w:rPr>
      </w:pPr>
      <w:r>
        <w:rPr>
          <w:rFonts w:hint="eastAsia" w:cs="宋体" w:asciiTheme="minorEastAsia" w:hAnsiTheme="minorEastAsia" w:eastAsiaTheme="minorEastAsia"/>
          <w:b/>
          <w:color w:val="auto"/>
          <w:kern w:val="0"/>
          <w:sz w:val="32"/>
          <w:szCs w:val="32"/>
        </w:rPr>
        <w:t>A、符合参加政府采购活动应当具备的一般条件的承诺函</w:t>
      </w:r>
    </w:p>
    <w:p w14:paraId="224A4846">
      <w:pPr>
        <w:snapToGrid w:val="0"/>
        <w:spacing w:line="360" w:lineRule="auto"/>
        <w:rPr>
          <w:rFonts w:cs="宋体" w:asciiTheme="minorEastAsia" w:hAnsiTheme="minorEastAsia" w:eastAsiaTheme="minorEastAsia"/>
          <w:color w:val="auto"/>
          <w:sz w:val="24"/>
        </w:rPr>
      </w:pPr>
      <w:r>
        <w:rPr>
          <w:rFonts w:hint="eastAsia" w:cs="仿宋_GB2312" w:asciiTheme="minorEastAsia" w:hAnsiTheme="minorEastAsia" w:eastAsiaTheme="minorEastAsia"/>
          <w:color w:val="auto"/>
          <w:sz w:val="24"/>
        </w:rPr>
        <w:t>（采购人）、（采购代理机构）</w:t>
      </w:r>
      <w:r>
        <w:rPr>
          <w:rFonts w:hint="eastAsia" w:cs="宋体" w:asciiTheme="minorEastAsia" w:hAnsiTheme="minorEastAsia" w:eastAsiaTheme="minorEastAsia"/>
          <w:color w:val="auto"/>
          <w:sz w:val="24"/>
        </w:rPr>
        <w:t>：</w:t>
      </w:r>
    </w:p>
    <w:p w14:paraId="127640F4">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我方参与</w:t>
      </w:r>
      <w:r>
        <w:rPr>
          <w:rFonts w:hint="eastAsia" w:cs="仿宋_GB2312" w:asciiTheme="minorEastAsia" w:hAnsiTheme="minorEastAsia" w:eastAsiaTheme="minorEastAsia"/>
          <w:color w:val="auto"/>
          <w:sz w:val="24"/>
        </w:rPr>
        <w:t>（项目名称）</w:t>
      </w:r>
      <w:r>
        <w:rPr>
          <w:rFonts w:hint="eastAsia" w:cs="仿宋_GB2312" w:asciiTheme="minorEastAsia" w:hAnsiTheme="minorEastAsia" w:eastAsiaTheme="minorEastAsia"/>
          <w:color w:val="auto"/>
          <w:kern w:val="0"/>
          <w:sz w:val="24"/>
          <w:lang w:val="zh-CN"/>
        </w:rPr>
        <w:t>【项目编号：（采购编号）】</w:t>
      </w:r>
      <w:r>
        <w:rPr>
          <w:rFonts w:hint="eastAsia" w:cs="宋体" w:asciiTheme="minorEastAsia" w:hAnsiTheme="minorEastAsia" w:eastAsiaTheme="minorEastAsia"/>
          <w:color w:val="auto"/>
          <w:sz w:val="24"/>
        </w:rPr>
        <w:t>政府采购活动，郑重承诺：</w:t>
      </w:r>
    </w:p>
    <w:p w14:paraId="7D68A638">
      <w:pPr>
        <w:snapToGrid w:val="0"/>
        <w:spacing w:line="360" w:lineRule="auto"/>
        <w:ind w:firstLine="360" w:firstLineChars="1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（一）具备《中华人民共和国政府采购法》第二十二条第一款规定的条件：</w:t>
      </w:r>
    </w:p>
    <w:p w14:paraId="44139F1B">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1、具有独立承担民事责任的能力；</w:t>
      </w:r>
    </w:p>
    <w:p w14:paraId="2CCE2565">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2、具有良好的商业信誉和健全的财务会计制度； </w:t>
      </w:r>
    </w:p>
    <w:p w14:paraId="38FF9E11">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3、具有履行合同所必需的设备和专业技术能力；</w:t>
      </w:r>
    </w:p>
    <w:p w14:paraId="2F502018">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4、有依法缴纳税收和社会保障资金的良好记录；</w:t>
      </w:r>
    </w:p>
    <w:p w14:paraId="7826F95B">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5、参加政府采购活动前三年内，在经营活动中没有重大违法记录；</w:t>
      </w:r>
    </w:p>
    <w:p w14:paraId="7A99C768">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6、具有法律、行政法规规定的其他条件。</w:t>
      </w:r>
    </w:p>
    <w:p w14:paraId="230A4ADD">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（二）未被信用中国（www.creditchina.gov.cn)、中国政府采购网（www.ccgp.gov.cn）列入失信被执行人、重大税收违法案件当事人名单、政府采购严重违法失信行为记录名单。</w:t>
      </w:r>
    </w:p>
    <w:p w14:paraId="74E5ECE0">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（三）不存在以下情况：</w:t>
      </w:r>
    </w:p>
    <w:p w14:paraId="76E54541">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1、单位负责人为同一人或者存在直接控股、管理关系的不同供应商参加同一合同项下的政府采购活动的；</w:t>
      </w:r>
    </w:p>
    <w:p w14:paraId="23EE6FB0">
      <w:pPr>
        <w:snapToGrid w:val="0"/>
        <w:spacing w:line="360" w:lineRule="auto"/>
        <w:ind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2、为采购项目提供整体设计、规范编制或者项目管理、监理、检测等服务后再参加该采购项目的其他采购活动的。</w:t>
      </w:r>
    </w:p>
    <w:p w14:paraId="14260D58">
      <w:pPr>
        <w:snapToGrid w:val="0"/>
        <w:spacing w:line="360" w:lineRule="auto"/>
        <w:ind w:firstLine="5520" w:firstLineChars="2300"/>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lang w:val="zh-CN"/>
        </w:rPr>
        <w:t>供应商名称(电子签名)：</w:t>
      </w:r>
    </w:p>
    <w:p w14:paraId="581EE243">
      <w:pPr>
        <w:snapToGrid w:val="0"/>
        <w:spacing w:line="360" w:lineRule="auto"/>
        <w:rPr>
          <w:rFonts w:cs="宋体" w:asciiTheme="minorEastAsia" w:hAnsiTheme="minorEastAsia" w:eastAsiaTheme="minorEastAsia"/>
          <w:color w:val="auto"/>
          <w:kern w:val="0"/>
          <w:sz w:val="24"/>
        </w:rPr>
      </w:pPr>
      <w:r>
        <w:rPr>
          <w:rFonts w:hint="eastAsia" w:cs="宋体" w:asciiTheme="minorEastAsia" w:hAnsiTheme="minorEastAsia" w:eastAsiaTheme="minorEastAsia"/>
          <w:color w:val="auto"/>
          <w:kern w:val="0"/>
          <w:sz w:val="24"/>
          <w:lang w:val="zh-CN"/>
        </w:rPr>
        <w:t xml:space="preserve">                        </w:t>
      </w:r>
      <w:r>
        <w:rPr>
          <w:rFonts w:hint="eastAsia" w:cs="宋体" w:asciiTheme="minorEastAsia" w:hAnsiTheme="minorEastAsia" w:eastAsiaTheme="minorEastAsia"/>
          <w:color w:val="auto"/>
          <w:kern w:val="0"/>
          <w:sz w:val="24"/>
        </w:rPr>
        <w:t xml:space="preserve">                      </w:t>
      </w:r>
      <w:r>
        <w:rPr>
          <w:rFonts w:hint="eastAsia" w:cs="宋体" w:asciiTheme="minorEastAsia" w:hAnsiTheme="minorEastAsia" w:eastAsiaTheme="minorEastAsia"/>
          <w:color w:val="auto"/>
          <w:kern w:val="0"/>
          <w:sz w:val="24"/>
          <w:lang w:val="zh-CN"/>
        </w:rPr>
        <w:t>日期</w:t>
      </w:r>
      <w:r>
        <w:rPr>
          <w:rFonts w:hint="eastAsia" w:cs="宋体" w:asciiTheme="minorEastAsia" w:hAnsiTheme="minorEastAsia" w:eastAsiaTheme="minorEastAsia"/>
          <w:color w:val="auto"/>
          <w:kern w:val="0"/>
          <w:sz w:val="24"/>
        </w:rPr>
        <w:t xml:space="preserve">：  年  </w:t>
      </w:r>
      <w:r>
        <w:rPr>
          <w:rFonts w:hint="eastAsia" w:cs="宋体" w:asciiTheme="minorEastAsia" w:hAnsiTheme="minorEastAsia" w:eastAsiaTheme="minorEastAsia"/>
          <w:color w:val="auto"/>
          <w:kern w:val="0"/>
          <w:sz w:val="24"/>
          <w:lang w:val="zh-CN"/>
        </w:rPr>
        <w:t>月</w:t>
      </w:r>
      <w:r>
        <w:rPr>
          <w:rFonts w:hint="eastAsia" w:cs="宋体" w:asciiTheme="minorEastAsia" w:hAnsiTheme="minorEastAsia" w:eastAsiaTheme="minorEastAsia"/>
          <w:color w:val="auto"/>
          <w:kern w:val="0"/>
          <w:sz w:val="24"/>
        </w:rPr>
        <w:t xml:space="preserve">   </w:t>
      </w:r>
      <w:r>
        <w:rPr>
          <w:rFonts w:hint="eastAsia" w:cs="宋体" w:asciiTheme="minorEastAsia" w:hAnsiTheme="minorEastAsia" w:eastAsiaTheme="minorEastAsia"/>
          <w:color w:val="auto"/>
          <w:kern w:val="0"/>
          <w:sz w:val="24"/>
          <w:lang w:val="zh-CN"/>
        </w:rPr>
        <w:t>日</w:t>
      </w:r>
    </w:p>
    <w:p w14:paraId="7D5C7B49">
      <w:pPr>
        <w:snapToGrid w:val="0"/>
        <w:spacing w:line="360" w:lineRule="auto"/>
        <w:ind w:right="480"/>
        <w:jc w:val="center"/>
        <w:rPr>
          <w:rFonts w:cs="仿宋_GB2312" w:asciiTheme="minorEastAsia" w:hAnsiTheme="minorEastAsia" w:eastAsiaTheme="minorEastAsia"/>
          <w:b/>
          <w:color w:val="auto"/>
          <w:kern w:val="0"/>
          <w:sz w:val="32"/>
          <w:szCs w:val="32"/>
        </w:rPr>
      </w:pPr>
    </w:p>
    <w:p w14:paraId="3FEE7788">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7C3AB3CC">
      <w:pPr>
        <w:snapToGrid w:val="0"/>
        <w:spacing w:line="360" w:lineRule="auto"/>
        <w:ind w:right="480"/>
        <w:jc w:val="center"/>
        <w:rPr>
          <w:rFonts w:cs="宋体" w:asciiTheme="minorEastAsia" w:hAnsiTheme="minorEastAsia" w:eastAsiaTheme="minorEastAsia"/>
          <w:b/>
          <w:color w:val="auto"/>
          <w:kern w:val="0"/>
          <w:sz w:val="32"/>
          <w:szCs w:val="32"/>
        </w:rPr>
      </w:pPr>
      <w:r>
        <w:rPr>
          <w:rFonts w:hint="eastAsia" w:cs="仿宋_GB2312" w:asciiTheme="minorEastAsia" w:hAnsiTheme="minorEastAsia" w:eastAsiaTheme="minorEastAsia"/>
          <w:b/>
          <w:color w:val="auto"/>
          <w:sz w:val="32"/>
          <w:szCs w:val="32"/>
        </w:rPr>
        <w:t>C、</w:t>
      </w:r>
      <w:r>
        <w:rPr>
          <w:rFonts w:hint="eastAsia" w:cs="宋体" w:asciiTheme="minorEastAsia" w:hAnsiTheme="minorEastAsia" w:eastAsiaTheme="minorEastAsia"/>
          <w:b/>
          <w:color w:val="auto"/>
          <w:kern w:val="0"/>
          <w:sz w:val="32"/>
          <w:szCs w:val="32"/>
        </w:rPr>
        <w:t>落实政府采购政策需满足的资格要求</w:t>
      </w:r>
    </w:p>
    <w:p w14:paraId="4211599F">
      <w:pPr>
        <w:spacing w:line="360" w:lineRule="auto"/>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（根据</w:t>
      </w:r>
      <w:r>
        <w:rPr>
          <w:rFonts w:hint="eastAsia" w:cs="宋体" w:asciiTheme="minorEastAsia" w:hAnsiTheme="minorEastAsia" w:eastAsiaTheme="minorEastAsia"/>
          <w:b/>
          <w:bCs/>
          <w:color w:val="auto"/>
          <w:sz w:val="24"/>
        </w:rPr>
        <w:t>磋商文件第一部分竞争性磋商公告中</w:t>
      </w:r>
      <w:r>
        <w:rPr>
          <w:rFonts w:hint="eastAsia" w:cs="宋体" w:asciiTheme="minorEastAsia" w:hAnsiTheme="minorEastAsia" w:eastAsiaTheme="minorEastAsia"/>
          <w:color w:val="auto"/>
          <w:sz w:val="24"/>
        </w:rPr>
        <w:t>落实政府采购政策需满足的资格要求选择提供相应的材料）</w:t>
      </w:r>
    </w:p>
    <w:p w14:paraId="4825C826">
      <w:pPr>
        <w:snapToGrid w:val="0"/>
        <w:spacing w:before="50" w:after="50" w:line="360" w:lineRule="auto"/>
        <w:ind w:firstLine="472" w:firstLineChars="196"/>
        <w:jc w:val="left"/>
        <w:rPr>
          <w:rFonts w:cs="宋体" w:asciiTheme="minorEastAsia" w:hAnsiTheme="minorEastAsia" w:eastAsiaTheme="minorEastAsia"/>
          <w:color w:val="auto"/>
          <w:sz w:val="24"/>
        </w:rPr>
      </w:pPr>
      <w:r>
        <w:rPr>
          <w:rFonts w:hint="eastAsia" w:cs="宋体" w:asciiTheme="minorEastAsia" w:hAnsiTheme="minorEastAsia" w:eastAsiaTheme="minorEastAsia"/>
          <w:b/>
          <w:color w:val="auto"/>
          <w:sz w:val="24"/>
        </w:rPr>
        <w:t>a</w:t>
      </w:r>
      <w:r>
        <w:rPr>
          <w:rFonts w:hint="eastAsia" w:cs="宋体" w:asciiTheme="minorEastAsia" w:hAnsiTheme="minorEastAsia" w:eastAsiaTheme="minorEastAsia"/>
          <w:color w:val="auto"/>
          <w:sz w:val="24"/>
        </w:rPr>
        <w:t xml:space="preserve">.专门面向中小企业，服务全部由符合政策要求的中小企业（或小微企业）承接的，提供相应的中小企业声明函。 </w:t>
      </w:r>
    </w:p>
    <w:p w14:paraId="244E1097">
      <w:pPr>
        <w:widowControl/>
        <w:spacing w:line="360" w:lineRule="auto"/>
        <w:ind w:firstLine="480"/>
        <w:jc w:val="left"/>
        <w:rPr>
          <w:rFonts w:cs="宋体" w:asciiTheme="minorEastAsia" w:hAnsiTheme="minorEastAsia" w:eastAsiaTheme="minorEastAsia"/>
          <w:color w:val="auto"/>
          <w:sz w:val="24"/>
        </w:rPr>
      </w:pPr>
    </w:p>
    <w:p w14:paraId="68F4F28E">
      <w:pPr>
        <w:spacing w:line="360" w:lineRule="auto"/>
        <w:jc w:val="center"/>
        <w:rPr>
          <w:rFonts w:cs="仿宋_GB2312" w:asciiTheme="minorEastAsia" w:hAnsiTheme="minorEastAsia" w:eastAsiaTheme="minorEastAsia"/>
          <w:b/>
          <w:color w:val="auto"/>
          <w:sz w:val="32"/>
          <w:szCs w:val="32"/>
        </w:rPr>
      </w:pPr>
    </w:p>
    <w:p w14:paraId="743CDEA5">
      <w:pPr>
        <w:spacing w:line="360" w:lineRule="auto"/>
        <w:jc w:val="center"/>
        <w:rPr>
          <w:rFonts w:cs="仿宋_GB2312" w:asciiTheme="minorEastAsia" w:hAnsiTheme="minorEastAsia" w:eastAsiaTheme="minorEastAsia"/>
          <w:b/>
          <w:color w:val="auto"/>
          <w:sz w:val="32"/>
          <w:szCs w:val="32"/>
        </w:rPr>
      </w:pPr>
    </w:p>
    <w:p w14:paraId="44360642">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D、符合特定资格条件要求的资质文件（复印件）</w:t>
      </w:r>
    </w:p>
    <w:p w14:paraId="6423560C">
      <w:pPr>
        <w:widowControl/>
        <w:spacing w:line="360" w:lineRule="auto"/>
        <w:ind w:firstLine="480" w:firstLineChars="200"/>
        <w:jc w:val="left"/>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（由供应商根据“磋商文件第一部分”中“合格的供应商应具备的特定资格要求”编制；如果本项目没有设置特定资格条件，则不需要提供）</w:t>
      </w:r>
    </w:p>
    <w:p w14:paraId="64708A8B">
      <w:pPr>
        <w:widowControl/>
        <w:spacing w:line="360" w:lineRule="auto"/>
        <w:ind w:firstLine="480" w:firstLineChars="200"/>
        <w:jc w:val="left"/>
        <w:rPr>
          <w:rFonts w:cs="仿宋_GB2312" w:asciiTheme="minorEastAsia" w:hAnsiTheme="minorEastAsia" w:eastAsiaTheme="minorEastAsia"/>
          <w:color w:val="auto"/>
          <w:sz w:val="24"/>
        </w:rPr>
      </w:pPr>
    </w:p>
    <w:p w14:paraId="37048240">
      <w:pPr>
        <w:snapToGrid w:val="0"/>
        <w:spacing w:line="360" w:lineRule="auto"/>
        <w:ind w:firstLine="5880" w:firstLineChars="245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供应商名称(电子签名)：</w:t>
      </w:r>
    </w:p>
    <w:p w14:paraId="15FFBEB1">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签发日期：  年  月   日</w:t>
      </w:r>
    </w:p>
    <w:p w14:paraId="37B60ADE">
      <w:pPr>
        <w:snapToGrid w:val="0"/>
        <w:spacing w:line="360" w:lineRule="auto"/>
        <w:rPr>
          <w:rFonts w:cs="仿宋_GB2312" w:asciiTheme="minorEastAsia" w:hAnsiTheme="minorEastAsia" w:eastAsiaTheme="minorEastAsia"/>
          <w:color w:val="auto"/>
          <w:kern w:val="0"/>
          <w:sz w:val="24"/>
          <w:lang w:val="zh-CN"/>
        </w:rPr>
      </w:pPr>
    </w:p>
    <w:p w14:paraId="15093788">
      <w:pPr>
        <w:snapToGrid w:val="0"/>
        <w:spacing w:line="360" w:lineRule="auto"/>
        <w:ind w:right="480"/>
        <w:jc w:val="center"/>
        <w:rPr>
          <w:rFonts w:cs="仿宋_GB2312" w:asciiTheme="minorEastAsia" w:hAnsiTheme="minorEastAsia" w:eastAsiaTheme="minorEastAsia"/>
          <w:b/>
          <w:color w:val="auto"/>
          <w:kern w:val="0"/>
          <w:sz w:val="32"/>
          <w:szCs w:val="32"/>
          <w:lang w:val="zh-CN"/>
        </w:rPr>
        <w:sectPr>
          <w:pgSz w:w="11906" w:h="16838"/>
          <w:pgMar w:top="1247" w:right="1417" w:bottom="1276" w:left="1417" w:header="851" w:footer="992" w:gutter="0"/>
          <w:pgBorders>
            <w:top w:val="none" w:sz="0" w:space="0"/>
            <w:left w:val="none" w:sz="0" w:space="0"/>
            <w:bottom w:val="none" w:sz="0" w:space="0"/>
            <w:right w:val="none" w:sz="0" w:space="0"/>
          </w:pgBorders>
          <w:cols w:space="0" w:num="1"/>
          <w:titlePg/>
          <w:rtlGutter w:val="0"/>
          <w:docGrid w:linePitch="312" w:charSpace="0"/>
        </w:sectPr>
      </w:pPr>
    </w:p>
    <w:p w14:paraId="1C0CD649">
      <w:pPr>
        <w:widowControl/>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color w:val="auto"/>
          <w:kern w:val="0"/>
          <w:sz w:val="32"/>
          <w:szCs w:val="32"/>
          <w:lang w:val="zh-CN"/>
        </w:rPr>
        <w:t>三、法人授权书</w:t>
      </w:r>
    </w:p>
    <w:p w14:paraId="7413ED11">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（采购人）、（采购代理机构）</w:t>
      </w:r>
      <w:r>
        <w:rPr>
          <w:rFonts w:hint="eastAsia" w:cs="仿宋_GB2312" w:asciiTheme="minorEastAsia" w:hAnsiTheme="minorEastAsia" w:eastAsiaTheme="minorEastAsia"/>
          <w:color w:val="auto"/>
          <w:kern w:val="0"/>
          <w:sz w:val="24"/>
          <w:lang w:val="zh-CN"/>
        </w:rPr>
        <w:t>：</w:t>
      </w:r>
    </w:p>
    <w:p w14:paraId="060B2869">
      <w:pPr>
        <w:snapToGrid w:val="0"/>
        <w:spacing w:line="360" w:lineRule="auto"/>
        <w:ind w:firstLine="576"/>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兹委派我公司</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先生/女士(其在本公司的职务是：</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 xml:space="preserve"> ，联系电话：</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手机：</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传真：</w:t>
      </w:r>
      <w:r>
        <w:rPr>
          <w:rFonts w:hint="eastAsia" w:cs="仿宋_GB2312" w:asciiTheme="minorEastAsia" w:hAnsiTheme="minorEastAsia" w:eastAsiaTheme="minorEastAsia"/>
          <w:color w:val="auto"/>
          <w:kern w:val="0"/>
          <w:sz w:val="24"/>
          <w:u w:val="single"/>
          <w:lang w:val="zh-CN"/>
        </w:rPr>
        <w:t xml:space="preserve">           </w:t>
      </w:r>
      <w:r>
        <w:rPr>
          <w:rFonts w:hint="eastAsia" w:cs="仿宋_GB2312" w:asciiTheme="minorEastAsia" w:hAnsiTheme="minorEastAsia" w:eastAsiaTheme="minorEastAsia"/>
          <w:color w:val="auto"/>
          <w:kern w:val="0"/>
          <w:sz w:val="24"/>
          <w:lang w:val="zh-CN"/>
        </w:rPr>
        <w:t>)，代表我公司全权处理</w:t>
      </w:r>
      <w:r>
        <w:rPr>
          <w:rFonts w:hint="eastAsia" w:cs="仿宋_GB2312" w:asciiTheme="minorEastAsia" w:hAnsiTheme="minorEastAsia" w:eastAsiaTheme="minorEastAsia"/>
          <w:color w:val="auto"/>
          <w:sz w:val="24"/>
        </w:rPr>
        <w:t>（项目名称）【项目编号：（采购编号）】</w:t>
      </w:r>
      <w:r>
        <w:rPr>
          <w:rFonts w:hint="eastAsia" w:cs="仿宋_GB2312" w:asciiTheme="minorEastAsia" w:hAnsiTheme="minorEastAsia" w:eastAsiaTheme="minorEastAsia"/>
          <w:color w:val="auto"/>
          <w:kern w:val="0"/>
          <w:sz w:val="24"/>
          <w:lang w:val="zh-CN"/>
        </w:rPr>
        <w:t>政府采购响应的一切事项，若成交则全权代表本公司签订相关合同，并负责处理合同履行等事宜。</w:t>
      </w:r>
    </w:p>
    <w:p w14:paraId="32FA691B">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本委托书有效期：自    年 月  日起至    年  月  日止。</w:t>
      </w:r>
    </w:p>
    <w:p w14:paraId="7A0686DC">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特此告知。</w:t>
      </w:r>
    </w:p>
    <w:p w14:paraId="171B822B">
      <w:pPr>
        <w:snapToGrid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 xml:space="preserve">                                                供应商名称(电子签名)：</w:t>
      </w:r>
    </w:p>
    <w:p w14:paraId="4C34536A">
      <w:pPr>
        <w:snapToGrid w:val="0"/>
        <w:spacing w:line="360" w:lineRule="auto"/>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签发日期：  年  月   日</w:t>
      </w:r>
    </w:p>
    <w:p w14:paraId="5A793770">
      <w:pPr>
        <w:snapToGrid w:val="0"/>
        <w:spacing w:line="360" w:lineRule="auto"/>
        <w:rPr>
          <w:rFonts w:cs="仿宋_GB2312" w:asciiTheme="minorEastAsia" w:hAnsiTheme="minorEastAsia" w:eastAsiaTheme="minorEastAsia"/>
          <w:color w:val="auto"/>
          <w:kern w:val="0"/>
          <w:sz w:val="24"/>
          <w:lang w:val="zh-CN"/>
        </w:rPr>
      </w:pPr>
    </w:p>
    <w:p w14:paraId="643516EB">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148B53B5">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30"/>
          <w:szCs w:val="30"/>
        </w:rPr>
        <w:t>授权代表的身份证（复印件）</w:t>
      </w:r>
    </w:p>
    <w:p w14:paraId="3DED6B63">
      <w:pPr>
        <w:pStyle w:val="618"/>
        <w:spacing w:line="360" w:lineRule="auto"/>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授权代表身份证件扫描件：</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207"/>
      </w:tblGrid>
      <w:tr w14:paraId="28B23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shd w:val="clear" w:color="auto" w:fill="auto"/>
          </w:tcPr>
          <w:p w14:paraId="290A6898">
            <w:pPr>
              <w:pStyle w:val="618"/>
              <w:spacing w:line="360" w:lineRule="auto"/>
              <w:rPr>
                <w:rFonts w:asciiTheme="minorEastAsia" w:hAnsiTheme="minorEastAsia" w:eastAsiaTheme="minorEastAsia"/>
                <w:bCs/>
                <w:color w:val="auto"/>
                <w:sz w:val="24"/>
              </w:rPr>
            </w:pPr>
            <w:r>
              <w:rPr>
                <w:rFonts w:hint="eastAsia" w:asciiTheme="minorEastAsia" w:hAnsiTheme="minorEastAsia" w:eastAsiaTheme="minorEastAsia"/>
                <w:bCs/>
                <w:color w:val="auto"/>
                <w:sz w:val="24"/>
              </w:rPr>
              <w:t>正面：                                 反面：</w:t>
            </w:r>
          </w:p>
          <w:p w14:paraId="66F018F4">
            <w:pPr>
              <w:pStyle w:val="618"/>
              <w:spacing w:line="360" w:lineRule="auto"/>
              <w:rPr>
                <w:rFonts w:asciiTheme="minorEastAsia" w:hAnsiTheme="minorEastAsia" w:eastAsiaTheme="minorEastAsia"/>
                <w:bCs/>
                <w:color w:val="auto"/>
                <w:sz w:val="24"/>
              </w:rPr>
            </w:pPr>
          </w:p>
        </w:tc>
      </w:tr>
    </w:tbl>
    <w:p w14:paraId="2A8D9349">
      <w:pPr>
        <w:snapToGrid w:val="0"/>
        <w:spacing w:line="360" w:lineRule="auto"/>
        <w:ind w:firstLine="576"/>
        <w:jc w:val="right"/>
        <w:rPr>
          <w:rFonts w:cs="仿宋_GB2312" w:asciiTheme="minorEastAsia" w:hAnsiTheme="minorEastAsia" w:eastAsiaTheme="minorEastAsia"/>
          <w:color w:val="auto"/>
          <w:kern w:val="0"/>
          <w:sz w:val="24"/>
          <w:lang w:val="zh-CN"/>
        </w:rPr>
      </w:pPr>
    </w:p>
    <w:p w14:paraId="31AB87D0">
      <w:pPr>
        <w:snapToGrid w:val="0"/>
        <w:spacing w:line="360" w:lineRule="auto"/>
        <w:ind w:firstLine="576"/>
        <w:jc w:val="center"/>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供应商名称(电子签名)：                              </w:t>
      </w:r>
    </w:p>
    <w:p w14:paraId="228A1A97">
      <w:pPr>
        <w:spacing w:line="360" w:lineRule="auto"/>
        <w:jc w:val="center"/>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日期：  年  月</w:t>
      </w:r>
    </w:p>
    <w:p w14:paraId="3549BDCA">
      <w:pPr>
        <w:snapToGrid w:val="0"/>
        <w:spacing w:line="360" w:lineRule="auto"/>
        <w:ind w:firstLine="576"/>
        <w:jc w:val="center"/>
        <w:rPr>
          <w:rFonts w:cs="仿宋_GB2312" w:asciiTheme="minorEastAsia" w:hAnsiTheme="minorEastAsia" w:eastAsiaTheme="minorEastAsia"/>
          <w:color w:val="auto"/>
          <w:sz w:val="28"/>
          <w:szCs w:val="28"/>
        </w:rPr>
      </w:pPr>
    </w:p>
    <w:p w14:paraId="29FDF1EA">
      <w:pPr>
        <w:widowControl/>
        <w:adjustRightInd/>
        <w:jc w:val="left"/>
        <w:rPr>
          <w:rFonts w:cs="仿宋_GB2312" w:asciiTheme="minorEastAsia" w:hAnsiTheme="minorEastAsia" w:eastAsiaTheme="minorEastAsia"/>
          <w:b/>
          <w:color w:val="auto"/>
          <w:kern w:val="0"/>
          <w:sz w:val="32"/>
          <w:szCs w:val="32"/>
          <w:lang w:val="zh-CN"/>
        </w:rPr>
      </w:pPr>
      <w:r>
        <w:rPr>
          <w:rFonts w:cs="仿宋_GB2312" w:asciiTheme="minorEastAsia" w:hAnsiTheme="minorEastAsia" w:eastAsiaTheme="minorEastAsia"/>
          <w:b/>
          <w:color w:val="auto"/>
          <w:kern w:val="0"/>
          <w:sz w:val="32"/>
          <w:szCs w:val="32"/>
          <w:lang w:val="zh-CN"/>
        </w:rPr>
        <w:br w:type="page"/>
      </w:r>
    </w:p>
    <w:p w14:paraId="2E150BD5">
      <w:pPr>
        <w:widowControl/>
        <w:adjustRightInd/>
        <w:jc w:val="left"/>
        <w:rPr>
          <w:rFonts w:cs="仿宋_GB2312" w:asciiTheme="minorEastAsia" w:hAnsiTheme="minorEastAsia" w:eastAsiaTheme="minorEastAsia"/>
          <w:b/>
          <w:color w:val="auto"/>
          <w:kern w:val="0"/>
          <w:sz w:val="32"/>
          <w:szCs w:val="32"/>
          <w:lang w:val="zh-CN"/>
        </w:rPr>
      </w:pPr>
    </w:p>
    <w:p w14:paraId="349B3BA6">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kern w:val="0"/>
          <w:sz w:val="32"/>
          <w:szCs w:val="32"/>
          <w:lang w:val="zh-CN"/>
        </w:rPr>
        <w:t>四</w:t>
      </w:r>
      <w:r>
        <w:rPr>
          <w:rFonts w:hint="eastAsia" w:cs="仿宋_GB2312" w:asciiTheme="minorEastAsia" w:hAnsiTheme="minorEastAsia" w:eastAsiaTheme="minorEastAsia"/>
          <w:b/>
          <w:color w:val="auto"/>
          <w:sz w:val="32"/>
          <w:szCs w:val="32"/>
        </w:rPr>
        <w:t>、所有资信文件（复印件）</w:t>
      </w:r>
    </w:p>
    <w:p w14:paraId="65B4618B">
      <w:pPr>
        <w:spacing w:line="360" w:lineRule="auto"/>
        <w:jc w:val="center"/>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color w:val="auto"/>
          <w:sz w:val="24"/>
        </w:rPr>
        <w:t>（由供应商根据采购需求及磋商文件要求编制）</w:t>
      </w:r>
    </w:p>
    <w:p w14:paraId="699F551A">
      <w:pPr>
        <w:spacing w:line="360" w:lineRule="auto"/>
        <w:jc w:val="center"/>
        <w:rPr>
          <w:rFonts w:cs="仿宋_GB2312" w:asciiTheme="minorEastAsia" w:hAnsiTheme="minorEastAsia" w:eastAsiaTheme="minorEastAsia"/>
          <w:b/>
          <w:color w:val="auto"/>
          <w:sz w:val="30"/>
          <w:szCs w:val="30"/>
        </w:rPr>
      </w:pPr>
    </w:p>
    <w:p w14:paraId="6D4ABD11">
      <w:pPr>
        <w:snapToGrid w:val="0"/>
        <w:spacing w:line="360" w:lineRule="auto"/>
        <w:ind w:firstLine="5160" w:firstLineChars="215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lang w:val="zh-CN"/>
        </w:rPr>
        <w:t>供应商名称(电子签名)：</w:t>
      </w:r>
    </w:p>
    <w:p w14:paraId="5A101193">
      <w:pPr>
        <w:snapToGrid w:val="0"/>
        <w:spacing w:line="360" w:lineRule="auto"/>
        <w:ind w:firstLine="5160" w:firstLineChars="215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日期</w:t>
      </w:r>
      <w:r>
        <w:rPr>
          <w:rFonts w:hint="eastAsia" w:cs="仿宋_GB2312" w:asciiTheme="minorEastAsia" w:hAnsiTheme="minorEastAsia" w:eastAsiaTheme="minorEastAsia"/>
          <w:color w:val="auto"/>
          <w:kern w:val="0"/>
          <w:sz w:val="24"/>
        </w:rPr>
        <w:t xml:space="preserve">：   年  </w:t>
      </w:r>
      <w:r>
        <w:rPr>
          <w:rFonts w:hint="eastAsia" w:cs="仿宋_GB2312" w:asciiTheme="minorEastAsia" w:hAnsiTheme="minorEastAsia" w:eastAsiaTheme="minorEastAsia"/>
          <w:color w:val="auto"/>
          <w:kern w:val="0"/>
          <w:sz w:val="24"/>
          <w:lang w:val="zh-CN"/>
        </w:rPr>
        <w:t>月</w:t>
      </w:r>
      <w:r>
        <w:rPr>
          <w:rFonts w:hint="eastAsia" w:cs="仿宋_GB2312" w:asciiTheme="minorEastAsia" w:hAnsiTheme="minorEastAsia" w:eastAsiaTheme="minorEastAsia"/>
          <w:color w:val="auto"/>
          <w:kern w:val="0"/>
          <w:sz w:val="24"/>
        </w:rPr>
        <w:t xml:space="preserve">   </w:t>
      </w:r>
      <w:r>
        <w:rPr>
          <w:rFonts w:hint="eastAsia" w:cs="仿宋_GB2312" w:asciiTheme="minorEastAsia" w:hAnsiTheme="minorEastAsia" w:eastAsiaTheme="minorEastAsia"/>
          <w:color w:val="auto"/>
          <w:kern w:val="0"/>
          <w:sz w:val="24"/>
          <w:lang w:val="zh-CN"/>
        </w:rPr>
        <w:t>日</w:t>
      </w:r>
    </w:p>
    <w:p w14:paraId="50FA3EC5">
      <w:pPr>
        <w:spacing w:line="360" w:lineRule="auto"/>
        <w:jc w:val="center"/>
        <w:rPr>
          <w:rFonts w:cs="仿宋_GB2312" w:asciiTheme="minorEastAsia" w:hAnsiTheme="minorEastAsia" w:eastAsiaTheme="minorEastAsia"/>
          <w:b/>
          <w:color w:val="auto"/>
          <w:kern w:val="0"/>
          <w:sz w:val="32"/>
          <w:szCs w:val="32"/>
        </w:rPr>
      </w:pPr>
    </w:p>
    <w:p w14:paraId="330E16E3">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color w:val="auto"/>
          <w:kern w:val="0"/>
          <w:sz w:val="32"/>
          <w:szCs w:val="32"/>
          <w:lang w:eastAsia="zh-CN"/>
        </w:rPr>
        <w:t>五</w:t>
      </w:r>
      <w:r>
        <w:rPr>
          <w:rFonts w:hint="eastAsia" w:cs="仿宋_GB2312" w:asciiTheme="minorEastAsia" w:hAnsiTheme="minorEastAsia" w:eastAsiaTheme="minorEastAsia"/>
          <w:b/>
          <w:bCs/>
          <w:color w:val="auto"/>
          <w:sz w:val="32"/>
          <w:szCs w:val="32"/>
        </w:rPr>
        <w:t>、</w:t>
      </w:r>
      <w:r>
        <w:rPr>
          <w:rFonts w:hint="eastAsia" w:cs="仿宋_GB2312" w:asciiTheme="minorEastAsia" w:hAnsiTheme="minorEastAsia" w:eastAsiaTheme="minorEastAsia"/>
          <w:b/>
          <w:color w:val="auto"/>
          <w:kern w:val="0"/>
          <w:sz w:val="32"/>
          <w:szCs w:val="32"/>
          <w:lang w:val="zh-CN"/>
        </w:rPr>
        <w:t>主要业绩证明</w:t>
      </w:r>
    </w:p>
    <w:p w14:paraId="7D23C44E">
      <w:pPr>
        <w:autoSpaceDE w:val="0"/>
        <w:autoSpaceDN w:val="0"/>
        <w:spacing w:line="360" w:lineRule="auto"/>
        <w:ind w:firstLine="120"/>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 :相关项目建设业绩一览表</w:t>
      </w:r>
    </w:p>
    <w:tbl>
      <w:tblPr>
        <w:tblStyle w:val="60"/>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376D0AF4">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71BA10C0">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47D4A989">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w:t>
            </w:r>
          </w:p>
          <w:p w14:paraId="032B19E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61EC8A92">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521791F3">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w:t>
            </w:r>
          </w:p>
          <w:p w14:paraId="0C72A08E">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投资</w:t>
            </w:r>
          </w:p>
          <w:p w14:paraId="319E8EEA">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0532D88A">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56B867B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项目地址与建设单位联系电话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06CA321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所在页码</w:t>
            </w:r>
          </w:p>
        </w:tc>
      </w:tr>
      <w:tr w14:paraId="5B00C6A4">
        <w:tblPrEx>
          <w:tblCellMar>
            <w:top w:w="0" w:type="dxa"/>
            <w:left w:w="108" w:type="dxa"/>
            <w:bottom w:w="0" w:type="dxa"/>
            <w:right w:w="108" w:type="dxa"/>
          </w:tblCellMar>
        </w:tblPrEx>
        <w:trPr>
          <w:trHeight w:val="894" w:hRule="atLeast"/>
        </w:trPr>
        <w:tc>
          <w:tcPr>
            <w:tcW w:w="1800" w:type="dxa"/>
            <w:tcBorders>
              <w:top w:val="single" w:color="auto" w:sz="6" w:space="0"/>
              <w:left w:val="single" w:color="auto" w:sz="6" w:space="0"/>
              <w:bottom w:val="single" w:color="auto" w:sz="6" w:space="0"/>
              <w:right w:val="single" w:color="auto" w:sz="6" w:space="0"/>
            </w:tcBorders>
          </w:tcPr>
          <w:p w14:paraId="65123664">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6FC11FBF">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04A16D35">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4A408714">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12C13EE2">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47F179A3">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686E3F06">
            <w:pPr>
              <w:autoSpaceDE w:val="0"/>
              <w:autoSpaceDN w:val="0"/>
              <w:spacing w:line="360" w:lineRule="auto"/>
              <w:rPr>
                <w:rFonts w:cs="仿宋_GB2312" w:asciiTheme="minorEastAsia" w:hAnsiTheme="minorEastAsia" w:eastAsiaTheme="minorEastAsia"/>
                <w:color w:val="auto"/>
                <w:sz w:val="24"/>
              </w:rPr>
            </w:pPr>
          </w:p>
        </w:tc>
      </w:tr>
      <w:tr w14:paraId="4E41EC01">
        <w:tblPrEx>
          <w:tblCellMar>
            <w:top w:w="0" w:type="dxa"/>
            <w:left w:w="108" w:type="dxa"/>
            <w:bottom w:w="0" w:type="dxa"/>
            <w:right w:w="108" w:type="dxa"/>
          </w:tblCellMar>
        </w:tblPrEx>
        <w:trPr>
          <w:trHeight w:val="920" w:hRule="atLeast"/>
        </w:trPr>
        <w:tc>
          <w:tcPr>
            <w:tcW w:w="1800" w:type="dxa"/>
            <w:tcBorders>
              <w:top w:val="single" w:color="auto" w:sz="6" w:space="0"/>
              <w:left w:val="single" w:color="auto" w:sz="6" w:space="0"/>
              <w:bottom w:val="single" w:color="auto" w:sz="6" w:space="0"/>
              <w:right w:val="single" w:color="auto" w:sz="6" w:space="0"/>
            </w:tcBorders>
          </w:tcPr>
          <w:p w14:paraId="5D77312C">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77BDA8E7">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5053AC11">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537830CD">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00C009D6">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15ACDB1B">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1BC948E1">
            <w:pPr>
              <w:autoSpaceDE w:val="0"/>
              <w:autoSpaceDN w:val="0"/>
              <w:spacing w:line="360" w:lineRule="auto"/>
              <w:rPr>
                <w:rFonts w:cs="仿宋_GB2312" w:asciiTheme="minorEastAsia" w:hAnsiTheme="minorEastAsia" w:eastAsiaTheme="minorEastAsia"/>
                <w:color w:val="auto"/>
                <w:sz w:val="24"/>
              </w:rPr>
            </w:pPr>
          </w:p>
        </w:tc>
      </w:tr>
      <w:tr w14:paraId="30C4DF66">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0D05D72B">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5E1D4114">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060A9678">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3D06F54F">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001C79A2">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362A4848">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26FCEE0D">
            <w:pPr>
              <w:autoSpaceDE w:val="0"/>
              <w:autoSpaceDN w:val="0"/>
              <w:spacing w:line="360" w:lineRule="auto"/>
              <w:rPr>
                <w:rFonts w:cs="仿宋_GB2312" w:asciiTheme="minorEastAsia" w:hAnsiTheme="minorEastAsia" w:eastAsiaTheme="minorEastAsia"/>
                <w:color w:val="auto"/>
                <w:sz w:val="24"/>
              </w:rPr>
            </w:pPr>
          </w:p>
        </w:tc>
      </w:tr>
      <w:tr w14:paraId="39A26191">
        <w:tblPrEx>
          <w:tblCellMar>
            <w:top w:w="0" w:type="dxa"/>
            <w:left w:w="108" w:type="dxa"/>
            <w:bottom w:w="0" w:type="dxa"/>
            <w:right w:w="108" w:type="dxa"/>
          </w:tblCellMar>
        </w:tblPrEx>
        <w:trPr>
          <w:trHeight w:val="933" w:hRule="atLeast"/>
        </w:trPr>
        <w:tc>
          <w:tcPr>
            <w:tcW w:w="1800" w:type="dxa"/>
            <w:tcBorders>
              <w:top w:val="single" w:color="auto" w:sz="6" w:space="0"/>
              <w:left w:val="single" w:color="auto" w:sz="6" w:space="0"/>
              <w:bottom w:val="single" w:color="auto" w:sz="6" w:space="0"/>
              <w:right w:val="single" w:color="auto" w:sz="6" w:space="0"/>
            </w:tcBorders>
          </w:tcPr>
          <w:p w14:paraId="25E0B1A0">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4AFD4969">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4F6FB45F">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363569CD">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1EA0EAA5">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0AFE0220">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4102731F">
            <w:pPr>
              <w:autoSpaceDE w:val="0"/>
              <w:autoSpaceDN w:val="0"/>
              <w:spacing w:line="360" w:lineRule="auto"/>
              <w:rPr>
                <w:rFonts w:cs="仿宋_GB2312" w:asciiTheme="minorEastAsia" w:hAnsiTheme="minorEastAsia" w:eastAsiaTheme="minorEastAsia"/>
                <w:color w:val="auto"/>
                <w:sz w:val="24"/>
              </w:rPr>
            </w:pPr>
          </w:p>
        </w:tc>
      </w:tr>
      <w:tr w14:paraId="398DC43B">
        <w:tblPrEx>
          <w:tblCellMar>
            <w:top w:w="0" w:type="dxa"/>
            <w:left w:w="108" w:type="dxa"/>
            <w:bottom w:w="0" w:type="dxa"/>
            <w:right w:w="108" w:type="dxa"/>
          </w:tblCellMar>
        </w:tblPrEx>
        <w:trPr>
          <w:trHeight w:val="927" w:hRule="atLeast"/>
        </w:trPr>
        <w:tc>
          <w:tcPr>
            <w:tcW w:w="1800" w:type="dxa"/>
            <w:tcBorders>
              <w:top w:val="single" w:color="auto" w:sz="6" w:space="0"/>
              <w:left w:val="single" w:color="auto" w:sz="6" w:space="0"/>
              <w:bottom w:val="single" w:color="auto" w:sz="6" w:space="0"/>
              <w:right w:val="single" w:color="auto" w:sz="6" w:space="0"/>
            </w:tcBorders>
          </w:tcPr>
          <w:p w14:paraId="5348BDFF">
            <w:pPr>
              <w:autoSpaceDE w:val="0"/>
              <w:autoSpaceDN w:val="0"/>
              <w:spacing w:line="360" w:lineRule="auto"/>
              <w:rPr>
                <w:rFonts w:cs="仿宋_GB2312" w:asciiTheme="minorEastAsia" w:hAnsiTheme="minorEastAsia" w:eastAsiaTheme="minorEastAsia"/>
                <w:color w:val="auto"/>
                <w:sz w:val="24"/>
              </w:rPr>
            </w:pPr>
          </w:p>
        </w:tc>
        <w:tc>
          <w:tcPr>
            <w:tcW w:w="951" w:type="dxa"/>
            <w:tcBorders>
              <w:top w:val="single" w:color="auto" w:sz="6" w:space="0"/>
              <w:left w:val="single" w:color="auto" w:sz="6" w:space="0"/>
              <w:bottom w:val="single" w:color="auto" w:sz="6" w:space="0"/>
              <w:right w:val="single" w:color="auto" w:sz="6" w:space="0"/>
            </w:tcBorders>
          </w:tcPr>
          <w:p w14:paraId="1790ABF0">
            <w:pPr>
              <w:autoSpaceDE w:val="0"/>
              <w:autoSpaceDN w:val="0"/>
              <w:spacing w:line="360" w:lineRule="auto"/>
              <w:rPr>
                <w:rFonts w:cs="仿宋_GB2312" w:asciiTheme="minorEastAsia" w:hAnsiTheme="minorEastAsia" w:eastAsiaTheme="minorEastAsia"/>
                <w:color w:val="auto"/>
                <w:sz w:val="24"/>
              </w:rPr>
            </w:pPr>
          </w:p>
        </w:tc>
        <w:tc>
          <w:tcPr>
            <w:tcW w:w="1356" w:type="dxa"/>
            <w:tcBorders>
              <w:top w:val="single" w:color="auto" w:sz="6" w:space="0"/>
              <w:left w:val="single" w:color="auto" w:sz="6" w:space="0"/>
              <w:bottom w:val="single" w:color="auto" w:sz="6" w:space="0"/>
              <w:right w:val="single" w:color="auto" w:sz="6" w:space="0"/>
            </w:tcBorders>
          </w:tcPr>
          <w:p w14:paraId="3BA09F62">
            <w:pPr>
              <w:autoSpaceDE w:val="0"/>
              <w:autoSpaceDN w:val="0"/>
              <w:spacing w:line="360" w:lineRule="auto"/>
              <w:rPr>
                <w:rFonts w:cs="仿宋_GB2312" w:asciiTheme="minorEastAsia" w:hAnsiTheme="minorEastAsia" w:eastAsiaTheme="minorEastAsia"/>
                <w:color w:val="auto"/>
                <w:sz w:val="24"/>
              </w:rPr>
            </w:pPr>
          </w:p>
        </w:tc>
        <w:tc>
          <w:tcPr>
            <w:tcW w:w="1143" w:type="dxa"/>
            <w:tcBorders>
              <w:top w:val="single" w:color="auto" w:sz="6" w:space="0"/>
              <w:left w:val="single" w:color="auto" w:sz="6" w:space="0"/>
              <w:bottom w:val="single" w:color="auto" w:sz="6" w:space="0"/>
              <w:right w:val="single" w:color="auto" w:sz="6" w:space="0"/>
            </w:tcBorders>
          </w:tcPr>
          <w:p w14:paraId="16547636">
            <w:pPr>
              <w:autoSpaceDE w:val="0"/>
              <w:autoSpaceDN w:val="0"/>
              <w:spacing w:line="360" w:lineRule="auto"/>
              <w:rPr>
                <w:rFonts w:cs="仿宋_GB2312" w:asciiTheme="minorEastAsia" w:hAnsiTheme="minorEastAsia" w:eastAsiaTheme="minorEastAsia"/>
                <w:color w:val="auto"/>
                <w:sz w:val="24"/>
              </w:rPr>
            </w:pPr>
          </w:p>
        </w:tc>
        <w:tc>
          <w:tcPr>
            <w:tcW w:w="1155" w:type="dxa"/>
            <w:tcBorders>
              <w:top w:val="single" w:color="auto" w:sz="6" w:space="0"/>
              <w:left w:val="single" w:color="auto" w:sz="6" w:space="0"/>
              <w:bottom w:val="single" w:color="auto" w:sz="6" w:space="0"/>
              <w:right w:val="single" w:color="auto" w:sz="6" w:space="0"/>
            </w:tcBorders>
          </w:tcPr>
          <w:p w14:paraId="3D787A07">
            <w:pPr>
              <w:autoSpaceDE w:val="0"/>
              <w:autoSpaceDN w:val="0"/>
              <w:spacing w:line="360" w:lineRule="auto"/>
              <w:rPr>
                <w:rFonts w:cs="仿宋_GB2312" w:asciiTheme="minorEastAsia" w:hAnsiTheme="minorEastAsia" w:eastAsiaTheme="minorEastAsia"/>
                <w:color w:val="auto"/>
                <w:sz w:val="24"/>
              </w:rPr>
            </w:pPr>
          </w:p>
        </w:tc>
        <w:tc>
          <w:tcPr>
            <w:tcW w:w="1515" w:type="dxa"/>
            <w:tcBorders>
              <w:top w:val="single" w:color="auto" w:sz="6" w:space="0"/>
              <w:left w:val="single" w:color="auto" w:sz="6" w:space="0"/>
              <w:bottom w:val="single" w:color="auto" w:sz="6" w:space="0"/>
              <w:right w:val="single" w:color="auto" w:sz="6" w:space="0"/>
            </w:tcBorders>
          </w:tcPr>
          <w:p w14:paraId="2AEADF97">
            <w:pPr>
              <w:autoSpaceDE w:val="0"/>
              <w:autoSpaceDN w:val="0"/>
              <w:spacing w:line="360" w:lineRule="auto"/>
              <w:rPr>
                <w:rFonts w:cs="仿宋_GB2312" w:asciiTheme="minorEastAsia" w:hAnsiTheme="minorEastAsia" w:eastAsiaTheme="minorEastAsia"/>
                <w:color w:val="auto"/>
                <w:sz w:val="24"/>
              </w:rPr>
            </w:pPr>
          </w:p>
        </w:tc>
        <w:tc>
          <w:tcPr>
            <w:tcW w:w="1215" w:type="dxa"/>
            <w:tcBorders>
              <w:top w:val="single" w:color="auto" w:sz="6" w:space="0"/>
              <w:left w:val="single" w:color="auto" w:sz="6" w:space="0"/>
              <w:bottom w:val="single" w:color="auto" w:sz="6" w:space="0"/>
              <w:right w:val="single" w:color="auto" w:sz="6" w:space="0"/>
            </w:tcBorders>
          </w:tcPr>
          <w:p w14:paraId="4858891D">
            <w:pPr>
              <w:autoSpaceDE w:val="0"/>
              <w:autoSpaceDN w:val="0"/>
              <w:spacing w:line="360" w:lineRule="auto"/>
              <w:rPr>
                <w:rFonts w:cs="仿宋_GB2312" w:asciiTheme="minorEastAsia" w:hAnsiTheme="minorEastAsia" w:eastAsiaTheme="minorEastAsia"/>
                <w:color w:val="auto"/>
                <w:sz w:val="24"/>
              </w:rPr>
            </w:pPr>
          </w:p>
        </w:tc>
      </w:tr>
    </w:tbl>
    <w:p w14:paraId="6CFF7D42">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b/>
          <w:color w:val="auto"/>
          <w:sz w:val="24"/>
        </w:rPr>
        <w:t>注：供应商可按上述的格式自行编制，须随表提交相应的合同复印件和用户单位验收证明并注明所在文件页码。</w:t>
      </w:r>
    </w:p>
    <w:p w14:paraId="3558D80F">
      <w:pPr>
        <w:autoSpaceDE w:val="0"/>
        <w:autoSpaceDN w:val="0"/>
        <w:spacing w:line="360" w:lineRule="auto"/>
        <w:rPr>
          <w:rFonts w:cs="仿宋_GB2312" w:asciiTheme="minorEastAsia" w:hAnsiTheme="minorEastAsia" w:eastAsiaTheme="minorEastAsia"/>
          <w:color w:val="auto"/>
          <w:sz w:val="24"/>
        </w:rPr>
      </w:pPr>
    </w:p>
    <w:p w14:paraId="0C08A834">
      <w:pPr>
        <w:autoSpaceDE w:val="0"/>
        <w:autoSpaceDN w:val="0"/>
        <w:spacing w:line="360" w:lineRule="auto"/>
        <w:ind w:firstLine="5280" w:firstLineChars="2200"/>
        <w:rPr>
          <w:rFonts w:cs="仿宋_GB2312" w:asciiTheme="minorEastAsia" w:hAnsiTheme="minorEastAsia" w:eastAsiaTheme="minorEastAsia"/>
          <w:color w:val="auto"/>
          <w:kern w:val="0"/>
          <w:sz w:val="24"/>
        </w:rPr>
      </w:pPr>
    </w:p>
    <w:p w14:paraId="795CB089">
      <w:pPr>
        <w:autoSpaceDE w:val="0"/>
        <w:autoSpaceDN w:val="0"/>
        <w:spacing w:line="360" w:lineRule="auto"/>
        <w:ind w:firstLine="5280" w:firstLineChars="2200"/>
        <w:rPr>
          <w:rFonts w:cs="仿宋_GB2312" w:asciiTheme="minorEastAsia" w:hAnsiTheme="minorEastAsia" w:eastAsiaTheme="minorEastAsia"/>
          <w:color w:val="auto"/>
          <w:kern w:val="0"/>
          <w:sz w:val="24"/>
        </w:rPr>
      </w:pPr>
    </w:p>
    <w:p w14:paraId="4070ED9F">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0B03559A">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74CA9A92">
      <w:pPr>
        <w:spacing w:line="360" w:lineRule="auto"/>
        <w:jc w:val="center"/>
        <w:rPr>
          <w:rFonts w:cs="仿宋_GB2312" w:asciiTheme="minorEastAsia" w:hAnsiTheme="minorEastAsia" w:eastAsiaTheme="minorEastAsia"/>
          <w:b/>
          <w:bCs/>
          <w:color w:val="auto"/>
          <w:sz w:val="32"/>
          <w:szCs w:val="32"/>
        </w:rPr>
      </w:pPr>
    </w:p>
    <w:p w14:paraId="32373FD6">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lang w:eastAsia="zh-CN"/>
        </w:rPr>
        <w:t>六</w:t>
      </w:r>
      <w:r>
        <w:rPr>
          <w:rFonts w:hint="eastAsia" w:cs="仿宋_GB2312" w:asciiTheme="minorEastAsia" w:hAnsiTheme="minorEastAsia" w:eastAsiaTheme="minorEastAsia"/>
          <w:b/>
          <w:bCs/>
          <w:color w:val="auto"/>
          <w:sz w:val="32"/>
          <w:szCs w:val="32"/>
        </w:rPr>
        <w:t>、关于</w:t>
      </w:r>
      <w:r>
        <w:rPr>
          <w:rFonts w:hint="eastAsia" w:cs="仿宋_GB2312" w:asciiTheme="minorEastAsia" w:hAnsiTheme="minorEastAsia" w:eastAsiaTheme="minorEastAsia"/>
          <w:b/>
          <w:color w:val="auto"/>
          <w:kern w:val="0"/>
          <w:sz w:val="32"/>
          <w:szCs w:val="32"/>
          <w:lang w:val="zh-CN"/>
        </w:rPr>
        <w:t>对磋商文件中有关条款的拒绝声明</w:t>
      </w:r>
    </w:p>
    <w:p w14:paraId="0F6A18E8">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536DF3CD">
      <w:pPr>
        <w:spacing w:line="360" w:lineRule="auto"/>
        <w:rPr>
          <w:rFonts w:cs="仿宋_GB2312" w:asciiTheme="minorEastAsia" w:hAnsiTheme="minorEastAsia" w:eastAsiaTheme="minorEastAsia"/>
          <w:color w:val="auto"/>
          <w:sz w:val="24"/>
        </w:rPr>
      </w:pPr>
    </w:p>
    <w:p w14:paraId="3F6006C0">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63B219BF">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171D92AA">
      <w:pPr>
        <w:spacing w:line="360" w:lineRule="auto"/>
        <w:jc w:val="center"/>
        <w:rPr>
          <w:rFonts w:cs="仿宋_GB2312" w:asciiTheme="minorEastAsia" w:hAnsiTheme="minorEastAsia" w:eastAsiaTheme="minorEastAsia"/>
          <w:b/>
          <w:bCs/>
          <w:color w:val="auto"/>
          <w:sz w:val="32"/>
          <w:szCs w:val="32"/>
        </w:rPr>
      </w:pPr>
    </w:p>
    <w:p w14:paraId="1A795146">
      <w:pPr>
        <w:spacing w:line="360" w:lineRule="auto"/>
        <w:jc w:val="center"/>
        <w:rPr>
          <w:rFonts w:cs="仿宋_GB2312" w:asciiTheme="minorEastAsia" w:hAnsiTheme="minorEastAsia" w:eastAsiaTheme="minorEastAsia"/>
          <w:b/>
          <w:bCs/>
          <w:color w:val="auto"/>
          <w:sz w:val="32"/>
          <w:szCs w:val="32"/>
        </w:rPr>
      </w:pPr>
    </w:p>
    <w:p w14:paraId="3AC33BFC">
      <w:pPr>
        <w:spacing w:line="360" w:lineRule="auto"/>
        <w:jc w:val="center"/>
        <w:rPr>
          <w:rFonts w:cs="仿宋_GB2312" w:asciiTheme="minorEastAsia" w:hAnsiTheme="minorEastAsia" w:eastAsiaTheme="minorEastAsia"/>
          <w:b/>
          <w:bCs/>
          <w:color w:val="auto"/>
          <w:sz w:val="32"/>
          <w:szCs w:val="32"/>
        </w:rPr>
      </w:pPr>
    </w:p>
    <w:p w14:paraId="46F3BBAA">
      <w:pPr>
        <w:spacing w:line="360" w:lineRule="auto"/>
        <w:jc w:val="center"/>
        <w:rPr>
          <w:rFonts w:cs="仿宋_GB2312" w:asciiTheme="minorEastAsia" w:hAnsiTheme="minorEastAsia" w:eastAsiaTheme="minorEastAsia"/>
          <w:b/>
          <w:bCs/>
          <w:color w:val="auto"/>
          <w:sz w:val="32"/>
          <w:szCs w:val="32"/>
        </w:rPr>
      </w:pPr>
    </w:p>
    <w:p w14:paraId="7E85AF76">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lang w:eastAsia="zh-CN"/>
        </w:rPr>
        <w:t>七</w:t>
      </w:r>
      <w:r>
        <w:rPr>
          <w:rFonts w:hint="eastAsia" w:cs="仿宋_GB2312" w:asciiTheme="minorEastAsia" w:hAnsiTheme="minorEastAsia" w:eastAsiaTheme="minorEastAsia"/>
          <w:b/>
          <w:bCs/>
          <w:color w:val="auto"/>
          <w:sz w:val="32"/>
          <w:szCs w:val="32"/>
        </w:rPr>
        <w:t>、认为需要的</w:t>
      </w:r>
      <w:r>
        <w:rPr>
          <w:rFonts w:hint="eastAsia" w:cs="仿宋_GB2312" w:asciiTheme="minorEastAsia" w:hAnsiTheme="minorEastAsia" w:eastAsiaTheme="minorEastAsia"/>
          <w:b/>
          <w:color w:val="auto"/>
          <w:kern w:val="0"/>
          <w:sz w:val="32"/>
          <w:szCs w:val="32"/>
          <w:lang w:val="zh-CN"/>
        </w:rPr>
        <w:t>其他商务文件或说明</w:t>
      </w:r>
    </w:p>
    <w:p w14:paraId="4649DC1E">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3E3BD645">
      <w:pPr>
        <w:spacing w:line="360" w:lineRule="auto"/>
        <w:jc w:val="center"/>
        <w:rPr>
          <w:rFonts w:cs="仿宋_GB2312" w:asciiTheme="minorEastAsia" w:hAnsiTheme="minorEastAsia" w:eastAsiaTheme="minorEastAsia"/>
          <w:color w:val="auto"/>
          <w:sz w:val="24"/>
        </w:rPr>
      </w:pPr>
    </w:p>
    <w:p w14:paraId="5A00249E">
      <w:pPr>
        <w:spacing w:line="360" w:lineRule="auto"/>
        <w:rPr>
          <w:rFonts w:cs="仿宋_GB2312" w:asciiTheme="minorEastAsia" w:hAnsiTheme="minorEastAsia" w:eastAsiaTheme="minorEastAsia"/>
          <w:color w:val="auto"/>
          <w:sz w:val="24"/>
        </w:rPr>
      </w:pPr>
    </w:p>
    <w:p w14:paraId="7ABA456A">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6496897B">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6E48434D">
      <w:pPr>
        <w:spacing w:line="360" w:lineRule="auto"/>
        <w:jc w:val="center"/>
        <w:rPr>
          <w:rFonts w:cs="仿宋_GB2312" w:asciiTheme="minorEastAsia" w:hAnsiTheme="minorEastAsia" w:eastAsiaTheme="minorEastAsia"/>
          <w:b/>
          <w:bCs/>
          <w:color w:val="auto"/>
          <w:sz w:val="32"/>
          <w:szCs w:val="32"/>
        </w:rPr>
      </w:pPr>
    </w:p>
    <w:p w14:paraId="6E870970">
      <w:pPr>
        <w:spacing w:line="360" w:lineRule="auto"/>
        <w:rPr>
          <w:rFonts w:cs="仿宋_GB2312" w:asciiTheme="minorEastAsia" w:hAnsiTheme="minorEastAsia" w:eastAsiaTheme="minorEastAsia"/>
          <w:b/>
          <w:bCs/>
          <w:color w:val="auto"/>
          <w:kern w:val="0"/>
          <w:sz w:val="24"/>
        </w:rPr>
      </w:pPr>
    </w:p>
    <w:p w14:paraId="1097C4A5">
      <w:pPr>
        <w:widowControl/>
        <w:adjustRightInd/>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color w:val="auto"/>
        </w:rPr>
        <w:br w:type="page"/>
      </w:r>
    </w:p>
    <w:p w14:paraId="3A1BC2BD">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lang w:eastAsia="zh-CN"/>
        </w:rPr>
        <w:t>八</w:t>
      </w:r>
      <w:r>
        <w:rPr>
          <w:rFonts w:hint="eastAsia" w:cs="仿宋_GB2312" w:asciiTheme="minorEastAsia" w:hAnsiTheme="minorEastAsia" w:eastAsiaTheme="minorEastAsia"/>
          <w:b/>
          <w:bCs/>
          <w:color w:val="auto"/>
          <w:sz w:val="32"/>
          <w:szCs w:val="32"/>
        </w:rPr>
        <w:t>、技术解决方案</w:t>
      </w:r>
    </w:p>
    <w:p w14:paraId="273A430D">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（由供应商根据采购需求及磋商文件要求编制）</w:t>
      </w:r>
    </w:p>
    <w:p w14:paraId="094820B9">
      <w:pPr>
        <w:spacing w:line="360" w:lineRule="auto"/>
        <w:jc w:val="center"/>
        <w:rPr>
          <w:rFonts w:cs="仿宋_GB2312" w:asciiTheme="minorEastAsia" w:hAnsiTheme="minorEastAsia" w:eastAsiaTheme="minorEastAsia"/>
          <w:color w:val="auto"/>
          <w:sz w:val="24"/>
        </w:rPr>
      </w:pPr>
    </w:p>
    <w:p w14:paraId="0D2726A8">
      <w:pPr>
        <w:autoSpaceDE w:val="0"/>
        <w:autoSpaceDN w:val="0"/>
        <w:spacing w:line="360" w:lineRule="auto"/>
        <w:rPr>
          <w:rFonts w:cs="仿宋_GB2312" w:asciiTheme="minorEastAsia" w:hAnsiTheme="minorEastAsia" w:eastAsiaTheme="minorEastAsia"/>
          <w:color w:val="auto"/>
          <w:kern w:val="0"/>
          <w:sz w:val="24"/>
        </w:rPr>
      </w:pPr>
    </w:p>
    <w:p w14:paraId="0DF2E721">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3D41D7A1">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4EFD6832">
      <w:pPr>
        <w:spacing w:line="360" w:lineRule="auto"/>
        <w:jc w:val="center"/>
        <w:rPr>
          <w:rFonts w:cs="仿宋_GB2312" w:asciiTheme="minorEastAsia" w:hAnsiTheme="minorEastAsia" w:eastAsiaTheme="minorEastAsia"/>
          <w:b/>
          <w:bCs/>
          <w:color w:val="auto"/>
          <w:sz w:val="32"/>
          <w:szCs w:val="32"/>
        </w:rPr>
      </w:pPr>
    </w:p>
    <w:p w14:paraId="1D4A92EB">
      <w:pPr>
        <w:tabs>
          <w:tab w:val="left" w:pos="2790"/>
          <w:tab w:val="left" w:pos="4230"/>
        </w:tabs>
        <w:autoSpaceDE w:val="0"/>
        <w:autoSpaceDN w:val="0"/>
        <w:spacing w:line="360" w:lineRule="auto"/>
        <w:ind w:right="1400"/>
        <w:jc w:val="center"/>
        <w:rPr>
          <w:rFonts w:cs="仿宋_GB2312" w:asciiTheme="minorEastAsia" w:hAnsiTheme="minorEastAsia" w:eastAsiaTheme="minorEastAsia"/>
          <w:b/>
          <w:bCs/>
          <w:color w:val="auto"/>
          <w:kern w:val="0"/>
          <w:sz w:val="32"/>
          <w:szCs w:val="32"/>
          <w:lang w:val="zh-CN"/>
        </w:rPr>
      </w:pPr>
      <w:r>
        <w:rPr>
          <w:rFonts w:hint="eastAsia" w:cs="仿宋_GB2312" w:asciiTheme="minorEastAsia" w:hAnsiTheme="minorEastAsia" w:eastAsiaTheme="minorEastAsia"/>
          <w:b/>
          <w:bCs/>
          <w:color w:val="auto"/>
          <w:kern w:val="0"/>
          <w:sz w:val="24"/>
          <w:lang w:val="zh-CN"/>
        </w:rPr>
        <w:t xml:space="preserve"> </w:t>
      </w:r>
      <w:r>
        <w:rPr>
          <w:rFonts w:hint="eastAsia" w:cs="仿宋_GB2312" w:asciiTheme="minorEastAsia" w:hAnsiTheme="minorEastAsia" w:eastAsiaTheme="minorEastAsia"/>
          <w:b/>
          <w:bCs/>
          <w:color w:val="auto"/>
          <w:kern w:val="0"/>
          <w:sz w:val="32"/>
          <w:szCs w:val="32"/>
          <w:lang w:val="zh-CN"/>
        </w:rPr>
        <w:t>九、组织实施方案</w:t>
      </w:r>
    </w:p>
    <w:p w14:paraId="06B0A83E">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（由供应商根据采购需求及磋商文件要求编制）</w:t>
      </w:r>
    </w:p>
    <w:p w14:paraId="3196E2F2">
      <w:pPr>
        <w:tabs>
          <w:tab w:val="left" w:pos="2790"/>
          <w:tab w:val="left" w:pos="4230"/>
        </w:tabs>
        <w:autoSpaceDE w:val="0"/>
        <w:autoSpaceDN w:val="0"/>
        <w:spacing w:line="360" w:lineRule="auto"/>
        <w:ind w:right="1400"/>
        <w:rPr>
          <w:rFonts w:cs="仿宋_GB2312" w:asciiTheme="minorEastAsia" w:hAnsiTheme="minorEastAsia" w:eastAsiaTheme="minorEastAsia"/>
          <w:b/>
          <w:bCs/>
          <w:color w:val="auto"/>
          <w:kern w:val="0"/>
          <w:sz w:val="24"/>
          <w:lang w:val="zh-CN"/>
        </w:rPr>
      </w:pPr>
      <w:r>
        <w:rPr>
          <w:rFonts w:hint="eastAsia" w:cs="仿宋_GB2312" w:asciiTheme="minorEastAsia" w:hAnsiTheme="minorEastAsia" w:eastAsiaTheme="minorEastAsia"/>
          <w:b/>
          <w:bCs/>
          <w:color w:val="auto"/>
          <w:kern w:val="0"/>
          <w:sz w:val="24"/>
          <w:lang w:val="zh-CN"/>
        </w:rPr>
        <w:t>附表:项目实施进度计划表</w:t>
      </w:r>
      <w:r>
        <w:rPr>
          <w:rFonts w:hint="eastAsia" w:cs="仿宋_GB2312" w:asciiTheme="minorEastAsia" w:hAnsiTheme="minorEastAsia" w:eastAsiaTheme="minorEastAsia"/>
          <w:b/>
          <w:color w:val="auto"/>
          <w:sz w:val="24"/>
        </w:rPr>
        <w:t xml:space="preserve">(以生效日算起) </w:t>
      </w:r>
    </w:p>
    <w:tbl>
      <w:tblPr>
        <w:tblStyle w:val="60"/>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0A9FDE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0" w:hRule="atLeast"/>
        </w:trPr>
        <w:tc>
          <w:tcPr>
            <w:tcW w:w="1188" w:type="dxa"/>
            <w:vAlign w:val="center"/>
          </w:tcPr>
          <w:p w14:paraId="6236FCC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mc:AlternateContent>
                <mc:Choice Requires="wpg">
                  <w:drawing>
                    <wp:anchor distT="0" distB="0" distL="114300" distR="114300" simplePos="0" relativeHeight="251659264" behindDoc="0" locked="0" layoutInCell="1" allowOverlap="1">
                      <wp:simplePos x="0" y="0"/>
                      <wp:positionH relativeFrom="column">
                        <wp:posOffset>-65405</wp:posOffset>
                      </wp:positionH>
                      <wp:positionV relativeFrom="paragraph">
                        <wp:posOffset>0</wp:posOffset>
                      </wp:positionV>
                      <wp:extent cx="748030" cy="1181100"/>
                      <wp:effectExtent l="3810" t="2540" r="10160" b="16510"/>
                      <wp:wrapNone/>
                      <wp:docPr id="4" name="Group 7"/>
                      <wp:cNvGraphicFramePr/>
                      <a:graphic xmlns:a="http://schemas.openxmlformats.org/drawingml/2006/main">
                        <a:graphicData uri="http://schemas.microsoft.com/office/word/2010/wordprocessingGroup">
                          <wpg:wgp>
                            <wpg:cNvGrpSpPr/>
                            <wpg:grpSpPr>
                              <a:xfrm>
                                <a:off x="0" y="0"/>
                                <a:ext cx="748030" cy="1181100"/>
                                <a:chOff x="0" y="0"/>
                                <a:chExt cx="1178" cy="1860"/>
                              </a:xfrm>
                              <a:effectLst/>
                            </wpg:grpSpPr>
                            <wps:wsp>
                              <wps:cNvPr id="5" name="__TH_L2"/>
                              <wps:cNvCnPr/>
                              <wps:spPr bwMode="auto">
                                <a:xfrm>
                                  <a:off x="0" y="0"/>
                                  <a:ext cx="1178" cy="1860"/>
                                </a:xfrm>
                                <a:prstGeom prst="line">
                                  <a:avLst/>
                                </a:prstGeom>
                                <a:noFill/>
                                <a:ln w="6350">
                                  <a:solidFill>
                                    <a:srgbClr val="000000"/>
                                  </a:solidFill>
                                  <a:round/>
                                </a:ln>
                                <a:effectLst/>
                              </wps:spPr>
                              <wps:bodyPr/>
                            </wps:wsp>
                            <wps:wsp>
                              <wps:cNvPr id="6" name="__TH_B113"/>
                              <wps:cNvSpPr txBox="1">
                                <a:spLocks noChangeArrowheads="1"/>
                              </wps:cNvSpPr>
                              <wps:spPr bwMode="auto">
                                <a:xfrm>
                                  <a:off x="455" y="122"/>
                                  <a:ext cx="253" cy="263"/>
                                </a:xfrm>
                                <a:prstGeom prst="rect">
                                  <a:avLst/>
                                </a:prstGeom>
                                <a:noFill/>
                                <a:ln>
                                  <a:noFill/>
                                </a:ln>
                                <a:effectLst/>
                              </wps:spPr>
                              <wps:txbx>
                                <w:txbxContent>
                                  <w:p w14:paraId="0C747785">
                                    <w:pPr>
                                      <w:snapToGrid w:val="0"/>
                                    </w:pPr>
                                    <w:r>
                                      <w:rPr>
                                        <w:rFonts w:hint="eastAsia"/>
                                      </w:rPr>
                                      <w:t>工</w:t>
                                    </w:r>
                                  </w:p>
                                </w:txbxContent>
                              </wps:txbx>
                              <wps:bodyPr rot="0" vert="horz" wrap="square" lIns="0" tIns="0" rIns="0" bIns="0" anchor="t" anchorCtr="0" upright="1">
                                <a:noAutofit/>
                              </wps:bodyPr>
                            </wps:wsp>
                            <wps:wsp>
                              <wps:cNvPr id="7" name="__TH_B124"/>
                              <wps:cNvSpPr txBox="1">
                                <a:spLocks noChangeArrowheads="1"/>
                              </wps:cNvSpPr>
                              <wps:spPr bwMode="auto">
                                <a:xfrm>
                                  <a:off x="643" y="419"/>
                                  <a:ext cx="253" cy="263"/>
                                </a:xfrm>
                                <a:prstGeom prst="rect">
                                  <a:avLst/>
                                </a:prstGeom>
                                <a:noFill/>
                                <a:ln>
                                  <a:noFill/>
                                </a:ln>
                                <a:effectLst/>
                              </wps:spPr>
                              <wps:txbx>
                                <w:txbxContent>
                                  <w:p w14:paraId="47B44699">
                                    <w:pPr>
                                      <w:snapToGrid w:val="0"/>
                                    </w:pPr>
                                    <w:r>
                                      <w:rPr>
                                        <w:rFonts w:hint="eastAsia"/>
                                      </w:rPr>
                                      <w:t>作</w:t>
                                    </w:r>
                                  </w:p>
                                </w:txbxContent>
                              </wps:txbx>
                              <wps:bodyPr rot="0" vert="horz" wrap="square" lIns="0" tIns="0" rIns="0" bIns="0" anchor="t" anchorCtr="0" upright="1">
                                <a:noAutofit/>
                              </wps:bodyPr>
                            </wps:wsp>
                            <wps:wsp>
                              <wps:cNvPr id="8" name="__TH_B135"/>
                              <wps:cNvSpPr txBox="1">
                                <a:spLocks noChangeArrowheads="1"/>
                              </wps:cNvSpPr>
                              <wps:spPr bwMode="auto">
                                <a:xfrm>
                                  <a:off x="831" y="717"/>
                                  <a:ext cx="253" cy="262"/>
                                </a:xfrm>
                                <a:prstGeom prst="rect">
                                  <a:avLst/>
                                </a:prstGeom>
                                <a:noFill/>
                                <a:ln>
                                  <a:noFill/>
                                </a:ln>
                                <a:effectLst/>
                              </wps:spPr>
                              <wps:txbx>
                                <w:txbxContent>
                                  <w:p w14:paraId="4AF5F6A9">
                                    <w:pPr>
                                      <w:snapToGrid w:val="0"/>
                                    </w:pPr>
                                    <w:r>
                                      <w:rPr>
                                        <w:rFonts w:hint="eastAsia"/>
                                      </w:rPr>
                                      <w:t>日</w:t>
                                    </w:r>
                                  </w:p>
                                </w:txbxContent>
                              </wps:txbx>
                              <wps:bodyPr rot="0" vert="horz" wrap="square" lIns="0" tIns="0" rIns="0" bIns="0" anchor="t" anchorCtr="0" upright="1">
                                <a:noAutofit/>
                              </wps:bodyPr>
                            </wps:wsp>
                          </wpg:wgp>
                        </a:graphicData>
                      </a:graphic>
                    </wp:anchor>
                  </w:drawing>
                </mc:Choice>
                <mc:Fallback>
                  <w:pict>
                    <v:group id="Group 7" o:spid="_x0000_s1026" o:spt="203" style="position:absolute;left:0pt;margin-left:-5.15pt;margin-top:0pt;height:93pt;width:58.9pt;z-index:251659264;mso-width-relative:page;mso-height-relative:page;" coordsize="1178,1860" o:gfxdata="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">
                      <o:lock v:ext="edit" aspectratio="f"/>
                      <v:line id="__TH_L2" o:spid="_x0000_s1026" o:spt="20" style="position:absolute;left:0;top:0;height:1860;width:1178;" filled="f" stroked="t" coordsize="21600,21600" o:gfxdata="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CkPA5+ugAAANoA&#10;AAAPAAAAAAAAAAEAIAAAACIAAABkcnMvZG93bnJldi54bWxQSwECFAAUAAAACACHTuJAMy8FnjsA&#10;AAA5AAAAEAAAAAAAAAABACAAAAAJAQAAZHJzL3NoYXBleG1sLnhtbFBLBQYAAAAABgAGAFsBAACz&#10;AwAAAAA=&#10;">
                        <v:fill on="f" focussize="0,0"/>
                        <v:stroke weight="0.5pt" color="#000000" joinstyle="round"/>
                        <v:imagedata o:title=""/>
                        <o:lock v:ext="edit" aspectratio="f"/>
                      </v:line>
                      <v:shape id="__TH_B113" o:spid="_x0000_s1026" o:spt="202" type="#_x0000_t202" style="position:absolute;left:455;top:122;height:263;width:25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0C747785">
                              <w:pPr>
                                <w:snapToGrid w:val="0"/>
                              </w:pPr>
                              <w:r>
                                <w:rPr>
                                  <w:rFonts w:hint="eastAsia"/>
                                </w:rPr>
                                <w:t>工</w:t>
                              </w:r>
                            </w:p>
                          </w:txbxContent>
                        </v:textbox>
                      </v:shape>
                      <v:shape id="__TH_B124" o:spid="_x0000_s1026" o:spt="202" type="#_x0000_t202" style="position:absolute;left:643;top:419;height:263;width:253;" filled="f" stroked="f" coordsize="21600,21600" o:gfxdata="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gdL+kL4A&#10;AADa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47B44699">
                              <w:pPr>
                                <w:snapToGrid w:val="0"/>
                              </w:pPr>
                              <w:r>
                                <w:rPr>
                                  <w:rFonts w:hint="eastAsia"/>
                                </w:rPr>
                                <w:t>作</w:t>
                              </w:r>
                            </w:p>
                          </w:txbxContent>
                        </v:textbox>
                      </v:shape>
                      <v:shape id="__TH_B135" o:spid="_x0000_s1026" o:spt="202" type="#_x0000_t202" style="position:absolute;left:831;top:717;height:262;width:253;" filled="f" stroked="f" coordsize="21600,21600" o:gfxdata="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">
                        <v:fill on="f" focussize="0,0"/>
                        <v:stroke on="f"/>
                        <v:imagedata o:title=""/>
                        <o:lock v:ext="edit" aspectratio="f"/>
                        <v:textbox inset="0mm,0mm,0mm,0mm">
                          <w:txbxContent>
                            <w:p w14:paraId="4AF5F6A9">
                              <w:pPr>
                                <w:snapToGrid w:val="0"/>
                              </w:pPr>
                              <w:r>
                                <w:rPr>
                                  <w:rFonts w:hint="eastAsia"/>
                                </w:rPr>
                                <w:t>日</w:t>
                              </w:r>
                            </w:p>
                          </w:txbxContent>
                        </v:textbox>
                      </v:shape>
                    </v:group>
                  </w:pict>
                </mc:Fallback>
              </mc:AlternateContent>
            </w:r>
          </w:p>
          <w:p w14:paraId="22C79908">
            <w:pPr>
              <w:spacing w:line="360" w:lineRule="auto"/>
              <w:rPr>
                <w:rFonts w:cs="仿宋_GB2312" w:asciiTheme="minorEastAsia" w:hAnsiTheme="minorEastAsia" w:eastAsiaTheme="minorEastAsia"/>
                <w:color w:val="auto"/>
                <w:sz w:val="24"/>
              </w:rPr>
            </w:pPr>
          </w:p>
          <w:p w14:paraId="2C962A89">
            <w:pPr>
              <w:spacing w:line="360" w:lineRule="auto"/>
              <w:rPr>
                <w:rFonts w:cs="仿宋_GB2312" w:asciiTheme="minorEastAsia" w:hAnsiTheme="minorEastAsia" w:eastAsiaTheme="minorEastAsia"/>
                <w:color w:val="auto"/>
                <w:sz w:val="24"/>
              </w:rPr>
            </w:pPr>
          </w:p>
          <w:p w14:paraId="12BCBB74">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内容</w:t>
            </w:r>
          </w:p>
        </w:tc>
        <w:tc>
          <w:tcPr>
            <w:tcW w:w="552" w:type="dxa"/>
            <w:vAlign w:val="center"/>
          </w:tcPr>
          <w:p w14:paraId="619237D4">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w:t>
            </w:r>
          </w:p>
        </w:tc>
        <w:tc>
          <w:tcPr>
            <w:tcW w:w="552" w:type="dxa"/>
            <w:vAlign w:val="center"/>
          </w:tcPr>
          <w:p w14:paraId="6DDEC11C">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2</w:t>
            </w:r>
          </w:p>
        </w:tc>
        <w:tc>
          <w:tcPr>
            <w:tcW w:w="552" w:type="dxa"/>
            <w:vAlign w:val="center"/>
          </w:tcPr>
          <w:p w14:paraId="5D1919B4">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3</w:t>
            </w:r>
          </w:p>
        </w:tc>
        <w:tc>
          <w:tcPr>
            <w:tcW w:w="552" w:type="dxa"/>
            <w:vAlign w:val="center"/>
          </w:tcPr>
          <w:p w14:paraId="3322053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4</w:t>
            </w:r>
          </w:p>
        </w:tc>
        <w:tc>
          <w:tcPr>
            <w:tcW w:w="552" w:type="dxa"/>
            <w:vAlign w:val="center"/>
          </w:tcPr>
          <w:p w14:paraId="7FF587A9">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5</w:t>
            </w:r>
          </w:p>
        </w:tc>
        <w:tc>
          <w:tcPr>
            <w:tcW w:w="552" w:type="dxa"/>
            <w:vAlign w:val="center"/>
          </w:tcPr>
          <w:p w14:paraId="0C5E316F">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6</w:t>
            </w:r>
          </w:p>
        </w:tc>
        <w:tc>
          <w:tcPr>
            <w:tcW w:w="553" w:type="dxa"/>
            <w:vAlign w:val="center"/>
          </w:tcPr>
          <w:p w14:paraId="2B0996B0">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7</w:t>
            </w:r>
          </w:p>
        </w:tc>
        <w:tc>
          <w:tcPr>
            <w:tcW w:w="553" w:type="dxa"/>
            <w:vAlign w:val="center"/>
          </w:tcPr>
          <w:p w14:paraId="51B6582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8</w:t>
            </w:r>
          </w:p>
        </w:tc>
        <w:tc>
          <w:tcPr>
            <w:tcW w:w="553" w:type="dxa"/>
            <w:vAlign w:val="center"/>
          </w:tcPr>
          <w:p w14:paraId="48D89631">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9</w:t>
            </w:r>
          </w:p>
        </w:tc>
        <w:tc>
          <w:tcPr>
            <w:tcW w:w="553" w:type="dxa"/>
            <w:vAlign w:val="center"/>
          </w:tcPr>
          <w:p w14:paraId="41718BE7">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10</w:t>
            </w:r>
          </w:p>
        </w:tc>
        <w:tc>
          <w:tcPr>
            <w:tcW w:w="553" w:type="dxa"/>
            <w:vAlign w:val="center"/>
          </w:tcPr>
          <w:p w14:paraId="038F37E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11</w:t>
            </w:r>
          </w:p>
        </w:tc>
        <w:tc>
          <w:tcPr>
            <w:tcW w:w="553" w:type="dxa"/>
            <w:vAlign w:val="center"/>
          </w:tcPr>
          <w:p w14:paraId="15F66648">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12</w:t>
            </w:r>
          </w:p>
        </w:tc>
        <w:tc>
          <w:tcPr>
            <w:tcW w:w="553" w:type="dxa"/>
            <w:vAlign w:val="center"/>
          </w:tcPr>
          <w:p w14:paraId="0FD04CA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13</w:t>
            </w:r>
          </w:p>
        </w:tc>
        <w:tc>
          <w:tcPr>
            <w:tcW w:w="553" w:type="dxa"/>
            <w:vAlign w:val="center"/>
          </w:tcPr>
          <w:p w14:paraId="7B38F7DE">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14</w:t>
            </w:r>
          </w:p>
        </w:tc>
        <w:tc>
          <w:tcPr>
            <w:tcW w:w="553" w:type="dxa"/>
            <w:vAlign w:val="center"/>
          </w:tcPr>
          <w:p w14:paraId="257622CA">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15</w:t>
            </w:r>
          </w:p>
        </w:tc>
        <w:tc>
          <w:tcPr>
            <w:tcW w:w="553" w:type="dxa"/>
            <w:vAlign w:val="center"/>
          </w:tcPr>
          <w:p w14:paraId="4AF94ADC">
            <w:pPr>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w:t>
            </w:r>
          </w:p>
        </w:tc>
      </w:tr>
      <w:tr w14:paraId="7DBAC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1A1D104">
            <w:pPr>
              <w:spacing w:line="360" w:lineRule="auto"/>
              <w:rPr>
                <w:rFonts w:cs="仿宋_GB2312" w:asciiTheme="minorEastAsia" w:hAnsiTheme="minorEastAsia" w:eastAsiaTheme="minorEastAsia"/>
                <w:color w:val="auto"/>
                <w:sz w:val="24"/>
              </w:rPr>
            </w:pPr>
          </w:p>
        </w:tc>
        <w:tc>
          <w:tcPr>
            <w:tcW w:w="552" w:type="dxa"/>
          </w:tcPr>
          <w:p w14:paraId="10704FA5">
            <w:pPr>
              <w:spacing w:line="360" w:lineRule="auto"/>
              <w:rPr>
                <w:rFonts w:cs="仿宋_GB2312" w:asciiTheme="minorEastAsia" w:hAnsiTheme="minorEastAsia" w:eastAsiaTheme="minorEastAsia"/>
                <w:color w:val="auto"/>
                <w:sz w:val="24"/>
              </w:rPr>
            </w:pPr>
          </w:p>
        </w:tc>
        <w:tc>
          <w:tcPr>
            <w:tcW w:w="552" w:type="dxa"/>
          </w:tcPr>
          <w:p w14:paraId="07B042E7">
            <w:pPr>
              <w:spacing w:line="360" w:lineRule="auto"/>
              <w:rPr>
                <w:rFonts w:cs="仿宋_GB2312" w:asciiTheme="minorEastAsia" w:hAnsiTheme="minorEastAsia" w:eastAsiaTheme="minorEastAsia"/>
                <w:color w:val="auto"/>
                <w:sz w:val="24"/>
              </w:rPr>
            </w:pPr>
          </w:p>
        </w:tc>
        <w:tc>
          <w:tcPr>
            <w:tcW w:w="552" w:type="dxa"/>
          </w:tcPr>
          <w:p w14:paraId="4F91E22B">
            <w:pPr>
              <w:spacing w:line="360" w:lineRule="auto"/>
              <w:rPr>
                <w:rFonts w:cs="仿宋_GB2312" w:asciiTheme="minorEastAsia" w:hAnsiTheme="minorEastAsia" w:eastAsiaTheme="minorEastAsia"/>
                <w:color w:val="auto"/>
                <w:sz w:val="24"/>
              </w:rPr>
            </w:pPr>
          </w:p>
        </w:tc>
        <w:tc>
          <w:tcPr>
            <w:tcW w:w="552" w:type="dxa"/>
          </w:tcPr>
          <w:p w14:paraId="7FA624A7">
            <w:pPr>
              <w:spacing w:line="360" w:lineRule="auto"/>
              <w:rPr>
                <w:rFonts w:cs="仿宋_GB2312" w:asciiTheme="minorEastAsia" w:hAnsiTheme="minorEastAsia" w:eastAsiaTheme="minorEastAsia"/>
                <w:color w:val="auto"/>
                <w:sz w:val="24"/>
              </w:rPr>
            </w:pPr>
          </w:p>
        </w:tc>
        <w:tc>
          <w:tcPr>
            <w:tcW w:w="552" w:type="dxa"/>
          </w:tcPr>
          <w:p w14:paraId="1BAB82B6">
            <w:pPr>
              <w:spacing w:line="360" w:lineRule="auto"/>
              <w:rPr>
                <w:rFonts w:cs="仿宋_GB2312" w:asciiTheme="minorEastAsia" w:hAnsiTheme="minorEastAsia" w:eastAsiaTheme="minorEastAsia"/>
                <w:color w:val="auto"/>
                <w:sz w:val="24"/>
              </w:rPr>
            </w:pPr>
          </w:p>
        </w:tc>
        <w:tc>
          <w:tcPr>
            <w:tcW w:w="552" w:type="dxa"/>
          </w:tcPr>
          <w:p w14:paraId="49C509D6">
            <w:pPr>
              <w:spacing w:line="360" w:lineRule="auto"/>
              <w:rPr>
                <w:rFonts w:cs="仿宋_GB2312" w:asciiTheme="minorEastAsia" w:hAnsiTheme="minorEastAsia" w:eastAsiaTheme="minorEastAsia"/>
                <w:color w:val="auto"/>
                <w:sz w:val="24"/>
              </w:rPr>
            </w:pPr>
          </w:p>
        </w:tc>
        <w:tc>
          <w:tcPr>
            <w:tcW w:w="553" w:type="dxa"/>
          </w:tcPr>
          <w:p w14:paraId="16475900">
            <w:pPr>
              <w:spacing w:line="360" w:lineRule="auto"/>
              <w:rPr>
                <w:rFonts w:cs="仿宋_GB2312" w:asciiTheme="minorEastAsia" w:hAnsiTheme="minorEastAsia" w:eastAsiaTheme="minorEastAsia"/>
                <w:color w:val="auto"/>
                <w:sz w:val="24"/>
              </w:rPr>
            </w:pPr>
          </w:p>
        </w:tc>
        <w:tc>
          <w:tcPr>
            <w:tcW w:w="553" w:type="dxa"/>
          </w:tcPr>
          <w:p w14:paraId="0984E3DA">
            <w:pPr>
              <w:spacing w:line="360" w:lineRule="auto"/>
              <w:rPr>
                <w:rFonts w:cs="仿宋_GB2312" w:asciiTheme="minorEastAsia" w:hAnsiTheme="minorEastAsia" w:eastAsiaTheme="minorEastAsia"/>
                <w:color w:val="auto"/>
                <w:sz w:val="24"/>
              </w:rPr>
            </w:pPr>
          </w:p>
        </w:tc>
        <w:tc>
          <w:tcPr>
            <w:tcW w:w="553" w:type="dxa"/>
          </w:tcPr>
          <w:p w14:paraId="5F93A37E">
            <w:pPr>
              <w:spacing w:line="360" w:lineRule="auto"/>
              <w:rPr>
                <w:rFonts w:cs="仿宋_GB2312" w:asciiTheme="minorEastAsia" w:hAnsiTheme="minorEastAsia" w:eastAsiaTheme="minorEastAsia"/>
                <w:color w:val="auto"/>
                <w:sz w:val="24"/>
              </w:rPr>
            </w:pPr>
          </w:p>
        </w:tc>
        <w:tc>
          <w:tcPr>
            <w:tcW w:w="553" w:type="dxa"/>
          </w:tcPr>
          <w:p w14:paraId="23A0F604">
            <w:pPr>
              <w:spacing w:line="360" w:lineRule="auto"/>
              <w:rPr>
                <w:rFonts w:cs="仿宋_GB2312" w:asciiTheme="minorEastAsia" w:hAnsiTheme="minorEastAsia" w:eastAsiaTheme="minorEastAsia"/>
                <w:color w:val="auto"/>
                <w:sz w:val="24"/>
              </w:rPr>
            </w:pPr>
          </w:p>
        </w:tc>
        <w:tc>
          <w:tcPr>
            <w:tcW w:w="553" w:type="dxa"/>
          </w:tcPr>
          <w:p w14:paraId="2EADD251">
            <w:pPr>
              <w:spacing w:line="360" w:lineRule="auto"/>
              <w:rPr>
                <w:rFonts w:cs="仿宋_GB2312" w:asciiTheme="minorEastAsia" w:hAnsiTheme="minorEastAsia" w:eastAsiaTheme="minorEastAsia"/>
                <w:color w:val="auto"/>
                <w:sz w:val="24"/>
              </w:rPr>
            </w:pPr>
          </w:p>
        </w:tc>
        <w:tc>
          <w:tcPr>
            <w:tcW w:w="553" w:type="dxa"/>
          </w:tcPr>
          <w:p w14:paraId="541F632C">
            <w:pPr>
              <w:spacing w:line="360" w:lineRule="auto"/>
              <w:rPr>
                <w:rFonts w:cs="仿宋_GB2312" w:asciiTheme="minorEastAsia" w:hAnsiTheme="minorEastAsia" w:eastAsiaTheme="minorEastAsia"/>
                <w:color w:val="auto"/>
                <w:sz w:val="24"/>
              </w:rPr>
            </w:pPr>
          </w:p>
        </w:tc>
        <w:tc>
          <w:tcPr>
            <w:tcW w:w="553" w:type="dxa"/>
          </w:tcPr>
          <w:p w14:paraId="45FC89B9">
            <w:pPr>
              <w:spacing w:line="360" w:lineRule="auto"/>
              <w:rPr>
                <w:rFonts w:cs="仿宋_GB2312" w:asciiTheme="minorEastAsia" w:hAnsiTheme="minorEastAsia" w:eastAsiaTheme="minorEastAsia"/>
                <w:color w:val="auto"/>
                <w:sz w:val="24"/>
              </w:rPr>
            </w:pPr>
          </w:p>
        </w:tc>
        <w:tc>
          <w:tcPr>
            <w:tcW w:w="553" w:type="dxa"/>
          </w:tcPr>
          <w:p w14:paraId="7D5AF068">
            <w:pPr>
              <w:spacing w:line="360" w:lineRule="auto"/>
              <w:rPr>
                <w:rFonts w:cs="仿宋_GB2312" w:asciiTheme="minorEastAsia" w:hAnsiTheme="minorEastAsia" w:eastAsiaTheme="minorEastAsia"/>
                <w:color w:val="auto"/>
                <w:sz w:val="24"/>
              </w:rPr>
            </w:pPr>
          </w:p>
        </w:tc>
        <w:tc>
          <w:tcPr>
            <w:tcW w:w="553" w:type="dxa"/>
          </w:tcPr>
          <w:p w14:paraId="5D60A225">
            <w:pPr>
              <w:spacing w:line="360" w:lineRule="auto"/>
              <w:rPr>
                <w:rFonts w:cs="仿宋_GB2312" w:asciiTheme="minorEastAsia" w:hAnsiTheme="minorEastAsia" w:eastAsiaTheme="minorEastAsia"/>
                <w:color w:val="auto"/>
                <w:sz w:val="24"/>
              </w:rPr>
            </w:pPr>
          </w:p>
        </w:tc>
        <w:tc>
          <w:tcPr>
            <w:tcW w:w="553" w:type="dxa"/>
          </w:tcPr>
          <w:p w14:paraId="6322719A">
            <w:pPr>
              <w:spacing w:line="360" w:lineRule="auto"/>
              <w:rPr>
                <w:rFonts w:cs="仿宋_GB2312" w:asciiTheme="minorEastAsia" w:hAnsiTheme="minorEastAsia" w:eastAsiaTheme="minorEastAsia"/>
                <w:color w:val="auto"/>
                <w:sz w:val="24"/>
              </w:rPr>
            </w:pPr>
          </w:p>
        </w:tc>
      </w:tr>
      <w:tr w14:paraId="692A2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61D9A85">
            <w:pPr>
              <w:spacing w:line="360" w:lineRule="auto"/>
              <w:rPr>
                <w:rFonts w:cs="仿宋_GB2312" w:asciiTheme="minorEastAsia" w:hAnsiTheme="minorEastAsia" w:eastAsiaTheme="minorEastAsia"/>
                <w:color w:val="auto"/>
                <w:sz w:val="24"/>
              </w:rPr>
            </w:pPr>
          </w:p>
        </w:tc>
        <w:tc>
          <w:tcPr>
            <w:tcW w:w="552" w:type="dxa"/>
          </w:tcPr>
          <w:p w14:paraId="198DC59B">
            <w:pPr>
              <w:spacing w:line="360" w:lineRule="auto"/>
              <w:rPr>
                <w:rFonts w:cs="仿宋_GB2312" w:asciiTheme="minorEastAsia" w:hAnsiTheme="minorEastAsia" w:eastAsiaTheme="minorEastAsia"/>
                <w:color w:val="auto"/>
                <w:sz w:val="24"/>
              </w:rPr>
            </w:pPr>
          </w:p>
        </w:tc>
        <w:tc>
          <w:tcPr>
            <w:tcW w:w="552" w:type="dxa"/>
          </w:tcPr>
          <w:p w14:paraId="3F625B32">
            <w:pPr>
              <w:spacing w:line="360" w:lineRule="auto"/>
              <w:rPr>
                <w:rFonts w:cs="仿宋_GB2312" w:asciiTheme="minorEastAsia" w:hAnsiTheme="minorEastAsia" w:eastAsiaTheme="minorEastAsia"/>
                <w:color w:val="auto"/>
                <w:sz w:val="24"/>
              </w:rPr>
            </w:pPr>
          </w:p>
        </w:tc>
        <w:tc>
          <w:tcPr>
            <w:tcW w:w="552" w:type="dxa"/>
          </w:tcPr>
          <w:p w14:paraId="7A147144">
            <w:pPr>
              <w:spacing w:line="360" w:lineRule="auto"/>
              <w:rPr>
                <w:rFonts w:cs="仿宋_GB2312" w:asciiTheme="minorEastAsia" w:hAnsiTheme="minorEastAsia" w:eastAsiaTheme="minorEastAsia"/>
                <w:color w:val="auto"/>
                <w:sz w:val="24"/>
              </w:rPr>
            </w:pPr>
          </w:p>
        </w:tc>
        <w:tc>
          <w:tcPr>
            <w:tcW w:w="552" w:type="dxa"/>
          </w:tcPr>
          <w:p w14:paraId="4994E820">
            <w:pPr>
              <w:spacing w:line="360" w:lineRule="auto"/>
              <w:rPr>
                <w:rFonts w:cs="仿宋_GB2312" w:asciiTheme="minorEastAsia" w:hAnsiTheme="minorEastAsia" w:eastAsiaTheme="minorEastAsia"/>
                <w:color w:val="auto"/>
                <w:sz w:val="24"/>
              </w:rPr>
            </w:pPr>
          </w:p>
        </w:tc>
        <w:tc>
          <w:tcPr>
            <w:tcW w:w="552" w:type="dxa"/>
          </w:tcPr>
          <w:p w14:paraId="4AF3E22C">
            <w:pPr>
              <w:spacing w:line="360" w:lineRule="auto"/>
              <w:rPr>
                <w:rFonts w:cs="仿宋_GB2312" w:asciiTheme="minorEastAsia" w:hAnsiTheme="minorEastAsia" w:eastAsiaTheme="minorEastAsia"/>
                <w:color w:val="auto"/>
                <w:sz w:val="24"/>
              </w:rPr>
            </w:pPr>
          </w:p>
        </w:tc>
        <w:tc>
          <w:tcPr>
            <w:tcW w:w="552" w:type="dxa"/>
          </w:tcPr>
          <w:p w14:paraId="127F6745">
            <w:pPr>
              <w:spacing w:line="360" w:lineRule="auto"/>
              <w:rPr>
                <w:rFonts w:cs="仿宋_GB2312" w:asciiTheme="minorEastAsia" w:hAnsiTheme="minorEastAsia" w:eastAsiaTheme="minorEastAsia"/>
                <w:color w:val="auto"/>
                <w:sz w:val="24"/>
              </w:rPr>
            </w:pPr>
          </w:p>
        </w:tc>
        <w:tc>
          <w:tcPr>
            <w:tcW w:w="553" w:type="dxa"/>
          </w:tcPr>
          <w:p w14:paraId="1D05B2CA">
            <w:pPr>
              <w:spacing w:line="360" w:lineRule="auto"/>
              <w:rPr>
                <w:rFonts w:cs="仿宋_GB2312" w:asciiTheme="minorEastAsia" w:hAnsiTheme="minorEastAsia" w:eastAsiaTheme="minorEastAsia"/>
                <w:color w:val="auto"/>
                <w:sz w:val="24"/>
              </w:rPr>
            </w:pPr>
          </w:p>
        </w:tc>
        <w:tc>
          <w:tcPr>
            <w:tcW w:w="553" w:type="dxa"/>
          </w:tcPr>
          <w:p w14:paraId="65CF26CA">
            <w:pPr>
              <w:spacing w:line="360" w:lineRule="auto"/>
              <w:rPr>
                <w:rFonts w:cs="仿宋_GB2312" w:asciiTheme="minorEastAsia" w:hAnsiTheme="minorEastAsia" w:eastAsiaTheme="minorEastAsia"/>
                <w:color w:val="auto"/>
                <w:sz w:val="24"/>
              </w:rPr>
            </w:pPr>
          </w:p>
        </w:tc>
        <w:tc>
          <w:tcPr>
            <w:tcW w:w="553" w:type="dxa"/>
          </w:tcPr>
          <w:p w14:paraId="50C2A0D9">
            <w:pPr>
              <w:spacing w:line="360" w:lineRule="auto"/>
              <w:rPr>
                <w:rFonts w:cs="仿宋_GB2312" w:asciiTheme="minorEastAsia" w:hAnsiTheme="minorEastAsia" w:eastAsiaTheme="minorEastAsia"/>
                <w:color w:val="auto"/>
                <w:sz w:val="24"/>
              </w:rPr>
            </w:pPr>
          </w:p>
        </w:tc>
        <w:tc>
          <w:tcPr>
            <w:tcW w:w="553" w:type="dxa"/>
          </w:tcPr>
          <w:p w14:paraId="1FE55DDC">
            <w:pPr>
              <w:spacing w:line="360" w:lineRule="auto"/>
              <w:rPr>
                <w:rFonts w:cs="仿宋_GB2312" w:asciiTheme="minorEastAsia" w:hAnsiTheme="minorEastAsia" w:eastAsiaTheme="minorEastAsia"/>
                <w:color w:val="auto"/>
                <w:sz w:val="24"/>
              </w:rPr>
            </w:pPr>
          </w:p>
        </w:tc>
        <w:tc>
          <w:tcPr>
            <w:tcW w:w="553" w:type="dxa"/>
          </w:tcPr>
          <w:p w14:paraId="53DA31D1">
            <w:pPr>
              <w:spacing w:line="360" w:lineRule="auto"/>
              <w:rPr>
                <w:rFonts w:cs="仿宋_GB2312" w:asciiTheme="minorEastAsia" w:hAnsiTheme="minorEastAsia" w:eastAsiaTheme="minorEastAsia"/>
                <w:color w:val="auto"/>
                <w:sz w:val="24"/>
              </w:rPr>
            </w:pPr>
          </w:p>
        </w:tc>
        <w:tc>
          <w:tcPr>
            <w:tcW w:w="553" w:type="dxa"/>
          </w:tcPr>
          <w:p w14:paraId="0AD6A9C4">
            <w:pPr>
              <w:spacing w:line="360" w:lineRule="auto"/>
              <w:rPr>
                <w:rFonts w:cs="仿宋_GB2312" w:asciiTheme="minorEastAsia" w:hAnsiTheme="minorEastAsia" w:eastAsiaTheme="minorEastAsia"/>
                <w:color w:val="auto"/>
                <w:sz w:val="24"/>
              </w:rPr>
            </w:pPr>
          </w:p>
        </w:tc>
        <w:tc>
          <w:tcPr>
            <w:tcW w:w="553" w:type="dxa"/>
          </w:tcPr>
          <w:p w14:paraId="70788BEB">
            <w:pPr>
              <w:spacing w:line="360" w:lineRule="auto"/>
              <w:rPr>
                <w:rFonts w:cs="仿宋_GB2312" w:asciiTheme="minorEastAsia" w:hAnsiTheme="minorEastAsia" w:eastAsiaTheme="minorEastAsia"/>
                <w:color w:val="auto"/>
                <w:sz w:val="24"/>
              </w:rPr>
            </w:pPr>
          </w:p>
        </w:tc>
        <w:tc>
          <w:tcPr>
            <w:tcW w:w="553" w:type="dxa"/>
          </w:tcPr>
          <w:p w14:paraId="2E4353AC">
            <w:pPr>
              <w:spacing w:line="360" w:lineRule="auto"/>
              <w:rPr>
                <w:rFonts w:cs="仿宋_GB2312" w:asciiTheme="minorEastAsia" w:hAnsiTheme="minorEastAsia" w:eastAsiaTheme="minorEastAsia"/>
                <w:color w:val="auto"/>
                <w:sz w:val="24"/>
              </w:rPr>
            </w:pPr>
          </w:p>
        </w:tc>
        <w:tc>
          <w:tcPr>
            <w:tcW w:w="553" w:type="dxa"/>
          </w:tcPr>
          <w:p w14:paraId="0CCBB7A8">
            <w:pPr>
              <w:spacing w:line="360" w:lineRule="auto"/>
              <w:rPr>
                <w:rFonts w:cs="仿宋_GB2312" w:asciiTheme="minorEastAsia" w:hAnsiTheme="minorEastAsia" w:eastAsiaTheme="minorEastAsia"/>
                <w:color w:val="auto"/>
                <w:sz w:val="24"/>
              </w:rPr>
            </w:pPr>
          </w:p>
        </w:tc>
        <w:tc>
          <w:tcPr>
            <w:tcW w:w="553" w:type="dxa"/>
          </w:tcPr>
          <w:p w14:paraId="59F22C3F">
            <w:pPr>
              <w:spacing w:line="360" w:lineRule="auto"/>
              <w:rPr>
                <w:rFonts w:cs="仿宋_GB2312" w:asciiTheme="minorEastAsia" w:hAnsiTheme="minorEastAsia" w:eastAsiaTheme="minorEastAsia"/>
                <w:color w:val="auto"/>
                <w:sz w:val="24"/>
              </w:rPr>
            </w:pPr>
          </w:p>
        </w:tc>
      </w:tr>
      <w:tr w14:paraId="1368B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33742ED">
            <w:pPr>
              <w:spacing w:line="360" w:lineRule="auto"/>
              <w:rPr>
                <w:rFonts w:cs="仿宋_GB2312" w:asciiTheme="minorEastAsia" w:hAnsiTheme="minorEastAsia" w:eastAsiaTheme="minorEastAsia"/>
                <w:color w:val="auto"/>
                <w:sz w:val="24"/>
              </w:rPr>
            </w:pPr>
          </w:p>
        </w:tc>
        <w:tc>
          <w:tcPr>
            <w:tcW w:w="552" w:type="dxa"/>
          </w:tcPr>
          <w:p w14:paraId="0DD327A1">
            <w:pPr>
              <w:spacing w:line="360" w:lineRule="auto"/>
              <w:rPr>
                <w:rFonts w:cs="仿宋_GB2312" w:asciiTheme="minorEastAsia" w:hAnsiTheme="minorEastAsia" w:eastAsiaTheme="minorEastAsia"/>
                <w:color w:val="auto"/>
                <w:sz w:val="24"/>
              </w:rPr>
            </w:pPr>
          </w:p>
        </w:tc>
        <w:tc>
          <w:tcPr>
            <w:tcW w:w="552" w:type="dxa"/>
          </w:tcPr>
          <w:p w14:paraId="09A153FA">
            <w:pPr>
              <w:spacing w:line="360" w:lineRule="auto"/>
              <w:rPr>
                <w:rFonts w:cs="仿宋_GB2312" w:asciiTheme="minorEastAsia" w:hAnsiTheme="minorEastAsia" w:eastAsiaTheme="minorEastAsia"/>
                <w:color w:val="auto"/>
                <w:sz w:val="24"/>
              </w:rPr>
            </w:pPr>
          </w:p>
        </w:tc>
        <w:tc>
          <w:tcPr>
            <w:tcW w:w="552" w:type="dxa"/>
          </w:tcPr>
          <w:p w14:paraId="202E9268">
            <w:pPr>
              <w:spacing w:line="360" w:lineRule="auto"/>
              <w:rPr>
                <w:rFonts w:cs="仿宋_GB2312" w:asciiTheme="minorEastAsia" w:hAnsiTheme="minorEastAsia" w:eastAsiaTheme="minorEastAsia"/>
                <w:color w:val="auto"/>
                <w:sz w:val="24"/>
              </w:rPr>
            </w:pPr>
          </w:p>
        </w:tc>
        <w:tc>
          <w:tcPr>
            <w:tcW w:w="552" w:type="dxa"/>
          </w:tcPr>
          <w:p w14:paraId="4ED3D2EC">
            <w:pPr>
              <w:spacing w:line="360" w:lineRule="auto"/>
              <w:rPr>
                <w:rFonts w:cs="仿宋_GB2312" w:asciiTheme="minorEastAsia" w:hAnsiTheme="minorEastAsia" w:eastAsiaTheme="minorEastAsia"/>
                <w:color w:val="auto"/>
                <w:sz w:val="24"/>
              </w:rPr>
            </w:pPr>
          </w:p>
        </w:tc>
        <w:tc>
          <w:tcPr>
            <w:tcW w:w="552" w:type="dxa"/>
          </w:tcPr>
          <w:p w14:paraId="3DEA2E9E">
            <w:pPr>
              <w:spacing w:line="360" w:lineRule="auto"/>
              <w:rPr>
                <w:rFonts w:cs="仿宋_GB2312" w:asciiTheme="minorEastAsia" w:hAnsiTheme="minorEastAsia" w:eastAsiaTheme="minorEastAsia"/>
                <w:color w:val="auto"/>
                <w:sz w:val="24"/>
              </w:rPr>
            </w:pPr>
          </w:p>
        </w:tc>
        <w:tc>
          <w:tcPr>
            <w:tcW w:w="552" w:type="dxa"/>
          </w:tcPr>
          <w:p w14:paraId="3B0CF4A1">
            <w:pPr>
              <w:spacing w:line="360" w:lineRule="auto"/>
              <w:rPr>
                <w:rFonts w:cs="仿宋_GB2312" w:asciiTheme="minorEastAsia" w:hAnsiTheme="minorEastAsia" w:eastAsiaTheme="minorEastAsia"/>
                <w:color w:val="auto"/>
                <w:sz w:val="24"/>
              </w:rPr>
            </w:pPr>
          </w:p>
        </w:tc>
        <w:tc>
          <w:tcPr>
            <w:tcW w:w="553" w:type="dxa"/>
          </w:tcPr>
          <w:p w14:paraId="41E9A8CE">
            <w:pPr>
              <w:spacing w:line="360" w:lineRule="auto"/>
              <w:rPr>
                <w:rFonts w:cs="仿宋_GB2312" w:asciiTheme="minorEastAsia" w:hAnsiTheme="minorEastAsia" w:eastAsiaTheme="minorEastAsia"/>
                <w:color w:val="auto"/>
                <w:sz w:val="24"/>
              </w:rPr>
            </w:pPr>
          </w:p>
        </w:tc>
        <w:tc>
          <w:tcPr>
            <w:tcW w:w="553" w:type="dxa"/>
          </w:tcPr>
          <w:p w14:paraId="74F53090">
            <w:pPr>
              <w:spacing w:line="360" w:lineRule="auto"/>
              <w:rPr>
                <w:rFonts w:cs="仿宋_GB2312" w:asciiTheme="minorEastAsia" w:hAnsiTheme="minorEastAsia" w:eastAsiaTheme="minorEastAsia"/>
                <w:color w:val="auto"/>
                <w:sz w:val="24"/>
              </w:rPr>
            </w:pPr>
          </w:p>
        </w:tc>
        <w:tc>
          <w:tcPr>
            <w:tcW w:w="553" w:type="dxa"/>
          </w:tcPr>
          <w:p w14:paraId="40D61B92">
            <w:pPr>
              <w:spacing w:line="360" w:lineRule="auto"/>
              <w:rPr>
                <w:rFonts w:cs="仿宋_GB2312" w:asciiTheme="minorEastAsia" w:hAnsiTheme="minorEastAsia" w:eastAsiaTheme="minorEastAsia"/>
                <w:color w:val="auto"/>
                <w:sz w:val="24"/>
              </w:rPr>
            </w:pPr>
          </w:p>
        </w:tc>
        <w:tc>
          <w:tcPr>
            <w:tcW w:w="553" w:type="dxa"/>
          </w:tcPr>
          <w:p w14:paraId="6C233D69">
            <w:pPr>
              <w:spacing w:line="360" w:lineRule="auto"/>
              <w:rPr>
                <w:rFonts w:cs="仿宋_GB2312" w:asciiTheme="minorEastAsia" w:hAnsiTheme="minorEastAsia" w:eastAsiaTheme="minorEastAsia"/>
                <w:color w:val="auto"/>
                <w:sz w:val="24"/>
              </w:rPr>
            </w:pPr>
          </w:p>
        </w:tc>
        <w:tc>
          <w:tcPr>
            <w:tcW w:w="553" w:type="dxa"/>
          </w:tcPr>
          <w:p w14:paraId="5ED66E78">
            <w:pPr>
              <w:spacing w:line="360" w:lineRule="auto"/>
              <w:rPr>
                <w:rFonts w:cs="仿宋_GB2312" w:asciiTheme="minorEastAsia" w:hAnsiTheme="minorEastAsia" w:eastAsiaTheme="minorEastAsia"/>
                <w:color w:val="auto"/>
                <w:sz w:val="24"/>
              </w:rPr>
            </w:pPr>
          </w:p>
        </w:tc>
        <w:tc>
          <w:tcPr>
            <w:tcW w:w="553" w:type="dxa"/>
          </w:tcPr>
          <w:p w14:paraId="4869042A">
            <w:pPr>
              <w:spacing w:line="360" w:lineRule="auto"/>
              <w:rPr>
                <w:rFonts w:cs="仿宋_GB2312" w:asciiTheme="minorEastAsia" w:hAnsiTheme="minorEastAsia" w:eastAsiaTheme="minorEastAsia"/>
                <w:color w:val="auto"/>
                <w:sz w:val="24"/>
              </w:rPr>
            </w:pPr>
          </w:p>
        </w:tc>
        <w:tc>
          <w:tcPr>
            <w:tcW w:w="553" w:type="dxa"/>
          </w:tcPr>
          <w:p w14:paraId="118F5DCB">
            <w:pPr>
              <w:spacing w:line="360" w:lineRule="auto"/>
              <w:rPr>
                <w:rFonts w:cs="仿宋_GB2312" w:asciiTheme="minorEastAsia" w:hAnsiTheme="minorEastAsia" w:eastAsiaTheme="minorEastAsia"/>
                <w:color w:val="auto"/>
                <w:sz w:val="24"/>
              </w:rPr>
            </w:pPr>
          </w:p>
        </w:tc>
        <w:tc>
          <w:tcPr>
            <w:tcW w:w="553" w:type="dxa"/>
          </w:tcPr>
          <w:p w14:paraId="56A0C451">
            <w:pPr>
              <w:spacing w:line="360" w:lineRule="auto"/>
              <w:rPr>
                <w:rFonts w:cs="仿宋_GB2312" w:asciiTheme="minorEastAsia" w:hAnsiTheme="minorEastAsia" w:eastAsiaTheme="minorEastAsia"/>
                <w:color w:val="auto"/>
                <w:sz w:val="24"/>
              </w:rPr>
            </w:pPr>
          </w:p>
        </w:tc>
        <w:tc>
          <w:tcPr>
            <w:tcW w:w="553" w:type="dxa"/>
          </w:tcPr>
          <w:p w14:paraId="6CFD7397">
            <w:pPr>
              <w:spacing w:line="360" w:lineRule="auto"/>
              <w:rPr>
                <w:rFonts w:cs="仿宋_GB2312" w:asciiTheme="minorEastAsia" w:hAnsiTheme="minorEastAsia" w:eastAsiaTheme="minorEastAsia"/>
                <w:color w:val="auto"/>
                <w:sz w:val="24"/>
              </w:rPr>
            </w:pPr>
          </w:p>
        </w:tc>
        <w:tc>
          <w:tcPr>
            <w:tcW w:w="553" w:type="dxa"/>
          </w:tcPr>
          <w:p w14:paraId="3673C3FC">
            <w:pPr>
              <w:spacing w:line="360" w:lineRule="auto"/>
              <w:rPr>
                <w:rFonts w:cs="仿宋_GB2312" w:asciiTheme="minorEastAsia" w:hAnsiTheme="minorEastAsia" w:eastAsiaTheme="minorEastAsia"/>
                <w:color w:val="auto"/>
                <w:sz w:val="24"/>
              </w:rPr>
            </w:pPr>
          </w:p>
        </w:tc>
      </w:tr>
      <w:tr w14:paraId="07C8C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C0F9EE5">
            <w:pPr>
              <w:spacing w:line="360" w:lineRule="auto"/>
              <w:rPr>
                <w:rFonts w:cs="仿宋_GB2312" w:asciiTheme="minorEastAsia" w:hAnsiTheme="minorEastAsia" w:eastAsiaTheme="minorEastAsia"/>
                <w:color w:val="auto"/>
                <w:sz w:val="24"/>
              </w:rPr>
            </w:pPr>
          </w:p>
        </w:tc>
        <w:tc>
          <w:tcPr>
            <w:tcW w:w="552" w:type="dxa"/>
          </w:tcPr>
          <w:p w14:paraId="49EE1108">
            <w:pPr>
              <w:spacing w:line="360" w:lineRule="auto"/>
              <w:rPr>
                <w:rFonts w:cs="仿宋_GB2312" w:asciiTheme="minorEastAsia" w:hAnsiTheme="minorEastAsia" w:eastAsiaTheme="minorEastAsia"/>
                <w:color w:val="auto"/>
                <w:sz w:val="24"/>
              </w:rPr>
            </w:pPr>
          </w:p>
        </w:tc>
        <w:tc>
          <w:tcPr>
            <w:tcW w:w="552" w:type="dxa"/>
          </w:tcPr>
          <w:p w14:paraId="7B204DDA">
            <w:pPr>
              <w:spacing w:line="360" w:lineRule="auto"/>
              <w:rPr>
                <w:rFonts w:cs="仿宋_GB2312" w:asciiTheme="minorEastAsia" w:hAnsiTheme="minorEastAsia" w:eastAsiaTheme="minorEastAsia"/>
                <w:color w:val="auto"/>
                <w:sz w:val="24"/>
              </w:rPr>
            </w:pPr>
          </w:p>
        </w:tc>
        <w:tc>
          <w:tcPr>
            <w:tcW w:w="552" w:type="dxa"/>
          </w:tcPr>
          <w:p w14:paraId="5A07E0B3">
            <w:pPr>
              <w:spacing w:line="360" w:lineRule="auto"/>
              <w:rPr>
                <w:rFonts w:cs="仿宋_GB2312" w:asciiTheme="minorEastAsia" w:hAnsiTheme="minorEastAsia" w:eastAsiaTheme="minorEastAsia"/>
                <w:color w:val="auto"/>
                <w:sz w:val="24"/>
              </w:rPr>
            </w:pPr>
          </w:p>
        </w:tc>
        <w:tc>
          <w:tcPr>
            <w:tcW w:w="552" w:type="dxa"/>
          </w:tcPr>
          <w:p w14:paraId="17DB28B7">
            <w:pPr>
              <w:spacing w:line="360" w:lineRule="auto"/>
              <w:rPr>
                <w:rFonts w:cs="仿宋_GB2312" w:asciiTheme="minorEastAsia" w:hAnsiTheme="minorEastAsia" w:eastAsiaTheme="minorEastAsia"/>
                <w:color w:val="auto"/>
                <w:sz w:val="24"/>
              </w:rPr>
            </w:pPr>
          </w:p>
        </w:tc>
        <w:tc>
          <w:tcPr>
            <w:tcW w:w="552" w:type="dxa"/>
          </w:tcPr>
          <w:p w14:paraId="748D11E4">
            <w:pPr>
              <w:spacing w:line="360" w:lineRule="auto"/>
              <w:rPr>
                <w:rFonts w:cs="仿宋_GB2312" w:asciiTheme="minorEastAsia" w:hAnsiTheme="minorEastAsia" w:eastAsiaTheme="minorEastAsia"/>
                <w:color w:val="auto"/>
                <w:sz w:val="24"/>
              </w:rPr>
            </w:pPr>
          </w:p>
        </w:tc>
        <w:tc>
          <w:tcPr>
            <w:tcW w:w="552" w:type="dxa"/>
          </w:tcPr>
          <w:p w14:paraId="48D8E96E">
            <w:pPr>
              <w:spacing w:line="360" w:lineRule="auto"/>
              <w:rPr>
                <w:rFonts w:cs="仿宋_GB2312" w:asciiTheme="minorEastAsia" w:hAnsiTheme="minorEastAsia" w:eastAsiaTheme="minorEastAsia"/>
                <w:color w:val="auto"/>
                <w:sz w:val="24"/>
              </w:rPr>
            </w:pPr>
          </w:p>
        </w:tc>
        <w:tc>
          <w:tcPr>
            <w:tcW w:w="553" w:type="dxa"/>
          </w:tcPr>
          <w:p w14:paraId="775627C4">
            <w:pPr>
              <w:spacing w:line="360" w:lineRule="auto"/>
              <w:rPr>
                <w:rFonts w:cs="仿宋_GB2312" w:asciiTheme="minorEastAsia" w:hAnsiTheme="minorEastAsia" w:eastAsiaTheme="minorEastAsia"/>
                <w:color w:val="auto"/>
                <w:sz w:val="24"/>
              </w:rPr>
            </w:pPr>
          </w:p>
        </w:tc>
        <w:tc>
          <w:tcPr>
            <w:tcW w:w="553" w:type="dxa"/>
          </w:tcPr>
          <w:p w14:paraId="1CD3E272">
            <w:pPr>
              <w:spacing w:line="360" w:lineRule="auto"/>
              <w:rPr>
                <w:rFonts w:cs="仿宋_GB2312" w:asciiTheme="minorEastAsia" w:hAnsiTheme="minorEastAsia" w:eastAsiaTheme="minorEastAsia"/>
                <w:color w:val="auto"/>
                <w:sz w:val="24"/>
              </w:rPr>
            </w:pPr>
          </w:p>
        </w:tc>
        <w:tc>
          <w:tcPr>
            <w:tcW w:w="553" w:type="dxa"/>
          </w:tcPr>
          <w:p w14:paraId="4E9DF060">
            <w:pPr>
              <w:spacing w:line="360" w:lineRule="auto"/>
              <w:rPr>
                <w:rFonts w:cs="仿宋_GB2312" w:asciiTheme="minorEastAsia" w:hAnsiTheme="minorEastAsia" w:eastAsiaTheme="minorEastAsia"/>
                <w:color w:val="auto"/>
                <w:sz w:val="24"/>
              </w:rPr>
            </w:pPr>
          </w:p>
        </w:tc>
        <w:tc>
          <w:tcPr>
            <w:tcW w:w="553" w:type="dxa"/>
          </w:tcPr>
          <w:p w14:paraId="3673E417">
            <w:pPr>
              <w:spacing w:line="360" w:lineRule="auto"/>
              <w:rPr>
                <w:rFonts w:cs="仿宋_GB2312" w:asciiTheme="minorEastAsia" w:hAnsiTheme="minorEastAsia" w:eastAsiaTheme="minorEastAsia"/>
                <w:color w:val="auto"/>
                <w:sz w:val="24"/>
              </w:rPr>
            </w:pPr>
          </w:p>
        </w:tc>
        <w:tc>
          <w:tcPr>
            <w:tcW w:w="553" w:type="dxa"/>
          </w:tcPr>
          <w:p w14:paraId="5C89DBEA">
            <w:pPr>
              <w:spacing w:line="360" w:lineRule="auto"/>
              <w:rPr>
                <w:rFonts w:cs="仿宋_GB2312" w:asciiTheme="minorEastAsia" w:hAnsiTheme="minorEastAsia" w:eastAsiaTheme="minorEastAsia"/>
                <w:color w:val="auto"/>
                <w:sz w:val="24"/>
              </w:rPr>
            </w:pPr>
          </w:p>
        </w:tc>
        <w:tc>
          <w:tcPr>
            <w:tcW w:w="553" w:type="dxa"/>
          </w:tcPr>
          <w:p w14:paraId="30AC929F">
            <w:pPr>
              <w:spacing w:line="360" w:lineRule="auto"/>
              <w:rPr>
                <w:rFonts w:cs="仿宋_GB2312" w:asciiTheme="minorEastAsia" w:hAnsiTheme="minorEastAsia" w:eastAsiaTheme="minorEastAsia"/>
                <w:color w:val="auto"/>
                <w:sz w:val="24"/>
              </w:rPr>
            </w:pPr>
          </w:p>
        </w:tc>
        <w:tc>
          <w:tcPr>
            <w:tcW w:w="553" w:type="dxa"/>
          </w:tcPr>
          <w:p w14:paraId="6B908286">
            <w:pPr>
              <w:spacing w:line="360" w:lineRule="auto"/>
              <w:rPr>
                <w:rFonts w:cs="仿宋_GB2312" w:asciiTheme="minorEastAsia" w:hAnsiTheme="minorEastAsia" w:eastAsiaTheme="minorEastAsia"/>
                <w:color w:val="auto"/>
                <w:sz w:val="24"/>
              </w:rPr>
            </w:pPr>
          </w:p>
        </w:tc>
        <w:tc>
          <w:tcPr>
            <w:tcW w:w="553" w:type="dxa"/>
          </w:tcPr>
          <w:p w14:paraId="4A25DB1D">
            <w:pPr>
              <w:spacing w:line="360" w:lineRule="auto"/>
              <w:rPr>
                <w:rFonts w:cs="仿宋_GB2312" w:asciiTheme="minorEastAsia" w:hAnsiTheme="minorEastAsia" w:eastAsiaTheme="minorEastAsia"/>
                <w:color w:val="auto"/>
                <w:sz w:val="24"/>
              </w:rPr>
            </w:pPr>
          </w:p>
        </w:tc>
        <w:tc>
          <w:tcPr>
            <w:tcW w:w="553" w:type="dxa"/>
          </w:tcPr>
          <w:p w14:paraId="0367E835">
            <w:pPr>
              <w:spacing w:line="360" w:lineRule="auto"/>
              <w:rPr>
                <w:rFonts w:cs="仿宋_GB2312" w:asciiTheme="minorEastAsia" w:hAnsiTheme="minorEastAsia" w:eastAsiaTheme="minorEastAsia"/>
                <w:color w:val="auto"/>
                <w:sz w:val="24"/>
              </w:rPr>
            </w:pPr>
          </w:p>
        </w:tc>
        <w:tc>
          <w:tcPr>
            <w:tcW w:w="553" w:type="dxa"/>
          </w:tcPr>
          <w:p w14:paraId="0F79E98D">
            <w:pPr>
              <w:spacing w:line="360" w:lineRule="auto"/>
              <w:rPr>
                <w:rFonts w:cs="仿宋_GB2312" w:asciiTheme="minorEastAsia" w:hAnsiTheme="minorEastAsia" w:eastAsiaTheme="minorEastAsia"/>
                <w:color w:val="auto"/>
                <w:sz w:val="24"/>
              </w:rPr>
            </w:pPr>
          </w:p>
        </w:tc>
      </w:tr>
      <w:tr w14:paraId="738FF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466874E1">
            <w:pPr>
              <w:spacing w:line="360" w:lineRule="auto"/>
              <w:rPr>
                <w:rFonts w:cs="仿宋_GB2312" w:asciiTheme="minorEastAsia" w:hAnsiTheme="minorEastAsia" w:eastAsiaTheme="minorEastAsia"/>
                <w:color w:val="auto"/>
                <w:sz w:val="24"/>
              </w:rPr>
            </w:pPr>
          </w:p>
        </w:tc>
        <w:tc>
          <w:tcPr>
            <w:tcW w:w="552" w:type="dxa"/>
          </w:tcPr>
          <w:p w14:paraId="24417C95">
            <w:pPr>
              <w:spacing w:line="360" w:lineRule="auto"/>
              <w:rPr>
                <w:rFonts w:cs="仿宋_GB2312" w:asciiTheme="minorEastAsia" w:hAnsiTheme="minorEastAsia" w:eastAsiaTheme="minorEastAsia"/>
                <w:color w:val="auto"/>
                <w:sz w:val="24"/>
              </w:rPr>
            </w:pPr>
          </w:p>
        </w:tc>
        <w:tc>
          <w:tcPr>
            <w:tcW w:w="552" w:type="dxa"/>
          </w:tcPr>
          <w:p w14:paraId="4ACBF742">
            <w:pPr>
              <w:spacing w:line="360" w:lineRule="auto"/>
              <w:rPr>
                <w:rFonts w:cs="仿宋_GB2312" w:asciiTheme="minorEastAsia" w:hAnsiTheme="minorEastAsia" w:eastAsiaTheme="minorEastAsia"/>
                <w:color w:val="auto"/>
                <w:sz w:val="24"/>
              </w:rPr>
            </w:pPr>
          </w:p>
        </w:tc>
        <w:tc>
          <w:tcPr>
            <w:tcW w:w="552" w:type="dxa"/>
          </w:tcPr>
          <w:p w14:paraId="04A5DBD1">
            <w:pPr>
              <w:spacing w:line="360" w:lineRule="auto"/>
              <w:rPr>
                <w:rFonts w:cs="仿宋_GB2312" w:asciiTheme="minorEastAsia" w:hAnsiTheme="minorEastAsia" w:eastAsiaTheme="minorEastAsia"/>
                <w:color w:val="auto"/>
                <w:sz w:val="24"/>
              </w:rPr>
            </w:pPr>
          </w:p>
        </w:tc>
        <w:tc>
          <w:tcPr>
            <w:tcW w:w="552" w:type="dxa"/>
          </w:tcPr>
          <w:p w14:paraId="78B46C69">
            <w:pPr>
              <w:spacing w:line="360" w:lineRule="auto"/>
              <w:rPr>
                <w:rFonts w:cs="仿宋_GB2312" w:asciiTheme="minorEastAsia" w:hAnsiTheme="minorEastAsia" w:eastAsiaTheme="minorEastAsia"/>
                <w:color w:val="auto"/>
                <w:sz w:val="24"/>
              </w:rPr>
            </w:pPr>
          </w:p>
        </w:tc>
        <w:tc>
          <w:tcPr>
            <w:tcW w:w="552" w:type="dxa"/>
          </w:tcPr>
          <w:p w14:paraId="7A469952">
            <w:pPr>
              <w:spacing w:line="360" w:lineRule="auto"/>
              <w:rPr>
                <w:rFonts w:cs="仿宋_GB2312" w:asciiTheme="minorEastAsia" w:hAnsiTheme="minorEastAsia" w:eastAsiaTheme="minorEastAsia"/>
                <w:color w:val="auto"/>
                <w:sz w:val="24"/>
              </w:rPr>
            </w:pPr>
          </w:p>
        </w:tc>
        <w:tc>
          <w:tcPr>
            <w:tcW w:w="552" w:type="dxa"/>
          </w:tcPr>
          <w:p w14:paraId="05C0512D">
            <w:pPr>
              <w:spacing w:line="360" w:lineRule="auto"/>
              <w:rPr>
                <w:rFonts w:cs="仿宋_GB2312" w:asciiTheme="minorEastAsia" w:hAnsiTheme="minorEastAsia" w:eastAsiaTheme="minorEastAsia"/>
                <w:color w:val="auto"/>
                <w:sz w:val="24"/>
              </w:rPr>
            </w:pPr>
          </w:p>
        </w:tc>
        <w:tc>
          <w:tcPr>
            <w:tcW w:w="553" w:type="dxa"/>
          </w:tcPr>
          <w:p w14:paraId="12E7D711">
            <w:pPr>
              <w:spacing w:line="360" w:lineRule="auto"/>
              <w:rPr>
                <w:rFonts w:cs="仿宋_GB2312" w:asciiTheme="minorEastAsia" w:hAnsiTheme="minorEastAsia" w:eastAsiaTheme="minorEastAsia"/>
                <w:color w:val="auto"/>
                <w:sz w:val="24"/>
              </w:rPr>
            </w:pPr>
          </w:p>
        </w:tc>
        <w:tc>
          <w:tcPr>
            <w:tcW w:w="553" w:type="dxa"/>
          </w:tcPr>
          <w:p w14:paraId="041BAF38">
            <w:pPr>
              <w:spacing w:line="360" w:lineRule="auto"/>
              <w:rPr>
                <w:rFonts w:cs="仿宋_GB2312" w:asciiTheme="minorEastAsia" w:hAnsiTheme="minorEastAsia" w:eastAsiaTheme="minorEastAsia"/>
                <w:color w:val="auto"/>
                <w:sz w:val="24"/>
              </w:rPr>
            </w:pPr>
          </w:p>
        </w:tc>
        <w:tc>
          <w:tcPr>
            <w:tcW w:w="553" w:type="dxa"/>
          </w:tcPr>
          <w:p w14:paraId="2FE9E9ED">
            <w:pPr>
              <w:spacing w:line="360" w:lineRule="auto"/>
              <w:rPr>
                <w:rFonts w:cs="仿宋_GB2312" w:asciiTheme="minorEastAsia" w:hAnsiTheme="minorEastAsia" w:eastAsiaTheme="minorEastAsia"/>
                <w:color w:val="auto"/>
                <w:sz w:val="24"/>
              </w:rPr>
            </w:pPr>
          </w:p>
        </w:tc>
        <w:tc>
          <w:tcPr>
            <w:tcW w:w="553" w:type="dxa"/>
          </w:tcPr>
          <w:p w14:paraId="08286050">
            <w:pPr>
              <w:spacing w:line="360" w:lineRule="auto"/>
              <w:rPr>
                <w:rFonts w:cs="仿宋_GB2312" w:asciiTheme="minorEastAsia" w:hAnsiTheme="minorEastAsia" w:eastAsiaTheme="minorEastAsia"/>
                <w:color w:val="auto"/>
                <w:sz w:val="24"/>
              </w:rPr>
            </w:pPr>
          </w:p>
        </w:tc>
        <w:tc>
          <w:tcPr>
            <w:tcW w:w="553" w:type="dxa"/>
          </w:tcPr>
          <w:p w14:paraId="2D95DE91">
            <w:pPr>
              <w:spacing w:line="360" w:lineRule="auto"/>
              <w:rPr>
                <w:rFonts w:cs="仿宋_GB2312" w:asciiTheme="minorEastAsia" w:hAnsiTheme="minorEastAsia" w:eastAsiaTheme="minorEastAsia"/>
                <w:color w:val="auto"/>
                <w:sz w:val="24"/>
              </w:rPr>
            </w:pPr>
          </w:p>
        </w:tc>
        <w:tc>
          <w:tcPr>
            <w:tcW w:w="553" w:type="dxa"/>
          </w:tcPr>
          <w:p w14:paraId="5F95BAE5">
            <w:pPr>
              <w:spacing w:line="360" w:lineRule="auto"/>
              <w:rPr>
                <w:rFonts w:cs="仿宋_GB2312" w:asciiTheme="minorEastAsia" w:hAnsiTheme="minorEastAsia" w:eastAsiaTheme="minorEastAsia"/>
                <w:color w:val="auto"/>
                <w:sz w:val="24"/>
              </w:rPr>
            </w:pPr>
          </w:p>
        </w:tc>
        <w:tc>
          <w:tcPr>
            <w:tcW w:w="553" w:type="dxa"/>
          </w:tcPr>
          <w:p w14:paraId="3F080AD0">
            <w:pPr>
              <w:spacing w:line="360" w:lineRule="auto"/>
              <w:rPr>
                <w:rFonts w:cs="仿宋_GB2312" w:asciiTheme="minorEastAsia" w:hAnsiTheme="minorEastAsia" w:eastAsiaTheme="minorEastAsia"/>
                <w:color w:val="auto"/>
                <w:sz w:val="24"/>
              </w:rPr>
            </w:pPr>
          </w:p>
        </w:tc>
        <w:tc>
          <w:tcPr>
            <w:tcW w:w="553" w:type="dxa"/>
          </w:tcPr>
          <w:p w14:paraId="219D60E6">
            <w:pPr>
              <w:spacing w:line="360" w:lineRule="auto"/>
              <w:rPr>
                <w:rFonts w:cs="仿宋_GB2312" w:asciiTheme="minorEastAsia" w:hAnsiTheme="minorEastAsia" w:eastAsiaTheme="minorEastAsia"/>
                <w:color w:val="auto"/>
                <w:sz w:val="24"/>
              </w:rPr>
            </w:pPr>
          </w:p>
        </w:tc>
        <w:tc>
          <w:tcPr>
            <w:tcW w:w="553" w:type="dxa"/>
          </w:tcPr>
          <w:p w14:paraId="798362E5">
            <w:pPr>
              <w:spacing w:line="360" w:lineRule="auto"/>
              <w:rPr>
                <w:rFonts w:cs="仿宋_GB2312" w:asciiTheme="minorEastAsia" w:hAnsiTheme="minorEastAsia" w:eastAsiaTheme="minorEastAsia"/>
                <w:color w:val="auto"/>
                <w:sz w:val="24"/>
              </w:rPr>
            </w:pPr>
          </w:p>
        </w:tc>
        <w:tc>
          <w:tcPr>
            <w:tcW w:w="553" w:type="dxa"/>
          </w:tcPr>
          <w:p w14:paraId="22028788">
            <w:pPr>
              <w:spacing w:line="360" w:lineRule="auto"/>
              <w:rPr>
                <w:rFonts w:cs="仿宋_GB2312" w:asciiTheme="minorEastAsia" w:hAnsiTheme="minorEastAsia" w:eastAsiaTheme="minorEastAsia"/>
                <w:color w:val="auto"/>
                <w:sz w:val="24"/>
              </w:rPr>
            </w:pPr>
          </w:p>
        </w:tc>
      </w:tr>
      <w:tr w14:paraId="7F1F9D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0D41EEAB">
            <w:pPr>
              <w:spacing w:line="360" w:lineRule="auto"/>
              <w:rPr>
                <w:rFonts w:cs="仿宋_GB2312" w:asciiTheme="minorEastAsia" w:hAnsiTheme="minorEastAsia" w:eastAsiaTheme="minorEastAsia"/>
                <w:color w:val="auto"/>
                <w:sz w:val="24"/>
              </w:rPr>
            </w:pPr>
          </w:p>
        </w:tc>
        <w:tc>
          <w:tcPr>
            <w:tcW w:w="552" w:type="dxa"/>
          </w:tcPr>
          <w:p w14:paraId="45EE19B6">
            <w:pPr>
              <w:spacing w:line="360" w:lineRule="auto"/>
              <w:rPr>
                <w:rFonts w:cs="仿宋_GB2312" w:asciiTheme="minorEastAsia" w:hAnsiTheme="minorEastAsia" w:eastAsiaTheme="minorEastAsia"/>
                <w:color w:val="auto"/>
                <w:sz w:val="24"/>
              </w:rPr>
            </w:pPr>
          </w:p>
        </w:tc>
        <w:tc>
          <w:tcPr>
            <w:tcW w:w="552" w:type="dxa"/>
          </w:tcPr>
          <w:p w14:paraId="3599F88D">
            <w:pPr>
              <w:spacing w:line="360" w:lineRule="auto"/>
              <w:rPr>
                <w:rFonts w:cs="仿宋_GB2312" w:asciiTheme="minorEastAsia" w:hAnsiTheme="minorEastAsia" w:eastAsiaTheme="minorEastAsia"/>
                <w:color w:val="auto"/>
                <w:sz w:val="24"/>
              </w:rPr>
            </w:pPr>
          </w:p>
        </w:tc>
        <w:tc>
          <w:tcPr>
            <w:tcW w:w="552" w:type="dxa"/>
          </w:tcPr>
          <w:p w14:paraId="59B5332B">
            <w:pPr>
              <w:spacing w:line="360" w:lineRule="auto"/>
              <w:rPr>
                <w:rFonts w:cs="仿宋_GB2312" w:asciiTheme="minorEastAsia" w:hAnsiTheme="minorEastAsia" w:eastAsiaTheme="minorEastAsia"/>
                <w:color w:val="auto"/>
                <w:sz w:val="24"/>
              </w:rPr>
            </w:pPr>
          </w:p>
        </w:tc>
        <w:tc>
          <w:tcPr>
            <w:tcW w:w="552" w:type="dxa"/>
          </w:tcPr>
          <w:p w14:paraId="493EFA12">
            <w:pPr>
              <w:spacing w:line="360" w:lineRule="auto"/>
              <w:rPr>
                <w:rFonts w:cs="仿宋_GB2312" w:asciiTheme="minorEastAsia" w:hAnsiTheme="minorEastAsia" w:eastAsiaTheme="minorEastAsia"/>
                <w:color w:val="auto"/>
                <w:sz w:val="24"/>
              </w:rPr>
            </w:pPr>
          </w:p>
        </w:tc>
        <w:tc>
          <w:tcPr>
            <w:tcW w:w="552" w:type="dxa"/>
          </w:tcPr>
          <w:p w14:paraId="73F5E3E0">
            <w:pPr>
              <w:spacing w:line="360" w:lineRule="auto"/>
              <w:rPr>
                <w:rFonts w:cs="仿宋_GB2312" w:asciiTheme="minorEastAsia" w:hAnsiTheme="minorEastAsia" w:eastAsiaTheme="minorEastAsia"/>
                <w:color w:val="auto"/>
                <w:sz w:val="24"/>
              </w:rPr>
            </w:pPr>
          </w:p>
        </w:tc>
        <w:tc>
          <w:tcPr>
            <w:tcW w:w="552" w:type="dxa"/>
          </w:tcPr>
          <w:p w14:paraId="38654325">
            <w:pPr>
              <w:spacing w:line="360" w:lineRule="auto"/>
              <w:rPr>
                <w:rFonts w:cs="仿宋_GB2312" w:asciiTheme="minorEastAsia" w:hAnsiTheme="minorEastAsia" w:eastAsiaTheme="minorEastAsia"/>
                <w:color w:val="auto"/>
                <w:sz w:val="24"/>
              </w:rPr>
            </w:pPr>
          </w:p>
        </w:tc>
        <w:tc>
          <w:tcPr>
            <w:tcW w:w="553" w:type="dxa"/>
          </w:tcPr>
          <w:p w14:paraId="2F6CACEA">
            <w:pPr>
              <w:spacing w:line="360" w:lineRule="auto"/>
              <w:rPr>
                <w:rFonts w:cs="仿宋_GB2312" w:asciiTheme="minorEastAsia" w:hAnsiTheme="minorEastAsia" w:eastAsiaTheme="minorEastAsia"/>
                <w:color w:val="auto"/>
                <w:sz w:val="24"/>
              </w:rPr>
            </w:pPr>
          </w:p>
        </w:tc>
        <w:tc>
          <w:tcPr>
            <w:tcW w:w="553" w:type="dxa"/>
          </w:tcPr>
          <w:p w14:paraId="3A25222A">
            <w:pPr>
              <w:spacing w:line="360" w:lineRule="auto"/>
              <w:rPr>
                <w:rFonts w:cs="仿宋_GB2312" w:asciiTheme="minorEastAsia" w:hAnsiTheme="minorEastAsia" w:eastAsiaTheme="minorEastAsia"/>
                <w:color w:val="auto"/>
                <w:sz w:val="24"/>
              </w:rPr>
            </w:pPr>
          </w:p>
        </w:tc>
        <w:tc>
          <w:tcPr>
            <w:tcW w:w="553" w:type="dxa"/>
          </w:tcPr>
          <w:p w14:paraId="11C47AB2">
            <w:pPr>
              <w:spacing w:line="360" w:lineRule="auto"/>
              <w:rPr>
                <w:rFonts w:cs="仿宋_GB2312" w:asciiTheme="minorEastAsia" w:hAnsiTheme="minorEastAsia" w:eastAsiaTheme="minorEastAsia"/>
                <w:color w:val="auto"/>
                <w:sz w:val="24"/>
              </w:rPr>
            </w:pPr>
          </w:p>
        </w:tc>
        <w:tc>
          <w:tcPr>
            <w:tcW w:w="553" w:type="dxa"/>
          </w:tcPr>
          <w:p w14:paraId="0FB96321">
            <w:pPr>
              <w:spacing w:line="360" w:lineRule="auto"/>
              <w:rPr>
                <w:rFonts w:cs="仿宋_GB2312" w:asciiTheme="minorEastAsia" w:hAnsiTheme="minorEastAsia" w:eastAsiaTheme="minorEastAsia"/>
                <w:color w:val="auto"/>
                <w:sz w:val="24"/>
              </w:rPr>
            </w:pPr>
          </w:p>
        </w:tc>
        <w:tc>
          <w:tcPr>
            <w:tcW w:w="553" w:type="dxa"/>
          </w:tcPr>
          <w:p w14:paraId="70F15195">
            <w:pPr>
              <w:spacing w:line="360" w:lineRule="auto"/>
              <w:rPr>
                <w:rFonts w:cs="仿宋_GB2312" w:asciiTheme="minorEastAsia" w:hAnsiTheme="minorEastAsia" w:eastAsiaTheme="minorEastAsia"/>
                <w:color w:val="auto"/>
                <w:sz w:val="24"/>
              </w:rPr>
            </w:pPr>
          </w:p>
        </w:tc>
        <w:tc>
          <w:tcPr>
            <w:tcW w:w="553" w:type="dxa"/>
          </w:tcPr>
          <w:p w14:paraId="46C7F169">
            <w:pPr>
              <w:spacing w:line="360" w:lineRule="auto"/>
              <w:rPr>
                <w:rFonts w:cs="仿宋_GB2312" w:asciiTheme="minorEastAsia" w:hAnsiTheme="minorEastAsia" w:eastAsiaTheme="minorEastAsia"/>
                <w:color w:val="auto"/>
                <w:sz w:val="24"/>
              </w:rPr>
            </w:pPr>
          </w:p>
        </w:tc>
        <w:tc>
          <w:tcPr>
            <w:tcW w:w="553" w:type="dxa"/>
          </w:tcPr>
          <w:p w14:paraId="482EE295">
            <w:pPr>
              <w:spacing w:line="360" w:lineRule="auto"/>
              <w:rPr>
                <w:rFonts w:cs="仿宋_GB2312" w:asciiTheme="minorEastAsia" w:hAnsiTheme="minorEastAsia" w:eastAsiaTheme="minorEastAsia"/>
                <w:color w:val="auto"/>
                <w:sz w:val="24"/>
              </w:rPr>
            </w:pPr>
          </w:p>
        </w:tc>
        <w:tc>
          <w:tcPr>
            <w:tcW w:w="553" w:type="dxa"/>
          </w:tcPr>
          <w:p w14:paraId="454D4D9A">
            <w:pPr>
              <w:spacing w:line="360" w:lineRule="auto"/>
              <w:rPr>
                <w:rFonts w:cs="仿宋_GB2312" w:asciiTheme="minorEastAsia" w:hAnsiTheme="minorEastAsia" w:eastAsiaTheme="minorEastAsia"/>
                <w:color w:val="auto"/>
                <w:sz w:val="24"/>
              </w:rPr>
            </w:pPr>
          </w:p>
        </w:tc>
        <w:tc>
          <w:tcPr>
            <w:tcW w:w="553" w:type="dxa"/>
          </w:tcPr>
          <w:p w14:paraId="3665851F">
            <w:pPr>
              <w:spacing w:line="360" w:lineRule="auto"/>
              <w:rPr>
                <w:rFonts w:cs="仿宋_GB2312" w:asciiTheme="minorEastAsia" w:hAnsiTheme="minorEastAsia" w:eastAsiaTheme="minorEastAsia"/>
                <w:color w:val="auto"/>
                <w:sz w:val="24"/>
              </w:rPr>
            </w:pPr>
          </w:p>
        </w:tc>
        <w:tc>
          <w:tcPr>
            <w:tcW w:w="553" w:type="dxa"/>
          </w:tcPr>
          <w:p w14:paraId="4B22AC8C">
            <w:pPr>
              <w:spacing w:line="360" w:lineRule="auto"/>
              <w:rPr>
                <w:rFonts w:cs="仿宋_GB2312" w:asciiTheme="minorEastAsia" w:hAnsiTheme="minorEastAsia" w:eastAsiaTheme="minorEastAsia"/>
                <w:color w:val="auto"/>
                <w:sz w:val="24"/>
              </w:rPr>
            </w:pPr>
          </w:p>
        </w:tc>
      </w:tr>
      <w:tr w14:paraId="7F59AF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1E29E07">
            <w:pPr>
              <w:spacing w:line="360" w:lineRule="auto"/>
              <w:rPr>
                <w:rFonts w:cs="仿宋_GB2312" w:asciiTheme="minorEastAsia" w:hAnsiTheme="minorEastAsia" w:eastAsiaTheme="minorEastAsia"/>
                <w:color w:val="auto"/>
                <w:sz w:val="24"/>
              </w:rPr>
            </w:pPr>
          </w:p>
        </w:tc>
        <w:tc>
          <w:tcPr>
            <w:tcW w:w="552" w:type="dxa"/>
          </w:tcPr>
          <w:p w14:paraId="2A5E4E13">
            <w:pPr>
              <w:spacing w:line="360" w:lineRule="auto"/>
              <w:rPr>
                <w:rFonts w:cs="仿宋_GB2312" w:asciiTheme="minorEastAsia" w:hAnsiTheme="minorEastAsia" w:eastAsiaTheme="minorEastAsia"/>
                <w:color w:val="auto"/>
                <w:sz w:val="24"/>
              </w:rPr>
            </w:pPr>
          </w:p>
        </w:tc>
        <w:tc>
          <w:tcPr>
            <w:tcW w:w="552" w:type="dxa"/>
          </w:tcPr>
          <w:p w14:paraId="1E1E307A">
            <w:pPr>
              <w:spacing w:line="360" w:lineRule="auto"/>
              <w:rPr>
                <w:rFonts w:cs="仿宋_GB2312" w:asciiTheme="minorEastAsia" w:hAnsiTheme="minorEastAsia" w:eastAsiaTheme="minorEastAsia"/>
                <w:color w:val="auto"/>
                <w:sz w:val="24"/>
              </w:rPr>
            </w:pPr>
          </w:p>
        </w:tc>
        <w:tc>
          <w:tcPr>
            <w:tcW w:w="552" w:type="dxa"/>
          </w:tcPr>
          <w:p w14:paraId="4DE1CFEE">
            <w:pPr>
              <w:spacing w:line="360" w:lineRule="auto"/>
              <w:rPr>
                <w:rFonts w:cs="仿宋_GB2312" w:asciiTheme="minorEastAsia" w:hAnsiTheme="minorEastAsia" w:eastAsiaTheme="minorEastAsia"/>
                <w:color w:val="auto"/>
                <w:sz w:val="24"/>
              </w:rPr>
            </w:pPr>
          </w:p>
        </w:tc>
        <w:tc>
          <w:tcPr>
            <w:tcW w:w="552" w:type="dxa"/>
          </w:tcPr>
          <w:p w14:paraId="6145FABA">
            <w:pPr>
              <w:spacing w:line="360" w:lineRule="auto"/>
              <w:rPr>
                <w:rFonts w:cs="仿宋_GB2312" w:asciiTheme="minorEastAsia" w:hAnsiTheme="minorEastAsia" w:eastAsiaTheme="minorEastAsia"/>
                <w:color w:val="auto"/>
                <w:sz w:val="24"/>
              </w:rPr>
            </w:pPr>
          </w:p>
        </w:tc>
        <w:tc>
          <w:tcPr>
            <w:tcW w:w="552" w:type="dxa"/>
          </w:tcPr>
          <w:p w14:paraId="37839F8E">
            <w:pPr>
              <w:spacing w:line="360" w:lineRule="auto"/>
              <w:rPr>
                <w:rFonts w:cs="仿宋_GB2312" w:asciiTheme="minorEastAsia" w:hAnsiTheme="minorEastAsia" w:eastAsiaTheme="minorEastAsia"/>
                <w:color w:val="auto"/>
                <w:sz w:val="24"/>
              </w:rPr>
            </w:pPr>
          </w:p>
        </w:tc>
        <w:tc>
          <w:tcPr>
            <w:tcW w:w="552" w:type="dxa"/>
          </w:tcPr>
          <w:p w14:paraId="462C0068">
            <w:pPr>
              <w:spacing w:line="360" w:lineRule="auto"/>
              <w:rPr>
                <w:rFonts w:cs="仿宋_GB2312" w:asciiTheme="minorEastAsia" w:hAnsiTheme="minorEastAsia" w:eastAsiaTheme="minorEastAsia"/>
                <w:color w:val="auto"/>
                <w:sz w:val="24"/>
              </w:rPr>
            </w:pPr>
          </w:p>
        </w:tc>
        <w:tc>
          <w:tcPr>
            <w:tcW w:w="553" w:type="dxa"/>
          </w:tcPr>
          <w:p w14:paraId="252EA521">
            <w:pPr>
              <w:spacing w:line="360" w:lineRule="auto"/>
              <w:rPr>
                <w:rFonts w:cs="仿宋_GB2312" w:asciiTheme="minorEastAsia" w:hAnsiTheme="minorEastAsia" w:eastAsiaTheme="minorEastAsia"/>
                <w:color w:val="auto"/>
                <w:sz w:val="24"/>
              </w:rPr>
            </w:pPr>
          </w:p>
        </w:tc>
        <w:tc>
          <w:tcPr>
            <w:tcW w:w="553" w:type="dxa"/>
          </w:tcPr>
          <w:p w14:paraId="1CE3D89E">
            <w:pPr>
              <w:spacing w:line="360" w:lineRule="auto"/>
              <w:rPr>
                <w:rFonts w:cs="仿宋_GB2312" w:asciiTheme="minorEastAsia" w:hAnsiTheme="minorEastAsia" w:eastAsiaTheme="minorEastAsia"/>
                <w:color w:val="auto"/>
                <w:sz w:val="24"/>
              </w:rPr>
            </w:pPr>
          </w:p>
        </w:tc>
        <w:tc>
          <w:tcPr>
            <w:tcW w:w="553" w:type="dxa"/>
          </w:tcPr>
          <w:p w14:paraId="22C2A632">
            <w:pPr>
              <w:spacing w:line="360" w:lineRule="auto"/>
              <w:rPr>
                <w:rFonts w:cs="仿宋_GB2312" w:asciiTheme="minorEastAsia" w:hAnsiTheme="minorEastAsia" w:eastAsiaTheme="minorEastAsia"/>
                <w:color w:val="auto"/>
                <w:sz w:val="24"/>
              </w:rPr>
            </w:pPr>
          </w:p>
        </w:tc>
        <w:tc>
          <w:tcPr>
            <w:tcW w:w="553" w:type="dxa"/>
          </w:tcPr>
          <w:p w14:paraId="4A73FDF7">
            <w:pPr>
              <w:spacing w:line="360" w:lineRule="auto"/>
              <w:rPr>
                <w:rFonts w:cs="仿宋_GB2312" w:asciiTheme="minorEastAsia" w:hAnsiTheme="minorEastAsia" w:eastAsiaTheme="minorEastAsia"/>
                <w:color w:val="auto"/>
                <w:sz w:val="24"/>
              </w:rPr>
            </w:pPr>
          </w:p>
        </w:tc>
        <w:tc>
          <w:tcPr>
            <w:tcW w:w="553" w:type="dxa"/>
          </w:tcPr>
          <w:p w14:paraId="5A4A9B6B">
            <w:pPr>
              <w:spacing w:line="360" w:lineRule="auto"/>
              <w:rPr>
                <w:rFonts w:cs="仿宋_GB2312" w:asciiTheme="minorEastAsia" w:hAnsiTheme="minorEastAsia" w:eastAsiaTheme="minorEastAsia"/>
                <w:color w:val="auto"/>
                <w:sz w:val="24"/>
              </w:rPr>
            </w:pPr>
          </w:p>
        </w:tc>
        <w:tc>
          <w:tcPr>
            <w:tcW w:w="553" w:type="dxa"/>
          </w:tcPr>
          <w:p w14:paraId="7CF8DF24">
            <w:pPr>
              <w:spacing w:line="360" w:lineRule="auto"/>
              <w:rPr>
                <w:rFonts w:cs="仿宋_GB2312" w:asciiTheme="minorEastAsia" w:hAnsiTheme="minorEastAsia" w:eastAsiaTheme="minorEastAsia"/>
                <w:color w:val="auto"/>
                <w:sz w:val="24"/>
              </w:rPr>
            </w:pPr>
          </w:p>
        </w:tc>
        <w:tc>
          <w:tcPr>
            <w:tcW w:w="553" w:type="dxa"/>
          </w:tcPr>
          <w:p w14:paraId="1542391C">
            <w:pPr>
              <w:spacing w:line="360" w:lineRule="auto"/>
              <w:rPr>
                <w:rFonts w:cs="仿宋_GB2312" w:asciiTheme="minorEastAsia" w:hAnsiTheme="minorEastAsia" w:eastAsiaTheme="minorEastAsia"/>
                <w:color w:val="auto"/>
                <w:sz w:val="24"/>
              </w:rPr>
            </w:pPr>
          </w:p>
        </w:tc>
        <w:tc>
          <w:tcPr>
            <w:tcW w:w="553" w:type="dxa"/>
          </w:tcPr>
          <w:p w14:paraId="77A07F35">
            <w:pPr>
              <w:spacing w:line="360" w:lineRule="auto"/>
              <w:rPr>
                <w:rFonts w:cs="仿宋_GB2312" w:asciiTheme="minorEastAsia" w:hAnsiTheme="minorEastAsia" w:eastAsiaTheme="minorEastAsia"/>
                <w:color w:val="auto"/>
                <w:sz w:val="24"/>
              </w:rPr>
            </w:pPr>
          </w:p>
        </w:tc>
        <w:tc>
          <w:tcPr>
            <w:tcW w:w="553" w:type="dxa"/>
          </w:tcPr>
          <w:p w14:paraId="4E4C44BF">
            <w:pPr>
              <w:spacing w:line="360" w:lineRule="auto"/>
              <w:rPr>
                <w:rFonts w:cs="仿宋_GB2312" w:asciiTheme="minorEastAsia" w:hAnsiTheme="minorEastAsia" w:eastAsiaTheme="minorEastAsia"/>
                <w:color w:val="auto"/>
                <w:sz w:val="24"/>
              </w:rPr>
            </w:pPr>
          </w:p>
        </w:tc>
        <w:tc>
          <w:tcPr>
            <w:tcW w:w="553" w:type="dxa"/>
          </w:tcPr>
          <w:p w14:paraId="4476C7B5">
            <w:pPr>
              <w:spacing w:line="360" w:lineRule="auto"/>
              <w:rPr>
                <w:rFonts w:cs="仿宋_GB2312" w:asciiTheme="minorEastAsia" w:hAnsiTheme="minorEastAsia" w:eastAsiaTheme="minorEastAsia"/>
                <w:color w:val="auto"/>
                <w:sz w:val="24"/>
              </w:rPr>
            </w:pPr>
          </w:p>
        </w:tc>
      </w:tr>
      <w:tr w14:paraId="4524A4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94EDCAD">
            <w:pPr>
              <w:spacing w:line="360" w:lineRule="auto"/>
              <w:rPr>
                <w:rFonts w:cs="仿宋_GB2312" w:asciiTheme="minorEastAsia" w:hAnsiTheme="minorEastAsia" w:eastAsiaTheme="minorEastAsia"/>
                <w:color w:val="auto"/>
                <w:sz w:val="24"/>
              </w:rPr>
            </w:pPr>
          </w:p>
        </w:tc>
        <w:tc>
          <w:tcPr>
            <w:tcW w:w="552" w:type="dxa"/>
          </w:tcPr>
          <w:p w14:paraId="48992937">
            <w:pPr>
              <w:spacing w:line="360" w:lineRule="auto"/>
              <w:rPr>
                <w:rFonts w:cs="仿宋_GB2312" w:asciiTheme="minorEastAsia" w:hAnsiTheme="minorEastAsia" w:eastAsiaTheme="minorEastAsia"/>
                <w:color w:val="auto"/>
                <w:sz w:val="24"/>
              </w:rPr>
            </w:pPr>
          </w:p>
        </w:tc>
        <w:tc>
          <w:tcPr>
            <w:tcW w:w="552" w:type="dxa"/>
          </w:tcPr>
          <w:p w14:paraId="4B4A0706">
            <w:pPr>
              <w:spacing w:line="360" w:lineRule="auto"/>
              <w:rPr>
                <w:rFonts w:cs="仿宋_GB2312" w:asciiTheme="minorEastAsia" w:hAnsiTheme="minorEastAsia" w:eastAsiaTheme="minorEastAsia"/>
                <w:color w:val="auto"/>
                <w:sz w:val="24"/>
              </w:rPr>
            </w:pPr>
          </w:p>
        </w:tc>
        <w:tc>
          <w:tcPr>
            <w:tcW w:w="552" w:type="dxa"/>
          </w:tcPr>
          <w:p w14:paraId="062F1BE2">
            <w:pPr>
              <w:spacing w:line="360" w:lineRule="auto"/>
              <w:rPr>
                <w:rFonts w:cs="仿宋_GB2312" w:asciiTheme="minorEastAsia" w:hAnsiTheme="minorEastAsia" w:eastAsiaTheme="minorEastAsia"/>
                <w:color w:val="auto"/>
                <w:sz w:val="24"/>
              </w:rPr>
            </w:pPr>
          </w:p>
        </w:tc>
        <w:tc>
          <w:tcPr>
            <w:tcW w:w="552" w:type="dxa"/>
          </w:tcPr>
          <w:p w14:paraId="7108BD73">
            <w:pPr>
              <w:spacing w:line="360" w:lineRule="auto"/>
              <w:rPr>
                <w:rFonts w:cs="仿宋_GB2312" w:asciiTheme="minorEastAsia" w:hAnsiTheme="minorEastAsia" w:eastAsiaTheme="minorEastAsia"/>
                <w:color w:val="auto"/>
                <w:sz w:val="24"/>
              </w:rPr>
            </w:pPr>
          </w:p>
        </w:tc>
        <w:tc>
          <w:tcPr>
            <w:tcW w:w="552" w:type="dxa"/>
          </w:tcPr>
          <w:p w14:paraId="606CC584">
            <w:pPr>
              <w:spacing w:line="360" w:lineRule="auto"/>
              <w:rPr>
                <w:rFonts w:cs="仿宋_GB2312" w:asciiTheme="minorEastAsia" w:hAnsiTheme="minorEastAsia" w:eastAsiaTheme="minorEastAsia"/>
                <w:color w:val="auto"/>
                <w:sz w:val="24"/>
              </w:rPr>
            </w:pPr>
          </w:p>
        </w:tc>
        <w:tc>
          <w:tcPr>
            <w:tcW w:w="552" w:type="dxa"/>
          </w:tcPr>
          <w:p w14:paraId="45425635">
            <w:pPr>
              <w:spacing w:line="360" w:lineRule="auto"/>
              <w:rPr>
                <w:rFonts w:cs="仿宋_GB2312" w:asciiTheme="minorEastAsia" w:hAnsiTheme="minorEastAsia" w:eastAsiaTheme="minorEastAsia"/>
                <w:color w:val="auto"/>
                <w:sz w:val="24"/>
              </w:rPr>
            </w:pPr>
          </w:p>
        </w:tc>
        <w:tc>
          <w:tcPr>
            <w:tcW w:w="553" w:type="dxa"/>
          </w:tcPr>
          <w:p w14:paraId="3AC0BF6D">
            <w:pPr>
              <w:spacing w:line="360" w:lineRule="auto"/>
              <w:rPr>
                <w:rFonts w:cs="仿宋_GB2312" w:asciiTheme="minorEastAsia" w:hAnsiTheme="minorEastAsia" w:eastAsiaTheme="minorEastAsia"/>
                <w:color w:val="auto"/>
                <w:sz w:val="24"/>
              </w:rPr>
            </w:pPr>
          </w:p>
        </w:tc>
        <w:tc>
          <w:tcPr>
            <w:tcW w:w="553" w:type="dxa"/>
          </w:tcPr>
          <w:p w14:paraId="777814E7">
            <w:pPr>
              <w:spacing w:line="360" w:lineRule="auto"/>
              <w:rPr>
                <w:rFonts w:cs="仿宋_GB2312" w:asciiTheme="minorEastAsia" w:hAnsiTheme="minorEastAsia" w:eastAsiaTheme="minorEastAsia"/>
                <w:color w:val="auto"/>
                <w:sz w:val="24"/>
              </w:rPr>
            </w:pPr>
          </w:p>
        </w:tc>
        <w:tc>
          <w:tcPr>
            <w:tcW w:w="553" w:type="dxa"/>
          </w:tcPr>
          <w:p w14:paraId="0AF0A460">
            <w:pPr>
              <w:spacing w:line="360" w:lineRule="auto"/>
              <w:rPr>
                <w:rFonts w:cs="仿宋_GB2312" w:asciiTheme="minorEastAsia" w:hAnsiTheme="minorEastAsia" w:eastAsiaTheme="minorEastAsia"/>
                <w:color w:val="auto"/>
                <w:sz w:val="24"/>
              </w:rPr>
            </w:pPr>
          </w:p>
        </w:tc>
        <w:tc>
          <w:tcPr>
            <w:tcW w:w="553" w:type="dxa"/>
          </w:tcPr>
          <w:p w14:paraId="778BE2DD">
            <w:pPr>
              <w:spacing w:line="360" w:lineRule="auto"/>
              <w:rPr>
                <w:rFonts w:cs="仿宋_GB2312" w:asciiTheme="minorEastAsia" w:hAnsiTheme="minorEastAsia" w:eastAsiaTheme="minorEastAsia"/>
                <w:color w:val="auto"/>
                <w:sz w:val="24"/>
              </w:rPr>
            </w:pPr>
          </w:p>
        </w:tc>
        <w:tc>
          <w:tcPr>
            <w:tcW w:w="553" w:type="dxa"/>
          </w:tcPr>
          <w:p w14:paraId="0BC98565">
            <w:pPr>
              <w:spacing w:line="360" w:lineRule="auto"/>
              <w:rPr>
                <w:rFonts w:cs="仿宋_GB2312" w:asciiTheme="minorEastAsia" w:hAnsiTheme="minorEastAsia" w:eastAsiaTheme="minorEastAsia"/>
                <w:color w:val="auto"/>
                <w:sz w:val="24"/>
              </w:rPr>
            </w:pPr>
          </w:p>
        </w:tc>
        <w:tc>
          <w:tcPr>
            <w:tcW w:w="553" w:type="dxa"/>
          </w:tcPr>
          <w:p w14:paraId="37B23FB9">
            <w:pPr>
              <w:spacing w:line="360" w:lineRule="auto"/>
              <w:rPr>
                <w:rFonts w:cs="仿宋_GB2312" w:asciiTheme="minorEastAsia" w:hAnsiTheme="minorEastAsia" w:eastAsiaTheme="minorEastAsia"/>
                <w:color w:val="auto"/>
                <w:sz w:val="24"/>
              </w:rPr>
            </w:pPr>
          </w:p>
        </w:tc>
        <w:tc>
          <w:tcPr>
            <w:tcW w:w="553" w:type="dxa"/>
          </w:tcPr>
          <w:p w14:paraId="35EF8F9E">
            <w:pPr>
              <w:spacing w:line="360" w:lineRule="auto"/>
              <w:rPr>
                <w:rFonts w:cs="仿宋_GB2312" w:asciiTheme="minorEastAsia" w:hAnsiTheme="minorEastAsia" w:eastAsiaTheme="minorEastAsia"/>
                <w:color w:val="auto"/>
                <w:sz w:val="24"/>
              </w:rPr>
            </w:pPr>
          </w:p>
        </w:tc>
        <w:tc>
          <w:tcPr>
            <w:tcW w:w="553" w:type="dxa"/>
          </w:tcPr>
          <w:p w14:paraId="11CC26A9">
            <w:pPr>
              <w:spacing w:line="360" w:lineRule="auto"/>
              <w:rPr>
                <w:rFonts w:cs="仿宋_GB2312" w:asciiTheme="minorEastAsia" w:hAnsiTheme="minorEastAsia" w:eastAsiaTheme="minorEastAsia"/>
                <w:color w:val="auto"/>
                <w:sz w:val="24"/>
              </w:rPr>
            </w:pPr>
          </w:p>
        </w:tc>
        <w:tc>
          <w:tcPr>
            <w:tcW w:w="553" w:type="dxa"/>
          </w:tcPr>
          <w:p w14:paraId="42A113FB">
            <w:pPr>
              <w:spacing w:line="360" w:lineRule="auto"/>
              <w:rPr>
                <w:rFonts w:cs="仿宋_GB2312" w:asciiTheme="minorEastAsia" w:hAnsiTheme="minorEastAsia" w:eastAsiaTheme="minorEastAsia"/>
                <w:color w:val="auto"/>
                <w:sz w:val="24"/>
              </w:rPr>
            </w:pPr>
          </w:p>
        </w:tc>
        <w:tc>
          <w:tcPr>
            <w:tcW w:w="553" w:type="dxa"/>
          </w:tcPr>
          <w:p w14:paraId="102035F0">
            <w:pPr>
              <w:spacing w:line="360" w:lineRule="auto"/>
              <w:rPr>
                <w:rFonts w:cs="仿宋_GB2312" w:asciiTheme="minorEastAsia" w:hAnsiTheme="minorEastAsia" w:eastAsiaTheme="minorEastAsia"/>
                <w:color w:val="auto"/>
                <w:sz w:val="24"/>
              </w:rPr>
            </w:pPr>
          </w:p>
        </w:tc>
      </w:tr>
      <w:tr w14:paraId="55EB11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3AF917C2">
            <w:pPr>
              <w:spacing w:line="360" w:lineRule="auto"/>
              <w:rPr>
                <w:rFonts w:cs="仿宋_GB2312" w:asciiTheme="minorEastAsia" w:hAnsiTheme="minorEastAsia" w:eastAsiaTheme="minorEastAsia"/>
                <w:color w:val="auto"/>
                <w:sz w:val="24"/>
              </w:rPr>
            </w:pPr>
          </w:p>
        </w:tc>
        <w:tc>
          <w:tcPr>
            <w:tcW w:w="552" w:type="dxa"/>
          </w:tcPr>
          <w:p w14:paraId="14AD83FF">
            <w:pPr>
              <w:spacing w:line="360" w:lineRule="auto"/>
              <w:rPr>
                <w:rFonts w:cs="仿宋_GB2312" w:asciiTheme="minorEastAsia" w:hAnsiTheme="minorEastAsia" w:eastAsiaTheme="minorEastAsia"/>
                <w:color w:val="auto"/>
                <w:sz w:val="24"/>
              </w:rPr>
            </w:pPr>
          </w:p>
        </w:tc>
        <w:tc>
          <w:tcPr>
            <w:tcW w:w="552" w:type="dxa"/>
          </w:tcPr>
          <w:p w14:paraId="3F71359A">
            <w:pPr>
              <w:spacing w:line="360" w:lineRule="auto"/>
              <w:rPr>
                <w:rFonts w:cs="仿宋_GB2312" w:asciiTheme="minorEastAsia" w:hAnsiTheme="minorEastAsia" w:eastAsiaTheme="minorEastAsia"/>
                <w:color w:val="auto"/>
                <w:sz w:val="24"/>
              </w:rPr>
            </w:pPr>
          </w:p>
        </w:tc>
        <w:tc>
          <w:tcPr>
            <w:tcW w:w="552" w:type="dxa"/>
          </w:tcPr>
          <w:p w14:paraId="46CDB620">
            <w:pPr>
              <w:spacing w:line="360" w:lineRule="auto"/>
              <w:rPr>
                <w:rFonts w:cs="仿宋_GB2312" w:asciiTheme="minorEastAsia" w:hAnsiTheme="minorEastAsia" w:eastAsiaTheme="minorEastAsia"/>
                <w:color w:val="auto"/>
                <w:sz w:val="24"/>
              </w:rPr>
            </w:pPr>
          </w:p>
        </w:tc>
        <w:tc>
          <w:tcPr>
            <w:tcW w:w="552" w:type="dxa"/>
          </w:tcPr>
          <w:p w14:paraId="7C259803">
            <w:pPr>
              <w:spacing w:line="360" w:lineRule="auto"/>
              <w:rPr>
                <w:rFonts w:cs="仿宋_GB2312" w:asciiTheme="minorEastAsia" w:hAnsiTheme="minorEastAsia" w:eastAsiaTheme="minorEastAsia"/>
                <w:color w:val="auto"/>
                <w:sz w:val="24"/>
              </w:rPr>
            </w:pPr>
          </w:p>
        </w:tc>
        <w:tc>
          <w:tcPr>
            <w:tcW w:w="552" w:type="dxa"/>
          </w:tcPr>
          <w:p w14:paraId="34A83A30">
            <w:pPr>
              <w:spacing w:line="360" w:lineRule="auto"/>
              <w:rPr>
                <w:rFonts w:cs="仿宋_GB2312" w:asciiTheme="minorEastAsia" w:hAnsiTheme="minorEastAsia" w:eastAsiaTheme="minorEastAsia"/>
                <w:color w:val="auto"/>
                <w:sz w:val="24"/>
              </w:rPr>
            </w:pPr>
          </w:p>
        </w:tc>
        <w:tc>
          <w:tcPr>
            <w:tcW w:w="552" w:type="dxa"/>
          </w:tcPr>
          <w:p w14:paraId="04C37553">
            <w:pPr>
              <w:spacing w:line="360" w:lineRule="auto"/>
              <w:rPr>
                <w:rFonts w:cs="仿宋_GB2312" w:asciiTheme="minorEastAsia" w:hAnsiTheme="minorEastAsia" w:eastAsiaTheme="minorEastAsia"/>
                <w:color w:val="auto"/>
                <w:sz w:val="24"/>
              </w:rPr>
            </w:pPr>
          </w:p>
        </w:tc>
        <w:tc>
          <w:tcPr>
            <w:tcW w:w="553" w:type="dxa"/>
          </w:tcPr>
          <w:p w14:paraId="50F9F4A5">
            <w:pPr>
              <w:spacing w:line="360" w:lineRule="auto"/>
              <w:rPr>
                <w:rFonts w:cs="仿宋_GB2312" w:asciiTheme="minorEastAsia" w:hAnsiTheme="minorEastAsia" w:eastAsiaTheme="minorEastAsia"/>
                <w:color w:val="auto"/>
                <w:sz w:val="24"/>
              </w:rPr>
            </w:pPr>
          </w:p>
        </w:tc>
        <w:tc>
          <w:tcPr>
            <w:tcW w:w="553" w:type="dxa"/>
          </w:tcPr>
          <w:p w14:paraId="4050788E">
            <w:pPr>
              <w:spacing w:line="360" w:lineRule="auto"/>
              <w:rPr>
                <w:rFonts w:cs="仿宋_GB2312" w:asciiTheme="minorEastAsia" w:hAnsiTheme="minorEastAsia" w:eastAsiaTheme="minorEastAsia"/>
                <w:color w:val="auto"/>
                <w:sz w:val="24"/>
              </w:rPr>
            </w:pPr>
          </w:p>
        </w:tc>
        <w:tc>
          <w:tcPr>
            <w:tcW w:w="553" w:type="dxa"/>
          </w:tcPr>
          <w:p w14:paraId="188A611B">
            <w:pPr>
              <w:spacing w:line="360" w:lineRule="auto"/>
              <w:rPr>
                <w:rFonts w:cs="仿宋_GB2312" w:asciiTheme="minorEastAsia" w:hAnsiTheme="minorEastAsia" w:eastAsiaTheme="minorEastAsia"/>
                <w:color w:val="auto"/>
                <w:sz w:val="24"/>
              </w:rPr>
            </w:pPr>
          </w:p>
        </w:tc>
        <w:tc>
          <w:tcPr>
            <w:tcW w:w="553" w:type="dxa"/>
          </w:tcPr>
          <w:p w14:paraId="125E1CB1">
            <w:pPr>
              <w:spacing w:line="360" w:lineRule="auto"/>
              <w:rPr>
                <w:rFonts w:cs="仿宋_GB2312" w:asciiTheme="minorEastAsia" w:hAnsiTheme="minorEastAsia" w:eastAsiaTheme="minorEastAsia"/>
                <w:color w:val="auto"/>
                <w:sz w:val="24"/>
              </w:rPr>
            </w:pPr>
          </w:p>
        </w:tc>
        <w:tc>
          <w:tcPr>
            <w:tcW w:w="553" w:type="dxa"/>
          </w:tcPr>
          <w:p w14:paraId="56A390EA">
            <w:pPr>
              <w:spacing w:line="360" w:lineRule="auto"/>
              <w:rPr>
                <w:rFonts w:cs="仿宋_GB2312" w:asciiTheme="minorEastAsia" w:hAnsiTheme="minorEastAsia" w:eastAsiaTheme="minorEastAsia"/>
                <w:color w:val="auto"/>
                <w:sz w:val="24"/>
              </w:rPr>
            </w:pPr>
          </w:p>
        </w:tc>
        <w:tc>
          <w:tcPr>
            <w:tcW w:w="553" w:type="dxa"/>
          </w:tcPr>
          <w:p w14:paraId="6D138016">
            <w:pPr>
              <w:spacing w:line="360" w:lineRule="auto"/>
              <w:rPr>
                <w:rFonts w:cs="仿宋_GB2312" w:asciiTheme="minorEastAsia" w:hAnsiTheme="minorEastAsia" w:eastAsiaTheme="minorEastAsia"/>
                <w:color w:val="auto"/>
                <w:sz w:val="24"/>
              </w:rPr>
            </w:pPr>
          </w:p>
        </w:tc>
        <w:tc>
          <w:tcPr>
            <w:tcW w:w="553" w:type="dxa"/>
          </w:tcPr>
          <w:p w14:paraId="339108B1">
            <w:pPr>
              <w:spacing w:line="360" w:lineRule="auto"/>
              <w:rPr>
                <w:rFonts w:cs="仿宋_GB2312" w:asciiTheme="minorEastAsia" w:hAnsiTheme="minorEastAsia" w:eastAsiaTheme="minorEastAsia"/>
                <w:color w:val="auto"/>
                <w:sz w:val="24"/>
              </w:rPr>
            </w:pPr>
          </w:p>
        </w:tc>
        <w:tc>
          <w:tcPr>
            <w:tcW w:w="553" w:type="dxa"/>
          </w:tcPr>
          <w:p w14:paraId="1707C02B">
            <w:pPr>
              <w:spacing w:line="360" w:lineRule="auto"/>
              <w:rPr>
                <w:rFonts w:cs="仿宋_GB2312" w:asciiTheme="minorEastAsia" w:hAnsiTheme="minorEastAsia" w:eastAsiaTheme="minorEastAsia"/>
                <w:color w:val="auto"/>
                <w:sz w:val="24"/>
              </w:rPr>
            </w:pPr>
          </w:p>
        </w:tc>
        <w:tc>
          <w:tcPr>
            <w:tcW w:w="553" w:type="dxa"/>
          </w:tcPr>
          <w:p w14:paraId="3DF34CD2">
            <w:pPr>
              <w:spacing w:line="360" w:lineRule="auto"/>
              <w:rPr>
                <w:rFonts w:cs="仿宋_GB2312" w:asciiTheme="minorEastAsia" w:hAnsiTheme="minorEastAsia" w:eastAsiaTheme="minorEastAsia"/>
                <w:color w:val="auto"/>
                <w:sz w:val="24"/>
              </w:rPr>
            </w:pPr>
          </w:p>
        </w:tc>
        <w:tc>
          <w:tcPr>
            <w:tcW w:w="553" w:type="dxa"/>
          </w:tcPr>
          <w:p w14:paraId="4FF4B76E">
            <w:pPr>
              <w:spacing w:line="360" w:lineRule="auto"/>
              <w:rPr>
                <w:rFonts w:cs="仿宋_GB2312" w:asciiTheme="minorEastAsia" w:hAnsiTheme="minorEastAsia" w:eastAsiaTheme="minorEastAsia"/>
                <w:color w:val="auto"/>
                <w:sz w:val="24"/>
              </w:rPr>
            </w:pPr>
          </w:p>
        </w:tc>
      </w:tr>
      <w:tr w14:paraId="36CE7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4E3AB67">
            <w:pPr>
              <w:spacing w:line="360" w:lineRule="auto"/>
              <w:rPr>
                <w:rFonts w:cs="仿宋_GB2312" w:asciiTheme="minorEastAsia" w:hAnsiTheme="minorEastAsia" w:eastAsiaTheme="minorEastAsia"/>
                <w:color w:val="auto"/>
                <w:sz w:val="24"/>
              </w:rPr>
            </w:pPr>
          </w:p>
        </w:tc>
        <w:tc>
          <w:tcPr>
            <w:tcW w:w="552" w:type="dxa"/>
          </w:tcPr>
          <w:p w14:paraId="1C98BAE4">
            <w:pPr>
              <w:spacing w:line="360" w:lineRule="auto"/>
              <w:rPr>
                <w:rFonts w:cs="仿宋_GB2312" w:asciiTheme="minorEastAsia" w:hAnsiTheme="minorEastAsia" w:eastAsiaTheme="minorEastAsia"/>
                <w:color w:val="auto"/>
                <w:sz w:val="24"/>
              </w:rPr>
            </w:pPr>
          </w:p>
        </w:tc>
        <w:tc>
          <w:tcPr>
            <w:tcW w:w="552" w:type="dxa"/>
          </w:tcPr>
          <w:p w14:paraId="3A90FC25">
            <w:pPr>
              <w:spacing w:line="360" w:lineRule="auto"/>
              <w:rPr>
                <w:rFonts w:cs="仿宋_GB2312" w:asciiTheme="minorEastAsia" w:hAnsiTheme="minorEastAsia" w:eastAsiaTheme="minorEastAsia"/>
                <w:color w:val="auto"/>
                <w:sz w:val="24"/>
              </w:rPr>
            </w:pPr>
          </w:p>
        </w:tc>
        <w:tc>
          <w:tcPr>
            <w:tcW w:w="552" w:type="dxa"/>
          </w:tcPr>
          <w:p w14:paraId="638AC26B">
            <w:pPr>
              <w:spacing w:line="360" w:lineRule="auto"/>
              <w:rPr>
                <w:rFonts w:cs="仿宋_GB2312" w:asciiTheme="minorEastAsia" w:hAnsiTheme="minorEastAsia" w:eastAsiaTheme="minorEastAsia"/>
                <w:color w:val="auto"/>
                <w:sz w:val="24"/>
              </w:rPr>
            </w:pPr>
          </w:p>
        </w:tc>
        <w:tc>
          <w:tcPr>
            <w:tcW w:w="552" w:type="dxa"/>
          </w:tcPr>
          <w:p w14:paraId="6024AFCE">
            <w:pPr>
              <w:spacing w:line="360" w:lineRule="auto"/>
              <w:rPr>
                <w:rFonts w:cs="仿宋_GB2312" w:asciiTheme="minorEastAsia" w:hAnsiTheme="minorEastAsia" w:eastAsiaTheme="minorEastAsia"/>
                <w:color w:val="auto"/>
                <w:sz w:val="24"/>
              </w:rPr>
            </w:pPr>
          </w:p>
        </w:tc>
        <w:tc>
          <w:tcPr>
            <w:tcW w:w="552" w:type="dxa"/>
          </w:tcPr>
          <w:p w14:paraId="6D561912">
            <w:pPr>
              <w:spacing w:line="360" w:lineRule="auto"/>
              <w:rPr>
                <w:rFonts w:cs="仿宋_GB2312" w:asciiTheme="minorEastAsia" w:hAnsiTheme="minorEastAsia" w:eastAsiaTheme="minorEastAsia"/>
                <w:color w:val="auto"/>
                <w:sz w:val="24"/>
              </w:rPr>
            </w:pPr>
          </w:p>
        </w:tc>
        <w:tc>
          <w:tcPr>
            <w:tcW w:w="552" w:type="dxa"/>
          </w:tcPr>
          <w:p w14:paraId="2FA51082">
            <w:pPr>
              <w:spacing w:line="360" w:lineRule="auto"/>
              <w:rPr>
                <w:rFonts w:cs="仿宋_GB2312" w:asciiTheme="minorEastAsia" w:hAnsiTheme="minorEastAsia" w:eastAsiaTheme="minorEastAsia"/>
                <w:color w:val="auto"/>
                <w:sz w:val="24"/>
              </w:rPr>
            </w:pPr>
          </w:p>
        </w:tc>
        <w:tc>
          <w:tcPr>
            <w:tcW w:w="553" w:type="dxa"/>
          </w:tcPr>
          <w:p w14:paraId="5E43358B">
            <w:pPr>
              <w:spacing w:line="360" w:lineRule="auto"/>
              <w:rPr>
                <w:rFonts w:cs="仿宋_GB2312" w:asciiTheme="minorEastAsia" w:hAnsiTheme="minorEastAsia" w:eastAsiaTheme="minorEastAsia"/>
                <w:color w:val="auto"/>
                <w:sz w:val="24"/>
              </w:rPr>
            </w:pPr>
          </w:p>
        </w:tc>
        <w:tc>
          <w:tcPr>
            <w:tcW w:w="553" w:type="dxa"/>
          </w:tcPr>
          <w:p w14:paraId="6176619B">
            <w:pPr>
              <w:spacing w:line="360" w:lineRule="auto"/>
              <w:rPr>
                <w:rFonts w:cs="仿宋_GB2312" w:asciiTheme="minorEastAsia" w:hAnsiTheme="minorEastAsia" w:eastAsiaTheme="minorEastAsia"/>
                <w:color w:val="auto"/>
                <w:sz w:val="24"/>
              </w:rPr>
            </w:pPr>
          </w:p>
        </w:tc>
        <w:tc>
          <w:tcPr>
            <w:tcW w:w="553" w:type="dxa"/>
          </w:tcPr>
          <w:p w14:paraId="22E59583">
            <w:pPr>
              <w:spacing w:line="360" w:lineRule="auto"/>
              <w:rPr>
                <w:rFonts w:cs="仿宋_GB2312" w:asciiTheme="minorEastAsia" w:hAnsiTheme="minorEastAsia" w:eastAsiaTheme="minorEastAsia"/>
                <w:color w:val="auto"/>
                <w:sz w:val="24"/>
              </w:rPr>
            </w:pPr>
          </w:p>
        </w:tc>
        <w:tc>
          <w:tcPr>
            <w:tcW w:w="553" w:type="dxa"/>
          </w:tcPr>
          <w:p w14:paraId="210ECFF3">
            <w:pPr>
              <w:spacing w:line="360" w:lineRule="auto"/>
              <w:rPr>
                <w:rFonts w:cs="仿宋_GB2312" w:asciiTheme="minorEastAsia" w:hAnsiTheme="minorEastAsia" w:eastAsiaTheme="minorEastAsia"/>
                <w:color w:val="auto"/>
                <w:sz w:val="24"/>
              </w:rPr>
            </w:pPr>
          </w:p>
        </w:tc>
        <w:tc>
          <w:tcPr>
            <w:tcW w:w="553" w:type="dxa"/>
          </w:tcPr>
          <w:p w14:paraId="6C58A246">
            <w:pPr>
              <w:spacing w:line="360" w:lineRule="auto"/>
              <w:rPr>
                <w:rFonts w:cs="仿宋_GB2312" w:asciiTheme="minorEastAsia" w:hAnsiTheme="minorEastAsia" w:eastAsiaTheme="minorEastAsia"/>
                <w:color w:val="auto"/>
                <w:sz w:val="24"/>
              </w:rPr>
            </w:pPr>
          </w:p>
        </w:tc>
        <w:tc>
          <w:tcPr>
            <w:tcW w:w="553" w:type="dxa"/>
          </w:tcPr>
          <w:p w14:paraId="6F3B49BF">
            <w:pPr>
              <w:spacing w:line="360" w:lineRule="auto"/>
              <w:rPr>
                <w:rFonts w:cs="仿宋_GB2312" w:asciiTheme="minorEastAsia" w:hAnsiTheme="minorEastAsia" w:eastAsiaTheme="minorEastAsia"/>
                <w:color w:val="auto"/>
                <w:sz w:val="24"/>
              </w:rPr>
            </w:pPr>
          </w:p>
        </w:tc>
        <w:tc>
          <w:tcPr>
            <w:tcW w:w="553" w:type="dxa"/>
          </w:tcPr>
          <w:p w14:paraId="32432447">
            <w:pPr>
              <w:spacing w:line="360" w:lineRule="auto"/>
              <w:rPr>
                <w:rFonts w:cs="仿宋_GB2312" w:asciiTheme="minorEastAsia" w:hAnsiTheme="minorEastAsia" w:eastAsiaTheme="minorEastAsia"/>
                <w:color w:val="auto"/>
                <w:sz w:val="24"/>
              </w:rPr>
            </w:pPr>
          </w:p>
        </w:tc>
        <w:tc>
          <w:tcPr>
            <w:tcW w:w="553" w:type="dxa"/>
          </w:tcPr>
          <w:p w14:paraId="3EC14098">
            <w:pPr>
              <w:spacing w:line="360" w:lineRule="auto"/>
              <w:rPr>
                <w:rFonts w:cs="仿宋_GB2312" w:asciiTheme="minorEastAsia" w:hAnsiTheme="minorEastAsia" w:eastAsiaTheme="minorEastAsia"/>
                <w:color w:val="auto"/>
                <w:sz w:val="24"/>
              </w:rPr>
            </w:pPr>
          </w:p>
        </w:tc>
        <w:tc>
          <w:tcPr>
            <w:tcW w:w="553" w:type="dxa"/>
          </w:tcPr>
          <w:p w14:paraId="3DC1E055">
            <w:pPr>
              <w:spacing w:line="360" w:lineRule="auto"/>
              <w:rPr>
                <w:rFonts w:cs="仿宋_GB2312" w:asciiTheme="minorEastAsia" w:hAnsiTheme="minorEastAsia" w:eastAsiaTheme="minorEastAsia"/>
                <w:color w:val="auto"/>
                <w:sz w:val="24"/>
              </w:rPr>
            </w:pPr>
          </w:p>
        </w:tc>
        <w:tc>
          <w:tcPr>
            <w:tcW w:w="553" w:type="dxa"/>
          </w:tcPr>
          <w:p w14:paraId="1D50242E">
            <w:pPr>
              <w:spacing w:line="360" w:lineRule="auto"/>
              <w:rPr>
                <w:rFonts w:cs="仿宋_GB2312" w:asciiTheme="minorEastAsia" w:hAnsiTheme="minorEastAsia" w:eastAsiaTheme="minorEastAsia"/>
                <w:color w:val="auto"/>
                <w:sz w:val="24"/>
              </w:rPr>
            </w:pPr>
          </w:p>
        </w:tc>
      </w:tr>
      <w:tr w14:paraId="394F1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8D16D49">
            <w:pPr>
              <w:spacing w:line="360" w:lineRule="auto"/>
              <w:rPr>
                <w:rFonts w:cs="仿宋_GB2312" w:asciiTheme="minorEastAsia" w:hAnsiTheme="minorEastAsia" w:eastAsiaTheme="minorEastAsia"/>
                <w:color w:val="auto"/>
                <w:sz w:val="24"/>
              </w:rPr>
            </w:pPr>
          </w:p>
        </w:tc>
        <w:tc>
          <w:tcPr>
            <w:tcW w:w="552" w:type="dxa"/>
          </w:tcPr>
          <w:p w14:paraId="6C596FAF">
            <w:pPr>
              <w:spacing w:line="360" w:lineRule="auto"/>
              <w:rPr>
                <w:rFonts w:cs="仿宋_GB2312" w:asciiTheme="minorEastAsia" w:hAnsiTheme="minorEastAsia" w:eastAsiaTheme="minorEastAsia"/>
                <w:color w:val="auto"/>
                <w:sz w:val="24"/>
              </w:rPr>
            </w:pPr>
          </w:p>
        </w:tc>
        <w:tc>
          <w:tcPr>
            <w:tcW w:w="552" w:type="dxa"/>
          </w:tcPr>
          <w:p w14:paraId="6731A723">
            <w:pPr>
              <w:spacing w:line="360" w:lineRule="auto"/>
              <w:rPr>
                <w:rFonts w:cs="仿宋_GB2312" w:asciiTheme="minorEastAsia" w:hAnsiTheme="minorEastAsia" w:eastAsiaTheme="minorEastAsia"/>
                <w:color w:val="auto"/>
                <w:sz w:val="24"/>
              </w:rPr>
            </w:pPr>
          </w:p>
        </w:tc>
        <w:tc>
          <w:tcPr>
            <w:tcW w:w="552" w:type="dxa"/>
          </w:tcPr>
          <w:p w14:paraId="09AD1063">
            <w:pPr>
              <w:spacing w:line="360" w:lineRule="auto"/>
              <w:rPr>
                <w:rFonts w:cs="仿宋_GB2312" w:asciiTheme="minorEastAsia" w:hAnsiTheme="minorEastAsia" w:eastAsiaTheme="minorEastAsia"/>
                <w:color w:val="auto"/>
                <w:sz w:val="24"/>
              </w:rPr>
            </w:pPr>
          </w:p>
        </w:tc>
        <w:tc>
          <w:tcPr>
            <w:tcW w:w="552" w:type="dxa"/>
          </w:tcPr>
          <w:p w14:paraId="4AD30C71">
            <w:pPr>
              <w:spacing w:line="360" w:lineRule="auto"/>
              <w:rPr>
                <w:rFonts w:cs="仿宋_GB2312" w:asciiTheme="minorEastAsia" w:hAnsiTheme="minorEastAsia" w:eastAsiaTheme="minorEastAsia"/>
                <w:color w:val="auto"/>
                <w:sz w:val="24"/>
              </w:rPr>
            </w:pPr>
          </w:p>
        </w:tc>
        <w:tc>
          <w:tcPr>
            <w:tcW w:w="552" w:type="dxa"/>
          </w:tcPr>
          <w:p w14:paraId="5B4B6EF8">
            <w:pPr>
              <w:spacing w:line="360" w:lineRule="auto"/>
              <w:rPr>
                <w:rFonts w:cs="仿宋_GB2312" w:asciiTheme="minorEastAsia" w:hAnsiTheme="minorEastAsia" w:eastAsiaTheme="minorEastAsia"/>
                <w:color w:val="auto"/>
                <w:sz w:val="24"/>
              </w:rPr>
            </w:pPr>
          </w:p>
        </w:tc>
        <w:tc>
          <w:tcPr>
            <w:tcW w:w="552" w:type="dxa"/>
          </w:tcPr>
          <w:p w14:paraId="6451EE22">
            <w:pPr>
              <w:spacing w:line="360" w:lineRule="auto"/>
              <w:rPr>
                <w:rFonts w:cs="仿宋_GB2312" w:asciiTheme="minorEastAsia" w:hAnsiTheme="minorEastAsia" w:eastAsiaTheme="minorEastAsia"/>
                <w:color w:val="auto"/>
                <w:sz w:val="24"/>
              </w:rPr>
            </w:pPr>
          </w:p>
        </w:tc>
        <w:tc>
          <w:tcPr>
            <w:tcW w:w="553" w:type="dxa"/>
          </w:tcPr>
          <w:p w14:paraId="7FCFAF97">
            <w:pPr>
              <w:spacing w:line="360" w:lineRule="auto"/>
              <w:rPr>
                <w:rFonts w:cs="仿宋_GB2312" w:asciiTheme="minorEastAsia" w:hAnsiTheme="minorEastAsia" w:eastAsiaTheme="minorEastAsia"/>
                <w:color w:val="auto"/>
                <w:sz w:val="24"/>
              </w:rPr>
            </w:pPr>
          </w:p>
        </w:tc>
        <w:tc>
          <w:tcPr>
            <w:tcW w:w="553" w:type="dxa"/>
          </w:tcPr>
          <w:p w14:paraId="0E2CC081">
            <w:pPr>
              <w:spacing w:line="360" w:lineRule="auto"/>
              <w:rPr>
                <w:rFonts w:cs="仿宋_GB2312" w:asciiTheme="minorEastAsia" w:hAnsiTheme="minorEastAsia" w:eastAsiaTheme="minorEastAsia"/>
                <w:color w:val="auto"/>
                <w:sz w:val="24"/>
              </w:rPr>
            </w:pPr>
          </w:p>
        </w:tc>
        <w:tc>
          <w:tcPr>
            <w:tcW w:w="553" w:type="dxa"/>
          </w:tcPr>
          <w:p w14:paraId="3E3D5B04">
            <w:pPr>
              <w:spacing w:line="360" w:lineRule="auto"/>
              <w:rPr>
                <w:rFonts w:cs="仿宋_GB2312" w:asciiTheme="minorEastAsia" w:hAnsiTheme="minorEastAsia" w:eastAsiaTheme="minorEastAsia"/>
                <w:color w:val="auto"/>
                <w:sz w:val="24"/>
              </w:rPr>
            </w:pPr>
          </w:p>
        </w:tc>
        <w:tc>
          <w:tcPr>
            <w:tcW w:w="553" w:type="dxa"/>
          </w:tcPr>
          <w:p w14:paraId="38320056">
            <w:pPr>
              <w:spacing w:line="360" w:lineRule="auto"/>
              <w:rPr>
                <w:rFonts w:cs="仿宋_GB2312" w:asciiTheme="minorEastAsia" w:hAnsiTheme="minorEastAsia" w:eastAsiaTheme="minorEastAsia"/>
                <w:color w:val="auto"/>
                <w:sz w:val="24"/>
              </w:rPr>
            </w:pPr>
          </w:p>
        </w:tc>
        <w:tc>
          <w:tcPr>
            <w:tcW w:w="553" w:type="dxa"/>
          </w:tcPr>
          <w:p w14:paraId="70D2AB17">
            <w:pPr>
              <w:spacing w:line="360" w:lineRule="auto"/>
              <w:rPr>
                <w:rFonts w:cs="仿宋_GB2312" w:asciiTheme="minorEastAsia" w:hAnsiTheme="minorEastAsia" w:eastAsiaTheme="minorEastAsia"/>
                <w:color w:val="auto"/>
                <w:sz w:val="24"/>
              </w:rPr>
            </w:pPr>
          </w:p>
        </w:tc>
        <w:tc>
          <w:tcPr>
            <w:tcW w:w="553" w:type="dxa"/>
          </w:tcPr>
          <w:p w14:paraId="1BEC4CEA">
            <w:pPr>
              <w:spacing w:line="360" w:lineRule="auto"/>
              <w:rPr>
                <w:rFonts w:cs="仿宋_GB2312" w:asciiTheme="minorEastAsia" w:hAnsiTheme="minorEastAsia" w:eastAsiaTheme="minorEastAsia"/>
                <w:color w:val="auto"/>
                <w:sz w:val="24"/>
              </w:rPr>
            </w:pPr>
          </w:p>
        </w:tc>
        <w:tc>
          <w:tcPr>
            <w:tcW w:w="553" w:type="dxa"/>
          </w:tcPr>
          <w:p w14:paraId="0A505544">
            <w:pPr>
              <w:spacing w:line="360" w:lineRule="auto"/>
              <w:rPr>
                <w:rFonts w:cs="仿宋_GB2312" w:asciiTheme="minorEastAsia" w:hAnsiTheme="minorEastAsia" w:eastAsiaTheme="minorEastAsia"/>
                <w:color w:val="auto"/>
                <w:sz w:val="24"/>
              </w:rPr>
            </w:pPr>
          </w:p>
        </w:tc>
        <w:tc>
          <w:tcPr>
            <w:tcW w:w="553" w:type="dxa"/>
          </w:tcPr>
          <w:p w14:paraId="58142917">
            <w:pPr>
              <w:spacing w:line="360" w:lineRule="auto"/>
              <w:rPr>
                <w:rFonts w:cs="仿宋_GB2312" w:asciiTheme="minorEastAsia" w:hAnsiTheme="minorEastAsia" w:eastAsiaTheme="minorEastAsia"/>
                <w:color w:val="auto"/>
                <w:sz w:val="24"/>
              </w:rPr>
            </w:pPr>
          </w:p>
        </w:tc>
        <w:tc>
          <w:tcPr>
            <w:tcW w:w="553" w:type="dxa"/>
          </w:tcPr>
          <w:p w14:paraId="5CC4A018">
            <w:pPr>
              <w:spacing w:line="360" w:lineRule="auto"/>
              <w:rPr>
                <w:rFonts w:cs="仿宋_GB2312" w:asciiTheme="minorEastAsia" w:hAnsiTheme="minorEastAsia" w:eastAsiaTheme="minorEastAsia"/>
                <w:color w:val="auto"/>
                <w:sz w:val="24"/>
              </w:rPr>
            </w:pPr>
          </w:p>
        </w:tc>
        <w:tc>
          <w:tcPr>
            <w:tcW w:w="553" w:type="dxa"/>
          </w:tcPr>
          <w:p w14:paraId="158B66C3">
            <w:pPr>
              <w:spacing w:line="360" w:lineRule="auto"/>
              <w:rPr>
                <w:rFonts w:cs="仿宋_GB2312" w:asciiTheme="minorEastAsia" w:hAnsiTheme="minorEastAsia" w:eastAsiaTheme="minorEastAsia"/>
                <w:color w:val="auto"/>
                <w:sz w:val="24"/>
              </w:rPr>
            </w:pPr>
          </w:p>
        </w:tc>
      </w:tr>
    </w:tbl>
    <w:p w14:paraId="7181FD83">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注：供应商可按上述时间表的格式自行编制切合实际的具体时间表。</w:t>
      </w:r>
    </w:p>
    <w:p w14:paraId="39454701">
      <w:pPr>
        <w:autoSpaceDE w:val="0"/>
        <w:autoSpaceDN w:val="0"/>
        <w:spacing w:line="360" w:lineRule="auto"/>
        <w:ind w:firstLine="4560" w:firstLineChars="1900"/>
        <w:rPr>
          <w:rFonts w:cs="仿宋_GB2312" w:asciiTheme="minorEastAsia" w:hAnsiTheme="minorEastAsia" w:eastAsiaTheme="minorEastAsia"/>
          <w:color w:val="auto"/>
          <w:kern w:val="0"/>
          <w:sz w:val="24"/>
        </w:rPr>
      </w:pPr>
    </w:p>
    <w:p w14:paraId="701EA824">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64D444EC">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4175AEDA">
      <w:pPr>
        <w:spacing w:line="360" w:lineRule="auto"/>
        <w:jc w:val="center"/>
        <w:rPr>
          <w:rFonts w:cs="仿宋_GB2312" w:asciiTheme="minorEastAsia" w:hAnsiTheme="minorEastAsia" w:eastAsiaTheme="minorEastAsia"/>
          <w:b/>
          <w:bCs/>
          <w:color w:val="auto"/>
          <w:sz w:val="32"/>
          <w:szCs w:val="32"/>
        </w:rPr>
      </w:pPr>
    </w:p>
    <w:p w14:paraId="4DB287B0">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十、售后服务方案</w:t>
      </w:r>
    </w:p>
    <w:p w14:paraId="5177DCB3">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w:t>
      </w:r>
      <w:r>
        <w:rPr>
          <w:rFonts w:hint="eastAsia" w:cs="仿宋_GB2312" w:asciiTheme="minorEastAsia" w:hAnsiTheme="minorEastAsia" w:eastAsiaTheme="minorEastAsia"/>
          <w:color w:val="auto"/>
          <w:kern w:val="0"/>
          <w:sz w:val="24"/>
        </w:rPr>
        <w:t>供应商</w:t>
      </w:r>
      <w:r>
        <w:rPr>
          <w:rFonts w:hint="eastAsia" w:cs="仿宋_GB2312" w:asciiTheme="minorEastAsia" w:hAnsiTheme="minorEastAsia" w:eastAsiaTheme="minorEastAsia"/>
          <w:color w:val="auto"/>
          <w:sz w:val="24"/>
        </w:rPr>
        <w:t>根据采购需求及磋商文件要求编制）</w:t>
      </w:r>
    </w:p>
    <w:p w14:paraId="21F90276">
      <w:pPr>
        <w:autoSpaceDE w:val="0"/>
        <w:autoSpaceDN w:val="0"/>
        <w:spacing w:line="360" w:lineRule="auto"/>
        <w:rPr>
          <w:rFonts w:cs="仿宋_GB2312" w:asciiTheme="minorEastAsia" w:hAnsiTheme="minorEastAsia" w:eastAsiaTheme="minorEastAsia"/>
          <w:color w:val="auto"/>
          <w:kern w:val="0"/>
          <w:sz w:val="24"/>
        </w:rPr>
      </w:pPr>
    </w:p>
    <w:p w14:paraId="76C1533D">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6BFE0474">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6740BC97">
      <w:pPr>
        <w:spacing w:line="360" w:lineRule="auto"/>
        <w:jc w:val="center"/>
        <w:rPr>
          <w:rFonts w:cs="仿宋_GB2312" w:asciiTheme="minorEastAsia" w:hAnsiTheme="minorEastAsia" w:eastAsiaTheme="minorEastAsia"/>
          <w:b/>
          <w:bCs/>
          <w:color w:val="auto"/>
          <w:sz w:val="32"/>
          <w:szCs w:val="32"/>
        </w:rPr>
      </w:pPr>
    </w:p>
    <w:p w14:paraId="295AC424">
      <w:pPr>
        <w:spacing w:line="360" w:lineRule="auto"/>
        <w:jc w:val="center"/>
        <w:rPr>
          <w:rFonts w:cs="仿宋_GB2312" w:asciiTheme="minorEastAsia" w:hAnsiTheme="minorEastAsia" w:eastAsiaTheme="minorEastAsia"/>
          <w:b/>
          <w:bCs/>
          <w:color w:val="auto"/>
          <w:sz w:val="32"/>
          <w:szCs w:val="32"/>
        </w:rPr>
      </w:pPr>
      <w:r>
        <w:rPr>
          <w:rFonts w:hint="eastAsia" w:cs="仿宋_GB2312" w:asciiTheme="minorEastAsia" w:hAnsiTheme="minorEastAsia" w:eastAsiaTheme="minorEastAsia"/>
          <w:b/>
          <w:bCs/>
          <w:color w:val="auto"/>
          <w:sz w:val="32"/>
          <w:szCs w:val="32"/>
        </w:rPr>
        <w:t>十</w:t>
      </w:r>
      <w:r>
        <w:rPr>
          <w:rFonts w:hint="eastAsia" w:cs="仿宋_GB2312" w:asciiTheme="minorEastAsia" w:hAnsiTheme="minorEastAsia" w:eastAsiaTheme="minorEastAsia"/>
          <w:b/>
          <w:bCs/>
          <w:color w:val="auto"/>
          <w:sz w:val="32"/>
          <w:szCs w:val="32"/>
          <w:lang w:eastAsia="zh-CN"/>
        </w:rPr>
        <w:t>一</w:t>
      </w:r>
      <w:r>
        <w:rPr>
          <w:rFonts w:hint="eastAsia" w:cs="仿宋_GB2312" w:asciiTheme="minorEastAsia" w:hAnsiTheme="minorEastAsia" w:eastAsiaTheme="minorEastAsia"/>
          <w:b/>
          <w:bCs/>
          <w:color w:val="auto"/>
          <w:sz w:val="32"/>
          <w:szCs w:val="32"/>
        </w:rPr>
        <w:t>、项目小组人员名单</w:t>
      </w:r>
    </w:p>
    <w:p w14:paraId="601B5AE7">
      <w:pPr>
        <w:spacing w:line="360" w:lineRule="auto"/>
        <w:jc w:val="center"/>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sz w:val="24"/>
        </w:rPr>
        <w:t>（由供应商根据采购需求及磋商文件要求编制）</w:t>
      </w:r>
    </w:p>
    <w:p w14:paraId="66875434">
      <w:pPr>
        <w:keepNext/>
        <w:autoSpaceDE w:val="0"/>
        <w:autoSpaceDN w:val="0"/>
        <w:spacing w:line="360" w:lineRule="auto"/>
        <w:ind w:firstLine="477"/>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附表A:本项目的项目经理情况表</w:t>
      </w:r>
    </w:p>
    <w:tbl>
      <w:tblPr>
        <w:tblStyle w:val="60"/>
        <w:tblW w:w="9286" w:type="dxa"/>
        <w:tblInd w:w="0" w:type="dxa"/>
        <w:tblLayout w:type="fixed"/>
        <w:tblCellMar>
          <w:top w:w="0" w:type="dxa"/>
          <w:left w:w="108" w:type="dxa"/>
          <w:bottom w:w="0" w:type="dxa"/>
          <w:right w:w="108" w:type="dxa"/>
        </w:tblCellMar>
      </w:tblPr>
      <w:tblGrid>
        <w:gridCol w:w="2554"/>
        <w:gridCol w:w="1595"/>
        <w:gridCol w:w="5137"/>
      </w:tblGrid>
      <w:tr w14:paraId="5B243E8D">
        <w:tblPrEx>
          <w:tblCellMar>
            <w:top w:w="0" w:type="dxa"/>
            <w:left w:w="108" w:type="dxa"/>
            <w:bottom w:w="0" w:type="dxa"/>
            <w:right w:w="108" w:type="dxa"/>
          </w:tblCellMar>
        </w:tblPrEx>
        <w:trPr>
          <w:trHeight w:val="604" w:hRule="atLeast"/>
        </w:trPr>
        <w:tc>
          <w:tcPr>
            <w:tcW w:w="2554" w:type="dxa"/>
            <w:tcBorders>
              <w:top w:val="single" w:color="auto" w:sz="6" w:space="0"/>
              <w:left w:val="single" w:color="auto" w:sz="6" w:space="0"/>
              <w:bottom w:val="single" w:color="auto" w:sz="6" w:space="0"/>
              <w:right w:val="single" w:color="auto" w:sz="6" w:space="0"/>
            </w:tcBorders>
            <w:shd w:val="clear" w:color="auto" w:fill="auto"/>
            <w:vAlign w:val="center"/>
          </w:tcPr>
          <w:p w14:paraId="4D54C5C5">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姓名</w:t>
            </w:r>
          </w:p>
        </w:tc>
        <w:tc>
          <w:tcPr>
            <w:tcW w:w="1595" w:type="dxa"/>
            <w:tcBorders>
              <w:top w:val="single" w:color="auto" w:sz="6" w:space="0"/>
              <w:left w:val="single" w:color="auto" w:sz="6" w:space="0"/>
              <w:bottom w:val="single" w:color="auto" w:sz="6" w:space="0"/>
              <w:right w:val="single" w:color="auto" w:sz="4" w:space="0"/>
            </w:tcBorders>
            <w:shd w:val="clear" w:color="auto" w:fill="B3B3B3"/>
            <w:vAlign w:val="center"/>
          </w:tcPr>
          <w:p w14:paraId="3FD79DDC">
            <w:pPr>
              <w:autoSpaceDE w:val="0"/>
              <w:autoSpaceDN w:val="0"/>
              <w:spacing w:line="360" w:lineRule="auto"/>
              <w:jc w:val="center"/>
              <w:rPr>
                <w:rFonts w:cs="仿宋_GB2312" w:asciiTheme="minorEastAsia" w:hAnsiTheme="minorEastAsia" w:eastAsiaTheme="minorEastAsia"/>
                <w:color w:val="auto"/>
                <w:sz w:val="24"/>
              </w:rPr>
            </w:pPr>
          </w:p>
        </w:tc>
        <w:tc>
          <w:tcPr>
            <w:tcW w:w="5137" w:type="dxa"/>
            <w:tcBorders>
              <w:top w:val="single" w:color="auto" w:sz="6" w:space="0"/>
              <w:left w:val="single" w:color="auto" w:sz="6" w:space="0"/>
              <w:bottom w:val="single" w:color="auto" w:sz="6" w:space="0"/>
              <w:right w:val="single" w:color="auto" w:sz="6" w:space="0"/>
            </w:tcBorders>
            <w:vAlign w:val="center"/>
          </w:tcPr>
          <w:p w14:paraId="2280A1B8">
            <w:pPr>
              <w:autoSpaceDE w:val="0"/>
              <w:autoSpaceDN w:val="0"/>
              <w:spacing w:line="360" w:lineRule="auto"/>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响应截止时间近3年业绩及承担的主要工作情况，曾担任项目经理的项目应列明细</w:t>
            </w:r>
          </w:p>
        </w:tc>
      </w:tr>
      <w:tr w14:paraId="49F6BA5C">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4331296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性别</w:t>
            </w:r>
          </w:p>
        </w:tc>
        <w:tc>
          <w:tcPr>
            <w:tcW w:w="1595" w:type="dxa"/>
            <w:tcBorders>
              <w:top w:val="single" w:color="auto" w:sz="6" w:space="0"/>
              <w:left w:val="single" w:color="auto" w:sz="6" w:space="0"/>
              <w:bottom w:val="single" w:color="auto" w:sz="6" w:space="0"/>
              <w:right w:val="single" w:color="auto" w:sz="4" w:space="0"/>
            </w:tcBorders>
            <w:vAlign w:val="center"/>
          </w:tcPr>
          <w:p w14:paraId="450364BA">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restart"/>
            <w:tcBorders>
              <w:top w:val="single" w:color="auto" w:sz="6" w:space="0"/>
              <w:left w:val="single" w:color="auto" w:sz="6" w:space="0"/>
              <w:bottom w:val="single" w:color="auto" w:sz="6" w:space="0"/>
              <w:right w:val="single" w:color="auto" w:sz="6" w:space="0"/>
            </w:tcBorders>
            <w:vAlign w:val="center"/>
          </w:tcPr>
          <w:p w14:paraId="60F1A43C">
            <w:pPr>
              <w:autoSpaceDE w:val="0"/>
              <w:autoSpaceDN w:val="0"/>
              <w:spacing w:line="360" w:lineRule="auto"/>
              <w:jc w:val="center"/>
              <w:rPr>
                <w:rFonts w:cs="仿宋_GB2312" w:asciiTheme="minorEastAsia" w:hAnsiTheme="minorEastAsia" w:eastAsiaTheme="minorEastAsia"/>
                <w:color w:val="auto"/>
                <w:sz w:val="24"/>
              </w:rPr>
            </w:pPr>
          </w:p>
        </w:tc>
      </w:tr>
      <w:tr w14:paraId="59330537">
        <w:tblPrEx>
          <w:tblCellMar>
            <w:top w:w="0" w:type="dxa"/>
            <w:left w:w="108" w:type="dxa"/>
            <w:bottom w:w="0" w:type="dxa"/>
            <w:right w:w="108" w:type="dxa"/>
          </w:tblCellMar>
        </w:tblPrEx>
        <w:trPr>
          <w:cantSplit/>
          <w:trHeight w:val="337" w:hRule="atLeast"/>
        </w:trPr>
        <w:tc>
          <w:tcPr>
            <w:tcW w:w="2554" w:type="dxa"/>
            <w:tcBorders>
              <w:top w:val="single" w:color="auto" w:sz="6" w:space="0"/>
              <w:left w:val="single" w:color="auto" w:sz="6" w:space="0"/>
              <w:bottom w:val="single" w:color="auto" w:sz="6" w:space="0"/>
              <w:right w:val="single" w:color="auto" w:sz="6" w:space="0"/>
            </w:tcBorders>
            <w:vAlign w:val="center"/>
          </w:tcPr>
          <w:p w14:paraId="0C1A0D6F">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年龄</w:t>
            </w:r>
          </w:p>
        </w:tc>
        <w:tc>
          <w:tcPr>
            <w:tcW w:w="1595" w:type="dxa"/>
            <w:tcBorders>
              <w:top w:val="single" w:color="auto" w:sz="6" w:space="0"/>
              <w:left w:val="single" w:color="auto" w:sz="6" w:space="0"/>
              <w:bottom w:val="single" w:color="auto" w:sz="6" w:space="0"/>
              <w:right w:val="single" w:color="auto" w:sz="4" w:space="0"/>
            </w:tcBorders>
            <w:vAlign w:val="center"/>
          </w:tcPr>
          <w:p w14:paraId="3EB2522F">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6160A4A9">
            <w:pPr>
              <w:autoSpaceDE w:val="0"/>
              <w:autoSpaceDN w:val="0"/>
              <w:spacing w:line="360" w:lineRule="auto"/>
              <w:jc w:val="center"/>
              <w:rPr>
                <w:rFonts w:cs="仿宋_GB2312" w:asciiTheme="minorEastAsia" w:hAnsiTheme="minorEastAsia" w:eastAsiaTheme="minorEastAsia"/>
                <w:color w:val="auto"/>
                <w:sz w:val="24"/>
              </w:rPr>
            </w:pPr>
          </w:p>
        </w:tc>
      </w:tr>
      <w:tr w14:paraId="3A5B1AEE">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514400AF">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职称</w:t>
            </w:r>
          </w:p>
        </w:tc>
        <w:tc>
          <w:tcPr>
            <w:tcW w:w="1595" w:type="dxa"/>
            <w:tcBorders>
              <w:top w:val="single" w:color="auto" w:sz="6" w:space="0"/>
              <w:left w:val="single" w:color="auto" w:sz="6" w:space="0"/>
              <w:bottom w:val="single" w:color="auto" w:sz="6" w:space="0"/>
              <w:right w:val="single" w:color="auto" w:sz="4" w:space="0"/>
            </w:tcBorders>
            <w:vAlign w:val="center"/>
          </w:tcPr>
          <w:p w14:paraId="3C9F74D3">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446B69D7">
            <w:pPr>
              <w:autoSpaceDE w:val="0"/>
              <w:autoSpaceDN w:val="0"/>
              <w:spacing w:line="360" w:lineRule="auto"/>
              <w:jc w:val="center"/>
              <w:rPr>
                <w:rFonts w:cs="仿宋_GB2312" w:asciiTheme="minorEastAsia" w:hAnsiTheme="minorEastAsia" w:eastAsiaTheme="minorEastAsia"/>
                <w:color w:val="auto"/>
                <w:sz w:val="24"/>
              </w:rPr>
            </w:pPr>
          </w:p>
        </w:tc>
      </w:tr>
      <w:tr w14:paraId="77A7DFF3">
        <w:tblPrEx>
          <w:tblCellMar>
            <w:top w:w="0" w:type="dxa"/>
            <w:left w:w="108" w:type="dxa"/>
            <w:bottom w:w="0" w:type="dxa"/>
            <w:right w:w="108" w:type="dxa"/>
          </w:tblCellMar>
        </w:tblPrEx>
        <w:trPr>
          <w:cantSplit/>
          <w:trHeight w:val="345" w:hRule="atLeast"/>
        </w:trPr>
        <w:tc>
          <w:tcPr>
            <w:tcW w:w="2554" w:type="dxa"/>
            <w:tcBorders>
              <w:top w:val="single" w:color="auto" w:sz="6" w:space="0"/>
              <w:left w:val="single" w:color="auto" w:sz="6" w:space="0"/>
              <w:bottom w:val="single" w:color="auto" w:sz="6" w:space="0"/>
              <w:right w:val="single" w:color="auto" w:sz="6" w:space="0"/>
            </w:tcBorders>
            <w:vAlign w:val="center"/>
          </w:tcPr>
          <w:p w14:paraId="1012FE29">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毕业时间</w:t>
            </w:r>
          </w:p>
        </w:tc>
        <w:tc>
          <w:tcPr>
            <w:tcW w:w="1595" w:type="dxa"/>
            <w:tcBorders>
              <w:top w:val="single" w:color="auto" w:sz="6" w:space="0"/>
              <w:left w:val="single" w:color="auto" w:sz="6" w:space="0"/>
              <w:bottom w:val="single" w:color="auto" w:sz="6" w:space="0"/>
              <w:right w:val="single" w:color="auto" w:sz="4" w:space="0"/>
            </w:tcBorders>
            <w:vAlign w:val="center"/>
          </w:tcPr>
          <w:p w14:paraId="46F2F66F">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6DF6BE8B">
            <w:pPr>
              <w:autoSpaceDE w:val="0"/>
              <w:autoSpaceDN w:val="0"/>
              <w:spacing w:line="360" w:lineRule="auto"/>
              <w:jc w:val="center"/>
              <w:rPr>
                <w:rFonts w:cs="仿宋_GB2312" w:asciiTheme="minorEastAsia" w:hAnsiTheme="minorEastAsia" w:eastAsiaTheme="minorEastAsia"/>
                <w:color w:val="auto"/>
                <w:sz w:val="24"/>
              </w:rPr>
            </w:pPr>
          </w:p>
        </w:tc>
      </w:tr>
      <w:tr w14:paraId="4B80F524">
        <w:tblPrEx>
          <w:tblCellMar>
            <w:top w:w="0" w:type="dxa"/>
            <w:left w:w="108" w:type="dxa"/>
            <w:bottom w:w="0" w:type="dxa"/>
            <w:right w:w="108" w:type="dxa"/>
          </w:tblCellMar>
        </w:tblPrEx>
        <w:trPr>
          <w:cantSplit/>
          <w:trHeight w:val="422" w:hRule="atLeast"/>
        </w:trPr>
        <w:tc>
          <w:tcPr>
            <w:tcW w:w="2554" w:type="dxa"/>
            <w:tcBorders>
              <w:top w:val="single" w:color="auto" w:sz="6" w:space="0"/>
              <w:left w:val="single" w:color="auto" w:sz="6" w:space="0"/>
              <w:bottom w:val="single" w:color="auto" w:sz="6" w:space="0"/>
              <w:right w:val="single" w:color="auto" w:sz="6" w:space="0"/>
            </w:tcBorders>
            <w:vAlign w:val="center"/>
          </w:tcPr>
          <w:p w14:paraId="189BB986">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所学专业</w:t>
            </w:r>
          </w:p>
        </w:tc>
        <w:tc>
          <w:tcPr>
            <w:tcW w:w="1595" w:type="dxa"/>
            <w:tcBorders>
              <w:top w:val="single" w:color="auto" w:sz="6" w:space="0"/>
              <w:left w:val="single" w:color="auto" w:sz="6" w:space="0"/>
              <w:bottom w:val="single" w:color="auto" w:sz="6" w:space="0"/>
              <w:right w:val="single" w:color="auto" w:sz="4" w:space="0"/>
            </w:tcBorders>
            <w:vAlign w:val="center"/>
          </w:tcPr>
          <w:p w14:paraId="34B5A07B">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16BF5BB4">
            <w:pPr>
              <w:autoSpaceDE w:val="0"/>
              <w:autoSpaceDN w:val="0"/>
              <w:spacing w:line="360" w:lineRule="auto"/>
              <w:jc w:val="center"/>
              <w:rPr>
                <w:rFonts w:cs="仿宋_GB2312" w:asciiTheme="minorEastAsia" w:hAnsiTheme="minorEastAsia" w:eastAsiaTheme="minorEastAsia"/>
                <w:color w:val="auto"/>
                <w:sz w:val="24"/>
              </w:rPr>
            </w:pPr>
          </w:p>
        </w:tc>
      </w:tr>
      <w:tr w14:paraId="6D1BCCD0">
        <w:tblPrEx>
          <w:tblCellMar>
            <w:top w:w="0" w:type="dxa"/>
            <w:left w:w="108" w:type="dxa"/>
            <w:bottom w:w="0" w:type="dxa"/>
            <w:right w:w="108" w:type="dxa"/>
          </w:tblCellMar>
        </w:tblPrEx>
        <w:trPr>
          <w:cantSplit/>
          <w:trHeight w:val="416" w:hRule="atLeast"/>
        </w:trPr>
        <w:tc>
          <w:tcPr>
            <w:tcW w:w="2554" w:type="dxa"/>
            <w:tcBorders>
              <w:top w:val="single" w:color="auto" w:sz="6" w:space="0"/>
              <w:left w:val="single" w:color="auto" w:sz="6" w:space="0"/>
              <w:bottom w:val="single" w:color="auto" w:sz="6" w:space="0"/>
              <w:right w:val="single" w:color="auto" w:sz="6" w:space="0"/>
            </w:tcBorders>
            <w:vAlign w:val="center"/>
          </w:tcPr>
          <w:p w14:paraId="52BE4D5F">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学历</w:t>
            </w:r>
          </w:p>
        </w:tc>
        <w:tc>
          <w:tcPr>
            <w:tcW w:w="1595" w:type="dxa"/>
            <w:tcBorders>
              <w:top w:val="single" w:color="auto" w:sz="6" w:space="0"/>
              <w:left w:val="single" w:color="auto" w:sz="6" w:space="0"/>
              <w:bottom w:val="single" w:color="auto" w:sz="6" w:space="0"/>
              <w:right w:val="single" w:color="auto" w:sz="4" w:space="0"/>
            </w:tcBorders>
            <w:vAlign w:val="center"/>
          </w:tcPr>
          <w:p w14:paraId="13EA8387">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6C70E540">
            <w:pPr>
              <w:autoSpaceDE w:val="0"/>
              <w:autoSpaceDN w:val="0"/>
              <w:spacing w:line="360" w:lineRule="auto"/>
              <w:jc w:val="center"/>
              <w:rPr>
                <w:rFonts w:cs="仿宋_GB2312" w:asciiTheme="minorEastAsia" w:hAnsiTheme="minorEastAsia" w:eastAsiaTheme="minorEastAsia"/>
                <w:color w:val="auto"/>
                <w:sz w:val="24"/>
              </w:rPr>
            </w:pPr>
          </w:p>
        </w:tc>
      </w:tr>
      <w:tr w14:paraId="77B62955">
        <w:tblPrEx>
          <w:tblCellMar>
            <w:top w:w="0" w:type="dxa"/>
            <w:left w:w="108" w:type="dxa"/>
            <w:bottom w:w="0" w:type="dxa"/>
            <w:right w:w="108" w:type="dxa"/>
          </w:tblCellMar>
        </w:tblPrEx>
        <w:trPr>
          <w:cantSplit/>
          <w:trHeight w:val="200" w:hRule="atLeast"/>
        </w:trPr>
        <w:tc>
          <w:tcPr>
            <w:tcW w:w="2554" w:type="dxa"/>
            <w:tcBorders>
              <w:top w:val="single" w:color="auto" w:sz="6" w:space="0"/>
              <w:left w:val="single" w:color="auto" w:sz="6" w:space="0"/>
              <w:bottom w:val="single" w:color="auto" w:sz="6" w:space="0"/>
              <w:right w:val="single" w:color="auto" w:sz="6" w:space="0"/>
            </w:tcBorders>
            <w:vAlign w:val="center"/>
          </w:tcPr>
          <w:p w14:paraId="0D7F6303">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资质证书</w:t>
            </w:r>
          </w:p>
        </w:tc>
        <w:tc>
          <w:tcPr>
            <w:tcW w:w="1595" w:type="dxa"/>
            <w:tcBorders>
              <w:top w:val="single" w:color="auto" w:sz="6" w:space="0"/>
              <w:left w:val="single" w:color="auto" w:sz="6" w:space="0"/>
              <w:bottom w:val="single" w:color="auto" w:sz="6" w:space="0"/>
              <w:right w:val="single" w:color="auto" w:sz="4" w:space="0"/>
            </w:tcBorders>
            <w:vAlign w:val="center"/>
          </w:tcPr>
          <w:p w14:paraId="6C96C71F">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20ADDC79">
            <w:pPr>
              <w:autoSpaceDE w:val="0"/>
              <w:autoSpaceDN w:val="0"/>
              <w:spacing w:line="360" w:lineRule="auto"/>
              <w:jc w:val="center"/>
              <w:rPr>
                <w:rFonts w:cs="仿宋_GB2312" w:asciiTheme="minorEastAsia" w:hAnsiTheme="minorEastAsia" w:eastAsiaTheme="minorEastAsia"/>
                <w:color w:val="auto"/>
                <w:sz w:val="24"/>
              </w:rPr>
            </w:pPr>
          </w:p>
        </w:tc>
      </w:tr>
      <w:tr w14:paraId="4BEFDF47">
        <w:tblPrEx>
          <w:tblCellMar>
            <w:top w:w="0" w:type="dxa"/>
            <w:left w:w="108" w:type="dxa"/>
            <w:bottom w:w="0" w:type="dxa"/>
            <w:right w:w="108" w:type="dxa"/>
          </w:tblCellMar>
        </w:tblPrEx>
        <w:trPr>
          <w:cantSplit/>
          <w:trHeight w:val="177" w:hRule="atLeast"/>
        </w:trPr>
        <w:tc>
          <w:tcPr>
            <w:tcW w:w="2554" w:type="dxa"/>
            <w:tcBorders>
              <w:top w:val="single" w:color="auto" w:sz="6" w:space="0"/>
              <w:left w:val="single" w:color="auto" w:sz="6" w:space="0"/>
              <w:bottom w:val="single" w:color="auto" w:sz="6" w:space="0"/>
              <w:right w:val="single" w:color="auto" w:sz="6" w:space="0"/>
            </w:tcBorders>
            <w:vAlign w:val="center"/>
          </w:tcPr>
          <w:p w14:paraId="61815CAE">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其他资质情况</w:t>
            </w:r>
          </w:p>
        </w:tc>
        <w:tc>
          <w:tcPr>
            <w:tcW w:w="1595" w:type="dxa"/>
            <w:tcBorders>
              <w:top w:val="single" w:color="auto" w:sz="6" w:space="0"/>
              <w:left w:val="single" w:color="auto" w:sz="6" w:space="0"/>
              <w:bottom w:val="single" w:color="auto" w:sz="6" w:space="0"/>
              <w:right w:val="single" w:color="auto" w:sz="4" w:space="0"/>
            </w:tcBorders>
            <w:vAlign w:val="center"/>
          </w:tcPr>
          <w:p w14:paraId="02BF5886">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0C84FBF1">
            <w:pPr>
              <w:autoSpaceDE w:val="0"/>
              <w:autoSpaceDN w:val="0"/>
              <w:spacing w:line="360" w:lineRule="auto"/>
              <w:jc w:val="center"/>
              <w:rPr>
                <w:rFonts w:cs="仿宋_GB2312" w:asciiTheme="minorEastAsia" w:hAnsiTheme="minorEastAsia" w:eastAsiaTheme="minorEastAsia"/>
                <w:color w:val="auto"/>
                <w:sz w:val="24"/>
              </w:rPr>
            </w:pPr>
          </w:p>
        </w:tc>
      </w:tr>
      <w:tr w14:paraId="4A8FFE9C">
        <w:tblPrEx>
          <w:tblCellMar>
            <w:top w:w="0" w:type="dxa"/>
            <w:left w:w="108" w:type="dxa"/>
            <w:bottom w:w="0" w:type="dxa"/>
            <w:right w:w="108" w:type="dxa"/>
          </w:tblCellMar>
        </w:tblPrEx>
        <w:trPr>
          <w:cantSplit/>
          <w:trHeight w:val="473" w:hRule="atLeast"/>
        </w:trPr>
        <w:tc>
          <w:tcPr>
            <w:tcW w:w="2554" w:type="dxa"/>
            <w:tcBorders>
              <w:top w:val="single" w:color="auto" w:sz="6" w:space="0"/>
              <w:left w:val="single" w:color="auto" w:sz="6" w:space="0"/>
              <w:bottom w:val="single" w:color="auto" w:sz="6" w:space="0"/>
              <w:right w:val="single" w:color="auto" w:sz="6" w:space="0"/>
            </w:tcBorders>
            <w:vAlign w:val="center"/>
          </w:tcPr>
          <w:p w14:paraId="332AEEBE">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联系电话</w:t>
            </w:r>
          </w:p>
        </w:tc>
        <w:tc>
          <w:tcPr>
            <w:tcW w:w="1595" w:type="dxa"/>
            <w:tcBorders>
              <w:top w:val="single" w:color="auto" w:sz="6" w:space="0"/>
              <w:left w:val="single" w:color="auto" w:sz="6" w:space="0"/>
              <w:bottom w:val="single" w:color="auto" w:sz="6" w:space="0"/>
              <w:right w:val="single" w:color="auto" w:sz="4" w:space="0"/>
            </w:tcBorders>
            <w:vAlign w:val="center"/>
          </w:tcPr>
          <w:p w14:paraId="5B10EC3E">
            <w:pPr>
              <w:autoSpaceDE w:val="0"/>
              <w:autoSpaceDN w:val="0"/>
              <w:spacing w:line="360" w:lineRule="auto"/>
              <w:jc w:val="center"/>
              <w:rPr>
                <w:rFonts w:cs="仿宋_GB2312" w:asciiTheme="minorEastAsia" w:hAnsiTheme="minorEastAsia" w:eastAsiaTheme="minorEastAsia"/>
                <w:color w:val="auto"/>
                <w:sz w:val="24"/>
              </w:rPr>
            </w:pPr>
          </w:p>
        </w:tc>
        <w:tc>
          <w:tcPr>
            <w:tcW w:w="5137" w:type="dxa"/>
            <w:vMerge w:val="continue"/>
            <w:tcBorders>
              <w:top w:val="single" w:color="auto" w:sz="6" w:space="0"/>
              <w:left w:val="single" w:color="auto" w:sz="6" w:space="0"/>
              <w:bottom w:val="single" w:color="auto" w:sz="6" w:space="0"/>
              <w:right w:val="single" w:color="auto" w:sz="6" w:space="0"/>
            </w:tcBorders>
            <w:vAlign w:val="center"/>
          </w:tcPr>
          <w:p w14:paraId="7777A1DC">
            <w:pPr>
              <w:autoSpaceDE w:val="0"/>
              <w:autoSpaceDN w:val="0"/>
              <w:spacing w:line="360" w:lineRule="auto"/>
              <w:jc w:val="center"/>
              <w:rPr>
                <w:rFonts w:cs="仿宋_GB2312" w:asciiTheme="minorEastAsia" w:hAnsiTheme="minorEastAsia" w:eastAsiaTheme="minorEastAsia"/>
                <w:color w:val="auto"/>
                <w:sz w:val="24"/>
              </w:rPr>
            </w:pPr>
          </w:p>
        </w:tc>
      </w:tr>
    </w:tbl>
    <w:p w14:paraId="6FFB29AF">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注：须随表提交相应的证书复印件并注明所在响应文件页码。</w:t>
      </w:r>
    </w:p>
    <w:p w14:paraId="6B87C144">
      <w:pPr>
        <w:autoSpaceDE w:val="0"/>
        <w:autoSpaceDN w:val="0"/>
        <w:spacing w:line="360" w:lineRule="auto"/>
        <w:rPr>
          <w:rFonts w:cs="仿宋_GB2312" w:asciiTheme="minorEastAsia" w:hAnsiTheme="minorEastAsia" w:eastAsiaTheme="minorEastAsia"/>
          <w:b/>
          <w:color w:val="auto"/>
          <w:sz w:val="24"/>
        </w:rPr>
      </w:pPr>
      <w:r>
        <w:rPr>
          <w:rFonts w:hint="eastAsia" w:cs="仿宋_GB2312" w:asciiTheme="minorEastAsia" w:hAnsiTheme="minorEastAsia" w:eastAsiaTheme="minorEastAsia"/>
          <w:b/>
          <w:color w:val="auto"/>
          <w:sz w:val="24"/>
        </w:rPr>
        <w:t>附表B:本项目的项目小组人员情况表</w:t>
      </w:r>
      <w:r>
        <w:rPr>
          <w:rFonts w:hint="eastAsia" w:cs="仿宋_GB2312" w:asciiTheme="minorEastAsia" w:hAnsiTheme="minorEastAsia" w:eastAsiaTheme="minorEastAsia"/>
          <w:color w:val="auto"/>
          <w:sz w:val="24"/>
        </w:rPr>
        <w:t>（按此格式自制）</w:t>
      </w:r>
    </w:p>
    <w:tbl>
      <w:tblPr>
        <w:tblStyle w:val="60"/>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7AA3D26A">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290797E1">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498BA0E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60B0712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5F20CE92">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26D5623D">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学历</w:t>
            </w:r>
          </w:p>
          <w:p w14:paraId="40397E84">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7EF7D121">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专业</w:t>
            </w:r>
          </w:p>
          <w:p w14:paraId="48B947B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593B2CEA">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职称</w:t>
            </w:r>
          </w:p>
          <w:p w14:paraId="7D52D170">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1EF8D07B">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18E67E85">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6839FD31">
            <w:pPr>
              <w:autoSpaceDE w:val="0"/>
              <w:autoSpaceDN w:val="0"/>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参与本项目的到位情况</w:t>
            </w:r>
          </w:p>
        </w:tc>
      </w:tr>
      <w:tr w14:paraId="4F31E8C5">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66666B40">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7CE4A49C">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40811C85">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07913306">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76284A4F">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199000C">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2CF3565A">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233AFC4B">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4FB6B77E">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04F6648F">
            <w:pPr>
              <w:autoSpaceDE w:val="0"/>
              <w:autoSpaceDN w:val="0"/>
              <w:spacing w:line="360" w:lineRule="auto"/>
              <w:rPr>
                <w:rFonts w:cs="仿宋_GB2312" w:asciiTheme="minorEastAsia" w:hAnsiTheme="minorEastAsia" w:eastAsiaTheme="minorEastAsia"/>
                <w:color w:val="auto"/>
                <w:sz w:val="24"/>
              </w:rPr>
            </w:pPr>
          </w:p>
        </w:tc>
      </w:tr>
      <w:tr w14:paraId="64A31EFB">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563146A8">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66B3846D">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0615161A">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74A13B70">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1B7D0FAE">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4B0454DC">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09C5420">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54E8065D">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2ACFBF42">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3D04DBB8">
            <w:pPr>
              <w:autoSpaceDE w:val="0"/>
              <w:autoSpaceDN w:val="0"/>
              <w:spacing w:line="360" w:lineRule="auto"/>
              <w:rPr>
                <w:rFonts w:cs="仿宋_GB2312" w:asciiTheme="minorEastAsia" w:hAnsiTheme="minorEastAsia" w:eastAsiaTheme="minorEastAsia"/>
                <w:color w:val="auto"/>
                <w:sz w:val="24"/>
              </w:rPr>
            </w:pPr>
          </w:p>
        </w:tc>
      </w:tr>
      <w:tr w14:paraId="5005A5A8">
        <w:tblPrEx>
          <w:tblCellMar>
            <w:top w:w="0" w:type="dxa"/>
            <w:left w:w="108" w:type="dxa"/>
            <w:bottom w:w="0" w:type="dxa"/>
            <w:right w:w="108" w:type="dxa"/>
          </w:tblCellMar>
        </w:tblPrEx>
        <w:trPr>
          <w:trHeight w:val="339" w:hRule="atLeast"/>
        </w:trPr>
        <w:tc>
          <w:tcPr>
            <w:tcW w:w="420" w:type="dxa"/>
            <w:tcBorders>
              <w:top w:val="single" w:color="auto" w:sz="6" w:space="0"/>
              <w:left w:val="single" w:color="auto" w:sz="6" w:space="0"/>
              <w:bottom w:val="single" w:color="auto" w:sz="6" w:space="0"/>
              <w:right w:val="single" w:color="auto" w:sz="6" w:space="0"/>
            </w:tcBorders>
          </w:tcPr>
          <w:p w14:paraId="37B7E55A">
            <w:pPr>
              <w:autoSpaceDE w:val="0"/>
              <w:autoSpaceDN w:val="0"/>
              <w:spacing w:line="360" w:lineRule="auto"/>
              <w:jc w:val="center"/>
              <w:rPr>
                <w:rFonts w:cs="仿宋_GB2312" w:asciiTheme="minorEastAsia" w:hAnsiTheme="minorEastAsia" w:eastAsiaTheme="minorEastAsia"/>
                <w:color w:val="auto"/>
                <w:sz w:val="24"/>
              </w:rPr>
            </w:pPr>
          </w:p>
        </w:tc>
        <w:tc>
          <w:tcPr>
            <w:tcW w:w="787" w:type="dxa"/>
            <w:tcBorders>
              <w:top w:val="single" w:color="auto" w:sz="6" w:space="0"/>
              <w:left w:val="single" w:color="auto" w:sz="6" w:space="0"/>
              <w:bottom w:val="single" w:color="auto" w:sz="6" w:space="0"/>
              <w:right w:val="single" w:color="auto" w:sz="6" w:space="0"/>
            </w:tcBorders>
          </w:tcPr>
          <w:p w14:paraId="7BD8F28B">
            <w:pPr>
              <w:autoSpaceDE w:val="0"/>
              <w:autoSpaceDN w:val="0"/>
              <w:spacing w:line="360" w:lineRule="auto"/>
              <w:rPr>
                <w:rFonts w:cs="仿宋_GB2312" w:asciiTheme="minorEastAsia" w:hAnsiTheme="minorEastAsia" w:eastAsiaTheme="minorEastAsia"/>
                <w:color w:val="auto"/>
                <w:sz w:val="24"/>
              </w:rPr>
            </w:pPr>
          </w:p>
        </w:tc>
        <w:tc>
          <w:tcPr>
            <w:tcW w:w="412" w:type="dxa"/>
            <w:tcBorders>
              <w:top w:val="single" w:color="auto" w:sz="6" w:space="0"/>
              <w:left w:val="single" w:color="auto" w:sz="6" w:space="0"/>
              <w:bottom w:val="single" w:color="auto" w:sz="6" w:space="0"/>
              <w:right w:val="single" w:color="auto" w:sz="6" w:space="0"/>
            </w:tcBorders>
          </w:tcPr>
          <w:p w14:paraId="24BAC725">
            <w:pPr>
              <w:autoSpaceDE w:val="0"/>
              <w:autoSpaceDN w:val="0"/>
              <w:spacing w:line="360" w:lineRule="auto"/>
              <w:rPr>
                <w:rFonts w:cs="仿宋_GB2312" w:asciiTheme="minorEastAsia" w:hAnsiTheme="minorEastAsia" w:eastAsiaTheme="minorEastAsia"/>
                <w:color w:val="auto"/>
                <w:sz w:val="24"/>
              </w:rPr>
            </w:pPr>
          </w:p>
        </w:tc>
        <w:tc>
          <w:tcPr>
            <w:tcW w:w="586" w:type="dxa"/>
            <w:tcBorders>
              <w:top w:val="single" w:color="auto" w:sz="6" w:space="0"/>
              <w:left w:val="single" w:color="auto" w:sz="6" w:space="0"/>
              <w:bottom w:val="single" w:color="auto" w:sz="6" w:space="0"/>
              <w:right w:val="single" w:color="auto" w:sz="6" w:space="0"/>
            </w:tcBorders>
          </w:tcPr>
          <w:p w14:paraId="5367CACA">
            <w:pPr>
              <w:autoSpaceDE w:val="0"/>
              <w:autoSpaceDN w:val="0"/>
              <w:spacing w:line="360" w:lineRule="auto"/>
              <w:rPr>
                <w:rFonts w:cs="仿宋_GB2312" w:asciiTheme="minorEastAsia" w:hAnsiTheme="minorEastAsia" w:eastAsiaTheme="minorEastAsia"/>
                <w:color w:val="auto"/>
                <w:sz w:val="24"/>
              </w:rPr>
            </w:pPr>
          </w:p>
        </w:tc>
        <w:tc>
          <w:tcPr>
            <w:tcW w:w="1035" w:type="dxa"/>
            <w:tcBorders>
              <w:top w:val="single" w:color="auto" w:sz="6" w:space="0"/>
              <w:left w:val="single" w:color="auto" w:sz="6" w:space="0"/>
              <w:bottom w:val="single" w:color="auto" w:sz="6" w:space="0"/>
              <w:right w:val="single" w:color="auto" w:sz="6" w:space="0"/>
            </w:tcBorders>
          </w:tcPr>
          <w:p w14:paraId="18C75A7F">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5C1FA22A">
            <w:pPr>
              <w:autoSpaceDE w:val="0"/>
              <w:autoSpaceDN w:val="0"/>
              <w:spacing w:line="360" w:lineRule="auto"/>
              <w:rPr>
                <w:rFonts w:cs="仿宋_GB2312" w:asciiTheme="minorEastAsia" w:hAnsiTheme="minorEastAsia" w:eastAsiaTheme="minorEastAsia"/>
                <w:color w:val="auto"/>
                <w:sz w:val="24"/>
              </w:rPr>
            </w:pPr>
          </w:p>
        </w:tc>
        <w:tc>
          <w:tcPr>
            <w:tcW w:w="1080" w:type="dxa"/>
            <w:tcBorders>
              <w:top w:val="single" w:color="auto" w:sz="6" w:space="0"/>
              <w:left w:val="single" w:color="auto" w:sz="6" w:space="0"/>
              <w:bottom w:val="single" w:color="auto" w:sz="6" w:space="0"/>
              <w:right w:val="single" w:color="auto" w:sz="6" w:space="0"/>
            </w:tcBorders>
          </w:tcPr>
          <w:p w14:paraId="0E088135">
            <w:pPr>
              <w:autoSpaceDE w:val="0"/>
              <w:autoSpaceDN w:val="0"/>
              <w:spacing w:line="360" w:lineRule="auto"/>
              <w:rPr>
                <w:rFonts w:cs="仿宋_GB2312" w:asciiTheme="minorEastAsia" w:hAnsiTheme="minorEastAsia" w:eastAsiaTheme="minorEastAsia"/>
                <w:color w:val="auto"/>
                <w:sz w:val="24"/>
              </w:rPr>
            </w:pPr>
          </w:p>
        </w:tc>
        <w:tc>
          <w:tcPr>
            <w:tcW w:w="1260" w:type="dxa"/>
            <w:tcBorders>
              <w:top w:val="single" w:color="auto" w:sz="6" w:space="0"/>
              <w:left w:val="single" w:color="auto" w:sz="6" w:space="0"/>
              <w:bottom w:val="single" w:color="auto" w:sz="6" w:space="0"/>
              <w:right w:val="single" w:color="auto" w:sz="6" w:space="0"/>
            </w:tcBorders>
          </w:tcPr>
          <w:p w14:paraId="4CA7543A">
            <w:pPr>
              <w:autoSpaceDE w:val="0"/>
              <w:autoSpaceDN w:val="0"/>
              <w:spacing w:line="360" w:lineRule="auto"/>
              <w:rPr>
                <w:rFonts w:cs="仿宋_GB2312" w:asciiTheme="minorEastAsia" w:hAnsiTheme="minorEastAsia" w:eastAsiaTheme="minorEastAsia"/>
                <w:color w:val="auto"/>
                <w:sz w:val="24"/>
              </w:rPr>
            </w:pPr>
          </w:p>
        </w:tc>
        <w:tc>
          <w:tcPr>
            <w:tcW w:w="900" w:type="dxa"/>
            <w:tcBorders>
              <w:top w:val="single" w:color="auto" w:sz="6" w:space="0"/>
              <w:left w:val="single" w:color="auto" w:sz="6" w:space="0"/>
              <w:bottom w:val="single" w:color="auto" w:sz="6" w:space="0"/>
              <w:right w:val="single" w:color="auto" w:sz="6" w:space="0"/>
            </w:tcBorders>
          </w:tcPr>
          <w:p w14:paraId="0F9FC359">
            <w:pPr>
              <w:autoSpaceDE w:val="0"/>
              <w:autoSpaceDN w:val="0"/>
              <w:spacing w:line="360" w:lineRule="auto"/>
              <w:rPr>
                <w:rFonts w:cs="仿宋_GB2312" w:asciiTheme="minorEastAsia" w:hAnsiTheme="minorEastAsia" w:eastAsiaTheme="minorEastAsia"/>
                <w:color w:val="auto"/>
                <w:sz w:val="24"/>
              </w:rPr>
            </w:pPr>
          </w:p>
        </w:tc>
        <w:tc>
          <w:tcPr>
            <w:tcW w:w="1470" w:type="dxa"/>
            <w:tcBorders>
              <w:top w:val="single" w:color="auto" w:sz="6" w:space="0"/>
              <w:left w:val="single" w:color="auto" w:sz="6" w:space="0"/>
              <w:bottom w:val="single" w:color="auto" w:sz="6" w:space="0"/>
              <w:right w:val="single" w:color="auto" w:sz="6" w:space="0"/>
            </w:tcBorders>
          </w:tcPr>
          <w:p w14:paraId="4B61B6B7">
            <w:pPr>
              <w:autoSpaceDE w:val="0"/>
              <w:autoSpaceDN w:val="0"/>
              <w:spacing w:line="360" w:lineRule="auto"/>
              <w:rPr>
                <w:rFonts w:cs="仿宋_GB2312" w:asciiTheme="minorEastAsia" w:hAnsiTheme="minorEastAsia" w:eastAsiaTheme="minorEastAsia"/>
                <w:color w:val="auto"/>
                <w:sz w:val="24"/>
              </w:rPr>
            </w:pPr>
          </w:p>
        </w:tc>
      </w:tr>
    </w:tbl>
    <w:p w14:paraId="0F039733">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color w:val="auto"/>
          <w:sz w:val="24"/>
        </w:rPr>
        <w:t>注：供应商可按上述的格式自行编制，须随表提交相应的证书复印件并注明所在响应文件页码。</w:t>
      </w:r>
    </w:p>
    <w:p w14:paraId="45D23253">
      <w:pPr>
        <w:spacing w:line="360" w:lineRule="auto"/>
        <w:rPr>
          <w:rFonts w:cs="仿宋_GB2312" w:asciiTheme="minorEastAsia" w:hAnsiTheme="minorEastAsia" w:eastAsiaTheme="minorEastAsia"/>
          <w:b/>
          <w:color w:val="auto"/>
          <w:sz w:val="24"/>
        </w:rPr>
      </w:pPr>
    </w:p>
    <w:p w14:paraId="1F1F829A">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b/>
          <w:color w:val="auto"/>
          <w:sz w:val="24"/>
        </w:rPr>
        <w:t>附表C:本项目的项目经理和小组人员交纳社保记录情况表</w:t>
      </w:r>
      <w:r>
        <w:rPr>
          <w:rFonts w:hint="eastAsia" w:cs="仿宋_GB2312" w:asciiTheme="minorEastAsia" w:hAnsiTheme="minorEastAsia" w:eastAsiaTheme="minorEastAsia"/>
          <w:color w:val="auto"/>
          <w:sz w:val="24"/>
        </w:rPr>
        <w:t>（以社保局缴纳凭证作附件）</w:t>
      </w:r>
    </w:p>
    <w:p w14:paraId="6DB56B34">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1EB8485C">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37AE0F97">
      <w:pPr>
        <w:spacing w:line="360" w:lineRule="auto"/>
        <w:jc w:val="center"/>
        <w:rPr>
          <w:rFonts w:cs="仿宋_GB2312" w:asciiTheme="minorEastAsia" w:hAnsiTheme="minorEastAsia" w:eastAsiaTheme="minorEastAsia"/>
          <w:b/>
          <w:bCs/>
          <w:color w:val="auto"/>
          <w:sz w:val="32"/>
          <w:szCs w:val="32"/>
        </w:rPr>
      </w:pPr>
    </w:p>
    <w:p w14:paraId="187F4783">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24"/>
        </w:rPr>
        <w:br w:type="page"/>
      </w:r>
      <w:r>
        <w:rPr>
          <w:rFonts w:hint="eastAsia" w:cs="仿宋_GB2312" w:asciiTheme="minorEastAsia" w:hAnsiTheme="minorEastAsia" w:eastAsiaTheme="minorEastAsia"/>
          <w:b/>
          <w:color w:val="auto"/>
          <w:kern w:val="0"/>
          <w:sz w:val="32"/>
          <w:szCs w:val="32"/>
          <w:lang w:val="zh-CN"/>
        </w:rPr>
        <w:t>十二</w:t>
      </w:r>
      <w:r>
        <w:rPr>
          <w:rFonts w:hint="eastAsia" w:cs="仿宋_GB2312" w:asciiTheme="minorEastAsia" w:hAnsiTheme="minorEastAsia" w:eastAsiaTheme="minorEastAsia"/>
          <w:b/>
          <w:bCs/>
          <w:color w:val="auto"/>
          <w:sz w:val="32"/>
          <w:szCs w:val="32"/>
        </w:rPr>
        <w:t>、</w:t>
      </w:r>
      <w:r>
        <w:rPr>
          <w:rFonts w:hint="eastAsia" w:cs="仿宋_GB2312" w:asciiTheme="minorEastAsia" w:hAnsiTheme="minorEastAsia" w:eastAsiaTheme="minorEastAsia"/>
          <w:b/>
          <w:color w:val="auto"/>
          <w:kern w:val="0"/>
          <w:sz w:val="32"/>
          <w:szCs w:val="32"/>
          <w:lang w:val="zh-CN"/>
        </w:rPr>
        <w:t>优惠条件及特殊承诺</w:t>
      </w:r>
    </w:p>
    <w:p w14:paraId="17FDE912">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7C87AFB2">
      <w:pPr>
        <w:spacing w:line="360" w:lineRule="auto"/>
        <w:jc w:val="center"/>
        <w:rPr>
          <w:rFonts w:cs="仿宋_GB2312" w:asciiTheme="minorEastAsia" w:hAnsiTheme="minorEastAsia" w:eastAsiaTheme="minorEastAsia"/>
          <w:color w:val="auto"/>
          <w:sz w:val="24"/>
        </w:rPr>
      </w:pPr>
    </w:p>
    <w:p w14:paraId="028C5EA6">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056F5161">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5D870BF6">
      <w:pPr>
        <w:spacing w:line="360" w:lineRule="auto"/>
        <w:jc w:val="center"/>
        <w:rPr>
          <w:rFonts w:cs="仿宋_GB2312" w:asciiTheme="minorEastAsia" w:hAnsiTheme="minorEastAsia" w:eastAsiaTheme="minorEastAsia"/>
          <w:b/>
          <w:bCs/>
          <w:color w:val="auto"/>
          <w:sz w:val="32"/>
          <w:szCs w:val="32"/>
        </w:rPr>
      </w:pPr>
    </w:p>
    <w:p w14:paraId="28073734">
      <w:pPr>
        <w:spacing w:line="360" w:lineRule="auto"/>
        <w:jc w:val="center"/>
        <w:rPr>
          <w:rFonts w:cs="仿宋_GB2312" w:asciiTheme="minorEastAsia" w:hAnsiTheme="minorEastAsia" w:eastAsiaTheme="minorEastAsia"/>
          <w:b/>
          <w:bCs/>
          <w:color w:val="auto"/>
          <w:sz w:val="24"/>
        </w:rPr>
      </w:pPr>
    </w:p>
    <w:p w14:paraId="140D9F5A">
      <w:pPr>
        <w:spacing w:line="360" w:lineRule="auto"/>
        <w:jc w:val="center"/>
        <w:rPr>
          <w:rFonts w:cs="仿宋_GB2312" w:asciiTheme="minorEastAsia" w:hAnsiTheme="minorEastAsia" w:eastAsiaTheme="minorEastAsia"/>
          <w:b/>
          <w:bCs/>
          <w:color w:val="auto"/>
          <w:sz w:val="32"/>
          <w:szCs w:val="32"/>
        </w:rPr>
      </w:pPr>
    </w:p>
    <w:p w14:paraId="4B276AAF">
      <w:pPr>
        <w:spacing w:line="360" w:lineRule="auto"/>
        <w:jc w:val="center"/>
        <w:rPr>
          <w:rFonts w:cs="仿宋_GB2312" w:asciiTheme="minorEastAsia" w:hAnsiTheme="minorEastAsia" w:eastAsiaTheme="minorEastAsia"/>
          <w:b/>
          <w:color w:val="auto"/>
          <w:kern w:val="0"/>
          <w:sz w:val="32"/>
          <w:szCs w:val="32"/>
          <w:lang w:val="zh-CN"/>
        </w:rPr>
      </w:pPr>
      <w:r>
        <w:rPr>
          <w:rFonts w:hint="eastAsia" w:cs="仿宋_GB2312" w:asciiTheme="minorEastAsia" w:hAnsiTheme="minorEastAsia" w:eastAsiaTheme="minorEastAsia"/>
          <w:b/>
          <w:bCs/>
          <w:color w:val="auto"/>
          <w:sz w:val="32"/>
          <w:szCs w:val="32"/>
        </w:rPr>
        <w:t>十</w:t>
      </w:r>
      <w:r>
        <w:rPr>
          <w:rFonts w:hint="eastAsia" w:cs="仿宋_GB2312" w:asciiTheme="minorEastAsia" w:hAnsiTheme="minorEastAsia" w:eastAsiaTheme="minorEastAsia"/>
          <w:b/>
          <w:bCs/>
          <w:color w:val="auto"/>
          <w:sz w:val="32"/>
          <w:szCs w:val="32"/>
          <w:lang w:eastAsia="zh-CN"/>
        </w:rPr>
        <w:t>三</w:t>
      </w:r>
      <w:r>
        <w:rPr>
          <w:rFonts w:hint="eastAsia" w:cs="仿宋_GB2312" w:asciiTheme="minorEastAsia" w:hAnsiTheme="minorEastAsia" w:eastAsiaTheme="minorEastAsia"/>
          <w:b/>
          <w:bCs/>
          <w:color w:val="auto"/>
          <w:sz w:val="32"/>
          <w:szCs w:val="32"/>
        </w:rPr>
        <w:t>、认为需求的</w:t>
      </w:r>
      <w:r>
        <w:rPr>
          <w:rFonts w:hint="eastAsia" w:cs="仿宋_GB2312" w:asciiTheme="minorEastAsia" w:hAnsiTheme="minorEastAsia" w:eastAsiaTheme="minorEastAsia"/>
          <w:b/>
          <w:color w:val="auto"/>
          <w:kern w:val="0"/>
          <w:sz w:val="32"/>
          <w:szCs w:val="32"/>
          <w:lang w:val="zh-CN"/>
        </w:rPr>
        <w:t>其他技术文件或说明</w:t>
      </w:r>
    </w:p>
    <w:p w14:paraId="48AD9E05">
      <w:pPr>
        <w:spacing w:line="360" w:lineRule="auto"/>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（由供应商根据采购需求自行编制）</w:t>
      </w:r>
    </w:p>
    <w:p w14:paraId="7939E88C">
      <w:pPr>
        <w:spacing w:line="360" w:lineRule="auto"/>
        <w:rPr>
          <w:rFonts w:cs="仿宋_GB2312" w:asciiTheme="minorEastAsia" w:hAnsiTheme="minorEastAsia" w:eastAsiaTheme="minorEastAsia"/>
          <w:color w:val="auto"/>
          <w:sz w:val="24"/>
        </w:rPr>
      </w:pPr>
    </w:p>
    <w:p w14:paraId="0C14B91E">
      <w:pPr>
        <w:autoSpaceDE w:val="0"/>
        <w:autoSpaceDN w:val="0"/>
        <w:spacing w:line="360" w:lineRule="auto"/>
        <w:ind w:firstLine="4560" w:firstLineChars="1900"/>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kern w:val="0"/>
          <w:sz w:val="24"/>
        </w:rPr>
        <w:t>供应商名称（</w:t>
      </w:r>
      <w:r>
        <w:rPr>
          <w:rFonts w:hint="eastAsia" w:cs="仿宋_GB2312" w:asciiTheme="minorEastAsia" w:hAnsiTheme="minorEastAsia" w:eastAsiaTheme="minorEastAsia"/>
          <w:color w:val="auto"/>
          <w:kern w:val="0"/>
          <w:sz w:val="24"/>
          <w:lang w:val="zh-CN"/>
        </w:rPr>
        <w:t>电子签名</w:t>
      </w:r>
      <w:r>
        <w:rPr>
          <w:rFonts w:hint="eastAsia" w:cs="仿宋_GB2312" w:asciiTheme="minorEastAsia" w:hAnsiTheme="minorEastAsia" w:eastAsiaTheme="minorEastAsia"/>
          <w:color w:val="auto"/>
          <w:kern w:val="0"/>
          <w:sz w:val="24"/>
        </w:rPr>
        <w:t xml:space="preserve">）：                       </w:t>
      </w:r>
    </w:p>
    <w:p w14:paraId="13DB7918">
      <w:pPr>
        <w:spacing w:line="360" w:lineRule="auto"/>
        <w:rPr>
          <w:rFonts w:cs="仿宋_GB2312" w:asciiTheme="minorEastAsia" w:hAnsiTheme="minorEastAsia" w:eastAsiaTheme="minorEastAsia"/>
          <w:b/>
          <w:bCs/>
          <w:color w:val="auto"/>
          <w:sz w:val="24"/>
        </w:rPr>
      </w:pPr>
      <w:r>
        <w:rPr>
          <w:rFonts w:hint="eastAsia" w:cs="仿宋_GB2312" w:asciiTheme="minorEastAsia" w:hAnsiTheme="minorEastAsia" w:eastAsiaTheme="minorEastAsia"/>
          <w:color w:val="auto"/>
          <w:kern w:val="0"/>
          <w:sz w:val="24"/>
        </w:rPr>
        <w:t xml:space="preserve">                                      日期：  年  月   日</w:t>
      </w:r>
    </w:p>
    <w:p w14:paraId="50969E38">
      <w:pPr>
        <w:spacing w:line="360" w:lineRule="auto"/>
        <w:jc w:val="center"/>
        <w:rPr>
          <w:rFonts w:cs="仿宋_GB2312" w:asciiTheme="minorEastAsia" w:hAnsiTheme="minorEastAsia" w:eastAsiaTheme="minorEastAsia"/>
          <w:b/>
          <w:bCs/>
          <w:color w:val="auto"/>
          <w:sz w:val="32"/>
          <w:szCs w:val="32"/>
        </w:rPr>
      </w:pPr>
    </w:p>
    <w:p w14:paraId="0B51C38B">
      <w:pPr>
        <w:tabs>
          <w:tab w:val="left" w:pos="0"/>
        </w:tabs>
        <w:autoSpaceDE w:val="0"/>
        <w:autoSpaceDN w:val="0"/>
        <w:spacing w:line="360" w:lineRule="auto"/>
        <w:ind w:firstLine="2409" w:firstLineChars="800"/>
        <w:rPr>
          <w:rFonts w:cs="仿宋_GB2312" w:asciiTheme="minorEastAsia" w:hAnsiTheme="minorEastAsia" w:eastAsiaTheme="minorEastAsia"/>
          <w:b/>
          <w:bCs/>
          <w:color w:val="auto"/>
          <w:sz w:val="30"/>
          <w:szCs w:val="30"/>
        </w:rPr>
      </w:pPr>
    </w:p>
    <w:p w14:paraId="0F1FAB7A">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rPr>
      </w:pPr>
    </w:p>
    <w:p w14:paraId="07B20214">
      <w:pPr>
        <w:widowControl/>
        <w:adjustRightInd/>
        <w:jc w:val="left"/>
        <w:rPr>
          <w:rFonts w:cs="仿宋_GB2312" w:asciiTheme="minorEastAsia" w:hAnsiTheme="minorEastAsia" w:eastAsiaTheme="minorEastAsia"/>
          <w:b/>
          <w:bCs/>
          <w:color w:val="auto"/>
          <w:sz w:val="30"/>
          <w:szCs w:val="30"/>
        </w:rPr>
      </w:pPr>
      <w:r>
        <w:rPr>
          <w:rFonts w:cs="仿宋_GB2312" w:asciiTheme="minorEastAsia" w:hAnsiTheme="minorEastAsia" w:eastAsiaTheme="minorEastAsia"/>
          <w:b/>
          <w:bCs/>
          <w:color w:val="auto"/>
          <w:sz w:val="30"/>
          <w:szCs w:val="30"/>
        </w:rPr>
        <w:br w:type="page"/>
      </w:r>
    </w:p>
    <w:p w14:paraId="4128F7B0">
      <w:pPr>
        <w:tabs>
          <w:tab w:val="left" w:pos="0"/>
        </w:tabs>
        <w:autoSpaceDE w:val="0"/>
        <w:autoSpaceDN w:val="0"/>
        <w:spacing w:line="360" w:lineRule="auto"/>
        <w:jc w:val="center"/>
        <w:rPr>
          <w:rFonts w:cs="仿宋_GB2312" w:asciiTheme="minorEastAsia" w:hAnsiTheme="minorEastAsia" w:eastAsiaTheme="minorEastAsia"/>
          <w:b/>
          <w:bCs/>
          <w:color w:val="auto"/>
          <w:sz w:val="30"/>
          <w:szCs w:val="30"/>
        </w:rPr>
      </w:pPr>
      <w:r>
        <w:rPr>
          <w:rFonts w:hint="eastAsia" w:cs="仿宋_GB2312" w:asciiTheme="minorEastAsia" w:hAnsiTheme="minorEastAsia" w:eastAsiaTheme="minorEastAsia"/>
          <w:b/>
          <w:bCs/>
          <w:color w:val="auto"/>
          <w:sz w:val="30"/>
          <w:szCs w:val="30"/>
        </w:rPr>
        <w:t>十</w:t>
      </w:r>
      <w:r>
        <w:rPr>
          <w:rFonts w:hint="eastAsia" w:cs="仿宋_GB2312" w:asciiTheme="minorEastAsia" w:hAnsiTheme="minorEastAsia" w:eastAsiaTheme="minorEastAsia"/>
          <w:b/>
          <w:bCs/>
          <w:color w:val="auto"/>
          <w:sz w:val="30"/>
          <w:szCs w:val="30"/>
          <w:lang w:eastAsia="zh-CN"/>
        </w:rPr>
        <w:t>四</w:t>
      </w:r>
      <w:r>
        <w:rPr>
          <w:rFonts w:hint="eastAsia" w:cs="仿宋_GB2312" w:asciiTheme="minorEastAsia" w:hAnsiTheme="minorEastAsia" w:eastAsiaTheme="minorEastAsia"/>
          <w:b/>
          <w:bCs/>
          <w:color w:val="auto"/>
          <w:sz w:val="30"/>
          <w:szCs w:val="30"/>
        </w:rPr>
        <w:t>、</w:t>
      </w:r>
      <w:r>
        <w:rPr>
          <w:rFonts w:hint="eastAsia" w:cs="宋体" w:asciiTheme="minorEastAsia" w:hAnsiTheme="minorEastAsia" w:eastAsiaTheme="minorEastAsia"/>
          <w:b/>
          <w:color w:val="auto"/>
          <w:kern w:val="0"/>
          <w:sz w:val="32"/>
          <w:szCs w:val="32"/>
          <w:lang w:val="zh-CN"/>
        </w:rPr>
        <w:t>政府采购供应商廉洁自律承诺书</w:t>
      </w:r>
    </w:p>
    <w:p w14:paraId="765464D1">
      <w:pPr>
        <w:autoSpaceDE w:val="0"/>
        <w:autoSpaceDN w:val="0"/>
        <w:spacing w:line="360" w:lineRule="auto"/>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sz w:val="24"/>
        </w:rPr>
        <w:t>（采购人）</w:t>
      </w:r>
      <w:r>
        <w:rPr>
          <w:rFonts w:hint="eastAsia" w:cs="仿宋_GB2312" w:asciiTheme="minorEastAsia" w:hAnsiTheme="minorEastAsia" w:eastAsiaTheme="minorEastAsia"/>
          <w:color w:val="auto"/>
          <w:kern w:val="0"/>
          <w:sz w:val="24"/>
          <w:lang w:val="zh-CN"/>
        </w:rPr>
        <w:t xml:space="preserve">：    </w:t>
      </w:r>
    </w:p>
    <w:p w14:paraId="4D88E021">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我单位响应你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项目采购要求参加响应。在这次响应过程中和成交后，我们将严格遵守国家法律法规要求，并郑重承诺：</w:t>
      </w:r>
    </w:p>
    <w:p w14:paraId="6CF13391">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一、不向项目有关人员及部门赠送礼金礼物、有价证券、回扣以及中介费、介绍费、咨询费等好处费； </w:t>
      </w:r>
    </w:p>
    <w:p w14:paraId="1DB04C88">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二、不为项目有关人员及部门报销应由你方单位或个人支付的费用； </w:t>
      </w:r>
    </w:p>
    <w:p w14:paraId="2B9A93C7">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三、不向项目有关人员及部门提供有可能影响公正的宴请和健身娱乐等活动； </w:t>
      </w:r>
    </w:p>
    <w:p w14:paraId="2336A4B0">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四、不为项目有关人员及部门出国（境）、旅游等提供方便；</w:t>
      </w:r>
    </w:p>
    <w:p w14:paraId="3D26382D">
      <w:pPr>
        <w:autoSpaceDE w:val="0"/>
        <w:autoSpaceDN w:val="0"/>
        <w:spacing w:line="360" w:lineRule="auto"/>
        <w:ind w:left="481" w:leftChars="229"/>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五、不为项目有关人员个人装修住房、婚丧嫁娶、配偶子女工作安排等提供</w:t>
      </w:r>
    </w:p>
    <w:p w14:paraId="68B54A06">
      <w:pPr>
        <w:autoSpaceDE w:val="0"/>
        <w:autoSpaceDN w:val="0"/>
        <w:spacing w:line="360" w:lineRule="auto"/>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好处；</w:t>
      </w:r>
    </w:p>
    <w:p w14:paraId="5BACC3D9">
      <w:pPr>
        <w:autoSpaceDE w:val="0"/>
        <w:autoSpaceDN w:val="0"/>
        <w:spacing w:line="360" w:lineRule="auto"/>
        <w:ind w:left="2" w:leftChars="1"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六、严格遵守《中华人民共和国政府采购法》《中华人民共和国招标投标法》《中华人民共和国民法典》等法律法规，诚实守信，合法经营，坚决抵制各种违法违纪行为。 </w:t>
      </w:r>
    </w:p>
    <w:p w14:paraId="700661D8">
      <w:pPr>
        <w:autoSpaceDE w:val="0"/>
        <w:autoSpaceDN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如违反上述承诺，你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有权立即取消我单位响应、成交或在建项目的建设资格，有权拒绝我单位在一定时期内进入你</w:t>
      </w:r>
      <w:r>
        <w:rPr>
          <w:rFonts w:hint="eastAsia" w:cs="仿宋_GB2312" w:asciiTheme="minorEastAsia" w:hAnsiTheme="minorEastAsia" w:eastAsiaTheme="minorEastAsia"/>
          <w:color w:val="auto"/>
          <w:sz w:val="24"/>
        </w:rPr>
        <w:t>单位</w:t>
      </w:r>
      <w:r>
        <w:rPr>
          <w:rFonts w:hint="eastAsia" w:cs="仿宋_GB2312" w:asciiTheme="minorEastAsia" w:hAnsiTheme="minorEastAsia" w:eastAsiaTheme="minorEastAsia"/>
          <w:color w:val="auto"/>
          <w:kern w:val="0"/>
          <w:sz w:val="24"/>
          <w:lang w:val="zh-CN"/>
        </w:rPr>
        <w:t>进行项目建设或其他经营活动，并通报市财政局。由此引起的相应损失均由我单位承担。</w:t>
      </w:r>
    </w:p>
    <w:p w14:paraId="4D67C882">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60C67618">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6109D2F6">
      <w:pPr>
        <w:autoSpaceDE w:val="0"/>
        <w:autoSpaceDN w:val="0"/>
        <w:spacing w:line="360" w:lineRule="auto"/>
        <w:ind w:left="2"/>
        <w:jc w:val="left"/>
        <w:rPr>
          <w:rFonts w:cs="仿宋_GB2312" w:asciiTheme="minorEastAsia" w:hAnsiTheme="minorEastAsia" w:eastAsiaTheme="minorEastAsia"/>
          <w:color w:val="auto"/>
          <w:kern w:val="0"/>
          <w:sz w:val="24"/>
          <w:lang w:val="zh-CN"/>
        </w:rPr>
      </w:pPr>
    </w:p>
    <w:p w14:paraId="04E1AA7E">
      <w:pPr>
        <w:autoSpaceDE w:val="0"/>
        <w:autoSpaceDN w:val="0"/>
        <w:spacing w:line="360" w:lineRule="auto"/>
        <w:ind w:left="2" w:leftChars="1" w:right="1120" w:firstLine="4560" w:firstLineChars="19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rPr>
        <w:t>供应商</w:t>
      </w:r>
      <w:r>
        <w:rPr>
          <w:rFonts w:hint="eastAsia" w:cs="仿宋_GB2312" w:asciiTheme="minorEastAsia" w:hAnsiTheme="minorEastAsia" w:eastAsiaTheme="minorEastAsia"/>
          <w:color w:val="auto"/>
          <w:kern w:val="0"/>
          <w:sz w:val="24"/>
          <w:lang w:val="zh-CN"/>
        </w:rPr>
        <w:t>名称（</w:t>
      </w:r>
      <w:r>
        <w:rPr>
          <w:rFonts w:hint="eastAsia" w:cs="仿宋_GB2312" w:asciiTheme="minorEastAsia" w:hAnsiTheme="minorEastAsia" w:eastAsiaTheme="minorEastAsia"/>
          <w:color w:val="auto"/>
          <w:sz w:val="24"/>
        </w:rPr>
        <w:t>电子签名</w:t>
      </w:r>
      <w:r>
        <w:rPr>
          <w:rFonts w:hint="eastAsia" w:cs="仿宋_GB2312" w:asciiTheme="minorEastAsia" w:hAnsiTheme="minorEastAsia" w:eastAsiaTheme="minorEastAsia"/>
          <w:color w:val="auto"/>
          <w:kern w:val="0"/>
          <w:sz w:val="24"/>
          <w:lang w:val="zh-CN"/>
        </w:rPr>
        <w:t xml:space="preserve">）：                </w:t>
      </w:r>
    </w:p>
    <w:p w14:paraId="002FCFB9">
      <w:pPr>
        <w:spacing w:line="360" w:lineRule="auto"/>
        <w:ind w:left="4620" w:leftChars="2200"/>
        <w:rPr>
          <w:rFonts w:asciiTheme="minorEastAsia" w:hAnsiTheme="minorEastAsia" w:eastAsiaTheme="minorEastAsia"/>
          <w:color w:val="auto"/>
          <w:sz w:val="24"/>
        </w:rPr>
      </w:pPr>
      <w:r>
        <w:rPr>
          <w:rFonts w:hint="eastAsia" w:cs="仿宋_GB2312" w:asciiTheme="minorEastAsia" w:hAnsiTheme="minorEastAsia" w:eastAsiaTheme="minorEastAsia"/>
          <w:color w:val="auto"/>
          <w:kern w:val="0"/>
          <w:sz w:val="24"/>
          <w:lang w:val="zh-CN"/>
        </w:rPr>
        <w:t>日期</w:t>
      </w:r>
      <w:r>
        <w:rPr>
          <w:rFonts w:hint="eastAsia" w:cs="仿宋_GB2312" w:asciiTheme="minorEastAsia" w:hAnsiTheme="minorEastAsia" w:eastAsiaTheme="minorEastAsia"/>
          <w:color w:val="auto"/>
          <w:kern w:val="0"/>
          <w:sz w:val="24"/>
        </w:rPr>
        <w:t>：</w:t>
      </w:r>
      <w:r>
        <w:rPr>
          <w:rFonts w:hint="eastAsia" w:cs="仿宋_GB2312" w:asciiTheme="minorEastAsia" w:hAnsiTheme="minorEastAsia" w:eastAsiaTheme="minorEastAsia"/>
          <w:color w:val="auto"/>
          <w:kern w:val="0"/>
          <w:sz w:val="24"/>
          <w:lang w:val="zh-CN"/>
        </w:rPr>
        <w:t xml:space="preserve">   年   月   日</w:t>
      </w:r>
    </w:p>
    <w:p w14:paraId="760313B9">
      <w:pPr>
        <w:spacing w:line="360" w:lineRule="auto"/>
        <w:jc w:val="center"/>
        <w:rPr>
          <w:rFonts w:cs="仿宋_GB2312" w:asciiTheme="minorEastAsia" w:hAnsiTheme="minorEastAsia" w:eastAsiaTheme="minorEastAsia"/>
          <w:b/>
          <w:color w:val="auto"/>
          <w:sz w:val="36"/>
          <w:szCs w:val="36"/>
        </w:rPr>
      </w:pPr>
    </w:p>
    <w:p w14:paraId="70ECFD63">
      <w:pPr>
        <w:widowControl/>
        <w:adjustRightInd/>
        <w:jc w:val="left"/>
        <w:rPr>
          <w:rFonts w:cs="仿宋_GB2312" w:asciiTheme="minorEastAsia" w:hAnsiTheme="minorEastAsia" w:eastAsiaTheme="minorEastAsia"/>
          <w:b/>
          <w:color w:val="auto"/>
          <w:sz w:val="36"/>
          <w:szCs w:val="36"/>
        </w:rPr>
      </w:pPr>
      <w:r>
        <w:rPr>
          <w:rFonts w:cs="仿宋_GB2312" w:asciiTheme="minorEastAsia" w:hAnsiTheme="minorEastAsia" w:eastAsiaTheme="minorEastAsia"/>
          <w:b/>
          <w:color w:val="auto"/>
          <w:sz w:val="36"/>
          <w:szCs w:val="36"/>
        </w:rPr>
        <w:br w:type="page"/>
      </w:r>
    </w:p>
    <w:p w14:paraId="1F7C4106">
      <w:pPr>
        <w:pStyle w:val="114"/>
        <w:keepNext w:val="0"/>
        <w:pageBreakBefore w:val="0"/>
        <w:tabs>
          <w:tab w:val="clear" w:pos="720"/>
        </w:tabs>
        <w:ind w:firstLine="640"/>
        <w:outlineLvl w:val="9"/>
        <w:rPr>
          <w:rFonts w:cs="仿宋_GB2312" w:asciiTheme="minorEastAsia" w:hAnsiTheme="minorEastAsia" w:eastAsiaTheme="minorEastAsia"/>
          <w:color w:val="auto"/>
          <w:kern w:val="2"/>
          <w:sz w:val="32"/>
          <w:szCs w:val="32"/>
        </w:rPr>
        <w:sectPr>
          <w:headerReference r:id="rId11" w:type="first"/>
          <w:footerReference r:id="rId14" w:type="first"/>
          <w:headerReference r:id="rId10" w:type="default"/>
          <w:footerReference r:id="rId12" w:type="default"/>
          <w:footerReference r:id="rId13" w:type="even"/>
          <w:pgSz w:w="11906" w:h="16838"/>
          <w:pgMar w:top="1247" w:right="1417" w:bottom="1276" w:left="1417" w:header="851" w:footer="992" w:gutter="0"/>
          <w:pgBorders>
            <w:top w:val="none" w:sz="0" w:space="0"/>
            <w:left w:val="none" w:sz="0" w:space="0"/>
            <w:bottom w:val="none" w:sz="0" w:space="0"/>
            <w:right w:val="none" w:sz="0" w:space="0"/>
          </w:pgBorders>
          <w:cols w:space="0" w:num="1"/>
          <w:titlePg/>
          <w:rtlGutter w:val="0"/>
          <w:docGrid w:linePitch="312" w:charSpace="0"/>
        </w:sectPr>
      </w:pPr>
    </w:p>
    <w:p w14:paraId="59A55C71">
      <w:pPr>
        <w:pStyle w:val="392"/>
        <w:ind w:firstLine="0" w:firstLineChars="0"/>
        <w:jc w:val="center"/>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第八部分 最后报价格式</w:t>
      </w:r>
    </w:p>
    <w:p w14:paraId="77CB8A4A">
      <w:pPr>
        <w:pStyle w:val="114"/>
        <w:keepNext w:val="0"/>
        <w:pageBreakBefore w:val="0"/>
        <w:tabs>
          <w:tab w:val="clear" w:pos="720"/>
        </w:tabs>
        <w:ind w:firstLine="640"/>
        <w:outlineLvl w:val="9"/>
        <w:rPr>
          <w:rFonts w:cs="仿宋_GB2312" w:asciiTheme="minorEastAsia" w:hAnsiTheme="minorEastAsia" w:eastAsiaTheme="minorEastAsia"/>
          <w:color w:val="auto"/>
          <w:kern w:val="2"/>
          <w:sz w:val="32"/>
          <w:szCs w:val="32"/>
        </w:rPr>
      </w:pPr>
      <w:r>
        <w:rPr>
          <w:rFonts w:hint="eastAsia" w:cs="仿宋_GB2312" w:asciiTheme="minorEastAsia" w:hAnsiTheme="minorEastAsia" w:eastAsiaTheme="minorEastAsia"/>
          <w:color w:val="auto"/>
          <w:kern w:val="2"/>
          <w:sz w:val="32"/>
          <w:szCs w:val="32"/>
        </w:rPr>
        <w:t>（一）最后报价一览表</w:t>
      </w:r>
    </w:p>
    <w:p w14:paraId="6CC8B537">
      <w:pPr>
        <w:autoSpaceDE w:val="0"/>
        <w:autoSpaceDN w:val="0"/>
        <w:spacing w:line="360" w:lineRule="auto"/>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（采购人）、（采购代理机构）</w:t>
      </w:r>
      <w:r>
        <w:rPr>
          <w:rFonts w:hint="eastAsia" w:cs="仿宋_GB2312" w:asciiTheme="minorEastAsia" w:hAnsiTheme="minorEastAsia" w:eastAsiaTheme="minorEastAsia"/>
          <w:color w:val="auto"/>
          <w:kern w:val="0"/>
          <w:sz w:val="24"/>
          <w:lang w:val="zh-CN"/>
        </w:rPr>
        <w:t>：</w:t>
      </w:r>
    </w:p>
    <w:p w14:paraId="2975CA2C">
      <w:pPr>
        <w:spacing w:line="360" w:lineRule="auto"/>
        <w:ind w:firstLine="72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按你方磋商文件要求，</w:t>
      </w:r>
      <w:r>
        <w:rPr>
          <w:rFonts w:hint="eastAsia" w:cs="仿宋_GB2312" w:asciiTheme="minorEastAsia" w:hAnsiTheme="minorEastAsia" w:eastAsiaTheme="minorEastAsia"/>
          <w:color w:val="auto"/>
          <w:sz w:val="24"/>
        </w:rPr>
        <w:t>我们即</w:t>
      </w:r>
      <w:r>
        <w:rPr>
          <w:rFonts w:hint="eastAsia" w:cs="仿宋_GB2312" w:asciiTheme="minorEastAsia" w:hAnsiTheme="minorEastAsia" w:eastAsiaTheme="minorEastAsia"/>
          <w:color w:val="auto"/>
          <w:kern w:val="0"/>
          <w:sz w:val="24"/>
          <w:lang w:val="zh-CN"/>
        </w:rPr>
        <w:t>本响应文件签字方，谨此向你方发出要约如下：如你方接受本响应，我方承诺按照如下最后报价一览表的价格完成</w:t>
      </w:r>
      <w:r>
        <w:rPr>
          <w:rFonts w:hint="eastAsia" w:cs="仿宋_GB2312" w:asciiTheme="minorEastAsia" w:hAnsiTheme="minorEastAsia" w:eastAsiaTheme="minorEastAsia"/>
          <w:color w:val="auto"/>
          <w:sz w:val="24"/>
        </w:rPr>
        <w:t>（项目名称）【项目编号：（采购编号）】</w:t>
      </w:r>
      <w:r>
        <w:rPr>
          <w:rFonts w:hint="eastAsia" w:cs="仿宋_GB2312" w:asciiTheme="minorEastAsia" w:hAnsiTheme="minorEastAsia" w:eastAsiaTheme="minorEastAsia"/>
          <w:color w:val="auto"/>
          <w:kern w:val="0"/>
          <w:sz w:val="24"/>
          <w:lang w:val="zh-CN"/>
        </w:rPr>
        <w:t>的实施。</w:t>
      </w:r>
    </w:p>
    <w:p w14:paraId="235F4DCA">
      <w:pPr>
        <w:snapToGrid w:val="0"/>
        <w:spacing w:line="360" w:lineRule="auto"/>
        <w:ind w:left="480"/>
        <w:jc w:val="center"/>
        <w:rPr>
          <w:rFonts w:cs="仿宋_GB2312" w:asciiTheme="minorEastAsia" w:hAnsiTheme="minorEastAsia" w:eastAsiaTheme="minorEastAsia"/>
          <w:b/>
          <w:color w:val="auto"/>
          <w:kern w:val="0"/>
          <w:sz w:val="24"/>
          <w:lang w:val="zh-CN"/>
        </w:rPr>
      </w:pPr>
      <w:r>
        <w:rPr>
          <w:rFonts w:hint="eastAsia" w:cs="仿宋_GB2312" w:asciiTheme="minorEastAsia" w:hAnsiTheme="minorEastAsia" w:eastAsiaTheme="minorEastAsia"/>
          <w:b/>
          <w:color w:val="auto"/>
          <w:kern w:val="0"/>
          <w:sz w:val="24"/>
          <w:lang w:val="zh-CN"/>
        </w:rPr>
        <w:t>最后报价一览表(单位均为</w:t>
      </w:r>
      <w:r>
        <w:rPr>
          <w:rFonts w:hint="eastAsia" w:cs="仿宋_GB2312" w:asciiTheme="minorEastAsia" w:hAnsiTheme="minorEastAsia" w:eastAsiaTheme="minorEastAsia"/>
          <w:b/>
          <w:color w:val="auto"/>
          <w:kern w:val="0"/>
          <w:sz w:val="24"/>
          <w:lang w:val="en-US" w:eastAsia="zh-CN"/>
        </w:rPr>
        <w:t>%</w:t>
      </w:r>
      <w:r>
        <w:rPr>
          <w:rFonts w:hint="eastAsia" w:cs="仿宋_GB2312" w:asciiTheme="minorEastAsia" w:hAnsiTheme="minorEastAsia" w:eastAsiaTheme="minorEastAsia"/>
          <w:b/>
          <w:color w:val="auto"/>
          <w:kern w:val="0"/>
          <w:sz w:val="24"/>
          <w:lang w:val="zh-CN"/>
        </w:rPr>
        <w:t>)</w:t>
      </w:r>
    </w:p>
    <w:tbl>
      <w:tblPr>
        <w:tblStyle w:val="60"/>
        <w:tblW w:w="89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2"/>
        <w:gridCol w:w="585"/>
        <w:gridCol w:w="1339"/>
        <w:gridCol w:w="1423"/>
        <w:gridCol w:w="1339"/>
        <w:gridCol w:w="1255"/>
        <w:gridCol w:w="1256"/>
        <w:gridCol w:w="1255"/>
      </w:tblGrid>
      <w:tr w14:paraId="55399F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1" w:hRule="atLeast"/>
        </w:trPr>
        <w:tc>
          <w:tcPr>
            <w:tcW w:w="482" w:type="dxa"/>
            <w:vAlign w:val="center"/>
          </w:tcPr>
          <w:p w14:paraId="79689F70">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序号</w:t>
            </w:r>
          </w:p>
        </w:tc>
        <w:tc>
          <w:tcPr>
            <w:tcW w:w="585" w:type="dxa"/>
            <w:vAlign w:val="center"/>
          </w:tcPr>
          <w:p w14:paraId="64068910">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名称</w:t>
            </w:r>
          </w:p>
        </w:tc>
        <w:tc>
          <w:tcPr>
            <w:tcW w:w="1339" w:type="dxa"/>
            <w:vAlign w:val="center"/>
          </w:tcPr>
          <w:p w14:paraId="250D5AD7">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服务范围</w:t>
            </w:r>
          </w:p>
        </w:tc>
        <w:tc>
          <w:tcPr>
            <w:tcW w:w="1423" w:type="dxa"/>
            <w:vAlign w:val="center"/>
          </w:tcPr>
          <w:p w14:paraId="44C333A7">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服务要求</w:t>
            </w:r>
          </w:p>
        </w:tc>
        <w:tc>
          <w:tcPr>
            <w:tcW w:w="1339" w:type="dxa"/>
            <w:vAlign w:val="center"/>
          </w:tcPr>
          <w:p w14:paraId="34917AD7">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服务时间</w:t>
            </w:r>
          </w:p>
        </w:tc>
        <w:tc>
          <w:tcPr>
            <w:tcW w:w="1255" w:type="dxa"/>
            <w:vAlign w:val="center"/>
          </w:tcPr>
          <w:p w14:paraId="3DD59FE1">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服务标准</w:t>
            </w:r>
          </w:p>
        </w:tc>
        <w:tc>
          <w:tcPr>
            <w:tcW w:w="1256" w:type="dxa"/>
            <w:vAlign w:val="center"/>
          </w:tcPr>
          <w:p w14:paraId="1EA4A3AF">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服务人数</w:t>
            </w:r>
          </w:p>
        </w:tc>
        <w:tc>
          <w:tcPr>
            <w:tcW w:w="1255" w:type="dxa"/>
            <w:vAlign w:val="center"/>
          </w:tcPr>
          <w:p w14:paraId="4AFA9B0B">
            <w:pPr>
              <w:spacing w:line="360" w:lineRule="auto"/>
              <w:jc w:val="center"/>
              <w:rPr>
                <w:rFonts w:cs="宋体" w:asciiTheme="minorEastAsia" w:hAnsiTheme="minorEastAsia" w:eastAsiaTheme="minorEastAsia"/>
                <w:b/>
                <w:color w:val="auto"/>
                <w:sz w:val="24"/>
              </w:rPr>
            </w:pPr>
          </w:p>
          <w:p w14:paraId="4675D59B">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备注（如果有）</w:t>
            </w:r>
          </w:p>
          <w:p w14:paraId="348AFAB3">
            <w:pPr>
              <w:spacing w:line="360" w:lineRule="auto"/>
              <w:jc w:val="center"/>
              <w:rPr>
                <w:rFonts w:cs="宋体" w:asciiTheme="minorEastAsia" w:hAnsiTheme="minorEastAsia" w:eastAsiaTheme="minorEastAsia"/>
                <w:b/>
                <w:color w:val="auto"/>
                <w:sz w:val="24"/>
              </w:rPr>
            </w:pPr>
          </w:p>
        </w:tc>
      </w:tr>
      <w:tr w14:paraId="454398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482" w:type="dxa"/>
            <w:vAlign w:val="center"/>
          </w:tcPr>
          <w:p w14:paraId="473A3D8B">
            <w:pPr>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p>
        </w:tc>
        <w:tc>
          <w:tcPr>
            <w:tcW w:w="585" w:type="dxa"/>
            <w:vAlign w:val="center"/>
          </w:tcPr>
          <w:p w14:paraId="00482DC2">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X</w:t>
            </w:r>
            <w:r>
              <w:rPr>
                <w:rFonts w:cs="宋体" w:asciiTheme="minorEastAsia" w:hAnsiTheme="minorEastAsia" w:eastAsiaTheme="minorEastAsia"/>
                <w:color w:val="auto"/>
                <w:sz w:val="24"/>
              </w:rPr>
              <w:t>X</w:t>
            </w:r>
          </w:p>
        </w:tc>
        <w:tc>
          <w:tcPr>
            <w:tcW w:w="1339" w:type="dxa"/>
            <w:vAlign w:val="center"/>
          </w:tcPr>
          <w:p w14:paraId="2418C337">
            <w:pPr>
              <w:snapToGrid w:val="0"/>
              <w:spacing w:line="360" w:lineRule="auto"/>
              <w:jc w:val="center"/>
              <w:rPr>
                <w:rFonts w:cs="宋体" w:asciiTheme="minorEastAsia" w:hAnsiTheme="minorEastAsia" w:eastAsiaTheme="minorEastAsia"/>
                <w:color w:val="auto"/>
                <w:sz w:val="24"/>
              </w:rPr>
            </w:pPr>
          </w:p>
        </w:tc>
        <w:tc>
          <w:tcPr>
            <w:tcW w:w="1423" w:type="dxa"/>
            <w:vAlign w:val="center"/>
          </w:tcPr>
          <w:p w14:paraId="219DC507">
            <w:pPr>
              <w:snapToGrid w:val="0"/>
              <w:spacing w:line="360" w:lineRule="auto"/>
              <w:jc w:val="center"/>
              <w:rPr>
                <w:rFonts w:cs="宋体" w:asciiTheme="minorEastAsia" w:hAnsiTheme="minorEastAsia" w:eastAsiaTheme="minorEastAsia"/>
                <w:color w:val="auto"/>
                <w:sz w:val="24"/>
              </w:rPr>
            </w:pPr>
          </w:p>
        </w:tc>
        <w:tc>
          <w:tcPr>
            <w:tcW w:w="1339" w:type="dxa"/>
            <w:vAlign w:val="center"/>
          </w:tcPr>
          <w:p w14:paraId="72396BBD">
            <w:pPr>
              <w:snapToGrid w:val="0"/>
              <w:spacing w:line="360" w:lineRule="auto"/>
              <w:jc w:val="center"/>
              <w:rPr>
                <w:rFonts w:cs="宋体" w:asciiTheme="minorEastAsia" w:hAnsiTheme="minorEastAsia" w:eastAsiaTheme="minorEastAsia"/>
                <w:color w:val="auto"/>
                <w:sz w:val="24"/>
              </w:rPr>
            </w:pPr>
          </w:p>
        </w:tc>
        <w:tc>
          <w:tcPr>
            <w:tcW w:w="1255" w:type="dxa"/>
            <w:vAlign w:val="center"/>
          </w:tcPr>
          <w:p w14:paraId="35E20137">
            <w:pPr>
              <w:spacing w:line="360" w:lineRule="auto"/>
              <w:jc w:val="center"/>
              <w:rPr>
                <w:rFonts w:cs="宋体" w:asciiTheme="minorEastAsia" w:hAnsiTheme="minorEastAsia" w:eastAsiaTheme="minorEastAsia"/>
                <w:color w:val="auto"/>
                <w:sz w:val="24"/>
              </w:rPr>
            </w:pPr>
          </w:p>
        </w:tc>
        <w:tc>
          <w:tcPr>
            <w:tcW w:w="1256" w:type="dxa"/>
          </w:tcPr>
          <w:p w14:paraId="71027547">
            <w:pPr>
              <w:spacing w:line="360" w:lineRule="auto"/>
              <w:jc w:val="center"/>
              <w:rPr>
                <w:rFonts w:cs="宋体" w:asciiTheme="minorEastAsia" w:hAnsiTheme="minorEastAsia" w:eastAsiaTheme="minorEastAsia"/>
                <w:color w:val="auto"/>
                <w:sz w:val="24"/>
              </w:rPr>
            </w:pPr>
          </w:p>
        </w:tc>
        <w:tc>
          <w:tcPr>
            <w:tcW w:w="1255" w:type="dxa"/>
            <w:vAlign w:val="center"/>
          </w:tcPr>
          <w:p w14:paraId="3DFAA14E">
            <w:pPr>
              <w:spacing w:line="360" w:lineRule="auto"/>
              <w:jc w:val="center"/>
              <w:rPr>
                <w:rFonts w:cs="宋体" w:asciiTheme="minorEastAsia" w:hAnsiTheme="minorEastAsia" w:eastAsiaTheme="minorEastAsia"/>
                <w:color w:val="auto"/>
                <w:sz w:val="24"/>
              </w:rPr>
            </w:pPr>
          </w:p>
        </w:tc>
      </w:tr>
      <w:tr w14:paraId="2E01FD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482" w:type="dxa"/>
            <w:vAlign w:val="center"/>
          </w:tcPr>
          <w:p w14:paraId="7E4F5B2D">
            <w:pPr>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w:t>
            </w:r>
          </w:p>
        </w:tc>
        <w:tc>
          <w:tcPr>
            <w:tcW w:w="585" w:type="dxa"/>
            <w:vAlign w:val="center"/>
          </w:tcPr>
          <w:p w14:paraId="2C6DC17C">
            <w:pPr>
              <w:snapToGrid w:val="0"/>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X</w:t>
            </w:r>
            <w:r>
              <w:rPr>
                <w:rFonts w:cs="宋体" w:asciiTheme="minorEastAsia" w:hAnsiTheme="minorEastAsia" w:eastAsiaTheme="minorEastAsia"/>
                <w:color w:val="auto"/>
                <w:sz w:val="24"/>
              </w:rPr>
              <w:t>X</w:t>
            </w:r>
          </w:p>
        </w:tc>
        <w:tc>
          <w:tcPr>
            <w:tcW w:w="1339" w:type="dxa"/>
            <w:vAlign w:val="center"/>
          </w:tcPr>
          <w:p w14:paraId="4B69AB03">
            <w:pPr>
              <w:snapToGrid w:val="0"/>
              <w:spacing w:line="360" w:lineRule="auto"/>
              <w:jc w:val="center"/>
              <w:rPr>
                <w:rFonts w:cs="宋体" w:asciiTheme="minorEastAsia" w:hAnsiTheme="minorEastAsia" w:eastAsiaTheme="minorEastAsia"/>
                <w:color w:val="auto"/>
                <w:sz w:val="24"/>
              </w:rPr>
            </w:pPr>
          </w:p>
        </w:tc>
        <w:tc>
          <w:tcPr>
            <w:tcW w:w="1423" w:type="dxa"/>
            <w:vAlign w:val="center"/>
          </w:tcPr>
          <w:p w14:paraId="606D1D3A">
            <w:pPr>
              <w:snapToGrid w:val="0"/>
              <w:spacing w:line="360" w:lineRule="auto"/>
              <w:jc w:val="center"/>
              <w:rPr>
                <w:rFonts w:cs="宋体" w:asciiTheme="minorEastAsia" w:hAnsiTheme="minorEastAsia" w:eastAsiaTheme="minorEastAsia"/>
                <w:color w:val="auto"/>
                <w:sz w:val="24"/>
              </w:rPr>
            </w:pPr>
          </w:p>
        </w:tc>
        <w:tc>
          <w:tcPr>
            <w:tcW w:w="1339" w:type="dxa"/>
            <w:vAlign w:val="center"/>
          </w:tcPr>
          <w:p w14:paraId="7A58C993">
            <w:pPr>
              <w:snapToGrid w:val="0"/>
              <w:spacing w:line="360" w:lineRule="auto"/>
              <w:jc w:val="center"/>
              <w:rPr>
                <w:rFonts w:cs="宋体" w:asciiTheme="minorEastAsia" w:hAnsiTheme="minorEastAsia" w:eastAsiaTheme="minorEastAsia"/>
                <w:color w:val="auto"/>
                <w:sz w:val="24"/>
              </w:rPr>
            </w:pPr>
          </w:p>
        </w:tc>
        <w:tc>
          <w:tcPr>
            <w:tcW w:w="1255" w:type="dxa"/>
            <w:vAlign w:val="center"/>
          </w:tcPr>
          <w:p w14:paraId="367C48A9">
            <w:pPr>
              <w:spacing w:line="360" w:lineRule="auto"/>
              <w:jc w:val="center"/>
              <w:rPr>
                <w:rFonts w:cs="宋体" w:asciiTheme="minorEastAsia" w:hAnsiTheme="minorEastAsia" w:eastAsiaTheme="minorEastAsia"/>
                <w:color w:val="auto"/>
                <w:sz w:val="24"/>
              </w:rPr>
            </w:pPr>
          </w:p>
        </w:tc>
        <w:tc>
          <w:tcPr>
            <w:tcW w:w="1256" w:type="dxa"/>
          </w:tcPr>
          <w:p w14:paraId="03411480">
            <w:pPr>
              <w:spacing w:line="360" w:lineRule="auto"/>
              <w:jc w:val="center"/>
              <w:rPr>
                <w:rFonts w:cs="宋体" w:asciiTheme="minorEastAsia" w:hAnsiTheme="minorEastAsia" w:eastAsiaTheme="minorEastAsia"/>
                <w:color w:val="auto"/>
                <w:sz w:val="24"/>
              </w:rPr>
            </w:pPr>
          </w:p>
        </w:tc>
        <w:tc>
          <w:tcPr>
            <w:tcW w:w="1255" w:type="dxa"/>
            <w:vAlign w:val="center"/>
          </w:tcPr>
          <w:p w14:paraId="3278545A">
            <w:pPr>
              <w:spacing w:line="360" w:lineRule="auto"/>
              <w:jc w:val="center"/>
              <w:rPr>
                <w:rFonts w:cs="宋体" w:asciiTheme="minorEastAsia" w:hAnsiTheme="minorEastAsia" w:eastAsiaTheme="minorEastAsia"/>
                <w:color w:val="auto"/>
                <w:sz w:val="24"/>
              </w:rPr>
            </w:pPr>
          </w:p>
        </w:tc>
      </w:tr>
      <w:tr w14:paraId="2AB52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482" w:type="dxa"/>
            <w:vAlign w:val="center"/>
          </w:tcPr>
          <w:p w14:paraId="36275D5E">
            <w:pPr>
              <w:spacing w:line="360" w:lineRule="auto"/>
              <w:jc w:val="center"/>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w:t>
            </w:r>
          </w:p>
        </w:tc>
        <w:tc>
          <w:tcPr>
            <w:tcW w:w="585" w:type="dxa"/>
            <w:vAlign w:val="center"/>
          </w:tcPr>
          <w:p w14:paraId="051D1C04">
            <w:pPr>
              <w:snapToGrid w:val="0"/>
              <w:spacing w:line="360" w:lineRule="auto"/>
              <w:jc w:val="center"/>
              <w:rPr>
                <w:rFonts w:cs="宋体" w:asciiTheme="minorEastAsia" w:hAnsiTheme="minorEastAsia" w:eastAsiaTheme="minorEastAsia"/>
                <w:color w:val="auto"/>
                <w:sz w:val="24"/>
              </w:rPr>
            </w:pPr>
          </w:p>
        </w:tc>
        <w:tc>
          <w:tcPr>
            <w:tcW w:w="1339" w:type="dxa"/>
            <w:vAlign w:val="center"/>
          </w:tcPr>
          <w:p w14:paraId="7B2F86BE">
            <w:pPr>
              <w:snapToGrid w:val="0"/>
              <w:spacing w:line="360" w:lineRule="auto"/>
              <w:jc w:val="center"/>
              <w:rPr>
                <w:rFonts w:cs="宋体" w:asciiTheme="minorEastAsia" w:hAnsiTheme="minorEastAsia" w:eastAsiaTheme="minorEastAsia"/>
                <w:color w:val="auto"/>
                <w:sz w:val="24"/>
              </w:rPr>
            </w:pPr>
          </w:p>
        </w:tc>
        <w:tc>
          <w:tcPr>
            <w:tcW w:w="1423" w:type="dxa"/>
            <w:vAlign w:val="center"/>
          </w:tcPr>
          <w:p w14:paraId="6E44674F">
            <w:pPr>
              <w:snapToGrid w:val="0"/>
              <w:spacing w:line="360" w:lineRule="auto"/>
              <w:jc w:val="center"/>
              <w:rPr>
                <w:rFonts w:cs="宋体" w:asciiTheme="minorEastAsia" w:hAnsiTheme="minorEastAsia" w:eastAsiaTheme="minorEastAsia"/>
                <w:color w:val="auto"/>
                <w:sz w:val="24"/>
              </w:rPr>
            </w:pPr>
          </w:p>
        </w:tc>
        <w:tc>
          <w:tcPr>
            <w:tcW w:w="1339" w:type="dxa"/>
            <w:vAlign w:val="center"/>
          </w:tcPr>
          <w:p w14:paraId="69D2F089">
            <w:pPr>
              <w:snapToGrid w:val="0"/>
              <w:spacing w:line="360" w:lineRule="auto"/>
              <w:jc w:val="center"/>
              <w:rPr>
                <w:rFonts w:cs="宋体" w:asciiTheme="minorEastAsia" w:hAnsiTheme="minorEastAsia" w:eastAsiaTheme="minorEastAsia"/>
                <w:color w:val="auto"/>
                <w:sz w:val="24"/>
              </w:rPr>
            </w:pPr>
          </w:p>
        </w:tc>
        <w:tc>
          <w:tcPr>
            <w:tcW w:w="1255" w:type="dxa"/>
            <w:vAlign w:val="center"/>
          </w:tcPr>
          <w:p w14:paraId="727E4BFD">
            <w:pPr>
              <w:spacing w:line="360" w:lineRule="auto"/>
              <w:jc w:val="center"/>
              <w:rPr>
                <w:rFonts w:cs="宋体" w:asciiTheme="minorEastAsia" w:hAnsiTheme="minorEastAsia" w:eastAsiaTheme="minorEastAsia"/>
                <w:color w:val="auto"/>
                <w:sz w:val="24"/>
              </w:rPr>
            </w:pPr>
          </w:p>
        </w:tc>
        <w:tc>
          <w:tcPr>
            <w:tcW w:w="1256" w:type="dxa"/>
          </w:tcPr>
          <w:p w14:paraId="25274A81">
            <w:pPr>
              <w:spacing w:line="360" w:lineRule="auto"/>
              <w:jc w:val="center"/>
              <w:rPr>
                <w:rFonts w:cs="宋体" w:asciiTheme="minorEastAsia" w:hAnsiTheme="minorEastAsia" w:eastAsiaTheme="minorEastAsia"/>
                <w:color w:val="auto"/>
                <w:sz w:val="24"/>
              </w:rPr>
            </w:pPr>
          </w:p>
        </w:tc>
        <w:tc>
          <w:tcPr>
            <w:tcW w:w="1255" w:type="dxa"/>
            <w:vAlign w:val="center"/>
          </w:tcPr>
          <w:p w14:paraId="18DFEEA7">
            <w:pPr>
              <w:spacing w:line="360" w:lineRule="auto"/>
              <w:jc w:val="center"/>
              <w:rPr>
                <w:rFonts w:cs="宋体" w:asciiTheme="minorEastAsia" w:hAnsiTheme="minorEastAsia" w:eastAsiaTheme="minorEastAsia"/>
                <w:color w:val="auto"/>
                <w:sz w:val="24"/>
              </w:rPr>
            </w:pPr>
          </w:p>
        </w:tc>
      </w:tr>
      <w:tr w14:paraId="726C55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482" w:type="dxa"/>
            <w:vAlign w:val="center"/>
          </w:tcPr>
          <w:p w14:paraId="15606CFA">
            <w:pPr>
              <w:spacing w:line="360" w:lineRule="auto"/>
              <w:jc w:val="center"/>
              <w:rPr>
                <w:rFonts w:cs="宋体" w:asciiTheme="minorEastAsia" w:hAnsiTheme="minorEastAsia" w:eastAsiaTheme="minorEastAsia"/>
                <w:color w:val="auto"/>
                <w:sz w:val="24"/>
              </w:rPr>
            </w:pPr>
          </w:p>
        </w:tc>
        <w:tc>
          <w:tcPr>
            <w:tcW w:w="585" w:type="dxa"/>
            <w:vAlign w:val="center"/>
          </w:tcPr>
          <w:p w14:paraId="2BD86516">
            <w:pPr>
              <w:snapToGrid w:val="0"/>
              <w:spacing w:line="360" w:lineRule="auto"/>
              <w:jc w:val="center"/>
              <w:rPr>
                <w:rFonts w:cs="宋体" w:asciiTheme="minorEastAsia" w:hAnsiTheme="minorEastAsia" w:eastAsiaTheme="minorEastAsia"/>
                <w:color w:val="auto"/>
                <w:sz w:val="24"/>
              </w:rPr>
            </w:pPr>
          </w:p>
        </w:tc>
        <w:tc>
          <w:tcPr>
            <w:tcW w:w="1339" w:type="dxa"/>
            <w:vAlign w:val="center"/>
          </w:tcPr>
          <w:p w14:paraId="17984179">
            <w:pPr>
              <w:snapToGrid w:val="0"/>
              <w:spacing w:line="360" w:lineRule="auto"/>
              <w:jc w:val="center"/>
              <w:rPr>
                <w:rFonts w:cs="宋体" w:asciiTheme="minorEastAsia" w:hAnsiTheme="minorEastAsia" w:eastAsiaTheme="minorEastAsia"/>
                <w:color w:val="auto"/>
                <w:sz w:val="24"/>
              </w:rPr>
            </w:pPr>
          </w:p>
        </w:tc>
        <w:tc>
          <w:tcPr>
            <w:tcW w:w="1423" w:type="dxa"/>
            <w:vAlign w:val="center"/>
          </w:tcPr>
          <w:p w14:paraId="4CAB5544">
            <w:pPr>
              <w:snapToGrid w:val="0"/>
              <w:spacing w:line="360" w:lineRule="auto"/>
              <w:jc w:val="center"/>
              <w:rPr>
                <w:rFonts w:cs="宋体" w:asciiTheme="minorEastAsia" w:hAnsiTheme="minorEastAsia" w:eastAsiaTheme="minorEastAsia"/>
                <w:color w:val="auto"/>
                <w:sz w:val="24"/>
              </w:rPr>
            </w:pPr>
          </w:p>
        </w:tc>
        <w:tc>
          <w:tcPr>
            <w:tcW w:w="1339" w:type="dxa"/>
            <w:vAlign w:val="center"/>
          </w:tcPr>
          <w:p w14:paraId="452FD29E">
            <w:pPr>
              <w:snapToGrid w:val="0"/>
              <w:spacing w:line="360" w:lineRule="auto"/>
              <w:jc w:val="center"/>
              <w:rPr>
                <w:rFonts w:cs="宋体" w:asciiTheme="minorEastAsia" w:hAnsiTheme="minorEastAsia" w:eastAsiaTheme="minorEastAsia"/>
                <w:color w:val="auto"/>
                <w:sz w:val="24"/>
              </w:rPr>
            </w:pPr>
          </w:p>
        </w:tc>
        <w:tc>
          <w:tcPr>
            <w:tcW w:w="1255" w:type="dxa"/>
            <w:vAlign w:val="center"/>
          </w:tcPr>
          <w:p w14:paraId="7C1DB61B">
            <w:pPr>
              <w:spacing w:line="360" w:lineRule="auto"/>
              <w:jc w:val="center"/>
              <w:rPr>
                <w:rFonts w:cs="宋体" w:asciiTheme="minorEastAsia" w:hAnsiTheme="minorEastAsia" w:eastAsiaTheme="minorEastAsia"/>
                <w:color w:val="auto"/>
                <w:sz w:val="24"/>
              </w:rPr>
            </w:pPr>
          </w:p>
        </w:tc>
        <w:tc>
          <w:tcPr>
            <w:tcW w:w="1256" w:type="dxa"/>
          </w:tcPr>
          <w:p w14:paraId="49348C0D">
            <w:pPr>
              <w:spacing w:line="360" w:lineRule="auto"/>
              <w:jc w:val="center"/>
              <w:rPr>
                <w:rFonts w:cs="宋体" w:asciiTheme="minorEastAsia" w:hAnsiTheme="minorEastAsia" w:eastAsiaTheme="minorEastAsia"/>
                <w:color w:val="auto"/>
                <w:sz w:val="24"/>
              </w:rPr>
            </w:pPr>
          </w:p>
        </w:tc>
        <w:tc>
          <w:tcPr>
            <w:tcW w:w="1255" w:type="dxa"/>
            <w:vAlign w:val="center"/>
          </w:tcPr>
          <w:p w14:paraId="21CC02E6">
            <w:pPr>
              <w:spacing w:line="360" w:lineRule="auto"/>
              <w:jc w:val="center"/>
              <w:rPr>
                <w:rFonts w:cs="宋体" w:asciiTheme="minorEastAsia" w:hAnsiTheme="minorEastAsia" w:eastAsiaTheme="minorEastAsia"/>
                <w:color w:val="auto"/>
                <w:sz w:val="24"/>
              </w:rPr>
            </w:pPr>
          </w:p>
        </w:tc>
      </w:tr>
      <w:tr w14:paraId="2A037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482" w:type="dxa"/>
            <w:vAlign w:val="center"/>
          </w:tcPr>
          <w:p w14:paraId="2B580B00">
            <w:pPr>
              <w:spacing w:line="360" w:lineRule="auto"/>
              <w:jc w:val="center"/>
              <w:rPr>
                <w:rFonts w:cs="宋体" w:asciiTheme="minorEastAsia" w:hAnsiTheme="minorEastAsia" w:eastAsiaTheme="minorEastAsia"/>
                <w:color w:val="auto"/>
                <w:sz w:val="24"/>
              </w:rPr>
            </w:pPr>
          </w:p>
        </w:tc>
        <w:tc>
          <w:tcPr>
            <w:tcW w:w="585" w:type="dxa"/>
            <w:vAlign w:val="center"/>
          </w:tcPr>
          <w:p w14:paraId="5140F251">
            <w:pPr>
              <w:snapToGrid w:val="0"/>
              <w:spacing w:line="360" w:lineRule="auto"/>
              <w:jc w:val="center"/>
              <w:rPr>
                <w:rFonts w:cs="宋体" w:asciiTheme="minorEastAsia" w:hAnsiTheme="minorEastAsia" w:eastAsiaTheme="minorEastAsia"/>
                <w:color w:val="auto"/>
                <w:sz w:val="24"/>
              </w:rPr>
            </w:pPr>
          </w:p>
        </w:tc>
        <w:tc>
          <w:tcPr>
            <w:tcW w:w="1339" w:type="dxa"/>
            <w:vAlign w:val="center"/>
          </w:tcPr>
          <w:p w14:paraId="072EB808">
            <w:pPr>
              <w:snapToGrid w:val="0"/>
              <w:spacing w:line="360" w:lineRule="auto"/>
              <w:jc w:val="center"/>
              <w:rPr>
                <w:rFonts w:cs="宋体" w:asciiTheme="minorEastAsia" w:hAnsiTheme="minorEastAsia" w:eastAsiaTheme="minorEastAsia"/>
                <w:color w:val="auto"/>
                <w:sz w:val="24"/>
              </w:rPr>
            </w:pPr>
          </w:p>
        </w:tc>
        <w:tc>
          <w:tcPr>
            <w:tcW w:w="1423" w:type="dxa"/>
            <w:vAlign w:val="center"/>
          </w:tcPr>
          <w:p w14:paraId="6E70D730">
            <w:pPr>
              <w:snapToGrid w:val="0"/>
              <w:spacing w:line="360" w:lineRule="auto"/>
              <w:jc w:val="center"/>
              <w:rPr>
                <w:rFonts w:cs="宋体" w:asciiTheme="minorEastAsia" w:hAnsiTheme="minorEastAsia" w:eastAsiaTheme="minorEastAsia"/>
                <w:color w:val="auto"/>
                <w:sz w:val="24"/>
              </w:rPr>
            </w:pPr>
          </w:p>
        </w:tc>
        <w:tc>
          <w:tcPr>
            <w:tcW w:w="1339" w:type="dxa"/>
            <w:vAlign w:val="center"/>
          </w:tcPr>
          <w:p w14:paraId="27D76D5A">
            <w:pPr>
              <w:snapToGrid w:val="0"/>
              <w:spacing w:line="360" w:lineRule="auto"/>
              <w:jc w:val="center"/>
              <w:rPr>
                <w:rFonts w:cs="宋体" w:asciiTheme="minorEastAsia" w:hAnsiTheme="minorEastAsia" w:eastAsiaTheme="minorEastAsia"/>
                <w:color w:val="auto"/>
                <w:sz w:val="24"/>
              </w:rPr>
            </w:pPr>
          </w:p>
        </w:tc>
        <w:tc>
          <w:tcPr>
            <w:tcW w:w="1255" w:type="dxa"/>
            <w:vAlign w:val="center"/>
          </w:tcPr>
          <w:p w14:paraId="2C6F3A7E">
            <w:pPr>
              <w:spacing w:line="360" w:lineRule="auto"/>
              <w:jc w:val="center"/>
              <w:rPr>
                <w:rFonts w:cs="宋体" w:asciiTheme="minorEastAsia" w:hAnsiTheme="minorEastAsia" w:eastAsiaTheme="minorEastAsia"/>
                <w:color w:val="auto"/>
                <w:sz w:val="24"/>
              </w:rPr>
            </w:pPr>
          </w:p>
        </w:tc>
        <w:tc>
          <w:tcPr>
            <w:tcW w:w="1256" w:type="dxa"/>
          </w:tcPr>
          <w:p w14:paraId="050F643A">
            <w:pPr>
              <w:spacing w:line="360" w:lineRule="auto"/>
              <w:jc w:val="center"/>
              <w:rPr>
                <w:rFonts w:cs="宋体" w:asciiTheme="minorEastAsia" w:hAnsiTheme="minorEastAsia" w:eastAsiaTheme="minorEastAsia"/>
                <w:color w:val="auto"/>
                <w:sz w:val="24"/>
              </w:rPr>
            </w:pPr>
          </w:p>
        </w:tc>
        <w:tc>
          <w:tcPr>
            <w:tcW w:w="1255" w:type="dxa"/>
            <w:vAlign w:val="center"/>
          </w:tcPr>
          <w:p w14:paraId="6DFBDB73">
            <w:pPr>
              <w:spacing w:line="360" w:lineRule="auto"/>
              <w:jc w:val="center"/>
              <w:rPr>
                <w:rFonts w:cs="宋体" w:asciiTheme="minorEastAsia" w:hAnsiTheme="minorEastAsia" w:eastAsiaTheme="minorEastAsia"/>
                <w:color w:val="auto"/>
                <w:sz w:val="24"/>
              </w:rPr>
            </w:pPr>
          </w:p>
        </w:tc>
      </w:tr>
      <w:tr w14:paraId="6F77D1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3829" w:type="dxa"/>
            <w:gridSpan w:val="4"/>
            <w:vAlign w:val="center"/>
          </w:tcPr>
          <w:p w14:paraId="116681E8">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w:t>
            </w:r>
            <w:r>
              <w:rPr>
                <w:rFonts w:hint="eastAsia" w:cs="宋体" w:asciiTheme="minorEastAsia" w:hAnsiTheme="minorEastAsia" w:eastAsiaTheme="minorEastAsia"/>
                <w:b/>
                <w:color w:val="auto"/>
                <w:sz w:val="24"/>
                <w:lang w:eastAsia="zh-CN"/>
              </w:rPr>
              <w:t>（折扣）</w:t>
            </w:r>
            <w:r>
              <w:rPr>
                <w:rFonts w:hint="eastAsia" w:cs="宋体" w:asciiTheme="minorEastAsia" w:hAnsiTheme="minorEastAsia" w:eastAsiaTheme="minorEastAsia"/>
                <w:b/>
                <w:color w:val="auto"/>
                <w:sz w:val="24"/>
              </w:rPr>
              <w:t>（小写）</w:t>
            </w:r>
          </w:p>
        </w:tc>
        <w:tc>
          <w:tcPr>
            <w:tcW w:w="5105" w:type="dxa"/>
            <w:gridSpan w:val="4"/>
          </w:tcPr>
          <w:p w14:paraId="6E2B6907">
            <w:pPr>
              <w:spacing w:line="360" w:lineRule="auto"/>
              <w:jc w:val="center"/>
              <w:rPr>
                <w:rFonts w:cs="宋体" w:asciiTheme="minorEastAsia" w:hAnsiTheme="minorEastAsia" w:eastAsiaTheme="minorEastAsia"/>
                <w:color w:val="auto"/>
                <w:sz w:val="24"/>
              </w:rPr>
            </w:pPr>
          </w:p>
        </w:tc>
      </w:tr>
      <w:tr w14:paraId="1E3320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3829" w:type="dxa"/>
            <w:gridSpan w:val="4"/>
            <w:vAlign w:val="center"/>
          </w:tcPr>
          <w:p w14:paraId="0FECBDAB">
            <w:pPr>
              <w:spacing w:line="360" w:lineRule="auto"/>
              <w:jc w:val="center"/>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最后报价</w:t>
            </w:r>
            <w:r>
              <w:rPr>
                <w:rFonts w:hint="eastAsia" w:cs="宋体" w:asciiTheme="minorEastAsia" w:hAnsiTheme="minorEastAsia" w:eastAsiaTheme="minorEastAsia"/>
                <w:b/>
                <w:color w:val="auto"/>
                <w:sz w:val="24"/>
                <w:lang w:eastAsia="zh-CN"/>
              </w:rPr>
              <w:t>（折扣）</w:t>
            </w:r>
            <w:r>
              <w:rPr>
                <w:rFonts w:hint="eastAsia" w:cs="宋体" w:asciiTheme="minorEastAsia" w:hAnsiTheme="minorEastAsia" w:eastAsiaTheme="minorEastAsia"/>
                <w:b/>
                <w:color w:val="auto"/>
                <w:sz w:val="24"/>
              </w:rPr>
              <w:t>（大写）</w:t>
            </w:r>
          </w:p>
        </w:tc>
        <w:tc>
          <w:tcPr>
            <w:tcW w:w="5105" w:type="dxa"/>
            <w:gridSpan w:val="4"/>
          </w:tcPr>
          <w:p w14:paraId="7C1757D0">
            <w:pPr>
              <w:spacing w:line="360" w:lineRule="auto"/>
              <w:jc w:val="center"/>
              <w:rPr>
                <w:rFonts w:cs="宋体" w:asciiTheme="minorEastAsia" w:hAnsiTheme="minorEastAsia" w:eastAsiaTheme="minorEastAsia"/>
                <w:color w:val="auto"/>
                <w:sz w:val="24"/>
              </w:rPr>
            </w:pPr>
          </w:p>
        </w:tc>
      </w:tr>
    </w:tbl>
    <w:p w14:paraId="7ED5CAE1">
      <w:pPr>
        <w:spacing w:line="360" w:lineRule="auto"/>
        <w:ind w:left="-2" w:leftChars="-1" w:firstLine="480" w:firstLineChars="2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sz w:val="24"/>
        </w:rPr>
        <w:t>注：</w:t>
      </w:r>
      <w:r>
        <w:rPr>
          <w:rFonts w:hint="eastAsia" w:cs="仿宋_GB2312" w:asciiTheme="minorEastAsia" w:hAnsiTheme="minorEastAsia" w:eastAsiaTheme="minorEastAsia"/>
          <w:color w:val="auto"/>
          <w:kern w:val="0"/>
          <w:sz w:val="24"/>
          <w:lang w:val="zh-CN"/>
        </w:rPr>
        <w:t>1、</w:t>
      </w:r>
      <w:r>
        <w:rPr>
          <w:rFonts w:hint="eastAsia" w:cs="宋体" w:asciiTheme="minorEastAsia" w:hAnsiTheme="minorEastAsia" w:eastAsiaTheme="minorEastAsia"/>
          <w:color w:val="auto"/>
          <w:kern w:val="0"/>
          <w:sz w:val="24"/>
          <w:lang w:val="zh-CN"/>
        </w:rPr>
        <w:t>供应商需按本表格式填写</w:t>
      </w:r>
      <w:r>
        <w:rPr>
          <w:rFonts w:hint="eastAsia" w:cs="宋体" w:asciiTheme="minorEastAsia" w:hAnsiTheme="minorEastAsia" w:eastAsiaTheme="minorEastAsia"/>
          <w:b/>
          <w:color w:val="auto"/>
          <w:kern w:val="0"/>
          <w:sz w:val="24"/>
          <w:lang w:val="zh-CN"/>
        </w:rPr>
        <w:t>，</w:t>
      </w:r>
      <w:r>
        <w:rPr>
          <w:rFonts w:hint="eastAsia" w:cs="宋体" w:asciiTheme="minorEastAsia" w:hAnsiTheme="minorEastAsia" w:eastAsiaTheme="minorEastAsia"/>
          <w:b/>
          <w:color w:val="auto"/>
          <w:kern w:val="0"/>
          <w:sz w:val="24"/>
        </w:rPr>
        <w:t>否则视为</w:t>
      </w:r>
      <w:r>
        <w:rPr>
          <w:rFonts w:hint="eastAsia" w:cs="宋体" w:asciiTheme="minorEastAsia" w:hAnsiTheme="minorEastAsia" w:eastAsiaTheme="minorEastAsia"/>
          <w:b/>
          <w:color w:val="auto"/>
          <w:sz w:val="24"/>
        </w:rPr>
        <w:t>响应文件含有采购人不能接受的附加条件，响应无效</w:t>
      </w:r>
      <w:r>
        <w:rPr>
          <w:rFonts w:hint="eastAsia" w:cs="仿宋_GB2312" w:asciiTheme="minorEastAsia" w:hAnsiTheme="minorEastAsia" w:eastAsiaTheme="minorEastAsia"/>
          <w:color w:val="auto"/>
          <w:kern w:val="0"/>
          <w:sz w:val="24"/>
          <w:lang w:val="zh-CN"/>
        </w:rPr>
        <w:t>。</w:t>
      </w:r>
    </w:p>
    <w:p w14:paraId="1AFF5286">
      <w:pPr>
        <w:snapToGrid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2</w:t>
      </w:r>
      <w:r>
        <w:rPr>
          <w:rFonts w:cs="仿宋_GB2312" w:asciiTheme="minorEastAsia" w:hAnsiTheme="minorEastAsia" w:eastAsiaTheme="minorEastAsia"/>
          <w:color w:val="auto"/>
          <w:kern w:val="0"/>
          <w:sz w:val="24"/>
          <w:lang w:val="zh-CN"/>
        </w:rPr>
        <w:t>、</w:t>
      </w:r>
      <w:r>
        <w:rPr>
          <w:rFonts w:hint="eastAsia" w:cs="宋体" w:asciiTheme="minorEastAsia" w:hAnsiTheme="minorEastAsia" w:eastAsiaTheme="minorEastAsia"/>
          <w:color w:val="auto"/>
          <w:kern w:val="0"/>
          <w:sz w:val="24"/>
          <w:lang w:val="zh-CN"/>
        </w:rPr>
        <w:t>有关本项目实施所涉及的一切费用均计入报价。</w:t>
      </w:r>
      <w:r>
        <w:rPr>
          <w:rFonts w:hint="eastAsia" w:cs="宋体" w:asciiTheme="minorEastAsia" w:hAnsiTheme="minorEastAsia" w:eastAsiaTheme="minorEastAsia"/>
          <w:b/>
          <w:color w:val="auto"/>
          <w:kern w:val="0"/>
          <w:sz w:val="24"/>
          <w:lang w:val="zh-CN"/>
        </w:rPr>
        <w:t>采购人将以合同形式有偿取得货物或服务，不接受供应商给予的赠品、回扣或者与采购无关的其他商品、服务</w:t>
      </w:r>
      <w:r>
        <w:rPr>
          <w:rFonts w:hint="eastAsia" w:cs="宋体" w:asciiTheme="minorEastAsia" w:hAnsiTheme="minorEastAsia" w:eastAsiaTheme="minorEastAsia"/>
          <w:color w:val="auto"/>
          <w:kern w:val="0"/>
          <w:sz w:val="24"/>
          <w:lang w:val="zh-CN"/>
        </w:rPr>
        <w:t>，</w:t>
      </w:r>
      <w:r>
        <w:rPr>
          <w:rFonts w:hint="eastAsia" w:cs="宋体" w:asciiTheme="minorEastAsia" w:hAnsiTheme="minorEastAsia" w:eastAsiaTheme="minorEastAsia"/>
          <w:b/>
          <w:color w:val="auto"/>
          <w:kern w:val="0"/>
          <w:sz w:val="24"/>
          <w:lang w:val="zh-CN"/>
        </w:rPr>
        <w:t>不得出现“0元”“免费赠送”等形式的无偿报价，</w:t>
      </w:r>
      <w:r>
        <w:rPr>
          <w:rFonts w:hint="eastAsia" w:cs="宋体" w:asciiTheme="minorEastAsia" w:hAnsiTheme="minorEastAsia" w:eastAsiaTheme="minorEastAsia"/>
          <w:b/>
          <w:color w:val="auto"/>
          <w:kern w:val="0"/>
          <w:sz w:val="24"/>
        </w:rPr>
        <w:t>否则视为</w:t>
      </w:r>
      <w:r>
        <w:rPr>
          <w:rFonts w:hint="eastAsia" w:cs="宋体" w:asciiTheme="minorEastAsia" w:hAnsiTheme="minorEastAsia" w:eastAsiaTheme="minorEastAsia"/>
          <w:b/>
          <w:color w:val="auto"/>
          <w:sz w:val="24"/>
        </w:rPr>
        <w:t>最后报价文件含有采购人不能接受的附加条件，响应无效</w:t>
      </w:r>
      <w:r>
        <w:rPr>
          <w:rFonts w:hint="eastAsia" w:cs="宋体" w:asciiTheme="minorEastAsia" w:hAnsiTheme="minorEastAsia" w:eastAsiaTheme="minorEastAsia"/>
          <w:b/>
          <w:color w:val="auto"/>
          <w:kern w:val="0"/>
          <w:sz w:val="24"/>
          <w:lang w:val="zh-CN"/>
        </w:rPr>
        <w:t>；采购内容未包含在《最后报价一览表》名称栏中，供应商不能作出合理解释的，</w:t>
      </w:r>
      <w:r>
        <w:rPr>
          <w:rFonts w:hint="eastAsia" w:cs="宋体" w:asciiTheme="minorEastAsia" w:hAnsiTheme="minorEastAsia" w:eastAsiaTheme="minorEastAsia"/>
          <w:b/>
          <w:color w:val="auto"/>
          <w:kern w:val="0"/>
          <w:sz w:val="24"/>
        </w:rPr>
        <w:t>视为</w:t>
      </w:r>
      <w:r>
        <w:rPr>
          <w:rFonts w:hint="eastAsia" w:cs="宋体" w:asciiTheme="minorEastAsia" w:hAnsiTheme="minorEastAsia" w:eastAsiaTheme="minorEastAsia"/>
          <w:b/>
          <w:color w:val="auto"/>
          <w:sz w:val="24"/>
        </w:rPr>
        <w:t>响应文件含有采购人不能接受的附加条件的，响应无效。</w:t>
      </w:r>
    </w:p>
    <w:p w14:paraId="5A799675">
      <w:pPr>
        <w:snapToGrid w:val="0"/>
        <w:spacing w:line="360" w:lineRule="auto"/>
        <w:ind w:firstLine="480" w:firstLineChars="200"/>
        <w:jc w:val="left"/>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3、特别提示：采购代理机构将对项目名称和项目编号，成交供应商名称、地址和成交金额，</w:t>
      </w:r>
      <w:r>
        <w:rPr>
          <w:rFonts w:hint="eastAsia" w:cs="宋体" w:asciiTheme="minorEastAsia" w:hAnsiTheme="minorEastAsia" w:eastAsiaTheme="minorEastAsia"/>
          <w:color w:val="auto"/>
          <w:kern w:val="0"/>
          <w:sz w:val="24"/>
          <w:lang w:val="zh-CN"/>
        </w:rPr>
        <w:t>主要成交标的名称、服务范围、服务要求、服务时间、服务标准等予以公示</w:t>
      </w:r>
      <w:r>
        <w:rPr>
          <w:rFonts w:hint="eastAsia" w:cs="仿宋_GB2312" w:asciiTheme="minorEastAsia" w:hAnsiTheme="minorEastAsia" w:eastAsiaTheme="minorEastAsia"/>
          <w:color w:val="auto"/>
          <w:kern w:val="0"/>
          <w:sz w:val="24"/>
          <w:lang w:val="zh-CN"/>
        </w:rPr>
        <w:t>。</w:t>
      </w:r>
    </w:p>
    <w:p w14:paraId="7F732DEC">
      <w:pPr>
        <w:spacing w:line="360" w:lineRule="auto"/>
        <w:ind w:firstLine="480" w:firstLineChars="200"/>
        <w:rPr>
          <w:rFonts w:cs="仿宋_GB2312" w:asciiTheme="minorEastAsia" w:hAnsiTheme="minorEastAsia" w:eastAsiaTheme="minorEastAsia"/>
          <w:color w:val="auto"/>
          <w:kern w:val="0"/>
          <w:sz w:val="24"/>
          <w:u w:val="single"/>
          <w:lang w:val="zh-CN"/>
        </w:rPr>
      </w:pPr>
      <w:r>
        <w:rPr>
          <w:rFonts w:hint="eastAsia" w:cs="仿宋_GB2312" w:asciiTheme="minorEastAsia" w:hAnsiTheme="minorEastAsia" w:eastAsiaTheme="minorEastAsia"/>
          <w:color w:val="auto"/>
          <w:kern w:val="0"/>
          <w:sz w:val="24"/>
          <w:szCs w:val="22"/>
          <w:lang w:val="zh-CN"/>
        </w:rPr>
        <w:t>4</w:t>
      </w:r>
      <w:r>
        <w:rPr>
          <w:rFonts w:cs="仿宋_GB2312" w:asciiTheme="minorEastAsia" w:hAnsiTheme="minorEastAsia" w:eastAsiaTheme="minorEastAsia"/>
          <w:color w:val="auto"/>
          <w:kern w:val="0"/>
          <w:sz w:val="24"/>
          <w:szCs w:val="22"/>
          <w:lang w:val="zh-CN"/>
        </w:rPr>
        <w:t>、</w:t>
      </w:r>
      <w:r>
        <w:rPr>
          <w:rFonts w:hint="eastAsia" w:cs="仿宋_GB2312" w:asciiTheme="minorEastAsia" w:hAnsiTheme="minorEastAsia" w:eastAsiaTheme="minorEastAsia"/>
          <w:color w:val="auto"/>
          <w:kern w:val="0"/>
          <w:sz w:val="24"/>
          <w:lang w:val="zh-CN"/>
        </w:rPr>
        <w:t>符合磋商文件中列明的可享受中小企业扶持政策的供应商，请填写中小企业声明函。注：供应商</w:t>
      </w:r>
      <w:r>
        <w:rPr>
          <w:rFonts w:cs="仿宋_GB2312" w:asciiTheme="minorEastAsia" w:hAnsiTheme="minorEastAsia" w:eastAsiaTheme="minorEastAsia"/>
          <w:color w:val="auto"/>
          <w:kern w:val="0"/>
          <w:sz w:val="24"/>
          <w:lang w:val="zh-CN"/>
        </w:rPr>
        <w:t>提供</w:t>
      </w:r>
      <w:r>
        <w:rPr>
          <w:rFonts w:hint="eastAsia" w:cs="仿宋_GB2312" w:asciiTheme="minorEastAsia" w:hAnsiTheme="minorEastAsia" w:eastAsiaTheme="minorEastAsia"/>
          <w:color w:val="auto"/>
          <w:kern w:val="0"/>
          <w:sz w:val="24"/>
          <w:lang w:val="zh-CN"/>
        </w:rPr>
        <w:t>的中小企业</w:t>
      </w:r>
      <w:r>
        <w:rPr>
          <w:rFonts w:cs="仿宋_GB2312" w:asciiTheme="minorEastAsia" w:hAnsiTheme="minorEastAsia" w:eastAsiaTheme="minorEastAsia"/>
          <w:color w:val="auto"/>
          <w:kern w:val="0"/>
          <w:sz w:val="24"/>
          <w:lang w:val="zh-CN"/>
        </w:rPr>
        <w:t>声明函内容不实的，属于提供虚假材料谋取中标、成交，依照《中华人民共和国政府采购法》等国家有关规定追究相应责任。</w:t>
      </w:r>
    </w:p>
    <w:p w14:paraId="47491D98">
      <w:pPr>
        <w:spacing w:line="360" w:lineRule="auto"/>
        <w:ind w:right="-874" w:rightChars="-416"/>
        <w:rPr>
          <w:rFonts w:cs="仿宋_GB2312" w:asciiTheme="minorEastAsia" w:hAnsiTheme="minorEastAsia" w:eastAsiaTheme="minorEastAsia"/>
          <w:color w:val="auto"/>
          <w:sz w:val="24"/>
        </w:rPr>
      </w:pPr>
    </w:p>
    <w:p w14:paraId="16534A64">
      <w:pPr>
        <w:spacing w:line="360" w:lineRule="auto"/>
        <w:ind w:right="-874" w:rightChars="-416"/>
        <w:rPr>
          <w:rFonts w:cs="仿宋_GB2312" w:asciiTheme="minorEastAsia" w:hAnsiTheme="minorEastAsia" w:eastAsiaTheme="minorEastAsia"/>
          <w:color w:val="auto"/>
          <w:sz w:val="24"/>
        </w:rPr>
      </w:pPr>
    </w:p>
    <w:p w14:paraId="434E6E2E">
      <w:pPr>
        <w:spacing w:line="360" w:lineRule="auto"/>
        <w:ind w:right="-874" w:rightChars="-416"/>
        <w:rPr>
          <w:rFonts w:cs="仿宋_GB2312" w:asciiTheme="minorEastAsia" w:hAnsiTheme="minorEastAsia" w:eastAsiaTheme="minorEastAsia"/>
          <w:color w:val="auto"/>
          <w:sz w:val="24"/>
        </w:rPr>
      </w:pPr>
    </w:p>
    <w:p w14:paraId="33B709B1">
      <w:pPr>
        <w:spacing w:line="360" w:lineRule="auto"/>
        <w:ind w:right="-874" w:rightChars="-416"/>
        <w:rPr>
          <w:rFonts w:cs="仿宋_GB2312" w:asciiTheme="minorEastAsia" w:hAnsiTheme="minorEastAsia" w:eastAsiaTheme="minorEastAsia"/>
          <w:color w:val="auto"/>
          <w:kern w:val="0"/>
          <w:sz w:val="24"/>
        </w:rPr>
      </w:pPr>
      <w:r>
        <w:rPr>
          <w:rFonts w:hint="eastAsia" w:cs="仿宋_GB2312" w:asciiTheme="minorEastAsia" w:hAnsiTheme="minorEastAsia" w:eastAsiaTheme="minorEastAsia"/>
          <w:color w:val="auto"/>
          <w:sz w:val="24"/>
        </w:rPr>
        <w:t xml:space="preserve">                                           </w:t>
      </w:r>
      <w:r>
        <w:rPr>
          <w:rFonts w:hint="eastAsia" w:cs="仿宋_GB2312" w:asciiTheme="minorEastAsia" w:hAnsiTheme="minorEastAsia" w:eastAsiaTheme="minorEastAsia"/>
          <w:color w:val="auto"/>
          <w:kern w:val="0"/>
          <w:sz w:val="24"/>
          <w:lang w:val="zh-CN"/>
        </w:rPr>
        <w:t>供应商名称（电子签名）：</w:t>
      </w:r>
    </w:p>
    <w:p w14:paraId="5D62F31A">
      <w:pPr>
        <w:autoSpaceDE w:val="0"/>
        <w:autoSpaceDN w:val="0"/>
        <w:spacing w:line="360" w:lineRule="auto"/>
        <w:ind w:left="5040" w:hanging="5040" w:hangingChars="2100"/>
        <w:rPr>
          <w:rFonts w:cs="仿宋_GB2312" w:asciiTheme="minorEastAsia" w:hAnsiTheme="minorEastAsia" w:eastAsiaTheme="minorEastAsia"/>
          <w:color w:val="auto"/>
          <w:kern w:val="0"/>
          <w:sz w:val="24"/>
          <w:lang w:val="zh-CN"/>
        </w:rPr>
      </w:pPr>
      <w:r>
        <w:rPr>
          <w:rFonts w:hint="eastAsia" w:cs="仿宋_GB2312" w:asciiTheme="minorEastAsia" w:hAnsiTheme="minorEastAsia" w:eastAsiaTheme="minorEastAsia"/>
          <w:color w:val="auto"/>
          <w:kern w:val="0"/>
          <w:sz w:val="24"/>
          <w:lang w:val="zh-CN"/>
        </w:rPr>
        <w:t xml:space="preserve">                                            日期：    年  月   日</w:t>
      </w:r>
    </w:p>
    <w:p w14:paraId="3ECB5B84">
      <w:pPr>
        <w:widowControl/>
        <w:adjustRightInd/>
        <w:jc w:val="left"/>
        <w:rPr>
          <w:rFonts w:cs="仿宋_GB2312" w:asciiTheme="minorEastAsia" w:hAnsiTheme="minorEastAsia" w:eastAsiaTheme="minorEastAsia"/>
          <w:color w:val="auto"/>
          <w:kern w:val="0"/>
          <w:sz w:val="24"/>
          <w:lang w:val="zh-CN"/>
        </w:rPr>
        <w:sectPr>
          <w:pgSz w:w="11906" w:h="16838"/>
          <w:pgMar w:top="1247" w:right="1417" w:bottom="1276" w:left="1417" w:header="851" w:footer="992" w:gutter="0"/>
          <w:pgBorders>
            <w:top w:val="none" w:sz="0" w:space="0"/>
            <w:left w:val="none" w:sz="0" w:space="0"/>
            <w:bottom w:val="none" w:sz="0" w:space="0"/>
            <w:right w:val="none" w:sz="0" w:space="0"/>
          </w:pgBorders>
          <w:cols w:space="0" w:num="1"/>
          <w:titlePg/>
          <w:rtlGutter w:val="0"/>
          <w:docGrid w:linePitch="312" w:charSpace="0"/>
        </w:sectPr>
      </w:pPr>
    </w:p>
    <w:p w14:paraId="33515BC2">
      <w:pPr>
        <w:widowControl/>
        <w:adjustRightInd/>
        <w:jc w:val="center"/>
        <w:rPr>
          <w:rFonts w:asciiTheme="minorEastAsia" w:hAnsiTheme="minorEastAsia" w:eastAsiaTheme="minorEastAsia"/>
          <w:b/>
          <w:color w:val="auto"/>
          <w:sz w:val="32"/>
          <w:szCs w:val="32"/>
        </w:rPr>
      </w:pPr>
      <w:r>
        <w:rPr>
          <w:rFonts w:hint="eastAsia" w:asciiTheme="minorEastAsia" w:hAnsiTheme="minorEastAsia" w:eastAsiaTheme="minorEastAsia"/>
          <w:b/>
          <w:color w:val="auto"/>
          <w:sz w:val="32"/>
          <w:szCs w:val="32"/>
        </w:rPr>
        <w:t>（二）中小企业声明函</w:t>
      </w:r>
      <w:bookmarkStart w:id="173" w:name="_Toc465665161"/>
    </w:p>
    <w:p w14:paraId="3FC3B07F">
      <w:pPr>
        <w:widowControl/>
        <w:spacing w:line="360" w:lineRule="auto"/>
        <w:ind w:firstLine="120" w:firstLineChars="50"/>
        <w:jc w:val="left"/>
        <w:rPr>
          <w:rFonts w:cs="宋体" w:asciiTheme="minorEastAsia" w:hAnsiTheme="minorEastAsia" w:eastAsiaTheme="minorEastAsia"/>
          <w:b/>
          <w:color w:val="auto"/>
          <w:sz w:val="24"/>
        </w:rPr>
      </w:pPr>
    </w:p>
    <w:p w14:paraId="67225037">
      <w:pPr>
        <w:widowControl/>
        <w:spacing w:line="360" w:lineRule="auto"/>
        <w:ind w:firstLine="120" w:firstLineChars="50"/>
        <w:jc w:val="left"/>
        <w:rPr>
          <w:rFonts w:cs="宋体" w:asciiTheme="minorEastAsia" w:hAnsiTheme="minorEastAsia" w:eastAsiaTheme="minorEastAsia"/>
          <w:b/>
          <w:color w:val="auto"/>
          <w:sz w:val="24"/>
        </w:rPr>
      </w:pPr>
      <w:r>
        <w:rPr>
          <w:rFonts w:hint="eastAsia" w:cs="宋体" w:asciiTheme="minorEastAsia" w:hAnsiTheme="minorEastAsia" w:eastAsiaTheme="minorEastAsia"/>
          <w:b/>
          <w:color w:val="auto"/>
          <w:sz w:val="24"/>
        </w:rPr>
        <w:t xml:space="preserve"> [</w:t>
      </w:r>
      <w:r>
        <w:rPr>
          <w:rFonts w:hint="eastAsia" w:cs="宋体" w:asciiTheme="minorEastAsia" w:hAnsiTheme="minorEastAsia" w:eastAsiaTheme="minorEastAsia"/>
          <w:b/>
          <w:bCs/>
          <w:color w:val="auto"/>
          <w:sz w:val="24"/>
        </w:rPr>
        <w:t>竞争性磋商邀请公告</w:t>
      </w:r>
      <w:r>
        <w:rPr>
          <w:rFonts w:hint="eastAsia" w:cs="宋体" w:asciiTheme="minorEastAsia" w:hAnsiTheme="minorEastAsia" w:eastAsiaTheme="minorEastAsia"/>
          <w:b/>
          <w:color w:val="auto"/>
          <w:sz w:val="24"/>
        </w:rPr>
        <w:t>落实政府采购政策需满足的资格要求为“无”即本项目或标项未预留份额专门面向中小企业时，符合《政府采购促进中小企业发展管理办法》规定的小微企业拟享受价格扣除政策的，需提供中小企业声明函。]</w:t>
      </w:r>
    </w:p>
    <w:p w14:paraId="66D7CDA4">
      <w:pPr>
        <w:widowControl/>
        <w:adjustRightInd/>
        <w:jc w:val="center"/>
        <w:rPr>
          <w:rFonts w:cs="仿宋_GB2312" w:asciiTheme="minorEastAsia" w:hAnsiTheme="minorEastAsia" w:eastAsiaTheme="minorEastAsia"/>
          <w:color w:val="auto"/>
          <w:sz w:val="24"/>
        </w:rPr>
      </w:pPr>
    </w:p>
    <w:p w14:paraId="1E924EE8">
      <w:pPr>
        <w:widowControl/>
        <w:adjustRightInd/>
        <w:jc w:val="left"/>
        <w:rPr>
          <w:rFonts w:cs="宋体" w:asciiTheme="minorEastAsia" w:hAnsiTheme="minorEastAsia" w:eastAsiaTheme="minorEastAsia"/>
          <w:b/>
          <w:color w:val="auto"/>
          <w:sz w:val="32"/>
          <w:szCs w:val="32"/>
        </w:rPr>
      </w:pPr>
      <w:r>
        <w:rPr>
          <w:rFonts w:cs="宋体" w:asciiTheme="minorEastAsia" w:hAnsiTheme="minorEastAsia" w:eastAsiaTheme="minorEastAsia"/>
          <w:b/>
          <w:color w:val="auto"/>
          <w:sz w:val="32"/>
          <w:szCs w:val="32"/>
        </w:rPr>
        <w:br w:type="page"/>
      </w:r>
    </w:p>
    <w:bookmarkEnd w:id="173"/>
    <w:p w14:paraId="23A243CC">
      <w:pPr>
        <w:spacing w:line="360" w:lineRule="auto"/>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附件：</w:t>
      </w:r>
    </w:p>
    <w:p w14:paraId="28A27760">
      <w:pPr>
        <w:spacing w:line="360" w:lineRule="auto"/>
        <w:rPr>
          <w:rFonts w:asciiTheme="minorEastAsia" w:hAnsiTheme="minorEastAsia" w:eastAsiaTheme="minorEastAsia"/>
          <w:b/>
          <w:color w:val="auto"/>
          <w:spacing w:val="6"/>
          <w:sz w:val="32"/>
          <w:szCs w:val="32"/>
        </w:rPr>
      </w:pPr>
    </w:p>
    <w:p w14:paraId="74CC81C7">
      <w:pPr>
        <w:spacing w:line="360" w:lineRule="auto"/>
        <w:jc w:val="center"/>
        <w:rPr>
          <w:rFonts w:asciiTheme="minorEastAsia" w:hAnsiTheme="minorEastAsia" w:eastAsiaTheme="minorEastAsia"/>
          <w:b/>
          <w:color w:val="auto"/>
          <w:spacing w:val="6"/>
          <w:sz w:val="32"/>
          <w:szCs w:val="32"/>
        </w:rPr>
      </w:pPr>
      <w:r>
        <w:rPr>
          <w:rFonts w:hint="eastAsia" w:asciiTheme="minorEastAsia" w:hAnsiTheme="minorEastAsia" w:eastAsiaTheme="minorEastAsia"/>
          <w:b/>
          <w:color w:val="auto"/>
          <w:spacing w:val="6"/>
          <w:sz w:val="32"/>
          <w:szCs w:val="32"/>
        </w:rPr>
        <w:t>残疾人福利性单位声明函</w:t>
      </w:r>
    </w:p>
    <w:p w14:paraId="795D559C">
      <w:pPr>
        <w:spacing w:line="360" w:lineRule="auto"/>
        <w:rPr>
          <w:rFonts w:asciiTheme="minorEastAsia" w:hAnsiTheme="minorEastAsia" w:eastAsiaTheme="minorEastAsia"/>
          <w:b/>
          <w:color w:val="auto"/>
          <w:spacing w:val="6"/>
          <w:sz w:val="30"/>
          <w:szCs w:val="30"/>
        </w:rPr>
      </w:pPr>
    </w:p>
    <w:p w14:paraId="2BDF78AC">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本单位郑重声明，根据《财政部 民政部 中国残疾人联合会关于促进残疾人就业政府采购政策的通知》（财库〔2017〕 141号）的规定，本单位为符合条件的残疾人福利性单位，且本单位参加</w:t>
      </w:r>
      <w:r>
        <w:rPr>
          <w:rFonts w:hint="eastAsia" w:cs="仿宋_GB2312" w:asciiTheme="minorEastAsia" w:hAnsiTheme="minorEastAsia" w:eastAsiaTheme="minorEastAsia"/>
          <w:color w:val="auto"/>
          <w:sz w:val="24"/>
          <w:u w:val="single"/>
        </w:rPr>
        <w:t xml:space="preserve">   （采购人）    </w:t>
      </w:r>
      <w:r>
        <w:rPr>
          <w:rFonts w:hint="eastAsia" w:cs="仿宋_GB2312" w:asciiTheme="minorEastAsia" w:hAnsiTheme="minorEastAsia" w:eastAsiaTheme="minorEastAsia"/>
          <w:color w:val="auto"/>
          <w:sz w:val="24"/>
        </w:rPr>
        <w:t>单位的</w:t>
      </w:r>
      <w:r>
        <w:rPr>
          <w:rFonts w:hint="eastAsia" w:cs="仿宋_GB2312" w:asciiTheme="minorEastAsia" w:hAnsiTheme="minorEastAsia" w:eastAsiaTheme="minorEastAsia"/>
          <w:color w:val="auto"/>
          <w:sz w:val="24"/>
          <w:u w:val="single"/>
        </w:rPr>
        <w:t xml:space="preserve">     （项目名称）    </w:t>
      </w:r>
      <w:r>
        <w:rPr>
          <w:rFonts w:hint="eastAsia" w:cs="仿宋_GB2312" w:asciiTheme="minorEastAsia" w:hAnsiTheme="minorEastAsia" w:eastAsiaTheme="minorEastAsia"/>
          <w:color w:val="auto"/>
          <w:sz w:val="24"/>
        </w:rPr>
        <w:t>项目采购活动提供本单位制造的货物（由本单位承担工程/提供服务），或者提供其他残疾人福利性单位制造的货物（不包括使用非残疾人福利性单位注册商标的货物）。</w:t>
      </w:r>
    </w:p>
    <w:p w14:paraId="198DAA4D">
      <w:pPr>
        <w:spacing w:line="360" w:lineRule="auto"/>
        <w:ind w:firstLine="480" w:firstLineChars="200"/>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本单位对上述声明的真实性负责。如有虚假，将依法承担相应责任。</w:t>
      </w:r>
    </w:p>
    <w:p w14:paraId="6BAE7775">
      <w:pPr>
        <w:spacing w:line="360" w:lineRule="auto"/>
        <w:ind w:firstLine="480" w:firstLineChars="200"/>
        <w:rPr>
          <w:rFonts w:cs="仿宋_GB2312" w:asciiTheme="minorEastAsia" w:hAnsiTheme="minorEastAsia" w:eastAsiaTheme="minorEastAsia"/>
          <w:color w:val="auto"/>
          <w:sz w:val="24"/>
        </w:rPr>
      </w:pPr>
    </w:p>
    <w:p w14:paraId="62A5BD14">
      <w:pPr>
        <w:spacing w:line="360" w:lineRule="auto"/>
        <w:ind w:firstLine="480" w:firstLineChars="200"/>
        <w:rPr>
          <w:rFonts w:cs="仿宋_GB2312" w:asciiTheme="minorEastAsia" w:hAnsiTheme="minorEastAsia" w:eastAsiaTheme="minorEastAsia"/>
          <w:color w:val="auto"/>
          <w:sz w:val="24"/>
        </w:rPr>
      </w:pPr>
    </w:p>
    <w:p w14:paraId="4D9FE36D">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单位名称（</w:t>
      </w:r>
      <w:r>
        <w:rPr>
          <w:rFonts w:hint="eastAsia" w:cs="仿宋_GB2312" w:asciiTheme="minorEastAsia" w:hAnsiTheme="minorEastAsia" w:eastAsiaTheme="minorEastAsia"/>
          <w:color w:val="auto"/>
          <w:kern w:val="0"/>
          <w:sz w:val="24"/>
        </w:rPr>
        <w:t>电子签名</w:t>
      </w:r>
      <w:r>
        <w:rPr>
          <w:rFonts w:hint="eastAsia" w:cs="仿宋_GB2312" w:asciiTheme="minorEastAsia" w:hAnsiTheme="minorEastAsia" w:eastAsiaTheme="minorEastAsia"/>
          <w:color w:val="auto"/>
          <w:sz w:val="24"/>
        </w:rPr>
        <w:t>）：</w:t>
      </w:r>
    </w:p>
    <w:p w14:paraId="2E811808">
      <w:pPr>
        <w:tabs>
          <w:tab w:val="left" w:pos="4860"/>
        </w:tabs>
        <w:spacing w:line="360" w:lineRule="auto"/>
        <w:ind w:right="1560" w:firstLine="480" w:firstLineChars="200"/>
        <w:jc w:val="center"/>
        <w:rPr>
          <w:rFonts w:cs="仿宋_GB2312" w:asciiTheme="minorEastAsia" w:hAnsiTheme="minorEastAsia" w:eastAsiaTheme="minorEastAsia"/>
          <w:color w:val="auto"/>
          <w:sz w:val="24"/>
        </w:rPr>
      </w:pPr>
      <w:r>
        <w:rPr>
          <w:rFonts w:hint="eastAsia" w:cs="仿宋_GB2312" w:asciiTheme="minorEastAsia" w:hAnsiTheme="minorEastAsia" w:eastAsiaTheme="minorEastAsia"/>
          <w:color w:val="auto"/>
          <w:sz w:val="24"/>
        </w:rPr>
        <w:t xml:space="preserve">       日  期：</w:t>
      </w:r>
    </w:p>
    <w:p w14:paraId="3EEBA7E3">
      <w:pPr>
        <w:spacing w:line="360" w:lineRule="auto"/>
        <w:ind w:firstLine="480" w:firstLineChars="200"/>
        <w:rPr>
          <w:rFonts w:cs="仿宋_GB2312" w:asciiTheme="minorEastAsia" w:hAnsiTheme="minorEastAsia" w:eastAsiaTheme="minorEastAsia"/>
          <w:color w:val="auto"/>
          <w:sz w:val="24"/>
        </w:rPr>
      </w:pPr>
    </w:p>
    <w:p w14:paraId="13A99156">
      <w:pPr>
        <w:widowControl/>
        <w:adjustRightInd/>
        <w:jc w:val="left"/>
        <w:rPr>
          <w:rFonts w:cs="仿宋_GB2312" w:asciiTheme="minorEastAsia" w:hAnsiTheme="minorEastAsia" w:eastAsiaTheme="minorEastAsia"/>
          <w:b/>
          <w:color w:val="auto"/>
          <w:sz w:val="32"/>
          <w:szCs w:val="32"/>
        </w:rPr>
      </w:pPr>
      <w:r>
        <w:rPr>
          <w:rFonts w:cs="仿宋_GB2312" w:asciiTheme="minorEastAsia" w:hAnsiTheme="minorEastAsia" w:eastAsiaTheme="minorEastAsia"/>
          <w:b/>
          <w:color w:val="auto"/>
          <w:sz w:val="32"/>
          <w:szCs w:val="32"/>
        </w:rPr>
        <w:br w:type="page"/>
      </w:r>
    </w:p>
    <w:p w14:paraId="64FBA2A0">
      <w:pPr>
        <w:autoSpaceDE w:val="0"/>
        <w:autoSpaceDN w:val="0"/>
        <w:jc w:val="left"/>
        <w:rPr>
          <w:rFonts w:cs="仿宋_GB2312" w:asciiTheme="minorEastAsia" w:hAnsiTheme="minorEastAsia" w:eastAsiaTheme="minorEastAsia"/>
          <w:b/>
          <w:color w:val="auto"/>
          <w:sz w:val="32"/>
          <w:szCs w:val="32"/>
        </w:rPr>
      </w:pPr>
      <w:r>
        <w:rPr>
          <w:rFonts w:hint="eastAsia" w:cs="仿宋_GB2312" w:asciiTheme="minorEastAsia" w:hAnsiTheme="minorEastAsia" w:eastAsiaTheme="minorEastAsia"/>
          <w:b/>
          <w:color w:val="auto"/>
          <w:sz w:val="32"/>
          <w:szCs w:val="32"/>
        </w:rPr>
        <w:t>附件：</w:t>
      </w:r>
    </w:p>
    <w:p w14:paraId="10DDF960">
      <w:pPr>
        <w:spacing w:line="360" w:lineRule="auto"/>
        <w:jc w:val="center"/>
        <w:rPr>
          <w:rFonts w:cs="宋体" w:asciiTheme="minorEastAsia" w:hAnsiTheme="minorEastAsia" w:eastAsiaTheme="minorEastAsia"/>
          <w:b/>
          <w:color w:val="auto"/>
          <w:sz w:val="32"/>
          <w:szCs w:val="32"/>
        </w:rPr>
      </w:pPr>
    </w:p>
    <w:p w14:paraId="410C4966">
      <w:pPr>
        <w:adjustRightInd/>
        <w:spacing w:line="360" w:lineRule="auto"/>
        <w:jc w:val="center"/>
        <w:outlineLvl w:val="0"/>
        <w:rPr>
          <w:rFonts w:cs="仿宋_GB2312" w:asciiTheme="minorEastAsia" w:hAnsiTheme="minorEastAsia" w:eastAsiaTheme="minorEastAsia"/>
          <w:b/>
          <w:color w:val="auto"/>
          <w:sz w:val="36"/>
          <w:szCs w:val="36"/>
        </w:rPr>
      </w:pPr>
      <w:r>
        <w:rPr>
          <w:rFonts w:hint="eastAsia" w:cs="仿宋_GB2312" w:asciiTheme="minorEastAsia" w:hAnsiTheme="minorEastAsia" w:eastAsiaTheme="minorEastAsia"/>
          <w:b/>
          <w:color w:val="auto"/>
          <w:sz w:val="36"/>
          <w:szCs w:val="36"/>
        </w:rPr>
        <w:t>中小企业声明函（服务）</w:t>
      </w:r>
    </w:p>
    <w:p w14:paraId="5307A0A2">
      <w:pPr>
        <w:spacing w:line="360" w:lineRule="auto"/>
        <w:jc w:val="center"/>
        <w:rPr>
          <w:rFonts w:cs="宋体" w:asciiTheme="minorEastAsia" w:hAnsiTheme="minorEastAsia" w:eastAsiaTheme="minorEastAsia"/>
          <w:b/>
          <w:color w:val="auto"/>
          <w:sz w:val="32"/>
          <w:szCs w:val="32"/>
        </w:rPr>
      </w:pPr>
    </w:p>
    <w:p w14:paraId="42677013">
      <w:pPr>
        <w:spacing w:line="360" w:lineRule="auto"/>
        <w:ind w:firstLine="360" w:firstLineChars="15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color w:val="auto"/>
          <w:sz w:val="24"/>
          <w:u w:val="single"/>
        </w:rPr>
        <w:t xml:space="preserve">（采购人） </w:t>
      </w:r>
      <w:r>
        <w:rPr>
          <w:rFonts w:hint="eastAsia" w:cs="宋体" w:asciiTheme="minorEastAsia" w:hAnsiTheme="minorEastAsia" w:eastAsiaTheme="minorEastAsia"/>
          <w:color w:val="auto"/>
          <w:sz w:val="24"/>
        </w:rPr>
        <w:t>的</w:t>
      </w:r>
      <w:r>
        <w:rPr>
          <w:rFonts w:cs="宋体" w:asciiTheme="minorEastAsia" w:hAnsiTheme="minorEastAsia" w:eastAsiaTheme="minorEastAsia"/>
          <w:color w:val="auto"/>
          <w:sz w:val="24"/>
          <w:u w:val="single"/>
        </w:rPr>
        <w:t xml:space="preserve"> （项目</w:t>
      </w:r>
      <w:r>
        <w:rPr>
          <w:rFonts w:hint="eastAsia" w:cs="宋体" w:asciiTheme="minorEastAsia" w:hAnsiTheme="minorEastAsia" w:eastAsiaTheme="minorEastAsia"/>
          <w:color w:val="auto"/>
          <w:sz w:val="24"/>
          <w:u w:val="single"/>
        </w:rPr>
        <w:t xml:space="preserve">名称） </w:t>
      </w:r>
      <w:r>
        <w:rPr>
          <w:rFonts w:hint="eastAsia" w:cs="宋体" w:asciiTheme="minorEastAsia" w:hAnsiTheme="minorEastAsia" w:eastAsiaTheme="minorEastAsia"/>
          <w:color w:val="auto"/>
          <w:sz w:val="24"/>
        </w:rPr>
        <w:t>采购活动，</w:t>
      </w:r>
      <w:r>
        <w:rPr>
          <w:rFonts w:hint="eastAsia" w:cs="宋体" w:asciiTheme="minorEastAsia" w:hAnsiTheme="minorEastAsia" w:eastAsiaTheme="minorEastAsia"/>
          <w:b/>
          <w:bCs/>
          <w:color w:val="auto"/>
          <w:sz w:val="24"/>
        </w:rPr>
        <w:t>服务全部由符合政策要求的中小企业承接。</w:t>
      </w:r>
      <w:r>
        <w:rPr>
          <w:rFonts w:hint="eastAsia" w:cs="宋体" w:asciiTheme="minorEastAsia" w:hAnsiTheme="minorEastAsia" w:eastAsiaTheme="minorEastAsia"/>
          <w:color w:val="auto"/>
          <w:sz w:val="24"/>
        </w:rPr>
        <w:t>相关企业（含联合体中的中小企业、签订分包意向协议的中小企业）的具体情况如下：</w:t>
      </w:r>
    </w:p>
    <w:p w14:paraId="324F63E3">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w:t>
      </w:r>
      <w:r>
        <w:rPr>
          <w:rFonts w:hint="eastAsia" w:cs="宋体" w:asciiTheme="minorEastAsia" w:hAnsiTheme="minorEastAsia" w:eastAsiaTheme="minorEastAsia"/>
          <w:color w:val="auto"/>
        </w:rPr>
        <w:t xml:space="preserve"> </w:t>
      </w:r>
      <w:r>
        <w:rPr>
          <w:rFonts w:hint="eastAsia" w:cs="宋体" w:asciiTheme="minorEastAsia" w:hAnsiTheme="minorEastAsia" w:eastAsiaTheme="minorEastAsia"/>
          <w:color w:val="auto"/>
          <w:sz w:val="24"/>
          <w:u w:val="single"/>
        </w:rPr>
        <w:t>（标的名称）</w:t>
      </w:r>
      <w:r>
        <w:rPr>
          <w:rFonts w:hint="eastAsia" w:cs="宋体" w:asciiTheme="minorEastAsia" w:hAnsiTheme="minorEastAsia" w:eastAsiaTheme="minorEastAsia"/>
          <w:color w:val="auto"/>
          <w:sz w:val="24"/>
        </w:rPr>
        <w:t xml:space="preserve">，属于 </w:t>
      </w:r>
      <w:r>
        <w:rPr>
          <w:rFonts w:hint="eastAsia" w:cs="宋体" w:asciiTheme="minorEastAsia" w:hAnsiTheme="minorEastAsia" w:eastAsiaTheme="minorEastAsia"/>
          <w:color w:val="auto"/>
          <w:sz w:val="24"/>
          <w:u w:val="single"/>
        </w:rPr>
        <w:t>（采购文件中明确的所属行业）</w:t>
      </w:r>
      <w:r>
        <w:rPr>
          <w:rFonts w:hint="eastAsia" w:cs="宋体" w:asciiTheme="minorEastAsia" w:hAnsiTheme="minorEastAsia" w:eastAsiaTheme="minorEastAsia"/>
          <w:color w:val="auto"/>
          <w:sz w:val="24"/>
        </w:rPr>
        <w:t xml:space="preserve"> ；承建（承接）企业为 </w:t>
      </w:r>
      <w:r>
        <w:rPr>
          <w:rFonts w:hint="eastAsia" w:cs="宋体" w:asciiTheme="minorEastAsia" w:hAnsiTheme="minorEastAsia" w:eastAsiaTheme="minorEastAsia"/>
          <w:color w:val="auto"/>
          <w:sz w:val="24"/>
          <w:u w:val="single"/>
        </w:rPr>
        <w:t>（企业名称）</w:t>
      </w:r>
      <w:r>
        <w:rPr>
          <w:rFonts w:hint="eastAsia" w:cs="宋体" w:asciiTheme="minorEastAsia" w:hAnsiTheme="minorEastAsia" w:eastAsiaTheme="minorEastAsia"/>
          <w:color w:val="auto"/>
          <w:sz w:val="24"/>
        </w:rPr>
        <w:t xml:space="preserve"> ，从业人员</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人，营业收入为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万元，资产总额为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万元属于</w:t>
      </w:r>
      <w:r>
        <w:rPr>
          <w:rFonts w:hint="eastAsia" w:cs="宋体" w:asciiTheme="minorEastAsia" w:hAnsiTheme="minorEastAsia" w:eastAsiaTheme="minorEastAsia"/>
          <w:color w:val="auto"/>
          <w:sz w:val="24"/>
          <w:u w:val="single"/>
        </w:rPr>
        <w:t xml:space="preserve"> （中型企业、小型企业、微型企业） </w:t>
      </w:r>
      <w:r>
        <w:rPr>
          <w:rFonts w:hint="eastAsia" w:cs="宋体" w:asciiTheme="minorEastAsia" w:hAnsiTheme="minorEastAsia" w:eastAsiaTheme="minorEastAsia"/>
          <w:color w:val="auto"/>
          <w:sz w:val="24"/>
        </w:rPr>
        <w:t>；</w:t>
      </w:r>
    </w:p>
    <w:p w14:paraId="78C3F759">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w:t>
      </w:r>
      <w:r>
        <w:rPr>
          <w:rFonts w:hint="eastAsia" w:cs="宋体" w:asciiTheme="minorEastAsia" w:hAnsiTheme="minorEastAsia" w:eastAsiaTheme="minorEastAsia"/>
          <w:color w:val="auto"/>
        </w:rPr>
        <w:t xml:space="preserve"> </w:t>
      </w:r>
      <w:r>
        <w:rPr>
          <w:rFonts w:hint="eastAsia" w:cs="宋体" w:asciiTheme="minorEastAsia" w:hAnsiTheme="minorEastAsia" w:eastAsiaTheme="minorEastAsia"/>
          <w:color w:val="auto"/>
          <w:sz w:val="24"/>
          <w:u w:val="single"/>
        </w:rPr>
        <w:t>（标的名称）</w:t>
      </w:r>
      <w:r>
        <w:rPr>
          <w:rFonts w:hint="eastAsia" w:cs="宋体" w:asciiTheme="minorEastAsia" w:hAnsiTheme="minorEastAsia" w:eastAsiaTheme="minorEastAsia"/>
          <w:color w:val="auto"/>
          <w:sz w:val="24"/>
        </w:rPr>
        <w:t xml:space="preserve">，属于 </w:t>
      </w:r>
      <w:r>
        <w:rPr>
          <w:rFonts w:hint="eastAsia" w:cs="宋体" w:asciiTheme="minorEastAsia" w:hAnsiTheme="minorEastAsia" w:eastAsiaTheme="minorEastAsia"/>
          <w:color w:val="auto"/>
          <w:sz w:val="24"/>
          <w:u w:val="single"/>
        </w:rPr>
        <w:t>（采购文件中明确的所属行业）</w:t>
      </w:r>
      <w:r>
        <w:rPr>
          <w:rFonts w:hint="eastAsia" w:cs="宋体" w:asciiTheme="minorEastAsia" w:hAnsiTheme="minorEastAsia" w:eastAsiaTheme="minorEastAsia"/>
          <w:color w:val="auto"/>
          <w:sz w:val="24"/>
        </w:rPr>
        <w:t xml:space="preserve"> ；承建（承接）企业为 </w:t>
      </w:r>
      <w:r>
        <w:rPr>
          <w:rFonts w:hint="eastAsia" w:cs="宋体" w:asciiTheme="minorEastAsia" w:hAnsiTheme="minorEastAsia" w:eastAsiaTheme="minorEastAsia"/>
          <w:color w:val="auto"/>
          <w:sz w:val="24"/>
          <w:u w:val="single"/>
        </w:rPr>
        <w:t>（企业名称）</w:t>
      </w:r>
      <w:r>
        <w:rPr>
          <w:rFonts w:hint="eastAsia" w:cs="宋体" w:asciiTheme="minorEastAsia" w:hAnsiTheme="minorEastAsia" w:eastAsiaTheme="minorEastAsia"/>
          <w:color w:val="auto"/>
          <w:sz w:val="24"/>
        </w:rPr>
        <w:t xml:space="preserve"> ，从业人员</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人，营业收入为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万元，资产总额为</w:t>
      </w:r>
      <w:r>
        <w:rPr>
          <w:rFonts w:hint="eastAsia" w:cs="宋体" w:asciiTheme="minorEastAsia" w:hAnsiTheme="minorEastAsia" w:eastAsiaTheme="minorEastAsia"/>
          <w:color w:val="auto"/>
          <w:sz w:val="24"/>
          <w:u w:val="single"/>
        </w:rPr>
        <w:t xml:space="preserve">   </w:t>
      </w:r>
      <w:r>
        <w:rPr>
          <w:rFonts w:hint="eastAsia" w:cs="宋体" w:asciiTheme="minorEastAsia" w:hAnsiTheme="minorEastAsia" w:eastAsiaTheme="minorEastAsia"/>
          <w:color w:val="auto"/>
          <w:sz w:val="24"/>
        </w:rPr>
        <w:t>万元属于</w:t>
      </w:r>
      <w:r>
        <w:rPr>
          <w:rFonts w:hint="eastAsia" w:cs="宋体" w:asciiTheme="minorEastAsia" w:hAnsiTheme="minorEastAsia" w:eastAsiaTheme="minorEastAsia"/>
          <w:color w:val="auto"/>
          <w:sz w:val="24"/>
          <w:u w:val="single"/>
        </w:rPr>
        <w:t xml:space="preserve"> （中型企业、小型企业、微型企业） </w:t>
      </w:r>
      <w:r>
        <w:rPr>
          <w:rFonts w:hint="eastAsia" w:cs="宋体" w:asciiTheme="minorEastAsia" w:hAnsiTheme="minorEastAsia" w:eastAsiaTheme="minorEastAsia"/>
          <w:color w:val="auto"/>
          <w:sz w:val="24"/>
        </w:rPr>
        <w:t>；</w:t>
      </w:r>
    </w:p>
    <w:p w14:paraId="468F7B64">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w:t>
      </w:r>
    </w:p>
    <w:p w14:paraId="2B9ED74C">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以上企业，不属于大企业的分支机构，不存在控股股东为大企业的情形，也不存在与大企业的负责人为同一人的情形。</w:t>
      </w:r>
    </w:p>
    <w:p w14:paraId="61B343F0">
      <w:pPr>
        <w:spacing w:line="360" w:lineRule="auto"/>
        <w:ind w:firstLine="480" w:firstLineChars="200"/>
        <w:jc w:val="lef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本企业对上述声明内容的真实性负责。如有虚假，将依法承担相应责任。</w:t>
      </w:r>
    </w:p>
    <w:p w14:paraId="0766F9B3">
      <w:pPr>
        <w:spacing w:line="360" w:lineRule="auto"/>
        <w:ind w:right="1760"/>
        <w:jc w:val="right"/>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供应商名称（电子签名）：</w:t>
      </w:r>
    </w:p>
    <w:p w14:paraId="2F608B94">
      <w:pPr>
        <w:spacing w:line="360" w:lineRule="auto"/>
        <w:ind w:right="1120" w:firstLine="4680" w:firstLineChars="195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日 期：</w:t>
      </w:r>
    </w:p>
    <w:p w14:paraId="7AA4AEC9">
      <w:pPr>
        <w:spacing w:line="360" w:lineRule="auto"/>
        <w:ind w:firstLine="310" w:firstLineChars="147"/>
        <w:jc w:val="left"/>
        <w:rPr>
          <w:rFonts w:cs="宋体" w:asciiTheme="minorEastAsia" w:hAnsiTheme="minorEastAsia" w:eastAsiaTheme="minorEastAsia"/>
          <w:b/>
          <w:color w:val="auto"/>
          <w:szCs w:val="21"/>
        </w:rPr>
      </w:pPr>
      <w:r>
        <w:rPr>
          <w:rFonts w:hint="eastAsia" w:cs="宋体" w:asciiTheme="minorEastAsia" w:hAnsiTheme="minorEastAsia" w:eastAsiaTheme="minorEastAsia"/>
          <w:b/>
          <w:color w:val="auto"/>
          <w:szCs w:val="21"/>
        </w:rPr>
        <w:t>从业人员、营业收入、资产总额填报上一年度数据，无上一年度数据的新成立企业可不填报。</w:t>
      </w:r>
    </w:p>
    <w:p w14:paraId="7A866785">
      <w:pPr>
        <w:spacing w:line="360" w:lineRule="auto"/>
        <w:ind w:right="420"/>
        <w:rPr>
          <w:rFonts w:cs="宋体" w:asciiTheme="minorEastAsia" w:hAnsiTheme="minorEastAsia" w:eastAsiaTheme="minorEastAsia"/>
          <w:color w:val="auto"/>
          <w:sz w:val="24"/>
        </w:rPr>
      </w:pPr>
    </w:p>
    <w:p w14:paraId="6E72F68D">
      <w:pPr>
        <w:spacing w:line="360" w:lineRule="auto"/>
        <w:ind w:right="42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 xml:space="preserve">   注：</w:t>
      </w:r>
    </w:p>
    <w:p w14:paraId="4F3AD939">
      <w:pPr>
        <w:spacing w:line="360" w:lineRule="auto"/>
        <w:ind w:right="420" w:firstLine="480" w:firstLineChars="2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1、填写要求：①“标的名称”、“采购文件中明确的所属行业”依据磋商文件第三部分供应商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声明内容不实的，属于提供虚假材料谋取中标、成交的，依法承担法律责任。</w:t>
      </w:r>
    </w:p>
    <w:p w14:paraId="5A90A04E">
      <w:pPr>
        <w:spacing w:line="360" w:lineRule="auto"/>
        <w:ind w:right="420" w:firstLine="720" w:firstLineChars="300"/>
        <w:rPr>
          <w:rFonts w:cs="宋体" w:asciiTheme="minorEastAsia" w:hAnsiTheme="minorEastAsia" w:eastAsiaTheme="minorEastAsia"/>
          <w:color w:val="auto"/>
          <w:sz w:val="24"/>
        </w:rPr>
      </w:pPr>
      <w:r>
        <w:rPr>
          <w:rFonts w:hint="eastAsia" w:cs="宋体" w:asciiTheme="minorEastAsia" w:hAnsiTheme="minorEastAsia" w:eastAsiaTheme="minorEastAsia"/>
          <w:color w:val="auto"/>
          <w:sz w:val="24"/>
        </w:rPr>
        <w:t>2、符合《关于促进残疾人就业政府采购政策的通知》（财库〔2017〕141号）规定的条件并提供《残疾人福利性单位声明函》（附件3）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p>
    <w:p w14:paraId="26A6266F">
      <w:pPr>
        <w:spacing w:line="360" w:lineRule="auto"/>
        <w:rPr>
          <w:rFonts w:cs="仿宋_GB2312" w:asciiTheme="minorEastAsia" w:hAnsiTheme="minorEastAsia" w:eastAsiaTheme="minorEastAsia"/>
          <w:b/>
          <w:color w:val="auto"/>
          <w:sz w:val="24"/>
        </w:rPr>
      </w:pPr>
    </w:p>
    <w:p w14:paraId="23CEC1DC">
      <w:pPr>
        <w:spacing w:line="360" w:lineRule="auto"/>
        <w:ind w:firstLine="482" w:firstLineChars="200"/>
        <w:rPr>
          <w:rFonts w:cs="仿宋_GB2312" w:asciiTheme="minorEastAsia" w:hAnsiTheme="minorEastAsia" w:eastAsiaTheme="minorEastAsia"/>
          <w:b/>
          <w:sz w:val="24"/>
        </w:rPr>
      </w:pPr>
    </w:p>
    <w:sectPr>
      <w:pgSz w:w="11906" w:h="16838"/>
      <w:pgMar w:top="1247" w:right="1417" w:bottom="1276" w:left="1417" w:header="851" w:footer="992" w:gutter="0"/>
      <w:pgBorders>
        <w:top w:val="none" w:sz="0" w:space="0"/>
        <w:left w:val="none" w:sz="0" w:space="0"/>
        <w:bottom w:val="none" w:sz="0" w:space="0"/>
        <w:right w:val="none" w:sz="0" w:space="0"/>
      </w:pgBorders>
      <w:cols w:space="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10006FF" w:usb1="4000205B" w:usb2="00000010" w:usb3="00000000" w:csb0="2000019F" w:csb1="00000000"/>
  </w:font>
  <w:font w:name="FHLHE E+ Futura Bk">
    <w:altName w:val="宋体"/>
    <w:panose1 w:val="00000000000000000000"/>
    <w:charset w:val="86"/>
    <w:family w:val="swiss"/>
    <w:pitch w:val="default"/>
    <w:sig w:usb0="00000000" w:usb1="00000000" w:usb2="00000010" w:usb3="00000000" w:csb0="00040000" w:csb1="00000000"/>
  </w:font>
  <w:font w:name="新宋体">
    <w:panose1 w:val="02010609030101010101"/>
    <w:charset w:val="86"/>
    <w:family w:val="modern"/>
    <w:pitch w:val="default"/>
    <w:sig w:usb0="00000003" w:usb1="288F0000" w:usb2="00000006" w:usb3="00000000" w:csb0="00040001" w:csb1="00000000"/>
  </w:font>
  <w:font w:name="Helvetica">
    <w:altName w:val="Arial"/>
    <w:panose1 w:val="020B0604020202020204"/>
    <w:charset w:val="00"/>
    <w:family w:val="swiss"/>
    <w:pitch w:val="default"/>
    <w:sig w:usb0="00000000" w:usb1="00000000" w:usb2="00000000" w:usb3="00000000" w:csb0="00000001" w:csb1="00000000"/>
  </w:font>
  <w:font w:name="Arial Narrow">
    <w:panose1 w:val="020B0606020202030204"/>
    <w:charset w:val="00"/>
    <w:family w:val="swiss"/>
    <w:pitch w:val="default"/>
    <w:sig w:usb0="00000287" w:usb1="00000800" w:usb2="00000000" w:usb3="00000000" w:csb0="2000009F" w:csb1="DFD70000"/>
  </w:font>
  <w:font w:name="Lucida Sans">
    <w:panose1 w:val="020B0602030504020204"/>
    <w:charset w:val="00"/>
    <w:family w:val="swiss"/>
    <w:pitch w:val="default"/>
    <w:sig w:usb0="00000003" w:usb1="00000000" w:usb2="00000000" w:usb3="00000000" w:csb0="2000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楷体">
    <w:panose1 w:val="02010609060101010101"/>
    <w:charset w:val="86"/>
    <w:family w:val="modern"/>
    <w:pitch w:val="default"/>
    <w:sig w:usb0="800002BF" w:usb1="38CF7CFA" w:usb2="00000016" w:usb3="00000000" w:csb0="0004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Arial Unicode MS">
    <w:panose1 w:val="020B0604020202020204"/>
    <w:charset w:val="86"/>
    <w:family w:val="swiss"/>
    <w:pitch w:val="default"/>
    <w:sig w:usb0="FFFFFFFF" w:usb1="E9FFFFFF" w:usb2="0000003F" w:usb3="00000000" w:csb0="603F01FF" w:csb1="FFFF0000"/>
  </w:font>
  <w:font w:name="幼圆">
    <w:panose1 w:val="02010509060101010101"/>
    <w:charset w:val="86"/>
    <w:family w:val="modern"/>
    <w:pitch w:val="default"/>
    <w:sig w:usb0="00000001" w:usb1="080E0000" w:usb2="00000000" w:usb3="00000000" w:csb0="00040000" w:csb1="00000000"/>
  </w:font>
  <w:font w:name="Aldine401 BT">
    <w:altName w:val="Segoe Print"/>
    <w:panose1 w:val="00000000000000000000"/>
    <w:charset w:val="00"/>
    <w:family w:val="roman"/>
    <w:pitch w:val="default"/>
    <w:sig w:usb0="00000000" w:usb1="00000000" w:usb2="00000000" w:usb3="00000000" w:csb0="00000011" w:csb1="00000000"/>
  </w:font>
  <w:font w:name="Century Gothic">
    <w:panose1 w:val="020B0502020202020204"/>
    <w:charset w:val="00"/>
    <w:family w:val="swiss"/>
    <w:pitch w:val="default"/>
    <w:sig w:usb0="00000287" w:usb1="00000000" w:usb2="00000000" w:usb3="00000000" w:csb0="2000009F" w:csb1="DFD70000"/>
  </w:font>
  <w:font w:name="ˎ̥">
    <w:altName w:val="微软雅黑"/>
    <w:panose1 w:val="00000000000000000000"/>
    <w:charset w:val="00"/>
    <w:family w:val="roman"/>
    <w:pitch w:val="default"/>
    <w:sig w:usb0="00000000" w:usb1="00000000" w:usb2="00000000" w:usb3="00000000" w:csb0="00040001" w:csb1="0000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06F" w:usb1="1200FBEF" w:usb2="0064C000" w:usb3="00000002" w:csb0="00000001" w:csb1="40000000"/>
  </w:font>
  <w:font w:name="华文中宋">
    <w:panose1 w:val="02010600040101010101"/>
    <w:charset w:val="86"/>
    <w:family w:val="auto"/>
    <w:pitch w:val="default"/>
    <w:sig w:usb0="00000287" w:usb1="080F0000" w:usb2="00000000" w:usb3="00000000" w:csb0="0004009F" w:csb1="DFD7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roman"/>
    <w:pitch w:val="default"/>
    <w:sig w:usb0="E00002FF" w:usb1="6AC7FDFB"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42F3F4">
    <w:pPr>
      <w:pStyle w:val="37"/>
      <w:ind w:right="720" w:firstLine="210" w:firstLineChars="100"/>
      <w:jc w:val="center"/>
    </w:pPr>
    <w:r>
      <w:rPr>
        <w:rFonts w:hint="eastAsia"/>
        <w:sz w:val="21"/>
        <w:szCs w:val="21"/>
      </w:rPr>
      <w:t>第</w:t>
    </w:r>
    <w:r>
      <w:rPr>
        <w:sz w:val="21"/>
        <w:szCs w:val="21"/>
      </w:rPr>
      <w:fldChar w:fldCharType="begin"/>
    </w:r>
    <w:r>
      <w:rPr>
        <w:sz w:val="21"/>
        <w:szCs w:val="21"/>
      </w:rPr>
      <w:instrText xml:space="preserve"> PAGE </w:instrText>
    </w:r>
    <w:r>
      <w:rPr>
        <w:sz w:val="21"/>
        <w:szCs w:val="21"/>
      </w:rPr>
      <w:fldChar w:fldCharType="separate"/>
    </w:r>
    <w:r>
      <w:rPr>
        <w:sz w:val="21"/>
        <w:szCs w:val="21"/>
      </w:rPr>
      <w:t>4</w:t>
    </w:r>
    <w:r>
      <w:rPr>
        <w:sz w:val="21"/>
        <w:szCs w:val="21"/>
      </w:rPr>
      <w:fldChar w:fldCharType="end"/>
    </w:r>
    <w:r>
      <w:rPr>
        <w:rFonts w:hint="eastAsia"/>
        <w:sz w:val="21"/>
        <w:szCs w:val="21"/>
      </w:rPr>
      <w:t>页共</w:t>
    </w:r>
    <w:r>
      <w:rPr>
        <w:sz w:val="21"/>
        <w:szCs w:val="21"/>
      </w:rPr>
      <w:fldChar w:fldCharType="begin"/>
    </w:r>
    <w:r>
      <w:rPr>
        <w:sz w:val="21"/>
        <w:szCs w:val="21"/>
      </w:rPr>
      <w:instrText xml:space="preserve"> NUMPAGES </w:instrText>
    </w:r>
    <w:r>
      <w:rPr>
        <w:sz w:val="21"/>
        <w:szCs w:val="21"/>
      </w:rPr>
      <w:fldChar w:fldCharType="separate"/>
    </w:r>
    <w:r>
      <w:rPr>
        <w:sz w:val="21"/>
        <w:szCs w:val="21"/>
      </w:rPr>
      <w:t>64</w:t>
    </w:r>
    <w:r>
      <w:rPr>
        <w:sz w:val="21"/>
        <w:szCs w:val="21"/>
      </w:rPr>
      <w:fldChar w:fldCharType="end"/>
    </w:r>
    <w:r>
      <w:rPr>
        <w:rFonts w:hint="eastAsia"/>
        <w:sz w:val="21"/>
        <w:szCs w:val="21"/>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7DA6B2">
    <w:pPr>
      <w:pStyle w:val="37"/>
    </w:pPr>
    <w: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a:effectLst/>
                    </wps:spPr>
                    <wps:txbx>
                      <w:txbxContent>
                        <w:p w14:paraId="680E6525">
                          <w:pPr>
                            <w:pStyle w:val="37"/>
                          </w:pPr>
                          <w:r>
                            <w:fldChar w:fldCharType="begin"/>
                          </w:r>
                          <w:r>
                            <w:instrText xml:space="preserve"> PAGE  \* MERGEFORMAT </w:instrText>
                          </w:r>
                          <w:r>
                            <w:fldChar w:fldCharType="separate"/>
                          </w:r>
                          <w:r>
                            <w:t>11</w:t>
                          </w:r>
                          <w:r>
                            <w:fldChar w:fldCharType="end"/>
                          </w:r>
                        </w:p>
                      </w:txbxContent>
                    </wps:txbx>
                    <wps:bodyPr vert="horz" wrap="none" lIns="0" tIns="0" rIns="0" bIns="0" anchor="t" anchorCtr="0" upright="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">
              <v:fill on="f" focussize="0,0"/>
              <v:stroke on="f" weight="1.25pt"/>
              <v:imagedata o:title=""/>
              <o:lock v:ext="edit" aspectratio="f"/>
              <v:textbox inset="0mm,0mm,0mm,0mm" style="mso-fit-shape-to-text:t;">
                <w:txbxContent>
                  <w:p w14:paraId="680E6525">
                    <w:pPr>
                      <w:pStyle w:val="37"/>
                    </w:pPr>
                    <w:r>
                      <w:fldChar w:fldCharType="begin"/>
                    </w:r>
                    <w:r>
                      <w:instrText xml:space="preserve"> PAGE  \* MERGEFORMAT </w:instrText>
                    </w:r>
                    <w:r>
                      <w:fldChar w:fldCharType="separate"/>
                    </w:r>
                    <w:r>
                      <w:t>11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B09D0">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7052D7">
    <w:pPr>
      <w:pStyle w:val="37"/>
      <w:framePr w:wrap="around" w:vAnchor="text" w:hAnchor="margin" w:xAlign="right" w:y="1"/>
      <w:rPr>
        <w:rStyle w:val="64"/>
      </w:rPr>
    </w:pPr>
    <w:r>
      <w:fldChar w:fldCharType="begin"/>
    </w:r>
    <w:r>
      <w:rPr>
        <w:rStyle w:val="64"/>
      </w:rPr>
      <w:instrText xml:space="preserve">PAGE  </w:instrText>
    </w:r>
    <w:r>
      <w:fldChar w:fldCharType="end"/>
    </w:r>
  </w:p>
  <w:p w14:paraId="059BC5EF">
    <w:pPr>
      <w:pStyle w:val="37"/>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D00093">
    <w:pPr>
      <w:pStyle w:val="3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B53748">
    <w:pPr>
      <w:pStyle w:val="37"/>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7CE7B0">
    <w:pPr>
      <w:pStyle w:val="37"/>
      <w:framePr w:wrap="around" w:vAnchor="text" w:hAnchor="margin" w:xAlign="right" w:y="1"/>
      <w:rPr>
        <w:rStyle w:val="64"/>
      </w:rPr>
    </w:pPr>
    <w:r>
      <w:fldChar w:fldCharType="begin"/>
    </w:r>
    <w:r>
      <w:rPr>
        <w:rStyle w:val="64"/>
      </w:rPr>
      <w:instrText xml:space="preserve">PAGE  </w:instrText>
    </w:r>
    <w:r>
      <w:fldChar w:fldCharType="end"/>
    </w:r>
  </w:p>
  <w:p w14:paraId="394027B5">
    <w:pPr>
      <w:pStyle w:val="37"/>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4D2CE6">
    <w:pPr>
      <w:pStyle w:val="37"/>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82</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bookmarkStart w:id="174" w:name="_Toc36110187"/>
    <w:bookmarkStart w:id="175" w:name="_Toc91899912"/>
    <w:bookmarkStart w:id="176" w:name="_Toc131845147"/>
    <w:bookmarkStart w:id="177" w:name="_Toc164085800"/>
    <w:r>
      <w:rPr>
        <w:rFonts w:hint="eastAsia" w:ascii="仿宋_GB2312" w:eastAsia="仿宋_GB2312"/>
        <w:kern w:val="0"/>
        <w:szCs w:val="21"/>
      </w:rPr>
      <w:t xml:space="preserve"> 页</w:t>
    </w:r>
    <w:bookmarkEnd w:id="174"/>
    <w:bookmarkEnd w:id="175"/>
    <w:bookmarkEnd w:id="176"/>
    <w:bookmarkEnd w:id="177"/>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C05C22">
    <w:pPr>
      <w:pStyle w:val="56"/>
      <w:ind w:firstLine="180" w:firstLineChars="100"/>
      <w:jc w:val="both"/>
      <w:rPr>
        <w:rFonts w:ascii="仿宋_GB2312" w:eastAsia="仿宋_GB2312"/>
        <w:b w:val="0"/>
        <w:i/>
        <w:sz w:val="18"/>
        <w:u w:val="single"/>
      </w:rPr>
    </w:pPr>
    <w:r>
      <w:rPr>
        <w:rFonts w:hint="eastAsia" w:eastAsia="仿宋_GB2312"/>
        <w:b w:val="0"/>
        <w:i/>
        <w:sz w:val="18"/>
        <w:u w:val="single"/>
      </w:rPr>
      <w:t xml:space="preserve">                                                                      竞争性磋商文件</w:t>
    </w:r>
    <w:r>
      <w:rPr>
        <w:rFonts w:hint="eastAsia"/>
        <w:b w:val="0"/>
        <w:sz w:val="18"/>
        <w:u w:val="single"/>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1D0B4C">
    <w:pPr>
      <w:pStyle w:val="38"/>
      <w:jc w:val="right"/>
      <w:rPr>
        <w:rFonts w:eastAsia="仿宋_GB2312"/>
      </w:rPr>
    </w:pPr>
    <w:r>
      <w:rPr>
        <w:rFonts w:hint="eastAsia" w:eastAsia="仿宋_GB2312"/>
        <w:i/>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E78C0F">
    <w:pPr>
      <w:pStyle w:val="38"/>
      <w:jc w:val="right"/>
      <w:rPr>
        <w:rFonts w:eastAsia="仿宋_GB2312"/>
      </w:rPr>
    </w:pPr>
    <w:r>
      <w:rPr>
        <w:rFonts w:hint="eastAsia" w:eastAsia="仿宋_GB2312"/>
        <w:i/>
        <w:iCs/>
      </w:rPr>
      <w:t>竞争性磋商文件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9CF479">
    <w:pPr>
      <w:pStyle w:val="38"/>
      <w:jc w:val="right"/>
      <w:rPr>
        <w:rFonts w:eastAsia="仿宋_GB2312"/>
      </w:rPr>
    </w:pPr>
    <w:r>
      <w:rPr>
        <w:rFonts w:hint="eastAsia" w:eastAsia="仿宋_GB2312"/>
        <w:i/>
        <w:iCs/>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FFFFF81"/>
    <w:multiLevelType w:val="singleLevel"/>
    <w:tmpl w:val="FFFFFF81"/>
    <w:lvl w:ilvl="0" w:tentative="0">
      <w:start w:val="1"/>
      <w:numFmt w:val="bullet"/>
      <w:pStyle w:val="13"/>
      <w:lvlText w:val=""/>
      <w:lvlJc w:val="left"/>
      <w:pPr>
        <w:tabs>
          <w:tab w:val="left" w:pos="1440"/>
        </w:tabs>
        <w:ind w:left="1440" w:hanging="360"/>
      </w:pPr>
      <w:rPr>
        <w:rFonts w:hint="default" w:ascii="Symbol" w:hAnsi="Symbol" w:eastAsia="Symbol"/>
      </w:rPr>
    </w:lvl>
  </w:abstractNum>
  <w:abstractNum w:abstractNumId="1">
    <w:nsid w:val="00000007"/>
    <w:multiLevelType w:val="multilevel"/>
    <w:tmpl w:val="00000007"/>
    <w:lvl w:ilvl="0" w:tentative="0">
      <w:start w:val="1"/>
      <w:numFmt w:val="bullet"/>
      <w:pStyle w:val="100"/>
      <w:lvlText w:val=""/>
      <w:lvlJc w:val="left"/>
      <w:pPr>
        <w:tabs>
          <w:tab w:val="left" w:pos="840"/>
        </w:tabs>
        <w:ind w:left="840" w:hanging="420"/>
      </w:pPr>
      <w:rPr>
        <w:rFonts w:hint="default" w:ascii="Wingdings" w:hAnsi="Wingdings"/>
      </w:rPr>
    </w:lvl>
    <w:lvl w:ilvl="1" w:tentative="0">
      <w:start w:val="1"/>
      <w:numFmt w:val="bullet"/>
      <w:pStyle w:val="83"/>
      <w:lvlText w:val=""/>
      <w:lvlJc w:val="left"/>
      <w:pPr>
        <w:tabs>
          <w:tab w:val="left" w:pos="1260"/>
        </w:tabs>
        <w:ind w:left="1260" w:hanging="420"/>
      </w:pPr>
      <w:rPr>
        <w:rFonts w:hint="default" w:ascii="Wingdings" w:hAnsi="Wingdings"/>
      </w:rPr>
    </w:lvl>
    <w:lvl w:ilvl="2" w:tentative="0">
      <w:start w:val="1"/>
      <w:numFmt w:val="bullet"/>
      <w:pStyle w:val="339"/>
      <w:lvlText w:val=""/>
      <w:lvlJc w:val="left"/>
      <w:pPr>
        <w:tabs>
          <w:tab w:val="left" w:pos="1680"/>
        </w:tabs>
        <w:ind w:left="1680" w:hanging="420"/>
      </w:pPr>
      <w:rPr>
        <w:rFonts w:hint="default" w:ascii="Wingdings" w:hAnsi="Wingdings"/>
      </w:rPr>
    </w:lvl>
    <w:lvl w:ilvl="3" w:tentative="0">
      <w:start w:val="1"/>
      <w:numFmt w:val="bullet"/>
      <w:pStyle w:val="172"/>
      <w:lvlText w:val=""/>
      <w:lvlJc w:val="left"/>
      <w:pPr>
        <w:tabs>
          <w:tab w:val="left" w:pos="2100"/>
        </w:tabs>
        <w:ind w:left="2100" w:hanging="420"/>
      </w:pPr>
      <w:rPr>
        <w:rFonts w:hint="default" w:ascii="Wingdings" w:hAnsi="Wingdings"/>
      </w:rPr>
    </w:lvl>
    <w:lvl w:ilvl="4" w:tentative="0">
      <w:start w:val="1"/>
      <w:numFmt w:val="bullet"/>
      <w:pStyle w:val="408"/>
      <w:lvlText w:val=""/>
      <w:lvlJc w:val="left"/>
      <w:pPr>
        <w:tabs>
          <w:tab w:val="left" w:pos="2520"/>
        </w:tabs>
        <w:ind w:left="2520" w:hanging="420"/>
      </w:pPr>
      <w:rPr>
        <w:rFonts w:hint="default" w:ascii="Wingdings" w:hAnsi="Wingdings"/>
      </w:rPr>
    </w:lvl>
    <w:lvl w:ilvl="5" w:tentative="0">
      <w:start w:val="1"/>
      <w:numFmt w:val="bullet"/>
      <w:pStyle w:val="170"/>
      <w:lvlText w:val=""/>
      <w:lvlJc w:val="left"/>
      <w:pPr>
        <w:tabs>
          <w:tab w:val="left" w:pos="2940"/>
        </w:tabs>
        <w:ind w:left="2940" w:hanging="420"/>
      </w:pPr>
      <w:rPr>
        <w:rFonts w:hint="default" w:ascii="Wingdings" w:hAnsi="Wingdings"/>
      </w:rPr>
    </w:lvl>
    <w:lvl w:ilvl="6" w:tentative="0">
      <w:start w:val="1"/>
      <w:numFmt w:val="bullet"/>
      <w:pStyle w:val="397"/>
      <w:lvlText w:val=""/>
      <w:lvlJc w:val="left"/>
      <w:pPr>
        <w:tabs>
          <w:tab w:val="left" w:pos="3360"/>
        </w:tabs>
        <w:ind w:left="3360" w:hanging="420"/>
      </w:pPr>
      <w:rPr>
        <w:rFonts w:hint="default" w:ascii="Wingdings" w:hAnsi="Wingdings"/>
      </w:rPr>
    </w:lvl>
    <w:lvl w:ilvl="7" w:tentative="0">
      <w:start w:val="1"/>
      <w:numFmt w:val="bullet"/>
      <w:pStyle w:val="277"/>
      <w:lvlText w:val=""/>
      <w:lvlJc w:val="left"/>
      <w:pPr>
        <w:tabs>
          <w:tab w:val="left" w:pos="3780"/>
        </w:tabs>
        <w:ind w:left="3780" w:hanging="420"/>
      </w:pPr>
      <w:rPr>
        <w:rFonts w:hint="default" w:ascii="Wingdings" w:hAnsi="Wingdings"/>
      </w:rPr>
    </w:lvl>
    <w:lvl w:ilvl="8" w:tentative="0">
      <w:start w:val="1"/>
      <w:numFmt w:val="bullet"/>
      <w:pStyle w:val="370"/>
      <w:lvlText w:val=""/>
      <w:lvlJc w:val="left"/>
      <w:pPr>
        <w:tabs>
          <w:tab w:val="left" w:pos="4200"/>
        </w:tabs>
        <w:ind w:left="4200" w:hanging="420"/>
      </w:pPr>
      <w:rPr>
        <w:rFonts w:hint="default" w:ascii="Wingdings" w:hAnsi="Wingdings"/>
      </w:rPr>
    </w:lvl>
  </w:abstractNum>
  <w:abstractNum w:abstractNumId="2">
    <w:nsid w:val="0000000A"/>
    <w:multiLevelType w:val="multilevel"/>
    <w:tmpl w:val="0000000A"/>
    <w:lvl w:ilvl="0" w:tentative="0">
      <w:start w:val="1"/>
      <w:numFmt w:val="decimal"/>
      <w:pStyle w:val="3"/>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3">
    <w:nsid w:val="11744E57"/>
    <w:multiLevelType w:val="multilevel"/>
    <w:tmpl w:val="11744E57"/>
    <w:lvl w:ilvl="0" w:tentative="0">
      <w:start w:val="1"/>
      <w:numFmt w:val="decimal"/>
      <w:pStyle w:val="2"/>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5"/>
      <w:lvlText w:val="%1.%2.%3.%4"/>
      <w:lvlJc w:val="left"/>
      <w:pPr>
        <w:tabs>
          <w:tab w:val="left" w:pos="864"/>
        </w:tabs>
        <w:ind w:left="864" w:hanging="864"/>
      </w:pPr>
    </w:lvl>
    <w:lvl w:ilvl="4" w:tentative="0">
      <w:start w:val="1"/>
      <w:numFmt w:val="decimal"/>
      <w:pStyle w:val="6"/>
      <w:lvlText w:val="%1.%2.%3.%4.%5"/>
      <w:lvlJc w:val="left"/>
      <w:pPr>
        <w:tabs>
          <w:tab w:val="left" w:pos="1008"/>
        </w:tabs>
        <w:ind w:left="1008" w:hanging="1008"/>
      </w:pPr>
    </w:lvl>
    <w:lvl w:ilvl="5" w:tentative="0">
      <w:start w:val="1"/>
      <w:numFmt w:val="decimal"/>
      <w:pStyle w:val="7"/>
      <w:lvlText w:val="%1.%2.%3.%4.%5.%6"/>
      <w:lvlJc w:val="left"/>
      <w:pPr>
        <w:tabs>
          <w:tab w:val="left" w:pos="1152"/>
        </w:tabs>
        <w:ind w:left="1152" w:hanging="1152"/>
      </w:pPr>
    </w:lvl>
    <w:lvl w:ilvl="6" w:tentative="0">
      <w:start w:val="1"/>
      <w:numFmt w:val="decimal"/>
      <w:pStyle w:val="8"/>
      <w:lvlText w:val="%1.%2.%3.%4.%5.%6.%7"/>
      <w:lvlJc w:val="left"/>
      <w:pPr>
        <w:tabs>
          <w:tab w:val="left" w:pos="1296"/>
        </w:tabs>
        <w:ind w:left="1296" w:hanging="1296"/>
      </w:pPr>
    </w:lvl>
    <w:lvl w:ilvl="7" w:tentative="0">
      <w:start w:val="1"/>
      <w:numFmt w:val="decimal"/>
      <w:pStyle w:val="9"/>
      <w:lvlText w:val="%1.%2.%3.%4.%5.%6.%7.%8"/>
      <w:lvlJc w:val="left"/>
      <w:pPr>
        <w:tabs>
          <w:tab w:val="left" w:pos="1440"/>
        </w:tabs>
        <w:ind w:left="1440" w:hanging="1440"/>
      </w:pPr>
    </w:lvl>
    <w:lvl w:ilvl="8" w:tentative="0">
      <w:start w:val="1"/>
      <w:numFmt w:val="decimal"/>
      <w:pStyle w:val="10"/>
      <w:lvlText w:val="%1.%2.%3.%4.%5.%6.%7.%8.%9"/>
      <w:lvlJc w:val="left"/>
      <w:pPr>
        <w:tabs>
          <w:tab w:val="left" w:pos="1584"/>
        </w:tabs>
        <w:ind w:left="1584" w:hanging="1584"/>
      </w:pPr>
    </w:lvl>
  </w:abstractNum>
  <w:abstractNum w:abstractNumId="4">
    <w:nsid w:val="17D6218C"/>
    <w:multiLevelType w:val="singleLevel"/>
    <w:tmpl w:val="17D6218C"/>
    <w:lvl w:ilvl="0" w:tentative="0">
      <w:start w:val="2"/>
      <w:numFmt w:val="decimal"/>
      <w:lvlText w:val="%1."/>
      <w:lvlJc w:val="left"/>
      <w:pPr>
        <w:tabs>
          <w:tab w:val="left" w:pos="312"/>
        </w:tabs>
      </w:pPr>
    </w:lvl>
  </w:abstractNum>
  <w:abstractNum w:abstractNumId="5">
    <w:nsid w:val="34A1552E"/>
    <w:multiLevelType w:val="multilevel"/>
    <w:tmpl w:val="34A1552E"/>
    <w:lvl w:ilvl="0" w:tentative="0">
      <w:start w:val="1"/>
      <w:numFmt w:val="bullet"/>
      <w:lvlText w:val=""/>
      <w:lvlJc w:val="left"/>
      <w:pPr>
        <w:ind w:left="1140" w:hanging="420"/>
      </w:pPr>
      <w:rPr>
        <w:rFonts w:hint="default" w:ascii="Wingdings" w:hAnsi="Wingdings"/>
      </w:rPr>
    </w:lvl>
    <w:lvl w:ilvl="1" w:tentative="0">
      <w:start w:val="1"/>
      <w:numFmt w:val="bullet"/>
      <w:lvlText w:val=""/>
      <w:lvlJc w:val="left"/>
      <w:pPr>
        <w:ind w:left="1560" w:hanging="420"/>
      </w:pPr>
      <w:rPr>
        <w:rFonts w:hint="default" w:ascii="Wingdings" w:hAnsi="Wingdings"/>
      </w:rPr>
    </w:lvl>
    <w:lvl w:ilvl="2" w:tentative="0">
      <w:start w:val="1"/>
      <w:numFmt w:val="bullet"/>
      <w:lvlText w:val=""/>
      <w:lvlJc w:val="left"/>
      <w:pPr>
        <w:ind w:left="1980" w:hanging="420"/>
      </w:pPr>
      <w:rPr>
        <w:rFonts w:hint="default" w:ascii="Wingdings" w:hAnsi="Wingdings"/>
      </w:rPr>
    </w:lvl>
    <w:lvl w:ilvl="3" w:tentative="0">
      <w:start w:val="1"/>
      <w:numFmt w:val="bullet"/>
      <w:lvlText w:val=""/>
      <w:lvlJc w:val="left"/>
      <w:pPr>
        <w:ind w:left="2400" w:hanging="420"/>
      </w:pPr>
      <w:rPr>
        <w:rFonts w:hint="default" w:ascii="Wingdings" w:hAnsi="Wingdings"/>
      </w:rPr>
    </w:lvl>
    <w:lvl w:ilvl="4" w:tentative="0">
      <w:start w:val="1"/>
      <w:numFmt w:val="bullet"/>
      <w:lvlText w:val=""/>
      <w:lvlJc w:val="left"/>
      <w:pPr>
        <w:ind w:left="2820" w:hanging="420"/>
      </w:pPr>
      <w:rPr>
        <w:rFonts w:hint="default" w:ascii="Wingdings" w:hAnsi="Wingdings"/>
      </w:rPr>
    </w:lvl>
    <w:lvl w:ilvl="5" w:tentative="0">
      <w:start w:val="1"/>
      <w:numFmt w:val="bullet"/>
      <w:lvlText w:val=""/>
      <w:lvlJc w:val="left"/>
      <w:pPr>
        <w:ind w:left="3240" w:hanging="420"/>
      </w:pPr>
      <w:rPr>
        <w:rFonts w:hint="default" w:ascii="Wingdings" w:hAnsi="Wingdings"/>
      </w:rPr>
    </w:lvl>
    <w:lvl w:ilvl="6" w:tentative="0">
      <w:start w:val="1"/>
      <w:numFmt w:val="bullet"/>
      <w:lvlText w:val=""/>
      <w:lvlJc w:val="left"/>
      <w:pPr>
        <w:ind w:left="3660" w:hanging="420"/>
      </w:pPr>
      <w:rPr>
        <w:rFonts w:hint="default" w:ascii="Wingdings" w:hAnsi="Wingdings"/>
      </w:rPr>
    </w:lvl>
    <w:lvl w:ilvl="7" w:tentative="0">
      <w:start w:val="1"/>
      <w:numFmt w:val="bullet"/>
      <w:lvlText w:val=""/>
      <w:lvlJc w:val="left"/>
      <w:pPr>
        <w:ind w:left="4080" w:hanging="420"/>
      </w:pPr>
      <w:rPr>
        <w:rFonts w:hint="default" w:ascii="Wingdings" w:hAnsi="Wingdings"/>
      </w:rPr>
    </w:lvl>
    <w:lvl w:ilvl="8" w:tentative="0">
      <w:start w:val="1"/>
      <w:numFmt w:val="bullet"/>
      <w:lvlText w:val=""/>
      <w:lvlJc w:val="left"/>
      <w:pPr>
        <w:ind w:left="4500" w:hanging="420"/>
      </w:pPr>
      <w:rPr>
        <w:rFonts w:hint="default" w:ascii="Wingdings" w:hAnsi="Wingdings"/>
      </w:rPr>
    </w:lvl>
  </w:abstractNum>
  <w:abstractNum w:abstractNumId="6">
    <w:nsid w:val="4E8212DA"/>
    <w:multiLevelType w:val="singleLevel"/>
    <w:tmpl w:val="4E8212DA"/>
    <w:lvl w:ilvl="0" w:tentative="0">
      <w:start w:val="1"/>
      <w:numFmt w:val="decimal"/>
      <w:lvlText w:val="%1、"/>
      <w:lvlJc w:val="left"/>
      <w:pPr>
        <w:tabs>
          <w:tab w:val="left" w:pos="840"/>
        </w:tabs>
        <w:ind w:left="840" w:hanging="360"/>
      </w:pPr>
      <w:rPr>
        <w:rFonts w:hint="default"/>
      </w:rPr>
    </w:lvl>
  </w:abstractNum>
  <w:abstractNum w:abstractNumId="7">
    <w:nsid w:val="578B3BD2"/>
    <w:multiLevelType w:val="multilevel"/>
    <w:tmpl w:val="578B3BD2"/>
    <w:lvl w:ilvl="0" w:tentative="0">
      <w:start w:val="1"/>
      <w:numFmt w:val="decimal"/>
      <w:pStyle w:val="411"/>
      <w:lvlText w:val="%1"/>
      <w:lvlJc w:val="left"/>
      <w:pPr>
        <w:tabs>
          <w:tab w:val="left" w:pos="480"/>
        </w:tabs>
        <w:ind w:left="480" w:hanging="480"/>
      </w:pPr>
      <w:rPr>
        <w:rFonts w:hint="eastAsia"/>
        <w:sz w:val="44"/>
        <w:szCs w:val="44"/>
      </w:rPr>
    </w:lvl>
    <w:lvl w:ilvl="1" w:tentative="0">
      <w:start w:val="1"/>
      <w:numFmt w:val="decimal"/>
      <w:pStyle w:val="332"/>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400"/>
      <w:lvlText w:val="%1.%2.%3.%4.%5"/>
      <w:lvlJc w:val="left"/>
      <w:pPr>
        <w:tabs>
          <w:tab w:val="left" w:pos="1080"/>
        </w:tabs>
        <w:ind w:left="1080" w:hanging="1080"/>
      </w:pPr>
      <w:rPr>
        <w:rFonts w:hint="default"/>
      </w:rPr>
    </w:lvl>
    <w:lvl w:ilvl="5" w:tentative="0">
      <w:start w:val="1"/>
      <w:numFmt w:val="decimal"/>
      <w:pStyle w:val="214"/>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8">
    <w:nsid w:val="59706EA6"/>
    <w:multiLevelType w:val="multilevel"/>
    <w:tmpl w:val="59706EA6"/>
    <w:lvl w:ilvl="0" w:tentative="0">
      <w:start w:val="1"/>
      <w:numFmt w:val="bullet"/>
      <w:lvlText w:val=""/>
      <w:lvlJc w:val="left"/>
      <w:pPr>
        <w:ind w:left="1260" w:hanging="420"/>
      </w:pPr>
      <w:rPr>
        <w:rFonts w:hint="default" w:ascii="Wingdings" w:hAnsi="Wingdings"/>
      </w:rPr>
    </w:lvl>
    <w:lvl w:ilvl="1" w:tentative="0">
      <w:start w:val="1"/>
      <w:numFmt w:val="bullet"/>
      <w:lvlText w:val=""/>
      <w:lvlJc w:val="left"/>
      <w:pPr>
        <w:ind w:left="1680" w:hanging="420"/>
      </w:pPr>
      <w:rPr>
        <w:rFonts w:hint="default" w:ascii="Wingdings" w:hAnsi="Wingdings"/>
      </w:rPr>
    </w:lvl>
    <w:lvl w:ilvl="2" w:tentative="0">
      <w:start w:val="1"/>
      <w:numFmt w:val="bullet"/>
      <w:lvlText w:val=""/>
      <w:lvlJc w:val="left"/>
      <w:pPr>
        <w:ind w:left="2100" w:hanging="420"/>
      </w:pPr>
      <w:rPr>
        <w:rFonts w:hint="default" w:ascii="Wingdings" w:hAnsi="Wingdings"/>
      </w:rPr>
    </w:lvl>
    <w:lvl w:ilvl="3" w:tentative="0">
      <w:start w:val="1"/>
      <w:numFmt w:val="bullet"/>
      <w:lvlText w:val=""/>
      <w:lvlJc w:val="left"/>
      <w:pPr>
        <w:ind w:left="2520" w:hanging="420"/>
      </w:pPr>
      <w:rPr>
        <w:rFonts w:hint="default" w:ascii="Wingdings" w:hAnsi="Wingdings"/>
      </w:rPr>
    </w:lvl>
    <w:lvl w:ilvl="4" w:tentative="0">
      <w:start w:val="1"/>
      <w:numFmt w:val="bullet"/>
      <w:lvlText w:val=""/>
      <w:lvlJc w:val="left"/>
      <w:pPr>
        <w:ind w:left="2940" w:hanging="420"/>
      </w:pPr>
      <w:rPr>
        <w:rFonts w:hint="default" w:ascii="Wingdings" w:hAnsi="Wingdings"/>
      </w:rPr>
    </w:lvl>
    <w:lvl w:ilvl="5" w:tentative="0">
      <w:start w:val="1"/>
      <w:numFmt w:val="bullet"/>
      <w:lvlText w:val=""/>
      <w:lvlJc w:val="left"/>
      <w:pPr>
        <w:ind w:left="3360" w:hanging="420"/>
      </w:pPr>
      <w:rPr>
        <w:rFonts w:hint="default" w:ascii="Wingdings" w:hAnsi="Wingdings"/>
      </w:rPr>
    </w:lvl>
    <w:lvl w:ilvl="6" w:tentative="0">
      <w:start w:val="1"/>
      <w:numFmt w:val="bullet"/>
      <w:lvlText w:val=""/>
      <w:lvlJc w:val="left"/>
      <w:pPr>
        <w:ind w:left="3780" w:hanging="420"/>
      </w:pPr>
      <w:rPr>
        <w:rFonts w:hint="default" w:ascii="Wingdings" w:hAnsi="Wingdings"/>
      </w:rPr>
    </w:lvl>
    <w:lvl w:ilvl="7" w:tentative="0">
      <w:start w:val="1"/>
      <w:numFmt w:val="bullet"/>
      <w:lvlText w:val=""/>
      <w:lvlJc w:val="left"/>
      <w:pPr>
        <w:ind w:left="4200" w:hanging="420"/>
      </w:pPr>
      <w:rPr>
        <w:rFonts w:hint="default" w:ascii="Wingdings" w:hAnsi="Wingdings"/>
      </w:rPr>
    </w:lvl>
    <w:lvl w:ilvl="8" w:tentative="0">
      <w:start w:val="1"/>
      <w:numFmt w:val="bullet"/>
      <w:lvlText w:val=""/>
      <w:lvlJc w:val="left"/>
      <w:pPr>
        <w:ind w:left="4620" w:hanging="420"/>
      </w:pPr>
      <w:rPr>
        <w:rFonts w:hint="default" w:ascii="Wingdings" w:hAnsi="Wingdings"/>
      </w:rPr>
    </w:lvl>
  </w:abstractNum>
  <w:abstractNum w:abstractNumId="9">
    <w:nsid w:val="73501D6F"/>
    <w:multiLevelType w:val="multilevel"/>
    <w:tmpl w:val="73501D6F"/>
    <w:lvl w:ilvl="0" w:tentative="0">
      <w:start w:val="1"/>
      <w:numFmt w:val="japaneseCounting"/>
      <w:lvlText w:val="%1、"/>
      <w:lvlJc w:val="left"/>
      <w:pPr>
        <w:tabs>
          <w:tab w:val="left" w:pos="946"/>
        </w:tabs>
        <w:ind w:left="946" w:hanging="480"/>
      </w:pPr>
      <w:rPr>
        <w:rFonts w:hint="default"/>
      </w:rPr>
    </w:lvl>
    <w:lvl w:ilvl="1" w:tentative="0">
      <w:start w:val="1"/>
      <w:numFmt w:val="lowerLetter"/>
      <w:lvlText w:val="%2)"/>
      <w:lvlJc w:val="left"/>
      <w:pPr>
        <w:tabs>
          <w:tab w:val="left" w:pos="1306"/>
        </w:tabs>
        <w:ind w:left="1306" w:hanging="420"/>
      </w:pPr>
    </w:lvl>
    <w:lvl w:ilvl="2" w:tentative="0">
      <w:start w:val="1"/>
      <w:numFmt w:val="lowerRoman"/>
      <w:lvlText w:val="%3."/>
      <w:lvlJc w:val="right"/>
      <w:pPr>
        <w:tabs>
          <w:tab w:val="left" w:pos="1726"/>
        </w:tabs>
        <w:ind w:left="1726" w:hanging="420"/>
      </w:pPr>
    </w:lvl>
    <w:lvl w:ilvl="3" w:tentative="0">
      <w:start w:val="1"/>
      <w:numFmt w:val="decimal"/>
      <w:lvlText w:val="%4."/>
      <w:lvlJc w:val="left"/>
      <w:pPr>
        <w:tabs>
          <w:tab w:val="left" w:pos="2146"/>
        </w:tabs>
        <w:ind w:left="2146" w:hanging="420"/>
      </w:pPr>
    </w:lvl>
    <w:lvl w:ilvl="4" w:tentative="0">
      <w:start w:val="1"/>
      <w:numFmt w:val="lowerLetter"/>
      <w:lvlText w:val="%5)"/>
      <w:lvlJc w:val="left"/>
      <w:pPr>
        <w:tabs>
          <w:tab w:val="left" w:pos="2566"/>
        </w:tabs>
        <w:ind w:left="2566" w:hanging="420"/>
      </w:pPr>
    </w:lvl>
    <w:lvl w:ilvl="5" w:tentative="0">
      <w:start w:val="1"/>
      <w:numFmt w:val="lowerRoman"/>
      <w:lvlText w:val="%6."/>
      <w:lvlJc w:val="right"/>
      <w:pPr>
        <w:tabs>
          <w:tab w:val="left" w:pos="2986"/>
        </w:tabs>
        <w:ind w:left="2986" w:hanging="420"/>
      </w:pPr>
    </w:lvl>
    <w:lvl w:ilvl="6" w:tentative="0">
      <w:start w:val="1"/>
      <w:numFmt w:val="decimal"/>
      <w:lvlText w:val="%7."/>
      <w:lvlJc w:val="left"/>
      <w:pPr>
        <w:tabs>
          <w:tab w:val="left" w:pos="3406"/>
        </w:tabs>
        <w:ind w:left="3406" w:hanging="420"/>
      </w:pPr>
    </w:lvl>
    <w:lvl w:ilvl="7" w:tentative="0">
      <w:start w:val="1"/>
      <w:numFmt w:val="lowerLetter"/>
      <w:lvlText w:val="%8)"/>
      <w:lvlJc w:val="left"/>
      <w:pPr>
        <w:tabs>
          <w:tab w:val="left" w:pos="3826"/>
        </w:tabs>
        <w:ind w:left="3826" w:hanging="420"/>
      </w:pPr>
    </w:lvl>
    <w:lvl w:ilvl="8" w:tentative="0">
      <w:start w:val="1"/>
      <w:numFmt w:val="lowerRoman"/>
      <w:lvlText w:val="%9."/>
      <w:lvlJc w:val="right"/>
      <w:pPr>
        <w:tabs>
          <w:tab w:val="left" w:pos="4246"/>
        </w:tabs>
        <w:ind w:left="4246" w:hanging="420"/>
      </w:pPr>
    </w:lvl>
  </w:abstractNum>
  <w:abstractNum w:abstractNumId="10">
    <w:nsid w:val="73596DCC"/>
    <w:multiLevelType w:val="multilevel"/>
    <w:tmpl w:val="73596DCC"/>
    <w:lvl w:ilvl="0" w:tentative="0">
      <w:start w:val="1"/>
      <w:numFmt w:val="bullet"/>
      <w:pStyle w:val="318"/>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11">
    <w:nsid w:val="73F13B32"/>
    <w:multiLevelType w:val="multilevel"/>
    <w:tmpl w:val="73F13B32"/>
    <w:lvl w:ilvl="0" w:tentative="0">
      <w:start w:val="1"/>
      <w:numFmt w:val="chineseCountingThousand"/>
      <w:lvlText w:val="第%1条"/>
      <w:lvlJc w:val="left"/>
      <w:pPr>
        <w:ind w:left="1695" w:hanging="420"/>
      </w:pPr>
      <w:rPr>
        <w:rFonts w:hint="eastAsia" w:cs="Times New Roman"/>
        <w:b/>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num w:numId="1">
    <w:abstractNumId w:val="3"/>
  </w:num>
  <w:num w:numId="2">
    <w:abstractNumId w:val="2"/>
  </w:num>
  <w:num w:numId="3">
    <w:abstractNumId w:val="0"/>
  </w:num>
  <w:num w:numId="4">
    <w:abstractNumId w:val="1"/>
  </w:num>
  <w:num w:numId="5">
    <w:abstractNumId w:val="7"/>
  </w:num>
  <w:num w:numId="6">
    <w:abstractNumId w:val="10"/>
  </w:num>
  <w:num w:numId="7">
    <w:abstractNumId w:val="4"/>
  </w:num>
  <w:num w:numId="8">
    <w:abstractNumId w:val="11"/>
  </w:num>
  <w:num w:numId="9">
    <w:abstractNumId w:val="9"/>
  </w:num>
  <w:num w:numId="10">
    <w:abstractNumId w:val="5"/>
  </w:num>
  <w:num w:numId="11">
    <w:abstractNumId w:val="8"/>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I1MmZlMmMwNDEyOTNkZTA3ZDJhZDU5ODNiZjVhY2UifQ=="/>
  </w:docVars>
  <w:rsids>
    <w:rsidRoot w:val="00172A27"/>
    <w:rsid w:val="0000133D"/>
    <w:rsid w:val="0000488B"/>
    <w:rsid w:val="00005CAC"/>
    <w:rsid w:val="00006109"/>
    <w:rsid w:val="00006725"/>
    <w:rsid w:val="0000675E"/>
    <w:rsid w:val="00007CAA"/>
    <w:rsid w:val="00010FE9"/>
    <w:rsid w:val="0001122F"/>
    <w:rsid w:val="00012BE8"/>
    <w:rsid w:val="00013F31"/>
    <w:rsid w:val="00015FD7"/>
    <w:rsid w:val="000170C8"/>
    <w:rsid w:val="000172A5"/>
    <w:rsid w:val="000173F4"/>
    <w:rsid w:val="000217DE"/>
    <w:rsid w:val="00022853"/>
    <w:rsid w:val="00025776"/>
    <w:rsid w:val="000270F2"/>
    <w:rsid w:val="00027540"/>
    <w:rsid w:val="00030572"/>
    <w:rsid w:val="00030CB3"/>
    <w:rsid w:val="0003206A"/>
    <w:rsid w:val="00032EA0"/>
    <w:rsid w:val="00034FA7"/>
    <w:rsid w:val="000357E4"/>
    <w:rsid w:val="00042533"/>
    <w:rsid w:val="00042E65"/>
    <w:rsid w:val="0004347C"/>
    <w:rsid w:val="00043907"/>
    <w:rsid w:val="00044F48"/>
    <w:rsid w:val="0004651A"/>
    <w:rsid w:val="00050656"/>
    <w:rsid w:val="00051B54"/>
    <w:rsid w:val="00054D39"/>
    <w:rsid w:val="0005501B"/>
    <w:rsid w:val="000554C7"/>
    <w:rsid w:val="00055A61"/>
    <w:rsid w:val="00056118"/>
    <w:rsid w:val="000578A3"/>
    <w:rsid w:val="00057FC8"/>
    <w:rsid w:val="000600BA"/>
    <w:rsid w:val="00061A3C"/>
    <w:rsid w:val="000620B0"/>
    <w:rsid w:val="000646CA"/>
    <w:rsid w:val="00064A21"/>
    <w:rsid w:val="00064D05"/>
    <w:rsid w:val="00065868"/>
    <w:rsid w:val="000665C4"/>
    <w:rsid w:val="00067821"/>
    <w:rsid w:val="0006785E"/>
    <w:rsid w:val="00067E1A"/>
    <w:rsid w:val="00070825"/>
    <w:rsid w:val="00072AED"/>
    <w:rsid w:val="00072D2B"/>
    <w:rsid w:val="000730B1"/>
    <w:rsid w:val="00073860"/>
    <w:rsid w:val="00074528"/>
    <w:rsid w:val="00074B1F"/>
    <w:rsid w:val="00075D0E"/>
    <w:rsid w:val="00075F6A"/>
    <w:rsid w:val="000763F3"/>
    <w:rsid w:val="000768B4"/>
    <w:rsid w:val="00077607"/>
    <w:rsid w:val="00077756"/>
    <w:rsid w:val="00080970"/>
    <w:rsid w:val="00083DDA"/>
    <w:rsid w:val="0008580E"/>
    <w:rsid w:val="00085A0E"/>
    <w:rsid w:val="00086F8A"/>
    <w:rsid w:val="000904F6"/>
    <w:rsid w:val="00090ED8"/>
    <w:rsid w:val="0009145F"/>
    <w:rsid w:val="00091B4E"/>
    <w:rsid w:val="00091D89"/>
    <w:rsid w:val="00092FE9"/>
    <w:rsid w:val="00094342"/>
    <w:rsid w:val="000960BA"/>
    <w:rsid w:val="0009662A"/>
    <w:rsid w:val="000A1A52"/>
    <w:rsid w:val="000A1F98"/>
    <w:rsid w:val="000A23CE"/>
    <w:rsid w:val="000A49BB"/>
    <w:rsid w:val="000A4C67"/>
    <w:rsid w:val="000A5674"/>
    <w:rsid w:val="000A5A46"/>
    <w:rsid w:val="000B0E04"/>
    <w:rsid w:val="000B4B56"/>
    <w:rsid w:val="000B53F1"/>
    <w:rsid w:val="000B54C1"/>
    <w:rsid w:val="000B62AC"/>
    <w:rsid w:val="000B6BDF"/>
    <w:rsid w:val="000C053E"/>
    <w:rsid w:val="000C0A43"/>
    <w:rsid w:val="000C1ADE"/>
    <w:rsid w:val="000C1C38"/>
    <w:rsid w:val="000C222C"/>
    <w:rsid w:val="000C2264"/>
    <w:rsid w:val="000C33C8"/>
    <w:rsid w:val="000C4727"/>
    <w:rsid w:val="000C47AE"/>
    <w:rsid w:val="000C51AD"/>
    <w:rsid w:val="000C5374"/>
    <w:rsid w:val="000C5EC0"/>
    <w:rsid w:val="000C6688"/>
    <w:rsid w:val="000C7BEB"/>
    <w:rsid w:val="000D11E5"/>
    <w:rsid w:val="000D1D28"/>
    <w:rsid w:val="000D2A10"/>
    <w:rsid w:val="000D34C8"/>
    <w:rsid w:val="000D34FD"/>
    <w:rsid w:val="000D3BB6"/>
    <w:rsid w:val="000D3BE5"/>
    <w:rsid w:val="000D3C37"/>
    <w:rsid w:val="000D5EA6"/>
    <w:rsid w:val="000D6C9F"/>
    <w:rsid w:val="000D6E3B"/>
    <w:rsid w:val="000D7902"/>
    <w:rsid w:val="000D7CE0"/>
    <w:rsid w:val="000E1DD9"/>
    <w:rsid w:val="000E2785"/>
    <w:rsid w:val="000E27BB"/>
    <w:rsid w:val="000E3153"/>
    <w:rsid w:val="000E3403"/>
    <w:rsid w:val="000E386F"/>
    <w:rsid w:val="000E4051"/>
    <w:rsid w:val="000E5B7E"/>
    <w:rsid w:val="000E5FF9"/>
    <w:rsid w:val="000E6AE1"/>
    <w:rsid w:val="000E7142"/>
    <w:rsid w:val="000E7632"/>
    <w:rsid w:val="000E7739"/>
    <w:rsid w:val="000E77EE"/>
    <w:rsid w:val="000F0789"/>
    <w:rsid w:val="000F159D"/>
    <w:rsid w:val="000F2940"/>
    <w:rsid w:val="000F3D08"/>
    <w:rsid w:val="000F505B"/>
    <w:rsid w:val="000F5837"/>
    <w:rsid w:val="000F68A0"/>
    <w:rsid w:val="0010118C"/>
    <w:rsid w:val="0010125E"/>
    <w:rsid w:val="00101967"/>
    <w:rsid w:val="00104CAD"/>
    <w:rsid w:val="00104E5B"/>
    <w:rsid w:val="00104EEC"/>
    <w:rsid w:val="001050DC"/>
    <w:rsid w:val="001052A9"/>
    <w:rsid w:val="00105482"/>
    <w:rsid w:val="001055F5"/>
    <w:rsid w:val="00105BA9"/>
    <w:rsid w:val="00106C42"/>
    <w:rsid w:val="00107BBD"/>
    <w:rsid w:val="00107E1B"/>
    <w:rsid w:val="00111C7D"/>
    <w:rsid w:val="00112038"/>
    <w:rsid w:val="00112467"/>
    <w:rsid w:val="001127FF"/>
    <w:rsid w:val="00112B0B"/>
    <w:rsid w:val="00112B42"/>
    <w:rsid w:val="00114847"/>
    <w:rsid w:val="0011585B"/>
    <w:rsid w:val="00115B1A"/>
    <w:rsid w:val="001168F8"/>
    <w:rsid w:val="001228C8"/>
    <w:rsid w:val="0012419E"/>
    <w:rsid w:val="001243E9"/>
    <w:rsid w:val="001248EF"/>
    <w:rsid w:val="00124F76"/>
    <w:rsid w:val="00124FC4"/>
    <w:rsid w:val="001259B8"/>
    <w:rsid w:val="00127DAB"/>
    <w:rsid w:val="00131C2D"/>
    <w:rsid w:val="001350F7"/>
    <w:rsid w:val="00135141"/>
    <w:rsid w:val="00135769"/>
    <w:rsid w:val="00135BE9"/>
    <w:rsid w:val="001374DC"/>
    <w:rsid w:val="0013773D"/>
    <w:rsid w:val="00140D7A"/>
    <w:rsid w:val="001430C3"/>
    <w:rsid w:val="00144649"/>
    <w:rsid w:val="001451BB"/>
    <w:rsid w:val="00145662"/>
    <w:rsid w:val="00145C6D"/>
    <w:rsid w:val="00146151"/>
    <w:rsid w:val="00147EA7"/>
    <w:rsid w:val="00151B2F"/>
    <w:rsid w:val="001524DC"/>
    <w:rsid w:val="001525E5"/>
    <w:rsid w:val="00153859"/>
    <w:rsid w:val="00153ED0"/>
    <w:rsid w:val="00157432"/>
    <w:rsid w:val="00161185"/>
    <w:rsid w:val="00161853"/>
    <w:rsid w:val="00161C7D"/>
    <w:rsid w:val="00167594"/>
    <w:rsid w:val="001702BE"/>
    <w:rsid w:val="001706E4"/>
    <w:rsid w:val="0017105C"/>
    <w:rsid w:val="00171622"/>
    <w:rsid w:val="001721CF"/>
    <w:rsid w:val="001728FD"/>
    <w:rsid w:val="00172A27"/>
    <w:rsid w:val="00172F02"/>
    <w:rsid w:val="001735D7"/>
    <w:rsid w:val="00173631"/>
    <w:rsid w:val="0017372D"/>
    <w:rsid w:val="00173E59"/>
    <w:rsid w:val="00176BC8"/>
    <w:rsid w:val="00180244"/>
    <w:rsid w:val="00180A47"/>
    <w:rsid w:val="00181272"/>
    <w:rsid w:val="001823B6"/>
    <w:rsid w:val="001827B7"/>
    <w:rsid w:val="001827EF"/>
    <w:rsid w:val="00182982"/>
    <w:rsid w:val="00182D68"/>
    <w:rsid w:val="0018397E"/>
    <w:rsid w:val="00183BA7"/>
    <w:rsid w:val="00186D20"/>
    <w:rsid w:val="00187243"/>
    <w:rsid w:val="001878FE"/>
    <w:rsid w:val="00187C29"/>
    <w:rsid w:val="00187F55"/>
    <w:rsid w:val="00190942"/>
    <w:rsid w:val="00191459"/>
    <w:rsid w:val="0019174E"/>
    <w:rsid w:val="00191EF8"/>
    <w:rsid w:val="00192690"/>
    <w:rsid w:val="00193B94"/>
    <w:rsid w:val="001940A7"/>
    <w:rsid w:val="00194BB1"/>
    <w:rsid w:val="00195070"/>
    <w:rsid w:val="00195D82"/>
    <w:rsid w:val="0019602C"/>
    <w:rsid w:val="001A07F8"/>
    <w:rsid w:val="001A1D48"/>
    <w:rsid w:val="001A1F0E"/>
    <w:rsid w:val="001A1F2D"/>
    <w:rsid w:val="001A473A"/>
    <w:rsid w:val="001A4996"/>
    <w:rsid w:val="001A5785"/>
    <w:rsid w:val="001A66A6"/>
    <w:rsid w:val="001A6BBB"/>
    <w:rsid w:val="001A79A2"/>
    <w:rsid w:val="001B13BF"/>
    <w:rsid w:val="001B16F5"/>
    <w:rsid w:val="001B1BD9"/>
    <w:rsid w:val="001B1C1F"/>
    <w:rsid w:val="001B219B"/>
    <w:rsid w:val="001B2703"/>
    <w:rsid w:val="001B2ABD"/>
    <w:rsid w:val="001B4272"/>
    <w:rsid w:val="001B46B2"/>
    <w:rsid w:val="001B4CA8"/>
    <w:rsid w:val="001B572D"/>
    <w:rsid w:val="001B738E"/>
    <w:rsid w:val="001B7B69"/>
    <w:rsid w:val="001C0616"/>
    <w:rsid w:val="001C0DD2"/>
    <w:rsid w:val="001C10BD"/>
    <w:rsid w:val="001C1F01"/>
    <w:rsid w:val="001C232F"/>
    <w:rsid w:val="001C31F5"/>
    <w:rsid w:val="001C44BC"/>
    <w:rsid w:val="001C5885"/>
    <w:rsid w:val="001C6698"/>
    <w:rsid w:val="001D1D55"/>
    <w:rsid w:val="001D21EF"/>
    <w:rsid w:val="001D330D"/>
    <w:rsid w:val="001D4AD3"/>
    <w:rsid w:val="001D5A94"/>
    <w:rsid w:val="001E1ABC"/>
    <w:rsid w:val="001E59FB"/>
    <w:rsid w:val="001E787E"/>
    <w:rsid w:val="001F087C"/>
    <w:rsid w:val="001F0DA4"/>
    <w:rsid w:val="001F0FD1"/>
    <w:rsid w:val="001F1F18"/>
    <w:rsid w:val="001F2F92"/>
    <w:rsid w:val="001F6095"/>
    <w:rsid w:val="00200E37"/>
    <w:rsid w:val="00201EE3"/>
    <w:rsid w:val="00202D33"/>
    <w:rsid w:val="00202F99"/>
    <w:rsid w:val="00203C85"/>
    <w:rsid w:val="00205298"/>
    <w:rsid w:val="002054F4"/>
    <w:rsid w:val="00210B9C"/>
    <w:rsid w:val="00212E87"/>
    <w:rsid w:val="00213FC4"/>
    <w:rsid w:val="00214028"/>
    <w:rsid w:val="002141C3"/>
    <w:rsid w:val="002141DC"/>
    <w:rsid w:val="00214479"/>
    <w:rsid w:val="002144F3"/>
    <w:rsid w:val="00215A2A"/>
    <w:rsid w:val="00216387"/>
    <w:rsid w:val="00217427"/>
    <w:rsid w:val="002204BC"/>
    <w:rsid w:val="0022234D"/>
    <w:rsid w:val="002223FA"/>
    <w:rsid w:val="00222C78"/>
    <w:rsid w:val="00224B9B"/>
    <w:rsid w:val="0022555A"/>
    <w:rsid w:val="0023114A"/>
    <w:rsid w:val="0023205A"/>
    <w:rsid w:val="0023265B"/>
    <w:rsid w:val="00233538"/>
    <w:rsid w:val="002344F5"/>
    <w:rsid w:val="0023454D"/>
    <w:rsid w:val="002345FC"/>
    <w:rsid w:val="00234679"/>
    <w:rsid w:val="00236127"/>
    <w:rsid w:val="002361A2"/>
    <w:rsid w:val="00236690"/>
    <w:rsid w:val="0023669D"/>
    <w:rsid w:val="00237755"/>
    <w:rsid w:val="00237A7C"/>
    <w:rsid w:val="00237FA2"/>
    <w:rsid w:val="00240121"/>
    <w:rsid w:val="00240F67"/>
    <w:rsid w:val="00241144"/>
    <w:rsid w:val="00242009"/>
    <w:rsid w:val="00242510"/>
    <w:rsid w:val="00243F5D"/>
    <w:rsid w:val="0024415B"/>
    <w:rsid w:val="00245269"/>
    <w:rsid w:val="00247422"/>
    <w:rsid w:val="00247BA2"/>
    <w:rsid w:val="00251CB4"/>
    <w:rsid w:val="00252862"/>
    <w:rsid w:val="002531BD"/>
    <w:rsid w:val="002533FE"/>
    <w:rsid w:val="002537FC"/>
    <w:rsid w:val="002543EF"/>
    <w:rsid w:val="00255146"/>
    <w:rsid w:val="0025631F"/>
    <w:rsid w:val="00256986"/>
    <w:rsid w:val="00257246"/>
    <w:rsid w:val="00263044"/>
    <w:rsid w:val="002630E7"/>
    <w:rsid w:val="00263759"/>
    <w:rsid w:val="0026385E"/>
    <w:rsid w:val="002645DB"/>
    <w:rsid w:val="0026470B"/>
    <w:rsid w:val="0026486D"/>
    <w:rsid w:val="00264966"/>
    <w:rsid w:val="00264CEB"/>
    <w:rsid w:val="002660C3"/>
    <w:rsid w:val="00266DE1"/>
    <w:rsid w:val="00266E08"/>
    <w:rsid w:val="00267E43"/>
    <w:rsid w:val="00273C5F"/>
    <w:rsid w:val="00274C6D"/>
    <w:rsid w:val="002751CA"/>
    <w:rsid w:val="0027544D"/>
    <w:rsid w:val="002778AB"/>
    <w:rsid w:val="002802A5"/>
    <w:rsid w:val="00281BCB"/>
    <w:rsid w:val="00282CA4"/>
    <w:rsid w:val="00283B06"/>
    <w:rsid w:val="0028583E"/>
    <w:rsid w:val="00285FF3"/>
    <w:rsid w:val="0028744E"/>
    <w:rsid w:val="0028766A"/>
    <w:rsid w:val="00287936"/>
    <w:rsid w:val="002903C5"/>
    <w:rsid w:val="00290A99"/>
    <w:rsid w:val="00290EAF"/>
    <w:rsid w:val="0029159A"/>
    <w:rsid w:val="00292AA1"/>
    <w:rsid w:val="0029499D"/>
    <w:rsid w:val="00294A13"/>
    <w:rsid w:val="00295073"/>
    <w:rsid w:val="00295DC3"/>
    <w:rsid w:val="0029704D"/>
    <w:rsid w:val="002979C5"/>
    <w:rsid w:val="00297AF5"/>
    <w:rsid w:val="002A02D6"/>
    <w:rsid w:val="002A07C4"/>
    <w:rsid w:val="002A0921"/>
    <w:rsid w:val="002A2001"/>
    <w:rsid w:val="002A30AD"/>
    <w:rsid w:val="002A4EB3"/>
    <w:rsid w:val="002A51D9"/>
    <w:rsid w:val="002A5275"/>
    <w:rsid w:val="002B2906"/>
    <w:rsid w:val="002B35C5"/>
    <w:rsid w:val="002B5AEE"/>
    <w:rsid w:val="002B5CD6"/>
    <w:rsid w:val="002B6177"/>
    <w:rsid w:val="002B68E6"/>
    <w:rsid w:val="002B6985"/>
    <w:rsid w:val="002B7242"/>
    <w:rsid w:val="002C0032"/>
    <w:rsid w:val="002C0301"/>
    <w:rsid w:val="002C0326"/>
    <w:rsid w:val="002C0A9F"/>
    <w:rsid w:val="002C1BB7"/>
    <w:rsid w:val="002C1CC2"/>
    <w:rsid w:val="002C28E1"/>
    <w:rsid w:val="002C3890"/>
    <w:rsid w:val="002C3DD5"/>
    <w:rsid w:val="002C643D"/>
    <w:rsid w:val="002C70E7"/>
    <w:rsid w:val="002C77AC"/>
    <w:rsid w:val="002D22A6"/>
    <w:rsid w:val="002D2496"/>
    <w:rsid w:val="002D2C71"/>
    <w:rsid w:val="002D2CD6"/>
    <w:rsid w:val="002D2F81"/>
    <w:rsid w:val="002D3BA3"/>
    <w:rsid w:val="002D4892"/>
    <w:rsid w:val="002D4D06"/>
    <w:rsid w:val="002D4E19"/>
    <w:rsid w:val="002D4EE7"/>
    <w:rsid w:val="002D4EED"/>
    <w:rsid w:val="002D6782"/>
    <w:rsid w:val="002D707C"/>
    <w:rsid w:val="002D7DB2"/>
    <w:rsid w:val="002D7FB2"/>
    <w:rsid w:val="002E0542"/>
    <w:rsid w:val="002E0E87"/>
    <w:rsid w:val="002E1EC1"/>
    <w:rsid w:val="002E201C"/>
    <w:rsid w:val="002E28A0"/>
    <w:rsid w:val="002E2E79"/>
    <w:rsid w:val="002E3956"/>
    <w:rsid w:val="002E672A"/>
    <w:rsid w:val="002E6853"/>
    <w:rsid w:val="002E7EE5"/>
    <w:rsid w:val="002F0323"/>
    <w:rsid w:val="002F0939"/>
    <w:rsid w:val="002F134F"/>
    <w:rsid w:val="002F1D0B"/>
    <w:rsid w:val="002F1F02"/>
    <w:rsid w:val="002F2048"/>
    <w:rsid w:val="002F2D81"/>
    <w:rsid w:val="002F44D0"/>
    <w:rsid w:val="002F47A6"/>
    <w:rsid w:val="002F541B"/>
    <w:rsid w:val="002F6EFF"/>
    <w:rsid w:val="002F7DF0"/>
    <w:rsid w:val="002F7FAF"/>
    <w:rsid w:val="00300AFA"/>
    <w:rsid w:val="00301A22"/>
    <w:rsid w:val="00303959"/>
    <w:rsid w:val="00303AB6"/>
    <w:rsid w:val="00304455"/>
    <w:rsid w:val="00304640"/>
    <w:rsid w:val="00304AC1"/>
    <w:rsid w:val="00305454"/>
    <w:rsid w:val="003066C6"/>
    <w:rsid w:val="00307DC7"/>
    <w:rsid w:val="003102E8"/>
    <w:rsid w:val="00310957"/>
    <w:rsid w:val="00310EDB"/>
    <w:rsid w:val="00312260"/>
    <w:rsid w:val="00312378"/>
    <w:rsid w:val="00312BF8"/>
    <w:rsid w:val="00312DFC"/>
    <w:rsid w:val="0031318C"/>
    <w:rsid w:val="00313C9D"/>
    <w:rsid w:val="00314C5A"/>
    <w:rsid w:val="00314D13"/>
    <w:rsid w:val="0031531A"/>
    <w:rsid w:val="00315394"/>
    <w:rsid w:val="00315A0E"/>
    <w:rsid w:val="00315D77"/>
    <w:rsid w:val="00316CDE"/>
    <w:rsid w:val="00317012"/>
    <w:rsid w:val="0032226B"/>
    <w:rsid w:val="00324B2F"/>
    <w:rsid w:val="00326106"/>
    <w:rsid w:val="003262E4"/>
    <w:rsid w:val="003269B7"/>
    <w:rsid w:val="003272E4"/>
    <w:rsid w:val="003301D9"/>
    <w:rsid w:val="00331461"/>
    <w:rsid w:val="003316A8"/>
    <w:rsid w:val="00331CC9"/>
    <w:rsid w:val="003320D7"/>
    <w:rsid w:val="00332D52"/>
    <w:rsid w:val="00333337"/>
    <w:rsid w:val="00333A28"/>
    <w:rsid w:val="0033631D"/>
    <w:rsid w:val="003365CB"/>
    <w:rsid w:val="00341225"/>
    <w:rsid w:val="00341CEB"/>
    <w:rsid w:val="0034396F"/>
    <w:rsid w:val="0034458E"/>
    <w:rsid w:val="00344BBF"/>
    <w:rsid w:val="00344F3C"/>
    <w:rsid w:val="00345644"/>
    <w:rsid w:val="00345D7A"/>
    <w:rsid w:val="00346B6D"/>
    <w:rsid w:val="00346BA3"/>
    <w:rsid w:val="00347356"/>
    <w:rsid w:val="00350896"/>
    <w:rsid w:val="00350C31"/>
    <w:rsid w:val="003519CD"/>
    <w:rsid w:val="00351A3A"/>
    <w:rsid w:val="00352A88"/>
    <w:rsid w:val="0035455F"/>
    <w:rsid w:val="00355D8F"/>
    <w:rsid w:val="00357437"/>
    <w:rsid w:val="003577EF"/>
    <w:rsid w:val="00357F65"/>
    <w:rsid w:val="00360304"/>
    <w:rsid w:val="00365427"/>
    <w:rsid w:val="003669C8"/>
    <w:rsid w:val="00366CEB"/>
    <w:rsid w:val="00366D8A"/>
    <w:rsid w:val="003679D3"/>
    <w:rsid w:val="00367A87"/>
    <w:rsid w:val="003703CE"/>
    <w:rsid w:val="00371C6D"/>
    <w:rsid w:val="00372C89"/>
    <w:rsid w:val="00372E9A"/>
    <w:rsid w:val="00374677"/>
    <w:rsid w:val="0037632F"/>
    <w:rsid w:val="00377B26"/>
    <w:rsid w:val="00381014"/>
    <w:rsid w:val="00381F60"/>
    <w:rsid w:val="00382F6C"/>
    <w:rsid w:val="00383AB0"/>
    <w:rsid w:val="00384814"/>
    <w:rsid w:val="00384C0A"/>
    <w:rsid w:val="00385B16"/>
    <w:rsid w:val="0038637D"/>
    <w:rsid w:val="00386C07"/>
    <w:rsid w:val="00386F58"/>
    <w:rsid w:val="0038700D"/>
    <w:rsid w:val="0038701B"/>
    <w:rsid w:val="00390C0D"/>
    <w:rsid w:val="00391447"/>
    <w:rsid w:val="003922DE"/>
    <w:rsid w:val="00393B84"/>
    <w:rsid w:val="00393C6A"/>
    <w:rsid w:val="003944EA"/>
    <w:rsid w:val="00394639"/>
    <w:rsid w:val="003962E6"/>
    <w:rsid w:val="00396831"/>
    <w:rsid w:val="003A03EF"/>
    <w:rsid w:val="003A12B6"/>
    <w:rsid w:val="003A20D5"/>
    <w:rsid w:val="003A24CC"/>
    <w:rsid w:val="003A2EE8"/>
    <w:rsid w:val="003A373C"/>
    <w:rsid w:val="003A3E10"/>
    <w:rsid w:val="003A5378"/>
    <w:rsid w:val="003A5567"/>
    <w:rsid w:val="003A7E2B"/>
    <w:rsid w:val="003A7E40"/>
    <w:rsid w:val="003B0336"/>
    <w:rsid w:val="003B0A3A"/>
    <w:rsid w:val="003B4810"/>
    <w:rsid w:val="003B514E"/>
    <w:rsid w:val="003B5E0A"/>
    <w:rsid w:val="003B613B"/>
    <w:rsid w:val="003B636A"/>
    <w:rsid w:val="003C011C"/>
    <w:rsid w:val="003C435B"/>
    <w:rsid w:val="003C4EBE"/>
    <w:rsid w:val="003C685A"/>
    <w:rsid w:val="003C6E9C"/>
    <w:rsid w:val="003C7F12"/>
    <w:rsid w:val="003D03D6"/>
    <w:rsid w:val="003D04C3"/>
    <w:rsid w:val="003D14C8"/>
    <w:rsid w:val="003D1517"/>
    <w:rsid w:val="003D2DA0"/>
    <w:rsid w:val="003D34C3"/>
    <w:rsid w:val="003D5681"/>
    <w:rsid w:val="003D5ADB"/>
    <w:rsid w:val="003D62A2"/>
    <w:rsid w:val="003D663E"/>
    <w:rsid w:val="003D6793"/>
    <w:rsid w:val="003D6B03"/>
    <w:rsid w:val="003D75D8"/>
    <w:rsid w:val="003E0746"/>
    <w:rsid w:val="003E0E7C"/>
    <w:rsid w:val="003E2E25"/>
    <w:rsid w:val="003E336A"/>
    <w:rsid w:val="003E35A8"/>
    <w:rsid w:val="003E60DA"/>
    <w:rsid w:val="003E61F6"/>
    <w:rsid w:val="003E6439"/>
    <w:rsid w:val="003E6E00"/>
    <w:rsid w:val="003E725A"/>
    <w:rsid w:val="003E7940"/>
    <w:rsid w:val="003F01BD"/>
    <w:rsid w:val="003F048E"/>
    <w:rsid w:val="003F0AFF"/>
    <w:rsid w:val="003F2C48"/>
    <w:rsid w:val="003F3D90"/>
    <w:rsid w:val="003F53BB"/>
    <w:rsid w:val="003F56B8"/>
    <w:rsid w:val="00400CCB"/>
    <w:rsid w:val="00401373"/>
    <w:rsid w:val="00401386"/>
    <w:rsid w:val="00401E31"/>
    <w:rsid w:val="004035D0"/>
    <w:rsid w:val="00403795"/>
    <w:rsid w:val="00405764"/>
    <w:rsid w:val="00406745"/>
    <w:rsid w:val="00406B32"/>
    <w:rsid w:val="004074FA"/>
    <w:rsid w:val="00407A56"/>
    <w:rsid w:val="00407FC3"/>
    <w:rsid w:val="00407FCC"/>
    <w:rsid w:val="004113C9"/>
    <w:rsid w:val="0041461A"/>
    <w:rsid w:val="00414909"/>
    <w:rsid w:val="00415034"/>
    <w:rsid w:val="00415B1A"/>
    <w:rsid w:val="00415F72"/>
    <w:rsid w:val="004160C1"/>
    <w:rsid w:val="0041690F"/>
    <w:rsid w:val="00416D41"/>
    <w:rsid w:val="00417264"/>
    <w:rsid w:val="004210C0"/>
    <w:rsid w:val="004211DD"/>
    <w:rsid w:val="00421442"/>
    <w:rsid w:val="00421762"/>
    <w:rsid w:val="00421D4B"/>
    <w:rsid w:val="00421ED8"/>
    <w:rsid w:val="004233AD"/>
    <w:rsid w:val="00425724"/>
    <w:rsid w:val="00426B2C"/>
    <w:rsid w:val="00427FA8"/>
    <w:rsid w:val="004306D4"/>
    <w:rsid w:val="00432ECA"/>
    <w:rsid w:val="004357B1"/>
    <w:rsid w:val="00436CCE"/>
    <w:rsid w:val="004379BB"/>
    <w:rsid w:val="00440262"/>
    <w:rsid w:val="00440814"/>
    <w:rsid w:val="00440844"/>
    <w:rsid w:val="00443EDE"/>
    <w:rsid w:val="0044739A"/>
    <w:rsid w:val="004475F7"/>
    <w:rsid w:val="00447DFB"/>
    <w:rsid w:val="00450B22"/>
    <w:rsid w:val="004533CE"/>
    <w:rsid w:val="004543AB"/>
    <w:rsid w:val="00455F71"/>
    <w:rsid w:val="00456272"/>
    <w:rsid w:val="00457CF7"/>
    <w:rsid w:val="00457D37"/>
    <w:rsid w:val="00460E68"/>
    <w:rsid w:val="00461F80"/>
    <w:rsid w:val="0046240D"/>
    <w:rsid w:val="00463576"/>
    <w:rsid w:val="0046399D"/>
    <w:rsid w:val="00465264"/>
    <w:rsid w:val="00465781"/>
    <w:rsid w:val="00465A21"/>
    <w:rsid w:val="00466ABA"/>
    <w:rsid w:val="004672B9"/>
    <w:rsid w:val="0046775D"/>
    <w:rsid w:val="00471387"/>
    <w:rsid w:val="00471963"/>
    <w:rsid w:val="00473308"/>
    <w:rsid w:val="004749DA"/>
    <w:rsid w:val="004749DC"/>
    <w:rsid w:val="00474DEF"/>
    <w:rsid w:val="004750B9"/>
    <w:rsid w:val="004754AC"/>
    <w:rsid w:val="004758E7"/>
    <w:rsid w:val="00475F67"/>
    <w:rsid w:val="004764C6"/>
    <w:rsid w:val="00477247"/>
    <w:rsid w:val="00477529"/>
    <w:rsid w:val="004776BB"/>
    <w:rsid w:val="00480DC5"/>
    <w:rsid w:val="0048144A"/>
    <w:rsid w:val="00481886"/>
    <w:rsid w:val="00482288"/>
    <w:rsid w:val="00483984"/>
    <w:rsid w:val="00483BC7"/>
    <w:rsid w:val="00483CF0"/>
    <w:rsid w:val="00484D4D"/>
    <w:rsid w:val="004855D9"/>
    <w:rsid w:val="0048664F"/>
    <w:rsid w:val="004868AD"/>
    <w:rsid w:val="00486D00"/>
    <w:rsid w:val="00487FE1"/>
    <w:rsid w:val="00490707"/>
    <w:rsid w:val="00490815"/>
    <w:rsid w:val="004914E8"/>
    <w:rsid w:val="00492B76"/>
    <w:rsid w:val="0049333E"/>
    <w:rsid w:val="0049418F"/>
    <w:rsid w:val="00495DC6"/>
    <w:rsid w:val="00497AAD"/>
    <w:rsid w:val="00497D1A"/>
    <w:rsid w:val="004A1DBC"/>
    <w:rsid w:val="004A1EA7"/>
    <w:rsid w:val="004A2C96"/>
    <w:rsid w:val="004A4125"/>
    <w:rsid w:val="004A7364"/>
    <w:rsid w:val="004B026C"/>
    <w:rsid w:val="004B0271"/>
    <w:rsid w:val="004B0BE8"/>
    <w:rsid w:val="004B0E4A"/>
    <w:rsid w:val="004B2463"/>
    <w:rsid w:val="004B305F"/>
    <w:rsid w:val="004B34C4"/>
    <w:rsid w:val="004B3981"/>
    <w:rsid w:val="004B3AD7"/>
    <w:rsid w:val="004B419F"/>
    <w:rsid w:val="004B7317"/>
    <w:rsid w:val="004B75B2"/>
    <w:rsid w:val="004C11A9"/>
    <w:rsid w:val="004C27CF"/>
    <w:rsid w:val="004C2CA7"/>
    <w:rsid w:val="004C38E3"/>
    <w:rsid w:val="004C45C8"/>
    <w:rsid w:val="004C612E"/>
    <w:rsid w:val="004C6C0A"/>
    <w:rsid w:val="004C7180"/>
    <w:rsid w:val="004C77FF"/>
    <w:rsid w:val="004D0223"/>
    <w:rsid w:val="004D12E8"/>
    <w:rsid w:val="004D16A3"/>
    <w:rsid w:val="004D1E41"/>
    <w:rsid w:val="004D6F29"/>
    <w:rsid w:val="004D7F9C"/>
    <w:rsid w:val="004D7FF2"/>
    <w:rsid w:val="004E1D6F"/>
    <w:rsid w:val="004E1F19"/>
    <w:rsid w:val="004E3A2A"/>
    <w:rsid w:val="004E3AB1"/>
    <w:rsid w:val="004E4003"/>
    <w:rsid w:val="004E6746"/>
    <w:rsid w:val="004E75C1"/>
    <w:rsid w:val="004F045E"/>
    <w:rsid w:val="004F07F2"/>
    <w:rsid w:val="004F0E82"/>
    <w:rsid w:val="004F1847"/>
    <w:rsid w:val="004F2982"/>
    <w:rsid w:val="004F2B46"/>
    <w:rsid w:val="004F2C40"/>
    <w:rsid w:val="004F2CB6"/>
    <w:rsid w:val="004F313F"/>
    <w:rsid w:val="004F38CA"/>
    <w:rsid w:val="004F3EEF"/>
    <w:rsid w:val="004F447B"/>
    <w:rsid w:val="004F4FE8"/>
    <w:rsid w:val="004F531B"/>
    <w:rsid w:val="004F5395"/>
    <w:rsid w:val="004F560C"/>
    <w:rsid w:val="004F728A"/>
    <w:rsid w:val="004F7B47"/>
    <w:rsid w:val="005003ED"/>
    <w:rsid w:val="005010BC"/>
    <w:rsid w:val="005020F1"/>
    <w:rsid w:val="005039B8"/>
    <w:rsid w:val="00504CCC"/>
    <w:rsid w:val="0050537D"/>
    <w:rsid w:val="005079F5"/>
    <w:rsid w:val="0051037C"/>
    <w:rsid w:val="0051050F"/>
    <w:rsid w:val="00510DDC"/>
    <w:rsid w:val="00511427"/>
    <w:rsid w:val="005131A2"/>
    <w:rsid w:val="0051440E"/>
    <w:rsid w:val="00514F0B"/>
    <w:rsid w:val="005160EA"/>
    <w:rsid w:val="005173F3"/>
    <w:rsid w:val="00517AC8"/>
    <w:rsid w:val="00517C3E"/>
    <w:rsid w:val="005212F4"/>
    <w:rsid w:val="00521305"/>
    <w:rsid w:val="0052178F"/>
    <w:rsid w:val="00521908"/>
    <w:rsid w:val="00523606"/>
    <w:rsid w:val="005256D6"/>
    <w:rsid w:val="00525AD8"/>
    <w:rsid w:val="00525C01"/>
    <w:rsid w:val="00526429"/>
    <w:rsid w:val="005266C1"/>
    <w:rsid w:val="005267F4"/>
    <w:rsid w:val="00527317"/>
    <w:rsid w:val="00527ED6"/>
    <w:rsid w:val="00531064"/>
    <w:rsid w:val="005335A2"/>
    <w:rsid w:val="00533DEC"/>
    <w:rsid w:val="00536B03"/>
    <w:rsid w:val="00537917"/>
    <w:rsid w:val="00537E83"/>
    <w:rsid w:val="005405B2"/>
    <w:rsid w:val="00540EE7"/>
    <w:rsid w:val="00541A22"/>
    <w:rsid w:val="005426B2"/>
    <w:rsid w:val="00543640"/>
    <w:rsid w:val="005444C6"/>
    <w:rsid w:val="00544F05"/>
    <w:rsid w:val="005454B8"/>
    <w:rsid w:val="00545B56"/>
    <w:rsid w:val="00545DB9"/>
    <w:rsid w:val="00546BF8"/>
    <w:rsid w:val="00550B7E"/>
    <w:rsid w:val="00551B96"/>
    <w:rsid w:val="005524ED"/>
    <w:rsid w:val="00554C03"/>
    <w:rsid w:val="005550F9"/>
    <w:rsid w:val="0055525C"/>
    <w:rsid w:val="0055574E"/>
    <w:rsid w:val="00556386"/>
    <w:rsid w:val="00556441"/>
    <w:rsid w:val="00561903"/>
    <w:rsid w:val="00561A9B"/>
    <w:rsid w:val="00562FB1"/>
    <w:rsid w:val="00563068"/>
    <w:rsid w:val="00564DA7"/>
    <w:rsid w:val="00564EFA"/>
    <w:rsid w:val="00565204"/>
    <w:rsid w:val="00565473"/>
    <w:rsid w:val="00565DAC"/>
    <w:rsid w:val="00565F0D"/>
    <w:rsid w:val="005662DC"/>
    <w:rsid w:val="00566329"/>
    <w:rsid w:val="005701C2"/>
    <w:rsid w:val="0057117C"/>
    <w:rsid w:val="00573560"/>
    <w:rsid w:val="0057438C"/>
    <w:rsid w:val="00574E7B"/>
    <w:rsid w:val="00576B5C"/>
    <w:rsid w:val="00580DFC"/>
    <w:rsid w:val="00581EC5"/>
    <w:rsid w:val="00581F85"/>
    <w:rsid w:val="00583D43"/>
    <w:rsid w:val="005846C3"/>
    <w:rsid w:val="00584F04"/>
    <w:rsid w:val="0058577D"/>
    <w:rsid w:val="005857F7"/>
    <w:rsid w:val="0058589A"/>
    <w:rsid w:val="0058767F"/>
    <w:rsid w:val="00587D7B"/>
    <w:rsid w:val="005901B7"/>
    <w:rsid w:val="005904DB"/>
    <w:rsid w:val="00592825"/>
    <w:rsid w:val="005931BD"/>
    <w:rsid w:val="00593806"/>
    <w:rsid w:val="00594437"/>
    <w:rsid w:val="005955EB"/>
    <w:rsid w:val="0059683E"/>
    <w:rsid w:val="00596CFA"/>
    <w:rsid w:val="005975CE"/>
    <w:rsid w:val="005A1A31"/>
    <w:rsid w:val="005A36C2"/>
    <w:rsid w:val="005A3719"/>
    <w:rsid w:val="005A3A4F"/>
    <w:rsid w:val="005A3DD7"/>
    <w:rsid w:val="005A418C"/>
    <w:rsid w:val="005A48B5"/>
    <w:rsid w:val="005A4F48"/>
    <w:rsid w:val="005A5036"/>
    <w:rsid w:val="005A56BB"/>
    <w:rsid w:val="005A733D"/>
    <w:rsid w:val="005A7A32"/>
    <w:rsid w:val="005A7F85"/>
    <w:rsid w:val="005B102C"/>
    <w:rsid w:val="005B1AAB"/>
    <w:rsid w:val="005B2930"/>
    <w:rsid w:val="005B2B87"/>
    <w:rsid w:val="005B387B"/>
    <w:rsid w:val="005B3B01"/>
    <w:rsid w:val="005B4333"/>
    <w:rsid w:val="005B4534"/>
    <w:rsid w:val="005B4F0B"/>
    <w:rsid w:val="005B5603"/>
    <w:rsid w:val="005B5994"/>
    <w:rsid w:val="005B61F4"/>
    <w:rsid w:val="005B667A"/>
    <w:rsid w:val="005B6FA1"/>
    <w:rsid w:val="005C0372"/>
    <w:rsid w:val="005C039B"/>
    <w:rsid w:val="005C059F"/>
    <w:rsid w:val="005C07CE"/>
    <w:rsid w:val="005C0B8F"/>
    <w:rsid w:val="005C2294"/>
    <w:rsid w:val="005C3344"/>
    <w:rsid w:val="005C4C71"/>
    <w:rsid w:val="005C4E4D"/>
    <w:rsid w:val="005C5A97"/>
    <w:rsid w:val="005C679D"/>
    <w:rsid w:val="005C6D5D"/>
    <w:rsid w:val="005D01C3"/>
    <w:rsid w:val="005D2578"/>
    <w:rsid w:val="005D266D"/>
    <w:rsid w:val="005D3327"/>
    <w:rsid w:val="005D5BCF"/>
    <w:rsid w:val="005D6D84"/>
    <w:rsid w:val="005D70A1"/>
    <w:rsid w:val="005D79F2"/>
    <w:rsid w:val="005E09CA"/>
    <w:rsid w:val="005E4543"/>
    <w:rsid w:val="005E4717"/>
    <w:rsid w:val="005E4B55"/>
    <w:rsid w:val="005E565C"/>
    <w:rsid w:val="005E56C9"/>
    <w:rsid w:val="005E5CF7"/>
    <w:rsid w:val="005E704E"/>
    <w:rsid w:val="005E721E"/>
    <w:rsid w:val="005E75E3"/>
    <w:rsid w:val="005F0857"/>
    <w:rsid w:val="005F2CD5"/>
    <w:rsid w:val="005F403D"/>
    <w:rsid w:val="005F5A0D"/>
    <w:rsid w:val="005F61DF"/>
    <w:rsid w:val="005F77F8"/>
    <w:rsid w:val="00600FF9"/>
    <w:rsid w:val="006011E3"/>
    <w:rsid w:val="0060150C"/>
    <w:rsid w:val="00601F66"/>
    <w:rsid w:val="00601F8F"/>
    <w:rsid w:val="00603373"/>
    <w:rsid w:val="006036D0"/>
    <w:rsid w:val="006042CD"/>
    <w:rsid w:val="006054A5"/>
    <w:rsid w:val="006059E4"/>
    <w:rsid w:val="006062A0"/>
    <w:rsid w:val="0061098D"/>
    <w:rsid w:val="00611367"/>
    <w:rsid w:val="00611AC8"/>
    <w:rsid w:val="00611B59"/>
    <w:rsid w:val="00611FBA"/>
    <w:rsid w:val="0061272A"/>
    <w:rsid w:val="00613AA2"/>
    <w:rsid w:val="006155F1"/>
    <w:rsid w:val="00615FAB"/>
    <w:rsid w:val="00620055"/>
    <w:rsid w:val="006212D3"/>
    <w:rsid w:val="0062213A"/>
    <w:rsid w:val="00623A5E"/>
    <w:rsid w:val="00625008"/>
    <w:rsid w:val="00626930"/>
    <w:rsid w:val="00626BAC"/>
    <w:rsid w:val="00626F04"/>
    <w:rsid w:val="006271C3"/>
    <w:rsid w:val="0063001E"/>
    <w:rsid w:val="00630D58"/>
    <w:rsid w:val="00631005"/>
    <w:rsid w:val="00632727"/>
    <w:rsid w:val="00633EF3"/>
    <w:rsid w:val="00635B73"/>
    <w:rsid w:val="006368A8"/>
    <w:rsid w:val="00636CC7"/>
    <w:rsid w:val="00637F27"/>
    <w:rsid w:val="00643F89"/>
    <w:rsid w:val="00644BED"/>
    <w:rsid w:val="00644E2E"/>
    <w:rsid w:val="00645CB4"/>
    <w:rsid w:val="00651F59"/>
    <w:rsid w:val="00652CF5"/>
    <w:rsid w:val="0065343E"/>
    <w:rsid w:val="00653C7C"/>
    <w:rsid w:val="006540B1"/>
    <w:rsid w:val="006558CD"/>
    <w:rsid w:val="00656CD4"/>
    <w:rsid w:val="00656D49"/>
    <w:rsid w:val="00656E4D"/>
    <w:rsid w:val="006576BA"/>
    <w:rsid w:val="00662401"/>
    <w:rsid w:val="00662D3D"/>
    <w:rsid w:val="00662F1F"/>
    <w:rsid w:val="00664DB5"/>
    <w:rsid w:val="006673B9"/>
    <w:rsid w:val="0066790C"/>
    <w:rsid w:val="006700F1"/>
    <w:rsid w:val="006720BC"/>
    <w:rsid w:val="00672D0F"/>
    <w:rsid w:val="00673B64"/>
    <w:rsid w:val="00673FC1"/>
    <w:rsid w:val="00675430"/>
    <w:rsid w:val="00675749"/>
    <w:rsid w:val="00677382"/>
    <w:rsid w:val="0067772D"/>
    <w:rsid w:val="00680714"/>
    <w:rsid w:val="0068071D"/>
    <w:rsid w:val="00680C6B"/>
    <w:rsid w:val="00681936"/>
    <w:rsid w:val="00683068"/>
    <w:rsid w:val="00683DAD"/>
    <w:rsid w:val="0068443C"/>
    <w:rsid w:val="00684727"/>
    <w:rsid w:val="00684963"/>
    <w:rsid w:val="00684F04"/>
    <w:rsid w:val="00685033"/>
    <w:rsid w:val="00685D65"/>
    <w:rsid w:val="00687031"/>
    <w:rsid w:val="0068790B"/>
    <w:rsid w:val="00687AF2"/>
    <w:rsid w:val="00687DA2"/>
    <w:rsid w:val="00687E87"/>
    <w:rsid w:val="006901AC"/>
    <w:rsid w:val="0069063A"/>
    <w:rsid w:val="00691890"/>
    <w:rsid w:val="006945A1"/>
    <w:rsid w:val="00694982"/>
    <w:rsid w:val="00695EAC"/>
    <w:rsid w:val="00697062"/>
    <w:rsid w:val="006971F8"/>
    <w:rsid w:val="00697D5F"/>
    <w:rsid w:val="006A060C"/>
    <w:rsid w:val="006A150D"/>
    <w:rsid w:val="006A1526"/>
    <w:rsid w:val="006A39D0"/>
    <w:rsid w:val="006A4321"/>
    <w:rsid w:val="006A61EE"/>
    <w:rsid w:val="006B0580"/>
    <w:rsid w:val="006B0F30"/>
    <w:rsid w:val="006B1D06"/>
    <w:rsid w:val="006B2823"/>
    <w:rsid w:val="006B33DB"/>
    <w:rsid w:val="006B4CF8"/>
    <w:rsid w:val="006B5FBC"/>
    <w:rsid w:val="006B6ED2"/>
    <w:rsid w:val="006C0230"/>
    <w:rsid w:val="006C09CC"/>
    <w:rsid w:val="006C09F4"/>
    <w:rsid w:val="006C3EFE"/>
    <w:rsid w:val="006C5D5D"/>
    <w:rsid w:val="006C6303"/>
    <w:rsid w:val="006C6D6B"/>
    <w:rsid w:val="006C6EBD"/>
    <w:rsid w:val="006D0681"/>
    <w:rsid w:val="006D0A80"/>
    <w:rsid w:val="006D312B"/>
    <w:rsid w:val="006D43C1"/>
    <w:rsid w:val="006D5442"/>
    <w:rsid w:val="006D6E4E"/>
    <w:rsid w:val="006E00E3"/>
    <w:rsid w:val="006E045C"/>
    <w:rsid w:val="006E065E"/>
    <w:rsid w:val="006E189B"/>
    <w:rsid w:val="006E2902"/>
    <w:rsid w:val="006E2F9D"/>
    <w:rsid w:val="006E37C6"/>
    <w:rsid w:val="006E41ED"/>
    <w:rsid w:val="006E4667"/>
    <w:rsid w:val="006F2046"/>
    <w:rsid w:val="006F41F4"/>
    <w:rsid w:val="006F5813"/>
    <w:rsid w:val="006F59A8"/>
    <w:rsid w:val="006F5A1D"/>
    <w:rsid w:val="006F71A6"/>
    <w:rsid w:val="006F7974"/>
    <w:rsid w:val="006F7C2C"/>
    <w:rsid w:val="00700D18"/>
    <w:rsid w:val="007010CB"/>
    <w:rsid w:val="0070168D"/>
    <w:rsid w:val="00701C36"/>
    <w:rsid w:val="0070283C"/>
    <w:rsid w:val="0070353F"/>
    <w:rsid w:val="0070415E"/>
    <w:rsid w:val="00704D34"/>
    <w:rsid w:val="00705060"/>
    <w:rsid w:val="00705351"/>
    <w:rsid w:val="007069AE"/>
    <w:rsid w:val="00706C89"/>
    <w:rsid w:val="00707967"/>
    <w:rsid w:val="00710257"/>
    <w:rsid w:val="007119DC"/>
    <w:rsid w:val="00711CC7"/>
    <w:rsid w:val="0071294A"/>
    <w:rsid w:val="00712BDD"/>
    <w:rsid w:val="00712E1E"/>
    <w:rsid w:val="00712F37"/>
    <w:rsid w:val="00713A6B"/>
    <w:rsid w:val="0071499C"/>
    <w:rsid w:val="00714F73"/>
    <w:rsid w:val="0071604D"/>
    <w:rsid w:val="00716186"/>
    <w:rsid w:val="00716DE6"/>
    <w:rsid w:val="0071724E"/>
    <w:rsid w:val="0071732D"/>
    <w:rsid w:val="00720AEE"/>
    <w:rsid w:val="007210F6"/>
    <w:rsid w:val="0072139F"/>
    <w:rsid w:val="00721FC3"/>
    <w:rsid w:val="00722A86"/>
    <w:rsid w:val="00722C69"/>
    <w:rsid w:val="0072388C"/>
    <w:rsid w:val="00726665"/>
    <w:rsid w:val="007266B9"/>
    <w:rsid w:val="00726B00"/>
    <w:rsid w:val="007278FE"/>
    <w:rsid w:val="00727AC5"/>
    <w:rsid w:val="00727C65"/>
    <w:rsid w:val="00731872"/>
    <w:rsid w:val="00731EA1"/>
    <w:rsid w:val="00734932"/>
    <w:rsid w:val="007364A3"/>
    <w:rsid w:val="007378FD"/>
    <w:rsid w:val="007413EB"/>
    <w:rsid w:val="00742D32"/>
    <w:rsid w:val="00742E9B"/>
    <w:rsid w:val="007444E6"/>
    <w:rsid w:val="0074592C"/>
    <w:rsid w:val="00747578"/>
    <w:rsid w:val="00751073"/>
    <w:rsid w:val="00752188"/>
    <w:rsid w:val="0075281E"/>
    <w:rsid w:val="00752CC6"/>
    <w:rsid w:val="00754580"/>
    <w:rsid w:val="00754A29"/>
    <w:rsid w:val="00755BCF"/>
    <w:rsid w:val="00756C5F"/>
    <w:rsid w:val="00756D69"/>
    <w:rsid w:val="00757029"/>
    <w:rsid w:val="0076093D"/>
    <w:rsid w:val="00760C5C"/>
    <w:rsid w:val="0076161B"/>
    <w:rsid w:val="00761CB5"/>
    <w:rsid w:val="0076228C"/>
    <w:rsid w:val="00763137"/>
    <w:rsid w:val="00763278"/>
    <w:rsid w:val="0076417E"/>
    <w:rsid w:val="007675DD"/>
    <w:rsid w:val="007705F0"/>
    <w:rsid w:val="00770A16"/>
    <w:rsid w:val="0077150D"/>
    <w:rsid w:val="00771CAC"/>
    <w:rsid w:val="00772036"/>
    <w:rsid w:val="007739A3"/>
    <w:rsid w:val="00773BD9"/>
    <w:rsid w:val="00773CB0"/>
    <w:rsid w:val="00773D71"/>
    <w:rsid w:val="007752EB"/>
    <w:rsid w:val="00775526"/>
    <w:rsid w:val="0077765A"/>
    <w:rsid w:val="00780032"/>
    <w:rsid w:val="00780E86"/>
    <w:rsid w:val="00781727"/>
    <w:rsid w:val="00781F96"/>
    <w:rsid w:val="007823F9"/>
    <w:rsid w:val="00782D32"/>
    <w:rsid w:val="007830E9"/>
    <w:rsid w:val="00783959"/>
    <w:rsid w:val="0078585F"/>
    <w:rsid w:val="00786CBB"/>
    <w:rsid w:val="0079038E"/>
    <w:rsid w:val="00792909"/>
    <w:rsid w:val="00792A00"/>
    <w:rsid w:val="00792C3F"/>
    <w:rsid w:val="00792EE2"/>
    <w:rsid w:val="00793105"/>
    <w:rsid w:val="007931E8"/>
    <w:rsid w:val="00793333"/>
    <w:rsid w:val="00794E46"/>
    <w:rsid w:val="00794FB6"/>
    <w:rsid w:val="007952DE"/>
    <w:rsid w:val="00795479"/>
    <w:rsid w:val="00796292"/>
    <w:rsid w:val="007972D5"/>
    <w:rsid w:val="007978E8"/>
    <w:rsid w:val="007A0789"/>
    <w:rsid w:val="007A130E"/>
    <w:rsid w:val="007A18B1"/>
    <w:rsid w:val="007A1BBD"/>
    <w:rsid w:val="007A1F08"/>
    <w:rsid w:val="007A25FA"/>
    <w:rsid w:val="007A3520"/>
    <w:rsid w:val="007A3878"/>
    <w:rsid w:val="007A3D85"/>
    <w:rsid w:val="007A54F6"/>
    <w:rsid w:val="007A5950"/>
    <w:rsid w:val="007A6D91"/>
    <w:rsid w:val="007B0306"/>
    <w:rsid w:val="007B2705"/>
    <w:rsid w:val="007B2E54"/>
    <w:rsid w:val="007B3A8E"/>
    <w:rsid w:val="007B3C9B"/>
    <w:rsid w:val="007B54B7"/>
    <w:rsid w:val="007B54C7"/>
    <w:rsid w:val="007B5DC5"/>
    <w:rsid w:val="007B63FC"/>
    <w:rsid w:val="007B6708"/>
    <w:rsid w:val="007B6E8D"/>
    <w:rsid w:val="007B722F"/>
    <w:rsid w:val="007B755E"/>
    <w:rsid w:val="007C029E"/>
    <w:rsid w:val="007C0636"/>
    <w:rsid w:val="007C10E4"/>
    <w:rsid w:val="007C2434"/>
    <w:rsid w:val="007C27E0"/>
    <w:rsid w:val="007C3590"/>
    <w:rsid w:val="007C387A"/>
    <w:rsid w:val="007C43D6"/>
    <w:rsid w:val="007C660F"/>
    <w:rsid w:val="007C69AE"/>
    <w:rsid w:val="007C7688"/>
    <w:rsid w:val="007C76E3"/>
    <w:rsid w:val="007C7DD9"/>
    <w:rsid w:val="007D128D"/>
    <w:rsid w:val="007D1667"/>
    <w:rsid w:val="007D2606"/>
    <w:rsid w:val="007D2836"/>
    <w:rsid w:val="007D2932"/>
    <w:rsid w:val="007D2C31"/>
    <w:rsid w:val="007D445F"/>
    <w:rsid w:val="007D4DED"/>
    <w:rsid w:val="007D5BA2"/>
    <w:rsid w:val="007D5ED3"/>
    <w:rsid w:val="007D6FB9"/>
    <w:rsid w:val="007E0A63"/>
    <w:rsid w:val="007E0C63"/>
    <w:rsid w:val="007E1DF8"/>
    <w:rsid w:val="007E404E"/>
    <w:rsid w:val="007E4EB3"/>
    <w:rsid w:val="007E50B4"/>
    <w:rsid w:val="007E54B8"/>
    <w:rsid w:val="007E54DB"/>
    <w:rsid w:val="007E6B25"/>
    <w:rsid w:val="007E6F55"/>
    <w:rsid w:val="007E7BF9"/>
    <w:rsid w:val="007F2B4B"/>
    <w:rsid w:val="007F2C38"/>
    <w:rsid w:val="007F30C6"/>
    <w:rsid w:val="007F3651"/>
    <w:rsid w:val="007F3752"/>
    <w:rsid w:val="007F4318"/>
    <w:rsid w:val="007F47DA"/>
    <w:rsid w:val="007F4E52"/>
    <w:rsid w:val="007F4F84"/>
    <w:rsid w:val="007F55A4"/>
    <w:rsid w:val="007F661E"/>
    <w:rsid w:val="007F6D6B"/>
    <w:rsid w:val="007F74DA"/>
    <w:rsid w:val="007F75BB"/>
    <w:rsid w:val="00800766"/>
    <w:rsid w:val="00801D90"/>
    <w:rsid w:val="0080348B"/>
    <w:rsid w:val="00803EB0"/>
    <w:rsid w:val="008052CE"/>
    <w:rsid w:val="008052DB"/>
    <w:rsid w:val="0080705B"/>
    <w:rsid w:val="0081000F"/>
    <w:rsid w:val="0081264E"/>
    <w:rsid w:val="00812A1A"/>
    <w:rsid w:val="00812DFF"/>
    <w:rsid w:val="0081383A"/>
    <w:rsid w:val="00814DE6"/>
    <w:rsid w:val="00814FC7"/>
    <w:rsid w:val="00816CB4"/>
    <w:rsid w:val="00816FE0"/>
    <w:rsid w:val="00817416"/>
    <w:rsid w:val="00817583"/>
    <w:rsid w:val="00817FAD"/>
    <w:rsid w:val="00821306"/>
    <w:rsid w:val="00821D85"/>
    <w:rsid w:val="0082207E"/>
    <w:rsid w:val="00823FFD"/>
    <w:rsid w:val="008241F0"/>
    <w:rsid w:val="0082427D"/>
    <w:rsid w:val="0082646C"/>
    <w:rsid w:val="00827E2A"/>
    <w:rsid w:val="00830052"/>
    <w:rsid w:val="008300D0"/>
    <w:rsid w:val="0083257C"/>
    <w:rsid w:val="00833307"/>
    <w:rsid w:val="00833583"/>
    <w:rsid w:val="00833B5B"/>
    <w:rsid w:val="00833E9A"/>
    <w:rsid w:val="00834FEF"/>
    <w:rsid w:val="00836323"/>
    <w:rsid w:val="00836492"/>
    <w:rsid w:val="008366FE"/>
    <w:rsid w:val="008404AA"/>
    <w:rsid w:val="00841F29"/>
    <w:rsid w:val="00842A0D"/>
    <w:rsid w:val="008460D2"/>
    <w:rsid w:val="00850013"/>
    <w:rsid w:val="008500DD"/>
    <w:rsid w:val="00852426"/>
    <w:rsid w:val="00852FA5"/>
    <w:rsid w:val="0085476F"/>
    <w:rsid w:val="0085562D"/>
    <w:rsid w:val="00856154"/>
    <w:rsid w:val="00856286"/>
    <w:rsid w:val="008576B0"/>
    <w:rsid w:val="00861948"/>
    <w:rsid w:val="00862011"/>
    <w:rsid w:val="0086213D"/>
    <w:rsid w:val="0086290B"/>
    <w:rsid w:val="00862A15"/>
    <w:rsid w:val="00862D8E"/>
    <w:rsid w:val="00862EF2"/>
    <w:rsid w:val="00866453"/>
    <w:rsid w:val="0086707F"/>
    <w:rsid w:val="00867501"/>
    <w:rsid w:val="0087099A"/>
    <w:rsid w:val="00871333"/>
    <w:rsid w:val="00873128"/>
    <w:rsid w:val="00873AAC"/>
    <w:rsid w:val="00873C61"/>
    <w:rsid w:val="008749BF"/>
    <w:rsid w:val="00875542"/>
    <w:rsid w:val="00875E14"/>
    <w:rsid w:val="0087677E"/>
    <w:rsid w:val="0087712C"/>
    <w:rsid w:val="00877C5D"/>
    <w:rsid w:val="00877CB6"/>
    <w:rsid w:val="0088093C"/>
    <w:rsid w:val="00882474"/>
    <w:rsid w:val="008824DF"/>
    <w:rsid w:val="00884371"/>
    <w:rsid w:val="00884D47"/>
    <w:rsid w:val="00887392"/>
    <w:rsid w:val="00890C40"/>
    <w:rsid w:val="008911F7"/>
    <w:rsid w:val="00893F41"/>
    <w:rsid w:val="00894BBD"/>
    <w:rsid w:val="00894C79"/>
    <w:rsid w:val="0089558A"/>
    <w:rsid w:val="008972B6"/>
    <w:rsid w:val="008977E1"/>
    <w:rsid w:val="008A2F5A"/>
    <w:rsid w:val="008A47CE"/>
    <w:rsid w:val="008A5CBF"/>
    <w:rsid w:val="008A6BAE"/>
    <w:rsid w:val="008A7350"/>
    <w:rsid w:val="008B16E6"/>
    <w:rsid w:val="008B2042"/>
    <w:rsid w:val="008B25F1"/>
    <w:rsid w:val="008B3737"/>
    <w:rsid w:val="008B3F4B"/>
    <w:rsid w:val="008B69B8"/>
    <w:rsid w:val="008C0335"/>
    <w:rsid w:val="008C094A"/>
    <w:rsid w:val="008C1077"/>
    <w:rsid w:val="008C1570"/>
    <w:rsid w:val="008C2059"/>
    <w:rsid w:val="008C58E7"/>
    <w:rsid w:val="008C65F4"/>
    <w:rsid w:val="008C7368"/>
    <w:rsid w:val="008D0E65"/>
    <w:rsid w:val="008D18D0"/>
    <w:rsid w:val="008D1FAF"/>
    <w:rsid w:val="008D2259"/>
    <w:rsid w:val="008D33FE"/>
    <w:rsid w:val="008D3B9F"/>
    <w:rsid w:val="008D3D02"/>
    <w:rsid w:val="008D54C0"/>
    <w:rsid w:val="008D5760"/>
    <w:rsid w:val="008D577E"/>
    <w:rsid w:val="008D5ED9"/>
    <w:rsid w:val="008D7567"/>
    <w:rsid w:val="008E1C24"/>
    <w:rsid w:val="008E2626"/>
    <w:rsid w:val="008E27A9"/>
    <w:rsid w:val="008E323C"/>
    <w:rsid w:val="008E35A6"/>
    <w:rsid w:val="008E3A5C"/>
    <w:rsid w:val="008E3A9A"/>
    <w:rsid w:val="008E429E"/>
    <w:rsid w:val="008E5452"/>
    <w:rsid w:val="008E7EAE"/>
    <w:rsid w:val="008F2F11"/>
    <w:rsid w:val="008F33A6"/>
    <w:rsid w:val="008F35EC"/>
    <w:rsid w:val="008F4FE8"/>
    <w:rsid w:val="008F4FED"/>
    <w:rsid w:val="008F6200"/>
    <w:rsid w:val="008F62F8"/>
    <w:rsid w:val="008F7292"/>
    <w:rsid w:val="008F7BE1"/>
    <w:rsid w:val="009000F2"/>
    <w:rsid w:val="0090079D"/>
    <w:rsid w:val="00900D2C"/>
    <w:rsid w:val="00901F0E"/>
    <w:rsid w:val="0090408F"/>
    <w:rsid w:val="0090446A"/>
    <w:rsid w:val="00904DC3"/>
    <w:rsid w:val="00905469"/>
    <w:rsid w:val="0090629C"/>
    <w:rsid w:val="009065C6"/>
    <w:rsid w:val="00906EA2"/>
    <w:rsid w:val="00907278"/>
    <w:rsid w:val="009128B8"/>
    <w:rsid w:val="0091328F"/>
    <w:rsid w:val="00915679"/>
    <w:rsid w:val="009159C2"/>
    <w:rsid w:val="009175AF"/>
    <w:rsid w:val="00920A06"/>
    <w:rsid w:val="009221CB"/>
    <w:rsid w:val="00922320"/>
    <w:rsid w:val="00923643"/>
    <w:rsid w:val="009261DB"/>
    <w:rsid w:val="0092623E"/>
    <w:rsid w:val="00931C63"/>
    <w:rsid w:val="00931D10"/>
    <w:rsid w:val="0093386D"/>
    <w:rsid w:val="00935194"/>
    <w:rsid w:val="0094015D"/>
    <w:rsid w:val="009441DB"/>
    <w:rsid w:val="0094424D"/>
    <w:rsid w:val="0094568E"/>
    <w:rsid w:val="0094633F"/>
    <w:rsid w:val="009468C5"/>
    <w:rsid w:val="00947BA5"/>
    <w:rsid w:val="009504B5"/>
    <w:rsid w:val="00950805"/>
    <w:rsid w:val="009518D4"/>
    <w:rsid w:val="009520BC"/>
    <w:rsid w:val="00953573"/>
    <w:rsid w:val="00957499"/>
    <w:rsid w:val="00957ED2"/>
    <w:rsid w:val="0096049C"/>
    <w:rsid w:val="00960DE4"/>
    <w:rsid w:val="00961A4F"/>
    <w:rsid w:val="00962C9E"/>
    <w:rsid w:val="00963F03"/>
    <w:rsid w:val="00964007"/>
    <w:rsid w:val="009643F4"/>
    <w:rsid w:val="00964F5A"/>
    <w:rsid w:val="00966AD2"/>
    <w:rsid w:val="00967FC5"/>
    <w:rsid w:val="009716D8"/>
    <w:rsid w:val="00971F54"/>
    <w:rsid w:val="00972057"/>
    <w:rsid w:val="0097227B"/>
    <w:rsid w:val="0097262E"/>
    <w:rsid w:val="00974022"/>
    <w:rsid w:val="0097564A"/>
    <w:rsid w:val="009772F2"/>
    <w:rsid w:val="009778CF"/>
    <w:rsid w:val="00977B97"/>
    <w:rsid w:val="009810BE"/>
    <w:rsid w:val="009819A7"/>
    <w:rsid w:val="009851F5"/>
    <w:rsid w:val="0098534B"/>
    <w:rsid w:val="0098764E"/>
    <w:rsid w:val="00987D58"/>
    <w:rsid w:val="009906D4"/>
    <w:rsid w:val="00990EB7"/>
    <w:rsid w:val="00990F5F"/>
    <w:rsid w:val="00993135"/>
    <w:rsid w:val="00993AC7"/>
    <w:rsid w:val="00997044"/>
    <w:rsid w:val="0099792B"/>
    <w:rsid w:val="009A106B"/>
    <w:rsid w:val="009A2B9F"/>
    <w:rsid w:val="009A2BF3"/>
    <w:rsid w:val="009A3C3E"/>
    <w:rsid w:val="009A7E7C"/>
    <w:rsid w:val="009B2BF1"/>
    <w:rsid w:val="009B3564"/>
    <w:rsid w:val="009B3796"/>
    <w:rsid w:val="009B3D38"/>
    <w:rsid w:val="009B7505"/>
    <w:rsid w:val="009C0020"/>
    <w:rsid w:val="009C19FC"/>
    <w:rsid w:val="009C27F7"/>
    <w:rsid w:val="009C3BC4"/>
    <w:rsid w:val="009C424E"/>
    <w:rsid w:val="009C4708"/>
    <w:rsid w:val="009C4870"/>
    <w:rsid w:val="009C4C4E"/>
    <w:rsid w:val="009C4D37"/>
    <w:rsid w:val="009C574C"/>
    <w:rsid w:val="009C5753"/>
    <w:rsid w:val="009C620F"/>
    <w:rsid w:val="009C7F2B"/>
    <w:rsid w:val="009D1654"/>
    <w:rsid w:val="009D1BDB"/>
    <w:rsid w:val="009D24D5"/>
    <w:rsid w:val="009D256A"/>
    <w:rsid w:val="009D2F9C"/>
    <w:rsid w:val="009D4E4A"/>
    <w:rsid w:val="009D5130"/>
    <w:rsid w:val="009D6081"/>
    <w:rsid w:val="009D678C"/>
    <w:rsid w:val="009D7BC7"/>
    <w:rsid w:val="009D7FAC"/>
    <w:rsid w:val="009E0342"/>
    <w:rsid w:val="009E09AB"/>
    <w:rsid w:val="009E19BB"/>
    <w:rsid w:val="009E38D1"/>
    <w:rsid w:val="009E5701"/>
    <w:rsid w:val="009E5711"/>
    <w:rsid w:val="009E6249"/>
    <w:rsid w:val="009E6D26"/>
    <w:rsid w:val="009E758E"/>
    <w:rsid w:val="009E7A4C"/>
    <w:rsid w:val="009E7D6B"/>
    <w:rsid w:val="009F1109"/>
    <w:rsid w:val="009F2EDB"/>
    <w:rsid w:val="009F2F52"/>
    <w:rsid w:val="009F56C0"/>
    <w:rsid w:val="009F5C76"/>
    <w:rsid w:val="00A00E00"/>
    <w:rsid w:val="00A01221"/>
    <w:rsid w:val="00A012A8"/>
    <w:rsid w:val="00A016FF"/>
    <w:rsid w:val="00A0207F"/>
    <w:rsid w:val="00A04337"/>
    <w:rsid w:val="00A044AA"/>
    <w:rsid w:val="00A04D99"/>
    <w:rsid w:val="00A078F6"/>
    <w:rsid w:val="00A102F8"/>
    <w:rsid w:val="00A10A20"/>
    <w:rsid w:val="00A116AC"/>
    <w:rsid w:val="00A117D5"/>
    <w:rsid w:val="00A123D0"/>
    <w:rsid w:val="00A131F5"/>
    <w:rsid w:val="00A133C1"/>
    <w:rsid w:val="00A13F2D"/>
    <w:rsid w:val="00A14225"/>
    <w:rsid w:val="00A14F81"/>
    <w:rsid w:val="00A1535F"/>
    <w:rsid w:val="00A15CB1"/>
    <w:rsid w:val="00A15E84"/>
    <w:rsid w:val="00A16021"/>
    <w:rsid w:val="00A16F3E"/>
    <w:rsid w:val="00A22C3E"/>
    <w:rsid w:val="00A22C4D"/>
    <w:rsid w:val="00A254AB"/>
    <w:rsid w:val="00A266CC"/>
    <w:rsid w:val="00A26DB4"/>
    <w:rsid w:val="00A3023E"/>
    <w:rsid w:val="00A305C5"/>
    <w:rsid w:val="00A30919"/>
    <w:rsid w:val="00A31FD2"/>
    <w:rsid w:val="00A33A02"/>
    <w:rsid w:val="00A33BDB"/>
    <w:rsid w:val="00A341AB"/>
    <w:rsid w:val="00A355F9"/>
    <w:rsid w:val="00A35AA9"/>
    <w:rsid w:val="00A364BC"/>
    <w:rsid w:val="00A3786A"/>
    <w:rsid w:val="00A402ED"/>
    <w:rsid w:val="00A40685"/>
    <w:rsid w:val="00A41123"/>
    <w:rsid w:val="00A41819"/>
    <w:rsid w:val="00A41C9A"/>
    <w:rsid w:val="00A42F49"/>
    <w:rsid w:val="00A433DA"/>
    <w:rsid w:val="00A433E8"/>
    <w:rsid w:val="00A4424E"/>
    <w:rsid w:val="00A44A45"/>
    <w:rsid w:val="00A4534D"/>
    <w:rsid w:val="00A46BFB"/>
    <w:rsid w:val="00A46C6D"/>
    <w:rsid w:val="00A472B8"/>
    <w:rsid w:val="00A502F5"/>
    <w:rsid w:val="00A504F4"/>
    <w:rsid w:val="00A51577"/>
    <w:rsid w:val="00A51B47"/>
    <w:rsid w:val="00A526CE"/>
    <w:rsid w:val="00A54DC0"/>
    <w:rsid w:val="00A550C9"/>
    <w:rsid w:val="00A55228"/>
    <w:rsid w:val="00A5589F"/>
    <w:rsid w:val="00A55D4E"/>
    <w:rsid w:val="00A564DE"/>
    <w:rsid w:val="00A61B91"/>
    <w:rsid w:val="00A63335"/>
    <w:rsid w:val="00A63685"/>
    <w:rsid w:val="00A63DDD"/>
    <w:rsid w:val="00A66473"/>
    <w:rsid w:val="00A66E28"/>
    <w:rsid w:val="00A70590"/>
    <w:rsid w:val="00A71542"/>
    <w:rsid w:val="00A71FA0"/>
    <w:rsid w:val="00A72C1A"/>
    <w:rsid w:val="00A74021"/>
    <w:rsid w:val="00A7463E"/>
    <w:rsid w:val="00A762DA"/>
    <w:rsid w:val="00A765B1"/>
    <w:rsid w:val="00A76B41"/>
    <w:rsid w:val="00A772F2"/>
    <w:rsid w:val="00A77828"/>
    <w:rsid w:val="00A8073D"/>
    <w:rsid w:val="00A807A2"/>
    <w:rsid w:val="00A80D02"/>
    <w:rsid w:val="00A812A8"/>
    <w:rsid w:val="00A82D32"/>
    <w:rsid w:val="00A82EAE"/>
    <w:rsid w:val="00A84F27"/>
    <w:rsid w:val="00A8519C"/>
    <w:rsid w:val="00A8733A"/>
    <w:rsid w:val="00A90B66"/>
    <w:rsid w:val="00A91D4B"/>
    <w:rsid w:val="00A920B2"/>
    <w:rsid w:val="00A92A96"/>
    <w:rsid w:val="00A92AF0"/>
    <w:rsid w:val="00A930F2"/>
    <w:rsid w:val="00A937D5"/>
    <w:rsid w:val="00A93C70"/>
    <w:rsid w:val="00A94700"/>
    <w:rsid w:val="00A970CE"/>
    <w:rsid w:val="00A974A9"/>
    <w:rsid w:val="00A974ED"/>
    <w:rsid w:val="00A97718"/>
    <w:rsid w:val="00AA08F3"/>
    <w:rsid w:val="00AA0F23"/>
    <w:rsid w:val="00AA1DA8"/>
    <w:rsid w:val="00AA238E"/>
    <w:rsid w:val="00AA2EB9"/>
    <w:rsid w:val="00AA3243"/>
    <w:rsid w:val="00AA388F"/>
    <w:rsid w:val="00AA4F6D"/>
    <w:rsid w:val="00AA536B"/>
    <w:rsid w:val="00AA57D7"/>
    <w:rsid w:val="00AA5A6F"/>
    <w:rsid w:val="00AA5C40"/>
    <w:rsid w:val="00AA6BB8"/>
    <w:rsid w:val="00AA7519"/>
    <w:rsid w:val="00AB02EA"/>
    <w:rsid w:val="00AB22BF"/>
    <w:rsid w:val="00AB256E"/>
    <w:rsid w:val="00AB32AD"/>
    <w:rsid w:val="00AB3466"/>
    <w:rsid w:val="00AB3BBB"/>
    <w:rsid w:val="00AB408C"/>
    <w:rsid w:val="00AB5030"/>
    <w:rsid w:val="00AB759A"/>
    <w:rsid w:val="00AB7B06"/>
    <w:rsid w:val="00AB7EAA"/>
    <w:rsid w:val="00AC0432"/>
    <w:rsid w:val="00AC4094"/>
    <w:rsid w:val="00AC42B6"/>
    <w:rsid w:val="00AC4AB7"/>
    <w:rsid w:val="00AC60EC"/>
    <w:rsid w:val="00AC6CD9"/>
    <w:rsid w:val="00AD2679"/>
    <w:rsid w:val="00AD3F3C"/>
    <w:rsid w:val="00AD5F0A"/>
    <w:rsid w:val="00AD6741"/>
    <w:rsid w:val="00AD6B4F"/>
    <w:rsid w:val="00AD7CFA"/>
    <w:rsid w:val="00AE11C1"/>
    <w:rsid w:val="00AE163D"/>
    <w:rsid w:val="00AE1C5C"/>
    <w:rsid w:val="00AE25D1"/>
    <w:rsid w:val="00AE2918"/>
    <w:rsid w:val="00AE315E"/>
    <w:rsid w:val="00AE31D9"/>
    <w:rsid w:val="00AE3CF0"/>
    <w:rsid w:val="00AE4337"/>
    <w:rsid w:val="00AE71EE"/>
    <w:rsid w:val="00AF03CF"/>
    <w:rsid w:val="00AF06B6"/>
    <w:rsid w:val="00AF0A0A"/>
    <w:rsid w:val="00AF1ED2"/>
    <w:rsid w:val="00AF1F4E"/>
    <w:rsid w:val="00AF3557"/>
    <w:rsid w:val="00AF4CEE"/>
    <w:rsid w:val="00AF5D84"/>
    <w:rsid w:val="00AF672C"/>
    <w:rsid w:val="00AF6D69"/>
    <w:rsid w:val="00AF6F5E"/>
    <w:rsid w:val="00B00378"/>
    <w:rsid w:val="00B00E41"/>
    <w:rsid w:val="00B018BD"/>
    <w:rsid w:val="00B04678"/>
    <w:rsid w:val="00B04A04"/>
    <w:rsid w:val="00B04F00"/>
    <w:rsid w:val="00B05A66"/>
    <w:rsid w:val="00B05EFD"/>
    <w:rsid w:val="00B066FE"/>
    <w:rsid w:val="00B06912"/>
    <w:rsid w:val="00B10B04"/>
    <w:rsid w:val="00B10CC6"/>
    <w:rsid w:val="00B12082"/>
    <w:rsid w:val="00B13389"/>
    <w:rsid w:val="00B1364C"/>
    <w:rsid w:val="00B141A5"/>
    <w:rsid w:val="00B15286"/>
    <w:rsid w:val="00B1550D"/>
    <w:rsid w:val="00B1631F"/>
    <w:rsid w:val="00B163E8"/>
    <w:rsid w:val="00B1767E"/>
    <w:rsid w:val="00B203B6"/>
    <w:rsid w:val="00B203CE"/>
    <w:rsid w:val="00B21676"/>
    <w:rsid w:val="00B241D5"/>
    <w:rsid w:val="00B26677"/>
    <w:rsid w:val="00B26C57"/>
    <w:rsid w:val="00B274E3"/>
    <w:rsid w:val="00B27B92"/>
    <w:rsid w:val="00B30563"/>
    <w:rsid w:val="00B30A76"/>
    <w:rsid w:val="00B3412E"/>
    <w:rsid w:val="00B346EA"/>
    <w:rsid w:val="00B356B8"/>
    <w:rsid w:val="00B35C9C"/>
    <w:rsid w:val="00B37B8E"/>
    <w:rsid w:val="00B40222"/>
    <w:rsid w:val="00B404C3"/>
    <w:rsid w:val="00B40BA6"/>
    <w:rsid w:val="00B4280F"/>
    <w:rsid w:val="00B43381"/>
    <w:rsid w:val="00B448BF"/>
    <w:rsid w:val="00B45F9F"/>
    <w:rsid w:val="00B4627C"/>
    <w:rsid w:val="00B46793"/>
    <w:rsid w:val="00B46953"/>
    <w:rsid w:val="00B46A7F"/>
    <w:rsid w:val="00B47A59"/>
    <w:rsid w:val="00B51520"/>
    <w:rsid w:val="00B5169E"/>
    <w:rsid w:val="00B517C2"/>
    <w:rsid w:val="00B518CE"/>
    <w:rsid w:val="00B52234"/>
    <w:rsid w:val="00B53623"/>
    <w:rsid w:val="00B536F5"/>
    <w:rsid w:val="00B53E98"/>
    <w:rsid w:val="00B5634D"/>
    <w:rsid w:val="00B56ECA"/>
    <w:rsid w:val="00B57093"/>
    <w:rsid w:val="00B60613"/>
    <w:rsid w:val="00B616E6"/>
    <w:rsid w:val="00B630F2"/>
    <w:rsid w:val="00B63E7A"/>
    <w:rsid w:val="00B65582"/>
    <w:rsid w:val="00B66054"/>
    <w:rsid w:val="00B672EA"/>
    <w:rsid w:val="00B6747B"/>
    <w:rsid w:val="00B70200"/>
    <w:rsid w:val="00B72CF0"/>
    <w:rsid w:val="00B740F6"/>
    <w:rsid w:val="00B74615"/>
    <w:rsid w:val="00B75035"/>
    <w:rsid w:val="00B755B6"/>
    <w:rsid w:val="00B76B55"/>
    <w:rsid w:val="00B804F8"/>
    <w:rsid w:val="00B815D3"/>
    <w:rsid w:val="00B83E76"/>
    <w:rsid w:val="00B8506D"/>
    <w:rsid w:val="00B86289"/>
    <w:rsid w:val="00B87F1C"/>
    <w:rsid w:val="00B91B61"/>
    <w:rsid w:val="00B93849"/>
    <w:rsid w:val="00B944E9"/>
    <w:rsid w:val="00B94896"/>
    <w:rsid w:val="00B949D8"/>
    <w:rsid w:val="00B94CDD"/>
    <w:rsid w:val="00B965F4"/>
    <w:rsid w:val="00B96F52"/>
    <w:rsid w:val="00B97C76"/>
    <w:rsid w:val="00BA07F3"/>
    <w:rsid w:val="00BA15DC"/>
    <w:rsid w:val="00BA1602"/>
    <w:rsid w:val="00BA2C82"/>
    <w:rsid w:val="00BA2E8A"/>
    <w:rsid w:val="00BA583B"/>
    <w:rsid w:val="00BA5EC7"/>
    <w:rsid w:val="00BA6319"/>
    <w:rsid w:val="00BA63CE"/>
    <w:rsid w:val="00BA6551"/>
    <w:rsid w:val="00BA6791"/>
    <w:rsid w:val="00BA6E3C"/>
    <w:rsid w:val="00BA7227"/>
    <w:rsid w:val="00BA7CD7"/>
    <w:rsid w:val="00BA7D1F"/>
    <w:rsid w:val="00BB2E4E"/>
    <w:rsid w:val="00BB2E62"/>
    <w:rsid w:val="00BB36C9"/>
    <w:rsid w:val="00BB5886"/>
    <w:rsid w:val="00BB7EC0"/>
    <w:rsid w:val="00BC0A5A"/>
    <w:rsid w:val="00BC0B2F"/>
    <w:rsid w:val="00BC0E64"/>
    <w:rsid w:val="00BC0F07"/>
    <w:rsid w:val="00BC25D1"/>
    <w:rsid w:val="00BC3BCB"/>
    <w:rsid w:val="00BC427C"/>
    <w:rsid w:val="00BC428A"/>
    <w:rsid w:val="00BC4C40"/>
    <w:rsid w:val="00BC5BAD"/>
    <w:rsid w:val="00BC76C5"/>
    <w:rsid w:val="00BD138A"/>
    <w:rsid w:val="00BD1547"/>
    <w:rsid w:val="00BD164A"/>
    <w:rsid w:val="00BD2B4D"/>
    <w:rsid w:val="00BD2DAE"/>
    <w:rsid w:val="00BD2FB9"/>
    <w:rsid w:val="00BD31C2"/>
    <w:rsid w:val="00BD450A"/>
    <w:rsid w:val="00BD4717"/>
    <w:rsid w:val="00BD48BC"/>
    <w:rsid w:val="00BD48EA"/>
    <w:rsid w:val="00BD4BA8"/>
    <w:rsid w:val="00BD6B0E"/>
    <w:rsid w:val="00BD7941"/>
    <w:rsid w:val="00BD7E5F"/>
    <w:rsid w:val="00BE0C55"/>
    <w:rsid w:val="00BE11A2"/>
    <w:rsid w:val="00BE246C"/>
    <w:rsid w:val="00BE2657"/>
    <w:rsid w:val="00BE37AE"/>
    <w:rsid w:val="00BE73C3"/>
    <w:rsid w:val="00BE7B29"/>
    <w:rsid w:val="00BF03C0"/>
    <w:rsid w:val="00BF21D4"/>
    <w:rsid w:val="00BF2E46"/>
    <w:rsid w:val="00BF4A15"/>
    <w:rsid w:val="00BF4E27"/>
    <w:rsid w:val="00BF6D77"/>
    <w:rsid w:val="00C01EF2"/>
    <w:rsid w:val="00C0378E"/>
    <w:rsid w:val="00C04258"/>
    <w:rsid w:val="00C05AFD"/>
    <w:rsid w:val="00C0724C"/>
    <w:rsid w:val="00C07AEF"/>
    <w:rsid w:val="00C07C11"/>
    <w:rsid w:val="00C07CC1"/>
    <w:rsid w:val="00C10015"/>
    <w:rsid w:val="00C12ECB"/>
    <w:rsid w:val="00C14ABD"/>
    <w:rsid w:val="00C151E0"/>
    <w:rsid w:val="00C20051"/>
    <w:rsid w:val="00C20B86"/>
    <w:rsid w:val="00C21145"/>
    <w:rsid w:val="00C239A8"/>
    <w:rsid w:val="00C24381"/>
    <w:rsid w:val="00C249D9"/>
    <w:rsid w:val="00C24C2E"/>
    <w:rsid w:val="00C24C7A"/>
    <w:rsid w:val="00C24FFB"/>
    <w:rsid w:val="00C25CFF"/>
    <w:rsid w:val="00C261C1"/>
    <w:rsid w:val="00C30B0B"/>
    <w:rsid w:val="00C31339"/>
    <w:rsid w:val="00C332D4"/>
    <w:rsid w:val="00C33E51"/>
    <w:rsid w:val="00C34848"/>
    <w:rsid w:val="00C349B4"/>
    <w:rsid w:val="00C34C47"/>
    <w:rsid w:val="00C35A80"/>
    <w:rsid w:val="00C368F9"/>
    <w:rsid w:val="00C405C8"/>
    <w:rsid w:val="00C41E09"/>
    <w:rsid w:val="00C42DBE"/>
    <w:rsid w:val="00C4360C"/>
    <w:rsid w:val="00C4414C"/>
    <w:rsid w:val="00C452DC"/>
    <w:rsid w:val="00C46564"/>
    <w:rsid w:val="00C50A02"/>
    <w:rsid w:val="00C512D1"/>
    <w:rsid w:val="00C51856"/>
    <w:rsid w:val="00C51B5E"/>
    <w:rsid w:val="00C5518B"/>
    <w:rsid w:val="00C5531B"/>
    <w:rsid w:val="00C55375"/>
    <w:rsid w:val="00C57120"/>
    <w:rsid w:val="00C575D4"/>
    <w:rsid w:val="00C57873"/>
    <w:rsid w:val="00C61246"/>
    <w:rsid w:val="00C62A79"/>
    <w:rsid w:val="00C634F9"/>
    <w:rsid w:val="00C64534"/>
    <w:rsid w:val="00C64767"/>
    <w:rsid w:val="00C65200"/>
    <w:rsid w:val="00C655E0"/>
    <w:rsid w:val="00C65649"/>
    <w:rsid w:val="00C665DE"/>
    <w:rsid w:val="00C667C3"/>
    <w:rsid w:val="00C6728B"/>
    <w:rsid w:val="00C71528"/>
    <w:rsid w:val="00C71F09"/>
    <w:rsid w:val="00C72588"/>
    <w:rsid w:val="00C727B9"/>
    <w:rsid w:val="00C73670"/>
    <w:rsid w:val="00C73DE0"/>
    <w:rsid w:val="00C74609"/>
    <w:rsid w:val="00C749AB"/>
    <w:rsid w:val="00C75A8F"/>
    <w:rsid w:val="00C81716"/>
    <w:rsid w:val="00C82795"/>
    <w:rsid w:val="00C832CB"/>
    <w:rsid w:val="00C84085"/>
    <w:rsid w:val="00C8779E"/>
    <w:rsid w:val="00C87850"/>
    <w:rsid w:val="00C87BD0"/>
    <w:rsid w:val="00C90B95"/>
    <w:rsid w:val="00C90CA9"/>
    <w:rsid w:val="00C9354F"/>
    <w:rsid w:val="00C93B40"/>
    <w:rsid w:val="00C93D48"/>
    <w:rsid w:val="00C93DB5"/>
    <w:rsid w:val="00C97DD7"/>
    <w:rsid w:val="00C97EF9"/>
    <w:rsid w:val="00CA0492"/>
    <w:rsid w:val="00CA0A04"/>
    <w:rsid w:val="00CA3CAB"/>
    <w:rsid w:val="00CA6A2E"/>
    <w:rsid w:val="00CB52A4"/>
    <w:rsid w:val="00CB537C"/>
    <w:rsid w:val="00CB5778"/>
    <w:rsid w:val="00CB6675"/>
    <w:rsid w:val="00CC03A0"/>
    <w:rsid w:val="00CC0915"/>
    <w:rsid w:val="00CC1AF5"/>
    <w:rsid w:val="00CC1B74"/>
    <w:rsid w:val="00CC2EB0"/>
    <w:rsid w:val="00CC2F38"/>
    <w:rsid w:val="00CC44F5"/>
    <w:rsid w:val="00CC5F95"/>
    <w:rsid w:val="00CD1255"/>
    <w:rsid w:val="00CD1484"/>
    <w:rsid w:val="00CD1892"/>
    <w:rsid w:val="00CD1D00"/>
    <w:rsid w:val="00CD26B8"/>
    <w:rsid w:val="00CD2A82"/>
    <w:rsid w:val="00CD32C2"/>
    <w:rsid w:val="00CD347C"/>
    <w:rsid w:val="00CD3CAB"/>
    <w:rsid w:val="00CD3FF0"/>
    <w:rsid w:val="00CD4E50"/>
    <w:rsid w:val="00CD64E1"/>
    <w:rsid w:val="00CD699D"/>
    <w:rsid w:val="00CD701B"/>
    <w:rsid w:val="00CD70DB"/>
    <w:rsid w:val="00CD7466"/>
    <w:rsid w:val="00CD7C49"/>
    <w:rsid w:val="00CE2E2E"/>
    <w:rsid w:val="00CE3A51"/>
    <w:rsid w:val="00CE59F6"/>
    <w:rsid w:val="00CE71C3"/>
    <w:rsid w:val="00CE7ECB"/>
    <w:rsid w:val="00CF0AF0"/>
    <w:rsid w:val="00CF1834"/>
    <w:rsid w:val="00CF2ACF"/>
    <w:rsid w:val="00CF345B"/>
    <w:rsid w:val="00CF475F"/>
    <w:rsid w:val="00CF5069"/>
    <w:rsid w:val="00CF7082"/>
    <w:rsid w:val="00D01590"/>
    <w:rsid w:val="00D0336E"/>
    <w:rsid w:val="00D04F01"/>
    <w:rsid w:val="00D04F8B"/>
    <w:rsid w:val="00D054EF"/>
    <w:rsid w:val="00D05637"/>
    <w:rsid w:val="00D05BA9"/>
    <w:rsid w:val="00D06E71"/>
    <w:rsid w:val="00D0764E"/>
    <w:rsid w:val="00D07D82"/>
    <w:rsid w:val="00D10BE1"/>
    <w:rsid w:val="00D11FE3"/>
    <w:rsid w:val="00D132F1"/>
    <w:rsid w:val="00D13D50"/>
    <w:rsid w:val="00D14919"/>
    <w:rsid w:val="00D14E25"/>
    <w:rsid w:val="00D152D6"/>
    <w:rsid w:val="00D165D8"/>
    <w:rsid w:val="00D1724E"/>
    <w:rsid w:val="00D17C81"/>
    <w:rsid w:val="00D206F6"/>
    <w:rsid w:val="00D237E0"/>
    <w:rsid w:val="00D25676"/>
    <w:rsid w:val="00D25F78"/>
    <w:rsid w:val="00D27129"/>
    <w:rsid w:val="00D2738C"/>
    <w:rsid w:val="00D279E7"/>
    <w:rsid w:val="00D3046D"/>
    <w:rsid w:val="00D31B07"/>
    <w:rsid w:val="00D32FA0"/>
    <w:rsid w:val="00D33112"/>
    <w:rsid w:val="00D331CB"/>
    <w:rsid w:val="00D3426E"/>
    <w:rsid w:val="00D3746F"/>
    <w:rsid w:val="00D40217"/>
    <w:rsid w:val="00D40385"/>
    <w:rsid w:val="00D404CE"/>
    <w:rsid w:val="00D417C6"/>
    <w:rsid w:val="00D43FAE"/>
    <w:rsid w:val="00D44259"/>
    <w:rsid w:val="00D44895"/>
    <w:rsid w:val="00D5064C"/>
    <w:rsid w:val="00D5098E"/>
    <w:rsid w:val="00D51B02"/>
    <w:rsid w:val="00D539DA"/>
    <w:rsid w:val="00D55C81"/>
    <w:rsid w:val="00D56B56"/>
    <w:rsid w:val="00D56BF5"/>
    <w:rsid w:val="00D56F99"/>
    <w:rsid w:val="00D5743F"/>
    <w:rsid w:val="00D605C2"/>
    <w:rsid w:val="00D60733"/>
    <w:rsid w:val="00D61E1D"/>
    <w:rsid w:val="00D62BDF"/>
    <w:rsid w:val="00D64F1C"/>
    <w:rsid w:val="00D6570C"/>
    <w:rsid w:val="00D675B0"/>
    <w:rsid w:val="00D70552"/>
    <w:rsid w:val="00D70D42"/>
    <w:rsid w:val="00D71285"/>
    <w:rsid w:val="00D71ABC"/>
    <w:rsid w:val="00D72175"/>
    <w:rsid w:val="00D72454"/>
    <w:rsid w:val="00D72A5B"/>
    <w:rsid w:val="00D73F06"/>
    <w:rsid w:val="00D74160"/>
    <w:rsid w:val="00D74247"/>
    <w:rsid w:val="00D753A9"/>
    <w:rsid w:val="00D804C5"/>
    <w:rsid w:val="00D81146"/>
    <w:rsid w:val="00D81A28"/>
    <w:rsid w:val="00D82AB8"/>
    <w:rsid w:val="00D82B00"/>
    <w:rsid w:val="00D82BE4"/>
    <w:rsid w:val="00D82E05"/>
    <w:rsid w:val="00D82F67"/>
    <w:rsid w:val="00D83A05"/>
    <w:rsid w:val="00D83C0D"/>
    <w:rsid w:val="00D869C1"/>
    <w:rsid w:val="00D86EC6"/>
    <w:rsid w:val="00D87418"/>
    <w:rsid w:val="00D87FE6"/>
    <w:rsid w:val="00D90BC3"/>
    <w:rsid w:val="00D90DB9"/>
    <w:rsid w:val="00D91337"/>
    <w:rsid w:val="00D915C9"/>
    <w:rsid w:val="00D9198F"/>
    <w:rsid w:val="00D92A87"/>
    <w:rsid w:val="00D9384E"/>
    <w:rsid w:val="00D94C8D"/>
    <w:rsid w:val="00D95AEB"/>
    <w:rsid w:val="00D96876"/>
    <w:rsid w:val="00D96B12"/>
    <w:rsid w:val="00D96F59"/>
    <w:rsid w:val="00DA061C"/>
    <w:rsid w:val="00DA099C"/>
    <w:rsid w:val="00DA2125"/>
    <w:rsid w:val="00DA24DE"/>
    <w:rsid w:val="00DA281F"/>
    <w:rsid w:val="00DA289D"/>
    <w:rsid w:val="00DA3E06"/>
    <w:rsid w:val="00DA6EE2"/>
    <w:rsid w:val="00DA78CF"/>
    <w:rsid w:val="00DA7A89"/>
    <w:rsid w:val="00DA7BF4"/>
    <w:rsid w:val="00DA7F8B"/>
    <w:rsid w:val="00DB03E8"/>
    <w:rsid w:val="00DB08F0"/>
    <w:rsid w:val="00DB0C0F"/>
    <w:rsid w:val="00DB102D"/>
    <w:rsid w:val="00DB12BA"/>
    <w:rsid w:val="00DB154B"/>
    <w:rsid w:val="00DB3490"/>
    <w:rsid w:val="00DB4F12"/>
    <w:rsid w:val="00DB5256"/>
    <w:rsid w:val="00DB53A2"/>
    <w:rsid w:val="00DB6E8E"/>
    <w:rsid w:val="00DB6F96"/>
    <w:rsid w:val="00DB71B9"/>
    <w:rsid w:val="00DC0B56"/>
    <w:rsid w:val="00DC1395"/>
    <w:rsid w:val="00DC1BCB"/>
    <w:rsid w:val="00DC32FC"/>
    <w:rsid w:val="00DC43C4"/>
    <w:rsid w:val="00DC4F47"/>
    <w:rsid w:val="00DC6747"/>
    <w:rsid w:val="00DC6AF3"/>
    <w:rsid w:val="00DC740D"/>
    <w:rsid w:val="00DC7608"/>
    <w:rsid w:val="00DC761E"/>
    <w:rsid w:val="00DC7CFC"/>
    <w:rsid w:val="00DD0090"/>
    <w:rsid w:val="00DD2C42"/>
    <w:rsid w:val="00DD2D14"/>
    <w:rsid w:val="00DD3A99"/>
    <w:rsid w:val="00DD4344"/>
    <w:rsid w:val="00DD5B8C"/>
    <w:rsid w:val="00DD5DFA"/>
    <w:rsid w:val="00DD67EC"/>
    <w:rsid w:val="00DD6F7F"/>
    <w:rsid w:val="00DE1A9D"/>
    <w:rsid w:val="00DE1CB1"/>
    <w:rsid w:val="00DE2073"/>
    <w:rsid w:val="00DE30AC"/>
    <w:rsid w:val="00DE368A"/>
    <w:rsid w:val="00DE3CF3"/>
    <w:rsid w:val="00DE4106"/>
    <w:rsid w:val="00DE5563"/>
    <w:rsid w:val="00DE6E4D"/>
    <w:rsid w:val="00DF05A0"/>
    <w:rsid w:val="00DF1BA8"/>
    <w:rsid w:val="00DF1F63"/>
    <w:rsid w:val="00DF25FE"/>
    <w:rsid w:val="00DF28F2"/>
    <w:rsid w:val="00DF2BFF"/>
    <w:rsid w:val="00DF48D9"/>
    <w:rsid w:val="00DF4FF1"/>
    <w:rsid w:val="00DF6FD2"/>
    <w:rsid w:val="00DF7724"/>
    <w:rsid w:val="00DF7C43"/>
    <w:rsid w:val="00E000B2"/>
    <w:rsid w:val="00E00C1E"/>
    <w:rsid w:val="00E00F5F"/>
    <w:rsid w:val="00E014E7"/>
    <w:rsid w:val="00E026A9"/>
    <w:rsid w:val="00E02C24"/>
    <w:rsid w:val="00E0356F"/>
    <w:rsid w:val="00E03B42"/>
    <w:rsid w:val="00E041AA"/>
    <w:rsid w:val="00E0479F"/>
    <w:rsid w:val="00E04D6A"/>
    <w:rsid w:val="00E06100"/>
    <w:rsid w:val="00E06E97"/>
    <w:rsid w:val="00E07767"/>
    <w:rsid w:val="00E10DD1"/>
    <w:rsid w:val="00E1254C"/>
    <w:rsid w:val="00E12BDF"/>
    <w:rsid w:val="00E13326"/>
    <w:rsid w:val="00E14961"/>
    <w:rsid w:val="00E14D76"/>
    <w:rsid w:val="00E20CE7"/>
    <w:rsid w:val="00E217B1"/>
    <w:rsid w:val="00E222FA"/>
    <w:rsid w:val="00E24A62"/>
    <w:rsid w:val="00E24F52"/>
    <w:rsid w:val="00E279B2"/>
    <w:rsid w:val="00E30BD5"/>
    <w:rsid w:val="00E31143"/>
    <w:rsid w:val="00E31812"/>
    <w:rsid w:val="00E3533E"/>
    <w:rsid w:val="00E35A45"/>
    <w:rsid w:val="00E37C85"/>
    <w:rsid w:val="00E43006"/>
    <w:rsid w:val="00E43551"/>
    <w:rsid w:val="00E50809"/>
    <w:rsid w:val="00E510CF"/>
    <w:rsid w:val="00E52AAB"/>
    <w:rsid w:val="00E533B0"/>
    <w:rsid w:val="00E5448E"/>
    <w:rsid w:val="00E54E0D"/>
    <w:rsid w:val="00E56795"/>
    <w:rsid w:val="00E57932"/>
    <w:rsid w:val="00E57DA3"/>
    <w:rsid w:val="00E60811"/>
    <w:rsid w:val="00E64050"/>
    <w:rsid w:val="00E6514D"/>
    <w:rsid w:val="00E65161"/>
    <w:rsid w:val="00E652C9"/>
    <w:rsid w:val="00E65700"/>
    <w:rsid w:val="00E6593B"/>
    <w:rsid w:val="00E672C6"/>
    <w:rsid w:val="00E675EE"/>
    <w:rsid w:val="00E71809"/>
    <w:rsid w:val="00E71D1E"/>
    <w:rsid w:val="00E728E2"/>
    <w:rsid w:val="00E74976"/>
    <w:rsid w:val="00E75667"/>
    <w:rsid w:val="00E756D3"/>
    <w:rsid w:val="00E769CC"/>
    <w:rsid w:val="00E80AF8"/>
    <w:rsid w:val="00E827BB"/>
    <w:rsid w:val="00E82D24"/>
    <w:rsid w:val="00E8308F"/>
    <w:rsid w:val="00E8317B"/>
    <w:rsid w:val="00E8357D"/>
    <w:rsid w:val="00E84C04"/>
    <w:rsid w:val="00E84E4F"/>
    <w:rsid w:val="00E856A2"/>
    <w:rsid w:val="00E85AD2"/>
    <w:rsid w:val="00E9036E"/>
    <w:rsid w:val="00E917B6"/>
    <w:rsid w:val="00E92292"/>
    <w:rsid w:val="00E92D0B"/>
    <w:rsid w:val="00E93195"/>
    <w:rsid w:val="00E93F21"/>
    <w:rsid w:val="00E9411C"/>
    <w:rsid w:val="00E9522C"/>
    <w:rsid w:val="00E95C2A"/>
    <w:rsid w:val="00E963BC"/>
    <w:rsid w:val="00E97F7A"/>
    <w:rsid w:val="00EA0143"/>
    <w:rsid w:val="00EA089B"/>
    <w:rsid w:val="00EA2E21"/>
    <w:rsid w:val="00EA380C"/>
    <w:rsid w:val="00EA47B5"/>
    <w:rsid w:val="00EA7308"/>
    <w:rsid w:val="00EB089C"/>
    <w:rsid w:val="00EB0BB0"/>
    <w:rsid w:val="00EB0C65"/>
    <w:rsid w:val="00EB169F"/>
    <w:rsid w:val="00EB2961"/>
    <w:rsid w:val="00EB2E1A"/>
    <w:rsid w:val="00EB3268"/>
    <w:rsid w:val="00EB3298"/>
    <w:rsid w:val="00EB3CE6"/>
    <w:rsid w:val="00EB3E92"/>
    <w:rsid w:val="00EB68E6"/>
    <w:rsid w:val="00EB69AB"/>
    <w:rsid w:val="00EB6D1C"/>
    <w:rsid w:val="00EB7B67"/>
    <w:rsid w:val="00EC328C"/>
    <w:rsid w:val="00EC3BEC"/>
    <w:rsid w:val="00EC5241"/>
    <w:rsid w:val="00EC594C"/>
    <w:rsid w:val="00EC5C7B"/>
    <w:rsid w:val="00EC66AA"/>
    <w:rsid w:val="00EC6B8F"/>
    <w:rsid w:val="00EC7B48"/>
    <w:rsid w:val="00ED0257"/>
    <w:rsid w:val="00ED1339"/>
    <w:rsid w:val="00ED3E65"/>
    <w:rsid w:val="00ED4448"/>
    <w:rsid w:val="00ED4EDF"/>
    <w:rsid w:val="00ED5981"/>
    <w:rsid w:val="00ED66B2"/>
    <w:rsid w:val="00ED71BA"/>
    <w:rsid w:val="00ED73A1"/>
    <w:rsid w:val="00ED7CA2"/>
    <w:rsid w:val="00EE13DA"/>
    <w:rsid w:val="00EE332A"/>
    <w:rsid w:val="00EE5324"/>
    <w:rsid w:val="00EE55FA"/>
    <w:rsid w:val="00EE56E2"/>
    <w:rsid w:val="00EE6D45"/>
    <w:rsid w:val="00EE6E89"/>
    <w:rsid w:val="00EF0FE6"/>
    <w:rsid w:val="00EF11AA"/>
    <w:rsid w:val="00EF1C44"/>
    <w:rsid w:val="00EF1F9B"/>
    <w:rsid w:val="00EF2B18"/>
    <w:rsid w:val="00EF3AC4"/>
    <w:rsid w:val="00EF3BB9"/>
    <w:rsid w:val="00EF4008"/>
    <w:rsid w:val="00EF547C"/>
    <w:rsid w:val="00EF55E9"/>
    <w:rsid w:val="00EF5B41"/>
    <w:rsid w:val="00EF5BA2"/>
    <w:rsid w:val="00EF611C"/>
    <w:rsid w:val="00EF7462"/>
    <w:rsid w:val="00EF768D"/>
    <w:rsid w:val="00F00630"/>
    <w:rsid w:val="00F00922"/>
    <w:rsid w:val="00F011FF"/>
    <w:rsid w:val="00F01BE6"/>
    <w:rsid w:val="00F0217A"/>
    <w:rsid w:val="00F0251B"/>
    <w:rsid w:val="00F03E4C"/>
    <w:rsid w:val="00F0665D"/>
    <w:rsid w:val="00F06D42"/>
    <w:rsid w:val="00F07134"/>
    <w:rsid w:val="00F07378"/>
    <w:rsid w:val="00F10B81"/>
    <w:rsid w:val="00F11353"/>
    <w:rsid w:val="00F129F4"/>
    <w:rsid w:val="00F14CD1"/>
    <w:rsid w:val="00F15115"/>
    <w:rsid w:val="00F15D8C"/>
    <w:rsid w:val="00F16E1A"/>
    <w:rsid w:val="00F20197"/>
    <w:rsid w:val="00F20607"/>
    <w:rsid w:val="00F208BB"/>
    <w:rsid w:val="00F20D7A"/>
    <w:rsid w:val="00F210BE"/>
    <w:rsid w:val="00F21A5D"/>
    <w:rsid w:val="00F21C13"/>
    <w:rsid w:val="00F21DEA"/>
    <w:rsid w:val="00F22796"/>
    <w:rsid w:val="00F238F7"/>
    <w:rsid w:val="00F23BA0"/>
    <w:rsid w:val="00F25641"/>
    <w:rsid w:val="00F26065"/>
    <w:rsid w:val="00F30313"/>
    <w:rsid w:val="00F303BC"/>
    <w:rsid w:val="00F318A1"/>
    <w:rsid w:val="00F3265C"/>
    <w:rsid w:val="00F343EE"/>
    <w:rsid w:val="00F3547E"/>
    <w:rsid w:val="00F35494"/>
    <w:rsid w:val="00F3619D"/>
    <w:rsid w:val="00F3722A"/>
    <w:rsid w:val="00F37366"/>
    <w:rsid w:val="00F419B8"/>
    <w:rsid w:val="00F41C0F"/>
    <w:rsid w:val="00F42856"/>
    <w:rsid w:val="00F43390"/>
    <w:rsid w:val="00F43EF6"/>
    <w:rsid w:val="00F4482B"/>
    <w:rsid w:val="00F44F02"/>
    <w:rsid w:val="00F4526B"/>
    <w:rsid w:val="00F462DF"/>
    <w:rsid w:val="00F4662D"/>
    <w:rsid w:val="00F468AC"/>
    <w:rsid w:val="00F471BE"/>
    <w:rsid w:val="00F47316"/>
    <w:rsid w:val="00F47507"/>
    <w:rsid w:val="00F5052D"/>
    <w:rsid w:val="00F50BF0"/>
    <w:rsid w:val="00F51A82"/>
    <w:rsid w:val="00F5254B"/>
    <w:rsid w:val="00F53A44"/>
    <w:rsid w:val="00F54431"/>
    <w:rsid w:val="00F54B29"/>
    <w:rsid w:val="00F551DB"/>
    <w:rsid w:val="00F559BE"/>
    <w:rsid w:val="00F56417"/>
    <w:rsid w:val="00F56EE7"/>
    <w:rsid w:val="00F56FEF"/>
    <w:rsid w:val="00F57521"/>
    <w:rsid w:val="00F57AC4"/>
    <w:rsid w:val="00F60938"/>
    <w:rsid w:val="00F61606"/>
    <w:rsid w:val="00F62BD1"/>
    <w:rsid w:val="00F62CA8"/>
    <w:rsid w:val="00F63BF4"/>
    <w:rsid w:val="00F63C60"/>
    <w:rsid w:val="00F64991"/>
    <w:rsid w:val="00F65BA9"/>
    <w:rsid w:val="00F6630F"/>
    <w:rsid w:val="00F67E81"/>
    <w:rsid w:val="00F719B2"/>
    <w:rsid w:val="00F71C68"/>
    <w:rsid w:val="00F724E2"/>
    <w:rsid w:val="00F72A89"/>
    <w:rsid w:val="00F73E5D"/>
    <w:rsid w:val="00F74103"/>
    <w:rsid w:val="00F7425F"/>
    <w:rsid w:val="00F75BB5"/>
    <w:rsid w:val="00F7604C"/>
    <w:rsid w:val="00F81623"/>
    <w:rsid w:val="00F81D25"/>
    <w:rsid w:val="00F83045"/>
    <w:rsid w:val="00F83615"/>
    <w:rsid w:val="00F85329"/>
    <w:rsid w:val="00F878CD"/>
    <w:rsid w:val="00F8794A"/>
    <w:rsid w:val="00F90C1F"/>
    <w:rsid w:val="00F93231"/>
    <w:rsid w:val="00F950B5"/>
    <w:rsid w:val="00F953D5"/>
    <w:rsid w:val="00F97A34"/>
    <w:rsid w:val="00F97EA1"/>
    <w:rsid w:val="00FA05C8"/>
    <w:rsid w:val="00FA0678"/>
    <w:rsid w:val="00FA107F"/>
    <w:rsid w:val="00FA23F7"/>
    <w:rsid w:val="00FA27EB"/>
    <w:rsid w:val="00FA4117"/>
    <w:rsid w:val="00FA672F"/>
    <w:rsid w:val="00FA7792"/>
    <w:rsid w:val="00FB11FA"/>
    <w:rsid w:val="00FB18F8"/>
    <w:rsid w:val="00FB2F8E"/>
    <w:rsid w:val="00FB39B0"/>
    <w:rsid w:val="00FB5183"/>
    <w:rsid w:val="00FB5A71"/>
    <w:rsid w:val="00FB6DF2"/>
    <w:rsid w:val="00FB7823"/>
    <w:rsid w:val="00FC08B3"/>
    <w:rsid w:val="00FC09D7"/>
    <w:rsid w:val="00FC1998"/>
    <w:rsid w:val="00FC391E"/>
    <w:rsid w:val="00FC3AB7"/>
    <w:rsid w:val="00FC448A"/>
    <w:rsid w:val="00FC453D"/>
    <w:rsid w:val="00FC4A89"/>
    <w:rsid w:val="00FC665F"/>
    <w:rsid w:val="00FC6D59"/>
    <w:rsid w:val="00FC78F5"/>
    <w:rsid w:val="00FD10B3"/>
    <w:rsid w:val="00FD11C3"/>
    <w:rsid w:val="00FD154E"/>
    <w:rsid w:val="00FD3742"/>
    <w:rsid w:val="00FD3A41"/>
    <w:rsid w:val="00FD3AE2"/>
    <w:rsid w:val="00FD5975"/>
    <w:rsid w:val="00FD5AE4"/>
    <w:rsid w:val="00FD5F25"/>
    <w:rsid w:val="00FD60BE"/>
    <w:rsid w:val="00FD6894"/>
    <w:rsid w:val="00FD6980"/>
    <w:rsid w:val="00FD6AF0"/>
    <w:rsid w:val="00FD79B8"/>
    <w:rsid w:val="00FE0AD1"/>
    <w:rsid w:val="00FE0BBF"/>
    <w:rsid w:val="00FE0C6C"/>
    <w:rsid w:val="00FE33DB"/>
    <w:rsid w:val="00FE37DD"/>
    <w:rsid w:val="00FE3C31"/>
    <w:rsid w:val="00FE4015"/>
    <w:rsid w:val="00FE44F5"/>
    <w:rsid w:val="00FE480D"/>
    <w:rsid w:val="00FE6227"/>
    <w:rsid w:val="00FE6A50"/>
    <w:rsid w:val="00FE705C"/>
    <w:rsid w:val="00FF0B4F"/>
    <w:rsid w:val="00FF1AD3"/>
    <w:rsid w:val="00FF49F4"/>
    <w:rsid w:val="00FF651D"/>
    <w:rsid w:val="00FF68CA"/>
    <w:rsid w:val="010651D9"/>
    <w:rsid w:val="013E2686"/>
    <w:rsid w:val="01514167"/>
    <w:rsid w:val="015C312B"/>
    <w:rsid w:val="01D31020"/>
    <w:rsid w:val="020F7B7E"/>
    <w:rsid w:val="02DA0C0E"/>
    <w:rsid w:val="02EF1E8A"/>
    <w:rsid w:val="03011BBD"/>
    <w:rsid w:val="032132C6"/>
    <w:rsid w:val="0328539C"/>
    <w:rsid w:val="035E0DBD"/>
    <w:rsid w:val="03800D34"/>
    <w:rsid w:val="03DD35E4"/>
    <w:rsid w:val="044D7027"/>
    <w:rsid w:val="0519537F"/>
    <w:rsid w:val="051C4A8C"/>
    <w:rsid w:val="05383DBD"/>
    <w:rsid w:val="054162A1"/>
    <w:rsid w:val="05654685"/>
    <w:rsid w:val="065A6178"/>
    <w:rsid w:val="069C40D7"/>
    <w:rsid w:val="072F5A00"/>
    <w:rsid w:val="075562B7"/>
    <w:rsid w:val="0797664C"/>
    <w:rsid w:val="07F6164B"/>
    <w:rsid w:val="087A1B7A"/>
    <w:rsid w:val="089F4469"/>
    <w:rsid w:val="08AC4379"/>
    <w:rsid w:val="091F0FEF"/>
    <w:rsid w:val="095F3199"/>
    <w:rsid w:val="096B2097"/>
    <w:rsid w:val="09C6602A"/>
    <w:rsid w:val="09E25264"/>
    <w:rsid w:val="0A5B7E63"/>
    <w:rsid w:val="0A682522"/>
    <w:rsid w:val="0A825391"/>
    <w:rsid w:val="0AC91212"/>
    <w:rsid w:val="0B4B60CB"/>
    <w:rsid w:val="0BE45BD8"/>
    <w:rsid w:val="0C0149DC"/>
    <w:rsid w:val="0C364685"/>
    <w:rsid w:val="0C4A6383"/>
    <w:rsid w:val="0C763B37"/>
    <w:rsid w:val="0C87121B"/>
    <w:rsid w:val="0D696CDD"/>
    <w:rsid w:val="0D906017"/>
    <w:rsid w:val="0DF702FE"/>
    <w:rsid w:val="0E060087"/>
    <w:rsid w:val="0E3F698B"/>
    <w:rsid w:val="0E8536A2"/>
    <w:rsid w:val="0E9E29B6"/>
    <w:rsid w:val="0E9E4764"/>
    <w:rsid w:val="0EA0228A"/>
    <w:rsid w:val="0EAD00AF"/>
    <w:rsid w:val="0EC046DA"/>
    <w:rsid w:val="0ED939EE"/>
    <w:rsid w:val="0EEA5BFB"/>
    <w:rsid w:val="0EFB5712"/>
    <w:rsid w:val="0F21508F"/>
    <w:rsid w:val="0F2F360E"/>
    <w:rsid w:val="0F7C2CF7"/>
    <w:rsid w:val="0F816ACD"/>
    <w:rsid w:val="0FB94501"/>
    <w:rsid w:val="0FD04DF1"/>
    <w:rsid w:val="0FFB5ED9"/>
    <w:rsid w:val="104D01F0"/>
    <w:rsid w:val="109C642C"/>
    <w:rsid w:val="10B047CF"/>
    <w:rsid w:val="10FC16EA"/>
    <w:rsid w:val="11270A41"/>
    <w:rsid w:val="11625F1D"/>
    <w:rsid w:val="118916FB"/>
    <w:rsid w:val="118963A1"/>
    <w:rsid w:val="1212349F"/>
    <w:rsid w:val="12695089"/>
    <w:rsid w:val="127723A9"/>
    <w:rsid w:val="127F665A"/>
    <w:rsid w:val="12BE7183"/>
    <w:rsid w:val="12FE3A23"/>
    <w:rsid w:val="13072A44"/>
    <w:rsid w:val="136417B1"/>
    <w:rsid w:val="1380268A"/>
    <w:rsid w:val="140137CB"/>
    <w:rsid w:val="14261483"/>
    <w:rsid w:val="145044FA"/>
    <w:rsid w:val="14EB7FD7"/>
    <w:rsid w:val="1537146E"/>
    <w:rsid w:val="15533752"/>
    <w:rsid w:val="15647BA7"/>
    <w:rsid w:val="156A35F2"/>
    <w:rsid w:val="16247C45"/>
    <w:rsid w:val="165B2F3A"/>
    <w:rsid w:val="169F72CB"/>
    <w:rsid w:val="16BF171B"/>
    <w:rsid w:val="16DA0614"/>
    <w:rsid w:val="17173305"/>
    <w:rsid w:val="17A81A71"/>
    <w:rsid w:val="186742B0"/>
    <w:rsid w:val="1881312C"/>
    <w:rsid w:val="190653E0"/>
    <w:rsid w:val="19151AC7"/>
    <w:rsid w:val="19810F0A"/>
    <w:rsid w:val="19A31CEF"/>
    <w:rsid w:val="19CD4138"/>
    <w:rsid w:val="19E535E5"/>
    <w:rsid w:val="1A9058A9"/>
    <w:rsid w:val="1A9A110C"/>
    <w:rsid w:val="1ABD5F72"/>
    <w:rsid w:val="1B2A271F"/>
    <w:rsid w:val="1B4D19EC"/>
    <w:rsid w:val="1B890139"/>
    <w:rsid w:val="1C393D1E"/>
    <w:rsid w:val="1D266CE1"/>
    <w:rsid w:val="1D3963AF"/>
    <w:rsid w:val="1D4D6540"/>
    <w:rsid w:val="1D6E79F7"/>
    <w:rsid w:val="1DD261D8"/>
    <w:rsid w:val="1DE1641B"/>
    <w:rsid w:val="1E4C7D38"/>
    <w:rsid w:val="1E636E30"/>
    <w:rsid w:val="1E714A66"/>
    <w:rsid w:val="1E8C6387"/>
    <w:rsid w:val="1E9516DF"/>
    <w:rsid w:val="1EEE7042"/>
    <w:rsid w:val="1EF678FB"/>
    <w:rsid w:val="1F226CEB"/>
    <w:rsid w:val="1F894ED5"/>
    <w:rsid w:val="1FA15E62"/>
    <w:rsid w:val="1FDE2C12"/>
    <w:rsid w:val="1FE868A9"/>
    <w:rsid w:val="20174376"/>
    <w:rsid w:val="20340A84"/>
    <w:rsid w:val="20580C17"/>
    <w:rsid w:val="20D77715"/>
    <w:rsid w:val="211E26D6"/>
    <w:rsid w:val="21283D08"/>
    <w:rsid w:val="21352D06"/>
    <w:rsid w:val="216929AF"/>
    <w:rsid w:val="21863561"/>
    <w:rsid w:val="21B87493"/>
    <w:rsid w:val="22FF181D"/>
    <w:rsid w:val="231B5F2B"/>
    <w:rsid w:val="23C95987"/>
    <w:rsid w:val="247C6E9E"/>
    <w:rsid w:val="24C26FA6"/>
    <w:rsid w:val="24CC572F"/>
    <w:rsid w:val="258428DA"/>
    <w:rsid w:val="25B440B3"/>
    <w:rsid w:val="262D6928"/>
    <w:rsid w:val="26321F0A"/>
    <w:rsid w:val="266A3452"/>
    <w:rsid w:val="266F2816"/>
    <w:rsid w:val="269B185D"/>
    <w:rsid w:val="26F70A5D"/>
    <w:rsid w:val="270218DC"/>
    <w:rsid w:val="273A18F4"/>
    <w:rsid w:val="273A72C8"/>
    <w:rsid w:val="27606603"/>
    <w:rsid w:val="288612B9"/>
    <w:rsid w:val="2918323D"/>
    <w:rsid w:val="292C0E92"/>
    <w:rsid w:val="294A756A"/>
    <w:rsid w:val="29852351"/>
    <w:rsid w:val="29D94132"/>
    <w:rsid w:val="2A0D0CC4"/>
    <w:rsid w:val="2AA1365A"/>
    <w:rsid w:val="2BD33847"/>
    <w:rsid w:val="2BF81500"/>
    <w:rsid w:val="2C3B1CDF"/>
    <w:rsid w:val="2C764495"/>
    <w:rsid w:val="2D281971"/>
    <w:rsid w:val="2D3622E0"/>
    <w:rsid w:val="2D6D3827"/>
    <w:rsid w:val="2D917516"/>
    <w:rsid w:val="2DD15014"/>
    <w:rsid w:val="2DFB0E33"/>
    <w:rsid w:val="2EE10029"/>
    <w:rsid w:val="2F0361F1"/>
    <w:rsid w:val="2F81180C"/>
    <w:rsid w:val="2FD25781"/>
    <w:rsid w:val="303D3985"/>
    <w:rsid w:val="319C6071"/>
    <w:rsid w:val="31F12D44"/>
    <w:rsid w:val="32D103B5"/>
    <w:rsid w:val="32DB72BE"/>
    <w:rsid w:val="33361746"/>
    <w:rsid w:val="33C87A09"/>
    <w:rsid w:val="342B1D46"/>
    <w:rsid w:val="342E63AB"/>
    <w:rsid w:val="345D260B"/>
    <w:rsid w:val="348558FB"/>
    <w:rsid w:val="34B41D3C"/>
    <w:rsid w:val="351B09A1"/>
    <w:rsid w:val="35D24B6F"/>
    <w:rsid w:val="364D069A"/>
    <w:rsid w:val="365302AE"/>
    <w:rsid w:val="37F142D2"/>
    <w:rsid w:val="382A0C93"/>
    <w:rsid w:val="38910D12"/>
    <w:rsid w:val="395C1320"/>
    <w:rsid w:val="397E16CC"/>
    <w:rsid w:val="39A13F14"/>
    <w:rsid w:val="3A887EF3"/>
    <w:rsid w:val="3A921CEB"/>
    <w:rsid w:val="3AAE15B7"/>
    <w:rsid w:val="3B5322AF"/>
    <w:rsid w:val="3B660234"/>
    <w:rsid w:val="3BB645EB"/>
    <w:rsid w:val="3C067321"/>
    <w:rsid w:val="3C1C4D96"/>
    <w:rsid w:val="3C5F759A"/>
    <w:rsid w:val="3C720E5A"/>
    <w:rsid w:val="3C722C2B"/>
    <w:rsid w:val="3D1E68EC"/>
    <w:rsid w:val="3D5C78D4"/>
    <w:rsid w:val="3DBF59D9"/>
    <w:rsid w:val="3E7964D0"/>
    <w:rsid w:val="3EA01CAF"/>
    <w:rsid w:val="3EAA6689"/>
    <w:rsid w:val="3F1735F3"/>
    <w:rsid w:val="3F6A406B"/>
    <w:rsid w:val="3F9D61EE"/>
    <w:rsid w:val="3FB71A2E"/>
    <w:rsid w:val="3FFF72A6"/>
    <w:rsid w:val="40CD665F"/>
    <w:rsid w:val="417E3DFD"/>
    <w:rsid w:val="418F7DB9"/>
    <w:rsid w:val="42CA4070"/>
    <w:rsid w:val="42E1381E"/>
    <w:rsid w:val="430345BA"/>
    <w:rsid w:val="43560B8E"/>
    <w:rsid w:val="43A35D9D"/>
    <w:rsid w:val="43FB717C"/>
    <w:rsid w:val="4488746D"/>
    <w:rsid w:val="449B0822"/>
    <w:rsid w:val="44F3240C"/>
    <w:rsid w:val="451E447A"/>
    <w:rsid w:val="451F3201"/>
    <w:rsid w:val="45345B76"/>
    <w:rsid w:val="464A3A20"/>
    <w:rsid w:val="47307808"/>
    <w:rsid w:val="47462CC7"/>
    <w:rsid w:val="474927B8"/>
    <w:rsid w:val="475A5F5D"/>
    <w:rsid w:val="47A334F7"/>
    <w:rsid w:val="47F24BFD"/>
    <w:rsid w:val="48630B93"/>
    <w:rsid w:val="48643D4D"/>
    <w:rsid w:val="486F747C"/>
    <w:rsid w:val="488A3088"/>
    <w:rsid w:val="48B87BF5"/>
    <w:rsid w:val="494B0A69"/>
    <w:rsid w:val="49975A8A"/>
    <w:rsid w:val="4A1452FF"/>
    <w:rsid w:val="4A5751EC"/>
    <w:rsid w:val="4A62606A"/>
    <w:rsid w:val="4AB10DA0"/>
    <w:rsid w:val="4ABD14F2"/>
    <w:rsid w:val="4B1530DD"/>
    <w:rsid w:val="4B524331"/>
    <w:rsid w:val="4B865D88"/>
    <w:rsid w:val="4B8F7333"/>
    <w:rsid w:val="4BD74836"/>
    <w:rsid w:val="4C172E84"/>
    <w:rsid w:val="4C1930A0"/>
    <w:rsid w:val="4C651E42"/>
    <w:rsid w:val="4CA15422"/>
    <w:rsid w:val="4D452ACC"/>
    <w:rsid w:val="4D861CF6"/>
    <w:rsid w:val="4DE4148C"/>
    <w:rsid w:val="4E1E499E"/>
    <w:rsid w:val="4ECF13C9"/>
    <w:rsid w:val="4EEF633A"/>
    <w:rsid w:val="4F0973FC"/>
    <w:rsid w:val="4F193510"/>
    <w:rsid w:val="4F1A6828"/>
    <w:rsid w:val="4F7725B8"/>
    <w:rsid w:val="4FC43323"/>
    <w:rsid w:val="50772144"/>
    <w:rsid w:val="511E0210"/>
    <w:rsid w:val="515A3F3F"/>
    <w:rsid w:val="51A0432A"/>
    <w:rsid w:val="52426781"/>
    <w:rsid w:val="5246001F"/>
    <w:rsid w:val="527140E5"/>
    <w:rsid w:val="5292508F"/>
    <w:rsid w:val="52A01914"/>
    <w:rsid w:val="52A96B6F"/>
    <w:rsid w:val="52FE08FA"/>
    <w:rsid w:val="53360094"/>
    <w:rsid w:val="533D58C6"/>
    <w:rsid w:val="539354E6"/>
    <w:rsid w:val="53997AAA"/>
    <w:rsid w:val="540A554E"/>
    <w:rsid w:val="545F361A"/>
    <w:rsid w:val="54774E08"/>
    <w:rsid w:val="548E5CAE"/>
    <w:rsid w:val="54954E23"/>
    <w:rsid w:val="54CA13DC"/>
    <w:rsid w:val="54F975CB"/>
    <w:rsid w:val="550764A4"/>
    <w:rsid w:val="551926E0"/>
    <w:rsid w:val="55236D3E"/>
    <w:rsid w:val="557A29E6"/>
    <w:rsid w:val="55980A4A"/>
    <w:rsid w:val="56064695"/>
    <w:rsid w:val="561279B9"/>
    <w:rsid w:val="56515F3B"/>
    <w:rsid w:val="56B251A6"/>
    <w:rsid w:val="570606C5"/>
    <w:rsid w:val="572B71CA"/>
    <w:rsid w:val="57DE4365"/>
    <w:rsid w:val="582E3A30"/>
    <w:rsid w:val="587753D7"/>
    <w:rsid w:val="58AE4F0C"/>
    <w:rsid w:val="590824D3"/>
    <w:rsid w:val="596D67DA"/>
    <w:rsid w:val="5A2A7C7B"/>
    <w:rsid w:val="5AEC372E"/>
    <w:rsid w:val="5B392E17"/>
    <w:rsid w:val="5C6914DA"/>
    <w:rsid w:val="5C80234E"/>
    <w:rsid w:val="5CF3349A"/>
    <w:rsid w:val="5CF52D6E"/>
    <w:rsid w:val="5D1D22C5"/>
    <w:rsid w:val="5D99194B"/>
    <w:rsid w:val="5E261785"/>
    <w:rsid w:val="5F4137D7"/>
    <w:rsid w:val="5F4B3119"/>
    <w:rsid w:val="5FCC5339"/>
    <w:rsid w:val="5FE70807"/>
    <w:rsid w:val="602B6AA7"/>
    <w:rsid w:val="60487659"/>
    <w:rsid w:val="606721D5"/>
    <w:rsid w:val="608A7C71"/>
    <w:rsid w:val="60E53485"/>
    <w:rsid w:val="61054A27"/>
    <w:rsid w:val="61120392"/>
    <w:rsid w:val="611D2366"/>
    <w:rsid w:val="61F335F4"/>
    <w:rsid w:val="62775FD3"/>
    <w:rsid w:val="62885958"/>
    <w:rsid w:val="631101D6"/>
    <w:rsid w:val="634C3904"/>
    <w:rsid w:val="63A66B70"/>
    <w:rsid w:val="63E419E4"/>
    <w:rsid w:val="64106CD4"/>
    <w:rsid w:val="641D6091"/>
    <w:rsid w:val="649827BF"/>
    <w:rsid w:val="64CE2EAA"/>
    <w:rsid w:val="64F34037"/>
    <w:rsid w:val="6530528B"/>
    <w:rsid w:val="65870C23"/>
    <w:rsid w:val="662E75B1"/>
    <w:rsid w:val="66342C2E"/>
    <w:rsid w:val="663E784C"/>
    <w:rsid w:val="666D1BC7"/>
    <w:rsid w:val="669730E8"/>
    <w:rsid w:val="67453BEB"/>
    <w:rsid w:val="67D13CA2"/>
    <w:rsid w:val="67F81964"/>
    <w:rsid w:val="684157AD"/>
    <w:rsid w:val="685867EC"/>
    <w:rsid w:val="689478DF"/>
    <w:rsid w:val="68A13DAA"/>
    <w:rsid w:val="68E72104"/>
    <w:rsid w:val="68EF4B15"/>
    <w:rsid w:val="68FC7232"/>
    <w:rsid w:val="69393AB2"/>
    <w:rsid w:val="69CF4947"/>
    <w:rsid w:val="69FF347E"/>
    <w:rsid w:val="6A0E36C1"/>
    <w:rsid w:val="6B144D07"/>
    <w:rsid w:val="6BDB24DB"/>
    <w:rsid w:val="6C5D448C"/>
    <w:rsid w:val="6D317DF2"/>
    <w:rsid w:val="6D56199F"/>
    <w:rsid w:val="6DB95951"/>
    <w:rsid w:val="6E8E12EF"/>
    <w:rsid w:val="6EA97E5C"/>
    <w:rsid w:val="6EDF73DA"/>
    <w:rsid w:val="6EF74724"/>
    <w:rsid w:val="6F392F8E"/>
    <w:rsid w:val="6F9B77A5"/>
    <w:rsid w:val="70981F36"/>
    <w:rsid w:val="70E84C6C"/>
    <w:rsid w:val="7130216F"/>
    <w:rsid w:val="71324139"/>
    <w:rsid w:val="713752AB"/>
    <w:rsid w:val="71D43752"/>
    <w:rsid w:val="724E4FA2"/>
    <w:rsid w:val="72CC236B"/>
    <w:rsid w:val="72F35B4A"/>
    <w:rsid w:val="73047407"/>
    <w:rsid w:val="732950C8"/>
    <w:rsid w:val="73CD1EF7"/>
    <w:rsid w:val="73CF3EC1"/>
    <w:rsid w:val="73DD6243"/>
    <w:rsid w:val="73EA0CFB"/>
    <w:rsid w:val="743106D8"/>
    <w:rsid w:val="745B7503"/>
    <w:rsid w:val="746A1E3C"/>
    <w:rsid w:val="748F5B6C"/>
    <w:rsid w:val="749C4185"/>
    <w:rsid w:val="74F87447"/>
    <w:rsid w:val="75153B55"/>
    <w:rsid w:val="752C70F1"/>
    <w:rsid w:val="75412B9C"/>
    <w:rsid w:val="75CD61DE"/>
    <w:rsid w:val="75DA2C18"/>
    <w:rsid w:val="7735228D"/>
    <w:rsid w:val="775319EF"/>
    <w:rsid w:val="787C544D"/>
    <w:rsid w:val="787D213D"/>
    <w:rsid w:val="789404C3"/>
    <w:rsid w:val="790F1C77"/>
    <w:rsid w:val="79147A06"/>
    <w:rsid w:val="79823784"/>
    <w:rsid w:val="7A340F22"/>
    <w:rsid w:val="7A67303B"/>
    <w:rsid w:val="7AAB1D04"/>
    <w:rsid w:val="7ABA4368"/>
    <w:rsid w:val="7B0D52CF"/>
    <w:rsid w:val="7B257FFD"/>
    <w:rsid w:val="7B3F192C"/>
    <w:rsid w:val="7B5B0730"/>
    <w:rsid w:val="7B803B5C"/>
    <w:rsid w:val="7C2B1DA5"/>
    <w:rsid w:val="7D627B54"/>
    <w:rsid w:val="7DAC0DCF"/>
    <w:rsid w:val="7DF4317E"/>
    <w:rsid w:val="7E03663C"/>
    <w:rsid w:val="7E64308B"/>
    <w:rsid w:val="7E795155"/>
    <w:rsid w:val="7E90249F"/>
    <w:rsid w:val="7E994324"/>
    <w:rsid w:val="7EA5274C"/>
    <w:rsid w:val="7EFE38AC"/>
    <w:rsid w:val="7F160BF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iPriority="9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47"/>
    <w:autoRedefine/>
    <w:qFormat/>
    <w:uiPriority w:val="0"/>
    <w:pPr>
      <w:keepNext/>
      <w:keepLines/>
      <w:numPr>
        <w:ilvl w:val="0"/>
        <w:numId w:val="1"/>
      </w:numPr>
      <w:spacing w:before="340" w:after="330" w:line="578" w:lineRule="auto"/>
      <w:outlineLvl w:val="0"/>
    </w:pPr>
    <w:rPr>
      <w:b/>
      <w:bCs/>
      <w:kern w:val="44"/>
      <w:sz w:val="44"/>
      <w:szCs w:val="44"/>
    </w:rPr>
  </w:style>
  <w:style w:type="paragraph" w:styleId="3">
    <w:name w:val="heading 2"/>
    <w:basedOn w:val="1"/>
    <w:next w:val="1"/>
    <w:autoRedefine/>
    <w:qFormat/>
    <w:uiPriority w:val="9"/>
    <w:pPr>
      <w:keepNext/>
      <w:keepLines/>
      <w:numPr>
        <w:ilvl w:val="0"/>
        <w:numId w:val="2"/>
      </w:numPr>
      <w:adjustRightInd/>
      <w:spacing w:line="360" w:lineRule="auto"/>
      <w:jc w:val="left"/>
      <w:outlineLvl w:val="1"/>
    </w:pPr>
    <w:rPr>
      <w:rFonts w:ascii="仿宋_GB2312" w:hAnsi="仿宋" w:eastAsia="仿宋_GB2312"/>
      <w:b/>
      <w:bCs/>
      <w:sz w:val="32"/>
      <w:szCs w:val="32"/>
      <w:lang w:val="zh-CN"/>
    </w:rPr>
  </w:style>
  <w:style w:type="paragraph" w:styleId="4">
    <w:name w:val="heading 3"/>
    <w:basedOn w:val="1"/>
    <w:next w:val="1"/>
    <w:autoRedefine/>
    <w:qFormat/>
    <w:uiPriority w:val="0"/>
    <w:pPr>
      <w:keepNext/>
      <w:keepLines/>
      <w:numPr>
        <w:ilvl w:val="2"/>
        <w:numId w:val="1"/>
      </w:numPr>
      <w:spacing w:before="260" w:after="260" w:line="416" w:lineRule="auto"/>
      <w:outlineLvl w:val="2"/>
    </w:pPr>
    <w:rPr>
      <w:b/>
      <w:bCs/>
      <w:sz w:val="32"/>
      <w:szCs w:val="32"/>
    </w:rPr>
  </w:style>
  <w:style w:type="paragraph" w:styleId="5">
    <w:name w:val="heading 4"/>
    <w:basedOn w:val="1"/>
    <w:next w:val="1"/>
    <w:link w:val="597"/>
    <w:autoRedefine/>
    <w:qFormat/>
    <w:uiPriority w:val="0"/>
    <w:pPr>
      <w:keepNext/>
      <w:keepLines/>
      <w:numPr>
        <w:ilvl w:val="3"/>
        <w:numId w:val="1"/>
      </w:numPr>
      <w:spacing w:before="280" w:after="290" w:line="376" w:lineRule="auto"/>
      <w:outlineLvl w:val="3"/>
    </w:pPr>
    <w:rPr>
      <w:rFonts w:ascii="Arial" w:hAnsi="Arial" w:eastAsia="黑体"/>
      <w:b/>
      <w:bCs/>
      <w:sz w:val="28"/>
      <w:szCs w:val="28"/>
      <w:lang w:val="zh-CN"/>
    </w:rPr>
  </w:style>
  <w:style w:type="paragraph" w:styleId="6">
    <w:name w:val="heading 5"/>
    <w:basedOn w:val="1"/>
    <w:next w:val="1"/>
    <w:link w:val="571"/>
    <w:autoRedefine/>
    <w:qFormat/>
    <w:uiPriority w:val="0"/>
    <w:pPr>
      <w:keepNext/>
      <w:keepLines/>
      <w:numPr>
        <w:ilvl w:val="4"/>
        <w:numId w:val="1"/>
      </w:numPr>
      <w:spacing w:before="280" w:after="290" w:line="376" w:lineRule="auto"/>
      <w:outlineLvl w:val="4"/>
    </w:pPr>
    <w:rPr>
      <w:b/>
      <w:bCs/>
      <w:sz w:val="28"/>
      <w:szCs w:val="28"/>
    </w:rPr>
  </w:style>
  <w:style w:type="paragraph" w:styleId="7">
    <w:name w:val="heading 6"/>
    <w:basedOn w:val="1"/>
    <w:next w:val="1"/>
    <w:link w:val="610"/>
    <w:autoRedefine/>
    <w:qFormat/>
    <w:uiPriority w:val="0"/>
    <w:pPr>
      <w:keepNext/>
      <w:keepLines/>
      <w:numPr>
        <w:ilvl w:val="5"/>
        <w:numId w:val="1"/>
      </w:numPr>
      <w:spacing w:before="240" w:after="64" w:line="320" w:lineRule="auto"/>
      <w:outlineLvl w:val="5"/>
    </w:pPr>
    <w:rPr>
      <w:rFonts w:ascii="Arial" w:hAnsi="Arial" w:eastAsia="黑体"/>
      <w:b/>
      <w:bCs/>
      <w:sz w:val="24"/>
    </w:rPr>
  </w:style>
  <w:style w:type="paragraph" w:styleId="8">
    <w:name w:val="heading 7"/>
    <w:basedOn w:val="1"/>
    <w:next w:val="1"/>
    <w:link w:val="479"/>
    <w:autoRedefine/>
    <w:qFormat/>
    <w:uiPriority w:val="0"/>
    <w:pPr>
      <w:keepNext/>
      <w:keepLines/>
      <w:numPr>
        <w:ilvl w:val="6"/>
        <w:numId w:val="1"/>
      </w:numPr>
      <w:spacing w:before="240" w:after="64" w:line="320" w:lineRule="auto"/>
      <w:outlineLvl w:val="6"/>
    </w:pPr>
    <w:rPr>
      <w:b/>
      <w:bCs/>
      <w:sz w:val="24"/>
    </w:rPr>
  </w:style>
  <w:style w:type="paragraph" w:styleId="9">
    <w:name w:val="heading 8"/>
    <w:basedOn w:val="1"/>
    <w:next w:val="1"/>
    <w:link w:val="469"/>
    <w:autoRedefine/>
    <w:qFormat/>
    <w:uiPriority w:val="0"/>
    <w:pPr>
      <w:keepNext/>
      <w:keepLines/>
      <w:numPr>
        <w:ilvl w:val="7"/>
        <w:numId w:val="1"/>
      </w:numPr>
      <w:spacing w:before="240" w:after="64" w:line="320" w:lineRule="auto"/>
      <w:outlineLvl w:val="7"/>
    </w:pPr>
    <w:rPr>
      <w:rFonts w:ascii="Arial" w:hAnsi="Arial" w:eastAsia="黑体"/>
      <w:sz w:val="24"/>
    </w:rPr>
  </w:style>
  <w:style w:type="paragraph" w:styleId="10">
    <w:name w:val="heading 9"/>
    <w:basedOn w:val="1"/>
    <w:next w:val="1"/>
    <w:link w:val="517"/>
    <w:autoRedefine/>
    <w:qFormat/>
    <w:uiPriority w:val="0"/>
    <w:pPr>
      <w:keepNext/>
      <w:keepLines/>
      <w:numPr>
        <w:ilvl w:val="8"/>
        <w:numId w:val="1"/>
      </w:numPr>
      <w:spacing w:before="240" w:after="64" w:line="320" w:lineRule="auto"/>
      <w:outlineLvl w:val="8"/>
    </w:pPr>
    <w:rPr>
      <w:rFonts w:ascii="Arial" w:hAnsi="Arial" w:eastAsia="黑体"/>
      <w:szCs w:val="21"/>
    </w:rPr>
  </w:style>
  <w:style w:type="character" w:default="1" w:styleId="62">
    <w:name w:val="Default Paragraph Font"/>
    <w:autoRedefine/>
    <w:semiHidden/>
    <w:unhideWhenUsed/>
    <w:qFormat/>
    <w:uiPriority w:val="1"/>
  </w:style>
  <w:style w:type="table" w:default="1" w:styleId="60">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link w:val="611"/>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autoRedefine/>
    <w:semiHidden/>
    <w:qFormat/>
    <w:uiPriority w:val="0"/>
    <w:pPr>
      <w:shd w:val="clear" w:color="auto" w:fill="000080"/>
    </w:pPr>
  </w:style>
  <w:style w:type="paragraph" w:styleId="19">
    <w:name w:val="annotation text"/>
    <w:basedOn w:val="1"/>
    <w:link w:val="612"/>
    <w:autoRedefine/>
    <w:qFormat/>
    <w:uiPriority w:val="99"/>
    <w:pPr>
      <w:jc w:val="left"/>
    </w:pPr>
  </w:style>
  <w:style w:type="paragraph" w:styleId="20">
    <w:name w:val="Salutation"/>
    <w:basedOn w:val="1"/>
    <w:next w:val="1"/>
    <w:link w:val="480"/>
    <w:autoRedefine/>
    <w:qFormat/>
    <w:uiPriority w:val="0"/>
    <w:rPr>
      <w:rFonts w:ascii="仿宋_GB2312" w:eastAsia="仿宋_GB2312"/>
      <w:sz w:val="28"/>
      <w:szCs w:val="20"/>
    </w:rPr>
  </w:style>
  <w:style w:type="paragraph" w:styleId="21">
    <w:name w:val="Body Text 3"/>
    <w:basedOn w:val="1"/>
    <w:link w:val="579"/>
    <w:autoRedefine/>
    <w:qFormat/>
    <w:uiPriority w:val="0"/>
    <w:pPr>
      <w:jc w:val="center"/>
    </w:pPr>
    <w:rPr>
      <w:szCs w:val="20"/>
    </w:rPr>
  </w:style>
  <w:style w:type="paragraph" w:styleId="22">
    <w:name w:val="Body Text"/>
    <w:basedOn w:val="1"/>
    <w:link w:val="510"/>
    <w:autoRedefine/>
    <w:qFormat/>
    <w:uiPriority w:val="0"/>
    <w:pPr>
      <w:autoSpaceDE w:val="0"/>
      <w:autoSpaceDN w:val="0"/>
      <w:spacing w:line="360" w:lineRule="auto"/>
    </w:pPr>
    <w:rPr>
      <w:rFonts w:ascii="宋体"/>
      <w:sz w:val="24"/>
      <w:szCs w:val="21"/>
      <w:lang w:val="zh-CN"/>
    </w:rPr>
  </w:style>
  <w:style w:type="paragraph" w:styleId="23">
    <w:name w:val="Body Text Indent"/>
    <w:basedOn w:val="1"/>
    <w:link w:val="473"/>
    <w:autoRedefine/>
    <w:qFormat/>
    <w:uiPriority w:val="0"/>
    <w:pPr>
      <w:spacing w:line="480" w:lineRule="exact"/>
      <w:ind w:firstLine="480" w:firstLineChars="200"/>
    </w:pPr>
    <w:rPr>
      <w:rFonts w:ascii="宋体" w:hAnsi="宋体"/>
      <w:sz w:val="24"/>
    </w:rPr>
  </w:style>
  <w:style w:type="paragraph" w:styleId="24">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5">
    <w:name w:val="List 2"/>
    <w:basedOn w:val="1"/>
    <w:autoRedefine/>
    <w:qFormat/>
    <w:uiPriority w:val="0"/>
    <w:pPr>
      <w:adjustRightInd/>
      <w:spacing w:line="360" w:lineRule="auto"/>
      <w:ind w:left="100" w:leftChars="200" w:hanging="200" w:hangingChars="200"/>
    </w:pPr>
    <w:rPr>
      <w:rFonts w:eastAsia="微软雅黑"/>
    </w:rPr>
  </w:style>
  <w:style w:type="paragraph" w:styleId="26">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7">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28">
    <w:name w:val="HTML Address"/>
    <w:basedOn w:val="1"/>
    <w:link w:val="569"/>
    <w:autoRedefine/>
    <w:qFormat/>
    <w:uiPriority w:val="0"/>
    <w:pPr>
      <w:widowControl/>
      <w:adjustRightInd/>
      <w:ind w:firstLine="200" w:firstLineChars="200"/>
      <w:jc w:val="left"/>
    </w:pPr>
    <w:rPr>
      <w:rFonts w:ascii="宋体" w:hAnsi="宋体"/>
      <w:i/>
      <w:iCs/>
      <w:kern w:val="0"/>
      <w:sz w:val="24"/>
    </w:rPr>
  </w:style>
  <w:style w:type="paragraph" w:styleId="29">
    <w:name w:val="toc 5"/>
    <w:basedOn w:val="1"/>
    <w:next w:val="1"/>
    <w:autoRedefine/>
    <w:qFormat/>
    <w:uiPriority w:val="0"/>
    <w:pPr>
      <w:ind w:left="1680" w:leftChars="800"/>
    </w:pPr>
  </w:style>
  <w:style w:type="paragraph" w:styleId="30">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1">
    <w:name w:val="Plain Text"/>
    <w:basedOn w:val="1"/>
    <w:next w:val="1"/>
    <w:link w:val="487"/>
    <w:autoRedefine/>
    <w:qFormat/>
    <w:uiPriority w:val="0"/>
    <w:rPr>
      <w:rFonts w:ascii="宋体" w:hAnsi="Courier New"/>
      <w:szCs w:val="20"/>
    </w:rPr>
  </w:style>
  <w:style w:type="paragraph" w:styleId="32">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3">
    <w:name w:val="toc 8"/>
    <w:basedOn w:val="1"/>
    <w:next w:val="1"/>
    <w:autoRedefine/>
    <w:qFormat/>
    <w:uiPriority w:val="0"/>
    <w:pPr>
      <w:ind w:left="2940" w:leftChars="1400"/>
    </w:pPr>
  </w:style>
  <w:style w:type="paragraph" w:styleId="34">
    <w:name w:val="Date"/>
    <w:basedOn w:val="1"/>
    <w:next w:val="1"/>
    <w:link w:val="596"/>
    <w:autoRedefine/>
    <w:qFormat/>
    <w:uiPriority w:val="0"/>
    <w:pPr>
      <w:ind w:left="100" w:leftChars="2500"/>
    </w:pPr>
    <w:rPr>
      <w:rFonts w:ascii="宋体"/>
      <w:sz w:val="24"/>
      <w:szCs w:val="21"/>
      <w:lang w:val="zh-CN"/>
    </w:rPr>
  </w:style>
  <w:style w:type="paragraph" w:styleId="35">
    <w:name w:val="Body Text Indent 2"/>
    <w:basedOn w:val="1"/>
    <w:link w:val="501"/>
    <w:autoRedefine/>
    <w:qFormat/>
    <w:uiPriority w:val="0"/>
    <w:pPr>
      <w:spacing w:line="360" w:lineRule="auto"/>
      <w:ind w:firstLine="601"/>
      <w:textAlignment w:val="baseline"/>
    </w:pPr>
    <w:rPr>
      <w:rFonts w:ascii="宋体"/>
      <w:kern w:val="0"/>
      <w:sz w:val="28"/>
      <w:szCs w:val="20"/>
    </w:rPr>
  </w:style>
  <w:style w:type="paragraph" w:styleId="36">
    <w:name w:val="Balloon Text"/>
    <w:basedOn w:val="1"/>
    <w:link w:val="613"/>
    <w:autoRedefine/>
    <w:semiHidden/>
    <w:qFormat/>
    <w:uiPriority w:val="0"/>
    <w:rPr>
      <w:sz w:val="18"/>
      <w:szCs w:val="18"/>
    </w:rPr>
  </w:style>
  <w:style w:type="paragraph" w:styleId="37">
    <w:name w:val="footer"/>
    <w:basedOn w:val="1"/>
    <w:autoRedefine/>
    <w:qFormat/>
    <w:uiPriority w:val="0"/>
    <w:pPr>
      <w:tabs>
        <w:tab w:val="center" w:pos="4153"/>
        <w:tab w:val="right" w:pos="8306"/>
      </w:tabs>
      <w:snapToGrid w:val="0"/>
      <w:jc w:val="left"/>
    </w:pPr>
    <w:rPr>
      <w:sz w:val="18"/>
      <w:szCs w:val="18"/>
    </w:rPr>
  </w:style>
  <w:style w:type="paragraph" w:styleId="38">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39">
    <w:name w:val="Signature"/>
    <w:basedOn w:val="1"/>
    <w:link w:val="433"/>
    <w:autoRedefine/>
    <w:qFormat/>
    <w:uiPriority w:val="0"/>
    <w:pPr>
      <w:spacing w:after="600" w:line="312" w:lineRule="atLeast"/>
      <w:jc w:val="center"/>
      <w:textAlignment w:val="baseline"/>
    </w:pPr>
    <w:rPr>
      <w:rFonts w:eastAsia="仿宋_GB2312"/>
      <w:kern w:val="0"/>
      <w:sz w:val="24"/>
      <w:szCs w:val="20"/>
    </w:rPr>
  </w:style>
  <w:style w:type="paragraph" w:styleId="40">
    <w:name w:val="toc 1"/>
    <w:basedOn w:val="1"/>
    <w:next w:val="1"/>
    <w:autoRedefine/>
    <w:qFormat/>
    <w:uiPriority w:val="0"/>
  </w:style>
  <w:style w:type="paragraph" w:styleId="41">
    <w:name w:val="toc 4"/>
    <w:basedOn w:val="1"/>
    <w:next w:val="1"/>
    <w:autoRedefine/>
    <w:qFormat/>
    <w:uiPriority w:val="0"/>
    <w:pPr>
      <w:ind w:left="1260" w:leftChars="600"/>
    </w:pPr>
  </w:style>
  <w:style w:type="paragraph" w:styleId="42">
    <w:name w:val="index heading"/>
    <w:basedOn w:val="1"/>
    <w:next w:val="43"/>
    <w:autoRedefine/>
    <w:qFormat/>
    <w:uiPriority w:val="0"/>
    <w:pPr>
      <w:adjustRightInd/>
      <w:ind w:firstLine="200" w:firstLineChars="200"/>
    </w:pPr>
  </w:style>
  <w:style w:type="paragraph" w:styleId="43">
    <w:name w:val="index 1"/>
    <w:basedOn w:val="1"/>
    <w:next w:val="1"/>
    <w:autoRedefine/>
    <w:qFormat/>
    <w:uiPriority w:val="0"/>
    <w:pPr>
      <w:adjustRightInd/>
      <w:spacing w:line="360" w:lineRule="auto"/>
      <w:ind w:firstLine="200" w:firstLineChars="200"/>
      <w:jc w:val="center"/>
    </w:pPr>
    <w:rPr>
      <w:sz w:val="24"/>
      <w:szCs w:val="20"/>
    </w:rPr>
  </w:style>
  <w:style w:type="paragraph" w:styleId="44">
    <w:name w:val="Subtitle"/>
    <w:link w:val="486"/>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5">
    <w:name w:val="List Number 5"/>
    <w:basedOn w:val="1"/>
    <w:autoRedefine/>
    <w:qFormat/>
    <w:uiPriority w:val="0"/>
    <w:pPr>
      <w:tabs>
        <w:tab w:val="left" w:pos="902"/>
      </w:tabs>
      <w:adjustRightInd/>
      <w:spacing w:line="400" w:lineRule="exact"/>
      <w:ind w:left="902" w:hanging="420"/>
    </w:pPr>
    <w:rPr>
      <w:sz w:val="24"/>
      <w:szCs w:val="20"/>
    </w:rPr>
  </w:style>
  <w:style w:type="paragraph" w:styleId="46">
    <w:name w:val="List"/>
    <w:basedOn w:val="1"/>
    <w:autoRedefine/>
    <w:qFormat/>
    <w:uiPriority w:val="0"/>
    <w:pPr>
      <w:ind w:left="200" w:hanging="200" w:hangingChars="200"/>
    </w:pPr>
  </w:style>
  <w:style w:type="paragraph" w:styleId="47">
    <w:name w:val="footnote text"/>
    <w:basedOn w:val="15"/>
    <w:link w:val="471"/>
    <w:autoRedefine/>
    <w:qFormat/>
    <w:uiPriority w:val="0"/>
    <w:pPr>
      <w:adjustRightInd/>
      <w:snapToGrid/>
      <w:spacing w:before="60" w:after="60" w:line="300" w:lineRule="exact"/>
      <w:ind w:firstLine="0"/>
    </w:pPr>
    <w:rPr>
      <w:rFonts w:ascii="Times New Roman"/>
      <w:snapToGrid/>
      <w:color w:val="0000FF"/>
      <w:kern w:val="0"/>
      <w:sz w:val="21"/>
    </w:rPr>
  </w:style>
  <w:style w:type="paragraph" w:styleId="48">
    <w:name w:val="toc 6"/>
    <w:basedOn w:val="1"/>
    <w:next w:val="1"/>
    <w:autoRedefine/>
    <w:qFormat/>
    <w:uiPriority w:val="0"/>
    <w:pPr>
      <w:ind w:left="2100" w:leftChars="1000"/>
    </w:pPr>
  </w:style>
  <w:style w:type="paragraph" w:styleId="49">
    <w:name w:val="List 5"/>
    <w:basedOn w:val="1"/>
    <w:autoRedefine/>
    <w:qFormat/>
    <w:uiPriority w:val="0"/>
    <w:pPr>
      <w:adjustRightInd/>
      <w:ind w:left="100" w:leftChars="800" w:hanging="200" w:hangingChars="200"/>
    </w:pPr>
  </w:style>
  <w:style w:type="paragraph" w:styleId="50">
    <w:name w:val="Body Text Indent 3"/>
    <w:basedOn w:val="1"/>
    <w:link w:val="586"/>
    <w:autoRedefine/>
    <w:qFormat/>
    <w:uiPriority w:val="0"/>
    <w:pPr>
      <w:spacing w:line="360" w:lineRule="auto"/>
      <w:ind w:firstLine="420"/>
    </w:pPr>
    <w:rPr>
      <w:sz w:val="24"/>
      <w:szCs w:val="20"/>
    </w:rPr>
  </w:style>
  <w:style w:type="paragraph" w:styleId="51">
    <w:name w:val="toc 2"/>
    <w:basedOn w:val="1"/>
    <w:next w:val="1"/>
    <w:autoRedefine/>
    <w:qFormat/>
    <w:uiPriority w:val="0"/>
    <w:pPr>
      <w:ind w:left="420" w:leftChars="200"/>
    </w:pPr>
  </w:style>
  <w:style w:type="paragraph" w:styleId="52">
    <w:name w:val="toc 9"/>
    <w:basedOn w:val="1"/>
    <w:next w:val="1"/>
    <w:autoRedefine/>
    <w:qFormat/>
    <w:uiPriority w:val="0"/>
    <w:pPr>
      <w:ind w:left="3360" w:leftChars="1600"/>
    </w:pPr>
  </w:style>
  <w:style w:type="paragraph" w:styleId="53">
    <w:name w:val="Body Text 2"/>
    <w:basedOn w:val="1"/>
    <w:autoRedefine/>
    <w:qFormat/>
    <w:uiPriority w:val="0"/>
    <w:pPr>
      <w:spacing w:after="120" w:line="480" w:lineRule="auto"/>
    </w:pPr>
  </w:style>
  <w:style w:type="paragraph" w:styleId="54">
    <w:name w:val="HTML Preformatted"/>
    <w:basedOn w:val="1"/>
    <w:link w:val="54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5">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6">
    <w:name w:val="Title"/>
    <w:basedOn w:val="1"/>
    <w:autoRedefine/>
    <w:qFormat/>
    <w:uiPriority w:val="0"/>
    <w:pPr>
      <w:widowControl/>
      <w:overflowPunct w:val="0"/>
      <w:autoSpaceDE w:val="0"/>
      <w:autoSpaceDN w:val="0"/>
      <w:jc w:val="center"/>
      <w:textAlignment w:val="baseline"/>
    </w:pPr>
    <w:rPr>
      <w:b/>
      <w:kern w:val="0"/>
      <w:sz w:val="24"/>
      <w:szCs w:val="20"/>
      <w:lang w:val="en-GB"/>
    </w:rPr>
  </w:style>
  <w:style w:type="paragraph" w:styleId="57">
    <w:name w:val="annotation subject"/>
    <w:basedOn w:val="19"/>
    <w:next w:val="19"/>
    <w:autoRedefine/>
    <w:semiHidden/>
    <w:qFormat/>
    <w:uiPriority w:val="0"/>
    <w:rPr>
      <w:b/>
      <w:bCs/>
    </w:rPr>
  </w:style>
  <w:style w:type="paragraph" w:styleId="58">
    <w:name w:val="Body Text First Indent"/>
    <w:basedOn w:val="22"/>
    <w:link w:val="543"/>
    <w:autoRedefine/>
    <w:qFormat/>
    <w:uiPriority w:val="0"/>
    <w:pPr>
      <w:ind w:firstLine="420"/>
    </w:pPr>
    <w:rPr>
      <w:szCs w:val="20"/>
    </w:rPr>
  </w:style>
  <w:style w:type="paragraph" w:styleId="59">
    <w:name w:val="Body Text First Indent 2"/>
    <w:basedOn w:val="23"/>
    <w:link w:val="500"/>
    <w:autoRedefine/>
    <w:qFormat/>
    <w:uiPriority w:val="0"/>
    <w:pPr>
      <w:adjustRightInd/>
      <w:spacing w:after="120" w:line="240" w:lineRule="auto"/>
      <w:ind w:left="420" w:leftChars="200" w:firstLine="210"/>
    </w:pPr>
    <w:rPr>
      <w:sz w:val="21"/>
    </w:rPr>
  </w:style>
  <w:style w:type="table" w:styleId="61">
    <w:name w:val="Table Grid"/>
    <w:basedOn w:val="60"/>
    <w:autoRedefine/>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63">
    <w:name w:val="Strong"/>
    <w:autoRedefine/>
    <w:qFormat/>
    <w:uiPriority w:val="22"/>
    <w:rPr>
      <w:b/>
      <w:bCs/>
    </w:rPr>
  </w:style>
  <w:style w:type="character" w:styleId="64">
    <w:name w:val="page number"/>
    <w:basedOn w:val="62"/>
    <w:autoRedefine/>
    <w:qFormat/>
    <w:uiPriority w:val="0"/>
  </w:style>
  <w:style w:type="character" w:styleId="65">
    <w:name w:val="FollowedHyperlink"/>
    <w:autoRedefine/>
    <w:qFormat/>
    <w:uiPriority w:val="0"/>
    <w:rPr>
      <w:rFonts w:ascii="Arial" w:hAnsi="Arial" w:eastAsia="黑体" w:cs="Arial"/>
      <w:snapToGrid w:val="0"/>
      <w:color w:val="000000"/>
      <w:kern w:val="0"/>
      <w:sz w:val="18"/>
      <w:szCs w:val="18"/>
      <w:u w:val="none"/>
    </w:rPr>
  </w:style>
  <w:style w:type="character" w:styleId="66">
    <w:name w:val="Emphasis"/>
    <w:autoRedefine/>
    <w:qFormat/>
    <w:uiPriority w:val="0"/>
    <w:rPr>
      <w:color w:val="CC0033"/>
    </w:rPr>
  </w:style>
  <w:style w:type="character" w:styleId="67">
    <w:name w:val="line number"/>
    <w:basedOn w:val="62"/>
    <w:autoRedefine/>
    <w:qFormat/>
    <w:uiPriority w:val="0"/>
  </w:style>
  <w:style w:type="character" w:styleId="68">
    <w:name w:val="Hyperlink"/>
    <w:autoRedefine/>
    <w:qFormat/>
    <w:uiPriority w:val="0"/>
    <w:rPr>
      <w:rFonts w:ascii="Arial" w:hAnsi="Arial" w:eastAsia="黑体" w:cs="Arial"/>
      <w:snapToGrid w:val="0"/>
      <w:color w:val="000000"/>
      <w:kern w:val="0"/>
      <w:sz w:val="18"/>
      <w:szCs w:val="18"/>
      <w:u w:val="none"/>
    </w:rPr>
  </w:style>
  <w:style w:type="character" w:styleId="69">
    <w:name w:val="HTML Code"/>
    <w:autoRedefine/>
    <w:qFormat/>
    <w:uiPriority w:val="0"/>
    <w:rPr>
      <w:rFonts w:ascii="黑体" w:hAnsi="Courier New" w:eastAsia="黑体" w:cs="楷体_GB2312"/>
      <w:sz w:val="20"/>
      <w:szCs w:val="20"/>
    </w:rPr>
  </w:style>
  <w:style w:type="character" w:styleId="70">
    <w:name w:val="annotation reference"/>
    <w:autoRedefine/>
    <w:qFormat/>
    <w:uiPriority w:val="99"/>
    <w:rPr>
      <w:sz w:val="21"/>
      <w:szCs w:val="21"/>
    </w:rPr>
  </w:style>
  <w:style w:type="paragraph" w:customStyle="1" w:styleId="7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72">
    <w:name w:val="冯"/>
    <w:basedOn w:val="1"/>
    <w:link w:val="514"/>
    <w:autoRedefine/>
    <w:qFormat/>
    <w:uiPriority w:val="0"/>
    <w:pPr>
      <w:widowControl/>
      <w:adjustRightInd/>
      <w:spacing w:line="360" w:lineRule="auto"/>
      <w:ind w:firstLine="480" w:firstLineChars="200"/>
    </w:pPr>
    <w:rPr>
      <w:rFonts w:ascii="宋体" w:hAnsi="宋体"/>
      <w:color w:val="000000"/>
      <w:kern w:val="0"/>
      <w:sz w:val="24"/>
    </w:rPr>
  </w:style>
  <w:style w:type="paragraph" w:customStyle="1" w:styleId="73">
    <w:name w:val="样式3"/>
    <w:basedOn w:val="74"/>
    <w:autoRedefine/>
    <w:qFormat/>
    <w:uiPriority w:val="0"/>
    <w:pPr>
      <w:tabs>
        <w:tab w:val="left" w:pos="2790"/>
        <w:tab w:val="left" w:pos="4230"/>
      </w:tabs>
      <w:spacing w:before="312" w:beforeLines="100"/>
      <w:jc w:val="left"/>
    </w:pPr>
  </w:style>
  <w:style w:type="paragraph" w:customStyle="1" w:styleId="74">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75">
    <w:name w:val="P1"/>
    <w:basedOn w:val="1"/>
    <w:autoRedefine/>
    <w:qFormat/>
    <w:uiPriority w:val="0"/>
    <w:pPr>
      <w:adjustRightInd/>
      <w:spacing w:line="288" w:lineRule="auto"/>
      <w:ind w:firstLine="425" w:firstLineChars="200"/>
    </w:pPr>
  </w:style>
  <w:style w:type="paragraph" w:customStyle="1" w:styleId="76">
    <w:name w:val="Char1 Char Char Char"/>
    <w:basedOn w:val="1"/>
    <w:autoRedefine/>
    <w:qFormat/>
    <w:uiPriority w:val="0"/>
    <w:rPr>
      <w:rFonts w:ascii="Tahoma" w:hAnsi="Tahoma"/>
      <w:sz w:val="24"/>
      <w:szCs w:val="20"/>
    </w:rPr>
  </w:style>
  <w:style w:type="paragraph" w:customStyle="1" w:styleId="77">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78">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8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1">
    <w:name w:val="样式7"/>
    <w:basedOn w:val="82"/>
    <w:next w:val="1"/>
    <w:autoRedefine/>
    <w:qFormat/>
    <w:uiPriority w:val="0"/>
    <w:pPr>
      <w:spacing w:after="156" w:afterLines="50"/>
      <w:jc w:val="left"/>
      <w:outlineLvl w:val="3"/>
    </w:pPr>
    <w:rPr>
      <w:sz w:val="24"/>
      <w:szCs w:val="24"/>
    </w:rPr>
  </w:style>
  <w:style w:type="paragraph" w:customStyle="1" w:styleId="82">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83">
    <w:name w:val="Bulleted List"/>
    <w:basedOn w:val="1"/>
    <w:autoRedefine/>
    <w:qFormat/>
    <w:uiPriority w:val="0"/>
    <w:pPr>
      <w:numPr>
        <w:ilvl w:val="1"/>
        <w:numId w:val="4"/>
      </w:numPr>
      <w:adjustRightInd/>
    </w:pPr>
  </w:style>
  <w:style w:type="paragraph" w:customStyle="1" w:styleId="84">
    <w:name w:val="Char3"/>
    <w:basedOn w:val="1"/>
    <w:autoRedefine/>
    <w:qFormat/>
    <w:uiPriority w:val="0"/>
    <w:pPr>
      <w:adjustRightInd/>
    </w:pPr>
    <w:rPr>
      <w:rFonts w:ascii="仿宋_GB2312" w:eastAsia="仿宋_GB2312"/>
      <w:b/>
      <w:sz w:val="32"/>
      <w:szCs w:val="32"/>
    </w:rPr>
  </w:style>
  <w:style w:type="paragraph" w:customStyle="1" w:styleId="85">
    <w:name w:val="Char Char1 Char Char Char Char Char Char"/>
    <w:basedOn w:val="1"/>
    <w:autoRedefine/>
    <w:qFormat/>
    <w:uiPriority w:val="0"/>
    <w:rPr>
      <w:rFonts w:ascii="仿宋_GB2312" w:eastAsia="仿宋_GB2312"/>
      <w:b/>
      <w:sz w:val="32"/>
      <w:szCs w:val="20"/>
    </w:rPr>
  </w:style>
  <w:style w:type="paragraph" w:customStyle="1" w:styleId="86">
    <w:name w:val="文本正文 Char"/>
    <w:basedOn w:val="1"/>
    <w:autoRedefine/>
    <w:qFormat/>
    <w:uiPriority w:val="0"/>
    <w:pPr>
      <w:spacing w:line="360" w:lineRule="auto"/>
      <w:ind w:firstLine="200" w:firstLineChars="200"/>
    </w:pPr>
    <w:rPr>
      <w:kern w:val="0"/>
      <w:sz w:val="24"/>
      <w:szCs w:val="20"/>
    </w:rPr>
  </w:style>
  <w:style w:type="paragraph" w:customStyle="1" w:styleId="87">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8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89">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90">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91">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92">
    <w:name w:val="样式 标题 22h2L1 Heading 2H2sect 1.2H21sect 1.21H22sect 1.2..."/>
    <w:basedOn w:val="3"/>
    <w:next w:val="1"/>
    <w:autoRedefine/>
    <w:qFormat/>
    <w:uiPriority w:val="0"/>
    <w:pPr>
      <w:numPr>
        <w:numId w:val="0"/>
      </w:num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93">
    <w:name w:val="正文首行缩进1"/>
    <w:basedOn w:val="22"/>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94">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95">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96">
    <w:name w:val="Char1"/>
    <w:basedOn w:val="1"/>
    <w:autoRedefine/>
    <w:qFormat/>
    <w:uiPriority w:val="0"/>
    <w:rPr>
      <w:rFonts w:ascii="仿宋_GB2312" w:eastAsia="仿宋_GB2312"/>
      <w:b/>
      <w:sz w:val="32"/>
      <w:szCs w:val="32"/>
    </w:rPr>
  </w:style>
  <w:style w:type="paragraph" w:customStyle="1" w:styleId="97">
    <w:name w:val="CM14"/>
    <w:basedOn w:val="98"/>
    <w:next w:val="98"/>
    <w:autoRedefine/>
    <w:qFormat/>
    <w:uiPriority w:val="0"/>
    <w:pPr>
      <w:spacing w:after="68"/>
    </w:pPr>
    <w:rPr>
      <w:rFonts w:ascii="FHLHE E+ Futura Bk" w:eastAsia="FHLHE E+ Futura Bk" w:cs="Times New Roman"/>
      <w:color w:val="auto"/>
    </w:rPr>
  </w:style>
  <w:style w:type="paragraph" w:customStyle="1" w:styleId="98">
    <w:name w:val="Default"/>
    <w:link w:val="625"/>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9">
    <w:name w:val="正文文字缩进2字"/>
    <w:basedOn w:val="22"/>
    <w:autoRedefine/>
    <w:qFormat/>
    <w:uiPriority w:val="0"/>
    <w:pPr>
      <w:autoSpaceDE/>
      <w:autoSpaceDN/>
      <w:adjustRightInd/>
      <w:spacing w:before="60" w:after="60"/>
      <w:ind w:firstLine="200" w:firstLineChars="200"/>
    </w:pPr>
    <w:rPr>
      <w:rFonts w:ascii="Times New Roman"/>
      <w:szCs w:val="20"/>
      <w:lang w:val="en-US"/>
    </w:rPr>
  </w:style>
  <w:style w:type="paragraph" w:customStyle="1" w:styleId="100">
    <w:name w:val="正文 编号"/>
    <w:basedOn w:val="1"/>
    <w:autoRedefine/>
    <w:qFormat/>
    <w:uiPriority w:val="0"/>
    <w:pPr>
      <w:widowControl/>
      <w:numPr>
        <w:ilvl w:val="0"/>
        <w:numId w:val="4"/>
      </w:numPr>
      <w:spacing w:after="120" w:line="440" w:lineRule="exact"/>
      <w:jc w:val="left"/>
    </w:pPr>
    <w:rPr>
      <w:rFonts w:ascii="仿宋_GB2312" w:hAnsi="仿宋_GB2312" w:eastAsia="仿宋_GB2312"/>
      <w:sz w:val="24"/>
      <w:szCs w:val="20"/>
    </w:rPr>
  </w:style>
  <w:style w:type="paragraph" w:customStyle="1" w:styleId="10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102">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103">
    <w:name w:val="标书标题4"/>
    <w:basedOn w:val="5"/>
    <w:autoRedefine/>
    <w:qFormat/>
    <w:uiPriority w:val="0"/>
    <w:pPr>
      <w:keepLines w:val="0"/>
      <w:numPr>
        <w:numId w:val="0"/>
      </w:numPr>
      <w:snapToGrid w:val="0"/>
      <w:spacing w:before="0" w:after="0" w:line="300" w:lineRule="auto"/>
    </w:pPr>
    <w:rPr>
      <w:rFonts w:ascii="Arial Narrow" w:hAnsi="Arial Narrow" w:eastAsia="仿宋_GB2312"/>
      <w:bCs w:val="0"/>
      <w:color w:val="000000"/>
      <w:kern w:val="0"/>
      <w:szCs w:val="32"/>
      <w:lang w:val="en-US"/>
    </w:rPr>
  </w:style>
  <w:style w:type="paragraph" w:styleId="104">
    <w:name w:val="List Paragraph"/>
    <w:basedOn w:val="1"/>
    <w:autoRedefine/>
    <w:qFormat/>
    <w:uiPriority w:val="0"/>
    <w:pPr>
      <w:spacing w:line="360" w:lineRule="auto"/>
      <w:ind w:firstLine="200" w:firstLineChars="200"/>
    </w:pPr>
    <w:rPr>
      <w:rFonts w:eastAsia="楷体_GB2312" w:cs="Lucida Sans"/>
      <w:sz w:val="24"/>
    </w:rPr>
  </w:style>
  <w:style w:type="paragraph" w:customStyle="1" w:styleId="105">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106">
    <w:name w:val="Char2 Char Char Char"/>
    <w:basedOn w:val="1"/>
    <w:autoRedefine/>
    <w:qFormat/>
    <w:uiPriority w:val="0"/>
    <w:rPr>
      <w:rFonts w:ascii="仿宋_GB2312" w:eastAsia="仿宋_GB2312"/>
      <w:b/>
      <w:sz w:val="32"/>
      <w:szCs w:val="32"/>
    </w:rPr>
  </w:style>
  <w:style w:type="paragraph" w:customStyle="1" w:styleId="107">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08">
    <w:name w:val="样式 正文文本缩进 + 左侧:  2 字符 首行缩进:  2 字符"/>
    <w:basedOn w:val="23"/>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09">
    <w:name w:val="Char Char Char"/>
    <w:basedOn w:val="1"/>
    <w:autoRedefine/>
    <w:qFormat/>
    <w:uiPriority w:val="0"/>
    <w:rPr>
      <w:rFonts w:ascii="Tahoma" w:hAnsi="Tahoma"/>
      <w:sz w:val="24"/>
      <w:szCs w:val="20"/>
    </w:rPr>
  </w:style>
  <w:style w:type="paragraph" w:customStyle="1" w:styleId="110">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111">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112">
    <w:name w:val="样式 正文缩进 + 首行缩进:  2 字符"/>
    <w:basedOn w:val="15"/>
    <w:autoRedefine/>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113">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114">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115">
    <w:name w:val="浅色底纹 - 强调文字颜色 51"/>
    <w:autoRedefine/>
    <w:semiHidden/>
    <w:qFormat/>
    <w:uiPriority w:val="0"/>
    <w:rPr>
      <w:rFonts w:ascii="Times New Roman" w:hAnsi="Times New Roman" w:eastAsia="宋体" w:cs="Times New Roman"/>
      <w:kern w:val="2"/>
      <w:sz w:val="21"/>
      <w:szCs w:val="24"/>
      <w:lang w:val="en-US" w:eastAsia="zh-CN" w:bidi="ar-SA"/>
    </w:rPr>
  </w:style>
  <w:style w:type="paragraph" w:customStyle="1" w:styleId="116">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117">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118">
    <w:name w:val="FA正文"/>
    <w:basedOn w:val="1"/>
    <w:autoRedefine/>
    <w:qFormat/>
    <w:uiPriority w:val="0"/>
    <w:pPr>
      <w:spacing w:line="360" w:lineRule="auto"/>
      <w:ind w:firstLine="480" w:firstLineChars="200"/>
    </w:pPr>
    <w:rPr>
      <w:rFonts w:hAnsi="宋体"/>
      <w:sz w:val="24"/>
      <w:szCs w:val="20"/>
    </w:rPr>
  </w:style>
  <w:style w:type="paragraph" w:customStyle="1" w:styleId="119">
    <w:name w:val="MM Topic 4"/>
    <w:basedOn w:val="5"/>
    <w:autoRedefine/>
    <w:qFormat/>
    <w:uiPriority w:val="0"/>
    <w:pPr>
      <w:numPr>
        <w:ilvl w:val="0"/>
        <w:numId w:val="0"/>
      </w:numPr>
      <w:tabs>
        <w:tab w:val="left" w:pos="2100"/>
        <w:tab w:val="clear" w:pos="864"/>
      </w:tabs>
      <w:adjustRightInd/>
      <w:ind w:left="2100" w:hanging="420"/>
    </w:pPr>
    <w:rPr>
      <w:lang w:val="en-US"/>
    </w:rPr>
  </w:style>
  <w:style w:type="paragraph" w:customStyle="1" w:styleId="120">
    <w:name w:val="Char Char1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121">
    <w:name w:val="有符号正文"/>
    <w:basedOn w:val="1"/>
    <w:autoRedefine/>
    <w:qFormat/>
    <w:uiPriority w:val="0"/>
    <w:pPr>
      <w:adjustRightInd/>
      <w:spacing w:line="400" w:lineRule="exact"/>
      <w:ind w:firstLine="200" w:firstLineChars="200"/>
    </w:pPr>
    <w:rPr>
      <w:rFonts w:ascii="Arial" w:hAnsi="Arial"/>
    </w:rPr>
  </w:style>
  <w:style w:type="paragraph" w:customStyle="1" w:styleId="122">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123">
    <w:name w:val="默认段落字体 Para Char"/>
    <w:basedOn w:val="1"/>
    <w:autoRedefine/>
    <w:qFormat/>
    <w:uiPriority w:val="0"/>
    <w:rPr>
      <w:rFonts w:ascii="Tahoma" w:hAnsi="Tahoma"/>
      <w:sz w:val="24"/>
      <w:szCs w:val="20"/>
    </w:rPr>
  </w:style>
  <w:style w:type="paragraph" w:customStyle="1" w:styleId="124">
    <w:name w:val="Char1 Char Char Char2"/>
    <w:basedOn w:val="1"/>
    <w:autoRedefine/>
    <w:qFormat/>
    <w:uiPriority w:val="0"/>
    <w:pPr>
      <w:adjustRightInd/>
      <w:ind w:firstLine="200" w:firstLineChars="200"/>
    </w:pPr>
    <w:rPr>
      <w:rFonts w:ascii="Tahoma" w:hAnsi="Tahoma"/>
      <w:sz w:val="24"/>
      <w:szCs w:val="20"/>
    </w:rPr>
  </w:style>
  <w:style w:type="paragraph" w:customStyle="1" w:styleId="125">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26">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127">
    <w:name w:val="注释"/>
    <w:basedOn w:val="1"/>
    <w:autoRedefine/>
    <w:qFormat/>
    <w:uiPriority w:val="0"/>
    <w:pPr>
      <w:adjustRightInd/>
      <w:spacing w:line="360" w:lineRule="auto"/>
      <w:ind w:firstLine="480"/>
    </w:pPr>
    <w:rPr>
      <w:sz w:val="24"/>
    </w:rPr>
  </w:style>
  <w:style w:type="paragraph" w:customStyle="1" w:styleId="1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129">
    <w:name w:val="Char1 Char Char Char Char Char Char Char Char Char"/>
    <w:basedOn w:val="1"/>
    <w:autoRedefine/>
    <w:semiHidden/>
    <w:qFormat/>
    <w:uiPriority w:val="0"/>
    <w:pPr>
      <w:adjustRightInd/>
      <w:spacing w:before="240" w:after="120" w:line="288" w:lineRule="auto"/>
      <w:ind w:firstLine="200" w:firstLineChars="200"/>
      <w:jc w:val="left"/>
    </w:pPr>
    <w:rPr>
      <w:rFonts w:ascii="Tahoma" w:hAnsi="Tahoma"/>
      <w:sz w:val="24"/>
    </w:rPr>
  </w:style>
  <w:style w:type="paragraph" w:customStyle="1" w:styleId="130">
    <w:name w:val="trademark"/>
    <w:autoRedefine/>
    <w:qFormat/>
    <w:uiPriority w:val="0"/>
    <w:pPr>
      <w:spacing w:after="60"/>
    </w:pPr>
    <w:rPr>
      <w:rFonts w:ascii="Futura Bk" w:hAnsi="Futura Bk" w:eastAsia="宋体" w:cs="Times New Roman"/>
      <w:sz w:val="15"/>
      <w:lang w:val="en-US" w:eastAsia="en-US" w:bidi="ar-SA"/>
    </w:rPr>
  </w:style>
  <w:style w:type="paragraph" w:customStyle="1" w:styleId="131">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132">
    <w:name w:val="EB_表格"/>
    <w:basedOn w:val="1"/>
    <w:autoRedefine/>
    <w:qFormat/>
    <w:uiPriority w:val="0"/>
    <w:pPr>
      <w:adjustRightInd/>
      <w:spacing w:line="300" w:lineRule="auto"/>
      <w:jc w:val="center"/>
    </w:pPr>
  </w:style>
  <w:style w:type="paragraph" w:customStyle="1" w:styleId="133">
    <w:name w:val="Char Char Char1 Char"/>
    <w:basedOn w:val="1"/>
    <w:autoRedefine/>
    <w:qFormat/>
    <w:uiPriority w:val="0"/>
    <w:rPr>
      <w:szCs w:val="20"/>
    </w:rPr>
  </w:style>
  <w:style w:type="paragraph" w:customStyle="1" w:styleId="13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135">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136">
    <w:name w:val="章标题"/>
    <w:next w:val="137"/>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137">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138">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139">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140">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141">
    <w:name w:val="表文字"/>
    <w:autoRedefine/>
    <w:qFormat/>
    <w:uiPriority w:val="0"/>
    <w:rPr>
      <w:rFonts w:ascii="宋体" w:hAnsi="Times New Roman" w:eastAsia="宋体" w:cs="Times New Roman"/>
      <w:kern w:val="2"/>
      <w:lang w:val="en-US" w:eastAsia="zh-CN" w:bidi="ar-SA"/>
    </w:rPr>
  </w:style>
  <w:style w:type="paragraph" w:customStyle="1" w:styleId="142">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143">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144">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45">
    <w:name w:val="列表内容"/>
    <w:basedOn w:val="1"/>
    <w:next w:val="1"/>
    <w:autoRedefine/>
    <w:qFormat/>
    <w:uiPriority w:val="0"/>
    <w:pPr>
      <w:widowControl/>
      <w:tabs>
        <w:tab w:val="left" w:pos="840"/>
      </w:tabs>
      <w:ind w:left="840" w:hanging="420"/>
      <w:jc w:val="left"/>
    </w:pPr>
    <w:rPr>
      <w:kern w:val="0"/>
      <w:sz w:val="18"/>
    </w:rPr>
  </w:style>
  <w:style w:type="paragraph" w:customStyle="1" w:styleId="146">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147">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48">
    <w:name w:val="body text bold"/>
    <w:basedOn w:val="22"/>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149">
    <w:name w:val="Char2 Char Char"/>
    <w:basedOn w:val="1"/>
    <w:autoRedefine/>
    <w:qFormat/>
    <w:uiPriority w:val="0"/>
    <w:pPr>
      <w:adjustRightInd/>
    </w:pPr>
    <w:rPr>
      <w:rFonts w:ascii="Tahoma" w:hAnsi="Tahoma"/>
      <w:sz w:val="24"/>
      <w:szCs w:val="20"/>
    </w:rPr>
  </w:style>
  <w:style w:type="paragraph" w:customStyle="1" w:styleId="15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151">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152">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153">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154">
    <w:name w:val="Char Char1 Char Char Char"/>
    <w:basedOn w:val="1"/>
    <w:autoRedefine/>
    <w:qFormat/>
    <w:uiPriority w:val="0"/>
    <w:rPr>
      <w:rFonts w:ascii="仿宋_GB2312" w:eastAsia="仿宋_GB2312"/>
      <w:b/>
      <w:sz w:val="32"/>
      <w:szCs w:val="20"/>
    </w:rPr>
  </w:style>
  <w:style w:type="paragraph" w:customStyle="1" w:styleId="15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156">
    <w:name w:val="WW-正文文字缩进 2"/>
    <w:basedOn w:val="1"/>
    <w:autoRedefine/>
    <w:qFormat/>
    <w:uiPriority w:val="0"/>
    <w:pPr>
      <w:suppressAutoHyphens/>
      <w:adjustRightInd/>
      <w:ind w:firstLine="420"/>
    </w:pPr>
    <w:rPr>
      <w:kern w:val="1"/>
      <w:szCs w:val="20"/>
    </w:rPr>
  </w:style>
  <w:style w:type="paragraph" w:customStyle="1" w:styleId="157">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158">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159">
    <w:name w:val="默认段落字体 Para Char Char Char Char"/>
    <w:basedOn w:val="1"/>
    <w:autoRedefine/>
    <w:qFormat/>
    <w:uiPriority w:val="0"/>
    <w:pPr>
      <w:spacing w:line="360" w:lineRule="auto"/>
    </w:pPr>
    <w:rPr>
      <w:szCs w:val="20"/>
    </w:rPr>
  </w:style>
  <w:style w:type="paragraph" w:customStyle="1" w:styleId="160">
    <w:name w:val="Char Char11 Char Char Char"/>
    <w:basedOn w:val="1"/>
    <w:autoRedefine/>
    <w:qFormat/>
    <w:uiPriority w:val="0"/>
    <w:pPr>
      <w:spacing w:line="360" w:lineRule="auto"/>
    </w:pPr>
    <w:rPr>
      <w:szCs w:val="20"/>
    </w:rPr>
  </w:style>
  <w:style w:type="paragraph" w:customStyle="1" w:styleId="161">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162">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163">
    <w:name w:val="左对齐表格文字"/>
    <w:basedOn w:val="1"/>
    <w:autoRedefine/>
    <w:qFormat/>
    <w:uiPriority w:val="0"/>
    <w:pPr>
      <w:adjustRightInd/>
      <w:ind w:firstLine="200" w:firstLineChars="200"/>
      <w:jc w:val="right"/>
    </w:pPr>
  </w:style>
  <w:style w:type="paragraph" w:customStyle="1" w:styleId="164">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16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166">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167">
    <w:name w:val="无间隔1"/>
    <w:link w:val="529"/>
    <w:autoRedefine/>
    <w:qFormat/>
    <w:uiPriority w:val="1"/>
    <w:rPr>
      <w:rFonts w:ascii="Calibri" w:hAnsi="Calibri" w:eastAsia="宋体" w:cs="Times New Roman"/>
      <w:sz w:val="22"/>
      <w:szCs w:val="22"/>
      <w:lang w:val="en-US" w:eastAsia="zh-CN" w:bidi="ar-SA"/>
    </w:rPr>
  </w:style>
  <w:style w:type="paragraph" w:customStyle="1" w:styleId="168">
    <w:name w:val="样式 样式 标题 4h4H4Fab-4T5Ref Heading 1rh1Heading sqlsect 1.2.3.... +..."/>
    <w:basedOn w:val="169"/>
    <w:link w:val="607"/>
    <w:autoRedefine/>
    <w:qFormat/>
    <w:uiPriority w:val="0"/>
    <w:pPr>
      <w:tabs>
        <w:tab w:val="left" w:pos="2356"/>
      </w:tabs>
    </w:pPr>
  </w:style>
  <w:style w:type="paragraph" w:customStyle="1" w:styleId="169">
    <w:name w:val="样式 标题 4h4H4Fab-4T5Ref Heading 1rh1Heading sqlsect 1.2.3...."/>
    <w:basedOn w:val="5"/>
    <w:link w:val="557"/>
    <w:autoRedefine/>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70">
    <w:name w:val="四级条标题"/>
    <w:basedOn w:val="171"/>
    <w:next w:val="137"/>
    <w:autoRedefine/>
    <w:qFormat/>
    <w:uiPriority w:val="0"/>
    <w:pPr>
      <w:numPr>
        <w:ilvl w:val="5"/>
        <w:numId w:val="4"/>
      </w:numPr>
      <w:tabs>
        <w:tab w:val="left" w:pos="1680"/>
        <w:tab w:val="left" w:pos="2100"/>
        <w:tab w:val="left" w:pos="2520"/>
      </w:tabs>
      <w:outlineLvl w:val="5"/>
    </w:pPr>
  </w:style>
  <w:style w:type="paragraph" w:customStyle="1" w:styleId="171">
    <w:name w:val="三级条标题"/>
    <w:basedOn w:val="172"/>
    <w:next w:val="137"/>
    <w:autoRedefine/>
    <w:qFormat/>
    <w:uiPriority w:val="0"/>
    <w:pPr>
      <w:numPr>
        <w:ilvl w:val="0"/>
        <w:numId w:val="0"/>
      </w:numPr>
      <w:tabs>
        <w:tab w:val="left" w:pos="1680"/>
        <w:tab w:val="left" w:pos="2100"/>
        <w:tab w:val="left" w:pos="2520"/>
      </w:tabs>
      <w:ind w:left="2520" w:hanging="420"/>
      <w:outlineLvl w:val="4"/>
    </w:pPr>
  </w:style>
  <w:style w:type="paragraph" w:customStyle="1" w:styleId="172">
    <w:name w:val="二级条标题"/>
    <w:basedOn w:val="173"/>
    <w:next w:val="137"/>
    <w:autoRedefine/>
    <w:qFormat/>
    <w:uiPriority w:val="0"/>
    <w:pPr>
      <w:numPr>
        <w:ilvl w:val="3"/>
        <w:numId w:val="4"/>
      </w:numPr>
      <w:tabs>
        <w:tab w:val="left" w:pos="1680"/>
      </w:tabs>
      <w:ind w:left="0"/>
      <w:outlineLvl w:val="3"/>
    </w:pPr>
  </w:style>
  <w:style w:type="paragraph" w:customStyle="1" w:styleId="173">
    <w:name w:val="一级条标题"/>
    <w:basedOn w:val="136"/>
    <w:next w:val="137"/>
    <w:autoRedefine/>
    <w:qFormat/>
    <w:uiPriority w:val="0"/>
    <w:pPr>
      <w:tabs>
        <w:tab w:val="left" w:pos="1680"/>
        <w:tab w:val="clear" w:pos="1260"/>
      </w:tabs>
      <w:spacing w:before="0" w:beforeLines="0" w:after="0" w:afterLines="0"/>
      <w:ind w:left="1680"/>
      <w:outlineLvl w:val="2"/>
    </w:pPr>
  </w:style>
  <w:style w:type="paragraph" w:customStyle="1" w:styleId="174">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175">
    <w:name w:val="标准小四"/>
    <w:basedOn w:val="1"/>
    <w:autoRedefine/>
    <w:qFormat/>
    <w:uiPriority w:val="0"/>
    <w:pPr>
      <w:spacing w:line="360" w:lineRule="auto"/>
      <w:ind w:firstLine="480" w:firstLineChars="200"/>
    </w:pPr>
    <w:rPr>
      <w:rFonts w:ascii="Arial" w:hAnsi="Arial"/>
      <w:sz w:val="24"/>
      <w:szCs w:val="21"/>
    </w:rPr>
  </w:style>
  <w:style w:type="paragraph" w:customStyle="1" w:styleId="176">
    <w:name w:val="表格"/>
    <w:basedOn w:val="1"/>
    <w:autoRedefine/>
    <w:qFormat/>
    <w:uiPriority w:val="0"/>
    <w:pPr>
      <w:snapToGrid w:val="0"/>
      <w:ind w:firstLine="42" w:firstLineChars="21"/>
    </w:pPr>
    <w:rPr>
      <w:rFonts w:ascii="宋体" w:hAnsi="宋体"/>
      <w:kern w:val="0"/>
      <w:sz w:val="20"/>
      <w:szCs w:val="20"/>
    </w:rPr>
  </w:style>
  <w:style w:type="paragraph" w:customStyle="1" w:styleId="177">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178">
    <w:name w:val="Char Char Char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179">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18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181">
    <w:name w:val="Char2 Char Char Char1"/>
    <w:basedOn w:val="1"/>
    <w:autoRedefine/>
    <w:qFormat/>
    <w:uiPriority w:val="0"/>
    <w:rPr>
      <w:rFonts w:ascii="仿宋_GB2312" w:eastAsia="仿宋_GB2312"/>
      <w:b/>
      <w:sz w:val="32"/>
      <w:szCs w:val="32"/>
    </w:rPr>
  </w:style>
  <w:style w:type="paragraph" w:customStyle="1" w:styleId="182">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183">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184">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185">
    <w:name w:val="Char2"/>
    <w:basedOn w:val="1"/>
    <w:autoRedefine/>
    <w:qFormat/>
    <w:uiPriority w:val="0"/>
    <w:rPr>
      <w:rFonts w:ascii="仿宋_GB2312" w:eastAsia="仿宋_GB2312"/>
      <w:b/>
      <w:sz w:val="32"/>
      <w:szCs w:val="32"/>
    </w:rPr>
  </w:style>
  <w:style w:type="paragraph" w:customStyle="1" w:styleId="18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187">
    <w:name w:val="小节"/>
    <w:basedOn w:val="4"/>
    <w:autoRedefine/>
    <w:qFormat/>
    <w:uiPriority w:val="0"/>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188">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189">
    <w:name w:val="Char Char Char Char Char Char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190">
    <w:name w:val="!大节"/>
    <w:basedOn w:val="3"/>
    <w:autoRedefine/>
    <w:qFormat/>
    <w:uiPriority w:val="0"/>
    <w:pPr>
      <w:numPr>
        <w:numId w:val="0"/>
      </w:numPr>
      <w:spacing w:before="260" w:after="260" w:line="415" w:lineRule="auto"/>
      <w:ind w:left="420" w:hanging="420"/>
    </w:pPr>
    <w:rPr>
      <w:rFonts w:ascii="Arial" w:hAnsi="Arial" w:eastAsia="微软雅黑"/>
      <w:lang w:val="en-US"/>
    </w:rPr>
  </w:style>
  <w:style w:type="paragraph" w:customStyle="1" w:styleId="191">
    <w:name w:val="Char Char4 Char Char"/>
    <w:basedOn w:val="1"/>
    <w:autoRedefine/>
    <w:qFormat/>
    <w:uiPriority w:val="0"/>
    <w:pPr>
      <w:widowControl/>
      <w:adjustRightInd/>
      <w:spacing w:after="160" w:line="240" w:lineRule="exact"/>
      <w:jc w:val="left"/>
    </w:pPr>
  </w:style>
  <w:style w:type="paragraph" w:customStyle="1" w:styleId="192">
    <w:name w:val="Char2 Char Char1"/>
    <w:basedOn w:val="1"/>
    <w:autoRedefine/>
    <w:qFormat/>
    <w:uiPriority w:val="0"/>
    <w:pPr>
      <w:adjustRightInd/>
    </w:pPr>
    <w:rPr>
      <w:rFonts w:ascii="Tahoma" w:hAnsi="Tahoma"/>
      <w:sz w:val="24"/>
      <w:szCs w:val="20"/>
    </w:rPr>
  </w:style>
  <w:style w:type="paragraph" w:customStyle="1" w:styleId="193">
    <w:name w:val="默认段落字体 Para Char Char Char Char Char Char Char"/>
    <w:basedOn w:val="1"/>
    <w:autoRedefine/>
    <w:qFormat/>
    <w:uiPriority w:val="0"/>
    <w:rPr>
      <w:rFonts w:eastAsia="仿宋_GB2312"/>
      <w:sz w:val="28"/>
      <w:szCs w:val="20"/>
    </w:rPr>
  </w:style>
  <w:style w:type="paragraph" w:customStyle="1" w:styleId="194">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195">
    <w:name w:val="正文21"/>
    <w:basedOn w:val="1"/>
    <w:autoRedefine/>
    <w:qFormat/>
    <w:uiPriority w:val="0"/>
    <w:pPr>
      <w:adjustRightInd/>
      <w:spacing w:before="156" w:line="360" w:lineRule="auto"/>
      <w:ind w:firstLine="510" w:firstLineChars="200"/>
    </w:pPr>
    <w:rPr>
      <w:sz w:val="24"/>
      <w:szCs w:val="20"/>
    </w:rPr>
  </w:style>
  <w:style w:type="paragraph" w:customStyle="1" w:styleId="196">
    <w:name w:val="标题4_自定义"/>
    <w:basedOn w:val="5"/>
    <w:autoRedefine/>
    <w:qFormat/>
    <w:uiPriority w:val="0"/>
    <w:pPr>
      <w:numPr>
        <w:numId w:val="0"/>
      </w:numPr>
      <w:adjustRightInd/>
      <w:spacing w:before="0" w:after="0" w:line="360" w:lineRule="auto"/>
    </w:pPr>
    <w:rPr>
      <w:rFonts w:ascii="Verdana" w:eastAsia="Verdana"/>
      <w:sz w:val="21"/>
      <w:lang w:val="en-US"/>
    </w:rPr>
  </w:style>
  <w:style w:type="paragraph" w:customStyle="1" w:styleId="197">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198">
    <w:name w:val="标题五"/>
    <w:basedOn w:val="1"/>
    <w:autoRedefine/>
    <w:qFormat/>
    <w:uiPriority w:val="0"/>
    <w:pPr>
      <w:adjustRightInd/>
      <w:spacing w:before="156" w:beforeLines="50" w:line="360" w:lineRule="auto"/>
    </w:pPr>
    <w:rPr>
      <w:b/>
      <w:sz w:val="24"/>
    </w:rPr>
  </w:style>
  <w:style w:type="paragraph" w:customStyle="1" w:styleId="199">
    <w:name w:val="样式 标题 3H3 + 两端对齐"/>
    <w:basedOn w:val="4"/>
    <w:autoRedefine/>
    <w:qFormat/>
    <w:uiPriority w:val="0"/>
    <w:pPr>
      <w:keepLines w:val="0"/>
      <w:numPr>
        <w:numId w:val="0"/>
      </w:numPr>
      <w:spacing w:before="0" w:after="0" w:line="240" w:lineRule="auto"/>
      <w:jc w:val="left"/>
    </w:pPr>
    <w:rPr>
      <w:rFonts w:cs="宋体"/>
      <w:sz w:val="21"/>
      <w:szCs w:val="20"/>
    </w:rPr>
  </w:style>
  <w:style w:type="paragraph" w:customStyle="1" w:styleId="200">
    <w:name w:val="Char Char11"/>
    <w:basedOn w:val="1"/>
    <w:autoRedefine/>
    <w:qFormat/>
    <w:uiPriority w:val="0"/>
    <w:pPr>
      <w:spacing w:line="360" w:lineRule="auto"/>
    </w:pPr>
    <w:rPr>
      <w:szCs w:val="20"/>
    </w:rPr>
  </w:style>
  <w:style w:type="paragraph" w:customStyle="1" w:styleId="20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02">
    <w:name w:val="样式6"/>
    <w:basedOn w:val="31"/>
    <w:autoRedefine/>
    <w:qFormat/>
    <w:uiPriority w:val="0"/>
    <w:pPr>
      <w:spacing w:line="460" w:lineRule="exact"/>
      <w:outlineLvl w:val="2"/>
    </w:pPr>
    <w:rPr>
      <w:rFonts w:ascii="仿宋_GB2312" w:hAnsi="宋体" w:eastAsia="仿宋_GB2312"/>
      <w:b/>
      <w:bCs/>
      <w:sz w:val="24"/>
      <w:szCs w:val="24"/>
    </w:rPr>
  </w:style>
  <w:style w:type="paragraph" w:customStyle="1" w:styleId="203">
    <w:name w:val="样式 标题 1章节第一层h1H"/>
    <w:basedOn w:val="2"/>
    <w:autoRedefine/>
    <w:qFormat/>
    <w:uiPriority w:val="0"/>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20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205">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206">
    <w:name w:val="Char Char11 Char Char Char Char Char Char Char Char Char"/>
    <w:basedOn w:val="1"/>
    <w:autoRedefine/>
    <w:qFormat/>
    <w:uiPriority w:val="0"/>
    <w:pPr>
      <w:spacing w:line="360" w:lineRule="auto"/>
    </w:pPr>
    <w:rPr>
      <w:szCs w:val="20"/>
    </w:rPr>
  </w:style>
  <w:style w:type="paragraph" w:customStyle="1" w:styleId="207">
    <w:name w:val="Char Char1 Char Char Char1"/>
    <w:basedOn w:val="1"/>
    <w:autoRedefine/>
    <w:qFormat/>
    <w:uiPriority w:val="0"/>
    <w:rPr>
      <w:rFonts w:ascii="仿宋_GB2312" w:eastAsia="仿宋_GB2312"/>
      <w:b/>
      <w:sz w:val="32"/>
      <w:szCs w:val="32"/>
    </w:rPr>
  </w:style>
  <w:style w:type="paragraph" w:customStyle="1" w:styleId="208">
    <w:name w:val="样式 标题 4PIM 4H4h4bulletblbbH41H42H43H44H45H46H47H48...1"/>
    <w:basedOn w:val="5"/>
    <w:autoRedefine/>
    <w:qFormat/>
    <w:uiPriority w:val="0"/>
    <w:pPr>
      <w:widowControl/>
      <w:jc w:val="left"/>
    </w:pPr>
    <w:rPr>
      <w:rFonts w:cs="宋体"/>
      <w:sz w:val="24"/>
      <w:szCs w:val="20"/>
    </w:rPr>
  </w:style>
  <w:style w:type="paragraph" w:customStyle="1" w:styleId="209">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210">
    <w:name w:val="表格标题2"/>
    <w:basedOn w:val="211"/>
    <w:autoRedefine/>
    <w:qFormat/>
    <w:uiPriority w:val="0"/>
    <w:rPr>
      <w:b/>
    </w:rPr>
  </w:style>
  <w:style w:type="paragraph" w:customStyle="1" w:styleId="211">
    <w:name w:val="表格内文"/>
    <w:basedOn w:val="1"/>
    <w:autoRedefine/>
    <w:qFormat/>
    <w:uiPriority w:val="0"/>
    <w:pPr>
      <w:adjustRightInd/>
      <w:spacing w:line="360" w:lineRule="auto"/>
    </w:pPr>
    <w:rPr>
      <w:rFonts w:ascii="宋体" w:hAnsi="宋体" w:cs="宋体"/>
      <w:color w:val="000000"/>
      <w:szCs w:val="20"/>
    </w:rPr>
  </w:style>
  <w:style w:type="paragraph" w:customStyle="1" w:styleId="212">
    <w:name w:val="Char Char Char Char Char Char Char"/>
    <w:basedOn w:val="1"/>
    <w:autoRedefine/>
    <w:qFormat/>
    <w:uiPriority w:val="0"/>
    <w:rPr>
      <w:rFonts w:ascii="仿宋_GB2312" w:eastAsia="仿宋_GB2312"/>
      <w:b/>
      <w:sz w:val="32"/>
      <w:szCs w:val="32"/>
    </w:rPr>
  </w:style>
  <w:style w:type="paragraph" w:customStyle="1" w:styleId="213">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214">
    <w:name w:val="数字标题6"/>
    <w:basedOn w:val="7"/>
    <w:next w:val="1"/>
    <w:autoRedefine/>
    <w:qFormat/>
    <w:uiPriority w:val="0"/>
    <w:pPr>
      <w:numPr>
        <w:numId w:val="5"/>
      </w:numPr>
      <w:tabs>
        <w:tab w:val="left" w:pos="480"/>
        <w:tab w:val="left" w:pos="1080"/>
        <w:tab w:val="clear" w:pos="1152"/>
      </w:tabs>
    </w:pPr>
    <w:rPr>
      <w:rFonts w:ascii="Times New Roman" w:hAnsi="Times New Roman" w:eastAsia="宋体"/>
      <w:i/>
    </w:rPr>
  </w:style>
  <w:style w:type="paragraph" w:customStyle="1" w:styleId="215">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16">
    <w:name w:val="列出段落2"/>
    <w:basedOn w:val="1"/>
    <w:autoRedefine/>
    <w:qFormat/>
    <w:uiPriority w:val="0"/>
    <w:pPr>
      <w:adjustRightInd/>
      <w:ind w:firstLine="420" w:firstLineChars="200"/>
    </w:pPr>
    <w:rPr>
      <w:rFonts w:ascii="宋体" w:hAnsi="宋体"/>
      <w:sz w:val="24"/>
    </w:rPr>
  </w:style>
  <w:style w:type="paragraph" w:customStyle="1" w:styleId="217">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218">
    <w:name w:val="TOC 标题1"/>
    <w:basedOn w:val="2"/>
    <w:next w:val="1"/>
    <w:autoRedefine/>
    <w:unhideWhenUsed/>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1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220">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221">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222">
    <w:name w:val="Table Text"/>
    <w:basedOn w:val="1"/>
    <w:autoRedefine/>
    <w:qFormat/>
    <w:uiPriority w:val="0"/>
    <w:pPr>
      <w:widowControl/>
      <w:spacing w:before="60" w:after="60"/>
      <w:jc w:val="left"/>
    </w:pPr>
    <w:rPr>
      <w:kern w:val="0"/>
      <w:sz w:val="24"/>
    </w:rPr>
  </w:style>
  <w:style w:type="paragraph" w:customStyle="1" w:styleId="22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224">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25">
    <w:name w:val="Char Char Char Char Char Char Char Char Char Char"/>
    <w:basedOn w:val="1"/>
    <w:autoRedefine/>
    <w:qFormat/>
    <w:uiPriority w:val="0"/>
    <w:rPr>
      <w:rFonts w:ascii="仿宋_GB2312" w:eastAsia="仿宋_GB2312"/>
      <w:b/>
      <w:sz w:val="32"/>
      <w:szCs w:val="32"/>
    </w:rPr>
  </w:style>
  <w:style w:type="paragraph" w:customStyle="1" w:styleId="226">
    <w:name w:val="MM Title"/>
    <w:basedOn w:val="56"/>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227">
    <w:name w:val="正文文字表格居中"/>
    <w:basedOn w:val="1"/>
    <w:next w:val="53"/>
    <w:autoRedefine/>
    <w:qFormat/>
    <w:uiPriority w:val="0"/>
    <w:pPr>
      <w:snapToGrid w:val="0"/>
      <w:spacing w:line="360" w:lineRule="auto"/>
    </w:pPr>
    <w:rPr>
      <w:rFonts w:ascii="宋体"/>
      <w:b/>
      <w:sz w:val="24"/>
      <w:szCs w:val="20"/>
    </w:rPr>
  </w:style>
  <w:style w:type="paragraph" w:customStyle="1" w:styleId="228">
    <w:name w:val="模板普通正文"/>
    <w:basedOn w:val="23"/>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22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230">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231">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32">
    <w:name w:val="Char"/>
    <w:basedOn w:val="1"/>
    <w:autoRedefine/>
    <w:qFormat/>
    <w:uiPriority w:val="0"/>
    <w:rPr>
      <w:rFonts w:ascii="仿宋_GB2312" w:eastAsia="仿宋_GB2312"/>
      <w:b/>
      <w:sz w:val="32"/>
      <w:szCs w:val="32"/>
    </w:rPr>
  </w:style>
  <w:style w:type="paragraph" w:customStyle="1" w:styleId="233">
    <w:name w:val="冯广丽"/>
    <w:basedOn w:val="1"/>
    <w:link w:val="470"/>
    <w:autoRedefine/>
    <w:qFormat/>
    <w:uiPriority w:val="0"/>
    <w:pPr>
      <w:adjustRightInd/>
      <w:spacing w:line="360" w:lineRule="auto"/>
      <w:ind w:firstLine="480" w:firstLineChars="200"/>
    </w:pPr>
    <w:rPr>
      <w:rFonts w:ascii="宋体" w:hAnsi="宋体"/>
      <w:sz w:val="24"/>
      <w:szCs w:val="22"/>
    </w:rPr>
  </w:style>
  <w:style w:type="paragraph" w:customStyle="1" w:styleId="234">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235">
    <w:name w:val="Char31"/>
    <w:basedOn w:val="1"/>
    <w:autoRedefine/>
    <w:qFormat/>
    <w:uiPriority w:val="0"/>
    <w:pPr>
      <w:adjustRightInd/>
      <w:ind w:firstLine="200" w:firstLineChars="200"/>
    </w:pPr>
    <w:rPr>
      <w:rFonts w:ascii="Tahoma" w:hAnsi="Tahoma"/>
      <w:sz w:val="24"/>
      <w:szCs w:val="20"/>
    </w:rPr>
  </w:style>
  <w:style w:type="paragraph" w:customStyle="1" w:styleId="236">
    <w:name w:val="Char Char11 Char Char Char1"/>
    <w:basedOn w:val="1"/>
    <w:autoRedefine/>
    <w:qFormat/>
    <w:uiPriority w:val="0"/>
    <w:pPr>
      <w:spacing w:line="360" w:lineRule="auto"/>
    </w:pPr>
    <w:rPr>
      <w:szCs w:val="20"/>
    </w:rPr>
  </w:style>
  <w:style w:type="paragraph" w:customStyle="1" w:styleId="237">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238">
    <w:name w:val="_Style 236"/>
    <w:autoRedefine/>
    <w:qFormat/>
    <w:uiPriority w:val="0"/>
    <w:rPr>
      <w:rFonts w:ascii="Times New Roman" w:hAnsi="Times New Roman" w:eastAsia="宋体" w:cs="Times New Roman"/>
      <w:kern w:val="2"/>
      <w:sz w:val="21"/>
      <w:lang w:val="en-US" w:eastAsia="zh-CN" w:bidi="ar-SA"/>
    </w:rPr>
  </w:style>
  <w:style w:type="paragraph" w:customStyle="1" w:styleId="239">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240">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41">
    <w:name w:val="正文文字缩进项目"/>
    <w:basedOn w:val="23"/>
    <w:autoRedefine/>
    <w:qFormat/>
    <w:uiPriority w:val="0"/>
    <w:pPr>
      <w:tabs>
        <w:tab w:val="left" w:pos="840"/>
      </w:tabs>
      <w:adjustRightInd/>
      <w:spacing w:after="120" w:line="240" w:lineRule="auto"/>
      <w:ind w:firstLine="0" w:firstLineChars="0"/>
    </w:pPr>
    <w:rPr>
      <w:rFonts w:ascii="Tahoma" w:hAnsi="Tahoma"/>
      <w:sz w:val="22"/>
      <w:szCs w:val="20"/>
    </w:rPr>
  </w:style>
  <w:style w:type="paragraph" w:customStyle="1" w:styleId="24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243">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244">
    <w:name w:val="文章标题"/>
    <w:next w:val="180"/>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245">
    <w:name w:val="4"/>
    <w:basedOn w:val="1"/>
    <w:next w:val="35"/>
    <w:autoRedefine/>
    <w:qFormat/>
    <w:uiPriority w:val="0"/>
    <w:pPr>
      <w:spacing w:after="120" w:line="480" w:lineRule="auto"/>
      <w:ind w:left="420" w:leftChars="200"/>
    </w:pPr>
    <w:rPr>
      <w:sz w:val="24"/>
      <w:szCs w:val="20"/>
    </w:rPr>
  </w:style>
  <w:style w:type="paragraph" w:customStyle="1" w:styleId="246">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247">
    <w:name w:val="Char Char Char Char Char Char Char Char Char Char Char1 Char"/>
    <w:basedOn w:val="1"/>
    <w:autoRedefine/>
    <w:qFormat/>
    <w:uiPriority w:val="0"/>
    <w:pPr>
      <w:adjustRightInd/>
    </w:pPr>
    <w:rPr>
      <w:rFonts w:ascii="Tahoma" w:hAnsi="Tahoma"/>
      <w:sz w:val="24"/>
    </w:rPr>
  </w:style>
  <w:style w:type="paragraph" w:customStyle="1" w:styleId="248">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249">
    <w:name w:val="标书表格字体格式"/>
    <w:next w:val="153"/>
    <w:autoRedefine/>
    <w:qFormat/>
    <w:uiPriority w:val="0"/>
    <w:rPr>
      <w:rFonts w:ascii="Times New Roman" w:hAnsi="Times New Roman" w:eastAsia="宋体" w:cs="Times New Roman"/>
      <w:kern w:val="2"/>
      <w:sz w:val="21"/>
      <w:szCs w:val="24"/>
      <w:lang w:val="en-US" w:eastAsia="zh-CN" w:bidi="ar-SA"/>
    </w:rPr>
  </w:style>
  <w:style w:type="paragraph" w:customStyle="1" w:styleId="250">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251">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252">
    <w:name w:val="正文1"/>
    <w:basedOn w:val="30"/>
    <w:autoRedefine/>
    <w:qFormat/>
    <w:uiPriority w:val="0"/>
    <w:pPr>
      <w:ind w:left="0" w:leftChars="0" w:firstLine="480" w:firstLineChars="200"/>
    </w:pPr>
    <w:rPr>
      <w:rFonts w:ascii="仿宋_GB2312" w:hAnsi="Courier New" w:eastAsia="仿宋_GB2312"/>
      <w:kern w:val="28"/>
      <w:sz w:val="24"/>
    </w:rPr>
  </w:style>
  <w:style w:type="paragraph" w:customStyle="1" w:styleId="253">
    <w:name w:val="带编号样式"/>
    <w:basedOn w:val="86"/>
    <w:autoRedefine/>
    <w:qFormat/>
    <w:uiPriority w:val="0"/>
    <w:pPr>
      <w:tabs>
        <w:tab w:val="left" w:pos="840"/>
      </w:tabs>
      <w:snapToGrid w:val="0"/>
      <w:ind w:left="840" w:firstLine="0" w:firstLineChars="0"/>
    </w:pPr>
    <w:rPr>
      <w:rFonts w:ascii="仿宋_GB2312" w:eastAsia="仿宋_GB2312"/>
      <w:color w:val="000000"/>
    </w:rPr>
  </w:style>
  <w:style w:type="paragraph" w:customStyle="1" w:styleId="254">
    <w:name w:val="正文文字 2"/>
    <w:basedOn w:val="98"/>
    <w:next w:val="98"/>
    <w:autoRedefine/>
    <w:qFormat/>
    <w:uiPriority w:val="0"/>
    <w:rPr>
      <w:rFonts w:ascii="宋体" w:eastAsia="宋体" w:cs="Times New Roman"/>
      <w:color w:val="auto"/>
    </w:rPr>
  </w:style>
  <w:style w:type="paragraph" w:customStyle="1" w:styleId="255">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256">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257">
    <w:name w:val="Char5"/>
    <w:basedOn w:val="1"/>
    <w:autoRedefine/>
    <w:qFormat/>
    <w:uiPriority w:val="0"/>
    <w:rPr>
      <w:rFonts w:ascii="仿宋_GB2312" w:eastAsia="仿宋_GB2312"/>
      <w:b/>
      <w:sz w:val="32"/>
      <w:szCs w:val="32"/>
    </w:rPr>
  </w:style>
  <w:style w:type="paragraph" w:customStyle="1" w:styleId="258">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9">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260">
    <w:name w:val="Item List"/>
    <w:link w:val="47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261">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262">
    <w:name w:val="样式 正文文本缩进 2 + 仿宋_GB2312 黑色 行距: 1.5 倍行距"/>
    <w:basedOn w:val="35"/>
    <w:autoRedefine/>
    <w:qFormat/>
    <w:uiPriority w:val="0"/>
    <w:pPr>
      <w:adjustRightInd/>
      <w:ind w:firstLine="560" w:firstLineChars="200"/>
      <w:textAlignment w:val="auto"/>
    </w:pPr>
    <w:rPr>
      <w:rFonts w:hAnsi="宋体" w:cs="宋体"/>
      <w:color w:val="000000"/>
      <w:kern w:val="2"/>
      <w:sz w:val="24"/>
    </w:rPr>
  </w:style>
  <w:style w:type="paragraph" w:customStyle="1" w:styleId="263">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264">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265">
    <w:name w:val="Char Char1 Char Char Char Char Char Char1"/>
    <w:basedOn w:val="1"/>
    <w:autoRedefine/>
    <w:qFormat/>
    <w:uiPriority w:val="0"/>
    <w:rPr>
      <w:rFonts w:ascii="仿宋_GB2312" w:eastAsia="仿宋_GB2312"/>
      <w:b/>
      <w:sz w:val="32"/>
      <w:szCs w:val="20"/>
    </w:rPr>
  </w:style>
  <w:style w:type="paragraph" w:customStyle="1" w:styleId="266">
    <w:name w:val="Char Char Char Char Char Char Char Char Char Char Char Char1 Char"/>
    <w:basedOn w:val="1"/>
    <w:autoRedefine/>
    <w:qFormat/>
    <w:uiPriority w:val="0"/>
    <w:rPr>
      <w:rFonts w:ascii="Tahoma" w:hAnsi="Tahoma" w:cs="仿宋_GB2312"/>
      <w:sz w:val="24"/>
      <w:szCs w:val="20"/>
    </w:rPr>
  </w:style>
  <w:style w:type="paragraph" w:customStyle="1" w:styleId="267">
    <w:name w:val="表格项目符号 2"/>
    <w:basedOn w:val="27"/>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268">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269">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270">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271">
    <w:name w:val="样式 正文文本缩进 + 段前: 2 字符"/>
    <w:basedOn w:val="1"/>
    <w:qFormat/>
    <w:uiPriority w:val="0"/>
    <w:pPr>
      <w:adjustRightInd/>
      <w:ind w:left="420" w:leftChars="200"/>
      <w:jc w:val="left"/>
    </w:pPr>
    <w:rPr>
      <w:sz w:val="28"/>
      <w:szCs w:val="20"/>
      <w:lang w:eastAsia="zh-TW"/>
    </w:rPr>
  </w:style>
  <w:style w:type="paragraph" w:customStyle="1" w:styleId="272">
    <w:name w:val="Char1 Char Char Char3"/>
    <w:basedOn w:val="1"/>
    <w:qFormat/>
    <w:uiPriority w:val="0"/>
    <w:pPr>
      <w:adjustRightInd/>
      <w:ind w:firstLine="200" w:firstLineChars="200"/>
    </w:pPr>
    <w:rPr>
      <w:rFonts w:ascii="Tahoma" w:hAnsi="Tahoma"/>
      <w:sz w:val="24"/>
      <w:szCs w:val="20"/>
    </w:rPr>
  </w:style>
  <w:style w:type="paragraph" w:customStyle="1" w:styleId="273">
    <w:name w:val="_Style 271"/>
    <w:basedOn w:val="2"/>
    <w:next w:val="1"/>
    <w:qFormat/>
    <w:uiPriority w:val="39"/>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274">
    <w:name w:val="Char Char Char Char Char Char Char Char Char Char Char Char1 Char1"/>
    <w:basedOn w:val="1"/>
    <w:qFormat/>
    <w:uiPriority w:val="0"/>
    <w:rPr>
      <w:rFonts w:ascii="Tahoma" w:hAnsi="Tahoma" w:cs="仿宋_GB2312"/>
      <w:sz w:val="24"/>
      <w:szCs w:val="20"/>
    </w:rPr>
  </w:style>
  <w:style w:type="paragraph" w:customStyle="1" w:styleId="275">
    <w:name w:val="Char Char1 Char1"/>
    <w:basedOn w:val="1"/>
    <w:qFormat/>
    <w:uiPriority w:val="0"/>
    <w:rPr>
      <w:rFonts w:ascii="仿宋_GB2312" w:eastAsia="仿宋_GB2312"/>
      <w:b/>
      <w:sz w:val="32"/>
      <w:szCs w:val="32"/>
    </w:rPr>
  </w:style>
  <w:style w:type="paragraph" w:customStyle="1" w:styleId="276">
    <w:name w:val="List Paragraph11"/>
    <w:basedOn w:val="1"/>
    <w:qFormat/>
    <w:uiPriority w:val="0"/>
    <w:pPr>
      <w:adjustRightInd/>
      <w:spacing w:line="360" w:lineRule="auto"/>
      <w:ind w:firstLine="420" w:firstLineChars="200"/>
    </w:pPr>
    <w:rPr>
      <w:rFonts w:ascii="Calibri" w:hAnsi="Calibri"/>
      <w:sz w:val="24"/>
      <w:szCs w:val="22"/>
    </w:rPr>
  </w:style>
  <w:style w:type="paragraph" w:customStyle="1" w:styleId="277">
    <w:name w:val="插图题注"/>
    <w:next w:val="1"/>
    <w:qFormat/>
    <w:uiPriority w:val="0"/>
    <w:pPr>
      <w:numPr>
        <w:ilvl w:val="7"/>
        <w:numId w:val="4"/>
      </w:numPr>
      <w:spacing w:after="312" w:afterLines="100"/>
      <w:ind w:left="1089" w:hanging="369"/>
      <w:jc w:val="center"/>
    </w:pPr>
    <w:rPr>
      <w:rFonts w:ascii="Arial" w:hAnsi="Arial" w:eastAsia="宋体" w:cs="Times New Roman"/>
      <w:sz w:val="18"/>
      <w:szCs w:val="18"/>
      <w:lang w:val="en-US" w:eastAsia="zh-CN" w:bidi="ar-SA"/>
    </w:rPr>
  </w:style>
  <w:style w:type="paragraph" w:customStyle="1" w:styleId="278">
    <w:name w:val="Bulleting First Indent 1"/>
    <w:basedOn w:val="58"/>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279">
    <w:name w:val="Char Char1"/>
    <w:basedOn w:val="1"/>
    <w:qFormat/>
    <w:uiPriority w:val="0"/>
    <w:pPr>
      <w:widowControl/>
      <w:spacing w:after="160" w:line="240" w:lineRule="exact"/>
      <w:jc w:val="left"/>
    </w:pPr>
    <w:rPr>
      <w:rFonts w:eastAsia="仿宋_GB2312"/>
      <w:sz w:val="28"/>
    </w:rPr>
  </w:style>
  <w:style w:type="paragraph" w:customStyle="1" w:styleId="280">
    <w:name w:val="单元格居中"/>
    <w:basedOn w:val="1"/>
    <w:qFormat/>
    <w:uiPriority w:val="0"/>
    <w:pPr>
      <w:adjustRightInd/>
      <w:spacing w:line="360" w:lineRule="auto"/>
      <w:jc w:val="center"/>
    </w:pPr>
    <w:rPr>
      <w:sz w:val="24"/>
    </w:rPr>
  </w:style>
  <w:style w:type="paragraph" w:customStyle="1" w:styleId="281">
    <w:name w:val="正文缩进1"/>
    <w:basedOn w:val="1"/>
    <w:next w:val="23"/>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282">
    <w:name w:val="样式 标题 1Level 1 HeadPIM 1Section Headh1l11Heading 0Datash..."/>
    <w:basedOn w:val="2"/>
    <w:qFormat/>
    <w:uiPriority w:val="0"/>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28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284">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28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286">
    <w:name w:val="MM Empty"/>
    <w:basedOn w:val="1"/>
    <w:qFormat/>
    <w:uiPriority w:val="0"/>
    <w:pPr>
      <w:adjustRightInd/>
    </w:pPr>
  </w:style>
  <w:style w:type="paragraph" w:customStyle="1" w:styleId="287">
    <w:name w:val="文档正文"/>
    <w:basedOn w:val="1"/>
    <w:qFormat/>
    <w:uiPriority w:val="0"/>
    <w:pPr>
      <w:spacing w:line="480" w:lineRule="atLeast"/>
      <w:ind w:firstLine="567"/>
      <w:textAlignment w:val="baseline"/>
    </w:pPr>
    <w:rPr>
      <w:kern w:val="0"/>
      <w:sz w:val="24"/>
      <w:szCs w:val="20"/>
    </w:rPr>
  </w:style>
  <w:style w:type="paragraph" w:customStyle="1" w:styleId="28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289">
    <w:name w:val="Char Char1 Char Char1 Char Char1"/>
    <w:basedOn w:val="1"/>
    <w:qFormat/>
    <w:uiPriority w:val="0"/>
    <w:pPr>
      <w:tabs>
        <w:tab w:val="left" w:pos="840"/>
      </w:tabs>
      <w:ind w:left="840" w:hanging="420"/>
    </w:pPr>
    <w:rPr>
      <w:rFonts w:ascii="Tahoma" w:hAnsi="Tahoma"/>
      <w:sz w:val="24"/>
    </w:rPr>
  </w:style>
  <w:style w:type="paragraph" w:customStyle="1" w:styleId="290">
    <w:name w:val="样式 标题 2H2h2Underrubrik1prop2l2Chapter Titlesect 1.2DO NO..."/>
    <w:basedOn w:val="3"/>
    <w:qFormat/>
    <w:uiPriority w:val="0"/>
    <w:pPr>
      <w:numPr>
        <w:numId w:val="0"/>
      </w:numPr>
      <w:spacing w:before="120" w:after="120"/>
      <w:ind w:left="425" w:hanging="425"/>
    </w:pPr>
    <w:rPr>
      <w:rFonts w:ascii="微软雅黑" w:hAnsi="微软雅黑" w:eastAsia="微软雅黑" w:cs="宋体"/>
      <w:szCs w:val="20"/>
      <w:lang w:val="en-US"/>
    </w:rPr>
  </w:style>
  <w:style w:type="paragraph" w:customStyle="1" w:styleId="291">
    <w:name w:val="Char Char Char Char Char Char Char Char Char Char1"/>
    <w:basedOn w:val="1"/>
    <w:qFormat/>
    <w:uiPriority w:val="0"/>
    <w:rPr>
      <w:rFonts w:ascii="仿宋_GB2312" w:eastAsia="仿宋_GB2312"/>
      <w:b/>
      <w:sz w:val="32"/>
      <w:szCs w:val="32"/>
    </w:rPr>
  </w:style>
  <w:style w:type="paragraph" w:customStyle="1" w:styleId="292">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293">
    <w:name w:val="默认段落字体 Para Char Char Char1 Char"/>
    <w:basedOn w:val="1"/>
    <w:qFormat/>
    <w:uiPriority w:val="0"/>
    <w:pPr>
      <w:spacing w:line="240" w:lineRule="atLeast"/>
      <w:ind w:left="420" w:firstLine="420"/>
    </w:pPr>
    <w:rPr>
      <w:sz w:val="24"/>
    </w:rPr>
  </w:style>
  <w:style w:type="paragraph" w:styleId="294">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9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96">
    <w:name w:val="Char1 Char Char Char5"/>
    <w:basedOn w:val="1"/>
    <w:qFormat/>
    <w:uiPriority w:val="0"/>
    <w:pPr>
      <w:adjustRightInd/>
      <w:ind w:firstLine="200" w:firstLineChars="200"/>
    </w:pPr>
    <w:rPr>
      <w:rFonts w:ascii="Tahoma" w:hAnsi="Tahoma"/>
      <w:sz w:val="24"/>
      <w:szCs w:val="20"/>
    </w:rPr>
  </w:style>
  <w:style w:type="paragraph" w:customStyle="1" w:styleId="297">
    <w:name w:val="Char Char Char Char Char Char Char1"/>
    <w:basedOn w:val="1"/>
    <w:qFormat/>
    <w:uiPriority w:val="0"/>
    <w:rPr>
      <w:rFonts w:ascii="仿宋_GB2312" w:eastAsia="仿宋_GB2312"/>
      <w:b/>
      <w:sz w:val="32"/>
      <w:szCs w:val="32"/>
    </w:rPr>
  </w:style>
  <w:style w:type="paragraph" w:customStyle="1" w:styleId="298">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299">
    <w:name w:val="正文表标题"/>
    <w:next w:val="137"/>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01">
    <w:name w:val="四号　首行缩进"/>
    <w:basedOn w:val="1"/>
    <w:qFormat/>
    <w:uiPriority w:val="0"/>
    <w:pPr>
      <w:adjustRightInd/>
      <w:spacing w:line="360" w:lineRule="auto"/>
    </w:pPr>
    <w:rPr>
      <w:rFonts w:ascii="宋体" w:hAnsi="宋体"/>
      <w:szCs w:val="20"/>
    </w:rPr>
  </w:style>
  <w:style w:type="paragraph" w:customStyle="1" w:styleId="30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303">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04">
    <w:name w:val="首行缩进"/>
    <w:basedOn w:val="1"/>
    <w:qFormat/>
    <w:uiPriority w:val="0"/>
    <w:pPr>
      <w:spacing w:line="360" w:lineRule="auto"/>
      <w:ind w:firstLine="480" w:firstLineChars="200"/>
    </w:pPr>
    <w:rPr>
      <w:rFonts w:ascii="宋体"/>
      <w:sz w:val="24"/>
      <w:szCs w:val="20"/>
    </w:rPr>
  </w:style>
  <w:style w:type="paragraph" w:customStyle="1" w:styleId="305">
    <w:name w:val="Char1 Char Char Char1"/>
    <w:basedOn w:val="1"/>
    <w:qFormat/>
    <w:uiPriority w:val="0"/>
    <w:pPr>
      <w:adjustRightInd/>
      <w:ind w:firstLine="200" w:firstLineChars="200"/>
    </w:pPr>
    <w:rPr>
      <w:rFonts w:ascii="Tahoma" w:hAnsi="Tahoma"/>
      <w:sz w:val="24"/>
      <w:szCs w:val="20"/>
    </w:rPr>
  </w:style>
  <w:style w:type="paragraph" w:customStyle="1" w:styleId="306">
    <w:name w:val="MM Topic 2"/>
    <w:basedOn w:val="3"/>
    <w:qFormat/>
    <w:uiPriority w:val="0"/>
    <w:pPr>
      <w:numPr>
        <w:numId w:val="0"/>
      </w:numPr>
      <w:tabs>
        <w:tab w:val="left" w:pos="860"/>
        <w:tab w:val="left" w:pos="1260"/>
        <w:tab w:val="clear" w:pos="432"/>
      </w:tabs>
      <w:ind w:left="1260" w:hanging="420"/>
    </w:pPr>
    <w:rPr>
      <w:rFonts w:ascii="Arial" w:hAnsi="Arial" w:eastAsia="黑体"/>
      <w:lang w:val="en-US"/>
    </w:rPr>
  </w:style>
  <w:style w:type="paragraph" w:customStyle="1" w:styleId="30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308">
    <w:name w:val="样式 样式2 + 左侧:  1 字符 右侧:  1 字符"/>
    <w:basedOn w:val="74"/>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0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3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311">
    <w:name w:val="哈哈正文"/>
    <w:basedOn w:val="1"/>
    <w:link w:val="495"/>
    <w:qFormat/>
    <w:uiPriority w:val="0"/>
    <w:pPr>
      <w:adjustRightInd/>
      <w:spacing w:line="360" w:lineRule="auto"/>
      <w:ind w:firstLine="200" w:firstLineChars="200"/>
    </w:pPr>
    <w:rPr>
      <w:rFonts w:ascii="宋体" w:hAnsi="宋体"/>
      <w:sz w:val="24"/>
      <w:szCs w:val="20"/>
    </w:rPr>
  </w:style>
  <w:style w:type="paragraph" w:customStyle="1" w:styleId="312">
    <w:name w:val="List Paragraph1"/>
    <w:basedOn w:val="1"/>
    <w:qFormat/>
    <w:uiPriority w:val="34"/>
    <w:pPr>
      <w:spacing w:line="360" w:lineRule="auto"/>
      <w:ind w:firstLine="200" w:firstLineChars="200"/>
    </w:pPr>
    <w:rPr>
      <w:rFonts w:eastAsia="楷体_GB2312" w:cs="Lucida Sans"/>
      <w:sz w:val="24"/>
    </w:rPr>
  </w:style>
  <w:style w:type="paragraph" w:customStyle="1" w:styleId="31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31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315">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316">
    <w:name w:val="Char Char11 Char Char Char Char Char Char Char Char Char1"/>
    <w:basedOn w:val="1"/>
    <w:qFormat/>
    <w:uiPriority w:val="0"/>
    <w:pPr>
      <w:spacing w:line="360" w:lineRule="auto"/>
    </w:pPr>
    <w:rPr>
      <w:szCs w:val="20"/>
    </w:rPr>
  </w:style>
  <w:style w:type="paragraph" w:customStyle="1" w:styleId="317">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18">
    <w:name w:val="正文 项目2"/>
    <w:basedOn w:val="319"/>
    <w:qFormat/>
    <w:uiPriority w:val="0"/>
    <w:pPr>
      <w:numPr>
        <w:ilvl w:val="0"/>
        <w:numId w:val="6"/>
      </w:numPr>
      <w:tabs>
        <w:tab w:val="left" w:pos="840"/>
      </w:tabs>
      <w:spacing w:after="0"/>
    </w:pPr>
  </w:style>
  <w:style w:type="paragraph" w:customStyle="1" w:styleId="31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Char Char Char1 Char1"/>
    <w:basedOn w:val="1"/>
    <w:qFormat/>
    <w:uiPriority w:val="0"/>
    <w:rPr>
      <w:szCs w:val="20"/>
    </w:rPr>
  </w:style>
  <w:style w:type="paragraph" w:customStyle="1" w:styleId="32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322">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323">
    <w:name w:val="封面"/>
    <w:basedOn w:val="1"/>
    <w:qFormat/>
    <w:uiPriority w:val="0"/>
    <w:pPr>
      <w:spacing w:line="360" w:lineRule="atLeast"/>
      <w:jc w:val="right"/>
      <w:textAlignment w:val="baseline"/>
    </w:pPr>
    <w:rPr>
      <w:rFonts w:ascii="Symbol" w:hAnsi="Symbol"/>
      <w:kern w:val="0"/>
      <w:szCs w:val="20"/>
    </w:rPr>
  </w:style>
  <w:style w:type="paragraph" w:customStyle="1" w:styleId="324">
    <w:name w:val="正文（缩进2汉字）"/>
    <w:basedOn w:val="1"/>
    <w:link w:val="58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325">
    <w:name w:val="数字标题3"/>
    <w:basedOn w:val="4"/>
    <w:next w:val="1"/>
    <w:qFormat/>
    <w:uiPriority w:val="0"/>
    <w:pPr>
      <w:numPr>
        <w:numId w:val="0"/>
      </w:numPr>
      <w:spacing w:line="240" w:lineRule="auto"/>
    </w:pPr>
    <w:rPr>
      <w:sz w:val="28"/>
      <w:szCs w:val="28"/>
    </w:rPr>
  </w:style>
  <w:style w:type="paragraph" w:customStyle="1" w:styleId="32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2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328">
    <w:name w:val="正文（首行缩进2字符）"/>
    <w:basedOn w:val="1"/>
    <w:qFormat/>
    <w:uiPriority w:val="0"/>
    <w:pPr>
      <w:adjustRightInd/>
      <w:spacing w:line="360" w:lineRule="auto"/>
      <w:ind w:firstLine="480" w:firstLineChars="200"/>
    </w:pPr>
    <w:rPr>
      <w:sz w:val="24"/>
      <w:szCs w:val="20"/>
    </w:rPr>
  </w:style>
  <w:style w:type="paragraph" w:customStyle="1" w:styleId="329">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30">
    <w:name w:val="正文段"/>
    <w:basedOn w:val="1"/>
    <w:qFormat/>
    <w:uiPriority w:val="0"/>
    <w:pPr>
      <w:widowControl/>
      <w:snapToGrid w:val="0"/>
      <w:spacing w:after="156" w:afterLines="50"/>
      <w:ind w:firstLine="200" w:firstLineChars="200"/>
    </w:pPr>
    <w:rPr>
      <w:kern w:val="0"/>
      <w:sz w:val="24"/>
      <w:szCs w:val="20"/>
    </w:rPr>
  </w:style>
  <w:style w:type="paragraph" w:customStyle="1" w:styleId="331">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332">
    <w:name w:val="数字标题2"/>
    <w:basedOn w:val="3"/>
    <w:next w:val="1"/>
    <w:qFormat/>
    <w:uiPriority w:val="0"/>
    <w:pPr>
      <w:numPr>
        <w:ilvl w:val="1"/>
        <w:numId w:val="5"/>
      </w:numPr>
      <w:tabs>
        <w:tab w:val="clear" w:pos="432"/>
      </w:tabs>
    </w:pPr>
    <w:rPr>
      <w:rFonts w:ascii="Times New Roman" w:eastAsia="宋体"/>
      <w:i/>
      <w:sz w:val="36"/>
      <w:szCs w:val="36"/>
      <w:lang w:val="en-US"/>
    </w:rPr>
  </w:style>
  <w:style w:type="paragraph" w:customStyle="1" w:styleId="333">
    <w:name w:val="彩色列表 - 强调文字颜色 11"/>
    <w:basedOn w:val="1"/>
    <w:qFormat/>
    <w:uiPriority w:val="0"/>
    <w:pPr>
      <w:adjustRightInd/>
      <w:ind w:firstLine="420" w:firstLineChars="200"/>
    </w:pPr>
    <w:rPr>
      <w:rFonts w:ascii="Calibri" w:hAnsi="Calibri"/>
      <w:szCs w:val="22"/>
    </w:rPr>
  </w:style>
  <w:style w:type="paragraph" w:customStyle="1" w:styleId="334">
    <w:name w:val="数字标题4"/>
    <w:basedOn w:val="5"/>
    <w:qFormat/>
    <w:uiPriority w:val="0"/>
    <w:pPr>
      <w:numPr>
        <w:numId w:val="0"/>
      </w:num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335">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336">
    <w:name w:val="样式1 + (中宋体"/>
    <w:basedOn w:val="158"/>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337">
    <w:name w:val="仿宋正文"/>
    <w:basedOn w:val="1"/>
    <w:link w:val="460"/>
    <w:qFormat/>
    <w:uiPriority w:val="0"/>
    <w:pPr>
      <w:adjustRightInd/>
      <w:spacing w:line="360" w:lineRule="auto"/>
      <w:ind w:firstLine="480" w:firstLineChars="200"/>
    </w:pPr>
    <w:rPr>
      <w:rFonts w:ascii="仿宋_GB2312" w:eastAsia="仿宋_GB2312"/>
      <w:sz w:val="24"/>
      <w:szCs w:val="20"/>
    </w:rPr>
  </w:style>
  <w:style w:type="paragraph" w:customStyle="1" w:styleId="338">
    <w:name w:val="正文（标题三）"/>
    <w:basedOn w:val="1"/>
    <w:qFormat/>
    <w:uiPriority w:val="0"/>
    <w:pPr>
      <w:spacing w:line="360" w:lineRule="auto"/>
      <w:ind w:firstLine="200" w:firstLineChars="200"/>
    </w:pPr>
    <w:rPr>
      <w:sz w:val="24"/>
    </w:rPr>
  </w:style>
  <w:style w:type="paragraph" w:customStyle="1" w:styleId="339">
    <w:name w:val="MM Topic 3"/>
    <w:basedOn w:val="4"/>
    <w:qFormat/>
    <w:uiPriority w:val="0"/>
    <w:pPr>
      <w:numPr>
        <w:numId w:val="4"/>
      </w:numPr>
      <w:tabs>
        <w:tab w:val="left" w:pos="840"/>
        <w:tab w:val="left" w:pos="1680"/>
        <w:tab w:val="clear" w:pos="900"/>
      </w:tabs>
      <w:adjustRightInd/>
    </w:pPr>
  </w:style>
  <w:style w:type="paragraph" w:customStyle="1" w:styleId="340">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341">
    <w:name w:val="图中文字"/>
    <w:basedOn w:val="1"/>
    <w:qFormat/>
    <w:uiPriority w:val="0"/>
    <w:pPr>
      <w:snapToGrid w:val="0"/>
      <w:spacing w:line="0" w:lineRule="atLeast"/>
      <w:ind w:firstLine="200" w:firstLineChars="200"/>
      <w:jc w:val="center"/>
    </w:pPr>
    <w:rPr>
      <w:sz w:val="24"/>
      <w:szCs w:val="20"/>
    </w:rPr>
  </w:style>
  <w:style w:type="paragraph" w:customStyle="1" w:styleId="342">
    <w:name w:val="正文－恩普"/>
    <w:basedOn w:val="1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343">
    <w:name w:val="Char21"/>
    <w:basedOn w:val="1"/>
    <w:qFormat/>
    <w:uiPriority w:val="0"/>
    <w:pPr>
      <w:adjustRightInd/>
      <w:ind w:firstLine="200" w:firstLineChars="200"/>
    </w:pPr>
    <w:rPr>
      <w:rFonts w:ascii="仿宋_GB2312" w:eastAsia="仿宋_GB2312"/>
      <w:b/>
      <w:sz w:val="32"/>
      <w:szCs w:val="32"/>
    </w:rPr>
  </w:style>
  <w:style w:type="paragraph" w:customStyle="1" w:styleId="344">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45">
    <w:name w:val="标题4-dyf"/>
    <w:basedOn w:val="5"/>
    <w:link w:val="550"/>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346">
    <w:name w:val="Char1 Char Char Char4"/>
    <w:basedOn w:val="1"/>
    <w:qFormat/>
    <w:uiPriority w:val="0"/>
    <w:pPr>
      <w:adjustRightInd/>
      <w:ind w:firstLine="200" w:firstLineChars="200"/>
    </w:pPr>
    <w:rPr>
      <w:rFonts w:ascii="Tahoma" w:hAnsi="Tahoma"/>
      <w:sz w:val="24"/>
      <w:szCs w:val="20"/>
    </w:rPr>
  </w:style>
  <w:style w:type="paragraph" w:customStyle="1" w:styleId="347">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48">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349">
    <w:name w:val="Char23"/>
    <w:basedOn w:val="1"/>
    <w:qFormat/>
    <w:uiPriority w:val="0"/>
    <w:rPr>
      <w:rFonts w:ascii="仿宋_GB2312" w:eastAsia="仿宋_GB2312"/>
      <w:b/>
      <w:sz w:val="32"/>
      <w:szCs w:val="32"/>
    </w:rPr>
  </w:style>
  <w:style w:type="paragraph" w:customStyle="1" w:styleId="350">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351">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352">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53">
    <w:name w:val="此正文"/>
    <w:basedOn w:val="1"/>
    <w:link w:val="438"/>
    <w:qFormat/>
    <w:uiPriority w:val="0"/>
    <w:pPr>
      <w:adjustRightInd/>
      <w:spacing w:line="360" w:lineRule="auto"/>
      <w:ind w:firstLine="200" w:firstLineChars="200"/>
    </w:pPr>
    <w:rPr>
      <w:sz w:val="24"/>
    </w:rPr>
  </w:style>
  <w:style w:type="paragraph" w:customStyle="1" w:styleId="354">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35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356">
    <w:name w:val="Char3 Char Char Char"/>
    <w:basedOn w:val="1"/>
    <w:qFormat/>
    <w:uiPriority w:val="0"/>
    <w:pPr>
      <w:widowControl/>
      <w:adjustRightInd/>
      <w:spacing w:after="160" w:line="240" w:lineRule="exact"/>
      <w:jc w:val="left"/>
    </w:pPr>
    <w:rPr>
      <w:szCs w:val="20"/>
    </w:rPr>
  </w:style>
  <w:style w:type="paragraph" w:customStyle="1" w:styleId="3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358">
    <w:name w:val="Normal0"/>
    <w:qFormat/>
    <w:uiPriority w:val="0"/>
    <w:rPr>
      <w:rFonts w:ascii="Times New Roman" w:hAnsi="Times New Roman" w:eastAsia="宋体" w:cs="Times New Roman"/>
      <w:lang w:val="en-US" w:eastAsia="en-US" w:bidi="ar-SA"/>
    </w:rPr>
  </w:style>
  <w:style w:type="paragraph" w:customStyle="1" w:styleId="359">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60">
    <w:name w:val="a1"/>
    <w:basedOn w:val="1"/>
    <w:qFormat/>
    <w:uiPriority w:val="0"/>
    <w:pPr>
      <w:widowControl/>
      <w:spacing w:line="300" w:lineRule="atLeast"/>
      <w:jc w:val="left"/>
    </w:pPr>
    <w:rPr>
      <w:rFonts w:ascii="宋体" w:hAnsi="宋体"/>
      <w:kern w:val="0"/>
      <w:sz w:val="18"/>
      <w:szCs w:val="20"/>
    </w:rPr>
  </w:style>
  <w:style w:type="paragraph" w:customStyle="1" w:styleId="36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36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363">
    <w:name w:val="正文 A"/>
    <w:qFormat/>
    <w:uiPriority w:val="0"/>
    <w:pPr>
      <w:widowControl w:val="0"/>
      <w:jc w:val="both"/>
    </w:pPr>
    <w:rPr>
      <w:rFonts w:ascii="Calibri" w:hAnsi="Calibri" w:eastAsia="Calibri" w:cs="Calibri"/>
      <w:color w:val="000000"/>
      <w:kern w:val="2"/>
      <w:sz w:val="21"/>
      <w:szCs w:val="21"/>
      <w:u w:color="000000"/>
      <w:lang w:val="en-US" w:eastAsia="zh-CN" w:bidi="ar-SA"/>
    </w:rPr>
  </w:style>
  <w:style w:type="paragraph" w:customStyle="1" w:styleId="364">
    <w:name w:val="Thf"/>
    <w:basedOn w:val="89"/>
    <w:autoRedefine/>
    <w:qFormat/>
    <w:uiPriority w:val="0"/>
    <w:pPr>
      <w:ind w:left="0"/>
    </w:pPr>
  </w:style>
  <w:style w:type="paragraph" w:customStyle="1" w:styleId="365">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66">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367">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368">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369">
    <w:name w:val="_Style 12"/>
    <w:basedOn w:val="18"/>
    <w:qFormat/>
    <w:uiPriority w:val="0"/>
    <w:pPr>
      <w:snapToGrid w:val="0"/>
      <w:spacing w:line="360" w:lineRule="auto"/>
    </w:pPr>
  </w:style>
  <w:style w:type="paragraph" w:customStyle="1" w:styleId="370">
    <w:name w:val="表格题注"/>
    <w:next w:val="1"/>
    <w:qFormat/>
    <w:uiPriority w:val="0"/>
    <w:pPr>
      <w:keepLines/>
      <w:numPr>
        <w:ilvl w:val="8"/>
        <w:numId w:val="4"/>
      </w:numPr>
      <w:spacing w:before="312" w:beforeLines="100"/>
      <w:ind w:left="1089" w:hanging="369"/>
      <w:jc w:val="center"/>
    </w:pPr>
    <w:rPr>
      <w:rFonts w:ascii="Arial" w:hAnsi="Arial" w:eastAsia="宋体" w:cs="Times New Roman"/>
      <w:sz w:val="18"/>
      <w:szCs w:val="18"/>
      <w:lang w:val="en-US" w:eastAsia="zh-CN" w:bidi="ar-SA"/>
    </w:rPr>
  </w:style>
  <w:style w:type="paragraph" w:customStyle="1" w:styleId="37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372">
    <w:name w:val="标书标题2"/>
    <w:basedOn w:val="3"/>
    <w:qFormat/>
    <w:uiPriority w:val="0"/>
    <w:pPr>
      <w:keepLines w:val="0"/>
      <w:widowControl/>
      <w:numPr>
        <w:numId w:val="0"/>
      </w:numPr>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373">
    <w:name w:val="Char Char"/>
    <w:basedOn w:val="1"/>
    <w:qFormat/>
    <w:uiPriority w:val="0"/>
    <w:pPr>
      <w:spacing w:line="360" w:lineRule="auto"/>
    </w:pPr>
    <w:rPr>
      <w:rFonts w:ascii="Tahoma" w:hAnsi="Tahoma"/>
      <w:sz w:val="24"/>
      <w:szCs w:val="20"/>
    </w:rPr>
  </w:style>
  <w:style w:type="paragraph" w:customStyle="1" w:styleId="374">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375">
    <w:name w:val="样式 标题 1 + 黑色 段前: 0.5 行 段后: 0.5 行1"/>
    <w:basedOn w:val="2"/>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376">
    <w:name w:val="彩色列表 - 强调文字颜色 12"/>
    <w:basedOn w:val="1"/>
    <w:qFormat/>
    <w:uiPriority w:val="0"/>
    <w:pPr>
      <w:adjustRightInd/>
      <w:ind w:firstLine="420" w:firstLineChars="200"/>
    </w:pPr>
    <w:rPr>
      <w:rFonts w:ascii="Calibri" w:hAnsi="Calibri"/>
      <w:szCs w:val="22"/>
    </w:rPr>
  </w:style>
  <w:style w:type="paragraph" w:customStyle="1" w:styleId="377">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378">
    <w:name w:val="Char19"/>
    <w:basedOn w:val="1"/>
    <w:qFormat/>
    <w:uiPriority w:val="0"/>
    <w:pPr>
      <w:adjustRightInd/>
    </w:pPr>
    <w:rPr>
      <w:szCs w:val="20"/>
    </w:rPr>
  </w:style>
  <w:style w:type="paragraph" w:customStyle="1" w:styleId="379">
    <w:name w:val="CSS1级正文 Char"/>
    <w:basedOn w:val="22"/>
    <w:qFormat/>
    <w:uiPriority w:val="0"/>
    <w:pPr>
      <w:autoSpaceDE/>
      <w:autoSpaceDN/>
      <w:snapToGrid w:val="0"/>
      <w:ind w:firstLine="480" w:firstLineChars="200"/>
    </w:pPr>
    <w:rPr>
      <w:rFonts w:ascii="Times New Roman"/>
      <w:szCs w:val="24"/>
      <w:lang w:val="en-US"/>
    </w:rPr>
  </w:style>
  <w:style w:type="paragraph" w:customStyle="1" w:styleId="380">
    <w:name w:val="正文（首行缩进）"/>
    <w:basedOn w:val="23"/>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81">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382">
    <w:name w:val="表格（小）"/>
    <w:basedOn w:val="1"/>
    <w:qFormat/>
    <w:uiPriority w:val="0"/>
    <w:pPr>
      <w:adjustRightInd/>
      <w:snapToGrid w:val="0"/>
      <w:spacing w:line="300" w:lineRule="auto"/>
    </w:pPr>
    <w:rPr>
      <w:rFonts w:eastAsia="仿宋"/>
      <w:szCs w:val="21"/>
    </w:rPr>
  </w:style>
  <w:style w:type="paragraph" w:customStyle="1" w:styleId="383">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4">
    <w:name w:val="Char3 Char Char1"/>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85">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86">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87">
    <w:name w:val="Char Char Char Char2"/>
    <w:basedOn w:val="1"/>
    <w:qFormat/>
    <w:uiPriority w:val="0"/>
    <w:rPr>
      <w:rFonts w:ascii="Tahoma" w:hAnsi="Tahoma"/>
      <w:sz w:val="24"/>
      <w:szCs w:val="20"/>
    </w:rPr>
  </w:style>
  <w:style w:type="paragraph" w:customStyle="1" w:styleId="388">
    <w:name w:val="p0"/>
    <w:basedOn w:val="1"/>
    <w:qFormat/>
    <w:uiPriority w:val="0"/>
    <w:pPr>
      <w:widowControl/>
      <w:adjustRightInd/>
    </w:pPr>
    <w:rPr>
      <w:kern w:val="0"/>
      <w:szCs w:val="21"/>
    </w:rPr>
  </w:style>
  <w:style w:type="paragraph" w:customStyle="1" w:styleId="38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390">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391">
    <w:name w:val="默认段落样式"/>
    <w:basedOn w:val="392"/>
    <w:qFormat/>
    <w:uiPriority w:val="0"/>
    <w:pPr>
      <w:spacing w:before="0"/>
      <w:ind w:firstLine="480"/>
      <w:outlineLvl w:val="2"/>
    </w:pPr>
    <w:rPr>
      <w:rFonts w:ascii="仿宋_GB2312" w:hAnsi="宋体" w:eastAsia="仿宋_GB2312"/>
      <w:color w:val="000000"/>
      <w:szCs w:val="24"/>
    </w:rPr>
  </w:style>
  <w:style w:type="paragraph" w:customStyle="1" w:styleId="392">
    <w:name w:val="正文2"/>
    <w:basedOn w:val="1"/>
    <w:link w:val="445"/>
    <w:qFormat/>
    <w:uiPriority w:val="0"/>
    <w:pPr>
      <w:spacing w:before="156" w:line="360" w:lineRule="auto"/>
      <w:ind w:firstLine="510" w:firstLineChars="200"/>
    </w:pPr>
    <w:rPr>
      <w:sz w:val="24"/>
      <w:szCs w:val="20"/>
    </w:rPr>
  </w:style>
  <w:style w:type="paragraph" w:customStyle="1" w:styleId="393">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394">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395">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396">
    <w:name w:val="bullet"/>
    <w:basedOn w:val="1"/>
    <w:qFormat/>
    <w:uiPriority w:val="0"/>
    <w:pPr>
      <w:tabs>
        <w:tab w:val="left" w:pos="840"/>
      </w:tabs>
      <w:adjustRightInd/>
      <w:ind w:left="840" w:hanging="420"/>
    </w:pPr>
  </w:style>
  <w:style w:type="paragraph" w:customStyle="1" w:styleId="397">
    <w:name w:val="五级条标题"/>
    <w:basedOn w:val="170"/>
    <w:next w:val="137"/>
    <w:qFormat/>
    <w:uiPriority w:val="0"/>
    <w:pPr>
      <w:numPr>
        <w:ilvl w:val="6"/>
      </w:numPr>
      <w:tabs>
        <w:tab w:val="clear" w:pos="2940"/>
      </w:tabs>
      <w:outlineLvl w:val="6"/>
    </w:pPr>
  </w:style>
  <w:style w:type="paragraph" w:customStyle="1" w:styleId="398">
    <w:name w:val="Char Char Char Char Char Char Char Char"/>
    <w:basedOn w:val="1"/>
    <w:qFormat/>
    <w:uiPriority w:val="0"/>
    <w:pPr>
      <w:tabs>
        <w:tab w:val="left" w:pos="360"/>
      </w:tabs>
    </w:pPr>
    <w:rPr>
      <w:sz w:val="24"/>
      <w:szCs w:val="20"/>
    </w:rPr>
  </w:style>
  <w:style w:type="paragraph" w:customStyle="1" w:styleId="3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400">
    <w:name w:val="数字标题5"/>
    <w:basedOn w:val="6"/>
    <w:next w:val="1"/>
    <w:qFormat/>
    <w:uiPriority w:val="0"/>
    <w:pPr>
      <w:numPr>
        <w:numId w:val="5"/>
      </w:numPr>
      <w:tabs>
        <w:tab w:val="left" w:pos="480"/>
        <w:tab w:val="left" w:pos="1080"/>
        <w:tab w:val="clear" w:pos="1008"/>
      </w:tabs>
    </w:pPr>
  </w:style>
  <w:style w:type="paragraph" w:customStyle="1" w:styleId="4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402">
    <w:name w:val="公文正文"/>
    <w:basedOn w:val="1"/>
    <w:qFormat/>
    <w:uiPriority w:val="0"/>
    <w:pPr>
      <w:adjustRightInd/>
      <w:spacing w:before="156" w:line="360" w:lineRule="auto"/>
      <w:ind w:firstLine="360" w:firstLineChars="200"/>
    </w:pPr>
    <w:rPr>
      <w:rFonts w:ascii="仿宋_GB2312" w:eastAsia="仿宋_GB2312"/>
      <w:sz w:val="24"/>
    </w:rPr>
  </w:style>
  <w:style w:type="paragraph" w:customStyle="1" w:styleId="40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404">
    <w:name w:val="表格文字"/>
    <w:basedOn w:val="1"/>
    <w:next w:val="15"/>
    <w:qFormat/>
    <w:uiPriority w:val="0"/>
    <w:pPr>
      <w:adjustRightInd/>
      <w:ind w:firstLine="200" w:firstLineChars="200"/>
    </w:pPr>
    <w:rPr>
      <w:rFonts w:ascii="Arial" w:hAnsi="Arial"/>
      <w:spacing w:val="-5"/>
      <w:kern w:val="0"/>
      <w:sz w:val="24"/>
      <w:szCs w:val="20"/>
    </w:rPr>
  </w:style>
  <w:style w:type="paragraph" w:customStyle="1" w:styleId="405">
    <w:name w:val="0"/>
    <w:basedOn w:val="1"/>
    <w:qFormat/>
    <w:uiPriority w:val="0"/>
    <w:pPr>
      <w:widowControl/>
    </w:pPr>
    <w:rPr>
      <w:kern w:val="0"/>
      <w:sz w:val="24"/>
      <w:szCs w:val="20"/>
    </w:rPr>
  </w:style>
  <w:style w:type="paragraph" w:customStyle="1" w:styleId="406">
    <w:name w:val="Char111"/>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07">
    <w:name w:val="b11_01b"/>
    <w:basedOn w:val="1"/>
    <w:next w:val="1"/>
    <w:link w:val="54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408">
    <w:name w:val="MM Topic 5"/>
    <w:basedOn w:val="6"/>
    <w:qFormat/>
    <w:uiPriority w:val="0"/>
    <w:pPr>
      <w:numPr>
        <w:numId w:val="4"/>
      </w:numPr>
      <w:tabs>
        <w:tab w:val="left" w:pos="840"/>
        <w:tab w:val="left" w:pos="2520"/>
        <w:tab w:val="clear" w:pos="1008"/>
      </w:tabs>
      <w:adjustRightInd/>
    </w:pPr>
  </w:style>
  <w:style w:type="paragraph" w:customStyle="1" w:styleId="409">
    <w:name w:val="样式 标题 3标题 3 Char第二层条h33Bold Headbh章标题1小标题level_3PIM 3..."/>
    <w:basedOn w:val="4"/>
    <w:qFormat/>
    <w:uiPriority w:val="0"/>
    <w:pPr>
      <w:numPr>
        <w:numId w:val="0"/>
      </w:numPr>
      <w:snapToGrid w:val="0"/>
      <w:spacing w:before="0" w:after="0" w:line="360" w:lineRule="auto"/>
    </w:pPr>
    <w:rPr>
      <w:rFonts w:ascii="黑体" w:hAnsi="宋体" w:eastAsia="黑体" w:cs="宋体"/>
      <w:b w:val="0"/>
      <w:bCs w:val="0"/>
      <w:color w:val="000000"/>
      <w:kern w:val="0"/>
      <w:sz w:val="28"/>
      <w:szCs w:val="20"/>
    </w:rPr>
  </w:style>
  <w:style w:type="paragraph" w:customStyle="1" w:styleId="41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11">
    <w:name w:val="数字标题1"/>
    <w:basedOn w:val="2"/>
    <w:next w:val="1"/>
    <w:qFormat/>
    <w:uiPriority w:val="0"/>
    <w:pPr>
      <w:numPr>
        <w:numId w:val="5"/>
      </w:numPr>
      <w:tabs>
        <w:tab w:val="left" w:pos="480"/>
        <w:tab w:val="clear" w:pos="432"/>
      </w:tabs>
    </w:pPr>
  </w:style>
  <w:style w:type="paragraph" w:customStyle="1" w:styleId="412">
    <w:name w:val="Char1 Char Char Char6"/>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413">
    <w:name w:val="标书标题3"/>
    <w:basedOn w:val="4"/>
    <w:qFormat/>
    <w:uiPriority w:val="0"/>
    <w:pPr>
      <w:keepLines w:val="0"/>
      <w:widowControl/>
      <w:numPr>
        <w:numId w:val="0"/>
      </w:numPr>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41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15">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41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41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419">
    <w:name w:val="MM Topic 1"/>
    <w:basedOn w:val="2"/>
    <w:qFormat/>
    <w:uiPriority w:val="0"/>
    <w:pPr>
      <w:numPr>
        <w:numId w:val="0"/>
      </w:numPr>
      <w:tabs>
        <w:tab w:val="left" w:pos="840"/>
        <w:tab w:val="clear" w:pos="432"/>
      </w:tabs>
      <w:adjustRightInd/>
      <w:ind w:left="840" w:hanging="420"/>
    </w:pPr>
  </w:style>
  <w:style w:type="paragraph" w:customStyle="1" w:styleId="420">
    <w:name w:val="Char Char Char Char Char Char Char Char1"/>
    <w:basedOn w:val="1"/>
    <w:qFormat/>
    <w:uiPriority w:val="0"/>
    <w:pPr>
      <w:tabs>
        <w:tab w:val="left" w:pos="360"/>
      </w:tabs>
    </w:pPr>
    <w:rPr>
      <w:sz w:val="24"/>
      <w:szCs w:val="20"/>
    </w:rPr>
  </w:style>
  <w:style w:type="paragraph" w:customStyle="1" w:styleId="42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Char3 Char Char Char1"/>
    <w:basedOn w:val="1"/>
    <w:qFormat/>
    <w:uiPriority w:val="0"/>
    <w:pPr>
      <w:widowControl/>
      <w:adjustRightInd/>
      <w:spacing w:after="160" w:line="240" w:lineRule="exact"/>
      <w:jc w:val="left"/>
    </w:pPr>
    <w:rPr>
      <w:szCs w:val="20"/>
    </w:rPr>
  </w:style>
  <w:style w:type="paragraph" w:customStyle="1" w:styleId="423">
    <w:name w:val="Char Char12"/>
    <w:basedOn w:val="1"/>
    <w:qFormat/>
    <w:uiPriority w:val="0"/>
    <w:pPr>
      <w:widowControl/>
      <w:spacing w:after="160" w:line="240" w:lineRule="exact"/>
      <w:jc w:val="left"/>
    </w:pPr>
    <w:rPr>
      <w:rFonts w:eastAsia="仿宋_GB2312"/>
      <w:sz w:val="28"/>
    </w:rPr>
  </w:style>
  <w:style w:type="paragraph" w:customStyle="1" w:styleId="42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25">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426">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27">
    <w:name w:val="单元格左对齐"/>
    <w:basedOn w:val="1"/>
    <w:qFormat/>
    <w:uiPriority w:val="0"/>
    <w:pPr>
      <w:adjustRightInd/>
      <w:spacing w:line="360" w:lineRule="auto"/>
    </w:pPr>
    <w:rPr>
      <w:sz w:val="24"/>
    </w:rPr>
  </w:style>
  <w:style w:type="paragraph" w:customStyle="1" w:styleId="428">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429">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character" w:customStyle="1" w:styleId="430">
    <w:name w:val="正文文本 Char"/>
    <w:qFormat/>
    <w:uiPriority w:val="0"/>
    <w:rPr>
      <w:rFonts w:eastAsia="宋体"/>
      <w:kern w:val="2"/>
      <w:sz w:val="24"/>
      <w:szCs w:val="24"/>
      <w:lang w:val="en-US" w:eastAsia="zh-CN" w:bidi="ar-SA"/>
    </w:rPr>
  </w:style>
  <w:style w:type="character" w:customStyle="1" w:styleId="431">
    <w:name w:val="myp1111"/>
    <w:qFormat/>
    <w:uiPriority w:val="0"/>
    <w:rPr>
      <w:rFonts w:hint="default" w:ascii="ˎ̥" w:hAnsi="ˎ̥"/>
      <w:color w:val="000000"/>
      <w:sz w:val="20"/>
      <w:szCs w:val="20"/>
      <w:u w:val="none"/>
    </w:rPr>
  </w:style>
  <w:style w:type="character" w:customStyle="1" w:styleId="432">
    <w:name w:val="mdeck"/>
    <w:qFormat/>
    <w:uiPriority w:val="0"/>
    <w:rPr>
      <w:rFonts w:ascii="仿宋_GB2312" w:eastAsia="微软雅黑"/>
      <w:b/>
      <w:kern w:val="2"/>
      <w:sz w:val="32"/>
      <w:szCs w:val="32"/>
      <w:lang w:val="en-US" w:eastAsia="zh-CN" w:bidi="ar-SA"/>
    </w:rPr>
  </w:style>
  <w:style w:type="character" w:customStyle="1" w:styleId="433">
    <w:name w:val="签名 Char"/>
    <w:link w:val="39"/>
    <w:qFormat/>
    <w:uiPriority w:val="0"/>
    <w:rPr>
      <w:rFonts w:eastAsia="仿宋_GB2312"/>
      <w:sz w:val="24"/>
    </w:rPr>
  </w:style>
  <w:style w:type="character" w:customStyle="1" w:styleId="434">
    <w:name w:val="tw4winMark"/>
    <w:qFormat/>
    <w:uiPriority w:val="0"/>
    <w:rPr>
      <w:rFonts w:ascii="Courier New" w:hAnsi="Courier New" w:cs="Courier New"/>
      <w:vanish/>
      <w:color w:val="800080"/>
      <w:sz w:val="24"/>
      <w:szCs w:val="24"/>
      <w:vertAlign w:val="subscript"/>
    </w:rPr>
  </w:style>
  <w:style w:type="character" w:customStyle="1" w:styleId="435">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436">
    <w:name w:val="Balloon Text Char"/>
    <w:semiHidden/>
    <w:qFormat/>
    <w:locked/>
    <w:uiPriority w:val="0"/>
    <w:rPr>
      <w:rFonts w:eastAsia="宋体"/>
      <w:kern w:val="2"/>
      <w:sz w:val="18"/>
      <w:szCs w:val="18"/>
      <w:lang w:val="en-US" w:eastAsia="zh-CN" w:bidi="ar-SA"/>
    </w:rPr>
  </w:style>
  <w:style w:type="character" w:customStyle="1" w:styleId="437">
    <w:name w:val="正文非缩进 Char"/>
    <w:qFormat/>
    <w:uiPriority w:val="0"/>
    <w:rPr>
      <w:rFonts w:ascii="宋体" w:eastAsia="宋体"/>
      <w:snapToGrid w:val="0"/>
      <w:color w:val="000000"/>
      <w:kern w:val="28"/>
      <w:sz w:val="28"/>
      <w:lang w:val="en-US" w:eastAsia="zh-CN" w:bidi="ar-SA"/>
    </w:rPr>
  </w:style>
  <w:style w:type="character" w:customStyle="1" w:styleId="438">
    <w:name w:val="此正文 Char"/>
    <w:link w:val="353"/>
    <w:qFormat/>
    <w:uiPriority w:val="0"/>
    <w:rPr>
      <w:kern w:val="2"/>
      <w:sz w:val="24"/>
      <w:szCs w:val="24"/>
    </w:rPr>
  </w:style>
  <w:style w:type="character" w:customStyle="1" w:styleId="439">
    <w:name w:val="Ò³Ã¼ Char Char"/>
    <w:qFormat/>
    <w:uiPriority w:val="0"/>
    <w:rPr>
      <w:rFonts w:eastAsia="宋体"/>
      <w:kern w:val="2"/>
      <w:sz w:val="18"/>
      <w:lang w:val="en-US" w:eastAsia="zh-CN" w:bidi="ar-SA"/>
    </w:rPr>
  </w:style>
  <w:style w:type="character" w:customStyle="1" w:styleId="440">
    <w:name w:val="style91"/>
    <w:qFormat/>
    <w:uiPriority w:val="0"/>
    <w:rPr>
      <w:color w:val="333333"/>
    </w:rPr>
  </w:style>
  <w:style w:type="character" w:customStyle="1" w:styleId="441">
    <w:name w:val="标书1 Char"/>
    <w:qFormat/>
    <w:uiPriority w:val="0"/>
    <w:rPr>
      <w:rFonts w:eastAsia="宋体"/>
      <w:b/>
      <w:bCs/>
      <w:kern w:val="44"/>
      <w:sz w:val="44"/>
      <w:szCs w:val="44"/>
      <w:lang w:val="en-US" w:eastAsia="zh-CN" w:bidi="ar-SA"/>
    </w:rPr>
  </w:style>
  <w:style w:type="character" w:customStyle="1" w:styleId="442">
    <w:name w:val="ca-131"/>
    <w:qFormat/>
    <w:uiPriority w:val="0"/>
    <w:rPr>
      <w:rFonts w:hint="eastAsia" w:ascii="仿宋_GB2312" w:eastAsia="仿宋_GB2312"/>
      <w:b/>
      <w:bCs/>
      <w:color w:val="000000"/>
      <w:spacing w:val="-20"/>
      <w:sz w:val="24"/>
      <w:szCs w:val="24"/>
    </w:rPr>
  </w:style>
  <w:style w:type="character" w:customStyle="1" w:styleId="443">
    <w:name w:val="标书正文格式 Char"/>
    <w:qFormat/>
    <w:uiPriority w:val="0"/>
    <w:rPr>
      <w:rFonts w:eastAsia="楷体_GB2312"/>
      <w:kern w:val="2"/>
      <w:sz w:val="24"/>
      <w:szCs w:val="24"/>
      <w:lang w:bidi="ar-SA"/>
    </w:rPr>
  </w:style>
  <w:style w:type="character" w:customStyle="1" w:styleId="444">
    <w:name w:val="Char Char6"/>
    <w:qFormat/>
    <w:uiPriority w:val="0"/>
    <w:rPr>
      <w:rFonts w:eastAsia="宋体"/>
      <w:kern w:val="2"/>
      <w:sz w:val="21"/>
      <w:szCs w:val="24"/>
      <w:lang w:val="en-US" w:eastAsia="zh-CN" w:bidi="ar-SA"/>
    </w:rPr>
  </w:style>
  <w:style w:type="character" w:customStyle="1" w:styleId="445">
    <w:name w:val="正文2 Char Char"/>
    <w:link w:val="392"/>
    <w:qFormat/>
    <w:uiPriority w:val="0"/>
    <w:rPr>
      <w:rFonts w:eastAsia="宋体"/>
      <w:kern w:val="2"/>
      <w:sz w:val="24"/>
      <w:lang w:val="en-US" w:eastAsia="zh-CN" w:bidi="ar-SA"/>
    </w:rPr>
  </w:style>
  <w:style w:type="character" w:customStyle="1" w:styleId="446">
    <w:name w:val="content"/>
    <w:qFormat/>
    <w:uiPriority w:val="0"/>
  </w:style>
  <w:style w:type="character" w:customStyle="1" w:styleId="447">
    <w:name w:val="正文文本 2 Char"/>
    <w:qFormat/>
    <w:uiPriority w:val="0"/>
    <w:rPr>
      <w:rFonts w:eastAsia="宋体"/>
      <w:kern w:val="2"/>
      <w:sz w:val="21"/>
      <w:szCs w:val="24"/>
      <w:lang w:val="en-US" w:eastAsia="zh-CN" w:bidi="ar-SA"/>
    </w:rPr>
  </w:style>
  <w:style w:type="character" w:customStyle="1" w:styleId="448">
    <w:name w:val="Heading 2 Hidden Char"/>
    <w:qFormat/>
    <w:uiPriority w:val="0"/>
    <w:rPr>
      <w:rFonts w:ascii="仿宋_GB2312" w:eastAsia="仿宋_GB2312"/>
      <w:b/>
      <w:bCs/>
      <w:kern w:val="2"/>
      <w:sz w:val="24"/>
      <w:szCs w:val="24"/>
      <w:lang w:val="zh-CN" w:eastAsia="zh-CN" w:bidi="ar-SA"/>
    </w:rPr>
  </w:style>
  <w:style w:type="character" w:customStyle="1" w:styleId="449">
    <w:name w:val="首行缩进 Char"/>
    <w:qFormat/>
    <w:uiPriority w:val="0"/>
    <w:rPr>
      <w:rFonts w:ascii="宋体" w:eastAsia="宋体"/>
      <w:kern w:val="2"/>
      <w:sz w:val="24"/>
      <w:lang w:val="en-US" w:eastAsia="zh-CN" w:bidi="ar-SA"/>
    </w:rPr>
  </w:style>
  <w:style w:type="character" w:customStyle="1" w:styleId="45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451">
    <w:name w:val="普通文字 Char Char1"/>
    <w:qFormat/>
    <w:uiPriority w:val="0"/>
    <w:rPr>
      <w:rFonts w:ascii="宋体" w:hAnsi="Courier New"/>
      <w:kern w:val="2"/>
      <w:sz w:val="21"/>
    </w:rPr>
  </w:style>
  <w:style w:type="character" w:customStyle="1" w:styleId="452">
    <w:name w:val="Footer-Even Char"/>
    <w:qFormat/>
    <w:uiPriority w:val="0"/>
    <w:rPr>
      <w:rFonts w:eastAsia="宋体"/>
      <w:kern w:val="2"/>
      <w:sz w:val="18"/>
      <w:lang w:val="en-US" w:eastAsia="zh-CN" w:bidi="ar-SA"/>
    </w:rPr>
  </w:style>
  <w:style w:type="character" w:customStyle="1" w:styleId="453">
    <w:name w:val="dandyren_title1"/>
    <w:qFormat/>
    <w:uiPriority w:val="0"/>
    <w:rPr>
      <w:b/>
      <w:bCs/>
      <w:color w:val="FF6633"/>
      <w:sz w:val="18"/>
      <w:szCs w:val="18"/>
    </w:rPr>
  </w:style>
  <w:style w:type="character" w:customStyle="1" w:styleId="454">
    <w:name w:val="标题 3 Char2"/>
    <w:qFormat/>
    <w:uiPriority w:val="0"/>
    <w:rPr>
      <w:rFonts w:eastAsia="宋体"/>
      <w:b/>
      <w:bCs/>
      <w:kern w:val="2"/>
      <w:sz w:val="32"/>
      <w:szCs w:val="32"/>
      <w:lang w:val="en-US" w:eastAsia="zh-CN" w:bidi="ar-SA"/>
    </w:rPr>
  </w:style>
  <w:style w:type="character" w:customStyle="1" w:styleId="455">
    <w:name w:val="gray6"/>
    <w:basedOn w:val="62"/>
    <w:qFormat/>
    <w:uiPriority w:val="0"/>
  </w:style>
  <w:style w:type="character" w:customStyle="1" w:styleId="456">
    <w:name w:val="标准正文格式 Char"/>
    <w:qFormat/>
    <w:uiPriority w:val="0"/>
    <w:rPr>
      <w:rFonts w:ascii="宋体" w:eastAsia="仿宋_GB2312" w:cs="宋体"/>
      <w:color w:val="000000"/>
      <w:sz w:val="24"/>
      <w:lang w:val="en-US" w:eastAsia="zh-CN" w:bidi="ar-SA"/>
    </w:rPr>
  </w:style>
  <w:style w:type="character" w:customStyle="1" w:styleId="457">
    <w:name w:val="Char Char3"/>
    <w:qFormat/>
    <w:uiPriority w:val="0"/>
    <w:rPr>
      <w:rFonts w:eastAsia="宋体"/>
      <w:kern w:val="2"/>
      <w:sz w:val="21"/>
      <w:szCs w:val="24"/>
      <w:lang w:val="en-US" w:eastAsia="zh-CN" w:bidi="ar-SA"/>
    </w:rPr>
  </w:style>
  <w:style w:type="character" w:customStyle="1" w:styleId="458">
    <w:name w:val="px14"/>
    <w:qFormat/>
    <w:uiPriority w:val="0"/>
    <w:rPr>
      <w:rFonts w:ascii="仿宋_GB2312" w:eastAsia="微软雅黑" w:cs="Times New Roman"/>
      <w:b/>
      <w:kern w:val="2"/>
      <w:sz w:val="32"/>
      <w:szCs w:val="32"/>
      <w:lang w:val="en-US" w:eastAsia="zh-CN" w:bidi="ar-SA"/>
    </w:rPr>
  </w:style>
  <w:style w:type="character" w:customStyle="1" w:styleId="459">
    <w:name w:val="txt"/>
    <w:qFormat/>
    <w:uiPriority w:val="0"/>
    <w:rPr>
      <w:rFonts w:ascii="仿宋_GB2312" w:eastAsia="微软雅黑"/>
      <w:b/>
      <w:kern w:val="2"/>
      <w:sz w:val="32"/>
      <w:szCs w:val="32"/>
      <w:lang w:val="en-US" w:eastAsia="zh-CN" w:bidi="ar-SA"/>
    </w:rPr>
  </w:style>
  <w:style w:type="character" w:customStyle="1" w:styleId="460">
    <w:name w:val="仿宋正文 Char"/>
    <w:link w:val="337"/>
    <w:qFormat/>
    <w:uiPriority w:val="0"/>
    <w:rPr>
      <w:rFonts w:ascii="仿宋_GB2312" w:eastAsia="仿宋_GB2312"/>
      <w:kern w:val="2"/>
      <w:sz w:val="24"/>
      <w:lang w:val="en-US" w:eastAsia="zh-CN" w:bidi="ar-SA"/>
    </w:rPr>
  </w:style>
  <w:style w:type="character" w:customStyle="1" w:styleId="461">
    <w:name w:val="Comment Text Char"/>
    <w:semiHidden/>
    <w:qFormat/>
    <w:locked/>
    <w:uiPriority w:val="0"/>
    <w:rPr>
      <w:rFonts w:ascii="宋体" w:hAnsi="宋体" w:eastAsia="宋体"/>
      <w:kern w:val="2"/>
      <w:sz w:val="24"/>
      <w:lang w:val="en-US" w:eastAsia="zh-CN" w:bidi="ar-SA"/>
    </w:rPr>
  </w:style>
  <w:style w:type="character" w:customStyle="1" w:styleId="462">
    <w:name w:val="tw4winExternal"/>
    <w:qFormat/>
    <w:uiPriority w:val="0"/>
    <w:rPr>
      <w:rFonts w:ascii="Courier New" w:hAnsi="Courier New" w:cs="Courier New"/>
      <w:color w:val="808080"/>
    </w:rPr>
  </w:style>
  <w:style w:type="character" w:customStyle="1" w:styleId="463">
    <w:name w:val="Char Char10"/>
    <w:semiHidden/>
    <w:qFormat/>
    <w:uiPriority w:val="0"/>
    <w:rPr>
      <w:rFonts w:ascii="宋体" w:hAnsi="宋体"/>
      <w:kern w:val="2"/>
      <w:sz w:val="21"/>
      <w:szCs w:val="24"/>
    </w:rPr>
  </w:style>
  <w:style w:type="character" w:customStyle="1" w:styleId="464">
    <w:name w:val="Bold"/>
    <w:qFormat/>
    <w:uiPriority w:val="0"/>
    <w:rPr>
      <w:rFonts w:ascii="Arial" w:hAnsi="Arial" w:eastAsia="黑体" w:cs="Times New Roman"/>
      <w:b/>
      <w:kern w:val="2"/>
      <w:sz w:val="32"/>
      <w:szCs w:val="32"/>
      <w:lang w:val="en-US" w:eastAsia="zh-CN" w:bidi="ar-SA"/>
    </w:rPr>
  </w:style>
  <w:style w:type="character" w:customStyle="1" w:styleId="465">
    <w:name w:val="Font Style82"/>
    <w:qFormat/>
    <w:uiPriority w:val="99"/>
    <w:rPr>
      <w:rFonts w:ascii="宋体" w:eastAsia="宋体" w:cs="宋体"/>
      <w:color w:val="000000"/>
      <w:sz w:val="14"/>
      <w:szCs w:val="14"/>
    </w:rPr>
  </w:style>
  <w:style w:type="character" w:customStyle="1" w:styleId="466">
    <w:name w:val="标题 2 Char"/>
    <w:qFormat/>
    <w:uiPriority w:val="0"/>
    <w:rPr>
      <w:rFonts w:ascii="Arial" w:hAnsi="Arial" w:eastAsia="黑体"/>
      <w:b/>
      <w:kern w:val="2"/>
      <w:sz w:val="32"/>
      <w:lang w:val="en-US" w:eastAsia="zh-CN"/>
    </w:rPr>
  </w:style>
  <w:style w:type="character" w:customStyle="1" w:styleId="467">
    <w:name w:val="h3 Char"/>
    <w:qFormat/>
    <w:uiPriority w:val="0"/>
    <w:rPr>
      <w:rFonts w:eastAsia="宋体"/>
      <w:b/>
      <w:kern w:val="2"/>
      <w:sz w:val="32"/>
      <w:lang w:val="en-US" w:eastAsia="zh-CN" w:bidi="ar-SA"/>
    </w:rPr>
  </w:style>
  <w:style w:type="character" w:customStyle="1" w:styleId="468">
    <w:name w:val="页眉 Char1"/>
    <w:qFormat/>
    <w:uiPriority w:val="0"/>
    <w:rPr>
      <w:rFonts w:eastAsia="宋体"/>
      <w:kern w:val="2"/>
      <w:sz w:val="18"/>
      <w:szCs w:val="18"/>
      <w:lang w:val="en-US" w:eastAsia="zh-CN" w:bidi="ar-SA"/>
    </w:rPr>
  </w:style>
  <w:style w:type="character" w:customStyle="1" w:styleId="469">
    <w:name w:val="标题 8 Char"/>
    <w:link w:val="9"/>
    <w:qFormat/>
    <w:uiPriority w:val="0"/>
    <w:rPr>
      <w:rFonts w:ascii="Arial" w:hAnsi="Arial" w:eastAsia="黑体"/>
      <w:kern w:val="2"/>
      <w:sz w:val="24"/>
      <w:szCs w:val="24"/>
    </w:rPr>
  </w:style>
  <w:style w:type="character" w:customStyle="1" w:styleId="470">
    <w:name w:val="冯广丽 Char"/>
    <w:link w:val="233"/>
    <w:qFormat/>
    <w:uiPriority w:val="0"/>
    <w:rPr>
      <w:rFonts w:ascii="宋体" w:hAnsi="宋体"/>
      <w:kern w:val="2"/>
      <w:sz w:val="24"/>
      <w:szCs w:val="22"/>
    </w:rPr>
  </w:style>
  <w:style w:type="character" w:customStyle="1" w:styleId="471">
    <w:name w:val="脚注文本 Char"/>
    <w:link w:val="47"/>
    <w:qFormat/>
    <w:uiPriority w:val="0"/>
    <w:rPr>
      <w:color w:val="0000FF"/>
      <w:sz w:val="21"/>
    </w:rPr>
  </w:style>
  <w:style w:type="character" w:customStyle="1" w:styleId="472">
    <w:name w:val="font12gray1"/>
    <w:qFormat/>
    <w:uiPriority w:val="0"/>
    <w:rPr>
      <w:rFonts w:ascii="仿宋_GB2312" w:eastAsia="微软雅黑"/>
      <w:b/>
      <w:spacing w:val="300"/>
      <w:kern w:val="2"/>
      <w:sz w:val="18"/>
      <w:szCs w:val="18"/>
      <w:lang w:val="en-US" w:eastAsia="zh-CN" w:bidi="ar-SA"/>
    </w:rPr>
  </w:style>
  <w:style w:type="character" w:customStyle="1" w:styleId="473">
    <w:name w:val="正文文本缩进 Char1"/>
    <w:link w:val="23"/>
    <w:qFormat/>
    <w:uiPriority w:val="0"/>
    <w:rPr>
      <w:rFonts w:ascii="宋体" w:hAnsi="宋体"/>
      <w:kern w:val="2"/>
      <w:sz w:val="24"/>
      <w:szCs w:val="24"/>
    </w:rPr>
  </w:style>
  <w:style w:type="character" w:customStyle="1" w:styleId="474">
    <w:name w:val="方案正文 Char"/>
    <w:qFormat/>
    <w:uiPriority w:val="0"/>
    <w:rPr>
      <w:rFonts w:ascii="仿宋_GB2312" w:eastAsia="仿宋_GB2312"/>
      <w:b/>
      <w:color w:val="000000"/>
      <w:kern w:val="2"/>
      <w:sz w:val="24"/>
      <w:lang w:val="en-US" w:eastAsia="zh-CN" w:bidi="ar-SA"/>
    </w:rPr>
  </w:style>
  <w:style w:type="character" w:customStyle="1" w:styleId="475">
    <w:name w:val="Item List Char"/>
    <w:link w:val="260"/>
    <w:qFormat/>
    <w:uiPriority w:val="0"/>
    <w:rPr>
      <w:rFonts w:ascii="Arial"/>
      <w:bCs/>
      <w:sz w:val="21"/>
      <w:szCs w:val="21"/>
      <w:lang w:val="en-US" w:eastAsia="zh-CN" w:bidi="ar-SA"/>
    </w:rPr>
  </w:style>
  <w:style w:type="character" w:customStyle="1" w:styleId="476">
    <w:name w:val="Normal Indent Char Char"/>
    <w:autoRedefine/>
    <w:qFormat/>
    <w:uiPriority w:val="0"/>
    <w:rPr>
      <w:rFonts w:eastAsia="宋体"/>
      <w:kern w:val="2"/>
      <w:sz w:val="21"/>
      <w:lang w:val="en-US" w:eastAsia="zh-CN" w:bidi="ar-SA"/>
    </w:rPr>
  </w:style>
  <w:style w:type="character" w:customStyle="1" w:styleId="477">
    <w:name w:val="t21"/>
    <w:qFormat/>
    <w:uiPriority w:val="0"/>
    <w:rPr>
      <w:rFonts w:ascii="仿宋_GB2312" w:eastAsia="微软雅黑"/>
      <w:b/>
      <w:kern w:val="2"/>
      <w:sz w:val="23"/>
      <w:szCs w:val="23"/>
      <w:lang w:val="en-US" w:eastAsia="zh-CN" w:bidi="ar-SA"/>
    </w:rPr>
  </w:style>
  <w:style w:type="character" w:customStyle="1" w:styleId="478">
    <w:name w:val="Char Char121"/>
    <w:qFormat/>
    <w:uiPriority w:val="0"/>
    <w:rPr>
      <w:rFonts w:ascii="仿宋_GB2312" w:eastAsia="仿宋_GB2312"/>
      <w:b/>
      <w:bCs/>
      <w:kern w:val="2"/>
      <w:sz w:val="24"/>
      <w:szCs w:val="24"/>
      <w:lang w:val="zh-CN" w:eastAsia="zh-CN" w:bidi="ar-SA"/>
    </w:rPr>
  </w:style>
  <w:style w:type="character" w:customStyle="1" w:styleId="479">
    <w:name w:val="标题 7 Char"/>
    <w:link w:val="8"/>
    <w:qFormat/>
    <w:uiPriority w:val="0"/>
    <w:rPr>
      <w:b/>
      <w:bCs/>
      <w:kern w:val="2"/>
      <w:sz w:val="24"/>
      <w:szCs w:val="24"/>
    </w:rPr>
  </w:style>
  <w:style w:type="character" w:customStyle="1" w:styleId="480">
    <w:name w:val="称呼 Char"/>
    <w:link w:val="20"/>
    <w:qFormat/>
    <w:uiPriority w:val="0"/>
    <w:rPr>
      <w:rFonts w:ascii="仿宋_GB2312" w:eastAsia="仿宋_GB2312"/>
      <w:kern w:val="2"/>
      <w:sz w:val="28"/>
    </w:rPr>
  </w:style>
  <w:style w:type="character" w:customStyle="1" w:styleId="481">
    <w:name w:val="正文 项目 Char"/>
    <w:qFormat/>
    <w:uiPriority w:val="0"/>
    <w:rPr>
      <w:rFonts w:ascii="仿宋_GB2312" w:hAnsi="仿宋_GB2312" w:eastAsia="仿宋_GB2312"/>
      <w:kern w:val="2"/>
      <w:sz w:val="24"/>
      <w:lang w:bidi="ar-SA"/>
    </w:rPr>
  </w:style>
  <w:style w:type="character" w:customStyle="1" w:styleId="482">
    <w:name w:val="普通文字 Char1"/>
    <w:qFormat/>
    <w:uiPriority w:val="0"/>
    <w:rPr>
      <w:rFonts w:ascii="宋体" w:hAnsi="Courier New" w:eastAsia="宋体"/>
      <w:kern w:val="2"/>
      <w:sz w:val="21"/>
      <w:lang w:val="en-US" w:eastAsia="zh-CN"/>
    </w:rPr>
  </w:style>
  <w:style w:type="character" w:customStyle="1" w:styleId="483">
    <w:name w:val="正文1 Char1"/>
    <w:qFormat/>
    <w:uiPriority w:val="0"/>
    <w:rPr>
      <w:rFonts w:ascii="仿宋_GB2312" w:hAnsi="Courier New" w:eastAsia="仿宋_GB2312"/>
      <w:kern w:val="28"/>
      <w:sz w:val="24"/>
      <w:szCs w:val="24"/>
    </w:rPr>
  </w:style>
  <w:style w:type="character" w:customStyle="1" w:styleId="484">
    <w:name w:val="hei16b1"/>
    <w:qFormat/>
    <w:uiPriority w:val="0"/>
    <w:rPr>
      <w:rFonts w:hint="default" w:ascii="Arial" w:hAnsi="Arial" w:cs="Arial"/>
      <w:b/>
      <w:bCs/>
      <w:color w:val="000000"/>
      <w:sz w:val="24"/>
      <w:szCs w:val="24"/>
    </w:rPr>
  </w:style>
  <w:style w:type="character" w:customStyle="1" w:styleId="485">
    <w:name w:val="c7 style3"/>
    <w:qFormat/>
    <w:uiPriority w:val="0"/>
  </w:style>
  <w:style w:type="character" w:customStyle="1" w:styleId="486">
    <w:name w:val="副标题 Char"/>
    <w:link w:val="44"/>
    <w:qFormat/>
    <w:uiPriority w:val="0"/>
    <w:rPr>
      <w:rFonts w:ascii="Arial" w:hAnsi="Arial" w:eastAsia="隶书"/>
      <w:b/>
      <w:bCs/>
      <w:kern w:val="28"/>
      <w:sz w:val="44"/>
      <w:szCs w:val="32"/>
      <w:lang w:val="en-US" w:eastAsia="zh-CN" w:bidi="ar-SA"/>
    </w:rPr>
  </w:style>
  <w:style w:type="character" w:customStyle="1" w:styleId="487">
    <w:name w:val="纯文本 Char"/>
    <w:link w:val="31"/>
    <w:qFormat/>
    <w:uiPriority w:val="0"/>
    <w:rPr>
      <w:rFonts w:ascii="宋体" w:hAnsi="Courier New" w:eastAsia="宋体" w:cs="Arial"/>
      <w:snapToGrid w:val="0"/>
      <w:kern w:val="2"/>
      <w:sz w:val="21"/>
      <w:szCs w:val="21"/>
      <w:lang w:val="en-US" w:eastAsia="zh-CN" w:bidi="ar-SA"/>
    </w:rPr>
  </w:style>
  <w:style w:type="character" w:customStyle="1" w:styleId="488">
    <w:name w:val="表正文 Char1"/>
    <w:qFormat/>
    <w:uiPriority w:val="0"/>
    <w:rPr>
      <w:rFonts w:ascii="宋体" w:eastAsia="宋体"/>
      <w:snapToGrid w:val="0"/>
      <w:color w:val="000000"/>
      <w:kern w:val="28"/>
      <w:sz w:val="28"/>
    </w:rPr>
  </w:style>
  <w:style w:type="character" w:customStyle="1" w:styleId="489">
    <w:name w:val="Char Char5"/>
    <w:autoRedefine/>
    <w:qFormat/>
    <w:uiPriority w:val="0"/>
    <w:rPr>
      <w:rFonts w:ascii="宋体" w:hAnsi="Courier New" w:eastAsia="宋体"/>
      <w:kern w:val="2"/>
      <w:sz w:val="21"/>
      <w:lang w:val="en-US" w:eastAsia="zh-CN"/>
    </w:rPr>
  </w:style>
  <w:style w:type="character" w:customStyle="1" w:styleId="490">
    <w:name w:val="标题 1 Char Char"/>
    <w:qFormat/>
    <w:uiPriority w:val="0"/>
    <w:rPr>
      <w:rFonts w:hint="eastAsia" w:ascii="宋体" w:hAnsi="宋体" w:eastAsia="宋体"/>
      <w:b/>
      <w:spacing w:val="-2"/>
      <w:sz w:val="24"/>
      <w:lang w:val="en-US" w:eastAsia="zh-CN" w:bidi="ar-SA"/>
    </w:rPr>
  </w:style>
  <w:style w:type="character" w:customStyle="1" w:styleId="491">
    <w:name w:val="Char Char4"/>
    <w:qFormat/>
    <w:uiPriority w:val="0"/>
    <w:rPr>
      <w:rFonts w:eastAsia="宋体"/>
      <w:b/>
      <w:sz w:val="24"/>
      <w:lang w:val="en-GB" w:eastAsia="zh-CN" w:bidi="ar-SA"/>
    </w:rPr>
  </w:style>
  <w:style w:type="character" w:customStyle="1" w:styleId="492">
    <w:name w:val="zbggmain style9"/>
    <w:qFormat/>
    <w:uiPriority w:val="0"/>
  </w:style>
  <w:style w:type="character" w:customStyle="1" w:styleId="493">
    <w:name w:val="Header Char"/>
    <w:semiHidden/>
    <w:qFormat/>
    <w:locked/>
    <w:uiPriority w:val="0"/>
    <w:rPr>
      <w:rFonts w:eastAsia="宋体"/>
      <w:kern w:val="2"/>
      <w:sz w:val="18"/>
      <w:szCs w:val="18"/>
      <w:lang w:val="en-US" w:eastAsia="zh-CN" w:bidi="ar-SA"/>
    </w:rPr>
  </w:style>
  <w:style w:type="character" w:customStyle="1" w:styleId="494">
    <w:name w:val="样式 宋体"/>
    <w:qFormat/>
    <w:uiPriority w:val="0"/>
    <w:rPr>
      <w:rFonts w:ascii="宋体" w:hAnsi="宋体"/>
      <w:sz w:val="24"/>
    </w:rPr>
  </w:style>
  <w:style w:type="character" w:customStyle="1" w:styleId="495">
    <w:name w:val="哈哈正文 Char"/>
    <w:link w:val="311"/>
    <w:qFormat/>
    <w:uiPriority w:val="0"/>
    <w:rPr>
      <w:rFonts w:ascii="宋体" w:hAnsi="宋体" w:eastAsia="宋体"/>
      <w:kern w:val="2"/>
      <w:sz w:val="24"/>
      <w:lang w:bidi="ar-SA"/>
    </w:rPr>
  </w:style>
  <w:style w:type="character" w:customStyle="1" w:styleId="496">
    <w:name w:val="标题 Char"/>
    <w:qFormat/>
    <w:uiPriority w:val="0"/>
    <w:rPr>
      <w:rFonts w:eastAsia="宋体"/>
      <w:b/>
      <w:sz w:val="24"/>
      <w:lang w:val="en-GB" w:eastAsia="zh-CN" w:bidi="ar-SA"/>
    </w:rPr>
  </w:style>
  <w:style w:type="character" w:customStyle="1" w:styleId="497">
    <w:name w:val="纯文本 Char Char Char"/>
    <w:qFormat/>
    <w:uiPriority w:val="0"/>
    <w:rPr>
      <w:rFonts w:ascii="宋体" w:hAnsi="Courier New" w:eastAsia="宋体"/>
      <w:kern w:val="2"/>
      <w:sz w:val="21"/>
      <w:lang w:val="en-US" w:eastAsia="zh-CN" w:bidi="ar-SA"/>
    </w:rPr>
  </w:style>
  <w:style w:type="character" w:customStyle="1" w:styleId="498">
    <w:name w:val="正文 编号 Char"/>
    <w:qFormat/>
    <w:uiPriority w:val="0"/>
    <w:rPr>
      <w:rFonts w:ascii="仿宋_GB2312" w:hAnsi="仿宋_GB2312" w:eastAsia="仿宋_GB2312"/>
      <w:kern w:val="2"/>
      <w:sz w:val="24"/>
      <w:lang w:bidi="ar-SA"/>
    </w:rPr>
  </w:style>
  <w:style w:type="character" w:customStyle="1" w:styleId="499">
    <w:name w:val="插图说明 Char"/>
    <w:qFormat/>
    <w:uiPriority w:val="0"/>
    <w:rPr>
      <w:rFonts w:eastAsia="黑体"/>
      <w:sz w:val="24"/>
      <w:lang w:val="en-US" w:eastAsia="zh-CN"/>
    </w:rPr>
  </w:style>
  <w:style w:type="character" w:customStyle="1" w:styleId="500">
    <w:name w:val="正文首行缩进 2 Char"/>
    <w:link w:val="59"/>
    <w:qFormat/>
    <w:uiPriority w:val="0"/>
    <w:rPr>
      <w:rFonts w:ascii="宋体" w:hAnsi="宋体"/>
      <w:kern w:val="2"/>
      <w:sz w:val="21"/>
      <w:szCs w:val="24"/>
    </w:rPr>
  </w:style>
  <w:style w:type="character" w:customStyle="1" w:styleId="501">
    <w:name w:val="正文文本缩进 2 Char"/>
    <w:link w:val="35"/>
    <w:qFormat/>
    <w:uiPriority w:val="0"/>
    <w:rPr>
      <w:rFonts w:ascii="宋体"/>
      <w:sz w:val="28"/>
    </w:rPr>
  </w:style>
  <w:style w:type="character" w:customStyle="1" w:styleId="502">
    <w:name w:val="公文正文 Char"/>
    <w:qFormat/>
    <w:uiPriority w:val="0"/>
    <w:rPr>
      <w:rFonts w:ascii="仿宋_GB2312" w:eastAsia="仿宋_GB2312"/>
      <w:kern w:val="2"/>
      <w:sz w:val="24"/>
      <w:szCs w:val="24"/>
      <w:lang w:val="en-US" w:eastAsia="zh-CN" w:bidi="ar-SA"/>
    </w:rPr>
  </w:style>
  <w:style w:type="character" w:customStyle="1" w:styleId="503">
    <w:name w:val="Char Char41"/>
    <w:qFormat/>
    <w:uiPriority w:val="0"/>
    <w:rPr>
      <w:rFonts w:eastAsia="宋体"/>
      <w:b/>
      <w:sz w:val="24"/>
      <w:lang w:val="en-GB" w:eastAsia="zh-CN" w:bidi="ar-SA"/>
    </w:rPr>
  </w:style>
  <w:style w:type="character" w:customStyle="1" w:styleId="504">
    <w:name w:val="unnamed31"/>
    <w:qFormat/>
    <w:uiPriority w:val="0"/>
    <w:rPr>
      <w:rFonts w:ascii="Tahoma" w:hAnsi="Tahoma" w:eastAsia="宋体"/>
      <w:b/>
      <w:kern w:val="2"/>
      <w:sz w:val="24"/>
      <w:szCs w:val="32"/>
      <w:u w:val="none"/>
      <w:lang w:val="en-US" w:eastAsia="zh-CN" w:bidi="ar-SA"/>
    </w:rPr>
  </w:style>
  <w:style w:type="character" w:customStyle="1" w:styleId="505">
    <w:name w:val="Char Char91"/>
    <w:qFormat/>
    <w:uiPriority w:val="0"/>
    <w:rPr>
      <w:rFonts w:eastAsia="宋体"/>
      <w:kern w:val="2"/>
      <w:sz w:val="18"/>
      <w:szCs w:val="18"/>
      <w:lang w:val="en-US" w:eastAsia="zh-CN" w:bidi="ar-SA"/>
    </w:rPr>
  </w:style>
  <w:style w:type="character" w:customStyle="1" w:styleId="506">
    <w:name w:val="Footer-Even Char1"/>
    <w:qFormat/>
    <w:uiPriority w:val="0"/>
    <w:rPr>
      <w:rFonts w:eastAsia="宋体"/>
      <w:kern w:val="2"/>
      <w:sz w:val="18"/>
      <w:szCs w:val="18"/>
      <w:lang w:val="en-US" w:eastAsia="zh-CN" w:bidi="ar-SA"/>
    </w:rPr>
  </w:style>
  <w:style w:type="character" w:customStyle="1" w:styleId="507">
    <w:name w:val="gf正文1 Char"/>
    <w:qFormat/>
    <w:uiPriority w:val="0"/>
    <w:rPr>
      <w:rFonts w:ascii="宋体" w:hAnsi="宋体" w:eastAsia="宋体" w:cs="宋体"/>
      <w:kern w:val="2"/>
      <w:sz w:val="24"/>
      <w:szCs w:val="24"/>
      <w:lang w:val="en-US" w:eastAsia="zh-CN" w:bidi="ar-SA"/>
    </w:rPr>
  </w:style>
  <w:style w:type="character" w:customStyle="1" w:styleId="508">
    <w:name w:val="javascript"/>
    <w:qFormat/>
    <w:uiPriority w:val="0"/>
  </w:style>
  <w:style w:type="character" w:customStyle="1" w:styleId="509">
    <w:name w:val="列出段落 Char"/>
    <w:qFormat/>
    <w:uiPriority w:val="34"/>
    <w:rPr>
      <w:rFonts w:eastAsia="楷体_GB2312" w:cs="Lucida Sans"/>
      <w:kern w:val="2"/>
      <w:sz w:val="24"/>
      <w:szCs w:val="24"/>
      <w:lang w:val="en-US" w:eastAsia="zh-CN" w:bidi="ar-SA"/>
    </w:rPr>
  </w:style>
  <w:style w:type="character" w:customStyle="1" w:styleId="510">
    <w:name w:val="正文文本 Char1"/>
    <w:link w:val="22"/>
    <w:qFormat/>
    <w:uiPriority w:val="0"/>
    <w:rPr>
      <w:rFonts w:ascii="宋体" w:hAnsi="Arial" w:eastAsia="宋体" w:cs="Arial"/>
      <w:snapToGrid w:val="0"/>
      <w:kern w:val="2"/>
      <w:sz w:val="24"/>
      <w:szCs w:val="21"/>
      <w:lang w:val="zh-CN" w:eastAsia="zh-CN" w:bidi="ar-SA"/>
    </w:rPr>
  </w:style>
  <w:style w:type="character" w:customStyle="1" w:styleId="511">
    <w:name w:val="标书表格字体格式 Char"/>
    <w:qFormat/>
    <w:uiPriority w:val="0"/>
    <w:rPr>
      <w:kern w:val="2"/>
      <w:sz w:val="21"/>
      <w:szCs w:val="24"/>
      <w:lang w:bidi="ar-SA"/>
    </w:rPr>
  </w:style>
  <w:style w:type="character" w:customStyle="1" w:styleId="512">
    <w:name w:val="普通文字 Char3"/>
    <w:qFormat/>
    <w:uiPriority w:val="0"/>
    <w:rPr>
      <w:rFonts w:ascii="宋体" w:hAnsi="Courier New" w:eastAsia="宋体"/>
      <w:kern w:val="2"/>
      <w:sz w:val="21"/>
      <w:lang w:val="en-US" w:eastAsia="zh-CN" w:bidi="ar-SA"/>
    </w:rPr>
  </w:style>
  <w:style w:type="character" w:customStyle="1" w:styleId="513">
    <w:name w:val="h Char Char1"/>
    <w:qFormat/>
    <w:uiPriority w:val="0"/>
    <w:rPr>
      <w:rFonts w:eastAsia="宋体"/>
      <w:kern w:val="2"/>
      <w:sz w:val="18"/>
      <w:szCs w:val="18"/>
      <w:lang w:val="en-US" w:eastAsia="zh-CN" w:bidi="ar-SA"/>
    </w:rPr>
  </w:style>
  <w:style w:type="character" w:customStyle="1" w:styleId="514">
    <w:name w:val="冯 Char"/>
    <w:link w:val="72"/>
    <w:qFormat/>
    <w:uiPriority w:val="0"/>
    <w:rPr>
      <w:rFonts w:ascii="宋体" w:hAnsi="宋体"/>
      <w:color w:val="000000"/>
      <w:sz w:val="24"/>
      <w:szCs w:val="24"/>
    </w:rPr>
  </w:style>
  <w:style w:type="character" w:customStyle="1" w:styleId="515">
    <w:name w:val="highlight1"/>
    <w:qFormat/>
    <w:uiPriority w:val="0"/>
    <w:rPr>
      <w:rFonts w:ascii="仿宋_GB2312" w:eastAsia="微软雅黑"/>
      <w:b/>
      <w:kern w:val="2"/>
      <w:sz w:val="23"/>
      <w:szCs w:val="23"/>
      <w:lang w:val="en-US" w:eastAsia="zh-CN" w:bidi="ar-SA"/>
    </w:rPr>
  </w:style>
  <w:style w:type="character" w:customStyle="1" w:styleId="516">
    <w:name w:val="样式6 Char"/>
    <w:qFormat/>
    <w:uiPriority w:val="0"/>
    <w:rPr>
      <w:rFonts w:ascii="仿宋_GB2312" w:hAnsi="宋体" w:eastAsia="仿宋_GB2312"/>
      <w:b/>
      <w:bCs/>
      <w:kern w:val="2"/>
      <w:sz w:val="24"/>
      <w:szCs w:val="24"/>
      <w:lang w:val="en-US" w:eastAsia="zh-CN" w:bidi="ar-SA"/>
    </w:rPr>
  </w:style>
  <w:style w:type="character" w:customStyle="1" w:styleId="517">
    <w:name w:val="标题 9 Char"/>
    <w:link w:val="10"/>
    <w:qFormat/>
    <w:uiPriority w:val="0"/>
    <w:rPr>
      <w:rFonts w:ascii="Arial" w:hAnsi="Arial" w:eastAsia="黑体"/>
      <w:kern w:val="2"/>
      <w:sz w:val="21"/>
      <w:szCs w:val="21"/>
    </w:rPr>
  </w:style>
  <w:style w:type="character" w:customStyle="1" w:styleId="518">
    <w:name w:val="md"/>
    <w:basedOn w:val="62"/>
    <w:qFormat/>
    <w:uiPriority w:val="0"/>
  </w:style>
  <w:style w:type="character" w:customStyle="1" w:styleId="519">
    <w:name w:val="myp11"/>
    <w:qFormat/>
    <w:uiPriority w:val="0"/>
    <w:rPr>
      <w:rFonts w:ascii="仿宋_GB2312" w:eastAsia="微软雅黑"/>
      <w:b/>
      <w:kern w:val="2"/>
      <w:sz w:val="32"/>
      <w:szCs w:val="32"/>
      <w:lang w:val="en-US" w:eastAsia="zh-CN" w:bidi="ar-SA"/>
    </w:rPr>
  </w:style>
  <w:style w:type="character" w:customStyle="1" w:styleId="520">
    <w:name w:val="Ò³Ã¼ Char Char1"/>
    <w:qFormat/>
    <w:uiPriority w:val="0"/>
    <w:rPr>
      <w:rFonts w:eastAsia="宋体"/>
      <w:kern w:val="2"/>
      <w:sz w:val="18"/>
      <w:szCs w:val="18"/>
      <w:lang w:val="en-US" w:eastAsia="zh-CN" w:bidi="ar-SA"/>
    </w:rPr>
  </w:style>
  <w:style w:type="character" w:customStyle="1" w:styleId="521">
    <w:name w:val="tw4winTerm"/>
    <w:qFormat/>
    <w:uiPriority w:val="0"/>
    <w:rPr>
      <w:color w:val="0000FF"/>
    </w:rPr>
  </w:style>
  <w:style w:type="character" w:customStyle="1" w:styleId="522">
    <w:name w:val="表格 Char Char"/>
    <w:qFormat/>
    <w:uiPriority w:val="0"/>
    <w:rPr>
      <w:rFonts w:ascii="宋体" w:hAnsi="宋体" w:eastAsia="宋体"/>
      <w:lang w:bidi="ar-SA"/>
    </w:rPr>
  </w:style>
  <w:style w:type="character" w:customStyle="1" w:styleId="523">
    <w:name w:val="样式8 Char"/>
    <w:qFormat/>
    <w:uiPriority w:val="0"/>
    <w:rPr>
      <w:rFonts w:ascii="仿宋_GB2312" w:hAnsi="宋体" w:eastAsia="仿宋_GB2312"/>
      <w:b/>
      <w:bCs/>
      <w:kern w:val="2"/>
      <w:sz w:val="24"/>
      <w:szCs w:val="24"/>
    </w:rPr>
  </w:style>
  <w:style w:type="character" w:customStyle="1" w:styleId="524">
    <w:name w:val="样式5 Char"/>
    <w:autoRedefine/>
    <w:qFormat/>
    <w:uiPriority w:val="0"/>
    <w:rPr>
      <w:rFonts w:ascii="仿宋_GB2312" w:hAnsi="仿宋" w:eastAsia="仿宋_GB2312"/>
      <w:kern w:val="2"/>
      <w:sz w:val="24"/>
      <w:szCs w:val="24"/>
    </w:rPr>
  </w:style>
  <w:style w:type="character" w:customStyle="1" w:styleId="525">
    <w:name w:val="页脚 Char1"/>
    <w:qFormat/>
    <w:uiPriority w:val="0"/>
    <w:rPr>
      <w:rFonts w:eastAsia="宋体"/>
      <w:kern w:val="2"/>
      <w:sz w:val="18"/>
      <w:szCs w:val="18"/>
      <w:lang w:val="en-US" w:eastAsia="zh-CN" w:bidi="ar-SA"/>
    </w:rPr>
  </w:style>
  <w:style w:type="character" w:customStyle="1" w:styleId="526">
    <w:name w:val="tw4winJump"/>
    <w:qFormat/>
    <w:uiPriority w:val="0"/>
    <w:rPr>
      <w:rFonts w:ascii="Courier New" w:hAnsi="Courier New" w:cs="Courier New"/>
      <w:color w:val="008080"/>
    </w:rPr>
  </w:style>
  <w:style w:type="character" w:customStyle="1" w:styleId="527">
    <w:name w:val="批注文字 Char"/>
    <w:autoRedefine/>
    <w:qFormat/>
    <w:uiPriority w:val="99"/>
    <w:rPr>
      <w:kern w:val="2"/>
      <w:sz w:val="21"/>
      <w:szCs w:val="24"/>
    </w:rPr>
  </w:style>
  <w:style w:type="character" w:customStyle="1" w:styleId="528">
    <w:name w:val="Char Char122"/>
    <w:qFormat/>
    <w:uiPriority w:val="0"/>
    <w:rPr>
      <w:rFonts w:ascii="仿宋_GB2312" w:eastAsia="仿宋_GB2312"/>
      <w:b/>
      <w:bCs/>
      <w:kern w:val="2"/>
      <w:sz w:val="24"/>
      <w:szCs w:val="24"/>
      <w:lang w:val="zh-CN" w:eastAsia="zh-CN" w:bidi="ar-SA"/>
    </w:rPr>
  </w:style>
  <w:style w:type="character" w:customStyle="1" w:styleId="529">
    <w:name w:val="No Spacing Char"/>
    <w:link w:val="167"/>
    <w:qFormat/>
    <w:uiPriority w:val="1"/>
    <w:rPr>
      <w:rFonts w:ascii="Calibri" w:hAnsi="Calibri"/>
      <w:sz w:val="22"/>
      <w:szCs w:val="22"/>
      <w:lang w:val="en-US" w:eastAsia="zh-CN" w:bidi="ar-SA"/>
    </w:rPr>
  </w:style>
  <w:style w:type="character" w:customStyle="1" w:styleId="530">
    <w:name w:val="Char Char21"/>
    <w:qFormat/>
    <w:uiPriority w:val="0"/>
    <w:rPr>
      <w:rFonts w:ascii="宋体" w:hAnsi="Courier New" w:eastAsia="宋体"/>
      <w:kern w:val="2"/>
      <w:sz w:val="21"/>
      <w:lang w:val="en-US" w:eastAsia="zh-CN" w:bidi="ar-SA"/>
    </w:rPr>
  </w:style>
  <w:style w:type="character" w:customStyle="1" w:styleId="531">
    <w:name w:val="Char Char8"/>
    <w:qFormat/>
    <w:uiPriority w:val="0"/>
    <w:rPr>
      <w:rFonts w:eastAsia="宋体"/>
      <w:b/>
      <w:sz w:val="24"/>
      <w:lang w:val="en-GB" w:eastAsia="zh-CN"/>
    </w:rPr>
  </w:style>
  <w:style w:type="character" w:customStyle="1" w:styleId="532">
    <w:name w:val="font21"/>
    <w:qFormat/>
    <w:uiPriority w:val="0"/>
    <w:rPr>
      <w:rFonts w:hint="eastAsia" w:ascii="宋体" w:hAnsi="宋体" w:eastAsia="宋体"/>
      <w:kern w:val="2"/>
      <w:sz w:val="28"/>
      <w:szCs w:val="28"/>
      <w:lang w:val="en-US" w:eastAsia="zh-CN" w:bidi="ar-SA"/>
    </w:rPr>
  </w:style>
  <w:style w:type="character" w:customStyle="1" w:styleId="533">
    <w:name w:val="正文2 Char"/>
    <w:qFormat/>
    <w:uiPriority w:val="0"/>
    <w:rPr>
      <w:rFonts w:eastAsia="宋体"/>
      <w:kern w:val="2"/>
      <w:sz w:val="24"/>
      <w:lang w:val="en-US" w:eastAsia="zh-CN" w:bidi="ar-SA"/>
    </w:rPr>
  </w:style>
  <w:style w:type="character" w:customStyle="1" w:styleId="534">
    <w:name w:val="big1"/>
    <w:qFormat/>
    <w:uiPriority w:val="0"/>
    <w:rPr>
      <w:rFonts w:hint="eastAsia" w:ascii="宋体" w:hAnsi="宋体" w:eastAsia="宋体"/>
      <w:color w:val="333333"/>
      <w:sz w:val="22"/>
      <w:szCs w:val="22"/>
    </w:rPr>
  </w:style>
  <w:style w:type="character" w:customStyle="1" w:styleId="535">
    <w:name w:val="Body Text(ch) Char Char"/>
    <w:autoRedefine/>
    <w:qFormat/>
    <w:uiPriority w:val="0"/>
    <w:rPr>
      <w:rFonts w:ascii="宋体"/>
      <w:kern w:val="2"/>
      <w:sz w:val="24"/>
      <w:szCs w:val="21"/>
      <w:lang w:val="zh-CN"/>
    </w:rPr>
  </w:style>
  <w:style w:type="character" w:customStyle="1" w:styleId="536">
    <w:name w:val="blue1"/>
    <w:basedOn w:val="62"/>
    <w:qFormat/>
    <w:uiPriority w:val="0"/>
  </w:style>
  <w:style w:type="character" w:customStyle="1" w:styleId="537">
    <w:name w:val="正文 项目2 Char"/>
    <w:basedOn w:val="481"/>
    <w:qFormat/>
    <w:uiPriority w:val="0"/>
    <w:rPr>
      <w:rFonts w:ascii="仿宋_GB2312" w:hAnsi="仿宋_GB2312" w:eastAsia="仿宋_GB2312"/>
      <w:kern w:val="2"/>
      <w:sz w:val="24"/>
      <w:lang w:bidi="ar-SA"/>
    </w:rPr>
  </w:style>
  <w:style w:type="character" w:customStyle="1" w:styleId="538">
    <w:name w:val="solutionfonts"/>
    <w:qFormat/>
    <w:uiPriority w:val="0"/>
  </w:style>
  <w:style w:type="character" w:customStyle="1" w:styleId="539">
    <w:name w:val="Char Char81"/>
    <w:qFormat/>
    <w:uiPriority w:val="0"/>
    <w:rPr>
      <w:rFonts w:eastAsia="宋体"/>
      <w:b/>
      <w:sz w:val="24"/>
      <w:lang w:val="en-GB" w:eastAsia="zh-CN"/>
    </w:rPr>
  </w:style>
  <w:style w:type="character" w:customStyle="1" w:styleId="540">
    <w:name w:val="Char Char2"/>
    <w:qFormat/>
    <w:uiPriority w:val="0"/>
    <w:rPr>
      <w:rFonts w:eastAsia="宋体"/>
      <w:b/>
      <w:bCs/>
      <w:kern w:val="2"/>
      <w:sz w:val="21"/>
      <w:szCs w:val="24"/>
      <w:lang w:val="en-US" w:eastAsia="zh-CN" w:bidi="ar-SA"/>
    </w:rPr>
  </w:style>
  <w:style w:type="character" w:customStyle="1" w:styleId="541">
    <w:name w:val="HTML 预设格式 Char"/>
    <w:link w:val="54"/>
    <w:qFormat/>
    <w:uiPriority w:val="0"/>
    <w:rPr>
      <w:rFonts w:ascii="黑体" w:hAnsi="Courier New" w:eastAsia="黑体"/>
    </w:rPr>
  </w:style>
  <w:style w:type="character" w:customStyle="1" w:styleId="542">
    <w:name w:val="Heading 7 Char"/>
    <w:qFormat/>
    <w:locked/>
    <w:uiPriority w:val="0"/>
    <w:rPr>
      <w:rFonts w:ascii="宋体" w:hAnsi="宋体" w:eastAsia="宋体"/>
      <w:b/>
      <w:bCs/>
      <w:kern w:val="2"/>
      <w:sz w:val="24"/>
      <w:szCs w:val="24"/>
      <w:lang w:val="en-US" w:eastAsia="zh-CN" w:bidi="ar-SA"/>
    </w:rPr>
  </w:style>
  <w:style w:type="character" w:customStyle="1" w:styleId="543">
    <w:name w:val="正文首行缩进 Char"/>
    <w:link w:val="58"/>
    <w:qFormat/>
    <w:uiPriority w:val="0"/>
    <w:rPr>
      <w:rFonts w:ascii="宋体"/>
      <w:kern w:val="2"/>
      <w:sz w:val="24"/>
      <w:lang w:val="zh-CN"/>
    </w:rPr>
  </w:style>
  <w:style w:type="character" w:customStyle="1" w:styleId="544">
    <w:name w:val="标题 2 Char Char"/>
    <w:qFormat/>
    <w:uiPriority w:val="0"/>
    <w:rPr>
      <w:rFonts w:ascii="楷体_GB2312" w:hAnsi="Arial" w:eastAsia="楷体_GB2312"/>
      <w:b/>
      <w:bCs/>
      <w:kern w:val="2"/>
      <w:sz w:val="24"/>
      <w:szCs w:val="32"/>
      <w:lang w:val="en-US" w:eastAsia="zh-CN" w:bidi="ar-SA"/>
    </w:rPr>
  </w:style>
  <w:style w:type="character" w:customStyle="1" w:styleId="545">
    <w:name w:val="pt141"/>
    <w:qFormat/>
    <w:uiPriority w:val="0"/>
    <w:rPr>
      <w:color w:val="330066"/>
      <w:sz w:val="22"/>
      <w:szCs w:val="22"/>
    </w:rPr>
  </w:style>
  <w:style w:type="character" w:customStyle="1" w:styleId="546">
    <w:name w:val="h Char Char"/>
    <w:qFormat/>
    <w:uiPriority w:val="0"/>
    <w:rPr>
      <w:rFonts w:eastAsia="宋体"/>
      <w:kern w:val="2"/>
      <w:sz w:val="18"/>
      <w:lang w:val="en-US" w:eastAsia="zh-CN" w:bidi="ar-SA"/>
    </w:rPr>
  </w:style>
  <w:style w:type="character" w:customStyle="1" w:styleId="547">
    <w:name w:val="标题 1 Char"/>
    <w:link w:val="2"/>
    <w:qFormat/>
    <w:uiPriority w:val="0"/>
    <w:rPr>
      <w:b/>
      <w:bCs/>
      <w:kern w:val="44"/>
      <w:sz w:val="44"/>
      <w:szCs w:val="44"/>
    </w:rPr>
  </w:style>
  <w:style w:type="character" w:customStyle="1" w:styleId="548">
    <w:name w:val="页眉 Char"/>
    <w:qFormat/>
    <w:uiPriority w:val="0"/>
    <w:rPr>
      <w:rFonts w:eastAsia="仿宋_GB2312"/>
      <w:kern w:val="2"/>
      <w:sz w:val="18"/>
      <w:lang w:val="en-US" w:eastAsia="zh-CN"/>
    </w:rPr>
  </w:style>
  <w:style w:type="character" w:customStyle="1" w:styleId="549">
    <w:name w:val="b11_01b Char"/>
    <w:link w:val="407"/>
    <w:qFormat/>
    <w:uiPriority w:val="0"/>
    <w:rPr>
      <w:rFonts w:ascii="Verdana" w:hAnsi="Verdana"/>
      <w:b/>
      <w:bCs/>
      <w:color w:val="4A82CA"/>
      <w:sz w:val="17"/>
      <w:szCs w:val="17"/>
    </w:rPr>
  </w:style>
  <w:style w:type="character" w:customStyle="1" w:styleId="550">
    <w:name w:val="标题4-dyf Char"/>
    <w:link w:val="345"/>
    <w:qFormat/>
    <w:uiPriority w:val="0"/>
    <w:rPr>
      <w:rFonts w:ascii="Cambria" w:hAnsi="Cambria"/>
      <w:b/>
      <w:bCs/>
      <w:color w:val="000000"/>
      <w:kern w:val="2"/>
      <w:sz w:val="21"/>
      <w:szCs w:val="21"/>
    </w:rPr>
  </w:style>
  <w:style w:type="character" w:customStyle="1" w:styleId="551">
    <w:name w:val="批注主题 Char"/>
    <w:qFormat/>
    <w:uiPriority w:val="0"/>
    <w:rPr>
      <w:rFonts w:eastAsia="宋体"/>
      <w:b/>
      <w:bCs/>
      <w:kern w:val="2"/>
      <w:sz w:val="21"/>
      <w:szCs w:val="24"/>
      <w:lang w:val="en-US" w:eastAsia="zh-CN" w:bidi="ar-SA"/>
    </w:rPr>
  </w:style>
  <w:style w:type="character" w:customStyle="1" w:styleId="552">
    <w:name w:val="标题 3 Char1"/>
    <w:qFormat/>
    <w:uiPriority w:val="0"/>
    <w:rPr>
      <w:rFonts w:hint="eastAsia" w:ascii="华文中宋" w:hAnsi="华文中宋" w:eastAsia="华文中宋"/>
      <w:b/>
      <w:bCs/>
      <w:kern w:val="2"/>
      <w:sz w:val="32"/>
      <w:szCs w:val="32"/>
      <w:lang w:val="en-US" w:eastAsia="zh-CN" w:bidi="ar-SA"/>
    </w:rPr>
  </w:style>
  <w:style w:type="character" w:customStyle="1" w:styleId="553">
    <w:name w:val="正文首行缩进两字 Char"/>
    <w:qFormat/>
    <w:uiPriority w:val="0"/>
    <w:rPr>
      <w:sz w:val="24"/>
      <w:szCs w:val="24"/>
      <w:lang w:val="en-US" w:eastAsia="zh-CN" w:bidi="ar-SA"/>
    </w:rPr>
  </w:style>
  <w:style w:type="character" w:customStyle="1" w:styleId="554">
    <w:name w:val="Char Char51"/>
    <w:qFormat/>
    <w:uiPriority w:val="0"/>
    <w:rPr>
      <w:rFonts w:ascii="宋体" w:hAnsi="Courier New" w:eastAsia="宋体"/>
      <w:kern w:val="2"/>
      <w:sz w:val="21"/>
      <w:lang w:val="en-US" w:eastAsia="zh-CN"/>
    </w:rPr>
  </w:style>
  <w:style w:type="character" w:customStyle="1" w:styleId="555">
    <w:name w:val="带编号样式 Char"/>
    <w:qFormat/>
    <w:uiPriority w:val="0"/>
    <w:rPr>
      <w:rFonts w:ascii="仿宋_GB2312" w:eastAsia="仿宋_GB2312"/>
      <w:color w:val="000000"/>
      <w:sz w:val="24"/>
      <w:lang w:bidi="ar-SA"/>
    </w:rPr>
  </w:style>
  <w:style w:type="character" w:customStyle="1" w:styleId="556">
    <w:name w:val="样式4 Char"/>
    <w:qFormat/>
    <w:uiPriority w:val="0"/>
    <w:rPr>
      <w:rFonts w:ascii="仿宋_GB2312" w:hAnsi="仿宋" w:eastAsia="仿宋_GB2312"/>
      <w:b/>
      <w:kern w:val="2"/>
      <w:sz w:val="32"/>
      <w:szCs w:val="32"/>
      <w:lang w:bidi="ar-SA"/>
    </w:rPr>
  </w:style>
  <w:style w:type="character" w:customStyle="1" w:styleId="557">
    <w:name w:val="样式 标题 4h4H4Fab-4T5Ref Heading 1rh1Heading sqlsect 1.2.3.... Char"/>
    <w:link w:val="169"/>
    <w:qFormat/>
    <w:uiPriority w:val="0"/>
    <w:rPr>
      <w:rFonts w:ascii="微软雅黑" w:hAnsi="微软雅黑" w:eastAsia="微软雅黑"/>
      <w:b/>
      <w:bCs/>
      <w:kern w:val="2"/>
      <w:sz w:val="24"/>
      <w:szCs w:val="28"/>
    </w:rPr>
  </w:style>
  <w:style w:type="character" w:customStyle="1" w:styleId="558">
    <w:name w:val="PI Char"/>
    <w:qFormat/>
    <w:uiPriority w:val="0"/>
    <w:rPr>
      <w:rFonts w:ascii="宋体" w:hAnsi="宋体" w:eastAsia="宋体"/>
      <w:kern w:val="2"/>
      <w:sz w:val="24"/>
      <w:szCs w:val="24"/>
      <w:lang w:val="en-US" w:eastAsia="zh-CN" w:bidi="ar-SA"/>
    </w:rPr>
  </w:style>
  <w:style w:type="character" w:customStyle="1" w:styleId="559">
    <w:name w:val="Char Char111"/>
    <w:qFormat/>
    <w:locked/>
    <w:uiPriority w:val="0"/>
    <w:rPr>
      <w:rFonts w:ascii="宋体" w:hAnsi="宋体" w:eastAsia="宋体"/>
      <w:b/>
      <w:kern w:val="2"/>
      <w:sz w:val="24"/>
      <w:szCs w:val="24"/>
      <w:lang w:val="en-US" w:eastAsia="zh-CN" w:bidi="ar-SA"/>
    </w:rPr>
  </w:style>
  <w:style w:type="character" w:customStyle="1" w:styleId="560">
    <w:name w:val="Document Map Char"/>
    <w:semiHidden/>
    <w:qFormat/>
    <w:locked/>
    <w:uiPriority w:val="0"/>
    <w:rPr>
      <w:rFonts w:eastAsia="宋体"/>
      <w:kern w:val="2"/>
      <w:sz w:val="21"/>
      <w:szCs w:val="24"/>
      <w:lang w:val="en-US" w:eastAsia="zh-CN" w:bidi="ar-SA"/>
    </w:rPr>
  </w:style>
  <w:style w:type="character" w:customStyle="1" w:styleId="561">
    <w:name w:val="正文文本缩进 Char"/>
    <w:qFormat/>
    <w:uiPriority w:val="0"/>
    <w:rPr>
      <w:rFonts w:ascii="宋体" w:hAnsi="宋体"/>
      <w:kern w:val="2"/>
      <w:sz w:val="24"/>
      <w:szCs w:val="24"/>
    </w:rPr>
  </w:style>
  <w:style w:type="character" w:customStyle="1" w:styleId="562">
    <w:name w:val="文本正文 Char Char"/>
    <w:qFormat/>
    <w:locked/>
    <w:uiPriority w:val="0"/>
    <w:rPr>
      <w:sz w:val="24"/>
      <w:lang w:bidi="ar-SA"/>
    </w:rPr>
  </w:style>
  <w:style w:type="character" w:customStyle="1" w:styleId="563">
    <w:name w:val="样式7 Char"/>
    <w:qFormat/>
    <w:uiPriority w:val="0"/>
    <w:rPr>
      <w:rFonts w:ascii="仿宋_GB2312" w:hAnsi="仿宋" w:eastAsia="仿宋_GB2312"/>
      <w:b/>
      <w:kern w:val="2"/>
      <w:sz w:val="24"/>
      <w:szCs w:val="24"/>
    </w:rPr>
  </w:style>
  <w:style w:type="character" w:customStyle="1" w:styleId="564">
    <w:name w:val="样式3 Char"/>
    <w:basedOn w:val="565"/>
    <w:qFormat/>
    <w:uiPriority w:val="0"/>
    <w:rPr>
      <w:rFonts w:ascii="仿宋_GB2312" w:hAnsi="仿宋" w:eastAsia="仿宋_GB2312" w:cs="仿宋_GB2312"/>
      <w:sz w:val="32"/>
      <w:szCs w:val="30"/>
      <w:lang w:val="zh-CN"/>
    </w:rPr>
  </w:style>
  <w:style w:type="character" w:customStyle="1" w:styleId="565">
    <w:name w:val="样式2 Char"/>
    <w:qFormat/>
    <w:uiPriority w:val="0"/>
    <w:rPr>
      <w:rFonts w:ascii="仿宋_GB2312" w:hAnsi="仿宋" w:eastAsia="仿宋_GB2312" w:cs="仿宋_GB2312"/>
      <w:b/>
      <w:bCs/>
      <w:sz w:val="32"/>
      <w:szCs w:val="30"/>
      <w:lang w:val="zh-CN"/>
    </w:rPr>
  </w:style>
  <w:style w:type="character" w:customStyle="1" w:styleId="566">
    <w:name w:val="二级标题 Char Char"/>
    <w:qFormat/>
    <w:uiPriority w:val="0"/>
    <w:rPr>
      <w:rFonts w:ascii="宋体" w:hAnsi="宋体" w:eastAsia="宋体"/>
      <w:b/>
      <w:snapToGrid w:val="0"/>
      <w:kern w:val="2"/>
      <w:sz w:val="24"/>
      <w:szCs w:val="24"/>
      <w:lang w:val="en-US" w:eastAsia="zh-CN" w:bidi="ar-SA"/>
    </w:rPr>
  </w:style>
  <w:style w:type="character" w:customStyle="1" w:styleId="567">
    <w:name w:val="Table Text Char1"/>
    <w:qFormat/>
    <w:uiPriority w:val="0"/>
    <w:rPr>
      <w:rFonts w:eastAsia="宋体"/>
      <w:sz w:val="24"/>
      <w:szCs w:val="24"/>
      <w:lang w:val="en-US" w:eastAsia="zh-CN" w:bidi="ar-SA"/>
    </w:rPr>
  </w:style>
  <w:style w:type="character" w:customStyle="1" w:styleId="568">
    <w:name w:val="shadow11"/>
    <w:qFormat/>
    <w:uiPriority w:val="0"/>
    <w:rPr>
      <w:color w:val="000000"/>
      <w:sz w:val="21"/>
    </w:rPr>
  </w:style>
  <w:style w:type="character" w:customStyle="1" w:styleId="569">
    <w:name w:val="HTML 地址 Char"/>
    <w:link w:val="28"/>
    <w:qFormat/>
    <w:uiPriority w:val="0"/>
    <w:rPr>
      <w:rFonts w:ascii="宋体" w:hAnsi="宋体"/>
      <w:i/>
      <w:iCs/>
      <w:sz w:val="24"/>
      <w:szCs w:val="24"/>
    </w:rPr>
  </w:style>
  <w:style w:type="character" w:customStyle="1" w:styleId="570">
    <w:name w:val="Char Char22"/>
    <w:qFormat/>
    <w:uiPriority w:val="0"/>
    <w:rPr>
      <w:rFonts w:eastAsia="宋体"/>
      <w:b/>
      <w:bCs/>
      <w:kern w:val="2"/>
      <w:sz w:val="21"/>
      <w:szCs w:val="24"/>
      <w:lang w:val="en-US" w:eastAsia="zh-CN" w:bidi="ar-SA"/>
    </w:rPr>
  </w:style>
  <w:style w:type="character" w:customStyle="1" w:styleId="571">
    <w:name w:val="标题 5 Char"/>
    <w:link w:val="6"/>
    <w:autoRedefine/>
    <w:qFormat/>
    <w:uiPriority w:val="0"/>
    <w:rPr>
      <w:b/>
      <w:bCs/>
      <w:kern w:val="2"/>
      <w:sz w:val="28"/>
      <w:szCs w:val="28"/>
    </w:rPr>
  </w:style>
  <w:style w:type="character" w:customStyle="1" w:styleId="572">
    <w:name w:val="h3 Char1"/>
    <w:qFormat/>
    <w:uiPriority w:val="0"/>
    <w:rPr>
      <w:rFonts w:eastAsia="宋体"/>
      <w:b/>
      <w:bCs/>
      <w:kern w:val="2"/>
      <w:sz w:val="32"/>
      <w:szCs w:val="32"/>
      <w:lang w:bidi="ar-SA"/>
    </w:rPr>
  </w:style>
  <w:style w:type="character" w:customStyle="1" w:styleId="573">
    <w:name w:val="FA正文 Char Char"/>
    <w:autoRedefine/>
    <w:qFormat/>
    <w:uiPriority w:val="0"/>
    <w:rPr>
      <w:rFonts w:hAnsi="宋体"/>
      <w:kern w:val="2"/>
      <w:sz w:val="24"/>
      <w:lang w:bidi="ar-SA"/>
    </w:rPr>
  </w:style>
  <w:style w:type="character" w:customStyle="1" w:styleId="574">
    <w:name w:val="Char Char7"/>
    <w:autoRedefine/>
    <w:semiHidden/>
    <w:qFormat/>
    <w:uiPriority w:val="0"/>
    <w:rPr>
      <w:rFonts w:eastAsia="宋体"/>
      <w:kern w:val="2"/>
      <w:sz w:val="21"/>
      <w:szCs w:val="24"/>
      <w:lang w:val="en-US" w:eastAsia="zh-CN" w:bidi="ar-SA"/>
    </w:rPr>
  </w:style>
  <w:style w:type="character" w:customStyle="1" w:styleId="575">
    <w:name w:val="hui"/>
    <w:basedOn w:val="62"/>
    <w:qFormat/>
    <w:uiPriority w:val="0"/>
  </w:style>
  <w:style w:type="character" w:customStyle="1" w:styleId="576">
    <w:name w:val="正文缩进 Char"/>
    <w:qFormat/>
    <w:uiPriority w:val="0"/>
    <w:rPr>
      <w:rFonts w:eastAsia="宋体"/>
      <w:kern w:val="2"/>
      <w:sz w:val="21"/>
      <w:lang w:val="en-US" w:eastAsia="zh-CN"/>
    </w:rPr>
  </w:style>
  <w:style w:type="character" w:customStyle="1" w:styleId="577">
    <w:name w:val="正文1 Char"/>
    <w:qFormat/>
    <w:uiPriority w:val="0"/>
    <w:rPr>
      <w:rFonts w:ascii="宋体" w:eastAsia="宋体"/>
      <w:snapToGrid w:val="0"/>
      <w:color w:val="000000"/>
      <w:kern w:val="28"/>
      <w:sz w:val="28"/>
      <w:lang w:val="en-US" w:eastAsia="zh-CN" w:bidi="ar-SA"/>
    </w:rPr>
  </w:style>
  <w:style w:type="character" w:customStyle="1" w:styleId="578">
    <w:name w:val="Char Char61"/>
    <w:qFormat/>
    <w:uiPriority w:val="0"/>
    <w:rPr>
      <w:rFonts w:eastAsia="宋体"/>
      <w:kern w:val="2"/>
      <w:sz w:val="21"/>
      <w:szCs w:val="24"/>
      <w:lang w:val="en-US" w:eastAsia="zh-CN" w:bidi="ar-SA"/>
    </w:rPr>
  </w:style>
  <w:style w:type="character" w:customStyle="1" w:styleId="579">
    <w:name w:val="正文文本 3 Char"/>
    <w:link w:val="21"/>
    <w:qFormat/>
    <w:uiPriority w:val="0"/>
    <w:rPr>
      <w:kern w:val="2"/>
      <w:sz w:val="21"/>
    </w:rPr>
  </w:style>
  <w:style w:type="character" w:customStyle="1" w:styleId="580">
    <w:name w:val="message1"/>
    <w:qFormat/>
    <w:uiPriority w:val="0"/>
    <w:rPr>
      <w:rFonts w:hint="default" w:ascii="Tahoma" w:hAnsi="Tahoma" w:cs="Tahoma"/>
      <w:sz w:val="18"/>
      <w:szCs w:val="18"/>
    </w:rPr>
  </w:style>
  <w:style w:type="character" w:customStyle="1" w:styleId="581">
    <w:name w:val="DO_NOT_TRANSLATE"/>
    <w:qFormat/>
    <w:uiPriority w:val="0"/>
    <w:rPr>
      <w:rFonts w:ascii="Courier New" w:hAnsi="Courier New" w:cs="Courier New"/>
      <w:color w:val="800000"/>
    </w:rPr>
  </w:style>
  <w:style w:type="character" w:customStyle="1" w:styleId="582">
    <w:name w:val="unnamed11"/>
    <w:qFormat/>
    <w:uiPriority w:val="0"/>
    <w:rPr>
      <w:sz w:val="20"/>
      <w:szCs w:val="20"/>
    </w:rPr>
  </w:style>
  <w:style w:type="character" w:customStyle="1" w:styleId="583">
    <w:name w:val="tw4winInternal"/>
    <w:qFormat/>
    <w:uiPriority w:val="0"/>
    <w:rPr>
      <w:rFonts w:ascii="Courier New" w:hAnsi="Courier New" w:cs="Courier New"/>
      <w:color w:val="FF0000"/>
    </w:rPr>
  </w:style>
  <w:style w:type="character" w:customStyle="1" w:styleId="584">
    <w:name w:val="正文（缩进2汉字） Char"/>
    <w:link w:val="324"/>
    <w:qFormat/>
    <w:uiPriority w:val="0"/>
    <w:rPr>
      <w:rFonts w:ascii="宋体"/>
    </w:rPr>
  </w:style>
  <w:style w:type="character" w:customStyle="1" w:styleId="585">
    <w:name w:val="页脚 Char"/>
    <w:qFormat/>
    <w:uiPriority w:val="0"/>
    <w:rPr>
      <w:rFonts w:eastAsia="仿宋_GB2312"/>
      <w:kern w:val="2"/>
      <w:sz w:val="18"/>
      <w:lang w:val="en-US" w:eastAsia="zh-CN"/>
    </w:rPr>
  </w:style>
  <w:style w:type="character" w:customStyle="1" w:styleId="586">
    <w:name w:val="正文文本缩进 3 Char"/>
    <w:link w:val="50"/>
    <w:qFormat/>
    <w:uiPriority w:val="0"/>
    <w:rPr>
      <w:kern w:val="2"/>
      <w:sz w:val="24"/>
    </w:rPr>
  </w:style>
  <w:style w:type="character" w:customStyle="1" w:styleId="587">
    <w:name w:val="正文缩进 Char1"/>
    <w:qFormat/>
    <w:uiPriority w:val="0"/>
    <w:rPr>
      <w:rFonts w:ascii="宋体" w:eastAsia="宋体"/>
      <w:snapToGrid w:val="0"/>
      <w:color w:val="000000"/>
      <w:kern w:val="28"/>
      <w:sz w:val="28"/>
      <w:lang w:val="en-US" w:eastAsia="zh-CN" w:bidi="ar-SA"/>
    </w:rPr>
  </w:style>
  <w:style w:type="character" w:customStyle="1" w:styleId="588">
    <w:name w:val="style36"/>
    <w:basedOn w:val="62"/>
    <w:qFormat/>
    <w:uiPriority w:val="0"/>
  </w:style>
  <w:style w:type="character" w:customStyle="1" w:styleId="589">
    <w:name w:val="hui3"/>
    <w:qFormat/>
    <w:uiPriority w:val="0"/>
    <w:rPr>
      <w:color w:val="333333"/>
    </w:rPr>
  </w:style>
  <w:style w:type="character" w:customStyle="1" w:styleId="590">
    <w:name w:val="apple-converted-space"/>
    <w:autoRedefine/>
    <w:qFormat/>
    <w:uiPriority w:val="0"/>
  </w:style>
  <w:style w:type="character" w:customStyle="1" w:styleId="591">
    <w:name w:val="文档结构图 Char"/>
    <w:autoRedefine/>
    <w:qFormat/>
    <w:uiPriority w:val="0"/>
    <w:rPr>
      <w:rFonts w:eastAsia="宋体"/>
      <w:kern w:val="2"/>
      <w:sz w:val="21"/>
      <w:szCs w:val="24"/>
      <w:lang w:val="en-US" w:eastAsia="zh-CN" w:bidi="ar-SA"/>
    </w:rPr>
  </w:style>
  <w:style w:type="character" w:customStyle="1" w:styleId="592">
    <w:name w:val="正文非缩进 Char3"/>
    <w:autoRedefine/>
    <w:qFormat/>
    <w:uiPriority w:val="0"/>
    <w:rPr>
      <w:rFonts w:ascii="宋体" w:eastAsia="宋体"/>
      <w:snapToGrid w:val="0"/>
      <w:color w:val="000000"/>
      <w:kern w:val="28"/>
      <w:sz w:val="28"/>
      <w:lang w:val="en-US" w:eastAsia="zh-CN" w:bidi="ar-SA"/>
    </w:rPr>
  </w:style>
  <w:style w:type="character" w:customStyle="1" w:styleId="593">
    <w:name w:val="dectext1"/>
    <w:qFormat/>
    <w:uiPriority w:val="0"/>
    <w:rPr>
      <w:rFonts w:ascii="宋体" w:hAnsi="宋体" w:eastAsia="宋体"/>
      <w:color w:val="333333"/>
      <w:sz w:val="21"/>
      <w:szCs w:val="21"/>
      <w:u w:val="none"/>
    </w:rPr>
  </w:style>
  <w:style w:type="character" w:customStyle="1" w:styleId="594">
    <w:name w:val="副标题 Char1"/>
    <w:qFormat/>
    <w:uiPriority w:val="0"/>
    <w:rPr>
      <w:rFonts w:ascii="Cambria" w:hAnsi="Cambria" w:eastAsia="宋体" w:cs="Times New Roman"/>
      <w:b/>
      <w:bCs/>
      <w:snapToGrid w:val="0"/>
      <w:kern w:val="28"/>
      <w:sz w:val="32"/>
      <w:szCs w:val="32"/>
    </w:rPr>
  </w:style>
  <w:style w:type="character" w:customStyle="1" w:styleId="595">
    <w:name w:val="f141"/>
    <w:qFormat/>
    <w:uiPriority w:val="0"/>
    <w:rPr>
      <w:rFonts w:ascii="Tahoma" w:hAnsi="Tahoma" w:eastAsia="宋体"/>
      <w:b/>
      <w:kern w:val="2"/>
      <w:sz w:val="21"/>
      <w:szCs w:val="21"/>
      <w:lang w:val="en-US" w:eastAsia="zh-CN" w:bidi="ar-SA"/>
    </w:rPr>
  </w:style>
  <w:style w:type="character" w:customStyle="1" w:styleId="596">
    <w:name w:val="日期 Char"/>
    <w:link w:val="34"/>
    <w:qFormat/>
    <w:uiPriority w:val="0"/>
    <w:rPr>
      <w:rFonts w:ascii="宋体"/>
      <w:kern w:val="2"/>
      <w:sz w:val="24"/>
      <w:szCs w:val="21"/>
      <w:lang w:val="zh-CN"/>
    </w:rPr>
  </w:style>
  <w:style w:type="character" w:customStyle="1" w:styleId="597">
    <w:name w:val="标题 4 Char"/>
    <w:link w:val="5"/>
    <w:qFormat/>
    <w:uiPriority w:val="0"/>
    <w:rPr>
      <w:rFonts w:ascii="Arial" w:hAnsi="Arial" w:eastAsia="黑体"/>
      <w:b/>
      <w:bCs/>
      <w:kern w:val="2"/>
      <w:sz w:val="28"/>
      <w:szCs w:val="28"/>
      <w:lang w:val="zh-CN"/>
    </w:rPr>
  </w:style>
  <w:style w:type="character" w:customStyle="1" w:styleId="598">
    <w:name w:val="链接"/>
    <w:qFormat/>
    <w:uiPriority w:val="0"/>
    <w:rPr>
      <w:color w:val="0000FF"/>
      <w:sz w:val="21"/>
      <w:szCs w:val="21"/>
      <w:u w:val="single"/>
    </w:rPr>
  </w:style>
  <w:style w:type="character" w:customStyle="1" w:styleId="599">
    <w:name w:val="正文首行缩进 Char Char Char Char Char Char"/>
    <w:qFormat/>
    <w:uiPriority w:val="0"/>
    <w:rPr>
      <w:rFonts w:ascii="宋体" w:eastAsia="宋体"/>
      <w:kern w:val="2"/>
      <w:sz w:val="24"/>
      <w:lang w:val="zh-CN" w:bidi="ar-SA"/>
    </w:rPr>
  </w:style>
  <w:style w:type="character" w:customStyle="1" w:styleId="600">
    <w:name w:val="tw4winError"/>
    <w:qFormat/>
    <w:uiPriority w:val="0"/>
    <w:rPr>
      <w:rFonts w:ascii="Courier New" w:hAnsi="Courier New" w:cs="Courier New"/>
      <w:color w:val="00FF00"/>
      <w:sz w:val="40"/>
      <w:szCs w:val="40"/>
    </w:rPr>
  </w:style>
  <w:style w:type="character" w:customStyle="1" w:styleId="601">
    <w:name w:val="Used by Word for text of Help footnotes Char Char"/>
    <w:semiHidden/>
    <w:qFormat/>
    <w:uiPriority w:val="0"/>
    <w:rPr>
      <w:rFonts w:ascii="Times New Roman" w:hAnsi="Times New Roman" w:eastAsia="宋体" w:cs="Times New Roman"/>
      <w:sz w:val="20"/>
      <w:szCs w:val="20"/>
    </w:rPr>
  </w:style>
  <w:style w:type="character" w:customStyle="1" w:styleId="602">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603">
    <w:name w:val="表正文 Char"/>
    <w:qFormat/>
    <w:uiPriority w:val="0"/>
    <w:rPr>
      <w:rFonts w:ascii="宋体" w:eastAsia="宋体"/>
      <w:snapToGrid w:val="0"/>
      <w:color w:val="000000"/>
      <w:kern w:val="28"/>
      <w:sz w:val="28"/>
      <w:lang w:val="en-US" w:eastAsia="zh-CN" w:bidi="ar-SA"/>
    </w:rPr>
  </w:style>
  <w:style w:type="character" w:customStyle="1" w:styleId="604">
    <w:name w:val="普通文字 Char1 Char"/>
    <w:qFormat/>
    <w:uiPriority w:val="0"/>
    <w:rPr>
      <w:rFonts w:ascii="宋体" w:hAnsi="Courier New" w:eastAsia="宋体"/>
      <w:kern w:val="2"/>
      <w:sz w:val="21"/>
      <w:szCs w:val="24"/>
      <w:lang w:val="en-US" w:eastAsia="zh-CN" w:bidi="ar-SA"/>
    </w:rPr>
  </w:style>
  <w:style w:type="character" w:customStyle="1" w:styleId="605">
    <w:name w:val="pt9"/>
    <w:qFormat/>
    <w:uiPriority w:val="0"/>
    <w:rPr>
      <w:rFonts w:ascii="仿宋_GB2312" w:eastAsia="微软雅黑"/>
      <w:b/>
      <w:kern w:val="2"/>
      <w:sz w:val="32"/>
      <w:szCs w:val="32"/>
      <w:lang w:val="en-US" w:eastAsia="zh-CN" w:bidi="ar-SA"/>
    </w:rPr>
  </w:style>
  <w:style w:type="character" w:customStyle="1" w:styleId="606">
    <w:name w:val="large1"/>
    <w:qFormat/>
    <w:uiPriority w:val="0"/>
    <w:rPr>
      <w:rFonts w:hint="eastAsia" w:ascii="宋体" w:hAnsi="宋体" w:eastAsia="宋体"/>
      <w:sz w:val="21"/>
      <w:szCs w:val="21"/>
    </w:rPr>
  </w:style>
  <w:style w:type="character" w:customStyle="1" w:styleId="607">
    <w:name w:val="样式 样式 标题 4h4H4Fab-4T5Ref Heading 1rh1Heading sqlsect 1.2.3.... +... Char"/>
    <w:link w:val="168"/>
    <w:qFormat/>
    <w:uiPriority w:val="0"/>
    <w:rPr>
      <w:rFonts w:ascii="微软雅黑" w:hAnsi="微软雅黑" w:eastAsia="微软雅黑"/>
      <w:b/>
      <w:bCs/>
      <w:kern w:val="2"/>
      <w:sz w:val="24"/>
      <w:szCs w:val="28"/>
    </w:rPr>
  </w:style>
  <w:style w:type="character" w:customStyle="1" w:styleId="608">
    <w:name w:val="标题 4 Char1"/>
    <w:semiHidden/>
    <w:qFormat/>
    <w:uiPriority w:val="9"/>
    <w:rPr>
      <w:rFonts w:ascii="Cambria" w:hAnsi="Cambria" w:eastAsia="宋体" w:cs="Times New Roman"/>
      <w:b/>
      <w:bCs/>
      <w:kern w:val="2"/>
      <w:sz w:val="28"/>
      <w:szCs w:val="28"/>
    </w:rPr>
  </w:style>
  <w:style w:type="character" w:customStyle="1" w:styleId="609">
    <w:name w:val="tw4winPopup"/>
    <w:autoRedefine/>
    <w:qFormat/>
    <w:uiPriority w:val="0"/>
    <w:rPr>
      <w:rFonts w:ascii="Courier New" w:hAnsi="Courier New" w:cs="Courier New"/>
      <w:color w:val="008000"/>
    </w:rPr>
  </w:style>
  <w:style w:type="character" w:customStyle="1" w:styleId="610">
    <w:name w:val="标题 6 Char"/>
    <w:link w:val="7"/>
    <w:qFormat/>
    <w:uiPriority w:val="0"/>
    <w:rPr>
      <w:rFonts w:ascii="Arial" w:hAnsi="Arial" w:eastAsia="黑体"/>
      <w:b/>
      <w:bCs/>
      <w:kern w:val="2"/>
      <w:sz w:val="24"/>
      <w:szCs w:val="24"/>
    </w:rPr>
  </w:style>
  <w:style w:type="character" w:customStyle="1" w:styleId="611">
    <w:name w:val="正文缩进 Char2"/>
    <w:link w:val="15"/>
    <w:qFormat/>
    <w:uiPriority w:val="0"/>
    <w:rPr>
      <w:rFonts w:ascii="宋体" w:eastAsia="宋体"/>
      <w:snapToGrid w:val="0"/>
      <w:color w:val="000000"/>
      <w:kern w:val="28"/>
      <w:sz w:val="28"/>
      <w:lang w:val="en-US" w:eastAsia="zh-CN" w:bidi="ar-SA"/>
    </w:rPr>
  </w:style>
  <w:style w:type="character" w:customStyle="1" w:styleId="612">
    <w:name w:val="批注文字 Char1"/>
    <w:link w:val="19"/>
    <w:qFormat/>
    <w:uiPriority w:val="99"/>
    <w:rPr>
      <w:kern w:val="2"/>
      <w:sz w:val="21"/>
      <w:szCs w:val="24"/>
    </w:rPr>
  </w:style>
  <w:style w:type="character" w:customStyle="1" w:styleId="613">
    <w:name w:val="批注框文本 Char"/>
    <w:link w:val="36"/>
    <w:semiHidden/>
    <w:qFormat/>
    <w:uiPriority w:val="0"/>
    <w:rPr>
      <w:kern w:val="2"/>
      <w:sz w:val="18"/>
      <w:szCs w:val="18"/>
    </w:rPr>
  </w:style>
  <w:style w:type="character" w:customStyle="1" w:styleId="614">
    <w:name w:val="Footer Char"/>
    <w:qFormat/>
    <w:locked/>
    <w:uiPriority w:val="0"/>
    <w:rPr>
      <w:rFonts w:eastAsia="宋体"/>
      <w:kern w:val="2"/>
      <w:sz w:val="18"/>
      <w:lang w:val="en-US" w:eastAsia="zh-CN" w:bidi="ar-SA"/>
    </w:rPr>
  </w:style>
  <w:style w:type="paragraph" w:customStyle="1" w:styleId="615">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616">
    <w:name w:val="索引 11"/>
    <w:basedOn w:val="1"/>
    <w:next w:val="1"/>
    <w:qFormat/>
    <w:uiPriority w:val="0"/>
    <w:pPr>
      <w:adjustRightInd/>
      <w:spacing w:line="360" w:lineRule="auto"/>
    </w:pPr>
    <w:rPr>
      <w:rFonts w:ascii="仿宋_GB2312" w:eastAsia="仿宋_GB2312"/>
      <w:sz w:val="24"/>
      <w:szCs w:val="20"/>
    </w:rPr>
  </w:style>
  <w:style w:type="paragraph" w:customStyle="1" w:styleId="617">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618">
    <w:name w:val="纯文本_0_0"/>
    <w:basedOn w:val="1"/>
    <w:link w:val="619"/>
    <w:qFormat/>
    <w:uiPriority w:val="0"/>
    <w:pPr>
      <w:adjustRightInd/>
    </w:pPr>
    <w:rPr>
      <w:rFonts w:ascii="宋体" w:hAnsi="Courier New"/>
      <w:szCs w:val="21"/>
    </w:rPr>
  </w:style>
  <w:style w:type="character" w:customStyle="1" w:styleId="619">
    <w:name w:val="纯文本 Char_0"/>
    <w:link w:val="618"/>
    <w:qFormat/>
    <w:uiPriority w:val="0"/>
    <w:rPr>
      <w:rFonts w:ascii="宋体" w:hAnsi="Courier New"/>
      <w:kern w:val="2"/>
      <w:sz w:val="21"/>
      <w:szCs w:val="21"/>
      <w:lang w:val="en-US" w:eastAsia="zh-CN"/>
    </w:rPr>
  </w:style>
  <w:style w:type="character" w:customStyle="1" w:styleId="620">
    <w:name w:val="纯文本 Char1"/>
    <w:link w:val="621"/>
    <w:qFormat/>
    <w:uiPriority w:val="0"/>
    <w:rPr>
      <w:rFonts w:ascii="宋体" w:hAnsi="Courier New"/>
    </w:rPr>
  </w:style>
  <w:style w:type="paragraph" w:customStyle="1" w:styleId="621">
    <w:name w:val="纯文本1"/>
    <w:basedOn w:val="1"/>
    <w:link w:val="620"/>
    <w:qFormat/>
    <w:uiPriority w:val="0"/>
    <w:pPr>
      <w:adjustRightInd/>
    </w:pPr>
    <w:rPr>
      <w:rFonts w:ascii="宋体" w:hAnsi="Courier New"/>
      <w:kern w:val="0"/>
      <w:sz w:val="20"/>
      <w:szCs w:val="20"/>
    </w:rPr>
  </w:style>
  <w:style w:type="paragraph" w:customStyle="1" w:styleId="622">
    <w:name w:val="Char Char Char Char Char Char Char2"/>
    <w:basedOn w:val="1"/>
    <w:qFormat/>
    <w:uiPriority w:val="0"/>
    <w:rPr>
      <w:rFonts w:ascii="仿宋_GB2312" w:eastAsia="仿宋_GB2312"/>
      <w:b/>
      <w:sz w:val="32"/>
      <w:szCs w:val="32"/>
    </w:rPr>
  </w:style>
  <w:style w:type="paragraph" w:customStyle="1" w:styleId="623">
    <w:name w:val="Char Char1 Char Char Char Char Char Char2"/>
    <w:basedOn w:val="1"/>
    <w:qFormat/>
    <w:uiPriority w:val="0"/>
    <w:rPr>
      <w:rFonts w:ascii="仿宋_GB2312" w:eastAsia="仿宋_GB2312"/>
      <w:b/>
      <w:sz w:val="32"/>
      <w:szCs w:val="20"/>
    </w:rPr>
  </w:style>
  <w:style w:type="paragraph" w:customStyle="1" w:styleId="624">
    <w:name w:val="修订1"/>
    <w:autoRedefine/>
    <w:hidden/>
    <w:unhideWhenUsed/>
    <w:qFormat/>
    <w:uiPriority w:val="99"/>
    <w:rPr>
      <w:rFonts w:ascii="Times New Roman" w:hAnsi="Times New Roman" w:eastAsia="宋体" w:cs="Times New Roman"/>
      <w:kern w:val="2"/>
      <w:sz w:val="21"/>
      <w:szCs w:val="24"/>
      <w:lang w:val="en-US" w:eastAsia="zh-CN" w:bidi="ar-SA"/>
    </w:rPr>
  </w:style>
  <w:style w:type="character" w:customStyle="1" w:styleId="625">
    <w:name w:val="Default Char"/>
    <w:link w:val="98"/>
    <w:autoRedefine/>
    <w:qFormat/>
    <w:uiPriority w:val="0"/>
    <w:rPr>
      <w:rFonts w:ascii="仿宋_GB2312" w:eastAsia="仿宋_GB2312" w:cs="仿宋_GB2312"/>
      <w:color w:val="000000"/>
      <w:sz w:val="24"/>
      <w:szCs w:val="24"/>
    </w:rPr>
  </w:style>
  <w:style w:type="paragraph" w:customStyle="1" w:styleId="626">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character" w:customStyle="1" w:styleId="627">
    <w:name w:val="font61"/>
    <w:basedOn w:val="62"/>
    <w:qFormat/>
    <w:uiPriority w:val="0"/>
    <w:rPr>
      <w:rFonts w:hint="eastAsia" w:ascii="仿宋" w:hAnsi="仿宋" w:eastAsia="仿宋" w:cs="仿宋"/>
      <w:snapToGrid w:val="0"/>
      <w:color w:val="000000"/>
      <w:kern w:val="0"/>
      <w:sz w:val="20"/>
      <w:szCs w:val="20"/>
      <w:u w:val="none"/>
    </w:rPr>
  </w:style>
  <w:style w:type="character" w:customStyle="1" w:styleId="628">
    <w:name w:val="font11"/>
    <w:basedOn w:val="62"/>
    <w:qFormat/>
    <w:uiPriority w:val="0"/>
    <w:rPr>
      <w:rFonts w:hint="default" w:ascii="Times New Roman" w:hAnsi="Times New Roman" w:eastAsia="黑体" w:cs="Times New Roman"/>
      <w:snapToGrid w:val="0"/>
      <w:color w:val="000000"/>
      <w:kern w:val="0"/>
      <w:sz w:val="22"/>
      <w:szCs w:val="22"/>
      <w:u w:val="none"/>
    </w:rPr>
  </w:style>
  <w:style w:type="paragraph" w:customStyle="1" w:styleId="62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theme" Target="theme/theme1.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78</Pages>
  <Words>18307</Words>
  <Characters>19357</Characters>
  <Lines>379</Lines>
  <Paragraphs>106</Paragraphs>
  <TotalTime>2</TotalTime>
  <ScaleCrop>false</ScaleCrop>
  <LinksUpToDate>false</LinksUpToDate>
  <CharactersWithSpaces>19739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2015-04-27T09:52:00Z</dcterms:created>
  <dc:creator>玥</dc:creator>
  <cp:lastModifiedBy>Administrator</cp:lastModifiedBy>
  <cp:lastPrinted>2021-10-22T18:37:00Z</cp:lastPrinted>
  <dcterms:modified xsi:type="dcterms:W3CDTF">2025-03-17T08:55:22Z</dcterms:modified>
  <dc:title>杭州市市民卡扩大发卡工程</dc:title>
  <cp:revision>450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4461AEC813B840B590A5C7FF1CFDF5EC_13</vt:lpwstr>
  </property>
  <property fmtid="{D5CDD505-2E9C-101B-9397-08002B2CF9AE}" pid="4" name="KSOTemplateDocerSaveRecord">
    <vt:lpwstr>eyJoZGlkIjoiODU0MThlNzhlOWFjOTQ1YjVkNTlhNjZiNzkxMmE0ZDUiLCJ1c2VySWQiOiI0NDU1Mzg2NTEifQ==</vt:lpwstr>
  </property>
</Properties>
</file>