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600" w:lineRule="exact"/>
        <w:rPr>
          <w:rFonts w:asciiTheme="minorHAnsi" w:hAnsiTheme="minorHAnsi"/>
          <w:color w:val="auto"/>
          <w:spacing w:val="-28"/>
          <w:sz w:val="48"/>
          <w:szCs w:val="48"/>
          <w:highlight w:val="none"/>
        </w:rPr>
      </w:pPr>
    </w:p>
    <w:p>
      <w:pPr>
        <w:jc w:val="center"/>
        <w:rPr>
          <w:b/>
          <w:color w:val="auto"/>
          <w:spacing w:val="-16"/>
          <w:sz w:val="52"/>
          <w:szCs w:val="52"/>
          <w:highlight w:val="none"/>
        </w:rPr>
      </w:pPr>
      <w:r>
        <w:rPr>
          <w:rFonts w:hint="eastAsia"/>
          <w:color w:val="auto"/>
          <w:spacing w:val="-28"/>
          <w:sz w:val="48"/>
          <w:szCs w:val="48"/>
          <w:highlight w:val="none"/>
          <w:lang w:eastAsia="zh-CN"/>
        </w:rPr>
        <w:t>2024年度嘉兴港区不动产档案电子化项目</w:t>
      </w:r>
      <w:r>
        <w:rPr>
          <w:rFonts w:hint="eastAsia"/>
          <w:b/>
          <w:color w:val="auto"/>
          <w:spacing w:val="-28"/>
          <w:sz w:val="48"/>
          <w:szCs w:val="48"/>
          <w:highlight w:val="none"/>
        </w:rPr>
        <w:t xml:space="preserve"> </w:t>
      </w:r>
    </w:p>
    <w:p>
      <w:pPr>
        <w:pStyle w:val="37"/>
        <w:widowControl w:val="0"/>
        <w:snapToGrid w:val="0"/>
        <w:spacing w:line="470" w:lineRule="atLeast"/>
        <w:ind w:firstLine="0"/>
        <w:jc w:val="center"/>
        <w:rPr>
          <w:rFonts w:ascii="黑体" w:hAnsi="宋体" w:eastAsia="黑体" w:cs="Angsana New"/>
          <w:b w:val="0"/>
          <w:snapToGrid w:val="0"/>
          <w:color w:val="auto"/>
          <w:spacing w:val="40"/>
          <w:w w:val="80"/>
          <w:sz w:val="72"/>
          <w:szCs w:val="72"/>
          <w:highlight w:val="none"/>
          <w:lang w:bidi="th-TH"/>
        </w:rPr>
      </w:pPr>
    </w:p>
    <w:p>
      <w:pPr>
        <w:pStyle w:val="37"/>
        <w:widowControl w:val="0"/>
        <w:snapToGrid w:val="0"/>
        <w:spacing w:line="470" w:lineRule="atLeast"/>
        <w:ind w:firstLine="0"/>
        <w:jc w:val="center"/>
        <w:rPr>
          <w:rFonts w:ascii="黑体" w:eastAsia="黑体"/>
          <w:b w:val="0"/>
          <w:color w:val="auto"/>
          <w:sz w:val="72"/>
          <w:highlight w:val="none"/>
        </w:rPr>
      </w:pPr>
      <w:r>
        <w:rPr>
          <w:rFonts w:hint="eastAsia" w:ascii="黑体" w:hAnsi="宋体" w:eastAsia="黑体" w:cs="Angsana New"/>
          <w:b w:val="0"/>
          <w:snapToGrid w:val="0"/>
          <w:color w:val="auto"/>
          <w:spacing w:val="40"/>
          <w:w w:val="80"/>
          <w:sz w:val="72"/>
          <w:szCs w:val="72"/>
          <w:highlight w:val="none"/>
          <w:lang w:bidi="th-TH"/>
        </w:rPr>
        <w:t>竞争性磋商文件</w:t>
      </w:r>
    </w:p>
    <w:p>
      <w:pPr>
        <w:pStyle w:val="37"/>
        <w:widowControl w:val="0"/>
        <w:snapToGrid w:val="0"/>
        <w:spacing w:line="470" w:lineRule="atLeast"/>
        <w:ind w:firstLine="0"/>
        <w:jc w:val="center"/>
        <w:rPr>
          <w:rFonts w:ascii="黑体" w:hAnsi="宋体" w:eastAsia="黑体"/>
          <w:b w:val="0"/>
          <w:color w:val="auto"/>
          <w:sz w:val="32"/>
          <w:highlight w:val="none"/>
        </w:rPr>
      </w:pPr>
    </w:p>
    <w:p>
      <w:pPr>
        <w:pStyle w:val="37"/>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2"/>
          <w:highlight w:val="none"/>
        </w:rPr>
        <w:t>（电子招标）</w:t>
      </w:r>
    </w:p>
    <w:p>
      <w:pPr>
        <w:pStyle w:val="37"/>
        <w:widowControl w:val="0"/>
        <w:snapToGrid w:val="0"/>
        <w:spacing w:line="360" w:lineRule="auto"/>
        <w:ind w:firstLine="2400" w:firstLineChars="750"/>
        <w:rPr>
          <w:rFonts w:ascii="黑体" w:hAnsi="宋体" w:eastAsia="黑体"/>
          <w:b w:val="0"/>
          <w:color w:val="auto"/>
          <w:sz w:val="32"/>
          <w:highlight w:val="none"/>
          <w:u w:val="single"/>
        </w:rPr>
      </w:pPr>
    </w:p>
    <w:p>
      <w:pPr>
        <w:pStyle w:val="37"/>
        <w:widowControl w:val="0"/>
        <w:snapToGrid w:val="0"/>
        <w:spacing w:line="470" w:lineRule="atLeast"/>
        <w:ind w:firstLine="0"/>
        <w:jc w:val="center"/>
        <w:rPr>
          <w:color w:val="auto"/>
          <w:highlight w:val="none"/>
        </w:rPr>
      </w:pPr>
    </w:p>
    <w:p>
      <w:pPr>
        <w:pStyle w:val="37"/>
        <w:widowControl w:val="0"/>
        <w:snapToGrid w:val="0"/>
        <w:spacing w:line="470" w:lineRule="atLeast"/>
        <w:ind w:firstLine="0"/>
        <w:jc w:val="center"/>
        <w:rPr>
          <w:color w:val="auto"/>
          <w:highlight w:val="none"/>
        </w:rPr>
      </w:pPr>
    </w:p>
    <w:p>
      <w:pPr>
        <w:pStyle w:val="37"/>
        <w:spacing w:line="700" w:lineRule="exact"/>
        <w:ind w:firstLine="360" w:firstLineChars="100"/>
        <w:rPr>
          <w:rFonts w:eastAsia="黑体"/>
          <w:b w:val="0"/>
          <w:color w:val="auto"/>
          <w:sz w:val="36"/>
          <w:highlight w:val="none"/>
        </w:rPr>
      </w:pPr>
    </w:p>
    <w:p>
      <w:pPr>
        <w:pStyle w:val="37"/>
        <w:spacing w:line="700" w:lineRule="exact"/>
        <w:ind w:firstLine="360" w:firstLineChars="100"/>
        <w:rPr>
          <w:rFonts w:eastAsia="黑体"/>
          <w:b w:val="0"/>
          <w:color w:val="auto"/>
          <w:sz w:val="36"/>
          <w:highlight w:val="none"/>
        </w:rPr>
      </w:pPr>
    </w:p>
    <w:p>
      <w:pPr>
        <w:pStyle w:val="37"/>
        <w:spacing w:line="700" w:lineRule="exact"/>
        <w:ind w:firstLine="360" w:firstLineChars="100"/>
        <w:rPr>
          <w:rFonts w:eastAsia="黑体"/>
          <w:b w:val="0"/>
          <w:color w:val="auto"/>
          <w:sz w:val="36"/>
          <w:highlight w:val="none"/>
        </w:rPr>
      </w:pPr>
    </w:p>
    <w:p>
      <w:pPr>
        <w:pStyle w:val="37"/>
        <w:spacing w:line="700" w:lineRule="exact"/>
        <w:ind w:firstLine="360" w:firstLineChars="100"/>
        <w:rPr>
          <w:rFonts w:eastAsia="黑体"/>
          <w:b w:val="0"/>
          <w:color w:val="auto"/>
          <w:sz w:val="36"/>
          <w:highlight w:val="none"/>
        </w:rPr>
      </w:pPr>
    </w:p>
    <w:p>
      <w:pPr>
        <w:pStyle w:val="37"/>
        <w:spacing w:line="700" w:lineRule="exact"/>
        <w:ind w:firstLine="360" w:firstLineChars="100"/>
        <w:rPr>
          <w:rFonts w:eastAsia="黑体"/>
          <w:b w:val="0"/>
          <w:color w:val="auto"/>
          <w:sz w:val="36"/>
          <w:highlight w:val="none"/>
        </w:rPr>
      </w:pPr>
    </w:p>
    <w:p>
      <w:pPr>
        <w:pStyle w:val="13"/>
        <w:snapToGrid w:val="0"/>
        <w:spacing w:line="600" w:lineRule="exact"/>
        <w:ind w:firstLine="627" w:firstLineChars="196"/>
        <w:rPr>
          <w:rFonts w:hint="eastAsia" w:hAnsi="宋体" w:eastAsiaTheme="minorEastAsia"/>
          <w:b/>
          <w:bCs/>
          <w:color w:val="auto"/>
          <w:sz w:val="32"/>
          <w:szCs w:val="32"/>
          <w:highlight w:val="none"/>
          <w:lang w:val="en-US" w:eastAsia="zh-CN"/>
        </w:rPr>
      </w:pPr>
      <w:r>
        <w:rPr>
          <w:rFonts w:hAnsi="宋体"/>
          <w:b/>
          <w:bCs/>
          <w:color w:val="auto"/>
          <w:sz w:val="32"/>
          <w:szCs w:val="32"/>
          <w:highlight w:val="none"/>
        </w:rPr>
        <w:t>项目编号：</w:t>
      </w:r>
      <w:r>
        <w:rPr>
          <w:rFonts w:hint="eastAsia" w:hAnsi="宋体"/>
          <w:b/>
          <w:bCs/>
          <w:color w:val="auto"/>
          <w:sz w:val="32"/>
          <w:szCs w:val="32"/>
          <w:highlight w:val="none"/>
          <w:lang w:eastAsia="zh-CN"/>
        </w:rPr>
        <w:t>JXYJZFCG-2024-21</w:t>
      </w:r>
    </w:p>
    <w:p>
      <w:pPr>
        <w:pStyle w:val="13"/>
        <w:snapToGrid w:val="0"/>
        <w:spacing w:line="600" w:lineRule="exact"/>
        <w:ind w:left="2360" w:leftChars="286" w:hanging="1760" w:hangingChars="550"/>
        <w:rPr>
          <w:rFonts w:hAnsi="宋体"/>
          <w:b/>
          <w:bCs/>
          <w:color w:val="auto"/>
          <w:sz w:val="32"/>
          <w:szCs w:val="32"/>
          <w:highlight w:val="none"/>
        </w:rPr>
      </w:pPr>
      <w:r>
        <w:rPr>
          <w:rFonts w:hAnsi="宋体"/>
          <w:b/>
          <w:bCs/>
          <w:color w:val="auto"/>
          <w:sz w:val="32"/>
          <w:szCs w:val="32"/>
          <w:highlight w:val="none"/>
        </w:rPr>
        <w:t>采购单位：</w:t>
      </w:r>
      <w:r>
        <w:rPr>
          <w:rFonts w:hint="eastAsia" w:hAnsi="宋体"/>
          <w:b/>
          <w:bCs/>
          <w:color w:val="auto"/>
          <w:sz w:val="32"/>
          <w:szCs w:val="32"/>
          <w:highlight w:val="none"/>
          <w:lang w:eastAsia="zh-CN"/>
        </w:rPr>
        <w:t>浙江乍浦经济开发区（嘉兴港区）管理委员会</w:t>
      </w:r>
      <w:r>
        <w:rPr>
          <w:rFonts w:hint="eastAsia" w:hAnsi="宋体"/>
          <w:b/>
          <w:bCs/>
          <w:color w:val="auto"/>
          <w:sz w:val="32"/>
          <w:szCs w:val="32"/>
          <w:highlight w:val="none"/>
        </w:rPr>
        <w:t xml:space="preserve"> </w:t>
      </w:r>
    </w:p>
    <w:p>
      <w:pPr>
        <w:pStyle w:val="13"/>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采购代理单位</w:t>
      </w:r>
      <w:r>
        <w:rPr>
          <w:rFonts w:hAnsi="宋体"/>
          <w:b/>
          <w:bCs/>
          <w:color w:val="auto"/>
          <w:sz w:val="32"/>
          <w:szCs w:val="32"/>
          <w:highlight w:val="none"/>
        </w:rPr>
        <w:t>：</w:t>
      </w:r>
      <w:r>
        <w:rPr>
          <w:rFonts w:hint="eastAsia" w:hAnsi="宋体"/>
          <w:b/>
          <w:bCs/>
          <w:color w:val="auto"/>
          <w:sz w:val="32"/>
          <w:szCs w:val="32"/>
          <w:highlight w:val="none"/>
        </w:rPr>
        <w:t>嘉兴市银建工程咨询评估有限公司</w:t>
      </w:r>
    </w:p>
    <w:p>
      <w:pPr>
        <w:pStyle w:val="37"/>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4" w:type="default"/>
          <w:footerReference r:id="rId6" w:type="default"/>
          <w:footerReference r:id="rId7" w:type="even"/>
          <w:pgSz w:w="11906" w:h="16838"/>
          <w:pgMar w:top="1502" w:right="1416" w:bottom="1644" w:left="1797"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r>
        <w:rPr>
          <w:rFonts w:hint="eastAsia" w:ascii="宋体" w:hAnsi="宋体"/>
          <w:bCs/>
          <w:color w:val="auto"/>
          <w:sz w:val="32"/>
          <w:szCs w:val="32"/>
          <w:highlight w:val="none"/>
        </w:rPr>
        <w:t>编制日期：202</w:t>
      </w:r>
      <w:r>
        <w:rPr>
          <w:rFonts w:hint="eastAsia" w:ascii="宋体" w:hAnsi="宋体"/>
          <w:bCs/>
          <w:color w:val="auto"/>
          <w:sz w:val="32"/>
          <w:szCs w:val="32"/>
          <w:highlight w:val="none"/>
          <w:lang w:val="en-US" w:eastAsia="zh-CN"/>
        </w:rPr>
        <w:t>4</w:t>
      </w:r>
      <w:r>
        <w:rPr>
          <w:rFonts w:hint="eastAsia" w:ascii="宋体" w:hAnsi="宋体"/>
          <w:bCs/>
          <w:color w:val="auto"/>
          <w:sz w:val="32"/>
          <w:szCs w:val="32"/>
          <w:highlight w:val="none"/>
        </w:rPr>
        <w:t>年</w:t>
      </w:r>
      <w:r>
        <w:rPr>
          <w:rFonts w:hint="eastAsia" w:ascii="宋体" w:hAnsi="宋体"/>
          <w:bCs/>
          <w:color w:val="auto"/>
          <w:sz w:val="32"/>
          <w:szCs w:val="32"/>
          <w:highlight w:val="none"/>
          <w:lang w:val="en-US" w:eastAsia="zh-CN"/>
        </w:rPr>
        <w:t>6</w:t>
      </w:r>
      <w:r>
        <w:rPr>
          <w:rFonts w:hint="eastAsia" w:ascii="宋体" w:hAnsi="宋体"/>
          <w:bCs/>
          <w:color w:val="auto"/>
          <w:sz w:val="32"/>
          <w:szCs w:val="32"/>
          <w:highlight w:val="none"/>
        </w:rPr>
        <w:t>月</w:t>
      </w:r>
      <w:r>
        <w:rPr>
          <w:rFonts w:hint="eastAsia" w:ascii="宋体" w:hAnsi="宋体"/>
          <w:bCs/>
          <w:color w:val="auto"/>
          <w:sz w:val="32"/>
          <w:szCs w:val="32"/>
          <w:highlight w:val="none"/>
          <w:lang w:val="en-US" w:eastAsia="zh-CN"/>
        </w:rPr>
        <w:t xml:space="preserve"> </w:t>
      </w:r>
    </w:p>
    <w:p>
      <w:pPr>
        <w:pStyle w:val="37"/>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pPr>
        <w:pStyle w:val="37"/>
        <w:widowControl w:val="0"/>
        <w:snapToGrid w:val="0"/>
        <w:spacing w:line="442" w:lineRule="atLeast"/>
        <w:ind w:right="-176" w:rightChars="-84" w:firstLine="0"/>
        <w:jc w:val="center"/>
        <w:rPr>
          <w:rFonts w:ascii="宋体" w:hAnsi="宋体"/>
          <w:color w:val="auto"/>
          <w:sz w:val="32"/>
          <w:highlight w:val="none"/>
        </w:rPr>
      </w:pPr>
    </w:p>
    <w:p>
      <w:pPr>
        <w:pStyle w:val="18"/>
        <w:tabs>
          <w:tab w:val="right" w:leader="dot" w:pos="8300"/>
        </w:tabs>
        <w:ind w:firstLine="120"/>
        <w:rPr>
          <w:color w:val="auto"/>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color w:val="auto"/>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_Toc24483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8"/>
        <w:tabs>
          <w:tab w:val="right" w:leader="dot" w:pos="8300"/>
        </w:tabs>
        <w:rPr>
          <w:color w:val="auto"/>
          <w:highlight w:val="none"/>
        </w:rPr>
      </w:pPr>
      <w:r>
        <w:rPr>
          <w:color w:val="auto"/>
          <w:highlight w:val="none"/>
        </w:rPr>
        <w:fldChar w:fldCharType="begin"/>
      </w:r>
      <w:r>
        <w:rPr>
          <w:color w:val="auto"/>
          <w:highlight w:val="none"/>
        </w:rPr>
        <w:instrText xml:space="preserve"> HYPERLINK \l "_Toc9234" </w:instrText>
      </w:r>
      <w:r>
        <w:rPr>
          <w:color w:val="auto"/>
          <w:highlight w:val="none"/>
        </w:rPr>
        <w:fldChar w:fldCharType="separate"/>
      </w:r>
      <w:r>
        <w:rPr>
          <w:rFonts w:hint="eastAsia"/>
          <w:color w:val="auto"/>
          <w:highlight w:val="none"/>
        </w:rPr>
        <w:t>第二部分   磋商须知</w:t>
      </w:r>
      <w:r>
        <w:rPr>
          <w:color w:val="auto"/>
          <w:highlight w:val="none"/>
        </w:rPr>
        <w:tab/>
      </w:r>
      <w:r>
        <w:rPr>
          <w:color w:val="auto"/>
          <w:highlight w:val="none"/>
        </w:rPr>
        <w:fldChar w:fldCharType="begin"/>
      </w:r>
      <w:r>
        <w:rPr>
          <w:color w:val="auto"/>
          <w:highlight w:val="none"/>
        </w:rPr>
        <w:instrText xml:space="preserve"> PAGEREF _Toc9234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8300"/>
        </w:tabs>
        <w:rPr>
          <w:color w:val="auto"/>
          <w:highlight w:val="none"/>
        </w:rPr>
      </w:pPr>
      <w:r>
        <w:rPr>
          <w:color w:val="auto"/>
          <w:highlight w:val="none"/>
        </w:rPr>
        <w:fldChar w:fldCharType="begin"/>
      </w:r>
      <w:r>
        <w:rPr>
          <w:color w:val="auto"/>
          <w:highlight w:val="none"/>
        </w:rPr>
        <w:instrText xml:space="preserve"> HYPERLINK \l "_Toc30854" </w:instrText>
      </w:r>
      <w:r>
        <w:rPr>
          <w:color w:val="auto"/>
          <w:highlight w:val="none"/>
        </w:rPr>
        <w:fldChar w:fldCharType="separate"/>
      </w:r>
      <w:r>
        <w:rPr>
          <w:rFonts w:hint="eastAsia"/>
          <w:color w:val="auto"/>
          <w:highlight w:val="none"/>
        </w:rPr>
        <w:t>第三部分 用户需求书</w:t>
      </w:r>
      <w:r>
        <w:rPr>
          <w:color w:val="auto"/>
          <w:highlight w:val="none"/>
        </w:rPr>
        <w:tab/>
      </w:r>
      <w:r>
        <w:rPr>
          <w:color w:val="auto"/>
          <w:highlight w:val="none"/>
        </w:rPr>
        <w:fldChar w:fldCharType="begin"/>
      </w:r>
      <w:r>
        <w:rPr>
          <w:color w:val="auto"/>
          <w:highlight w:val="none"/>
        </w:rPr>
        <w:instrText xml:space="preserve"> PAGEREF _Toc30854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8"/>
        <w:tabs>
          <w:tab w:val="right" w:leader="dot" w:pos="830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"_Toc30854" </w:instrText>
      </w:r>
      <w:r>
        <w:rPr>
          <w:color w:val="auto"/>
          <w:highlight w:val="none"/>
        </w:rPr>
        <w:fldChar w:fldCharType="separate"/>
      </w:r>
      <w:r>
        <w:rPr>
          <w:rFonts w:hint="eastAsia"/>
          <w:color w:val="auto"/>
          <w:highlight w:val="none"/>
        </w:rPr>
        <w:t>第四部分 合同条款</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lang w:val="en-US" w:eastAsia="zh-CN"/>
        </w:rPr>
        <w:t>9</w:t>
      </w:r>
    </w:p>
    <w:p>
      <w:pPr>
        <w:pStyle w:val="18"/>
        <w:tabs>
          <w:tab w:val="right" w:leader="dot" w:pos="8300"/>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"_Toc8138" </w:instrText>
      </w:r>
      <w:r>
        <w:rPr>
          <w:color w:val="auto"/>
          <w:highlight w:val="none"/>
        </w:rPr>
        <w:fldChar w:fldCharType="separate"/>
      </w:r>
      <w:r>
        <w:rPr>
          <w:rFonts w:hint="eastAsia"/>
          <w:color w:val="auto"/>
          <w:highlight w:val="none"/>
        </w:rPr>
        <w:t>第五部分 附件(响应文件格式)</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1</w:t>
      </w:r>
    </w:p>
    <w:p>
      <w:pPr>
        <w:pStyle w:val="18"/>
        <w:tabs>
          <w:tab w:val="right" w:leader="dot" w:pos="830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"_Toc9976" </w:instrText>
      </w:r>
      <w:r>
        <w:rPr>
          <w:color w:val="auto"/>
          <w:highlight w:val="none"/>
        </w:rPr>
        <w:fldChar w:fldCharType="separate"/>
      </w:r>
      <w:r>
        <w:rPr>
          <w:rFonts w:hint="eastAsia" w:cs="宋体"/>
          <w:color w:val="auto"/>
          <w:szCs w:val="30"/>
          <w:highlight w:val="none"/>
        </w:rPr>
        <w:t>第六部分   其它</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4</w:t>
      </w:r>
    </w:p>
    <w:p>
      <w:pPr>
        <w:pStyle w:val="2"/>
        <w:tabs>
          <w:tab w:val="right" w:leader="dot" w:pos="9000"/>
        </w:tabs>
        <w:snapToGrid w:val="0"/>
        <w:spacing w:before="0" w:after="0"/>
        <w:rPr>
          <w:rFonts w:ascii="宋体" w:hAnsi="宋体" w:eastAsia="宋体"/>
          <w:color w:val="auto"/>
          <w:sz w:val="32"/>
          <w:highlight w:val="none"/>
        </w:rPr>
      </w:pPr>
      <w:r>
        <w:rPr>
          <w:rFonts w:ascii="宋体" w:hAnsi="宋体" w:eastAsia="宋体"/>
          <w:color w:val="auto"/>
          <w:highlight w:val="none"/>
        </w:rPr>
        <w:fldChar w:fldCharType="end"/>
      </w:r>
    </w:p>
    <w:p>
      <w:pPr>
        <w:widowControl/>
        <w:jc w:val="left"/>
        <w:rPr>
          <w:rFonts w:ascii="宋体" w:hAnsi="宋体" w:eastAsia="宋体"/>
          <w:b/>
          <w:color w:val="auto"/>
          <w:kern w:val="44"/>
          <w:sz w:val="32"/>
          <w:highlight w:val="none"/>
        </w:rPr>
      </w:pPr>
      <w:r>
        <w:rPr>
          <w:rFonts w:ascii="宋体" w:hAnsi="宋体" w:eastAsia="宋体"/>
          <w:color w:val="auto"/>
          <w:sz w:val="32"/>
          <w:highlight w:val="none"/>
        </w:rPr>
        <w:br w:type="page"/>
      </w:r>
    </w:p>
    <w:p>
      <w:pPr>
        <w:pStyle w:val="2"/>
        <w:tabs>
          <w:tab w:val="right" w:leader="dot" w:pos="9000"/>
        </w:tabs>
        <w:snapToGrid w:val="0"/>
        <w:spacing w:before="0" w:after="0"/>
        <w:rPr>
          <w:rFonts w:hint="eastAsia" w:ascii="宋体" w:hAnsi="宋体" w:eastAsia="宋体"/>
          <w:color w:val="auto"/>
          <w:sz w:val="32"/>
          <w:highlight w:val="none"/>
        </w:rPr>
      </w:pPr>
      <w:bookmarkStart w:id="2" w:name="_Toc24483"/>
      <w:r>
        <w:rPr>
          <w:rFonts w:hint="eastAsia" w:ascii="宋体" w:hAnsi="宋体" w:eastAsia="宋体"/>
          <w:color w:val="auto"/>
          <w:sz w:val="32"/>
          <w:highlight w:val="none"/>
        </w:rPr>
        <w:t>第一部分</w:t>
      </w:r>
      <w:bookmarkEnd w:id="0"/>
      <w:r>
        <w:rPr>
          <w:rFonts w:hint="eastAsia" w:ascii="宋体" w:hAnsi="宋体" w:eastAsia="宋体"/>
          <w:color w:val="auto"/>
          <w:sz w:val="32"/>
          <w:highlight w:val="none"/>
        </w:rPr>
        <w:t xml:space="preserve"> 竞争性磋商公告</w:t>
      </w:r>
      <w:bookmarkEnd w:id="1"/>
      <w:bookmarkEnd w:id="2"/>
    </w:p>
    <w:p>
      <w:pPr>
        <w:pStyle w:val="23"/>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150" w:afterAutospacing="0" w:line="240" w:lineRule="auto"/>
        <w:jc w:val="left"/>
        <w:rPr>
          <w:color w:val="auto"/>
          <w:highlight w:val="none"/>
        </w:rPr>
      </w:pPr>
      <w:r>
        <w:rPr>
          <w:rFonts w:ascii="仿宋" w:hAnsi="仿宋" w:eastAsia="仿宋" w:cs="仿宋"/>
          <w:i w:val="0"/>
          <w:iCs w:val="0"/>
          <w:caps w:val="0"/>
          <w:color w:val="auto"/>
          <w:spacing w:val="0"/>
          <w:sz w:val="27"/>
          <w:szCs w:val="27"/>
          <w:highlight w:val="none"/>
        </w:rPr>
        <w:t>项目概况</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Autospacing="0" w:line="240" w:lineRule="auto"/>
        <w:jc w:val="lef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lang w:eastAsia="zh-CN"/>
        </w:rPr>
        <w:t>2024年度嘉兴港区不动产档案电子化项目</w:t>
      </w:r>
      <w:r>
        <w:rPr>
          <w:rFonts w:hint="eastAsia" w:ascii="仿宋" w:hAnsi="仿宋" w:eastAsia="仿宋" w:cs="仿宋"/>
          <w:i w:val="0"/>
          <w:iCs w:val="0"/>
          <w:caps w:val="0"/>
          <w:color w:val="auto"/>
          <w:spacing w:val="0"/>
          <w:sz w:val="27"/>
          <w:szCs w:val="27"/>
          <w:highlight w:val="none"/>
        </w:rPr>
        <w:t>的潜在供应商应在政采云平台获取（下载）采购文件，并于202</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26</w:t>
      </w:r>
      <w:r>
        <w:rPr>
          <w:rFonts w:hint="eastAsia" w:ascii="仿宋" w:hAnsi="仿宋" w:eastAsia="仿宋" w:cs="仿宋"/>
          <w:i w:val="0"/>
          <w:iCs w:val="0"/>
          <w:caps w:val="0"/>
          <w:color w:val="auto"/>
          <w:spacing w:val="0"/>
          <w:sz w:val="27"/>
          <w:szCs w:val="27"/>
          <w:highlight w:val="none"/>
        </w:rPr>
        <w:t xml:space="preserve">日 </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0（北京时间）前提交（上传）响应文件。                            </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31"/>
          <w:szCs w:val="31"/>
          <w:highlight w:val="none"/>
        </w:rPr>
      </w:pPr>
      <w:r>
        <w:rPr>
          <w:rStyle w:val="29"/>
          <w:rFonts w:ascii="黑体" w:hAnsi="宋体" w:eastAsia="黑体" w:cs="黑体"/>
          <w:i w:val="0"/>
          <w:iCs w:val="0"/>
          <w:caps w:val="0"/>
          <w:color w:val="auto"/>
          <w:spacing w:val="0"/>
          <w:sz w:val="27"/>
          <w:szCs w:val="27"/>
          <w:highlight w:val="none"/>
        </w:rPr>
        <w:t>一、项目基本情况</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项目编号：</w:t>
      </w:r>
      <w:r>
        <w:rPr>
          <w:rFonts w:hint="eastAsia" w:ascii="仿宋" w:hAnsi="仿宋" w:eastAsia="仿宋" w:cs="仿宋"/>
          <w:i w:val="0"/>
          <w:iCs w:val="0"/>
          <w:caps w:val="0"/>
          <w:color w:val="auto"/>
          <w:spacing w:val="0"/>
          <w:sz w:val="27"/>
          <w:szCs w:val="27"/>
          <w:highlight w:val="none"/>
          <w:lang w:eastAsia="zh-CN"/>
        </w:rPr>
        <w:t>JXYJZFCG-2024-21</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项目名称：</w:t>
      </w:r>
      <w:r>
        <w:rPr>
          <w:rFonts w:hint="eastAsia" w:ascii="仿宋" w:hAnsi="仿宋" w:eastAsia="仿宋" w:cs="仿宋"/>
          <w:i w:val="0"/>
          <w:iCs w:val="0"/>
          <w:caps w:val="0"/>
          <w:color w:val="auto"/>
          <w:spacing w:val="0"/>
          <w:sz w:val="27"/>
          <w:szCs w:val="27"/>
          <w:highlight w:val="none"/>
          <w:lang w:eastAsia="zh-CN"/>
        </w:rPr>
        <w:t>2024年度嘉兴港区不动产档案电子化项目</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采购方式：竞争性磋商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预算金额（元）：</w:t>
      </w:r>
      <w:r>
        <w:rPr>
          <w:rFonts w:hint="eastAsia" w:ascii="仿宋" w:hAnsi="仿宋" w:eastAsia="仿宋" w:cs="仿宋"/>
          <w:i w:val="0"/>
          <w:iCs w:val="0"/>
          <w:caps w:val="0"/>
          <w:color w:val="auto"/>
          <w:spacing w:val="0"/>
          <w:sz w:val="27"/>
          <w:szCs w:val="27"/>
          <w:highlight w:val="none"/>
          <w:lang w:val="en-US" w:eastAsia="zh-CN"/>
        </w:rPr>
        <w:t>450000</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最高限价（元）：</w:t>
      </w:r>
      <w:r>
        <w:rPr>
          <w:rFonts w:hint="eastAsia" w:ascii="仿宋" w:hAnsi="仿宋" w:eastAsia="仿宋" w:cs="仿宋"/>
          <w:i w:val="0"/>
          <w:iCs w:val="0"/>
          <w:caps w:val="0"/>
          <w:color w:val="auto"/>
          <w:spacing w:val="0"/>
          <w:sz w:val="27"/>
          <w:szCs w:val="27"/>
          <w:highlight w:val="none"/>
          <w:lang w:val="en-US" w:eastAsia="zh-CN"/>
        </w:rPr>
        <w:t>450000</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360" w:lineRule="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采购需求：</w:t>
      </w:r>
      <w:r>
        <w:rPr>
          <w:rFonts w:hint="eastAsia" w:ascii="仿宋" w:hAnsi="仿宋" w:eastAsia="仿宋" w:cs="仿宋"/>
          <w:i w:val="0"/>
          <w:iCs w:val="0"/>
          <w:caps w:val="0"/>
          <w:color w:val="auto"/>
          <w:spacing w:val="0"/>
          <w:sz w:val="27"/>
          <w:szCs w:val="27"/>
          <w:highlight w:val="none"/>
          <w:lang w:val="en-US" w:eastAsia="zh-CN"/>
        </w:rPr>
        <w:t> 详见第三部分    </w:t>
      </w:r>
      <w:r>
        <w:rPr>
          <w:rFonts w:hint="eastAsia" w:ascii="仿宋" w:hAnsi="仿宋" w:eastAsia="仿宋" w:cs="仿宋"/>
          <w:i w:val="0"/>
          <w:iCs w:val="0"/>
          <w:caps w:val="0"/>
          <w:color w:val="auto"/>
          <w:spacing w:val="0"/>
          <w:sz w:val="27"/>
          <w:szCs w:val="27"/>
          <w:highlight w:val="none"/>
          <w:lang w:val="en-US" w:eastAsia="zh-CN"/>
        </w:rPr>
        <w:br w:type="textWrapping"/>
      </w:r>
      <w:r>
        <w:rPr>
          <w:rFonts w:hint="eastAsia" w:ascii="仿宋" w:hAnsi="仿宋" w:eastAsia="仿宋" w:cs="仿宋"/>
          <w:i w:val="0"/>
          <w:iCs w:val="0"/>
          <w:caps w:val="0"/>
          <w:color w:val="auto"/>
          <w:spacing w:val="0"/>
          <w:sz w:val="27"/>
          <w:szCs w:val="27"/>
          <w:highlight w:val="none"/>
          <w:lang w:val="en-US" w:eastAsia="zh-CN"/>
        </w:rPr>
        <w:t>   数量：详见第三部分           </w:t>
      </w:r>
    </w:p>
    <w:p>
      <w:pPr>
        <w:pStyle w:val="23"/>
        <w:keepNext w:val="0"/>
        <w:keepLines w:val="0"/>
        <w:widowControl/>
        <w:suppressLineNumbers w:val="0"/>
        <w:spacing w:line="240" w:lineRule="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预算金额（元）：</w:t>
      </w:r>
      <w:r>
        <w:rPr>
          <w:rFonts w:hint="eastAsia" w:ascii="仿宋" w:hAnsi="仿宋" w:eastAsia="仿宋" w:cs="仿宋"/>
          <w:i w:val="0"/>
          <w:iCs w:val="0"/>
          <w:caps w:val="0"/>
          <w:color w:val="auto"/>
          <w:spacing w:val="0"/>
          <w:sz w:val="27"/>
          <w:szCs w:val="27"/>
          <w:highlight w:val="none"/>
          <w:lang w:val="en-US" w:eastAsia="zh-CN"/>
        </w:rPr>
        <w:t>450000</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单位：项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简要规格描述：详见磋商文件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备注：</w:t>
      </w:r>
      <w:r>
        <w:rPr>
          <w:rFonts w:hint="eastAsia" w:ascii="仿宋" w:hAnsi="仿宋" w:eastAsia="仿宋" w:cs="仿宋"/>
          <w:i w:val="0"/>
          <w:iCs w:val="0"/>
          <w:caps w:val="0"/>
          <w:color w:val="auto"/>
          <w:spacing w:val="0"/>
          <w:sz w:val="27"/>
          <w:szCs w:val="27"/>
          <w:highlight w:val="none"/>
          <w:lang w:val="en-US" w:eastAsia="zh-CN"/>
        </w:rPr>
        <w:t>/</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合同履约期限：标项 1，详见磋商文件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本项目（否）接受联合体投标。  </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29"/>
          <w:rFonts w:ascii="黑体" w:hAnsi="宋体" w:eastAsia="黑体" w:cs="黑体"/>
          <w:i w:val="0"/>
          <w:iCs w:val="0"/>
          <w:caps w:val="0"/>
          <w:color w:val="auto"/>
          <w:spacing w:val="0"/>
          <w:sz w:val="27"/>
          <w:szCs w:val="27"/>
          <w:highlight w:val="none"/>
        </w:rPr>
        <w:t>二、申请人的资格要求：</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3"/>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2.落实政府采购政策需满足的资格要求：</w:t>
      </w:r>
      <w:r>
        <w:rPr>
          <w:rFonts w:ascii="仿宋" w:hAnsi="仿宋" w:eastAsia="仿宋" w:cs="仿宋"/>
          <w:color w:val="auto"/>
          <w:sz w:val="27"/>
          <w:szCs w:val="27"/>
          <w:highlight w:val="none"/>
        </w:rPr>
        <w:t>标项1：</w:t>
      </w:r>
      <w:r>
        <w:rPr>
          <w:rFonts w:hint="eastAsia" w:ascii="仿宋" w:hAnsi="仿宋" w:eastAsia="仿宋" w:cs="仿宋"/>
          <w:color w:val="auto"/>
          <w:sz w:val="27"/>
          <w:szCs w:val="27"/>
          <w:highlight w:val="none"/>
        </w:rPr>
        <w:t>供应商为中小企业/小微企业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3.本项目的特定资格要求：</w:t>
      </w:r>
      <w:r>
        <w:rPr>
          <w:rFonts w:hint="eastAsia" w:ascii="仿宋" w:hAnsi="仿宋" w:eastAsia="仿宋" w:cs="仿宋"/>
          <w:i w:val="0"/>
          <w:iCs w:val="0"/>
          <w:caps w:val="0"/>
          <w:color w:val="auto"/>
          <w:spacing w:val="0"/>
          <w:sz w:val="27"/>
          <w:szCs w:val="27"/>
          <w:highlight w:val="none"/>
          <w:lang w:val="en-US" w:eastAsia="zh-CN"/>
        </w:rPr>
        <w:t>无</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29"/>
          <w:rFonts w:ascii="黑体" w:hAnsi="宋体" w:eastAsia="黑体" w:cs="黑体"/>
          <w:i w:val="0"/>
          <w:iCs w:val="0"/>
          <w:caps w:val="0"/>
          <w:color w:val="auto"/>
          <w:spacing w:val="0"/>
          <w:sz w:val="27"/>
          <w:szCs w:val="27"/>
          <w:highlight w:val="none"/>
        </w:rPr>
        <w:t>三、获取（下载）采购文件</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u w:val="none"/>
        </w:rPr>
        <w:t>时间：/至202</w:t>
      </w:r>
      <w:r>
        <w:rPr>
          <w:rFonts w:hint="eastAsia" w:ascii="仿宋" w:hAnsi="仿宋" w:eastAsia="仿宋" w:cs="仿宋"/>
          <w:i w:val="0"/>
          <w:iCs w:val="0"/>
          <w:caps w:val="0"/>
          <w:color w:val="auto"/>
          <w:spacing w:val="0"/>
          <w:sz w:val="27"/>
          <w:szCs w:val="27"/>
          <w:highlight w:val="none"/>
          <w:u w:val="none"/>
          <w:lang w:val="en-US" w:eastAsia="zh-CN"/>
        </w:rPr>
        <w:t>4</w:t>
      </w:r>
      <w:r>
        <w:rPr>
          <w:rFonts w:hint="eastAsia" w:ascii="仿宋" w:hAnsi="仿宋" w:eastAsia="仿宋" w:cs="仿宋"/>
          <w:i w:val="0"/>
          <w:iCs w:val="0"/>
          <w:caps w:val="0"/>
          <w:color w:val="auto"/>
          <w:spacing w:val="0"/>
          <w:sz w:val="27"/>
          <w:szCs w:val="27"/>
          <w:highlight w:val="none"/>
          <w:u w:val="none"/>
        </w:rPr>
        <w:t>年</w:t>
      </w:r>
      <w:r>
        <w:rPr>
          <w:rFonts w:hint="eastAsia" w:ascii="仿宋" w:hAnsi="仿宋" w:eastAsia="仿宋" w:cs="仿宋"/>
          <w:i w:val="0"/>
          <w:iCs w:val="0"/>
          <w:caps w:val="0"/>
          <w:color w:val="auto"/>
          <w:spacing w:val="0"/>
          <w:sz w:val="27"/>
          <w:szCs w:val="27"/>
          <w:highlight w:val="none"/>
          <w:u w:val="none"/>
          <w:lang w:val="en-US" w:eastAsia="zh-CN"/>
        </w:rPr>
        <w:t>6</w:t>
      </w:r>
      <w:r>
        <w:rPr>
          <w:rFonts w:hint="eastAsia" w:ascii="仿宋" w:hAnsi="仿宋" w:eastAsia="仿宋" w:cs="仿宋"/>
          <w:i w:val="0"/>
          <w:iCs w:val="0"/>
          <w:caps w:val="0"/>
          <w:color w:val="auto"/>
          <w:spacing w:val="0"/>
          <w:sz w:val="27"/>
          <w:szCs w:val="27"/>
          <w:highlight w:val="none"/>
          <w:u w:val="none"/>
        </w:rPr>
        <w:t>月</w:t>
      </w:r>
      <w:r>
        <w:rPr>
          <w:rFonts w:hint="eastAsia" w:ascii="仿宋" w:hAnsi="仿宋" w:eastAsia="仿宋" w:cs="仿宋"/>
          <w:i w:val="0"/>
          <w:iCs w:val="0"/>
          <w:caps w:val="0"/>
          <w:color w:val="auto"/>
          <w:spacing w:val="0"/>
          <w:sz w:val="27"/>
          <w:szCs w:val="27"/>
          <w:highlight w:val="none"/>
          <w:u w:val="none"/>
          <w:lang w:val="en-US" w:eastAsia="zh-CN"/>
        </w:rPr>
        <w:t>26</w:t>
      </w:r>
      <w:r>
        <w:rPr>
          <w:rFonts w:hint="eastAsia" w:ascii="仿宋" w:hAnsi="仿宋" w:eastAsia="仿宋" w:cs="仿宋"/>
          <w:i w:val="0"/>
          <w:iCs w:val="0"/>
          <w:caps w:val="0"/>
          <w:color w:val="auto"/>
          <w:spacing w:val="0"/>
          <w:sz w:val="27"/>
          <w:szCs w:val="27"/>
          <w:highlight w:val="none"/>
          <w:u w:val="none"/>
        </w:rPr>
        <w:t>日，每天上午00:00至12:00，下午12:00至23:59（北京时间，线上获取法定节假日均可，线下获取文件法定节假日除外）</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地点（网址）：政采云平台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方式：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通过本公告下方“游客，浏览采购文件”下载的采购文件仅供浏览。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售价（元）：0 </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29"/>
          <w:rFonts w:ascii="黑体" w:hAnsi="宋体" w:eastAsia="黑体" w:cs="黑体"/>
          <w:i w:val="0"/>
          <w:iCs w:val="0"/>
          <w:caps w:val="0"/>
          <w:color w:val="auto"/>
          <w:spacing w:val="0"/>
          <w:sz w:val="27"/>
          <w:szCs w:val="27"/>
          <w:highlight w:val="none"/>
        </w:rPr>
        <w:t>四、响应文件提交（上传）</w:t>
      </w:r>
      <w:r>
        <w:rPr>
          <w:rFonts w:ascii="黑体" w:hAnsi="宋体" w:eastAsia="黑体" w:cs="黑体"/>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截止时间：202</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26</w:t>
      </w:r>
      <w:r>
        <w:rPr>
          <w:rFonts w:hint="eastAsia" w:ascii="仿宋" w:hAnsi="仿宋" w:eastAsia="仿宋" w:cs="仿宋"/>
          <w:i w:val="0"/>
          <w:iCs w:val="0"/>
          <w:caps w:val="0"/>
          <w:color w:val="auto"/>
          <w:spacing w:val="0"/>
          <w:sz w:val="27"/>
          <w:szCs w:val="27"/>
          <w:highlight w:val="none"/>
        </w:rPr>
        <w:t>日</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0（北京时间）</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地点（网址）：政府采购云平台（www.zcygov.cn） </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29"/>
          <w:rFonts w:ascii="黑体" w:hAnsi="宋体" w:eastAsia="黑体" w:cs="黑体"/>
          <w:i w:val="0"/>
          <w:iCs w:val="0"/>
          <w:caps w:val="0"/>
          <w:color w:val="auto"/>
          <w:spacing w:val="0"/>
          <w:sz w:val="27"/>
          <w:szCs w:val="27"/>
          <w:highlight w:val="none"/>
        </w:rPr>
        <w:t>五、响应文件开启</w:t>
      </w:r>
      <w:r>
        <w:rPr>
          <w:rFonts w:ascii="黑体" w:hAnsi="宋体" w:eastAsia="黑体" w:cs="黑体"/>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开启时间：202</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6</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26</w:t>
      </w:r>
      <w:r>
        <w:rPr>
          <w:rFonts w:hint="eastAsia" w:ascii="仿宋" w:hAnsi="仿宋" w:eastAsia="仿宋" w:cs="仿宋"/>
          <w:i w:val="0"/>
          <w:iCs w:val="0"/>
          <w:caps w:val="0"/>
          <w:color w:val="auto"/>
          <w:spacing w:val="0"/>
          <w:sz w:val="27"/>
          <w:szCs w:val="27"/>
          <w:highlight w:val="none"/>
        </w:rPr>
        <w:t xml:space="preserve">日 </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 （北京时间）</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地点（网</w:t>
      </w:r>
      <w:r>
        <w:rPr>
          <w:rFonts w:hint="eastAsia" w:ascii="仿宋" w:hAnsi="仿宋" w:eastAsia="仿宋" w:cs="仿宋"/>
          <w:i w:val="0"/>
          <w:iCs w:val="0"/>
          <w:caps w:val="0"/>
          <w:color w:val="auto"/>
          <w:spacing w:val="0"/>
          <w:sz w:val="27"/>
          <w:szCs w:val="27"/>
          <w:highlight w:val="none"/>
          <w:lang w:val="en-US" w:eastAsia="zh-CN"/>
        </w:rPr>
        <w:t>址）：嘉兴市银建工程咨询评估有限公司嘉兴港区分公司会议室（嘉兴港区乍浦镇雅山中路170号金旺广场五楼） </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31"/>
          <w:szCs w:val="31"/>
          <w:highlight w:val="none"/>
        </w:rPr>
      </w:pPr>
      <w:r>
        <w:rPr>
          <w:rStyle w:val="29"/>
          <w:rFonts w:ascii="黑体" w:hAnsi="宋体" w:eastAsia="黑体" w:cs="黑体"/>
          <w:i w:val="0"/>
          <w:iCs w:val="0"/>
          <w:caps w:val="0"/>
          <w:color w:val="auto"/>
          <w:spacing w:val="0"/>
          <w:sz w:val="27"/>
          <w:szCs w:val="27"/>
          <w:highlight w:val="none"/>
        </w:rPr>
        <w:t>六、公告期限</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自本公告发布之日起3个工作日。</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29"/>
          <w:rFonts w:ascii="黑体" w:hAnsi="宋体" w:eastAsia="黑体" w:cs="黑体"/>
          <w:i w:val="0"/>
          <w:iCs w:val="0"/>
          <w:caps w:val="0"/>
          <w:color w:val="auto"/>
          <w:spacing w:val="0"/>
          <w:sz w:val="27"/>
          <w:szCs w:val="27"/>
          <w:highlight w:val="none"/>
        </w:rPr>
        <w:t>七、其他补充事宜</w:t>
      </w:r>
      <w:r>
        <w:rPr>
          <w:rFonts w:ascii="黑体" w:hAnsi="宋体" w:eastAsia="黑体" w:cs="黑体"/>
          <w:i w:val="0"/>
          <w:iCs w:val="0"/>
          <w:caps w:val="0"/>
          <w:color w:val="auto"/>
          <w:spacing w:val="0"/>
          <w:sz w:val="27"/>
          <w:szCs w:val="27"/>
          <w:highlight w:val="none"/>
        </w:rPr>
        <w:t> </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i w:val="0"/>
          <w:iCs w:val="0"/>
          <w:caps w:val="0"/>
          <w:color w:val="auto"/>
          <w:spacing w:val="0"/>
          <w:sz w:val="27"/>
          <w:szCs w:val="27"/>
          <w:highlight w:val="none"/>
          <w:shd w:val="clear" w:fill="FFFFFF"/>
        </w:rPr>
        <w:t>对采购文件需求的以书面形式向采购人提出质疑，对其他内容的以书面形式向采购人和采购代理机构提出质疑。</w:t>
      </w:r>
      <w:r>
        <w:rPr>
          <w:rFonts w:hint="eastAsia" w:ascii="仿宋" w:hAnsi="仿宋" w:eastAsia="仿宋" w:cs="仿宋"/>
          <w:i w:val="0"/>
          <w:iCs w:val="0"/>
          <w:caps w:val="0"/>
          <w:color w:val="auto"/>
          <w:spacing w:val="0"/>
          <w:sz w:val="27"/>
          <w:szCs w:val="27"/>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2.其他事项：</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1</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公益一类事业单位不属于政府购买服务的承接主体，不得参与承接政府购买服务（具体详见政府购买服务清单）。</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2</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单位负责人为同一人或者存在直接控股、管理关系的不同供应商，不得参加同一合同项下的政府采购活动。</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3"/>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31"/>
          <w:szCs w:val="31"/>
          <w:highlight w:val="none"/>
        </w:rPr>
      </w:pPr>
      <w:r>
        <w:rPr>
          <w:rStyle w:val="29"/>
          <w:rFonts w:ascii="黑体" w:hAnsi="宋体" w:eastAsia="黑体" w:cs="黑体"/>
          <w:i w:val="0"/>
          <w:iCs w:val="0"/>
          <w:caps w:val="0"/>
          <w:color w:val="auto"/>
          <w:spacing w:val="0"/>
          <w:sz w:val="27"/>
          <w:szCs w:val="27"/>
          <w:highlight w:val="none"/>
        </w:rPr>
        <w:t>八、凡对本次招标提出询问、质疑、投诉，请按以下方式联系</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1.采购人信息</w:t>
      </w:r>
    </w:p>
    <w:p>
      <w:pPr>
        <w:pStyle w:val="23"/>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名    称：</w:t>
      </w:r>
      <w:r>
        <w:rPr>
          <w:rFonts w:hint="eastAsia" w:ascii="仿宋" w:hAnsi="仿宋" w:eastAsia="仿宋" w:cs="仿宋"/>
          <w:i w:val="0"/>
          <w:iCs w:val="0"/>
          <w:caps w:val="0"/>
          <w:color w:val="auto"/>
          <w:spacing w:val="0"/>
          <w:sz w:val="27"/>
          <w:szCs w:val="27"/>
          <w:highlight w:val="none"/>
          <w:lang w:eastAsia="zh-CN"/>
        </w:rPr>
        <w:t>浙江乍浦经济开发区（嘉兴港区）管理委员会</w:t>
      </w:r>
    </w:p>
    <w:p>
      <w:pPr>
        <w:pStyle w:val="23"/>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地    址：</w:t>
      </w:r>
      <w:r>
        <w:rPr>
          <w:rFonts w:hint="eastAsia" w:ascii="仿宋" w:hAnsi="仿宋" w:eastAsia="仿宋" w:cs="仿宋"/>
          <w:i w:val="0"/>
          <w:iCs w:val="0"/>
          <w:caps w:val="0"/>
          <w:color w:val="auto"/>
          <w:spacing w:val="0"/>
          <w:sz w:val="27"/>
          <w:szCs w:val="27"/>
          <w:highlight w:val="none"/>
          <w:lang w:val="en-US" w:eastAsia="zh-CN"/>
        </w:rPr>
        <w:t>乍浦镇中山东路188号</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传    真：</w:t>
      </w:r>
      <w:r>
        <w:rPr>
          <w:rFonts w:hint="eastAsia" w:ascii="仿宋" w:hAnsi="仿宋" w:eastAsia="仿宋" w:cs="仿宋"/>
          <w:i w:val="0"/>
          <w:iCs w:val="0"/>
          <w:caps w:val="0"/>
          <w:color w:val="auto"/>
          <w:spacing w:val="0"/>
          <w:sz w:val="27"/>
          <w:szCs w:val="27"/>
          <w:highlight w:val="none"/>
          <w:lang w:val="en-US" w:eastAsia="zh-CN"/>
        </w:rPr>
        <w:t>/</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项目联系人（询问）：</w:t>
      </w:r>
      <w:r>
        <w:rPr>
          <w:rFonts w:hint="eastAsia" w:ascii="仿宋" w:hAnsi="仿宋" w:eastAsia="仿宋" w:cs="仿宋"/>
          <w:i w:val="0"/>
          <w:iCs w:val="0"/>
          <w:caps w:val="0"/>
          <w:color w:val="auto"/>
          <w:spacing w:val="0"/>
          <w:sz w:val="27"/>
          <w:szCs w:val="27"/>
          <w:highlight w:val="none"/>
          <w:lang w:val="en-US" w:eastAsia="zh-CN"/>
        </w:rPr>
        <w:t xml:space="preserve">丁女士   </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rPr>
        <w:t>项目联系方式（询问）：0573-85582332</w:t>
      </w:r>
      <w:r>
        <w:rPr>
          <w:rFonts w:hint="eastAsia" w:ascii="仿宋" w:hAnsi="仿宋" w:eastAsia="仿宋" w:cs="仿宋"/>
          <w:i w:val="0"/>
          <w:iCs w:val="0"/>
          <w:caps w:val="0"/>
          <w:color w:val="auto"/>
          <w:spacing w:val="0"/>
          <w:sz w:val="27"/>
          <w:szCs w:val="27"/>
          <w:highlight w:val="none"/>
          <w:lang w:val="en-US" w:eastAsia="zh-CN"/>
        </w:rPr>
        <w:t xml:space="preserve"> </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rPr>
        <w:t>质疑联系人：</w:t>
      </w:r>
      <w:r>
        <w:rPr>
          <w:rFonts w:hint="eastAsia" w:ascii="仿宋" w:hAnsi="仿宋" w:eastAsia="仿宋" w:cs="仿宋"/>
          <w:i w:val="0"/>
          <w:iCs w:val="0"/>
          <w:caps w:val="0"/>
          <w:color w:val="auto"/>
          <w:spacing w:val="0"/>
          <w:sz w:val="27"/>
          <w:szCs w:val="27"/>
          <w:highlight w:val="none"/>
          <w:lang w:val="en-US" w:eastAsia="zh-CN"/>
        </w:rPr>
        <w:t xml:space="preserve"> 董女士 </w:t>
      </w:r>
    </w:p>
    <w:p>
      <w:pPr>
        <w:pStyle w:val="23"/>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质疑联系方式：0573-85588282</w:t>
      </w:r>
      <w:r>
        <w:rPr>
          <w:rFonts w:hint="eastAsia" w:ascii="仿宋" w:hAnsi="仿宋" w:eastAsia="仿宋" w:cs="仿宋"/>
          <w:i w:val="0"/>
          <w:iCs w:val="0"/>
          <w:caps w:val="0"/>
          <w:color w:val="auto"/>
          <w:spacing w:val="0"/>
          <w:sz w:val="27"/>
          <w:szCs w:val="27"/>
          <w:highlight w:val="none"/>
          <w:lang w:val="en-US" w:eastAsia="zh-CN"/>
        </w:rPr>
        <w:t xml:space="preserve"> </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2.采购代理机构信息</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名    称：嘉兴市银建工程咨询评估有限公司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    址：嘉兴港区乍浦雅山中路170号金旺广场五楼 </w:t>
      </w:r>
    </w:p>
    <w:p>
      <w:pPr>
        <w:pStyle w:val="23"/>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传    真：</w:t>
      </w:r>
      <w:r>
        <w:rPr>
          <w:rFonts w:hint="eastAsia" w:ascii="仿宋" w:hAnsi="仿宋" w:eastAsia="仿宋" w:cs="仿宋"/>
          <w:i w:val="0"/>
          <w:iCs w:val="0"/>
          <w:caps w:val="0"/>
          <w:color w:val="auto"/>
          <w:spacing w:val="0"/>
          <w:sz w:val="27"/>
          <w:szCs w:val="27"/>
          <w:highlight w:val="none"/>
          <w:lang w:val="en-US" w:eastAsia="zh-CN"/>
        </w:rPr>
        <w:t>/</w:t>
      </w:r>
    </w:p>
    <w:p>
      <w:pPr>
        <w:pStyle w:val="23"/>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项目联系人（询问）：</w:t>
      </w:r>
      <w:r>
        <w:rPr>
          <w:rFonts w:hint="eastAsia" w:ascii="仿宋" w:hAnsi="仿宋" w:eastAsia="仿宋" w:cs="仿宋"/>
          <w:i w:val="0"/>
          <w:iCs w:val="0"/>
          <w:caps w:val="0"/>
          <w:color w:val="auto"/>
          <w:spacing w:val="0"/>
          <w:sz w:val="27"/>
          <w:szCs w:val="27"/>
          <w:highlight w:val="none"/>
          <w:lang w:eastAsia="zh-CN"/>
        </w:rPr>
        <w:t>陶晓燕</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项目联系方式（询问）：0573-85528457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质疑联系人：</w:t>
      </w:r>
      <w:r>
        <w:rPr>
          <w:rFonts w:hint="eastAsia" w:ascii="仿宋" w:hAnsi="仿宋" w:eastAsia="仿宋" w:cs="仿宋"/>
          <w:i w:val="0"/>
          <w:iCs w:val="0"/>
          <w:caps w:val="0"/>
          <w:color w:val="auto"/>
          <w:spacing w:val="0"/>
          <w:sz w:val="27"/>
          <w:szCs w:val="27"/>
          <w:highlight w:val="none"/>
          <w:lang w:val="en-US" w:eastAsia="zh-CN"/>
        </w:rPr>
        <w:t>金思雯</w:t>
      </w:r>
      <w:r>
        <w:rPr>
          <w:rFonts w:hint="eastAsia" w:ascii="仿宋" w:hAnsi="仿宋" w:eastAsia="仿宋" w:cs="仿宋"/>
          <w:i w:val="0"/>
          <w:iCs w:val="0"/>
          <w:caps w:val="0"/>
          <w:color w:val="auto"/>
          <w:spacing w:val="0"/>
          <w:sz w:val="27"/>
          <w:szCs w:val="27"/>
          <w:highlight w:val="none"/>
        </w:rPr>
        <w:t>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质疑联系方式：0573-85528457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3.同级政府采购监督管理部门</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名    称：嘉兴市财政局港区分局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    址：/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传    真：/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联系人 ：唐工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监督投诉电话：0573-85623733</w:t>
      </w:r>
    </w:p>
    <w:p>
      <w:pPr>
        <w:pStyle w:val="23"/>
        <w:keepNext w:val="0"/>
        <w:keepLines w:val="0"/>
        <w:widowControl/>
        <w:suppressLineNumbers w:val="0"/>
        <w:spacing w:line="240" w:lineRule="auto"/>
        <w:rPr>
          <w:rFonts w:hint="eastAsia" w:ascii="仿宋" w:hAnsi="仿宋" w:eastAsia="仿宋" w:cs="仿宋"/>
          <w:i w:val="0"/>
          <w:iCs w:val="0"/>
          <w:caps w:val="0"/>
          <w:color w:val="auto"/>
          <w:spacing w:val="0"/>
          <w:sz w:val="27"/>
          <w:szCs w:val="27"/>
          <w:highlight w:val="none"/>
        </w:rPr>
      </w:pPr>
    </w:p>
    <w:p>
      <w:pPr>
        <w:pStyle w:val="23"/>
        <w:keepNext w:val="0"/>
        <w:keepLines w:val="0"/>
        <w:widowControl/>
        <w:suppressLineNumbers w:val="0"/>
        <w:spacing w:line="240" w:lineRule="auto"/>
        <w:rPr>
          <w:rFonts w:hint="eastAsia" w:ascii="仿宋" w:hAnsi="仿宋" w:eastAsia="仿宋" w:cs="仿宋"/>
          <w:i w:val="0"/>
          <w:iCs w:val="0"/>
          <w:caps w:val="0"/>
          <w:color w:val="auto"/>
          <w:spacing w:val="0"/>
          <w:sz w:val="27"/>
          <w:szCs w:val="27"/>
          <w:highlight w:val="none"/>
        </w:rPr>
      </w:pP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i w:val="0"/>
          <w:iCs w:val="0"/>
          <w:caps w:val="0"/>
          <w:color w:val="auto"/>
          <w:spacing w:val="0"/>
          <w:sz w:val="27"/>
          <w:szCs w:val="27"/>
          <w:highlight w:val="none"/>
          <w:lang w:eastAsia="zh-CN"/>
        </w:rPr>
        <w:t>95763</w:t>
      </w:r>
      <w:r>
        <w:rPr>
          <w:rFonts w:hint="eastAsia" w:ascii="仿宋" w:hAnsi="仿宋" w:eastAsia="仿宋" w:cs="仿宋"/>
          <w:i w:val="0"/>
          <w:iCs w:val="0"/>
          <w:caps w:val="0"/>
          <w:color w:val="auto"/>
          <w:spacing w:val="0"/>
          <w:sz w:val="27"/>
          <w:szCs w:val="27"/>
          <w:highlight w:val="none"/>
        </w:rPr>
        <w:t>获取热线服务帮助。        </w:t>
      </w:r>
    </w:p>
    <w:p>
      <w:pPr>
        <w:pStyle w:val="23"/>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CA问题联系电话（人工）：汇信CA 400-888-4636；天谷CA 400-087-8198。</w:t>
      </w:r>
    </w:p>
    <w:p>
      <w:pPr>
        <w:rPr>
          <w:color w:val="auto"/>
          <w:highlight w:val="none"/>
        </w:rPr>
      </w:pPr>
    </w:p>
    <w:p>
      <w:pPr>
        <w:adjustRightInd w:val="0"/>
        <w:snapToGrid w:val="0"/>
        <w:spacing w:line="360" w:lineRule="auto"/>
        <w:ind w:right="480"/>
        <w:jc w:val="center"/>
        <w:rPr>
          <w:b/>
          <w:color w:val="auto"/>
          <w:highlight w:val="none"/>
        </w:rPr>
      </w:pPr>
      <w:bookmarkStart w:id="3" w:name="_Toc171394913"/>
      <w:r>
        <w:rPr>
          <w:rStyle w:val="38"/>
          <w:b w:val="0"/>
          <w:color w:val="auto"/>
          <w:sz w:val="32"/>
          <w:highlight w:val="none"/>
        </w:rPr>
        <w:br w:type="page"/>
      </w:r>
      <w:r>
        <w:rPr>
          <w:rFonts w:hint="eastAsia"/>
          <w:b/>
          <w:color w:val="auto"/>
          <w:sz w:val="32"/>
          <w:highlight w:val="none"/>
        </w:rPr>
        <w:t>前 附 表</w:t>
      </w:r>
      <w:bookmarkEnd w:id="3"/>
      <w:bookmarkStart w:id="4" w:name="_Toc183786414"/>
      <w:bookmarkStart w:id="5" w:name="_Toc118516210"/>
      <w:bookmarkStart w:id="6" w:name="_Toc171394914"/>
    </w:p>
    <w:tbl>
      <w:tblPr>
        <w:tblStyle w:val="2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43"/>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vAlign w:val="center"/>
          </w:tcPr>
          <w:p>
            <w:pPr>
              <w:rPr>
                <w:rFonts w:ascii="宋体" w:hAnsi="宋体" w:cs="宋体"/>
                <w:b/>
                <w:color w:val="auto"/>
                <w:szCs w:val="21"/>
                <w:highlight w:val="none"/>
              </w:rPr>
            </w:pPr>
            <w:r>
              <w:rPr>
                <w:rFonts w:hint="eastAsia" w:ascii="宋体" w:hAnsi="宋体" w:cs="宋体"/>
                <w:b/>
                <w:color w:val="auto"/>
                <w:szCs w:val="21"/>
                <w:highlight w:val="none"/>
              </w:rPr>
              <w:t>序号</w:t>
            </w:r>
          </w:p>
        </w:tc>
        <w:tc>
          <w:tcPr>
            <w:tcW w:w="204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615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53" w:type="dxa"/>
            <w:vAlign w:val="center"/>
          </w:tcPr>
          <w:p>
            <w:pPr>
              <w:rPr>
                <w:rFonts w:hint="eastAsia" w:ascii="宋体" w:hAnsi="宋体" w:cs="宋体" w:eastAsiaTheme="minorEastAsia"/>
                <w:color w:val="auto"/>
                <w:szCs w:val="21"/>
                <w:highlight w:val="none"/>
                <w:lang w:eastAsia="zh-CN"/>
              </w:rPr>
            </w:pPr>
            <w:r>
              <w:rPr>
                <w:rFonts w:hint="eastAsia" w:hAnsi="宋体"/>
                <w:b/>
                <w:color w:val="auto"/>
                <w:szCs w:val="21"/>
                <w:highlight w:val="none"/>
                <w:lang w:eastAsia="zh-CN"/>
              </w:rPr>
              <w:t>2024年度嘉兴港区不动产档案电子化项目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采购编号</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项目资金及最高限价</w:t>
            </w:r>
          </w:p>
        </w:tc>
        <w:tc>
          <w:tcPr>
            <w:tcW w:w="6153" w:type="dxa"/>
            <w:vAlign w:val="center"/>
          </w:tcPr>
          <w:p>
            <w:pPr>
              <w:pStyle w:val="13"/>
              <w:adjustRightInd w:val="0"/>
              <w:snapToGrid w:val="0"/>
              <w:spacing w:line="340" w:lineRule="exact"/>
              <w:rPr>
                <w:rFonts w:hAnsi="宋体" w:cs="宋体"/>
                <w:color w:val="auto"/>
                <w:sz w:val="21"/>
                <w:szCs w:val="21"/>
                <w:highlight w:val="none"/>
              </w:rPr>
            </w:pPr>
            <w:r>
              <w:rPr>
                <w:rFonts w:hint="eastAsia" w:hAnsi="宋体" w:cs="宋体"/>
                <w:color w:val="auto"/>
                <w:sz w:val="21"/>
                <w:szCs w:val="21"/>
                <w:highlight w:val="none"/>
              </w:rPr>
              <w:t>财政资金，采购最高限价为人民币</w:t>
            </w:r>
            <w:r>
              <w:rPr>
                <w:rFonts w:hint="eastAsia" w:hAnsi="宋体" w:cs="宋体"/>
                <w:color w:val="auto"/>
                <w:sz w:val="21"/>
                <w:szCs w:val="21"/>
                <w:highlight w:val="none"/>
                <w:lang w:val="en-US" w:eastAsia="zh-CN"/>
              </w:rPr>
              <w:t>45</w:t>
            </w:r>
            <w:r>
              <w:rPr>
                <w:rFonts w:hint="eastAsia" w:hAnsi="宋体" w:cs="宋体"/>
                <w:color w:val="auto"/>
                <w:sz w:val="21"/>
                <w:szCs w:val="21"/>
                <w:highlight w:val="none"/>
              </w:rPr>
              <w:t>万元。</w:t>
            </w:r>
          </w:p>
          <w:p>
            <w:pPr>
              <w:adjustRightInd w:val="0"/>
              <w:snapToGrid w:val="0"/>
              <w:spacing w:line="360" w:lineRule="exact"/>
              <w:rPr>
                <w:rFonts w:ascii="宋体" w:hAnsi="宋体" w:cs="宋体"/>
                <w:color w:val="auto"/>
                <w:szCs w:val="21"/>
                <w:highlight w:val="none"/>
              </w:rPr>
            </w:pPr>
            <w:r>
              <w:rPr>
                <w:rFonts w:hint="eastAsia" w:cs="宋体"/>
                <w:b/>
                <w:bCs/>
                <w:color w:val="auto"/>
                <w:szCs w:val="21"/>
                <w:highlight w:val="none"/>
              </w:rPr>
              <w:t>超过最高限价报价按无效标处理。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153" w:type="dxa"/>
            <w:vAlign w:val="center"/>
          </w:tcPr>
          <w:p>
            <w:pPr>
              <w:pStyle w:val="13"/>
              <w:adjustRightInd w:val="0"/>
              <w:snapToGrid w:val="0"/>
              <w:spacing w:line="340" w:lineRule="exact"/>
              <w:rPr>
                <w:rFonts w:hAnsi="宋体" w:cs="宋体"/>
                <w:color w:val="auto"/>
                <w:sz w:val="21"/>
                <w:szCs w:val="21"/>
                <w:highlight w:val="none"/>
              </w:rPr>
            </w:pPr>
            <w:r>
              <w:rPr>
                <w:rFonts w:hint="eastAsia" w:hAnsi="宋体" w:cs="宋体"/>
                <w:color w:val="auto"/>
                <w:sz w:val="21"/>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供应商资格要求</w:t>
            </w:r>
          </w:p>
        </w:tc>
        <w:tc>
          <w:tcPr>
            <w:tcW w:w="6153" w:type="dxa"/>
            <w:vAlign w:val="center"/>
          </w:tcPr>
          <w:p>
            <w:pPr>
              <w:tabs>
                <w:tab w:val="left" w:pos="8640"/>
              </w:tabs>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详见本项目竞争性磋商公告供应商的资格要求。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tabs>
                <w:tab w:val="left" w:pos="8640"/>
              </w:tabs>
              <w:adjustRightInd w:val="0"/>
              <w:snapToGrid w:val="0"/>
              <w:spacing w:line="360" w:lineRule="exact"/>
              <w:jc w:val="center"/>
              <w:rPr>
                <w:rFonts w:ascii="宋体" w:hAnsi="宋体" w:cs="宋体"/>
                <w:color w:val="auto"/>
                <w:szCs w:val="21"/>
                <w:highlight w:val="none"/>
              </w:rPr>
            </w:pPr>
            <w:r>
              <w:rPr>
                <w:rFonts w:hint="eastAsia" w:ascii="宋体" w:hAnsi="宋体"/>
                <w:color w:val="auto"/>
                <w:highlight w:val="none"/>
              </w:rPr>
              <w:t>资格审查方法</w:t>
            </w:r>
          </w:p>
        </w:tc>
        <w:tc>
          <w:tcPr>
            <w:tcW w:w="6153" w:type="dxa"/>
            <w:vAlign w:val="center"/>
          </w:tcPr>
          <w:p>
            <w:pPr>
              <w:tabs>
                <w:tab w:val="left" w:pos="8640"/>
              </w:tabs>
              <w:adjustRightInd w:val="0"/>
              <w:snapToGrid w:val="0"/>
              <w:spacing w:line="360" w:lineRule="exact"/>
              <w:rPr>
                <w:rFonts w:ascii="宋体" w:hAnsi="宋体" w:cs="宋体"/>
                <w:color w:val="auto"/>
                <w:szCs w:val="21"/>
                <w:highlight w:val="none"/>
              </w:rPr>
            </w:pPr>
            <w:r>
              <w:rPr>
                <w:rFonts w:hint="eastAsia" w:ascii="宋体" w:hAnsi="宋体"/>
                <w:color w:val="auto"/>
                <w:highlight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响应文件的形式</w:t>
            </w:r>
          </w:p>
        </w:tc>
        <w:tc>
          <w:tcPr>
            <w:tcW w:w="6153"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电子响应文件即本文件所述磋商响应文件（包括“电子加密响应文件”和“备份响应文件”，在响应文件编制完成后同时生成）；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响应文件组成</w:t>
            </w:r>
          </w:p>
        </w:tc>
        <w:tc>
          <w:tcPr>
            <w:tcW w:w="6153" w:type="dxa"/>
            <w:vAlign w:val="center"/>
          </w:tcPr>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完整的《投标文件》由“资格响应文件”、“</w:t>
            </w:r>
            <w:r>
              <w:rPr>
                <w:rFonts w:hint="eastAsia" w:ascii="宋体" w:hAnsi="宋体"/>
                <w:b/>
                <w:color w:val="auto"/>
                <w:szCs w:val="21"/>
                <w:highlight w:val="none"/>
              </w:rPr>
              <w:t>资信及商务技术文件</w:t>
            </w:r>
            <w:r>
              <w:rPr>
                <w:rFonts w:hint="eastAsia" w:ascii="宋体" w:hAnsi="宋体" w:cs="宋体"/>
                <w:b/>
                <w:bCs/>
                <w:color w:val="auto"/>
                <w:szCs w:val="21"/>
                <w:highlight w:val="none"/>
              </w:rPr>
              <w:t>”和“</w:t>
            </w:r>
            <w:r>
              <w:rPr>
                <w:rFonts w:hint="eastAsia" w:ascii="宋体" w:hAnsi="宋体"/>
                <w:b/>
                <w:color w:val="auto"/>
                <w:szCs w:val="21"/>
                <w:highlight w:val="none"/>
              </w:rPr>
              <w:t>投标报价文件</w:t>
            </w:r>
            <w:r>
              <w:rPr>
                <w:rFonts w:hint="eastAsia" w:ascii="宋体" w:hAnsi="宋体" w:cs="宋体"/>
                <w:b/>
                <w:bCs/>
                <w:color w:val="auto"/>
                <w:szCs w:val="21"/>
                <w:highlight w:val="none"/>
              </w:rPr>
              <w:t>”三个部分组成。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153" w:type="dxa"/>
            <w:vAlign w:val="center"/>
          </w:tcPr>
          <w:p>
            <w:pPr>
              <w:spacing w:line="360" w:lineRule="auto"/>
              <w:rPr>
                <w:rFonts w:ascii="宋体" w:hAnsi="宋体" w:eastAsia="Calibri" w:cs="宋体"/>
                <w:color w:val="auto"/>
                <w:szCs w:val="21"/>
                <w:highlight w:val="none"/>
              </w:rPr>
            </w:pPr>
            <w:r>
              <w:rPr>
                <w:rFonts w:hint="eastAsia" w:ascii="宋体" w:hAnsi="宋体" w:cs="宋体"/>
                <w:color w:val="auto"/>
                <w:szCs w:val="21"/>
                <w:highlight w:val="none"/>
              </w:rPr>
              <w:t>一份电子加密标书，一份备份标书文件（如有）</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每份电子响应文件应包括资格响应文件、商务技术响应文件及报价响应文件三部分内容。</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成交供应商在领取成交通知书后需另行提供纸质版响应文件贰份。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不组织踏勘现场。</w:t>
            </w:r>
          </w:p>
          <w:p>
            <w:pPr>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如中标，采购人不接受成交供应商因情况不明、风险考虑不足、要求变更等一切价格调整的理由。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磋商截止时间后90天内有效。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restart"/>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响应文件的上传和递交</w:t>
            </w:r>
          </w:p>
        </w:tc>
        <w:tc>
          <w:tcPr>
            <w:tcW w:w="6153" w:type="dxa"/>
            <w:vAlign w:val="center"/>
          </w:tcPr>
          <w:p>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1.电子加密响应文件：响应文件制作完成并生成加密标书，在磋商截止时间前，供应商需将加密的响应文件上传至政采云平台，到达开标时间后，在线解密响应文件。</w:t>
            </w:r>
          </w:p>
          <w:p>
            <w:pPr>
              <w:snapToGrid w:val="0"/>
              <w:spacing w:line="320" w:lineRule="exact"/>
              <w:rPr>
                <w:rFonts w:ascii="宋体" w:hAnsi="宋体" w:cs="Courier New"/>
                <w:b/>
                <w:bCs/>
                <w:color w:val="auto"/>
                <w:szCs w:val="21"/>
                <w:highlight w:val="none"/>
              </w:rPr>
            </w:pPr>
            <w:r>
              <w:rPr>
                <w:rFonts w:hint="eastAsia" w:ascii="宋体" w:hAnsi="宋体" w:cs="Courier New"/>
                <w:b/>
                <w:bCs/>
                <w:color w:val="auto"/>
                <w:szCs w:val="21"/>
                <w:highlight w:val="none"/>
              </w:rPr>
              <w:t>a.供应商应未能磋商截止时间前成功上传电子加密响应文件的磋商无效。</w:t>
            </w:r>
          </w:p>
          <w:p>
            <w:pPr>
              <w:snapToGrid w:val="0"/>
              <w:spacing w:line="320" w:lineRule="exact"/>
              <w:rPr>
                <w:rFonts w:ascii="宋体" w:hAnsi="宋体"/>
                <w:color w:val="auto"/>
                <w:szCs w:val="21"/>
                <w:highlight w:val="none"/>
              </w:rPr>
            </w:pPr>
            <w:r>
              <w:rPr>
                <w:rFonts w:hint="eastAsia" w:ascii="宋体" w:hAnsi="宋体" w:cs="Courier New"/>
                <w:color w:val="auto"/>
                <w:szCs w:val="21"/>
                <w:highlight w:val="none"/>
              </w:rPr>
              <w:t>b.供应商成功上传电子加密响应文件后，可自行打印响应文件接收回执。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continue"/>
            <w:vAlign w:val="center"/>
          </w:tcPr>
          <w:p>
            <w:pPr>
              <w:pStyle w:val="39"/>
              <w:tabs>
                <w:tab w:val="left" w:pos="420"/>
              </w:tabs>
              <w:adjustRightInd/>
              <w:spacing w:line="240" w:lineRule="auto"/>
              <w:jc w:val="both"/>
              <w:rPr>
                <w:rFonts w:hint="default" w:cs="宋体"/>
                <w:color w:val="auto"/>
                <w:sz w:val="21"/>
                <w:szCs w:val="21"/>
                <w:highlight w:val="none"/>
              </w:rPr>
            </w:pPr>
          </w:p>
        </w:tc>
        <w:tc>
          <w:tcPr>
            <w:tcW w:w="2043" w:type="dxa"/>
            <w:vMerge w:val="continue"/>
            <w:vAlign w:val="center"/>
          </w:tcPr>
          <w:p>
            <w:pPr>
              <w:jc w:val="center"/>
              <w:rPr>
                <w:rFonts w:ascii="宋体" w:hAnsi="宋体" w:cs="宋体"/>
                <w:color w:val="auto"/>
                <w:szCs w:val="21"/>
                <w:highlight w:val="none"/>
              </w:rPr>
            </w:pPr>
          </w:p>
        </w:tc>
        <w:tc>
          <w:tcPr>
            <w:tcW w:w="6153" w:type="dxa"/>
            <w:vAlign w:val="center"/>
          </w:tcPr>
          <w:p>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2.备份响应文件：磋商截止时间前，供应商可以将备份响应文件通过快递形式（或直接送达方式）递交至采购代理机构（须确保送达），以便</w:t>
            </w:r>
            <w:r>
              <w:rPr>
                <w:rFonts w:hint="eastAsia" w:ascii="宋体" w:hAnsi="宋体"/>
                <w:color w:val="auto"/>
                <w:szCs w:val="21"/>
                <w:highlight w:val="none"/>
              </w:rPr>
              <w:t>电子加密响应文件解密异常时应急使用</w:t>
            </w:r>
            <w:r>
              <w:rPr>
                <w:rFonts w:hint="eastAsia" w:ascii="宋体" w:hAnsi="宋体" w:cs="Courier New"/>
                <w:color w:val="auto"/>
                <w:szCs w:val="21"/>
                <w:highlight w:val="none"/>
              </w:rPr>
              <w:t>（邮寄地址：嘉兴港区乍浦镇雅山中路170号金旺广场五楼，陶晓燕收</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0573-85528457</w:t>
            </w:r>
            <w:r>
              <w:rPr>
                <w:rFonts w:hint="eastAsia" w:ascii="宋体" w:hAnsi="宋体" w:cs="Courier New"/>
                <w:color w:val="auto"/>
                <w:szCs w:val="21"/>
                <w:highlight w:val="none"/>
              </w:rPr>
              <w:t>）。</w:t>
            </w:r>
          </w:p>
          <w:p>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a.备份响应文件递交要求：供应商须将备份响应文件以光盘或U盘形式放在密封袋中，密封后并在密封袋上注明项目名称、供应商单位名称并加盖公章。</w:t>
            </w:r>
            <w:r>
              <w:rPr>
                <w:rFonts w:hint="eastAsia" w:ascii="宋体" w:hAnsi="宋体" w:cs="Courier New"/>
                <w:b/>
                <w:color w:val="auto"/>
                <w:szCs w:val="21"/>
                <w:highlight w:val="none"/>
              </w:rPr>
              <w:t>邮寄方式送达的还须在包裹外包装上注明具体项目名称备份投标文件字样</w:t>
            </w:r>
            <w:r>
              <w:rPr>
                <w:rFonts w:hint="eastAsia" w:ascii="宋体" w:hAnsi="宋体" w:cs="Courier New"/>
                <w:color w:val="auto"/>
                <w:szCs w:val="21"/>
                <w:highlight w:val="none"/>
              </w:rPr>
              <w:t>。未密封包装或者逾期邮寄送达的“备份响应文件”将不予接收。</w:t>
            </w:r>
          </w:p>
          <w:p>
            <w:pPr>
              <w:snapToGrid w:val="0"/>
              <w:spacing w:line="320" w:lineRule="exact"/>
              <w:rPr>
                <w:rFonts w:ascii="宋体" w:hAnsi="宋体" w:cs="Courier New"/>
                <w:b/>
                <w:bCs/>
                <w:color w:val="auto"/>
                <w:szCs w:val="21"/>
                <w:highlight w:val="none"/>
              </w:rPr>
            </w:pPr>
            <w:r>
              <w:rPr>
                <w:rFonts w:hint="eastAsia" w:ascii="宋体" w:hAnsi="宋体" w:cs="Courier New"/>
                <w:b/>
                <w:bCs/>
                <w:color w:val="auto"/>
                <w:szCs w:val="21"/>
                <w:highlight w:val="none"/>
              </w:rPr>
              <w:t>供应商仅提交备份响应文件的，磋商无效。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b/>
                <w:color w:val="auto"/>
                <w:szCs w:val="21"/>
                <w:highlight w:val="none"/>
              </w:rPr>
              <w:t>响应文件截止时间</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响应文件开启时间</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磋商地点</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响应文件开启程序</w:t>
            </w:r>
          </w:p>
        </w:tc>
        <w:tc>
          <w:tcPr>
            <w:tcW w:w="6153" w:type="dxa"/>
            <w:vAlign w:val="center"/>
          </w:tcPr>
          <w:p>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1.响应文件开启时间到后，采购代理机构点击【开始解密】，供应商应在30分钟内完成解密，供应商在规定的时间内都已完成解密，则系统自动结束解密；供应商超过解密时限，默认自动放弃；</w:t>
            </w:r>
          </w:p>
          <w:p>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2.解密不成功时，如供应商已按规定递交了“备份响应文件”的，采购代理机构通过【异常处理】端口对备份响应文件上传、解密；</w:t>
            </w:r>
          </w:p>
          <w:p>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3.结束解密后，供应商通过邮件形式将填写完整且经授权代表签署的《政府采购活动现场确认声明书》（格式见磋商文件第五部分）扫描件发至代理机构经办人邮箱（邮箱地址：784968527@qq.com联系人：陶女士 电话：0573-85528457）；</w:t>
            </w:r>
          </w:p>
          <w:p>
            <w:pPr>
              <w:adjustRightInd w:val="0"/>
              <w:snapToGrid w:val="0"/>
              <w:spacing w:line="320" w:lineRule="exact"/>
              <w:ind w:left="15" w:hanging="15" w:hangingChars="7"/>
              <w:rPr>
                <w:rFonts w:ascii="宋体" w:hAnsi="宋体"/>
                <w:color w:val="auto"/>
                <w:szCs w:val="21"/>
                <w:highlight w:val="none"/>
              </w:rPr>
            </w:pPr>
            <w:r>
              <w:rPr>
                <w:rFonts w:hint="eastAsia" w:ascii="宋体" w:hAnsi="宋体"/>
                <w:b/>
                <w:color w:val="auto"/>
                <w:szCs w:val="21"/>
                <w:highlight w:val="none"/>
              </w:rPr>
              <w:t>4.采购组织机构点击【开启标书信息】，开启标书成功后进入</w:t>
            </w:r>
            <w:r>
              <w:rPr>
                <w:rFonts w:hint="eastAsia" w:ascii="宋体" w:hAnsi="宋体"/>
                <w:b/>
                <w:color w:val="auto"/>
                <w:szCs w:val="21"/>
                <w:highlight w:val="none"/>
                <w:lang w:val="en-US" w:eastAsia="zh-CN"/>
              </w:rPr>
              <w:t>评标</w:t>
            </w:r>
            <w:r>
              <w:rPr>
                <w:rFonts w:hint="eastAsia" w:ascii="宋体" w:hAnsi="宋体"/>
                <w:b/>
                <w:color w:val="auto"/>
                <w:szCs w:val="21"/>
                <w:highlight w:val="none"/>
              </w:rPr>
              <w:t>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磋商程序</w:t>
            </w:r>
          </w:p>
        </w:tc>
        <w:tc>
          <w:tcPr>
            <w:tcW w:w="6153" w:type="dxa"/>
            <w:vAlign w:val="center"/>
          </w:tcPr>
          <w:p>
            <w:pPr>
              <w:numPr>
                <w:ilvl w:val="0"/>
                <w:numId w:val="2"/>
              </w:numPr>
              <w:adjustRightInd w:val="0"/>
              <w:snapToGrid w:val="0"/>
              <w:spacing w:line="320" w:lineRule="exact"/>
              <w:ind w:left="15" w:hanging="14" w:hangingChars="7"/>
              <w:rPr>
                <w:color w:val="auto"/>
                <w:highlight w:val="none"/>
              </w:rPr>
            </w:pPr>
            <w:r>
              <w:rPr>
                <w:rFonts w:hint="eastAsia"/>
                <w:color w:val="auto"/>
                <w:highlight w:val="none"/>
              </w:rPr>
              <w:t>对所有响应文件的初审</w:t>
            </w:r>
          </w:p>
          <w:p>
            <w:pPr>
              <w:adjustRightInd w:val="0"/>
              <w:snapToGrid w:val="0"/>
              <w:spacing w:line="320" w:lineRule="exact"/>
              <w:rPr>
                <w:color w:val="auto"/>
                <w:highlight w:val="none"/>
              </w:rPr>
            </w:pPr>
            <w:r>
              <w:rPr>
                <w:rFonts w:hint="eastAsia"/>
                <w:color w:val="auto"/>
                <w:highlight w:val="none"/>
              </w:rPr>
              <w:t>初审包括资格条件、有效性和完整性进行审查。审查不合格的，其磋商响应将无效，不再进行后续磋商。</w:t>
            </w:r>
          </w:p>
          <w:p>
            <w:pPr>
              <w:adjustRightInd w:val="0"/>
              <w:snapToGrid w:val="0"/>
              <w:spacing w:line="320" w:lineRule="exact"/>
              <w:ind w:left="15" w:hanging="14" w:hangingChars="7"/>
              <w:rPr>
                <w:color w:val="auto"/>
                <w:highlight w:val="none"/>
              </w:rPr>
            </w:pPr>
            <w:r>
              <w:rPr>
                <w:rFonts w:hint="eastAsia"/>
                <w:color w:val="auto"/>
                <w:highlight w:val="none"/>
              </w:rPr>
              <w:t>具体审查内容见磋商须知第20条。</w:t>
            </w:r>
          </w:p>
          <w:p>
            <w:pPr>
              <w:adjustRightInd w:val="0"/>
              <w:snapToGrid w:val="0"/>
              <w:spacing w:line="320" w:lineRule="exact"/>
              <w:ind w:left="15" w:hanging="14" w:hangingChars="7"/>
              <w:rPr>
                <w:color w:val="auto"/>
                <w:highlight w:val="none"/>
              </w:rPr>
            </w:pPr>
            <w:r>
              <w:rPr>
                <w:rFonts w:hint="eastAsia"/>
                <w:color w:val="auto"/>
                <w:highlight w:val="none"/>
              </w:rPr>
              <w:t>2.磋商</w:t>
            </w:r>
          </w:p>
          <w:p>
            <w:pPr>
              <w:adjustRightInd w:val="0"/>
              <w:snapToGrid w:val="0"/>
              <w:spacing w:line="320" w:lineRule="exact"/>
              <w:ind w:left="15" w:hanging="14" w:hangingChars="7"/>
              <w:rPr>
                <w:color w:val="auto"/>
                <w:highlight w:val="none"/>
              </w:rPr>
            </w:pPr>
            <w:r>
              <w:rPr>
                <w:rFonts w:hint="eastAsia"/>
                <w:color w:val="auto"/>
                <w:highlight w:val="none"/>
              </w:rPr>
              <w:t>磋商小组通过在线询标（谈判）或钉钉的方式与每一供应商分别进行磋商（包括价格、技术等），供应商须对磋商小组提出的问题进行在线回复（须授权代表签字的，可签字后扫描上传或以电子签章方式）。</w:t>
            </w:r>
          </w:p>
          <w:p>
            <w:pPr>
              <w:adjustRightInd w:val="0"/>
              <w:snapToGrid w:val="0"/>
              <w:spacing w:line="320" w:lineRule="exact"/>
              <w:ind w:left="15" w:hanging="14" w:hangingChars="7"/>
              <w:rPr>
                <w:color w:val="auto"/>
                <w:highlight w:val="none"/>
              </w:rPr>
            </w:pPr>
            <w:r>
              <w:rPr>
                <w:rFonts w:hint="eastAsia"/>
                <w:color w:val="auto"/>
                <w:highlight w:val="none"/>
                <w:lang w:val="en-US" w:eastAsia="zh-CN"/>
              </w:rPr>
              <w:t>3</w:t>
            </w:r>
            <w:r>
              <w:rPr>
                <w:rFonts w:hint="eastAsia"/>
                <w:color w:val="auto"/>
                <w:highlight w:val="none"/>
              </w:rPr>
              <w:t>.最后报价</w:t>
            </w:r>
          </w:p>
          <w:p>
            <w:pPr>
              <w:adjustRightInd w:val="0"/>
              <w:snapToGrid w:val="0"/>
              <w:spacing w:line="320" w:lineRule="exact"/>
              <w:ind w:left="15" w:hanging="14" w:hangingChars="7"/>
              <w:rPr>
                <w:rFonts w:hint="eastAsia"/>
                <w:color w:val="auto"/>
                <w:highlight w:val="none"/>
              </w:rPr>
            </w:pPr>
            <w:r>
              <w:rPr>
                <w:color w:val="auto"/>
                <w:highlight w:val="none"/>
              </w:rPr>
              <w:t>磋商结束后，磋商小组要求所有实质性响应的供应商在规定时间内</w:t>
            </w:r>
            <w:r>
              <w:rPr>
                <w:rFonts w:hint="eastAsia"/>
                <w:color w:val="auto"/>
                <w:highlight w:val="none"/>
              </w:rPr>
              <w:t>上传</w:t>
            </w:r>
            <w:r>
              <w:rPr>
                <w:color w:val="auto"/>
                <w:highlight w:val="none"/>
              </w:rPr>
              <w:t>最后报价。最后报价是供应商响应文件的有效组成部分。</w:t>
            </w:r>
          </w:p>
          <w:p>
            <w:pPr>
              <w:adjustRightInd w:val="0"/>
              <w:snapToGrid w:val="0"/>
              <w:spacing w:line="320" w:lineRule="exact"/>
              <w:ind w:left="15" w:hanging="14" w:hangingChars="7"/>
              <w:rPr>
                <w:color w:val="auto"/>
                <w:highlight w:val="none"/>
              </w:rPr>
            </w:pPr>
            <w:r>
              <w:rPr>
                <w:rFonts w:hint="eastAsia"/>
                <w:color w:val="auto"/>
                <w:highlight w:val="none"/>
                <w:lang w:val="en-US" w:eastAsia="zh-CN"/>
              </w:rPr>
              <w:t>4</w:t>
            </w:r>
            <w:r>
              <w:rPr>
                <w:rFonts w:hint="eastAsia"/>
                <w:color w:val="auto"/>
                <w:highlight w:val="none"/>
              </w:rPr>
              <w:t>.综合评分</w:t>
            </w:r>
          </w:p>
          <w:p>
            <w:pPr>
              <w:adjustRightInd w:val="0"/>
              <w:snapToGrid w:val="0"/>
              <w:spacing w:line="320" w:lineRule="exact"/>
              <w:ind w:left="15" w:hanging="14" w:hangingChars="7"/>
              <w:rPr>
                <w:color w:val="auto"/>
                <w:highlight w:val="none"/>
              </w:rPr>
            </w:pPr>
            <w:r>
              <w:rPr>
                <w:color w:val="auto"/>
                <w:highlight w:val="none"/>
              </w:rPr>
              <w:t>商务技术评分</w:t>
            </w:r>
            <w:r>
              <w:rPr>
                <w:rFonts w:hint="eastAsia"/>
                <w:color w:val="auto"/>
                <w:highlight w:val="none"/>
              </w:rPr>
              <w:t>：由磋商小组对各供应商的技术商务充分审核、讨论及评议后，独立评分。</w:t>
            </w:r>
          </w:p>
          <w:p>
            <w:pPr>
              <w:adjustRightInd w:val="0"/>
              <w:snapToGrid w:val="0"/>
              <w:spacing w:line="320" w:lineRule="exact"/>
              <w:ind w:left="15" w:hanging="14" w:hangingChars="7"/>
              <w:rPr>
                <w:color w:val="auto"/>
                <w:highlight w:val="none"/>
              </w:rPr>
            </w:pPr>
            <w:r>
              <w:rPr>
                <w:color w:val="auto"/>
                <w:highlight w:val="none"/>
              </w:rPr>
              <w:t>商务技术评分汇总</w:t>
            </w:r>
            <w:r>
              <w:rPr>
                <w:rFonts w:hint="eastAsia"/>
                <w:color w:val="auto"/>
                <w:highlight w:val="none"/>
              </w:rPr>
              <w:t>。</w:t>
            </w:r>
          </w:p>
          <w:p>
            <w:pPr>
              <w:adjustRightInd w:val="0"/>
              <w:snapToGrid w:val="0"/>
              <w:spacing w:line="320" w:lineRule="exact"/>
              <w:ind w:left="15" w:hanging="14" w:hangingChars="7"/>
              <w:rPr>
                <w:color w:val="auto"/>
                <w:highlight w:val="none"/>
              </w:rPr>
            </w:pPr>
            <w:r>
              <w:rPr>
                <w:rFonts w:hint="eastAsia"/>
                <w:color w:val="auto"/>
                <w:highlight w:val="none"/>
              </w:rPr>
              <w:t>5.</w:t>
            </w:r>
            <w:r>
              <w:rPr>
                <w:color w:val="auto"/>
                <w:highlight w:val="none"/>
              </w:rPr>
              <w:t>开启</w:t>
            </w:r>
            <w:r>
              <w:rPr>
                <w:rFonts w:hint="eastAsia"/>
                <w:color w:val="auto"/>
                <w:highlight w:val="none"/>
              </w:rPr>
              <w:t>最后</w:t>
            </w:r>
            <w:r>
              <w:rPr>
                <w:color w:val="auto"/>
                <w:highlight w:val="none"/>
              </w:rPr>
              <w:t>报价</w:t>
            </w:r>
            <w:r>
              <w:rPr>
                <w:rFonts w:hint="eastAsia"/>
                <w:color w:val="auto"/>
                <w:highlight w:val="none"/>
              </w:rPr>
              <w:t>、报价评审：采购代理机构开启最后报价，由磋商小组对报价的合理性、准确性等进行审查核实。</w:t>
            </w:r>
          </w:p>
          <w:p>
            <w:pPr>
              <w:adjustRightInd w:val="0"/>
              <w:snapToGrid w:val="0"/>
              <w:spacing w:line="320" w:lineRule="exact"/>
              <w:ind w:left="15" w:hanging="14" w:hangingChars="7"/>
              <w:rPr>
                <w:color w:val="auto"/>
                <w:highlight w:val="none"/>
              </w:rPr>
            </w:pPr>
            <w:r>
              <w:rPr>
                <w:rFonts w:hint="eastAsia"/>
                <w:color w:val="auto"/>
                <w:highlight w:val="none"/>
                <w:lang w:val="en-US" w:eastAsia="zh-CN"/>
              </w:rPr>
              <w:t>6</w:t>
            </w:r>
            <w:r>
              <w:rPr>
                <w:rFonts w:hint="eastAsia"/>
                <w:color w:val="auto"/>
                <w:highlight w:val="none"/>
              </w:rPr>
              <w:t>.</w:t>
            </w:r>
            <w:r>
              <w:rPr>
                <w:color w:val="auto"/>
                <w:highlight w:val="none"/>
              </w:rPr>
              <w:t>得分汇总</w:t>
            </w:r>
            <w:r>
              <w:rPr>
                <w:rFonts w:hint="eastAsia"/>
                <w:color w:val="auto"/>
                <w:highlight w:val="none"/>
              </w:rPr>
              <w:t>、</w:t>
            </w:r>
            <w:r>
              <w:rPr>
                <w:color w:val="auto"/>
                <w:highlight w:val="none"/>
              </w:rPr>
              <w:t>结果公布</w:t>
            </w:r>
            <w:r>
              <w:rPr>
                <w:rFonts w:hint="eastAsia"/>
                <w:color w:val="auto"/>
                <w:highlight w:val="none"/>
              </w:rPr>
              <w:t>：供应商可通过在线平台查看评审结果。</w:t>
            </w:r>
          </w:p>
          <w:p>
            <w:pPr>
              <w:adjustRightInd w:val="0"/>
              <w:snapToGrid w:val="0"/>
              <w:spacing w:line="320" w:lineRule="exact"/>
              <w:ind w:left="15" w:hanging="14" w:hangingChars="7"/>
              <w:rPr>
                <w:rFonts w:hint="eastAsia"/>
                <w:color w:val="auto"/>
                <w:highlight w:val="none"/>
              </w:rPr>
            </w:pPr>
            <w:r>
              <w:rPr>
                <w:rFonts w:hint="eastAsia"/>
                <w:color w:val="auto"/>
                <w:highlight w:val="none"/>
              </w:rPr>
              <w:t>说明：供应商在磋商过程中如遇政采云平台原因无法实现在线操作的，可通过邮件、传真等形式补充提交。</w:t>
            </w:r>
          </w:p>
          <w:p>
            <w:pPr>
              <w:adjustRightInd w:val="0"/>
              <w:snapToGrid w:val="0"/>
              <w:spacing w:line="320" w:lineRule="exact"/>
              <w:ind w:left="15" w:hanging="14" w:hangingChars="7"/>
              <w:rPr>
                <w:color w:val="auto"/>
                <w:highlight w:val="none"/>
              </w:rPr>
            </w:pPr>
            <w:r>
              <w:rPr>
                <w:rFonts w:hint="eastAsia"/>
                <w:color w:val="auto"/>
                <w:highlight w:val="none"/>
                <w:lang w:val="en-US" w:eastAsia="zh-CN"/>
              </w:rPr>
              <w:t>特别说明：政采云公司如对电子化开标及评审程序有调整的，按调整后的程序操作。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153" w:type="dxa"/>
            <w:vAlign w:val="center"/>
          </w:tcPr>
          <w:p>
            <w:pPr>
              <w:rPr>
                <w:rFonts w:ascii="宋体" w:hAnsi="宋体" w:cs="宋体"/>
                <w:color w:val="auto"/>
                <w:szCs w:val="21"/>
                <w:highlight w:val="none"/>
              </w:rPr>
            </w:pPr>
            <w:r>
              <w:rPr>
                <w:rFonts w:hint="eastAsia" w:ascii="宋体" w:hAnsi="宋体" w:cs="宋体"/>
                <w:bCs/>
                <w:color w:val="auto"/>
                <w:szCs w:val="21"/>
                <w:highlight w:val="none"/>
              </w:rPr>
              <w:t xml:space="preserve">本项目不设置履约保证金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合同款的支付</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转包</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未经采购人允许，本项目不得转包。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评审办法</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质疑</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根据《中华人民共和国政府采购法》第五十二条、《中华人民共和国政府采购法实施条例》第五十三条、《政府采购质疑和投诉办法》的规定：</w:t>
            </w:r>
          </w:p>
          <w:p>
            <w:pPr>
              <w:rPr>
                <w:rFonts w:ascii="宋体" w:hAnsi="宋体" w:cs="宋体"/>
                <w:color w:val="auto"/>
                <w:szCs w:val="21"/>
                <w:highlight w:val="none"/>
              </w:rPr>
            </w:pPr>
            <w:r>
              <w:rPr>
                <w:rFonts w:hint="eastAsia" w:ascii="宋体" w:hAnsi="宋体" w:cs="宋体"/>
                <w:color w:val="auto"/>
                <w:szCs w:val="21"/>
                <w:highlight w:val="none"/>
              </w:rPr>
              <w:t>供应商认为磋商文件、磋商过程和成交、成交结果使自己的权益受到损害的，可以在知道或者应知其权益受到损害之日起七个工作日内，以书面形式向采购人、采购代理机构提出质疑。</w:t>
            </w:r>
          </w:p>
          <w:p>
            <w:pPr>
              <w:rPr>
                <w:rFonts w:ascii="宋体" w:hAnsi="宋体" w:cs="宋体"/>
                <w:color w:val="auto"/>
                <w:szCs w:val="21"/>
                <w:highlight w:val="none"/>
              </w:rPr>
            </w:pPr>
            <w:r>
              <w:rPr>
                <w:rFonts w:hint="eastAsia" w:ascii="宋体" w:hAnsi="宋体" w:cs="宋体"/>
                <w:color w:val="auto"/>
                <w:szCs w:val="21"/>
                <w:highlight w:val="none"/>
              </w:rPr>
              <w:t>本项目要求供应商在法定质疑期内一次性提出针对同一采购程序环节的质疑。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投诉</w:t>
            </w:r>
          </w:p>
        </w:tc>
        <w:tc>
          <w:tcPr>
            <w:tcW w:w="6153" w:type="dxa"/>
            <w:vAlign w:val="center"/>
          </w:tcPr>
          <w:p>
            <w:pPr>
              <w:rPr>
                <w:rFonts w:ascii="宋体" w:hAnsi="宋体" w:cs="宋体"/>
                <w:color w:val="auto"/>
                <w:szCs w:val="21"/>
                <w:highlight w:val="none"/>
              </w:rPr>
            </w:pPr>
            <w:r>
              <w:rPr>
                <w:rFonts w:hint="eastAsia" w:ascii="宋体" w:hAnsi="宋体" w:cs="宋体"/>
                <w:color w:val="auto"/>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153" w:type="dxa"/>
            <w:vAlign w:val="center"/>
          </w:tcPr>
          <w:p>
            <w:pPr>
              <w:pStyle w:val="9"/>
              <w:spacing w:line="380" w:lineRule="exact"/>
              <w:ind w:firstLine="120" w:firstLineChars="50"/>
              <w:rPr>
                <w:rFonts w:cs="宋体"/>
                <w:color w:val="auto"/>
                <w:sz w:val="21"/>
                <w:szCs w:val="21"/>
                <w:highlight w:val="none"/>
              </w:rPr>
            </w:pPr>
            <w:r>
              <w:rPr>
                <w:rFonts w:hint="eastAsia" w:cs="宋体"/>
                <w:b/>
                <w:bCs/>
                <w:color w:val="auto"/>
                <w:szCs w:val="21"/>
                <w:highlight w:val="none"/>
              </w:rPr>
              <w:t>磋商报价分二轮进行，首次报价在响应文件中体现；最终报价由各供应商在规定时间内通过政采云平台在线完成；在规定时间内没有提交最终报价的磋商供应商，其响应文件视为无效。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82" w:type="dxa"/>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注意事项</w:t>
            </w:r>
          </w:p>
        </w:tc>
        <w:tc>
          <w:tcPr>
            <w:tcW w:w="6153" w:type="dxa"/>
            <w:vAlign w:val="center"/>
          </w:tcPr>
          <w:p>
            <w:pPr>
              <w:pStyle w:val="11"/>
              <w:spacing w:line="380" w:lineRule="exact"/>
              <w:ind w:left="0" w:rightChars="0"/>
              <w:jc w:val="both"/>
              <w:rPr>
                <w:rFonts w:hint="default" w:cs="宋体"/>
                <w:snapToGrid w:val="0"/>
                <w:color w:val="auto"/>
                <w:kern w:val="0"/>
                <w:sz w:val="21"/>
                <w:szCs w:val="21"/>
                <w:highlight w:val="none"/>
              </w:rPr>
            </w:pPr>
            <w:r>
              <w:rPr>
                <w:rFonts w:cs="宋体"/>
                <w:snapToGrid w:val="0"/>
                <w:color w:val="auto"/>
                <w:kern w:val="0"/>
                <w:sz w:val="21"/>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3．质疑、投诉人未按前列序号第 23、24条规定进行质疑、投诉（申诉）、举报等，均属于扰乱市场不良行为，直至公示。</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4.磋商文件中凡标注“▲”的条款均为实质性要求，未响应的响应文件将作无效标处理。</w:t>
            </w:r>
          </w:p>
          <w:p>
            <w:pPr>
              <w:pStyle w:val="9"/>
              <w:spacing w:line="380" w:lineRule="exact"/>
              <w:ind w:firstLine="0"/>
              <w:rPr>
                <w:rFonts w:cs="宋体"/>
                <w:color w:val="auto"/>
                <w:sz w:val="21"/>
                <w:szCs w:val="21"/>
                <w:highlight w:val="none"/>
              </w:rPr>
            </w:pPr>
            <w:r>
              <w:rPr>
                <w:rFonts w:hint="eastAsia" w:cs="宋体"/>
                <w:color w:val="auto"/>
                <w:sz w:val="21"/>
                <w:szCs w:val="21"/>
                <w:highlight w:val="none"/>
              </w:rPr>
              <w:t>5. 法定代表人授权书格式见附件，如投标单位无法定代表人，则由单位负责人代替。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highlight w:val="none"/>
              </w:rPr>
            </w:pPr>
            <w:r>
              <w:rPr>
                <w:rFonts w:hint="eastAsia" w:ascii="宋体" w:hAnsi="宋体" w:cs="宋体"/>
                <w:color w:val="auto"/>
                <w:highlight w:val="none"/>
              </w:rPr>
              <w:t>供应商信用信息事项</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信用信息查询渠道及截止时间：采购人或代理机构工作人员将通过“信用中国”网站(www.creditchina.gov.cn)、中国政府采购网(www.ccgp.gov.cn)渠道查询供应商磋商截止时间前的信用记录。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auto"/>
                <w:sz w:val="24"/>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信用信息查询记录和证据留存的具体方式：采购代理机构开标当天查询供应商的信用记录，查询结果经确认后与采购文件一起存档。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auto"/>
                <w:sz w:val="24"/>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信用信息的使用规则：经查询列入失信被执行人名单、重大税收违法案件当事人名单、政府采购严重违法失信行为记录名单的投标人的投标文件将被拒绝。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auto"/>
                <w:sz w:val="24"/>
                <w:highlight w:val="none"/>
              </w:rPr>
            </w:pPr>
            <w:r>
              <w:rPr>
                <w:rFonts w:hint="eastAsia" w:ascii="宋体" w:hAnsi="宋体" w:cs="宋体"/>
                <w:color w:val="auto"/>
                <w:szCs w:val="21"/>
                <w:highlight w:val="none"/>
              </w:rPr>
              <w:t>采购代理服务费</w:t>
            </w: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招标代理服务费按浙价服（2003）77号文件标准收取，由中标单位在领取中标通知书的同时支付给招标代理公司。 （计算后不足7000元按7000元计）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pStyle w:val="39"/>
              <w:numPr>
                <w:ilvl w:val="0"/>
                <w:numId w:val="1"/>
              </w:numPr>
              <w:tabs>
                <w:tab w:val="left" w:pos="420"/>
              </w:tabs>
              <w:adjustRightInd/>
              <w:spacing w:line="240" w:lineRule="auto"/>
              <w:rPr>
                <w:rFonts w:hint="default" w:cs="宋体"/>
                <w:color w:val="auto"/>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color w:val="auto"/>
                <w:szCs w:val="21"/>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hint="eastAsia" w:ascii="宋体" w:hAnsi="宋体"/>
                <w:b/>
                <w:bCs/>
                <w:color w:val="auto"/>
                <w:szCs w:val="21"/>
                <w:highlight w:val="none"/>
              </w:rPr>
            </w:pPr>
            <w:r>
              <w:rPr>
                <w:rFonts w:hint="eastAsia" w:ascii="宋体" w:hAnsi="宋体"/>
                <w:b/>
                <w:bCs/>
                <w:color w:val="auto"/>
                <w:szCs w:val="21"/>
                <w:highlight w:val="none"/>
              </w:rPr>
              <w:t>一、说明</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中小企业</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pPr>
              <w:adjustRightInd w:val="0"/>
              <w:snapToGrid w:val="0"/>
              <w:spacing w:line="38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残疾人福利性单位</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8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监狱企业</w:t>
            </w:r>
          </w:p>
          <w:p>
            <w:pPr>
              <w:adjustRightInd w:val="0"/>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80" w:lineRule="exact"/>
              <w:rPr>
                <w:rFonts w:hint="eastAsia" w:ascii="宋体" w:hAnsi="宋体"/>
                <w:b/>
                <w:bCs/>
                <w:color w:val="auto"/>
                <w:szCs w:val="21"/>
                <w:highlight w:val="none"/>
              </w:rPr>
            </w:pPr>
            <w:r>
              <w:rPr>
                <w:rFonts w:hint="eastAsia" w:ascii="宋体" w:hAnsi="宋体"/>
                <w:b/>
                <w:bCs/>
                <w:color w:val="auto"/>
                <w:szCs w:val="21"/>
                <w:highlight w:val="none"/>
              </w:rPr>
              <w:t>二、针对本项目的相关规定</w:t>
            </w:r>
          </w:p>
          <w:p>
            <w:pPr>
              <w:adjustRightInd w:val="0"/>
              <w:snapToGrid w:val="0"/>
              <w:spacing w:line="380" w:lineRule="exact"/>
              <w:rPr>
                <w:rFonts w:hint="eastAsia" w:ascii="宋体" w:hAnsi="宋体"/>
                <w:b/>
                <w:bCs/>
                <w:color w:val="auto"/>
                <w:szCs w:val="21"/>
                <w:highlight w:val="none"/>
              </w:rPr>
            </w:pPr>
            <w:r>
              <w:rPr>
                <w:rFonts w:hint="eastAsia" w:ascii="宋体" w:hAnsi="宋体"/>
                <w:b/>
                <w:bCs/>
                <w:color w:val="auto"/>
                <w:szCs w:val="21"/>
                <w:highlight w:val="none"/>
              </w:rPr>
              <w:t>1.本项目属于预留份额专门面向中小</w:t>
            </w:r>
            <w:r>
              <w:rPr>
                <w:rFonts w:hint="eastAsia" w:ascii="宋体" w:hAnsi="宋体"/>
                <w:b/>
                <w:bCs/>
                <w:color w:val="auto"/>
                <w:szCs w:val="21"/>
                <w:highlight w:val="none"/>
                <w:lang w:val="en-US" w:eastAsia="zh-CN"/>
              </w:rPr>
              <w:t>微</w:t>
            </w:r>
            <w:r>
              <w:rPr>
                <w:rFonts w:hint="eastAsia" w:ascii="宋体" w:hAnsi="宋体"/>
                <w:b/>
                <w:bCs/>
                <w:color w:val="auto"/>
                <w:szCs w:val="21"/>
                <w:highlight w:val="none"/>
              </w:rPr>
              <w:t>企业采购的项目。</w:t>
            </w:r>
          </w:p>
          <w:p>
            <w:pPr>
              <w:adjustRightInd w:val="0"/>
              <w:snapToGrid w:val="0"/>
              <w:spacing w:line="320" w:lineRule="exact"/>
              <w:rPr>
                <w:rFonts w:hint="eastAsia" w:ascii="宋体" w:hAnsi="宋体" w:cs="宋体"/>
                <w:color w:val="auto"/>
                <w:highlight w:val="none"/>
              </w:rPr>
            </w:pPr>
            <w:r>
              <w:rPr>
                <w:rFonts w:hint="eastAsia" w:ascii="宋体" w:hAnsi="宋体"/>
                <w:b/>
                <w:bCs/>
                <w:color w:val="auto"/>
                <w:szCs w:val="21"/>
                <w:highlight w:val="none"/>
              </w:rPr>
              <w:t>2.本项目采购标的对应的中小企业划分标准所属行业</w:t>
            </w:r>
            <w:r>
              <w:rPr>
                <w:rFonts w:hint="eastAsia" w:ascii="宋体" w:hAnsi="宋体" w:eastAsia="宋体" w:cs="Times New Roman"/>
                <w:b/>
                <w:bCs/>
                <w:color w:val="auto"/>
                <w:szCs w:val="21"/>
                <w:highlight w:val="none"/>
              </w:rPr>
              <w:t>为：</w:t>
            </w:r>
            <w:r>
              <w:rPr>
                <w:rFonts w:hint="eastAsia" w:ascii="宋体" w:hAnsi="宋体" w:cs="Times New Roman"/>
                <w:b/>
                <w:bCs/>
                <w:color w:val="auto"/>
                <w:szCs w:val="21"/>
                <w:highlight w:val="none"/>
                <w:lang w:eastAsia="zh-CN"/>
              </w:rPr>
              <w:t>其他未列明行业</w:t>
            </w:r>
            <w:r>
              <w:rPr>
                <w:rFonts w:hint="eastAsia" w:ascii="宋体" w:hAnsi="宋体" w:eastAsia="宋体" w:cs="Times New Roman"/>
                <w:b/>
                <w:bCs/>
                <w:color w:val="auto"/>
                <w:szCs w:val="21"/>
                <w:highlight w:val="none"/>
              </w:rPr>
              <w:t>。</w:t>
            </w:r>
          </w:p>
        </w:tc>
      </w:tr>
    </w:tbl>
    <w:p>
      <w:pPr>
        <w:pStyle w:val="2"/>
        <w:snapToGrid w:val="0"/>
        <w:spacing w:before="240" w:after="240" w:line="240" w:lineRule="auto"/>
        <w:rPr>
          <w:color w:val="auto"/>
          <w:highlight w:val="none"/>
        </w:rPr>
      </w:pPr>
      <w:r>
        <w:rPr>
          <w:rFonts w:ascii="宋体" w:hAnsi="宋体" w:eastAsia="宋体"/>
          <w:color w:val="auto"/>
          <w:sz w:val="32"/>
          <w:highlight w:val="none"/>
        </w:rPr>
        <w:br w:type="page"/>
      </w:r>
      <w:bookmarkStart w:id="7" w:name="_Toc9234"/>
      <w:r>
        <w:rPr>
          <w:rFonts w:hint="eastAsia" w:ascii="宋体" w:hAnsi="宋体" w:eastAsia="宋体"/>
          <w:color w:val="auto"/>
          <w:sz w:val="32"/>
          <w:highlight w:val="none"/>
        </w:rPr>
        <w:t>第二部分   磋商须知</w:t>
      </w:r>
      <w:bookmarkEnd w:id="4"/>
      <w:bookmarkEnd w:id="7"/>
    </w:p>
    <w:p>
      <w:pPr>
        <w:pStyle w:val="3"/>
        <w:spacing w:before="0" w:after="0" w:line="460" w:lineRule="exact"/>
        <w:ind w:firstLine="420" w:firstLineChars="200"/>
        <w:rPr>
          <w:rFonts w:ascii="宋体" w:hAnsi="宋体" w:eastAsia="宋体" w:cs="宋体"/>
          <w:color w:val="auto"/>
          <w:sz w:val="21"/>
          <w:szCs w:val="21"/>
          <w:highlight w:val="none"/>
        </w:rPr>
      </w:pPr>
      <w:bookmarkStart w:id="8" w:name="_Toc16194"/>
      <w:bookmarkStart w:id="9" w:name="_Toc27482"/>
      <w:bookmarkStart w:id="10" w:name="_Toc22004"/>
      <w:bookmarkStart w:id="11" w:name="_Toc183786415"/>
      <w:r>
        <w:rPr>
          <w:rFonts w:hint="eastAsia" w:ascii="宋体" w:hAnsi="宋体" w:eastAsia="宋体" w:cs="宋体"/>
          <w:color w:val="auto"/>
          <w:sz w:val="21"/>
          <w:szCs w:val="21"/>
          <w:highlight w:val="none"/>
        </w:rPr>
        <w:t>一、总则</w:t>
      </w:r>
      <w:bookmarkEnd w:id="8"/>
      <w:bookmarkEnd w:id="9"/>
      <w:bookmarkEnd w:id="10"/>
      <w:bookmarkEnd w:id="11"/>
    </w:p>
    <w:p>
      <w:pPr>
        <w:adjustRightIn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pPr>
        <w:adjustRightIn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1．适用范围</w:t>
      </w:r>
    </w:p>
    <w:p>
      <w:pPr>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1.1本次磋商工作仅适用于</w:t>
      </w:r>
      <w:r>
        <w:rPr>
          <w:rFonts w:hint="eastAsia"/>
          <w:b/>
          <w:bCs/>
          <w:color w:val="auto"/>
          <w:highlight w:val="none"/>
          <w:u w:val="single"/>
          <w:lang w:eastAsia="zh-CN"/>
        </w:rPr>
        <w:t>2024年度嘉兴港区不动产档案电子化项目</w:t>
      </w:r>
      <w:r>
        <w:rPr>
          <w:rFonts w:hint="eastAsia" w:ascii="宋体" w:hAnsi="宋体" w:cs="宋体"/>
          <w:color w:val="auto"/>
          <w:szCs w:val="21"/>
          <w:highlight w:val="none"/>
          <w:u w:val="single"/>
        </w:rPr>
        <w:t>。</w:t>
      </w:r>
    </w:p>
    <w:p>
      <w:pPr>
        <w:adjustRightIn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1.2本项目采购方式采用竞争性磋商方式。</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2．定义</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w:t>
      </w:r>
      <w:r>
        <w:rPr>
          <w:rFonts w:hint="eastAsia"/>
          <w:b/>
          <w:color w:val="auto"/>
          <w:highlight w:val="none"/>
          <w:u w:val="single"/>
          <w:lang w:eastAsia="zh-CN"/>
        </w:rPr>
        <w:t>浙江乍浦经济开发区（嘉兴港区）管理委员会</w:t>
      </w:r>
      <w:r>
        <w:rPr>
          <w:rFonts w:hint="eastAsia" w:ascii="宋体" w:hAnsi="宋体" w:cs="宋体"/>
          <w:color w:val="auto"/>
          <w:szCs w:val="21"/>
          <w:highlight w:val="none"/>
        </w:rPr>
        <w:t>。采购人委托</w:t>
      </w:r>
      <w:r>
        <w:rPr>
          <w:rFonts w:hint="eastAsia" w:ascii="宋体" w:hAnsi="宋体" w:cs="宋体"/>
          <w:b/>
          <w:color w:val="auto"/>
          <w:szCs w:val="21"/>
          <w:highlight w:val="none"/>
          <w:u w:val="single"/>
        </w:rPr>
        <w:t>嘉兴市银建工程咨询评估有限公司</w:t>
      </w:r>
      <w:r>
        <w:rPr>
          <w:rFonts w:hint="eastAsia" w:ascii="宋体" w:hAnsi="宋体" w:cs="宋体"/>
          <w:color w:val="auto"/>
          <w:szCs w:val="21"/>
          <w:highlight w:val="none"/>
        </w:rPr>
        <w:t>为本项目采购代理机构。</w:t>
      </w:r>
    </w:p>
    <w:p>
      <w:pPr>
        <w:adjustRightInd w:val="0"/>
        <w:spacing w:line="360" w:lineRule="auto"/>
        <w:ind w:firstLine="420" w:firstLineChars="200"/>
        <w:rPr>
          <w:rFonts w:ascii="宋体" w:hAnsi="宋体" w:cs="宋体"/>
          <w:color w:val="auto"/>
          <w:szCs w:val="21"/>
          <w:highlight w:val="none"/>
          <w:u w:val="single"/>
          <w:shd w:val="pct10" w:color="auto" w:fill="FFFFFF"/>
        </w:rPr>
      </w:pPr>
      <w:r>
        <w:rPr>
          <w:rFonts w:hint="eastAsia" w:ascii="宋体" w:hAnsi="宋体" w:cs="宋体"/>
          <w:color w:val="auto"/>
          <w:szCs w:val="21"/>
          <w:highlight w:val="none"/>
        </w:rPr>
        <w:t>2.2磋商供应商：响应本次采购，参加本次竞争性磋商的供应商。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2.3服务：磋商供应商按合同规定，须承担服务的义务。</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3．采购项目概况</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详见竞争性磋商公告相关内容，主要要求参见本文件第三部分。</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4．合格的磋商供应商</w:t>
      </w:r>
    </w:p>
    <w:p>
      <w:pPr>
        <w:adjustRightInd w:val="0"/>
        <w:spacing w:line="360" w:lineRule="auto"/>
        <w:ind w:firstLine="420" w:firstLineChars="200"/>
        <w:rPr>
          <w:rFonts w:ascii="宋体" w:hAnsi="宋体" w:cs="宋体"/>
          <w:color w:val="auto"/>
          <w:szCs w:val="21"/>
          <w:highlight w:val="none"/>
        </w:rPr>
      </w:pPr>
      <w:bookmarkStart w:id="12" w:name="_Toc193523219"/>
      <w:bookmarkStart w:id="13" w:name="_Toc211412066"/>
      <w:bookmarkStart w:id="14" w:name="_Toc209504018"/>
      <w:bookmarkStart w:id="15" w:name="_Toc207946571"/>
      <w:bookmarkStart w:id="16" w:name="_Toc208913145"/>
      <w:bookmarkStart w:id="17" w:name="_Toc197163261"/>
      <w:bookmarkStart w:id="18" w:name="_Toc197657950"/>
      <w:bookmarkStart w:id="19" w:name="_Toc197156227"/>
      <w:bookmarkStart w:id="20" w:name="_Toc208287611"/>
      <w:bookmarkStart w:id="21" w:name="_Toc197053926"/>
      <w:bookmarkStart w:id="22" w:name="_Toc209435242"/>
      <w:bookmarkStart w:id="23" w:name="_Toc193538208"/>
      <w:bookmarkStart w:id="24" w:name="_Toc204683265"/>
      <w:bookmarkStart w:id="25" w:name="_Toc209520993"/>
      <w:r>
        <w:rPr>
          <w:rFonts w:hint="eastAsia" w:ascii="宋体" w:hAnsi="宋体" w:cs="宋体"/>
          <w:color w:val="auto"/>
          <w:szCs w:val="21"/>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4.1合格的磋商供应商，详见采购公告规定的供应商必须具备的资格条件并经采购人或采购代理机构审查通过的。</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4.2对供应商的限制</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4.2.2以联合体形式参加政府采购活动的，联合体各方不得再单独参加或者与其他投标人另外组成联合体参加同一合同项下的政府采购活动；</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4.2.3为证明供应商拥有的业绩、荣誉、知识产权、项目案例等而在响应文件中提供的证明材料必须为磋商供应商自身所有。不同法人、其他组织的资料与磋商供应商无关。</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5．磋商费用</w:t>
      </w:r>
    </w:p>
    <w:p>
      <w:pPr>
        <w:adjustRightInd w:val="0"/>
        <w:spacing w:line="360" w:lineRule="auto"/>
        <w:ind w:firstLine="420" w:firstLineChars="200"/>
        <w:rPr>
          <w:rFonts w:ascii="宋体" w:hAnsi="宋体" w:cs="宋体"/>
          <w:color w:val="auto"/>
          <w:szCs w:val="21"/>
          <w:highlight w:val="none"/>
        </w:rPr>
      </w:pPr>
      <w:bookmarkStart w:id="26" w:name="_Toc183786416"/>
      <w:r>
        <w:rPr>
          <w:rFonts w:hint="eastAsia" w:ascii="宋体" w:hAnsi="宋体" w:cs="宋体"/>
          <w:color w:val="auto"/>
          <w:szCs w:val="21"/>
          <w:highlight w:val="none"/>
        </w:rPr>
        <w:t>磋商供应商应承担其参加磋商所涉及的一切费用，不管结果如何，采购人对上述费用不负任何责任。</w:t>
      </w:r>
    </w:p>
    <w:p>
      <w:pPr>
        <w:pStyle w:val="3"/>
        <w:spacing w:before="120" w:after="120" w:line="360" w:lineRule="auto"/>
        <w:rPr>
          <w:rFonts w:ascii="宋体" w:hAnsi="宋体" w:eastAsia="宋体" w:cs="宋体"/>
          <w:color w:val="auto"/>
          <w:sz w:val="21"/>
          <w:szCs w:val="21"/>
          <w:highlight w:val="none"/>
        </w:rPr>
      </w:pPr>
      <w:bookmarkStart w:id="27" w:name="_Toc31583"/>
      <w:bookmarkStart w:id="28" w:name="_Toc18667"/>
      <w:bookmarkStart w:id="29" w:name="_Toc18825"/>
      <w:r>
        <w:rPr>
          <w:rFonts w:hint="eastAsia" w:ascii="宋体" w:hAnsi="宋体" w:eastAsia="宋体" w:cs="宋体"/>
          <w:color w:val="auto"/>
          <w:sz w:val="21"/>
          <w:szCs w:val="21"/>
          <w:highlight w:val="none"/>
        </w:rPr>
        <w:t>二、</w:t>
      </w:r>
      <w:bookmarkEnd w:id="26"/>
      <w:r>
        <w:rPr>
          <w:rFonts w:hint="eastAsia" w:ascii="宋体" w:hAnsi="宋体" w:eastAsia="宋体" w:cs="宋体"/>
          <w:color w:val="auto"/>
          <w:sz w:val="21"/>
          <w:szCs w:val="21"/>
          <w:highlight w:val="none"/>
        </w:rPr>
        <w:t>竞争性磋商文件</w:t>
      </w:r>
      <w:bookmarkEnd w:id="27"/>
      <w:bookmarkEnd w:id="28"/>
      <w:bookmarkEnd w:id="29"/>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6.磋商文件的组成</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6.1本磋商文件包括目录所示内容及所有按本须知发出的补充资料。</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6.2除上述所列内容外，采购人及采购代理机构的任何工作人员对磋商供应商所作的任何口头解释、介绍、答复，只能供磋商供应商参考，对采购人和磋商供应商无任何约束力。</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6.3磋商供应商应仔细阅读磋商文件的所有内容，按照文件要求提交响应文件，并保证所提交的全部资料的真实性。不按磋商文件的要求提供的响应文件和资料，可能导致磋商被拒绝。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pPr>
        <w:adjustRightIn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7．磋商文件的澄清与修改</w:t>
      </w:r>
    </w:p>
    <w:p>
      <w:pPr>
        <w:pStyle w:val="9"/>
        <w:ind w:firstLine="420" w:firstLineChars="200"/>
        <w:rPr>
          <w:rFonts w:cs="宋体"/>
          <w:color w:val="auto"/>
          <w:sz w:val="21"/>
          <w:szCs w:val="21"/>
          <w:highlight w:val="none"/>
        </w:rPr>
      </w:pPr>
      <w:bookmarkStart w:id="30" w:name="_Toc183786417"/>
      <w:r>
        <w:rPr>
          <w:rFonts w:hint="eastAsia" w:cs="宋体"/>
          <w:color w:val="auto"/>
          <w:sz w:val="21"/>
          <w:szCs w:val="21"/>
          <w:highlight w:val="none"/>
        </w:rPr>
        <w:t>7.1磋商供应商在获取竞争性磋商文件后，若有问题需要澄清或认为有必要与采购人进行技术交流，应于前附表规定时间前，将问题</w:t>
      </w:r>
      <w:r>
        <w:rPr>
          <w:rFonts w:hint="eastAsia" w:cs="宋体"/>
          <w:color w:val="auto"/>
          <w:sz w:val="21"/>
          <w:szCs w:val="21"/>
          <w:highlight w:val="none"/>
          <w:lang w:val="en-US" w:eastAsia="zh-CN"/>
        </w:rPr>
        <w:t>提交</w:t>
      </w:r>
      <w:r>
        <w:rPr>
          <w:rFonts w:hint="eastAsia" w:cs="宋体"/>
          <w:color w:val="auto"/>
          <w:sz w:val="21"/>
          <w:szCs w:val="21"/>
          <w:highlight w:val="none"/>
        </w:rPr>
        <w:t>至招标</w:t>
      </w:r>
      <w:r>
        <w:rPr>
          <w:rFonts w:hint="eastAsia" w:cs="宋体"/>
          <w:b/>
          <w:color w:val="auto"/>
          <w:sz w:val="21"/>
          <w:szCs w:val="21"/>
          <w:highlight w:val="none"/>
        </w:rPr>
        <w:t>代理公司，</w:t>
      </w:r>
      <w:r>
        <w:rPr>
          <w:rFonts w:hint="eastAsia" w:cs="宋体"/>
          <w:color w:val="auto"/>
          <w:sz w:val="21"/>
          <w:szCs w:val="21"/>
          <w:highlight w:val="none"/>
        </w:rPr>
        <w:t>同时将问题发电子邮件至邮箱</w:t>
      </w:r>
      <w:r>
        <w:rPr>
          <w:rFonts w:hint="eastAsia" w:cs="宋体"/>
          <w:b/>
          <w:color w:val="auto"/>
          <w:sz w:val="21"/>
          <w:szCs w:val="21"/>
          <w:highlight w:val="none"/>
        </w:rPr>
        <w:t>。</w:t>
      </w:r>
      <w:r>
        <w:rPr>
          <w:rFonts w:hint="eastAsia" w:cs="宋体"/>
          <w:color w:val="auto"/>
          <w:sz w:val="21"/>
          <w:szCs w:val="21"/>
          <w:highlight w:val="none"/>
          <w:lang w:val="zh-CN"/>
        </w:rPr>
        <w:t>（电子邮件只作方便工作之用，与书面文件有不一致的，以书面文件为准）。截止期后的疑问将不予受理、答复。</w:t>
      </w:r>
    </w:p>
    <w:p>
      <w:pPr>
        <w:pStyle w:val="9"/>
        <w:ind w:right="-252" w:rightChars="-120" w:firstLine="420" w:firstLineChars="200"/>
        <w:rPr>
          <w:rFonts w:cs="宋体"/>
          <w:color w:val="auto"/>
          <w:sz w:val="21"/>
          <w:szCs w:val="21"/>
          <w:highlight w:val="none"/>
        </w:rPr>
      </w:pPr>
      <w:r>
        <w:rPr>
          <w:rFonts w:hint="eastAsia" w:cs="宋体"/>
          <w:color w:val="auto"/>
          <w:sz w:val="21"/>
          <w:szCs w:val="21"/>
          <w:highlight w:val="none"/>
        </w:rPr>
        <w:t>7.2磋商供应商要求解释或澄清的问题应以书面形式，并加盖公章、写明日期。</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7.3上传响应文件截止之日前，采购人、采购代理机构或者磋商小组可以对已发出的磋商文件进行必要的澄清或者修改，澄清或者修改的内容作为磋商文件的组成部分。</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7.4竞争性磋商文件的澄清修改文件，将以更正公告的形式通知所有获取竞争性磋商文件的供应商，并对其具有约束力。供应商须随时关注网站的最新信息。</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7.6竞争性磋商文件澄清、答复、修改、补充的内容为竞争性磋商文件的组成部分。</w:t>
      </w:r>
    </w:p>
    <w:p>
      <w:pPr>
        <w:pStyle w:val="3"/>
        <w:spacing w:before="120" w:after="120" w:line="360" w:lineRule="auto"/>
        <w:rPr>
          <w:rFonts w:ascii="宋体" w:hAnsi="宋体" w:eastAsia="宋体" w:cs="宋体"/>
          <w:color w:val="auto"/>
          <w:sz w:val="21"/>
          <w:szCs w:val="21"/>
          <w:highlight w:val="none"/>
        </w:rPr>
      </w:pPr>
      <w:bookmarkStart w:id="31" w:name="_Toc24095"/>
      <w:bookmarkStart w:id="32" w:name="_Toc2458"/>
      <w:bookmarkStart w:id="33" w:name="_Toc7224"/>
      <w:r>
        <w:rPr>
          <w:rFonts w:hint="eastAsia" w:ascii="宋体" w:hAnsi="宋体" w:eastAsia="宋体" w:cs="宋体"/>
          <w:color w:val="auto"/>
          <w:sz w:val="21"/>
          <w:szCs w:val="21"/>
          <w:highlight w:val="none"/>
        </w:rPr>
        <w:t>三、响应文件</w:t>
      </w:r>
      <w:bookmarkEnd w:id="30"/>
      <w:r>
        <w:rPr>
          <w:rFonts w:hint="eastAsia" w:ascii="宋体" w:hAnsi="宋体" w:eastAsia="宋体" w:cs="宋体"/>
          <w:color w:val="auto"/>
          <w:sz w:val="21"/>
          <w:szCs w:val="21"/>
          <w:highlight w:val="none"/>
        </w:rPr>
        <w:t>编制要求</w:t>
      </w:r>
      <w:bookmarkEnd w:id="31"/>
      <w:bookmarkEnd w:id="32"/>
      <w:bookmarkEnd w:id="33"/>
    </w:p>
    <w:p>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8．响应文件的组成</w:t>
      </w:r>
    </w:p>
    <w:p>
      <w:pPr>
        <w:autoSpaceDE w:val="0"/>
        <w:autoSpaceDN w:val="0"/>
        <w:spacing w:line="360" w:lineRule="auto"/>
        <w:ind w:firstLine="570"/>
        <w:textAlignment w:val="bottom"/>
        <w:rPr>
          <w:rFonts w:ascii="宋体" w:hAnsi="宋体" w:cs="宋体"/>
          <w:color w:val="auto"/>
          <w:szCs w:val="21"/>
          <w:highlight w:val="none"/>
        </w:rPr>
      </w:pPr>
      <w:r>
        <w:rPr>
          <w:rFonts w:hint="eastAsia" w:ascii="宋体" w:hAnsi="宋体" w:cs="宋体"/>
          <w:color w:val="auto"/>
          <w:szCs w:val="21"/>
          <w:highlight w:val="none"/>
        </w:rPr>
        <w:t xml:space="preserve">磋商供应商向采购人上传的磋商响应文件（以下简称响应文件）由资格响应文件、商务技术响应文件及报价响应文件三部分内容组成，具体如下： </w:t>
      </w:r>
    </w:p>
    <w:p>
      <w:pPr>
        <w:adjustRightInd w:val="0"/>
        <w:snapToGri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8.1资格响应文件</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ascii="宋体" w:hAnsi="宋体" w:cs="宋体"/>
          <w:b/>
          <w:bCs/>
          <w:color w:val="auto"/>
          <w:szCs w:val="21"/>
          <w:highlight w:val="none"/>
        </w:rPr>
        <w:t>8.1.1</w:t>
      </w:r>
      <w:r>
        <w:rPr>
          <w:rFonts w:hint="eastAsia" w:ascii="宋体" w:hAnsi="宋体" w:cs="宋体"/>
          <w:b/>
          <w:bCs/>
          <w:color w:val="auto"/>
          <w:szCs w:val="21"/>
          <w:highlight w:val="none"/>
        </w:rPr>
        <w:t>基本资格条件证明材料：</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（以下a~e项是基本资格条件对应证明材料的具体内容，各供应商须在响应文件中出具对应证明材料）</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a.具有独立承担民事责任的能力：</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供应商须在响应文件中出具符合以下情况的证明材料复印件（五选一）：</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①如供应商是企业（包括合伙企业），提供在工商部门注册的有效“企业法人营业执照”或“营业执照”；</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②如供应商是事业单位，提供有效的“事业单位法人证书”；</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③如供应商是非企业专业服务机构的，提供执业许可证等证明文件；</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④如供应商是个体工商户，提供有效的“个体工商户营业执照”；</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⑤如供应商是自然人，提供有效的自然人身份证明（居民身份证正反面或公安机关出具的临时居民身份证正反面或港澳台胞证或护照）。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b.具有良好的商业信誉和健全的财务会计制度的证明材料：</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①良好的商业信誉：</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对列入失信被执行人、重大税收违法案件当事人名单、政府采购严重违法失信行为记录名单的供应商，其投标将作无效标处理。</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②健全的财务会计制度：</w:t>
      </w:r>
    </w:p>
    <w:p>
      <w:pPr>
        <w:autoSpaceDE w:val="0"/>
        <w:autoSpaceDN w:val="0"/>
        <w:adjustRightInd w:val="0"/>
        <w:snapToGrid w:val="0"/>
        <w:spacing w:line="440" w:lineRule="exact"/>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供应商需在响应文件中出具《承诺函》：（由供应商根据本项目自行拟定承诺函）</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c.具有履行合同所必需的设备和专业技术能力：</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供应商须在响应文件中出具具有履行合同所必需的设备和专业技术能力的《承诺函》；（由供应商根据本项目行拟定承诺函）</w:t>
      </w:r>
    </w:p>
    <w:p>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d.有依法缴纳税收和社会保障资金的良好记录：</w:t>
      </w:r>
    </w:p>
    <w:p>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pPr>
        <w:autoSpaceDE w:val="0"/>
        <w:autoSpaceDN w:val="0"/>
        <w:adjustRightInd w:val="0"/>
        <w:snapToGrid w:val="0"/>
        <w:spacing w:line="440" w:lineRule="exact"/>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e.参加政府采购活动前三年内，在经营活动中没有重大违法记录：</w:t>
      </w:r>
    </w:p>
    <w:p>
      <w:pPr>
        <w:autoSpaceDE w:val="0"/>
        <w:autoSpaceDN w:val="0"/>
        <w:adjustRightInd w:val="0"/>
        <w:snapToGrid w:val="0"/>
        <w:spacing w:line="440" w:lineRule="exact"/>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供应商须在响应文件中出具《声明函》。（参考格式见本文件第五部分）</w:t>
      </w:r>
    </w:p>
    <w:p>
      <w:pPr>
        <w:autoSpaceDE w:val="0"/>
        <w:autoSpaceDN w:val="0"/>
        <w:adjustRightInd w:val="0"/>
        <w:snapToGrid w:val="0"/>
        <w:spacing w:line="440" w:lineRule="exact"/>
        <w:ind w:firstLine="420" w:firstLineChars="200"/>
        <w:textAlignment w:val="bottom"/>
        <w:rPr>
          <w:rFonts w:hint="eastAsia" w:ascii="宋体" w:hAnsi="宋体" w:cs="宋体"/>
          <w:b/>
          <w:bCs w:val="0"/>
          <w:color w:val="auto"/>
          <w:szCs w:val="21"/>
          <w:highlight w:val="none"/>
        </w:rPr>
      </w:pPr>
      <w:r>
        <w:rPr>
          <w:rFonts w:hint="eastAsia" w:ascii="宋体" w:hAnsi="宋体" w:cs="宋体"/>
          <w:bCs/>
          <w:color w:val="auto"/>
          <w:szCs w:val="21"/>
          <w:highlight w:val="none"/>
          <w:lang w:val="en-US" w:eastAsia="zh-CN"/>
        </w:rPr>
        <w:t>8.1.2</w:t>
      </w:r>
      <w:r>
        <w:rPr>
          <w:rFonts w:hint="eastAsia" w:ascii="宋体" w:hAnsi="宋体" w:cs="宋体"/>
          <w:bCs/>
          <w:color w:val="auto"/>
          <w:szCs w:val="21"/>
          <w:highlight w:val="none"/>
        </w:rPr>
        <w:t>落实政府采购政策需满足的资格要求：</w:t>
      </w:r>
      <w:r>
        <w:rPr>
          <w:rFonts w:hint="eastAsia" w:ascii="宋体" w:hAnsi="宋体" w:cs="宋体"/>
          <w:b/>
          <w:bCs w:val="0"/>
          <w:color w:val="auto"/>
          <w:szCs w:val="21"/>
          <w:highlight w:val="none"/>
        </w:rPr>
        <w:t>本项目属于预留份额专门面向中小企业采购的项目。（供应商要求为中小企业/小微企业</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w:t>
      </w:r>
    </w:p>
    <w:p>
      <w:pPr>
        <w:autoSpaceDE w:val="0"/>
        <w:autoSpaceDN w:val="0"/>
        <w:adjustRightInd w:val="0"/>
        <w:snapToGrid w:val="0"/>
        <w:spacing w:line="440" w:lineRule="exact"/>
        <w:ind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①中小企业声明函；</w:t>
      </w:r>
    </w:p>
    <w:p>
      <w:pPr>
        <w:autoSpaceDE w:val="0"/>
        <w:autoSpaceDN w:val="0"/>
        <w:adjustRightInd w:val="0"/>
        <w:snapToGrid w:val="0"/>
        <w:spacing w:line="440" w:lineRule="exact"/>
        <w:ind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②供应商为监狱企业的证明文件：省级以上监狱管理局、戒毒管理局（含新疆生产建设兵团）出具</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（如有）</w:t>
      </w:r>
    </w:p>
    <w:p>
      <w:pPr>
        <w:widowControl/>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③供应商符合《财政部、民政部、中国残疾人联合会关于促进残疾人就业政府采购政策的通知》（财库〔2017〕141 号）政策规定的，须提供《残疾人福利性单位声明函》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（如有）</w:t>
      </w:r>
    </w:p>
    <w:p>
      <w:pPr>
        <w:widowControl/>
        <w:adjustRightInd w:val="0"/>
        <w:snapToGrid w:val="0"/>
        <w:spacing w:line="440" w:lineRule="exact"/>
        <w:ind w:firstLine="422" w:firstLineChars="200"/>
        <w:rPr>
          <w:rFonts w:cs="宋体"/>
          <w:b/>
          <w:bCs/>
          <w:color w:val="auto"/>
          <w:szCs w:val="21"/>
          <w:highlight w:val="none"/>
        </w:rPr>
      </w:pPr>
      <w:r>
        <w:rPr>
          <w:rFonts w:cs="宋体"/>
          <w:b/>
          <w:bCs/>
          <w:color w:val="auto"/>
          <w:szCs w:val="21"/>
          <w:highlight w:val="none"/>
        </w:rPr>
        <w:t>8.1.</w:t>
      </w:r>
      <w:r>
        <w:rPr>
          <w:rFonts w:hint="eastAsia" w:cs="宋体"/>
          <w:b/>
          <w:bCs/>
          <w:color w:val="auto"/>
          <w:szCs w:val="21"/>
          <w:highlight w:val="none"/>
          <w:lang w:val="en-US" w:eastAsia="zh-CN"/>
        </w:rPr>
        <w:t>3</w:t>
      </w:r>
      <w:r>
        <w:rPr>
          <w:rFonts w:hint="eastAsia" w:cs="宋体"/>
          <w:b/>
          <w:bCs/>
          <w:color w:val="auto"/>
          <w:szCs w:val="21"/>
          <w:highlight w:val="none"/>
        </w:rPr>
        <w:t>特定资格要求的相关证明材料（</w:t>
      </w:r>
      <w:r>
        <w:rPr>
          <w:rFonts w:hint="eastAsia" w:ascii="Times New Roman" w:hAnsi="Times New Roman" w:eastAsia="宋体" w:cs="宋体"/>
          <w:b/>
          <w:bCs/>
          <w:color w:val="auto"/>
          <w:szCs w:val="21"/>
          <w:highlight w:val="none"/>
          <w:u w:val="single"/>
        </w:rPr>
        <w:t>特定资格要求：</w:t>
      </w:r>
      <w:r>
        <w:rPr>
          <w:rFonts w:hint="eastAsia" w:ascii="Times New Roman" w:hAnsi="Times New Roman" w:eastAsia="宋体" w:cs="宋体"/>
          <w:b/>
          <w:bCs/>
          <w:color w:val="auto"/>
          <w:szCs w:val="21"/>
          <w:highlight w:val="none"/>
          <w:u w:val="single"/>
          <w:lang w:val="en-US" w:eastAsia="zh-CN"/>
        </w:rPr>
        <w:t>详见招标公告</w:t>
      </w:r>
      <w:r>
        <w:rPr>
          <w:rFonts w:hint="eastAsia" w:ascii="Times New Roman" w:hAnsi="Times New Roman" w:eastAsia="宋体" w:cs="宋体"/>
          <w:b/>
          <w:bCs/>
          <w:color w:val="auto"/>
          <w:szCs w:val="21"/>
          <w:highlight w:val="none"/>
          <w:u w:val="single"/>
        </w:rPr>
        <w:t xml:space="preserve">。） </w:t>
      </w:r>
    </w:p>
    <w:p>
      <w:p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上述资格证明文件是磋商小组对供应商资格进行合格性审查的评审依据，供应商应上传上述资料。未按要求出具上述证明材料或出具的证明材料不完整的，资格性审查均不予通过。</w:t>
      </w:r>
    </w:p>
    <w:p>
      <w:p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8.2商务技术响应文件</w:t>
      </w:r>
    </w:p>
    <w:p>
      <w:pPr>
        <w:numPr>
          <w:ilvl w:val="0"/>
          <w:numId w:val="3"/>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磋商响应函。</w:t>
      </w:r>
    </w:p>
    <w:p>
      <w:pPr>
        <w:numPr>
          <w:ilvl w:val="0"/>
          <w:numId w:val="3"/>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法定代表人资格证明及法定代表人授权书（如为法定代表人参加磋商，则只需提供法定代表人资格证明书）</w:t>
      </w:r>
    </w:p>
    <w:p>
      <w:pPr>
        <w:numPr>
          <w:ilvl w:val="0"/>
          <w:numId w:val="3"/>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商务条款偏离表</w:t>
      </w:r>
    </w:p>
    <w:p>
      <w:pPr>
        <w:pStyle w:val="9"/>
        <w:spacing w:line="400" w:lineRule="exact"/>
        <w:ind w:firstLine="420" w:firstLineChars="200"/>
        <w:rPr>
          <w:rFonts w:cs="宋体"/>
          <w:color w:val="auto"/>
          <w:sz w:val="21"/>
          <w:szCs w:val="21"/>
          <w:highlight w:val="none"/>
        </w:rPr>
      </w:pPr>
      <w:r>
        <w:rPr>
          <w:rFonts w:hint="eastAsia" w:cs="宋体"/>
          <w:color w:val="auto"/>
          <w:sz w:val="21"/>
          <w:szCs w:val="21"/>
          <w:highlight w:val="none"/>
        </w:rPr>
        <w:t>(4)供应商基本情况表</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(5)供应商拥有的其它资质、荣誉证书；（如有，出具复印件加盖公章）</w:t>
      </w:r>
    </w:p>
    <w:p>
      <w:pPr>
        <w:pStyle w:val="9"/>
        <w:spacing w:line="400" w:lineRule="exact"/>
        <w:ind w:firstLine="420" w:firstLineChars="200"/>
        <w:rPr>
          <w:rFonts w:cs="宋体"/>
          <w:color w:val="auto"/>
          <w:sz w:val="21"/>
          <w:szCs w:val="21"/>
          <w:highlight w:val="none"/>
        </w:rPr>
      </w:pPr>
      <w:r>
        <w:rPr>
          <w:rFonts w:hint="eastAsia" w:cs="宋体"/>
          <w:color w:val="auto"/>
          <w:sz w:val="21"/>
          <w:szCs w:val="21"/>
          <w:highlight w:val="none"/>
        </w:rPr>
        <w:t>(6)供应商承担过的类似项目业绩一览表</w:t>
      </w:r>
    </w:p>
    <w:p>
      <w:pPr>
        <w:pStyle w:val="9"/>
        <w:spacing w:line="400" w:lineRule="exact"/>
        <w:ind w:firstLine="315" w:firstLineChars="150"/>
        <w:rPr>
          <w:rFonts w:hint="default" w:cs="宋体" w:eastAsiaTheme="minorEastAsia"/>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w:t>
      </w:r>
      <w:r>
        <w:rPr>
          <w:rFonts w:hint="eastAsia" w:cs="宋体"/>
          <w:color w:val="auto"/>
          <w:sz w:val="21"/>
          <w:szCs w:val="21"/>
          <w:highlight w:val="none"/>
          <w:lang w:val="en-US" w:eastAsia="zh-CN"/>
        </w:rPr>
        <w:t>项目拟投入设备一览表</w:t>
      </w:r>
    </w:p>
    <w:p>
      <w:pPr>
        <w:pStyle w:val="9"/>
        <w:spacing w:line="400" w:lineRule="exact"/>
        <w:ind w:firstLine="315" w:firstLineChars="150"/>
        <w:rPr>
          <w:rFonts w:cs="宋体"/>
          <w:color w:val="auto"/>
          <w:sz w:val="21"/>
          <w:szCs w:val="21"/>
          <w:highlight w:val="none"/>
        </w:rPr>
      </w:pPr>
      <w:r>
        <w:rPr>
          <w:rFonts w:hint="eastAsia" w:cs="宋体"/>
          <w:color w:val="auto"/>
          <w:sz w:val="21"/>
          <w:szCs w:val="21"/>
          <w:highlight w:val="none"/>
        </w:rPr>
        <w:t>（</w:t>
      </w:r>
      <w:r>
        <w:rPr>
          <w:rFonts w:hint="eastAsia" w:cs="宋体"/>
          <w:color w:val="auto"/>
          <w:sz w:val="21"/>
          <w:szCs w:val="21"/>
          <w:highlight w:val="none"/>
          <w:lang w:val="en-US" w:eastAsia="zh-CN"/>
        </w:rPr>
        <w:t>8</w:t>
      </w:r>
      <w:r>
        <w:rPr>
          <w:rFonts w:hint="eastAsia" w:cs="宋体"/>
          <w:color w:val="auto"/>
          <w:sz w:val="21"/>
          <w:szCs w:val="21"/>
          <w:highlight w:val="none"/>
        </w:rPr>
        <w:t>）项目班子配备情况表</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)拟投入本项目负责人简历</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)质量保证措施</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)项目整体服务方案</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)合理化建议</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)未尽事宜请各投标人按评标细则制作技术部份；</w:t>
      </w:r>
    </w:p>
    <w:p>
      <w:pPr>
        <w:tabs>
          <w:tab w:val="left" w:pos="630"/>
          <w:tab w:val="left" w:pos="840"/>
        </w:tabs>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）磋商供应商认为需要提供的其它文件及资料。</w:t>
      </w:r>
    </w:p>
    <w:p>
      <w:pPr>
        <w:autoSpaceDE w:val="0"/>
        <w:autoSpaceDN w:val="0"/>
        <w:adjustRightInd w:val="0"/>
        <w:snapToGrid w:val="0"/>
        <w:spacing w:line="400" w:lineRule="exact"/>
        <w:ind w:firstLine="420" w:firstLineChars="200"/>
        <w:textAlignment w:val="bottom"/>
        <w:rPr>
          <w:color w:val="auto"/>
          <w:highlight w:val="none"/>
        </w:rPr>
      </w:pPr>
      <w:r>
        <w:rPr>
          <w:rFonts w:hint="eastAsia" w:ascii="宋体" w:hAnsi="宋体" w:cs="宋体"/>
          <w:color w:val="auto"/>
          <w:szCs w:val="21"/>
          <w:highlight w:val="none"/>
        </w:rPr>
        <w:t>注：以上内容为复印件的应加盖磋商供应商公章，附件中有参考格式的，参照格式，没有参考格式的，磋商供应商根据磋商文件要求自行编制。</w:t>
      </w:r>
    </w:p>
    <w:p>
      <w:pPr>
        <w:tabs>
          <w:tab w:val="left" w:pos="900"/>
        </w:tabs>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8.3报价响应文件</w:t>
      </w:r>
    </w:p>
    <w:p>
      <w:pPr>
        <w:numPr>
          <w:ilvl w:val="0"/>
          <w:numId w:val="4"/>
        </w:numPr>
        <w:tabs>
          <w:tab w:val="left" w:pos="90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磋商响应初始报价一览表</w:t>
      </w:r>
    </w:p>
    <w:p>
      <w:pPr>
        <w:numPr>
          <w:ilvl w:val="0"/>
          <w:numId w:val="4"/>
        </w:numPr>
        <w:tabs>
          <w:tab w:val="left" w:pos="90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投标报价明细表</w:t>
      </w:r>
    </w:p>
    <w:p>
      <w:pPr>
        <w:numPr>
          <w:ilvl w:val="0"/>
          <w:numId w:val="4"/>
        </w:numPr>
        <w:tabs>
          <w:tab w:val="left" w:pos="90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磋商供应商认为需要提供的其它文件及资料。</w:t>
      </w:r>
    </w:p>
    <w:p>
      <w:pPr>
        <w:tabs>
          <w:tab w:val="left" w:pos="900"/>
        </w:tabs>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8.4磋商货币</w:t>
      </w:r>
    </w:p>
    <w:p>
      <w:pPr>
        <w:autoSpaceDE w:val="0"/>
        <w:autoSpaceDN w:val="0"/>
        <w:snapToGrid w:val="0"/>
        <w:spacing w:line="360" w:lineRule="auto"/>
        <w:ind w:firstLine="411" w:firstLineChars="196"/>
        <w:textAlignment w:val="bottom"/>
        <w:rPr>
          <w:rFonts w:ascii="宋体" w:hAnsi="宋体" w:cs="宋体"/>
          <w:color w:val="auto"/>
          <w:szCs w:val="21"/>
          <w:highlight w:val="none"/>
        </w:rPr>
      </w:pPr>
      <w:r>
        <w:rPr>
          <w:rFonts w:hint="eastAsia" w:ascii="宋体" w:hAnsi="宋体" w:cs="宋体"/>
          <w:color w:val="auto"/>
          <w:szCs w:val="21"/>
          <w:highlight w:val="none"/>
        </w:rPr>
        <w:t>本次磋商项目货币为人民币。</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8.5 磋商供应商应仔细阅读磋商文件中的所有内容，按照磋商文件的相关要求，详细编制响应文件，并保证响应文件的正确性和真实性，磋商供应商如与磋商文件商务、合同条款及技术各项要求有偏离，应填写《商务条款偏离表》，如有好的建议，应填写《建议书》。</w:t>
      </w:r>
    </w:p>
    <w:p>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8.6 不按磋商文件的要求提供的响应文件可能导致被拒绝。</w:t>
      </w:r>
    </w:p>
    <w:p>
      <w:pPr>
        <w:snapToGrid w:val="0"/>
        <w:spacing w:line="360" w:lineRule="auto"/>
        <w:ind w:left="480"/>
        <w:rPr>
          <w:rFonts w:ascii="宋体" w:hAnsi="宋体" w:cs="宋体"/>
          <w:b/>
          <w:color w:val="auto"/>
          <w:szCs w:val="21"/>
          <w:highlight w:val="none"/>
        </w:rPr>
      </w:pPr>
      <w:r>
        <w:rPr>
          <w:rFonts w:hint="eastAsia" w:ascii="宋体" w:hAnsi="宋体" w:cs="宋体"/>
          <w:b/>
          <w:color w:val="auto"/>
          <w:szCs w:val="21"/>
          <w:highlight w:val="none"/>
        </w:rPr>
        <w:t>9．报价要求</w:t>
      </w:r>
    </w:p>
    <w:p>
      <w:pPr>
        <w:autoSpaceDE w:val="0"/>
        <w:autoSpaceDN w:val="0"/>
        <w:snapToGrid w:val="0"/>
        <w:spacing w:line="360" w:lineRule="auto"/>
        <w:ind w:firstLine="420" w:firstLineChars="200"/>
        <w:textAlignment w:val="bottom"/>
        <w:rPr>
          <w:rFonts w:hAnsi="宋体"/>
          <w:color w:val="auto"/>
          <w:szCs w:val="21"/>
          <w:highlight w:val="none"/>
        </w:rPr>
      </w:pPr>
      <w:r>
        <w:rPr>
          <w:rFonts w:hint="eastAsia" w:hAnsi="宋体"/>
          <w:color w:val="auto"/>
          <w:szCs w:val="21"/>
          <w:highlight w:val="none"/>
        </w:rPr>
        <w:t xml:space="preserve">9.1 </w:t>
      </w:r>
      <w:r>
        <w:rPr>
          <w:rFonts w:hint="eastAsia"/>
          <w:color w:val="auto"/>
          <w:sz w:val="21"/>
          <w:szCs w:val="21"/>
          <w:highlight w:val="none"/>
        </w:rPr>
        <w:t>投</w:t>
      </w:r>
      <w:r>
        <w:rPr>
          <w:rFonts w:hAnsi="宋体"/>
          <w:color w:val="auto"/>
          <w:sz w:val="21"/>
          <w:szCs w:val="21"/>
          <w:highlight w:val="none"/>
        </w:rPr>
        <w:t>标报价是履行合同的最终价格，</w:t>
      </w:r>
      <w:r>
        <w:rPr>
          <w:rFonts w:hint="eastAsia" w:hAnsi="宋体"/>
          <w:color w:val="auto"/>
          <w:sz w:val="21"/>
          <w:szCs w:val="21"/>
          <w:highlight w:val="none"/>
        </w:rPr>
        <w:t>应包括完成本项目所使用的设备购置、人员工资、保险费、通讯费用以及完成本项目工作所涉及的材料、设备使用、人工、车辆使用、招标代理费、利润及</w:t>
      </w:r>
      <w:r>
        <w:rPr>
          <w:rFonts w:hAnsi="宋体"/>
          <w:color w:val="auto"/>
          <w:sz w:val="21"/>
          <w:szCs w:val="21"/>
          <w:highlight w:val="none"/>
        </w:rPr>
        <w:t>税金</w:t>
      </w:r>
      <w:r>
        <w:rPr>
          <w:rFonts w:hint="eastAsia" w:hAnsi="宋体"/>
          <w:color w:val="auto"/>
          <w:sz w:val="21"/>
          <w:szCs w:val="21"/>
          <w:highlight w:val="none"/>
        </w:rPr>
        <w:t>等一切</w:t>
      </w:r>
      <w:r>
        <w:rPr>
          <w:rFonts w:hAnsi="宋体"/>
          <w:color w:val="auto"/>
          <w:sz w:val="21"/>
          <w:szCs w:val="21"/>
          <w:highlight w:val="none"/>
        </w:rPr>
        <w:t>费用</w:t>
      </w:r>
      <w:r>
        <w:rPr>
          <w:rFonts w:hint="eastAsia" w:ascii="Times New Roman" w:hAnsi="Times New Roman" w:cs="宋体"/>
          <w:color w:val="auto"/>
          <w:szCs w:val="21"/>
          <w:highlight w:val="none"/>
        </w:rPr>
        <w:t>。</w:t>
      </w:r>
    </w:p>
    <w:p>
      <w:pPr>
        <w:autoSpaceDE w:val="0"/>
        <w:autoSpaceDN w:val="0"/>
        <w:snapToGrid w:val="0"/>
        <w:spacing w:line="360" w:lineRule="auto"/>
        <w:ind w:firstLine="420" w:firstLineChars="200"/>
        <w:textAlignment w:val="bottom"/>
        <w:rPr>
          <w:rFonts w:ascii="宋体" w:hAnsi="宋体" w:eastAsia="Calibri" w:cs="宋体"/>
          <w:color w:val="auto"/>
          <w:szCs w:val="21"/>
          <w:highlight w:val="none"/>
        </w:rPr>
      </w:pPr>
      <w:r>
        <w:rPr>
          <w:rFonts w:hint="eastAsia" w:hAnsi="宋体"/>
          <w:color w:val="auto"/>
          <w:szCs w:val="21"/>
          <w:highlight w:val="none"/>
        </w:rPr>
        <w:t xml:space="preserve">9.2 </w:t>
      </w:r>
      <w:r>
        <w:rPr>
          <w:rFonts w:hint="eastAsia" w:ascii="宋体" w:hAnsi="宋体" w:cs="宋体"/>
          <w:color w:val="auto"/>
          <w:szCs w:val="21"/>
          <w:highlight w:val="none"/>
        </w:rPr>
        <w:t>其它需在报价中包含的因素：</w:t>
      </w:r>
    </w:p>
    <w:p>
      <w:pPr>
        <w:numPr>
          <w:ilvl w:val="0"/>
          <w:numId w:val="0"/>
        </w:numPr>
        <w:autoSpaceDE w:val="0"/>
        <w:autoSpaceDN w:val="0"/>
        <w:snapToGrid w:val="0"/>
        <w:spacing w:line="360" w:lineRule="auto"/>
        <w:ind w:firstLine="630" w:firstLineChars="300"/>
        <w:textAlignment w:val="bottom"/>
        <w:rPr>
          <w:rFonts w:ascii="宋体" w:hAnsi="宋体" w:cs="宋体"/>
          <w:b/>
          <w:color w:val="auto"/>
          <w:szCs w:val="21"/>
          <w:highlight w:val="none"/>
        </w:rPr>
      </w:pPr>
      <w:r>
        <w:rPr>
          <w:rFonts w:hint="eastAsia" w:ascii="宋体" w:hAnsi="宋体" w:cs="宋体"/>
          <w:color w:val="auto"/>
          <w:szCs w:val="21"/>
          <w:highlight w:val="none"/>
        </w:rPr>
        <w:t>成交供应商须向采购代理机构支付采购代理服务费，代理费金额详见前附表。结算方式及时间为：在领取成交通知书时由成交供应商一次性向采购代理机构付清。</w:t>
      </w:r>
      <w:r>
        <w:rPr>
          <w:rFonts w:hint="eastAsia" w:ascii="宋体" w:hAnsi="宋体" w:cs="宋体"/>
          <w:b/>
          <w:color w:val="auto"/>
          <w:szCs w:val="21"/>
          <w:highlight w:val="none"/>
        </w:rPr>
        <w:t>（报价无须单列）</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磋商过程中所发生的一切费用均包含在磋商总价中。</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10．磋商保证金（本项目不适用）</w:t>
      </w:r>
    </w:p>
    <w:p>
      <w:pPr>
        <w:pStyle w:val="9"/>
        <w:snapToGrid w:val="0"/>
        <w:ind w:firstLine="422" w:firstLineChars="200"/>
        <w:rPr>
          <w:rFonts w:cs="宋体"/>
          <w:b/>
          <w:color w:val="auto"/>
          <w:sz w:val="21"/>
          <w:szCs w:val="21"/>
          <w:highlight w:val="none"/>
        </w:rPr>
      </w:pPr>
      <w:r>
        <w:rPr>
          <w:rFonts w:hint="eastAsia" w:cs="宋体"/>
          <w:b/>
          <w:color w:val="auto"/>
          <w:sz w:val="21"/>
          <w:szCs w:val="21"/>
          <w:highlight w:val="none"/>
        </w:rPr>
        <w:t>11．响应文件的有效期</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zh-CN"/>
        </w:rPr>
        <w:t>响应文件的有效期为</w:t>
      </w:r>
      <w:r>
        <w:rPr>
          <w:rFonts w:hint="eastAsia" w:ascii="宋体" w:hAnsi="宋体" w:cs="宋体"/>
          <w:color w:val="auto"/>
          <w:szCs w:val="21"/>
          <w:highlight w:val="none"/>
        </w:rPr>
        <w:t>磋商截止时间</w:t>
      </w:r>
      <w:r>
        <w:rPr>
          <w:rFonts w:hint="eastAsia" w:ascii="宋体" w:hAnsi="宋体" w:cs="宋体"/>
          <w:color w:val="auto"/>
          <w:szCs w:val="21"/>
          <w:highlight w:val="none"/>
          <w:lang w:val="zh-CN"/>
        </w:rPr>
        <w:t>之日后90日历天。不足有效期的视为非实质性响应，其磋商将被拒绝。</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11.2在原定有效期满之前，如果出现特殊情况，采购人可以以书面形式向磋商供应商提出延长磋商有效期的要求，磋商供应商对此须以书面形式予以答复。</w:t>
      </w:r>
    </w:p>
    <w:p>
      <w:pPr>
        <w:snapToGrid w:val="0"/>
        <w:spacing w:line="360" w:lineRule="auto"/>
        <w:ind w:firstLine="422" w:firstLineChars="200"/>
        <w:rPr>
          <w:rFonts w:ascii="宋体" w:hAnsi="宋体" w:cs="宋体"/>
          <w:b/>
          <w:color w:val="auto"/>
          <w:szCs w:val="21"/>
          <w:highlight w:val="none"/>
        </w:rPr>
      </w:pPr>
      <w:bookmarkStart w:id="34" w:name="_Toc183786418"/>
      <w:r>
        <w:rPr>
          <w:rFonts w:hint="eastAsia" w:ascii="宋体" w:hAnsi="宋体" w:cs="宋体"/>
          <w:b/>
          <w:color w:val="auto"/>
          <w:szCs w:val="21"/>
          <w:highlight w:val="none"/>
        </w:rPr>
        <w:t>12．响应文件的规定</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12.1响应文件的形式</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详见前附表。</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12.2响应文件的份数</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详见前附表。</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12.3特别说明：</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供应商应根据“政采云供应商项目采购-电子招投标操作指南”及本磋商文件规定的格式和顺序编制电子响应文件并进行关联定位。以便磋商小组在</w:t>
      </w:r>
      <w:r>
        <w:rPr>
          <w:rFonts w:hint="eastAsia" w:ascii="宋体" w:hAnsi="宋体" w:cs="宋体"/>
          <w:b/>
          <w:color w:val="auto"/>
          <w:szCs w:val="21"/>
          <w:highlight w:val="none"/>
          <w:lang w:val="en-US" w:eastAsia="zh-CN"/>
        </w:rPr>
        <w:t>磋商</w:t>
      </w:r>
      <w:r>
        <w:rPr>
          <w:rFonts w:hint="eastAsia" w:ascii="宋体" w:hAnsi="宋体" w:cs="宋体"/>
          <w:b/>
          <w:color w:val="auto"/>
          <w:szCs w:val="21"/>
          <w:highlight w:val="none"/>
        </w:rPr>
        <w:t>过程中，点击评分项，可直接定位到该评分项内容。</w:t>
      </w:r>
    </w:p>
    <w:p>
      <w:pPr>
        <w:snapToGrid w:val="0"/>
        <w:spacing w:line="360" w:lineRule="auto"/>
        <w:ind w:firstLine="422" w:firstLineChars="200"/>
        <w:jc w:val="left"/>
        <w:rPr>
          <w:rFonts w:ascii="宋体" w:hAnsi="宋体" w:cs="宋体"/>
          <w:b/>
          <w:color w:val="auto"/>
          <w:szCs w:val="21"/>
          <w:highlight w:val="none"/>
        </w:rPr>
      </w:pPr>
      <w:r>
        <w:rPr>
          <w:rFonts w:ascii="宋体" w:hAnsi="宋体" w:cs="宋体"/>
          <w:b/>
          <w:color w:val="auto"/>
          <w:szCs w:val="21"/>
          <w:highlight w:val="none"/>
        </w:rPr>
        <w:t>如对</w:t>
      </w:r>
      <w:r>
        <w:rPr>
          <w:rFonts w:hint="eastAsia" w:ascii="宋体" w:hAnsi="宋体" w:cs="宋体"/>
          <w:b/>
          <w:color w:val="auto"/>
          <w:szCs w:val="21"/>
          <w:highlight w:val="none"/>
        </w:rPr>
        <w:t>磋商</w:t>
      </w:r>
      <w:r>
        <w:rPr>
          <w:rFonts w:ascii="宋体" w:hAnsi="宋体" w:cs="宋体"/>
          <w:b/>
          <w:color w:val="auto"/>
          <w:szCs w:val="21"/>
          <w:highlight w:val="none"/>
        </w:rPr>
        <w:t>文件的某项要求，</w:t>
      </w:r>
      <w:r>
        <w:rPr>
          <w:rFonts w:hint="eastAsia" w:ascii="宋体" w:hAnsi="宋体" w:cs="宋体"/>
          <w:b/>
          <w:color w:val="auto"/>
          <w:szCs w:val="21"/>
          <w:highlight w:val="none"/>
        </w:rPr>
        <w:t>供应商上传的</w:t>
      </w:r>
      <w:r>
        <w:rPr>
          <w:rFonts w:ascii="宋体" w:hAnsi="宋体" w:cs="宋体"/>
          <w:b/>
          <w:color w:val="auto"/>
          <w:szCs w:val="21"/>
          <w:highlight w:val="none"/>
        </w:rPr>
        <w:t>响应文件未能提供相应的内容与其对应，则</w:t>
      </w:r>
      <w:r>
        <w:rPr>
          <w:rFonts w:hint="eastAsia" w:ascii="宋体" w:hAnsi="宋体" w:cs="宋体"/>
          <w:b/>
          <w:color w:val="auto"/>
          <w:szCs w:val="21"/>
          <w:highlight w:val="none"/>
        </w:rPr>
        <w:t>磋商小组</w:t>
      </w:r>
      <w:r>
        <w:rPr>
          <w:rFonts w:ascii="宋体" w:hAnsi="宋体" w:cs="宋体"/>
          <w:b/>
          <w:color w:val="auto"/>
          <w:szCs w:val="21"/>
          <w:highlight w:val="none"/>
        </w:rPr>
        <w:t>在</w:t>
      </w:r>
      <w:r>
        <w:rPr>
          <w:rFonts w:hint="eastAsia" w:ascii="宋体" w:hAnsi="宋体" w:cs="宋体"/>
          <w:b/>
          <w:color w:val="auto"/>
          <w:szCs w:val="21"/>
          <w:highlight w:val="none"/>
        </w:rPr>
        <w:t>对该内容进行评分</w:t>
      </w:r>
      <w:r>
        <w:rPr>
          <w:rFonts w:ascii="宋体" w:hAnsi="宋体" w:cs="宋体"/>
          <w:b/>
          <w:color w:val="auto"/>
          <w:szCs w:val="21"/>
          <w:highlight w:val="none"/>
        </w:rPr>
        <w:t>时会提示</w:t>
      </w:r>
      <w:r>
        <w:rPr>
          <w:rFonts w:hint="eastAsia" w:ascii="宋体" w:hAnsi="宋体" w:cs="宋体"/>
          <w:b/>
          <w:color w:val="auto"/>
          <w:szCs w:val="21"/>
          <w:highlight w:val="none"/>
        </w:rPr>
        <w:t>供应商</w:t>
      </w:r>
      <w:r>
        <w:rPr>
          <w:rFonts w:ascii="宋体" w:hAnsi="宋体" w:cs="宋体"/>
          <w:b/>
          <w:color w:val="auto"/>
          <w:szCs w:val="21"/>
          <w:highlight w:val="none"/>
        </w:rPr>
        <w:t>未对此项</w:t>
      </w:r>
      <w:r>
        <w:rPr>
          <w:rFonts w:hint="eastAsia" w:ascii="宋体" w:hAnsi="宋体" w:cs="宋体"/>
          <w:b/>
          <w:color w:val="auto"/>
          <w:szCs w:val="21"/>
          <w:highlight w:val="none"/>
        </w:rPr>
        <w:t>招标</w:t>
      </w:r>
      <w:r>
        <w:rPr>
          <w:rFonts w:ascii="宋体" w:hAnsi="宋体" w:cs="宋体"/>
          <w:b/>
          <w:color w:val="auto"/>
          <w:szCs w:val="21"/>
          <w:highlight w:val="none"/>
        </w:rPr>
        <w:t>要求提供相应内容。由此</w:t>
      </w:r>
      <w:r>
        <w:rPr>
          <w:rFonts w:hint="eastAsia" w:ascii="宋体" w:hAnsi="宋体" w:cs="宋体"/>
          <w:b/>
          <w:color w:val="auto"/>
          <w:szCs w:val="21"/>
          <w:highlight w:val="none"/>
        </w:rPr>
        <w:t>可能导致相关评分项不得分，该后果</w:t>
      </w:r>
      <w:r>
        <w:rPr>
          <w:rFonts w:ascii="宋体" w:hAnsi="宋体" w:cs="宋体"/>
          <w:b/>
          <w:color w:val="auto"/>
          <w:szCs w:val="21"/>
          <w:highlight w:val="none"/>
        </w:rPr>
        <w:t>由</w:t>
      </w:r>
      <w:r>
        <w:rPr>
          <w:rFonts w:hint="eastAsia" w:ascii="宋体" w:hAnsi="宋体" w:cs="宋体"/>
          <w:b/>
          <w:color w:val="auto"/>
          <w:szCs w:val="21"/>
          <w:highlight w:val="none"/>
        </w:rPr>
        <w:t>供应商</w:t>
      </w:r>
      <w:r>
        <w:rPr>
          <w:rFonts w:ascii="宋体" w:hAnsi="宋体" w:cs="宋体"/>
          <w:b/>
          <w:color w:val="auto"/>
          <w:szCs w:val="21"/>
          <w:highlight w:val="none"/>
        </w:rPr>
        <w:t>自行承担。</w:t>
      </w:r>
    </w:p>
    <w:p>
      <w:pPr>
        <w:pStyle w:val="3"/>
        <w:spacing w:before="120" w:after="120" w:line="360" w:lineRule="auto"/>
        <w:rPr>
          <w:rFonts w:ascii="宋体" w:hAnsi="宋体" w:eastAsia="宋体" w:cs="宋体"/>
          <w:color w:val="auto"/>
          <w:sz w:val="21"/>
          <w:szCs w:val="21"/>
          <w:highlight w:val="none"/>
        </w:rPr>
      </w:pPr>
      <w:bookmarkStart w:id="35" w:name="_Toc2981"/>
      <w:bookmarkStart w:id="36" w:name="_Toc15357"/>
      <w:bookmarkStart w:id="37" w:name="_Toc904"/>
      <w:r>
        <w:rPr>
          <w:rFonts w:hint="eastAsia" w:ascii="宋体" w:hAnsi="宋体" w:eastAsia="宋体" w:cs="宋体"/>
          <w:color w:val="auto"/>
          <w:sz w:val="21"/>
          <w:szCs w:val="21"/>
          <w:highlight w:val="none"/>
        </w:rPr>
        <w:t>四、响应文件的</w:t>
      </w:r>
      <w:bookmarkEnd w:id="34"/>
      <w:r>
        <w:rPr>
          <w:rFonts w:hint="eastAsia" w:ascii="宋体" w:hAnsi="宋体" w:eastAsia="宋体" w:cs="宋体"/>
          <w:color w:val="auto"/>
          <w:sz w:val="21"/>
          <w:szCs w:val="21"/>
          <w:highlight w:val="none"/>
        </w:rPr>
        <w:t>递交</w:t>
      </w:r>
      <w:bookmarkEnd w:id="35"/>
      <w:bookmarkEnd w:id="36"/>
      <w:bookmarkEnd w:id="37"/>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13.响应文件的上传和递交</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详见前附表</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14．磋商截止时间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14.1磋商截止时间即上传响应文件截止时间。在磋商截止时间以后送达或上传的响应文件均为无效文件，采购人、采购代理机构、磋商小组拒绝接收。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14.2采购人因故推迟磋商截止时间，将以书面形式通知所有磋商供应商。在这种情况下，采购人和磋商供应商的权利和义务将受到新的截止时间的约束。</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15．响应文件的修改与撤回</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在磋商响应截止期之后，供应商不得对其响应文件作任何修改。</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 从磋商截止期至磋商有效期期满这段时间内，供应商不得撤回其响应文件。</w:t>
      </w:r>
    </w:p>
    <w:p>
      <w:pPr>
        <w:pStyle w:val="3"/>
        <w:spacing w:before="120" w:after="120" w:line="360" w:lineRule="auto"/>
        <w:rPr>
          <w:rFonts w:ascii="宋体" w:hAnsi="宋体" w:eastAsia="宋体" w:cs="宋体"/>
          <w:color w:val="auto"/>
          <w:sz w:val="21"/>
          <w:szCs w:val="21"/>
          <w:highlight w:val="none"/>
        </w:rPr>
      </w:pPr>
      <w:bookmarkStart w:id="38" w:name="_Toc5695"/>
      <w:bookmarkStart w:id="39" w:name="_Toc4815"/>
      <w:bookmarkStart w:id="40" w:name="_Toc207550884"/>
      <w:bookmarkStart w:id="41" w:name="_Toc1472"/>
      <w:bookmarkStart w:id="42" w:name="_Toc183786419"/>
      <w:r>
        <w:rPr>
          <w:rFonts w:hint="eastAsia" w:ascii="宋体" w:hAnsi="宋体" w:eastAsia="宋体" w:cs="宋体"/>
          <w:color w:val="auto"/>
          <w:sz w:val="21"/>
          <w:szCs w:val="21"/>
          <w:highlight w:val="none"/>
        </w:rPr>
        <w:t>五、开启响应文件</w:t>
      </w:r>
      <w:bookmarkEnd w:id="38"/>
      <w:bookmarkEnd w:id="39"/>
      <w:bookmarkEnd w:id="40"/>
      <w:bookmarkEnd w:id="41"/>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16.2响应文件开启程序详见前附表。</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16.3响应文件有下列情况之一的将不予接受：</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（1）未能磋商截止时间前成功上传电子加密响应文件的；</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（2）仅提交备份响应文件的。</w:t>
      </w:r>
    </w:p>
    <w:p>
      <w:pPr>
        <w:pStyle w:val="3"/>
        <w:spacing w:line="360" w:lineRule="auto"/>
        <w:rPr>
          <w:rFonts w:ascii="宋体" w:hAnsi="宋体" w:eastAsia="宋体" w:cs="宋体"/>
          <w:color w:val="auto"/>
          <w:sz w:val="21"/>
          <w:szCs w:val="21"/>
          <w:highlight w:val="none"/>
        </w:rPr>
      </w:pPr>
      <w:bookmarkStart w:id="43" w:name="_Toc20853"/>
      <w:bookmarkStart w:id="44" w:name="_Toc7075"/>
      <w:bookmarkStart w:id="45" w:name="_Toc2227"/>
      <w:r>
        <w:rPr>
          <w:rFonts w:hint="eastAsia" w:ascii="宋体" w:hAnsi="宋体" w:eastAsia="宋体" w:cs="宋体"/>
          <w:color w:val="auto"/>
          <w:sz w:val="21"/>
          <w:szCs w:val="21"/>
          <w:highlight w:val="none"/>
        </w:rPr>
        <w:t>六、</w:t>
      </w:r>
      <w:bookmarkEnd w:id="42"/>
      <w:r>
        <w:rPr>
          <w:rFonts w:hint="eastAsia" w:ascii="宋体" w:hAnsi="宋体" w:eastAsia="宋体" w:cs="宋体"/>
          <w:color w:val="auto"/>
          <w:sz w:val="21"/>
          <w:szCs w:val="21"/>
          <w:highlight w:val="none"/>
        </w:rPr>
        <w:t>磋商人员及相关原则</w:t>
      </w:r>
      <w:bookmarkEnd w:id="43"/>
      <w:bookmarkEnd w:id="44"/>
      <w:bookmarkEnd w:id="45"/>
    </w:p>
    <w:p>
      <w:pPr>
        <w:spacing w:line="360" w:lineRule="auto"/>
        <w:ind w:firstLine="482"/>
        <w:rPr>
          <w:rFonts w:ascii="宋体" w:hAnsi="宋体" w:cs="宋体"/>
          <w:b/>
          <w:color w:val="auto"/>
          <w:szCs w:val="21"/>
          <w:highlight w:val="none"/>
        </w:rPr>
      </w:pPr>
      <w:bookmarkStart w:id="46" w:name="_Toc183786420"/>
      <w:r>
        <w:rPr>
          <w:rFonts w:hint="eastAsia" w:ascii="宋体" w:hAnsi="宋体" w:cs="宋体"/>
          <w:b/>
          <w:color w:val="auto"/>
          <w:szCs w:val="21"/>
          <w:highlight w:val="none"/>
        </w:rPr>
        <w:t>17．参加磋商人员</w:t>
      </w:r>
    </w:p>
    <w:p>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17.1供应商应派法定代表人或其授权代表在线参加磋商。该授权代表须与电子响应文件中出具的法定代表人资格证明及授权委托书（格式详见第五章）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17.2电子响应文件中未能出示上述文件或者证件的，磋商小组将拒绝与该供应商磋商。</w:t>
      </w:r>
    </w:p>
    <w:p>
      <w:pPr>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18.磋商小组</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18.1磋商小组由采购人代表和政采云评审专家共3人以上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rPr>
        <w:t>单数组成，其中评审专家人数不少于磋商小组成员总数的2/3。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18.2评审专家应当遵守评审工作纪律，不得泄露评审情况和评审中获悉的商业秘密。</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18.3磋商小组在评审过程中发现供应商有行贿、提供虚假材料或者串通等违法行为的，应当及时向财政部门报告。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18.4评审专家在评审过程中受到非法干涉的，应当及时向财政、监察等部门举报。</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19．磋商评审原则</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19.1磋商小组成员应当按照客观、公正、审慎的原则，根据磋商文件规定的评审程序、评审方法和评审标准进行独立评审。</w:t>
      </w:r>
    </w:p>
    <w:p>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19.2客观、公正的对待所有供应商，对所有供应商均采用相同的程序和标准，依据磋商评审程序列。</w:t>
      </w:r>
    </w:p>
    <w:p>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19.3在磋商期间，磋商供应商不得向磋商小组成员询问与其无关的磋商情况，不得进行旨在影响磋商结果的活动，否则将取消其磋商资格。</w:t>
      </w:r>
    </w:p>
    <w:p>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19.4在磋商过程中，评审专家不得与磋商供应商私下交换意见，在竞争性磋商工作结束后，评审专家或知情者应严格保密，不得将磋商评审情况告诉与之无关的人（包括磋商供应商）。</w:t>
      </w:r>
    </w:p>
    <w:p>
      <w:pPr>
        <w:spacing w:line="341" w:lineRule="auto"/>
        <w:ind w:firstLine="480"/>
        <w:rPr>
          <w:rFonts w:ascii="宋体" w:hAnsi="宋体" w:cs="宋体"/>
          <w:color w:val="auto"/>
          <w:szCs w:val="21"/>
          <w:highlight w:val="none"/>
          <w:lang w:val="zh-CN"/>
        </w:rPr>
      </w:pPr>
      <w:r>
        <w:rPr>
          <w:rFonts w:hint="eastAsia" w:ascii="宋体" w:hAnsi="宋体" w:cs="宋体"/>
          <w:color w:val="auto"/>
          <w:szCs w:val="21"/>
          <w:highlight w:val="none"/>
          <w:lang w:val="zh-CN"/>
        </w:rPr>
        <w:t>19.5在磋商和评定成交供应商的过程中，如有磋商供应商联合故意抬高报价或其他不正当行为，采购人有权中止磋商。</w:t>
      </w:r>
    </w:p>
    <w:p>
      <w:pPr>
        <w:spacing w:line="341"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19.6采购人不向未成交供应商解释原因。</w:t>
      </w:r>
    </w:p>
    <w:p>
      <w:pPr>
        <w:pStyle w:val="3"/>
        <w:spacing w:before="156" w:beforeLines="50" w:after="156" w:afterLines="50"/>
        <w:rPr>
          <w:rFonts w:ascii="宋体" w:hAnsi="宋体" w:eastAsia="宋体" w:cs="宋体"/>
          <w:color w:val="auto"/>
          <w:sz w:val="21"/>
          <w:szCs w:val="21"/>
          <w:highlight w:val="none"/>
        </w:rPr>
      </w:pPr>
      <w:bookmarkStart w:id="47" w:name="_Toc444781155"/>
      <w:bookmarkStart w:id="48" w:name="_Toc8655"/>
      <w:bookmarkStart w:id="49" w:name="_Toc4400"/>
      <w:bookmarkStart w:id="50" w:name="_Toc32428"/>
      <w:r>
        <w:rPr>
          <w:rFonts w:hint="eastAsia" w:ascii="宋体" w:hAnsi="宋体" w:eastAsia="宋体" w:cs="宋体"/>
          <w:color w:val="auto"/>
          <w:sz w:val="21"/>
          <w:szCs w:val="21"/>
          <w:highlight w:val="none"/>
        </w:rPr>
        <w:t>七、磋商程序</w:t>
      </w:r>
      <w:bookmarkEnd w:id="47"/>
      <w:bookmarkEnd w:id="48"/>
      <w:bookmarkEnd w:id="49"/>
      <w:bookmarkEnd w:id="50"/>
    </w:p>
    <w:p>
      <w:pPr>
        <w:snapToGrid w:val="0"/>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20. 对所有响应文件的初审</w:t>
      </w:r>
    </w:p>
    <w:p>
      <w:pPr>
        <w:adjustRightInd w:val="0"/>
        <w:snapToGrid w:val="0"/>
        <w:spacing w:line="360" w:lineRule="auto"/>
        <w:ind w:firstLine="480"/>
        <w:rPr>
          <w:rFonts w:ascii="宋体" w:hAnsi="宋体" w:eastAsia="Calibri" w:cs="宋体"/>
          <w:i/>
          <w:iCs/>
          <w:color w:val="auto"/>
          <w:szCs w:val="21"/>
          <w:highlight w:val="none"/>
        </w:rPr>
      </w:pPr>
      <w:r>
        <w:rPr>
          <w:rFonts w:hint="eastAsia" w:ascii="宋体" w:hAnsi="宋体" w:cs="宋体"/>
          <w:color w:val="auto"/>
          <w:szCs w:val="21"/>
          <w:highlight w:val="none"/>
        </w:rPr>
        <w:t>20.1初审包括资格条件、有效性和完整性进行审查。审查不合格的，其磋商响应将无效，不再进行后续磋商。如有下列情形的，初审不合格：</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资格证明文件不全的或者不符合采购文件标明的资格要求的；</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w:t>
      </w:r>
      <w:r>
        <w:rPr>
          <w:rFonts w:hint="eastAsia" w:ascii="宋体" w:hAnsi="宋体" w:cs="宋体"/>
          <w:b/>
          <w:color w:val="auto"/>
          <w:szCs w:val="21"/>
          <w:highlight w:val="none"/>
          <w:lang w:val="en-US" w:eastAsia="zh-CN"/>
        </w:rPr>
        <w:t>未按磋商文件要求签字</w:t>
      </w:r>
      <w:r>
        <w:rPr>
          <w:rFonts w:hint="eastAsia" w:ascii="宋体" w:hAnsi="宋体" w:cs="宋体"/>
          <w:b/>
          <w:color w:val="auto"/>
          <w:szCs w:val="21"/>
          <w:highlight w:val="none"/>
        </w:rPr>
        <w:t>或盖章</w:t>
      </w:r>
      <w:r>
        <w:rPr>
          <w:rFonts w:hint="eastAsia" w:ascii="宋体" w:hAnsi="宋体" w:cs="宋体"/>
          <w:b/>
          <w:color w:val="auto"/>
          <w:szCs w:val="21"/>
          <w:highlight w:val="none"/>
          <w:lang w:val="en-US" w:eastAsia="zh-CN"/>
        </w:rPr>
        <w:t>的</w:t>
      </w:r>
      <w:r>
        <w:rPr>
          <w:rFonts w:hint="eastAsia" w:ascii="宋体" w:hAnsi="宋体" w:cs="宋体"/>
          <w:b/>
          <w:color w:val="auto"/>
          <w:szCs w:val="21"/>
          <w:highlight w:val="none"/>
        </w:rPr>
        <w:t>。</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授权委托人与响应文件中授权委托书所载内容有异的。</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仅提交“备份响应文件”的。</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响应文件内容虚假的。</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响应文件有采购人不能接受的附加条件的。</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磋商有效期、服务期等商务条款不能满足磋商文件要求的。</w:t>
      </w:r>
    </w:p>
    <w:p>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磋商文件明确规定的其他无效条款的。</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20.2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20.3磋商小组要求供应商澄清、说明或者更正响应文件通过“政府采购云平台”在线答复形式提交，并进行电子签章，或者由法定代表人或其授权的代表签字后扫描上传提交。</w:t>
      </w:r>
    </w:p>
    <w:p>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授权代表对澄清、说明或者补正内容未签字确认的，将自行承担由此可能导致的对其不利的评审结果，磋商小组按少数服从多数原则对相关内容进行评判。</w:t>
      </w:r>
    </w:p>
    <w:p>
      <w:pPr>
        <w:snapToGrid w:val="0"/>
        <w:spacing w:line="360" w:lineRule="auto"/>
        <w:ind w:firstLine="480"/>
        <w:rPr>
          <w:rFonts w:ascii="宋体" w:hAnsi="宋体" w:cs="宋体"/>
          <w:b/>
          <w:bCs/>
          <w:color w:val="auto"/>
          <w:szCs w:val="21"/>
          <w:highlight w:val="none"/>
          <w:lang w:val="zh-CN"/>
        </w:rPr>
      </w:pPr>
      <w:r>
        <w:rPr>
          <w:rFonts w:hint="eastAsia" w:ascii="宋体" w:hAnsi="宋体" w:cs="宋体"/>
          <w:b/>
          <w:bCs/>
          <w:color w:val="auto"/>
          <w:szCs w:val="21"/>
          <w:highlight w:val="none"/>
          <w:lang w:val="zh-CN"/>
        </w:rPr>
        <w:t>21.磋商</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21.1 初审合格的供应商进入下一步的磋商活动。</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21.2磋商小组所有成员应当集中与单一供应商分别进行磋商，并给予所有参加磋商的供应商平等的磋商机会。</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21.4磋商文件作出的实质性变动是磋商文件的有效组成部分，磋商小组应当及时在线告之所有参加磋商的供应商。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21.5供应商应当按照磋商文件的变动情况和磋商小组的要求重新提交响应文件，并由其法定代表人或授权代表签字或者加盖公章（电子签章）。由授权代表签字的，应当附法定代表人授权书。</w:t>
      </w:r>
    </w:p>
    <w:p>
      <w:pPr>
        <w:adjustRightInd w:val="0"/>
        <w:snapToGrid w:val="0"/>
        <w:spacing w:line="360" w:lineRule="auto"/>
        <w:ind w:firstLine="480"/>
        <w:rPr>
          <w:rFonts w:ascii="宋体" w:hAnsi="宋体" w:cs="宋体"/>
          <w:i/>
          <w:iCs/>
          <w:color w:val="auto"/>
          <w:szCs w:val="21"/>
          <w:highlight w:val="none"/>
        </w:rPr>
      </w:pPr>
      <w:r>
        <w:rPr>
          <w:rFonts w:hint="eastAsia" w:ascii="宋体" w:hAnsi="宋体" w:cs="宋体"/>
          <w:b/>
          <w:bCs/>
          <w:color w:val="auto"/>
          <w:szCs w:val="21"/>
          <w:highlight w:val="none"/>
        </w:rPr>
        <w:t>21.6在报价响应文件磋商时，如发现下列情形之一的，响应文件将被视为无效标：</w:t>
      </w:r>
    </w:p>
    <w:p>
      <w:pPr>
        <w:numPr>
          <w:ilvl w:val="0"/>
          <w:numId w:val="6"/>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供应商的磋商报价超过了本项目采购预算和最高限价的；</w:t>
      </w:r>
    </w:p>
    <w:p>
      <w:pPr>
        <w:numPr>
          <w:ilvl w:val="0"/>
          <w:numId w:val="6"/>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供应商的报价明显低于该标项其他通过符合性审查供应商的报价，有可能影响项目质量或者不能诚信履约，未按磋商小组要求在磋商现场合理的时间内提供书面说明及相关证明材料以证明其报价合理性的；</w:t>
      </w:r>
    </w:p>
    <w:p>
      <w:pPr>
        <w:numPr>
          <w:ilvl w:val="0"/>
          <w:numId w:val="6"/>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响应文件有采购人不能接受的附加条件的；</w:t>
      </w:r>
    </w:p>
    <w:p>
      <w:pPr>
        <w:numPr>
          <w:ilvl w:val="0"/>
          <w:numId w:val="6"/>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不符合法律、法规和本磋商文件规定的其他实质性要求的。</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22.综合评分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22.1综合评分法，是指响应文件满足磋商文件全部实质性要求且按评审因素的量化指标评审，得分最高的供应商为成交候选供应商的评审方法。</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22.2磋商结束后，磋商小组依据评分细则对各供应商的技术商务进行评分，具体如下：</w:t>
      </w:r>
    </w:p>
    <w:p>
      <w:pPr>
        <w:numPr>
          <w:ilvl w:val="0"/>
          <w:numId w:val="7"/>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商务部分：磋商小组对照评分标准和响应文件所附相关证明材料充分审核后，按照少数服从多数的原则集体统一评分。</w:t>
      </w:r>
    </w:p>
    <w:p>
      <w:pPr>
        <w:numPr>
          <w:ilvl w:val="0"/>
          <w:numId w:val="7"/>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pPr>
        <w:numPr>
          <w:ilvl w:val="0"/>
          <w:numId w:val="7"/>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最后报价：磋商结束后，磋商小组应当要求所有实质性响应的供应商在规定时间内提交最后报价。最后报价是供应商响应文件的有效组成部分。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已上传电子响应文件的供应商，在上传最后报价之前，若因磋商文件实质性变动导致供应商无法满足采购需求的，允许供应商退出磋商。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22.3磋商报价错误修正：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磋商小组将对确定为实质上响应磋商文件要求的响应文件进行校核，看其是否有计算上、累计上或表达上的错误，修正错误的原则如下:</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（1）响应文件中报价一览表内容与响应文件中明细表内容不一致的，以报价一览表为准；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（2）响应文件的大写金额和小写金额不一致的，以大写金额为准；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（3）如分项价格或单价有遗报，应视作已含在磋商总价中；其磋商总价不予调整。其分项价或单价由磋商小组在磋商总价不变的前提下根据合理的原则对其予以确定；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（4）当单价与数量的乘积与合价不一致时，以单价为准，除非磋商小组认为单价有明显的小数点错误，此时应以标出的合价为准，并修改单价。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（5）如有多报、重报，其磋商总价在评审过程中不予调整。如其成交，其合同价按其磋商单价予以调整；</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（6）单价金额小数点有明显错位的，应以总价为准，并修改单价。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hAnsi="宋体"/>
          <w:b/>
          <w:color w:val="auto"/>
          <w:highlight w:val="none"/>
        </w:rPr>
        <w:t>客户端填写的报价与以pdf格式上传文件中的报价不一致的，应以Pdf格式上传文件中的报价为准。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22.4评审办法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本次评标采用综合评分法。总分100分，资信商务及技术文件为8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分，报价文件为</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 按各供应商最终得分由高到低顺序排列。合格供应商的评标得分为各项目汇总得分，成交候选资格按评标得分由高到低顺序排列，得分相同的，按磋商报价由低到高顺序排列；得分且磋商报价相同的，按资信及商务技术得分由高到低顺序排列,如还不能确定排名的,则以获取采购文件时间的先后进行确定。成交供应商拒绝与采购人签订合同的，采购人可以按照评审报告推荐的成交候选人名单顺序，确定下一候选人为成交供应商，也可以重新开展政府采购活动。评分过程中采用四舍五入法，并保留小数2位。</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供应商评标综合得分=价格分+资信商务及技术分</w:t>
      </w:r>
    </w:p>
    <w:p>
      <w:pPr>
        <w:numPr>
          <w:ilvl w:val="0"/>
          <w:numId w:val="8"/>
        </w:numPr>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资信商务及技术</w:t>
      </w:r>
      <w:r>
        <w:rPr>
          <w:rFonts w:hint="eastAsia" w:ascii="宋体" w:hAnsi="宋体" w:cs="宋体"/>
          <w:b/>
          <w:bCs/>
          <w:color w:val="auto"/>
          <w:szCs w:val="21"/>
          <w:highlight w:val="none"/>
        </w:rPr>
        <w:t>（满分8</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分）</w:t>
      </w:r>
    </w:p>
    <w:tbl>
      <w:tblPr>
        <w:tblStyle w:val="26"/>
        <w:tblW w:w="5000"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147"/>
        <w:gridCol w:w="1319"/>
        <w:gridCol w:w="5591"/>
        <w:gridCol w:w="471"/>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jc w:val="center"/>
        </w:trPr>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7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得分</w:t>
            </w:r>
          </w:p>
        </w:tc>
        <w:tc>
          <w:tcPr>
            <w:tcW w:w="32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商务部分（</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p>
        </w:tc>
        <w:tc>
          <w:tcPr>
            <w:tcW w:w="77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公司实力</w:t>
            </w:r>
          </w:p>
        </w:tc>
        <w:tc>
          <w:tcPr>
            <w:tcW w:w="3277"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投标单位</w:t>
            </w:r>
            <w:r>
              <w:rPr>
                <w:rFonts w:hint="eastAsia" w:ascii="宋体" w:hAnsi="宋体" w:eastAsia="宋体" w:cs="宋体"/>
                <w:color w:val="auto"/>
                <w:kern w:val="0"/>
                <w:szCs w:val="21"/>
                <w:highlight w:val="none"/>
              </w:rPr>
              <w:t>具有</w:t>
            </w:r>
            <w:r>
              <w:rPr>
                <w:rFonts w:hint="eastAsia" w:ascii="Times New Roman" w:hAnsi="Times New Roman" w:eastAsia="宋体" w:cs="Times New Roman"/>
                <w:color w:val="auto"/>
                <w:kern w:val="0"/>
                <w:szCs w:val="21"/>
                <w:highlight w:val="none"/>
              </w:rPr>
              <w:t>涉密信息系统集成资质证书</w:t>
            </w:r>
            <w:r>
              <w:rPr>
                <w:rFonts w:hint="eastAsia" w:ascii="宋体" w:hAnsi="宋体" w:eastAsia="宋体" w:cs="宋体"/>
                <w:color w:val="auto"/>
                <w:kern w:val="0"/>
                <w:szCs w:val="21"/>
                <w:highlight w:val="none"/>
              </w:rPr>
              <w:t>、测绘成果及资料档案保密证书，每项得</w:t>
            </w:r>
            <w:r>
              <w:rPr>
                <w:rFonts w:ascii="Times New Roman" w:hAnsi="Times New Roman" w:eastAsia="宋体" w:cs="Times New Roman"/>
                <w:color w:val="auto"/>
                <w:kern w:val="0"/>
                <w:szCs w:val="21"/>
                <w:highlight w:val="none"/>
              </w:rPr>
              <w:t>1</w:t>
            </w:r>
            <w:r>
              <w:rPr>
                <w:rFonts w:hint="eastAsia" w:ascii="宋体" w:hAnsi="宋体" w:eastAsia="宋体" w:cs="宋体"/>
                <w:color w:val="auto"/>
                <w:kern w:val="0"/>
                <w:szCs w:val="21"/>
                <w:highlight w:val="none"/>
              </w:rPr>
              <w:t>分，最高</w:t>
            </w:r>
            <w:r>
              <w:rPr>
                <w:rFonts w:hint="eastAsia" w:ascii="Times New Roman" w:hAnsi="Times New Roman" w:eastAsia="宋体" w:cs="Times New Roman"/>
                <w:color w:val="auto"/>
                <w:kern w:val="0"/>
                <w:szCs w:val="21"/>
                <w:highlight w:val="none"/>
                <w:lang w:val="en-US" w:eastAsia="zh-CN"/>
              </w:rPr>
              <w:t>2</w:t>
            </w:r>
            <w:r>
              <w:rPr>
                <w:rFonts w:hint="eastAsia" w:ascii="宋体" w:hAnsi="宋体" w:eastAsia="宋体" w:cs="宋体"/>
                <w:color w:val="auto"/>
                <w:kern w:val="0"/>
                <w:szCs w:val="21"/>
                <w:highlight w:val="none"/>
              </w:rPr>
              <w:t>分。提供</w:t>
            </w:r>
            <w:r>
              <w:rPr>
                <w:rFonts w:hint="eastAsia" w:ascii="宋体" w:hAnsi="宋体" w:eastAsia="宋体" w:cs="宋体"/>
                <w:color w:val="auto"/>
                <w:kern w:val="0"/>
                <w:szCs w:val="21"/>
                <w:highlight w:val="none"/>
                <w:lang w:val="en-US" w:eastAsia="zh-CN"/>
              </w:rPr>
              <w:t>证书扫描</w:t>
            </w:r>
            <w:r>
              <w:rPr>
                <w:rFonts w:hint="eastAsia" w:ascii="宋体" w:hAnsi="宋体" w:eastAsia="宋体" w:cs="宋体"/>
                <w:color w:val="auto"/>
                <w:kern w:val="0"/>
                <w:szCs w:val="21"/>
                <w:highlight w:val="none"/>
              </w:rPr>
              <w:t>件，未提供不得分。</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27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企业认证证书</w:t>
            </w:r>
            <w:r>
              <w:rPr>
                <w:rFonts w:hint="eastAsia" w:ascii="宋体" w:hAnsi="宋体" w:eastAsia="宋体" w:cs="宋体"/>
                <w:color w:val="auto"/>
                <w:kern w:val="0"/>
                <w:szCs w:val="21"/>
                <w:highlight w:val="none"/>
                <w:lang w:val="en-US" w:eastAsia="zh-CN"/>
              </w:rPr>
              <w:t>及软著</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投标单位</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val="en-US" w:eastAsia="zh-CN"/>
              </w:rPr>
              <w:t>有效期内的</w:t>
            </w:r>
            <w:r>
              <w:rPr>
                <w:rFonts w:hint="eastAsia" w:ascii="宋体" w:hAnsi="宋体" w:eastAsia="宋体" w:cs="宋体"/>
                <w:color w:val="auto"/>
                <w:kern w:val="0"/>
                <w:szCs w:val="21"/>
                <w:highlight w:val="none"/>
              </w:rPr>
              <w:t>质量管理体系认证证书、环境管理体系认证证书、职业健康管理体系认证证书、信息安全管理体系认证证书，每项得1分，最高4分。提供</w:t>
            </w:r>
            <w:r>
              <w:rPr>
                <w:rFonts w:hint="eastAsia" w:ascii="宋体" w:hAnsi="宋体" w:eastAsia="宋体" w:cs="宋体"/>
                <w:color w:val="auto"/>
                <w:kern w:val="0"/>
                <w:szCs w:val="21"/>
                <w:highlight w:val="none"/>
                <w:lang w:val="en-US" w:eastAsia="zh-CN"/>
              </w:rPr>
              <w:t>证书扫描</w:t>
            </w:r>
            <w:r>
              <w:rPr>
                <w:rFonts w:hint="eastAsia" w:ascii="宋体" w:hAnsi="宋体" w:eastAsia="宋体" w:cs="宋体"/>
                <w:color w:val="auto"/>
                <w:kern w:val="0"/>
                <w:szCs w:val="21"/>
                <w:highlight w:val="none"/>
              </w:rPr>
              <w:t>件，未提供不得分。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投标单位</w:t>
            </w:r>
            <w:r>
              <w:rPr>
                <w:rFonts w:hint="eastAsia" w:ascii="宋体" w:hAnsi="宋体" w:eastAsia="宋体" w:cs="宋体"/>
                <w:color w:val="auto"/>
                <w:kern w:val="0"/>
                <w:szCs w:val="21"/>
                <w:highlight w:val="none"/>
              </w:rPr>
              <w:t>具有档案管理信息系统、档案数字化加工系统计算机软件著作权登记证书的，每项得1分，最高2分。提供</w:t>
            </w:r>
            <w:r>
              <w:rPr>
                <w:rFonts w:hint="eastAsia" w:ascii="宋体" w:hAnsi="宋体" w:eastAsia="宋体" w:cs="宋体"/>
                <w:color w:val="auto"/>
                <w:kern w:val="0"/>
                <w:szCs w:val="21"/>
                <w:highlight w:val="none"/>
                <w:lang w:val="en-US" w:eastAsia="zh-CN"/>
              </w:rPr>
              <w:t>证书扫描</w:t>
            </w:r>
            <w:r>
              <w:rPr>
                <w:rFonts w:hint="eastAsia" w:ascii="宋体" w:hAnsi="宋体" w:eastAsia="宋体" w:cs="宋体"/>
                <w:color w:val="auto"/>
                <w:kern w:val="0"/>
                <w:szCs w:val="21"/>
                <w:highlight w:val="none"/>
              </w:rPr>
              <w:t>件，未提供不得分。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39"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业绩</w:t>
            </w:r>
          </w:p>
        </w:tc>
        <w:tc>
          <w:tcPr>
            <w:tcW w:w="32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投标单位</w:t>
            </w:r>
            <w:r>
              <w:rPr>
                <w:rFonts w:hint="eastAsia" w:ascii="宋体" w:hAnsi="宋体" w:eastAsia="宋体" w:cs="宋体"/>
                <w:color w:val="auto"/>
                <w:kern w:val="0"/>
                <w:szCs w:val="21"/>
                <w:highlight w:val="none"/>
              </w:rPr>
              <w:t>承担过档案整理数字化项目的，每个加</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分，最高得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分。提供</w:t>
            </w:r>
            <w:r>
              <w:rPr>
                <w:rFonts w:hint="eastAsia" w:ascii="宋体" w:hAnsi="宋体" w:eastAsia="宋体" w:cs="宋体"/>
                <w:color w:val="auto"/>
                <w:kern w:val="0"/>
                <w:szCs w:val="21"/>
                <w:highlight w:val="none"/>
                <w:lang w:val="en-US" w:eastAsia="zh-CN"/>
              </w:rPr>
              <w:t>合同扫描件，不提供不得分</w:t>
            </w:r>
            <w:r>
              <w:rPr>
                <w:rFonts w:hint="eastAsia" w:ascii="宋体" w:hAnsi="宋体" w:eastAsia="宋体" w:cs="宋体"/>
                <w:color w:val="auto"/>
                <w:kern w:val="0"/>
                <w:szCs w:val="21"/>
                <w:highlight w:val="none"/>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技术方案及质量（</w:t>
            </w:r>
            <w:r>
              <w:rPr>
                <w:rFonts w:hint="eastAsia" w:ascii="宋体" w:hAnsi="宋体" w:eastAsia="宋体" w:cs="宋体"/>
                <w:color w:val="auto"/>
                <w:kern w:val="0"/>
                <w:szCs w:val="21"/>
                <w:highlight w:val="none"/>
                <w:lang w:val="en-US" w:eastAsia="zh-CN"/>
              </w:rPr>
              <w:t>76</w:t>
            </w:r>
            <w:r>
              <w:rPr>
                <w:rFonts w:hint="eastAsia" w:ascii="宋体" w:hAnsi="宋体" w:eastAsia="宋体" w:cs="宋体"/>
                <w:color w:val="auto"/>
                <w:kern w:val="0"/>
                <w:szCs w:val="21"/>
                <w:highlight w:val="none"/>
              </w:rPr>
              <w:t>）</w:t>
            </w:r>
          </w:p>
        </w:tc>
        <w:tc>
          <w:tcPr>
            <w:tcW w:w="7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项目总体建设方案</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32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档案扫描建库技术方案设计是否科学、合理、规范、可行，是否支持数据按标准要求交换。建库工艺流程是否能指导实际操作，并满足招标要求，并且充分体现了自己的技术优势， </w:t>
            </w:r>
            <w:r>
              <w:rPr>
                <w:rFonts w:hint="eastAsia" w:ascii="宋体" w:hAnsi="宋体" w:eastAsia="宋体" w:cs="宋体"/>
                <w:color w:val="auto"/>
                <w:kern w:val="0"/>
                <w:szCs w:val="21"/>
                <w:highlight w:val="none"/>
                <w:lang w:val="en-US" w:eastAsia="zh-CN"/>
              </w:rPr>
              <w:t>基础分5</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酌情加分，最高加5分</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本项满分10分</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项目建设的理解</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c>
          <w:tcPr>
            <w:tcW w:w="327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对不动产档案扫描是否有自己独到的理解，建好的数据尤其是档案属性条目信息是否考虑到与不动产业务系统的应用，酌情给分。</w:t>
            </w:r>
            <w:r>
              <w:rPr>
                <w:rFonts w:hint="eastAsia" w:ascii="宋体" w:hAnsi="宋体" w:eastAsia="宋体" w:cs="宋体"/>
                <w:color w:val="auto"/>
                <w:kern w:val="0"/>
                <w:szCs w:val="21"/>
                <w:highlight w:val="none"/>
                <w:lang w:val="en-US" w:eastAsia="zh-CN"/>
              </w:rPr>
              <w:t>基础分4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酌情加分，最高加4分</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本项满分8分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系统衔接</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327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档案数字化加工建库成果是否满足系统管理要求，是否可以与现有不动产登记档案系统</w:t>
            </w:r>
            <w:r>
              <w:rPr>
                <w:rFonts w:hint="eastAsia" w:ascii="宋体" w:hAnsi="宋体" w:eastAsia="宋体" w:cs="宋体"/>
                <w:color w:val="auto"/>
                <w:kern w:val="0"/>
                <w:szCs w:val="21"/>
                <w:highlight w:val="none"/>
                <w:lang w:val="en-US" w:eastAsia="zh-CN"/>
              </w:rPr>
              <w:t>和档案系统</w:t>
            </w:r>
            <w:r>
              <w:rPr>
                <w:rFonts w:hint="eastAsia" w:ascii="宋体" w:hAnsi="宋体" w:eastAsia="宋体" w:cs="宋体"/>
                <w:color w:val="auto"/>
                <w:kern w:val="0"/>
                <w:szCs w:val="21"/>
                <w:highlight w:val="none"/>
              </w:rPr>
              <w:t>无缝衔接，做到数据完整和准确，其采取的技术手段是否科学、安全。</w:t>
            </w:r>
            <w:r>
              <w:rPr>
                <w:rFonts w:hint="eastAsia" w:ascii="宋体" w:hAnsi="宋体" w:eastAsia="宋体" w:cs="宋体"/>
                <w:color w:val="auto"/>
                <w:kern w:val="0"/>
                <w:szCs w:val="21"/>
                <w:highlight w:val="none"/>
                <w:lang w:val="en-US" w:eastAsia="zh-CN"/>
              </w:rPr>
              <w:t>基础分5</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酌情加分，最高加5分</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本项满分10分</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27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项目建设的过程控制</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档案扫描建库过程控制，整个加工过程是否有管理软件进行资料控制，对交接、流转的档案进行登记、对过程中出现的各种问题及时进行登记，</w:t>
            </w:r>
            <w:r>
              <w:rPr>
                <w:rFonts w:hint="eastAsia" w:ascii="宋体" w:hAnsi="宋体" w:eastAsia="宋体" w:cs="宋体"/>
                <w:color w:val="auto"/>
                <w:kern w:val="0"/>
                <w:szCs w:val="21"/>
                <w:highlight w:val="none"/>
                <w:lang w:val="en-US" w:eastAsia="zh-CN"/>
              </w:rPr>
              <w:t>基础分4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酌情加分，最高加4分</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本项满分8分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数据整理建库流程</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数据建库流程，提供一套合理的整理数字化加工流程，是否设置交接 、整理、扫描、著录、质检、装订等工位，酌情给分。</w:t>
            </w:r>
            <w:r>
              <w:rPr>
                <w:rFonts w:hint="eastAsia" w:ascii="宋体" w:hAnsi="宋体" w:eastAsia="宋体" w:cs="宋体"/>
                <w:color w:val="auto"/>
                <w:kern w:val="0"/>
                <w:szCs w:val="21"/>
                <w:highlight w:val="none"/>
                <w:lang w:val="en-US" w:eastAsia="zh-CN"/>
              </w:rPr>
              <w:t>基础分4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酌情加分，最高加4分</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本项满分8分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培训方案</w:t>
            </w:r>
          </w:p>
          <w:p>
            <w:pPr>
              <w:widowControl/>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8分</w:t>
            </w:r>
            <w:r>
              <w:rPr>
                <w:rFonts w:hint="eastAsia" w:ascii="宋体" w:hAnsi="宋体" w:eastAsia="宋体" w:cs="宋体"/>
                <w:color w:val="auto"/>
                <w:kern w:val="0"/>
                <w:szCs w:val="21"/>
                <w:highlight w:val="none"/>
                <w:lang w:val="zh-CN"/>
              </w:rPr>
              <w:t>）</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根据投标供应商提供的培训方案的合理性、可行性等情况打分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基础分4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酌情加分，最高加4分</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本项满分8分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5"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rPr>
              <w:t>售后服务方案（</w:t>
            </w:r>
            <w:r>
              <w:rPr>
                <w:rFonts w:hint="eastAsia" w:ascii="宋体" w:hAnsi="宋体" w:eastAsia="宋体" w:cs="宋体"/>
                <w:color w:val="auto"/>
                <w:kern w:val="0"/>
                <w:szCs w:val="21"/>
                <w:highlight w:val="none"/>
                <w:lang w:val="en-US" w:eastAsia="zh-CN"/>
              </w:rPr>
              <w:t>6分</w:t>
            </w:r>
            <w:r>
              <w:rPr>
                <w:rFonts w:hint="eastAsia" w:ascii="宋体" w:hAnsi="宋体" w:eastAsia="宋体" w:cs="宋体"/>
                <w:color w:val="auto"/>
                <w:kern w:val="0"/>
                <w:szCs w:val="21"/>
                <w:highlight w:val="none"/>
                <w:lang w:val="zh-CN"/>
              </w:rPr>
              <w:t>）</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根据供应商提供的针对本项目制定的售后服务（包含但不限于本地化服务（0-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分）、响应时间（0-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分）、应急处理方案（0-</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分），进行综合评价。</w:t>
            </w:r>
            <w:r>
              <w:rPr>
                <w:rFonts w:hint="eastAsia" w:ascii="宋体" w:hAnsi="宋体" w:eastAsia="宋体" w:cs="宋体"/>
                <w:b/>
                <w:bCs/>
                <w:color w:val="auto"/>
                <w:kern w:val="0"/>
                <w:szCs w:val="21"/>
                <w:highlight w:val="none"/>
                <w:lang w:val="en-US" w:eastAsia="zh-CN"/>
              </w:rPr>
              <w:t>本项满分6分</w:t>
            </w:r>
          </w:p>
        </w:tc>
        <w:tc>
          <w:tcPr>
            <w:tcW w:w="2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项目团队综合实力</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p>
        </w:tc>
        <w:tc>
          <w:tcPr>
            <w:tcW w:w="3277"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1、项目经理同时具有高级工程师、高级信息系统项目管理师、地理信息安全保密培训合格证书的得3分，只具有其中1项或者2项的得1分；</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2、项目技术负责人具有不动产登记代理人证书的，得2分；</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3、拟派项目组成员（不含项目负责人、项目技术负责人）具有档案业务培训证书、档案安全保密培训证书、保密管理人员合格证书的每项得1分，最高得3分。</w:t>
            </w:r>
          </w:p>
          <w:p>
            <w:pPr>
              <w:widowControl/>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 xml:space="preserve">（提供近三个月任意一个月社保证明和证书，社保证明和人员不匹配不得分，提供复印件加盖公章）。 </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演示（1</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w:t>
            </w:r>
          </w:p>
        </w:tc>
        <w:tc>
          <w:tcPr>
            <w:tcW w:w="3277" w:type="pct"/>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b/>
                <w:bCs/>
                <w:color w:val="auto"/>
                <w:sz w:val="28"/>
                <w:szCs w:val="28"/>
                <w:highlight w:val="none"/>
              </w:rPr>
            </w:pPr>
            <w:r>
              <w:rPr>
                <w:rFonts w:hint="eastAsia"/>
                <w:b/>
                <w:bCs/>
                <w:color w:val="auto"/>
                <w:sz w:val="28"/>
                <w:szCs w:val="28"/>
                <w:highlight w:val="none"/>
              </w:rPr>
              <w:t>时间控制在10分钟内。须演示以下功能，仅提供PPT演示该功能的，该功能不得分：</w:t>
            </w:r>
          </w:p>
          <w:p>
            <w:pPr>
              <w:widowControl/>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档案扫描工作流程（满分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档案扫描系统讲解（满分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档案扫描</w:t>
            </w:r>
            <w:r>
              <w:rPr>
                <w:rFonts w:hint="eastAsia" w:ascii="宋体" w:hAnsi="宋体" w:eastAsia="宋体" w:cs="宋体"/>
                <w:color w:val="auto"/>
                <w:kern w:val="0"/>
                <w:szCs w:val="21"/>
                <w:highlight w:val="none"/>
                <w:lang w:val="en-US" w:eastAsia="zh-CN"/>
              </w:rPr>
              <w:t>与</w:t>
            </w:r>
            <w:r>
              <w:rPr>
                <w:rFonts w:hint="eastAsia" w:ascii="宋体" w:hAnsi="宋体" w:eastAsia="宋体" w:cs="宋体"/>
                <w:color w:val="auto"/>
                <w:kern w:val="0"/>
                <w:szCs w:val="21"/>
                <w:highlight w:val="none"/>
              </w:rPr>
              <w:t>不动产系统的衔接（满分</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rPr>
                <w:rFonts w:hint="eastAsia"/>
                <w:b/>
                <w:bCs/>
                <w:color w:val="auto"/>
                <w:sz w:val="28"/>
                <w:szCs w:val="28"/>
                <w:highlight w:val="none"/>
              </w:rPr>
            </w:pPr>
            <w:r>
              <w:rPr>
                <w:rFonts w:hint="eastAsia"/>
                <w:b/>
                <w:bCs/>
                <w:color w:val="auto"/>
                <w:sz w:val="28"/>
                <w:szCs w:val="28"/>
                <w:highlight w:val="none"/>
              </w:rPr>
              <w:t>视频演示以U盘形式提供，单独密封，在投标截止时间前提交。</w:t>
            </w:r>
          </w:p>
          <w:p>
            <w:pPr>
              <w:widowControl/>
              <w:jc w:val="left"/>
              <w:rPr>
                <w:rFonts w:ascii="宋体" w:hAnsi="宋体" w:eastAsia="宋体" w:cs="宋体"/>
                <w:color w:val="auto"/>
                <w:kern w:val="0"/>
                <w:szCs w:val="21"/>
                <w:highlight w:val="none"/>
              </w:rPr>
            </w:pPr>
          </w:p>
        </w:tc>
        <w:tc>
          <w:tcPr>
            <w:tcW w:w="276"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27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76"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27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76"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6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77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327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Cs w:val="21"/>
                <w:highlight w:val="none"/>
              </w:rPr>
            </w:pPr>
          </w:p>
        </w:tc>
        <w:tc>
          <w:tcPr>
            <w:tcW w:w="276"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auto"/>
                <w:kern w:val="0"/>
                <w:szCs w:val="21"/>
                <w:highlight w:val="none"/>
              </w:rPr>
            </w:pPr>
          </w:p>
        </w:tc>
      </w:tr>
    </w:tbl>
    <w:p>
      <w:pPr>
        <w:widowControl/>
        <w:snapToGrid w:val="0"/>
        <w:spacing w:line="440" w:lineRule="exact"/>
        <w:ind w:firstLine="426"/>
        <w:jc w:val="left"/>
        <w:rPr>
          <w:rFonts w:ascii="宋体" w:cs="宋体"/>
          <w:color w:val="auto"/>
          <w:szCs w:val="21"/>
          <w:highlight w:val="none"/>
          <w:lang w:val="zh-CN"/>
        </w:rPr>
      </w:pPr>
      <w:r>
        <w:rPr>
          <w:rFonts w:hint="eastAsia"/>
          <w:color w:val="auto"/>
          <w:highlight w:val="none"/>
        </w:rPr>
        <w:t>备注：</w:t>
      </w:r>
      <w:r>
        <w:rPr>
          <w:rFonts w:hint="eastAsia" w:ascii="宋体" w:cs="宋体"/>
          <w:color w:val="auto"/>
          <w:szCs w:val="21"/>
          <w:highlight w:val="none"/>
          <w:lang w:val="zh-CN"/>
        </w:rPr>
        <w:t>以上评分</w:t>
      </w:r>
      <w:r>
        <w:rPr>
          <w:rFonts w:hint="eastAsia" w:ascii="宋体" w:cs="宋体"/>
          <w:color w:val="auto"/>
          <w:szCs w:val="21"/>
          <w:highlight w:val="none"/>
          <w:lang w:val="zh-CN" w:eastAsia="zh-CN"/>
        </w:rPr>
        <w:t>打分时</w:t>
      </w:r>
      <w:r>
        <w:rPr>
          <w:rFonts w:hint="eastAsia" w:ascii="宋体" w:cs="宋体"/>
          <w:color w:val="auto"/>
          <w:szCs w:val="21"/>
          <w:highlight w:val="none"/>
          <w:lang w:val="zh-CN"/>
        </w:rPr>
        <w:t>保留小数1位，结果保留</w:t>
      </w:r>
      <w:r>
        <w:rPr>
          <w:rFonts w:hint="eastAsia" w:ascii="宋体" w:cs="宋体"/>
          <w:color w:val="auto"/>
          <w:szCs w:val="21"/>
          <w:highlight w:val="none"/>
          <w:lang w:val="en-US" w:eastAsia="zh-CN"/>
        </w:rPr>
        <w:t>2位小数。</w:t>
      </w:r>
      <w:r>
        <w:rPr>
          <w:rFonts w:hint="eastAsia" w:ascii="宋体" w:cs="宋体"/>
          <w:color w:val="auto"/>
          <w:szCs w:val="21"/>
          <w:highlight w:val="none"/>
          <w:lang w:val="zh-CN"/>
        </w:rPr>
        <w:t>若缺项或不满足要求的则该项为0分。</w:t>
      </w:r>
    </w:p>
    <w:p>
      <w:pPr>
        <w:pStyle w:val="9"/>
        <w:spacing w:line="440" w:lineRule="exact"/>
        <w:rPr>
          <w:rFonts w:hAnsi="Calibri" w:cs="宋体"/>
          <w:b/>
          <w:bCs/>
          <w:color w:val="auto"/>
          <w:sz w:val="21"/>
          <w:szCs w:val="21"/>
          <w:highlight w:val="none"/>
          <w:lang w:val="zh-CN"/>
        </w:rPr>
      </w:pPr>
      <w:r>
        <w:rPr>
          <w:rFonts w:hint="eastAsia" w:hAnsi="Times New Roman"/>
          <w:color w:val="auto"/>
          <w:sz w:val="21"/>
          <w:highlight w:val="none"/>
          <w:lang w:val="zh-CN"/>
        </w:rPr>
        <w:t xml:space="preserve">  </w:t>
      </w:r>
      <w:r>
        <w:rPr>
          <w:rFonts w:hint="eastAsia"/>
          <w:b/>
          <w:bCs/>
          <w:color w:val="auto"/>
          <w:highlight w:val="none"/>
        </w:rPr>
        <w:t>3.报价评审（</w:t>
      </w:r>
      <w:r>
        <w:rPr>
          <w:rFonts w:hint="eastAsia" w:hAnsi="Calibri" w:cs="宋体"/>
          <w:b/>
          <w:bCs/>
          <w:color w:val="auto"/>
          <w:sz w:val="21"/>
          <w:szCs w:val="21"/>
          <w:highlight w:val="none"/>
          <w:lang w:val="zh-CN"/>
        </w:rPr>
        <w:t>满分</w:t>
      </w:r>
      <w:r>
        <w:rPr>
          <w:rFonts w:hint="eastAsia" w:hAnsi="Calibri" w:cs="宋体"/>
          <w:b/>
          <w:bCs/>
          <w:color w:val="auto"/>
          <w:sz w:val="21"/>
          <w:szCs w:val="21"/>
          <w:highlight w:val="none"/>
          <w:lang w:val="en-US" w:eastAsia="zh-CN"/>
        </w:rPr>
        <w:t>15</w:t>
      </w:r>
      <w:r>
        <w:rPr>
          <w:rFonts w:hint="eastAsia" w:hAnsi="Calibri" w:cs="宋体"/>
          <w:b/>
          <w:bCs/>
          <w:color w:val="auto"/>
          <w:sz w:val="21"/>
          <w:szCs w:val="21"/>
          <w:highlight w:val="none"/>
          <w:lang w:val="zh-CN"/>
        </w:rPr>
        <w:t>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各供应商的最后总报价得分统一采用低价优先法计算，即满足采购文件要求且最后价格最低的磋商报价为评标基准价，其价格分为满分。其他供应商的商务报价得分统一按照下列公式计算：</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磋商报价得分=（评标基准价/最后报价）×价格权值（即</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%）×100</w:t>
      </w:r>
    </w:p>
    <w:p>
      <w:pPr>
        <w:pStyle w:val="3"/>
        <w:ind w:firstLine="211" w:firstLineChars="100"/>
        <w:jc w:val="both"/>
        <w:rPr>
          <w:rFonts w:hint="default" w:ascii="新宋体" w:hAnsi="新宋体" w:eastAsia="新宋体" w:cs="Times New Roman"/>
          <w:b/>
          <w:bCs/>
          <w:color w:val="auto"/>
          <w:kern w:val="2"/>
          <w:sz w:val="21"/>
          <w:szCs w:val="21"/>
          <w:highlight w:val="none"/>
          <w:lang w:val="en-US" w:eastAsia="zh-CN" w:bidi="ar-SA"/>
        </w:rPr>
      </w:pPr>
      <w:r>
        <w:rPr>
          <w:rFonts w:hint="eastAsia" w:ascii="新宋体" w:hAnsi="新宋体" w:eastAsia="新宋体" w:cs="Times New Roman"/>
          <w:b/>
          <w:bCs/>
          <w:color w:val="auto"/>
          <w:kern w:val="2"/>
          <w:sz w:val="21"/>
          <w:szCs w:val="21"/>
          <w:highlight w:val="none"/>
          <w:lang w:val="en-US" w:eastAsia="zh-CN" w:bidi="ar-SA"/>
        </w:rPr>
        <w:t>本项目属于预留份额专门面向中小微企业采购的项目，不再重复享受价格扣除的优惠政策。</w:t>
      </w:r>
    </w:p>
    <w:p>
      <w:pPr>
        <w:snapToGrid w:val="0"/>
        <w:spacing w:line="440" w:lineRule="exact"/>
        <w:ind w:firstLine="420" w:firstLineChars="200"/>
        <w:rPr>
          <w:rFonts w:ascii="宋体" w:hAnsi="宋体"/>
          <w:color w:val="auto"/>
          <w:szCs w:val="21"/>
          <w:highlight w:val="none"/>
        </w:rPr>
      </w:pPr>
      <w:r>
        <w:rPr>
          <w:color w:val="auto"/>
          <w:szCs w:val="21"/>
          <w:highlight w:val="none"/>
        </w:rPr>
        <w:t>此项由评标委员会集体核实后统一打分</w:t>
      </w:r>
      <w:r>
        <w:rPr>
          <w:rFonts w:hint="eastAsia" w:ascii="宋体" w:hAnsi="宋体"/>
          <w:color w:val="auto"/>
          <w:szCs w:val="21"/>
          <w:highlight w:val="none"/>
        </w:rPr>
        <w:t>。</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23.推荐成交候选供应商</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23.1各供应商的最终得分为商务技术及报价</w:t>
      </w:r>
      <w:r>
        <w:rPr>
          <w:rFonts w:hint="eastAsia" w:ascii="宋体" w:hAnsi="宋体"/>
          <w:color w:val="auto"/>
          <w:szCs w:val="21"/>
          <w:highlight w:val="none"/>
          <w:lang w:eastAsia="zh-CN"/>
        </w:rPr>
        <w:t>二</w:t>
      </w:r>
      <w:r>
        <w:rPr>
          <w:rFonts w:hint="eastAsia" w:ascii="宋体" w:hAnsi="宋体"/>
          <w:color w:val="auto"/>
          <w:szCs w:val="21"/>
          <w:highlight w:val="none"/>
        </w:rPr>
        <w:t>部分的总和。</w:t>
      </w:r>
    </w:p>
    <w:p>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23.2磋商小组应当根据综合评分情况，按照评审得分由高到低顺序推荐3名成交候选供应商，并编写评审报告。</w:t>
      </w:r>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24.确定成交供应商</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24.1采购代理机构应当在评审结束后2个工作日内将评审报告送采购人确认。</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24.2采购人或者采购代理机构应当在成交供应商确定后2个工作日内，在省级以上财政部门指定的政府采购信息发布媒体上公告成交结果，同时向成交供应商发出成交通知书。</w:t>
      </w:r>
    </w:p>
    <w:p>
      <w:pPr>
        <w:pStyle w:val="3"/>
        <w:spacing w:before="120" w:after="120" w:line="440" w:lineRule="exact"/>
        <w:rPr>
          <w:rFonts w:ascii="宋体" w:hAnsi="宋体" w:eastAsia="宋体" w:cs="宋体"/>
          <w:color w:val="auto"/>
          <w:sz w:val="21"/>
          <w:szCs w:val="21"/>
          <w:highlight w:val="none"/>
        </w:rPr>
      </w:pPr>
      <w:bookmarkStart w:id="51" w:name="_Toc207550888"/>
      <w:bookmarkStart w:id="52" w:name="_Toc23451"/>
      <w:bookmarkStart w:id="53" w:name="_Toc3038"/>
      <w:bookmarkStart w:id="54" w:name="_Toc20305"/>
      <w:r>
        <w:rPr>
          <w:rFonts w:hint="eastAsia" w:ascii="宋体" w:hAnsi="宋体" w:eastAsia="宋体" w:cs="宋体"/>
          <w:color w:val="auto"/>
          <w:sz w:val="21"/>
          <w:szCs w:val="21"/>
          <w:highlight w:val="none"/>
        </w:rPr>
        <w:t>九、</w:t>
      </w:r>
      <w:bookmarkEnd w:id="51"/>
      <w:r>
        <w:rPr>
          <w:rFonts w:hint="eastAsia" w:ascii="宋体" w:hAnsi="宋体" w:eastAsia="宋体" w:cs="宋体"/>
          <w:color w:val="auto"/>
          <w:sz w:val="21"/>
          <w:szCs w:val="21"/>
          <w:highlight w:val="none"/>
        </w:rPr>
        <w:t>签订合同</w:t>
      </w:r>
      <w:bookmarkEnd w:id="52"/>
      <w:bookmarkEnd w:id="53"/>
      <w:bookmarkEnd w:id="54"/>
    </w:p>
    <w:p>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25.签订合同</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25.1采购人与成交供应商应当在成交通知书发出之日起30日内，按照磋商文件确定的合同文本以及采购标的和服务要求等事项签订政府采购合同。</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25.3拒签合同的责任</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成交供应商接到成交通知书后，在规定时间内借故否认已经承诺的条件而拒签合同者，以磋商违约处理。成交供应商承担由此造成的直接经济损失，采购人保留向其索赔的权力。</w:t>
      </w:r>
    </w:p>
    <w:p>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25.4签订合同后，成交供应商不得将本项目进行转包。未经采购人同意，成交供应商不得采用转包的形式履行合同。否则，采购人有权终止合同。转包造成采购人损失的，成交供应商还应承担相应的赔偿责任。</w:t>
      </w:r>
    </w:p>
    <w:p>
      <w:pPr>
        <w:pStyle w:val="3"/>
        <w:spacing w:before="120" w:after="120" w:line="440" w:lineRule="exact"/>
        <w:rPr>
          <w:rFonts w:ascii="宋体" w:hAnsi="宋体" w:eastAsia="宋体" w:cs="宋体"/>
          <w:color w:val="auto"/>
          <w:sz w:val="21"/>
          <w:szCs w:val="21"/>
          <w:highlight w:val="none"/>
        </w:rPr>
      </w:pPr>
      <w:bookmarkStart w:id="55" w:name="_Toc207550890"/>
      <w:bookmarkStart w:id="56" w:name="_Toc1652"/>
      <w:bookmarkStart w:id="57" w:name="_Toc24760"/>
      <w:bookmarkStart w:id="58" w:name="_Toc8947"/>
      <w:r>
        <w:rPr>
          <w:rFonts w:hint="eastAsia" w:ascii="宋体" w:hAnsi="宋体" w:eastAsia="宋体" w:cs="宋体"/>
          <w:color w:val="auto"/>
          <w:sz w:val="21"/>
          <w:szCs w:val="21"/>
          <w:highlight w:val="none"/>
        </w:rPr>
        <w:t>十、</w:t>
      </w:r>
      <w:bookmarkEnd w:id="55"/>
      <w:r>
        <w:rPr>
          <w:rFonts w:hint="eastAsia" w:ascii="宋体" w:hAnsi="宋体" w:eastAsia="宋体" w:cs="宋体"/>
          <w:color w:val="auto"/>
          <w:sz w:val="21"/>
          <w:szCs w:val="21"/>
          <w:highlight w:val="none"/>
        </w:rPr>
        <w:t>终止竞争性磋商采购活动</w:t>
      </w:r>
      <w:bookmarkEnd w:id="56"/>
      <w:bookmarkEnd w:id="57"/>
      <w:bookmarkEnd w:id="58"/>
    </w:p>
    <w:p>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6</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终止竞争性磋商采购活动</w:t>
      </w:r>
    </w:p>
    <w:p>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6</w:t>
      </w:r>
      <w:r>
        <w:rPr>
          <w:rFonts w:hint="eastAsia" w:ascii="宋体" w:hAnsi="宋体" w:cs="宋体"/>
          <w:color w:val="auto"/>
          <w:szCs w:val="21"/>
          <w:highlight w:val="none"/>
          <w:lang w:val="zh-CN"/>
        </w:rPr>
        <w:t>.1在竞争性磋商采购活动过程中，出现下列情形之一的，</w:t>
      </w:r>
      <w:r>
        <w:rPr>
          <w:rFonts w:hint="eastAsia" w:ascii="宋体" w:hAnsi="宋体" w:cs="宋体"/>
          <w:color w:val="auto"/>
          <w:szCs w:val="21"/>
          <w:highlight w:val="none"/>
        </w:rPr>
        <w:t>采购人或者采购代理机构应当终止竞争性磋商采购活动，发布项目终止公告并说明原因，重新开展采购活动：</w:t>
      </w:r>
    </w:p>
    <w:p>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（1）因情况变化，不再符合规定的竞争性磋商采购方式适用情形的；</w:t>
      </w:r>
    </w:p>
    <w:p>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（2）出现影响采购公正的违法、违规行为的。</w:t>
      </w:r>
    </w:p>
    <w:p>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在采购过程中符合要求的供应商或者报价未超过采购预算的供应商不足2家的</w:t>
      </w:r>
      <w:r>
        <w:rPr>
          <w:rFonts w:hint="eastAsia" w:ascii="宋体" w:hAnsi="宋体" w:cs="宋体"/>
          <w:color w:val="auto"/>
          <w:szCs w:val="21"/>
          <w:highlight w:val="none"/>
          <w:lang w:val="zh-CN"/>
        </w:rPr>
        <w:t>。</w:t>
      </w:r>
    </w:p>
    <w:p>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（4）因重大变故，采购任务取消的。</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26.2在采购活动中因重大变故，采购任务取消的，采购人或者采购代理机构应当终止采购活动，通知所有参加采购活动的供应商，并将项目实施情况和采购任务取消原因报送本级财政部门。</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26.3采购过程中出现以下情形，导致电子交易平台无法正常运行，或者无法保证电子交易的公平、公正和安全时，采购组织机构可中止电子交易活动：</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pPr>
        <w:adjustRightInd w:val="0"/>
        <w:snapToGrid w:val="0"/>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bookmarkEnd w:id="5"/>
      <w:bookmarkEnd w:id="6"/>
      <w:bookmarkEnd w:id="46"/>
      <w:bookmarkStart w:id="59" w:name="_Toc18611"/>
    </w:p>
    <w:p>
      <w:pPr>
        <w:pStyle w:val="3"/>
        <w:spacing w:before="120" w:after="120" w:line="440" w:lineRule="exact"/>
        <w:rPr>
          <w:rFonts w:ascii="宋体" w:hAnsi="宋体" w:eastAsia="宋体" w:cs="宋体"/>
          <w:color w:val="auto"/>
          <w:sz w:val="21"/>
          <w:szCs w:val="21"/>
          <w:highlight w:val="none"/>
        </w:rPr>
      </w:pPr>
      <w:bookmarkStart w:id="60" w:name="_Toc13006"/>
      <w:bookmarkStart w:id="61" w:name="_Toc12023"/>
      <w:bookmarkStart w:id="62" w:name="_Toc4460"/>
      <w:r>
        <w:rPr>
          <w:rFonts w:hint="eastAsia" w:ascii="宋体" w:hAnsi="宋体" w:eastAsia="宋体" w:cs="宋体"/>
          <w:color w:val="auto"/>
          <w:sz w:val="21"/>
          <w:szCs w:val="21"/>
          <w:highlight w:val="none"/>
        </w:rPr>
        <w:t>十一、其他</w:t>
      </w:r>
      <w:bookmarkEnd w:id="59"/>
      <w:bookmarkEnd w:id="60"/>
      <w:bookmarkEnd w:id="61"/>
      <w:bookmarkEnd w:id="62"/>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磋商截止前被“信用中国”网站(www.creditchina.gov.cn)列入失信被执行人、重大税收违法案件当事人名单或被“中国政府采购网”(www.ccgp.gov.cn)列入政府采购严重违法失信行为记录名单等存在不良信用记录的供应商将被拒绝参加本项目采购活动。具体以磋商截止当日采购代理机构在上述两个网站上查询到的信息为准。</w:t>
      </w:r>
    </w:p>
    <w:p>
      <w:pPr>
        <w:adjustRightInd w:val="0"/>
        <w:snapToGrid w:val="0"/>
        <w:spacing w:line="440" w:lineRule="exact"/>
        <w:ind w:firstLine="420" w:firstLineChars="200"/>
        <w:rPr>
          <w:color w:val="auto"/>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2"/>
        <w:pageBreakBefore/>
        <w:snapToGrid w:val="0"/>
        <w:spacing w:before="240" w:after="240" w:line="240" w:lineRule="auto"/>
        <w:rPr>
          <w:rFonts w:ascii="宋体" w:hAnsi="宋体" w:eastAsia="宋体"/>
          <w:color w:val="auto"/>
          <w:sz w:val="32"/>
          <w:highlight w:val="none"/>
        </w:rPr>
      </w:pPr>
      <w:bookmarkStart w:id="63" w:name="_Toc30854"/>
      <w:r>
        <w:rPr>
          <w:rFonts w:hint="eastAsia" w:ascii="宋体" w:hAnsi="宋体" w:eastAsia="宋体"/>
          <w:color w:val="auto"/>
          <w:sz w:val="32"/>
          <w:highlight w:val="none"/>
        </w:rPr>
        <w:t>第三部分 用户需求书</w:t>
      </w:r>
      <w:bookmarkEnd w:id="63"/>
    </w:p>
    <w:p>
      <w:pPr>
        <w:pStyle w:val="63"/>
        <w:numPr>
          <w:ilvl w:val="0"/>
          <w:numId w:val="9"/>
        </w:numPr>
        <w:ind w:firstLineChars="0"/>
        <w:rPr>
          <w:color w:val="auto"/>
          <w:sz w:val="21"/>
          <w:szCs w:val="21"/>
          <w:highlight w:val="none"/>
        </w:rPr>
      </w:pPr>
      <w:bookmarkStart w:id="64" w:name="_Toc177870559"/>
      <w:bookmarkStart w:id="65" w:name="_Toc170792807"/>
      <w:r>
        <w:rPr>
          <w:rFonts w:hint="eastAsia"/>
          <w:color w:val="auto"/>
          <w:sz w:val="21"/>
          <w:szCs w:val="21"/>
          <w:highlight w:val="none"/>
        </w:rPr>
        <w:t>项目背景</w:t>
      </w:r>
    </w:p>
    <w:p>
      <w:pPr>
        <w:pStyle w:val="63"/>
        <w:ind w:firstLineChars="0"/>
        <w:rPr>
          <w:color w:val="auto"/>
          <w:sz w:val="21"/>
          <w:szCs w:val="21"/>
          <w:highlight w:val="none"/>
        </w:rPr>
      </w:pPr>
      <w:r>
        <w:rPr>
          <w:rFonts w:hint="eastAsia"/>
          <w:color w:val="auto"/>
          <w:sz w:val="21"/>
          <w:szCs w:val="21"/>
          <w:highlight w:val="none"/>
        </w:rPr>
        <w:t>在信息时代的今天，随着计算机网络技术的成熟和广泛运用，人们的工作、管理方式发生根本改变，自然资源和规划系统越来越多的单位注重资料、信息管理，以往单一、简单化的管理模式已不能满足现代经济发展的需求，同时具有数据量庞大、数据种类繁多、数据来源广泛、结构复杂等特点，怎样把大量分散、孤立资料信息归档成有序、易查的信息交换系统，实现土地档案信息统一管理，建立一个安全、相通、分级授权的档案信息资源管理共享系统，提高工作效率，是亟待解决的重要问题。</w:t>
      </w:r>
    </w:p>
    <w:p>
      <w:pPr>
        <w:pStyle w:val="63"/>
        <w:rPr>
          <w:color w:val="auto"/>
          <w:sz w:val="21"/>
          <w:szCs w:val="21"/>
          <w:highlight w:val="none"/>
        </w:rPr>
      </w:pPr>
      <w:r>
        <w:rPr>
          <w:rFonts w:hint="eastAsia"/>
          <w:color w:val="auto"/>
          <w:sz w:val="21"/>
          <w:szCs w:val="21"/>
          <w:highlight w:val="none"/>
        </w:rPr>
        <w:t>不动产档案是指在土地资源管理活动中直接形成的以文字、图表、声像等形式反映土地变化过程、具有保存价值的历史记录。其包括综合类、计划财务类、地籍管理类、土地利用规划类、建设用地类、国土监察类、宣教科技信息类、电子声像类、地质矿产类等九大类档案，如地籍档案举例，是为土地所有权人、土地使用权人提供土地产权资料，每一个城市的规划建设区域控制范围都由无数的宗地构成，在每宗土地的权属登记过程中，都会形成相应的地籍档案，可见地籍档案数量繁多，管理工作任务繁重；其二，传统的档案资料保存，是采用纸质介质保存方式，在日常运行过程中，不难发现图纸被反复翻看，造成了部分图纸的破损、起皱，字迹模糊，经多次使用、品质不断下降。纸张保存是最原始的保存方式，具有管理手段落后，占用大量库房面积，管理成本高，保管时易损坏，纸张易黄、易粘、易脆，调阅速度低下，不能多人同时调阅，档案资料管理工作繁重等缺点。因此要实现自然资源和规划局档案管理信息化，首先必须对这些档案进行数字化加工处理，转换成计算机能够存储和识别的图像文件。</w:t>
      </w:r>
    </w:p>
    <w:p>
      <w:pPr>
        <w:pStyle w:val="63"/>
        <w:numPr>
          <w:ilvl w:val="0"/>
          <w:numId w:val="9"/>
        </w:numPr>
        <w:ind w:firstLineChars="0"/>
        <w:rPr>
          <w:color w:val="auto"/>
          <w:sz w:val="21"/>
          <w:szCs w:val="21"/>
          <w:highlight w:val="none"/>
        </w:rPr>
      </w:pPr>
      <w:r>
        <w:rPr>
          <w:rFonts w:hint="eastAsia"/>
          <w:color w:val="auto"/>
          <w:sz w:val="21"/>
          <w:szCs w:val="21"/>
          <w:highlight w:val="none"/>
          <w:lang w:eastAsia="zh-CN"/>
        </w:rPr>
        <w:t>嘉兴市自然资源和规划局浙江乍浦经济开发区分局</w:t>
      </w:r>
      <w:r>
        <w:rPr>
          <w:rFonts w:hint="eastAsia"/>
          <w:color w:val="auto"/>
          <w:sz w:val="21"/>
          <w:szCs w:val="21"/>
          <w:highlight w:val="none"/>
        </w:rPr>
        <w:t>档案现状</w:t>
      </w:r>
    </w:p>
    <w:p>
      <w:pPr>
        <w:pStyle w:val="63"/>
        <w:ind w:firstLineChars="0"/>
        <w:rPr>
          <w:color w:val="auto"/>
          <w:sz w:val="21"/>
          <w:szCs w:val="21"/>
          <w:highlight w:val="none"/>
        </w:rPr>
      </w:pPr>
      <w:r>
        <w:rPr>
          <w:rFonts w:hint="eastAsia"/>
          <w:color w:val="auto"/>
          <w:sz w:val="21"/>
          <w:szCs w:val="21"/>
          <w:highlight w:val="none"/>
        </w:rPr>
        <w:t>随着</w:t>
      </w:r>
      <w:r>
        <w:rPr>
          <w:rFonts w:hint="eastAsia"/>
          <w:color w:val="auto"/>
          <w:sz w:val="21"/>
          <w:szCs w:val="21"/>
          <w:highlight w:val="none"/>
          <w:lang w:eastAsia="zh-CN"/>
        </w:rPr>
        <w:t>嘉兴市自然资源和规划局浙江乍浦经济开发区分局</w:t>
      </w:r>
      <w:r>
        <w:rPr>
          <w:rFonts w:hint="eastAsia"/>
          <w:color w:val="auto"/>
          <w:sz w:val="21"/>
          <w:szCs w:val="21"/>
          <w:highlight w:val="none"/>
        </w:rPr>
        <w:t>的不断发展，每年产生的纸质档案资料逐年快速递增，传统的档案管理方法已不适应当前形势发展的需要，务必加快和实现数字化档案管理已是迫在眉睫。现</w:t>
      </w:r>
      <w:r>
        <w:rPr>
          <w:rFonts w:hint="eastAsia"/>
          <w:color w:val="auto"/>
          <w:sz w:val="21"/>
          <w:szCs w:val="21"/>
          <w:highlight w:val="none"/>
          <w:lang w:eastAsia="zh-CN"/>
        </w:rPr>
        <w:t>嘉兴市自然资源和规划局浙江乍浦经济开发区分局</w:t>
      </w:r>
      <w:r>
        <w:rPr>
          <w:rFonts w:hint="eastAsia"/>
          <w:color w:val="auto"/>
          <w:sz w:val="21"/>
          <w:szCs w:val="21"/>
          <w:highlight w:val="none"/>
        </w:rPr>
        <w:t>不动产存量档案已经结清，日常档案每年增加量约</w:t>
      </w:r>
      <w:r>
        <w:rPr>
          <w:color w:val="auto"/>
          <w:sz w:val="21"/>
          <w:szCs w:val="21"/>
          <w:highlight w:val="none"/>
        </w:rPr>
        <w:t>11000</w:t>
      </w:r>
      <w:r>
        <w:rPr>
          <w:rFonts w:hint="eastAsia"/>
          <w:color w:val="auto"/>
          <w:sz w:val="21"/>
          <w:szCs w:val="21"/>
          <w:highlight w:val="none"/>
        </w:rPr>
        <w:t>本（约</w:t>
      </w:r>
      <w:r>
        <w:rPr>
          <w:color w:val="auto"/>
          <w:sz w:val="21"/>
          <w:szCs w:val="21"/>
          <w:highlight w:val="none"/>
        </w:rPr>
        <w:t>630000</w:t>
      </w:r>
      <w:r>
        <w:rPr>
          <w:rFonts w:hint="eastAsia"/>
          <w:color w:val="auto"/>
          <w:sz w:val="21"/>
          <w:szCs w:val="21"/>
          <w:highlight w:val="none"/>
        </w:rPr>
        <w:t>页）。</w:t>
      </w:r>
    </w:p>
    <w:p>
      <w:pPr>
        <w:pStyle w:val="63"/>
        <w:ind w:firstLineChars="0"/>
        <w:rPr>
          <w:color w:val="auto"/>
          <w:sz w:val="21"/>
          <w:szCs w:val="21"/>
          <w:highlight w:val="none"/>
        </w:rPr>
      </w:pPr>
    </w:p>
    <w:p>
      <w:pPr>
        <w:pStyle w:val="63"/>
        <w:numPr>
          <w:ilvl w:val="0"/>
          <w:numId w:val="9"/>
        </w:numPr>
        <w:ind w:firstLineChars="0"/>
        <w:rPr>
          <w:color w:val="auto"/>
          <w:sz w:val="21"/>
          <w:szCs w:val="21"/>
          <w:highlight w:val="none"/>
        </w:rPr>
      </w:pPr>
      <w:r>
        <w:rPr>
          <w:rFonts w:hint="eastAsia"/>
          <w:color w:val="auto"/>
          <w:sz w:val="21"/>
          <w:szCs w:val="21"/>
          <w:highlight w:val="none"/>
        </w:rPr>
        <w:t>项目需求</w:t>
      </w:r>
    </w:p>
    <w:p>
      <w:pPr>
        <w:pStyle w:val="63"/>
        <w:ind w:firstLineChars="0"/>
        <w:rPr>
          <w:rFonts w:hint="eastAsia" w:ascii="宋体" w:hAnsi="宋体" w:cs="宋体"/>
          <w:color w:val="auto"/>
          <w:sz w:val="21"/>
          <w:szCs w:val="21"/>
          <w:highlight w:val="none"/>
        </w:rPr>
      </w:pPr>
      <w:r>
        <w:rPr>
          <w:rFonts w:hint="eastAsia"/>
          <w:color w:val="auto"/>
          <w:sz w:val="21"/>
          <w:szCs w:val="21"/>
          <w:highlight w:val="none"/>
        </w:rPr>
        <w:t>对原纸质档案整理及数字化扫描建库是进行数字档案管理系统建设的重要内容，一般存在A4、A3、A0等幅面，是自然资源和规划局管理的根本，具有极其重要的价值，对这些档案进行整理、扫描、建库、归档，不仅工作量大，投资也比较大。本次招标需完成我局</w:t>
      </w:r>
      <w:r>
        <w:rPr>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w:t>
      </w:r>
      <w:r>
        <w:rPr>
          <w:color w:val="auto"/>
          <w:sz w:val="21"/>
          <w:szCs w:val="21"/>
          <w:highlight w:val="none"/>
        </w:rPr>
        <w:t>202</w:t>
      </w:r>
      <w:r>
        <w:rPr>
          <w:rFonts w:hint="eastAsia"/>
          <w:color w:val="auto"/>
          <w:sz w:val="21"/>
          <w:szCs w:val="21"/>
          <w:highlight w:val="none"/>
          <w:lang w:val="en-US" w:eastAsia="zh-CN"/>
        </w:rPr>
        <w:t>5</w:t>
      </w:r>
      <w:r>
        <w:rPr>
          <w:rFonts w:hint="eastAsia"/>
          <w:color w:val="auto"/>
          <w:sz w:val="21"/>
          <w:szCs w:val="21"/>
          <w:highlight w:val="none"/>
        </w:rPr>
        <w:t>年所产生的档案资料的数字化工作（纸质约</w:t>
      </w:r>
      <w:r>
        <w:rPr>
          <w:color w:val="auto"/>
          <w:sz w:val="21"/>
          <w:szCs w:val="21"/>
          <w:highlight w:val="none"/>
        </w:rPr>
        <w:t>63</w:t>
      </w:r>
      <w:r>
        <w:rPr>
          <w:rFonts w:hint="eastAsia"/>
          <w:color w:val="auto"/>
          <w:sz w:val="21"/>
          <w:szCs w:val="21"/>
          <w:highlight w:val="none"/>
        </w:rPr>
        <w:t>万页，</w:t>
      </w:r>
      <w:r>
        <w:rPr>
          <w:color w:val="auto"/>
          <w:sz w:val="21"/>
          <w:szCs w:val="21"/>
          <w:highlight w:val="none"/>
        </w:rPr>
        <w:t>1.1</w:t>
      </w:r>
      <w:r>
        <w:rPr>
          <w:rFonts w:hint="eastAsia"/>
          <w:color w:val="auto"/>
          <w:sz w:val="21"/>
          <w:szCs w:val="21"/>
          <w:highlight w:val="none"/>
        </w:rPr>
        <w:t>万卷，备注：本项目数量为未来一年间新产生的档案）。需充分挖掘历史档案资料中蕴涵的巨大价值，用信息化的手段展示其价值。同时，需做好各类接口对接工作，</w:t>
      </w:r>
      <w:r>
        <w:rPr>
          <w:rFonts w:hint="eastAsia" w:ascii="宋体" w:hAnsi="宋体" w:cs="宋体"/>
          <w:color w:val="auto"/>
          <w:sz w:val="21"/>
          <w:szCs w:val="21"/>
          <w:highlight w:val="none"/>
        </w:rPr>
        <w:t>扫描后的成果需与</w:t>
      </w:r>
      <w:r>
        <w:rPr>
          <w:rFonts w:hint="eastAsia" w:cs="宋体"/>
          <w:color w:val="auto"/>
          <w:sz w:val="21"/>
          <w:szCs w:val="21"/>
          <w:highlight w:val="none"/>
          <w:lang w:eastAsia="zh-CN"/>
        </w:rPr>
        <w:t>我局、</w:t>
      </w:r>
      <w:r>
        <w:rPr>
          <w:rFonts w:hint="eastAsia" w:ascii="宋体" w:hAnsi="宋体" w:cs="宋体"/>
          <w:color w:val="auto"/>
          <w:sz w:val="21"/>
          <w:szCs w:val="21"/>
          <w:highlight w:val="none"/>
        </w:rPr>
        <w:t>平湖市局已建成的档案数字化扫描成果进行无缝对接，与</w:t>
      </w:r>
      <w:r>
        <w:rPr>
          <w:rFonts w:hint="eastAsia" w:cs="宋体"/>
          <w:color w:val="auto"/>
          <w:sz w:val="21"/>
          <w:szCs w:val="21"/>
          <w:highlight w:val="none"/>
          <w:lang w:eastAsia="zh-CN"/>
        </w:rPr>
        <w:t>我局、</w:t>
      </w:r>
      <w:r>
        <w:rPr>
          <w:rFonts w:hint="eastAsia" w:ascii="宋体" w:hAnsi="宋体" w:cs="宋体"/>
          <w:color w:val="auto"/>
          <w:sz w:val="21"/>
          <w:szCs w:val="21"/>
          <w:highlight w:val="none"/>
        </w:rPr>
        <w:t>平湖市局档案管理系统进行无缝对接，与</w:t>
      </w:r>
      <w:r>
        <w:rPr>
          <w:rFonts w:hint="eastAsia" w:cs="宋体"/>
          <w:color w:val="auto"/>
          <w:sz w:val="21"/>
          <w:szCs w:val="21"/>
          <w:highlight w:val="none"/>
          <w:lang w:eastAsia="zh-CN"/>
        </w:rPr>
        <w:t>不动产分中心、</w:t>
      </w:r>
      <w:r>
        <w:rPr>
          <w:rFonts w:hint="eastAsia" w:ascii="宋体" w:hAnsi="宋体" w:cs="宋体"/>
          <w:color w:val="auto"/>
          <w:sz w:val="21"/>
          <w:szCs w:val="21"/>
          <w:highlight w:val="none"/>
        </w:rPr>
        <w:t>平湖市不动产登记</w:t>
      </w:r>
      <w:r>
        <w:rPr>
          <w:rFonts w:hint="eastAsia" w:cs="宋体"/>
          <w:color w:val="auto"/>
          <w:sz w:val="21"/>
          <w:szCs w:val="21"/>
          <w:highlight w:val="none"/>
          <w:lang w:eastAsia="zh-CN"/>
        </w:rPr>
        <w:t>中心</w:t>
      </w:r>
      <w:r>
        <w:rPr>
          <w:rFonts w:hint="eastAsia" w:ascii="宋体" w:hAnsi="宋体" w:cs="宋体"/>
          <w:color w:val="auto"/>
          <w:sz w:val="21"/>
          <w:szCs w:val="21"/>
          <w:highlight w:val="none"/>
        </w:rPr>
        <w:t>系统进行无缝对接，档案管理信息系统能正常读取入库后的数据</w:t>
      </w:r>
      <w:r>
        <w:rPr>
          <w:rFonts w:hint="eastAsia" w:cs="宋体"/>
          <w:color w:val="auto"/>
          <w:sz w:val="21"/>
          <w:szCs w:val="21"/>
          <w:highlight w:val="none"/>
          <w:lang w:eastAsia="zh-CN"/>
        </w:rPr>
        <w:t>，满足不动产分中心日常登记需</w:t>
      </w:r>
      <w:r>
        <w:rPr>
          <w:rFonts w:hint="eastAsia" w:ascii="宋体" w:hAnsi="宋体" w:cs="宋体"/>
          <w:color w:val="auto"/>
          <w:sz w:val="21"/>
          <w:szCs w:val="21"/>
          <w:highlight w:val="none"/>
        </w:rPr>
        <w:t>求</w:t>
      </w:r>
      <w:r>
        <w:rPr>
          <w:rFonts w:hint="eastAsia" w:cs="宋体"/>
          <w:color w:val="auto"/>
          <w:sz w:val="21"/>
          <w:szCs w:val="21"/>
          <w:highlight w:val="none"/>
          <w:lang w:eastAsia="zh-CN"/>
        </w:rPr>
        <w:t>及</w:t>
      </w:r>
      <w:r>
        <w:rPr>
          <w:rFonts w:hint="eastAsia" w:ascii="宋体" w:hAnsi="宋体" w:cs="宋体"/>
          <w:color w:val="auto"/>
          <w:sz w:val="21"/>
          <w:szCs w:val="21"/>
          <w:highlight w:val="none"/>
        </w:rPr>
        <w:t>满足今后嘉兴市内全市通办需求。如中间因中标单位无法按照系统要求实现无缝衔接或有任何的商业费用或技术交流问题，全部由中标单位承担，确保入库后的档案数据能在我局档案管理系统中正常运行，不动产登记系统能正常读取，档案数据整合及入库需通过我局档案管理系统开发公司进行质检，所有档案数据和档案系统之间的沟通或费用等其他事项都由中标单位负责完成。</w:t>
      </w:r>
    </w:p>
    <w:p>
      <w:pPr>
        <w:pStyle w:val="63"/>
        <w:ind w:firstLineChars="0"/>
        <w:rPr>
          <w:color w:val="auto"/>
          <w:sz w:val="21"/>
          <w:szCs w:val="21"/>
          <w:highlight w:val="none"/>
        </w:rPr>
      </w:pPr>
    </w:p>
    <w:p>
      <w:pPr>
        <w:pStyle w:val="6"/>
        <w:numPr>
          <w:ilvl w:val="0"/>
          <w:numId w:val="10"/>
        </w:numPr>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档案整理及扫描规范及要求</w:t>
      </w:r>
    </w:p>
    <w:p>
      <w:pPr>
        <w:rPr>
          <w:color w:val="auto"/>
          <w:sz w:val="21"/>
          <w:szCs w:val="21"/>
          <w:highlight w:val="none"/>
        </w:rPr>
      </w:pP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1、档案整理及档案扫描前处理</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对原纸质档案进行整理、包括填写立卷信息；敲页码；填写并打印封面、卷内目录、备考表、打孔和装订等；对库房中已经装订成卷的档案在扫描前进行相应的处理工作，登记原有档案的相关信息。</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2、确定扫描范围</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对原有纸质档案进行数字化并不是简单将纸质档案扫描，需要对纸质档案进行认真清理，针对不同类型的档案，确定不同的数字化内容。</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3、扫描方式</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（1）根据档案幅面的大小(A4、A3、A0等)选择相应规格的扫描仪或专业扫描仪进行扫描、A3及以下页面采用A3快速平板扫描仪，任何档案幅面的大小都不允许采用高拍仪。</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（2）纸张状况较差，以及过薄、过软或超厚的档案，采用平板扫描或无边距平板扫描仪方式；选择相应的扫描设备时必须保证档案不受损。</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5、扫描格式</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在数字化之后文件存储上采用JPG格式。</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6、色彩模式</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（1）扫描后的影像文件以扫描后的图像清晰、完整，档案内容信息与档案原件一致为准。</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（2）为了满足档案局的登记备份要求，扫描全部采用彩色扫描。</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7、扫描分辨率</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（1）扫描分辨率参数大小的选择，原则上以扫描后的图像清晰、完整、不影响图像的利用效果为准。</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（2）彩色扫描分辨率采用</w:t>
      </w:r>
      <w:r>
        <w:rPr>
          <w:rFonts w:asciiTheme="minorEastAsia" w:hAnsiTheme="minorEastAsia"/>
          <w:color w:val="auto"/>
          <w:sz w:val="21"/>
          <w:szCs w:val="21"/>
          <w:highlight w:val="none"/>
        </w:rPr>
        <w:t>3</w:t>
      </w:r>
      <w:r>
        <w:rPr>
          <w:rFonts w:hint="eastAsia" w:asciiTheme="minorEastAsia" w:hAnsiTheme="minorEastAsia"/>
          <w:color w:val="auto"/>
          <w:sz w:val="21"/>
          <w:szCs w:val="21"/>
          <w:highlight w:val="none"/>
        </w:rPr>
        <w:t>00dpi或以上，普通文件扫描精度</w:t>
      </w:r>
      <w:r>
        <w:rPr>
          <w:rFonts w:asciiTheme="minorEastAsia" w:hAnsiTheme="minorEastAsia"/>
          <w:color w:val="auto"/>
          <w:sz w:val="21"/>
          <w:szCs w:val="21"/>
          <w:highlight w:val="none"/>
        </w:rPr>
        <w:t>3</w:t>
      </w:r>
      <w:r>
        <w:rPr>
          <w:rFonts w:hint="eastAsia" w:asciiTheme="minorEastAsia" w:hAnsiTheme="minorEastAsia"/>
          <w:color w:val="auto"/>
          <w:sz w:val="21"/>
          <w:szCs w:val="21"/>
          <w:highlight w:val="none"/>
        </w:rPr>
        <w:t>00DPI；针对于照片、图像等信息进行数字化时候，照片扫描分辨率不低于600DPI，照片底片扫描不低于1200DPI；对文书档案采用300dpi,并做到双层PDF扫描，进行OCR识别。</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（3）扫描文档保持原档方向，保证扫描的比例尺为1：1</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8、图像修正</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（1)图像画幅数要与扫描交接单上保持一致，准确无误。</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（2)每个画幅的前后顺序要与原纸质档案顺序保持一致，不一致时应及时进行调整。</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（3)要保证画幅上的图像、文字完整，清晰可读，由于操作不当引起的扫描后图像文件不完整或无法清晰识别时应重新扫描。</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（4)对不同纸质档案设置能达到最好效果的参数，尽可能使图像能清晰识别。</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（5)对每个画幅进行纠偏处理，使其左右歪斜偏差小于2度。</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（6)对横向排放的页面进行左右旋转90或270度处理，以符合阅读习惯。对于除文字内容外，纸张边界内有个别较大的黑点、黑线条、黑框、黑边时进行去黑处理。</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9、文件命名</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库藏纸质档案的每一文件都有一个与之相对应的唯一档号，该档号也是每份文件图像的文件名，应按《文书档案目录数据交换格式与著录细则》(DB35/T161-2002)中有关档号结构标准，建立每份文件的目录数据和文件名。命名标准其组成格式简单表述为：</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全宗号(3位)；目录号(3位)；案卷号(4位)；文件起始页号(3位)。档号组成内容为：全宗号-分类号-目录号-案卷号</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每份档案文件目录数据与其图像文件名必须建立一一对应关系，实现档案目录数据与图像文件的对接。</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每一卷JPG文件的档案索引内容与纸质档案卷内目录一致。</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10、图像存储</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对不同数字化模式下的文件分别选择适合的存储格式，存储时压缩率的选择应以在保证扫描图像清晰可读的前提下，尽量减少存储容量为准则。</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提供网络查询的扫描图像也可以存储为CEB、PDF或者其他格式。</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11、数据对接</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根据文件的档号将目录数据与图像文件进行对接，对接过程中应通过参看原文内容，看文件内容是否与数据所著录的内容一致，图像文件与目录数据对接要做到准确无误。目录数据著录内容与原件有偏差时，应以原件内容为准。</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12、数据抽检校对</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以抽检的方式检查已经完成数字化转换的所有数据，包括目录数据库、图像文件以及数据挂接的总体质量。一个全宗的档案，数据验收时抽检比率不得低于5％，数字化转换质量抽检的合格率达到99％（≥99％）予以验收通过，合格率＝抽检合格的文件数/抽检文件总数*100％。</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13、数据建库及数据备份</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档案扫描工程经检查验收合格后，应及时建立数字档案库，并及时进行备份，可通过数据库备份、异地存储备份和移动硬盘等方式实现。移动硬盘备份时应注意图像信息的完整，完成后要进行质量检查。质量检查的内容有图像文件能否打开，文件数是否准确，防止备份失败。合格的备份数据复制两份，异地保存。</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14、档案还原</w:t>
      </w:r>
    </w:p>
    <w:p>
      <w:pPr>
        <w:spacing w:line="360" w:lineRule="auto"/>
        <w:ind w:firstLine="420" w:firstLineChars="200"/>
        <w:contextualSpacing/>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档案扫描工程结束后，需要将拆开的档案重新装钉，在重新装订档案的时候要注意保护好档案的实体不受损害，同时还必须注意案卷内文件的数量及排列保持原貌，做到安全且无遗漏。</w:t>
      </w:r>
    </w:p>
    <w:p>
      <w:pPr>
        <w:spacing w:line="360" w:lineRule="auto"/>
        <w:ind w:firstLine="422" w:firstLineChars="200"/>
        <w:contextualSpacing/>
        <w:rPr>
          <w:rFonts w:asciiTheme="minorEastAsia" w:hAnsiTheme="minorEastAsia"/>
          <w:b/>
          <w:color w:val="auto"/>
          <w:sz w:val="21"/>
          <w:szCs w:val="21"/>
          <w:highlight w:val="none"/>
        </w:rPr>
      </w:pPr>
      <w:r>
        <w:rPr>
          <w:rFonts w:hint="eastAsia" w:asciiTheme="minorEastAsia" w:hAnsiTheme="minorEastAsia"/>
          <w:b/>
          <w:color w:val="auto"/>
          <w:sz w:val="21"/>
          <w:szCs w:val="21"/>
          <w:highlight w:val="none"/>
        </w:rPr>
        <w:t>15、档案成果提交</w:t>
      </w:r>
    </w:p>
    <w:p>
      <w:pPr>
        <w:spacing w:line="360" w:lineRule="auto"/>
        <w:ind w:firstLine="420" w:firstLineChars="200"/>
        <w:contextualSpacing/>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成品数据经验收合格后，需通过硬盘提交数据成果，并按照规定的存储格式进行存储。</w:t>
      </w:r>
    </w:p>
    <w:p>
      <w:pPr>
        <w:spacing w:line="300" w:lineRule="auto"/>
        <w:ind w:firstLine="482"/>
        <w:contextualSpacing/>
        <w:rPr>
          <w:rFonts w:ascii="宋体" w:hAnsi="宋体" w:cs="宋体"/>
          <w:b/>
          <w:bCs/>
          <w:color w:val="auto"/>
          <w:szCs w:val="24"/>
          <w:highlight w:val="none"/>
        </w:rPr>
      </w:pPr>
      <w:r>
        <w:rPr>
          <w:rFonts w:hint="eastAsia" w:ascii="宋体" w:hAnsi="宋体" w:cs="宋体"/>
          <w:b/>
          <w:bCs/>
          <w:color w:val="auto"/>
          <w:szCs w:val="24"/>
          <w:highlight w:val="none"/>
          <w:lang w:val="en-US" w:eastAsia="zh-CN"/>
        </w:rPr>
        <w:t>16、</w:t>
      </w:r>
      <w:r>
        <w:rPr>
          <w:rFonts w:hint="eastAsia" w:ascii="宋体" w:hAnsi="宋体" w:cs="宋体"/>
          <w:b/>
          <w:bCs/>
          <w:color w:val="auto"/>
          <w:szCs w:val="24"/>
          <w:highlight w:val="none"/>
        </w:rPr>
        <w:t>人员要求</w:t>
      </w:r>
    </w:p>
    <w:p>
      <w:pPr>
        <w:spacing w:line="300" w:lineRule="auto"/>
        <w:ind w:firstLine="480"/>
        <w:contextualSpacing/>
        <w:rPr>
          <w:rFonts w:hint="eastAsia" w:ascii="宋体" w:hAnsi="宋体" w:cs="宋体" w:eastAsiaTheme="minorEastAsia"/>
          <w:color w:val="auto"/>
          <w:szCs w:val="24"/>
          <w:highlight w:val="none"/>
          <w:lang w:eastAsia="zh-CN"/>
        </w:rPr>
      </w:pPr>
      <w:r>
        <w:rPr>
          <w:rFonts w:hint="eastAsia" w:ascii="宋体" w:hAnsi="宋体" w:cs="宋体"/>
          <w:color w:val="auto"/>
          <w:szCs w:val="24"/>
          <w:highlight w:val="none"/>
        </w:rPr>
        <w:t>本项目的实施人员为</w:t>
      </w:r>
      <w:r>
        <w:rPr>
          <w:rFonts w:hint="eastAsia" w:ascii="宋体" w:hAnsi="宋体" w:cs="宋体"/>
          <w:color w:val="auto"/>
          <w:szCs w:val="24"/>
          <w:highlight w:val="none"/>
          <w:lang w:eastAsia="zh-CN"/>
        </w:rPr>
        <w:t>港区</w:t>
      </w:r>
      <w:r>
        <w:rPr>
          <w:rFonts w:hint="eastAsia" w:ascii="宋体" w:hAnsi="宋体" w:cs="宋体"/>
          <w:color w:val="auto"/>
          <w:szCs w:val="24"/>
          <w:highlight w:val="none"/>
        </w:rPr>
        <w:t>不动产</w:t>
      </w:r>
      <w:r>
        <w:rPr>
          <w:rFonts w:hint="eastAsia" w:ascii="宋体" w:hAnsi="宋体" w:cs="宋体"/>
          <w:color w:val="auto"/>
          <w:szCs w:val="24"/>
          <w:highlight w:val="none"/>
          <w:lang w:eastAsia="zh-CN"/>
        </w:rPr>
        <w:t>分</w:t>
      </w:r>
      <w:r>
        <w:rPr>
          <w:rFonts w:hint="eastAsia" w:ascii="宋体" w:hAnsi="宋体" w:cs="宋体"/>
          <w:color w:val="auto"/>
          <w:szCs w:val="24"/>
          <w:highlight w:val="none"/>
        </w:rPr>
        <w:t>中心和</w:t>
      </w:r>
      <w:r>
        <w:rPr>
          <w:rFonts w:hint="eastAsia" w:ascii="宋体" w:hAnsi="宋体" w:cs="宋体"/>
          <w:color w:val="auto"/>
          <w:szCs w:val="24"/>
          <w:highlight w:val="none"/>
          <w:lang w:eastAsia="zh-CN"/>
        </w:rPr>
        <w:t>嘉兴市</w:t>
      </w:r>
      <w:r>
        <w:rPr>
          <w:rFonts w:hint="eastAsia" w:ascii="宋体" w:hAnsi="宋体" w:cs="宋体"/>
          <w:color w:val="auto"/>
          <w:szCs w:val="24"/>
          <w:highlight w:val="none"/>
        </w:rPr>
        <w:t>自然资源和规划局</w:t>
      </w:r>
      <w:r>
        <w:rPr>
          <w:rFonts w:hint="eastAsia" w:ascii="宋体" w:hAnsi="宋体" w:cs="宋体"/>
          <w:color w:val="auto"/>
          <w:szCs w:val="24"/>
          <w:highlight w:val="none"/>
          <w:lang w:eastAsia="zh-CN"/>
        </w:rPr>
        <w:t>浙江乍浦经济开发区分局</w:t>
      </w:r>
      <w:r>
        <w:rPr>
          <w:rFonts w:hint="eastAsia" w:ascii="宋体" w:hAnsi="宋体" w:cs="宋体"/>
          <w:color w:val="auto"/>
          <w:szCs w:val="24"/>
          <w:highlight w:val="none"/>
        </w:rPr>
        <w:t>提供纸质档案整理及数字化扫描入库服务工作</w:t>
      </w:r>
      <w:r>
        <w:rPr>
          <w:rFonts w:hint="eastAsia" w:ascii="宋体" w:hAnsi="宋体" w:cs="宋体"/>
          <w:color w:val="auto"/>
          <w:szCs w:val="24"/>
          <w:highlight w:val="none"/>
          <w:lang w:eastAsia="zh-CN"/>
        </w:rPr>
        <w:t>，</w:t>
      </w:r>
      <w:r>
        <w:rPr>
          <w:rFonts w:hint="eastAsia" w:ascii="宋体" w:hAnsi="宋体" w:cs="宋体"/>
          <w:color w:val="auto"/>
          <w:szCs w:val="24"/>
          <w:highlight w:val="none"/>
        </w:rPr>
        <w:t>驻地必须</w:t>
      </w:r>
      <w:r>
        <w:rPr>
          <w:rFonts w:hint="eastAsia" w:ascii="宋体" w:hAnsi="宋体" w:cs="宋体"/>
          <w:color w:val="auto"/>
          <w:szCs w:val="24"/>
          <w:highlight w:val="none"/>
          <w:lang w:eastAsia="zh-CN"/>
        </w:rPr>
        <w:t>为上述两单位制定场所</w:t>
      </w:r>
      <w:r>
        <w:rPr>
          <w:rFonts w:hint="eastAsia" w:ascii="宋体" w:hAnsi="宋体" w:cs="宋体"/>
          <w:color w:val="auto"/>
          <w:szCs w:val="24"/>
          <w:highlight w:val="none"/>
        </w:rPr>
        <w:t>。合同签订后3个工作日内必须安排专业人员进场开展工作，并拟定项目技术方案。每周的不动产统一登记的档案材料要当周处理完毕，不得顺延和拖后到下一周。</w:t>
      </w:r>
      <w:r>
        <w:rPr>
          <w:rFonts w:hint="eastAsia" w:ascii="宋体" w:hAnsi="宋体" w:cs="宋体"/>
          <w:color w:val="auto"/>
          <w:szCs w:val="24"/>
          <w:highlight w:val="none"/>
          <w:lang w:eastAsia="zh-CN"/>
        </w:rPr>
        <w:t>同时需做好档案室上架整理等一系列工作。</w:t>
      </w:r>
    </w:p>
    <w:p>
      <w:pPr>
        <w:pStyle w:val="24"/>
        <w:rPr>
          <w:color w:val="auto"/>
          <w:highlight w:val="none"/>
        </w:rPr>
      </w:pPr>
    </w:p>
    <w:p>
      <w:pPr>
        <w:pStyle w:val="6"/>
        <w:spacing w:before="0" w:after="0" w:line="360" w:lineRule="auto"/>
        <w:ind w:firstLine="310" w:firstLineChars="14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（二）档案著录数据录入</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由于原始老档案系统中条目信息存在繁体草书、内容不全、错误、遗漏等不规范的情况，要求对原始档案系统中的著录信息进行重新核对、修正。如业务案卷中的主要案情项，需根据文件内容按照时间、地点、人物、事由、结果等主要情况进行提炼、总结编写，符合现行标准后，再进行逐条著录的工作；</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2、著录录入要求准确、完整、符合标准；</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按照《档案著录规则》(DA/T18)等的要求，规范档案中的著录内容。包括确定档案目录的著录项、字段长度和内容要求。如有错误或不规范的信息如页数顺序等，应进行修正，并对原著录进行同步修改。要严格执行</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档案著录和分类管理规范。</w:t>
      </w:r>
    </w:p>
    <w:p>
      <w:pPr>
        <w:pStyle w:val="6"/>
        <w:spacing w:before="0" w:after="0" w:line="360" w:lineRule="auto"/>
        <w:ind w:firstLine="413" w:firstLineChars="196"/>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（三）安全要求</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严格遵守《中华人民共和国档案法》、《</w:t>
      </w:r>
      <w:r>
        <w:rPr>
          <w:rFonts w:hint="eastAsia" w:ascii="宋体"/>
          <w:color w:val="auto"/>
          <w:szCs w:val="21"/>
          <w:highlight w:val="none"/>
          <w:lang w:val="en-US" w:eastAsia="zh-CN"/>
        </w:rPr>
        <w:t>中华人民共和国保守国家秘密法</w:t>
      </w:r>
      <w:r>
        <w:rPr>
          <w:rFonts w:hint="eastAsia" w:asciiTheme="minorEastAsia" w:hAnsiTheme="minorEastAsia"/>
          <w:color w:val="auto"/>
          <w:sz w:val="21"/>
          <w:szCs w:val="21"/>
          <w:highlight w:val="none"/>
        </w:rPr>
        <w:t>》及</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的保密规定及相关规章制度。本项目所有工作必须在</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指定的场所内进行，确保加工场所的正常秩序和安全。不得损毁、丢失档案，如有违反，将依法追究法律责任。</w:t>
      </w:r>
      <w:r>
        <w:rPr>
          <w:rFonts w:hint="eastAsia" w:asciiTheme="minorEastAsia" w:hAnsiTheme="minorEastAsia"/>
          <w:color w:val="auto"/>
          <w:sz w:val="21"/>
          <w:szCs w:val="21"/>
          <w:highlight w:val="none"/>
          <w:lang w:val="en-US" w:eastAsia="zh-CN"/>
        </w:rPr>
        <w:t>中标</w:t>
      </w:r>
      <w:r>
        <w:rPr>
          <w:rFonts w:hint="eastAsia" w:asciiTheme="minorEastAsia" w:hAnsiTheme="minorEastAsia"/>
          <w:color w:val="auto"/>
          <w:sz w:val="21"/>
          <w:szCs w:val="21"/>
          <w:highlight w:val="none"/>
        </w:rPr>
        <w:t>单位应与</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签订保密协议，加工单位应做到：</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1、强化人员管理，所有人员持证上岗，并填写个人简历（附身份证复印件）交</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审核保存，如有人员变动，应及时通知</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2、建立严格的保密制度，落实相关安全措施，加强管理，杜绝工作人员对档案及档案信息的私自复制行为。与项目工作人员签订保密协议，加强对工作人员的安全保密教育。</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3、不同的工序之间要采取严格措施，杜绝泄密事故的发生。在加工过程中，投标人不能丢失、损毁档案，档案资料不能放错卷、盒。由于投标人过错导致档案资料及数据损毁或泄密的，投标人承担一切责任。</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4、扫描加工场地需配备必要设施，确保档案原件和档案信息的安全和保密。在工作场所建立监控系统，实时监控工作人员的操作过程，统一记录保存。</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5、分批验收进行数据移交时，工作站上保存加工数据的硬盘必须拆除交</w:t>
      </w:r>
      <w:r>
        <w:rPr>
          <w:rFonts w:hint="eastAsia" w:asciiTheme="minorEastAsia" w:hAnsiTheme="minorEastAsia"/>
          <w:color w:val="auto"/>
          <w:sz w:val="21"/>
          <w:szCs w:val="21"/>
          <w:highlight w:val="none"/>
          <w:lang w:eastAsia="zh-CN"/>
        </w:rPr>
        <w:t>嘉兴市自然资源和规划局浙江乍浦经济开发区分局</w:t>
      </w:r>
      <w:r>
        <w:rPr>
          <w:rFonts w:hint="eastAsia" w:asciiTheme="minorEastAsia" w:hAnsiTheme="minorEastAsia"/>
          <w:color w:val="auto"/>
          <w:sz w:val="21"/>
          <w:szCs w:val="21"/>
          <w:highlight w:val="none"/>
        </w:rPr>
        <w:t>，同时移交该批次数字化加工的监管系统监控记录。</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6、不得在工作场所使用与工作无关的任何电子设备，如手提电脑、手机、mp3、mp4及移动存储介质等。</w:t>
      </w:r>
    </w:p>
    <w:p>
      <w:pPr>
        <w:spacing w:line="360" w:lineRule="auto"/>
        <w:ind w:firstLine="491" w:firstLineChars="234"/>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7、加工过程安全要求</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（1）对服务器的操作有安全监管措施。</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（2）USB端口封闭使用。</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（3）各操作均有日志记录：用户登录操作日志；用户文件传输操作日志；系统管理员操作日志；备份光盘日志；文件上传日志；网络访问日志等。</w:t>
      </w:r>
    </w:p>
    <w:p>
      <w:pPr>
        <w:spacing w:line="360" w:lineRule="auto"/>
        <w:ind w:firstLine="420" w:firstLineChars="20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（4）按照既定规则、路径，自动备份目录数据、图像文件，并可进行数据库恢复。包括数据库增量备份、全库备份、制定时间自动备份、手动备份。</w:t>
      </w:r>
    </w:p>
    <w:p>
      <w:pPr>
        <w:spacing w:line="360" w:lineRule="auto"/>
        <w:ind w:firstLine="420" w:firstLineChars="200"/>
        <w:rPr>
          <w:rFonts w:hint="eastAsia" w:asciiTheme="minorEastAsia" w:hAnsiTheme="minorEastAsia"/>
          <w:color w:val="auto"/>
          <w:sz w:val="21"/>
          <w:szCs w:val="21"/>
          <w:highlight w:val="none"/>
        </w:rPr>
      </w:pPr>
      <w:r>
        <w:rPr>
          <w:rFonts w:hint="eastAsia" w:asciiTheme="minorEastAsia" w:hAnsiTheme="minorEastAsia"/>
          <w:color w:val="auto"/>
          <w:sz w:val="21"/>
          <w:szCs w:val="21"/>
          <w:highlight w:val="none"/>
        </w:rPr>
        <w:t>四、付款方式：</w:t>
      </w:r>
    </w:p>
    <w:p>
      <w:pPr>
        <w:spacing w:before="120" w:after="120" w:line="390" w:lineRule="exact"/>
        <w:ind w:firstLine="420" w:firstLineChars="200"/>
        <w:rPr>
          <w:rFonts w:ascii="宋体"/>
          <w:color w:val="auto"/>
          <w:sz w:val="21"/>
          <w:szCs w:val="21"/>
          <w:highlight w:val="none"/>
        </w:rPr>
      </w:pPr>
      <w:r>
        <w:rPr>
          <w:rFonts w:hint="eastAsia" w:asciiTheme="minorEastAsia" w:hAnsiTheme="minorEastAsia"/>
          <w:color w:val="auto"/>
          <w:sz w:val="21"/>
          <w:szCs w:val="21"/>
          <w:highlight w:val="none"/>
        </w:rPr>
        <w:t>（1）合同生效</w:t>
      </w:r>
      <w:r>
        <w:rPr>
          <w:rFonts w:hint="eastAsia" w:asciiTheme="minorEastAsia" w:hAnsiTheme="minorEastAsia"/>
          <w:color w:val="auto"/>
          <w:sz w:val="21"/>
          <w:szCs w:val="21"/>
          <w:highlight w:val="none"/>
          <w:lang w:val="en-US" w:eastAsia="zh-CN"/>
        </w:rPr>
        <w:t>并具备实施条件后</w:t>
      </w:r>
      <w:r>
        <w:rPr>
          <w:rFonts w:hint="eastAsia" w:asciiTheme="minorEastAsia" w:hAnsiTheme="minorEastAsia"/>
          <w:color w:val="auto"/>
          <w:sz w:val="21"/>
          <w:szCs w:val="21"/>
          <w:highlight w:val="none"/>
        </w:rPr>
        <w:t>，</w:t>
      </w:r>
      <w:r>
        <w:rPr>
          <w:rFonts w:hint="eastAsia" w:asciiTheme="minorEastAsia" w:hAnsiTheme="minorEastAsia"/>
          <w:color w:val="auto"/>
          <w:sz w:val="21"/>
          <w:szCs w:val="21"/>
          <w:highlight w:val="none"/>
          <w:lang w:val="en-US" w:eastAsia="zh-CN"/>
        </w:rPr>
        <w:t>甲方在</w:t>
      </w:r>
      <w:r>
        <w:rPr>
          <w:rFonts w:hint="eastAsia" w:asciiTheme="minorEastAsia" w:hAnsiTheme="minorEastAsia"/>
          <w:color w:val="auto"/>
          <w:sz w:val="21"/>
          <w:szCs w:val="21"/>
          <w:highlight w:val="none"/>
        </w:rPr>
        <w:t>收到</w:t>
      </w:r>
      <w:r>
        <w:rPr>
          <w:rFonts w:hint="eastAsia" w:asciiTheme="minorEastAsia" w:hAnsiTheme="minorEastAsia"/>
          <w:color w:val="auto"/>
          <w:sz w:val="21"/>
          <w:szCs w:val="21"/>
          <w:highlight w:val="none"/>
          <w:lang w:val="en-US" w:eastAsia="zh-CN"/>
        </w:rPr>
        <w:t>增值税</w:t>
      </w:r>
      <w:r>
        <w:rPr>
          <w:rFonts w:hint="eastAsia" w:asciiTheme="minorEastAsia" w:hAnsiTheme="minorEastAsia"/>
          <w:color w:val="auto"/>
          <w:sz w:val="21"/>
          <w:szCs w:val="21"/>
          <w:highlight w:val="none"/>
        </w:rPr>
        <w:t>发票后7个工作日内甲方支付预算金额的</w:t>
      </w:r>
      <w:r>
        <w:rPr>
          <w:rFonts w:hint="eastAsia" w:asciiTheme="minorEastAsia" w:hAnsiTheme="minorEastAsia"/>
          <w:color w:val="auto"/>
          <w:sz w:val="21"/>
          <w:szCs w:val="21"/>
          <w:highlight w:val="none"/>
          <w:lang w:val="en-US" w:eastAsia="zh-CN"/>
        </w:rPr>
        <w:t>4</w:t>
      </w:r>
      <w:r>
        <w:rPr>
          <w:rFonts w:hint="eastAsia" w:asciiTheme="minorEastAsia" w:hAnsiTheme="minorEastAsia"/>
          <w:color w:val="auto"/>
          <w:sz w:val="21"/>
          <w:szCs w:val="21"/>
          <w:highlight w:val="none"/>
        </w:rPr>
        <w:t>0%；（2）</w:t>
      </w:r>
      <w:r>
        <w:rPr>
          <w:rFonts w:hint="eastAsia" w:ascii="宋体" w:hAnsi="宋体"/>
          <w:color w:val="auto"/>
          <w:sz w:val="21"/>
          <w:szCs w:val="21"/>
          <w:highlight w:val="none"/>
        </w:rPr>
        <w:t>完成整个项目，得到甲方认可或验收通过后</w:t>
      </w:r>
      <w:r>
        <w:rPr>
          <w:rFonts w:ascii="宋体" w:hAnsi="宋体"/>
          <w:color w:val="auto"/>
          <w:sz w:val="21"/>
          <w:szCs w:val="21"/>
          <w:highlight w:val="none"/>
        </w:rPr>
        <w:t>10</w:t>
      </w:r>
      <w:r>
        <w:rPr>
          <w:rFonts w:hint="eastAsia" w:ascii="宋体" w:hAnsi="宋体"/>
          <w:color w:val="auto"/>
          <w:sz w:val="21"/>
          <w:szCs w:val="21"/>
          <w:highlight w:val="none"/>
        </w:rPr>
        <w:t>个工作日内结清。</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结算时单价固定，工程量按实结算。</w:t>
      </w:r>
    </w:p>
    <w:p>
      <w:pPr>
        <w:spacing w:line="360" w:lineRule="auto"/>
        <w:ind w:firstLine="480" w:firstLineChars="200"/>
        <w:rPr>
          <w:rFonts w:hint="eastAsia" w:asciiTheme="minorEastAsia" w:hAnsiTheme="minorEastAsia"/>
          <w:color w:val="auto"/>
          <w:sz w:val="24"/>
          <w:szCs w:val="24"/>
          <w:highlight w:val="none"/>
        </w:rPr>
      </w:pPr>
    </w:p>
    <w:bookmarkEnd w:id="64"/>
    <w:bookmarkEnd w:id="65"/>
    <w:p>
      <w:pPr>
        <w:ind w:firstLine="411" w:firstLineChars="196"/>
        <w:rPr>
          <w:rFonts w:eastAsia="宋体"/>
          <w:color w:val="auto"/>
          <w:highlight w:val="none"/>
        </w:rPr>
      </w:pPr>
      <w:r>
        <w:rPr>
          <w:rFonts w:hint="eastAsia" w:ascii="宋体" w:hAnsi="宋体" w:eastAsia="宋体" w:cs="Times New Roman"/>
          <w:color w:val="auto"/>
          <w:szCs w:val="21"/>
          <w:highlight w:val="none"/>
          <w:lang w:val="en-US" w:eastAsia="zh-CN"/>
        </w:rPr>
        <w:t xml:space="preserve"> </w:t>
      </w:r>
    </w:p>
    <w:p>
      <w:pPr>
        <w:spacing w:line="440" w:lineRule="exact"/>
        <w:ind w:left="420" w:leftChars="200" w:firstLine="320" w:firstLineChars="100"/>
        <w:jc w:val="center"/>
        <w:rPr>
          <w:rFonts w:ascii="宋体" w:hAnsi="宋体"/>
          <w:color w:val="auto"/>
          <w:sz w:val="32"/>
          <w:highlight w:val="none"/>
        </w:rPr>
      </w:pPr>
    </w:p>
    <w:p>
      <w:pPr>
        <w:spacing w:line="440" w:lineRule="exact"/>
        <w:ind w:left="420" w:leftChars="200" w:firstLine="320" w:firstLineChars="100"/>
        <w:jc w:val="center"/>
        <w:rPr>
          <w:rFonts w:ascii="宋体" w:hAnsi="宋体"/>
          <w:color w:val="auto"/>
          <w:sz w:val="32"/>
          <w:highlight w:val="none"/>
        </w:rPr>
      </w:pPr>
    </w:p>
    <w:p>
      <w:pPr>
        <w:pStyle w:val="36"/>
        <w:rPr>
          <w:rFonts w:ascii="宋体" w:hAnsi="宋体"/>
          <w:color w:val="auto"/>
          <w:sz w:val="32"/>
          <w:highlight w:val="none"/>
        </w:rPr>
      </w:pPr>
    </w:p>
    <w:p>
      <w:pPr>
        <w:pStyle w:val="36"/>
        <w:rPr>
          <w:rFonts w:ascii="宋体" w:hAnsi="宋体"/>
          <w:color w:val="auto"/>
          <w:sz w:val="32"/>
          <w:highlight w:val="none"/>
        </w:rPr>
      </w:pPr>
    </w:p>
    <w:p>
      <w:pPr>
        <w:pStyle w:val="36"/>
        <w:rPr>
          <w:rFonts w:ascii="宋体" w:hAnsi="宋体"/>
          <w:color w:val="auto"/>
          <w:sz w:val="32"/>
          <w:highlight w:val="none"/>
        </w:rPr>
      </w:pPr>
    </w:p>
    <w:p>
      <w:pPr>
        <w:pStyle w:val="36"/>
        <w:rPr>
          <w:rFonts w:ascii="宋体" w:hAnsi="宋体"/>
          <w:color w:val="auto"/>
          <w:sz w:val="32"/>
          <w:highlight w:val="none"/>
        </w:rPr>
      </w:pPr>
    </w:p>
    <w:p>
      <w:pPr>
        <w:pStyle w:val="36"/>
        <w:rPr>
          <w:rFonts w:ascii="宋体" w:hAnsi="宋体"/>
          <w:color w:val="auto"/>
          <w:sz w:val="32"/>
          <w:highlight w:val="none"/>
        </w:rPr>
      </w:pPr>
    </w:p>
    <w:p>
      <w:pPr>
        <w:spacing w:line="440" w:lineRule="exact"/>
        <w:ind w:left="420" w:leftChars="200" w:firstLine="320" w:firstLineChars="100"/>
        <w:jc w:val="center"/>
        <w:rPr>
          <w:b/>
          <w:color w:val="auto"/>
          <w:sz w:val="24"/>
          <w:highlight w:val="none"/>
        </w:rPr>
      </w:pPr>
      <w:r>
        <w:rPr>
          <w:rFonts w:ascii="宋体" w:hAnsi="宋体"/>
          <w:color w:val="auto"/>
          <w:sz w:val="32"/>
          <w:highlight w:val="none"/>
        </w:rPr>
        <w:t>第四部分</w:t>
      </w:r>
      <w:r>
        <w:rPr>
          <w:rFonts w:hint="eastAsia" w:ascii="宋体" w:hAnsi="宋体"/>
          <w:color w:val="auto"/>
          <w:sz w:val="32"/>
          <w:highlight w:val="none"/>
        </w:rPr>
        <w:t xml:space="preserve"> </w:t>
      </w:r>
      <w:r>
        <w:rPr>
          <w:rFonts w:ascii="宋体" w:hAnsi="宋体"/>
          <w:color w:val="auto"/>
          <w:sz w:val="32"/>
          <w:highlight w:val="none"/>
        </w:rPr>
        <w:t>合同</w:t>
      </w:r>
      <w:r>
        <w:rPr>
          <w:rFonts w:hint="eastAsia" w:ascii="宋体" w:hAnsi="宋体"/>
          <w:color w:val="auto"/>
          <w:sz w:val="32"/>
          <w:highlight w:val="none"/>
        </w:rPr>
        <w:t>主要条款</w:t>
      </w:r>
    </w:p>
    <w:p>
      <w:pPr>
        <w:spacing w:line="360" w:lineRule="auto"/>
        <w:ind w:firstLine="970" w:firstLineChars="345"/>
        <w:jc w:val="center"/>
        <w:rPr>
          <w:rFonts w:ascii="宋体" w:hAnsi="宋体"/>
          <w:b/>
          <w:color w:val="auto"/>
          <w:sz w:val="28"/>
          <w:szCs w:val="28"/>
          <w:highlight w:val="none"/>
        </w:rPr>
      </w:pPr>
      <w:bookmarkStart w:id="66" w:name="_Toc8138"/>
      <w:r>
        <w:rPr>
          <w:rFonts w:hint="eastAsia" w:ascii="宋体" w:hAnsi="宋体"/>
          <w:b/>
          <w:color w:val="auto"/>
          <w:sz w:val="28"/>
          <w:szCs w:val="28"/>
          <w:highlight w:val="none"/>
        </w:rPr>
        <w:t>（以最终合同为准）</w:t>
      </w:r>
    </w:p>
    <w:p>
      <w:pPr>
        <w:keepNext w:val="0"/>
        <w:keepLines w:val="0"/>
        <w:pageBreakBefore w:val="0"/>
        <w:numPr>
          <w:ilvl w:val="0"/>
          <w:numId w:val="11"/>
        </w:numPr>
        <w:kinsoku/>
        <w:wordWrap/>
        <w:overflowPunct/>
        <w:topLinePunct w:val="0"/>
        <w:autoSpaceDE/>
        <w:autoSpaceDN/>
        <w:bidi w:val="0"/>
        <w:spacing w:line="420" w:lineRule="exact"/>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通用必备条款部分</w:t>
      </w:r>
    </w:p>
    <w:p>
      <w:pPr>
        <w:keepNext w:val="0"/>
        <w:keepLines w:val="0"/>
        <w:pageBreakBefore w:val="0"/>
        <w:kinsoku/>
        <w:wordWrap/>
        <w:overflowPunct/>
        <w:topLinePunct w:val="0"/>
        <w:autoSpaceDE/>
        <w:autoSpaceDN/>
        <w:bidi w:val="0"/>
        <w:spacing w:line="420" w:lineRule="exact"/>
        <w:ind w:firstLine="970" w:firstLineChars="34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（以最终合同为准）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计划（预算）确认号：临[2024]2101号</w:t>
      </w:r>
      <w:r>
        <w:rPr>
          <w:rFonts w:hint="eastAsia" w:ascii="宋体" w:hAnsi="宋体" w:cs="Arial"/>
          <w:color w:val="auto"/>
          <w:kern w:val="0"/>
          <w:szCs w:val="21"/>
          <w:highlight w:val="none"/>
          <w:lang w:val="en-US" w:eastAsia="zh-CN"/>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预算金额：人民币</w:t>
      </w:r>
      <w:r>
        <w:rPr>
          <w:rFonts w:hint="eastAsia" w:ascii="宋体" w:hAnsi="宋体" w:cs="Arial"/>
          <w:color w:val="auto"/>
          <w:kern w:val="0"/>
          <w:szCs w:val="21"/>
          <w:highlight w:val="none"/>
          <w:lang w:val="en-US" w:eastAsia="zh-CN"/>
        </w:rPr>
        <w:t>45</w:t>
      </w:r>
      <w:r>
        <w:rPr>
          <w:rFonts w:hint="eastAsia" w:ascii="宋体" w:hAnsi="宋体" w:cs="Arial"/>
          <w:color w:val="auto"/>
          <w:kern w:val="0"/>
          <w:szCs w:val="21"/>
          <w:highlight w:val="none"/>
        </w:rPr>
        <w:t>万元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left"/>
        <w:textAlignment w:val="auto"/>
        <w:rPr>
          <w:rFonts w:hint="eastAsia" w:ascii="宋体" w:hAnsi="宋体" w:cs="Arial"/>
          <w:color w:val="auto"/>
          <w:kern w:val="0"/>
          <w:szCs w:val="21"/>
          <w:highlight w:val="none"/>
          <w:u w:val="single"/>
        </w:rPr>
      </w:pPr>
      <w:r>
        <w:rPr>
          <w:rFonts w:hint="eastAsia" w:ascii="宋体" w:hAnsi="宋体" w:cs="Arial"/>
          <w:color w:val="auto"/>
          <w:kern w:val="0"/>
          <w:szCs w:val="21"/>
          <w:highlight w:val="none"/>
        </w:rPr>
        <w:t>采购人（以下称甲方）：</w:t>
      </w:r>
      <w:r>
        <w:rPr>
          <w:rFonts w:hint="eastAsia" w:ascii="宋体" w:hAnsi="宋体" w:cs="Arial"/>
          <w:color w:val="auto"/>
          <w:kern w:val="0"/>
          <w:szCs w:val="21"/>
          <w:highlight w:val="none"/>
          <w:u w:val="single"/>
          <w:lang w:eastAsia="zh-CN"/>
        </w:rPr>
        <w:t>浙江乍浦经济开发区（嘉兴港区）管理委员会</w:t>
      </w:r>
      <w:r>
        <w:rPr>
          <w:rFonts w:hint="eastAsia" w:ascii="宋体" w:hAnsi="宋体" w:cs="Arial"/>
          <w:color w:val="auto"/>
          <w:kern w:val="0"/>
          <w:szCs w:val="21"/>
          <w:highlight w:val="none"/>
          <w:u w:val="single"/>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left"/>
        <w:textAlignment w:val="auto"/>
        <w:rPr>
          <w:rFonts w:ascii="宋体" w:hAnsi="宋体" w:cs="Arial"/>
          <w:color w:val="auto"/>
          <w:kern w:val="0"/>
          <w:szCs w:val="21"/>
          <w:highlight w:val="none"/>
          <w:u w:val="single"/>
        </w:rPr>
      </w:pPr>
      <w:r>
        <w:rPr>
          <w:rFonts w:hint="eastAsia" w:ascii="宋体" w:hAnsi="宋体" w:cs="Arial"/>
          <w:color w:val="auto"/>
          <w:kern w:val="0"/>
          <w:szCs w:val="21"/>
          <w:highlight w:val="none"/>
        </w:rPr>
        <w:t>供应商（以下称乙方）：</w:t>
      </w:r>
      <w:r>
        <w:rPr>
          <w:rFonts w:hint="eastAsia" w:ascii="宋体" w:hAnsi="宋体" w:cs="Arial"/>
          <w:color w:val="auto"/>
          <w:kern w:val="0"/>
          <w:szCs w:val="21"/>
          <w:highlight w:val="none"/>
          <w:u w:val="single"/>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left"/>
        <w:textAlignment w:val="auto"/>
        <w:rPr>
          <w:rFonts w:ascii="宋体" w:hAnsi="宋体" w:cs="Arial"/>
          <w:color w:val="auto"/>
          <w:kern w:val="0"/>
          <w:szCs w:val="21"/>
          <w:highlight w:val="none"/>
          <w:u w:val="single"/>
        </w:rPr>
      </w:pPr>
      <w:r>
        <w:rPr>
          <w:rFonts w:hint="eastAsia" w:ascii="宋体" w:hAnsi="宋体" w:cs="Arial"/>
          <w:color w:val="auto"/>
          <w:kern w:val="0"/>
          <w:szCs w:val="21"/>
          <w:highlight w:val="none"/>
        </w:rPr>
        <w:t>采购代理机构：</w:t>
      </w:r>
      <w:r>
        <w:rPr>
          <w:rFonts w:hint="eastAsia" w:ascii="宋体" w:hAnsi="宋体" w:cs="Arial"/>
          <w:color w:val="auto"/>
          <w:kern w:val="0"/>
          <w:szCs w:val="21"/>
          <w:highlight w:val="none"/>
          <w:u w:val="single"/>
        </w:rPr>
        <w:t>嘉兴市银建工程咨询评估有限公司</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left"/>
        <w:textAlignment w:val="auto"/>
        <w:rPr>
          <w:rFonts w:ascii="宋体" w:hAnsi="宋体" w:cs="Arial"/>
          <w:color w:val="auto"/>
          <w:kern w:val="0"/>
          <w:szCs w:val="21"/>
          <w:highlight w:val="none"/>
          <w:u w:val="single"/>
        </w:rPr>
      </w:pPr>
      <w:r>
        <w:rPr>
          <w:rFonts w:hint="eastAsia" w:ascii="宋体" w:hAnsi="宋体" w:cs="Arial"/>
          <w:color w:val="auto"/>
          <w:kern w:val="0"/>
          <w:szCs w:val="21"/>
          <w:highlight w:val="none"/>
        </w:rPr>
        <w:t>采购方式</w:t>
      </w:r>
      <w:r>
        <w:rPr>
          <w:rFonts w:hint="eastAsia" w:ascii="宋体" w:hAnsi="宋体" w:cs="Arial"/>
          <w:color w:val="auto"/>
          <w:kern w:val="0"/>
          <w:szCs w:val="21"/>
          <w:highlight w:val="none"/>
          <w:u w:val="single"/>
        </w:rPr>
        <w:t xml:space="preserve">：竞争性磋商   </w:t>
      </w:r>
    </w:p>
    <w:p>
      <w:pPr>
        <w:keepNext w:val="0"/>
        <w:keepLines w:val="0"/>
        <w:pageBreakBefore w:val="0"/>
        <w:kinsoku/>
        <w:wordWrap/>
        <w:overflowPunct/>
        <w:topLinePunct w:val="0"/>
        <w:autoSpaceDE/>
        <w:autoSpaceDN/>
        <w:bidi w:val="0"/>
        <w:spacing w:line="420" w:lineRule="exact"/>
        <w:ind w:left="105" w:leftChars="50" w:firstLine="210" w:firstLineChars="100"/>
        <w:textAlignment w:val="auto"/>
        <w:rPr>
          <w:rFonts w:ascii="宋体" w:hAnsi="宋体" w:cs="Arial"/>
          <w:color w:val="auto"/>
          <w:szCs w:val="21"/>
          <w:highlight w:val="none"/>
        </w:rPr>
      </w:pPr>
      <w:r>
        <w:rPr>
          <w:rFonts w:hint="eastAsia" w:ascii="宋体" w:hAnsi="宋体" w:cs="Arial"/>
          <w:color w:val="auto"/>
          <w:kern w:val="0"/>
          <w:szCs w:val="21"/>
          <w:highlight w:val="none"/>
        </w:rPr>
        <w:t>根据《中华人民共和国政府采购法》、《中华人民共和国</w:t>
      </w:r>
      <w:r>
        <w:rPr>
          <w:rFonts w:hint="eastAsia" w:ascii="宋体" w:hAnsi="宋体" w:cs="Arial"/>
          <w:color w:val="auto"/>
          <w:kern w:val="0"/>
          <w:szCs w:val="21"/>
          <w:highlight w:val="none"/>
          <w:lang w:val="en-US" w:eastAsia="zh-CN"/>
        </w:rPr>
        <w:t>民法典</w:t>
      </w:r>
      <w:r>
        <w:rPr>
          <w:rFonts w:hint="eastAsia" w:ascii="宋体" w:hAnsi="宋体" w:cs="Arial"/>
          <w:color w:val="auto"/>
          <w:kern w:val="0"/>
          <w:szCs w:val="21"/>
          <w:highlight w:val="none"/>
        </w:rPr>
        <w:t>》等法律法规的规定，甲乙双方</w:t>
      </w:r>
      <w:r>
        <w:rPr>
          <w:rFonts w:hint="eastAsia" w:ascii="宋体" w:hAnsi="宋体" w:cs="Arial"/>
          <w:color w:val="auto"/>
          <w:kern w:val="0"/>
          <w:szCs w:val="21"/>
          <w:highlight w:val="none"/>
          <w:u w:val="none"/>
        </w:rPr>
        <w:t>按照</w:t>
      </w:r>
      <w:r>
        <w:rPr>
          <w:rFonts w:hint="eastAsia" w:ascii="Times New Roman" w:hAnsi="Times New Roman" w:eastAsia="宋体" w:cs="Times New Roman"/>
          <w:snapToGrid w:val="0"/>
          <w:color w:val="auto"/>
          <w:sz w:val="21"/>
          <w:szCs w:val="21"/>
          <w:highlight w:val="none"/>
          <w:u w:val="single"/>
          <w:lang w:val="en-US" w:eastAsia="zh-CN"/>
        </w:rPr>
        <w:t xml:space="preserve">                      </w:t>
      </w:r>
      <w:r>
        <w:rPr>
          <w:rFonts w:hint="eastAsia" w:ascii="宋体" w:hAnsi="宋体" w:cs="Arial"/>
          <w:color w:val="auto"/>
          <w:kern w:val="0"/>
          <w:szCs w:val="21"/>
          <w:highlight w:val="none"/>
          <w:u w:val="none"/>
        </w:rPr>
        <w:t>采购结果</w:t>
      </w:r>
      <w:r>
        <w:rPr>
          <w:rFonts w:hint="eastAsia" w:ascii="宋体" w:hAnsi="宋体" w:cs="Arial"/>
          <w:color w:val="auto"/>
          <w:kern w:val="0"/>
          <w:szCs w:val="21"/>
          <w:highlight w:val="none"/>
        </w:rPr>
        <w:t>签订本合同。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第一条 合同组成</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本次政府采购活动的相关文件为本合同的组成部分，这些文件包括但不限于：</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（1）本合同文本；</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（2）采购文件与采购响应文件；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（3）中标或成交通知书；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组成本合同的所有文件必须为书面形式。政府采购合同备案时，须提供以上（1）、（3）两项，如由社会中介机构代理，须提供代理协议，合同如有变更的，须提供变更协议。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第二条 合同标的与相关属性</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宋体" w:cs="Arial"/>
          <w:color w:val="auto"/>
          <w:kern w:val="0"/>
          <w:szCs w:val="21"/>
          <w:highlight w:val="none"/>
          <w:u w:val="single"/>
        </w:rPr>
      </w:pPr>
      <w:r>
        <w:rPr>
          <w:rFonts w:hint="eastAsia" w:ascii="宋体" w:cs="Arial"/>
          <w:color w:val="auto"/>
          <w:kern w:val="0"/>
          <w:szCs w:val="21"/>
          <w:highlight w:val="none"/>
        </w:rPr>
        <w:t>1、本次采购的是</w:t>
      </w:r>
      <w:r>
        <w:rPr>
          <w:rFonts w:hint="eastAsia" w:ascii="Times New Roman" w:hAnsi="Times New Roman" w:eastAsia="宋体" w:cs="Times New Roman"/>
          <w:b/>
          <w:bCs/>
          <w:snapToGrid w:val="0"/>
          <w:color w:val="auto"/>
          <w:sz w:val="21"/>
          <w:szCs w:val="21"/>
          <w:highlight w:val="none"/>
          <w:u w:val="single"/>
          <w:lang w:val="en-US" w:eastAsia="zh-CN"/>
        </w:rPr>
        <w:t>2024年度嘉兴港区不动产档案电子化项目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2、乙方是否属于中小微企业：</w:t>
      </w:r>
      <w:r>
        <w:rPr>
          <w:rFonts w:hint="eastAsia" w:ascii="宋体" w:cs="Arial"/>
          <w:color w:val="auto"/>
          <w:kern w:val="0"/>
          <w:szCs w:val="21"/>
          <w:highlight w:val="none"/>
          <w:lang w:eastAsia="zh-CN"/>
        </w:rPr>
        <w:t>□</w:t>
      </w:r>
      <w:r>
        <w:rPr>
          <w:rFonts w:hint="eastAsia" w:ascii="宋体" w:cs="Arial"/>
          <w:color w:val="auto"/>
          <w:kern w:val="0"/>
          <w:szCs w:val="21"/>
          <w:highlight w:val="none"/>
        </w:rPr>
        <w:t>是</w:t>
      </w:r>
      <w:r>
        <w:rPr>
          <w:rFonts w:hint="eastAsia" w:ascii="宋体" w:cs="Arial"/>
          <w:color w:val="auto"/>
          <w:kern w:val="0"/>
          <w:szCs w:val="21"/>
          <w:highlight w:val="none"/>
          <w:lang w:eastAsia="zh-CN"/>
        </w:rPr>
        <w:t>□</w:t>
      </w:r>
      <w:r>
        <w:rPr>
          <w:rFonts w:hint="eastAsia" w:ascii="宋体" w:cs="Arial"/>
          <w:color w:val="auto"/>
          <w:kern w:val="0"/>
          <w:szCs w:val="21"/>
          <w:highlight w:val="none"/>
        </w:rPr>
        <w:t>否</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s="宋体"/>
          <w:color w:val="auto"/>
          <w:szCs w:val="21"/>
          <w:highlight w:val="none"/>
          <w:u w:val="none"/>
        </w:rPr>
      </w:pPr>
      <w:r>
        <w:rPr>
          <w:rFonts w:hint="eastAsia" w:ascii="宋体" w:cs="Arial"/>
          <w:color w:val="auto"/>
          <w:kern w:val="0"/>
          <w:szCs w:val="21"/>
          <w:highlight w:val="none"/>
        </w:rPr>
        <w:t>3、服务期限</w:t>
      </w:r>
      <w:r>
        <w:rPr>
          <w:rFonts w:hint="eastAsia" w:ascii="宋体" w:cs="Arial"/>
          <w:color w:val="auto"/>
          <w:kern w:val="0"/>
          <w:szCs w:val="21"/>
          <w:highlight w:val="none"/>
          <w:lang w:val="en-US" w:eastAsia="zh-CN"/>
        </w:rPr>
        <w:t>1</w:t>
      </w:r>
      <w:r>
        <w:rPr>
          <w:rFonts w:hint="eastAsia" w:ascii="宋体" w:cs="Arial"/>
          <w:color w:val="auto"/>
          <w:kern w:val="0"/>
          <w:szCs w:val="21"/>
          <w:highlight w:val="none"/>
        </w:rPr>
        <w:t>年（</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年  月  日-</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年</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月</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日）</w:t>
      </w:r>
      <w:r>
        <w:rPr>
          <w:rFonts w:hint="eastAsia" w:ascii="宋体" w:cs="Arial"/>
          <w:color w:val="auto"/>
          <w:kern w:val="0"/>
          <w:szCs w:val="21"/>
          <w:highlight w:val="none"/>
          <w:lang w:eastAsia="zh-CN"/>
        </w:rPr>
        <w:t>，</w:t>
      </w:r>
      <w:r>
        <w:rPr>
          <w:rFonts w:hint="eastAsia" w:ascii="宋体" w:hAnsi="宋体" w:cs="宋体"/>
          <w:color w:val="auto"/>
          <w:szCs w:val="21"/>
          <w:highlight w:val="none"/>
          <w:u w:val="none"/>
        </w:rPr>
        <w:t>合同到期后如需延长，</w:t>
      </w:r>
      <w:r>
        <w:rPr>
          <w:rFonts w:hint="eastAsia" w:ascii="宋体" w:hAnsi="宋体" w:eastAsia="宋体" w:cs="宋体"/>
          <w:color w:val="auto"/>
          <w:szCs w:val="21"/>
          <w:highlight w:val="none"/>
          <w:u w:val="none"/>
        </w:rPr>
        <w:t>在服务内容不变或变化不大的情况下，中标人考核综合评定为合格并被认可的，经双方同意</w:t>
      </w:r>
      <w:r>
        <w:rPr>
          <w:rFonts w:hint="eastAsia" w:ascii="宋体" w:hAnsi="宋体" w:eastAsia="宋体" w:cs="宋体"/>
          <w:color w:val="auto"/>
          <w:szCs w:val="21"/>
          <w:highlight w:val="none"/>
          <w:u w:val="none"/>
          <w:lang w:val="en-US" w:eastAsia="zh-CN"/>
        </w:rPr>
        <w:t>并报上级财政部门同意后</w:t>
      </w:r>
      <w:r>
        <w:rPr>
          <w:rFonts w:hint="eastAsia" w:ascii="宋体" w:hAnsi="宋体" w:eastAsia="宋体" w:cs="宋体"/>
          <w:color w:val="auto"/>
          <w:szCs w:val="21"/>
          <w:highlight w:val="none"/>
          <w:u w:val="none"/>
        </w:rPr>
        <w:t>，可续签，续签合同一年一签，最多续签两年。</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第三条 合同价款</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default" w:ascii="宋体" w:hAnsi="宋体" w:eastAsiaTheme="minorEastAsia"/>
          <w:color w:val="auto"/>
          <w:szCs w:val="21"/>
          <w:highlight w:val="none"/>
          <w:lang w:val="en-US" w:eastAsia="zh-CN"/>
        </w:rPr>
      </w:pPr>
      <w:r>
        <w:rPr>
          <w:rFonts w:hint="eastAsia" w:ascii="宋体" w:cs="Arial"/>
          <w:color w:val="auto"/>
          <w:szCs w:val="21"/>
          <w:highlight w:val="none"/>
        </w:rPr>
        <w:t>1、</w:t>
      </w:r>
      <w:r>
        <w:rPr>
          <w:rFonts w:hint="eastAsia" w:ascii="宋体" w:cs="Arial"/>
          <w:color w:val="auto"/>
          <w:szCs w:val="21"/>
          <w:highlight w:val="none"/>
          <w:lang w:val="en-US" w:eastAsia="zh-CN"/>
        </w:rPr>
        <w:t>人民币</w:t>
      </w:r>
      <w:r>
        <w:rPr>
          <w:rFonts w:hint="eastAsia" w:ascii="宋体" w:hAnsi="宋体"/>
          <w:color w:val="auto"/>
          <w:szCs w:val="21"/>
          <w:highlight w:val="none"/>
          <w:u w:val="single"/>
        </w:rPr>
        <w:t xml:space="preserve">         </w:t>
      </w:r>
      <w:r>
        <w:rPr>
          <w:rFonts w:hint="eastAsia" w:ascii="宋体" w:hAnsi="宋体"/>
          <w:color w:val="auto"/>
          <w:szCs w:val="21"/>
          <w:highlight w:val="none"/>
          <w:lang w:val="en-US" w:eastAsia="zh-CN"/>
        </w:rPr>
        <w:t>元，单价固定，按实结算。</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2、本合同总价款含所有税费。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3、本合同付款方式为以下第</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（1）本合同项下的采购资金系甲方自行支付，付款程序为</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（2）本合同项下的采购资金须财政直接支付，付款程序为</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（3）其他方式：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left="1543" w:leftChars="285" w:hanging="945" w:hangingChars="450"/>
        <w:jc w:val="left"/>
        <w:textAlignment w:val="auto"/>
        <w:rPr>
          <w:rFonts w:hint="eastAsia" w:ascii="宋体" w:cs="Arial"/>
          <w:color w:val="auto"/>
          <w:kern w:val="0"/>
          <w:szCs w:val="21"/>
          <w:highlight w:val="none"/>
        </w:rPr>
      </w:pPr>
      <w:r>
        <w:rPr>
          <w:rFonts w:hint="eastAsia" w:ascii="宋体" w:cs="Arial"/>
          <w:color w:val="auto"/>
          <w:kern w:val="0"/>
          <w:szCs w:val="21"/>
          <w:highlight w:val="none"/>
        </w:rPr>
        <w:t>4、本合同项下的采购资金付款进度按招投标文件规定，未规定时按以下</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left="1543" w:leftChars="285" w:hanging="945" w:hangingChars="450"/>
        <w:jc w:val="left"/>
        <w:textAlignment w:val="auto"/>
        <w:rPr>
          <w:rFonts w:hint="eastAsia"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项支付：</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（1）一次性付款：乙方合同履行达到</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（条件）时，一次性付款；</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left="1214" w:leftChars="228" w:hanging="735" w:hangingChars="350"/>
        <w:jc w:val="left"/>
        <w:textAlignment w:val="auto"/>
        <w:rPr>
          <w:rFonts w:hint="eastAsia" w:ascii="宋体" w:cs="Arial"/>
          <w:color w:val="auto"/>
          <w:kern w:val="0"/>
          <w:szCs w:val="21"/>
          <w:highlight w:val="none"/>
        </w:rPr>
      </w:pPr>
      <w:r>
        <w:rPr>
          <w:rFonts w:hint="eastAsia" w:ascii="宋体" w:cs="Arial"/>
          <w:color w:val="auto"/>
          <w:kern w:val="0"/>
          <w:szCs w:val="21"/>
          <w:highlight w:val="none"/>
        </w:rPr>
        <w:t>（2）分期付款</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时</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支付；</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时支付</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left="1214" w:leftChars="228" w:hanging="735" w:hangingChars="350"/>
        <w:jc w:val="left"/>
        <w:textAlignment w:val="auto"/>
        <w:rPr>
          <w:rFonts w:hint="eastAsia" w:ascii="宋体" w:cs="Arial"/>
          <w:color w:val="auto"/>
          <w:kern w:val="0"/>
          <w:szCs w:val="21"/>
          <w:highlight w:val="none"/>
        </w:rPr>
      </w:pP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时支付</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若收取了履约保证金，则不应重复设置尾款支付条件。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第四条 履约保证金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本项目不设置</w:t>
      </w:r>
      <w:r>
        <w:rPr>
          <w:rFonts w:hint="eastAsia" w:ascii="宋体" w:cs="Arial"/>
          <w:color w:val="auto"/>
          <w:kern w:val="0"/>
          <w:szCs w:val="21"/>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第五条 合同的变更和终止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除《</w:t>
      </w:r>
      <w:r>
        <w:rPr>
          <w:rFonts w:hint="eastAsia" w:ascii="宋体" w:hAnsi="宋体" w:cs="宋体"/>
          <w:color w:val="auto"/>
          <w:szCs w:val="21"/>
          <w:highlight w:val="none"/>
        </w:rPr>
        <w:t>中华人民共和国政府采购法</w:t>
      </w:r>
      <w:r>
        <w:rPr>
          <w:rFonts w:hint="eastAsia" w:ascii="宋体" w:cs="Arial"/>
          <w:color w:val="auto"/>
          <w:kern w:val="0"/>
          <w:szCs w:val="21"/>
          <w:highlight w:val="none"/>
        </w:rPr>
        <w:t>》第49条、第50条第二款规定的情形外，本合同一经签订，甲乙双方不得擅自终止合同或对合同实质性条款进行变更。确有特殊情况的，须经同级财政部门备案同意。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第六条 合同的转让与分包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乙方不得擅自部分或全部转让其应履行的合同义务。乙方分包的，应经过甲方书面同意。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第七条 争议的解决</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1、因履行本合同引起的或与本合同有关的争议，甲、乙双方应首先通过友好协商解决，如果协商不能解决争议，则采取以下第</w:t>
      </w:r>
      <w:r>
        <w:rPr>
          <w:rFonts w:hint="eastAsia" w:ascii="宋体" w:cs="Arial"/>
          <w:color w:val="auto"/>
          <w:kern w:val="0"/>
          <w:szCs w:val="21"/>
          <w:highlight w:val="none"/>
          <w:u w:val="single"/>
          <w:lang w:val="en-US" w:eastAsia="zh-CN"/>
        </w:rPr>
        <w:t xml:space="preserve"> 1 </w:t>
      </w:r>
      <w:r>
        <w:rPr>
          <w:rFonts w:hint="eastAsia" w:ascii="宋体" w:cs="Arial"/>
          <w:color w:val="auto"/>
          <w:kern w:val="0"/>
          <w:szCs w:val="21"/>
          <w:highlight w:val="none"/>
        </w:rPr>
        <w:t>种方式解决争议：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（1）向甲方所在地有管辖权的人民法院提起诉讼；</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（2）向仲裁委员申请仲裁。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2" w:firstLineChars="200"/>
        <w:jc w:val="left"/>
        <w:textAlignment w:val="auto"/>
        <w:rPr>
          <w:rFonts w:hint="eastAsia" w:ascii="宋体" w:cs="Arial"/>
          <w:b/>
          <w:color w:val="auto"/>
          <w:kern w:val="0"/>
          <w:szCs w:val="21"/>
          <w:highlight w:val="none"/>
        </w:rPr>
      </w:pPr>
      <w:r>
        <w:rPr>
          <w:rFonts w:hint="eastAsia" w:ascii="宋体" w:cs="Arial"/>
          <w:b/>
          <w:color w:val="auto"/>
          <w:kern w:val="0"/>
          <w:szCs w:val="21"/>
          <w:highlight w:val="none"/>
        </w:rPr>
        <w:t>第八条 合同备案及其他</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ind w:firstLine="420" w:firstLineChars="200"/>
        <w:jc w:val="left"/>
        <w:textAlignment w:val="auto"/>
        <w:rPr>
          <w:rFonts w:hint="eastAsia" w:ascii="宋体" w:cs="Arial"/>
          <w:color w:val="auto"/>
          <w:kern w:val="0"/>
          <w:szCs w:val="21"/>
          <w:highlight w:val="none"/>
        </w:rPr>
      </w:pPr>
      <w:r>
        <w:rPr>
          <w:rFonts w:hint="eastAsia" w:ascii="宋体" w:cs="Arial"/>
          <w:color w:val="auto"/>
          <w:kern w:val="0"/>
          <w:szCs w:val="21"/>
          <w:highlight w:val="none"/>
        </w:rPr>
        <w:t>本合同一式</w:t>
      </w:r>
      <w:r>
        <w:rPr>
          <w:rFonts w:hint="eastAsia" w:ascii="宋体" w:cs="Arial"/>
          <w:color w:val="auto"/>
          <w:kern w:val="0"/>
          <w:szCs w:val="21"/>
          <w:highlight w:val="none"/>
          <w:u w:val="single"/>
        </w:rPr>
        <w:t>陆</w:t>
      </w:r>
      <w:r>
        <w:rPr>
          <w:rFonts w:hint="eastAsia" w:ascii="宋体" w:cs="Arial"/>
          <w:color w:val="auto"/>
          <w:kern w:val="0"/>
          <w:szCs w:val="21"/>
          <w:highlight w:val="none"/>
        </w:rPr>
        <w:t>份，甲乙双方各执</w:t>
      </w:r>
      <w:r>
        <w:rPr>
          <w:rFonts w:hint="eastAsia" w:ascii="宋体" w:cs="Arial"/>
          <w:color w:val="auto"/>
          <w:kern w:val="0"/>
          <w:szCs w:val="21"/>
          <w:highlight w:val="none"/>
          <w:u w:val="single"/>
        </w:rPr>
        <w:t xml:space="preserve"> 贰</w:t>
      </w:r>
      <w:r>
        <w:rPr>
          <w:rFonts w:hint="eastAsia" w:ascii="宋体" w:cs="Arial"/>
          <w:color w:val="auto"/>
          <w:kern w:val="0"/>
          <w:szCs w:val="21"/>
          <w:highlight w:val="none"/>
        </w:rPr>
        <w:t>份，1份报送政府采购监督管理部门备案，其余</w:t>
      </w:r>
      <w:r>
        <w:rPr>
          <w:rFonts w:hint="eastAsia" w:ascii="宋体" w:cs="Arial"/>
          <w:color w:val="auto"/>
          <w:kern w:val="0"/>
          <w:szCs w:val="21"/>
          <w:highlight w:val="none"/>
          <w:u w:val="single"/>
        </w:rPr>
        <w:t xml:space="preserve">一份给招标代理公司 </w:t>
      </w:r>
      <w:r>
        <w:rPr>
          <w:rFonts w:hint="eastAsia" w:ascii="宋体" w:cs="Arial"/>
          <w:color w:val="auto"/>
          <w:kern w:val="0"/>
          <w:szCs w:val="21"/>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420" w:lineRule="exact"/>
        <w:jc w:val="center"/>
        <w:textAlignment w:val="auto"/>
        <w:rPr>
          <w:rFonts w:ascii="黑体" w:hAnsi="黑体" w:eastAsia="黑体" w:cs="Arial"/>
          <w:color w:val="auto"/>
          <w:kern w:val="0"/>
          <w:szCs w:val="21"/>
          <w:highlight w:val="none"/>
        </w:rPr>
      </w:pPr>
      <w:r>
        <w:rPr>
          <w:rFonts w:hint="eastAsia" w:ascii="黑体" w:hAnsi="黑体" w:eastAsia="黑体" w:cs="Arial"/>
          <w:color w:val="auto"/>
          <w:kern w:val="0"/>
          <w:szCs w:val="21"/>
          <w:highlight w:val="none"/>
        </w:rPr>
        <w:t>二、特殊专用条款部分</w:t>
      </w:r>
    </w:p>
    <w:p>
      <w:pPr>
        <w:pStyle w:val="13"/>
        <w:keepNext w:val="0"/>
        <w:keepLines w:val="0"/>
        <w:pageBreakBefore w:val="0"/>
        <w:kinsoku/>
        <w:wordWrap/>
        <w:overflowPunct/>
        <w:topLinePunct w:val="0"/>
        <w:autoSpaceDE/>
        <w:autoSpaceDN/>
        <w:bidi w:val="0"/>
        <w:snapToGrid w:val="0"/>
        <w:spacing w:line="420" w:lineRule="exact"/>
        <w:jc w:val="center"/>
        <w:textAlignment w:val="auto"/>
        <w:outlineLvl w:val="0"/>
        <w:rPr>
          <w:rFonts w:hint="eastAsia" w:ascii="黑体" w:hAnsi="宋体" w:eastAsia="黑体"/>
          <w:b/>
          <w:color w:val="auto"/>
          <w:sz w:val="21"/>
          <w:szCs w:val="21"/>
          <w:highlight w:val="none"/>
        </w:rPr>
      </w:pPr>
      <w:r>
        <w:rPr>
          <w:rFonts w:hint="eastAsia" w:ascii="黑体" w:hAnsi="宋体" w:eastAsia="黑体"/>
          <w:b/>
          <w:color w:val="auto"/>
          <w:sz w:val="21"/>
          <w:szCs w:val="21"/>
          <w:highlight w:val="none"/>
        </w:rPr>
        <w:t>（双方自行协商）</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法定代表人/委托代理人：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法定代表人/委托代理人：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keepNext w:val="0"/>
        <w:keepLines w:val="0"/>
        <w:pageBreakBefore w:val="0"/>
        <w:kinsoku/>
        <w:wordWrap/>
        <w:overflowPunct/>
        <w:topLinePunct w:val="0"/>
        <w:autoSpaceDE/>
        <w:autoSpaceDN/>
        <w:bidi w:val="0"/>
        <w:adjustRightInd w:val="0"/>
        <w:snapToGrid w:val="0"/>
        <w:spacing w:line="420" w:lineRule="exact"/>
        <w:ind w:firstLine="630" w:firstLineChars="300"/>
        <w:textAlignment w:val="auto"/>
        <w:rPr>
          <w:rFonts w:hint="eastAsia" w:hAnsi="宋体"/>
          <w:bCs/>
          <w:color w:val="auto"/>
          <w:szCs w:val="21"/>
          <w:highlight w:val="none"/>
        </w:rPr>
      </w:pPr>
      <w:r>
        <w:rPr>
          <w:rFonts w:hint="eastAsia" w:hAnsi="宋体"/>
          <w:bCs/>
          <w:color w:val="auto"/>
          <w:szCs w:val="21"/>
          <w:highlight w:val="none"/>
        </w:rPr>
        <w:t>代理机构：</w:t>
      </w:r>
      <w:r>
        <w:rPr>
          <w:rFonts w:hint="eastAsia" w:hAnsi="宋体"/>
          <w:bCs/>
          <w:color w:val="auto"/>
          <w:szCs w:val="21"/>
          <w:highlight w:val="none"/>
          <w:u w:val="single"/>
        </w:rPr>
        <w:t xml:space="preserve">                        </w:t>
      </w:r>
      <w:r>
        <w:rPr>
          <w:rFonts w:hint="eastAsia" w:hAnsi="宋体"/>
          <w:bCs/>
          <w:color w:val="auto"/>
          <w:szCs w:val="21"/>
          <w:highlight w:val="none"/>
        </w:rPr>
        <w:t>盖章</w:t>
      </w:r>
    </w:p>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日期:</w:t>
      </w:r>
    </w:p>
    <w:p>
      <w:pPr>
        <w:adjustRightInd w:val="0"/>
        <w:snapToGrid w:val="0"/>
        <w:spacing w:line="460" w:lineRule="exact"/>
        <w:jc w:val="left"/>
        <w:outlineLvl w:val="0"/>
        <w:rPr>
          <w:rFonts w:hint="eastAsia" w:ascii="Times New Roman" w:hAnsi="Times New Roman" w:cs="仿宋"/>
          <w:color w:val="auto"/>
          <w:szCs w:val="21"/>
          <w:highlight w:val="none"/>
        </w:rPr>
      </w:pPr>
    </w:p>
    <w:p>
      <w:pPr>
        <w:pStyle w:val="2"/>
        <w:pageBreakBefore/>
        <w:snapToGrid w:val="0"/>
        <w:spacing w:before="240" w:after="240" w:line="240" w:lineRule="auto"/>
        <w:jc w:val="center"/>
        <w:rPr>
          <w:rFonts w:ascii="宋体" w:hAnsi="宋体" w:eastAsia="宋体"/>
          <w:color w:val="auto"/>
          <w:sz w:val="32"/>
          <w:highlight w:val="none"/>
        </w:rPr>
      </w:pPr>
      <w:r>
        <w:rPr>
          <w:rFonts w:hint="eastAsia" w:ascii="宋体" w:hAnsi="宋体" w:eastAsia="宋体"/>
          <w:color w:val="auto"/>
          <w:sz w:val="32"/>
          <w:highlight w:val="none"/>
        </w:rPr>
        <w:t>第五部分</w:t>
      </w:r>
      <w:bookmarkStart w:id="67" w:name="_Toc118516258"/>
      <w:r>
        <w:rPr>
          <w:rFonts w:hint="eastAsia" w:ascii="宋体" w:hAnsi="宋体" w:eastAsia="宋体"/>
          <w:color w:val="auto"/>
          <w:sz w:val="32"/>
          <w:highlight w:val="none"/>
        </w:rPr>
        <w:t xml:space="preserve"> 附件(响应文件格式)</w:t>
      </w:r>
      <w:bookmarkEnd w:id="66"/>
      <w:bookmarkEnd w:id="67"/>
    </w:p>
    <w:p>
      <w:pPr>
        <w:pStyle w:val="13"/>
        <w:spacing w:line="360" w:lineRule="auto"/>
        <w:ind w:firstLine="480" w:firstLineChars="200"/>
        <w:rPr>
          <w:color w:val="auto"/>
          <w:sz w:val="24"/>
          <w:highlight w:val="none"/>
        </w:rPr>
      </w:pPr>
      <w:r>
        <w:rPr>
          <w:color w:val="auto"/>
          <w:sz w:val="24"/>
          <w:highlight w:val="none"/>
        </w:rPr>
        <w:t>说明：</w:t>
      </w:r>
    </w:p>
    <w:p>
      <w:pPr>
        <w:pStyle w:val="13"/>
        <w:spacing w:line="360" w:lineRule="auto"/>
        <w:ind w:firstLine="480" w:firstLineChars="200"/>
        <w:rPr>
          <w:color w:val="auto"/>
          <w:sz w:val="24"/>
          <w:highlight w:val="none"/>
        </w:rPr>
      </w:pPr>
      <w:r>
        <w:rPr>
          <w:color w:val="auto"/>
          <w:sz w:val="24"/>
          <w:highlight w:val="none"/>
        </w:rPr>
        <w:t>1.响应文件由磋商供应商根据照磋商文件要求参照附件格式编制。</w:t>
      </w:r>
    </w:p>
    <w:p>
      <w:pPr>
        <w:pStyle w:val="13"/>
        <w:spacing w:line="360" w:lineRule="auto"/>
        <w:ind w:firstLine="480" w:firstLineChars="200"/>
        <w:rPr>
          <w:color w:val="auto"/>
          <w:sz w:val="24"/>
          <w:highlight w:val="none"/>
        </w:rPr>
      </w:pPr>
      <w:r>
        <w:rPr>
          <w:color w:val="auto"/>
          <w:sz w:val="24"/>
          <w:highlight w:val="none"/>
        </w:rPr>
        <w:t>2.附件中有参考格式的，参照格式，没有参考格式的，自行编制。</w:t>
      </w:r>
    </w:p>
    <w:p>
      <w:pPr>
        <w:rPr>
          <w:color w:val="auto"/>
          <w:highlight w:val="none"/>
        </w:rPr>
      </w:pPr>
      <w:r>
        <w:rPr>
          <w:color w:val="auto"/>
          <w:highlight w:val="none"/>
        </w:rPr>
        <w:br w:type="page"/>
      </w:r>
      <w:bookmarkStart w:id="68" w:name="_Toc440358277"/>
      <w:bookmarkStart w:id="69" w:name="_Toc441751183"/>
    </w:p>
    <w:p>
      <w:pPr>
        <w:autoSpaceDE w:val="0"/>
        <w:autoSpaceDN w:val="0"/>
        <w:adjustRightInd w:val="0"/>
        <w:snapToGrid w:val="0"/>
        <w:spacing w:line="360" w:lineRule="auto"/>
        <w:jc w:val="center"/>
        <w:outlineLvl w:val="1"/>
        <w:rPr>
          <w:rFonts w:ascii="宋体" w:hAnsi="宋体" w:cs="宋体"/>
          <w:b/>
          <w:color w:val="auto"/>
          <w:sz w:val="28"/>
          <w:szCs w:val="28"/>
          <w:highlight w:val="none"/>
        </w:rPr>
      </w:pPr>
      <w:bookmarkStart w:id="70" w:name="_Toc31669"/>
      <w:bookmarkStart w:id="71" w:name="_Toc17306"/>
      <w:r>
        <w:rPr>
          <w:rFonts w:hint="eastAsia" w:ascii="宋体" w:hAnsi="宋体" w:cs="宋体"/>
          <w:b/>
          <w:color w:val="auto"/>
          <w:sz w:val="28"/>
          <w:szCs w:val="28"/>
          <w:highlight w:val="none"/>
        </w:rPr>
        <w:t>一、政府采购活动现场确认声明书</w:t>
      </w:r>
      <w:bookmarkEnd w:id="70"/>
      <w:bookmarkEnd w:id="71"/>
    </w:p>
    <w:p>
      <w:pPr>
        <w:pStyle w:val="8"/>
        <w:adjustRightInd w:val="0"/>
        <w:snapToGrid w:val="0"/>
        <w:spacing w:after="0" w:line="360" w:lineRule="auto"/>
        <w:ind w:firstLine="105" w:firstLineChars="50"/>
        <w:rPr>
          <w:color w:val="auto"/>
          <w:szCs w:val="21"/>
          <w:highlight w:val="none"/>
        </w:rPr>
      </w:pPr>
      <w:r>
        <w:rPr>
          <w:rFonts w:hint="eastAsia"/>
          <w:b/>
          <w:color w:val="auto"/>
          <w:highlight w:val="none"/>
          <w:u w:val="single"/>
          <w:lang w:eastAsia="zh-CN"/>
        </w:rPr>
        <w:t>浙江乍浦经济开发区（嘉兴港区）管理委员会</w:t>
      </w:r>
      <w:r>
        <w:rPr>
          <w:color w:val="auto"/>
          <w:szCs w:val="21"/>
          <w:highlight w:val="none"/>
        </w:rPr>
        <w:t>：</w:t>
      </w:r>
    </w:p>
    <w:p>
      <w:pPr>
        <w:pStyle w:val="8"/>
        <w:adjustRightInd w:val="0"/>
        <w:snapToGrid w:val="0"/>
        <w:spacing w:after="0" w:line="360" w:lineRule="auto"/>
        <w:ind w:firstLine="440" w:firstLineChars="200"/>
        <w:rPr>
          <w:color w:val="auto"/>
          <w:szCs w:val="21"/>
          <w:highlight w:val="none"/>
        </w:rPr>
      </w:pPr>
      <w:r>
        <w:rPr>
          <w:color w:val="auto"/>
          <w:spacing w:val="5"/>
          <w:szCs w:val="21"/>
          <w:highlight w:val="none"/>
        </w:rPr>
        <w:t>本</w:t>
      </w:r>
      <w:r>
        <w:rPr>
          <w:color w:val="auto"/>
          <w:szCs w:val="21"/>
          <w:highlight w:val="none"/>
        </w:rPr>
        <w:t>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ab/>
      </w:r>
      <w:r>
        <w:rPr>
          <w:color w:val="auto"/>
          <w:spacing w:val="5"/>
          <w:szCs w:val="21"/>
          <w:highlight w:val="none"/>
        </w:rPr>
        <w:t>（授权代表姓名），经</w:t>
      </w:r>
      <w:r>
        <w:rPr>
          <w:color w:val="auto"/>
          <w:szCs w:val="21"/>
          <w:highlight w:val="none"/>
        </w:rPr>
        <w:t>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ab/>
      </w:r>
      <w:r>
        <w:rPr>
          <w:color w:val="auto"/>
          <w:spacing w:val="5"/>
          <w:szCs w:val="21"/>
          <w:highlight w:val="none"/>
        </w:rPr>
        <w:t>（单位</w:t>
      </w:r>
      <w:r>
        <w:rPr>
          <w:color w:val="auto"/>
          <w:szCs w:val="21"/>
          <w:highlight w:val="none"/>
        </w:rPr>
        <w:t>）</w:t>
      </w:r>
      <w:r>
        <w:rPr>
          <w:color w:val="auto"/>
          <w:spacing w:val="-10"/>
          <w:szCs w:val="21"/>
          <w:highlight w:val="none"/>
        </w:rPr>
        <w:t xml:space="preserve"> </w:t>
      </w:r>
      <w:r>
        <w:rPr>
          <w:rFonts w:eastAsia="Times New Roman"/>
          <w:color w:val="auto"/>
          <w:szCs w:val="21"/>
          <w:highlight w:val="none"/>
          <w:u w:val="single"/>
        </w:rPr>
        <w:t xml:space="preserve"> </w:t>
      </w:r>
      <w:r>
        <w:rPr>
          <w:rFonts w:hint="eastAsia"/>
          <w:color w:val="auto"/>
          <w:szCs w:val="21"/>
          <w:highlight w:val="none"/>
          <w:u w:val="single"/>
        </w:rPr>
        <w:t xml:space="preserve">  </w:t>
      </w:r>
      <w:r>
        <w:rPr>
          <w:rFonts w:eastAsia="Times New Roman"/>
          <w:color w:val="auto"/>
          <w:szCs w:val="21"/>
          <w:highlight w:val="none"/>
          <w:u w:val="single"/>
        </w:rPr>
        <w:tab/>
      </w:r>
      <w:r>
        <w:rPr>
          <w:rFonts w:hint="eastAsia"/>
          <w:color w:val="auto"/>
          <w:szCs w:val="21"/>
          <w:highlight w:val="none"/>
          <w:u w:val="single"/>
        </w:rPr>
        <w:t xml:space="preserve"> </w:t>
      </w:r>
      <w:r>
        <w:rPr>
          <w:color w:val="auto"/>
          <w:szCs w:val="21"/>
          <w:highlight w:val="none"/>
        </w:rPr>
        <w:t xml:space="preserve">（法定代表人姓名）合法授权参加 </w:t>
      </w:r>
      <w:r>
        <w:rPr>
          <w:rFonts w:hint="eastAsia"/>
          <w:color w:val="auto"/>
          <w:szCs w:val="21"/>
          <w:highlight w:val="none"/>
          <w:u w:val="single"/>
        </w:rPr>
        <w:t xml:space="preserve">               </w:t>
      </w:r>
      <w:r>
        <w:rPr>
          <w:color w:val="auto"/>
          <w:szCs w:val="21"/>
          <w:highlight w:val="none"/>
        </w:rPr>
        <w:t xml:space="preserve">（编号： </w:t>
      </w:r>
      <w:r>
        <w:rPr>
          <w:rFonts w:hint="eastAsia"/>
          <w:color w:val="auto"/>
          <w:szCs w:val="21"/>
          <w:highlight w:val="none"/>
          <w:u w:val="single"/>
        </w:rPr>
        <w:t xml:space="preserve">     </w:t>
      </w:r>
      <w:r>
        <w:rPr>
          <w:color w:val="auto"/>
          <w:szCs w:val="21"/>
          <w:highlight w:val="none"/>
        </w:rPr>
        <w:t xml:space="preserve"> ）政府采购活动，经与本单位法人代表（负责人）联系确认，现就有关公平竞争事项郑重声明如下：</w:t>
      </w:r>
    </w:p>
    <w:p>
      <w:pPr>
        <w:pStyle w:val="8"/>
        <w:adjustRightInd w:val="0"/>
        <w:snapToGrid w:val="0"/>
        <w:spacing w:after="0" w:line="360" w:lineRule="auto"/>
        <w:ind w:left="574"/>
        <w:rPr>
          <w:color w:val="auto"/>
          <w:szCs w:val="21"/>
          <w:highlight w:val="none"/>
        </w:rPr>
      </w:pPr>
      <w:r>
        <w:rPr>
          <w:color w:val="auto"/>
          <w:szCs w:val="21"/>
          <w:highlight w:val="none"/>
        </w:rPr>
        <w:t>一、本单位与采购人之间</w:t>
      </w:r>
      <w:r>
        <w:rPr>
          <w:rFonts w:hint="eastAsia" w:ascii="宋体" w:hAnsi="宋体" w:cs="宋体"/>
          <w:color w:val="auto"/>
          <w:szCs w:val="21"/>
          <w:highlight w:val="none"/>
        </w:rPr>
        <w:t>□</w:t>
      </w:r>
      <w:r>
        <w:rPr>
          <w:color w:val="auto"/>
          <w:szCs w:val="21"/>
          <w:highlight w:val="none"/>
        </w:rPr>
        <w:t>不存在利害关系</w:t>
      </w:r>
      <w:r>
        <w:rPr>
          <w:rFonts w:hint="eastAsia" w:ascii="宋体" w:cs="Arial"/>
          <w:color w:val="auto"/>
          <w:kern w:val="0"/>
          <w:szCs w:val="21"/>
          <w:highlight w:val="none"/>
          <w:lang w:eastAsia="zh-CN"/>
        </w:rPr>
        <w:t>□</w:t>
      </w:r>
      <w:r>
        <w:rPr>
          <w:color w:val="auto"/>
          <w:szCs w:val="21"/>
          <w:highlight w:val="none"/>
        </w:rPr>
        <w:t>存在下列利害关系 ：</w:t>
      </w:r>
    </w:p>
    <w:p>
      <w:pPr>
        <w:pStyle w:val="8"/>
        <w:tabs>
          <w:tab w:val="left" w:pos="2639"/>
          <w:tab w:val="left" w:pos="5159"/>
        </w:tabs>
        <w:adjustRightInd w:val="0"/>
        <w:snapToGrid w:val="0"/>
        <w:spacing w:after="0" w:line="360" w:lineRule="auto"/>
        <w:ind w:left="600"/>
        <w:rPr>
          <w:color w:val="auto"/>
          <w:szCs w:val="21"/>
          <w:highlight w:val="none"/>
        </w:rPr>
      </w:pPr>
      <w:r>
        <w:rPr>
          <w:color w:val="auto"/>
          <w:szCs w:val="21"/>
          <w:highlight w:val="none"/>
        </w:rPr>
        <w:t>A. 投资关系</w:t>
      </w:r>
      <w:r>
        <w:rPr>
          <w:color w:val="auto"/>
          <w:szCs w:val="21"/>
          <w:highlight w:val="none"/>
        </w:rPr>
        <w:tab/>
      </w:r>
      <w:r>
        <w:rPr>
          <w:color w:val="auto"/>
          <w:szCs w:val="21"/>
          <w:highlight w:val="none"/>
        </w:rPr>
        <w:t>B. 行政隶属关系</w:t>
      </w:r>
      <w:r>
        <w:rPr>
          <w:color w:val="auto"/>
          <w:szCs w:val="21"/>
          <w:highlight w:val="none"/>
        </w:rPr>
        <w:tab/>
      </w:r>
      <w:r>
        <w:rPr>
          <w:color w:val="auto"/>
          <w:szCs w:val="21"/>
          <w:highlight w:val="none"/>
        </w:rPr>
        <w:t>C. 业务指导关系</w:t>
      </w:r>
    </w:p>
    <w:p>
      <w:pPr>
        <w:pStyle w:val="8"/>
        <w:adjustRightInd w:val="0"/>
        <w:snapToGrid w:val="0"/>
        <w:spacing w:after="0" w:line="360" w:lineRule="auto"/>
        <w:ind w:left="600"/>
        <w:rPr>
          <w:color w:val="auto"/>
          <w:szCs w:val="21"/>
          <w:highlight w:val="none"/>
        </w:rPr>
      </w:pPr>
      <w:r>
        <w:rPr>
          <w:color w:val="auto"/>
          <w:szCs w:val="21"/>
          <w:highlight w:val="none"/>
        </w:rPr>
        <w:t>D. 其他可能影响采购公正的利害关系（如有，请如实说明）。</w:t>
      </w:r>
    </w:p>
    <w:p>
      <w:pPr>
        <w:pStyle w:val="8"/>
        <w:tabs>
          <w:tab w:val="left" w:pos="7223"/>
        </w:tabs>
        <w:adjustRightInd w:val="0"/>
        <w:snapToGrid w:val="0"/>
        <w:spacing w:after="0" w:line="360" w:lineRule="auto"/>
        <w:ind w:right="131" w:firstLine="574"/>
        <w:rPr>
          <w:color w:val="auto"/>
          <w:szCs w:val="21"/>
          <w:highlight w:val="none"/>
        </w:rPr>
      </w:pPr>
      <w:r>
        <w:rPr>
          <w:color w:val="auto"/>
          <w:szCs w:val="21"/>
          <w:highlight w:val="none"/>
        </w:rPr>
        <w:t>二、</w:t>
      </w:r>
      <w:r>
        <w:rPr>
          <w:color w:val="auto"/>
          <w:spacing w:val="3"/>
          <w:szCs w:val="21"/>
          <w:highlight w:val="none"/>
        </w:rPr>
        <w:t>现已清楚知道参加本项目采购活动的其他所有供应商名称，本单</w:t>
      </w:r>
      <w:r>
        <w:rPr>
          <w:color w:val="auto"/>
          <w:szCs w:val="21"/>
          <w:highlight w:val="none"/>
        </w:rPr>
        <w:t>位</w:t>
      </w:r>
      <w:r>
        <w:rPr>
          <w:rFonts w:hint="eastAsia" w:ascii="宋体" w:hAnsi="宋体" w:cs="宋体"/>
          <w:color w:val="auto"/>
          <w:szCs w:val="21"/>
          <w:highlight w:val="none"/>
        </w:rPr>
        <w:t>□</w:t>
      </w:r>
      <w:r>
        <w:rPr>
          <w:color w:val="auto"/>
          <w:szCs w:val="21"/>
          <w:highlight w:val="none"/>
        </w:rPr>
        <w:t>与其他所有供应商之间均不存在利害关系</w:t>
      </w:r>
      <w:r>
        <w:rPr>
          <w:rFonts w:hint="eastAsia" w:ascii="宋体" w:hAnsi="宋体" w:cs="宋体"/>
          <w:color w:val="auto"/>
          <w:szCs w:val="21"/>
          <w:highlight w:val="none"/>
        </w:rPr>
        <w:t>□</w:t>
      </w:r>
      <w:r>
        <w:rPr>
          <w:color w:val="auto"/>
          <w:szCs w:val="21"/>
          <w:highlight w:val="none"/>
        </w:rPr>
        <w:t>与</w:t>
      </w:r>
      <w:r>
        <w:rPr>
          <w:color w:val="auto"/>
          <w:szCs w:val="21"/>
          <w:highlight w:val="none"/>
          <w:u w:val="single"/>
        </w:rPr>
        <w:t xml:space="preserve"> </w:t>
      </w:r>
      <w:r>
        <w:rPr>
          <w:color w:val="auto"/>
          <w:szCs w:val="21"/>
          <w:highlight w:val="none"/>
          <w:u w:val="single"/>
        </w:rPr>
        <w:tab/>
      </w:r>
      <w:r>
        <w:rPr>
          <w:color w:val="auto"/>
          <w:szCs w:val="21"/>
          <w:highlight w:val="none"/>
        </w:rPr>
        <w:t>（供应商</w:t>
      </w:r>
      <w:r>
        <w:rPr>
          <w:color w:val="auto"/>
          <w:spacing w:val="-11"/>
          <w:szCs w:val="21"/>
          <w:highlight w:val="none"/>
        </w:rPr>
        <w:t>名</w:t>
      </w:r>
      <w:r>
        <w:rPr>
          <w:color w:val="auto"/>
          <w:szCs w:val="21"/>
          <w:highlight w:val="none"/>
        </w:rPr>
        <w:t>称）之间存在下列利害关系：</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法定代表人或负责人或实际控制人是同一人</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法定代表人或负责人或实际控制人是夫妻关系</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法定代表人或负责人或实际控制人是直系血亲关系</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法定代表人或负责人或实际控制人存在三代以内旁系血亲关系</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法定代表人或负责人或实际控制人存在近姻亲关系</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法定代表人或负责人或实际控制人存在股份控制或实际控制关系</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存在共同直接或间接投资设立子公司、联营企业和合营企业情况</w:t>
      </w:r>
      <w:r>
        <w:rPr>
          <w:rFonts w:hint="eastAsia"/>
          <w:color w:val="auto"/>
          <w:szCs w:val="21"/>
          <w:highlight w:val="none"/>
        </w:rPr>
        <w:t>；</w:t>
      </w:r>
    </w:p>
    <w:p>
      <w:pPr>
        <w:pStyle w:val="40"/>
        <w:numPr>
          <w:ilvl w:val="0"/>
          <w:numId w:val="12"/>
        </w:numPr>
        <w:tabs>
          <w:tab w:val="left" w:pos="960"/>
        </w:tabs>
        <w:adjustRightInd w:val="0"/>
        <w:snapToGrid w:val="0"/>
        <w:spacing w:line="360" w:lineRule="auto"/>
        <w:ind w:left="17" w:leftChars="8" w:firstLine="595" w:firstLineChars="301"/>
        <w:jc w:val="left"/>
        <w:rPr>
          <w:color w:val="auto"/>
          <w:spacing w:val="-6"/>
          <w:szCs w:val="21"/>
          <w:highlight w:val="none"/>
        </w:rPr>
      </w:pPr>
      <w:r>
        <w:rPr>
          <w:color w:val="auto"/>
          <w:spacing w:val="-6"/>
          <w:szCs w:val="21"/>
          <w:highlight w:val="none"/>
        </w:rPr>
        <w:t>存在分级代理或代销关系、同一生产制造商关系、 管理关系、重要业务（占主营业务收入 50% 以上）或重要财务往来关系（如融资）等其他实质性控制关系</w:t>
      </w:r>
      <w:r>
        <w:rPr>
          <w:rFonts w:hint="eastAsia"/>
          <w:color w:val="auto"/>
          <w:spacing w:val="-6"/>
          <w:szCs w:val="21"/>
          <w:highlight w:val="none"/>
        </w:rPr>
        <w:t>。</w:t>
      </w:r>
    </w:p>
    <w:p>
      <w:pPr>
        <w:pStyle w:val="8"/>
        <w:tabs>
          <w:tab w:val="left" w:pos="6809"/>
        </w:tabs>
        <w:adjustRightInd w:val="0"/>
        <w:snapToGrid w:val="0"/>
        <w:spacing w:after="0" w:line="360" w:lineRule="auto"/>
        <w:ind w:left="600"/>
        <w:rPr>
          <w:color w:val="auto"/>
          <w:szCs w:val="21"/>
          <w:highlight w:val="none"/>
        </w:rPr>
      </w:pPr>
      <w:r>
        <w:rPr>
          <w:color w:val="auto"/>
          <w:szCs w:val="21"/>
          <w:highlight w:val="none"/>
        </w:rPr>
        <w:t>I .</w:t>
      </w:r>
      <w:r>
        <w:rPr>
          <w:color w:val="auto"/>
          <w:spacing w:val="-16"/>
          <w:szCs w:val="21"/>
          <w:highlight w:val="none"/>
        </w:rPr>
        <w:t xml:space="preserve"> </w:t>
      </w:r>
      <w:r>
        <w:rPr>
          <w:color w:val="auto"/>
          <w:szCs w:val="21"/>
          <w:highlight w:val="none"/>
        </w:rPr>
        <w:t>其他利害关系情况</w:t>
      </w:r>
      <w:r>
        <w:rPr>
          <w:color w:val="auto"/>
          <w:szCs w:val="21"/>
          <w:highlight w:val="none"/>
          <w:u w:val="single"/>
        </w:rPr>
        <w:t xml:space="preserve"> </w:t>
      </w:r>
      <w:r>
        <w:rPr>
          <w:color w:val="auto"/>
          <w:szCs w:val="21"/>
          <w:highlight w:val="none"/>
          <w:u w:val="single"/>
        </w:rPr>
        <w:tab/>
      </w:r>
      <w:r>
        <w:rPr>
          <w:color w:val="auto"/>
          <w:szCs w:val="21"/>
          <w:highlight w:val="none"/>
        </w:rPr>
        <w:t>。</w:t>
      </w:r>
    </w:p>
    <w:p>
      <w:pPr>
        <w:pStyle w:val="8"/>
        <w:adjustRightInd w:val="0"/>
        <w:snapToGrid w:val="0"/>
        <w:spacing w:after="0" w:line="360" w:lineRule="auto"/>
        <w:ind w:left="574"/>
        <w:rPr>
          <w:color w:val="auto"/>
          <w:szCs w:val="21"/>
          <w:highlight w:val="none"/>
        </w:rPr>
      </w:pPr>
      <w:r>
        <w:rPr>
          <w:color w:val="auto"/>
          <w:szCs w:val="21"/>
          <w:highlight w:val="none"/>
        </w:rPr>
        <w:t>三、现已清楚知道并 严格遵守政府采购法律法规和现场纪律。</w:t>
      </w:r>
    </w:p>
    <w:p>
      <w:pPr>
        <w:pStyle w:val="8"/>
        <w:tabs>
          <w:tab w:val="left" w:pos="1543"/>
          <w:tab w:val="left" w:pos="4345"/>
        </w:tabs>
        <w:adjustRightInd w:val="0"/>
        <w:snapToGrid w:val="0"/>
        <w:spacing w:after="0" w:line="360" w:lineRule="auto"/>
        <w:ind w:right="137" w:firstLine="574"/>
        <w:rPr>
          <w:color w:val="auto"/>
          <w:szCs w:val="21"/>
          <w:highlight w:val="none"/>
        </w:rPr>
      </w:pPr>
      <w:r>
        <w:rPr>
          <w:color w:val="auto"/>
          <w:szCs w:val="21"/>
          <w:highlight w:val="none"/>
        </w:rPr>
        <w:t>四、我发现</w:t>
      </w:r>
      <w:r>
        <w:rPr>
          <w:color w:val="auto"/>
          <w:szCs w:val="21"/>
          <w:highlight w:val="none"/>
          <w:u w:val="single"/>
        </w:rPr>
        <w:t xml:space="preserve"> </w:t>
      </w:r>
      <w:r>
        <w:rPr>
          <w:color w:val="auto"/>
          <w:szCs w:val="21"/>
          <w:highlight w:val="none"/>
          <w:u w:val="single"/>
        </w:rPr>
        <w:tab/>
      </w:r>
      <w:r>
        <w:rPr>
          <w:color w:val="auto"/>
          <w:szCs w:val="21"/>
          <w:highlight w:val="none"/>
        </w:rPr>
        <w:t>供应商之间存在或可能存在上述第二</w:t>
      </w:r>
      <w:r>
        <w:rPr>
          <w:color w:val="auto"/>
          <w:spacing w:val="-17"/>
          <w:szCs w:val="21"/>
          <w:highlight w:val="none"/>
        </w:rPr>
        <w:t>条</w:t>
      </w:r>
      <w:r>
        <w:rPr>
          <w:color w:val="auto"/>
          <w:szCs w:val="21"/>
          <w:highlight w:val="none"/>
        </w:rPr>
        <w:t>第</w:t>
      </w:r>
      <w:r>
        <w:rPr>
          <w:color w:val="auto"/>
          <w:szCs w:val="21"/>
          <w:highlight w:val="none"/>
          <w:u w:val="single"/>
        </w:rPr>
        <w:t xml:space="preserve"> </w:t>
      </w:r>
      <w:r>
        <w:rPr>
          <w:color w:val="auto"/>
          <w:szCs w:val="21"/>
          <w:highlight w:val="none"/>
          <w:u w:val="single"/>
        </w:rPr>
        <w:tab/>
      </w:r>
      <w:r>
        <w:rPr>
          <w:color w:val="auto"/>
          <w:szCs w:val="21"/>
          <w:highlight w:val="none"/>
        </w:rPr>
        <w:t>项利害关系。</w:t>
      </w:r>
    </w:p>
    <w:p>
      <w:pPr>
        <w:pStyle w:val="8"/>
        <w:adjustRightInd w:val="0"/>
        <w:snapToGrid w:val="0"/>
        <w:spacing w:after="0" w:line="360" w:lineRule="auto"/>
        <w:ind w:right="1003"/>
        <w:rPr>
          <w:color w:val="auto"/>
          <w:szCs w:val="21"/>
          <w:highlight w:val="none"/>
        </w:rPr>
      </w:pPr>
    </w:p>
    <w:p>
      <w:pPr>
        <w:pStyle w:val="8"/>
        <w:adjustRightInd w:val="0"/>
        <w:snapToGrid w:val="0"/>
        <w:spacing w:after="0" w:line="360" w:lineRule="auto"/>
        <w:ind w:right="1003" w:firstLine="4200" w:firstLineChars="2000"/>
        <w:rPr>
          <w:color w:val="auto"/>
          <w:szCs w:val="21"/>
          <w:highlight w:val="none"/>
        </w:rPr>
      </w:pPr>
      <w:r>
        <w:rPr>
          <w:color w:val="auto"/>
          <w:szCs w:val="21"/>
          <w:highlight w:val="none"/>
        </w:rPr>
        <w:t xml:space="preserve">（供应商代表签名）： </w:t>
      </w:r>
    </w:p>
    <w:p>
      <w:pPr>
        <w:pStyle w:val="8"/>
        <w:adjustRightInd w:val="0"/>
        <w:snapToGrid w:val="0"/>
        <w:spacing w:after="0" w:line="360" w:lineRule="auto"/>
        <w:ind w:right="1003"/>
        <w:rPr>
          <w:color w:val="auto"/>
          <w:szCs w:val="21"/>
          <w:highlight w:val="none"/>
        </w:rPr>
      </w:pPr>
    </w:p>
    <w:p>
      <w:pPr>
        <w:jc w:val="right"/>
        <w:rPr>
          <w:color w:val="auto"/>
          <w:highlight w:val="none"/>
        </w:rPr>
      </w:pPr>
      <w:r>
        <w:rPr>
          <w:rFonts w:hint="eastAsia"/>
          <w:color w:val="auto"/>
          <w:highlight w:val="none"/>
          <w:lang w:val="en-US" w:eastAsia="zh-CN"/>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pStyle w:val="9"/>
        <w:rPr>
          <w:color w:val="auto"/>
          <w:highlight w:val="none"/>
        </w:rPr>
      </w:pPr>
    </w:p>
    <w:p>
      <w:pPr>
        <w:rPr>
          <w:b/>
          <w:bCs/>
          <w:color w:val="auto"/>
          <w:highlight w:val="none"/>
        </w:rPr>
      </w:pPr>
      <w:r>
        <w:rPr>
          <w:rFonts w:hint="eastAsia"/>
          <w:b/>
          <w:bCs/>
          <w:color w:val="auto"/>
          <w:highlight w:val="none"/>
        </w:rPr>
        <w:t>特别说明：《政府采购活动现场确认声明书》需按磋商须知序号17要求提交。</w:t>
      </w:r>
    </w:p>
    <w:p>
      <w:pPr>
        <w:autoSpaceDE w:val="0"/>
        <w:autoSpaceDN w:val="0"/>
        <w:adjustRightInd w:val="0"/>
        <w:snapToGrid w:val="0"/>
        <w:spacing w:line="360" w:lineRule="auto"/>
        <w:outlineLvl w:val="1"/>
        <w:rPr>
          <w:rFonts w:ascii="宋体" w:hAnsi="宋体"/>
          <w:b/>
          <w:bCs/>
          <w:color w:val="auto"/>
          <w:szCs w:val="21"/>
          <w:highlight w:val="none"/>
        </w:rPr>
      </w:pPr>
      <w:r>
        <w:rPr>
          <w:rFonts w:ascii="宋体" w:hAnsi="宋体"/>
          <w:b/>
          <w:color w:val="auto"/>
          <w:szCs w:val="21"/>
          <w:highlight w:val="none"/>
        </w:rPr>
        <w:br w:type="page"/>
      </w:r>
      <w:bookmarkStart w:id="72" w:name="_Toc18794"/>
      <w:bookmarkStart w:id="73" w:name="_Toc31871"/>
      <w:r>
        <w:rPr>
          <w:rFonts w:hint="eastAsia" w:ascii="宋体" w:hAnsi="宋体"/>
          <w:b/>
          <w:bCs/>
          <w:color w:val="auto"/>
          <w:szCs w:val="21"/>
          <w:highlight w:val="none"/>
        </w:rPr>
        <w:t>二、响应文件封面</w:t>
      </w:r>
      <w:bookmarkEnd w:id="68"/>
      <w:bookmarkEnd w:id="69"/>
      <w:bookmarkEnd w:id="72"/>
      <w:bookmarkEnd w:id="73"/>
      <w:r>
        <w:rPr>
          <w:rFonts w:hint="eastAsia" w:ascii="宋体" w:hAnsi="宋体"/>
          <w:b/>
          <w:bCs/>
          <w:color w:val="auto"/>
          <w:szCs w:val="21"/>
          <w:highlight w:val="none"/>
        </w:rPr>
        <w:t xml:space="preserve"> </w:t>
      </w:r>
    </w:p>
    <w:p>
      <w:pPr>
        <w:autoSpaceDE w:val="0"/>
        <w:autoSpaceDN w:val="0"/>
        <w:adjustRightInd w:val="0"/>
        <w:rPr>
          <w:rFonts w:ascii="宋体" w:hAnsi="宋体"/>
          <w:bCs/>
          <w:color w:val="auto"/>
          <w:highlight w:val="none"/>
        </w:rPr>
      </w:pPr>
    </w:p>
    <w:p>
      <w:pPr>
        <w:autoSpaceDE w:val="0"/>
        <w:autoSpaceDN w:val="0"/>
        <w:adjustRightInd w:val="0"/>
        <w:spacing w:line="360" w:lineRule="auto"/>
        <w:jc w:val="right"/>
        <w:rPr>
          <w:rFonts w:ascii="宋体" w:hAnsi="宋体"/>
          <w:b/>
          <w:color w:val="auto"/>
          <w:sz w:val="28"/>
          <w:szCs w:val="28"/>
          <w:highlight w:val="none"/>
        </w:rPr>
      </w:pPr>
      <w:r>
        <w:rPr>
          <w:rFonts w:hint="eastAsia" w:ascii="宋体" w:hAnsi="宋体"/>
          <w:bCs/>
          <w:color w:val="auto"/>
          <w:highlight w:val="none"/>
        </w:rPr>
        <w:t xml:space="preserve"> </w:t>
      </w:r>
      <w:r>
        <w:rPr>
          <w:rFonts w:hint="eastAsia" w:ascii="宋体" w:hAnsi="宋体"/>
          <w:b/>
          <w:color w:val="auto"/>
          <w:sz w:val="32"/>
          <w:szCs w:val="32"/>
          <w:highlight w:val="none"/>
        </w:rPr>
        <w:t xml:space="preserve">                </w:t>
      </w:r>
    </w:p>
    <w:p>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pPr>
        <w:autoSpaceDE w:val="0"/>
        <w:autoSpaceDN w:val="0"/>
        <w:adjustRightInd w:val="0"/>
        <w:spacing w:line="360" w:lineRule="auto"/>
        <w:jc w:val="center"/>
        <w:rPr>
          <w:rFonts w:ascii="宋体" w:hAnsi="宋体"/>
          <w:b/>
          <w:color w:val="auto"/>
          <w:sz w:val="44"/>
          <w:szCs w:val="44"/>
          <w:highlight w:val="none"/>
        </w:rPr>
      </w:pPr>
    </w:p>
    <w:p>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（资格响应文件/商务技术响应文件/报价响应文件）</w:t>
      </w:r>
    </w:p>
    <w:p>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r>
        <w:rPr>
          <w:rFonts w:hint="eastAsia" w:ascii="宋体" w:hAnsi="宋体"/>
          <w:b/>
          <w:color w:val="auto"/>
          <w:sz w:val="32"/>
          <w:szCs w:val="32"/>
          <w:highlight w:val="none"/>
          <w:u w:val="single"/>
        </w:rPr>
        <w:t xml:space="preserve">                  </w:t>
      </w:r>
    </w:p>
    <w:p>
      <w:pPr>
        <w:autoSpaceDE w:val="0"/>
        <w:autoSpaceDN w:val="0"/>
        <w:adjustRightInd w:val="0"/>
        <w:spacing w:line="360" w:lineRule="auto"/>
        <w:rPr>
          <w:rFonts w:ascii="宋体" w:hAnsi="宋体"/>
          <w:b/>
          <w:color w:val="auto"/>
          <w:sz w:val="32"/>
          <w:szCs w:val="32"/>
          <w:highlight w:val="none"/>
        </w:rPr>
      </w:pPr>
    </w:p>
    <w:p>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br w:type="page"/>
      </w:r>
      <w:bookmarkStart w:id="74" w:name="_Toc29420"/>
      <w:bookmarkStart w:id="75" w:name="_Toc24429"/>
      <w:r>
        <w:rPr>
          <w:rFonts w:hint="eastAsia" w:ascii="宋体" w:hAnsi="宋体"/>
          <w:b/>
          <w:bCs/>
          <w:color w:val="auto"/>
          <w:szCs w:val="21"/>
          <w:highlight w:val="none"/>
        </w:rPr>
        <w:t>三、资格响应文件部分格式</w:t>
      </w:r>
      <w:bookmarkEnd w:id="74"/>
      <w:bookmarkEnd w:id="75"/>
    </w:p>
    <w:p>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资格证明文件</w:t>
      </w:r>
    </w:p>
    <w:p>
      <w:pPr>
        <w:autoSpaceDE w:val="0"/>
        <w:autoSpaceDN w:val="0"/>
        <w:adjustRightInd w:val="0"/>
        <w:snapToGrid w:val="0"/>
        <w:spacing w:line="360" w:lineRule="auto"/>
        <w:rPr>
          <w:rFonts w:ascii="宋体" w:cs="宋体"/>
          <w:b/>
          <w:bCs/>
          <w:color w:val="auto"/>
          <w:szCs w:val="21"/>
          <w:highlight w:val="none"/>
        </w:rPr>
      </w:pPr>
      <w:r>
        <w:rPr>
          <w:rFonts w:hint="eastAsia" w:ascii="宋体" w:cs="宋体"/>
          <w:b/>
          <w:bCs/>
          <w:color w:val="auto"/>
          <w:szCs w:val="21"/>
          <w:highlight w:val="none"/>
        </w:rPr>
        <w:t xml:space="preserve"> 各供应商须按磋商须知第8.1条的要求出具全部资格证明材料。</w:t>
      </w:r>
    </w:p>
    <w:p>
      <w:pPr>
        <w:spacing w:line="360" w:lineRule="auto"/>
        <w:rPr>
          <w:rFonts w:ascii="宋体" w:hAnsi="宋体"/>
          <w:b/>
          <w:color w:val="auto"/>
          <w:szCs w:val="21"/>
          <w:highlight w:val="none"/>
        </w:rPr>
      </w:pPr>
      <w:r>
        <w:rPr>
          <w:rFonts w:hint="eastAsia" w:ascii="宋体" w:cs="宋体"/>
          <w:b/>
          <w:bCs/>
          <w:color w:val="auto"/>
          <w:szCs w:val="21"/>
          <w:highlight w:val="none"/>
        </w:rPr>
        <w:br w:type="page"/>
      </w:r>
      <w:r>
        <w:rPr>
          <w:rFonts w:hint="eastAsia" w:ascii="宋体" w:hAnsi="宋体"/>
          <w:b/>
          <w:color w:val="auto"/>
          <w:szCs w:val="21"/>
          <w:highlight w:val="none"/>
        </w:rPr>
        <w:t>1.基本资格条件相关证明材料</w:t>
      </w:r>
    </w:p>
    <w:p>
      <w:pPr>
        <w:pStyle w:val="23"/>
        <w:numPr>
          <w:ilvl w:val="0"/>
          <w:numId w:val="13"/>
        </w:numPr>
        <w:shd w:val="clear" w:color="auto" w:fill="FFFFFF"/>
        <w:tabs>
          <w:tab w:val="left" w:pos="630"/>
          <w:tab w:val="left" w:pos="840"/>
          <w:tab w:val="left" w:pos="1050"/>
        </w:tabs>
        <w:adjustRightInd w:val="0"/>
        <w:snapToGrid w:val="0"/>
        <w:spacing w:beforeAutospacing="0" w:afterAutospacing="0" w:line="360" w:lineRule="auto"/>
        <w:ind w:hanging="5"/>
        <w:rPr>
          <w:rFonts w:cs="宋体"/>
          <w:b/>
          <w:bCs/>
          <w:color w:val="auto"/>
          <w:sz w:val="21"/>
          <w:szCs w:val="21"/>
          <w:highlight w:val="none"/>
        </w:rPr>
      </w:pPr>
      <w:r>
        <w:rPr>
          <w:rFonts w:hint="eastAsia" w:cs="宋体"/>
          <w:b/>
          <w:bCs/>
          <w:color w:val="auto"/>
          <w:sz w:val="21"/>
          <w:szCs w:val="21"/>
          <w:highlight w:val="none"/>
        </w:rPr>
        <w:t>具有独立承担民事责任的能力：</w:t>
      </w:r>
    </w:p>
    <w:p>
      <w:pPr>
        <w:pStyle w:val="23"/>
        <w:shd w:val="clear" w:color="auto" w:fill="FFFFFF"/>
        <w:tabs>
          <w:tab w:val="left" w:pos="630"/>
          <w:tab w:val="left" w:pos="840"/>
          <w:tab w:val="left" w:pos="1050"/>
        </w:tabs>
        <w:adjustRightInd w:val="0"/>
        <w:snapToGrid w:val="0"/>
        <w:spacing w:beforeAutospacing="0" w:afterAutospacing="0" w:line="360" w:lineRule="auto"/>
        <w:ind w:left="420"/>
        <w:rPr>
          <w:rFonts w:cs="宋体"/>
          <w:b/>
          <w:bCs/>
          <w:color w:val="auto"/>
          <w:sz w:val="21"/>
          <w:szCs w:val="21"/>
          <w:highlight w:val="none"/>
        </w:rPr>
      </w:pPr>
      <w:r>
        <w:rPr>
          <w:rFonts w:hint="eastAsia" w:cs="宋体"/>
          <w:b/>
          <w:bCs/>
          <w:color w:val="auto"/>
          <w:sz w:val="21"/>
          <w:szCs w:val="21"/>
          <w:highlight w:val="none"/>
        </w:rPr>
        <w:t>供应商须在响应文件中出具符合以下情况的证明材料复印件（五选一）：</w:t>
      </w:r>
    </w:p>
    <w:p>
      <w:pPr>
        <w:pStyle w:val="23"/>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如供应商是企业（包括合伙企业），提供在工商部门注册的有效“企业法人营业执照”或“营业执照”；</w:t>
      </w:r>
    </w:p>
    <w:p>
      <w:pPr>
        <w:pStyle w:val="23"/>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如供应商是事业单位，提供有效的“事业单位法人证书”；</w:t>
      </w:r>
    </w:p>
    <w:p>
      <w:pPr>
        <w:pStyle w:val="23"/>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如供应商是非企业专业服务机构的，提供执业许可证等证明文件；</w:t>
      </w:r>
    </w:p>
    <w:p>
      <w:pPr>
        <w:pStyle w:val="23"/>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如供应商是个体工商户，提供有效的“个体工商户营业执照”；</w:t>
      </w:r>
    </w:p>
    <w:p>
      <w:pPr>
        <w:pStyle w:val="23"/>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如供应商是自然人，提供有效的自然人身份证明（居民身份证正反面或公安机关出具的临时居民身份证正反面或港澳台胞证或护照）。</w:t>
      </w:r>
    </w:p>
    <w:p>
      <w:pPr>
        <w:pStyle w:val="23"/>
        <w:adjustRightInd w:val="0"/>
        <w:snapToGrid w:val="0"/>
        <w:spacing w:beforeAutospacing="0" w:afterAutospacing="0" w:line="360" w:lineRule="auto"/>
        <w:ind w:firstLine="482" w:firstLineChars="200"/>
        <w:rPr>
          <w:rFonts w:hint="eastAsia" w:ascii="宋体" w:hAnsi="宋体" w:cs="宋体"/>
          <w:b/>
          <w:bCs/>
          <w:color w:val="auto"/>
          <w:sz w:val="21"/>
          <w:szCs w:val="21"/>
          <w:highlight w:val="none"/>
        </w:rPr>
      </w:pPr>
      <w:r>
        <w:rPr>
          <w:b/>
          <w:color w:val="auto"/>
          <w:szCs w:val="21"/>
          <w:highlight w:val="none"/>
        </w:rPr>
        <w:br w:type="page"/>
      </w:r>
      <w:r>
        <w:rPr>
          <w:rFonts w:hint="eastAsia" w:ascii="宋体" w:hAnsi="宋体" w:cs="宋体"/>
          <w:b/>
          <w:bCs/>
          <w:color w:val="auto"/>
          <w:sz w:val="21"/>
          <w:szCs w:val="21"/>
          <w:highlight w:val="none"/>
        </w:rPr>
        <w:t>具有良好的商业信誉和健全的财务会计制度的证明材料：</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①良好的商业信誉：</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对列入失信被执行人、重大税收违法案件当事人名单、政府采购严重违法失信行为记录名单的供应商，其投标将作无效标处理。</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②健全的财务会计制度：</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供应商需在响应文件中出具《承诺函》：（由供应商根据本项目自行拟定承诺函）</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具有履行合同所必需的设备和专业技术能力：</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供应商须在响应文件中出具具有履行合同所必需的设备和专业技术能力的《承诺函》；（由供应商根据本项目情况自定）</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r>
        <w:rPr>
          <w:rFonts w:hint="eastAsia" w:ascii="宋体" w:hAnsi="宋体" w:cs="宋体"/>
          <w:b/>
          <w:bCs/>
          <w:color w:val="auto"/>
          <w:sz w:val="21"/>
          <w:szCs w:val="21"/>
          <w:highlight w:val="none"/>
        </w:rPr>
        <w:t>有依法缴纳税收和社会保障资金的良好记录：</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供应商需在响应文件中出具《承诺函》：（由供应商根据本项目自行拟定承诺函）</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参加政府采购活动前三年内，在经营活动中没有重大违法记录：</w:t>
      </w:r>
    </w:p>
    <w:p>
      <w:pPr>
        <w:pStyle w:val="23"/>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供应商须在响应文件中出具《声明函》。（参考格式如下）</w:t>
      </w:r>
    </w:p>
    <w:p>
      <w:pPr>
        <w:snapToGrid w:val="0"/>
        <w:spacing w:line="360" w:lineRule="auto"/>
        <w:jc w:val="center"/>
        <w:rPr>
          <w:rFonts w:eastAsia="华文中宋"/>
          <w:b/>
          <w:bCs/>
          <w:color w:val="auto"/>
          <w:sz w:val="32"/>
          <w:szCs w:val="32"/>
          <w:highlight w:val="none"/>
        </w:rPr>
      </w:pPr>
    </w:p>
    <w:p>
      <w:pPr>
        <w:snapToGrid w:val="0"/>
        <w:spacing w:line="360" w:lineRule="auto"/>
        <w:jc w:val="center"/>
        <w:rPr>
          <w:rFonts w:eastAsia="华文中宋"/>
          <w:b/>
          <w:bCs/>
          <w:color w:val="auto"/>
          <w:sz w:val="32"/>
          <w:szCs w:val="32"/>
          <w:highlight w:val="none"/>
        </w:rPr>
      </w:pPr>
      <w:r>
        <w:rPr>
          <w:rFonts w:hint="eastAsia" w:eastAsia="华文中宋"/>
          <w:b/>
          <w:bCs/>
          <w:color w:val="auto"/>
          <w:sz w:val="32"/>
          <w:szCs w:val="32"/>
          <w:highlight w:val="none"/>
        </w:rPr>
        <w:t>声明函</w:t>
      </w:r>
    </w:p>
    <w:p>
      <w:pPr>
        <w:snapToGrid w:val="0"/>
        <w:spacing w:line="360" w:lineRule="auto"/>
        <w:rPr>
          <w:rFonts w:ascii="宋体" w:hAnsi="宋体" w:cs="宋体"/>
          <w:color w:val="auto"/>
          <w:szCs w:val="21"/>
          <w:highlight w:val="none"/>
          <w:u w:val="single"/>
        </w:rPr>
      </w:pPr>
      <w:r>
        <w:rPr>
          <w:rFonts w:hint="eastAsia"/>
          <w:b/>
          <w:color w:val="auto"/>
          <w:highlight w:val="none"/>
          <w:u w:val="single"/>
          <w:lang w:eastAsia="zh-CN"/>
        </w:rPr>
        <w:t>浙江乍浦经济开发区（嘉兴港区）管理委员会</w:t>
      </w:r>
      <w:r>
        <w:rPr>
          <w:rFonts w:hint="eastAsia" w:ascii="宋体" w:hAnsi="宋体" w:cs="宋体"/>
          <w:color w:val="auto"/>
          <w:szCs w:val="21"/>
          <w:highlight w:val="none"/>
          <w:u w:val="singl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w:t>
      </w:r>
      <w:r>
        <w:rPr>
          <w:rFonts w:hint="eastAsia" w:ascii="宋体" w:hAnsi="宋体" w:cs="宋体"/>
          <w:color w:val="auto"/>
          <w:szCs w:val="21"/>
          <w:highlight w:val="none"/>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spacing w:val="20"/>
          <w:highlight w:val="none"/>
          <w:u w:val="single"/>
        </w:rPr>
      </w:pPr>
      <w:r>
        <w:rPr>
          <w:rFonts w:hint="eastAsia" w:ascii="宋体" w:hAnsi="宋体" w:cs="宋体"/>
          <w:color w:val="auto"/>
          <w:highlight w:val="none"/>
        </w:rPr>
        <w:t>供应商全称（盖单位公章）：</w:t>
      </w:r>
    </w:p>
    <w:p>
      <w:pPr>
        <w:snapToGrid w:val="0"/>
        <w:spacing w:line="360" w:lineRule="auto"/>
        <w:rPr>
          <w:rFonts w:ascii="宋体" w:hAnsi="宋体" w:cs="宋体"/>
          <w:color w:val="auto"/>
          <w:spacing w:val="20"/>
          <w:highlight w:val="none"/>
          <w:u w:val="single"/>
        </w:rPr>
      </w:pPr>
      <w:r>
        <w:rPr>
          <w:rFonts w:hint="eastAsia" w:ascii="宋体" w:hAnsi="宋体" w:cs="宋体"/>
          <w:color w:val="auto"/>
          <w:highlight w:val="none"/>
        </w:rPr>
        <w:t>响应文件签署人（签字或盖章）：</w:t>
      </w:r>
    </w:p>
    <w:p>
      <w:pPr>
        <w:snapToGrid w:val="0"/>
        <w:spacing w:line="360" w:lineRule="auto"/>
        <w:rPr>
          <w:rFonts w:ascii="宋体" w:hAnsi="宋体" w:cs="宋体"/>
          <w:color w:val="auto"/>
          <w:spacing w:val="20"/>
          <w:highlight w:val="none"/>
        </w:rPr>
      </w:pPr>
      <w:r>
        <w:rPr>
          <w:rFonts w:hint="eastAsia" w:ascii="宋体" w:hAnsi="宋体" w:cs="宋体"/>
          <w:color w:val="auto"/>
          <w:spacing w:val="20"/>
          <w:highlight w:val="none"/>
        </w:rPr>
        <w:t xml:space="preserve">日期：  </w:t>
      </w:r>
      <w:r>
        <w:rPr>
          <w:rFonts w:hint="eastAsia" w:ascii="宋体" w:hAnsi="宋体" w:cs="宋体"/>
          <w:color w:val="auto"/>
          <w:highlight w:val="none"/>
        </w:rPr>
        <w:t>年  月  日</w:t>
      </w:r>
    </w:p>
    <w:p>
      <w:pPr>
        <w:autoSpaceDE w:val="0"/>
        <w:autoSpaceDN w:val="0"/>
        <w:adjustRightInd w:val="0"/>
        <w:snapToGrid w:val="0"/>
        <w:spacing w:line="360" w:lineRule="auto"/>
        <w:rPr>
          <w:rFonts w:ascii="宋体" w:cs="宋体"/>
          <w:color w:val="auto"/>
          <w:szCs w:val="21"/>
          <w:highlight w:val="none"/>
        </w:rPr>
      </w:pPr>
    </w:p>
    <w:p>
      <w:pPr>
        <w:spacing w:line="360" w:lineRule="auto"/>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p>
    <w:p>
      <w:pPr>
        <w:spacing w:line="360" w:lineRule="auto"/>
        <w:rPr>
          <w:rFonts w:hint="eastAsia" w:ascii="宋体" w:hAnsi="宋体"/>
          <w:b/>
          <w:color w:val="auto"/>
          <w:sz w:val="32"/>
          <w:szCs w:val="32"/>
          <w:highlight w:val="none"/>
        </w:rPr>
      </w:pPr>
    </w:p>
    <w:p>
      <w:pPr>
        <w:spacing w:line="360" w:lineRule="auto"/>
        <w:rPr>
          <w:rFonts w:ascii="宋体" w:hAnsi="宋体"/>
          <w:b/>
          <w:color w:val="auto"/>
          <w:szCs w:val="21"/>
          <w:highlight w:val="none"/>
        </w:rPr>
      </w:pPr>
    </w:p>
    <w:p>
      <w:pPr>
        <w:pStyle w:val="13"/>
        <w:snapToGrid w:val="0"/>
        <w:spacing w:beforeLines="10" w:afterLines="10"/>
        <w:rPr>
          <w:rFonts w:hAnsi="宋体"/>
          <w:b/>
          <w:color w:val="auto"/>
          <w:kern w:val="2"/>
          <w:sz w:val="24"/>
          <w:szCs w:val="24"/>
          <w:highlight w:val="none"/>
        </w:rPr>
      </w:pPr>
      <w:r>
        <w:rPr>
          <w:rFonts w:hint="eastAsia" w:ascii="宋体" w:hAnsi="宋体" w:cs="宋体" w:eastAsiaTheme="minorEastAsia"/>
          <w:b/>
          <w:bCs/>
          <w:color w:val="auto"/>
          <w:kern w:val="2"/>
          <w:sz w:val="21"/>
          <w:szCs w:val="21"/>
          <w:highlight w:val="none"/>
          <w:lang w:val="en-US" w:eastAsia="zh-CN" w:bidi="ar-SA"/>
        </w:rPr>
        <w:t>2、特定资格要求的相关证明材料（具体要求详见公告）</w:t>
      </w:r>
      <w:r>
        <w:rPr>
          <w:rFonts w:hint="eastAsia" w:cs="宋体"/>
          <w:b/>
          <w:bCs/>
          <w:color w:val="auto"/>
          <w:szCs w:val="21"/>
          <w:highlight w:val="none"/>
        </w:rPr>
        <w:br w:type="page"/>
      </w:r>
      <w:r>
        <w:rPr>
          <w:rFonts w:hint="eastAsia" w:hAnsi="宋体"/>
          <w:b/>
          <w:color w:val="auto"/>
          <w:kern w:val="2"/>
          <w:sz w:val="24"/>
          <w:szCs w:val="24"/>
          <w:highlight w:val="none"/>
        </w:rPr>
        <w:t>中小企业声明函</w:t>
      </w:r>
    </w:p>
    <w:p>
      <w:pPr>
        <w:pStyle w:val="59"/>
        <w:spacing w:beforeLines="200" w:afterLines="200"/>
        <w:jc w:val="center"/>
        <w:rPr>
          <w:rFonts w:hint="default" w:ascii="宋体" w:eastAsia="宋体"/>
          <w:b/>
          <w:color w:val="auto"/>
          <w:sz w:val="36"/>
          <w:highlight w:val="none"/>
        </w:rPr>
      </w:pPr>
      <w:r>
        <w:rPr>
          <w:rFonts w:ascii="宋体" w:eastAsia="宋体"/>
          <w:b/>
          <w:color w:val="auto"/>
          <w:sz w:val="36"/>
          <w:highlight w:val="none"/>
        </w:rPr>
        <w:t>中小企业声明函（服务）</w:t>
      </w:r>
    </w:p>
    <w:p>
      <w:pPr>
        <w:pStyle w:val="60"/>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ascii="宋体" w:hAnsi="宋体" w:eastAsia="宋体"/>
          <w:color w:val="auto"/>
          <w:sz w:val="21"/>
          <w:szCs w:val="21"/>
          <w:highlight w:val="none"/>
          <w:u w:val="single"/>
        </w:rPr>
        <w:t>（单位名称）</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 xml:space="preserve">采购活动，服务全部由符合政策要求的中小企业承接。相关企业的具体情况如下： </w:t>
      </w:r>
    </w:p>
    <w:p>
      <w:pPr>
        <w:pStyle w:val="35"/>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w:t>
      </w:r>
      <w:r>
        <w:rPr>
          <w:rStyle w:val="32"/>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35"/>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万元，属于</w:t>
      </w:r>
      <w:r>
        <w:rPr>
          <w:rFonts w:hint="eastAsia" w:hAnsi="宋体"/>
          <w:color w:val="auto"/>
          <w:sz w:val="21"/>
          <w:szCs w:val="21"/>
          <w:highlight w:val="none"/>
          <w:u w:val="single"/>
        </w:rPr>
        <w:t>（中型企业、小型企业、微型企业）</w:t>
      </w:r>
      <w:r>
        <w:rPr>
          <w:rFonts w:hint="eastAsia" w:hAnsi="宋体"/>
          <w:color w:val="auto"/>
          <w:sz w:val="21"/>
          <w:szCs w:val="21"/>
          <w:highlight w:val="none"/>
        </w:rPr>
        <w:t xml:space="preserve">； </w:t>
      </w:r>
    </w:p>
    <w:p>
      <w:pPr>
        <w:pStyle w:val="61"/>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pPr>
        <w:pStyle w:val="60"/>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pPr>
        <w:pStyle w:val="61"/>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pPr>
        <w:pStyle w:val="62"/>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pPr>
        <w:pStyle w:val="62"/>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pPr>
        <w:pStyle w:val="3"/>
        <w:numPr>
          <w:ilvl w:val="0"/>
          <w:numId w:val="0"/>
        </w:numPr>
        <w:spacing w:line="240" w:lineRule="auto"/>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1.投标人应当对其出具的《中小企业声明函》真实性负责，投标人出具的《中小企业声明函》内容不实的，属于提供虚假材料谋取中标。依照《中华人民共和国政府采购法》等国家有关规定追究相应责任。</w:t>
      </w:r>
    </w:p>
    <w:p>
      <w:pPr>
        <w:numPr>
          <w:ilvl w:val="0"/>
          <w:numId w:val="0"/>
        </w:num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2.本项目</w:t>
      </w:r>
      <w:r>
        <w:rPr>
          <w:rFonts w:hint="eastAsia" w:ascii="仿宋" w:hAnsi="仿宋" w:eastAsia="仿宋" w:cs="仿宋"/>
          <w:b/>
          <w:bCs/>
          <w:color w:val="auto"/>
          <w:sz w:val="28"/>
          <w:szCs w:val="28"/>
          <w:highlight w:val="none"/>
        </w:rPr>
        <w:t>属于预留份额专门面向中小</w:t>
      </w:r>
      <w:r>
        <w:rPr>
          <w:rFonts w:hint="eastAsia" w:ascii="仿宋" w:hAnsi="仿宋" w:eastAsia="仿宋" w:cs="仿宋"/>
          <w:b/>
          <w:bCs/>
          <w:color w:val="auto"/>
          <w:sz w:val="28"/>
          <w:szCs w:val="28"/>
          <w:highlight w:val="none"/>
          <w:lang w:val="en-US" w:eastAsia="zh-CN"/>
        </w:rPr>
        <w:t>微</w:t>
      </w:r>
      <w:r>
        <w:rPr>
          <w:rFonts w:hint="eastAsia" w:ascii="仿宋" w:hAnsi="仿宋" w:eastAsia="仿宋" w:cs="仿宋"/>
          <w:b/>
          <w:bCs/>
          <w:color w:val="auto"/>
          <w:sz w:val="28"/>
          <w:szCs w:val="28"/>
          <w:highlight w:val="none"/>
        </w:rPr>
        <w:t>企业采购的项目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本项目采购标的对应的中小企业划分标准所属行业为：</w:t>
      </w:r>
      <w:r>
        <w:rPr>
          <w:rFonts w:hint="eastAsia" w:ascii="仿宋" w:hAnsi="仿宋" w:eastAsia="仿宋" w:cs="仿宋"/>
          <w:b/>
          <w:bCs/>
          <w:color w:val="auto"/>
          <w:sz w:val="28"/>
          <w:szCs w:val="28"/>
          <w:highlight w:val="none"/>
          <w:u w:val="double"/>
          <w:lang w:eastAsia="zh-CN"/>
        </w:rPr>
        <w:t>其他未列明行业</w:t>
      </w:r>
      <w:r>
        <w:rPr>
          <w:rFonts w:hint="eastAsia" w:ascii="仿宋" w:hAnsi="仿宋" w:eastAsia="仿宋" w:cs="仿宋"/>
          <w:b/>
          <w:bCs/>
          <w:color w:val="auto"/>
          <w:sz w:val="28"/>
          <w:szCs w:val="28"/>
          <w:highlight w:val="none"/>
          <w:u w:val="double"/>
        </w:rPr>
        <w:t>。</w:t>
      </w:r>
      <w:r>
        <w:rPr>
          <w:rFonts w:hint="eastAsia" w:ascii="仿宋" w:hAnsi="仿宋" w:eastAsia="仿宋" w:cs="仿宋"/>
          <w:b/>
          <w:bCs/>
          <w:color w:val="auto"/>
          <w:sz w:val="28"/>
          <w:szCs w:val="28"/>
          <w:highlight w:val="none"/>
          <w:lang w:val="en-US" w:eastAsia="zh-CN"/>
        </w:rPr>
        <w:t>供应商提供的</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val="en-US" w:eastAsia="zh-CN"/>
        </w:rPr>
        <w:t>上填写的行业与采购文件明确的行业不一致的，中小企业声明函无效，资格审查不通过。</w:t>
      </w:r>
    </w:p>
    <w:p>
      <w:pPr>
        <w:pStyle w:val="13"/>
        <w:snapToGrid w:val="0"/>
        <w:spacing w:beforeLines="10" w:afterLines="10"/>
        <w:rPr>
          <w:rFonts w:hint="eastAsia" w:hAnsi="宋体"/>
          <w:b/>
          <w:color w:val="auto"/>
          <w:kern w:val="2"/>
          <w:sz w:val="24"/>
          <w:szCs w:val="24"/>
          <w:highlight w:val="none"/>
        </w:rPr>
      </w:pPr>
    </w:p>
    <w:p>
      <w:pPr>
        <w:pStyle w:val="13"/>
        <w:snapToGrid w:val="0"/>
        <w:spacing w:beforeLines="10" w:afterLines="10"/>
        <w:rPr>
          <w:rFonts w:hint="eastAsia" w:hAnsi="宋体"/>
          <w:b/>
          <w:color w:val="auto"/>
          <w:kern w:val="2"/>
          <w:sz w:val="24"/>
          <w:szCs w:val="24"/>
          <w:highlight w:val="none"/>
          <w:lang w:val="en-US" w:eastAsia="zh-CN"/>
        </w:rPr>
      </w:pPr>
    </w:p>
    <w:p>
      <w:pPr>
        <w:pStyle w:val="13"/>
        <w:snapToGrid w:val="0"/>
        <w:spacing w:beforeLines="10" w:afterLines="10"/>
        <w:rPr>
          <w:rFonts w:hint="eastAsia" w:hAnsi="宋体"/>
          <w:b/>
          <w:color w:val="auto"/>
          <w:kern w:val="2"/>
          <w:sz w:val="24"/>
          <w:szCs w:val="24"/>
          <w:highlight w:val="none"/>
          <w:lang w:val="en-US" w:eastAsia="zh-CN"/>
        </w:rPr>
      </w:pPr>
    </w:p>
    <w:p>
      <w:pPr>
        <w:pStyle w:val="13"/>
        <w:snapToGrid w:val="0"/>
        <w:spacing w:beforeLines="10" w:afterLines="10"/>
        <w:rPr>
          <w:rFonts w:hint="eastAsia" w:hAnsi="宋体"/>
          <w:b/>
          <w:color w:val="auto"/>
          <w:kern w:val="2"/>
          <w:sz w:val="24"/>
          <w:szCs w:val="24"/>
          <w:highlight w:val="none"/>
          <w:lang w:val="en-US" w:eastAsia="zh-CN"/>
        </w:rPr>
      </w:pPr>
    </w:p>
    <w:p>
      <w:pPr>
        <w:pStyle w:val="13"/>
        <w:snapToGrid w:val="0"/>
        <w:spacing w:beforeLines="10" w:afterLines="10"/>
        <w:rPr>
          <w:rFonts w:hint="eastAsia" w:hAnsi="宋体"/>
          <w:b/>
          <w:color w:val="auto"/>
          <w:kern w:val="2"/>
          <w:sz w:val="24"/>
          <w:szCs w:val="24"/>
          <w:highlight w:val="none"/>
          <w:lang w:val="en-US" w:eastAsia="zh-CN"/>
        </w:rPr>
      </w:pPr>
    </w:p>
    <w:p>
      <w:pPr>
        <w:pStyle w:val="13"/>
        <w:snapToGrid w:val="0"/>
        <w:spacing w:beforeLines="10" w:afterLines="10"/>
        <w:rPr>
          <w:rFonts w:hint="eastAsia" w:hAnsi="宋体"/>
          <w:b/>
          <w:color w:val="auto"/>
          <w:kern w:val="2"/>
          <w:sz w:val="24"/>
          <w:szCs w:val="24"/>
          <w:highlight w:val="none"/>
          <w:lang w:val="en-US" w:eastAsia="zh-CN"/>
        </w:rPr>
      </w:pPr>
    </w:p>
    <w:p>
      <w:pPr>
        <w:pStyle w:val="13"/>
        <w:snapToGrid w:val="0"/>
        <w:spacing w:beforeLines="10" w:afterLines="10"/>
        <w:rPr>
          <w:rFonts w:hint="eastAsia" w:hAnsi="宋体"/>
          <w:b/>
          <w:color w:val="auto"/>
          <w:kern w:val="2"/>
          <w:sz w:val="24"/>
          <w:szCs w:val="24"/>
          <w:highlight w:val="none"/>
          <w:lang w:val="en-US" w:eastAsia="zh-CN"/>
        </w:rPr>
      </w:pPr>
    </w:p>
    <w:p>
      <w:pPr>
        <w:pStyle w:val="13"/>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残疾人福利性单位声明函</w:t>
      </w:r>
    </w:p>
    <w:p>
      <w:pPr>
        <w:widowControl/>
        <w:wordWrap w:val="0"/>
        <w:spacing w:line="23" w:lineRule="atLeast"/>
        <w:jc w:val="left"/>
        <w:textAlignment w:val="top"/>
        <w:rPr>
          <w:color w:val="auto"/>
          <w:sz w:val="24"/>
          <w:highlight w:val="none"/>
        </w:rPr>
      </w:pPr>
    </w:p>
    <w:p>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pPr>
        <w:widowControl/>
        <w:spacing w:line="460" w:lineRule="exact"/>
        <w:jc w:val="right"/>
        <w:textAlignment w:val="top"/>
        <w:rPr>
          <w:rFonts w:hint="eastAsia" w:ascii="宋体" w:hAnsi="宋体"/>
          <w:color w:val="auto"/>
          <w:kern w:val="0"/>
          <w:szCs w:val="21"/>
          <w:highlight w:val="none"/>
        </w:rPr>
      </w:pPr>
      <w:r>
        <w:rPr>
          <w:rFonts w:hint="eastAsia" w:ascii="宋体" w:hAnsi="宋体"/>
          <w:color w:val="auto"/>
          <w:kern w:val="0"/>
          <w:szCs w:val="21"/>
          <w:highlight w:val="none"/>
        </w:rPr>
        <w:t>日 期：</w:t>
      </w:r>
    </w:p>
    <w:p>
      <w:pPr>
        <w:pStyle w:val="25"/>
        <w:rPr>
          <w:rFonts w:hint="eastAsia" w:ascii="宋体" w:hAnsi="宋体"/>
          <w:color w:val="auto"/>
          <w:kern w:val="0"/>
          <w:szCs w:val="21"/>
          <w:highlight w:val="none"/>
        </w:rPr>
      </w:pPr>
    </w:p>
    <w:p>
      <w:pPr>
        <w:rPr>
          <w:rFonts w:hint="eastAsia" w:ascii="宋体" w:hAnsi="宋体"/>
          <w:color w:val="auto"/>
          <w:kern w:val="0"/>
          <w:szCs w:val="21"/>
          <w:highlight w:val="none"/>
        </w:rPr>
      </w:pPr>
    </w:p>
    <w:p>
      <w:pPr>
        <w:pStyle w:val="25"/>
        <w:rPr>
          <w:rFonts w:hint="eastAsia" w:ascii="宋体" w:hAnsi="宋体"/>
          <w:color w:val="auto"/>
          <w:kern w:val="0"/>
          <w:szCs w:val="21"/>
          <w:highlight w:val="none"/>
        </w:rPr>
      </w:pPr>
    </w:p>
    <w:p>
      <w:pPr>
        <w:rPr>
          <w:color w:val="auto"/>
          <w:highlight w:val="none"/>
        </w:rPr>
      </w:pPr>
      <w:r>
        <w:rPr>
          <w:rFonts w:hint="eastAsia" w:hAnsi="宋体"/>
          <w:b/>
          <w:color w:val="auto"/>
          <w:kern w:val="2"/>
          <w:sz w:val="24"/>
          <w:szCs w:val="24"/>
          <w:highlight w:val="none"/>
          <w:lang w:val="en-US" w:eastAsia="zh-CN"/>
        </w:rPr>
        <w:t>供应商为监狱企业的证明文件：省级以上监狱管理局、戒毒管理局（含新疆生产建设兵团）出具。（如有）</w:t>
      </w:r>
    </w:p>
    <w:p>
      <w:pPr>
        <w:snapToGrid w:val="0"/>
        <w:spacing w:line="460" w:lineRule="exact"/>
        <w:rPr>
          <w:rFonts w:ascii="宋体" w:hAnsi="宋体"/>
          <w:color w:val="auto"/>
          <w:kern w:val="0"/>
          <w:szCs w:val="21"/>
          <w:highlight w:val="none"/>
        </w:rPr>
        <w:sectPr>
          <w:pgSz w:w="11906" w:h="16838"/>
          <w:pgMar w:top="1440" w:right="1797" w:bottom="1440" w:left="1797" w:header="851" w:footer="851" w:gutter="0"/>
          <w:pgNumType w:fmt="decimal"/>
          <w:cols w:space="720" w:num="1"/>
          <w:docGrid w:linePitch="312" w:charSpace="0"/>
        </w:sectPr>
      </w:pPr>
    </w:p>
    <w:p>
      <w:pPr>
        <w:shd w:val="clear" w:color="auto" w:fill="FFFFFF"/>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附件：</w:t>
      </w:r>
    </w:p>
    <w:p>
      <w:pPr>
        <w:shd w:val="clear" w:color="auto" w:fill="FFFFFF"/>
        <w:spacing w:line="440" w:lineRule="atLeast"/>
        <w:ind w:firstLine="422" w:firstLineChars="200"/>
        <w:jc w:val="center"/>
        <w:rPr>
          <w:rFonts w:ascii="宋体" w:hAnsi="宋体" w:cs="宋体"/>
          <w:b/>
          <w:color w:val="auto"/>
          <w:szCs w:val="21"/>
          <w:highlight w:val="none"/>
        </w:rPr>
      </w:pPr>
    </w:p>
    <w:p>
      <w:pPr>
        <w:shd w:val="clear" w:color="auto" w:fill="FFFFFF"/>
        <w:spacing w:line="440" w:lineRule="atLeast"/>
        <w:jc w:val="center"/>
        <w:rPr>
          <w:rFonts w:ascii="宋体" w:hAnsi="宋体" w:cs="宋体"/>
          <w:bCs/>
          <w:color w:val="auto"/>
          <w:szCs w:val="21"/>
          <w:highlight w:val="none"/>
        </w:rPr>
      </w:pPr>
      <w:r>
        <w:rPr>
          <w:rFonts w:hint="eastAsia" w:ascii="宋体" w:hAnsi="宋体" w:cs="宋体"/>
          <w:b/>
          <w:color w:val="auto"/>
          <w:szCs w:val="21"/>
          <w:highlight w:val="none"/>
        </w:rPr>
        <w:t>国家统计局关于印发统计上大中小微型企业划分办法的通知</w:t>
      </w:r>
    </w:p>
    <w:p>
      <w:pPr>
        <w:shd w:val="clear" w:color="auto" w:fill="FFFFFF"/>
        <w:spacing w:line="440" w:lineRule="atLeast"/>
        <w:ind w:firstLine="420" w:firstLineChars="200"/>
        <w:jc w:val="center"/>
        <w:rPr>
          <w:rFonts w:ascii="宋体" w:hAnsi="宋体" w:cs="宋体"/>
          <w:bCs/>
          <w:color w:val="auto"/>
          <w:szCs w:val="21"/>
          <w:highlight w:val="none"/>
        </w:rPr>
      </w:pPr>
      <w:r>
        <w:rPr>
          <w:rFonts w:hint="eastAsia" w:ascii="宋体" w:hAnsi="宋体" w:cs="宋体"/>
          <w:color w:val="auto"/>
          <w:szCs w:val="21"/>
          <w:highlight w:val="none"/>
        </w:rPr>
        <w:t>国统字〔2011〕75号</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各省、自治区、直辖市统计局，新疆生产建设兵团统计局，国家统计局各调查总队，国务院有关部门：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国家统计局 </w:t>
      </w:r>
    </w:p>
    <w:p>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二〇一一年九月二日</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jc w:val="center"/>
        <w:rPr>
          <w:rFonts w:ascii="宋体" w:hAnsi="宋体" w:cs="宋体"/>
          <w:b/>
          <w:color w:val="auto"/>
          <w:szCs w:val="21"/>
          <w:highlight w:val="none"/>
        </w:rPr>
      </w:pPr>
      <w:r>
        <w:rPr>
          <w:rFonts w:hint="eastAsia" w:ascii="宋体" w:hAnsi="宋体" w:cs="宋体"/>
          <w:b/>
          <w:color w:val="auto"/>
          <w:szCs w:val="21"/>
          <w:highlight w:val="none"/>
        </w:rPr>
        <w:t>统计上大中小微型企业划分办法</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一、根据工业和信息化部、国家统计局、国家发展改革委、财政部《关于印发中小企业划型标准规定的通知》（工信部联企业〔2011〕300号），结合统计工作的实际情况，特制定本办法。</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二、本办法适用对象为在中华人民共和国境内依法设立的各种组织形式的法人企业或单位。个体工商户参照本办法进行划分。</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w:t>
      </w:r>
      <w:r>
        <w:rPr>
          <w:rFonts w:hint="eastAsia" w:ascii="宋体" w:hAnsi="宋体" w:cs="宋体"/>
          <w:color w:val="auto"/>
          <w:szCs w:val="21"/>
          <w:highlight w:val="none"/>
          <w:lang w:eastAsia="zh-CN"/>
        </w:rPr>
        <w:t>其他未列明行业</w:t>
      </w:r>
      <w:r>
        <w:rPr>
          <w:rFonts w:hint="eastAsia" w:ascii="宋体" w:hAnsi="宋体" w:cs="宋体"/>
          <w:color w:val="auto"/>
          <w:szCs w:val="21"/>
          <w:highlight w:val="none"/>
        </w:rPr>
        <w:t>，科学研究和技术服务业，水利、环境和公共设施管理业，居民服务、修理和其他服务业，文化、体育和娱乐业等15个行业门类以及社会工作行业大类。</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五、企业划分由政府综合统计部门根据统计年报每年确定一次，定报统计原则上不进行调整。</w:t>
      </w:r>
    </w:p>
    <w:p>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六、本办法自印发之日起执行，国家统计局2003年印发的《统计上大中小型企业划分办法（暂行）》（国统字〔2003〕17号）同时废止。</w:t>
      </w:r>
    </w:p>
    <w:p>
      <w:pPr>
        <w:shd w:val="clear" w:color="auto" w:fill="FFFFFF"/>
        <w:spacing w:line="440" w:lineRule="atLeast"/>
        <w:jc w:val="left"/>
        <w:rPr>
          <w:rFonts w:ascii="宋体" w:hAnsi="宋体" w:cs="宋体"/>
          <w:color w:val="auto"/>
          <w:szCs w:val="21"/>
          <w:highlight w:val="none"/>
        </w:rPr>
      </w:pPr>
      <w:r>
        <w:rPr>
          <w:rFonts w:hint="eastAsia" w:ascii="宋体" w:hAnsi="宋体" w:cs="宋体"/>
          <w:b/>
          <w:color w:val="auto"/>
          <w:sz w:val="24"/>
          <w:highlight w:val="none"/>
        </w:rPr>
        <w:t> </w:t>
      </w:r>
      <w:r>
        <w:rPr>
          <w:rFonts w:hint="eastAsia" w:ascii="宋体" w:hAnsi="宋体" w:cs="宋体"/>
          <w:color w:val="auto"/>
          <w:szCs w:val="21"/>
          <w:highlight w:val="none"/>
        </w:rPr>
        <w:t>　</w:t>
      </w:r>
    </w:p>
    <w:p>
      <w:pPr>
        <w:shd w:val="clear" w:color="auto" w:fill="FFFFFF"/>
        <w:spacing w:line="440" w:lineRule="atLeast"/>
        <w:jc w:val="left"/>
        <w:rPr>
          <w:rFonts w:ascii="宋体" w:hAnsi="宋体" w:cs="宋体"/>
          <w:bCs/>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 </w:t>
      </w:r>
      <w:r>
        <w:rPr>
          <w:rFonts w:hint="eastAsia" w:ascii="宋体" w:hAnsi="宋体" w:cs="宋体"/>
          <w:b/>
          <w:color w:val="auto"/>
          <w:szCs w:val="21"/>
          <w:highlight w:val="none"/>
        </w:rPr>
        <w:t>统计上大中小微型企业划分标准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9"/>
        <w:gridCol w:w="1313"/>
        <w:gridCol w:w="777"/>
        <w:gridCol w:w="1018"/>
        <w:gridCol w:w="1529"/>
        <w:gridCol w:w="134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行业名称</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指标名称</w:t>
            </w:r>
          </w:p>
        </w:tc>
        <w:tc>
          <w:tcPr>
            <w:tcW w:w="758" w:type="dxa"/>
            <w:tcMar>
              <w:top w:w="0" w:type="dxa"/>
              <w:left w:w="108" w:type="dxa"/>
              <w:bottom w:w="0" w:type="dxa"/>
              <w:right w:w="108" w:type="dxa"/>
            </w:tcMar>
            <w:vAlign w:val="center"/>
          </w:tcPr>
          <w:p>
            <w:pPr>
              <w:spacing w:line="32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计量</w:t>
            </w:r>
          </w:p>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单位</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大型</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中型</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小型</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农、林、牧、渔业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50≤Y＜500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工业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2000≤Y＜40000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建筑业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Y≥80000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6000≤Y＜80000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300≤Y＜6000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Z≥80000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5000≤Z＜80000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300≤Z＜5000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批发业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20≤X＜200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5≤X＜20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5000≤Y＜40000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零售业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10≤X＜50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100≤Y＜500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交通运输业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3000≤Y＜30000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200≤Y＜3000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仓储业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1000≤Y＜30000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邮政业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2000≤Y＜30000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住宿业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餐饮业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信息传输业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房地产开发经营</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1000≤Y＜200000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5000≤Z＜10000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2000≤Z＜5000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物业管理</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500≤Y＜1000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pPr>
              <w:spacing w:line="320" w:lineRule="exact"/>
              <w:jc w:val="center"/>
              <w:rPr>
                <w:rFonts w:hint="eastAsia" w:ascii="宋体" w:hAnsi="宋体" w:eastAsia="宋体" w:cs="宋体"/>
                <w:bCs/>
                <w:color w:val="auto"/>
                <w:sz w:val="18"/>
                <w:szCs w:val="18"/>
                <w:highlight w:val="none"/>
                <w:lang w:eastAsia="zh-CN"/>
              </w:rPr>
            </w:pPr>
            <w:r>
              <w:rPr>
                <w:rFonts w:hint="eastAsia" w:ascii="宋体" w:hAnsi="宋体" w:cs="宋体"/>
                <w:color w:val="auto"/>
                <w:sz w:val="18"/>
                <w:szCs w:val="18"/>
                <w:highlight w:val="none"/>
                <w:lang w:val="en-US" w:eastAsia="zh-CN"/>
              </w:rPr>
              <w:t>租赁和商务服务</w:t>
            </w:r>
            <w:r>
              <w:rPr>
                <w:rFonts w:hint="eastAsia" w:ascii="宋体" w:hAnsi="宋体" w:cs="宋体"/>
                <w:color w:val="auto"/>
                <w:sz w:val="18"/>
                <w:szCs w:val="18"/>
                <w:highlight w:val="none"/>
                <w:lang w:eastAsia="zh-CN"/>
              </w:rPr>
              <w:t>业</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Z≥120000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8000≤Z＜120000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100≤Z＜8000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其他未列明行业 *</w:t>
            </w:r>
          </w:p>
        </w:tc>
        <w:tc>
          <w:tcPr>
            <w:tcW w:w="128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bl>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说明：</w:t>
      </w:r>
    </w:p>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napToGrid w:val="0"/>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hint="eastAsia" w:ascii="宋体" w:hAnsi="宋体"/>
          <w:b/>
          <w:bCs/>
          <w:color w:val="auto"/>
          <w:szCs w:val="21"/>
          <w:highlight w:val="none"/>
        </w:rPr>
      </w:pPr>
    </w:p>
    <w:p>
      <w:pPr>
        <w:rPr>
          <w:rFonts w:ascii="宋体" w:hAnsi="宋体"/>
          <w:b/>
          <w:bCs/>
          <w:color w:val="auto"/>
          <w:szCs w:val="21"/>
          <w:highlight w:val="none"/>
        </w:rPr>
      </w:pPr>
      <w:r>
        <w:rPr>
          <w:rFonts w:hint="eastAsia" w:ascii="宋体" w:hAnsi="宋体"/>
          <w:b/>
          <w:bCs/>
          <w:color w:val="auto"/>
          <w:szCs w:val="21"/>
          <w:highlight w:val="none"/>
        </w:rPr>
        <w:t>三、商务技术响应文件部分格式</w:t>
      </w:r>
    </w:p>
    <w:p>
      <w:pPr>
        <w:spacing w:line="400" w:lineRule="atLeast"/>
        <w:jc w:val="left"/>
        <w:rPr>
          <w:rFonts w:ascii="宋体" w:hAnsi="宋体"/>
          <w:b/>
          <w:color w:val="auto"/>
          <w:sz w:val="24"/>
          <w:highlight w:val="none"/>
        </w:rPr>
      </w:pPr>
      <w:r>
        <w:rPr>
          <w:rFonts w:hint="eastAsia" w:ascii="宋体" w:hAnsi="宋体"/>
          <w:b/>
          <w:color w:val="auto"/>
          <w:sz w:val="24"/>
          <w:highlight w:val="none"/>
        </w:rPr>
        <w:t>附件1</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pPr>
        <w:spacing w:line="360" w:lineRule="auto"/>
        <w:rPr>
          <w:rFonts w:hint="eastAsia" w:ascii="宋体" w:hAnsi="宋体" w:eastAsiaTheme="minorEastAsia"/>
          <w:color w:val="auto"/>
          <w:szCs w:val="21"/>
          <w:highlight w:val="none"/>
          <w:u w:val="single"/>
          <w:lang w:eastAsia="zh-CN"/>
        </w:rPr>
      </w:pPr>
      <w:r>
        <w:rPr>
          <w:rFonts w:hint="eastAsia" w:ascii="宋体" w:hAnsi="宋体"/>
          <w:color w:val="auto"/>
          <w:szCs w:val="21"/>
          <w:highlight w:val="none"/>
        </w:rPr>
        <w:t>致：</w:t>
      </w:r>
      <w:r>
        <w:rPr>
          <w:rFonts w:hint="eastAsia"/>
          <w:b/>
          <w:color w:val="auto"/>
          <w:highlight w:val="none"/>
          <w:u w:val="single"/>
          <w:lang w:eastAsia="zh-CN"/>
        </w:rPr>
        <w:t>浙江乍浦经济开发区（嘉兴港区）管理委员会</w:t>
      </w:r>
    </w:p>
    <w:p>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lang w:val="zh-CN"/>
        </w:rPr>
        <w:t xml:space="preserve">                   </w:t>
      </w:r>
      <w:r>
        <w:rPr>
          <w:rFonts w:hint="eastAsia" w:ascii="宋体" w:hAnsi="宋体"/>
          <w:color w:val="auto"/>
          <w:szCs w:val="21"/>
          <w:highlight w:val="none"/>
        </w:rPr>
        <w:t>(供应商全称)授权</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CN"/>
        </w:rPr>
        <w:t xml:space="preserve">    </w:t>
      </w:r>
      <w:r>
        <w:rPr>
          <w:rFonts w:hint="eastAsia" w:ascii="宋体" w:hAnsi="宋体"/>
          <w:color w:val="auto"/>
          <w:szCs w:val="21"/>
          <w:highlight w:val="none"/>
        </w:rPr>
        <w:t>(全权代表姓名)</w:t>
      </w:r>
      <w:r>
        <w:rPr>
          <w:rFonts w:hint="eastAsia" w:ascii="宋体" w:hAnsi="宋体"/>
          <w:color w:val="auto"/>
          <w:szCs w:val="21"/>
          <w:highlight w:val="none"/>
          <w:u w:val="single"/>
          <w:lang w:val="zh-CN"/>
        </w:rPr>
        <w:t xml:space="preserve">           </w:t>
      </w:r>
      <w:r>
        <w:rPr>
          <w:rFonts w:hint="eastAsia" w:ascii="宋体" w:hAnsi="宋体"/>
          <w:color w:val="auto"/>
          <w:szCs w:val="21"/>
          <w:highlight w:val="none"/>
        </w:rPr>
        <w:t>(职务、职称)为全权代表，参加贵方组织的</w:t>
      </w:r>
      <w:r>
        <w:rPr>
          <w:rFonts w:hint="eastAsia" w:ascii="宋体" w:hAnsi="宋体"/>
          <w:color w:val="auto"/>
          <w:szCs w:val="21"/>
          <w:highlight w:val="none"/>
          <w:u w:val="single"/>
        </w:rPr>
        <w:t xml:space="preserve">    项目 </w:t>
      </w:r>
      <w:r>
        <w:rPr>
          <w:rFonts w:hint="eastAsia" w:ascii="宋体" w:hAnsi="宋体"/>
          <w:color w:val="auto"/>
          <w:szCs w:val="21"/>
          <w:highlight w:val="none"/>
        </w:rPr>
        <w:t>(采购编号：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2、我方承诺已经具备参加采购活动的供应商应当具备的条件：</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(2)遵守国家法律、行政法规，具有良好的信誉和商业道德；</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(3)具有履行合同的能力和良好的履行合同记录；</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(4)良好的资金、财务状况；</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(5)提供的产品和服务符合采购规定的响应标准和环保标准；</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(6)没有违反采购法规、政策的记录；</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(7)没有发生重大经济纠纷和走私犯罪记录。</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w:t>
      </w:r>
      <w:r>
        <w:rPr>
          <w:rFonts w:hint="eastAsia" w:ascii="宋体" w:hAnsi="宋体"/>
          <w:color w:val="auto"/>
          <w:kern w:val="44"/>
          <w:szCs w:val="21"/>
          <w:highlight w:val="none"/>
        </w:rPr>
        <w:t>磋商须知</w:t>
      </w:r>
      <w:r>
        <w:rPr>
          <w:rFonts w:hint="eastAsia" w:ascii="宋体" w:hAnsi="宋体"/>
          <w:color w:val="auto"/>
          <w:szCs w:val="21"/>
          <w:highlight w:val="none"/>
        </w:rPr>
        <w:t>规定的全部响应文件，包括</w:t>
      </w:r>
      <w:r>
        <w:rPr>
          <w:rFonts w:hint="eastAsia" w:ascii="宋体" w:hAnsi="宋体"/>
          <w:color w:val="auto"/>
          <w:szCs w:val="21"/>
          <w:highlight w:val="none"/>
          <w:u w:val="single"/>
        </w:rPr>
        <w:t>电子加密响应文件1份，备份响应文件1份</w:t>
      </w:r>
      <w:r>
        <w:rPr>
          <w:rFonts w:hint="eastAsia" w:ascii="宋体" w:hAnsi="宋体"/>
          <w:color w:val="auto"/>
          <w:szCs w:val="21"/>
          <w:highlight w:val="none"/>
        </w:rPr>
        <w:t>。具体内容为：</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(1)资格响应文件；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(2)商务</w:t>
      </w:r>
      <w:r>
        <w:rPr>
          <w:rFonts w:hint="eastAsia" w:ascii="宋体" w:hAnsi="宋体"/>
          <w:color w:val="auto"/>
          <w:szCs w:val="21"/>
          <w:highlight w:val="none"/>
          <w:lang w:val="zh-CN"/>
        </w:rPr>
        <w:t>技术响应文件</w:t>
      </w:r>
      <w:r>
        <w:rPr>
          <w:rFonts w:hint="eastAsia" w:ascii="宋体" w:hAnsi="宋体"/>
          <w:color w:val="auto"/>
          <w:szCs w:val="21"/>
          <w:highlight w:val="none"/>
        </w:rPr>
        <w:t>；</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(3)报价响应文件；</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44"/>
          <w:szCs w:val="21"/>
          <w:highlight w:val="none"/>
        </w:rPr>
        <w:t>磋商须知</w:t>
      </w:r>
      <w:r>
        <w:rPr>
          <w:rFonts w:hint="eastAsia" w:ascii="宋体" w:hAnsi="宋体"/>
          <w:color w:val="auto"/>
          <w:szCs w:val="21"/>
          <w:highlight w:val="none"/>
        </w:rPr>
        <w:t>要求供应商提交的全部文件；</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(5)保证忠实地执行双方所签订的合同，并承担合同规定的责任和义务；</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(6)保证遵守磋商文件中的其他有关规定。</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4、我方完全理解贵方不一定要接受最低价的响应。</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5、我方愿意向贵方提供任何与该项响应有关的数据、情况和服务资料。若贵方需要，我方愿意提供我方作出的一切承诺的证明材料。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6、我方已详细审核全部磋商文件，包括磋商文件修改书（如有的话）、参考资料及有关附件，确认无误。我方完全理解并接受磋商文件的各项规定和要求，对磋商文件的合理性、合法性不再有异议。</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7、供应商有下列情形之一的，处以采购金额5‰以上10‰以下的罚款；有违法所得的，并处没收违法所得；构成犯罪的，依法追究刑事责任：</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(1)提供虚假材料谋取成交、成交的；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(2)采取不正当手段诋毁、排挤其他供应商的；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(3)与采购人、其它供应商或者采购代理机构恶意串通的；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(4)向采购人、采购代理机构行贿或者提供其他不正当利益的；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(5)在磋商采购过程中与采购人进行协商谈判的；</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(6)拒绝有关部门监督检查或提供虚假情况的。</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供应商有前款第(1)至(5)项情形之一的，成交、成交无效。</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法定代表人或授权代表（签字或盖章）：</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ab/>
      </w:r>
    </w:p>
    <w:p>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r>
        <w:rPr>
          <w:rFonts w:hint="eastAsia" w:ascii="宋体" w:hAnsi="宋体" w:cs="宋体"/>
          <w:color w:val="auto"/>
          <w:szCs w:val="21"/>
          <w:highlight w:val="none"/>
          <w:u w:val="single"/>
          <w:lang w:val="zh-CN"/>
        </w:rPr>
        <w:t xml:space="preserve">                     </w:t>
      </w:r>
    </w:p>
    <w:p>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 xml:space="preserve">联系电话：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传真：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 电子邮件：</w:t>
      </w:r>
      <w:r>
        <w:rPr>
          <w:rFonts w:hint="eastAsia" w:ascii="宋体" w:hAnsi="宋体" w:cs="宋体"/>
          <w:color w:val="auto"/>
          <w:szCs w:val="21"/>
          <w:highlight w:val="none"/>
          <w:u w:val="single"/>
          <w:lang w:val="zh-CN"/>
        </w:rPr>
        <w:t xml:space="preserve">              </w:t>
      </w:r>
    </w:p>
    <w:p>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r>
        <w:rPr>
          <w:rFonts w:hint="eastAsia" w:ascii="宋体" w:hAnsi="宋体" w:cs="宋体"/>
          <w:color w:val="auto"/>
          <w:szCs w:val="21"/>
          <w:highlight w:val="none"/>
          <w:u w:val="single"/>
          <w:lang w:val="zh-CN"/>
        </w:rPr>
        <w:t xml:space="preserve">                                                    </w:t>
      </w:r>
    </w:p>
    <w:p>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r>
        <w:rPr>
          <w:rFonts w:hint="eastAsia" w:ascii="宋体" w:hAnsi="宋体" w:cs="宋体"/>
          <w:color w:val="auto"/>
          <w:szCs w:val="21"/>
          <w:highlight w:val="none"/>
          <w:u w:val="single"/>
          <w:lang w:val="zh-CN"/>
        </w:rPr>
        <w:t xml:space="preserve">                                                    </w:t>
      </w:r>
    </w:p>
    <w:p>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r>
        <w:rPr>
          <w:rFonts w:hint="eastAsia" w:ascii="宋体" w:hAnsi="宋体" w:cs="宋体"/>
          <w:color w:val="auto"/>
          <w:szCs w:val="21"/>
          <w:highlight w:val="none"/>
          <w:u w:val="single"/>
          <w:lang w:val="zh-CN"/>
        </w:rPr>
        <w:t xml:space="preserve">                                                    </w:t>
      </w:r>
    </w:p>
    <w:p>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r>
        <w:rPr>
          <w:rFonts w:hint="eastAsia" w:ascii="宋体" w:hAnsi="宋体" w:cs="宋体"/>
          <w:color w:val="auto"/>
          <w:szCs w:val="21"/>
          <w:highlight w:val="none"/>
          <w:u w:val="single"/>
          <w:lang w:val="zh-CN"/>
        </w:rPr>
        <w:t xml:space="preserve">                     </w:t>
      </w:r>
    </w:p>
    <w:p>
      <w:pPr>
        <w:wordWrap w:val="0"/>
        <w:spacing w:line="360" w:lineRule="auto"/>
        <w:jc w:val="right"/>
        <w:rPr>
          <w:rFonts w:ascii="宋体" w:hAnsi="宋体"/>
          <w:color w:val="auto"/>
          <w:sz w:val="24"/>
          <w:highlight w:val="none"/>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olor w:val="auto"/>
          <w:sz w:val="24"/>
          <w:highlight w:val="none"/>
        </w:rPr>
        <w:t xml:space="preserve">    </w:t>
      </w:r>
    </w:p>
    <w:p>
      <w:pPr>
        <w:spacing w:line="360" w:lineRule="auto"/>
        <w:rPr>
          <w:rFonts w:ascii="宋体" w:hAnsi="宋体"/>
          <w:color w:val="auto"/>
          <w:sz w:val="24"/>
          <w:highlight w:val="none"/>
        </w:rPr>
        <w:sectPr>
          <w:headerReference r:id="rId8" w:type="default"/>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color w:val="auto"/>
          <w:sz w:val="24"/>
          <w:highlight w:val="none"/>
        </w:rPr>
        <w:t xml:space="preserve">  </w:t>
      </w:r>
    </w:p>
    <w:p>
      <w:pPr>
        <w:spacing w:line="360" w:lineRule="atLeast"/>
        <w:rPr>
          <w:rFonts w:ascii="宋体" w:hAnsi="宋体"/>
          <w:b/>
          <w:color w:val="auto"/>
          <w:sz w:val="24"/>
          <w:highlight w:val="none"/>
        </w:rPr>
      </w:pPr>
      <w:r>
        <w:rPr>
          <w:rFonts w:hint="eastAsia" w:ascii="宋体" w:hAnsi="宋体"/>
          <w:b/>
          <w:color w:val="auto"/>
          <w:highlight w:val="none"/>
        </w:rPr>
        <w:t>附件2</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r>
        <w:rPr>
          <w:rFonts w:hint="eastAsia" w:ascii="宋体" w:hAnsi="宋体"/>
          <w:color w:val="auto"/>
          <w:highlight w:val="none"/>
          <w:u w:val="single"/>
        </w:rPr>
        <w:t xml:space="preserve">                                 </w:t>
      </w:r>
    </w:p>
    <w:p>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pPr>
        <w:adjustRightInd w:val="0"/>
        <w:snapToGrid w:val="0"/>
        <w:spacing w:line="360" w:lineRule="auto"/>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 年 </w:t>
      </w:r>
      <w:r>
        <w:rPr>
          <w:rFonts w:hint="eastAsia" w:ascii="宋体" w:hAnsi="宋体"/>
          <w:color w:val="auto"/>
          <w:highlight w:val="none"/>
          <w:u w:val="single"/>
        </w:rPr>
        <w:t xml:space="preserve">        </w:t>
      </w:r>
      <w:r>
        <w:rPr>
          <w:rFonts w:hint="eastAsia" w:ascii="宋体" w:hAnsi="宋体"/>
          <w:color w:val="auto"/>
          <w:highlight w:val="none"/>
        </w:rPr>
        <w:t xml:space="preserve"> 月 </w:t>
      </w:r>
      <w:r>
        <w:rPr>
          <w:rFonts w:hint="eastAsia" w:ascii="宋体" w:hAnsi="宋体"/>
          <w:color w:val="auto"/>
          <w:highlight w:val="none"/>
          <w:u w:val="single"/>
        </w:rPr>
        <w:t xml:space="preserve">     </w:t>
      </w:r>
      <w:r>
        <w:rPr>
          <w:rFonts w:hint="eastAsia" w:ascii="宋体" w:hAnsi="宋体"/>
          <w:color w:val="auto"/>
          <w:highlight w:val="none"/>
        </w:rPr>
        <w:t xml:space="preserve"> 日</w:t>
      </w:r>
    </w:p>
    <w:p>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（供应商名称）的法定代表人。</w:t>
      </w:r>
    </w:p>
    <w:p>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left="4070" w:leftChars="1881" w:hanging="120" w:hangingChars="50"/>
        <w:rPr>
          <w:rFonts w:ascii="宋体" w:hAnsi="宋体"/>
          <w:color w:val="auto"/>
          <w:sz w:val="24"/>
          <w:highlight w:val="none"/>
        </w:rPr>
      </w:pPr>
    </w:p>
    <w:p>
      <w:pPr>
        <w:spacing w:line="360" w:lineRule="atLeast"/>
        <w:ind w:left="-6" w:leftChars="-3" w:firstLine="480" w:firstLineChars="200"/>
        <w:rPr>
          <w:rFonts w:ascii="宋体" w:hAnsi="宋体"/>
          <w:color w:val="auto"/>
          <w:sz w:val="24"/>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pPr>
        <w:tabs>
          <w:tab w:val="left" w:pos="8100"/>
          <w:tab w:val="left" w:pos="8280"/>
        </w:tabs>
        <w:adjustRightInd w:val="0"/>
        <w:snapToGrid w:val="0"/>
        <w:spacing w:line="360" w:lineRule="auto"/>
        <w:ind w:right="32" w:firstLine="420" w:firstLineChars="200"/>
        <w:rPr>
          <w:rFonts w:ascii="宋体" w:hAnsi="宋体"/>
          <w:color w:val="auto"/>
          <w:highlight w:val="none"/>
        </w:rPr>
      </w:pPr>
    </w:p>
    <w:p>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（供应商名称）的法定代表人，现委托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（姓名、身份证号）为我方代理人。代理人根据授权，以我方名义签署、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w:t>
      </w:r>
      <w:r>
        <w:rPr>
          <w:rFonts w:hint="eastAsia"/>
          <w:color w:val="auto"/>
          <w:szCs w:val="21"/>
          <w:highlight w:val="none"/>
        </w:rPr>
        <w:t xml:space="preserve"> (项目名称)响应文件、签订合同和处理有关事宜，其法律后果由我方承担。</w:t>
      </w:r>
    </w:p>
    <w:p>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rPr>
        <w:t xml:space="preserve">                    </w:t>
      </w:r>
      <w:r>
        <w:rPr>
          <w:rFonts w:hint="eastAsia"/>
          <w:color w:val="auto"/>
          <w:szCs w:val="21"/>
          <w:highlight w:val="none"/>
        </w:rPr>
        <w:t>。</w:t>
      </w:r>
    </w:p>
    <w:p>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（单位盖章）</w:t>
      </w:r>
    </w:p>
    <w:p>
      <w:pPr>
        <w:adjustRightInd w:val="0"/>
        <w:snapToGrid w:val="0"/>
        <w:spacing w:line="360" w:lineRule="auto"/>
        <w:rPr>
          <w:color w:val="auto"/>
          <w:szCs w:val="21"/>
          <w:highlight w:val="none"/>
        </w:rPr>
      </w:pPr>
      <w:r>
        <w:rPr>
          <w:rFonts w:hint="eastAsia"/>
          <w:color w:val="auto"/>
          <w:szCs w:val="21"/>
          <w:highlight w:val="none"/>
        </w:rPr>
        <w:t xml:space="preserve">                                       法定代表人：</w:t>
      </w:r>
      <w:r>
        <w:rPr>
          <w:rFonts w:hint="eastAsia"/>
          <w:color w:val="auto"/>
          <w:szCs w:val="21"/>
          <w:highlight w:val="none"/>
          <w:u w:val="single"/>
        </w:rPr>
        <w:t xml:space="preserve">                 </w:t>
      </w:r>
      <w:r>
        <w:rPr>
          <w:rFonts w:hint="eastAsia"/>
          <w:color w:val="auto"/>
          <w:szCs w:val="21"/>
          <w:highlight w:val="none"/>
        </w:rPr>
        <w:t xml:space="preserve">（签字或盖章） </w:t>
      </w:r>
    </w:p>
    <w:p>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p>
    <w:p>
      <w:pPr>
        <w:adjustRightInd w:val="0"/>
        <w:snapToGrid w:val="0"/>
        <w:spacing w:line="360" w:lineRule="auto"/>
        <w:rPr>
          <w:color w:val="auto"/>
          <w:szCs w:val="21"/>
          <w:highlight w:val="none"/>
        </w:rPr>
      </w:pPr>
      <w:r>
        <w:rPr>
          <w:rFonts w:hint="eastAsia"/>
          <w:color w:val="auto"/>
          <w:szCs w:val="21"/>
          <w:highlight w:val="none"/>
        </w:rPr>
        <w:t xml:space="preserve">                                       委托代理人：</w:t>
      </w:r>
      <w:r>
        <w:rPr>
          <w:rFonts w:hint="eastAsia"/>
          <w:color w:val="auto"/>
          <w:szCs w:val="21"/>
          <w:highlight w:val="none"/>
          <w:u w:val="single"/>
        </w:rPr>
        <w:t xml:space="preserve">                       </w:t>
      </w:r>
      <w:r>
        <w:rPr>
          <w:rFonts w:hint="eastAsia"/>
          <w:color w:val="auto"/>
          <w:szCs w:val="21"/>
          <w:highlight w:val="none"/>
        </w:rPr>
        <w:t>（签字）</w:t>
      </w:r>
    </w:p>
    <w:p>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p>
    <w:p>
      <w:pPr>
        <w:spacing w:line="360" w:lineRule="auto"/>
        <w:ind w:firstLine="4200" w:firstLineChars="2000"/>
        <w:rPr>
          <w:rFonts w:ascii="宋体" w:hAnsi="宋体"/>
          <w:color w:val="auto"/>
          <w:sz w:val="24"/>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p>
    <w:p>
      <w:pPr>
        <w:spacing w:line="400" w:lineRule="atLeast"/>
        <w:rPr>
          <w:rFonts w:ascii="宋体" w:hAnsi="宋体"/>
          <w:b/>
          <w:color w:val="auto"/>
          <w:sz w:val="24"/>
          <w:highlight w:val="none"/>
        </w:rPr>
      </w:pPr>
      <w:r>
        <w:rPr>
          <w:rFonts w:hint="eastAsia" w:ascii="宋体" w:hAnsi="宋体"/>
          <w:b/>
          <w:bCs/>
          <w:color w:val="auto"/>
          <w:sz w:val="24"/>
          <w:highlight w:val="none"/>
        </w:rPr>
        <w:br w:type="page"/>
      </w:r>
      <w:r>
        <w:rPr>
          <w:rFonts w:hint="eastAsia" w:ascii="宋体" w:hAnsi="宋体"/>
          <w:b/>
          <w:color w:val="auto"/>
          <w:sz w:val="24"/>
          <w:highlight w:val="none"/>
        </w:rPr>
        <w:t>附件3</w:t>
      </w:r>
    </w:p>
    <w:p>
      <w:pPr>
        <w:adjustRightInd w:val="0"/>
        <w:spacing w:line="360" w:lineRule="auto"/>
        <w:jc w:val="center"/>
        <w:rPr>
          <w:rFonts w:ascii="宋体"/>
          <w:b/>
          <w:color w:val="auto"/>
          <w:sz w:val="32"/>
          <w:szCs w:val="32"/>
          <w:highlight w:val="none"/>
        </w:rPr>
      </w:pPr>
      <w:r>
        <w:rPr>
          <w:rFonts w:hint="eastAsia" w:ascii="宋体" w:hAnsi="宋体"/>
          <w:b/>
          <w:color w:val="auto"/>
          <w:sz w:val="32"/>
          <w:szCs w:val="32"/>
          <w:highlight w:val="none"/>
        </w:rPr>
        <w:t>商务条款偏离表</w:t>
      </w:r>
    </w:p>
    <w:p>
      <w:pPr>
        <w:adjustRightInd w:val="0"/>
        <w:spacing w:line="360" w:lineRule="auto"/>
        <w:ind w:firstLine="435"/>
        <w:jc w:val="left"/>
        <w:rPr>
          <w:rFonts w:ascii="宋体"/>
          <w:color w:val="auto"/>
          <w:sz w:val="18"/>
          <w:highlight w:val="none"/>
        </w:rPr>
      </w:pPr>
    </w:p>
    <w:tbl>
      <w:tblPr>
        <w:tblStyle w:val="26"/>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序</w:t>
            </w:r>
            <w:r>
              <w:rPr>
                <w:rFonts w:ascii="宋体" w:hAnsi="宋体"/>
                <w:color w:val="auto"/>
                <w:sz w:val="24"/>
                <w:highlight w:val="none"/>
              </w:rPr>
              <w:t>号</w:t>
            </w:r>
          </w:p>
        </w:tc>
        <w:tc>
          <w:tcPr>
            <w:tcW w:w="2667" w:type="dxa"/>
            <w:vAlign w:val="center"/>
          </w:tcPr>
          <w:p>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磋商文件要求</w:t>
            </w:r>
          </w:p>
        </w:tc>
        <w:tc>
          <w:tcPr>
            <w:tcW w:w="3240" w:type="dxa"/>
            <w:vAlign w:val="center"/>
          </w:tcPr>
          <w:p>
            <w:pPr>
              <w:widowControl/>
              <w:adjustRightInd w:val="0"/>
              <w:snapToGrid w:val="0"/>
              <w:jc w:val="center"/>
              <w:rPr>
                <w:rFonts w:ascii="宋体"/>
                <w:color w:val="auto"/>
                <w:sz w:val="24"/>
                <w:highlight w:val="none"/>
              </w:rPr>
            </w:pPr>
            <w:r>
              <w:rPr>
                <w:rFonts w:hint="eastAsia" w:ascii="宋体" w:hAnsi="宋体"/>
                <w:color w:val="auto"/>
                <w:sz w:val="24"/>
                <w:highlight w:val="none"/>
              </w:rPr>
              <w:t>响应文件对应条款</w:t>
            </w:r>
          </w:p>
        </w:tc>
        <w:tc>
          <w:tcPr>
            <w:tcW w:w="1980" w:type="dxa"/>
            <w:vAlign w:val="center"/>
          </w:tcPr>
          <w:p>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备</w:t>
            </w:r>
            <w:r>
              <w:rPr>
                <w:rFonts w:ascii="宋体" w:hAnsi="宋体"/>
                <w:color w:val="auto"/>
                <w:sz w:val="24"/>
                <w:highlight w:val="none"/>
              </w:rPr>
              <w:t>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auto"/>
                <w:sz w:val="24"/>
                <w:highlight w:val="none"/>
              </w:rPr>
            </w:pPr>
            <w:r>
              <w:rPr>
                <w:rFonts w:ascii="宋体"/>
                <w:color w:val="auto"/>
                <w:sz w:val="24"/>
                <w:highlight w:val="none"/>
              </w:rPr>
              <w:t>…</w:t>
            </w:r>
          </w:p>
        </w:tc>
        <w:tc>
          <w:tcPr>
            <w:tcW w:w="2667" w:type="dxa"/>
            <w:vAlign w:val="center"/>
          </w:tcPr>
          <w:p>
            <w:pPr>
              <w:adjustRightInd w:val="0"/>
              <w:spacing w:line="360" w:lineRule="auto"/>
              <w:jc w:val="center"/>
              <w:rPr>
                <w:rFonts w:ascii="宋体"/>
                <w:color w:val="auto"/>
                <w:sz w:val="24"/>
                <w:highlight w:val="none"/>
              </w:rPr>
            </w:pPr>
            <w:r>
              <w:rPr>
                <w:rFonts w:hint="eastAsia" w:ascii="宋体"/>
                <w:color w:val="auto"/>
                <w:sz w:val="24"/>
                <w:highlight w:val="none"/>
              </w:rPr>
              <w:t xml:space="preserve">服务期 </w:t>
            </w:r>
          </w:p>
        </w:tc>
        <w:tc>
          <w:tcPr>
            <w:tcW w:w="3240" w:type="dxa"/>
            <w:vAlign w:val="center"/>
          </w:tcPr>
          <w:p>
            <w:pPr>
              <w:pStyle w:val="39"/>
              <w:spacing w:line="360" w:lineRule="auto"/>
              <w:rPr>
                <w:rFonts w:hint="default" w:hAnsi="Times New Roman"/>
                <w:color w:val="auto"/>
                <w:highlight w:val="none"/>
              </w:rPr>
            </w:pPr>
          </w:p>
        </w:tc>
        <w:tc>
          <w:tcPr>
            <w:tcW w:w="1980" w:type="dxa"/>
          </w:tcPr>
          <w:p>
            <w:pPr>
              <w:adjustRightInd w:val="0"/>
              <w:spacing w:line="360" w:lineRule="auto"/>
              <w:rPr>
                <w:rFonts w:asci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auto"/>
                <w:sz w:val="24"/>
                <w:highlight w:val="none"/>
              </w:rPr>
            </w:pPr>
          </w:p>
        </w:tc>
        <w:tc>
          <w:tcPr>
            <w:tcW w:w="2667" w:type="dxa"/>
            <w:vAlign w:val="center"/>
          </w:tcPr>
          <w:p>
            <w:pPr>
              <w:adjustRightInd w:val="0"/>
              <w:spacing w:line="360" w:lineRule="auto"/>
              <w:jc w:val="center"/>
              <w:rPr>
                <w:rFonts w:ascii="宋体"/>
                <w:color w:val="auto"/>
                <w:sz w:val="24"/>
                <w:highlight w:val="none"/>
              </w:rPr>
            </w:pPr>
            <w:r>
              <w:rPr>
                <w:rFonts w:hint="eastAsia" w:ascii="宋体"/>
                <w:color w:val="auto"/>
                <w:sz w:val="24"/>
                <w:highlight w:val="none"/>
              </w:rPr>
              <w:t>付款条件</w:t>
            </w:r>
          </w:p>
        </w:tc>
        <w:tc>
          <w:tcPr>
            <w:tcW w:w="3240" w:type="dxa"/>
            <w:vAlign w:val="center"/>
          </w:tcPr>
          <w:p>
            <w:pPr>
              <w:adjustRightInd w:val="0"/>
              <w:spacing w:line="360" w:lineRule="auto"/>
              <w:jc w:val="center"/>
              <w:rPr>
                <w:rFonts w:ascii="宋体"/>
                <w:color w:val="auto"/>
                <w:sz w:val="24"/>
                <w:highlight w:val="none"/>
              </w:rPr>
            </w:pPr>
          </w:p>
        </w:tc>
        <w:tc>
          <w:tcPr>
            <w:tcW w:w="1980" w:type="dxa"/>
          </w:tcPr>
          <w:p>
            <w:pPr>
              <w:adjustRightInd w:val="0"/>
              <w:spacing w:line="360" w:lineRule="auto"/>
              <w:rPr>
                <w:rFonts w:asci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auto"/>
                <w:sz w:val="24"/>
                <w:highlight w:val="none"/>
              </w:rPr>
            </w:pPr>
          </w:p>
        </w:tc>
        <w:tc>
          <w:tcPr>
            <w:tcW w:w="2667" w:type="dxa"/>
            <w:vAlign w:val="center"/>
          </w:tcPr>
          <w:p>
            <w:pPr>
              <w:adjustRightInd w:val="0"/>
              <w:spacing w:line="360" w:lineRule="auto"/>
              <w:jc w:val="center"/>
              <w:rPr>
                <w:rFonts w:ascii="宋体"/>
                <w:color w:val="auto"/>
                <w:sz w:val="24"/>
                <w:highlight w:val="none"/>
              </w:rPr>
            </w:pPr>
          </w:p>
        </w:tc>
        <w:tc>
          <w:tcPr>
            <w:tcW w:w="3240" w:type="dxa"/>
            <w:vAlign w:val="center"/>
          </w:tcPr>
          <w:p>
            <w:pPr>
              <w:adjustRightInd w:val="0"/>
              <w:spacing w:line="360" w:lineRule="auto"/>
              <w:jc w:val="center"/>
              <w:rPr>
                <w:rFonts w:ascii="宋体"/>
                <w:color w:val="auto"/>
                <w:sz w:val="24"/>
                <w:highlight w:val="none"/>
              </w:rPr>
            </w:pPr>
          </w:p>
        </w:tc>
        <w:tc>
          <w:tcPr>
            <w:tcW w:w="1980" w:type="dxa"/>
          </w:tcPr>
          <w:p>
            <w:pPr>
              <w:adjustRightInd w:val="0"/>
              <w:spacing w:line="360" w:lineRule="auto"/>
              <w:rPr>
                <w:rFonts w:asci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auto"/>
                <w:sz w:val="24"/>
                <w:highlight w:val="none"/>
              </w:rPr>
            </w:pPr>
          </w:p>
        </w:tc>
        <w:tc>
          <w:tcPr>
            <w:tcW w:w="2667" w:type="dxa"/>
            <w:vAlign w:val="center"/>
          </w:tcPr>
          <w:p>
            <w:pPr>
              <w:adjustRightInd w:val="0"/>
              <w:spacing w:line="360" w:lineRule="auto"/>
              <w:jc w:val="center"/>
              <w:rPr>
                <w:rFonts w:ascii="宋体"/>
                <w:color w:val="auto"/>
                <w:sz w:val="24"/>
                <w:highlight w:val="none"/>
              </w:rPr>
            </w:pPr>
          </w:p>
        </w:tc>
        <w:tc>
          <w:tcPr>
            <w:tcW w:w="3240" w:type="dxa"/>
          </w:tcPr>
          <w:p>
            <w:pPr>
              <w:adjustRightInd w:val="0"/>
              <w:spacing w:line="360" w:lineRule="auto"/>
              <w:jc w:val="center"/>
              <w:rPr>
                <w:rFonts w:ascii="宋体"/>
                <w:color w:val="auto"/>
                <w:sz w:val="24"/>
                <w:highlight w:val="none"/>
              </w:rPr>
            </w:pPr>
          </w:p>
        </w:tc>
        <w:tc>
          <w:tcPr>
            <w:tcW w:w="1980" w:type="dxa"/>
          </w:tcPr>
          <w:p>
            <w:pPr>
              <w:adjustRightInd w:val="0"/>
              <w:spacing w:line="360" w:lineRule="auto"/>
              <w:rPr>
                <w:rFonts w:asci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ascii="宋体"/>
                <w:color w:val="auto"/>
                <w:sz w:val="24"/>
                <w:highlight w:val="none"/>
              </w:rPr>
            </w:pPr>
          </w:p>
        </w:tc>
        <w:tc>
          <w:tcPr>
            <w:tcW w:w="2667" w:type="dxa"/>
            <w:vAlign w:val="center"/>
          </w:tcPr>
          <w:p>
            <w:pPr>
              <w:adjustRightInd w:val="0"/>
              <w:spacing w:line="360" w:lineRule="auto"/>
              <w:jc w:val="center"/>
              <w:rPr>
                <w:rFonts w:ascii="宋体"/>
                <w:color w:val="auto"/>
                <w:sz w:val="24"/>
                <w:highlight w:val="none"/>
              </w:rPr>
            </w:pPr>
          </w:p>
        </w:tc>
        <w:tc>
          <w:tcPr>
            <w:tcW w:w="3240" w:type="dxa"/>
          </w:tcPr>
          <w:p>
            <w:pPr>
              <w:adjustRightInd w:val="0"/>
              <w:spacing w:line="360" w:lineRule="auto"/>
              <w:jc w:val="center"/>
              <w:rPr>
                <w:rFonts w:ascii="宋体"/>
                <w:color w:val="auto"/>
                <w:sz w:val="24"/>
                <w:highlight w:val="none"/>
              </w:rPr>
            </w:pPr>
          </w:p>
        </w:tc>
        <w:tc>
          <w:tcPr>
            <w:tcW w:w="1980" w:type="dxa"/>
          </w:tcPr>
          <w:p>
            <w:pPr>
              <w:adjustRightInd w:val="0"/>
              <w:spacing w:line="360" w:lineRule="auto"/>
              <w:rPr>
                <w:rFonts w:ascii="宋体"/>
                <w:color w:val="auto"/>
                <w:sz w:val="24"/>
                <w:highlight w:val="none"/>
              </w:rPr>
            </w:pPr>
          </w:p>
        </w:tc>
      </w:tr>
    </w:tbl>
    <w:p>
      <w:pPr>
        <w:adjustRightInd w:val="0"/>
        <w:spacing w:line="360" w:lineRule="auto"/>
        <w:rPr>
          <w:rFonts w:ascii="宋体"/>
          <w:color w:val="auto"/>
          <w:sz w:val="24"/>
          <w:highlight w:val="none"/>
        </w:rPr>
      </w:pPr>
    </w:p>
    <w:p>
      <w:pPr>
        <w:spacing w:line="360" w:lineRule="atLeast"/>
        <w:rPr>
          <w:rFonts w:ascii="宋体" w:hAnsi="宋体"/>
          <w:color w:val="auto"/>
          <w:sz w:val="24"/>
          <w:highlight w:val="none"/>
        </w:rPr>
      </w:pPr>
    </w:p>
    <w:p>
      <w:pPr>
        <w:spacing w:line="360" w:lineRule="atLeast"/>
        <w:rPr>
          <w:rFonts w:ascii="宋体" w:hAnsi="宋体"/>
          <w:color w:val="auto"/>
          <w:sz w:val="24"/>
          <w:highlight w:val="none"/>
        </w:rPr>
      </w:pPr>
      <w:r>
        <w:rPr>
          <w:rFonts w:hint="eastAsia" w:ascii="宋体" w:hAnsi="宋体"/>
          <w:color w:val="auto"/>
          <w:sz w:val="24"/>
          <w:highlight w:val="none"/>
        </w:rPr>
        <w:t>注：1.若不填写或只填写“无”视作完全响应磋商文件的要求;</w:t>
      </w:r>
    </w:p>
    <w:p>
      <w:pPr>
        <w:spacing w:line="360" w:lineRule="atLeast"/>
        <w:rPr>
          <w:rFonts w:ascii="宋体" w:hAnsi="宋体"/>
          <w:color w:val="auto"/>
          <w:sz w:val="24"/>
          <w:highlight w:val="none"/>
        </w:rPr>
      </w:pPr>
      <w:r>
        <w:rPr>
          <w:rFonts w:hint="eastAsia" w:ascii="宋体" w:hAnsi="宋体"/>
          <w:color w:val="auto"/>
          <w:sz w:val="24"/>
          <w:highlight w:val="none"/>
        </w:rPr>
        <w:t>2.磋商供应商若有好的建议可附建议书。</w:t>
      </w:r>
    </w:p>
    <w:p>
      <w:pPr>
        <w:spacing w:line="360" w:lineRule="atLeast"/>
        <w:rPr>
          <w:rFonts w:ascii="宋体" w:hAnsi="宋体"/>
          <w:color w:val="auto"/>
          <w:sz w:val="24"/>
          <w:highlight w:val="none"/>
        </w:rPr>
      </w:pPr>
    </w:p>
    <w:p>
      <w:pPr>
        <w:spacing w:line="360" w:lineRule="atLeast"/>
        <w:rPr>
          <w:rFonts w:ascii="宋体" w:hAnsi="宋体"/>
          <w:color w:val="auto"/>
          <w:sz w:val="24"/>
          <w:highlight w:val="none"/>
        </w:rPr>
      </w:pPr>
    </w:p>
    <w:p>
      <w:pPr>
        <w:spacing w:line="360" w:lineRule="atLeast"/>
        <w:ind w:firstLine="2880" w:firstLineChars="1200"/>
        <w:jc w:val="center"/>
        <w:rPr>
          <w:rFonts w:ascii="宋体" w:hAnsi="宋体"/>
          <w:color w:val="auto"/>
          <w:sz w:val="24"/>
          <w:highlight w:val="none"/>
        </w:rPr>
      </w:pPr>
      <w:r>
        <w:rPr>
          <w:rFonts w:hint="eastAsia" w:ascii="宋体" w:hAnsi="宋体"/>
          <w:color w:val="auto"/>
          <w:sz w:val="24"/>
          <w:highlight w:val="none"/>
        </w:rPr>
        <w:t>磋商供应商(盖章)：</w:t>
      </w:r>
    </w:p>
    <w:p>
      <w:pPr>
        <w:spacing w:line="360" w:lineRule="atLeast"/>
        <w:ind w:firstLine="1920" w:firstLineChars="800"/>
        <w:jc w:val="center"/>
        <w:rPr>
          <w:rFonts w:ascii="宋体" w:hAnsi="宋体"/>
          <w:color w:val="auto"/>
          <w:sz w:val="24"/>
          <w:highlight w:val="none"/>
        </w:rPr>
      </w:pPr>
      <w:r>
        <w:rPr>
          <w:rFonts w:hint="eastAsia" w:ascii="宋体" w:hAnsi="宋体"/>
          <w:color w:val="auto"/>
          <w:sz w:val="24"/>
          <w:highlight w:val="none"/>
        </w:rPr>
        <w:t xml:space="preserve">        法定代表人或授权代表（签字或盖章）：</w:t>
      </w:r>
    </w:p>
    <w:p>
      <w:pPr>
        <w:wordWrap w:val="0"/>
        <w:spacing w:line="360" w:lineRule="atLeast"/>
        <w:jc w:val="center"/>
        <w:rPr>
          <w:rFonts w:ascii="宋体" w:hAnsi="宋体"/>
          <w:color w:val="auto"/>
          <w:sz w:val="24"/>
          <w:highlight w:val="none"/>
        </w:rPr>
      </w:pPr>
      <w:r>
        <w:rPr>
          <w:rFonts w:hint="eastAsia" w:ascii="宋体" w:hAnsi="宋体"/>
          <w:color w:val="auto"/>
          <w:sz w:val="24"/>
          <w:highlight w:val="none"/>
        </w:rPr>
        <w:t xml:space="preserve">             日期：</w:t>
      </w:r>
    </w:p>
    <w:p>
      <w:pPr>
        <w:spacing w:line="360" w:lineRule="atLeast"/>
        <w:rPr>
          <w:rFonts w:ascii="宋体" w:hAnsi="宋体"/>
          <w:color w:val="auto"/>
          <w:sz w:val="24"/>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spacing w:line="360" w:lineRule="atLeast"/>
        <w:rPr>
          <w:rFonts w:ascii="宋体" w:hAnsi="宋体" w:eastAsia="Calibri"/>
          <w:b/>
          <w:color w:val="auto"/>
          <w:highlight w:val="none"/>
        </w:rPr>
      </w:pPr>
      <w:r>
        <w:rPr>
          <w:rFonts w:hint="eastAsia" w:ascii="宋体" w:hAnsi="宋体"/>
          <w:b/>
          <w:color w:val="auto"/>
          <w:highlight w:val="none"/>
        </w:rPr>
        <w:t>附件4</w:t>
      </w:r>
    </w:p>
    <w:p>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26"/>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经营许可情况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s="宋体"/>
                <w:color w:val="auto"/>
                <w:sz w:val="24"/>
                <w:highlight w:val="none"/>
              </w:rPr>
              <w:t>资质等级（如有）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vAlign w:val="center"/>
          </w:tcPr>
          <w:p>
            <w:pPr>
              <w:widowControl/>
              <w:adjustRightInd w:val="0"/>
              <w:snapToGrid w:val="0"/>
              <w:spacing w:before="100" w:beforeAutospacing="1" w:after="100" w:afterAutospacing="1"/>
              <w:rPr>
                <w:rFonts w:ascii="宋体" w:hAnsi="宋体" w:cs="宋体"/>
                <w:color w:val="auto"/>
                <w:sz w:val="24"/>
                <w:highlight w:val="none"/>
              </w:rPr>
            </w:pPr>
            <w:r>
              <w:rPr>
                <w:rFonts w:hint="eastAsia" w:ascii="宋体" w:hAnsi="宋体"/>
                <w:color w:val="auto"/>
                <w:sz w:val="22"/>
                <w:highlight w:val="none"/>
              </w:rPr>
              <w:t>供应商基本情况说明</w:t>
            </w:r>
          </w:p>
          <w:p>
            <w:pPr>
              <w:adjustRightInd w:val="0"/>
              <w:snapToGrid w:val="0"/>
              <w:spacing w:before="100" w:beforeAutospacing="1" w:after="100" w:afterAutospacing="1"/>
              <w:jc w:val="center"/>
              <w:rPr>
                <w:rFonts w:ascii="宋体" w:hAnsi="宋体" w:cs="宋体"/>
                <w:color w:val="auto"/>
                <w:sz w:val="24"/>
                <w:highlight w:val="none"/>
              </w:rPr>
            </w:pPr>
          </w:p>
        </w:tc>
        <w:tc>
          <w:tcPr>
            <w:tcW w:w="7156" w:type="dxa"/>
            <w:gridSpan w:val="6"/>
            <w:tcBorders>
              <w:top w:val="single" w:color="auto" w:sz="4" w:space="0"/>
              <w:left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pPr>
              <w:widowControl/>
              <w:adjustRightInd w:val="0"/>
              <w:snapToGrid w:val="0"/>
              <w:spacing w:before="100" w:beforeAutospacing="1" w:after="100" w:afterAutospacing="1"/>
              <w:jc w:val="center"/>
              <w:rPr>
                <w:rFonts w:ascii="宋体" w:hAnsi="宋体" w:cs="宋体"/>
                <w:color w:val="auto"/>
                <w:sz w:val="24"/>
                <w:highlight w:val="none"/>
              </w:rPr>
            </w:pPr>
          </w:p>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pPr>
              <w:widowControl/>
              <w:adjustRightInd w:val="0"/>
              <w:snapToGrid w:val="0"/>
              <w:spacing w:before="100" w:beforeAutospacing="1" w:after="100" w:afterAutospacing="1"/>
              <w:jc w:val="center"/>
              <w:rPr>
                <w:rFonts w:ascii="宋体" w:hAnsi="宋体"/>
                <w:color w:val="auto"/>
                <w:sz w:val="22"/>
                <w:highlight w:val="none"/>
              </w:rPr>
            </w:pPr>
            <w:r>
              <w:rPr>
                <w:rFonts w:hint="eastAsia" w:ascii="宋体" w:hAnsi="宋体"/>
                <w:color w:val="auto"/>
                <w:sz w:val="22"/>
                <w:highlight w:val="none"/>
              </w:rPr>
              <w:t xml:space="preserve">可另附页说明  </w:t>
            </w:r>
          </w:p>
          <w:p>
            <w:pPr>
              <w:widowControl/>
              <w:adjustRightInd w:val="0"/>
              <w:snapToGrid w:val="0"/>
              <w:spacing w:before="100" w:beforeAutospacing="1" w:after="100" w:afterAutospacing="1"/>
              <w:jc w:val="center"/>
              <w:rPr>
                <w:rFonts w:ascii="宋体" w:hAnsi="宋体"/>
                <w:color w:val="auto"/>
                <w:sz w:val="22"/>
                <w:highlight w:val="none"/>
              </w:rPr>
            </w:pPr>
          </w:p>
          <w:p>
            <w:pPr>
              <w:widowControl/>
              <w:adjustRightInd w:val="0"/>
              <w:snapToGrid w:val="0"/>
              <w:spacing w:before="100" w:beforeAutospacing="1" w:after="100" w:afterAutospacing="1"/>
              <w:jc w:val="center"/>
              <w:rPr>
                <w:rFonts w:ascii="宋体" w:hAnsi="宋体"/>
                <w:color w:val="auto"/>
                <w:sz w:val="22"/>
                <w:highlight w:val="none"/>
              </w:rPr>
            </w:pPr>
          </w:p>
          <w:p>
            <w:pPr>
              <w:widowControl/>
              <w:adjustRightInd w:val="0"/>
              <w:snapToGrid w:val="0"/>
              <w:spacing w:before="100" w:beforeAutospacing="1" w:after="100" w:afterAutospacing="1"/>
              <w:jc w:val="center"/>
              <w:rPr>
                <w:rFonts w:ascii="宋体" w:hAnsi="宋体"/>
                <w:color w:val="auto"/>
                <w:sz w:val="22"/>
                <w:highlight w:val="none"/>
              </w:rPr>
            </w:pPr>
          </w:p>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pPr>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bl>
    <w:p>
      <w:pPr>
        <w:rPr>
          <w:rFonts w:eastAsia="Calibri"/>
          <w:b/>
          <w:bCs/>
          <w:color w:val="auto"/>
          <w:highlight w:val="none"/>
        </w:rPr>
      </w:pPr>
      <w:r>
        <w:rPr>
          <w:rFonts w:hint="eastAsia" w:hAnsi="宋体" w:cs="宋体"/>
          <w:color w:val="auto"/>
          <w:szCs w:val="21"/>
          <w:highlight w:val="none"/>
        </w:rPr>
        <w:br w:type="page"/>
      </w:r>
      <w:r>
        <w:rPr>
          <w:rFonts w:hint="eastAsia"/>
          <w:b/>
          <w:bCs/>
          <w:color w:val="auto"/>
          <w:highlight w:val="none"/>
        </w:rPr>
        <w:t>附件5</w:t>
      </w:r>
    </w:p>
    <w:p>
      <w:pPr>
        <w:autoSpaceDE w:val="0"/>
        <w:autoSpaceDN w:val="0"/>
        <w:adjustRightInd w:val="0"/>
        <w:snapToGrid w:val="0"/>
        <w:spacing w:line="360" w:lineRule="auto"/>
        <w:outlineLvl w:val="1"/>
        <w:rPr>
          <w:b/>
          <w:bCs/>
          <w:color w:val="auto"/>
          <w:highlight w:val="none"/>
        </w:rPr>
      </w:pPr>
    </w:p>
    <w:p>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 xml:space="preserve"> 供应商承担过的类似项目业绩一览表</w:t>
      </w:r>
    </w:p>
    <w:p>
      <w:pPr>
        <w:adjustRightInd w:val="0"/>
        <w:snapToGrid w:val="0"/>
        <w:spacing w:line="360" w:lineRule="auto"/>
        <w:jc w:val="center"/>
        <w:rPr>
          <w:rFonts w:ascii="宋体" w:hAnsi="宋体"/>
          <w:b/>
          <w:bCs/>
          <w:color w:val="auto"/>
          <w:sz w:val="28"/>
          <w:szCs w:val="28"/>
          <w:highlight w:val="none"/>
        </w:rPr>
      </w:pPr>
    </w:p>
    <w:tbl>
      <w:tblPr>
        <w:tblStyle w:val="26"/>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331"/>
        <w:gridCol w:w="176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Align w:val="center"/>
          </w:tcPr>
          <w:p>
            <w:pPr>
              <w:jc w:val="center"/>
              <w:rPr>
                <w:rFonts w:ascii="宋体" w:hAnsi="宋体"/>
                <w:b/>
                <w:color w:val="auto"/>
                <w:szCs w:val="21"/>
                <w:highlight w:val="none"/>
              </w:rPr>
            </w:pPr>
            <w:r>
              <w:rPr>
                <w:rFonts w:hint="eastAsia" w:ascii="宋体" w:hAnsi="宋体"/>
                <w:b/>
                <w:color w:val="auto"/>
                <w:szCs w:val="21"/>
                <w:highlight w:val="none"/>
              </w:rPr>
              <w:t>序 号</w:t>
            </w:r>
          </w:p>
        </w:tc>
        <w:tc>
          <w:tcPr>
            <w:tcW w:w="2344" w:type="dxa"/>
            <w:vAlign w:val="center"/>
          </w:tcPr>
          <w:p>
            <w:pPr>
              <w:jc w:val="center"/>
              <w:rPr>
                <w:rFonts w:ascii="宋体" w:hAnsi="宋体"/>
                <w:b/>
                <w:color w:val="auto"/>
                <w:szCs w:val="21"/>
                <w:highlight w:val="none"/>
              </w:rPr>
            </w:pPr>
            <w:r>
              <w:rPr>
                <w:rFonts w:hint="eastAsia" w:ascii="宋体" w:hAnsi="宋体"/>
                <w:b/>
                <w:color w:val="auto"/>
                <w:szCs w:val="21"/>
                <w:highlight w:val="none"/>
              </w:rPr>
              <w:t>项目名称</w:t>
            </w:r>
          </w:p>
        </w:tc>
        <w:tc>
          <w:tcPr>
            <w:tcW w:w="1331" w:type="dxa"/>
            <w:vAlign w:val="center"/>
          </w:tcPr>
          <w:p>
            <w:pPr>
              <w:jc w:val="center"/>
              <w:rPr>
                <w:rFonts w:ascii="宋体" w:hAnsi="宋体"/>
                <w:b/>
                <w:color w:val="auto"/>
                <w:szCs w:val="21"/>
                <w:highlight w:val="none"/>
              </w:rPr>
            </w:pPr>
            <w:r>
              <w:rPr>
                <w:rFonts w:hint="eastAsia" w:ascii="宋体" w:hAnsi="宋体"/>
                <w:b/>
                <w:color w:val="auto"/>
                <w:szCs w:val="21"/>
                <w:highlight w:val="none"/>
              </w:rPr>
              <w:t>合同签订时间</w:t>
            </w:r>
          </w:p>
        </w:tc>
        <w:tc>
          <w:tcPr>
            <w:tcW w:w="1763" w:type="dxa"/>
            <w:vAlign w:val="center"/>
          </w:tcPr>
          <w:p>
            <w:pPr>
              <w:jc w:val="center"/>
              <w:rPr>
                <w:rFonts w:ascii="宋体" w:hAnsi="宋体"/>
                <w:b/>
                <w:color w:val="auto"/>
                <w:szCs w:val="21"/>
                <w:highlight w:val="none"/>
              </w:rPr>
            </w:pPr>
            <w:r>
              <w:rPr>
                <w:rFonts w:hint="eastAsia" w:ascii="宋体" w:hAnsi="宋体"/>
                <w:b/>
                <w:color w:val="auto"/>
                <w:szCs w:val="21"/>
                <w:highlight w:val="none"/>
              </w:rPr>
              <w:t>项目负责人</w:t>
            </w:r>
          </w:p>
        </w:tc>
        <w:tc>
          <w:tcPr>
            <w:tcW w:w="2597" w:type="dxa"/>
            <w:vAlign w:val="center"/>
          </w:tcPr>
          <w:p>
            <w:pPr>
              <w:jc w:val="center"/>
              <w:rPr>
                <w:rFonts w:ascii="宋体" w:hAnsi="宋体"/>
                <w:b/>
                <w:color w:val="auto"/>
                <w:szCs w:val="21"/>
                <w:highlight w:val="none"/>
              </w:rPr>
            </w:pPr>
            <w:r>
              <w:rPr>
                <w:rFonts w:hint="eastAsia" w:ascii="宋体" w:hAnsi="宋体"/>
                <w:b/>
                <w:color w:val="auto"/>
                <w:szCs w:val="21"/>
                <w:highlight w:val="none"/>
              </w:rPr>
              <w:t>业主单位全称/联系人/联系电话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rPr>
                <w:rFonts w:ascii="宋体" w:hAnsi="宋体"/>
                <w:color w:val="auto"/>
                <w:szCs w:val="21"/>
                <w:highlight w:val="none"/>
              </w:rPr>
            </w:pPr>
          </w:p>
        </w:tc>
        <w:tc>
          <w:tcPr>
            <w:tcW w:w="2344" w:type="dxa"/>
            <w:vAlign w:val="center"/>
          </w:tcPr>
          <w:p>
            <w:pPr>
              <w:rPr>
                <w:rFonts w:ascii="宋体" w:hAnsi="宋体"/>
                <w:color w:val="auto"/>
                <w:szCs w:val="21"/>
                <w:highlight w:val="none"/>
              </w:rPr>
            </w:pPr>
          </w:p>
        </w:tc>
        <w:tc>
          <w:tcPr>
            <w:tcW w:w="1331" w:type="dxa"/>
            <w:vAlign w:val="center"/>
          </w:tcPr>
          <w:p>
            <w:pPr>
              <w:rPr>
                <w:rFonts w:ascii="宋体" w:hAnsi="宋体"/>
                <w:color w:val="auto"/>
                <w:szCs w:val="21"/>
                <w:highlight w:val="none"/>
              </w:rPr>
            </w:pPr>
          </w:p>
        </w:tc>
        <w:tc>
          <w:tcPr>
            <w:tcW w:w="1763" w:type="dxa"/>
            <w:vAlign w:val="center"/>
          </w:tcPr>
          <w:p>
            <w:pPr>
              <w:rPr>
                <w:rFonts w:ascii="宋体" w:hAnsi="宋体"/>
                <w:color w:val="auto"/>
                <w:szCs w:val="21"/>
                <w:highlight w:val="none"/>
              </w:rPr>
            </w:pPr>
          </w:p>
        </w:tc>
        <w:tc>
          <w:tcPr>
            <w:tcW w:w="2597" w:type="dxa"/>
            <w:vAlign w:val="center"/>
          </w:tcPr>
          <w:p>
            <w:pPr>
              <w:rPr>
                <w:rFonts w:ascii="宋体" w:hAnsi="宋体"/>
                <w:color w:val="auto"/>
                <w:szCs w:val="21"/>
                <w:highlight w:val="none"/>
              </w:rPr>
            </w:pPr>
          </w:p>
        </w:tc>
      </w:tr>
    </w:tbl>
    <w:p>
      <w:pPr>
        <w:rPr>
          <w:color w:val="auto"/>
          <w:highlight w:val="none"/>
        </w:rPr>
      </w:pPr>
      <w:r>
        <w:rPr>
          <w:rFonts w:hint="eastAsia"/>
          <w:color w:val="auto"/>
          <w:highlight w:val="none"/>
        </w:rPr>
        <w:t>注：表中所列业绩如与资信评分有关的，出具的证明材料需满足评审依据，否则不予得分。</w:t>
      </w:r>
    </w:p>
    <w:p>
      <w:pPr>
        <w:adjustRightInd w:val="0"/>
        <w:snapToGrid w:val="0"/>
        <w:spacing w:line="360" w:lineRule="auto"/>
        <w:ind w:firstLine="4158" w:firstLineChars="1980"/>
        <w:rPr>
          <w:rFonts w:ascii="宋体" w:hAnsi="宋体"/>
          <w:color w:val="auto"/>
          <w:szCs w:val="21"/>
          <w:highlight w:val="none"/>
        </w:rPr>
      </w:pPr>
    </w:p>
    <w:p>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pPr>
        <w:spacing w:line="360" w:lineRule="atLeast"/>
        <w:rPr>
          <w:rFonts w:hint="eastAsia" w:ascii="Times New Roman" w:hAnsi="Times New Roman"/>
          <w:b/>
          <w:color w:val="auto"/>
          <w:highlight w:val="none"/>
        </w:rPr>
      </w:pPr>
      <w:r>
        <w:rPr>
          <w:rFonts w:hint="eastAsia" w:hAnsi="宋体" w:cs="宋体"/>
          <w:color w:val="auto"/>
          <w:szCs w:val="21"/>
          <w:highlight w:val="none"/>
        </w:rPr>
        <w:br w:type="page"/>
      </w:r>
      <w:r>
        <w:rPr>
          <w:rFonts w:hint="eastAsia" w:ascii="Times New Roman" w:hAnsi="Times New Roman"/>
          <w:b/>
          <w:color w:val="auto"/>
          <w:highlight w:val="none"/>
        </w:rPr>
        <w:t>附件6：项目拟投入设备一览表</w:t>
      </w:r>
    </w:p>
    <w:p>
      <w:pPr>
        <w:pStyle w:val="7"/>
        <w:overflowPunct w:val="0"/>
        <w:spacing w:line="400" w:lineRule="exact"/>
        <w:ind w:firstLine="0"/>
        <w:jc w:val="center"/>
        <w:rPr>
          <w:rFonts w:hint="eastAsia" w:ascii="Times New Roman" w:hAnsi="Times New Roman"/>
          <w:b/>
          <w:color w:val="auto"/>
          <w:sz w:val="24"/>
          <w:highlight w:val="none"/>
        </w:rPr>
      </w:pPr>
      <w:r>
        <w:rPr>
          <w:rFonts w:hint="eastAsia" w:ascii="Times New Roman" w:hAnsi="Times New Roman"/>
          <w:b/>
          <w:color w:val="auto"/>
          <w:sz w:val="24"/>
          <w:highlight w:val="none"/>
        </w:rPr>
        <w:t>项目拟投入设备一览表</w:t>
      </w:r>
    </w:p>
    <w:p>
      <w:pPr>
        <w:pStyle w:val="7"/>
        <w:overflowPunct w:val="0"/>
        <w:spacing w:line="400" w:lineRule="exact"/>
        <w:ind w:firstLine="0"/>
        <w:rPr>
          <w:rFonts w:hint="eastAsia" w:ascii="Times New Roman" w:hAnsi="Times New Roman"/>
          <w:b/>
          <w:color w:val="auto"/>
          <w:szCs w:val="21"/>
          <w:highlight w:val="none"/>
        </w:rPr>
      </w:pP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2022"/>
        <w:gridCol w:w="1348"/>
        <w:gridCol w:w="1348"/>
        <w:gridCol w:w="756"/>
        <w:gridCol w:w="756"/>
        <w:gridCol w:w="2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pPr>
              <w:pStyle w:val="13"/>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2022" w:type="dxa"/>
            <w:noWrap w:val="0"/>
            <w:vAlign w:val="center"/>
          </w:tcPr>
          <w:p>
            <w:pPr>
              <w:pStyle w:val="13"/>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名称</w:t>
            </w:r>
          </w:p>
        </w:tc>
        <w:tc>
          <w:tcPr>
            <w:tcW w:w="1348" w:type="dxa"/>
            <w:noWrap w:val="0"/>
            <w:vAlign w:val="center"/>
          </w:tcPr>
          <w:p>
            <w:pPr>
              <w:pStyle w:val="13"/>
              <w:spacing w:before="120" w:after="120"/>
              <w:jc w:val="center"/>
              <w:rPr>
                <w:rFonts w:hint="eastAsia" w:ascii="Times New Roman" w:hAnsi="Times New Roman"/>
                <w:color w:val="auto"/>
                <w:szCs w:val="21"/>
                <w:highlight w:val="none"/>
              </w:rPr>
            </w:pPr>
            <w:r>
              <w:rPr>
                <w:rFonts w:hint="eastAsia" w:ascii="Times New Roman" w:hAnsi="Times New Roman"/>
                <w:color w:val="auto"/>
                <w:szCs w:val="21"/>
                <w:highlight w:val="none"/>
              </w:rPr>
              <w:t>品牌</w:t>
            </w:r>
          </w:p>
        </w:tc>
        <w:tc>
          <w:tcPr>
            <w:tcW w:w="1348" w:type="dxa"/>
            <w:tcBorders>
              <w:bottom w:val="single" w:color="auto" w:sz="4" w:space="0"/>
            </w:tcBorders>
            <w:noWrap w:val="0"/>
            <w:vAlign w:val="center"/>
          </w:tcPr>
          <w:p>
            <w:pPr>
              <w:pStyle w:val="13"/>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型号、规格</w:t>
            </w:r>
          </w:p>
        </w:tc>
        <w:tc>
          <w:tcPr>
            <w:tcW w:w="756" w:type="dxa"/>
            <w:tcBorders>
              <w:right w:val="single" w:color="auto" w:sz="4" w:space="0"/>
            </w:tcBorders>
            <w:noWrap w:val="0"/>
            <w:vAlign w:val="center"/>
          </w:tcPr>
          <w:p>
            <w:pPr>
              <w:pStyle w:val="13"/>
              <w:spacing w:before="120" w:after="120"/>
              <w:jc w:val="center"/>
              <w:rPr>
                <w:rFonts w:hint="eastAsia" w:ascii="Times New Roman" w:hAnsi="Times New Roman"/>
                <w:color w:val="auto"/>
                <w:szCs w:val="21"/>
                <w:highlight w:val="none"/>
              </w:rPr>
            </w:pPr>
            <w:r>
              <w:rPr>
                <w:rFonts w:hint="eastAsia" w:ascii="Times New Roman" w:hAnsi="Times New Roman"/>
                <w:color w:val="auto"/>
                <w:szCs w:val="21"/>
                <w:highlight w:val="none"/>
              </w:rPr>
              <w:t>单位</w:t>
            </w:r>
          </w:p>
        </w:tc>
        <w:tc>
          <w:tcPr>
            <w:tcW w:w="756" w:type="dxa"/>
            <w:tcBorders>
              <w:left w:val="single" w:color="auto" w:sz="4" w:space="0"/>
            </w:tcBorders>
            <w:noWrap w:val="0"/>
            <w:vAlign w:val="center"/>
          </w:tcPr>
          <w:p>
            <w:pPr>
              <w:pStyle w:val="13"/>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数量</w:t>
            </w:r>
          </w:p>
        </w:tc>
        <w:tc>
          <w:tcPr>
            <w:tcW w:w="2673" w:type="dxa"/>
            <w:noWrap w:val="0"/>
            <w:vAlign w:val="center"/>
          </w:tcPr>
          <w:p>
            <w:pPr>
              <w:pStyle w:val="13"/>
              <w:spacing w:before="120" w:after="120"/>
              <w:jc w:val="center"/>
              <w:rPr>
                <w:rFonts w:hint="eastAsia" w:ascii="Times New Roman" w:hAnsi="Times New Roman"/>
                <w:color w:val="auto"/>
                <w:szCs w:val="21"/>
                <w:highlight w:val="none"/>
              </w:rPr>
            </w:pPr>
            <w:r>
              <w:rPr>
                <w:rFonts w:hint="eastAsia" w:ascii="Times New Roman" w:hAnsi="Times New Roman"/>
                <w:color w:val="auto"/>
                <w:szCs w:val="21"/>
                <w:highlight w:val="none"/>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pPr>
              <w:pStyle w:val="13"/>
              <w:spacing w:before="120" w:after="120"/>
              <w:jc w:val="center"/>
              <w:rPr>
                <w:rFonts w:ascii="Times New Roman" w:hAnsi="Times New Roman"/>
                <w:color w:val="auto"/>
                <w:szCs w:val="21"/>
                <w:highlight w:val="none"/>
              </w:rPr>
            </w:pPr>
          </w:p>
        </w:tc>
        <w:tc>
          <w:tcPr>
            <w:tcW w:w="2022" w:type="dxa"/>
            <w:noWrap w:val="0"/>
            <w:vAlign w:val="center"/>
          </w:tcPr>
          <w:p>
            <w:pPr>
              <w:pStyle w:val="13"/>
              <w:spacing w:before="120" w:after="120"/>
              <w:jc w:val="center"/>
              <w:rPr>
                <w:rFonts w:ascii="Times New Roman" w:hAnsi="Times New Roman"/>
                <w:color w:val="auto"/>
                <w:szCs w:val="21"/>
                <w:highlight w:val="none"/>
              </w:rPr>
            </w:pPr>
          </w:p>
        </w:tc>
        <w:tc>
          <w:tcPr>
            <w:tcW w:w="1348" w:type="dxa"/>
            <w:noWrap w:val="0"/>
            <w:vAlign w:val="top"/>
          </w:tcPr>
          <w:p>
            <w:pPr>
              <w:pStyle w:val="13"/>
              <w:spacing w:before="120" w:after="120"/>
              <w:jc w:val="center"/>
              <w:rPr>
                <w:rFonts w:ascii="Times New Roman" w:hAnsi="Times New Roman"/>
                <w:color w:val="auto"/>
                <w:szCs w:val="21"/>
                <w:highlight w:val="none"/>
              </w:rPr>
            </w:pPr>
          </w:p>
        </w:tc>
        <w:tc>
          <w:tcPr>
            <w:tcW w:w="1348" w:type="dxa"/>
            <w:tcBorders>
              <w:top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756" w:type="dxa"/>
            <w:tcBorders>
              <w:right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756" w:type="dxa"/>
            <w:tcBorders>
              <w:left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2673" w:type="dxa"/>
            <w:noWrap w:val="0"/>
            <w:vAlign w:val="center"/>
          </w:tcPr>
          <w:p>
            <w:pPr>
              <w:pStyle w:val="13"/>
              <w:spacing w:before="120" w:after="12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pPr>
              <w:pStyle w:val="13"/>
              <w:spacing w:before="120" w:after="120"/>
              <w:jc w:val="center"/>
              <w:rPr>
                <w:rFonts w:ascii="Times New Roman" w:hAnsi="Times New Roman"/>
                <w:color w:val="auto"/>
                <w:szCs w:val="21"/>
                <w:highlight w:val="none"/>
              </w:rPr>
            </w:pPr>
          </w:p>
        </w:tc>
        <w:tc>
          <w:tcPr>
            <w:tcW w:w="2022" w:type="dxa"/>
            <w:noWrap w:val="0"/>
            <w:vAlign w:val="center"/>
          </w:tcPr>
          <w:p>
            <w:pPr>
              <w:pStyle w:val="13"/>
              <w:spacing w:before="120" w:after="120"/>
              <w:jc w:val="center"/>
              <w:rPr>
                <w:rFonts w:ascii="Times New Roman" w:hAnsi="Times New Roman"/>
                <w:color w:val="auto"/>
                <w:szCs w:val="21"/>
                <w:highlight w:val="none"/>
              </w:rPr>
            </w:pPr>
          </w:p>
        </w:tc>
        <w:tc>
          <w:tcPr>
            <w:tcW w:w="1348" w:type="dxa"/>
            <w:noWrap w:val="0"/>
            <w:vAlign w:val="top"/>
          </w:tcPr>
          <w:p>
            <w:pPr>
              <w:pStyle w:val="13"/>
              <w:spacing w:before="120" w:after="120"/>
              <w:jc w:val="center"/>
              <w:rPr>
                <w:rFonts w:ascii="Times New Roman" w:hAnsi="Times New Roman"/>
                <w:color w:val="auto"/>
                <w:szCs w:val="21"/>
                <w:highlight w:val="none"/>
              </w:rPr>
            </w:pPr>
          </w:p>
        </w:tc>
        <w:tc>
          <w:tcPr>
            <w:tcW w:w="1348" w:type="dxa"/>
            <w:noWrap w:val="0"/>
            <w:vAlign w:val="center"/>
          </w:tcPr>
          <w:p>
            <w:pPr>
              <w:pStyle w:val="13"/>
              <w:spacing w:before="120" w:after="120"/>
              <w:jc w:val="center"/>
              <w:rPr>
                <w:rFonts w:ascii="Times New Roman" w:hAnsi="Times New Roman"/>
                <w:color w:val="auto"/>
                <w:szCs w:val="21"/>
                <w:highlight w:val="none"/>
              </w:rPr>
            </w:pPr>
          </w:p>
        </w:tc>
        <w:tc>
          <w:tcPr>
            <w:tcW w:w="756" w:type="dxa"/>
            <w:tcBorders>
              <w:right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756" w:type="dxa"/>
            <w:tcBorders>
              <w:left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2673" w:type="dxa"/>
            <w:noWrap w:val="0"/>
            <w:vAlign w:val="center"/>
          </w:tcPr>
          <w:p>
            <w:pPr>
              <w:pStyle w:val="13"/>
              <w:spacing w:before="120" w:after="120"/>
              <w:jc w:val="center"/>
              <w:rPr>
                <w:rFonts w:ascii="Times New Roman" w:hAnsi="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pPr>
              <w:pStyle w:val="13"/>
              <w:spacing w:before="120" w:after="120"/>
              <w:jc w:val="center"/>
              <w:rPr>
                <w:rFonts w:ascii="Times New Roman" w:hAnsi="Times New Roman"/>
                <w:color w:val="auto"/>
                <w:szCs w:val="21"/>
                <w:highlight w:val="none"/>
              </w:rPr>
            </w:pPr>
          </w:p>
        </w:tc>
        <w:tc>
          <w:tcPr>
            <w:tcW w:w="2022" w:type="dxa"/>
            <w:noWrap w:val="0"/>
            <w:vAlign w:val="center"/>
          </w:tcPr>
          <w:p>
            <w:pPr>
              <w:pStyle w:val="13"/>
              <w:spacing w:before="120" w:after="120"/>
              <w:jc w:val="center"/>
              <w:rPr>
                <w:rFonts w:ascii="Times New Roman" w:hAnsi="Times New Roman"/>
                <w:color w:val="auto"/>
                <w:szCs w:val="21"/>
                <w:highlight w:val="none"/>
              </w:rPr>
            </w:pPr>
          </w:p>
        </w:tc>
        <w:tc>
          <w:tcPr>
            <w:tcW w:w="1348" w:type="dxa"/>
            <w:noWrap w:val="0"/>
            <w:vAlign w:val="top"/>
          </w:tcPr>
          <w:p>
            <w:pPr>
              <w:pStyle w:val="13"/>
              <w:spacing w:before="120" w:after="120"/>
              <w:jc w:val="center"/>
              <w:rPr>
                <w:rFonts w:ascii="Times New Roman" w:hAnsi="Times New Roman"/>
                <w:color w:val="auto"/>
                <w:szCs w:val="21"/>
                <w:highlight w:val="none"/>
              </w:rPr>
            </w:pPr>
          </w:p>
        </w:tc>
        <w:tc>
          <w:tcPr>
            <w:tcW w:w="1348" w:type="dxa"/>
            <w:noWrap w:val="0"/>
            <w:vAlign w:val="center"/>
          </w:tcPr>
          <w:p>
            <w:pPr>
              <w:pStyle w:val="13"/>
              <w:spacing w:before="120" w:after="120"/>
              <w:jc w:val="center"/>
              <w:rPr>
                <w:rFonts w:ascii="Times New Roman" w:hAnsi="Times New Roman"/>
                <w:color w:val="auto"/>
                <w:szCs w:val="21"/>
                <w:highlight w:val="none"/>
              </w:rPr>
            </w:pPr>
          </w:p>
        </w:tc>
        <w:tc>
          <w:tcPr>
            <w:tcW w:w="756" w:type="dxa"/>
            <w:tcBorders>
              <w:right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756" w:type="dxa"/>
            <w:tcBorders>
              <w:left w:val="single" w:color="auto" w:sz="4" w:space="0"/>
            </w:tcBorders>
            <w:noWrap w:val="0"/>
            <w:vAlign w:val="center"/>
          </w:tcPr>
          <w:p>
            <w:pPr>
              <w:pStyle w:val="13"/>
              <w:spacing w:before="120" w:after="120"/>
              <w:jc w:val="center"/>
              <w:rPr>
                <w:rFonts w:ascii="Times New Roman" w:hAnsi="Times New Roman"/>
                <w:color w:val="auto"/>
                <w:szCs w:val="21"/>
                <w:highlight w:val="none"/>
              </w:rPr>
            </w:pPr>
          </w:p>
        </w:tc>
        <w:tc>
          <w:tcPr>
            <w:tcW w:w="2673" w:type="dxa"/>
            <w:noWrap w:val="0"/>
            <w:vAlign w:val="center"/>
          </w:tcPr>
          <w:p>
            <w:pPr>
              <w:pStyle w:val="13"/>
              <w:spacing w:before="120" w:after="120"/>
              <w:jc w:val="center"/>
              <w:rPr>
                <w:rFonts w:ascii="Times New Roman" w:hAnsi="Times New Roman"/>
                <w:color w:val="auto"/>
                <w:szCs w:val="21"/>
                <w:highlight w:val="none"/>
              </w:rPr>
            </w:pPr>
          </w:p>
        </w:tc>
      </w:tr>
    </w:tbl>
    <w:p>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pPr>
        <w:spacing w:line="360" w:lineRule="atLeast"/>
        <w:rPr>
          <w:rFonts w:ascii="宋体" w:hAnsi="宋体"/>
          <w:b/>
          <w:color w:val="auto"/>
          <w:highlight w:val="none"/>
        </w:rPr>
      </w:pPr>
      <w:r>
        <w:rPr>
          <w:rFonts w:hint="eastAsia" w:ascii="宋体" w:hAnsi="宋体"/>
          <w:b/>
          <w:color w:val="auto"/>
          <w:highlight w:val="none"/>
        </w:rPr>
        <w:t>附件</w:t>
      </w:r>
      <w:r>
        <w:rPr>
          <w:rFonts w:hint="eastAsia" w:ascii="宋体" w:hAnsi="宋体"/>
          <w:b/>
          <w:color w:val="auto"/>
          <w:highlight w:val="none"/>
          <w:lang w:val="en-US" w:eastAsia="zh-CN"/>
        </w:rPr>
        <w:t>7</w:t>
      </w:r>
      <w:r>
        <w:rPr>
          <w:rFonts w:hint="eastAsia" w:ascii="宋体" w:hAnsi="宋体"/>
          <w:b/>
          <w:color w:val="auto"/>
          <w:highlight w:val="none"/>
        </w:rPr>
        <w:t>：</w:t>
      </w:r>
    </w:p>
    <w:p>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（1）项目班子配备情况表</w:t>
      </w:r>
    </w:p>
    <w:tbl>
      <w:tblPr>
        <w:tblStyle w:val="26"/>
        <w:tblW w:w="8931" w:type="dxa"/>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hAnsi="宋体"/>
                <w:color w:val="auto"/>
                <w:szCs w:val="21"/>
                <w:highlight w:val="none"/>
                <w:lang w:val="zh-CN"/>
              </w:rPr>
            </w:pPr>
            <w:r>
              <w:rPr>
                <w:rFonts w:hint="eastAsia" w:ascii="宋体" w:hAnsi="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lang w:val="zh-CN"/>
              </w:rPr>
              <w:t>职称</w:t>
            </w:r>
          </w:p>
        </w:tc>
        <w:tc>
          <w:tcPr>
            <w:tcW w:w="1134" w:type="dxa"/>
            <w:tcBorders>
              <w:top w:val="single" w:color="auto" w:sz="12" w:space="0"/>
              <w:left w:val="single" w:color="auto" w:sz="6" w:space="0"/>
              <w:bottom w:val="single" w:color="auto" w:sz="12" w:space="0"/>
              <w:right w:val="single" w:color="auto" w:sz="12" w:space="0"/>
            </w:tcBorders>
            <w:vAlign w:val="center"/>
          </w:tcPr>
          <w:p>
            <w:pPr>
              <w:autoSpaceDE w:val="0"/>
              <w:autoSpaceDN w:val="0"/>
              <w:adjustRightInd w:val="0"/>
              <w:jc w:val="center"/>
              <w:rPr>
                <w:rFonts w:ascii="宋体" w:hAnsi="宋体"/>
                <w:color w:val="auto"/>
                <w:szCs w:val="21"/>
                <w:highlight w:val="none"/>
                <w:lang w:val="zh-CN"/>
              </w:rPr>
            </w:pPr>
            <w:r>
              <w:rPr>
                <w:rFonts w:hint="eastAsia" w:ascii="宋体" w:hAnsi="宋体"/>
                <w:color w:val="auto"/>
                <w:szCs w:val="21"/>
                <w:highlight w:val="none"/>
                <w:lang w:val="zh-CN"/>
              </w:rPr>
              <w:t>备注</w:t>
            </w:r>
          </w:p>
        </w:tc>
      </w:tr>
      <w:tr>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5250"/>
              <w:rPr>
                <w:rFonts w:ascii="宋体" w:hAnsi="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525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color w:val="auto"/>
                <w:szCs w:val="21"/>
                <w:highlight w:val="none"/>
              </w:rPr>
            </w:pPr>
          </w:p>
        </w:tc>
      </w:tr>
      <w:tr>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tcPr>
          <w:p>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color w:val="auto"/>
                <w:szCs w:val="21"/>
                <w:highlight w:val="none"/>
              </w:rPr>
            </w:pPr>
          </w:p>
        </w:tc>
      </w:tr>
    </w:tbl>
    <w:p>
      <w:pPr>
        <w:snapToGrid w:val="0"/>
        <w:spacing w:line="360" w:lineRule="auto"/>
        <w:rPr>
          <w:rFonts w:ascii="宋体" w:hAnsi="宋体"/>
          <w:b/>
          <w:color w:val="auto"/>
          <w:szCs w:val="21"/>
          <w:highlight w:val="none"/>
        </w:rPr>
      </w:pPr>
      <w:r>
        <w:rPr>
          <w:rFonts w:hint="eastAsia" w:ascii="宋体" w:hAnsi="宋体"/>
          <w:b/>
          <w:color w:val="auto"/>
          <w:szCs w:val="21"/>
          <w:highlight w:val="none"/>
        </w:rPr>
        <w:t>注：涉及评分项的其它证明材料附后。</w:t>
      </w:r>
    </w:p>
    <w:p>
      <w:pPr>
        <w:snapToGrid w:val="0"/>
        <w:spacing w:line="360" w:lineRule="auto"/>
        <w:rPr>
          <w:rFonts w:ascii="宋体" w:hAnsi="宋体"/>
          <w:b/>
          <w:color w:val="auto"/>
          <w:sz w:val="24"/>
          <w:highlight w:val="none"/>
        </w:rPr>
      </w:pPr>
    </w:p>
    <w:p>
      <w:pPr>
        <w:spacing w:line="360" w:lineRule="auto"/>
        <w:ind w:firstLine="4830" w:firstLineChars="2300"/>
        <w:jc w:val="left"/>
        <w:rPr>
          <w:rFonts w:ascii="宋体" w:hAnsi="宋体"/>
          <w:color w:val="auto"/>
          <w:szCs w:val="21"/>
          <w:highlight w:val="none"/>
        </w:rPr>
      </w:pPr>
      <w:r>
        <w:rPr>
          <w:rFonts w:hint="eastAsia" w:ascii="宋体" w:hAnsi="宋体"/>
          <w:color w:val="auto"/>
          <w:szCs w:val="21"/>
          <w:highlight w:val="none"/>
        </w:rPr>
        <w:t>磋商供应商(盖章)：</w:t>
      </w:r>
    </w:p>
    <w:p>
      <w:pPr>
        <w:spacing w:line="360" w:lineRule="auto"/>
        <w:ind w:firstLine="4410" w:firstLineChars="2100"/>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firstLine="5040" w:firstLineChars="2400"/>
        <w:jc w:val="left"/>
        <w:rPr>
          <w:rFonts w:ascii="宋体" w:hAnsi="宋体"/>
          <w:color w:val="auto"/>
          <w:szCs w:val="21"/>
          <w:highlight w:val="none"/>
        </w:rPr>
      </w:pPr>
      <w:r>
        <w:rPr>
          <w:rFonts w:hint="eastAsia" w:ascii="宋体" w:hAnsi="宋体"/>
          <w:color w:val="auto"/>
          <w:szCs w:val="21"/>
          <w:highlight w:val="none"/>
        </w:rPr>
        <w:t>日期：</w:t>
      </w:r>
    </w:p>
    <w:p>
      <w:pPr>
        <w:pStyle w:val="13"/>
        <w:snapToGrid w:val="0"/>
        <w:spacing w:line="360" w:lineRule="auto"/>
        <w:jc w:val="center"/>
        <w:rPr>
          <w:rFonts w:hAnsi="宋体"/>
          <w:b/>
          <w:snapToGrid w:val="0"/>
          <w:color w:val="auto"/>
          <w:sz w:val="28"/>
          <w:szCs w:val="28"/>
          <w:highlight w:val="none"/>
        </w:rPr>
      </w:pPr>
      <w:r>
        <w:rPr>
          <w:snapToGrid w:val="0"/>
          <w:color w:val="auto"/>
          <w:szCs w:val="21"/>
          <w:highlight w:val="none"/>
        </w:rPr>
        <w:br w:type="page"/>
      </w:r>
      <w:r>
        <w:rPr>
          <w:rFonts w:hint="eastAsia" w:hAnsi="宋体"/>
          <w:b/>
          <w:snapToGrid w:val="0"/>
          <w:color w:val="auto"/>
          <w:sz w:val="28"/>
          <w:szCs w:val="28"/>
          <w:highlight w:val="none"/>
        </w:rPr>
        <w:t>（2）项目负责人简历表</w:t>
      </w:r>
    </w:p>
    <w:tbl>
      <w:tblPr>
        <w:tblStyle w:val="26"/>
        <w:tblW w:w="864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姓   名</w:t>
            </w:r>
          </w:p>
        </w:tc>
        <w:tc>
          <w:tcPr>
            <w:tcW w:w="1389" w:type="dxa"/>
            <w:vAlign w:val="center"/>
          </w:tcPr>
          <w:p>
            <w:pPr>
              <w:snapToGrid w:val="0"/>
              <w:spacing w:line="320" w:lineRule="atLeast"/>
              <w:jc w:val="center"/>
              <w:rPr>
                <w:rFonts w:ascii="宋体" w:hAnsi="宋体"/>
                <w:color w:val="auto"/>
                <w:highlight w:val="none"/>
              </w:rPr>
            </w:pPr>
          </w:p>
        </w:tc>
        <w:tc>
          <w:tcPr>
            <w:tcW w:w="1155" w:type="dxa"/>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年   龄</w:t>
            </w:r>
          </w:p>
        </w:tc>
        <w:tc>
          <w:tcPr>
            <w:tcW w:w="1260" w:type="dxa"/>
            <w:gridSpan w:val="2"/>
            <w:vAlign w:val="center"/>
          </w:tcPr>
          <w:p>
            <w:pPr>
              <w:snapToGrid w:val="0"/>
              <w:spacing w:line="320" w:lineRule="atLeast"/>
              <w:jc w:val="center"/>
              <w:rPr>
                <w:rFonts w:ascii="宋体" w:hAnsi="宋体"/>
                <w:color w:val="auto"/>
                <w:highlight w:val="none"/>
              </w:rPr>
            </w:pPr>
          </w:p>
        </w:tc>
        <w:tc>
          <w:tcPr>
            <w:tcW w:w="2092"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专   业</w:t>
            </w:r>
          </w:p>
        </w:tc>
        <w:tc>
          <w:tcPr>
            <w:tcW w:w="1270" w:type="dxa"/>
            <w:vAlign w:val="center"/>
          </w:tcPr>
          <w:p>
            <w:pPr>
              <w:snapToGrid w:val="0"/>
              <w:spacing w:line="320" w:lineRule="atLeast"/>
              <w:jc w:val="center"/>
              <w:rPr>
                <w:rFonts w:ascii="宋体" w:hAnsi="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职   称</w:t>
            </w:r>
          </w:p>
        </w:tc>
        <w:tc>
          <w:tcPr>
            <w:tcW w:w="1389" w:type="dxa"/>
            <w:vAlign w:val="center"/>
          </w:tcPr>
          <w:p>
            <w:pPr>
              <w:snapToGrid w:val="0"/>
              <w:spacing w:line="320" w:lineRule="atLeast"/>
              <w:jc w:val="center"/>
              <w:rPr>
                <w:rFonts w:ascii="宋体" w:hAnsi="宋体"/>
                <w:color w:val="auto"/>
                <w:highlight w:val="none"/>
              </w:rPr>
            </w:pPr>
          </w:p>
        </w:tc>
        <w:tc>
          <w:tcPr>
            <w:tcW w:w="1155" w:type="dxa"/>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职   务</w:t>
            </w:r>
          </w:p>
        </w:tc>
        <w:tc>
          <w:tcPr>
            <w:tcW w:w="1260" w:type="dxa"/>
            <w:gridSpan w:val="2"/>
            <w:vAlign w:val="center"/>
          </w:tcPr>
          <w:p>
            <w:pPr>
              <w:snapToGrid w:val="0"/>
              <w:spacing w:line="320" w:lineRule="atLeast"/>
              <w:jc w:val="center"/>
              <w:rPr>
                <w:rFonts w:ascii="宋体" w:hAnsi="宋体"/>
                <w:color w:val="auto"/>
                <w:highlight w:val="none"/>
              </w:rPr>
            </w:pPr>
          </w:p>
        </w:tc>
        <w:tc>
          <w:tcPr>
            <w:tcW w:w="2092"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拟在本合同</w:t>
            </w:r>
          </w:p>
          <w:p>
            <w:pPr>
              <w:snapToGrid w:val="0"/>
              <w:spacing w:line="320" w:lineRule="atLeast"/>
              <w:jc w:val="center"/>
              <w:rPr>
                <w:rFonts w:ascii="宋体" w:hAnsi="宋体"/>
                <w:color w:val="auto"/>
                <w:highlight w:val="none"/>
              </w:rPr>
            </w:pPr>
            <w:r>
              <w:rPr>
                <w:rFonts w:hint="eastAsia" w:ascii="宋体" w:hAnsi="宋体"/>
                <w:color w:val="auto"/>
                <w:highlight w:val="none"/>
              </w:rPr>
              <w:t>项目担任职务</w:t>
            </w:r>
          </w:p>
        </w:tc>
        <w:tc>
          <w:tcPr>
            <w:tcW w:w="1270" w:type="dxa"/>
            <w:vAlign w:val="center"/>
          </w:tcPr>
          <w:p>
            <w:pPr>
              <w:snapToGrid w:val="0"/>
              <w:spacing w:line="320" w:lineRule="atLeast"/>
              <w:jc w:val="center"/>
              <w:rPr>
                <w:rFonts w:ascii="宋体" w:hAnsi="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毕业学校</w:t>
            </w:r>
          </w:p>
        </w:tc>
        <w:tc>
          <w:tcPr>
            <w:tcW w:w="7166" w:type="dxa"/>
            <w:gridSpan w:val="7"/>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月毕业于</w:t>
            </w:r>
            <w:r>
              <w:rPr>
                <w:rFonts w:hint="eastAsia" w:ascii="宋体" w:hAnsi="宋体"/>
                <w:color w:val="auto"/>
                <w:highlight w:val="none"/>
                <w:u w:val="single"/>
              </w:rPr>
              <w:t xml:space="preserve">      </w:t>
            </w:r>
            <w:r>
              <w:rPr>
                <w:rFonts w:hint="eastAsia" w:ascii="宋体" w:hAnsi="宋体"/>
                <w:color w:val="auto"/>
                <w:highlight w:val="none"/>
              </w:rPr>
              <w:t>学校</w:t>
            </w:r>
            <w:r>
              <w:rPr>
                <w:rFonts w:hint="eastAsia" w:ascii="宋体" w:hAnsi="宋体"/>
                <w:color w:val="auto"/>
                <w:highlight w:val="none"/>
                <w:u w:val="single"/>
              </w:rPr>
              <w:t xml:space="preserve">    </w:t>
            </w:r>
            <w:r>
              <w:rPr>
                <w:rFonts w:hint="eastAsia" w:ascii="宋体" w:hAnsi="宋体"/>
                <w:color w:val="auto"/>
                <w:highlight w:val="none"/>
              </w:rPr>
              <w:t>系(科)，学制</w:t>
            </w:r>
            <w:r>
              <w:rPr>
                <w:rFonts w:hint="eastAsia" w:ascii="宋体" w:hAnsi="宋体"/>
                <w:color w:val="auto"/>
                <w:highlight w:val="none"/>
                <w:u w:val="single"/>
              </w:rPr>
              <w:t xml:space="preserve">    </w:t>
            </w:r>
            <w:r>
              <w:rPr>
                <w:rFonts w:hint="eastAsia" w:ascii="宋体" w:hAnsi="宋体"/>
                <w:color w:val="auto"/>
                <w:highlight w:val="none"/>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经                        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年   月</w:t>
            </w:r>
          </w:p>
        </w:tc>
        <w:tc>
          <w:tcPr>
            <w:tcW w:w="3600" w:type="dxa"/>
            <w:gridSpan w:val="4"/>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工作经历</w:t>
            </w:r>
          </w:p>
        </w:tc>
        <w:tc>
          <w:tcPr>
            <w:tcW w:w="2040"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担 任 何 职</w:t>
            </w:r>
          </w:p>
        </w:tc>
        <w:tc>
          <w:tcPr>
            <w:tcW w:w="1532" w:type="dxa"/>
            <w:gridSpan w:val="2"/>
            <w:vAlign w:val="center"/>
          </w:tcPr>
          <w:p>
            <w:pPr>
              <w:snapToGrid w:val="0"/>
              <w:spacing w:line="320" w:lineRule="atLeast"/>
              <w:jc w:val="center"/>
              <w:rPr>
                <w:rFonts w:ascii="宋体" w:hAnsi="宋体"/>
                <w:color w:val="auto"/>
                <w:highlight w:val="none"/>
              </w:rPr>
            </w:pPr>
            <w:r>
              <w:rPr>
                <w:rFonts w:hint="eastAsia" w:ascii="宋体" w:hAnsi="宋体"/>
                <w:color w:val="auto"/>
                <w:highlight w:val="none"/>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vAlign w:val="center"/>
          </w:tcPr>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tc>
        <w:tc>
          <w:tcPr>
            <w:tcW w:w="3600" w:type="dxa"/>
            <w:gridSpan w:val="4"/>
            <w:vAlign w:val="center"/>
          </w:tcPr>
          <w:p>
            <w:pPr>
              <w:snapToGrid w:val="0"/>
              <w:spacing w:line="320" w:lineRule="atLeast"/>
              <w:jc w:val="center"/>
              <w:rPr>
                <w:rFonts w:ascii="仿宋_GB2312" w:hAnsi="宋体" w:eastAsia="仿宋_GB2312"/>
                <w:color w:val="auto"/>
                <w:highlight w:val="none"/>
              </w:rPr>
            </w:pPr>
          </w:p>
        </w:tc>
        <w:tc>
          <w:tcPr>
            <w:tcW w:w="2040" w:type="dxa"/>
            <w:gridSpan w:val="2"/>
            <w:vAlign w:val="center"/>
          </w:tcPr>
          <w:p>
            <w:pPr>
              <w:snapToGrid w:val="0"/>
              <w:spacing w:line="320" w:lineRule="atLeast"/>
              <w:jc w:val="center"/>
              <w:rPr>
                <w:rFonts w:ascii="仿宋_GB2312" w:hAnsi="宋体" w:eastAsia="仿宋_GB2312"/>
                <w:color w:val="auto"/>
                <w:highlight w:val="none"/>
              </w:rPr>
            </w:pPr>
          </w:p>
        </w:tc>
        <w:tc>
          <w:tcPr>
            <w:tcW w:w="1532" w:type="dxa"/>
            <w:gridSpan w:val="2"/>
            <w:vAlign w:val="center"/>
          </w:tcPr>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p>
            <w:pPr>
              <w:snapToGrid w:val="0"/>
              <w:spacing w:line="320" w:lineRule="atLeast"/>
              <w:jc w:val="center"/>
              <w:rPr>
                <w:rFonts w:ascii="仿宋_GB2312" w:hAnsi="宋体" w:eastAsia="仿宋_GB2312"/>
                <w:color w:val="auto"/>
                <w:highlight w:val="none"/>
              </w:rPr>
            </w:pPr>
          </w:p>
        </w:tc>
      </w:tr>
    </w:tbl>
    <w:p>
      <w:pPr>
        <w:snapToGrid w:val="0"/>
        <w:spacing w:line="360" w:lineRule="auto"/>
        <w:rPr>
          <w:rFonts w:ascii="宋体" w:hAnsi="宋体"/>
          <w:color w:val="auto"/>
          <w:highlight w:val="none"/>
        </w:rPr>
      </w:pPr>
      <w:r>
        <w:rPr>
          <w:rFonts w:hint="eastAsia" w:ascii="宋体" w:hAnsi="宋体"/>
          <w:color w:val="auto"/>
          <w:highlight w:val="none"/>
        </w:rPr>
        <w:t xml:space="preserve"> 注：与评分有关的证明材料附后。</w:t>
      </w:r>
    </w:p>
    <w:p>
      <w:pPr>
        <w:snapToGrid w:val="0"/>
        <w:spacing w:line="360" w:lineRule="auto"/>
        <w:rPr>
          <w:rFonts w:ascii="宋体" w:hAnsi="宋体"/>
          <w:color w:val="auto"/>
          <w:highlight w:val="none"/>
        </w:rPr>
      </w:pPr>
    </w:p>
    <w:p>
      <w:pPr>
        <w:snapToGrid w:val="0"/>
        <w:spacing w:line="360" w:lineRule="auto"/>
        <w:rPr>
          <w:rFonts w:ascii="宋体" w:hAnsi="宋体"/>
          <w:color w:val="auto"/>
          <w:highlight w:val="none"/>
        </w:rPr>
      </w:pPr>
    </w:p>
    <w:p>
      <w:pPr>
        <w:snapToGrid w:val="0"/>
        <w:spacing w:line="360" w:lineRule="auto"/>
        <w:rPr>
          <w:rFonts w:ascii="宋体" w:hAnsi="宋体"/>
          <w:b/>
          <w:color w:val="auto"/>
          <w:sz w:val="24"/>
          <w:highlight w:val="none"/>
        </w:rPr>
      </w:pPr>
    </w:p>
    <w:p>
      <w:pPr>
        <w:spacing w:line="360" w:lineRule="auto"/>
        <w:ind w:firstLine="4830" w:firstLineChars="2300"/>
        <w:jc w:val="left"/>
        <w:rPr>
          <w:rFonts w:ascii="宋体" w:hAnsi="宋体"/>
          <w:color w:val="auto"/>
          <w:szCs w:val="21"/>
          <w:highlight w:val="none"/>
        </w:rPr>
      </w:pPr>
      <w:r>
        <w:rPr>
          <w:rFonts w:hint="eastAsia" w:ascii="宋体" w:hAnsi="宋体"/>
          <w:color w:val="auto"/>
          <w:szCs w:val="21"/>
          <w:highlight w:val="none"/>
        </w:rPr>
        <w:t>磋商供应商(盖章)：</w:t>
      </w:r>
    </w:p>
    <w:p>
      <w:pPr>
        <w:spacing w:line="360" w:lineRule="auto"/>
        <w:ind w:firstLine="4410" w:firstLineChars="2100"/>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firstLine="5040" w:firstLineChars="2400"/>
        <w:jc w:val="left"/>
        <w:rPr>
          <w:rFonts w:ascii="宋体" w:hAnsi="宋体"/>
          <w:color w:val="auto"/>
          <w:szCs w:val="21"/>
          <w:highlight w:val="none"/>
        </w:rPr>
      </w:pPr>
      <w:r>
        <w:rPr>
          <w:rFonts w:hint="eastAsia" w:ascii="宋体" w:hAnsi="宋体"/>
          <w:color w:val="auto"/>
          <w:szCs w:val="21"/>
          <w:highlight w:val="none"/>
        </w:rPr>
        <w:t>日期：</w:t>
      </w:r>
    </w:p>
    <w:p>
      <w:pPr>
        <w:spacing w:line="360" w:lineRule="auto"/>
        <w:ind w:firstLine="525" w:firstLineChars="250"/>
        <w:rPr>
          <w:rFonts w:hAnsi="宋体" w:cs="宋体"/>
          <w:color w:val="auto"/>
          <w:szCs w:val="21"/>
          <w:highlight w:val="none"/>
        </w:rPr>
      </w:pPr>
    </w:p>
    <w:p>
      <w:pPr>
        <w:spacing w:line="360" w:lineRule="auto"/>
        <w:rPr>
          <w:rFonts w:ascii="宋体" w:hAnsi="宋体"/>
          <w:b/>
          <w:color w:val="auto"/>
          <w:highlight w:val="none"/>
        </w:rPr>
      </w:pPr>
    </w:p>
    <w:p>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color w:val="auto"/>
          <w:szCs w:val="21"/>
          <w:highlight w:val="none"/>
        </w:rPr>
        <w:br w:type="page"/>
      </w:r>
      <w:bookmarkStart w:id="76" w:name="_Toc24046"/>
      <w:bookmarkStart w:id="77" w:name="_Toc15491"/>
      <w:r>
        <w:rPr>
          <w:rFonts w:hint="eastAsia" w:ascii="宋体" w:hAnsi="宋体"/>
          <w:b/>
          <w:bCs/>
          <w:color w:val="auto"/>
          <w:szCs w:val="21"/>
          <w:highlight w:val="none"/>
        </w:rPr>
        <w:t>四、报价响应文件部分格式</w:t>
      </w:r>
      <w:bookmarkEnd w:id="76"/>
      <w:bookmarkEnd w:id="77"/>
    </w:p>
    <w:p>
      <w:pPr>
        <w:tabs>
          <w:tab w:val="left" w:pos="2670"/>
        </w:tabs>
        <w:adjustRightInd w:val="0"/>
        <w:spacing w:line="360" w:lineRule="auto"/>
        <w:jc w:val="left"/>
        <w:rPr>
          <w:rFonts w:ascii="宋体" w:hAnsi="宋体"/>
          <w:b/>
          <w:bCs/>
          <w:color w:val="auto"/>
          <w:szCs w:val="21"/>
          <w:highlight w:val="none"/>
        </w:rPr>
      </w:pPr>
      <w:r>
        <w:rPr>
          <w:rFonts w:hint="eastAsia" w:ascii="宋体" w:hAnsi="宋体"/>
          <w:b/>
          <w:bCs/>
          <w:color w:val="auto"/>
          <w:szCs w:val="21"/>
          <w:highlight w:val="none"/>
        </w:rPr>
        <w:t>附件1</w:t>
      </w:r>
    </w:p>
    <w:p>
      <w:pPr>
        <w:adjustRightInd w:val="0"/>
        <w:spacing w:line="360" w:lineRule="auto"/>
        <w:ind w:firstLine="435"/>
        <w:jc w:val="center"/>
        <w:rPr>
          <w:rFonts w:ascii="宋体" w:hAnsi="宋体"/>
          <w:b/>
          <w:color w:val="auto"/>
          <w:sz w:val="32"/>
          <w:highlight w:val="none"/>
        </w:rPr>
      </w:pPr>
      <w:r>
        <w:rPr>
          <w:rFonts w:hint="eastAsia" w:ascii="宋体" w:hAnsi="宋体"/>
          <w:b/>
          <w:color w:val="auto"/>
          <w:sz w:val="32"/>
          <w:highlight w:val="none"/>
        </w:rPr>
        <w:t>磋商响应初始报价一览表</w:t>
      </w:r>
    </w:p>
    <w:p>
      <w:pPr>
        <w:adjustRightInd w:val="0"/>
        <w:spacing w:line="360" w:lineRule="auto"/>
        <w:jc w:val="left"/>
        <w:rPr>
          <w:rFonts w:ascii="宋体" w:hAnsi="宋体"/>
          <w:color w:val="auto"/>
          <w:szCs w:val="21"/>
          <w:highlight w:val="none"/>
        </w:rPr>
      </w:pPr>
    </w:p>
    <w:p>
      <w:pPr>
        <w:adjustRightInd w:val="0"/>
        <w:spacing w:line="360" w:lineRule="auto"/>
        <w:ind w:firstLine="210" w:firstLineChars="1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项目名称：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pPr>
        <w:adjustRightInd w:val="0"/>
        <w:spacing w:line="360" w:lineRule="auto"/>
        <w:ind w:firstLine="210" w:firstLineChars="100"/>
        <w:jc w:val="left"/>
        <w:rPr>
          <w:rFonts w:hint="default" w:ascii="Times New Roman" w:hAnsi="Times New Roman" w:eastAsiaTheme="minorEastAsia"/>
          <w:color w:val="auto"/>
          <w:szCs w:val="21"/>
          <w:highlight w:val="none"/>
          <w:u w:val="single"/>
          <w:lang w:val="en-US" w:eastAsia="zh-CN"/>
        </w:rPr>
      </w:pPr>
      <w:r>
        <w:rPr>
          <w:rFonts w:hint="eastAsia" w:ascii="Times New Roman" w:hAnsi="Times New Roman"/>
          <w:color w:val="auto"/>
          <w:szCs w:val="21"/>
          <w:highlight w:val="none"/>
        </w:rPr>
        <w:t xml:space="preserve">采购编号：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4654"/>
        <w:gridCol w:w="34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宋体" w:hAnsi="宋体"/>
                <w:b/>
                <w:color w:val="auto"/>
                <w:szCs w:val="21"/>
                <w:highlight w:val="none"/>
              </w:rPr>
            </w:pPr>
            <w:r>
              <w:rPr>
                <w:rFonts w:hint="eastAsia" w:ascii="宋体" w:hAnsi="宋体"/>
                <w:b/>
                <w:color w:val="auto"/>
                <w:szCs w:val="21"/>
                <w:highlight w:val="none"/>
              </w:rPr>
              <w:t>序号</w:t>
            </w:r>
          </w:p>
        </w:tc>
        <w:tc>
          <w:tcPr>
            <w:tcW w:w="465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2" w:firstLineChars="200"/>
              <w:jc w:val="center"/>
              <w:rPr>
                <w:rFonts w:hint="eastAsia" w:ascii="宋体" w:hAnsi="宋体" w:cs="Arial"/>
                <w:b/>
                <w:color w:val="auto"/>
                <w:szCs w:val="21"/>
                <w:highlight w:val="none"/>
              </w:rPr>
            </w:pPr>
            <w:r>
              <w:rPr>
                <w:rFonts w:hint="eastAsia" w:ascii="宋体" w:hAnsi="宋体" w:cs="Arial"/>
                <w:b/>
                <w:color w:val="auto"/>
                <w:szCs w:val="21"/>
                <w:highlight w:val="none"/>
              </w:rPr>
              <w:t>项目名称</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453" w:firstLineChars="215"/>
              <w:rPr>
                <w:rFonts w:ascii="宋体" w:hAnsi="宋体"/>
                <w:b/>
                <w:color w:val="auto"/>
                <w:szCs w:val="21"/>
                <w:highlight w:val="none"/>
              </w:rPr>
            </w:pPr>
            <w:r>
              <w:rPr>
                <w:rFonts w:hint="eastAsia" w:ascii="宋体" w:hAnsi="宋体"/>
                <w:b/>
                <w:color w:val="auto"/>
                <w:szCs w:val="21"/>
                <w:highlight w:val="none"/>
              </w:rPr>
              <w:t>投标报价（</w:t>
            </w:r>
            <w:r>
              <w:rPr>
                <w:rFonts w:hint="eastAsia" w:ascii="宋体" w:hAnsi="宋体"/>
                <w:b/>
                <w:color w:val="auto"/>
                <w:szCs w:val="21"/>
                <w:highlight w:val="none"/>
                <w:lang w:val="en-US" w:eastAsia="zh-CN"/>
              </w:rPr>
              <w:t>元</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firstLine="210" w:firstLineChars="100"/>
              <w:jc w:val="left"/>
              <w:rPr>
                <w:rFonts w:ascii="宋体" w:hAnsi="宋体"/>
                <w:color w:val="auto"/>
                <w:szCs w:val="21"/>
                <w:highlight w:val="none"/>
              </w:rPr>
            </w:pPr>
            <w:r>
              <w:rPr>
                <w:rFonts w:hint="eastAsia" w:ascii="宋体" w:hAnsi="宋体"/>
                <w:color w:val="auto"/>
                <w:szCs w:val="21"/>
                <w:highlight w:val="none"/>
              </w:rPr>
              <w:t>1</w:t>
            </w:r>
          </w:p>
        </w:tc>
        <w:tc>
          <w:tcPr>
            <w:tcW w:w="46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566"/>
              <w:rPr>
                <w:rFonts w:hint="eastAsia" w:ascii="宋体" w:hAnsi="宋体"/>
                <w:color w:val="auto"/>
                <w:szCs w:val="21"/>
                <w:highlight w:val="none"/>
              </w:rPr>
            </w:pPr>
            <w:r>
              <w:rPr>
                <w:rFonts w:hint="eastAsia" w:ascii="宋体" w:hAnsi="宋体" w:cs="Arial"/>
                <w:color w:val="auto"/>
                <w:szCs w:val="21"/>
                <w:highlight w:val="none"/>
              </w:rPr>
              <w:t xml:space="preserve"> </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566"/>
              <w:rPr>
                <w:rFonts w:ascii="宋体" w:hAnsi="宋体"/>
                <w:color w:val="auto"/>
                <w:szCs w:val="21"/>
                <w:highlight w:val="none"/>
              </w:rPr>
            </w:pPr>
          </w:p>
        </w:tc>
      </w:tr>
    </w:tbl>
    <w:p>
      <w:pPr>
        <w:adjustRightInd w:val="0"/>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lang w:val="en-US" w:eastAsia="zh-CN"/>
        </w:rPr>
        <w:t xml:space="preserve"> </w:t>
      </w:r>
      <w:r>
        <w:rPr>
          <w:rFonts w:hint="eastAsia" w:ascii="Times New Roman" w:hAnsi="Times New Roman"/>
          <w:color w:val="auto"/>
          <w:szCs w:val="21"/>
          <w:highlight w:val="none"/>
        </w:rPr>
        <w:t xml:space="preserve">    </w:t>
      </w:r>
    </w:p>
    <w:p>
      <w:pPr>
        <w:adjustRightIn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pPr>
        <w:adjustRightInd w:val="0"/>
        <w:spacing w:line="360" w:lineRule="auto"/>
        <w:rPr>
          <w:rFonts w:ascii="宋体" w:hAnsi="宋体"/>
          <w:color w:val="auto"/>
          <w:szCs w:val="21"/>
          <w:highlight w:val="none"/>
        </w:rPr>
      </w:pPr>
    </w:p>
    <w:p>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pPr>
        <w:adjustRightInd w:val="0"/>
        <w:spacing w:line="360" w:lineRule="auto"/>
        <w:rPr>
          <w:rFonts w:ascii="宋体" w:hAnsi="宋体"/>
          <w:color w:val="auto"/>
          <w:szCs w:val="21"/>
          <w:highlight w:val="none"/>
        </w:rPr>
      </w:pPr>
    </w:p>
    <w:p>
      <w:pPr>
        <w:adjustRightInd w:val="0"/>
        <w:spacing w:line="360" w:lineRule="auto"/>
        <w:rPr>
          <w:rFonts w:ascii="宋体" w:hAnsi="宋体"/>
          <w:color w:val="auto"/>
          <w:szCs w:val="21"/>
          <w:highlight w:val="none"/>
        </w:rPr>
      </w:pPr>
    </w:p>
    <w:p>
      <w:pPr>
        <w:pStyle w:val="23"/>
        <w:spacing w:before="0" w:beforeAutospacing="0" w:after="0" w:afterAutospacing="0" w:line="360" w:lineRule="auto"/>
        <w:jc w:val="both"/>
        <w:rPr>
          <w:b/>
          <w:color w:val="auto"/>
          <w:sz w:val="21"/>
          <w:szCs w:val="21"/>
          <w:highlight w:val="none"/>
        </w:rPr>
      </w:pPr>
      <w:r>
        <w:rPr>
          <w:rFonts w:ascii="宋体" w:hAnsi="宋体"/>
          <w:color w:val="auto"/>
          <w:highlight w:val="none"/>
        </w:rPr>
        <w:br w:type="page"/>
      </w:r>
    </w:p>
    <w:p>
      <w:pPr>
        <w:tabs>
          <w:tab w:val="left" w:pos="2670"/>
        </w:tabs>
        <w:adjustRightInd w:val="0"/>
        <w:spacing w:line="360" w:lineRule="auto"/>
        <w:jc w:val="left"/>
        <w:rPr>
          <w:rFonts w:hint="eastAsia" w:ascii="宋体" w:hAnsi="宋体" w:eastAsiaTheme="minorEastAsia"/>
          <w:b/>
          <w:bCs/>
          <w:color w:val="auto"/>
          <w:szCs w:val="21"/>
          <w:highlight w:val="none"/>
          <w:lang w:eastAsia="zh-CN"/>
        </w:rPr>
      </w:pPr>
      <w:bookmarkStart w:id="78" w:name="_Toc9164"/>
      <w:bookmarkStart w:id="79" w:name="_Toc29263"/>
      <w:bookmarkStart w:id="80" w:name="_Toc9976"/>
      <w:r>
        <w:rPr>
          <w:rFonts w:hint="eastAsia" w:ascii="宋体" w:hAnsi="宋体"/>
          <w:b/>
          <w:bCs/>
          <w:color w:val="auto"/>
          <w:szCs w:val="21"/>
          <w:highlight w:val="none"/>
        </w:rPr>
        <w:t>附件</w:t>
      </w:r>
      <w:r>
        <w:rPr>
          <w:rFonts w:hint="eastAsia" w:ascii="宋体" w:hAnsi="宋体"/>
          <w:b/>
          <w:bCs/>
          <w:color w:val="auto"/>
          <w:szCs w:val="21"/>
          <w:highlight w:val="none"/>
          <w:lang w:val="en-US" w:eastAsia="zh-CN"/>
        </w:rPr>
        <w:t>2</w:t>
      </w:r>
    </w:p>
    <w:p>
      <w:pPr>
        <w:adjustRightInd w:val="0"/>
        <w:spacing w:line="360" w:lineRule="auto"/>
        <w:ind w:firstLine="435"/>
        <w:jc w:val="center"/>
        <w:rPr>
          <w:rFonts w:hint="eastAsia" w:ascii="宋体" w:hAnsi="宋体" w:eastAsiaTheme="minorEastAsia"/>
          <w:b/>
          <w:color w:val="auto"/>
          <w:sz w:val="32"/>
          <w:highlight w:val="none"/>
          <w:lang w:val="en-US" w:eastAsia="zh-CN"/>
        </w:rPr>
      </w:pPr>
      <w:r>
        <w:rPr>
          <w:rFonts w:hint="eastAsia" w:ascii="宋体" w:hAnsi="宋体"/>
          <w:b/>
          <w:color w:val="auto"/>
          <w:sz w:val="32"/>
          <w:highlight w:val="none"/>
        </w:rPr>
        <w:t>投标报价明细表</w:t>
      </w:r>
      <w:r>
        <w:rPr>
          <w:rFonts w:hint="eastAsia" w:ascii="宋体" w:hAnsi="宋体"/>
          <w:b/>
          <w:color w:val="auto"/>
          <w:sz w:val="32"/>
          <w:highlight w:val="none"/>
          <w:lang w:eastAsia="zh-CN"/>
        </w:rPr>
        <w:t>（</w:t>
      </w:r>
      <w:r>
        <w:rPr>
          <w:rFonts w:hint="eastAsia" w:ascii="宋体" w:hAnsi="宋体"/>
          <w:b/>
          <w:color w:val="auto"/>
          <w:sz w:val="32"/>
          <w:highlight w:val="none"/>
          <w:lang w:val="en-US" w:eastAsia="zh-CN"/>
        </w:rPr>
        <w:t>格式可自拟</w:t>
      </w:r>
      <w:r>
        <w:rPr>
          <w:rFonts w:hint="eastAsia" w:ascii="宋体" w:hAnsi="宋体"/>
          <w:b/>
          <w:color w:val="auto"/>
          <w:sz w:val="32"/>
          <w:highlight w:val="none"/>
          <w:lang w:eastAsia="zh-CN"/>
        </w:rPr>
        <w:t>）</w:t>
      </w:r>
    </w:p>
    <w:p>
      <w:pPr>
        <w:adjustRightInd w:val="0"/>
        <w:spacing w:line="360" w:lineRule="auto"/>
        <w:ind w:firstLine="210" w:firstLineChars="1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项目名称：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         </w:t>
      </w:r>
    </w:p>
    <w:p>
      <w:pPr>
        <w:adjustRightInd w:val="0"/>
        <w:spacing w:line="360" w:lineRule="auto"/>
        <w:ind w:firstLine="210" w:firstLineChars="100"/>
        <w:jc w:val="left"/>
        <w:rPr>
          <w:rFonts w:hint="default" w:ascii="Times New Roman" w:hAnsi="Times New Roman" w:eastAsiaTheme="minorEastAsia"/>
          <w:color w:val="auto"/>
          <w:szCs w:val="21"/>
          <w:highlight w:val="none"/>
          <w:u w:val="single"/>
          <w:lang w:val="en-US" w:eastAsia="zh-CN"/>
        </w:rPr>
      </w:pPr>
      <w:r>
        <w:rPr>
          <w:rFonts w:hint="eastAsia" w:ascii="Times New Roman" w:hAnsi="Times New Roman"/>
          <w:color w:val="auto"/>
          <w:szCs w:val="21"/>
          <w:highlight w:val="none"/>
        </w:rPr>
        <w:t xml:space="preserve">采购编号： </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787"/>
        <w:gridCol w:w="1055"/>
        <w:gridCol w:w="1707"/>
        <w:gridCol w:w="170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13" w:type="dxa"/>
            <w:vAlign w:val="center"/>
          </w:tcPr>
          <w:p>
            <w:pPr>
              <w:pStyle w:val="13"/>
              <w:spacing w:before="156" w:after="156"/>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 xml:space="preserve"> 序号</w:t>
            </w:r>
          </w:p>
        </w:tc>
        <w:tc>
          <w:tcPr>
            <w:tcW w:w="1787" w:type="dxa"/>
            <w:vAlign w:val="center"/>
          </w:tcPr>
          <w:p>
            <w:pPr>
              <w:pStyle w:val="13"/>
              <w:spacing w:before="156" w:after="156"/>
              <w:ind w:left="8" w:leftChars="4"/>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项目内容</w:t>
            </w:r>
          </w:p>
        </w:tc>
        <w:tc>
          <w:tcPr>
            <w:tcW w:w="1055" w:type="dxa"/>
            <w:vAlign w:val="center"/>
          </w:tcPr>
          <w:p>
            <w:pPr>
              <w:widowControl/>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单</w:t>
            </w:r>
            <w:bookmarkStart w:id="81" w:name="_GoBack"/>
            <w:bookmarkEnd w:id="81"/>
            <w:r>
              <w:rPr>
                <w:rFonts w:hint="eastAsia" w:ascii="宋体" w:hAnsi="宋体" w:eastAsiaTheme="minorEastAsia" w:cstheme="minorBidi"/>
                <w:color w:val="auto"/>
                <w:kern w:val="2"/>
                <w:sz w:val="21"/>
                <w:szCs w:val="21"/>
                <w:highlight w:val="none"/>
                <w:lang w:val="en-US" w:eastAsia="zh-CN" w:bidi="ar-SA"/>
              </w:rPr>
              <w:t>位</w:t>
            </w:r>
          </w:p>
        </w:tc>
        <w:tc>
          <w:tcPr>
            <w:tcW w:w="1707" w:type="dxa"/>
            <w:vAlign w:val="center"/>
          </w:tcPr>
          <w:p>
            <w:pPr>
              <w:widowControl/>
              <w:jc w:val="center"/>
              <w:rPr>
                <w:rFonts w:hint="default"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数量</w:t>
            </w:r>
          </w:p>
        </w:tc>
        <w:tc>
          <w:tcPr>
            <w:tcW w:w="1707" w:type="dxa"/>
            <w:vAlign w:val="center"/>
          </w:tcPr>
          <w:p>
            <w:pPr>
              <w:widowControl/>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 xml:space="preserve"> 单价</w:t>
            </w:r>
            <w:r>
              <w:rPr>
                <w:rFonts w:hint="eastAsia" w:ascii="宋体" w:hAnsi="宋体" w:cstheme="minorBidi"/>
                <w:color w:val="auto"/>
                <w:kern w:val="2"/>
                <w:sz w:val="21"/>
                <w:szCs w:val="21"/>
                <w:highlight w:val="none"/>
                <w:lang w:val="en-US" w:eastAsia="zh-CN" w:bidi="ar-SA"/>
              </w:rPr>
              <w:t>（元）</w:t>
            </w:r>
          </w:p>
        </w:tc>
        <w:tc>
          <w:tcPr>
            <w:tcW w:w="1916" w:type="dxa"/>
            <w:vAlign w:val="center"/>
          </w:tcPr>
          <w:p>
            <w:pPr>
              <w:pStyle w:val="13"/>
              <w:spacing w:before="156" w:after="156"/>
              <w:jc w:val="center"/>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金额</w:t>
            </w:r>
            <w:r>
              <w:rPr>
                <w:rFonts w:hint="eastAsia" w:hAnsi="宋体" w:cstheme="minorBidi"/>
                <w:color w:val="auto"/>
                <w:kern w:val="2"/>
                <w:sz w:val="21"/>
                <w:szCs w:val="21"/>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13" w:type="dxa"/>
            <w:vAlign w:val="center"/>
          </w:tcPr>
          <w:p>
            <w:pPr>
              <w:pStyle w:val="13"/>
              <w:spacing w:before="156" w:after="156"/>
              <w:jc w:val="center"/>
              <w:rPr>
                <w:rFonts w:hint="eastAsia" w:ascii="宋体" w:hAnsi="宋体" w:eastAsiaTheme="minorEastAsia" w:cstheme="minorBidi"/>
                <w:color w:val="auto"/>
                <w:kern w:val="2"/>
                <w:sz w:val="21"/>
                <w:szCs w:val="21"/>
                <w:highlight w:val="none"/>
                <w:lang w:val="en-US" w:eastAsia="zh-CN" w:bidi="ar-SA"/>
              </w:rPr>
            </w:pPr>
          </w:p>
        </w:tc>
        <w:tc>
          <w:tcPr>
            <w:tcW w:w="1787" w:type="dxa"/>
            <w:vAlign w:val="center"/>
          </w:tcPr>
          <w:p>
            <w:pPr>
              <w:pStyle w:val="13"/>
              <w:spacing w:before="156" w:after="156"/>
              <w:jc w:val="center"/>
              <w:rPr>
                <w:rFonts w:hint="eastAsia" w:ascii="宋体" w:hAnsi="宋体" w:eastAsiaTheme="minorEastAsia" w:cstheme="minorBidi"/>
                <w:color w:val="auto"/>
                <w:kern w:val="2"/>
                <w:sz w:val="21"/>
                <w:szCs w:val="21"/>
                <w:highlight w:val="none"/>
                <w:lang w:val="en-US" w:eastAsia="zh-CN" w:bidi="ar-SA"/>
              </w:rPr>
            </w:pPr>
          </w:p>
        </w:tc>
        <w:tc>
          <w:tcPr>
            <w:tcW w:w="1055"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c>
          <w:tcPr>
            <w:tcW w:w="1707"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c>
          <w:tcPr>
            <w:tcW w:w="1707"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c>
          <w:tcPr>
            <w:tcW w:w="1916"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13" w:type="dxa"/>
            <w:vAlign w:val="center"/>
          </w:tcPr>
          <w:p>
            <w:pPr>
              <w:pStyle w:val="13"/>
              <w:spacing w:before="156" w:after="156"/>
              <w:jc w:val="center"/>
              <w:rPr>
                <w:rFonts w:hint="eastAsia" w:ascii="宋体" w:hAnsi="宋体" w:eastAsiaTheme="minorEastAsia" w:cstheme="minorBidi"/>
                <w:color w:val="auto"/>
                <w:kern w:val="2"/>
                <w:sz w:val="21"/>
                <w:szCs w:val="21"/>
                <w:highlight w:val="none"/>
                <w:lang w:val="en-US" w:eastAsia="zh-CN" w:bidi="ar-SA"/>
              </w:rPr>
            </w:pPr>
          </w:p>
        </w:tc>
        <w:tc>
          <w:tcPr>
            <w:tcW w:w="1787" w:type="dxa"/>
            <w:vAlign w:val="center"/>
          </w:tcPr>
          <w:p>
            <w:pPr>
              <w:pStyle w:val="13"/>
              <w:spacing w:before="156" w:after="156"/>
              <w:jc w:val="center"/>
              <w:rPr>
                <w:rFonts w:hint="eastAsia" w:ascii="宋体" w:hAnsi="宋体" w:eastAsiaTheme="minorEastAsia" w:cstheme="minorBidi"/>
                <w:color w:val="auto"/>
                <w:kern w:val="2"/>
                <w:sz w:val="21"/>
                <w:szCs w:val="21"/>
                <w:highlight w:val="none"/>
                <w:lang w:val="en-US" w:eastAsia="zh-CN" w:bidi="ar-SA"/>
              </w:rPr>
            </w:pPr>
          </w:p>
        </w:tc>
        <w:tc>
          <w:tcPr>
            <w:tcW w:w="1055"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c>
          <w:tcPr>
            <w:tcW w:w="1707"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c>
          <w:tcPr>
            <w:tcW w:w="1707"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c>
          <w:tcPr>
            <w:tcW w:w="1916" w:type="dxa"/>
          </w:tcPr>
          <w:p>
            <w:pPr>
              <w:pStyle w:val="13"/>
              <w:spacing w:before="156" w:after="156"/>
              <w:rPr>
                <w:rFonts w:hint="eastAsia" w:ascii="宋体" w:hAnsi="宋体" w:eastAsiaTheme="minorEastAsia" w:cstheme="minorBidi"/>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9385" w:type="dxa"/>
            <w:gridSpan w:val="6"/>
            <w:vAlign w:val="center"/>
          </w:tcPr>
          <w:p>
            <w:pPr>
              <w:pStyle w:val="13"/>
              <w:spacing w:before="156" w:after="156"/>
              <w:ind w:left="3284" w:leftChars="314" w:hanging="2625" w:hangingChars="1250"/>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总计（大写）：</w:t>
            </w:r>
          </w:p>
        </w:tc>
      </w:tr>
    </w:tbl>
    <w:p>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pPr>
        <w:adjustRightInd w:val="0"/>
        <w:snapToGrid w:val="0"/>
        <w:spacing w:before="156" w:beforeLines="50" w:after="156" w:afterLines="50" w:line="360" w:lineRule="auto"/>
        <w:jc w:val="center"/>
        <w:outlineLvl w:val="0"/>
        <w:rPr>
          <w:rFonts w:hint="eastAsia" w:ascii="宋体" w:hAnsi="宋体"/>
          <w:color w:val="auto"/>
          <w:szCs w:val="21"/>
          <w:highlight w:val="none"/>
        </w:rPr>
      </w:pPr>
      <w:r>
        <w:rPr>
          <w:rFonts w:hint="eastAsia" w:ascii="宋体" w:hAnsi="宋体"/>
          <w:color w:val="auto"/>
          <w:szCs w:val="21"/>
          <w:highlight w:val="none"/>
        </w:rPr>
        <w:t>日期：</w:t>
      </w:r>
    </w:p>
    <w:p>
      <w:pPr>
        <w:tabs>
          <w:tab w:val="left" w:pos="1578"/>
          <w:tab w:val="left" w:pos="10083"/>
        </w:tabs>
        <w:spacing w:line="5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结算方式：本合同为固定单价合同，</w:t>
      </w:r>
      <w:r>
        <w:rPr>
          <w:rFonts w:hint="eastAsia" w:ascii="宋体" w:hAnsi="宋体" w:eastAsia="宋体" w:cs="Times New Roman"/>
          <w:color w:val="auto"/>
          <w:sz w:val="24"/>
          <w:highlight w:val="none"/>
          <w:lang w:val="en-US" w:eastAsia="zh-CN"/>
        </w:rPr>
        <w:t>数量</w:t>
      </w:r>
      <w:r>
        <w:rPr>
          <w:rFonts w:hint="eastAsia" w:ascii="宋体" w:hAnsi="宋体" w:eastAsia="宋体" w:cs="Times New Roman"/>
          <w:color w:val="auto"/>
          <w:sz w:val="24"/>
          <w:highlight w:val="none"/>
        </w:rPr>
        <w:t>按实结算，结算时按第一次报价的</w:t>
      </w:r>
    </w:p>
    <w:p>
      <w:pPr>
        <w:tabs>
          <w:tab w:val="left" w:pos="1578"/>
          <w:tab w:val="left" w:pos="10083"/>
        </w:tabs>
        <w:spacing w:line="5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单价乘以下浮率，下浮率= 第二次报价（中标价）/第一次报价。</w:t>
      </w: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pPr>
        <w:adjustRightInd w:val="0"/>
        <w:snapToGrid w:val="0"/>
        <w:spacing w:before="156" w:beforeLines="50" w:after="156" w:afterLines="50"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第六部分   其它</w:t>
      </w:r>
      <w:bookmarkEnd w:id="78"/>
      <w:bookmarkEnd w:id="79"/>
      <w:bookmarkEnd w:id="80"/>
    </w:p>
    <w:p>
      <w:pPr>
        <w:spacing w:line="360" w:lineRule="auto"/>
        <w:rPr>
          <w:rFonts w:ascii="宋体"/>
          <w:b/>
          <w:color w:val="auto"/>
          <w:sz w:val="24"/>
          <w:highlight w:val="none"/>
        </w:rPr>
      </w:pPr>
      <w:r>
        <w:rPr>
          <w:rFonts w:hint="eastAsia" w:ascii="宋体"/>
          <w:b/>
          <w:color w:val="auto"/>
          <w:sz w:val="24"/>
          <w:highlight w:val="none"/>
        </w:rPr>
        <w:t>附：</w:t>
      </w:r>
    </w:p>
    <w:p>
      <w:pPr>
        <w:spacing w:line="360" w:lineRule="auto"/>
        <w:jc w:val="center"/>
        <w:rPr>
          <w:b/>
          <w:color w:val="auto"/>
          <w:sz w:val="24"/>
          <w:highlight w:val="none"/>
        </w:rPr>
      </w:pPr>
      <w:r>
        <w:rPr>
          <w:rFonts w:hint="eastAsia" w:ascii="宋体"/>
          <w:b/>
          <w:color w:val="auto"/>
          <w:sz w:val="24"/>
          <w:highlight w:val="none"/>
        </w:rPr>
        <w:t>供应商注册流程</w:t>
      </w:r>
    </w:p>
    <w:p>
      <w:pPr>
        <w:pStyle w:val="13"/>
        <w:spacing w:line="360" w:lineRule="auto"/>
        <w:rPr>
          <w:color w:val="auto"/>
          <w:sz w:val="24"/>
          <w:highlight w:val="none"/>
        </w:rPr>
      </w:pPr>
      <w:r>
        <w:rPr>
          <w:color w:val="auto"/>
          <w:sz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sz w:val="24"/>
          <w:highlight w:val="none"/>
        </w:rPr>
        <w:t>http://www.zjzfcg.gov.cn</w:t>
      </w:r>
      <w:r>
        <w:rPr>
          <w:color w:val="auto"/>
          <w:sz w:val="24"/>
          <w:highlight w:val="none"/>
        </w:rPr>
        <w:fldChar w:fldCharType="end"/>
      </w:r>
      <w:r>
        <w:rPr>
          <w:color w:val="auto"/>
          <w:sz w:val="24"/>
          <w:highlight w:val="none"/>
        </w:rPr>
        <w:t>)→政府采购供应商注册→按下图提示进行。</w:t>
      </w:r>
    </w:p>
    <w:p>
      <w:pPr>
        <w:pStyle w:val="13"/>
        <w:spacing w:line="360" w:lineRule="auto"/>
        <w:rPr>
          <w:color w:val="auto"/>
          <w:sz w:val="24"/>
          <w:highlight w:val="none"/>
        </w:rPr>
      </w:pPr>
      <w:r>
        <w:rPr>
          <w:color w:val="auto"/>
          <w:sz w:val="24"/>
          <w:highlight w:val="none"/>
        </w:rPr>
        <w:t>（注册联系电话：</w:t>
      </w:r>
      <w:r>
        <w:rPr>
          <w:rFonts w:hint="eastAsia" w:hAnsi="宋体"/>
          <w:color w:val="auto"/>
          <w:sz w:val="24"/>
          <w:highlight w:val="none"/>
          <w:lang w:eastAsia="zh-CN"/>
        </w:rPr>
        <w:t>95763</w:t>
      </w:r>
      <w:r>
        <w:rPr>
          <w:color w:val="auto"/>
          <w:sz w:val="24"/>
          <w:highlight w:val="none"/>
        </w:rPr>
        <w:t>）</w:t>
      </w:r>
    </w:p>
    <w:tbl>
      <w:tblPr>
        <w:tblStyle w:val="26"/>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pPr>
              <w:widowControl/>
              <w:spacing w:line="360" w:lineRule="auto"/>
              <w:jc w:val="center"/>
              <w:rPr>
                <w:rFonts w:ascii="宋体" w:cs="宋体"/>
                <w:color w:val="auto"/>
                <w:kern w:val="0"/>
                <w:sz w:val="24"/>
                <w:highlight w:val="none"/>
              </w:rPr>
            </w:pPr>
            <w:r>
              <w:rPr>
                <w:rFonts w:ascii="宋体" w:cs="宋体"/>
                <w:color w:val="auto"/>
                <w:kern w:val="0"/>
                <w:sz w:val="24"/>
                <w:highlight w:val="none"/>
              </w:rPr>
              <w:drawing>
                <wp:inline distT="0" distB="0" distL="0" distR="0">
                  <wp:extent cx="6022975" cy="5500370"/>
                  <wp:effectExtent l="0" t="0" r="15875" b="5080"/>
                  <wp:docPr id="2" name="图片 2" descr="说明: gysz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gyszcs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22975" cy="5500370"/>
                          </a:xfrm>
                          <a:prstGeom prst="rect">
                            <a:avLst/>
                          </a:prstGeom>
                          <a:noFill/>
                          <a:ln>
                            <a:noFill/>
                          </a:ln>
                        </pic:spPr>
                      </pic:pic>
                    </a:graphicData>
                  </a:graphic>
                </wp:inline>
              </w:drawing>
            </w:r>
          </w:p>
        </w:tc>
      </w:tr>
    </w:tbl>
    <w:p>
      <w:pPr>
        <w:pStyle w:val="36"/>
        <w:ind w:left="0" w:leftChars="0" w:firstLine="0" w:firstLineChars="0"/>
        <w:rPr>
          <w:rFonts w:ascii="宋体" w:hAnsi="宋体"/>
          <w:b/>
          <w:color w:val="auto"/>
          <w:szCs w:val="21"/>
          <w:highlight w:val="none"/>
        </w:rPr>
      </w:pPr>
    </w:p>
    <w:p>
      <w:pPr>
        <w:pStyle w:val="36"/>
        <w:rPr>
          <w:rFonts w:ascii="宋体" w:hAnsi="宋体"/>
          <w:b/>
          <w:color w:val="auto"/>
          <w:szCs w:val="21"/>
          <w:highlight w:val="none"/>
        </w:rPr>
      </w:pPr>
    </w:p>
    <w:p>
      <w:pPr>
        <w:pStyle w:val="36"/>
        <w:rPr>
          <w:rFonts w:ascii="宋体" w:hAnsi="宋体"/>
          <w:b/>
          <w:color w:val="auto"/>
          <w:szCs w:val="21"/>
          <w:highlight w:val="none"/>
        </w:rPr>
      </w:pP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0"/>
        <w:rPr>
          <w:rFonts w:hint="default"/>
        </w:rPr>
      </w:pPr>
      <w:r>
        <w:rPr>
          <w:rStyle w:val="32"/>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rFonts w:hint="default" w:ascii="宋体" w:hAnsi="宋体" w:eastAsia="宋体" w:cs="宋体"/>
        <w:sz w:val="24"/>
        <w:szCs w:val="24"/>
        <w:u w:val="single"/>
        <w:lang w:val="en-US" w:eastAsia="zh-CN"/>
      </w:rPr>
    </w:pP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eastAsia="zh-CN"/>
      </w:rPr>
      <w:t>2024年度嘉兴港区不动产档案电子化项目磋商文件</w:t>
    </w:r>
    <w:r>
      <w:rPr>
        <w:rFonts w:hint="eastAsia" w:ascii="宋体" w:hAnsi="宋体" w:eastAsia="宋体" w:cs="宋体"/>
        <w:i w:val="0"/>
        <w:iCs w:val="0"/>
        <w:caps w:val="0"/>
        <w:color w:val="000000"/>
        <w:spacing w:val="0"/>
        <w:sz w:val="24"/>
        <w:szCs w:val="24"/>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u w:val="none"/>
        <w:lang w:eastAsia="zh-CN"/>
      </w:rPr>
    </w:pPr>
    <w:r>
      <w:rPr>
        <w:rFonts w:hint="eastAsia" w:ascii="宋体" w:hAnsi="宋体" w:eastAsia="宋体" w:cs="宋体"/>
        <w:i w:val="0"/>
        <w:iCs w:val="0"/>
        <w:caps w:val="0"/>
        <w:color w:val="000000"/>
        <w:spacing w:val="0"/>
        <w:sz w:val="24"/>
        <w:szCs w:val="24"/>
        <w:u w:val="none"/>
      </w:rPr>
      <w:t> </w:t>
    </w:r>
    <w:r>
      <w:rPr>
        <w:rFonts w:hint="eastAsia" w:ascii="宋体" w:hAnsi="宋体" w:eastAsia="宋体" w:cs="宋体"/>
        <w:i w:val="0"/>
        <w:iCs w:val="0"/>
        <w:caps w:val="0"/>
        <w:color w:val="000000"/>
        <w:spacing w:val="0"/>
        <w:sz w:val="24"/>
        <w:szCs w:val="24"/>
        <w:u w:val="none"/>
        <w:lang w:eastAsia="zh-CN"/>
      </w:rPr>
      <w:t>2024年度嘉兴港区不动产档案电子化项目磋商文件</w:t>
    </w:r>
    <w:r>
      <w:rPr>
        <w:rFonts w:hint="eastAsia" w:ascii="宋体" w:hAnsi="宋体" w:eastAsia="宋体" w:cs="宋体"/>
        <w:i w:val="0"/>
        <w:iCs w:val="0"/>
        <w:caps w:val="0"/>
        <w:color w:val="000000"/>
        <w:spacing w:val="0"/>
        <w:sz w:val="24"/>
        <w:szCs w:val="24"/>
        <w:u w:val="none"/>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rPr>
        <w:rFonts w:hint="default"/>
        <w:lang w:val="en-US"/>
      </w:rPr>
    </w:pP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u w:val="single"/>
        <w:lang w:eastAsia="zh-CN"/>
      </w:rPr>
      <w:t>2024年度嘉兴港区不动产档案电子化项目磋商文件</w:t>
    </w:r>
    <w:r>
      <w:rPr>
        <w:rFonts w:hint="eastAsia" w:ascii="宋体" w:hAnsi="宋体" w:eastAsia="宋体" w:cs="宋体"/>
        <w:i w:val="0"/>
        <w:iCs w:val="0"/>
        <w:caps w:val="0"/>
        <w:color w:val="000000"/>
        <w:spacing w:val="0"/>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E06A"/>
    <w:multiLevelType w:val="singleLevel"/>
    <w:tmpl w:val="86B5E06A"/>
    <w:lvl w:ilvl="0" w:tentative="0">
      <w:start w:val="1"/>
      <w:numFmt w:val="decimalEnclosedCircleChinese"/>
      <w:suff w:val="nothing"/>
      <w:lvlText w:val="%1　"/>
      <w:lvlJc w:val="left"/>
      <w:pPr>
        <w:ind w:left="0" w:firstLine="400"/>
      </w:pPr>
      <w:rPr>
        <w:rFonts w:hint="eastAsia"/>
      </w:rPr>
    </w:lvl>
  </w:abstractNum>
  <w:abstractNum w:abstractNumId="1">
    <w:nsid w:val="9E3688AE"/>
    <w:multiLevelType w:val="singleLevel"/>
    <w:tmpl w:val="9E3688AE"/>
    <w:lvl w:ilvl="0" w:tentative="0">
      <w:start w:val="1"/>
      <w:numFmt w:val="decimal"/>
      <w:suff w:val="nothing"/>
      <w:lvlText w:val="%1．"/>
      <w:lvlJc w:val="left"/>
    </w:lvl>
  </w:abstractNum>
  <w:abstractNum w:abstractNumId="2">
    <w:nsid w:val="FD3D5028"/>
    <w:multiLevelType w:val="singleLevel"/>
    <w:tmpl w:val="FD3D5028"/>
    <w:lvl w:ilvl="0" w:tentative="0">
      <w:start w:val="1"/>
      <w:numFmt w:val="decimal"/>
      <w:lvlText w:val="(%1)"/>
      <w:lvlJc w:val="left"/>
      <w:pPr>
        <w:ind w:left="1135" w:hanging="425"/>
      </w:pPr>
      <w:rPr>
        <w:rFonts w:hint="default"/>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5">
    <w:nsid w:val="10FA04B8"/>
    <w:multiLevelType w:val="multilevel"/>
    <w:tmpl w:val="10FA04B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2C72A5"/>
    <w:multiLevelType w:val="multilevel"/>
    <w:tmpl w:val="542C72A5"/>
    <w:lvl w:ilvl="0" w:tentative="0">
      <w:start w:val="1"/>
      <w:numFmt w:val="japaneseCounting"/>
      <w:lvlText w:val="（%1）"/>
      <w:lvlJc w:val="left"/>
      <w:pPr>
        <w:ind w:left="1073" w:hanging="720"/>
      </w:pPr>
      <w:rPr>
        <w:rFonts w:hint="default"/>
      </w:rPr>
    </w:lvl>
    <w:lvl w:ilvl="1" w:tentative="0">
      <w:start w:val="1"/>
      <w:numFmt w:val="lowerLetter"/>
      <w:lvlText w:val="%2)"/>
      <w:lvlJc w:val="left"/>
      <w:pPr>
        <w:ind w:left="1193" w:hanging="420"/>
      </w:pPr>
    </w:lvl>
    <w:lvl w:ilvl="2" w:tentative="0">
      <w:start w:val="1"/>
      <w:numFmt w:val="lowerRoman"/>
      <w:lvlText w:val="%3."/>
      <w:lvlJc w:val="right"/>
      <w:pPr>
        <w:ind w:left="1613" w:hanging="420"/>
      </w:pPr>
    </w:lvl>
    <w:lvl w:ilvl="3" w:tentative="0">
      <w:start w:val="1"/>
      <w:numFmt w:val="decimal"/>
      <w:lvlText w:val="%4."/>
      <w:lvlJc w:val="left"/>
      <w:pPr>
        <w:ind w:left="2033" w:hanging="420"/>
      </w:pPr>
    </w:lvl>
    <w:lvl w:ilvl="4" w:tentative="0">
      <w:start w:val="1"/>
      <w:numFmt w:val="lowerLetter"/>
      <w:lvlText w:val="%5)"/>
      <w:lvlJc w:val="left"/>
      <w:pPr>
        <w:ind w:left="2453" w:hanging="420"/>
      </w:pPr>
    </w:lvl>
    <w:lvl w:ilvl="5" w:tentative="0">
      <w:start w:val="1"/>
      <w:numFmt w:val="lowerRoman"/>
      <w:lvlText w:val="%6."/>
      <w:lvlJc w:val="right"/>
      <w:pPr>
        <w:ind w:left="2873" w:hanging="420"/>
      </w:pPr>
    </w:lvl>
    <w:lvl w:ilvl="6" w:tentative="0">
      <w:start w:val="1"/>
      <w:numFmt w:val="decimal"/>
      <w:lvlText w:val="%7."/>
      <w:lvlJc w:val="left"/>
      <w:pPr>
        <w:ind w:left="3293" w:hanging="420"/>
      </w:pPr>
    </w:lvl>
    <w:lvl w:ilvl="7" w:tentative="0">
      <w:start w:val="1"/>
      <w:numFmt w:val="lowerLetter"/>
      <w:lvlText w:val="%8)"/>
      <w:lvlJc w:val="left"/>
      <w:pPr>
        <w:ind w:left="3713" w:hanging="420"/>
      </w:pPr>
    </w:lvl>
    <w:lvl w:ilvl="8" w:tentative="0">
      <w:start w:val="1"/>
      <w:numFmt w:val="lowerRoman"/>
      <w:lvlText w:val="%9."/>
      <w:lvlJc w:val="right"/>
      <w:pPr>
        <w:ind w:left="4133" w:hanging="420"/>
      </w:pPr>
    </w:lvl>
  </w:abstractNum>
  <w:abstractNum w:abstractNumId="7">
    <w:nsid w:val="54F6ADB5"/>
    <w:multiLevelType w:val="singleLevel"/>
    <w:tmpl w:val="54F6ADB5"/>
    <w:lvl w:ilvl="0" w:tentative="0">
      <w:start w:val="1"/>
      <w:numFmt w:val="chineseCounting"/>
      <w:suff w:val="nothing"/>
      <w:lvlText w:val="%1、"/>
      <w:lvlJc w:val="left"/>
    </w:lvl>
  </w:abstractNum>
  <w:abstractNum w:abstractNumId="8">
    <w:nsid w:val="5944DF81"/>
    <w:multiLevelType w:val="singleLevel"/>
    <w:tmpl w:val="5944DF81"/>
    <w:lvl w:ilvl="0" w:tentative="0">
      <w:start w:val="1"/>
      <w:numFmt w:val="decimal"/>
      <w:suff w:val="nothing"/>
      <w:lvlText w:val="（%1）"/>
      <w:lvlJc w:val="left"/>
    </w:lvl>
  </w:abstractNum>
  <w:abstractNum w:abstractNumId="9">
    <w:nsid w:val="59798187"/>
    <w:multiLevelType w:val="singleLevel"/>
    <w:tmpl w:val="59798187"/>
    <w:lvl w:ilvl="0" w:tentative="0">
      <w:start w:val="1"/>
      <w:numFmt w:val="decimal"/>
      <w:lvlText w:val="%1."/>
      <w:lvlJc w:val="left"/>
      <w:pPr>
        <w:ind w:left="425" w:hanging="425"/>
      </w:pPr>
      <w:rPr>
        <w:rFonts w:hint="default"/>
      </w:rPr>
    </w:lvl>
  </w:abstractNum>
  <w:abstractNum w:abstractNumId="10">
    <w:nsid w:val="597A75FF"/>
    <w:multiLevelType w:val="singleLevel"/>
    <w:tmpl w:val="597A75FF"/>
    <w:lvl w:ilvl="0" w:tentative="0">
      <w:start w:val="1"/>
      <w:numFmt w:val="decimal"/>
      <w:suff w:val="nothing"/>
      <w:lvlText w:val="（%1）"/>
      <w:lvlJc w:val="left"/>
    </w:lvl>
  </w:abstractNum>
  <w:abstractNum w:abstractNumId="11">
    <w:nsid w:val="597A792B"/>
    <w:multiLevelType w:val="singleLevel"/>
    <w:tmpl w:val="597A792B"/>
    <w:lvl w:ilvl="0" w:tentative="0">
      <w:start w:val="1"/>
      <w:numFmt w:val="decimal"/>
      <w:suff w:val="nothing"/>
      <w:lvlText w:val="（%1）"/>
      <w:lvlJc w:val="left"/>
    </w:lvl>
  </w:abstractNum>
  <w:abstractNum w:abstractNumId="12">
    <w:nsid w:val="597A7F27"/>
    <w:multiLevelType w:val="singleLevel"/>
    <w:tmpl w:val="597A7F27"/>
    <w:lvl w:ilvl="0" w:tentative="0">
      <w:start w:val="1"/>
      <w:numFmt w:val="decimal"/>
      <w:suff w:val="nothing"/>
      <w:lvlText w:val="（%1）"/>
      <w:lvlJc w:val="left"/>
    </w:lvl>
  </w:abstractNum>
  <w:abstractNum w:abstractNumId="13">
    <w:nsid w:val="7B4FF1A2"/>
    <w:multiLevelType w:val="singleLevel"/>
    <w:tmpl w:val="7B4FF1A2"/>
    <w:lvl w:ilvl="0" w:tentative="0">
      <w:start w:val="1"/>
      <w:numFmt w:val="decimal"/>
      <w:lvlText w:val="%1."/>
      <w:lvlJc w:val="left"/>
      <w:pPr>
        <w:tabs>
          <w:tab w:val="left" w:pos="312"/>
        </w:tabs>
      </w:pPr>
    </w:lvl>
  </w:abstractNum>
  <w:num w:numId="1">
    <w:abstractNumId w:val="9"/>
  </w:num>
  <w:num w:numId="2">
    <w:abstractNumId w:val="13"/>
  </w:num>
  <w:num w:numId="3">
    <w:abstractNumId w:val="2"/>
  </w:num>
  <w:num w:numId="4">
    <w:abstractNumId w:val="8"/>
  </w:num>
  <w:num w:numId="5">
    <w:abstractNumId w:val="10"/>
  </w:num>
  <w:num w:numId="6">
    <w:abstractNumId w:val="11"/>
  </w:num>
  <w:num w:numId="7">
    <w:abstractNumId w:val="12"/>
  </w:num>
  <w:num w:numId="8">
    <w:abstractNumId w:val="1"/>
  </w:num>
  <w:num w:numId="9">
    <w:abstractNumId w:val="5"/>
  </w:num>
  <w:num w:numId="10">
    <w:abstractNumId w:val="6"/>
  </w:num>
  <w:num w:numId="11">
    <w:abstractNumId w:val="7"/>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JkNGY5NTRhZDI0YzE4ZmRjMzgxNmQ1MTE5NmYifQ=="/>
  </w:docVars>
  <w:rsids>
    <w:rsidRoot w:val="1FF57905"/>
    <w:rsid w:val="000009D6"/>
    <w:rsid w:val="00002E18"/>
    <w:rsid w:val="00004C15"/>
    <w:rsid w:val="00006074"/>
    <w:rsid w:val="00007162"/>
    <w:rsid w:val="000107CC"/>
    <w:rsid w:val="00011F05"/>
    <w:rsid w:val="000229C8"/>
    <w:rsid w:val="00032C92"/>
    <w:rsid w:val="0003351A"/>
    <w:rsid w:val="00033870"/>
    <w:rsid w:val="00054A08"/>
    <w:rsid w:val="0006430C"/>
    <w:rsid w:val="000833CA"/>
    <w:rsid w:val="00085A21"/>
    <w:rsid w:val="000B110E"/>
    <w:rsid w:val="000B5A93"/>
    <w:rsid w:val="000E4E10"/>
    <w:rsid w:val="000E5326"/>
    <w:rsid w:val="00102513"/>
    <w:rsid w:val="00106A57"/>
    <w:rsid w:val="00115A24"/>
    <w:rsid w:val="00126DF8"/>
    <w:rsid w:val="001622B5"/>
    <w:rsid w:val="00195E97"/>
    <w:rsid w:val="001A3E57"/>
    <w:rsid w:val="001A5567"/>
    <w:rsid w:val="001F0E93"/>
    <w:rsid w:val="002163C0"/>
    <w:rsid w:val="00240180"/>
    <w:rsid w:val="002726CA"/>
    <w:rsid w:val="002814E3"/>
    <w:rsid w:val="00285FDF"/>
    <w:rsid w:val="002915C7"/>
    <w:rsid w:val="00296BA5"/>
    <w:rsid w:val="002A396E"/>
    <w:rsid w:val="002A5C37"/>
    <w:rsid w:val="002B7A56"/>
    <w:rsid w:val="002C2BAC"/>
    <w:rsid w:val="002E5853"/>
    <w:rsid w:val="00301E7B"/>
    <w:rsid w:val="0030217E"/>
    <w:rsid w:val="003178AB"/>
    <w:rsid w:val="00323655"/>
    <w:rsid w:val="003325A7"/>
    <w:rsid w:val="00355862"/>
    <w:rsid w:val="00365646"/>
    <w:rsid w:val="00376B79"/>
    <w:rsid w:val="0039590F"/>
    <w:rsid w:val="003A3AFA"/>
    <w:rsid w:val="003A6F9D"/>
    <w:rsid w:val="003E24BB"/>
    <w:rsid w:val="003F3319"/>
    <w:rsid w:val="003F4151"/>
    <w:rsid w:val="0040633D"/>
    <w:rsid w:val="00407495"/>
    <w:rsid w:val="004120CF"/>
    <w:rsid w:val="004222F2"/>
    <w:rsid w:val="004336E8"/>
    <w:rsid w:val="004370AD"/>
    <w:rsid w:val="00451946"/>
    <w:rsid w:val="00455429"/>
    <w:rsid w:val="0046181D"/>
    <w:rsid w:val="004625C5"/>
    <w:rsid w:val="00496365"/>
    <w:rsid w:val="00496A8D"/>
    <w:rsid w:val="004C72FE"/>
    <w:rsid w:val="004D0E07"/>
    <w:rsid w:val="004E0151"/>
    <w:rsid w:val="004F1B94"/>
    <w:rsid w:val="0050439A"/>
    <w:rsid w:val="00507A8E"/>
    <w:rsid w:val="0051002D"/>
    <w:rsid w:val="00513E48"/>
    <w:rsid w:val="005262FD"/>
    <w:rsid w:val="00527303"/>
    <w:rsid w:val="005367E2"/>
    <w:rsid w:val="00542C27"/>
    <w:rsid w:val="00563065"/>
    <w:rsid w:val="00581965"/>
    <w:rsid w:val="0059014B"/>
    <w:rsid w:val="005C2247"/>
    <w:rsid w:val="005C573F"/>
    <w:rsid w:val="00625DDF"/>
    <w:rsid w:val="00630ADE"/>
    <w:rsid w:val="00634DCE"/>
    <w:rsid w:val="00671A1B"/>
    <w:rsid w:val="00687C20"/>
    <w:rsid w:val="00696D51"/>
    <w:rsid w:val="006C4FB2"/>
    <w:rsid w:val="006E5782"/>
    <w:rsid w:val="00711477"/>
    <w:rsid w:val="00715C20"/>
    <w:rsid w:val="00716A5F"/>
    <w:rsid w:val="007234F2"/>
    <w:rsid w:val="00741149"/>
    <w:rsid w:val="00756873"/>
    <w:rsid w:val="00760ED2"/>
    <w:rsid w:val="007659CD"/>
    <w:rsid w:val="00767544"/>
    <w:rsid w:val="007761CD"/>
    <w:rsid w:val="007844EF"/>
    <w:rsid w:val="00796B56"/>
    <w:rsid w:val="007A510F"/>
    <w:rsid w:val="007C6B5A"/>
    <w:rsid w:val="007D3448"/>
    <w:rsid w:val="007D5A55"/>
    <w:rsid w:val="00800EF0"/>
    <w:rsid w:val="00810D1E"/>
    <w:rsid w:val="008334E1"/>
    <w:rsid w:val="00844FEB"/>
    <w:rsid w:val="00867EBC"/>
    <w:rsid w:val="008764B6"/>
    <w:rsid w:val="00877A9F"/>
    <w:rsid w:val="00894F63"/>
    <w:rsid w:val="00894FEC"/>
    <w:rsid w:val="008B314F"/>
    <w:rsid w:val="008B534D"/>
    <w:rsid w:val="008B57FA"/>
    <w:rsid w:val="008C3404"/>
    <w:rsid w:val="008C4A6F"/>
    <w:rsid w:val="008C5691"/>
    <w:rsid w:val="008C7C5B"/>
    <w:rsid w:val="009449E2"/>
    <w:rsid w:val="00947170"/>
    <w:rsid w:val="00947713"/>
    <w:rsid w:val="00954D42"/>
    <w:rsid w:val="00967660"/>
    <w:rsid w:val="00975318"/>
    <w:rsid w:val="009C3D0C"/>
    <w:rsid w:val="009D033E"/>
    <w:rsid w:val="009D6FB7"/>
    <w:rsid w:val="009E3363"/>
    <w:rsid w:val="009E78C4"/>
    <w:rsid w:val="009F2B52"/>
    <w:rsid w:val="009F4E6B"/>
    <w:rsid w:val="00A04932"/>
    <w:rsid w:val="00A1677D"/>
    <w:rsid w:val="00A1761F"/>
    <w:rsid w:val="00A25702"/>
    <w:rsid w:val="00A367A0"/>
    <w:rsid w:val="00A4491D"/>
    <w:rsid w:val="00A453D6"/>
    <w:rsid w:val="00A51CB2"/>
    <w:rsid w:val="00A53CFF"/>
    <w:rsid w:val="00A774D6"/>
    <w:rsid w:val="00A776AE"/>
    <w:rsid w:val="00A77B59"/>
    <w:rsid w:val="00A8712D"/>
    <w:rsid w:val="00AA257B"/>
    <w:rsid w:val="00AB3291"/>
    <w:rsid w:val="00AB4769"/>
    <w:rsid w:val="00AF203B"/>
    <w:rsid w:val="00B36059"/>
    <w:rsid w:val="00B37CE1"/>
    <w:rsid w:val="00B45B4A"/>
    <w:rsid w:val="00B54691"/>
    <w:rsid w:val="00B65AE1"/>
    <w:rsid w:val="00B66136"/>
    <w:rsid w:val="00B6687C"/>
    <w:rsid w:val="00B7193E"/>
    <w:rsid w:val="00B87DD7"/>
    <w:rsid w:val="00BA0645"/>
    <w:rsid w:val="00C11960"/>
    <w:rsid w:val="00C15CD0"/>
    <w:rsid w:val="00C1637A"/>
    <w:rsid w:val="00C215D9"/>
    <w:rsid w:val="00C2748D"/>
    <w:rsid w:val="00C369BF"/>
    <w:rsid w:val="00C57D56"/>
    <w:rsid w:val="00C60A7D"/>
    <w:rsid w:val="00C60B61"/>
    <w:rsid w:val="00C75AA0"/>
    <w:rsid w:val="00C7695F"/>
    <w:rsid w:val="00C844A0"/>
    <w:rsid w:val="00CB052B"/>
    <w:rsid w:val="00CB0741"/>
    <w:rsid w:val="00CB09F0"/>
    <w:rsid w:val="00CC2C0B"/>
    <w:rsid w:val="00CC62D0"/>
    <w:rsid w:val="00CC7192"/>
    <w:rsid w:val="00CD29C9"/>
    <w:rsid w:val="00CF0D14"/>
    <w:rsid w:val="00CF159C"/>
    <w:rsid w:val="00D00D7E"/>
    <w:rsid w:val="00D019D9"/>
    <w:rsid w:val="00D01BA7"/>
    <w:rsid w:val="00D02E06"/>
    <w:rsid w:val="00D300AF"/>
    <w:rsid w:val="00D328A5"/>
    <w:rsid w:val="00D35256"/>
    <w:rsid w:val="00D477CF"/>
    <w:rsid w:val="00D47E4F"/>
    <w:rsid w:val="00D6192A"/>
    <w:rsid w:val="00D80BE7"/>
    <w:rsid w:val="00D844F9"/>
    <w:rsid w:val="00D94A41"/>
    <w:rsid w:val="00DB611C"/>
    <w:rsid w:val="00DC1008"/>
    <w:rsid w:val="00DD1F44"/>
    <w:rsid w:val="00DD6181"/>
    <w:rsid w:val="00DE4695"/>
    <w:rsid w:val="00DF50E4"/>
    <w:rsid w:val="00E23716"/>
    <w:rsid w:val="00E275EC"/>
    <w:rsid w:val="00E27E9C"/>
    <w:rsid w:val="00E32952"/>
    <w:rsid w:val="00E46988"/>
    <w:rsid w:val="00E61D95"/>
    <w:rsid w:val="00E759CD"/>
    <w:rsid w:val="00E81747"/>
    <w:rsid w:val="00E828A8"/>
    <w:rsid w:val="00EA4F28"/>
    <w:rsid w:val="00EA6B59"/>
    <w:rsid w:val="00EF7AF4"/>
    <w:rsid w:val="00F234DF"/>
    <w:rsid w:val="00F3276B"/>
    <w:rsid w:val="00F43EDC"/>
    <w:rsid w:val="00F50E00"/>
    <w:rsid w:val="00F55BB8"/>
    <w:rsid w:val="00F62D9B"/>
    <w:rsid w:val="00F926B2"/>
    <w:rsid w:val="00FA11AC"/>
    <w:rsid w:val="00FA5AA3"/>
    <w:rsid w:val="00FB0C55"/>
    <w:rsid w:val="00FC1530"/>
    <w:rsid w:val="00FE1FE1"/>
    <w:rsid w:val="00FE65C4"/>
    <w:rsid w:val="012B4E80"/>
    <w:rsid w:val="013C06BC"/>
    <w:rsid w:val="0145726D"/>
    <w:rsid w:val="018A1427"/>
    <w:rsid w:val="01D96B25"/>
    <w:rsid w:val="01DB3B8D"/>
    <w:rsid w:val="0204191F"/>
    <w:rsid w:val="0341220C"/>
    <w:rsid w:val="038E469F"/>
    <w:rsid w:val="040A6D8B"/>
    <w:rsid w:val="040C7B8E"/>
    <w:rsid w:val="042D2776"/>
    <w:rsid w:val="042F445E"/>
    <w:rsid w:val="04593B34"/>
    <w:rsid w:val="04E800AC"/>
    <w:rsid w:val="067453E7"/>
    <w:rsid w:val="06810C27"/>
    <w:rsid w:val="0723245A"/>
    <w:rsid w:val="07290AFB"/>
    <w:rsid w:val="073E708E"/>
    <w:rsid w:val="0741444B"/>
    <w:rsid w:val="083641A9"/>
    <w:rsid w:val="09065191"/>
    <w:rsid w:val="09102B5A"/>
    <w:rsid w:val="095841ED"/>
    <w:rsid w:val="0A081CE7"/>
    <w:rsid w:val="0AC06079"/>
    <w:rsid w:val="0B98257D"/>
    <w:rsid w:val="0BBF2D0A"/>
    <w:rsid w:val="0D310106"/>
    <w:rsid w:val="0D902F1B"/>
    <w:rsid w:val="0E46625E"/>
    <w:rsid w:val="0FBA436E"/>
    <w:rsid w:val="10252619"/>
    <w:rsid w:val="103A5C95"/>
    <w:rsid w:val="10DE0116"/>
    <w:rsid w:val="119540A4"/>
    <w:rsid w:val="123C49C0"/>
    <w:rsid w:val="12653A13"/>
    <w:rsid w:val="135400EC"/>
    <w:rsid w:val="13563C3A"/>
    <w:rsid w:val="13686946"/>
    <w:rsid w:val="13773ED4"/>
    <w:rsid w:val="13FA265F"/>
    <w:rsid w:val="143B10C7"/>
    <w:rsid w:val="147B1745"/>
    <w:rsid w:val="173D31BB"/>
    <w:rsid w:val="17DF502E"/>
    <w:rsid w:val="18093797"/>
    <w:rsid w:val="18383533"/>
    <w:rsid w:val="18D6546C"/>
    <w:rsid w:val="19B32C45"/>
    <w:rsid w:val="1AAC6E3D"/>
    <w:rsid w:val="1B2E0913"/>
    <w:rsid w:val="1B7D5D7F"/>
    <w:rsid w:val="1BAF4ADC"/>
    <w:rsid w:val="1BD72D8D"/>
    <w:rsid w:val="1C623275"/>
    <w:rsid w:val="1C770859"/>
    <w:rsid w:val="1C927C25"/>
    <w:rsid w:val="1CB47967"/>
    <w:rsid w:val="1CC302EA"/>
    <w:rsid w:val="1CE82EF4"/>
    <w:rsid w:val="1DB87EE1"/>
    <w:rsid w:val="1E8A1706"/>
    <w:rsid w:val="1EE44415"/>
    <w:rsid w:val="1F073C5F"/>
    <w:rsid w:val="1FD13FB9"/>
    <w:rsid w:val="1FF57905"/>
    <w:rsid w:val="200B51CB"/>
    <w:rsid w:val="20FC5E99"/>
    <w:rsid w:val="213E024C"/>
    <w:rsid w:val="21C77DD1"/>
    <w:rsid w:val="21CE5E36"/>
    <w:rsid w:val="22094A37"/>
    <w:rsid w:val="22312638"/>
    <w:rsid w:val="22654E4B"/>
    <w:rsid w:val="22BA14E5"/>
    <w:rsid w:val="23082921"/>
    <w:rsid w:val="23122C2F"/>
    <w:rsid w:val="23575981"/>
    <w:rsid w:val="24D57A5F"/>
    <w:rsid w:val="24E24592"/>
    <w:rsid w:val="25267945"/>
    <w:rsid w:val="25C572B4"/>
    <w:rsid w:val="25D36F91"/>
    <w:rsid w:val="263B5B30"/>
    <w:rsid w:val="26892D3D"/>
    <w:rsid w:val="26AF735D"/>
    <w:rsid w:val="26FC7859"/>
    <w:rsid w:val="272B37C5"/>
    <w:rsid w:val="27A1673C"/>
    <w:rsid w:val="27D165A2"/>
    <w:rsid w:val="28006CBA"/>
    <w:rsid w:val="280C65A2"/>
    <w:rsid w:val="28615DEC"/>
    <w:rsid w:val="28FD67FF"/>
    <w:rsid w:val="29957AE0"/>
    <w:rsid w:val="29C55D16"/>
    <w:rsid w:val="2A593EFD"/>
    <w:rsid w:val="2AF40DAB"/>
    <w:rsid w:val="2BD4161B"/>
    <w:rsid w:val="2BE55328"/>
    <w:rsid w:val="2E436D53"/>
    <w:rsid w:val="2F1A353B"/>
    <w:rsid w:val="30907771"/>
    <w:rsid w:val="30C01E98"/>
    <w:rsid w:val="30CA7F28"/>
    <w:rsid w:val="31127EB7"/>
    <w:rsid w:val="31BD6874"/>
    <w:rsid w:val="337D1E14"/>
    <w:rsid w:val="33E335EE"/>
    <w:rsid w:val="33FF507A"/>
    <w:rsid w:val="34251453"/>
    <w:rsid w:val="35814171"/>
    <w:rsid w:val="372A233E"/>
    <w:rsid w:val="379F2B4A"/>
    <w:rsid w:val="37A20571"/>
    <w:rsid w:val="37BF642A"/>
    <w:rsid w:val="38042FDA"/>
    <w:rsid w:val="38682942"/>
    <w:rsid w:val="389B12CC"/>
    <w:rsid w:val="38BD10D4"/>
    <w:rsid w:val="38E04495"/>
    <w:rsid w:val="39562369"/>
    <w:rsid w:val="39620852"/>
    <w:rsid w:val="39CA6153"/>
    <w:rsid w:val="3A7D7122"/>
    <w:rsid w:val="3AF46647"/>
    <w:rsid w:val="3B30771A"/>
    <w:rsid w:val="3B7B6E9A"/>
    <w:rsid w:val="3BE81DEB"/>
    <w:rsid w:val="3C847748"/>
    <w:rsid w:val="3CA85472"/>
    <w:rsid w:val="3CB84BB0"/>
    <w:rsid w:val="3D17730C"/>
    <w:rsid w:val="3D234917"/>
    <w:rsid w:val="3DBB1F87"/>
    <w:rsid w:val="3DC042F1"/>
    <w:rsid w:val="3E0F681E"/>
    <w:rsid w:val="3F244EFE"/>
    <w:rsid w:val="3F5062DF"/>
    <w:rsid w:val="3F980BD8"/>
    <w:rsid w:val="402934D2"/>
    <w:rsid w:val="403F2E01"/>
    <w:rsid w:val="41713148"/>
    <w:rsid w:val="42390685"/>
    <w:rsid w:val="423C050C"/>
    <w:rsid w:val="446813B4"/>
    <w:rsid w:val="45242AAE"/>
    <w:rsid w:val="4548631D"/>
    <w:rsid w:val="45581DB4"/>
    <w:rsid w:val="45C823A3"/>
    <w:rsid w:val="461B1C1B"/>
    <w:rsid w:val="46AB5BAC"/>
    <w:rsid w:val="47077163"/>
    <w:rsid w:val="47C60A45"/>
    <w:rsid w:val="48A84EDE"/>
    <w:rsid w:val="4B493817"/>
    <w:rsid w:val="4BE9528C"/>
    <w:rsid w:val="4C586E38"/>
    <w:rsid w:val="4C740FC0"/>
    <w:rsid w:val="4CA5311E"/>
    <w:rsid w:val="4CEE3D51"/>
    <w:rsid w:val="4D213121"/>
    <w:rsid w:val="4DE72F2B"/>
    <w:rsid w:val="4E297C73"/>
    <w:rsid w:val="4E564138"/>
    <w:rsid w:val="4EAA5B5C"/>
    <w:rsid w:val="4F440A08"/>
    <w:rsid w:val="4F622A93"/>
    <w:rsid w:val="4FB3549C"/>
    <w:rsid w:val="4FC33858"/>
    <w:rsid w:val="4FF37764"/>
    <w:rsid w:val="502A1B84"/>
    <w:rsid w:val="51172AE9"/>
    <w:rsid w:val="514270BE"/>
    <w:rsid w:val="51651A9B"/>
    <w:rsid w:val="51671300"/>
    <w:rsid w:val="51BD6D82"/>
    <w:rsid w:val="51CE66DB"/>
    <w:rsid w:val="51DD0EDF"/>
    <w:rsid w:val="52432C25"/>
    <w:rsid w:val="524C4F6E"/>
    <w:rsid w:val="52B743F1"/>
    <w:rsid w:val="53AE417F"/>
    <w:rsid w:val="548E5863"/>
    <w:rsid w:val="549479BD"/>
    <w:rsid w:val="54993AA4"/>
    <w:rsid w:val="54C91A93"/>
    <w:rsid w:val="55F34ED2"/>
    <w:rsid w:val="57757CFB"/>
    <w:rsid w:val="57C55B05"/>
    <w:rsid w:val="5B547C51"/>
    <w:rsid w:val="5B8C2AB5"/>
    <w:rsid w:val="5BB64468"/>
    <w:rsid w:val="5C4F0418"/>
    <w:rsid w:val="5C7D4F86"/>
    <w:rsid w:val="5CB618CE"/>
    <w:rsid w:val="5D6D0621"/>
    <w:rsid w:val="5DB82BF6"/>
    <w:rsid w:val="5DE959C4"/>
    <w:rsid w:val="5E020126"/>
    <w:rsid w:val="5EBE7CEA"/>
    <w:rsid w:val="5EFD0600"/>
    <w:rsid w:val="5FE37594"/>
    <w:rsid w:val="5FE6679B"/>
    <w:rsid w:val="5FF75FFA"/>
    <w:rsid w:val="60B42F40"/>
    <w:rsid w:val="60F94C52"/>
    <w:rsid w:val="61196BC3"/>
    <w:rsid w:val="61216D08"/>
    <w:rsid w:val="61690A44"/>
    <w:rsid w:val="620D6DAC"/>
    <w:rsid w:val="62187A9E"/>
    <w:rsid w:val="627C183B"/>
    <w:rsid w:val="628D1259"/>
    <w:rsid w:val="62E4526B"/>
    <w:rsid w:val="635A2E21"/>
    <w:rsid w:val="63F21734"/>
    <w:rsid w:val="64FE2D5A"/>
    <w:rsid w:val="66C96660"/>
    <w:rsid w:val="67031671"/>
    <w:rsid w:val="67142AAB"/>
    <w:rsid w:val="67AC5FE3"/>
    <w:rsid w:val="68C46CBB"/>
    <w:rsid w:val="6A240B89"/>
    <w:rsid w:val="6A433EC2"/>
    <w:rsid w:val="6A6670FB"/>
    <w:rsid w:val="6AAB53B4"/>
    <w:rsid w:val="6B256FF6"/>
    <w:rsid w:val="6B7B0740"/>
    <w:rsid w:val="6BCB2457"/>
    <w:rsid w:val="6BD45A2F"/>
    <w:rsid w:val="6D242FB6"/>
    <w:rsid w:val="6DA84344"/>
    <w:rsid w:val="6E5F58DC"/>
    <w:rsid w:val="6EBD458E"/>
    <w:rsid w:val="6EDC1FE0"/>
    <w:rsid w:val="714521E1"/>
    <w:rsid w:val="72803C9E"/>
    <w:rsid w:val="729E1600"/>
    <w:rsid w:val="72D117F9"/>
    <w:rsid w:val="7516167C"/>
    <w:rsid w:val="7525703F"/>
    <w:rsid w:val="75D9208B"/>
    <w:rsid w:val="76045330"/>
    <w:rsid w:val="765E6A1F"/>
    <w:rsid w:val="77476464"/>
    <w:rsid w:val="77C013CA"/>
    <w:rsid w:val="77D11DD1"/>
    <w:rsid w:val="780251BC"/>
    <w:rsid w:val="78EC020C"/>
    <w:rsid w:val="7BA75723"/>
    <w:rsid w:val="7C331578"/>
    <w:rsid w:val="7CC77D6B"/>
    <w:rsid w:val="7E90110D"/>
    <w:rsid w:val="7EDA1F34"/>
    <w:rsid w:val="7EFA1182"/>
    <w:rsid w:val="7F0E0762"/>
    <w:rsid w:val="7F4B1D8C"/>
    <w:rsid w:val="7F8340A2"/>
    <w:rsid w:val="7FC0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kern w:val="44"/>
      <w:sz w:val="36"/>
    </w:rPr>
  </w:style>
  <w:style w:type="paragraph" w:styleId="3">
    <w:name w:val="heading 2"/>
    <w:basedOn w:val="1"/>
    <w:next w:val="4"/>
    <w:unhideWhenUsed/>
    <w:qFormat/>
    <w:uiPriority w:val="0"/>
    <w:pPr>
      <w:spacing w:before="260" w:after="260" w:line="413" w:lineRule="auto"/>
      <w:outlineLvl w:val="1"/>
    </w:pPr>
    <w:rPr>
      <w:rFonts w:ascii="Arial" w:hAnsi="Arial"/>
      <w:sz w:val="28"/>
    </w:rPr>
  </w:style>
  <w:style w:type="paragraph" w:styleId="5">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spacing w:line="360" w:lineRule="auto"/>
      <w:ind w:firstLine="200" w:firstLineChars="200"/>
    </w:pPr>
    <w:rPr>
      <w:szCs w:val="20"/>
    </w:rPr>
  </w:style>
  <w:style w:type="paragraph" w:styleId="7">
    <w:name w:val="Normal Indent"/>
    <w:basedOn w:val="1"/>
    <w:next w:val="1"/>
    <w:qFormat/>
    <w:uiPriority w:val="0"/>
    <w:pPr>
      <w:ind w:firstLine="420"/>
    </w:pPr>
    <w:rPr>
      <w:rFonts w:ascii="Tahoma" w:hAnsi="Tahoma"/>
      <w:szCs w:val="22"/>
    </w:rPr>
  </w:style>
  <w:style w:type="paragraph" w:styleId="8">
    <w:name w:val="Body Text"/>
    <w:basedOn w:val="1"/>
    <w:next w:val="1"/>
    <w:qFormat/>
    <w:uiPriority w:val="0"/>
    <w:pPr>
      <w:spacing w:after="120"/>
    </w:pPr>
  </w:style>
  <w:style w:type="paragraph" w:styleId="9">
    <w:name w:val="Body Text Indent"/>
    <w:basedOn w:val="1"/>
    <w:next w:val="10"/>
    <w:qFormat/>
    <w:uiPriority w:val="0"/>
    <w:pPr>
      <w:adjustRightInd w:val="0"/>
      <w:spacing w:line="360" w:lineRule="auto"/>
      <w:ind w:firstLine="490"/>
      <w:jc w:val="left"/>
    </w:pPr>
    <w:rPr>
      <w:rFonts w:ascii="宋体" w:hAnsi="宋体"/>
      <w:sz w:val="24"/>
    </w:rPr>
  </w:style>
  <w:style w:type="paragraph" w:customStyle="1" w:styleId="10">
    <w:name w:val="正文文本首行缩进 2"/>
    <w:basedOn w:val="9"/>
    <w:qFormat/>
    <w:uiPriority w:val="99"/>
    <w:pPr>
      <w:spacing w:line="200" w:lineRule="atLeast"/>
      <w:ind w:firstLine="420"/>
    </w:pPr>
    <w:rPr>
      <w:rFonts w:hAnsi="Courier New"/>
      <w:spacing w:val="-4"/>
      <w:sz w:val="18"/>
    </w:rPr>
  </w:style>
  <w:style w:type="paragraph" w:styleId="11">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12">
    <w:name w:val="index 4"/>
    <w:basedOn w:val="1"/>
    <w:next w:val="1"/>
    <w:unhideWhenUsed/>
    <w:qFormat/>
    <w:uiPriority w:val="99"/>
    <w:pPr>
      <w:ind w:left="600" w:leftChars="600"/>
    </w:pPr>
  </w:style>
  <w:style w:type="paragraph" w:styleId="13">
    <w:name w:val="Plain Text"/>
    <w:basedOn w:val="1"/>
    <w:next w:val="1"/>
    <w:link w:val="55"/>
    <w:qFormat/>
    <w:uiPriority w:val="0"/>
    <w:rPr>
      <w:rFonts w:ascii="宋体" w:hAnsi="Courier New"/>
      <w:sz w:val="18"/>
    </w:rPr>
  </w:style>
  <w:style w:type="paragraph" w:styleId="14">
    <w:name w:val="Date"/>
    <w:basedOn w:val="1"/>
    <w:next w:val="1"/>
    <w:qFormat/>
    <w:uiPriority w:val="0"/>
    <w:pPr>
      <w:ind w:left="2500" w:leftChars="2500"/>
    </w:pPr>
    <w:rPr>
      <w:rFonts w:hint="eastAsia" w:ascii="宋体" w:hAnsi="宋体"/>
      <w:sz w:val="24"/>
    </w:r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19">
    <w:name w:val="toc 4"/>
    <w:basedOn w:val="1"/>
    <w:next w:val="1"/>
    <w:unhideWhenUsed/>
    <w:qFormat/>
    <w:uiPriority w:val="39"/>
    <w:pPr>
      <w:ind w:left="1260" w:leftChars="600"/>
      <w:jc w:val="center"/>
    </w:pPr>
    <w:rPr>
      <w:rFonts w:ascii="宋体" w:hAnsi="宋体" w:cs="Calibri"/>
      <w:b/>
      <w:color w:val="FF0000"/>
      <w:szCs w:val="21"/>
    </w:rPr>
  </w:style>
  <w:style w:type="paragraph" w:styleId="20">
    <w:name w:val="footnote text"/>
    <w:basedOn w:val="1"/>
    <w:unhideWhenUsed/>
    <w:qFormat/>
    <w:uiPriority w:val="99"/>
    <w:pPr>
      <w:snapToGrid w:val="0"/>
      <w:jc w:val="left"/>
    </w:pPr>
    <w:rPr>
      <w:rFonts w:hint="eastAsia"/>
      <w:sz w:val="18"/>
      <w:szCs w:val="20"/>
    </w:rPr>
  </w:style>
  <w:style w:type="paragraph" w:styleId="21">
    <w:name w:val="toc 2"/>
    <w:basedOn w:val="1"/>
    <w:next w:val="1"/>
    <w:qFormat/>
    <w:uiPriority w:val="0"/>
    <w:pPr>
      <w:ind w:left="420" w:leftChars="200"/>
    </w:pPr>
  </w:style>
  <w:style w:type="paragraph" w:styleId="22">
    <w:name w:val="Body Text 2"/>
    <w:basedOn w:val="1"/>
    <w:qFormat/>
    <w:uiPriority w:val="0"/>
    <w:pPr>
      <w:jc w:val="center"/>
    </w:pPr>
    <w:rPr>
      <w:rFonts w:ascii="Calibri" w:hAnsi="Calibri"/>
      <w:b/>
      <w:sz w:val="72"/>
    </w:rPr>
  </w:style>
  <w:style w:type="paragraph" w:styleId="23">
    <w:name w:val="Normal (Web)"/>
    <w:basedOn w:val="1"/>
    <w:qFormat/>
    <w:uiPriority w:val="0"/>
    <w:pPr>
      <w:widowControl/>
      <w:spacing w:before="100" w:beforeAutospacing="1" w:after="100" w:afterAutospacing="1"/>
      <w:jc w:val="left"/>
    </w:pPr>
    <w:rPr>
      <w:rFonts w:ascii="宋体" w:hAnsi="宋体"/>
      <w:sz w:val="24"/>
    </w:rPr>
  </w:style>
  <w:style w:type="paragraph" w:styleId="24">
    <w:name w:val="Body Text First Indent"/>
    <w:basedOn w:val="8"/>
    <w:next w:val="1"/>
    <w:qFormat/>
    <w:uiPriority w:val="0"/>
    <w:pPr>
      <w:ind w:firstLine="420"/>
    </w:pPr>
    <w:rPr>
      <w:rFonts w:eastAsia="楷体_GB2312"/>
      <w:b/>
      <w:bCs/>
      <w:sz w:val="32"/>
      <w:szCs w:val="20"/>
    </w:rPr>
  </w:style>
  <w:style w:type="paragraph" w:styleId="25">
    <w:name w:val="Body Text First Indent 2"/>
    <w:basedOn w:val="9"/>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footnote reference"/>
    <w:basedOn w:val="28"/>
    <w:unhideWhenUsed/>
    <w:qFormat/>
    <w:uiPriority w:val="99"/>
    <w:rPr>
      <w:rFonts w:hint="default" w:ascii="Times New Roman"/>
      <w:sz w:val="24"/>
      <w:vertAlign w:val="superscript"/>
    </w:rPr>
  </w:style>
  <w:style w:type="paragraph" w:customStyle="1" w:styleId="33">
    <w:name w:val="Body Text First Indent1"/>
    <w:basedOn w:val="8"/>
    <w:autoRedefine/>
    <w:qFormat/>
    <w:uiPriority w:val="0"/>
    <w:pPr>
      <w:widowControl/>
      <w:spacing w:after="160" w:afterLines="0"/>
      <w:ind w:firstLine="250" w:firstLineChars="250"/>
      <w:jc w:val="left"/>
    </w:pPr>
    <w:rPr>
      <w:rFonts w:ascii="微软雅黑" w:hAnsi="微软雅黑" w:eastAsia="微软雅黑" w:cs="Times New Roman"/>
      <w:smallCaps/>
      <w:color w:val="000000"/>
      <w:kern w:val="0"/>
      <w:szCs w:val="24"/>
    </w:rPr>
  </w:style>
  <w:style w:type="paragraph" w:customStyle="1" w:styleId="34">
    <w:name w:val="引用1"/>
    <w:basedOn w:val="1"/>
    <w:next w:val="1"/>
    <w:qFormat/>
    <w:uiPriority w:val="99"/>
    <w:pPr>
      <w:spacing w:before="200" w:after="160"/>
      <w:ind w:left="864" w:right="864"/>
      <w:jc w:val="center"/>
    </w:pPr>
    <w:rPr>
      <w:i/>
      <w:iCs/>
      <w:color w:val="3F3F3F"/>
    </w:rPr>
  </w:style>
  <w:style w:type="paragraph" w:customStyle="1" w:styleId="35">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6">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37">
    <w:name w:val="正文文字"/>
    <w:basedOn w:val="1"/>
    <w:qFormat/>
    <w:uiPriority w:val="0"/>
    <w:pPr>
      <w:widowControl/>
      <w:spacing w:line="952" w:lineRule="atLeast"/>
      <w:ind w:firstLine="419"/>
      <w:textAlignment w:val="baseline"/>
    </w:pPr>
    <w:rPr>
      <w:b/>
      <w:color w:val="000000"/>
      <w:sz w:val="44"/>
      <w:u w:color="000000"/>
    </w:rPr>
  </w:style>
  <w:style w:type="character" w:customStyle="1" w:styleId="38">
    <w:name w:val="标题 1 Char"/>
    <w:qFormat/>
    <w:uiPriority w:val="0"/>
    <w:rPr>
      <w:rFonts w:eastAsia="黑体"/>
      <w:b/>
      <w:snapToGrid w:val="0"/>
      <w:kern w:val="44"/>
      <w:sz w:val="36"/>
      <w:lang w:val="en-US" w:eastAsia="zh-CN"/>
    </w:rPr>
  </w:style>
  <w:style w:type="paragraph" w:customStyle="1" w:styleId="39">
    <w:name w:val="正文文本 21"/>
    <w:basedOn w:val="1"/>
    <w:qFormat/>
    <w:uiPriority w:val="0"/>
    <w:pPr>
      <w:adjustRightInd w:val="0"/>
      <w:spacing w:line="300" w:lineRule="auto"/>
      <w:jc w:val="center"/>
    </w:pPr>
    <w:rPr>
      <w:rFonts w:hint="eastAsia" w:ascii="宋体" w:hAnsi="宋体"/>
      <w:sz w:val="24"/>
    </w:rPr>
  </w:style>
  <w:style w:type="paragraph" w:customStyle="1" w:styleId="40">
    <w:name w:val="列出段落1"/>
    <w:basedOn w:val="1"/>
    <w:qFormat/>
    <w:uiPriority w:val="0"/>
    <w:pPr>
      <w:ind w:firstLine="420" w:firstLineChars="200"/>
    </w:pPr>
  </w:style>
  <w:style w:type="character" w:customStyle="1" w:styleId="41">
    <w:name w:val="批注框文本 字符"/>
    <w:basedOn w:val="28"/>
    <w:link w:val="15"/>
    <w:qFormat/>
    <w:uiPriority w:val="0"/>
    <w:rPr>
      <w:kern w:val="2"/>
      <w:sz w:val="18"/>
      <w:szCs w:val="18"/>
    </w:rPr>
  </w:style>
  <w:style w:type="paragraph" w:customStyle="1" w:styleId="42">
    <w:name w:val="首行缩进"/>
    <w:basedOn w:val="1"/>
    <w:qFormat/>
    <w:uiPriority w:val="0"/>
    <w:rPr>
      <w:lang w:val="zh-CN"/>
    </w:rPr>
  </w:style>
  <w:style w:type="paragraph" w:customStyle="1" w:styleId="43">
    <w:name w:val="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rPr>
  </w:style>
  <w:style w:type="character" w:customStyle="1" w:styleId="45">
    <w:name w:val="font41"/>
    <w:basedOn w:val="28"/>
    <w:qFormat/>
    <w:uiPriority w:val="0"/>
    <w:rPr>
      <w:rFonts w:hint="default" w:ascii="等线" w:hAnsi="等线" w:eastAsia="等线" w:cs="等线"/>
      <w:b/>
      <w:color w:val="000000"/>
      <w:sz w:val="22"/>
      <w:szCs w:val="22"/>
      <w:u w:val="none"/>
    </w:rPr>
  </w:style>
  <w:style w:type="character" w:customStyle="1" w:styleId="46">
    <w:name w:val="font01"/>
    <w:basedOn w:val="28"/>
    <w:qFormat/>
    <w:uiPriority w:val="0"/>
    <w:rPr>
      <w:rFonts w:hint="default" w:ascii="等线" w:hAnsi="等线" w:eastAsia="等线" w:cs="等线"/>
      <w:color w:val="000000"/>
      <w:sz w:val="22"/>
      <w:szCs w:val="22"/>
      <w:u w:val="none"/>
    </w:rPr>
  </w:style>
  <w:style w:type="character" w:customStyle="1" w:styleId="47">
    <w:name w:val="font31"/>
    <w:basedOn w:val="28"/>
    <w:qFormat/>
    <w:uiPriority w:val="0"/>
    <w:rPr>
      <w:rFonts w:hint="default" w:ascii="等线" w:hAnsi="等线" w:eastAsia="等线" w:cs="等线"/>
      <w:color w:val="000000"/>
      <w:sz w:val="22"/>
      <w:szCs w:val="22"/>
      <w:u w:val="none"/>
    </w:rPr>
  </w:style>
  <w:style w:type="character" w:customStyle="1" w:styleId="48">
    <w:name w:val="font51"/>
    <w:basedOn w:val="28"/>
    <w:qFormat/>
    <w:uiPriority w:val="0"/>
    <w:rPr>
      <w:rFonts w:hint="default" w:ascii="等线" w:hAnsi="等线" w:eastAsia="等线" w:cs="等线"/>
      <w:color w:val="FF0000"/>
      <w:sz w:val="22"/>
      <w:szCs w:val="22"/>
      <w:u w:val="none"/>
    </w:rPr>
  </w:style>
  <w:style w:type="character" w:customStyle="1" w:styleId="49">
    <w:name w:val="font11"/>
    <w:basedOn w:val="28"/>
    <w:qFormat/>
    <w:uiPriority w:val="0"/>
    <w:rPr>
      <w:rFonts w:hint="default" w:ascii="等线" w:hAnsi="等线" w:eastAsia="等线" w:cs="等线"/>
      <w:color w:val="000000"/>
      <w:sz w:val="22"/>
      <w:szCs w:val="22"/>
      <w:u w:val="none"/>
    </w:rPr>
  </w:style>
  <w:style w:type="character" w:customStyle="1" w:styleId="50">
    <w:name w:val="font61"/>
    <w:basedOn w:val="28"/>
    <w:qFormat/>
    <w:uiPriority w:val="0"/>
    <w:rPr>
      <w:rFonts w:hint="default" w:ascii="等线" w:hAnsi="等线" w:eastAsia="等线" w:cs="等线"/>
      <w:b/>
      <w:color w:val="000000"/>
      <w:sz w:val="22"/>
      <w:szCs w:val="22"/>
      <w:u w:val="none"/>
    </w:rPr>
  </w:style>
  <w:style w:type="paragraph" w:customStyle="1" w:styleId="51">
    <w:name w:val="￥正文"/>
    <w:basedOn w:val="1"/>
    <w:qFormat/>
    <w:uiPriority w:val="0"/>
    <w:pPr>
      <w:spacing w:line="360" w:lineRule="auto"/>
      <w:ind w:firstLine="200" w:firstLineChars="200"/>
    </w:pPr>
    <w:rPr>
      <w:rFonts w:ascii="Calibri" w:hAnsi="Calibri" w:eastAsia="仿宋_GB2312"/>
      <w:kern w:val="0"/>
      <w:sz w:val="24"/>
    </w:rPr>
  </w:style>
  <w:style w:type="character" w:customStyle="1" w:styleId="52">
    <w:name w:val="htd0"/>
    <w:basedOn w:val="28"/>
    <w:qFormat/>
    <w:uiPriority w:val="0"/>
  </w:style>
  <w:style w:type="paragraph" w:customStyle="1" w:styleId="53">
    <w:name w:val="Char"/>
    <w:basedOn w:val="1"/>
    <w:qFormat/>
    <w:uiPriority w:val="0"/>
    <w:rPr>
      <w:rFonts w:ascii="仿宋_GB2312" w:eastAsia="仿宋_GB2312" w:cs="仿宋_GB2312"/>
      <w:b/>
      <w:bCs/>
      <w:sz w:val="32"/>
      <w:szCs w:val="32"/>
    </w:rPr>
  </w:style>
  <w:style w:type="paragraph" w:styleId="54">
    <w:name w:val="List Paragraph"/>
    <w:basedOn w:val="1"/>
    <w:unhideWhenUsed/>
    <w:qFormat/>
    <w:uiPriority w:val="99"/>
    <w:pPr>
      <w:ind w:firstLine="420" w:firstLineChars="200"/>
    </w:pPr>
  </w:style>
  <w:style w:type="character" w:customStyle="1" w:styleId="55">
    <w:name w:val="纯文本 字符"/>
    <w:link w:val="13"/>
    <w:qFormat/>
    <w:uiPriority w:val="0"/>
    <w:rPr>
      <w:rFonts w:ascii="宋体" w:hAnsi="Courier New"/>
      <w:kern w:val="2"/>
      <w:sz w:val="18"/>
      <w:szCs w:val="24"/>
    </w:rPr>
  </w:style>
  <w:style w:type="paragraph" w:customStyle="1" w:styleId="56">
    <w:name w:val="Char Char Char Char"/>
    <w:basedOn w:val="1"/>
    <w:qFormat/>
    <w:uiPriority w:val="0"/>
    <w:pPr>
      <w:spacing w:line="360" w:lineRule="auto"/>
      <w:ind w:firstLine="200" w:firstLineChars="200"/>
    </w:pPr>
    <w:rPr>
      <w:rFonts w:ascii="宋体" w:cs="宋体"/>
      <w:sz w:val="24"/>
    </w:rPr>
  </w:style>
  <w:style w:type="paragraph" w:customStyle="1" w:styleId="57">
    <w:name w:val="BodyText"/>
    <w:basedOn w:val="1"/>
    <w:next w:val="1"/>
    <w:qFormat/>
    <w:uiPriority w:val="0"/>
    <w:pPr>
      <w:textAlignment w:val="baseline"/>
    </w:pPr>
    <w:rPr>
      <w:rFonts w:ascii="Calibri" w:hAnsi="Calibri" w:eastAsia="宋体" w:cs="Times New Roman"/>
      <w:b/>
      <w:sz w:val="30"/>
      <w:szCs w:val="22"/>
    </w:rPr>
  </w:style>
  <w:style w:type="paragraph" w:customStyle="1" w:styleId="58">
    <w:name w:val="Table Paragraph"/>
    <w:basedOn w:val="1"/>
    <w:qFormat/>
    <w:uiPriority w:val="1"/>
    <w:rPr>
      <w:rFonts w:ascii="宋体" w:hAnsi="宋体" w:eastAsia="宋体" w:cs="宋体"/>
      <w:lang w:val="zh-CN" w:eastAsia="zh-CN" w:bidi="zh-CN"/>
    </w:rPr>
  </w:style>
  <w:style w:type="paragraph" w:customStyle="1" w:styleId="59">
    <w:name w:val="CM19"/>
    <w:basedOn w:val="35"/>
    <w:next w:val="35"/>
    <w:unhideWhenUsed/>
    <w:qFormat/>
    <w:uiPriority w:val="99"/>
    <w:pPr>
      <w:spacing w:before="0" w:after="0"/>
    </w:pPr>
    <w:rPr>
      <w:rFonts w:hint="eastAsia" w:ascii="..ì." w:eastAsia="..ì." w:cs="..ì."/>
    </w:rPr>
  </w:style>
  <w:style w:type="paragraph" w:customStyle="1" w:styleId="60">
    <w:name w:val="CM11"/>
    <w:basedOn w:val="35"/>
    <w:next w:val="35"/>
    <w:unhideWhenUsed/>
    <w:qFormat/>
    <w:uiPriority w:val="99"/>
    <w:pPr>
      <w:spacing w:before="0" w:after="0" w:line="520" w:lineRule="atLeast"/>
    </w:pPr>
    <w:rPr>
      <w:rFonts w:hint="eastAsia" w:ascii="..ì." w:eastAsia="..ì." w:cs="..ì."/>
    </w:rPr>
  </w:style>
  <w:style w:type="paragraph" w:customStyle="1" w:styleId="61">
    <w:name w:val="CM13"/>
    <w:basedOn w:val="35"/>
    <w:next w:val="35"/>
    <w:unhideWhenUsed/>
    <w:qFormat/>
    <w:uiPriority w:val="99"/>
    <w:pPr>
      <w:spacing w:before="0" w:after="0" w:line="520" w:lineRule="atLeast"/>
    </w:pPr>
    <w:rPr>
      <w:rFonts w:hint="eastAsia" w:ascii="..ì." w:eastAsia="..ì." w:cs="..ì."/>
    </w:rPr>
  </w:style>
  <w:style w:type="paragraph" w:customStyle="1" w:styleId="62">
    <w:name w:val="CM14"/>
    <w:basedOn w:val="35"/>
    <w:next w:val="35"/>
    <w:unhideWhenUsed/>
    <w:qFormat/>
    <w:uiPriority w:val="99"/>
    <w:pPr>
      <w:spacing w:before="0" w:after="0" w:line="546" w:lineRule="atLeast"/>
    </w:pPr>
    <w:rPr>
      <w:rFonts w:hint="eastAsia" w:ascii="..ì." w:eastAsia="..ì." w:cs="..ì."/>
    </w:rPr>
  </w:style>
  <w:style w:type="paragraph" w:customStyle="1" w:styleId="63">
    <w:name w:val="正文33"/>
    <w:basedOn w:val="1"/>
    <w:qFormat/>
    <w:uiPriority w:val="0"/>
    <w:pPr>
      <w:spacing w:line="360" w:lineRule="auto"/>
      <w:ind w:firstLine="480" w:firstLineChars="200"/>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02CC-205F-4347-B907-667BDC2D33A8}">
  <ds:schemaRefs/>
</ds:datastoreItem>
</file>

<file path=docProps/app.xml><?xml version="1.0" encoding="utf-8"?>
<Properties xmlns="http://schemas.openxmlformats.org/officeDocument/2006/extended-properties" xmlns:vt="http://schemas.openxmlformats.org/officeDocument/2006/docPropsVTypes">
  <Template>Normal</Template>
  <Pages>55</Pages>
  <Words>28020</Words>
  <Characters>29672</Characters>
  <Lines>198</Lines>
  <Paragraphs>55</Paragraphs>
  <TotalTime>15</TotalTime>
  <ScaleCrop>false</ScaleCrop>
  <LinksUpToDate>false</LinksUpToDate>
  <CharactersWithSpaces>31810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2022-02-08T08:50:00Z</dcterms:created>
  <dc:creator>桃子</dc:creator>
  <cp:lastModifiedBy>Administrator</cp:lastModifiedBy>
  <cp:lastPrinted>2024-06-13T01:44:36Z</cp:lastPrinted>
  <dcterms:modified xsi:type="dcterms:W3CDTF">2024-06-13T01:46:04Z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6E118BC8CED84EB1BE7FD3A7BD32273B</vt:lpwstr>
  </property>
</Properties>
</file>