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D0C9D">
      <w:pPr>
        <w:spacing w:line="360" w:lineRule="auto"/>
        <w:jc w:val="center"/>
        <w:rPr>
          <w:rFonts w:hint="eastAsia" w:ascii="宋体" w:hAnsi="宋体" w:eastAsia="宋体" w:cs="宋体"/>
          <w:b/>
          <w:bCs/>
          <w:color w:val="auto"/>
          <w:spacing w:val="-11"/>
          <w:szCs w:val="21"/>
          <w:highlight w:val="none"/>
        </w:rPr>
      </w:pPr>
    </w:p>
    <w:p w14:paraId="442659C6">
      <w:pPr>
        <w:spacing w:line="360" w:lineRule="auto"/>
        <w:jc w:val="center"/>
        <w:rPr>
          <w:rFonts w:hint="eastAsia" w:ascii="宋体" w:hAnsi="宋体" w:cs="宋体"/>
          <w:b/>
          <w:bCs/>
          <w:color w:val="auto"/>
          <w:spacing w:val="-11"/>
          <w:sz w:val="44"/>
          <w:szCs w:val="44"/>
          <w:highlight w:val="none"/>
          <w:lang w:eastAsia="zh-CN"/>
        </w:rPr>
      </w:pPr>
      <w:r>
        <w:rPr>
          <w:rFonts w:hint="eastAsia" w:ascii="宋体" w:hAnsi="宋体" w:cs="宋体"/>
          <w:b/>
          <w:bCs/>
          <w:color w:val="auto"/>
          <w:spacing w:val="-11"/>
          <w:sz w:val="44"/>
          <w:szCs w:val="44"/>
          <w:highlight w:val="none"/>
          <w:lang w:eastAsia="zh-CN"/>
        </w:rPr>
        <w:t>南湖区-遂昌县制造业高质量发展结对促共富</w:t>
      </w:r>
    </w:p>
    <w:p w14:paraId="07A375EF">
      <w:pPr>
        <w:spacing w:line="360" w:lineRule="auto"/>
        <w:jc w:val="center"/>
        <w:rPr>
          <w:rFonts w:hint="eastAsia" w:ascii="宋体" w:hAnsi="宋体" w:eastAsia="宋体" w:cs="宋体"/>
          <w:b/>
          <w:bCs/>
          <w:color w:val="auto"/>
          <w:spacing w:val="20"/>
          <w:sz w:val="44"/>
          <w:szCs w:val="44"/>
          <w:highlight w:val="none"/>
          <w:lang w:eastAsia="zh-CN"/>
        </w:rPr>
      </w:pPr>
      <w:r>
        <w:rPr>
          <w:rFonts w:hint="eastAsia" w:ascii="宋体" w:hAnsi="宋体" w:cs="宋体"/>
          <w:b/>
          <w:bCs/>
          <w:color w:val="auto"/>
          <w:spacing w:val="-11"/>
          <w:sz w:val="44"/>
          <w:szCs w:val="44"/>
          <w:highlight w:val="none"/>
          <w:lang w:eastAsia="zh-CN"/>
        </w:rPr>
        <w:t>经营管理赋能服务项目</w:t>
      </w:r>
    </w:p>
    <w:p w14:paraId="6DCCFA74">
      <w:pPr>
        <w:spacing w:line="660" w:lineRule="exact"/>
        <w:jc w:val="center"/>
        <w:rPr>
          <w:rFonts w:hint="eastAsia" w:ascii="宋体" w:hAnsi="宋体" w:eastAsia="宋体" w:cs="宋体"/>
          <w:b/>
          <w:bCs/>
          <w:color w:val="auto"/>
          <w:spacing w:val="20"/>
          <w:sz w:val="56"/>
          <w:szCs w:val="44"/>
          <w:highlight w:val="none"/>
        </w:rPr>
      </w:pPr>
      <w:r>
        <w:rPr>
          <w:rFonts w:hint="eastAsia" w:ascii="宋体" w:hAnsi="宋体" w:eastAsia="宋体" w:cs="宋体"/>
          <w:b/>
          <w:bCs/>
          <w:color w:val="auto"/>
          <w:spacing w:val="20"/>
          <w:sz w:val="56"/>
          <w:szCs w:val="44"/>
          <w:highlight w:val="none"/>
        </w:rPr>
        <w:t>竞</w:t>
      </w:r>
    </w:p>
    <w:p w14:paraId="2AB3CDA1">
      <w:pPr>
        <w:spacing w:line="660" w:lineRule="exact"/>
        <w:jc w:val="center"/>
        <w:rPr>
          <w:rFonts w:hint="eastAsia" w:ascii="宋体" w:hAnsi="宋体" w:eastAsia="宋体" w:cs="宋体"/>
          <w:b/>
          <w:bCs/>
          <w:color w:val="auto"/>
          <w:spacing w:val="20"/>
          <w:sz w:val="56"/>
          <w:szCs w:val="44"/>
          <w:highlight w:val="none"/>
        </w:rPr>
      </w:pPr>
    </w:p>
    <w:p w14:paraId="1701280A">
      <w:pPr>
        <w:spacing w:line="660" w:lineRule="exact"/>
        <w:jc w:val="center"/>
        <w:rPr>
          <w:rFonts w:hint="eastAsia" w:ascii="宋体" w:hAnsi="宋体" w:eastAsia="宋体" w:cs="宋体"/>
          <w:b/>
          <w:bCs/>
          <w:color w:val="auto"/>
          <w:spacing w:val="20"/>
          <w:sz w:val="56"/>
          <w:szCs w:val="44"/>
          <w:highlight w:val="none"/>
        </w:rPr>
      </w:pPr>
      <w:r>
        <w:rPr>
          <w:rFonts w:hint="eastAsia" w:ascii="宋体" w:hAnsi="宋体" w:eastAsia="宋体" w:cs="宋体"/>
          <w:b/>
          <w:bCs/>
          <w:color w:val="auto"/>
          <w:spacing w:val="20"/>
          <w:sz w:val="56"/>
          <w:szCs w:val="44"/>
          <w:highlight w:val="none"/>
        </w:rPr>
        <w:t>争</w:t>
      </w:r>
    </w:p>
    <w:p w14:paraId="4030D9C2">
      <w:pPr>
        <w:spacing w:line="660" w:lineRule="exact"/>
        <w:rPr>
          <w:rFonts w:hint="eastAsia" w:ascii="宋体" w:hAnsi="宋体" w:eastAsia="宋体" w:cs="宋体"/>
          <w:b/>
          <w:bCs/>
          <w:color w:val="auto"/>
          <w:spacing w:val="20"/>
          <w:sz w:val="56"/>
          <w:szCs w:val="44"/>
          <w:highlight w:val="none"/>
        </w:rPr>
      </w:pPr>
    </w:p>
    <w:p w14:paraId="45C43FB5">
      <w:pPr>
        <w:spacing w:line="660" w:lineRule="exact"/>
        <w:jc w:val="center"/>
        <w:rPr>
          <w:rFonts w:hint="eastAsia" w:ascii="宋体" w:hAnsi="宋体" w:eastAsia="宋体" w:cs="宋体"/>
          <w:b/>
          <w:bCs/>
          <w:color w:val="auto"/>
          <w:spacing w:val="20"/>
          <w:sz w:val="56"/>
          <w:szCs w:val="44"/>
          <w:highlight w:val="none"/>
        </w:rPr>
      </w:pPr>
      <w:r>
        <w:rPr>
          <w:rFonts w:hint="eastAsia" w:ascii="宋体" w:hAnsi="宋体" w:eastAsia="宋体" w:cs="宋体"/>
          <w:b/>
          <w:bCs/>
          <w:color w:val="auto"/>
          <w:spacing w:val="20"/>
          <w:sz w:val="56"/>
          <w:szCs w:val="44"/>
          <w:highlight w:val="none"/>
        </w:rPr>
        <w:t>性</w:t>
      </w:r>
    </w:p>
    <w:p w14:paraId="5CCBE5C8">
      <w:pPr>
        <w:spacing w:line="660" w:lineRule="exact"/>
        <w:ind w:firstLine="3312" w:firstLineChars="550"/>
        <w:jc w:val="center"/>
        <w:rPr>
          <w:rFonts w:hint="eastAsia" w:ascii="宋体" w:hAnsi="宋体" w:eastAsia="宋体" w:cs="宋体"/>
          <w:b/>
          <w:bCs/>
          <w:color w:val="auto"/>
          <w:spacing w:val="20"/>
          <w:sz w:val="56"/>
          <w:szCs w:val="44"/>
          <w:highlight w:val="none"/>
        </w:rPr>
      </w:pPr>
    </w:p>
    <w:p w14:paraId="570C7643">
      <w:pPr>
        <w:spacing w:line="660" w:lineRule="exact"/>
        <w:jc w:val="center"/>
        <w:rPr>
          <w:rFonts w:hint="eastAsia" w:ascii="宋体" w:hAnsi="宋体" w:eastAsia="宋体" w:cs="宋体"/>
          <w:b/>
          <w:bCs/>
          <w:color w:val="auto"/>
          <w:spacing w:val="20"/>
          <w:sz w:val="56"/>
          <w:szCs w:val="44"/>
          <w:highlight w:val="none"/>
        </w:rPr>
      </w:pPr>
      <w:r>
        <w:rPr>
          <w:rFonts w:hint="eastAsia" w:ascii="宋体" w:hAnsi="宋体" w:eastAsia="宋体" w:cs="宋体"/>
          <w:b/>
          <w:bCs/>
          <w:color w:val="auto"/>
          <w:spacing w:val="20"/>
          <w:sz w:val="56"/>
          <w:szCs w:val="44"/>
          <w:highlight w:val="none"/>
        </w:rPr>
        <w:t>磋</w:t>
      </w:r>
    </w:p>
    <w:p w14:paraId="40FAB196">
      <w:pPr>
        <w:spacing w:line="660" w:lineRule="exact"/>
        <w:jc w:val="center"/>
        <w:rPr>
          <w:rFonts w:hint="eastAsia" w:ascii="宋体" w:hAnsi="宋体" w:eastAsia="宋体" w:cs="宋体"/>
          <w:b/>
          <w:bCs/>
          <w:color w:val="auto"/>
          <w:spacing w:val="20"/>
          <w:sz w:val="56"/>
          <w:szCs w:val="44"/>
          <w:highlight w:val="none"/>
        </w:rPr>
      </w:pPr>
    </w:p>
    <w:p w14:paraId="0426CE83">
      <w:pPr>
        <w:spacing w:line="660" w:lineRule="exact"/>
        <w:jc w:val="center"/>
        <w:rPr>
          <w:rFonts w:hint="eastAsia" w:ascii="宋体" w:hAnsi="宋体" w:eastAsia="宋体" w:cs="宋体"/>
          <w:b/>
          <w:bCs/>
          <w:color w:val="auto"/>
          <w:spacing w:val="20"/>
          <w:sz w:val="56"/>
          <w:szCs w:val="44"/>
          <w:highlight w:val="none"/>
        </w:rPr>
      </w:pPr>
      <w:r>
        <w:rPr>
          <w:rFonts w:hint="eastAsia" w:ascii="宋体" w:hAnsi="宋体" w:eastAsia="宋体" w:cs="宋体"/>
          <w:b/>
          <w:bCs/>
          <w:color w:val="auto"/>
          <w:spacing w:val="20"/>
          <w:sz w:val="56"/>
          <w:szCs w:val="44"/>
          <w:highlight w:val="none"/>
        </w:rPr>
        <w:t>商</w:t>
      </w:r>
    </w:p>
    <w:p w14:paraId="61BF70E7">
      <w:pPr>
        <w:spacing w:line="660" w:lineRule="exact"/>
        <w:ind w:firstLine="3312" w:firstLineChars="550"/>
        <w:jc w:val="center"/>
        <w:rPr>
          <w:rFonts w:hint="eastAsia" w:ascii="宋体" w:hAnsi="宋体" w:eastAsia="宋体" w:cs="宋体"/>
          <w:b/>
          <w:bCs/>
          <w:color w:val="auto"/>
          <w:spacing w:val="20"/>
          <w:sz w:val="56"/>
          <w:szCs w:val="44"/>
          <w:highlight w:val="none"/>
        </w:rPr>
      </w:pPr>
    </w:p>
    <w:p w14:paraId="6A4C623A">
      <w:pPr>
        <w:spacing w:line="660" w:lineRule="exact"/>
        <w:jc w:val="center"/>
        <w:rPr>
          <w:rFonts w:hint="eastAsia" w:ascii="宋体" w:hAnsi="宋体" w:eastAsia="宋体" w:cs="宋体"/>
          <w:b/>
          <w:bCs/>
          <w:color w:val="auto"/>
          <w:spacing w:val="20"/>
          <w:sz w:val="56"/>
          <w:szCs w:val="44"/>
          <w:highlight w:val="none"/>
        </w:rPr>
      </w:pPr>
      <w:r>
        <w:rPr>
          <w:rFonts w:hint="eastAsia" w:ascii="宋体" w:hAnsi="宋体" w:eastAsia="宋体" w:cs="宋体"/>
          <w:b/>
          <w:bCs/>
          <w:color w:val="auto"/>
          <w:spacing w:val="20"/>
          <w:sz w:val="56"/>
          <w:szCs w:val="44"/>
          <w:highlight w:val="none"/>
        </w:rPr>
        <w:t>文</w:t>
      </w:r>
    </w:p>
    <w:p w14:paraId="75E40DEA">
      <w:pPr>
        <w:spacing w:line="660" w:lineRule="exact"/>
        <w:ind w:firstLine="3312" w:firstLineChars="550"/>
        <w:jc w:val="center"/>
        <w:rPr>
          <w:rFonts w:hint="eastAsia" w:ascii="宋体" w:hAnsi="宋体" w:eastAsia="宋体" w:cs="宋体"/>
          <w:b/>
          <w:bCs/>
          <w:color w:val="auto"/>
          <w:spacing w:val="20"/>
          <w:sz w:val="56"/>
          <w:szCs w:val="44"/>
          <w:highlight w:val="none"/>
        </w:rPr>
      </w:pPr>
    </w:p>
    <w:p w14:paraId="0A828848">
      <w:pPr>
        <w:spacing w:line="660" w:lineRule="exact"/>
        <w:jc w:val="center"/>
        <w:rPr>
          <w:rFonts w:hint="eastAsia" w:ascii="宋体" w:hAnsi="宋体" w:eastAsia="宋体" w:cs="宋体"/>
          <w:b/>
          <w:bCs/>
          <w:color w:val="auto"/>
          <w:spacing w:val="20"/>
          <w:sz w:val="56"/>
          <w:szCs w:val="44"/>
          <w:highlight w:val="none"/>
        </w:rPr>
      </w:pPr>
      <w:r>
        <w:rPr>
          <w:rFonts w:hint="eastAsia" w:ascii="宋体" w:hAnsi="宋体" w:eastAsia="宋体" w:cs="宋体"/>
          <w:b/>
          <w:bCs/>
          <w:color w:val="auto"/>
          <w:spacing w:val="20"/>
          <w:sz w:val="56"/>
          <w:szCs w:val="44"/>
          <w:highlight w:val="none"/>
        </w:rPr>
        <w:t>件</w:t>
      </w:r>
    </w:p>
    <w:p w14:paraId="3429CB6B">
      <w:pPr>
        <w:pStyle w:val="16"/>
        <w:spacing w:before="120" w:beforeLines="50" w:line="400" w:lineRule="exact"/>
        <w:jc w:val="left"/>
        <w:rPr>
          <w:rFonts w:hint="eastAsia" w:ascii="宋体" w:hAnsi="宋体" w:eastAsia="宋体" w:cs="宋体"/>
          <w:b/>
          <w:bCs/>
          <w:color w:val="auto"/>
          <w:sz w:val="28"/>
          <w:szCs w:val="32"/>
          <w:highlight w:val="none"/>
        </w:rPr>
      </w:pPr>
    </w:p>
    <w:p w14:paraId="20A48EA9">
      <w:pPr>
        <w:pStyle w:val="16"/>
        <w:spacing w:before="120" w:beforeLines="50" w:line="400" w:lineRule="exact"/>
        <w:ind w:firstLine="1405" w:firstLineChars="500"/>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rPr>
        <w:t>项目编号：</w:t>
      </w:r>
      <w:r>
        <w:rPr>
          <w:rFonts w:hint="eastAsia" w:hAnsi="宋体" w:cs="宋体"/>
          <w:b/>
          <w:bCs/>
          <w:color w:val="auto"/>
          <w:sz w:val="28"/>
          <w:szCs w:val="32"/>
          <w:highlight w:val="none"/>
          <w:lang w:eastAsia="zh-CN"/>
        </w:rPr>
        <w:t>JXMYZFCG-2024-044</w:t>
      </w:r>
    </w:p>
    <w:p w14:paraId="1A5CF42A">
      <w:pPr>
        <w:pStyle w:val="16"/>
        <w:spacing w:before="120" w:beforeLines="50" w:line="400" w:lineRule="exact"/>
        <w:ind w:firstLine="1394" w:firstLineChars="496"/>
        <w:jc w:val="left"/>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采购单位：嘉兴市南湖区经济信息商务局</w:t>
      </w:r>
    </w:p>
    <w:p w14:paraId="133B42CC">
      <w:pPr>
        <w:pStyle w:val="16"/>
        <w:spacing w:before="120" w:beforeLines="50" w:line="400" w:lineRule="exact"/>
        <w:ind w:firstLine="1394" w:firstLineChars="496"/>
        <w:jc w:val="left"/>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代理机构：嘉兴市明扬工程咨询有限公司</w:t>
      </w:r>
    </w:p>
    <w:p w14:paraId="696F9596">
      <w:pPr>
        <w:pStyle w:val="16"/>
        <w:spacing w:before="120" w:beforeLines="50" w:line="400" w:lineRule="exact"/>
        <w:ind w:firstLine="1394" w:firstLineChars="496"/>
        <w:jc w:val="left"/>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备案单位：嘉兴市南湖区财政局</w:t>
      </w:r>
    </w:p>
    <w:p w14:paraId="67213EF1">
      <w:pPr>
        <w:pStyle w:val="16"/>
        <w:spacing w:before="120" w:beforeLines="50" w:line="500" w:lineRule="exact"/>
        <w:jc w:val="center"/>
        <w:rPr>
          <w:rFonts w:hint="eastAsia" w:ascii="宋体" w:hAnsi="宋体" w:eastAsia="宋体" w:cs="宋体"/>
          <w:b/>
          <w:bCs/>
          <w:color w:val="auto"/>
          <w:sz w:val="28"/>
          <w:szCs w:val="32"/>
          <w:highlight w:val="none"/>
        </w:rPr>
        <w:sectPr>
          <w:headerReference r:id="rId4" w:type="first"/>
          <w:headerReference r:id="rId3" w:type="default"/>
          <w:footerReference r:id="rId5" w:type="default"/>
          <w:footerReference r:id="rId6" w:type="even"/>
          <w:pgSz w:w="11907" w:h="16840"/>
          <w:pgMar w:top="1121" w:right="1247" w:bottom="1701" w:left="1559" w:header="737" w:footer="851" w:gutter="0"/>
          <w:pgNumType w:fmt="upperRoman" w:start="1"/>
          <w:cols w:space="720" w:num="1"/>
          <w:titlePg/>
          <w:docGrid w:linePitch="326" w:charSpace="0"/>
        </w:sectPr>
      </w:pPr>
      <w:r>
        <w:rPr>
          <w:rFonts w:hint="eastAsia" w:ascii="宋体" w:hAnsi="宋体" w:eastAsia="宋体" w:cs="宋体"/>
          <w:b/>
          <w:bCs/>
          <w:color w:val="auto"/>
          <w:sz w:val="28"/>
          <w:szCs w:val="32"/>
          <w:highlight w:val="none"/>
        </w:rPr>
        <w:t>2024年</w:t>
      </w:r>
      <w:r>
        <w:rPr>
          <w:rFonts w:hint="eastAsia" w:hAnsi="宋体" w:cs="宋体"/>
          <w:b/>
          <w:bCs/>
          <w:color w:val="auto"/>
          <w:sz w:val="28"/>
          <w:szCs w:val="32"/>
          <w:highlight w:val="none"/>
          <w:lang w:val="en-US" w:eastAsia="zh-CN"/>
        </w:rPr>
        <w:t>11</w:t>
      </w:r>
      <w:r>
        <w:rPr>
          <w:rFonts w:hint="eastAsia" w:ascii="宋体" w:hAnsi="宋体" w:eastAsia="宋体" w:cs="宋体"/>
          <w:b/>
          <w:bCs/>
          <w:color w:val="auto"/>
          <w:sz w:val="28"/>
          <w:szCs w:val="32"/>
          <w:highlight w:val="none"/>
        </w:rPr>
        <w:t>月</w:t>
      </w:r>
    </w:p>
    <w:p w14:paraId="37F96E02">
      <w:pPr>
        <w:pStyle w:val="16"/>
        <w:spacing w:before="156" w:beforeLines="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48"/>
          <w:szCs w:val="48"/>
          <w:highlight w:val="none"/>
        </w:rPr>
        <w:t>目 录</w:t>
      </w:r>
    </w:p>
    <w:p w14:paraId="0F131882">
      <w:pPr>
        <w:pStyle w:val="24"/>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"1-2"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FE0D795">
      <w:pPr>
        <w:pStyle w:val="24"/>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"_Toc15970"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_Toc15970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F8344C">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A22171">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_Toc15710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5C0DD86">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"_Toc17768"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二、竞争性磋商文件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_Toc17768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093847F">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"_Toc22672"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三、磋商响应文件的编制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_Toc22672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FB5418">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"_Toc32372"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四、磋商前的准备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_Toc32372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12442E8">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五、磋商程序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4C6B8B">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"_Toc10509"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六、磋商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_Toc10509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21FE02">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"_Toc22785"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七、磋商结果的确定</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_Toc22785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E45AE0">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"_Toc16812"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八、合同授予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_Toc16812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D3E4687">
      <w:pPr>
        <w:pStyle w:val="24"/>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"_Toc24524"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磋商项目要求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_Toc24524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C5F63DD">
      <w:pPr>
        <w:pStyle w:val="24"/>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cs="宋体"/>
          <w:color w:val="auto"/>
          <w:sz w:val="28"/>
          <w:szCs w:val="28"/>
          <w:highlight w:val="none"/>
          <w:lang w:eastAsia="zh-CN"/>
        </w:rPr>
        <w:t>南湖区-遂昌县制造业高质量发展结对促共富经营管理赋能服务项目</w:t>
      </w:r>
      <w:r>
        <w:rPr>
          <w:rFonts w:hint="eastAsia" w:ascii="宋体" w:hAnsi="宋体" w:eastAsia="宋体" w:cs="宋体"/>
          <w:color w:val="auto"/>
          <w:sz w:val="28"/>
          <w:szCs w:val="28"/>
          <w:highlight w:val="none"/>
        </w:rPr>
        <w:t>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_Toc30710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7F3078">
      <w:pPr>
        <w:pStyle w:val="24"/>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_Toc9995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83F66A">
      <w:pPr>
        <w:pStyle w:val="24"/>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磋商响应相关文件格式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EF072B">
      <w:pPr>
        <w:pStyle w:val="29"/>
        <w:tabs>
          <w:tab w:val="right" w:leader="dot" w:pos="8643"/>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附：供应商注册流程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_Toc28564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523ED3">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fldChar w:fldCharType="end"/>
      </w:r>
    </w:p>
    <w:p w14:paraId="42058546">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bookmarkStart w:id="0" w:name="_Toc15804"/>
      <w:bookmarkStart w:id="213" w:name="_GoBack"/>
      <w:bookmarkEnd w:id="213"/>
    </w:p>
    <w:p w14:paraId="126AA68B">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682EE22D">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596D8C77">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4AAB6FF2">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199DEDAF">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bookmarkStart w:id="1" w:name="_Toc11812"/>
      <w:bookmarkStart w:id="2" w:name="_Toc2113"/>
      <w:bookmarkStart w:id="3" w:name="_Toc142"/>
      <w:bookmarkStart w:id="4" w:name="_Toc10634"/>
      <w:bookmarkStart w:id="5" w:name="_Toc22810"/>
      <w:bookmarkStart w:id="6" w:name="_Toc23379"/>
      <w:bookmarkStart w:id="7" w:name="_Toc4421"/>
    </w:p>
    <w:p w14:paraId="6B08DC17">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第一章 竞争性磋商公告</w:t>
      </w:r>
      <w:bookmarkEnd w:id="0"/>
      <w:bookmarkEnd w:id="1"/>
      <w:bookmarkEnd w:id="2"/>
      <w:bookmarkEnd w:id="3"/>
      <w:bookmarkEnd w:id="4"/>
      <w:bookmarkEnd w:id="5"/>
      <w:bookmarkEnd w:id="6"/>
      <w:bookmarkEnd w:id="7"/>
    </w:p>
    <w:p w14:paraId="6FC84EB2">
      <w:pPr>
        <w:pStyle w:val="59"/>
        <w:spacing w:after="156"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根据《中华人民共和国政府采购法》</w:t>
      </w:r>
      <w:r>
        <w:rPr>
          <w:rFonts w:hint="eastAsia" w:ascii="宋体" w:hAnsi="宋体" w:eastAsia="宋体" w:cs="宋体"/>
          <w:color w:val="auto"/>
          <w:sz w:val="21"/>
          <w:szCs w:val="18"/>
          <w:highlight w:val="none"/>
        </w:rPr>
        <w:t>《中华人民共和国政府采购法实施条例》《政府采购货物和服务招标投标管理办法》和《浙江省政府采购项目电子交易管理暂行办法》</w:t>
      </w:r>
      <w:r>
        <w:rPr>
          <w:rFonts w:hint="eastAsia" w:ascii="宋体" w:hAnsi="宋体" w:eastAsia="宋体" w:cs="宋体"/>
          <w:color w:val="auto"/>
          <w:sz w:val="21"/>
          <w:szCs w:val="21"/>
          <w:highlight w:val="none"/>
          <w:lang w:val="zh-CN"/>
        </w:rPr>
        <w:t>等有关法律规定，经嘉兴市南湖区财政局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"https://pay.zcygov.cn/purchaseplan_front/?_app_=zcy.procurement" \l "/plan/list/view?id=1000000000011340968&amp;_app_=zcy.procurement" \t "https://www.zcygov.cn/project-center/_procurement_/purchasePlans/_blank"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[2024]</w:t>
      </w:r>
      <w:r>
        <w:rPr>
          <w:rFonts w:hint="eastAsia" w:ascii="宋体" w:hAnsi="宋体" w:cs="宋体"/>
          <w:color w:val="auto"/>
          <w:sz w:val="21"/>
          <w:szCs w:val="21"/>
          <w:highlight w:val="none"/>
          <w:lang w:val="en-US" w:eastAsia="zh-CN"/>
        </w:rPr>
        <w:t>3427</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采购计划</w:t>
      </w:r>
      <w:r>
        <w:rPr>
          <w:rFonts w:hint="eastAsia" w:ascii="宋体" w:hAnsi="宋体" w:eastAsia="宋体" w:cs="宋体"/>
          <w:color w:val="auto"/>
          <w:sz w:val="21"/>
          <w:szCs w:val="21"/>
          <w:highlight w:val="none"/>
          <w:lang w:val="zh-CN"/>
        </w:rPr>
        <w:t>书批准，嘉兴市明扬工程咨询有限公司</w:t>
      </w:r>
      <w:r>
        <w:rPr>
          <w:rFonts w:hint="eastAsia" w:ascii="宋体" w:hAnsi="宋体" w:eastAsia="宋体" w:cs="宋体"/>
          <w:color w:val="auto"/>
          <w:sz w:val="21"/>
          <w:szCs w:val="21"/>
          <w:highlight w:val="none"/>
        </w:rPr>
        <w:t>受嘉兴市南湖区经济信息商务局委托，就下列项目进行</w:t>
      </w:r>
      <w:r>
        <w:rPr>
          <w:rFonts w:hint="eastAsia" w:ascii="宋体" w:hAnsi="宋体" w:eastAsia="宋体" w:cs="宋体"/>
          <w:color w:val="auto"/>
          <w:sz w:val="21"/>
          <w:szCs w:val="21"/>
          <w:highlight w:val="none"/>
          <w:lang w:val="zh-CN"/>
        </w:rPr>
        <w:t>竞争性磋商采购</w:t>
      </w:r>
      <w:r>
        <w:rPr>
          <w:rFonts w:hint="eastAsia" w:ascii="宋体" w:hAnsi="宋体" w:eastAsia="宋体" w:cs="宋体"/>
          <w:color w:val="auto"/>
          <w:sz w:val="21"/>
          <w:szCs w:val="21"/>
          <w:highlight w:val="none"/>
        </w:rPr>
        <w:t>，欢迎国内合格的供应商前来磋商，现将有关事项公告如下：</w:t>
      </w:r>
    </w:p>
    <w:p w14:paraId="6562E18A">
      <w:pPr>
        <w:pStyle w:val="31"/>
        <w:spacing w:before="0" w:beforeAutospacing="0" w:after="0" w:afterAutospacing="0" w:line="400" w:lineRule="exact"/>
        <w:jc w:val="both"/>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一、项目基本情况</w:t>
      </w:r>
    </w:p>
    <w:p w14:paraId="6CEB5F6A">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项目编号：</w:t>
      </w:r>
      <w:r>
        <w:rPr>
          <w:rFonts w:hint="eastAsia" w:cs="宋体"/>
          <w:color w:val="auto"/>
          <w:sz w:val="21"/>
          <w:szCs w:val="21"/>
          <w:highlight w:val="none"/>
          <w:lang w:eastAsia="zh-CN"/>
        </w:rPr>
        <w:t>JXMYZFCG-2024-044</w:t>
      </w:r>
      <w:r>
        <w:rPr>
          <w:rFonts w:hint="eastAsia" w:ascii="宋体" w:hAnsi="宋体" w:eastAsia="宋体" w:cs="宋体"/>
          <w:color w:val="auto"/>
          <w:sz w:val="21"/>
          <w:szCs w:val="21"/>
          <w:highlight w:val="none"/>
        </w:rPr>
        <w:t> </w:t>
      </w:r>
    </w:p>
    <w:p w14:paraId="060845B8">
      <w:pPr>
        <w:pStyle w:val="31"/>
        <w:spacing w:before="0" w:beforeAutospacing="0" w:after="0" w:afterAutospacing="0" w:line="400" w:lineRule="exact"/>
        <w:ind w:firstLine="63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南湖区-遂昌县制造业高质量发展结对促共富经营管理赋能服务项目</w:t>
      </w:r>
    </w:p>
    <w:p w14:paraId="0661DAD5">
      <w:pPr>
        <w:pStyle w:val="31"/>
        <w:spacing w:before="0" w:beforeAutospacing="0" w:after="0" w:afterAutospacing="0" w:line="400" w:lineRule="exact"/>
        <w:ind w:firstLine="6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6799DCA4">
      <w:pPr>
        <w:pStyle w:val="31"/>
        <w:spacing w:before="0" w:beforeAutospacing="0" w:after="0" w:afterAutospacing="0" w:line="400" w:lineRule="exact"/>
        <w:ind w:firstLine="63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val="en-US" w:eastAsia="zh-CN"/>
        </w:rPr>
        <w:t>120</w:t>
      </w:r>
      <w:r>
        <w:rPr>
          <w:rFonts w:hint="eastAsia" w:cs="宋体"/>
          <w:color w:val="auto"/>
          <w:sz w:val="21"/>
          <w:szCs w:val="21"/>
          <w:highlight w:val="none"/>
          <w:lang w:eastAsia="zh-CN"/>
        </w:rPr>
        <w:t>0000</w:t>
      </w:r>
    </w:p>
    <w:p w14:paraId="784AB8DC">
      <w:pPr>
        <w:pStyle w:val="31"/>
        <w:spacing w:before="0" w:beforeAutospacing="0" w:after="0" w:afterAutospacing="0"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最高限价（元）：</w:t>
      </w:r>
      <w:r>
        <w:rPr>
          <w:rFonts w:hint="eastAsia" w:cs="宋体"/>
          <w:color w:val="auto"/>
          <w:sz w:val="21"/>
          <w:szCs w:val="21"/>
          <w:highlight w:val="none"/>
          <w:lang w:val="en-US" w:eastAsia="zh-CN"/>
        </w:rPr>
        <w:t>120</w:t>
      </w:r>
      <w:r>
        <w:rPr>
          <w:rFonts w:hint="eastAsia" w:cs="宋体"/>
          <w:color w:val="auto"/>
          <w:sz w:val="21"/>
          <w:szCs w:val="21"/>
          <w:highlight w:val="none"/>
          <w:lang w:eastAsia="zh-CN"/>
        </w:rPr>
        <w:t>0000</w:t>
      </w:r>
    </w:p>
    <w:p w14:paraId="67BF53F8">
      <w:pPr>
        <w:pStyle w:val="31"/>
        <w:spacing w:before="0" w:beforeAutospacing="0" w:after="0" w:afterAutospacing="0" w:line="400" w:lineRule="exact"/>
        <w:ind w:firstLine="630" w:firstLineChars="300"/>
        <w:rPr>
          <w:rFonts w:hint="eastAsia" w:ascii="宋体" w:hAnsi="宋体" w:eastAsia="宋体" w:cs="宋体"/>
          <w:color w:val="auto"/>
          <w:sz w:val="21"/>
          <w:szCs w:val="21"/>
          <w:highlight w:val="none"/>
        </w:rPr>
      </w:pPr>
      <w:r>
        <w:rPr>
          <w:rStyle w:val="92"/>
          <w:rFonts w:hint="eastAsia" w:ascii="宋体" w:hAnsi="宋体" w:eastAsia="宋体" w:cs="宋体"/>
          <w:color w:val="auto"/>
          <w:sz w:val="21"/>
          <w:szCs w:val="21"/>
          <w:highlight w:val="none"/>
        </w:rPr>
        <w:t>采购需求：</w:t>
      </w:r>
    </w:p>
    <w:tbl>
      <w:tblPr>
        <w:tblStyle w:val="3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30"/>
        <w:gridCol w:w="750"/>
        <w:gridCol w:w="1092"/>
        <w:gridCol w:w="1191"/>
        <w:gridCol w:w="3637"/>
      </w:tblGrid>
      <w:tr w14:paraId="740D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1" w:type="dxa"/>
            <w:vAlign w:val="center"/>
          </w:tcPr>
          <w:p w14:paraId="73E197D0">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0" w:type="dxa"/>
            <w:vAlign w:val="center"/>
          </w:tcPr>
          <w:p w14:paraId="4185DBD6">
            <w:pPr>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750" w:type="dxa"/>
            <w:vAlign w:val="center"/>
          </w:tcPr>
          <w:p w14:paraId="4578CF46">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092" w:type="dxa"/>
            <w:vAlign w:val="center"/>
          </w:tcPr>
          <w:p w14:paraId="4B9554B3">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预算金额</w:t>
            </w:r>
          </w:p>
        </w:tc>
        <w:tc>
          <w:tcPr>
            <w:tcW w:w="1191" w:type="dxa"/>
            <w:vAlign w:val="center"/>
          </w:tcPr>
          <w:p w14:paraId="0E5EED82">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最高限价</w:t>
            </w:r>
          </w:p>
        </w:tc>
        <w:tc>
          <w:tcPr>
            <w:tcW w:w="3637" w:type="dxa"/>
            <w:vAlign w:val="center"/>
          </w:tcPr>
          <w:p w14:paraId="01899482">
            <w:pPr>
              <w:snapToGrid w:val="0"/>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项目要求</w:t>
            </w:r>
          </w:p>
        </w:tc>
      </w:tr>
      <w:tr w14:paraId="79F7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01" w:type="dxa"/>
            <w:vAlign w:val="center"/>
          </w:tcPr>
          <w:p w14:paraId="7B1AFD7E">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030" w:type="dxa"/>
            <w:vAlign w:val="center"/>
          </w:tcPr>
          <w:p w14:paraId="224A9764">
            <w:pPr>
              <w:snapToGrid w:val="0"/>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南湖区-遂昌县制造业高质量发展结对促共富经营管理赋能服务项目</w:t>
            </w:r>
          </w:p>
        </w:tc>
        <w:tc>
          <w:tcPr>
            <w:tcW w:w="750" w:type="dxa"/>
            <w:vAlign w:val="center"/>
          </w:tcPr>
          <w:p w14:paraId="36E5E11D">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1项</w:t>
            </w:r>
          </w:p>
        </w:tc>
        <w:tc>
          <w:tcPr>
            <w:tcW w:w="1092" w:type="dxa"/>
            <w:vAlign w:val="center"/>
          </w:tcPr>
          <w:p w14:paraId="28B9F3AF">
            <w:pPr>
              <w:snapToGri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eastAsia="zh-CN"/>
              </w:rPr>
              <w:t>0万元</w:t>
            </w:r>
          </w:p>
        </w:tc>
        <w:tc>
          <w:tcPr>
            <w:tcW w:w="1191" w:type="dxa"/>
            <w:vAlign w:val="center"/>
          </w:tcPr>
          <w:p w14:paraId="7FD25D58">
            <w:pPr>
              <w:snapToGri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eastAsia="zh-CN"/>
              </w:rPr>
              <w:t>0万元</w:t>
            </w:r>
          </w:p>
        </w:tc>
        <w:tc>
          <w:tcPr>
            <w:tcW w:w="3637" w:type="dxa"/>
            <w:vAlign w:val="center"/>
          </w:tcPr>
          <w:p w14:paraId="12C49B67">
            <w:pPr>
              <w:snapToGrid w:val="0"/>
              <w:jc w:val="center"/>
              <w:rPr>
                <w:rFonts w:hint="eastAsia" w:ascii="宋体" w:hAnsi="宋体" w:eastAsia="宋体" w:cs="宋体"/>
                <w:color w:val="auto"/>
                <w:szCs w:val="21"/>
                <w:highlight w:val="none"/>
              </w:rPr>
            </w:pPr>
            <w:r>
              <w:rPr>
                <w:rFonts w:hint="eastAsia" w:ascii="宋体" w:hAnsi="宋体" w:cs="宋体"/>
                <w:smallCaps/>
                <w:color w:val="auto"/>
                <w:kern w:val="0"/>
                <w:szCs w:val="21"/>
                <w:highlight w:val="none"/>
                <w:lang w:val="en-US" w:eastAsia="zh-CN"/>
              </w:rPr>
              <w:t>委托第三方对遂昌县规上工业企业提供经营管理赋能服务，不断提升遂昌县工业企业</w:t>
            </w:r>
            <w:r>
              <w:rPr>
                <w:rFonts w:hint="default" w:ascii="宋体" w:hAnsi="宋体" w:cs="宋体"/>
                <w:smallCaps/>
                <w:color w:val="auto"/>
                <w:kern w:val="0"/>
                <w:szCs w:val="21"/>
                <w:highlight w:val="none"/>
                <w:lang w:val="en-US" w:eastAsia="zh-CN"/>
              </w:rPr>
              <w:t>经营</w:t>
            </w:r>
            <w:r>
              <w:rPr>
                <w:rFonts w:hint="eastAsia" w:ascii="宋体" w:hAnsi="宋体" w:cs="宋体"/>
                <w:smallCaps/>
                <w:color w:val="auto"/>
                <w:kern w:val="0"/>
                <w:szCs w:val="21"/>
                <w:highlight w:val="none"/>
                <w:lang w:val="en-US" w:eastAsia="zh-CN"/>
              </w:rPr>
              <w:t>管理能力，具体详见第三章磋商项目需求。</w:t>
            </w:r>
          </w:p>
        </w:tc>
      </w:tr>
    </w:tbl>
    <w:p w14:paraId="0F4309FC">
      <w:pPr>
        <w:pStyle w:val="31"/>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kern w:val="2"/>
          <w:sz w:val="21"/>
          <w:szCs w:val="21"/>
          <w:highlight w:val="none"/>
        </w:rPr>
        <w:t>：</w:t>
      </w:r>
      <w:r>
        <w:rPr>
          <w:rFonts w:hint="eastAsia" w:cs="宋体"/>
          <w:color w:val="auto"/>
          <w:sz w:val="21"/>
          <w:szCs w:val="21"/>
          <w:highlight w:val="none"/>
          <w:lang w:eastAsia="zh-CN"/>
        </w:rPr>
        <w:t>合同签订之日起至2025年</w:t>
      </w:r>
      <w:r>
        <w:rPr>
          <w:rFonts w:hint="eastAsia" w:cs="宋体"/>
          <w:color w:val="auto"/>
          <w:sz w:val="21"/>
          <w:szCs w:val="21"/>
          <w:highlight w:val="none"/>
          <w:lang w:val="en-US" w:eastAsia="zh-CN"/>
        </w:rPr>
        <w:t>11</w:t>
      </w:r>
      <w:r>
        <w:rPr>
          <w:rFonts w:hint="eastAsia" w:cs="宋体"/>
          <w:color w:val="auto"/>
          <w:sz w:val="21"/>
          <w:szCs w:val="21"/>
          <w:highlight w:val="none"/>
          <w:lang w:eastAsia="zh-CN"/>
        </w:rPr>
        <w:t>月30日</w:t>
      </w:r>
      <w:r>
        <w:rPr>
          <w:rFonts w:hint="eastAsia" w:ascii="宋体" w:hAnsi="宋体" w:eastAsia="宋体" w:cs="宋体"/>
          <w:color w:val="auto"/>
          <w:sz w:val="21"/>
          <w:szCs w:val="21"/>
          <w:highlight w:val="none"/>
        </w:rPr>
        <w:t>。</w:t>
      </w:r>
    </w:p>
    <w:p w14:paraId="11113AA6">
      <w:pPr>
        <w:pStyle w:val="31"/>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本项目（否）接受联合体投标。</w:t>
      </w:r>
    </w:p>
    <w:p w14:paraId="4F2645B5">
      <w:pPr>
        <w:pStyle w:val="31"/>
        <w:spacing w:before="0" w:beforeAutospacing="0" w:after="0" w:afterAutospacing="0" w:line="400" w:lineRule="exact"/>
        <w:jc w:val="both"/>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二、申请人的资格要求：</w:t>
      </w:r>
    </w:p>
    <w:p w14:paraId="6493E6C4">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5B938487">
      <w:pPr>
        <w:pStyle w:val="31"/>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2、落实政府采购政策需满足的资格要求：本项目为专门面向中小企业采购的项目，供应商须符合工信部联企业[2011]300号中小企业划型标准规定（监狱企业及残疾人福利性单位视同小型、微型企业）。</w:t>
      </w:r>
    </w:p>
    <w:p w14:paraId="333C7BD5">
      <w:pPr>
        <w:pStyle w:val="31"/>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14:paraId="62081860">
      <w:pPr>
        <w:pStyle w:val="31"/>
        <w:spacing w:before="0" w:beforeAutospacing="0" w:after="0" w:afterAutospacing="0" w:line="400" w:lineRule="exact"/>
        <w:jc w:val="both"/>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三、获取（下载）采购文件</w:t>
      </w:r>
    </w:p>
    <w:p w14:paraId="2E5DFA40">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时间：</w:t>
      </w:r>
      <w:r>
        <w:rPr>
          <w:rFonts w:hint="eastAsia" w:ascii="宋体" w:hAnsi="宋体" w:eastAsia="宋体" w:cs="宋体"/>
          <w:color w:val="auto"/>
          <w:sz w:val="21"/>
          <w:szCs w:val="21"/>
          <w:highlight w:val="none"/>
          <w:u w:val="single"/>
        </w:rPr>
        <w:t> </w:t>
      </w:r>
      <w:r>
        <w:rPr>
          <w:rStyle w:val="91"/>
          <w:rFonts w:hint="eastAsia" w:ascii="宋体" w:hAnsi="宋体" w:eastAsia="宋体" w:cs="宋体"/>
          <w:color w:val="auto"/>
          <w:sz w:val="21"/>
          <w:szCs w:val="21"/>
          <w:highlight w:val="none"/>
          <w:u w:val="single"/>
        </w:rPr>
        <w:t>2024年</w:t>
      </w:r>
      <w:r>
        <w:rPr>
          <w:rStyle w:val="91"/>
          <w:rFonts w:hint="eastAsia" w:cs="宋体"/>
          <w:color w:val="auto"/>
          <w:sz w:val="21"/>
          <w:szCs w:val="21"/>
          <w:highlight w:val="none"/>
          <w:u w:val="single"/>
          <w:lang w:val="en-US" w:eastAsia="zh-CN"/>
        </w:rPr>
        <w:t>11</w:t>
      </w:r>
      <w:r>
        <w:rPr>
          <w:rStyle w:val="91"/>
          <w:rFonts w:hint="eastAsia" w:ascii="宋体" w:hAnsi="宋体" w:eastAsia="宋体" w:cs="宋体"/>
          <w:color w:val="auto"/>
          <w:sz w:val="21"/>
          <w:szCs w:val="21"/>
          <w:highlight w:val="none"/>
          <w:u w:val="single"/>
        </w:rPr>
        <w:t>月</w:t>
      </w:r>
      <w:r>
        <w:rPr>
          <w:rStyle w:val="91"/>
          <w:rFonts w:hint="eastAsia" w:cs="宋体"/>
          <w:color w:val="auto"/>
          <w:sz w:val="21"/>
          <w:szCs w:val="21"/>
          <w:highlight w:val="none"/>
          <w:u w:val="single"/>
          <w:lang w:val="en-US" w:eastAsia="zh-CN"/>
        </w:rPr>
        <w:t>15</w:t>
      </w:r>
      <w:r>
        <w:rPr>
          <w:rStyle w:val="91"/>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 </w:t>
      </w:r>
      <w:r>
        <w:rPr>
          <w:rStyle w:val="91"/>
          <w:rFonts w:hint="eastAsia" w:ascii="宋体" w:hAnsi="宋体" w:eastAsia="宋体" w:cs="宋体"/>
          <w:color w:val="auto"/>
          <w:sz w:val="21"/>
          <w:szCs w:val="21"/>
          <w:highlight w:val="none"/>
          <w:u w:val="single"/>
        </w:rPr>
        <w:t>2024年</w:t>
      </w:r>
      <w:r>
        <w:rPr>
          <w:rStyle w:val="91"/>
          <w:rFonts w:hint="eastAsia" w:cs="宋体"/>
          <w:color w:val="auto"/>
          <w:sz w:val="21"/>
          <w:szCs w:val="21"/>
          <w:highlight w:val="none"/>
          <w:u w:val="single"/>
          <w:lang w:val="en-US" w:eastAsia="zh-CN"/>
        </w:rPr>
        <w:t>11</w:t>
      </w:r>
      <w:r>
        <w:rPr>
          <w:rStyle w:val="91"/>
          <w:rFonts w:hint="eastAsia" w:ascii="宋体" w:hAnsi="宋体" w:eastAsia="宋体" w:cs="宋体"/>
          <w:color w:val="auto"/>
          <w:sz w:val="21"/>
          <w:szCs w:val="21"/>
          <w:highlight w:val="none"/>
          <w:u w:val="single"/>
        </w:rPr>
        <w:t>月</w:t>
      </w:r>
      <w:r>
        <w:rPr>
          <w:rStyle w:val="91"/>
          <w:rFonts w:hint="eastAsia" w:cs="宋体"/>
          <w:color w:val="auto"/>
          <w:sz w:val="21"/>
          <w:szCs w:val="21"/>
          <w:highlight w:val="none"/>
          <w:u w:val="single"/>
          <w:lang w:val="en-US" w:eastAsia="zh-CN"/>
        </w:rPr>
        <w:t>25</w:t>
      </w:r>
      <w:r>
        <w:rPr>
          <w:rStyle w:val="91"/>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rPr>
        <w:t> </w:t>
      </w:r>
      <w:r>
        <w:rPr>
          <w:rStyle w:val="91"/>
          <w:rFonts w:hint="eastAsia" w:ascii="宋体" w:hAnsi="宋体" w:eastAsia="宋体" w:cs="宋体"/>
          <w:color w:val="auto"/>
          <w:sz w:val="21"/>
          <w:szCs w:val="21"/>
          <w:highlight w:val="none"/>
          <w:u w:val="single"/>
        </w:rPr>
        <w:t>00:00至12:00</w:t>
      </w:r>
      <w:r>
        <w:rPr>
          <w:rStyle w:val="91"/>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rPr>
        <w:t> </w:t>
      </w:r>
      <w:r>
        <w:rPr>
          <w:rStyle w:val="91"/>
          <w:rFonts w:hint="eastAsia" w:ascii="宋体" w:hAnsi="宋体" w:eastAsia="宋体" w:cs="宋体"/>
          <w:color w:val="auto"/>
          <w:sz w:val="21"/>
          <w:szCs w:val="21"/>
          <w:highlight w:val="none"/>
          <w:u w:val="single"/>
        </w:rPr>
        <w:t>12:00至23:59</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（北京时间，线上获取文件法定节假日均可，线下获取文件法定节假日除外）</w:t>
      </w:r>
    </w:p>
    <w:p w14:paraId="4E104F77">
      <w:pPr>
        <w:pStyle w:val="31"/>
        <w:spacing w:before="0" w:beforeAutospacing="0" w:after="0" w:afterAutospacing="0"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r>
        <w:rPr>
          <w:rStyle w:val="91"/>
          <w:rFonts w:hint="eastAsia" w:ascii="宋体" w:hAnsi="宋体" w:eastAsia="宋体" w:cs="宋体"/>
          <w:color w:val="auto"/>
          <w:sz w:val="21"/>
          <w:szCs w:val="21"/>
          <w:highlight w:val="none"/>
        </w:rPr>
        <w:t>浙江政府采购网https://login.zcygov.cn/login</w:t>
      </w:r>
      <w:r>
        <w:rPr>
          <w:rFonts w:hint="eastAsia" w:ascii="宋体" w:hAnsi="宋体" w:eastAsia="宋体" w:cs="宋体"/>
          <w:color w:val="auto"/>
          <w:sz w:val="21"/>
          <w:szCs w:val="21"/>
          <w:highlight w:val="none"/>
        </w:rPr>
        <w:t>  </w:t>
      </w:r>
    </w:p>
    <w:p w14:paraId="0DD9342F">
      <w:pPr>
        <w:pStyle w:val="31"/>
        <w:spacing w:before="0" w:beforeAutospacing="0" w:after="0" w:afterAutospacing="0"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r>
        <w:rPr>
          <w:rStyle w:val="91"/>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r>
        <w:rPr>
          <w:rFonts w:hint="eastAsia" w:ascii="宋体" w:hAnsi="宋体" w:eastAsia="宋体" w:cs="宋体"/>
          <w:color w:val="auto"/>
          <w:sz w:val="21"/>
          <w:szCs w:val="21"/>
          <w:highlight w:val="none"/>
        </w:rPr>
        <w:t>。</w:t>
      </w:r>
    </w:p>
    <w:p w14:paraId="18D0A049">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售价（元）：0 </w:t>
      </w:r>
    </w:p>
    <w:p w14:paraId="03FFAC41">
      <w:pPr>
        <w:pStyle w:val="31"/>
        <w:spacing w:before="0" w:beforeAutospacing="0" w:after="0" w:afterAutospacing="0" w:line="400" w:lineRule="exact"/>
        <w:jc w:val="both"/>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四、响应文件提交（上传）</w:t>
      </w:r>
    </w:p>
    <w:p w14:paraId="64AEF31D">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截止时间：</w:t>
      </w:r>
      <w:r>
        <w:rPr>
          <w:rFonts w:hint="eastAsia" w:ascii="宋体" w:hAnsi="宋体" w:eastAsia="宋体" w:cs="宋体"/>
          <w:color w:val="auto"/>
          <w:sz w:val="21"/>
          <w:szCs w:val="21"/>
          <w:highlight w:val="none"/>
          <w:u w:val="single"/>
        </w:rPr>
        <w:t>  </w:t>
      </w:r>
      <w:r>
        <w:rPr>
          <w:rStyle w:val="91"/>
          <w:rFonts w:hint="eastAsia" w:ascii="宋体" w:hAnsi="宋体" w:eastAsia="宋体" w:cs="宋体"/>
          <w:color w:val="auto"/>
          <w:sz w:val="21"/>
          <w:szCs w:val="21"/>
          <w:highlight w:val="none"/>
          <w:u w:val="single"/>
        </w:rPr>
        <w:t>2024年</w:t>
      </w:r>
      <w:r>
        <w:rPr>
          <w:rStyle w:val="91"/>
          <w:rFonts w:hint="eastAsia" w:cs="宋体"/>
          <w:color w:val="auto"/>
          <w:sz w:val="21"/>
          <w:szCs w:val="21"/>
          <w:highlight w:val="none"/>
          <w:u w:val="single"/>
          <w:lang w:val="en-US" w:eastAsia="zh-CN"/>
        </w:rPr>
        <w:t>11</w:t>
      </w:r>
      <w:r>
        <w:rPr>
          <w:rStyle w:val="91"/>
          <w:rFonts w:hint="eastAsia" w:ascii="宋体" w:hAnsi="宋体" w:eastAsia="宋体" w:cs="宋体"/>
          <w:color w:val="auto"/>
          <w:sz w:val="21"/>
          <w:szCs w:val="21"/>
          <w:highlight w:val="none"/>
          <w:u w:val="single"/>
        </w:rPr>
        <w:t>月</w:t>
      </w:r>
      <w:r>
        <w:rPr>
          <w:rStyle w:val="91"/>
          <w:rFonts w:hint="eastAsia" w:cs="宋体"/>
          <w:color w:val="auto"/>
          <w:sz w:val="21"/>
          <w:szCs w:val="21"/>
          <w:highlight w:val="none"/>
          <w:u w:val="single"/>
          <w:lang w:val="en-US" w:eastAsia="zh-CN"/>
        </w:rPr>
        <w:t>25</w:t>
      </w:r>
      <w:r>
        <w:rPr>
          <w:rStyle w:val="91"/>
          <w:rFonts w:hint="eastAsia" w:ascii="宋体" w:hAnsi="宋体" w:eastAsia="宋体" w:cs="宋体"/>
          <w:color w:val="auto"/>
          <w:sz w:val="21"/>
          <w:szCs w:val="21"/>
          <w:highlight w:val="none"/>
          <w:u w:val="single"/>
        </w:rPr>
        <w:t>日14:00</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（北京时间）</w:t>
      </w:r>
    </w:p>
    <w:p w14:paraId="5E79608B">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地点（网址）：</w:t>
      </w:r>
      <w:r>
        <w:rPr>
          <w:rFonts w:hint="eastAsia" w:ascii="宋体" w:hAnsi="宋体" w:eastAsia="宋体" w:cs="宋体"/>
          <w:color w:val="auto"/>
          <w:sz w:val="21"/>
          <w:szCs w:val="21"/>
          <w:highlight w:val="none"/>
          <w:u w:val="single"/>
        </w:rPr>
        <w:t> </w:t>
      </w:r>
      <w:r>
        <w:rPr>
          <w:rStyle w:val="91"/>
          <w:rFonts w:hint="eastAsia" w:ascii="宋体" w:hAnsi="宋体" w:eastAsia="宋体" w:cs="宋体"/>
          <w:color w:val="auto"/>
          <w:sz w:val="21"/>
          <w:szCs w:val="21"/>
          <w:highlight w:val="none"/>
          <w:u w:val="single"/>
        </w:rPr>
        <w:t>“政采云”平台电子投标</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   </w:t>
      </w:r>
    </w:p>
    <w:p w14:paraId="6170A0D6">
      <w:pPr>
        <w:pStyle w:val="31"/>
        <w:spacing w:before="0" w:beforeAutospacing="0" w:after="0" w:afterAutospacing="0" w:line="400" w:lineRule="exact"/>
        <w:rPr>
          <w:rStyle w:val="39"/>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五、响应文件开启</w:t>
      </w:r>
    </w:p>
    <w:p w14:paraId="15116F35">
      <w:pPr>
        <w:pStyle w:val="31"/>
        <w:spacing w:before="0" w:beforeAutospacing="0" w:after="0" w:afterAutospacing="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r>
        <w:rPr>
          <w:rFonts w:hint="eastAsia" w:ascii="宋体" w:hAnsi="宋体" w:eastAsia="宋体" w:cs="宋体"/>
          <w:color w:val="auto"/>
          <w:sz w:val="21"/>
          <w:szCs w:val="21"/>
          <w:highlight w:val="none"/>
          <w:u w:val="single"/>
        </w:rPr>
        <w:t> </w:t>
      </w:r>
      <w:r>
        <w:rPr>
          <w:rStyle w:val="91"/>
          <w:rFonts w:hint="eastAsia" w:ascii="宋体" w:hAnsi="宋体" w:eastAsia="宋体" w:cs="宋体"/>
          <w:color w:val="auto"/>
          <w:sz w:val="21"/>
          <w:szCs w:val="21"/>
          <w:highlight w:val="none"/>
          <w:u w:val="single"/>
        </w:rPr>
        <w:t>2024年</w:t>
      </w:r>
      <w:r>
        <w:rPr>
          <w:rStyle w:val="91"/>
          <w:rFonts w:hint="eastAsia" w:cs="宋体"/>
          <w:color w:val="auto"/>
          <w:sz w:val="21"/>
          <w:szCs w:val="21"/>
          <w:highlight w:val="none"/>
          <w:u w:val="single"/>
          <w:lang w:val="en-US" w:eastAsia="zh-CN"/>
        </w:rPr>
        <w:t>11</w:t>
      </w:r>
      <w:r>
        <w:rPr>
          <w:rStyle w:val="91"/>
          <w:rFonts w:hint="eastAsia" w:ascii="宋体" w:hAnsi="宋体" w:eastAsia="宋体" w:cs="宋体"/>
          <w:color w:val="auto"/>
          <w:sz w:val="21"/>
          <w:szCs w:val="21"/>
          <w:highlight w:val="none"/>
          <w:u w:val="single"/>
        </w:rPr>
        <w:t>月</w:t>
      </w:r>
      <w:r>
        <w:rPr>
          <w:rStyle w:val="91"/>
          <w:rFonts w:hint="eastAsia" w:cs="宋体"/>
          <w:color w:val="auto"/>
          <w:sz w:val="21"/>
          <w:szCs w:val="21"/>
          <w:highlight w:val="none"/>
          <w:u w:val="single"/>
          <w:lang w:val="en-US" w:eastAsia="zh-CN"/>
        </w:rPr>
        <w:t>25</w:t>
      </w:r>
      <w:r>
        <w:rPr>
          <w:rStyle w:val="91"/>
          <w:rFonts w:hint="eastAsia" w:ascii="宋体" w:hAnsi="宋体" w:eastAsia="宋体" w:cs="宋体"/>
          <w:color w:val="auto"/>
          <w:sz w:val="21"/>
          <w:szCs w:val="21"/>
          <w:highlight w:val="none"/>
          <w:u w:val="single"/>
        </w:rPr>
        <w:t>日14:00</w:t>
      </w:r>
      <w:r>
        <w:rPr>
          <w:rFonts w:hint="eastAsia" w:ascii="宋体" w:hAnsi="宋体" w:eastAsia="宋体" w:cs="宋体"/>
          <w:color w:val="auto"/>
          <w:sz w:val="21"/>
          <w:szCs w:val="21"/>
          <w:highlight w:val="none"/>
          <w:u w:val="single"/>
        </w:rPr>
        <w:t> </w:t>
      </w:r>
    </w:p>
    <w:p w14:paraId="54433338">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地点（网址）：</w:t>
      </w:r>
      <w:r>
        <w:rPr>
          <w:rFonts w:hint="eastAsia" w:ascii="宋体" w:hAnsi="宋体" w:eastAsia="宋体" w:cs="宋体"/>
          <w:color w:val="auto"/>
          <w:sz w:val="21"/>
          <w:szCs w:val="21"/>
          <w:highlight w:val="none"/>
          <w:lang w:eastAsia="zh-CN"/>
        </w:rPr>
        <w:t>嘉兴市明扬工程咨询有限公司会议室（浙江省嘉兴市长水路116号百瑞大厦5楼）</w:t>
      </w:r>
    </w:p>
    <w:p w14:paraId="0E2E72C2">
      <w:pPr>
        <w:pStyle w:val="31"/>
        <w:spacing w:before="0" w:beforeAutospacing="0" w:after="0" w:afterAutospacing="0" w:line="400" w:lineRule="exact"/>
        <w:jc w:val="both"/>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六、公告期限</w:t>
      </w:r>
    </w:p>
    <w:p w14:paraId="3910C801">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自本公告发布之日起3个工作日。</w:t>
      </w:r>
    </w:p>
    <w:p w14:paraId="15AEE824">
      <w:pPr>
        <w:pStyle w:val="31"/>
        <w:spacing w:before="0" w:beforeAutospacing="0" w:after="0" w:afterAutospacing="0" w:line="400" w:lineRule="exact"/>
        <w:jc w:val="both"/>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七、其他补充事宜</w:t>
      </w:r>
    </w:p>
    <w:p w14:paraId="5A05D430">
      <w:pPr>
        <w:pStyle w:val="31"/>
        <w:spacing w:before="0" w:beforeAutospacing="0" w:after="0" w:afterAutospacing="0"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145A32F">
      <w:pPr>
        <w:pStyle w:val="31"/>
        <w:spacing w:before="0" w:beforeAutospacing="0" w:after="0" w:afterAutospacing="0"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BCF254">
      <w:pPr>
        <w:pStyle w:val="31"/>
        <w:spacing w:before="0" w:beforeAutospacing="0" w:after="0" w:afterAutospacing="0"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B22687">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4、本采购项目，成交单位与采购人签订的政府采购合同适用于嘉兴市政府采购贷款政策，简称“政采贷”，具体内容可参阅政府采购贷款流程：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"http://www.jxzbtb.cn/zxfw/005012/20181016/7e541bf4-ad29-4286-ace8-d12c1b2c54fc.html%E3%80%82"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http://hn.jxzbtb.cn/zxfw/005012/20181016/7e541bf4-ad29-4286-ace8-d12c1b2c54fc.html</w:t>
      </w:r>
      <w:r>
        <w:rPr>
          <w:rFonts w:hint="eastAsia" w:ascii="宋体" w:hAnsi="宋体" w:eastAsia="宋体" w:cs="宋体"/>
          <w:color w:val="auto"/>
          <w:szCs w:val="21"/>
          <w:highlight w:val="none"/>
        </w:rPr>
        <w:fldChar w:fldCharType="end"/>
      </w:r>
    </w:p>
    <w:p w14:paraId="696540A3">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5、投标说明：</w:t>
      </w:r>
    </w:p>
    <w:p w14:paraId="60A120A7">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5.１、本项目按照《浙江省财政厅关于印发浙江省政府采购项目电子交易管理暂行办法的通知》实行电子交易。</w:t>
      </w:r>
    </w:p>
    <w:p w14:paraId="53DF1D6E">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5.2、供应商注册</w:t>
      </w:r>
    </w:p>
    <w:p w14:paraId="41D73F3E">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5.2.1、注册网址：</w:t>
      </w:r>
    </w:p>
    <w:p w14:paraId="233EC5DE">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"https://middle.zcygov.cn/settle-front/" \l "/registry"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21"/>
          <w:szCs w:val="21"/>
          <w:highlight w:val="none"/>
        </w:rPr>
        <w:t>https://middle.zcygov.cn/settle-front/#/registry</w:t>
      </w:r>
      <w:r>
        <w:rPr>
          <w:rStyle w:val="46"/>
          <w:rFonts w:hint="eastAsia" w:ascii="宋体" w:hAnsi="宋体" w:eastAsia="宋体" w:cs="宋体"/>
          <w:color w:val="auto"/>
          <w:sz w:val="21"/>
          <w:szCs w:val="21"/>
          <w:highlight w:val="none"/>
        </w:rPr>
        <w:fldChar w:fldCharType="end"/>
      </w:r>
    </w:p>
    <w:p w14:paraId="319449B5">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5.2.2、供应商按照《浙江省政府采购供应商注册和诚信管理暂行办法》要求执行。</w:t>
      </w:r>
    </w:p>
    <w:p w14:paraId="32802595">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6、磋商响应文件制作注意事项</w:t>
      </w:r>
    </w:p>
    <w:p w14:paraId="5FF1C084">
      <w:pPr>
        <w:pStyle w:val="31"/>
        <w:spacing w:before="0" w:beforeAutospacing="0" w:after="0" w:afterAutospacing="0" w:line="40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6.1、供应商将政采云电子交易客户端下载、安装完成后，可通过账号密码或CA登录客户端进行磋商响应文件制作。</w:t>
      </w:r>
    </w:p>
    <w:p w14:paraId="4E35533D">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注：供应商先要申领CA，拿到CA后需要在政采云平台进行绑定，CA相关操作可参考《CA证书办理操作指南》和《CA登录与绑定操作指南》。完成CA数字证书办理在资料齐全的情况下预计7个工作日左右，建议供应商获取采购文件后立即办理。　　　</w:t>
      </w:r>
    </w:p>
    <w:p w14:paraId="0EDC0647">
      <w:pPr>
        <w:pStyle w:val="31"/>
        <w:spacing w:before="0" w:beforeAutospacing="0" w:after="0" w:afterAutospacing="0" w:line="400" w:lineRule="exact"/>
        <w:ind w:firstLine="4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6.2电子交易操作指南：</w:t>
      </w:r>
      <w:r>
        <w:rPr>
          <w:rFonts w:hint="eastAsia" w:ascii="宋体" w:hAnsi="宋体" w:eastAsia="宋体" w:cs="宋体"/>
          <w:color w:val="auto"/>
          <w:sz w:val="21"/>
          <w:szCs w:val="21"/>
          <w:highlight w:val="none"/>
          <w:u w:val="single"/>
        </w:rPr>
        <w:t>https://service.zcygov.cn/#/knowledges/CW1EtGwBFdiHxlNd6I3m/6IMVAG0BFdiHxlNdQ8Na</w:t>
      </w:r>
    </w:p>
    <w:p w14:paraId="4358DDCF">
      <w:pPr>
        <w:pStyle w:val="31"/>
        <w:spacing w:before="0" w:beforeAutospacing="0" w:after="0" w:afterAutospacing="0" w:line="400" w:lineRule="exact"/>
        <w:ind w:firstLine="4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《CA证书办理操作指南》：</w:t>
      </w:r>
      <w:r>
        <w:rPr>
          <w:rFonts w:hint="eastAsia" w:ascii="宋体" w:hAnsi="宋体" w:eastAsia="宋体" w:cs="宋体"/>
          <w:color w:val="auto"/>
          <w:sz w:val="21"/>
          <w:szCs w:val="21"/>
          <w:highlight w:val="none"/>
          <w:u w:val="single"/>
        </w:rPr>
        <w:t>https://service.zcygov.cn/#/knowledges/UgcbC3EBiyELHE-opz1b/lwV6GXABiyELHE-oVMj3</w:t>
      </w:r>
    </w:p>
    <w:p w14:paraId="136BBD9B">
      <w:pPr>
        <w:pStyle w:val="31"/>
        <w:spacing w:before="0" w:beforeAutospacing="0" w:after="0" w:afterAutospacing="0" w:line="400" w:lineRule="exact"/>
        <w:ind w:firstLine="4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《CA登录与绑定操作指南》：</w:t>
      </w:r>
      <w:r>
        <w:rPr>
          <w:rFonts w:hint="eastAsia" w:ascii="宋体" w:hAnsi="宋体" w:eastAsia="宋体" w:cs="宋体"/>
          <w:color w:val="auto"/>
          <w:sz w:val="21"/>
          <w:szCs w:val="21"/>
          <w:highlight w:val="none"/>
          <w:u w:val="single"/>
        </w:rPr>
        <w:t>https://service.zcygov.cn/#/knowledges/UgcbC3EBiyELHE-opz1b/GQcTNXEBiyELHE-oocEg</w:t>
      </w:r>
    </w:p>
    <w:p w14:paraId="63EAED3C">
      <w:pPr>
        <w:pStyle w:val="31"/>
        <w:spacing w:before="0" w:beforeAutospacing="0" w:after="0" w:afterAutospacing="0" w:line="40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《CA驱动和申领流程》：</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\t "_blank" </w:instrText>
      </w:r>
      <w:r>
        <w:rPr>
          <w:rFonts w:hint="eastAsia" w:ascii="宋体" w:hAnsi="宋体" w:eastAsia="宋体" w:cs="宋体"/>
          <w:color w:val="auto"/>
          <w:sz w:val="21"/>
          <w:szCs w:val="21"/>
          <w:highlight w:val="none"/>
        </w:rPr>
        <w:fldChar w:fldCharType="separate"/>
      </w:r>
      <w:r>
        <w:rPr>
          <w:rStyle w:val="46"/>
          <w:rFonts w:hint="eastAsia" w:ascii="宋体" w:hAnsi="宋体" w:eastAsia="宋体" w:cs="宋体"/>
          <w:color w:val="auto"/>
          <w:sz w:val="21"/>
          <w:szCs w:val="21"/>
          <w:highlight w:val="none"/>
        </w:rPr>
        <w:t>http://zfcg.czt.zj.gov.cn/bidClientTemplate/2019-05-27/12945.html</w:t>
      </w:r>
      <w:r>
        <w:rPr>
          <w:rFonts w:hint="eastAsia" w:ascii="宋体" w:hAnsi="宋体" w:eastAsia="宋体" w:cs="宋体"/>
          <w:color w:val="auto"/>
          <w:sz w:val="21"/>
          <w:szCs w:val="21"/>
          <w:highlight w:val="none"/>
        </w:rPr>
        <w:fldChar w:fldCharType="end"/>
      </w:r>
    </w:p>
    <w:p w14:paraId="07B5DF75">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注：ＣＡ证书遗失补办、延期、解锁、质保等业务可以在联连客户端上进行操作；使用政采云投标客户端时，建议使用WIN7及以上操作系统。</w:t>
      </w:r>
    </w:p>
    <w:p w14:paraId="4D4946DB">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7、政采云咨询电话：95763；</w:t>
      </w:r>
    </w:p>
    <w:p w14:paraId="26632531">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政采云平台服务中心：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 \t "_blank"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 w:val="21"/>
          <w:szCs w:val="21"/>
          <w:highlight w:val="none"/>
        </w:rPr>
        <w:t>https://service.zcygov.cn/#/</w:t>
      </w:r>
      <w:r>
        <w:rPr>
          <w:rStyle w:val="46"/>
          <w:rFonts w:hint="eastAsia" w:ascii="宋体" w:hAnsi="宋体" w:eastAsia="宋体" w:cs="宋体"/>
          <w:color w:val="auto"/>
          <w:sz w:val="21"/>
          <w:szCs w:val="21"/>
          <w:highlight w:val="none"/>
        </w:rPr>
        <w:fldChar w:fldCharType="end"/>
      </w:r>
    </w:p>
    <w:p w14:paraId="50175A4D">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8、汇信（ＣＡ）客服电话：400-888-4636</w:t>
      </w:r>
    </w:p>
    <w:p w14:paraId="51B40DF5">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9、磋商响应文件提交注意事项：</w:t>
      </w:r>
    </w:p>
    <w:p w14:paraId="139DD8DB">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9.1、供应商进行电子投标应安装客户端软件，并按照采购文件和电子交易平台的要求编制并加密响应文件。供应商未按规定加密的磋商响应文件，代理机构应当拒收。 </w:t>
      </w:r>
    </w:p>
    <w:p w14:paraId="3A460458">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9.2、供应商应当在响应截止时间前完成磋商响应文件的传输提交，并可以补充、修改或者撤回磋商响应文件。补充或者修改磋商响应文件的，应当先行撤回原文件，补充、修改后重新传输提交。磋商响应截止时间前未完成传输的，视为撤回磋商响应文件。磋商响应截止时间后提交的响应文件，视为无效。 </w:t>
      </w:r>
    </w:p>
    <w:p w14:paraId="6806FA7A">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为确保采购项目顺利实施，避免因解密失败导致供应商投标无效，供应商在电子交易平台传输提交磋商响应文件后，将政采云平台上最后生成的具备电子签章的备份电子磋商响应文件（文件后缀名为.bfbs）1份在响应截止时间前以电子邮件方式发送至采购代理机构联系人电子邮箱28509616@qq.com。 </w:t>
      </w:r>
    </w:p>
    <w:p w14:paraId="7CA63B9F">
      <w:pPr>
        <w:pStyle w:val="31"/>
        <w:spacing w:before="0" w:beforeAutospacing="0" w:after="0" w:afterAutospacing="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9.4、备份电子磋商响应文件制作为非强制性，但如遇因供应商电子磋商响应文件解密失败等情况造成无效标，后果由供应商自负。　　　　　　　　　　　</w:t>
      </w:r>
    </w:p>
    <w:p w14:paraId="1A4730A3">
      <w:pPr>
        <w:pStyle w:val="31"/>
        <w:spacing w:before="0" w:beforeAutospacing="0" w:after="0" w:afterAutospacing="0" w:line="400" w:lineRule="exact"/>
        <w:jc w:val="both"/>
        <w:rPr>
          <w:rFonts w:hint="eastAsia" w:ascii="宋体" w:hAnsi="宋体" w:eastAsia="宋体" w:cs="宋体"/>
          <w:color w:val="auto"/>
          <w:sz w:val="21"/>
          <w:szCs w:val="21"/>
          <w:highlight w:val="none"/>
        </w:rPr>
      </w:pPr>
      <w:r>
        <w:rPr>
          <w:rStyle w:val="39"/>
          <w:rFonts w:hint="eastAsia" w:ascii="宋体" w:hAnsi="宋体" w:eastAsia="宋体" w:cs="宋体"/>
          <w:color w:val="auto"/>
          <w:sz w:val="21"/>
          <w:szCs w:val="21"/>
          <w:highlight w:val="none"/>
        </w:rPr>
        <w:t>八、对本次招标提出询问、质疑、投诉，请按以下方式联系。</w:t>
      </w:r>
      <w:r>
        <w:rPr>
          <w:rFonts w:hint="eastAsia" w:ascii="宋体" w:hAnsi="宋体" w:eastAsia="宋体" w:cs="宋体"/>
          <w:color w:val="auto"/>
          <w:sz w:val="21"/>
          <w:szCs w:val="21"/>
          <w:highlight w:val="none"/>
        </w:rPr>
        <w:t>　　　　　　　　　　　　</w:t>
      </w:r>
    </w:p>
    <w:p w14:paraId="206150A9">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3F5F5EBE">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称：嘉兴市南湖区经济信息商务局</w:t>
      </w:r>
    </w:p>
    <w:p w14:paraId="4FB7AB50">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址：嘉兴市凌公塘路1260号南湖区行政中心A楼1楼</w:t>
      </w:r>
    </w:p>
    <w:p w14:paraId="14070310">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0C1AD8BA">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Fonts w:hint="eastAsia" w:ascii="宋体" w:hAnsi="宋体" w:eastAsia="宋体" w:cs="宋体"/>
          <w:color w:val="auto"/>
          <w:sz w:val="21"/>
          <w:szCs w:val="21"/>
          <w:highlight w:val="none"/>
          <w:lang w:val="en-US" w:eastAsia="zh-CN"/>
        </w:rPr>
        <w:t>储涛</w:t>
      </w:r>
      <w:r>
        <w:rPr>
          <w:rFonts w:hint="eastAsia" w:ascii="宋体" w:hAnsi="宋体" w:eastAsia="宋体" w:cs="宋体"/>
          <w:color w:val="auto"/>
          <w:sz w:val="21"/>
          <w:szCs w:val="21"/>
          <w:highlight w:val="none"/>
        </w:rPr>
        <w:t xml:space="preserve">           </w:t>
      </w:r>
    </w:p>
    <w:p w14:paraId="6D199B3B">
      <w:pPr>
        <w:pStyle w:val="31"/>
        <w:spacing w:before="0" w:beforeAutospacing="0" w:after="0" w:afterAutospacing="0"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项目联系方式（询问）：</w:t>
      </w:r>
      <w:r>
        <w:rPr>
          <w:rFonts w:hint="eastAsia" w:ascii="宋体" w:hAnsi="宋体" w:eastAsia="宋体" w:cs="宋体"/>
          <w:color w:val="auto"/>
          <w:sz w:val="21"/>
          <w:szCs w:val="21"/>
          <w:highlight w:val="none"/>
          <w:lang w:val="en-US" w:eastAsia="zh-CN"/>
        </w:rPr>
        <w:t>0573-82838175</w:t>
      </w:r>
    </w:p>
    <w:p w14:paraId="12A65A63">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质疑联系人：周斌</w:t>
      </w:r>
    </w:p>
    <w:p w14:paraId="37E16300">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质疑联系方式：0573-82838013</w:t>
      </w:r>
    </w:p>
    <w:p w14:paraId="7C473519">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2、采购代理机构信息</w:t>
      </w:r>
    </w:p>
    <w:p w14:paraId="3AA09BF3">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称：嘉兴市明扬工程咨询有限公司</w:t>
      </w:r>
    </w:p>
    <w:p w14:paraId="1B6EF809">
      <w:pPr>
        <w:pStyle w:val="31"/>
        <w:spacing w:before="0" w:beforeAutospacing="0" w:after="0" w:afterAutospacing="0" w:line="400" w:lineRule="exact"/>
        <w:ind w:firstLine="6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址：浙江省嘉兴市长水路116号百瑞大厦5</w:t>
      </w:r>
      <w:r>
        <w:rPr>
          <w:rFonts w:hint="eastAsia" w:ascii="宋体" w:hAnsi="宋体" w:eastAsia="宋体" w:cs="宋体"/>
          <w:color w:val="auto"/>
          <w:szCs w:val="21"/>
          <w:highlight w:val="none"/>
        </w:rPr>
        <w:t>楼</w:t>
      </w:r>
      <w:r>
        <w:rPr>
          <w:rFonts w:hint="eastAsia" w:ascii="宋体" w:hAnsi="宋体" w:eastAsia="宋体" w:cs="宋体"/>
          <w:color w:val="auto"/>
          <w:sz w:val="21"/>
          <w:szCs w:val="21"/>
          <w:highlight w:val="none"/>
        </w:rPr>
        <w:t xml:space="preserve">    </w:t>
      </w:r>
    </w:p>
    <w:p w14:paraId="65752BC3">
      <w:pPr>
        <w:pStyle w:val="31"/>
        <w:spacing w:before="0" w:beforeAutospacing="0" w:after="0" w:afterAutospacing="0" w:line="400" w:lineRule="exact"/>
        <w:ind w:firstLine="6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真：0573-89997908</w:t>
      </w:r>
    </w:p>
    <w:p w14:paraId="638D3221">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项目联系人（询问）：</w:t>
      </w:r>
      <w:r>
        <w:rPr>
          <w:rStyle w:val="91"/>
          <w:rFonts w:hint="eastAsia" w:ascii="宋体" w:hAnsi="宋体" w:eastAsia="宋体" w:cs="宋体"/>
          <w:color w:val="auto"/>
          <w:sz w:val="21"/>
          <w:szCs w:val="21"/>
          <w:highlight w:val="none"/>
        </w:rPr>
        <w:t>李闽</w:t>
      </w:r>
    </w:p>
    <w:p w14:paraId="1984BE0C">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项目联系方式（询问）：</w:t>
      </w:r>
      <w:r>
        <w:rPr>
          <w:rStyle w:val="91"/>
          <w:rFonts w:hint="eastAsia" w:ascii="宋体" w:hAnsi="宋体" w:eastAsia="宋体" w:cs="宋体"/>
          <w:color w:val="auto"/>
          <w:sz w:val="21"/>
          <w:szCs w:val="21"/>
          <w:highlight w:val="none"/>
        </w:rPr>
        <w:t>0573-89997908</w:t>
      </w:r>
      <w:r>
        <w:rPr>
          <w:rFonts w:hint="eastAsia" w:ascii="宋体" w:hAnsi="宋体" w:eastAsia="宋体" w:cs="宋体"/>
          <w:color w:val="auto"/>
          <w:sz w:val="21"/>
          <w:szCs w:val="21"/>
          <w:highlight w:val="none"/>
        </w:rPr>
        <w:t>  13757337675</w:t>
      </w:r>
    </w:p>
    <w:p w14:paraId="134653CE">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质疑联系人：</w:t>
      </w:r>
      <w:r>
        <w:rPr>
          <w:rStyle w:val="91"/>
          <w:rFonts w:hint="eastAsia" w:ascii="宋体" w:hAnsi="宋体" w:eastAsia="宋体" w:cs="宋体"/>
          <w:color w:val="auto"/>
          <w:sz w:val="21"/>
          <w:szCs w:val="21"/>
          <w:highlight w:val="none"/>
        </w:rPr>
        <w:t>诸菊妹</w:t>
      </w:r>
      <w:r>
        <w:rPr>
          <w:rFonts w:hint="eastAsia" w:ascii="宋体" w:hAnsi="宋体" w:eastAsia="宋体" w:cs="宋体"/>
          <w:color w:val="auto"/>
          <w:sz w:val="21"/>
          <w:szCs w:val="21"/>
          <w:highlight w:val="none"/>
        </w:rPr>
        <w:t> </w:t>
      </w:r>
    </w:p>
    <w:p w14:paraId="55FCCDC0">
      <w:pPr>
        <w:pStyle w:val="31"/>
        <w:spacing w:before="0" w:beforeAutospacing="0" w:after="0" w:afterAutospacing="0" w:line="400" w:lineRule="exact"/>
        <w:rPr>
          <w:rStyle w:val="91"/>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质疑联系方式：</w:t>
      </w:r>
      <w:r>
        <w:rPr>
          <w:rStyle w:val="91"/>
          <w:rFonts w:hint="eastAsia" w:ascii="宋体" w:hAnsi="宋体" w:eastAsia="宋体" w:cs="宋体"/>
          <w:color w:val="auto"/>
          <w:sz w:val="21"/>
          <w:szCs w:val="21"/>
          <w:highlight w:val="none"/>
        </w:rPr>
        <w:t>0573-89997908  15858362909</w:t>
      </w:r>
    </w:p>
    <w:p w14:paraId="7382E104">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3、同级政府采购监督管理部门</w:t>
      </w:r>
    </w:p>
    <w:p w14:paraId="19C68715">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名    称：嘉兴市南湖区财政局</w:t>
      </w:r>
    </w:p>
    <w:p w14:paraId="65B1F936">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地    址：嘉兴市凌公塘路1260号南湖区行政中心A楼1楼　　</w:t>
      </w:r>
    </w:p>
    <w:p w14:paraId="5956CDBD">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传     真：/ 　   </w:t>
      </w:r>
    </w:p>
    <w:p w14:paraId="0922DAD0">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   系  人：乔先生</w:t>
      </w:r>
    </w:p>
    <w:p w14:paraId="78266296">
      <w:pPr>
        <w:pStyle w:val="31"/>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监督投诉电话：0573-82832019</w:t>
      </w:r>
    </w:p>
    <w:p w14:paraId="40621605">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bookmarkStart w:id="8" w:name="_Toc192313099"/>
    </w:p>
    <w:p w14:paraId="60D59E86">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3BA9E483">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2E6C5792">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18A87163">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22218E9D">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1ADFA329">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776287CF">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bookmarkStart w:id="9" w:name="_Toc32194"/>
      <w:bookmarkStart w:id="10" w:name="_Toc15970"/>
      <w:bookmarkStart w:id="11" w:name="_Toc12831"/>
      <w:bookmarkStart w:id="12" w:name="_Toc21624"/>
      <w:bookmarkStart w:id="13" w:name="_Toc25780"/>
      <w:bookmarkStart w:id="14" w:name="_Toc10350"/>
      <w:bookmarkStart w:id="15" w:name="_Toc9536"/>
      <w:bookmarkStart w:id="16" w:name="_Toc31674"/>
      <w:r>
        <w:rPr>
          <w:rFonts w:hint="eastAsia" w:ascii="宋体" w:hAnsi="宋体" w:eastAsia="宋体" w:cs="宋体"/>
          <w:b/>
          <w:color w:val="auto"/>
          <w:sz w:val="32"/>
          <w:szCs w:val="32"/>
          <w:highlight w:val="none"/>
        </w:rPr>
        <w:t>第二章  供应商须知</w:t>
      </w:r>
      <w:bookmarkEnd w:id="8"/>
      <w:bookmarkEnd w:id="9"/>
      <w:bookmarkEnd w:id="10"/>
      <w:bookmarkEnd w:id="11"/>
      <w:bookmarkEnd w:id="12"/>
      <w:bookmarkEnd w:id="13"/>
      <w:bookmarkEnd w:id="14"/>
      <w:bookmarkEnd w:id="15"/>
      <w:bookmarkEnd w:id="16"/>
    </w:p>
    <w:p w14:paraId="70E4952C">
      <w:pPr>
        <w:spacing w:line="360" w:lineRule="auto"/>
        <w:ind w:firstLine="281" w:firstLineChars="100"/>
        <w:jc w:val="center"/>
        <w:rPr>
          <w:rFonts w:hint="eastAsia" w:ascii="宋体" w:hAnsi="宋体" w:eastAsia="宋体" w:cs="宋体"/>
          <w:b/>
          <w:bCs/>
          <w:color w:val="auto"/>
          <w:sz w:val="28"/>
          <w:szCs w:val="28"/>
          <w:highlight w:val="none"/>
        </w:rPr>
      </w:pPr>
      <w:bookmarkStart w:id="17" w:name="_Toc3827"/>
      <w:bookmarkStart w:id="18" w:name="_Toc24701"/>
      <w:bookmarkStart w:id="19" w:name="_Toc7639"/>
      <w:bookmarkStart w:id="20" w:name="_Toc15660"/>
      <w:bookmarkStart w:id="21" w:name="_Toc22379"/>
      <w:bookmarkStart w:id="22" w:name="_Toc10659"/>
      <w:bookmarkStart w:id="23" w:name="_Toc26887"/>
      <w:bookmarkStart w:id="24" w:name="_Toc14716"/>
      <w:bookmarkStart w:id="25" w:name="_Toc192313100"/>
      <w:r>
        <w:rPr>
          <w:rFonts w:hint="eastAsia" w:ascii="宋体" w:hAnsi="宋体" w:eastAsia="宋体" w:cs="宋体"/>
          <w:b/>
          <w:bCs/>
          <w:color w:val="auto"/>
          <w:sz w:val="28"/>
          <w:szCs w:val="28"/>
          <w:highlight w:val="none"/>
        </w:rPr>
        <w:t>电子交易注意事项</w:t>
      </w:r>
    </w:p>
    <w:p w14:paraId="69C75E20">
      <w:pPr>
        <w:spacing w:line="360" w:lineRule="auto"/>
        <w:ind w:firstLine="211" w:firstLineChars="100"/>
        <w:jc w:val="left"/>
        <w:rPr>
          <w:rFonts w:hint="eastAsia" w:ascii="宋体" w:hAnsi="宋体" w:eastAsia="宋体" w:cs="宋体"/>
          <w:color w:val="auto"/>
          <w:sz w:val="24"/>
          <w:highlight w:val="none"/>
          <w:shd w:val="clear" w:color="auto" w:fill="FFFFFF"/>
        </w:rPr>
      </w:pPr>
      <w:r>
        <w:rPr>
          <w:rFonts w:hint="eastAsia" w:ascii="宋体" w:hAnsi="宋体" w:eastAsia="宋体" w:cs="宋体"/>
          <w:b/>
          <w:bCs/>
          <w:color w:val="auto"/>
          <w:szCs w:val="21"/>
          <w:highlight w:val="none"/>
          <w:shd w:val="clear" w:color="auto" w:fill="FFFFFF"/>
        </w:rPr>
        <w:t>　</w:t>
      </w:r>
      <w:r>
        <w:rPr>
          <w:rFonts w:hint="eastAsia" w:ascii="宋体" w:hAnsi="宋体" w:eastAsia="宋体" w:cs="宋体"/>
          <w:color w:val="auto"/>
          <w:sz w:val="24"/>
          <w:highlight w:val="none"/>
          <w:shd w:val="clear" w:color="auto" w:fill="FFFFFF"/>
        </w:rPr>
        <w:t>政府采购项目电子交易活动适用《浙江省政府采购项目电子交易管理暂行办法》，现将相关注意事项告知如下：</w:t>
      </w:r>
    </w:p>
    <w:p w14:paraId="4EBD0A84">
      <w:p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1.采购代理机构按照竞争性磋商文件规定的时间通过电子交易平台组织开标、开启电子磋商响应文件，所有供应商均应当准时在线参加，直至评审结束。</w:t>
      </w:r>
    </w:p>
    <w:p w14:paraId="7625AAF9">
      <w:pPr>
        <w:pStyle w:val="31"/>
        <w:spacing w:beforeAutospacing="0" w:afterAutospacing="0"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rPr>
        <w:t>　2. 电子</w:t>
      </w:r>
      <w:r>
        <w:rPr>
          <w:rFonts w:hint="eastAsia" w:ascii="宋体" w:hAnsi="宋体" w:eastAsia="宋体" w:cs="宋体"/>
          <w:color w:val="auto"/>
          <w:highlight w:val="none"/>
        </w:rPr>
        <w:t>磋商响应文件</w:t>
      </w:r>
      <w:r>
        <w:rPr>
          <w:rFonts w:hint="eastAsia" w:ascii="宋体" w:hAnsi="宋体" w:eastAsia="宋体" w:cs="宋体"/>
          <w:color w:val="auto"/>
          <w:kern w:val="2"/>
          <w:highlight w:val="none"/>
        </w:rPr>
        <w:t>未按时解密，供应商如提供备份电子</w:t>
      </w:r>
      <w:r>
        <w:rPr>
          <w:rFonts w:hint="eastAsia" w:ascii="宋体" w:hAnsi="宋体" w:eastAsia="宋体" w:cs="宋体"/>
          <w:color w:val="auto"/>
          <w:highlight w:val="none"/>
        </w:rPr>
        <w:t>磋商响应文件</w:t>
      </w:r>
      <w:r>
        <w:rPr>
          <w:rFonts w:hint="eastAsia" w:ascii="宋体" w:hAnsi="宋体" w:eastAsia="宋体" w:cs="宋体"/>
          <w:color w:val="auto"/>
          <w:kern w:val="2"/>
          <w:highlight w:val="none"/>
        </w:rPr>
        <w:t>的，以符合要求的备份电子</w:t>
      </w:r>
      <w:r>
        <w:rPr>
          <w:rFonts w:hint="eastAsia" w:ascii="宋体" w:hAnsi="宋体" w:eastAsia="宋体" w:cs="宋体"/>
          <w:color w:val="auto"/>
          <w:highlight w:val="none"/>
        </w:rPr>
        <w:t>磋商响应文件</w:t>
      </w:r>
      <w:r>
        <w:rPr>
          <w:rFonts w:hint="eastAsia" w:ascii="宋体" w:hAnsi="宋体" w:eastAsia="宋体" w:cs="宋体"/>
          <w:color w:val="auto"/>
          <w:kern w:val="2"/>
          <w:highlight w:val="none"/>
        </w:rPr>
        <w:t>作为依据，否则视为</w:t>
      </w:r>
      <w:r>
        <w:rPr>
          <w:rFonts w:hint="eastAsia" w:ascii="宋体" w:hAnsi="宋体" w:eastAsia="宋体" w:cs="宋体"/>
          <w:color w:val="auto"/>
          <w:highlight w:val="none"/>
        </w:rPr>
        <w:t>磋商响应文件</w:t>
      </w:r>
      <w:r>
        <w:rPr>
          <w:rFonts w:hint="eastAsia" w:ascii="宋体" w:hAnsi="宋体" w:eastAsia="宋体" w:cs="宋体"/>
          <w:color w:val="auto"/>
          <w:kern w:val="2"/>
          <w:highlight w:val="none"/>
        </w:rPr>
        <w:t>撤回。电子</w:t>
      </w:r>
      <w:r>
        <w:rPr>
          <w:rFonts w:hint="eastAsia" w:ascii="宋体" w:hAnsi="宋体" w:eastAsia="宋体" w:cs="宋体"/>
          <w:color w:val="auto"/>
          <w:highlight w:val="none"/>
        </w:rPr>
        <w:t>磋商响应文件</w:t>
      </w:r>
      <w:r>
        <w:rPr>
          <w:rFonts w:hint="eastAsia" w:ascii="宋体" w:hAnsi="宋体" w:eastAsia="宋体" w:cs="宋体"/>
          <w:color w:val="auto"/>
          <w:kern w:val="2"/>
          <w:highlight w:val="none"/>
        </w:rPr>
        <w:t>已按时解密的，备份电子</w:t>
      </w:r>
      <w:r>
        <w:rPr>
          <w:rFonts w:hint="eastAsia" w:ascii="宋体" w:hAnsi="宋体" w:eastAsia="宋体" w:cs="宋体"/>
          <w:color w:val="auto"/>
          <w:highlight w:val="none"/>
        </w:rPr>
        <w:t>磋商响应文件</w:t>
      </w:r>
      <w:r>
        <w:rPr>
          <w:rFonts w:hint="eastAsia" w:ascii="宋体" w:hAnsi="宋体" w:eastAsia="宋体" w:cs="宋体"/>
          <w:color w:val="auto"/>
          <w:kern w:val="2"/>
          <w:highlight w:val="none"/>
        </w:rPr>
        <w:t>自动失效。</w:t>
      </w:r>
    </w:p>
    <w:p w14:paraId="36BC3FF4">
      <w:pPr>
        <w:pStyle w:val="31"/>
        <w:spacing w:beforeAutospacing="0" w:afterAutospacing="0" w:line="360" w:lineRule="auto"/>
        <w:ind w:firstLine="240" w:firstLineChars="100"/>
        <w:rPr>
          <w:rFonts w:hint="eastAsia" w:ascii="宋体" w:hAnsi="宋体" w:eastAsia="宋体" w:cs="宋体"/>
          <w:color w:val="auto"/>
          <w:kern w:val="2"/>
          <w:highlight w:val="none"/>
        </w:rPr>
      </w:pPr>
      <w:r>
        <w:rPr>
          <w:rFonts w:hint="eastAsia" w:ascii="宋体" w:hAnsi="宋体" w:eastAsia="宋体" w:cs="宋体"/>
          <w:color w:val="auto"/>
          <w:kern w:val="2"/>
          <w:highlight w:val="none"/>
        </w:rPr>
        <w:t>　3. 采购过程中出现以下情形，导致电子交易平台无法正常运行，或者无法保证电子交易的公平、公正和安全时，采购代理机构可中止电子交易活动：</w:t>
      </w:r>
    </w:p>
    <w:p w14:paraId="0F01AD5D">
      <w:pPr>
        <w:pStyle w:val="31"/>
        <w:spacing w:beforeAutospacing="0" w:afterAutospacing="0" w:line="360" w:lineRule="auto"/>
        <w:ind w:firstLine="645"/>
        <w:rPr>
          <w:rFonts w:hint="eastAsia" w:ascii="宋体" w:hAnsi="宋体" w:eastAsia="宋体" w:cs="宋体"/>
          <w:color w:val="auto"/>
          <w:kern w:val="2"/>
          <w:highlight w:val="none"/>
        </w:rPr>
      </w:pPr>
      <w:r>
        <w:rPr>
          <w:rFonts w:hint="eastAsia" w:ascii="宋体" w:hAnsi="宋体" w:eastAsia="宋体" w:cs="宋体"/>
          <w:color w:val="auto"/>
          <w:kern w:val="2"/>
          <w:highlight w:val="none"/>
        </w:rPr>
        <w:t>（一）电子交易平台发生故障而无法登录访问的； </w:t>
      </w:r>
    </w:p>
    <w:p w14:paraId="4849C9A8">
      <w:pPr>
        <w:pStyle w:val="31"/>
        <w:spacing w:beforeAutospacing="0" w:afterAutospacing="0" w:line="360" w:lineRule="auto"/>
        <w:ind w:firstLine="645"/>
        <w:rPr>
          <w:rFonts w:hint="eastAsia" w:ascii="宋体" w:hAnsi="宋体" w:eastAsia="宋体" w:cs="宋体"/>
          <w:color w:val="auto"/>
          <w:kern w:val="2"/>
          <w:highlight w:val="none"/>
        </w:rPr>
      </w:pPr>
      <w:r>
        <w:rPr>
          <w:rFonts w:hint="eastAsia" w:ascii="宋体" w:hAnsi="宋体" w:eastAsia="宋体" w:cs="宋体"/>
          <w:color w:val="auto"/>
          <w:kern w:val="2"/>
          <w:highlight w:val="none"/>
        </w:rPr>
        <w:t>（二）电子交易平台应用或数据库出现错误，不能进行正常操作的；</w:t>
      </w:r>
    </w:p>
    <w:p w14:paraId="1C12AFBA">
      <w:pPr>
        <w:pStyle w:val="31"/>
        <w:spacing w:beforeAutospacing="0" w:afterAutospacing="0" w:line="360" w:lineRule="auto"/>
        <w:ind w:firstLine="645"/>
        <w:rPr>
          <w:rFonts w:hint="eastAsia" w:ascii="宋体" w:hAnsi="宋体" w:eastAsia="宋体" w:cs="宋体"/>
          <w:color w:val="auto"/>
          <w:kern w:val="2"/>
          <w:highlight w:val="none"/>
        </w:rPr>
      </w:pPr>
      <w:r>
        <w:rPr>
          <w:rFonts w:hint="eastAsia" w:ascii="宋体" w:hAnsi="宋体" w:eastAsia="宋体" w:cs="宋体"/>
          <w:color w:val="auto"/>
          <w:kern w:val="2"/>
          <w:highlight w:val="none"/>
        </w:rPr>
        <w:t>（三）电子交易平台发现严重安全漏洞，有潜在泄密危险的；</w:t>
      </w:r>
    </w:p>
    <w:p w14:paraId="1C24FBCC">
      <w:pPr>
        <w:pStyle w:val="31"/>
        <w:spacing w:beforeAutospacing="0" w:afterAutospacing="0" w:line="360" w:lineRule="auto"/>
        <w:ind w:firstLine="645"/>
        <w:rPr>
          <w:rFonts w:hint="eastAsia" w:ascii="宋体" w:hAnsi="宋体" w:eastAsia="宋体" w:cs="宋体"/>
          <w:color w:val="auto"/>
          <w:kern w:val="2"/>
          <w:highlight w:val="none"/>
        </w:rPr>
      </w:pPr>
      <w:r>
        <w:rPr>
          <w:rFonts w:hint="eastAsia" w:ascii="宋体" w:hAnsi="宋体" w:eastAsia="宋体" w:cs="宋体"/>
          <w:color w:val="auto"/>
          <w:kern w:val="2"/>
          <w:highlight w:val="none"/>
        </w:rPr>
        <w:t>（四）病毒发作导致不能进行正常操作的； </w:t>
      </w:r>
    </w:p>
    <w:p w14:paraId="47B18DAC">
      <w:pPr>
        <w:pStyle w:val="31"/>
        <w:spacing w:beforeAutospacing="0" w:afterAutospacing="0" w:line="360" w:lineRule="auto"/>
        <w:ind w:firstLine="645"/>
        <w:rPr>
          <w:rFonts w:hint="eastAsia" w:ascii="宋体" w:hAnsi="宋体" w:eastAsia="宋体" w:cs="宋体"/>
          <w:color w:val="auto"/>
          <w:kern w:val="2"/>
          <w:highlight w:val="none"/>
        </w:rPr>
      </w:pPr>
      <w:r>
        <w:rPr>
          <w:rFonts w:hint="eastAsia" w:ascii="宋体" w:hAnsi="宋体" w:eastAsia="宋体" w:cs="宋体"/>
          <w:color w:val="auto"/>
          <w:kern w:val="2"/>
          <w:highlight w:val="none"/>
        </w:rPr>
        <w:t>（五）其他无法保证电子交易的公平、公正和安全的情况。</w:t>
      </w:r>
    </w:p>
    <w:p w14:paraId="1B8766E3">
      <w:pPr>
        <w:pStyle w:val="31"/>
        <w:spacing w:beforeAutospacing="0" w:afterAutospacing="0" w:line="360" w:lineRule="auto"/>
        <w:ind w:firstLine="480"/>
        <w:rPr>
          <w:rFonts w:hint="eastAsia" w:ascii="宋体" w:hAnsi="宋体" w:eastAsia="宋体" w:cs="宋体"/>
          <w:color w:val="auto"/>
          <w:kern w:val="2"/>
          <w:highlight w:val="none"/>
        </w:rPr>
      </w:pPr>
      <w:r>
        <w:rPr>
          <w:rFonts w:hint="eastAsia" w:ascii="宋体" w:hAnsi="宋体" w:eastAsia="宋体"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0C3D9164">
      <w:pPr>
        <w:pStyle w:val="31"/>
        <w:spacing w:beforeAutospacing="0"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4、评审中需要供应商对磋商响应文件作出澄清、说明或者补正的，评审小组和供应商应当通过电子交易平台交换数据电文。供应商需在半小时内提交澄清、说明或补正，供应商已经明确表示澄清、说明或补正完毕的除外。</w:t>
      </w:r>
    </w:p>
    <w:p w14:paraId="68E8A486">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p>
    <w:p w14:paraId="34C411F0">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p>
    <w:p w14:paraId="179E614B">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p>
    <w:p w14:paraId="2A48C7FC">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p>
    <w:p w14:paraId="720B7938">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p>
    <w:p w14:paraId="6032B023">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前附表</w:t>
      </w:r>
      <w:bookmarkEnd w:id="17"/>
      <w:bookmarkEnd w:id="18"/>
      <w:bookmarkEnd w:id="19"/>
      <w:bookmarkEnd w:id="20"/>
      <w:bookmarkEnd w:id="21"/>
      <w:bookmarkEnd w:id="22"/>
      <w:bookmarkEnd w:id="23"/>
      <w:bookmarkEnd w:id="24"/>
      <w:bookmarkEnd w:id="25"/>
    </w:p>
    <w:tbl>
      <w:tblPr>
        <w:tblStyle w:val="36"/>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724"/>
      </w:tblGrid>
      <w:tr w14:paraId="5A52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7" w:type="dxa"/>
            <w:vAlign w:val="center"/>
          </w:tcPr>
          <w:p w14:paraId="35AB37BC">
            <w:pPr>
              <w:pStyle w:val="16"/>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724" w:type="dxa"/>
            <w:vAlign w:val="center"/>
          </w:tcPr>
          <w:p w14:paraId="142C2E8A">
            <w:pPr>
              <w:pStyle w:val="16"/>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71BD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7" w:type="dxa"/>
            <w:vAlign w:val="center"/>
          </w:tcPr>
          <w:p w14:paraId="5C63173E">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724" w:type="dxa"/>
            <w:vAlign w:val="center"/>
          </w:tcPr>
          <w:p w14:paraId="19F5A128">
            <w:pPr>
              <w:spacing w:line="440" w:lineRule="exact"/>
              <w:rPr>
                <w:rFonts w:hint="eastAsia" w:ascii="宋体" w:hAnsi="宋体" w:eastAsia="宋体" w:cs="宋体"/>
                <w:bCs/>
                <w:color w:val="auto"/>
                <w:kern w:val="0"/>
                <w:szCs w:val="21"/>
                <w:highlight w:val="none"/>
                <w:lang w:val="zh-CN"/>
              </w:rPr>
            </w:pPr>
            <w:r>
              <w:rPr>
                <w:rFonts w:hint="eastAsia" w:ascii="宋体" w:hAnsi="宋体" w:eastAsia="宋体" w:cs="宋体"/>
                <w:b/>
                <w:color w:val="auto"/>
                <w:kern w:val="0"/>
                <w:szCs w:val="21"/>
                <w:highlight w:val="none"/>
                <w:lang w:val="zh-CN"/>
              </w:rPr>
              <w:t>项目名称：</w:t>
            </w:r>
            <w:r>
              <w:rPr>
                <w:rFonts w:hint="eastAsia" w:ascii="宋体" w:hAnsi="宋体" w:cs="宋体"/>
                <w:bCs/>
                <w:color w:val="auto"/>
                <w:kern w:val="0"/>
                <w:szCs w:val="21"/>
                <w:highlight w:val="none"/>
                <w:lang w:val="zh-CN"/>
              </w:rPr>
              <w:t>南湖区-遂昌县制造业高质量发展结对促共富经营管理赋能服务项目</w:t>
            </w:r>
            <w:r>
              <w:rPr>
                <w:rFonts w:hint="eastAsia" w:ascii="宋体" w:hAnsi="宋体" w:eastAsia="宋体" w:cs="宋体"/>
                <w:bCs/>
                <w:color w:val="auto"/>
                <w:kern w:val="0"/>
                <w:szCs w:val="21"/>
                <w:highlight w:val="none"/>
                <w:lang w:val="zh-CN"/>
              </w:rPr>
              <w:t xml:space="preserve">  </w:t>
            </w:r>
          </w:p>
        </w:tc>
      </w:tr>
      <w:tr w14:paraId="19FC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7" w:type="dxa"/>
            <w:vAlign w:val="center"/>
          </w:tcPr>
          <w:p w14:paraId="21B3EE21">
            <w:pPr>
              <w:pStyle w:val="16"/>
              <w:spacing w:line="400" w:lineRule="exact"/>
              <w:jc w:val="center"/>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w:t>
            </w:r>
          </w:p>
        </w:tc>
        <w:tc>
          <w:tcPr>
            <w:tcW w:w="8724" w:type="dxa"/>
            <w:vAlign w:val="center"/>
          </w:tcPr>
          <w:p w14:paraId="3F8CC50B">
            <w:pPr>
              <w:pStyle w:val="59"/>
              <w:widowControl w:val="0"/>
              <w:snapToGrid/>
              <w:spacing w:afterLines="0"/>
              <w:ind w:firstLine="0" w:firstLineChars="0"/>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lang w:val="zh-CN"/>
              </w:rPr>
              <w:t>项目编号：</w:t>
            </w:r>
            <w:r>
              <w:rPr>
                <w:rFonts w:hint="eastAsia" w:ascii="宋体" w:hAnsi="宋体" w:cs="宋体"/>
                <w:bCs/>
                <w:color w:val="auto"/>
                <w:sz w:val="21"/>
                <w:szCs w:val="21"/>
                <w:highlight w:val="none"/>
                <w:lang w:val="zh-CN"/>
              </w:rPr>
              <w:t>JXMYZFCG-2024-044</w:t>
            </w:r>
            <w:r>
              <w:rPr>
                <w:rFonts w:hint="eastAsia" w:ascii="宋体" w:hAnsi="宋体" w:eastAsia="宋体" w:cs="宋体"/>
                <w:bCs/>
                <w:color w:val="auto"/>
                <w:sz w:val="21"/>
                <w:szCs w:val="21"/>
                <w:highlight w:val="none"/>
                <w:lang w:val="zh-CN"/>
              </w:rPr>
              <w:t xml:space="preserve"> </w:t>
            </w:r>
          </w:p>
        </w:tc>
      </w:tr>
      <w:tr w14:paraId="30A0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27" w:type="dxa"/>
            <w:vAlign w:val="center"/>
          </w:tcPr>
          <w:p w14:paraId="4B5B14F7">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24" w:type="dxa"/>
            <w:vAlign w:val="center"/>
          </w:tcPr>
          <w:p w14:paraId="11FB0ECA">
            <w:pPr>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竞争性磋商文件的澄清与修改：</w:t>
            </w:r>
            <w:r>
              <w:rPr>
                <w:rFonts w:hint="eastAsia" w:ascii="宋体" w:hAnsi="宋体" w:eastAsia="宋体" w:cs="宋体"/>
                <w:color w:val="auto"/>
                <w:szCs w:val="21"/>
                <w:highlight w:val="none"/>
              </w:rPr>
              <w:t>供应商应认真阅读本磋商文件，发现其中有误或有不合理要求的，供应商必须在知道或者应当知道之日起七个工作日内以书面形式向招标人一次性提出。采购代理机构对已发出的竞争性磋商文件进行必要澄清、答复、修改或补充的，应当在磋商文件要求提交磋商响应文件截止时间5日前，在浙江政府采购网(http://zfcg.czt.zj.gov.cn/)上发布更正公告，请供应商在磋商截止前及时关注。竞争性磋商文件的澄清、答复、修改或补充，一经在上述媒体发布，即视所有供应商都已经收到相关文件。</w:t>
            </w:r>
          </w:p>
        </w:tc>
      </w:tr>
      <w:tr w14:paraId="707D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vAlign w:val="center"/>
          </w:tcPr>
          <w:p w14:paraId="2CE796DE">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724" w:type="dxa"/>
            <w:vAlign w:val="center"/>
          </w:tcPr>
          <w:p w14:paraId="53054146">
            <w:pPr>
              <w:ind w:right="60"/>
              <w:jc w:val="left"/>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现场踏勘：</w:t>
            </w:r>
            <w:r>
              <w:rPr>
                <w:rFonts w:hint="eastAsia" w:ascii="宋体" w:hAnsi="宋体" w:eastAsia="宋体" w:cs="宋体"/>
                <w:color w:val="auto"/>
                <w:szCs w:val="21"/>
                <w:highlight w:val="none"/>
              </w:rPr>
              <w:t>无。</w:t>
            </w:r>
          </w:p>
        </w:tc>
      </w:tr>
      <w:tr w14:paraId="0F76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7" w:type="dxa"/>
            <w:vAlign w:val="center"/>
          </w:tcPr>
          <w:p w14:paraId="1AD32496">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724" w:type="dxa"/>
            <w:vAlign w:val="center"/>
          </w:tcPr>
          <w:p w14:paraId="725BD84A">
            <w:pPr>
              <w:pStyle w:val="16"/>
              <w:spacing w:line="320" w:lineRule="exac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竞争性磋商文件售价：</w:t>
            </w:r>
            <w:r>
              <w:rPr>
                <w:rFonts w:hint="eastAsia" w:ascii="宋体" w:hAnsi="宋体" w:eastAsia="宋体" w:cs="宋体"/>
                <w:bCs/>
                <w:color w:val="auto"/>
                <w:kern w:val="0"/>
                <w:szCs w:val="21"/>
                <w:highlight w:val="none"/>
              </w:rPr>
              <w:t>免费</w:t>
            </w:r>
            <w:r>
              <w:rPr>
                <w:rFonts w:hint="eastAsia" w:ascii="宋体" w:hAnsi="宋体" w:eastAsia="宋体" w:cs="宋体"/>
                <w:color w:val="auto"/>
                <w:szCs w:val="21"/>
                <w:highlight w:val="none"/>
              </w:rPr>
              <w:t>。</w:t>
            </w:r>
          </w:p>
        </w:tc>
      </w:tr>
      <w:tr w14:paraId="3B0C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7" w:type="dxa"/>
            <w:vAlign w:val="center"/>
          </w:tcPr>
          <w:p w14:paraId="7669A015">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724" w:type="dxa"/>
            <w:vAlign w:val="center"/>
          </w:tcPr>
          <w:p w14:paraId="21478288">
            <w:pPr>
              <w:pStyle w:val="16"/>
              <w:spacing w:line="320" w:lineRule="exac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磋商保证金：</w:t>
            </w:r>
            <w:r>
              <w:rPr>
                <w:rFonts w:hint="eastAsia" w:ascii="宋体" w:hAnsi="宋体" w:eastAsia="宋体" w:cs="宋体"/>
                <w:color w:val="auto"/>
                <w:szCs w:val="21"/>
                <w:highlight w:val="none"/>
              </w:rPr>
              <w:t>无。</w:t>
            </w:r>
          </w:p>
        </w:tc>
      </w:tr>
      <w:tr w14:paraId="2F7C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7" w:type="dxa"/>
            <w:vAlign w:val="center"/>
          </w:tcPr>
          <w:p w14:paraId="0300A252">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724" w:type="dxa"/>
            <w:vAlign w:val="center"/>
          </w:tcPr>
          <w:p w14:paraId="58C5D087">
            <w:pPr>
              <w:pStyle w:val="16"/>
              <w:spacing w:line="32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w:t>
            </w:r>
            <w:r>
              <w:rPr>
                <w:rFonts w:hint="eastAsia" w:ascii="宋体" w:hAnsi="宋体" w:eastAsia="宋体" w:cs="宋体"/>
                <w:color w:val="auto"/>
                <w:szCs w:val="21"/>
                <w:highlight w:val="none"/>
              </w:rPr>
              <w:t>无。</w:t>
            </w:r>
          </w:p>
        </w:tc>
      </w:tr>
      <w:tr w14:paraId="3178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7" w:type="dxa"/>
            <w:vAlign w:val="center"/>
          </w:tcPr>
          <w:p w14:paraId="7E29A32E">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724" w:type="dxa"/>
            <w:vAlign w:val="center"/>
          </w:tcPr>
          <w:p w14:paraId="4143A4C8">
            <w:pPr>
              <w:pStyle w:val="66"/>
              <w:tabs>
                <w:tab w:val="left" w:pos="0"/>
              </w:tabs>
              <w:ind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zh-CN"/>
              </w:rPr>
              <w:t>预算金额：</w:t>
            </w: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lang w:eastAsia="zh-CN"/>
              </w:rPr>
              <w:t>0万元</w:t>
            </w:r>
            <w:r>
              <w:rPr>
                <w:rFonts w:hint="eastAsia" w:ascii="宋体" w:hAnsi="宋体" w:eastAsia="宋体" w:cs="宋体"/>
                <w:b/>
                <w:bCs/>
                <w:color w:val="auto"/>
                <w:szCs w:val="21"/>
                <w:highlight w:val="none"/>
              </w:rPr>
              <w:t>。</w:t>
            </w:r>
          </w:p>
          <w:p w14:paraId="71AC6425">
            <w:pPr>
              <w:pStyle w:val="66"/>
              <w:tabs>
                <w:tab w:val="left" w:pos="0"/>
              </w:tabs>
              <w:ind w:firstLine="0" w:firstLineChars="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最高限价：人民币</w:t>
            </w:r>
            <w:r>
              <w:rPr>
                <w:rFonts w:hint="eastAsia" w:ascii="宋体" w:hAnsi="宋体" w:cs="宋体"/>
                <w:b/>
                <w:color w:val="auto"/>
                <w:szCs w:val="21"/>
                <w:highlight w:val="none"/>
                <w:lang w:val="en-US" w:eastAsia="zh-CN"/>
              </w:rPr>
              <w:t>12</w:t>
            </w:r>
            <w:r>
              <w:rPr>
                <w:rFonts w:hint="eastAsia" w:ascii="宋体" w:hAnsi="宋体" w:cs="宋体"/>
                <w:b/>
                <w:color w:val="auto"/>
                <w:szCs w:val="21"/>
                <w:highlight w:val="none"/>
                <w:lang w:eastAsia="zh-CN"/>
              </w:rPr>
              <w:t>0万元</w:t>
            </w:r>
            <w:r>
              <w:rPr>
                <w:rFonts w:hint="eastAsia" w:ascii="宋体" w:hAnsi="宋体" w:eastAsia="宋体" w:cs="宋体"/>
                <w:b/>
                <w:color w:val="auto"/>
                <w:szCs w:val="21"/>
                <w:highlight w:val="none"/>
              </w:rPr>
              <w:t>，高于最高限价作无效标处理。</w:t>
            </w:r>
          </w:p>
        </w:tc>
      </w:tr>
      <w:tr w14:paraId="74EE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7" w:type="dxa"/>
            <w:vAlign w:val="center"/>
          </w:tcPr>
          <w:p w14:paraId="61EDB9DC">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724" w:type="dxa"/>
            <w:vAlign w:val="center"/>
          </w:tcPr>
          <w:p w14:paraId="4F12DCFD">
            <w:pPr>
              <w:pStyle w:val="16"/>
              <w:spacing w:line="320" w:lineRule="exac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合同名称：《</w:t>
            </w:r>
            <w:r>
              <w:rPr>
                <w:rFonts w:hint="eastAsia" w:hAnsi="宋体" w:cs="宋体"/>
                <w:b/>
                <w:color w:val="auto"/>
                <w:kern w:val="0"/>
                <w:szCs w:val="21"/>
                <w:highlight w:val="none"/>
                <w:lang w:eastAsia="zh-CN"/>
              </w:rPr>
              <w:t>南湖区-遂昌县制造业高质量发展结对促共富经营管理赋能服务项目</w:t>
            </w:r>
            <w:r>
              <w:rPr>
                <w:rFonts w:hint="eastAsia" w:ascii="宋体" w:hAnsi="宋体" w:eastAsia="宋体" w:cs="宋体"/>
                <w:b/>
                <w:color w:val="auto"/>
                <w:kern w:val="0"/>
                <w:szCs w:val="21"/>
                <w:highlight w:val="none"/>
              </w:rPr>
              <w:t>政府采购合同》</w:t>
            </w:r>
          </w:p>
        </w:tc>
      </w:tr>
      <w:tr w14:paraId="2149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14:paraId="62880BCE">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724" w:type="dxa"/>
            <w:vAlign w:val="center"/>
          </w:tcPr>
          <w:p w14:paraId="7554DF6D">
            <w:pPr>
              <w:pStyle w:val="16"/>
              <w:spacing w:line="32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磋商有效期：</w:t>
            </w:r>
            <w:r>
              <w:rPr>
                <w:rFonts w:hint="eastAsia" w:ascii="宋体" w:hAnsi="宋体" w:eastAsia="宋体" w:cs="宋体"/>
                <w:color w:val="auto"/>
                <w:szCs w:val="21"/>
                <w:highlight w:val="none"/>
              </w:rPr>
              <w:t>自磋商截止日起90个日历天。</w:t>
            </w:r>
          </w:p>
        </w:tc>
      </w:tr>
      <w:tr w14:paraId="038A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Align w:val="center"/>
          </w:tcPr>
          <w:p w14:paraId="5551D1F2">
            <w:pPr>
              <w:pStyle w:val="16"/>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724" w:type="dxa"/>
            <w:vAlign w:val="center"/>
          </w:tcPr>
          <w:p w14:paraId="76D9E59A">
            <w:pPr>
              <w:autoSpaceDE w:val="0"/>
              <w:autoSpaceDN w:val="0"/>
              <w:snapToGrid w:val="0"/>
              <w:spacing w:line="360" w:lineRule="exact"/>
              <w:jc w:val="left"/>
              <w:textAlignment w:val="bottom"/>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磋商响应文件的份数：</w:t>
            </w:r>
            <w:r>
              <w:rPr>
                <w:rFonts w:hint="eastAsia" w:ascii="宋体" w:hAnsi="宋体" w:eastAsia="宋体" w:cs="宋体"/>
                <w:color w:val="auto"/>
                <w:szCs w:val="21"/>
                <w:highlight w:val="none"/>
                <w:lang w:val="zh-CN"/>
              </w:rPr>
              <w:t>电子</w:t>
            </w:r>
            <w:r>
              <w:rPr>
                <w:rFonts w:hint="eastAsia" w:ascii="宋体" w:hAnsi="宋体" w:eastAsia="宋体" w:cs="宋体"/>
                <w:color w:val="auto"/>
                <w:szCs w:val="21"/>
                <w:highlight w:val="none"/>
              </w:rPr>
              <w:t>磋商响应</w:t>
            </w:r>
            <w:r>
              <w:rPr>
                <w:rFonts w:hint="eastAsia" w:ascii="宋体" w:hAnsi="宋体" w:eastAsia="宋体" w:cs="宋体"/>
                <w:color w:val="auto"/>
                <w:szCs w:val="21"/>
                <w:highlight w:val="none"/>
                <w:lang w:val="zh-CN"/>
              </w:rPr>
              <w:t>文件</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zh-CN"/>
              </w:rPr>
              <w:t>资信商务及技术文件、报价文件</w:t>
            </w:r>
            <w:r>
              <w:rPr>
                <w:rFonts w:hint="eastAsia" w:ascii="宋体" w:hAnsi="宋体" w:eastAsia="宋体" w:cs="宋体"/>
                <w:color w:val="auto"/>
                <w:szCs w:val="21"/>
                <w:highlight w:val="none"/>
              </w:rPr>
              <w:t>两部分组成。</w:t>
            </w:r>
            <w:r>
              <w:rPr>
                <w:rFonts w:hint="eastAsia" w:ascii="宋体" w:hAnsi="宋体" w:eastAsia="宋体" w:cs="宋体"/>
                <w:color w:val="auto"/>
                <w:szCs w:val="21"/>
                <w:highlight w:val="none"/>
                <w:lang w:val="zh-CN"/>
              </w:rPr>
              <w:t>其中电子</w:t>
            </w:r>
            <w:r>
              <w:rPr>
                <w:rFonts w:hint="eastAsia" w:ascii="宋体" w:hAnsi="宋体" w:eastAsia="宋体" w:cs="宋体"/>
                <w:color w:val="auto"/>
                <w:szCs w:val="21"/>
                <w:highlight w:val="none"/>
              </w:rPr>
              <w:t>磋商响应</w:t>
            </w:r>
            <w:r>
              <w:rPr>
                <w:rFonts w:hint="eastAsia" w:ascii="宋体" w:hAnsi="宋体" w:eastAsia="宋体" w:cs="宋体"/>
                <w:color w:val="auto"/>
                <w:szCs w:val="21"/>
                <w:highlight w:val="none"/>
                <w:lang w:val="zh-CN"/>
              </w:rPr>
              <w:t>文件中所须加盖公章部分均采用CA签章。</w:t>
            </w:r>
          </w:p>
          <w:p w14:paraId="5E5E7930">
            <w:pPr>
              <w:pStyle w:val="59"/>
              <w:spacing w:after="156"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注：电子磋商响应文件，按政采云平台供应商项目采购-电子招投标操作指南（网址：https://service.zcygov.cn/#/knowledges/CW1EtGwBFdiHxlNd6I3m/6IMVAG0BFdiHxlNdQ8Na）及本竞争性磋商文件要求递交。</w:t>
            </w:r>
          </w:p>
        </w:tc>
      </w:tr>
      <w:tr w14:paraId="4713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7" w:type="dxa"/>
            <w:vAlign w:val="center"/>
          </w:tcPr>
          <w:p w14:paraId="4BCF1C76">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724" w:type="dxa"/>
            <w:vAlign w:val="center"/>
          </w:tcPr>
          <w:p w14:paraId="78BD4E2B">
            <w:pPr>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磋商时间：</w:t>
            </w:r>
            <w:r>
              <w:rPr>
                <w:rFonts w:hint="eastAsia" w:ascii="宋体" w:hAnsi="宋体" w:eastAsia="宋体" w:cs="宋体"/>
                <w:color w:val="auto"/>
                <w:szCs w:val="21"/>
                <w:highlight w:val="none"/>
              </w:rPr>
              <w:t>2024年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日14:00分整。</w:t>
            </w:r>
          </w:p>
          <w:p w14:paraId="5A5318A1">
            <w:pPr>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磋商地点：</w:t>
            </w:r>
            <w:r>
              <w:rPr>
                <w:rFonts w:hint="eastAsia" w:ascii="宋体" w:hAnsi="宋体" w:eastAsia="宋体" w:cs="宋体"/>
                <w:color w:val="auto"/>
                <w:szCs w:val="21"/>
                <w:highlight w:val="none"/>
                <w:lang w:val="zh-CN" w:eastAsia="zh-CN"/>
              </w:rPr>
              <w:t>嘉兴市明扬工程咨询有限公司会议室（浙江省嘉兴市长水路116号百瑞大厦5楼）</w:t>
            </w:r>
          </w:p>
        </w:tc>
      </w:tr>
      <w:tr w14:paraId="2E6B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7" w:type="dxa"/>
            <w:vAlign w:val="center"/>
          </w:tcPr>
          <w:p w14:paraId="32C8E9FE">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724" w:type="dxa"/>
            <w:vAlign w:val="center"/>
          </w:tcPr>
          <w:p w14:paraId="17FB986C">
            <w:pPr>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成交公告及成交通知书：中标、成交供应商确定之日起2个工作日内，成交公告发布于浙江政府采购网(http://zfcg.czt.zj.gov.cn/)，公告期限为1个工作日。</w:t>
            </w:r>
          </w:p>
        </w:tc>
      </w:tr>
      <w:tr w14:paraId="7435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7" w:type="dxa"/>
            <w:vAlign w:val="center"/>
          </w:tcPr>
          <w:p w14:paraId="6007EEBA">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724" w:type="dxa"/>
            <w:vAlign w:val="center"/>
          </w:tcPr>
          <w:p w14:paraId="0005EE12">
            <w:pPr>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合同公告：本项目政府采购合同将于签订之日起2个工作日内发布于上述媒体，但政府采购合同中涉及国家秘密、商业秘密的内容除外。</w:t>
            </w:r>
          </w:p>
        </w:tc>
      </w:tr>
      <w:tr w14:paraId="6724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7" w:type="dxa"/>
            <w:vAlign w:val="center"/>
          </w:tcPr>
          <w:p w14:paraId="43D98876">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724" w:type="dxa"/>
            <w:vAlign w:val="center"/>
          </w:tcPr>
          <w:p w14:paraId="643E136B">
            <w:pPr>
              <w:autoSpaceDE w:val="0"/>
              <w:autoSpaceDN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签订合同时间：成交通知书发出后30日内。建议采购人在采购结果质疑期（自采购结果公告之日起七个工作日）后与成交人签订政府采购合同。</w:t>
            </w:r>
          </w:p>
        </w:tc>
      </w:tr>
      <w:tr w14:paraId="57F8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7" w:type="dxa"/>
            <w:vAlign w:val="center"/>
          </w:tcPr>
          <w:p w14:paraId="2528CEFF">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724" w:type="dxa"/>
            <w:vAlign w:val="center"/>
          </w:tcPr>
          <w:p w14:paraId="70680761">
            <w:pPr>
              <w:autoSpaceDE w:val="0"/>
              <w:autoSpaceDN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记录：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标处理。</w:t>
            </w:r>
          </w:p>
        </w:tc>
      </w:tr>
      <w:tr w14:paraId="7C58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7" w:type="dxa"/>
            <w:vAlign w:val="center"/>
          </w:tcPr>
          <w:p w14:paraId="44452156">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724" w:type="dxa"/>
            <w:vAlign w:val="center"/>
          </w:tcPr>
          <w:p w14:paraId="256FCBFA">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节能产品、环境标志产品实施品目清单管理：投标产品符合财库〔2019〕9号《关于调整优化节能产品、环境标志产品政府采购执行机制的通知》条件，属于强制采购目录的，磋商时需提供有效的认证证书或其他证明材料，不属于强制采购的产品鼓励使用节能产品，予以政策加分；供应商属于小微企业、监狱企业、残疾人福利性单位视为小型、微型企业，享受小微企业政策扶持。</w:t>
            </w:r>
          </w:p>
        </w:tc>
      </w:tr>
      <w:tr w14:paraId="42AE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7" w:type="dxa"/>
            <w:vAlign w:val="center"/>
          </w:tcPr>
          <w:p w14:paraId="5CB3C843">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724" w:type="dxa"/>
            <w:vAlign w:val="center"/>
          </w:tcPr>
          <w:p w14:paraId="32448267">
            <w:pPr>
              <w:widowControl/>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14:paraId="2175113A">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w:t>
            </w:r>
          </w:p>
          <w:p w14:paraId="20899585">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0D64550">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6CB2653F">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在政府采购活动中，供应商提供的货物、工程或者服务符合下列情形的，享受本办法规定的中小企业扶持政策：</w:t>
            </w:r>
          </w:p>
          <w:p w14:paraId="6F117605">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7D65CF62">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752B627E">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653765FC">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在货物采购项目中，供应商提供的货物既有中小企业制造货物，也有大型企业制造货物的，不享受本办法规定的中小企业扶持政策。</w:t>
            </w:r>
          </w:p>
          <w:p w14:paraId="74CFDEC4">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3BF13930">
            <w:pPr>
              <w:widowControl/>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w:t>
            </w:r>
          </w:p>
          <w:p w14:paraId="0DB3A927">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享受预留份额、评审中价格扣除等政府采购促进中小企业发展的政府采购政策。</w:t>
            </w:r>
          </w:p>
          <w:p w14:paraId="28887D4F">
            <w:pPr>
              <w:widowControl/>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监狱企业</w:t>
            </w:r>
          </w:p>
          <w:p w14:paraId="49734008">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根据《关于政府采购支持监狱企业发展有关问题的通知》（财库[2014]68号）的规定，</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提供由省级以上监狱管理局、戒毒管理局（含新疆生产建设兵团）出具的属于监狱企业证明文件的，视同为小型和微型企业，享受预留份额、评审中价格扣除等政府采购促进中小企业发展的政府采购政策。</w:t>
            </w:r>
          </w:p>
          <w:p w14:paraId="4C40332D">
            <w:pPr>
              <w:widowControl/>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本项目采购标的对应的中小企业划分标准所属行业为：租赁和商务服务业。</w:t>
            </w:r>
          </w:p>
        </w:tc>
      </w:tr>
      <w:tr w14:paraId="1680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7" w:type="dxa"/>
            <w:vAlign w:val="center"/>
          </w:tcPr>
          <w:p w14:paraId="24204ABE">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8724" w:type="dxa"/>
            <w:vAlign w:val="center"/>
          </w:tcPr>
          <w:p w14:paraId="2999118A">
            <w:pPr>
              <w:pStyle w:val="35"/>
              <w:spacing w:line="360" w:lineRule="exact"/>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本项目不要求供应商至磋商现场，</w:t>
            </w:r>
            <w:r>
              <w:rPr>
                <w:rStyle w:val="87"/>
                <w:rFonts w:hint="eastAsia" w:ascii="宋体" w:hAnsi="宋体" w:eastAsia="宋体" w:cs="宋体"/>
                <w:b/>
                <w:bCs/>
                <w:color w:val="auto"/>
                <w:kern w:val="0"/>
                <w:highlight w:val="none"/>
              </w:rPr>
              <w:t>但须准时在线参加，直至磋商结束。</w:t>
            </w:r>
          </w:p>
        </w:tc>
      </w:tr>
      <w:tr w14:paraId="34FD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7" w:type="dxa"/>
            <w:vAlign w:val="center"/>
          </w:tcPr>
          <w:p w14:paraId="3037D0AD">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724" w:type="dxa"/>
            <w:vAlign w:val="center"/>
          </w:tcPr>
          <w:p w14:paraId="1670CA3A">
            <w:pPr>
              <w:snapToGrid w:val="0"/>
              <w:spacing w:line="360" w:lineRule="exact"/>
              <w:jc w:val="left"/>
              <w:rPr>
                <w:rFonts w:hint="eastAsia" w:ascii="宋体" w:hAnsi="宋体" w:eastAsia="宋体" w:cs="宋体"/>
                <w:color w:val="auto"/>
                <w:szCs w:val="21"/>
                <w:highlight w:val="none"/>
              </w:rPr>
            </w:pPr>
            <w:r>
              <w:rPr>
                <w:rStyle w:val="87"/>
                <w:rFonts w:hint="eastAsia" w:ascii="宋体" w:hAnsi="宋体" w:eastAsia="宋体" w:cs="宋体"/>
                <w:b/>
                <w:bCs/>
                <w:color w:val="auto"/>
                <w:kern w:val="0"/>
                <w:szCs w:val="21"/>
                <w:highlight w:val="none"/>
              </w:rPr>
              <w:t>供应商请自行配备电脑及CA</w:t>
            </w:r>
            <w:r>
              <w:rPr>
                <w:rFonts w:hint="eastAsia" w:ascii="宋体" w:hAnsi="宋体" w:eastAsia="宋体" w:cs="宋体"/>
                <w:b/>
                <w:color w:val="auto"/>
                <w:kern w:val="0"/>
                <w:szCs w:val="21"/>
                <w:highlight w:val="none"/>
              </w:rPr>
              <w:t>数字证书</w:t>
            </w:r>
            <w:r>
              <w:rPr>
                <w:rStyle w:val="87"/>
                <w:rFonts w:hint="eastAsia" w:ascii="宋体" w:hAnsi="宋体" w:eastAsia="宋体" w:cs="宋体"/>
                <w:b/>
                <w:bCs/>
                <w:color w:val="auto"/>
                <w:kern w:val="0"/>
                <w:szCs w:val="21"/>
                <w:highlight w:val="none"/>
              </w:rPr>
              <w:t>在竞争性磋商文件规定时间内完成传输、解密等事宜。</w:t>
            </w:r>
          </w:p>
        </w:tc>
      </w:tr>
      <w:tr w14:paraId="5B3D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7" w:type="dxa"/>
            <w:vAlign w:val="center"/>
          </w:tcPr>
          <w:p w14:paraId="067C1F78">
            <w:pPr>
              <w:pStyle w:val="9"/>
              <w:spacing w:line="400" w:lineRule="exact"/>
              <w:ind w:firstLine="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8724" w:type="dxa"/>
            <w:vAlign w:val="center"/>
          </w:tcPr>
          <w:p w14:paraId="278F9DF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注：根据财库[2015] 124号采用竞争性磋商采购方式采购的政府购买服务项目（含政府和社会资本合作项目），在采购过程中符合要求的供应商（社会资本）只有2家的，竞争性磋商采购活动可以继续进行。</w:t>
            </w:r>
          </w:p>
        </w:tc>
      </w:tr>
    </w:tbl>
    <w:p w14:paraId="32C31E1A">
      <w:pPr>
        <w:spacing w:before="156" w:beforeLines="50" w:after="156" w:afterLines="50" w:line="400" w:lineRule="exact"/>
        <w:jc w:val="center"/>
        <w:outlineLvl w:val="1"/>
        <w:rPr>
          <w:rFonts w:hint="eastAsia" w:ascii="宋体" w:hAnsi="宋体" w:eastAsia="宋体" w:cs="宋体"/>
          <w:b/>
          <w:color w:val="auto"/>
          <w:sz w:val="28"/>
          <w:szCs w:val="28"/>
          <w:highlight w:val="none"/>
        </w:rPr>
      </w:pPr>
      <w:bookmarkStart w:id="26" w:name="_Toc20894"/>
      <w:bookmarkStart w:id="27" w:name="_Toc20193"/>
      <w:bookmarkStart w:id="28" w:name="_Toc17471"/>
      <w:bookmarkStart w:id="29" w:name="_Toc23155"/>
      <w:bookmarkStart w:id="30" w:name="_Toc15710"/>
      <w:bookmarkStart w:id="31" w:name="_Toc177870536"/>
      <w:bookmarkStart w:id="32" w:name="_Toc28209"/>
      <w:bookmarkStart w:id="33" w:name="_Toc3317"/>
      <w:bookmarkStart w:id="34" w:name="_Toc11305"/>
      <w:r>
        <w:rPr>
          <w:rFonts w:hint="eastAsia" w:ascii="宋体" w:hAnsi="宋体" w:eastAsia="宋体" w:cs="宋体"/>
          <w:b/>
          <w:color w:val="auto"/>
          <w:sz w:val="28"/>
          <w:szCs w:val="28"/>
          <w:highlight w:val="none"/>
        </w:rPr>
        <w:t>一、总则</w:t>
      </w:r>
      <w:bookmarkEnd w:id="26"/>
      <w:bookmarkEnd w:id="27"/>
      <w:bookmarkEnd w:id="28"/>
      <w:bookmarkEnd w:id="29"/>
      <w:bookmarkEnd w:id="30"/>
      <w:bookmarkEnd w:id="31"/>
      <w:bookmarkEnd w:id="32"/>
      <w:bookmarkEnd w:id="33"/>
      <w:bookmarkEnd w:id="34"/>
    </w:p>
    <w:p w14:paraId="57CC5179">
      <w:pPr>
        <w:snapToGrid w:val="0"/>
        <w:spacing w:line="400" w:lineRule="exact"/>
        <w:jc w:val="left"/>
        <w:rPr>
          <w:rFonts w:hint="eastAsia" w:ascii="宋体" w:hAnsi="宋体" w:eastAsia="宋体" w:cs="宋体"/>
          <w:b/>
          <w:color w:val="auto"/>
          <w:szCs w:val="21"/>
          <w:highlight w:val="none"/>
        </w:rPr>
      </w:pPr>
      <w:bookmarkStart w:id="35" w:name="_Toc177824939"/>
      <w:bookmarkStart w:id="36" w:name="_Toc177824872"/>
      <w:bookmarkStart w:id="37" w:name="_Toc177825120"/>
      <w:bookmarkStart w:id="38" w:name="_Toc177870537"/>
      <w:r>
        <w:rPr>
          <w:rFonts w:hint="eastAsia" w:ascii="宋体" w:hAnsi="宋体" w:eastAsia="宋体" w:cs="宋体"/>
          <w:b/>
          <w:color w:val="auto"/>
          <w:szCs w:val="21"/>
          <w:highlight w:val="none"/>
        </w:rPr>
        <w:t>1. 适用范围</w:t>
      </w:r>
      <w:bookmarkEnd w:id="35"/>
      <w:bookmarkEnd w:id="36"/>
      <w:bookmarkEnd w:id="37"/>
      <w:bookmarkEnd w:id="38"/>
    </w:p>
    <w:p w14:paraId="5C8883AA">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本竞争性磋商文件适用于本次所述项目的磋商。</w:t>
      </w:r>
    </w:p>
    <w:p w14:paraId="33350092">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2.相关名词说明</w:t>
      </w:r>
    </w:p>
    <w:p w14:paraId="7F9A0999">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潜在供应商领取竞争性磋商文件后,必须按《中华人民共和国保守国家秘密法》以及保密工作的相关规定，对竞争性磋商文件内容应承担保密义务，维护采购人的权益，发生窃、泄密事件潜在供应商应承担相应的法律责任。</w:t>
      </w:r>
    </w:p>
    <w:p w14:paraId="09359831">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供应商一旦参与本次采购活动，即被视为接受了本竞争性磋商文件的所有内容，如有任何异议，均需在答疑截止时间前以书面形式提出。</w:t>
      </w:r>
    </w:p>
    <w:p w14:paraId="18F128D0">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磋商须对所磋商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4C578FD">
      <w:pPr>
        <w:snapToGrid w:val="0"/>
        <w:spacing w:line="400" w:lineRule="exact"/>
        <w:jc w:val="left"/>
        <w:rPr>
          <w:rFonts w:hint="eastAsia" w:ascii="宋体" w:hAnsi="宋体" w:eastAsia="宋体" w:cs="宋体"/>
          <w:b/>
          <w:color w:val="auto"/>
          <w:szCs w:val="21"/>
          <w:highlight w:val="none"/>
        </w:rPr>
      </w:pPr>
      <w:bookmarkStart w:id="39" w:name="_Toc177870538"/>
      <w:bookmarkStart w:id="40" w:name="_Toc177825121"/>
      <w:bookmarkStart w:id="41" w:name="_Toc177824940"/>
      <w:bookmarkStart w:id="42" w:name="_Toc177824873"/>
      <w:r>
        <w:rPr>
          <w:rFonts w:hint="eastAsia" w:ascii="宋体" w:hAnsi="宋体" w:eastAsia="宋体" w:cs="宋体"/>
          <w:b/>
          <w:color w:val="auto"/>
          <w:szCs w:val="21"/>
          <w:highlight w:val="none"/>
        </w:rPr>
        <w:t>3.定义</w:t>
      </w:r>
      <w:bookmarkEnd w:id="39"/>
      <w:bookmarkEnd w:id="40"/>
      <w:bookmarkEnd w:id="41"/>
      <w:bookmarkEnd w:id="42"/>
    </w:p>
    <w:p w14:paraId="12C94CDF">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“招标人或采购人”指嘉兴市南湖区经济信息商务局。</w:t>
      </w:r>
    </w:p>
    <w:p w14:paraId="51E2E7E8">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 </w:t>
      </w:r>
      <w:r>
        <w:rPr>
          <w:rFonts w:hint="eastAsia" w:ascii="宋体" w:hAnsi="宋体" w:eastAsia="宋体" w:cs="宋体"/>
          <w:color w:val="auto"/>
          <w:sz w:val="24"/>
          <w:highlight w:val="none"/>
        </w:rPr>
        <w:t>“</w:t>
      </w:r>
      <w:r>
        <w:rPr>
          <w:rFonts w:hint="eastAsia" w:ascii="宋体" w:hAnsi="宋体" w:eastAsia="宋体" w:cs="宋体"/>
          <w:color w:val="auto"/>
          <w:szCs w:val="21"/>
          <w:highlight w:val="none"/>
        </w:rPr>
        <w:t>招标代理”指嘉兴市明扬工程咨询有限公司。</w:t>
      </w:r>
    </w:p>
    <w:p w14:paraId="17982F0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“供应商”指向招标人提交磋商响应文件的供应商。</w:t>
      </w:r>
    </w:p>
    <w:p w14:paraId="3E5BFE9E">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“服务”系指竞争性磋商文件规定供应商须承担的服务及其他相关的义务。</w:t>
      </w:r>
    </w:p>
    <w:p w14:paraId="7CCCBFA6">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“书面形式”包括信函、传真、电报、电子文档等。</w:t>
      </w:r>
    </w:p>
    <w:p w14:paraId="09D8FA76">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“▲”系指实质性要求条款。</w:t>
      </w:r>
    </w:p>
    <w:p w14:paraId="6E8F3985">
      <w:pPr>
        <w:snapToGrid w:val="0"/>
        <w:spacing w:line="400" w:lineRule="exact"/>
        <w:jc w:val="left"/>
        <w:rPr>
          <w:rFonts w:hint="eastAsia" w:ascii="宋体" w:hAnsi="宋体" w:eastAsia="宋体" w:cs="宋体"/>
          <w:b/>
          <w:color w:val="auto"/>
          <w:szCs w:val="21"/>
          <w:highlight w:val="none"/>
        </w:rPr>
      </w:pPr>
      <w:bookmarkStart w:id="43" w:name="_Toc177870539"/>
      <w:r>
        <w:rPr>
          <w:rFonts w:hint="eastAsia" w:ascii="宋体" w:hAnsi="宋体" w:eastAsia="宋体" w:cs="宋体"/>
          <w:b/>
          <w:color w:val="auto"/>
          <w:szCs w:val="21"/>
          <w:highlight w:val="none"/>
        </w:rPr>
        <w:t>4.招标方式</w:t>
      </w:r>
    </w:p>
    <w:p w14:paraId="5C984645">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4.1本次招标采用竞争性磋商招标方式进行。</w:t>
      </w:r>
    </w:p>
    <w:p w14:paraId="705B3538">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4.2本次磋商项目</w:t>
      </w:r>
      <w:r>
        <w:rPr>
          <w:rFonts w:hint="eastAsia" w:ascii="宋体" w:hAnsi="宋体" w:eastAsia="宋体" w:cs="宋体"/>
          <w:color w:val="auto"/>
          <w:szCs w:val="21"/>
          <w:highlight w:val="none"/>
          <w:lang w:val="zh-CN"/>
        </w:rPr>
        <w:t>预算金额：</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0万元</w:t>
      </w:r>
      <w:r>
        <w:rPr>
          <w:rFonts w:hint="eastAsia" w:ascii="宋体" w:hAnsi="宋体" w:eastAsia="宋体" w:cs="宋体"/>
          <w:color w:val="auto"/>
          <w:szCs w:val="21"/>
          <w:highlight w:val="none"/>
        </w:rPr>
        <w:t>，设定磋商</w:t>
      </w:r>
      <w:r>
        <w:rPr>
          <w:rFonts w:hint="eastAsia" w:ascii="宋体" w:hAnsi="宋体" w:eastAsia="宋体" w:cs="宋体"/>
          <w:color w:val="auto"/>
          <w:szCs w:val="21"/>
          <w:highlight w:val="none"/>
          <w:lang w:val="zh-CN"/>
        </w:rPr>
        <w:t>最高</w:t>
      </w:r>
      <w:r>
        <w:rPr>
          <w:rFonts w:hint="eastAsia" w:ascii="宋体" w:hAnsi="宋体" w:eastAsia="宋体" w:cs="宋体"/>
          <w:color w:val="auto"/>
          <w:szCs w:val="21"/>
          <w:highlight w:val="none"/>
        </w:rPr>
        <w:t>限价：</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0万元</w:t>
      </w:r>
      <w:r>
        <w:rPr>
          <w:rFonts w:hint="eastAsia" w:ascii="宋体" w:hAnsi="宋体" w:eastAsia="宋体" w:cs="宋体"/>
          <w:color w:val="auto"/>
          <w:szCs w:val="21"/>
          <w:highlight w:val="none"/>
        </w:rPr>
        <w:t>。</w:t>
      </w:r>
    </w:p>
    <w:p w14:paraId="1DA4AF28">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5.磋商委托</w:t>
      </w:r>
    </w:p>
    <w:p w14:paraId="01D43A11">
      <w:pPr>
        <w:pStyle w:val="12"/>
        <w:snapToGrid w:val="0"/>
        <w:spacing w:line="400" w:lineRule="exact"/>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供应商代表须提供居民身份证。如供应商代表不是法定代表人，须有法定代表人出具的授权委托书。（格式见第六章）。</w:t>
      </w:r>
    </w:p>
    <w:p w14:paraId="15F37B9C">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磋商费用</w:t>
      </w:r>
    </w:p>
    <w:p w14:paraId="6969ED62">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2590026C">
      <w:pPr>
        <w:numPr>
          <w:ilvl w:val="0"/>
          <w:numId w:val="1"/>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b/>
          <w:color w:val="auto"/>
          <w:szCs w:val="21"/>
          <w:highlight w:val="none"/>
        </w:rPr>
        <w:t>联合体磋商</w:t>
      </w:r>
    </w:p>
    <w:p w14:paraId="49946520">
      <w:pPr>
        <w:numPr>
          <w:ilvl w:val="0"/>
          <w:numId w:val="1"/>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rPr>
        <w:t>本项目不接受联合体磋商。</w:t>
      </w:r>
    </w:p>
    <w:p w14:paraId="5B898D3E">
      <w:pPr>
        <w:numPr>
          <w:ilvl w:val="0"/>
          <w:numId w:val="1"/>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b/>
          <w:color w:val="auto"/>
          <w:szCs w:val="21"/>
          <w:highlight w:val="none"/>
        </w:rPr>
        <w:t>8. 转包与分包</w:t>
      </w:r>
    </w:p>
    <w:p w14:paraId="5B55FB1F">
      <w:pPr>
        <w:numPr>
          <w:ilvl w:val="0"/>
          <w:numId w:val="1"/>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rPr>
        <w:t>8.1本项目不允许转包。</w:t>
      </w:r>
    </w:p>
    <w:p w14:paraId="1A38D8B9">
      <w:pPr>
        <w:numPr>
          <w:ilvl w:val="0"/>
          <w:numId w:val="1"/>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rPr>
        <w:t>8.2本项目不允许分包。</w:t>
      </w:r>
    </w:p>
    <w:p w14:paraId="46A770E4">
      <w:pPr>
        <w:numPr>
          <w:ilvl w:val="0"/>
          <w:numId w:val="1"/>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b/>
          <w:color w:val="auto"/>
          <w:szCs w:val="21"/>
          <w:highlight w:val="none"/>
        </w:rPr>
        <w:t>9. 特别说明：</w:t>
      </w:r>
    </w:p>
    <w:p w14:paraId="039908C6">
      <w:pPr>
        <w:numPr>
          <w:ilvl w:val="0"/>
          <w:numId w:val="1"/>
        </w:numPr>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rPr>
        <w:t>9.1</w:t>
      </w:r>
      <w:r>
        <w:rPr>
          <w:rFonts w:hint="eastAsia" w:ascii="宋体" w:hAnsi="宋体" w:eastAsia="宋体" w:cs="宋体"/>
          <w:color w:val="auto"/>
          <w:highlight w:val="none"/>
        </w:rPr>
        <w:t>使用综合评分法的采购项目，提供相同品牌产品且通过资格审查、符合性审查的不同供应商参加同一合同项下磋商的，按一家供应商计算，评审后得分最高的同品牌供应商获得成交人推荐资格;评审得分相同的，由采购人或者采购人委托磋商小组按照竞争性磋商文件规定的方式确定一个供应商获得成交人推荐资格，竞争性磋商文件未规定的采取随机抽取方式确定，其他同品牌供应商不作为成交候选人。</w:t>
      </w:r>
    </w:p>
    <w:p w14:paraId="17EC8C15">
      <w:pPr>
        <w:snapToGrid w:val="0"/>
        <w:spacing w:line="400" w:lineRule="exact"/>
        <w:ind w:left="2" w:leftChars="1"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非单一产品采购项目，采购人应当根据采购项目技术构成、产品价格比重等合理确定核心产品，并在竞争性磋商文件中载明。多家供应商提供的核心产品品牌相同的，按前款规定处理。</w:t>
      </w:r>
    </w:p>
    <w:p w14:paraId="7D379FA0">
      <w:pPr>
        <w:snapToGrid w:val="0"/>
        <w:spacing w:line="400" w:lineRule="exact"/>
        <w:ind w:left="2" w:leftChars="1"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9.2供应商磋商所使用的资格、信誉、荣誉、业绩与企业认证必须为本法人所拥有。</w:t>
      </w:r>
    </w:p>
    <w:p w14:paraId="782FCC33">
      <w:pPr>
        <w:snapToGrid w:val="0"/>
        <w:spacing w:line="400" w:lineRule="exact"/>
        <w:ind w:left="2" w:leftChars="1"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9.3供应商应仔细阅读竞争性磋商文件的所有内容，按照竞争性磋商文件的要求提交磋商响应文件，并对所提供的全部资料的真实性承担法律责任。</w:t>
      </w:r>
    </w:p>
    <w:p w14:paraId="26449EAB">
      <w:pPr>
        <w:snapToGrid w:val="0"/>
        <w:spacing w:line="400" w:lineRule="exact"/>
        <w:ind w:left="2" w:leftChars="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9.4供应商在磋商活动中提供任何虚假材料，其磋商无效，并报监管部门查处；成交后发现的，根据《浙江省政府采购供应商注册及诚信管理暂行办法的通知》规定进行处罚；还将依照《中华人民共和国消费者权益保护法》第49条之规定由成交人双倍赔偿采购人，且民事赔偿并不免除违法供应商的行政与刑事责任。</w:t>
      </w:r>
    </w:p>
    <w:p w14:paraId="6697D046">
      <w:pPr>
        <w:snapToGrid w:val="0"/>
        <w:spacing w:line="400" w:lineRule="exact"/>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10.质疑和投诉</w:t>
      </w:r>
      <w:bookmarkEnd w:id="43"/>
      <w:bookmarkStart w:id="44" w:name="_Toc177870544"/>
    </w:p>
    <w:p w14:paraId="1DEA6D7D">
      <w:pPr>
        <w:snapToGrid w:val="0"/>
        <w:spacing w:line="40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10.1供应商认为竞争性磋商文件、磋商过程或成交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452A416F">
      <w:pPr>
        <w:snapToGrid w:val="0"/>
        <w:spacing w:line="40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10.2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E760405">
      <w:pPr>
        <w:snapToGrid w:val="0"/>
        <w:spacing w:line="400" w:lineRule="exact"/>
        <w:jc w:val="left"/>
        <w:rPr>
          <w:rFonts w:hint="eastAsia" w:ascii="宋体" w:hAnsi="宋体" w:eastAsia="宋体" w:cs="宋体"/>
          <w:b/>
          <w:color w:val="auto"/>
          <w:sz w:val="28"/>
          <w:szCs w:val="28"/>
          <w:highlight w:val="none"/>
        </w:rPr>
      </w:pPr>
      <w:r>
        <w:rPr>
          <w:rFonts w:hint="eastAsia" w:ascii="宋体" w:hAnsi="宋体" w:eastAsia="宋体" w:cs="宋体"/>
          <w:color w:val="auto"/>
          <w:spacing w:val="-4"/>
          <w:szCs w:val="21"/>
          <w:highlight w:val="none"/>
        </w:rPr>
        <w:t>10.3质疑和投诉应当满足《政府采购质疑和投诉办法》（中华人民共和国财政部令第94号）要求。</w:t>
      </w:r>
    </w:p>
    <w:p w14:paraId="4257B19F">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bookmarkStart w:id="45" w:name="_Toc2328"/>
      <w:bookmarkStart w:id="46" w:name="_Toc26681"/>
      <w:bookmarkStart w:id="47" w:name="_Toc21675"/>
      <w:bookmarkStart w:id="48" w:name="_Toc8166"/>
      <w:bookmarkStart w:id="49" w:name="_Toc16655"/>
      <w:bookmarkStart w:id="50" w:name="_Toc17768"/>
      <w:bookmarkStart w:id="51" w:name="_Toc14387"/>
      <w:bookmarkStart w:id="52" w:name="_Toc2536"/>
      <w:r>
        <w:rPr>
          <w:rFonts w:hint="eastAsia" w:ascii="宋体" w:hAnsi="宋体" w:eastAsia="宋体" w:cs="宋体"/>
          <w:b/>
          <w:color w:val="auto"/>
          <w:sz w:val="28"/>
          <w:szCs w:val="28"/>
          <w:highlight w:val="none"/>
        </w:rPr>
        <w:t>二、</w:t>
      </w:r>
      <w:bookmarkEnd w:id="44"/>
      <w:r>
        <w:rPr>
          <w:rFonts w:hint="eastAsia" w:ascii="宋体" w:hAnsi="宋体" w:eastAsia="宋体" w:cs="宋体"/>
          <w:b/>
          <w:color w:val="auto"/>
          <w:sz w:val="28"/>
          <w:szCs w:val="28"/>
          <w:highlight w:val="none"/>
        </w:rPr>
        <w:t>竞争性磋商文件</w:t>
      </w:r>
      <w:bookmarkEnd w:id="45"/>
      <w:bookmarkEnd w:id="46"/>
      <w:bookmarkEnd w:id="47"/>
      <w:bookmarkEnd w:id="48"/>
      <w:bookmarkEnd w:id="49"/>
      <w:bookmarkEnd w:id="50"/>
      <w:bookmarkEnd w:id="51"/>
      <w:bookmarkEnd w:id="52"/>
    </w:p>
    <w:p w14:paraId="70578D3C">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1.竞争性磋商文件的构成</w:t>
      </w:r>
    </w:p>
    <w:p w14:paraId="68204050">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1.1竞争性磋商公告</w:t>
      </w:r>
    </w:p>
    <w:p w14:paraId="5269E44C">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1.2供应商须知</w:t>
      </w:r>
    </w:p>
    <w:p w14:paraId="7CC2693E">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1.3磋商项目要求</w:t>
      </w:r>
    </w:p>
    <w:p w14:paraId="7659258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1.4嘉兴市政府采购合同</w:t>
      </w:r>
    </w:p>
    <w:p w14:paraId="25C90930">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1.5评审办法</w:t>
      </w:r>
    </w:p>
    <w:p w14:paraId="3FAB382C">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1.6磋商响应相关文件格式</w:t>
      </w:r>
    </w:p>
    <w:p w14:paraId="470110D2">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1.7本项目竞争性磋商文件的澄清、答复、修改、补充的内容</w:t>
      </w:r>
    </w:p>
    <w:p w14:paraId="061DFDE3">
      <w:pPr>
        <w:pStyle w:val="16"/>
        <w:spacing w:line="400" w:lineRule="exact"/>
        <w:jc w:val="left"/>
        <w:rPr>
          <w:rFonts w:hint="eastAsia" w:ascii="宋体" w:hAnsi="宋体" w:eastAsia="宋体" w:cs="宋体"/>
          <w:b/>
          <w:color w:val="auto"/>
          <w:szCs w:val="21"/>
          <w:highlight w:val="none"/>
        </w:rPr>
      </w:pPr>
      <w:bookmarkStart w:id="53" w:name="_Toc177870545"/>
      <w:r>
        <w:rPr>
          <w:rFonts w:hint="eastAsia" w:ascii="宋体" w:hAnsi="宋体" w:eastAsia="宋体" w:cs="宋体"/>
          <w:b/>
          <w:color w:val="auto"/>
          <w:szCs w:val="21"/>
          <w:highlight w:val="none"/>
        </w:rPr>
        <w:t>2.供应商的风险</w:t>
      </w:r>
    </w:p>
    <w:p w14:paraId="259FE681">
      <w:pPr>
        <w:pStyle w:val="16"/>
        <w:spacing w:line="4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供应商没有按照竞争性磋商文件要求提供全部资料，或者供应商没有对竞争性磋商文件在各方面作出实质性响应是供应商的风险，并可能导致其磋商响应文件为无效标。</w:t>
      </w:r>
    </w:p>
    <w:p w14:paraId="7E8DD753">
      <w:pPr>
        <w:pStyle w:val="16"/>
        <w:spacing w:line="40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3.竞争性磋商文件的澄清与修改</w:t>
      </w:r>
    </w:p>
    <w:p w14:paraId="52693418">
      <w:pPr>
        <w:pStyle w:val="16"/>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供应商应认真阅读本磋商文件，发现其中有误或有不合理要求的，供应商必须在知道或者应当知道之日起七个工作日内以书面形式向招标人一次性提出。采购代理机构对已发出的竞争性磋商文件进行必要澄清、答复、修改或补充的，应当在磋商文件要求提交磋商响应文件截止时间5日前，在浙江政府采购网(http://zfcg.czt.zj.gov.cn/)上发布更正公告，请供应商在磋商截止前及时关注。竞争性磋商文件的澄清、答复、修改或补充，一经在上述媒体发布，即视所有供应商都已经收到相关文件。</w:t>
      </w:r>
    </w:p>
    <w:p w14:paraId="0ACE4330">
      <w:pPr>
        <w:pStyle w:val="16"/>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3.2采购代理机构以公告形式答复供应商要求澄清的问题，但不包含问题来源；除上述媒体发布的答复以外的其他澄清方式及澄清内容均无效。</w:t>
      </w:r>
    </w:p>
    <w:p w14:paraId="2599F6CA">
      <w:pPr>
        <w:pStyle w:val="16"/>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3.3竞争性磋商文件澄清、答复、修改、补充的内容为竞争性磋商文件的组成部分。当竞争性磋商文件与磋商文件的答复、澄清、修改、补充通知就同一内容的表述不一致时，以最后发出的文件为准。</w:t>
      </w:r>
    </w:p>
    <w:p w14:paraId="421C85E6">
      <w:pPr>
        <w:pStyle w:val="16"/>
        <w:spacing w:line="4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3.4竞争性磋商文件的澄清、答复、修改或补充都应该通过本代理机构以法定形式发布，采购人非通过本机构，不得擅自澄清、答复、修改或补充竞争性磋商文件。</w:t>
      </w:r>
    </w:p>
    <w:p w14:paraId="023321C5">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bookmarkStart w:id="54" w:name="_Toc31411"/>
      <w:bookmarkStart w:id="55" w:name="_Toc2651"/>
      <w:bookmarkStart w:id="56" w:name="_Toc9920"/>
      <w:bookmarkStart w:id="57" w:name="_Toc8560"/>
      <w:bookmarkStart w:id="58" w:name="_Toc259"/>
      <w:bookmarkStart w:id="59" w:name="_Toc22672"/>
      <w:bookmarkStart w:id="60" w:name="_Toc7957"/>
      <w:bookmarkStart w:id="61" w:name="_Toc10156"/>
      <w:r>
        <w:rPr>
          <w:rFonts w:hint="eastAsia" w:ascii="宋体" w:hAnsi="宋体" w:eastAsia="宋体" w:cs="宋体"/>
          <w:b/>
          <w:color w:val="auto"/>
          <w:sz w:val="28"/>
          <w:szCs w:val="28"/>
          <w:highlight w:val="none"/>
        </w:rPr>
        <w:t>三、磋商响应文件的编制</w:t>
      </w:r>
      <w:bookmarkEnd w:id="53"/>
      <w:bookmarkEnd w:id="54"/>
      <w:bookmarkEnd w:id="55"/>
      <w:bookmarkEnd w:id="56"/>
      <w:bookmarkEnd w:id="57"/>
      <w:bookmarkEnd w:id="58"/>
      <w:bookmarkEnd w:id="59"/>
      <w:bookmarkEnd w:id="60"/>
      <w:bookmarkEnd w:id="61"/>
    </w:p>
    <w:p w14:paraId="7CEAD128">
      <w:pPr>
        <w:pStyle w:val="16"/>
        <w:snapToGrid w:val="0"/>
        <w:spacing w:line="400" w:lineRule="exact"/>
        <w:ind w:firstLine="413" w:firstLineChars="196"/>
        <w:rPr>
          <w:rFonts w:hint="eastAsia" w:ascii="宋体" w:hAnsi="宋体" w:eastAsia="宋体" w:cs="宋体"/>
          <w:b/>
          <w:color w:val="auto"/>
          <w:highlight w:val="none"/>
        </w:rPr>
      </w:pPr>
      <w:bookmarkStart w:id="62" w:name="_Toc177824876"/>
      <w:bookmarkStart w:id="63" w:name="_Toc177824943"/>
      <w:bookmarkStart w:id="64" w:name="_Toc177870546"/>
      <w:bookmarkStart w:id="65" w:name="_Toc177825124"/>
      <w:r>
        <w:rPr>
          <w:rFonts w:hint="eastAsia" w:ascii="宋体" w:hAnsi="宋体" w:eastAsia="宋体" w:cs="宋体"/>
          <w:b/>
          <w:color w:val="auto"/>
          <w:highlight w:val="none"/>
        </w:rPr>
        <w:t>本项目所涉磋商响应文件格式请详见第六章，未给出的格式请自拟。资信商务及技术文件中不得出现报价，否则磋商响应文件将被视为无效。</w:t>
      </w:r>
    </w:p>
    <w:p w14:paraId="609F151C">
      <w:pPr>
        <w:pStyle w:val="16"/>
        <w:snapToGrid w:val="0"/>
        <w:spacing w:line="40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总体要求：</w:t>
      </w:r>
    </w:p>
    <w:p w14:paraId="559E3325">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应仔细阅读竞争性磋商文件的所有内容，按本文件的要求提供磋商响应文件，并保证所提供的全部资料的真实性，以使其磋商响应文件对竞争性磋商文件作出实质性响应，否则，磋商响应文件可能视为无效磋商响应文件。</w:t>
      </w:r>
    </w:p>
    <w:p w14:paraId="3640510A">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 磋商响应文件及供应商与采购人有关的来往通知，函件和文件均应使用中文。</w:t>
      </w:r>
    </w:p>
    <w:p w14:paraId="6A8A652F">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 供应商应按本文件中提供的文件格式、内容和要求制作磋商响应文件。</w:t>
      </w:r>
    </w:p>
    <w:p w14:paraId="09C6D1BA">
      <w:pPr>
        <w:snapToGrid w:val="0"/>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 磋商响应文件的效力：磋商响应文件的启用，按先后顺位分别为电子磋商响应文件、备份电子磋商响应文件。因网络或者其他问题造成电子磋商响应文件无法正常解密，才能启用备份电子磋商响应文件。</w:t>
      </w:r>
    </w:p>
    <w:p w14:paraId="01B84E76">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1．磋商响应文件的组成</w:t>
      </w:r>
    </w:p>
    <w:p w14:paraId="3195442F">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电子磋商响应文件由资信商务及技术文件、报价文件两部份组成。其中电子磋商响应文件中所须加盖公章部分均采用CA签章。</w:t>
      </w:r>
    </w:p>
    <w:bookmarkEnd w:id="62"/>
    <w:bookmarkEnd w:id="63"/>
    <w:bookmarkEnd w:id="64"/>
    <w:bookmarkEnd w:id="65"/>
    <w:p w14:paraId="0A9C3D40">
      <w:pPr>
        <w:widowControl/>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1.1资信商务及技术文件</w:t>
      </w:r>
    </w:p>
    <w:p w14:paraId="244470EB">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1.1.1资信商务文件：</w:t>
      </w:r>
    </w:p>
    <w:p w14:paraId="682DBB9C">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（1）磋商声明书；（格式见附件1）</w:t>
      </w:r>
    </w:p>
    <w:p w14:paraId="73E385C8">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（2）法定代表人授权委托书；（格式见附件2）</w:t>
      </w:r>
    </w:p>
    <w:p w14:paraId="4446D1ED">
      <w:pPr>
        <w:widowControl/>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（3）所有资质文件；（格式见附件3）</w:t>
      </w:r>
    </w:p>
    <w:p w14:paraId="6AD0291C">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基本情况表、法人营业执照、符合参加政府采购活动应当具备的一般条件的承诺函、中小企业声明函、残疾人福利性单位声明函、监狱企业证明文件、企业经营状况、优势、有关资信等级证明、荣誉获奖证书等资料。（以上证书</w:t>
      </w:r>
      <w:r>
        <w:rPr>
          <w:rFonts w:hint="eastAsia" w:ascii="宋体" w:hAnsi="宋体" w:cs="宋体"/>
          <w:color w:val="auto"/>
          <w:szCs w:val="21"/>
          <w:highlight w:val="none"/>
          <w:lang w:val="en-US" w:eastAsia="zh-CN"/>
        </w:rPr>
        <w:t>扫描</w:t>
      </w:r>
      <w:r>
        <w:rPr>
          <w:rFonts w:hint="eastAsia" w:ascii="宋体" w:hAnsi="宋体" w:eastAsia="宋体" w:cs="宋体"/>
          <w:color w:val="auto"/>
          <w:szCs w:val="21"/>
          <w:highlight w:val="none"/>
        </w:rPr>
        <w:t>件盖章）</w:t>
      </w:r>
    </w:p>
    <w:p w14:paraId="2190800F">
      <w:pPr>
        <w:numPr>
          <w:ilvl w:val="0"/>
          <w:numId w:val="2"/>
        </w:numPr>
        <w:tabs>
          <w:tab w:val="left" w:pos="840"/>
        </w:tabs>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提供自磋商公告发布之日起至磋商截止日内任意时间的“信用中国”网站（www.creditchina.gov.cn）、中国政府采购网（www.ccgp.gov.cn）供应商信用查询网页截图等（</w:t>
      </w:r>
      <w:r>
        <w:rPr>
          <w:rFonts w:hint="eastAsia" w:ascii="宋体" w:hAnsi="宋体" w:eastAsia="宋体" w:cs="宋体"/>
          <w:color w:val="auto"/>
          <w:kern w:val="0"/>
          <w:szCs w:val="21"/>
          <w:highlight w:val="none"/>
        </w:rPr>
        <w:t>以磋商当日磋商小组或代理机构网页查询记录为准</w:t>
      </w:r>
      <w:r>
        <w:rPr>
          <w:rFonts w:hint="eastAsia" w:ascii="宋体" w:hAnsi="宋体" w:eastAsia="宋体" w:cs="宋体"/>
          <w:color w:val="auto"/>
          <w:szCs w:val="21"/>
          <w:highlight w:val="none"/>
        </w:rPr>
        <w:t>）。</w:t>
      </w:r>
    </w:p>
    <w:p w14:paraId="682F5EF5">
      <w:pPr>
        <w:numPr>
          <w:ilvl w:val="0"/>
          <w:numId w:val="2"/>
        </w:numPr>
        <w:tabs>
          <w:tab w:val="left" w:pos="840"/>
        </w:tabs>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提供类似业绩证明材料。（以提供的加盖有效公章的合同扫描件为准）（格式见附件4）</w:t>
      </w:r>
    </w:p>
    <w:p w14:paraId="5AEB10D9">
      <w:pPr>
        <w:numPr>
          <w:ilvl w:val="0"/>
          <w:numId w:val="2"/>
        </w:numPr>
        <w:tabs>
          <w:tab w:val="left" w:pos="840"/>
        </w:tabs>
        <w:autoSpaceDE w:val="0"/>
        <w:autoSpaceDN w:val="0"/>
        <w:adjustRightIn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诚信承诺书</w:t>
      </w:r>
      <w:r>
        <w:rPr>
          <w:rFonts w:hint="eastAsia" w:ascii="宋体" w:hAnsi="宋体" w:eastAsia="宋体" w:cs="宋体"/>
          <w:color w:val="auto"/>
          <w:szCs w:val="21"/>
          <w:highlight w:val="none"/>
        </w:rPr>
        <w:t>（格式见附件5）</w:t>
      </w:r>
    </w:p>
    <w:p w14:paraId="0483FF27">
      <w:pPr>
        <w:widowControl/>
        <w:numPr>
          <w:ilvl w:val="0"/>
          <w:numId w:val="2"/>
        </w:num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商务条款偏离表（格式见附件6）</w:t>
      </w:r>
    </w:p>
    <w:p w14:paraId="0E14913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（8）供应商认为需要的其他文件资料</w:t>
      </w:r>
    </w:p>
    <w:p w14:paraId="1B2C21AA">
      <w:pPr>
        <w:widowControl/>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1.1.2技术文件</w:t>
      </w:r>
    </w:p>
    <w:p w14:paraId="4FB86E68">
      <w:pPr>
        <w:numPr>
          <w:ilvl w:val="0"/>
          <w:numId w:val="0"/>
        </w:numPr>
        <w:spacing w:line="460" w:lineRule="exact"/>
        <w:jc w:val="left"/>
        <w:rPr>
          <w:rFonts w:hint="eastAsia" w:ascii="宋体" w:hAnsi="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对本项目总体要求的理解、技术方案</w:t>
      </w:r>
    </w:p>
    <w:p w14:paraId="7A879B30">
      <w:pPr>
        <w:numPr>
          <w:ilvl w:val="0"/>
          <w:numId w:val="0"/>
        </w:num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rPr>
        <w:t>项目组织实施方案（包括</w:t>
      </w:r>
      <w:r>
        <w:rPr>
          <w:rFonts w:hint="eastAsia" w:ascii="宋体" w:hAnsi="宋体"/>
          <w:color w:val="auto"/>
          <w:szCs w:val="21"/>
        </w:rPr>
        <w:t>主</w:t>
      </w:r>
      <w:r>
        <w:rPr>
          <w:rFonts w:hint="eastAsia"/>
          <w:color w:val="auto"/>
          <w:szCs w:val="21"/>
        </w:rPr>
        <w:t>要工作内容、机构及人员设置、实施方案、成果目标、进度安排、质量保证、安全措施</w:t>
      </w:r>
      <w:r>
        <w:rPr>
          <w:rFonts w:hint="eastAsia" w:ascii="宋体" w:hAnsi="宋体"/>
          <w:color w:val="auto"/>
          <w:szCs w:val="21"/>
          <w:highlight w:val="none"/>
        </w:rPr>
        <w:t>、突发应急事件的处理预案</w:t>
      </w:r>
      <w:r>
        <w:rPr>
          <w:rFonts w:hint="eastAsia"/>
          <w:color w:val="auto"/>
          <w:szCs w:val="21"/>
        </w:rPr>
        <w:t>以及拟投入的设备、设施及配置计划</w:t>
      </w:r>
      <w:r>
        <w:rPr>
          <w:rFonts w:hint="eastAsia" w:ascii="宋体" w:hAnsi="宋体" w:cs="宋体"/>
          <w:color w:val="auto"/>
          <w:szCs w:val="21"/>
          <w:highlight w:val="none"/>
        </w:rPr>
        <w:t>等）</w:t>
      </w:r>
      <w:r>
        <w:rPr>
          <w:rFonts w:hint="eastAsia" w:ascii="宋体" w:hAnsi="宋体" w:eastAsia="宋体" w:cs="宋体"/>
          <w:color w:val="auto"/>
          <w:szCs w:val="21"/>
          <w:highlight w:val="none"/>
        </w:rPr>
        <w:t>（格式见附件7）；</w:t>
      </w:r>
    </w:p>
    <w:p w14:paraId="4A1D8D89">
      <w:pPr>
        <w:numPr>
          <w:ilvl w:val="0"/>
          <w:numId w:val="0"/>
        </w:num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）项目实施人员一览表（格式见附件8）；</w:t>
      </w:r>
    </w:p>
    <w:p w14:paraId="6C6117CA">
      <w:pPr>
        <w:numPr>
          <w:ilvl w:val="0"/>
          <w:numId w:val="0"/>
        </w:num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服务承诺方案：1、本项目的服务方案及保证措施；2、保证服务质量的技术力量及技术措施；3、本项目服务队伍的技术及管理水平实力；4、供应商对本项目的合理化建议和改进措施（格式自拟）；5、安全文明管理措施；6、距采购人最近或者能为本项目提供最优服务的网点情况表；7、其他服务承诺。（格式见附件9）；</w:t>
      </w:r>
    </w:p>
    <w:p w14:paraId="3D5EDEC3">
      <w:pPr>
        <w:numPr>
          <w:ilvl w:val="0"/>
          <w:numId w:val="0"/>
        </w:num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）未尽事宜请各供应商按评分细则制作技术部分。</w:t>
      </w:r>
    </w:p>
    <w:p w14:paraId="4E0AC2BF">
      <w:pPr>
        <w:widowControl/>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1.2报价文件</w:t>
      </w:r>
    </w:p>
    <w:p w14:paraId="61B6831A">
      <w:pPr>
        <w:widowControl/>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（1）磋商响应函（格式见附件10）；</w:t>
      </w:r>
    </w:p>
    <w:p w14:paraId="5042B290">
      <w:pPr>
        <w:widowControl/>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（2）报价一览表（格式见附件11）；</w:t>
      </w:r>
    </w:p>
    <w:p w14:paraId="3246E9CB">
      <w:pPr>
        <w:pStyle w:val="18"/>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（3）报价明细表（格式见附件12）</w:t>
      </w:r>
    </w:p>
    <w:p w14:paraId="15016279">
      <w:pPr>
        <w:pStyle w:val="18"/>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（4）供应商需要说明的其他文件和说明（格式自拟）。</w:t>
      </w:r>
    </w:p>
    <w:p w14:paraId="7A47698D">
      <w:pPr>
        <w:snapToGrid w:val="0"/>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szCs w:val="21"/>
          <w:highlight w:val="none"/>
        </w:rPr>
        <w:t>注：法定代表人授权委托书、磋商声明书、磋商响应函、报价一览表必须有法定代表人或被授权人签字（或签章）并加盖单位公章。</w:t>
      </w:r>
    </w:p>
    <w:p w14:paraId="22428A2A">
      <w:pPr>
        <w:snapToGrid w:val="0"/>
        <w:spacing w:line="400" w:lineRule="exact"/>
        <w:jc w:val="left"/>
        <w:rPr>
          <w:rFonts w:hint="eastAsia" w:ascii="宋体" w:hAnsi="宋体" w:eastAsia="宋体" w:cs="宋体"/>
          <w:b/>
          <w:color w:val="auto"/>
          <w:szCs w:val="21"/>
          <w:highlight w:val="none"/>
        </w:rPr>
      </w:pPr>
      <w:bookmarkStart w:id="66" w:name="_Toc177824944"/>
      <w:bookmarkStart w:id="67" w:name="_Toc177825125"/>
      <w:bookmarkStart w:id="68" w:name="_Toc177824877"/>
      <w:bookmarkStart w:id="69" w:name="_Toc177870547"/>
      <w:r>
        <w:rPr>
          <w:rFonts w:hint="eastAsia" w:ascii="宋体" w:hAnsi="宋体" w:eastAsia="宋体" w:cs="宋体"/>
          <w:b/>
          <w:color w:val="auto"/>
          <w:szCs w:val="21"/>
          <w:highlight w:val="none"/>
        </w:rPr>
        <w:t>2.磋商响应文件的语言及计量</w:t>
      </w:r>
      <w:bookmarkEnd w:id="66"/>
      <w:bookmarkEnd w:id="67"/>
      <w:bookmarkEnd w:id="68"/>
      <w:bookmarkEnd w:id="69"/>
    </w:p>
    <w:p w14:paraId="7578D8F7">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2.1磋商响应文件以及供应商与招标方就有关磋商事宜的所有来往函电，均应以中文书写。</w:t>
      </w:r>
    </w:p>
    <w:p w14:paraId="1B44CEC6">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2.2磋商计量单位，除竞争性磋商文件中有特殊要求外，应采用中华人民共和国法定计量单位，货币单位：人民币元。</w:t>
      </w:r>
    </w:p>
    <w:p w14:paraId="6913FE04">
      <w:pPr>
        <w:spacing w:line="400" w:lineRule="exact"/>
        <w:jc w:val="left"/>
        <w:rPr>
          <w:rFonts w:hint="eastAsia" w:ascii="宋体" w:hAnsi="宋体" w:eastAsia="宋体" w:cs="宋体"/>
          <w:b/>
          <w:color w:val="auto"/>
          <w:szCs w:val="21"/>
          <w:highlight w:val="none"/>
        </w:rPr>
      </w:pPr>
      <w:bookmarkStart w:id="70" w:name="_Toc177870548"/>
      <w:bookmarkStart w:id="71" w:name="_Toc177824878"/>
      <w:bookmarkStart w:id="72" w:name="_Toc177824945"/>
      <w:bookmarkStart w:id="73" w:name="_Toc177825126"/>
      <w:r>
        <w:rPr>
          <w:rFonts w:hint="eastAsia" w:ascii="宋体" w:hAnsi="宋体" w:eastAsia="宋体" w:cs="宋体"/>
          <w:b/>
          <w:color w:val="auto"/>
          <w:szCs w:val="21"/>
          <w:highlight w:val="none"/>
        </w:rPr>
        <w:t>3. 磋商报价</w:t>
      </w:r>
      <w:bookmarkEnd w:id="70"/>
      <w:bookmarkEnd w:id="71"/>
      <w:bookmarkEnd w:id="72"/>
      <w:bookmarkEnd w:id="73"/>
    </w:p>
    <w:p w14:paraId="4CC70849">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3.1磋商报价应按竞争性磋商文件中相关附表格式填写。</w:t>
      </w:r>
    </w:p>
    <w:p w14:paraId="0708B3B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本项目磋商报价应包括提供正常服务所必需的人员工资、奖金、加班费、设备和设施费、管理费、税费、利润、完成合同所需的一切本身和不可或缺的所有工作开支、政策性文件规定及合同包含的所有风险、责任等各项全部费用。</w:t>
      </w:r>
    </w:p>
    <w:p w14:paraId="3C415E83">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3.3▲本项目磋商报价只允许有一个报价，有选择的报价将不予接受</w:t>
      </w:r>
      <w:r>
        <w:rPr>
          <w:rFonts w:hint="eastAsia" w:ascii="宋体" w:hAnsi="宋体" w:eastAsia="宋体" w:cs="宋体"/>
          <w:b/>
          <w:bCs/>
          <w:color w:val="auto"/>
          <w:szCs w:val="21"/>
          <w:highlight w:val="none"/>
        </w:rPr>
        <w:t>。</w:t>
      </w:r>
    </w:p>
    <w:p w14:paraId="53350C56">
      <w:pPr>
        <w:tabs>
          <w:tab w:val="left" w:pos="525"/>
        </w:tabs>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3.4最低报价不能作为成交的保证。</w:t>
      </w:r>
    </w:p>
    <w:p w14:paraId="5E0C3C7B">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 磋商响应文件的有效期</w:t>
      </w:r>
    </w:p>
    <w:p w14:paraId="39C2F980">
      <w:pPr>
        <w:snapToGrid w:val="0"/>
        <w:spacing w:line="400" w:lineRule="exact"/>
        <w:jc w:val="left"/>
        <w:rPr>
          <w:rFonts w:hint="eastAsia" w:ascii="宋体" w:hAnsi="宋体" w:eastAsia="宋体" w:cs="宋体"/>
          <w:color w:val="auto"/>
          <w:szCs w:val="21"/>
          <w:highlight w:val="none"/>
        </w:rPr>
      </w:pPr>
      <w:bookmarkStart w:id="74" w:name="_Toc177824947"/>
      <w:bookmarkStart w:id="75" w:name="_Toc177870550"/>
      <w:bookmarkStart w:id="76" w:name="_Toc177825128"/>
      <w:bookmarkStart w:id="77" w:name="_Toc177824880"/>
      <w:r>
        <w:rPr>
          <w:rFonts w:hint="eastAsia" w:ascii="宋体" w:hAnsi="宋体" w:eastAsia="宋体" w:cs="宋体"/>
          <w:color w:val="auto"/>
          <w:szCs w:val="21"/>
          <w:highlight w:val="none"/>
        </w:rPr>
        <w:t>4.1磋商响应文件合格投递后，在本须知前附表规定的日期内有效。</w:t>
      </w:r>
    </w:p>
    <w:p w14:paraId="574FA8BD">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4.2在原定磋商有效期之前，如果出现特殊情况，采购代理机构可以以书面形式通知供应商延长磋商有效期。</w:t>
      </w:r>
    </w:p>
    <w:p w14:paraId="1EA0D668">
      <w:pPr>
        <w:snapToGrid w:val="0"/>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5.磋商保证金</w:t>
      </w:r>
      <w:bookmarkEnd w:id="74"/>
      <w:bookmarkEnd w:id="75"/>
      <w:bookmarkEnd w:id="76"/>
      <w:bookmarkEnd w:id="77"/>
      <w:r>
        <w:rPr>
          <w:rFonts w:hint="eastAsia" w:ascii="宋体" w:hAnsi="宋体" w:eastAsia="宋体" w:cs="宋体"/>
          <w:b/>
          <w:color w:val="auto"/>
          <w:szCs w:val="21"/>
          <w:highlight w:val="none"/>
        </w:rPr>
        <w:t>：无。</w:t>
      </w:r>
    </w:p>
    <w:p w14:paraId="5E8E41F5">
      <w:pPr>
        <w:snapToGrid w:val="0"/>
        <w:spacing w:line="400" w:lineRule="exact"/>
        <w:jc w:val="left"/>
        <w:rPr>
          <w:rFonts w:hint="eastAsia" w:ascii="宋体" w:hAnsi="宋体" w:eastAsia="宋体" w:cs="宋体"/>
          <w:b/>
          <w:color w:val="auto"/>
          <w:szCs w:val="21"/>
          <w:highlight w:val="none"/>
        </w:rPr>
      </w:pPr>
      <w:bookmarkStart w:id="78" w:name="_Toc177824881"/>
      <w:bookmarkStart w:id="79" w:name="_Toc177870551"/>
      <w:bookmarkStart w:id="80" w:name="_Toc177825129"/>
      <w:bookmarkStart w:id="81" w:name="_Toc177824948"/>
      <w:r>
        <w:rPr>
          <w:rFonts w:hint="eastAsia" w:ascii="宋体" w:hAnsi="宋体" w:eastAsia="宋体" w:cs="宋体"/>
          <w:b/>
          <w:color w:val="auto"/>
          <w:szCs w:val="21"/>
          <w:highlight w:val="none"/>
        </w:rPr>
        <w:t>6.磋商响应文件的签署和份数</w:t>
      </w:r>
      <w:bookmarkEnd w:id="78"/>
      <w:bookmarkEnd w:id="79"/>
      <w:bookmarkEnd w:id="80"/>
      <w:bookmarkEnd w:id="81"/>
    </w:p>
    <w:p w14:paraId="5DA3C5BE">
      <w:pPr>
        <w:snapToGrid w:val="0"/>
        <w:spacing w:line="400" w:lineRule="exact"/>
        <w:jc w:val="left"/>
        <w:rPr>
          <w:rFonts w:hint="eastAsia" w:ascii="宋体" w:hAnsi="宋体" w:eastAsia="宋体" w:cs="宋体"/>
          <w:b/>
          <w:bCs/>
          <w:color w:val="auto"/>
          <w:szCs w:val="21"/>
          <w:highlight w:val="none"/>
        </w:rPr>
      </w:pPr>
      <w:bookmarkStart w:id="82" w:name="_Toc18734"/>
      <w:bookmarkStart w:id="83" w:name="_Toc177870554"/>
      <w:r>
        <w:rPr>
          <w:rFonts w:hint="eastAsia" w:ascii="宋体" w:hAnsi="宋体" w:eastAsia="宋体" w:cs="宋体"/>
          <w:b/>
          <w:bCs/>
          <w:color w:val="auto"/>
          <w:szCs w:val="21"/>
          <w:highlight w:val="none"/>
        </w:rPr>
        <w:t>电子磋商响应文件</w:t>
      </w:r>
    </w:p>
    <w:p w14:paraId="56A359AD">
      <w:pPr>
        <w:snapToGrid w:val="0"/>
        <w:spacing w:line="400" w:lineRule="exact"/>
        <w:jc w:val="left"/>
        <w:rPr>
          <w:rStyle w:val="46"/>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电子磋商响应文件按政采云平台供应商电子招投标操作指南（网址：</w:t>
      </w:r>
      <w:r>
        <w:rPr>
          <w:rStyle w:val="46"/>
          <w:rFonts w:hint="eastAsia" w:ascii="宋体" w:hAnsi="宋体" w:eastAsia="宋体" w:cs="宋体"/>
          <w:color w:val="auto"/>
          <w:szCs w:val="21"/>
          <w:highlight w:val="none"/>
        </w:rPr>
        <w:t>https://service.zcygov.cn/#/knowledges/CW1EtGwBFdiHxlNd6I3m/6IMVAG0BFdiHxlNdQ8Na</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及本竞争性磋商文件规定的格式和顺序编制电子磋商响应文件并进行关联定位。建议根据竞争性磋商文件合格供应商的资格要求、磋商响应文件的编制及评审标准等内容一一关联。" </w:instrText>
      </w:r>
      <w:r>
        <w:rPr>
          <w:rFonts w:hint="eastAsia" w:ascii="宋体" w:hAnsi="宋体" w:eastAsia="宋体" w:cs="宋体"/>
          <w:color w:val="auto"/>
          <w:highlight w:val="none"/>
        </w:rPr>
        <w:fldChar w:fldCharType="separate"/>
      </w:r>
      <w:r>
        <w:rPr>
          <w:rStyle w:val="46"/>
          <w:rFonts w:hint="eastAsia" w:ascii="宋体" w:hAnsi="宋体" w:eastAsia="宋体" w:cs="宋体"/>
          <w:color w:val="auto"/>
          <w:szCs w:val="21"/>
          <w:highlight w:val="none"/>
        </w:rPr>
        <w:t>）及本竞争性磋商文件规定的格式和顺序编制电子磋商响应文件并进行关联定位。</w:t>
      </w:r>
      <w:r>
        <w:rPr>
          <w:rStyle w:val="46"/>
          <w:rFonts w:hint="eastAsia" w:ascii="宋体" w:hAnsi="宋体" w:eastAsia="宋体" w:cs="宋体"/>
          <w:b/>
          <w:bCs/>
          <w:color w:val="auto"/>
          <w:szCs w:val="21"/>
          <w:highlight w:val="none"/>
        </w:rPr>
        <w:t>建议根据竞争性磋商文件合格供应商的资格要求、磋商响应文件的编制及评审标准等内容一一关联。</w:t>
      </w:r>
      <w:r>
        <w:rPr>
          <w:rStyle w:val="46"/>
          <w:rFonts w:hint="eastAsia" w:ascii="宋体" w:hAnsi="宋体" w:eastAsia="宋体" w:cs="宋体"/>
          <w:b/>
          <w:bCs/>
          <w:color w:val="auto"/>
          <w:szCs w:val="21"/>
          <w:highlight w:val="none"/>
        </w:rPr>
        <w:fldChar w:fldCharType="end"/>
      </w:r>
    </w:p>
    <w:p w14:paraId="0ECA05E4">
      <w:pPr>
        <w:pStyle w:val="88"/>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7.磋商响应文件修改和撤回</w:t>
      </w:r>
    </w:p>
    <w:p w14:paraId="12F47B15">
      <w:pPr>
        <w:spacing w:line="400" w:lineRule="exact"/>
        <w:ind w:hanging="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7.1在磋商截止时间前，供应商可对已提交的电子磋商响应文件进行补充、修改或撤回。补充、修改电子磋商响应文件的，应当先行撤回原文件，补充、修改后重新生成的电子磋商响应文件并重新传输递交；</w:t>
      </w:r>
    </w:p>
    <w:p w14:paraId="495E8842">
      <w:pPr>
        <w:spacing w:line="400" w:lineRule="exact"/>
        <w:ind w:hanging="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补充、修改后重新提交的电子磋商响应文件应按竞争性磋商文件的规定编制、导入、提交；</w:t>
      </w:r>
    </w:p>
    <w:p w14:paraId="48BB5D25">
      <w:pPr>
        <w:spacing w:line="400" w:lineRule="exact"/>
        <w:rPr>
          <w:rFonts w:hint="eastAsia" w:ascii="宋体" w:hAnsi="宋体" w:eastAsia="宋体" w:cs="宋体"/>
          <w:color w:val="auto"/>
          <w:highlight w:val="none"/>
        </w:rPr>
      </w:pPr>
      <w:r>
        <w:rPr>
          <w:rFonts w:hint="eastAsia" w:ascii="宋体" w:hAnsi="宋体" w:eastAsia="宋体" w:cs="宋体"/>
          <w:b/>
          <w:color w:val="auto"/>
          <w:szCs w:val="21"/>
          <w:highlight w:val="none"/>
        </w:rPr>
        <w:t>7.3在磋商截止时间后，供应商不得修改、撤回已提交的电子磋商响应文件。</w:t>
      </w:r>
    </w:p>
    <w:p w14:paraId="5DC4C36B">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bookmarkStart w:id="84" w:name="_Toc4693"/>
      <w:bookmarkStart w:id="85" w:name="_Toc2575"/>
      <w:bookmarkStart w:id="86" w:name="_Toc13489"/>
      <w:bookmarkStart w:id="87" w:name="_Toc464"/>
      <w:bookmarkStart w:id="88" w:name="_Toc3429"/>
      <w:bookmarkStart w:id="89" w:name="_Toc25400"/>
      <w:bookmarkStart w:id="90" w:name="_Toc10210"/>
      <w:bookmarkStart w:id="91" w:name="_Toc32372"/>
      <w:r>
        <w:rPr>
          <w:rFonts w:hint="eastAsia" w:ascii="宋体" w:hAnsi="宋体" w:eastAsia="宋体" w:cs="宋体"/>
          <w:b/>
          <w:color w:val="auto"/>
          <w:sz w:val="28"/>
          <w:szCs w:val="28"/>
          <w:highlight w:val="none"/>
        </w:rPr>
        <w:t>四、磋商前的准备</w:t>
      </w:r>
      <w:bookmarkEnd w:id="82"/>
      <w:bookmarkEnd w:id="84"/>
      <w:bookmarkEnd w:id="85"/>
      <w:bookmarkEnd w:id="86"/>
      <w:bookmarkEnd w:id="87"/>
      <w:bookmarkEnd w:id="88"/>
      <w:bookmarkEnd w:id="89"/>
      <w:bookmarkEnd w:id="90"/>
      <w:bookmarkEnd w:id="91"/>
    </w:p>
    <w:p w14:paraId="11453631">
      <w:pPr>
        <w:pStyle w:val="16"/>
        <w:spacing w:line="360" w:lineRule="auto"/>
        <w:ind w:left="2"/>
        <w:rPr>
          <w:rFonts w:hint="eastAsia" w:ascii="宋体" w:hAnsi="宋体" w:eastAsia="宋体" w:cs="宋体"/>
          <w:color w:val="auto"/>
          <w:highlight w:val="none"/>
        </w:rPr>
      </w:pPr>
      <w:bookmarkStart w:id="92" w:name="_Toc170792769"/>
      <w:bookmarkStart w:id="93" w:name="_Toc107820050"/>
      <w:bookmarkStart w:id="94" w:name="_Toc177870553"/>
      <w:bookmarkStart w:id="95" w:name="_Toc21144"/>
      <w:r>
        <w:rPr>
          <w:rFonts w:hint="eastAsia" w:ascii="宋体" w:hAnsi="宋体" w:eastAsia="宋体" w:cs="宋体"/>
          <w:color w:val="auto"/>
          <w:highlight w:val="none"/>
        </w:rPr>
        <w:t>1.本项目采用电子交易进行开标、磋商、评审，供应商均应当准时在线参加。</w:t>
      </w:r>
    </w:p>
    <w:p w14:paraId="4FD86626">
      <w:pPr>
        <w:pStyle w:val="16"/>
        <w:spacing w:line="360" w:lineRule="auto"/>
        <w:ind w:left="2"/>
        <w:rPr>
          <w:rFonts w:hint="eastAsia" w:ascii="宋体" w:hAnsi="宋体" w:eastAsia="宋体" w:cs="宋体"/>
          <w:color w:val="auto"/>
          <w:highlight w:val="none"/>
        </w:rPr>
      </w:pPr>
      <w:r>
        <w:rPr>
          <w:rFonts w:hint="eastAsia" w:ascii="宋体" w:hAnsi="宋体" w:eastAsia="宋体" w:cs="宋体"/>
          <w:color w:val="auto"/>
          <w:highlight w:val="none"/>
        </w:rPr>
        <w:t>2.准备工作程序：</w:t>
      </w:r>
    </w:p>
    <w:p w14:paraId="7724124A">
      <w:pPr>
        <w:pStyle w:val="16"/>
        <w:spacing w:line="360" w:lineRule="auto"/>
        <w:ind w:left="2"/>
        <w:rPr>
          <w:rFonts w:hint="eastAsia" w:ascii="宋体" w:hAnsi="宋体" w:eastAsia="宋体" w:cs="宋体"/>
          <w:color w:val="auto"/>
          <w:highlight w:val="none"/>
        </w:rPr>
      </w:pPr>
      <w:r>
        <w:rPr>
          <w:rFonts w:hint="eastAsia" w:ascii="宋体" w:hAnsi="宋体" w:eastAsia="宋体" w:cs="宋体"/>
          <w:color w:val="auto"/>
          <w:highlight w:val="none"/>
        </w:rPr>
        <w:t>2.1会议由采购代理机构主持，主持人宣布会议开始；</w:t>
      </w:r>
    </w:p>
    <w:p w14:paraId="72F3BD2E">
      <w:pPr>
        <w:pStyle w:val="16"/>
        <w:spacing w:line="360" w:lineRule="auto"/>
        <w:ind w:left="2"/>
        <w:rPr>
          <w:rFonts w:hint="eastAsia" w:ascii="宋体" w:hAnsi="宋体" w:eastAsia="宋体" w:cs="宋体"/>
          <w:color w:val="auto"/>
          <w:highlight w:val="none"/>
        </w:rPr>
      </w:pPr>
      <w:r>
        <w:rPr>
          <w:rFonts w:hint="eastAsia" w:ascii="宋体" w:hAnsi="宋体" w:eastAsia="宋体" w:cs="宋体"/>
          <w:color w:val="auto"/>
          <w:highlight w:val="none"/>
        </w:rPr>
        <w:t>2.2介绍参加会议的人员名单（包括主持人、记录人和监督人等）；</w:t>
      </w:r>
    </w:p>
    <w:p w14:paraId="6DBB7921">
      <w:pPr>
        <w:pStyle w:val="16"/>
        <w:spacing w:line="360" w:lineRule="auto"/>
        <w:ind w:left="2"/>
        <w:rPr>
          <w:rFonts w:hint="eastAsia" w:ascii="宋体" w:hAnsi="宋体" w:eastAsia="宋体" w:cs="宋体"/>
          <w:color w:val="auto"/>
          <w:highlight w:val="none"/>
        </w:rPr>
      </w:pPr>
      <w:r>
        <w:rPr>
          <w:rFonts w:hint="eastAsia" w:ascii="宋体" w:hAnsi="宋体" w:eastAsia="宋体" w:cs="宋体"/>
          <w:color w:val="auto"/>
          <w:highlight w:val="none"/>
        </w:rPr>
        <w:t>2.3告知是否应有回避人员；</w:t>
      </w:r>
    </w:p>
    <w:p w14:paraId="3400B8A4">
      <w:pPr>
        <w:pStyle w:val="16"/>
        <w:spacing w:line="360" w:lineRule="auto"/>
        <w:ind w:left="2"/>
        <w:rPr>
          <w:rFonts w:hint="eastAsia" w:ascii="宋体" w:hAnsi="宋体" w:eastAsia="宋体" w:cs="宋体"/>
          <w:color w:val="auto"/>
          <w:highlight w:val="none"/>
        </w:rPr>
      </w:pPr>
      <w:r>
        <w:rPr>
          <w:rFonts w:hint="eastAsia" w:ascii="宋体" w:hAnsi="宋体" w:eastAsia="宋体" w:cs="宋体"/>
          <w:color w:val="auto"/>
          <w:highlight w:val="none"/>
        </w:rPr>
        <w:t>2.4宣布磋商期间的有关事项；</w:t>
      </w:r>
    </w:p>
    <w:p w14:paraId="3D269459">
      <w:pPr>
        <w:pStyle w:val="16"/>
        <w:spacing w:line="360" w:lineRule="auto"/>
        <w:ind w:left="2"/>
        <w:rPr>
          <w:rFonts w:hint="eastAsia" w:ascii="宋体" w:hAnsi="宋体" w:eastAsia="宋体" w:cs="宋体"/>
          <w:color w:val="auto"/>
          <w:highlight w:val="none"/>
        </w:rPr>
      </w:pPr>
      <w:r>
        <w:rPr>
          <w:rFonts w:hint="eastAsia" w:ascii="宋体" w:hAnsi="宋体" w:eastAsia="宋体" w:cs="宋体"/>
          <w:color w:val="auto"/>
          <w:highlight w:val="none"/>
        </w:rPr>
        <w:t>2.5会议结束。</w:t>
      </w:r>
    </w:p>
    <w:p w14:paraId="72D55508">
      <w:pPr>
        <w:pStyle w:val="16"/>
        <w:spacing w:line="360" w:lineRule="auto"/>
        <w:ind w:left="2"/>
        <w:rPr>
          <w:rFonts w:hint="eastAsia" w:ascii="宋体" w:hAnsi="宋体" w:eastAsia="宋体" w:cs="宋体"/>
          <w:b/>
          <w:bCs/>
          <w:color w:val="auto"/>
          <w:highlight w:val="none"/>
        </w:rPr>
      </w:pPr>
      <w:r>
        <w:rPr>
          <w:rFonts w:hint="eastAsia" w:ascii="宋体" w:hAnsi="宋体" w:eastAsia="宋体" w:cs="宋体"/>
          <w:b/>
          <w:bCs/>
          <w:color w:val="auto"/>
          <w:highlight w:val="none"/>
        </w:rPr>
        <w:t>3.磋商响应文件开启</w:t>
      </w:r>
    </w:p>
    <w:p w14:paraId="27222712">
      <w:pPr>
        <w:pStyle w:val="16"/>
        <w:spacing w:line="360" w:lineRule="auto"/>
        <w:ind w:left="2"/>
        <w:rPr>
          <w:rFonts w:hint="eastAsia" w:ascii="宋体" w:hAnsi="宋体" w:eastAsia="宋体" w:cs="宋体"/>
          <w:b/>
          <w:bCs/>
          <w:color w:val="auto"/>
          <w:highlight w:val="none"/>
        </w:rPr>
      </w:pPr>
      <w:r>
        <w:rPr>
          <w:rFonts w:hint="eastAsia" w:ascii="宋体" w:hAnsi="宋体" w:eastAsia="宋体" w:cs="宋体"/>
          <w:b/>
          <w:bCs/>
          <w:color w:val="auto"/>
          <w:highlight w:val="none"/>
        </w:rPr>
        <w:t>3.1电子磋商响应文件开标：磋商截止时间后，供应商登录政采云平台，用“项目采购-开标评标”功能对电子磋商响应文件进行在线解密。在线解密电子磋商响应文件时间为磋商截止时间起30分钟内。</w:t>
      </w:r>
    </w:p>
    <w:p w14:paraId="263D6932">
      <w:pPr>
        <w:pStyle w:val="16"/>
        <w:spacing w:line="360" w:lineRule="auto"/>
        <w:ind w:left="2"/>
        <w:rPr>
          <w:rFonts w:hint="eastAsia" w:ascii="宋体" w:hAnsi="宋体" w:eastAsia="宋体" w:cs="宋体"/>
          <w:b/>
          <w:bCs/>
          <w:color w:val="auto"/>
          <w:highlight w:val="none"/>
        </w:rPr>
      </w:pPr>
      <w:r>
        <w:rPr>
          <w:rFonts w:hint="eastAsia" w:ascii="宋体" w:hAnsi="宋体" w:eastAsia="宋体" w:cs="宋体"/>
          <w:b/>
          <w:bCs/>
          <w:color w:val="auto"/>
          <w:highlight w:val="none"/>
        </w:rPr>
        <w:t>3.2电子磋商响应文件无法正常解密时，开启备份电子磋商响应文件。</w:t>
      </w:r>
    </w:p>
    <w:p w14:paraId="0F877347">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bookmarkStart w:id="96" w:name="_Toc11472"/>
      <w:bookmarkStart w:id="97" w:name="_Toc28547"/>
      <w:bookmarkStart w:id="98" w:name="_Toc23439"/>
      <w:bookmarkStart w:id="99" w:name="_Toc2850"/>
      <w:bookmarkStart w:id="100" w:name="_Toc18661"/>
      <w:bookmarkStart w:id="101" w:name="_Toc28447"/>
      <w:bookmarkStart w:id="102" w:name="_Toc5401"/>
      <w:bookmarkStart w:id="103" w:name="_Toc30019"/>
      <w:r>
        <w:rPr>
          <w:rFonts w:hint="eastAsia" w:ascii="宋体" w:hAnsi="宋体" w:eastAsia="宋体" w:cs="宋体"/>
          <w:b/>
          <w:color w:val="auto"/>
          <w:sz w:val="28"/>
          <w:szCs w:val="28"/>
          <w:highlight w:val="none"/>
        </w:rPr>
        <w:t>五、</w:t>
      </w:r>
      <w:bookmarkEnd w:id="92"/>
      <w:bookmarkEnd w:id="93"/>
      <w:bookmarkEnd w:id="94"/>
      <w:r>
        <w:rPr>
          <w:rFonts w:hint="eastAsia" w:ascii="宋体" w:hAnsi="宋体" w:eastAsia="宋体" w:cs="宋体"/>
          <w:b/>
          <w:color w:val="auto"/>
          <w:sz w:val="28"/>
          <w:szCs w:val="28"/>
          <w:highlight w:val="none"/>
        </w:rPr>
        <w:t>磋商程序</w:t>
      </w:r>
      <w:bookmarkEnd w:id="95"/>
      <w:bookmarkEnd w:id="96"/>
      <w:bookmarkEnd w:id="97"/>
      <w:bookmarkEnd w:id="98"/>
      <w:bookmarkEnd w:id="99"/>
      <w:bookmarkEnd w:id="100"/>
      <w:bookmarkEnd w:id="101"/>
      <w:bookmarkEnd w:id="102"/>
      <w:bookmarkEnd w:id="103"/>
    </w:p>
    <w:p w14:paraId="1334FD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1.磋商流程</w:t>
      </w:r>
    </w:p>
    <w:p w14:paraId="42D8CE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1.1磋商小组讨论、通过磋商工作流程和磋商要点。</w:t>
      </w:r>
    </w:p>
    <w:p w14:paraId="4BF035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1.2主持人宣布磋商的有关事项；</w:t>
      </w:r>
    </w:p>
    <w:p w14:paraId="0A0C67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1.3.磋商小组对所提交的磋商响应文件进行审查，审查结束后，由主持人公布无效磋商响应方名单、磋商响应无效的原因废标情况；</w:t>
      </w:r>
    </w:p>
    <w:p w14:paraId="4CE56F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1.4磋商小组与各磋商响应方</w:t>
      </w:r>
      <w:r>
        <w:rPr>
          <w:rFonts w:hint="eastAsia" w:ascii="宋体" w:hAnsi="宋体" w:cs="宋体"/>
          <w:color w:val="auto"/>
          <w:szCs w:val="21"/>
          <w:highlight w:val="none"/>
          <w:lang w:val="en-US" w:eastAsia="zh-CN"/>
        </w:rPr>
        <w:t>根据磋商响应文件的情况</w:t>
      </w:r>
      <w:r>
        <w:rPr>
          <w:rFonts w:hint="eastAsia" w:ascii="宋体" w:hAnsi="宋体" w:eastAsia="宋体" w:cs="宋体"/>
          <w:color w:val="auto"/>
          <w:szCs w:val="21"/>
          <w:highlight w:val="none"/>
        </w:rPr>
        <w:t>就公司情况、项目需求、服务内容、售后服务、价格构成、项目实施进度、付款方式等要素</w:t>
      </w:r>
      <w:r>
        <w:rPr>
          <w:rFonts w:hint="eastAsia" w:ascii="宋体" w:hAnsi="宋体" w:cs="宋体"/>
          <w:color w:val="auto"/>
          <w:szCs w:val="21"/>
          <w:highlight w:val="none"/>
          <w:lang w:val="en-US" w:eastAsia="zh-CN"/>
        </w:rPr>
        <w:t>按需</w:t>
      </w:r>
      <w:r>
        <w:rPr>
          <w:rFonts w:hint="eastAsia" w:ascii="宋体" w:hAnsi="宋体" w:eastAsia="宋体" w:cs="宋体"/>
          <w:color w:val="auto"/>
          <w:szCs w:val="21"/>
          <w:highlight w:val="none"/>
        </w:rPr>
        <w:t>进行磋商。</w:t>
      </w:r>
    </w:p>
    <w:p w14:paraId="1EF320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1.5磋商结束后，主持人宣布本次最终报价的最高限价，并要求各磋商响应方在规定时间内进行最终报价。在规定时间内没有提交最终报价的磋商供应商，其磋商响应文件视为无效。</w:t>
      </w:r>
    </w:p>
    <w:p w14:paraId="4F995D3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在各磋商响应方最终报价过程中，同时磋商小组根据第五章评审方法及评分标准对各磋商响应方的资信商务及技术情况进行评审打分。嘉兴市明扬工程咨询有限公司工作人员协助磋商小组根据本项目的评分标准操作政府采购业务系统，由系统计算各供应商的得分。</w:t>
      </w:r>
    </w:p>
    <w:p w14:paraId="27C1E8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1.7主持人宣布磋商最终报价（价格标）评审的有关事项。</w:t>
      </w:r>
    </w:p>
    <w:p w14:paraId="3F9882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1.8工作人员开启按规定进入价格标评审的磋商最终报价，并公开最终报价，最后要求磋商响应方公开确认无误。</w:t>
      </w:r>
    </w:p>
    <w:p w14:paraId="749736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1.9磋商小组对最终报价的合理性进行审核，决定是否结束磋商。若报价合理，磋商小组则根据评审方法计算出总得分并推荐成交供应商；</w:t>
      </w:r>
    </w:p>
    <w:p w14:paraId="2350A9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1.10磋商结束后，主持人公布有效磋商响应方的总得分结果和推荐的成交供应商。</w:t>
      </w:r>
    </w:p>
    <w:p w14:paraId="5DF5BD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140CF531">
      <w:pPr>
        <w:spacing w:line="360" w:lineRule="auto"/>
        <w:rPr>
          <w:rFonts w:hint="eastAsia" w:ascii="宋体" w:hAnsi="宋体" w:eastAsia="宋体" w:cs="宋体"/>
          <w:b/>
          <w:color w:val="auto"/>
          <w:szCs w:val="21"/>
          <w:highlight w:val="none"/>
        </w:rPr>
      </w:pPr>
      <w:bookmarkStart w:id="104" w:name="_Toc437979788"/>
      <w:bookmarkStart w:id="105" w:name="_Toc332724041"/>
      <w:r>
        <w:rPr>
          <w:rFonts w:hint="eastAsia" w:ascii="宋体" w:hAnsi="宋体" w:eastAsia="宋体" w:cs="宋体"/>
          <w:b/>
          <w:color w:val="auto"/>
          <w:szCs w:val="21"/>
          <w:highlight w:val="none"/>
        </w:rPr>
        <w:t>2.磋商响应文件的澄清</w:t>
      </w:r>
      <w:bookmarkEnd w:id="104"/>
      <w:bookmarkEnd w:id="105"/>
    </w:p>
    <w:p w14:paraId="0B7B23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2.l在磋商期间，磋商小组有权要求磋商供应商对其磋商响应文件含义不明确、同类问题表述不一致或者有明显文字和计算错误的内容进行澄清。磋商供应商应在线接受询标。</w:t>
      </w:r>
    </w:p>
    <w:p w14:paraId="580E44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2.2磋商小组认为有必要，可要求磋商供应商对某些问题作出必要的澄清、说明和纠正。供应商的澄清、说明或者补正应当采用书面形式，由其授权的代表签字。供应商的书面澄清材料作为磋商响应文件的补充。</w:t>
      </w:r>
    </w:p>
    <w:p w14:paraId="13983A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2.3磋商供应商不按磋商小组规定的时间和地点作澄清，将视为放弃该权利。</w:t>
      </w:r>
    </w:p>
    <w:p w14:paraId="2B4348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2.4并非每个磋商供应商都将被询标。</w:t>
      </w:r>
    </w:p>
    <w:p w14:paraId="39539192">
      <w:pPr>
        <w:spacing w:line="360" w:lineRule="auto"/>
        <w:rPr>
          <w:rFonts w:hint="eastAsia" w:ascii="宋体" w:hAnsi="宋体" w:eastAsia="宋体" w:cs="宋体"/>
          <w:b/>
          <w:color w:val="auto"/>
          <w:szCs w:val="21"/>
          <w:highlight w:val="none"/>
        </w:rPr>
      </w:pPr>
      <w:bookmarkStart w:id="106" w:name="_Toc332724042"/>
      <w:bookmarkStart w:id="107" w:name="_Toc437979789"/>
      <w:r>
        <w:rPr>
          <w:rFonts w:hint="eastAsia" w:ascii="宋体" w:hAnsi="宋体" w:eastAsia="宋体" w:cs="宋体"/>
          <w:b/>
          <w:color w:val="auto"/>
          <w:szCs w:val="21"/>
          <w:highlight w:val="none"/>
        </w:rPr>
        <w:t>3．确定成交供应商</w:t>
      </w:r>
      <w:bookmarkEnd w:id="106"/>
      <w:bookmarkEnd w:id="107"/>
    </w:p>
    <w:p w14:paraId="6C527E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3.1磋商小组将对通过资格性审查和符合性审查的磋商响应文件进行评价和比较。</w:t>
      </w:r>
    </w:p>
    <w:p w14:paraId="4CBEB4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3.2磋商小组按磋商文件第五章中公布的评定成交标准对磋商响应文件进行评审，确定成交候选人。最低报价等任何单项因素的最优不能作为成交的保证。</w:t>
      </w:r>
    </w:p>
    <w:p w14:paraId="35E8E54A">
      <w:pPr>
        <w:spacing w:line="360" w:lineRule="auto"/>
        <w:rPr>
          <w:rFonts w:hint="eastAsia" w:ascii="宋体" w:hAnsi="宋体" w:eastAsia="宋体" w:cs="宋体"/>
          <w:b/>
          <w:color w:val="auto"/>
          <w:szCs w:val="21"/>
          <w:highlight w:val="none"/>
        </w:rPr>
      </w:pPr>
      <w:bookmarkStart w:id="108" w:name="_Toc332724043"/>
      <w:bookmarkStart w:id="109" w:name="_Toc437979790"/>
      <w:r>
        <w:rPr>
          <w:rFonts w:hint="eastAsia" w:ascii="宋体" w:hAnsi="宋体" w:eastAsia="宋体" w:cs="宋体"/>
          <w:b/>
          <w:color w:val="auto"/>
          <w:szCs w:val="21"/>
          <w:highlight w:val="none"/>
        </w:rPr>
        <w:t>4．磋商过程保密</w:t>
      </w:r>
      <w:bookmarkEnd w:id="108"/>
      <w:bookmarkEnd w:id="109"/>
    </w:p>
    <w:p w14:paraId="7BC032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4.l在宣布成交结果之前，凡属于审查、澄清、评价、比较磋商响应文件等有关信息，相关当事人均不得泄露给任何磋商供应商或与磋商工作无关的人员。</w:t>
      </w:r>
    </w:p>
    <w:p w14:paraId="6978A3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4.2磋商供应商不得探听上述信息，不得以任何行为影响磋商过程，否则其磋商响应文件将被作为无效磋商响应文件。</w:t>
      </w:r>
    </w:p>
    <w:p w14:paraId="0CF968E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4.3在磋商期间，采购代理机构将有专门人员与磋商供应商进行联络。</w:t>
      </w:r>
    </w:p>
    <w:p w14:paraId="2435677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4.4采购代理机构和磋商小组不向未成交的磋商供应商解释未成交原因，也不对磋商过程中的细节问题进行公布。</w:t>
      </w:r>
    </w:p>
    <w:p w14:paraId="7F9E67C6">
      <w:pPr>
        <w:spacing w:line="360" w:lineRule="auto"/>
        <w:rPr>
          <w:rFonts w:hint="eastAsia" w:ascii="宋体" w:hAnsi="宋体" w:eastAsia="宋体" w:cs="宋体"/>
          <w:b/>
          <w:color w:val="auto"/>
          <w:szCs w:val="21"/>
          <w:highlight w:val="none"/>
        </w:rPr>
      </w:pPr>
      <w:bookmarkStart w:id="110" w:name="_Toc332724044"/>
      <w:bookmarkStart w:id="111" w:name="_Toc437979791"/>
      <w:r>
        <w:rPr>
          <w:rFonts w:hint="eastAsia" w:ascii="宋体" w:hAnsi="宋体" w:eastAsia="宋体" w:cs="宋体"/>
          <w:b/>
          <w:color w:val="auto"/>
          <w:szCs w:val="21"/>
          <w:highlight w:val="none"/>
        </w:rPr>
        <w:t>5．磋商供应商不足三家的处理</w:t>
      </w:r>
      <w:bookmarkEnd w:id="110"/>
      <w:bookmarkEnd w:id="111"/>
    </w:p>
    <w:p w14:paraId="38591237">
      <w:pPr>
        <w:pStyle w:val="32"/>
        <w:spacing w:before="0" w:after="0" w:line="360" w:lineRule="auto"/>
        <w:ind w:firstLine="405"/>
        <w:jc w:val="left"/>
        <w:outlineLvl w:val="9"/>
        <w:rPr>
          <w:rFonts w:hint="eastAsia" w:ascii="宋体" w:hAnsi="宋体" w:eastAsia="宋体" w:cs="宋体"/>
          <w:b w:val="0"/>
          <w:bCs w:val="0"/>
          <w:color w:val="auto"/>
          <w:sz w:val="21"/>
          <w:szCs w:val="21"/>
          <w:highlight w:val="none"/>
        </w:rPr>
      </w:pPr>
      <w:bookmarkStart w:id="112" w:name="_Toc487802117"/>
      <w:bookmarkStart w:id="113" w:name="_Toc2178"/>
      <w:bookmarkStart w:id="114" w:name="_Toc6989"/>
      <w:bookmarkStart w:id="115" w:name="_Toc31960"/>
      <w:bookmarkStart w:id="116" w:name="_Toc487793403"/>
      <w:bookmarkStart w:id="117" w:name="_Toc523"/>
      <w:bookmarkStart w:id="118" w:name="_Toc4055"/>
      <w:bookmarkStart w:id="119" w:name="_Toc7166"/>
      <w:bookmarkStart w:id="120" w:name="_Toc5650"/>
      <w:bookmarkStart w:id="121" w:name="_Toc16368"/>
      <w:bookmarkStart w:id="122" w:name="_Toc29238"/>
      <w:bookmarkStart w:id="123" w:name="_Toc21686"/>
      <w:bookmarkStart w:id="124" w:name="_Toc19894"/>
      <w:bookmarkStart w:id="125" w:name="_Toc487802048"/>
      <w:bookmarkStart w:id="126" w:name="_Toc4733"/>
      <w:r>
        <w:rPr>
          <w:rFonts w:hint="eastAsia" w:ascii="宋体" w:hAnsi="宋体" w:eastAsia="宋体" w:cs="宋体"/>
          <w:b w:val="0"/>
          <w:bCs w:val="0"/>
          <w:color w:val="auto"/>
          <w:sz w:val="21"/>
          <w:szCs w:val="21"/>
          <w:highlight w:val="none"/>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9D52893">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bookmarkStart w:id="127" w:name="_Toc10509"/>
      <w:bookmarkStart w:id="128" w:name="_Toc12589"/>
      <w:bookmarkStart w:id="129" w:name="_Toc31"/>
      <w:bookmarkStart w:id="130" w:name="_Toc18888"/>
      <w:bookmarkStart w:id="131" w:name="_Toc3128"/>
      <w:bookmarkStart w:id="132" w:name="_Toc30295"/>
      <w:bookmarkStart w:id="133" w:name="_Toc12929"/>
      <w:bookmarkStart w:id="134" w:name="_Toc1387"/>
      <w:r>
        <w:rPr>
          <w:rFonts w:hint="eastAsia" w:ascii="宋体" w:hAnsi="宋体" w:eastAsia="宋体" w:cs="宋体"/>
          <w:b/>
          <w:color w:val="auto"/>
          <w:sz w:val="28"/>
          <w:szCs w:val="28"/>
          <w:highlight w:val="none"/>
        </w:rPr>
        <w:t>六、</w:t>
      </w:r>
      <w:bookmarkEnd w:id="83"/>
      <w:r>
        <w:rPr>
          <w:rFonts w:hint="eastAsia" w:ascii="宋体" w:hAnsi="宋体" w:eastAsia="宋体" w:cs="宋体"/>
          <w:b/>
          <w:color w:val="auto"/>
          <w:sz w:val="28"/>
          <w:szCs w:val="28"/>
          <w:highlight w:val="none"/>
        </w:rPr>
        <w:t>磋商</w:t>
      </w:r>
      <w:bookmarkEnd w:id="127"/>
      <w:bookmarkEnd w:id="128"/>
      <w:bookmarkEnd w:id="129"/>
      <w:bookmarkEnd w:id="130"/>
      <w:bookmarkEnd w:id="131"/>
      <w:bookmarkEnd w:id="132"/>
      <w:bookmarkEnd w:id="133"/>
      <w:bookmarkEnd w:id="134"/>
    </w:p>
    <w:p w14:paraId="50DE1274">
      <w:pPr>
        <w:pStyle w:val="16"/>
        <w:spacing w:line="400" w:lineRule="exact"/>
        <w:ind w:left="527"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1.组建磋商小组</w:t>
      </w:r>
    </w:p>
    <w:p w14:paraId="13AF6FD7">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本项目磋商小组由政府采购评审专家2人和采购人代表1人,共3人组成。</w:t>
      </w:r>
    </w:p>
    <w:p w14:paraId="60142EB6">
      <w:pPr>
        <w:pStyle w:val="16"/>
        <w:spacing w:line="400" w:lineRule="exact"/>
        <w:ind w:left="527"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2.磋商的方式</w:t>
      </w:r>
    </w:p>
    <w:p w14:paraId="5A1B50B9">
      <w:pPr>
        <w:pStyle w:val="16"/>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本采购项目采用不公开方式磋商，磋商的依据为竞争性磋商文件和磋商响应文件。</w:t>
      </w:r>
    </w:p>
    <w:p w14:paraId="3FC6646E">
      <w:pPr>
        <w:pStyle w:val="16"/>
        <w:spacing w:line="400" w:lineRule="exact"/>
        <w:ind w:left="527"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r>
        <w:rPr>
          <w:rFonts w:hint="eastAsia" w:ascii="宋体" w:hAnsi="宋体" w:eastAsia="宋体" w:cs="宋体"/>
          <w:b/>
          <w:bCs/>
          <w:color w:val="auto"/>
          <w:szCs w:val="21"/>
          <w:highlight w:val="none"/>
        </w:rPr>
        <w:t>磋商程序</w:t>
      </w:r>
    </w:p>
    <w:p w14:paraId="2D4A5C16">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3.1形式审查。</w:t>
      </w:r>
    </w:p>
    <w:p w14:paraId="43EB4AAB">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3.1.1磋商小组对磋商供应商的资格和磋商响应文件的完整性、合法性等进行审查。</w:t>
      </w:r>
    </w:p>
    <w:p w14:paraId="655796FC">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3.2实质审查与比较。</w:t>
      </w:r>
    </w:p>
    <w:p w14:paraId="6AC6FBB2">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3.2.1磋商小组审查磋商响应文件的实质性内容是否符合竞争性磋商文件的实质性要求。</w:t>
      </w:r>
    </w:p>
    <w:p w14:paraId="72A5BAD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3.2.2磋商小组将根据磋商供应商的磋商响应文件进行审查、核对,如有疑问,将对磋商供应商进行询标,磋商供应商要向磋商小组澄清有关问题,并最终以书面形式进行答复。</w:t>
      </w:r>
    </w:p>
    <w:p w14:paraId="0D67D697">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询标时，磋商供应商代表拒绝澄清或者澄清的内容改变了磋商响应文件的实质性内容的，磋商小组有权对该磋商响应文件作出不利于磋商供应商的评判。</w:t>
      </w:r>
    </w:p>
    <w:p w14:paraId="741E689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3.3各磋商供应商的资信商务及技术分按照磋商小组成员的独立评分汇总后的算术平均分计算。</w:t>
      </w:r>
    </w:p>
    <w:p w14:paraId="6349400B">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3.4代理公司工作人员协助磋商小组根据本项目的评分标准操作政府采购业务系统，由系统计算各磋商供应商的报价得分。</w:t>
      </w:r>
    </w:p>
    <w:p w14:paraId="5C97BD4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3.5磋商小组完成评审后,评委对各部分得分汇总,计算出本项目最终得分、性价比、评标价等。磋商小组按评审原则推荐成交候选人同时起草评审报告。</w:t>
      </w:r>
    </w:p>
    <w:p w14:paraId="01623576">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4.澄清问题的形式</w:t>
      </w:r>
    </w:p>
    <w:p w14:paraId="3AF44010">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响应文件中含义不明确、同类问题表述不一致或者有明显文字和计算错误的内容，磋商小组可以书面形式要求供应商作出必要的澄清、说明或者纠正。供应商的澄清、说明或者补正应当采用书面形式，由其法定代表人或委托代理人签字或盖章确认，并不得超出磋商响应文件的范围或者改变磋商响应文件的实质性内容。</w:t>
      </w:r>
    </w:p>
    <w:p w14:paraId="12A54364">
      <w:pPr>
        <w:pStyle w:val="16"/>
        <w:spacing w:line="400" w:lineRule="exact"/>
        <w:ind w:left="527"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5.修正原则</w:t>
      </w:r>
    </w:p>
    <w:p w14:paraId="3E585DCE">
      <w:pPr>
        <w:pStyle w:val="16"/>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磋商响应文件如果出现计算或表达上的错误，修正错误的原则如下：</w:t>
      </w:r>
    </w:p>
    <w:p w14:paraId="1A848E1D">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5.1报价一览表总价与报价明细表汇总数不一致的，以报价一览表为准；</w:t>
      </w:r>
    </w:p>
    <w:p w14:paraId="4D2BEDA4">
      <w:pPr>
        <w:pStyle w:val="16"/>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5.2磋商响应文件的大写金额和小写金额不一致的，以大写金额为准；</w:t>
      </w:r>
    </w:p>
    <w:p w14:paraId="47B16C4A">
      <w:pPr>
        <w:pStyle w:val="16"/>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5.3总价金额与按单价汇总金额不一致的，以单价金额计算结果为准；</w:t>
      </w:r>
    </w:p>
    <w:p w14:paraId="16ACF92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5.4对不同文字文本磋商响应文件的解释发生异议的，以中文文本为准。</w:t>
      </w:r>
    </w:p>
    <w:p w14:paraId="4DEA0BB9">
      <w:pPr>
        <w:spacing w:line="4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按上述修正错误的原则及方法调整或修正磋商响应文件的报价，磋商供应商同意并签字确认后，调整后的报价对磋商供应商具有约束作用。如果磋商供应商不接受修正后的报价，则其磋商将作为无效处理。</w:t>
      </w:r>
    </w:p>
    <w:p w14:paraId="6AD67D9C">
      <w:pPr>
        <w:pStyle w:val="16"/>
        <w:spacing w:line="400" w:lineRule="exact"/>
        <w:ind w:left="527" w:hanging="527" w:hangingChars="250"/>
        <w:jc w:val="left"/>
        <w:rPr>
          <w:rFonts w:hint="eastAsia" w:ascii="宋体" w:hAnsi="宋体" w:eastAsia="宋体" w:cs="宋体"/>
          <w:b/>
          <w:color w:val="auto"/>
          <w:szCs w:val="21"/>
          <w:highlight w:val="none"/>
        </w:rPr>
      </w:pPr>
      <w:bookmarkStart w:id="135" w:name="_Toc177870555"/>
      <w:r>
        <w:rPr>
          <w:rFonts w:hint="eastAsia" w:ascii="宋体" w:hAnsi="宋体" w:eastAsia="宋体" w:cs="宋体"/>
          <w:b/>
          <w:color w:val="auto"/>
          <w:szCs w:val="21"/>
          <w:highlight w:val="none"/>
        </w:rPr>
        <w:t>6.评审原则和评审办法</w:t>
      </w:r>
    </w:p>
    <w:p w14:paraId="25DDD64D">
      <w:pPr>
        <w:pStyle w:val="16"/>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0DF34318">
      <w:pPr>
        <w:pStyle w:val="16"/>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6.2评审办法。本项目评审办法是综合评分法，具体评审内容及评分标准等详见《第五章：评审办法》。</w:t>
      </w:r>
    </w:p>
    <w:p w14:paraId="5BD6C7B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highlight w:val="none"/>
        </w:rPr>
        <w:t>评审过程的监控</w:t>
      </w:r>
    </w:p>
    <w:p w14:paraId="09B91C83">
      <w:pPr>
        <w:spacing w:line="360" w:lineRule="auto"/>
        <w:ind w:firstLine="42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t>本项目评标过程实行全程录音、录像监控。磋商供应商在评审过程中所进行的试图影响评标结果的不公正活动，可能导致其磋商被拒绝。</w:t>
      </w:r>
    </w:p>
    <w:bookmarkEnd w:id="135"/>
    <w:p w14:paraId="47B3A7ED">
      <w:pPr>
        <w:spacing w:before="156" w:beforeLines="50" w:after="156" w:afterLines="50" w:line="400" w:lineRule="exact"/>
        <w:ind w:left="238"/>
        <w:jc w:val="center"/>
        <w:outlineLvl w:val="1"/>
        <w:rPr>
          <w:rFonts w:hint="eastAsia" w:ascii="宋体" w:hAnsi="宋体" w:eastAsia="宋体" w:cs="宋体"/>
          <w:b/>
          <w:color w:val="auto"/>
          <w:sz w:val="28"/>
          <w:szCs w:val="28"/>
          <w:highlight w:val="none"/>
        </w:rPr>
      </w:pPr>
      <w:bookmarkStart w:id="136" w:name="_Toc11252"/>
      <w:bookmarkStart w:id="137" w:name="_Toc32293"/>
      <w:bookmarkStart w:id="138" w:name="_Toc16833"/>
      <w:bookmarkStart w:id="139" w:name="_Toc20505"/>
      <w:bookmarkStart w:id="140" w:name="_Toc8978"/>
      <w:bookmarkStart w:id="141" w:name="_Toc19087"/>
      <w:bookmarkStart w:id="142" w:name="_Toc21136"/>
      <w:bookmarkStart w:id="143" w:name="_Toc22785"/>
      <w:bookmarkStart w:id="144" w:name="_Toc445"/>
      <w:r>
        <w:rPr>
          <w:rFonts w:hint="eastAsia" w:ascii="宋体" w:hAnsi="宋体" w:eastAsia="宋体" w:cs="宋体"/>
          <w:b/>
          <w:color w:val="auto"/>
          <w:sz w:val="28"/>
          <w:szCs w:val="28"/>
          <w:highlight w:val="none"/>
        </w:rPr>
        <w:t>七、磋商结果的确定</w:t>
      </w:r>
      <w:bookmarkEnd w:id="136"/>
      <w:bookmarkEnd w:id="137"/>
      <w:bookmarkEnd w:id="138"/>
      <w:bookmarkEnd w:id="139"/>
      <w:bookmarkEnd w:id="140"/>
      <w:bookmarkEnd w:id="141"/>
      <w:bookmarkEnd w:id="142"/>
      <w:bookmarkEnd w:id="143"/>
      <w:bookmarkEnd w:id="144"/>
    </w:p>
    <w:p w14:paraId="2773AEE8">
      <w:pPr>
        <w:pStyle w:val="9"/>
        <w:spacing w:line="360" w:lineRule="auto"/>
        <w:ind w:firstLine="0"/>
        <w:rPr>
          <w:rFonts w:hint="eastAsia" w:ascii="宋体" w:hAnsi="宋体" w:eastAsia="宋体" w:cs="宋体"/>
          <w:color w:val="auto"/>
          <w:szCs w:val="21"/>
          <w:highlight w:val="none"/>
        </w:rPr>
      </w:pPr>
      <w:bookmarkStart w:id="145" w:name="_Toc107820051"/>
      <w:bookmarkStart w:id="146" w:name="_Toc170792772"/>
      <w:r>
        <w:rPr>
          <w:rFonts w:hint="eastAsia" w:ascii="宋体" w:hAnsi="宋体" w:eastAsia="宋体" w:cs="宋体"/>
          <w:color w:val="auto"/>
          <w:szCs w:val="21"/>
          <w:highlight w:val="none"/>
        </w:rPr>
        <w:t>1.磋商结果确定</w:t>
      </w:r>
    </w:p>
    <w:p w14:paraId="4F1D12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1.1采购单位事先授权磋商小组直接确定成交供应商，磋商小组可直接确定成交供应商。</w:t>
      </w:r>
    </w:p>
    <w:p w14:paraId="466DCCA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1.2没有事先授权的，采购代理机构在磋商结束后2个工作日内将磋商结果交采购人确认。采购人应在收到后5个工作日内对磋商结果进行确认。</w:t>
      </w:r>
    </w:p>
    <w:p w14:paraId="5F6B486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2.成交公告：公告1个工作日。</w:t>
      </w:r>
    </w:p>
    <w:p w14:paraId="6DC9E187">
      <w:pPr>
        <w:spacing w:before="156" w:beforeLines="50" w:after="156" w:afterLines="50" w:line="400" w:lineRule="exact"/>
        <w:jc w:val="center"/>
        <w:outlineLvl w:val="1"/>
        <w:rPr>
          <w:rFonts w:hint="eastAsia" w:ascii="宋体" w:hAnsi="宋体" w:eastAsia="宋体" w:cs="宋体"/>
          <w:b/>
          <w:color w:val="auto"/>
          <w:sz w:val="28"/>
          <w:szCs w:val="28"/>
          <w:highlight w:val="none"/>
        </w:rPr>
      </w:pPr>
      <w:bookmarkStart w:id="147" w:name="_Toc30856"/>
      <w:bookmarkStart w:id="148" w:name="_Toc23891"/>
      <w:bookmarkStart w:id="149" w:name="_Toc16812"/>
      <w:bookmarkStart w:id="150" w:name="_Toc7304"/>
      <w:bookmarkStart w:id="151" w:name="_Toc24697"/>
      <w:bookmarkStart w:id="152" w:name="_Toc8957"/>
      <w:bookmarkStart w:id="153" w:name="_Toc10004"/>
      <w:bookmarkStart w:id="154" w:name="_Toc10640"/>
      <w:r>
        <w:rPr>
          <w:rFonts w:hint="eastAsia" w:ascii="宋体" w:hAnsi="宋体" w:eastAsia="宋体" w:cs="宋体"/>
          <w:b/>
          <w:color w:val="auto"/>
          <w:sz w:val="28"/>
          <w:szCs w:val="28"/>
          <w:highlight w:val="none"/>
        </w:rPr>
        <w:t>八、合同</w:t>
      </w:r>
      <w:bookmarkEnd w:id="145"/>
      <w:bookmarkEnd w:id="146"/>
      <w:r>
        <w:rPr>
          <w:rFonts w:hint="eastAsia" w:ascii="宋体" w:hAnsi="宋体" w:eastAsia="宋体" w:cs="宋体"/>
          <w:b/>
          <w:color w:val="auto"/>
          <w:sz w:val="28"/>
          <w:szCs w:val="28"/>
          <w:highlight w:val="none"/>
        </w:rPr>
        <w:t>授予</w:t>
      </w:r>
      <w:bookmarkEnd w:id="147"/>
      <w:bookmarkEnd w:id="148"/>
      <w:bookmarkEnd w:id="149"/>
      <w:bookmarkEnd w:id="150"/>
      <w:bookmarkEnd w:id="151"/>
      <w:bookmarkEnd w:id="152"/>
      <w:bookmarkEnd w:id="153"/>
      <w:bookmarkEnd w:id="154"/>
    </w:p>
    <w:p w14:paraId="6EB6EDF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1.签订合同</w:t>
      </w:r>
    </w:p>
    <w:p w14:paraId="697C746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1.1成交人自接到成交通知书后30日内与采购人签定合同，同时采购代理机构对合同内容进行审查，如发现与采购结果和磋商承诺内容不一致的，将予以纠正。</w:t>
      </w:r>
    </w:p>
    <w:p w14:paraId="50D5076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1.2成交人拒绝与采购人签订合同的，采购人可以按照评审报告推荐的成交候选人名单排序，确定下一候选人为成交供应商，也可以重新开展政府采购活动。</w:t>
      </w:r>
    </w:p>
    <w:p w14:paraId="7C3CCAA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1.3采购人应当自政府采购合同签订之日起2个工作日内，将政府采购合同在省级以上人民政府财政部门指定的媒体上公告，但政府采购合同中涉及国家秘密、商业秘密的内容除外。</w:t>
      </w:r>
    </w:p>
    <w:p w14:paraId="376DFB6E">
      <w:pPr>
        <w:pStyle w:val="16"/>
        <w:numPr>
          <w:ilvl w:val="0"/>
          <w:numId w:val="3"/>
        </w:num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履约保证金：无。</w:t>
      </w:r>
    </w:p>
    <w:p w14:paraId="064D33EF">
      <w:pPr>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▲3.成交供应商向招标代理机构按如下金额标准交纳磋商代理服务费：成交单位需缴纳磋商代理服务费为</w:t>
      </w:r>
      <w:r>
        <w:rPr>
          <w:rFonts w:hint="eastAsia" w:ascii="宋体" w:hAnsi="宋体" w:eastAsia="宋体" w:cs="宋体"/>
          <w:b/>
          <w:color w:val="auto"/>
          <w:szCs w:val="21"/>
          <w:highlight w:val="none"/>
        </w:rPr>
        <w:t>人民币</w:t>
      </w:r>
      <w:r>
        <w:rPr>
          <w:rFonts w:hint="eastAsia" w:ascii="宋体" w:hAnsi="宋体" w:cs="宋体"/>
          <w:b/>
          <w:color w:val="auto"/>
          <w:szCs w:val="21"/>
          <w:highlight w:val="none"/>
          <w:lang w:val="en-US" w:eastAsia="zh-CN"/>
        </w:rPr>
        <w:t>壹</w:t>
      </w:r>
      <w:r>
        <w:rPr>
          <w:rFonts w:hint="eastAsia" w:ascii="宋体" w:hAnsi="宋体" w:eastAsia="宋体" w:cs="宋体"/>
          <w:b/>
          <w:color w:val="auto"/>
          <w:szCs w:val="21"/>
          <w:highlight w:val="none"/>
        </w:rPr>
        <w:t>万</w:t>
      </w:r>
      <w:r>
        <w:rPr>
          <w:rFonts w:hint="eastAsia" w:ascii="宋体" w:hAnsi="宋体" w:cs="宋体"/>
          <w:b/>
          <w:color w:val="auto"/>
          <w:szCs w:val="21"/>
          <w:highlight w:val="none"/>
          <w:lang w:val="en-US" w:eastAsia="zh-CN"/>
        </w:rPr>
        <w:t>肆仟</w:t>
      </w:r>
      <w:r>
        <w:rPr>
          <w:rFonts w:hint="eastAsia" w:ascii="宋体" w:hAnsi="宋体" w:eastAsia="宋体" w:cs="宋体"/>
          <w:b/>
          <w:color w:val="auto"/>
          <w:szCs w:val="21"/>
          <w:highlight w:val="none"/>
        </w:rPr>
        <w:t>元整</w:t>
      </w:r>
      <w:r>
        <w:rPr>
          <w:rFonts w:hint="eastAsia" w:ascii="宋体" w:hAnsi="宋体" w:eastAsia="宋体" w:cs="宋体"/>
          <w:b/>
          <w:bCs/>
          <w:color w:val="auto"/>
          <w:szCs w:val="21"/>
          <w:highlight w:val="none"/>
        </w:rPr>
        <w:t>，可采用转账、支票、电汇等方式支付。磋商代理服务费用在成交通知书发出后10天内支付给招标代理机构。各供应商应在报价时充分考虑以上相关费用。</w:t>
      </w:r>
    </w:p>
    <w:p w14:paraId="26082F92">
      <w:pPr>
        <w:spacing w:line="380" w:lineRule="exact"/>
        <w:ind w:firstLine="632" w:firstLineChars="300"/>
        <w:jc w:val="left"/>
        <w:rPr>
          <w:rFonts w:hint="eastAsia" w:ascii="宋体" w:hAnsi="宋体" w:eastAsia="宋体" w:cs="宋体"/>
          <w:b/>
          <w:bCs/>
          <w:color w:val="auto"/>
          <w:szCs w:val="21"/>
          <w:highlight w:val="none"/>
        </w:rPr>
      </w:pPr>
    </w:p>
    <w:p w14:paraId="0E148ED2">
      <w:pPr>
        <w:spacing w:line="380" w:lineRule="exact"/>
        <w:ind w:firstLine="632" w:firstLineChars="3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单位全称：嘉兴市明扬工程咨询有限公司</w:t>
      </w:r>
    </w:p>
    <w:p w14:paraId="15E86C4E">
      <w:pPr>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开户银行：中国光大银行股份有限公司嘉兴分行</w:t>
      </w:r>
    </w:p>
    <w:p w14:paraId="63CE304D">
      <w:pPr>
        <w:spacing w:line="380" w:lineRule="exact"/>
        <w:ind w:firstLine="632" w:firstLineChars="3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银行账号：79650188000300492</w:t>
      </w:r>
    </w:p>
    <w:p w14:paraId="5547D82E">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bookmarkStart w:id="155" w:name="_Toc7140"/>
      <w:bookmarkStart w:id="156" w:name="_Toc19239"/>
      <w:bookmarkStart w:id="157" w:name="_Toc22734"/>
      <w:bookmarkStart w:id="158" w:name="_Toc26569"/>
      <w:bookmarkStart w:id="159" w:name="_Toc24524"/>
      <w:bookmarkStart w:id="160" w:name="_Toc10221"/>
      <w:bookmarkStart w:id="161" w:name="_Toc13152"/>
      <w:bookmarkStart w:id="162" w:name="_Toc22331"/>
    </w:p>
    <w:p w14:paraId="0E684B33">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p>
    <w:p w14:paraId="7FC219F5">
      <w:pPr>
        <w:pStyle w:val="16"/>
        <w:spacing w:before="156" w:beforeLines="50" w:after="156" w:afterLines="50" w:line="400" w:lineRule="exact"/>
        <w:jc w:val="center"/>
        <w:outlineLvl w:val="0"/>
        <w:rPr>
          <w:rFonts w:hint="eastAsia" w:ascii="宋体" w:hAnsi="宋体" w:eastAsia="宋体" w:cs="宋体"/>
          <w:bCs/>
          <w:color w:val="auto"/>
          <w:sz w:val="24"/>
          <w:highlight w:val="none"/>
        </w:rPr>
      </w:pPr>
      <w:r>
        <w:rPr>
          <w:rFonts w:hint="eastAsia" w:ascii="宋体" w:hAnsi="宋体" w:eastAsia="宋体" w:cs="宋体"/>
          <w:b/>
          <w:color w:val="auto"/>
          <w:sz w:val="32"/>
          <w:szCs w:val="32"/>
          <w:highlight w:val="none"/>
        </w:rPr>
        <w:t>第三章  磋商项目要求</w:t>
      </w:r>
      <w:bookmarkEnd w:id="155"/>
      <w:bookmarkEnd w:id="156"/>
      <w:bookmarkEnd w:id="157"/>
      <w:bookmarkEnd w:id="158"/>
      <w:bookmarkEnd w:id="159"/>
      <w:bookmarkEnd w:id="160"/>
      <w:bookmarkEnd w:id="161"/>
      <w:bookmarkEnd w:id="162"/>
      <w:bookmarkStart w:id="163" w:name="_Toc11969"/>
    </w:p>
    <w:p w14:paraId="4F1FEE8C">
      <w:pPr>
        <w:adjustRightInd w:val="0"/>
        <w:snapToGrid w:val="0"/>
        <w:spacing w:line="360" w:lineRule="auto"/>
        <w:rPr>
          <w:rFonts w:ascii="宋体" w:hAnsi="宋体"/>
          <w:b/>
          <w:color w:val="auto"/>
          <w:szCs w:val="21"/>
          <w:highlight w:val="none"/>
        </w:rPr>
      </w:pPr>
      <w:r>
        <w:rPr>
          <w:rFonts w:ascii="宋体" w:hAnsi="宋体"/>
          <w:b/>
          <w:color w:val="auto"/>
          <w:szCs w:val="21"/>
          <w:highlight w:val="none"/>
        </w:rPr>
        <w:t>一、项目说明</w:t>
      </w:r>
    </w:p>
    <w:p w14:paraId="218E3E6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背景：为深入贯彻落实中央和省委省政府高质量发展建设共同富裕示范区的重大决策部署，全面落实省第十五次党代会精神，更好发挥制造业高质量发展促进共同富裕为主题，做大制造业高质量发展，提升山区县市区自我造血能力，南湖——遂昌制造业高质量发展结对促共富，助力遂昌县企业高质量发展，利用发达县市区企业服务成功经验，深入推动传统制造业转型升级和企业的精益管理应用，计划面向遂昌重点行业和重点企业，推动开展精益管理精准诊断服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精益管理标杆企业建设</w:t>
      </w:r>
      <w:r>
        <w:rPr>
          <w:rFonts w:hint="eastAsia" w:ascii="宋体" w:hAnsi="宋体"/>
          <w:color w:val="auto"/>
          <w:szCs w:val="21"/>
          <w:highlight w:val="none"/>
        </w:rPr>
        <w:t>及企业精益管理人才培育工作。以诊断挖需求，以需求促提升，以提升育标杆，构建企业精益管理转型升级的良好生态，提升遂昌区域制造生产力和创新力。</w:t>
      </w:r>
    </w:p>
    <w:p w14:paraId="6676625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项目</w:t>
      </w:r>
      <w:r>
        <w:rPr>
          <w:rFonts w:hint="eastAsia" w:ascii="宋体" w:hAnsi="宋体"/>
          <w:color w:val="auto"/>
          <w:szCs w:val="21"/>
          <w:highlight w:val="none"/>
        </w:rPr>
        <w:t>目标</w:t>
      </w:r>
      <w:r>
        <w:rPr>
          <w:rFonts w:ascii="宋体" w:hAnsi="宋体"/>
          <w:color w:val="auto"/>
          <w:szCs w:val="21"/>
          <w:highlight w:val="none"/>
        </w:rPr>
        <w:t>：</w:t>
      </w:r>
      <w:r>
        <w:rPr>
          <w:rFonts w:hint="eastAsia" w:ascii="宋体" w:hAnsi="宋体"/>
          <w:color w:val="auto"/>
          <w:szCs w:val="21"/>
          <w:highlight w:val="none"/>
        </w:rPr>
        <w:t>深入企业进行实地调查研究，运用先进的精益管理理念和技术，通过精益管理诊断和精益管理人才培育服务，帮助企业顶层设计精益管理模式，并编制企业精益管理的建设顶层设计方案。促进企业从传统的管理模式向精益化管理转型，培育打造精益化制造企业。</w:t>
      </w:r>
    </w:p>
    <w:p w14:paraId="556582D4">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、服务期限：合同签订之日起至202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11</w:t>
      </w:r>
      <w:r>
        <w:rPr>
          <w:rFonts w:hint="eastAsia" w:ascii="宋体" w:hAnsi="宋体"/>
          <w:color w:val="auto"/>
          <w:szCs w:val="21"/>
          <w:highlight w:val="none"/>
        </w:rPr>
        <w:t>月30日。</w:t>
      </w:r>
    </w:p>
    <w:p w14:paraId="790E7BEB">
      <w:pPr>
        <w:adjustRightInd w:val="0"/>
        <w:snapToGrid w:val="0"/>
        <w:spacing w:line="360" w:lineRule="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二、服务</w:t>
      </w:r>
      <w:r>
        <w:rPr>
          <w:rFonts w:hint="eastAsia" w:ascii="宋体" w:hAnsi="宋体"/>
          <w:b/>
          <w:color w:val="auto"/>
          <w:szCs w:val="21"/>
          <w:highlight w:val="none"/>
          <w:lang w:val="en-US" w:eastAsia="zh-CN"/>
        </w:rPr>
        <w:t>内容</w:t>
      </w:r>
    </w:p>
    <w:p w14:paraId="691095B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1、企业精益管理诊断服务</w:t>
      </w:r>
      <w:r>
        <w:rPr>
          <w:rFonts w:hint="eastAsia" w:ascii="宋体" w:hAnsi="宋体"/>
          <w:color w:val="auto"/>
          <w:szCs w:val="21"/>
          <w:highlight w:val="none"/>
          <w:lang w:val="en-US" w:eastAsia="zh-CN"/>
        </w:rPr>
        <w:t>18</w:t>
      </w:r>
      <w:r>
        <w:rPr>
          <w:rFonts w:hint="eastAsia" w:ascii="宋体" w:hAnsi="宋体"/>
          <w:color w:val="auto"/>
          <w:szCs w:val="21"/>
          <w:highlight w:val="none"/>
        </w:rPr>
        <w:t>家。</w:t>
      </w:r>
    </w:p>
    <w:p w14:paraId="5C85D3AB">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2、企业精益管理标杆项目建设5家。</w:t>
      </w:r>
    </w:p>
    <w:p w14:paraId="1FB6CB56">
      <w:pPr>
        <w:adjustRightInd w:val="0"/>
        <w:snapToGrid w:val="0"/>
        <w:spacing w:line="360" w:lineRule="auto"/>
        <w:ind w:firstLine="420" w:firstLineChars="200"/>
        <w:rPr>
          <w:rFonts w:hint="eastAsia" w:ascii="宋体" w:hAnsi="宋体"/>
          <w:color w:val="auto"/>
          <w:szCs w:val="21"/>
          <w:highlight w:val="none"/>
          <w:woUserID w:val="1"/>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生产经理实操培训、企业服务能力提升培训各</w:t>
      </w:r>
      <w:r>
        <w:rPr>
          <w:rFonts w:hint="default" w:ascii="宋体" w:hAnsi="宋体"/>
          <w:color w:val="auto"/>
          <w:szCs w:val="21"/>
          <w:highlight w:val="none"/>
          <w:lang w:eastAsia="zh-CN"/>
          <w:woUserID w:val="1"/>
        </w:rPr>
        <w:t>1期。</w:t>
      </w:r>
    </w:p>
    <w:p w14:paraId="75BB7DDF">
      <w:pPr>
        <w:adjustRightInd w:val="0"/>
        <w:snapToGrid w:val="0"/>
        <w:spacing w:line="360" w:lineRule="auto"/>
        <w:rPr>
          <w:rFonts w:hint="default" w:ascii="宋体" w:hAnsi="宋体" w:eastAsia="宋体"/>
          <w:b/>
          <w:color w:val="auto"/>
          <w:szCs w:val="21"/>
          <w:highlight w:val="none"/>
          <w:lang w:val="en-US" w:eastAsia="zh-CN"/>
        </w:rPr>
      </w:pPr>
      <w:r>
        <w:rPr>
          <w:rFonts w:hint="eastAsia" w:ascii="宋体" w:hAnsi="宋体"/>
          <w:b/>
          <w:color w:val="auto"/>
          <w:szCs w:val="21"/>
          <w:highlight w:val="none"/>
        </w:rPr>
        <w:t>三</w:t>
      </w:r>
      <w:r>
        <w:rPr>
          <w:rFonts w:ascii="宋体" w:hAnsi="宋体"/>
          <w:b/>
          <w:color w:val="auto"/>
          <w:szCs w:val="21"/>
          <w:highlight w:val="none"/>
        </w:rPr>
        <w:t>、</w:t>
      </w:r>
      <w:r>
        <w:rPr>
          <w:rFonts w:hint="eastAsia" w:ascii="宋体" w:hAnsi="宋体"/>
          <w:b/>
          <w:color w:val="auto"/>
          <w:szCs w:val="21"/>
          <w:highlight w:val="none"/>
          <w:lang w:val="en-US" w:eastAsia="zh-CN"/>
        </w:rPr>
        <w:t>具体要求</w:t>
      </w:r>
    </w:p>
    <w:p w14:paraId="68EF3BD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一</w:t>
      </w:r>
      <w:r>
        <w:rPr>
          <w:rFonts w:hint="eastAsia" w:ascii="宋体" w:hAnsi="宋体"/>
          <w:color w:val="auto"/>
          <w:szCs w:val="21"/>
          <w:highlight w:val="none"/>
          <w:lang w:eastAsia="zh-CN"/>
        </w:rPr>
        <w:t>）</w:t>
      </w:r>
      <w:r>
        <w:rPr>
          <w:rFonts w:hint="eastAsia" w:ascii="宋体" w:hAnsi="宋体"/>
          <w:color w:val="auto"/>
          <w:szCs w:val="21"/>
          <w:highlight w:val="none"/>
        </w:rPr>
        <w:t>诊断</w:t>
      </w:r>
      <w:r>
        <w:rPr>
          <w:rFonts w:hint="eastAsia" w:ascii="宋体" w:hAnsi="宋体"/>
          <w:color w:val="auto"/>
          <w:szCs w:val="21"/>
          <w:highlight w:val="none"/>
          <w:lang w:val="en-US" w:eastAsia="zh-CN"/>
        </w:rPr>
        <w:t>服务相关</w:t>
      </w:r>
      <w:r>
        <w:rPr>
          <w:rFonts w:hint="eastAsia" w:ascii="宋体" w:hAnsi="宋体"/>
          <w:color w:val="auto"/>
          <w:szCs w:val="21"/>
          <w:highlight w:val="none"/>
        </w:rPr>
        <w:t>要求：</w:t>
      </w:r>
    </w:p>
    <w:p w14:paraId="5C1BC91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诊断报告须符合企业实际要求。诊断报告内容包括但不限于企业基本情况、评估企业精益管理水平、企业精益短板分析、系统解决/顶层设计/项目改善方案、可对标的同行业国内标杆做法等；单个诊断报告不得存在表述重复的内容，</w:t>
      </w:r>
      <w:r>
        <w:rPr>
          <w:rFonts w:hint="eastAsia" w:ascii="宋体" w:hAnsi="宋体"/>
          <w:color w:val="auto"/>
          <w:szCs w:val="21"/>
          <w:highlight w:val="none"/>
          <w:lang w:val="en-US" w:eastAsia="zh-CN"/>
        </w:rPr>
        <w:t>供应</w:t>
      </w:r>
      <w:r>
        <w:rPr>
          <w:rFonts w:hint="eastAsia" w:ascii="宋体" w:hAnsi="宋体"/>
          <w:color w:val="auto"/>
          <w:szCs w:val="21"/>
          <w:highlight w:val="none"/>
        </w:rPr>
        <w:t>商提供的或同一个企业的诊断报告不得存在大段雷同内容，诊断分析、诊断结果等要具有针对性，且篇幅不应过短；诊断报告应经被诊断企业和诊断服务机构负责人确认签字并加盖公章；诊断服务机构至少向</w:t>
      </w:r>
      <w:r>
        <w:rPr>
          <w:rFonts w:hint="eastAsia" w:ascii="宋体" w:hAnsi="宋体"/>
          <w:color w:val="auto"/>
          <w:szCs w:val="21"/>
          <w:highlight w:val="none"/>
          <w:lang w:val="en-US" w:eastAsia="zh-CN"/>
        </w:rPr>
        <w:t>项目</w:t>
      </w:r>
      <w:r>
        <w:rPr>
          <w:rFonts w:hint="eastAsia" w:ascii="宋体" w:hAnsi="宋体"/>
          <w:color w:val="auto"/>
          <w:szCs w:val="21"/>
          <w:highlight w:val="none"/>
        </w:rPr>
        <w:t>招标单位、被诊断企业分别提供一份盖章的、完整的纸质报告（含诊断过程性记录材料、满意度调查表等相关附件）供存档。</w:t>
      </w:r>
    </w:p>
    <w:p w14:paraId="358D926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被诊断企业基本情况。企业基本情况包括但不限于所属行业领域、企业规模、主导产品及市场占有率、技术创新、管理模式等情况。</w:t>
      </w:r>
    </w:p>
    <w:p w14:paraId="24E5C46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评估企业精益管理水平。运用精益管理转型成熟度模型、能力成熟度模型等相关评估技术方法、模型，对企业精益发展水平进行评估，需至少选择一种模型进行评估分析；结合现状调研情况，判断企业所处位置，给出企业精益相关评估结果。</w:t>
      </w:r>
    </w:p>
    <w:p w14:paraId="4454062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分析企业精益管理的短板。通过深入企业工厂、车间、产线、工位等一线，了解掌握企业研发、生产、运营、管理、服务等过程中存在的问题和困难，找准关键指标差距。</w:t>
      </w:r>
    </w:p>
    <w:p w14:paraId="62368B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行业标杆对标。至少提供1个可对标的同行业国内精益转型标杆案例，为企业数字化精益转型打开视野，明晰思路。</w:t>
      </w:r>
    </w:p>
    <w:p w14:paraId="6C60629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规划顶层建设方案。针对企业工厂、车间及运营管理的过程中存在的问题，兼顾企业现有能力水平，制定有针对性的精益转型整体方案和优先级建议，提出可落地的实施路线图。</w:t>
      </w:r>
    </w:p>
    <w:p w14:paraId="133DC24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制定具体系统改善方案。重点从现场管理改善和运营管理精益优化等方面，制定可行性的设计方案。</w:t>
      </w:r>
    </w:p>
    <w:p w14:paraId="6750242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诊断报告附件。包括现场诊断服务工作的相关书面记录、日程安排（由参与方共同签字确认）、被诊断企业出具的服务商诊断满意度调查表、诊断图片等。</w:t>
      </w:r>
    </w:p>
    <w:p w14:paraId="432D19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（二）标杆企业建设相关</w:t>
      </w:r>
      <w:r>
        <w:rPr>
          <w:rFonts w:hint="eastAsia" w:ascii="宋体" w:hAnsi="宋体"/>
          <w:color w:val="auto"/>
          <w:szCs w:val="21"/>
          <w:highlight w:val="none"/>
        </w:rPr>
        <w:t>要求：</w:t>
      </w:r>
    </w:p>
    <w:p w14:paraId="7219112A">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标杆企业项目建设方案须符合企业实际情况，围绕企业精益管理标杆建设提升要求编制解决方案，辅导企业在降本、提质、增效、减存、现场5S等方面有明显成效。服务商提供的服务具有针对性，一企一策，服务成效</w:t>
      </w:r>
      <w:r>
        <w:rPr>
          <w:rFonts w:hint="eastAsia" w:ascii="宋体" w:hAnsi="宋体"/>
          <w:color w:val="auto"/>
          <w:szCs w:val="21"/>
          <w:highlight w:val="none"/>
          <w:lang w:val="en-US" w:eastAsia="zh-CN"/>
        </w:rPr>
        <w:t>应</w:t>
      </w:r>
      <w:r>
        <w:rPr>
          <w:rFonts w:hint="default" w:ascii="宋体" w:hAnsi="宋体"/>
          <w:color w:val="auto"/>
          <w:szCs w:val="21"/>
          <w:highlight w:val="none"/>
          <w:lang w:val="en-US" w:eastAsia="zh-CN"/>
        </w:rPr>
        <w:t>经被服务企业负责人确认签字并加盖公章</w:t>
      </w:r>
      <w:r>
        <w:rPr>
          <w:rFonts w:hint="eastAsia" w:ascii="宋体" w:hAnsi="宋体"/>
          <w:color w:val="auto"/>
          <w:szCs w:val="21"/>
          <w:highlight w:val="none"/>
          <w:lang w:val="en-US" w:eastAsia="zh-CN"/>
        </w:rPr>
        <w:t>；项目成果须通过验收，验收标准参照遂昌县《企业管理咨询成果验收标准》</w:t>
      </w:r>
      <w:r>
        <w:rPr>
          <w:rFonts w:hint="default" w:ascii="宋体" w:hAnsi="宋体"/>
          <w:color w:val="auto"/>
          <w:szCs w:val="21"/>
          <w:highlight w:val="none"/>
          <w:lang w:val="en-US" w:eastAsia="zh-CN"/>
        </w:rPr>
        <w:t>；服务机构至少向</w:t>
      </w:r>
      <w:r>
        <w:rPr>
          <w:rFonts w:hint="eastAsia" w:ascii="宋体" w:hAnsi="宋体"/>
          <w:color w:val="auto"/>
          <w:szCs w:val="21"/>
          <w:highlight w:val="none"/>
          <w:lang w:val="en-US" w:eastAsia="zh-CN"/>
        </w:rPr>
        <w:t>项目</w:t>
      </w:r>
      <w:r>
        <w:rPr>
          <w:rFonts w:hint="default" w:ascii="宋体" w:hAnsi="宋体"/>
          <w:color w:val="auto"/>
          <w:szCs w:val="21"/>
          <w:highlight w:val="none"/>
          <w:lang w:val="en-US" w:eastAsia="zh-CN"/>
        </w:rPr>
        <w:t>招标单位、被服务的企业分别提供一份盖章的、完整的纸质成果报告（含过程性记录材料、满意度调查表等相关附件）供存档。</w:t>
      </w:r>
    </w:p>
    <w:p w14:paraId="6856E339">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default" w:ascii="宋体" w:hAnsi="宋体"/>
          <w:color w:val="auto"/>
          <w:szCs w:val="21"/>
          <w:highlight w:val="none"/>
          <w:lang w:val="en-US" w:eastAsia="zh-CN"/>
        </w:rPr>
        <w:t>辅导方案</w:t>
      </w:r>
    </w:p>
    <w:p w14:paraId="15F19EEB">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方案内容：方案详细、内容完善，包括项目实施范围、工作目标、开展思路、进度安排、推进措施。</w:t>
      </w:r>
    </w:p>
    <w:p w14:paraId="46497F76">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可行性：解决方案和推进措施、使用管理工具等科学、合理，符合企业实际，具有可操作性。</w:t>
      </w:r>
    </w:p>
    <w:p w14:paraId="620343BB">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default" w:ascii="宋体" w:hAnsi="宋体"/>
          <w:color w:val="auto"/>
          <w:szCs w:val="21"/>
          <w:highlight w:val="none"/>
          <w:lang w:val="en-US" w:eastAsia="zh-CN"/>
        </w:rPr>
        <w:t>投入资源</w:t>
      </w:r>
    </w:p>
    <w:p w14:paraId="57B0540A">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咨询师资质：根据不同辅导项目针对性安排咨询师，咨询师具备丰富经验，有独立开展咨询能力和成功案例。</w:t>
      </w:r>
    </w:p>
    <w:p w14:paraId="4330D6AD">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投入工时：每月和每次现场辅导时间充足，每周定期与企业联系。</w:t>
      </w:r>
    </w:p>
    <w:p w14:paraId="166CFD9A">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咨询质量：每次驻企能深入企业，给予实质性指导，改善建议、措施可操作性强，及时帮助企业解决执行过程中碰到的问题和困难，监督企业按计划完成改进措施，企业和咨询机构互动良好，辅导符合进度安排，并达到预期目标。</w:t>
      </w:r>
    </w:p>
    <w:p w14:paraId="21999092">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default" w:ascii="宋体" w:hAnsi="宋体"/>
          <w:color w:val="auto"/>
          <w:szCs w:val="21"/>
          <w:highlight w:val="none"/>
          <w:lang w:val="en-US" w:eastAsia="zh-CN"/>
        </w:rPr>
        <w:t>取得效果</w:t>
      </w:r>
    </w:p>
    <w:p w14:paraId="6CDA76F3">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预期效果：帮助解决企业实际问题，根据企业原有状况和方案中的效果预测，结合实际分析，达到预期改善效果。</w:t>
      </w:r>
    </w:p>
    <w:p w14:paraId="77225826">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企业面貌：企业管理状况或企业面貌在原有的基础上有明显改善和提升。</w:t>
      </w:r>
    </w:p>
    <w:p w14:paraId="422FE236">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default" w:ascii="宋体" w:hAnsi="宋体"/>
          <w:color w:val="auto"/>
          <w:szCs w:val="21"/>
          <w:highlight w:val="none"/>
          <w:lang w:val="en-US" w:eastAsia="zh-CN"/>
        </w:rPr>
        <w:t>售后服务</w:t>
      </w:r>
    </w:p>
    <w:p w14:paraId="3613685C">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客情关系：咨询服务期间双方关系和谐融洽，沟通良好，共同推进。</w:t>
      </w:r>
    </w:p>
    <w:p w14:paraId="221A9481">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满意度：企业对咨询机构服务过程及成果等满意。</w:t>
      </w:r>
    </w:p>
    <w:p w14:paraId="2AC8C077">
      <w:pPr>
        <w:adjustRightInd w:val="0"/>
        <w:snapToGrid w:val="0"/>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后续服务：项目结案后，有后续的实施支持与调整维护计划。</w:t>
      </w:r>
    </w:p>
    <w:p w14:paraId="131915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（三）培训服务相关</w:t>
      </w:r>
      <w:r>
        <w:rPr>
          <w:rFonts w:hint="eastAsia" w:ascii="宋体" w:hAnsi="宋体"/>
          <w:color w:val="auto"/>
          <w:szCs w:val="21"/>
          <w:highlight w:val="none"/>
        </w:rPr>
        <w:t>要求：</w:t>
      </w:r>
    </w:p>
    <w:p w14:paraId="0026F27F">
      <w:pPr>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1.生产经理实操培训班</w:t>
      </w:r>
      <w:r>
        <w:rPr>
          <w:rFonts w:hint="default" w:ascii="宋体" w:hAnsi="宋体"/>
          <w:color w:val="auto"/>
          <w:szCs w:val="21"/>
          <w:highlight w:val="none"/>
          <w:lang w:eastAsia="zh-CN"/>
          <w:woUserID w:val="1"/>
        </w:rPr>
        <w:t>1期，</w:t>
      </w:r>
      <w:r>
        <w:rPr>
          <w:rFonts w:hint="eastAsia" w:ascii="宋体" w:hAnsi="宋体"/>
          <w:color w:val="auto"/>
          <w:szCs w:val="21"/>
          <w:highlight w:val="none"/>
          <w:lang w:val="en-US" w:eastAsia="zh-CN"/>
        </w:rPr>
        <w:t>培训规模不少于50人。调研了解培训企业实际需求，为企业讲授具有实操性的方法、工具，指导跟踪学员做好训后改善行动计划，做好培训成果汇总。</w:t>
      </w:r>
    </w:p>
    <w:p w14:paraId="03F6C1FF">
      <w:pPr>
        <w:adjustRightInd w:val="0"/>
        <w:snapToGrid w:val="0"/>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2.企业服务能力提升培训班</w:t>
      </w:r>
      <w:r>
        <w:rPr>
          <w:rFonts w:hint="default" w:ascii="宋体" w:hAnsi="宋体"/>
          <w:color w:val="auto"/>
          <w:szCs w:val="21"/>
          <w:highlight w:val="none"/>
          <w:lang w:eastAsia="zh-CN"/>
          <w:woUserID w:val="1"/>
        </w:rPr>
        <w:t>1期，</w:t>
      </w:r>
      <w:r>
        <w:rPr>
          <w:rFonts w:hint="eastAsia" w:ascii="宋体" w:hAnsi="宋体"/>
          <w:color w:val="auto"/>
          <w:szCs w:val="21"/>
          <w:highlight w:val="none"/>
          <w:lang w:val="en-US" w:eastAsia="zh-CN"/>
        </w:rPr>
        <w:t>培训规模不少于50人。对涉企业服务人员开展能力提升培训，为学员提供服务企业的专业化课程，同时做好训后跟踪指导。</w:t>
      </w:r>
    </w:p>
    <w:p w14:paraId="23FB1767">
      <w:pPr>
        <w:adjustRightInd w:val="0"/>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进度</w:t>
      </w:r>
      <w:r>
        <w:rPr>
          <w:rFonts w:ascii="宋体" w:hAnsi="宋体"/>
          <w:b/>
          <w:color w:val="auto"/>
          <w:szCs w:val="21"/>
          <w:highlight w:val="none"/>
        </w:rPr>
        <w:t>计划</w:t>
      </w:r>
      <w:r>
        <w:rPr>
          <w:rFonts w:hint="eastAsia" w:ascii="宋体" w:hAnsi="宋体"/>
          <w:b/>
          <w:color w:val="auto"/>
          <w:szCs w:val="21"/>
          <w:highlight w:val="none"/>
        </w:rPr>
        <w:t>：202</w:t>
      </w:r>
      <w:r>
        <w:rPr>
          <w:rFonts w:hint="eastAsia" w:ascii="宋体" w:hAnsi="宋体"/>
          <w:b/>
          <w:color w:val="auto"/>
          <w:szCs w:val="21"/>
          <w:highlight w:val="none"/>
          <w:lang w:val="en-US" w:eastAsia="zh-CN"/>
        </w:rPr>
        <w:t>5</w:t>
      </w:r>
      <w:r>
        <w:rPr>
          <w:rFonts w:hint="eastAsia" w:ascii="宋体" w:hAnsi="宋体"/>
          <w:b/>
          <w:color w:val="auto"/>
          <w:szCs w:val="21"/>
          <w:highlight w:val="none"/>
        </w:rPr>
        <w:t>年</w:t>
      </w:r>
      <w:r>
        <w:rPr>
          <w:rFonts w:hint="eastAsia" w:ascii="宋体" w:hAnsi="宋体"/>
          <w:b/>
          <w:color w:val="auto"/>
          <w:szCs w:val="21"/>
          <w:highlight w:val="none"/>
          <w:lang w:val="en-US" w:eastAsia="zh-CN"/>
        </w:rPr>
        <w:t>11</w:t>
      </w:r>
      <w:r>
        <w:rPr>
          <w:rFonts w:hint="eastAsia" w:ascii="宋体" w:hAnsi="宋体"/>
          <w:b/>
          <w:color w:val="auto"/>
          <w:szCs w:val="21"/>
          <w:highlight w:val="none"/>
        </w:rPr>
        <w:t>月30日前全部完成。</w:t>
      </w:r>
    </w:p>
    <w:p w14:paraId="134ED1C1">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四、人员要求</w:t>
      </w:r>
    </w:p>
    <w:p w14:paraId="59318F0D">
      <w:pPr>
        <w:adjustRightInd w:val="0"/>
        <w:snapToGrid w:val="0"/>
        <w:spacing w:line="360" w:lineRule="auto"/>
        <w:ind w:firstLine="420" w:firstLineChars="200"/>
        <w:rPr>
          <w:rFonts w:ascii="宋体" w:hAnsi="宋体"/>
          <w:color w:val="auto"/>
          <w:sz w:val="24"/>
          <w:szCs w:val="21"/>
          <w:highlight w:val="none"/>
        </w:rPr>
      </w:pPr>
      <w:r>
        <w:rPr>
          <w:rFonts w:hint="eastAsia" w:ascii="宋体" w:hAnsi="宋体"/>
          <w:color w:val="auto"/>
          <w:szCs w:val="21"/>
          <w:highlight w:val="none"/>
        </w:rPr>
        <w:t>本项目</w:t>
      </w:r>
      <w:r>
        <w:rPr>
          <w:rFonts w:ascii="宋体" w:hAnsi="宋体"/>
          <w:color w:val="auto"/>
          <w:szCs w:val="21"/>
          <w:highlight w:val="none"/>
        </w:rPr>
        <w:t>要求配置项目负责人</w:t>
      </w:r>
      <w:r>
        <w:rPr>
          <w:rFonts w:hint="eastAsia" w:ascii="宋体" w:hAnsi="宋体"/>
          <w:color w:val="auto"/>
          <w:szCs w:val="21"/>
          <w:highlight w:val="none"/>
        </w:rPr>
        <w:t>以及</w:t>
      </w:r>
      <w:r>
        <w:rPr>
          <w:rFonts w:ascii="宋体" w:hAnsi="宋体"/>
          <w:color w:val="auto"/>
          <w:szCs w:val="21"/>
          <w:highlight w:val="none"/>
        </w:rPr>
        <w:t>项目团队人员，</w:t>
      </w:r>
      <w:r>
        <w:rPr>
          <w:rFonts w:hint="eastAsia" w:ascii="宋体" w:hAnsi="宋体"/>
          <w:color w:val="auto"/>
          <w:szCs w:val="21"/>
          <w:highlight w:val="none"/>
        </w:rPr>
        <w:t>具有相关领域方面</w:t>
      </w:r>
      <w:r>
        <w:rPr>
          <w:rFonts w:ascii="宋体" w:hAnsi="宋体"/>
          <w:color w:val="auto"/>
          <w:szCs w:val="21"/>
          <w:highlight w:val="none"/>
        </w:rPr>
        <w:t>经验，确保</w:t>
      </w:r>
      <w:r>
        <w:rPr>
          <w:rFonts w:hint="eastAsia" w:ascii="宋体" w:hAnsi="宋体"/>
          <w:color w:val="auto"/>
          <w:szCs w:val="21"/>
          <w:highlight w:val="none"/>
        </w:rPr>
        <w:t>完成</w:t>
      </w:r>
      <w:r>
        <w:rPr>
          <w:rFonts w:ascii="宋体" w:hAnsi="宋体"/>
          <w:color w:val="auto"/>
          <w:szCs w:val="21"/>
          <w:highlight w:val="none"/>
        </w:rPr>
        <w:t>本项目。</w:t>
      </w:r>
    </w:p>
    <w:p w14:paraId="129042BC">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五、项目</w:t>
      </w:r>
      <w:r>
        <w:rPr>
          <w:rFonts w:ascii="宋体" w:hAnsi="宋体"/>
          <w:b/>
          <w:color w:val="auto"/>
          <w:szCs w:val="21"/>
          <w:highlight w:val="none"/>
        </w:rPr>
        <w:t>验收</w:t>
      </w:r>
    </w:p>
    <w:p w14:paraId="1224F38D">
      <w:pPr>
        <w:adjustRightInd w:val="0"/>
        <w:snapToGrid w:val="0"/>
        <w:spacing w:line="360" w:lineRule="auto"/>
        <w:ind w:firstLine="420" w:firstLineChars="200"/>
        <w:rPr>
          <w:rFonts w:ascii="宋体" w:hAnsi="宋体"/>
          <w:color w:val="auto"/>
          <w:szCs w:val="21"/>
          <w:highlight w:val="none"/>
        </w:rPr>
      </w:pPr>
      <w:bookmarkStart w:id="164" w:name="_Toc421694065"/>
      <w:bookmarkStart w:id="165" w:name="_Toc445899265"/>
      <w:r>
        <w:rPr>
          <w:rFonts w:ascii="宋体" w:hAnsi="宋体"/>
          <w:color w:val="auto"/>
          <w:szCs w:val="21"/>
          <w:highlight w:val="none"/>
        </w:rPr>
        <w:t>1</w:t>
      </w:r>
      <w:r>
        <w:rPr>
          <w:rFonts w:hint="eastAsia" w:ascii="宋体" w:hAnsi="宋体"/>
          <w:color w:val="auto"/>
          <w:szCs w:val="21"/>
          <w:highlight w:val="none"/>
        </w:rPr>
        <w:t>、由采购人组织相关专家进行联合评审方能通过项目验收；</w:t>
      </w:r>
    </w:p>
    <w:p w14:paraId="5E36B2D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2、服务机构需提供规范的服务流程记录文档（照片、会议纪要等）；</w:t>
      </w:r>
    </w:p>
    <w:p w14:paraId="422F1D2F">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提供服务企业的</w:t>
      </w:r>
      <w:r>
        <w:rPr>
          <w:rFonts w:hint="eastAsia" w:ascii="宋体" w:hAnsi="宋体"/>
          <w:color w:val="auto"/>
          <w:szCs w:val="21"/>
          <w:highlight w:val="none"/>
        </w:rPr>
        <w:t>诊断报告书、实战班台账资料及成果汇总；</w:t>
      </w:r>
    </w:p>
    <w:p w14:paraId="51CE3B1F">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、工作方式</w:t>
      </w:r>
      <w:bookmarkEnd w:id="164"/>
      <w:bookmarkEnd w:id="165"/>
      <w:bookmarkStart w:id="166" w:name="_Toc123782314"/>
      <w:bookmarkStart w:id="167" w:name="_Toc132969331"/>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对项目的技术服务、进度等负责，并接受采购人委托的第三方监督管理，采购人及企业积极配合</w:t>
      </w:r>
      <w:bookmarkEnd w:id="166"/>
      <w:bookmarkEnd w:id="167"/>
      <w:r>
        <w:rPr>
          <w:rFonts w:hint="eastAsia" w:ascii="宋体" w:hAnsi="宋体"/>
          <w:color w:val="auto"/>
          <w:szCs w:val="21"/>
          <w:highlight w:val="none"/>
        </w:rPr>
        <w:t>。</w:t>
      </w:r>
    </w:p>
    <w:p w14:paraId="3ABE1A96">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其他要求</w:t>
      </w:r>
    </w:p>
    <w:p w14:paraId="47F4E3B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1、须与被服务企业签订保密协议，对各类文档、资料、数据及相关信息承担保密责任，并承诺未经被服务企业书面许可，不得对外泄露。</w:t>
      </w:r>
    </w:p>
    <w:p w14:paraId="14550A95">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、制定</w:t>
      </w:r>
      <w:r>
        <w:rPr>
          <w:rFonts w:ascii="宋体" w:hAnsi="宋体"/>
          <w:color w:val="auto"/>
          <w:szCs w:val="21"/>
          <w:highlight w:val="none"/>
        </w:rPr>
        <w:t>合理的项目实施计划，</w:t>
      </w:r>
      <w:r>
        <w:rPr>
          <w:rFonts w:hint="eastAsia" w:ascii="宋体" w:hAnsi="宋体"/>
          <w:color w:val="auto"/>
          <w:szCs w:val="21"/>
          <w:highlight w:val="none"/>
        </w:rPr>
        <w:t>配备人员数量应满足项目需要，不得因为职责和</w:t>
      </w:r>
      <w:r>
        <w:rPr>
          <w:rFonts w:ascii="宋体" w:hAnsi="宋体"/>
          <w:color w:val="auto"/>
          <w:szCs w:val="21"/>
          <w:highlight w:val="none"/>
        </w:rPr>
        <w:t>时间</w:t>
      </w:r>
      <w:r>
        <w:rPr>
          <w:rFonts w:hint="eastAsia" w:ascii="宋体" w:hAnsi="宋体"/>
          <w:color w:val="auto"/>
          <w:szCs w:val="21"/>
          <w:highlight w:val="none"/>
        </w:rPr>
        <w:t>交叉影响项目的完成进度。</w:t>
      </w:r>
    </w:p>
    <w:p w14:paraId="655487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3、明确提出为完成项目需要被服务企业提供的保障条件，包括工作环境要求、配合技术人员要求等。</w:t>
      </w:r>
    </w:p>
    <w:p w14:paraId="60C057E7">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lang w:val="en-US" w:eastAsia="zh-CN"/>
        </w:rPr>
        <w:t>七</w:t>
      </w:r>
      <w:r>
        <w:rPr>
          <w:rFonts w:ascii="宋体" w:hAnsi="宋体"/>
          <w:b/>
          <w:color w:val="auto"/>
          <w:szCs w:val="21"/>
          <w:highlight w:val="none"/>
        </w:rPr>
        <w:t>、付款要求</w:t>
      </w:r>
    </w:p>
    <w:p w14:paraId="5E2701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000000" w:themeColor="text1"/>
          <w:szCs w:val="21"/>
          <w:highlight w:val="none"/>
          <w:lang w:eastAsia="zh-CN"/>
          <w14:textFill>
            <w14:solidFill>
              <w14:schemeClr w14:val="tx1"/>
            </w14:solidFill>
          </w14:textFill>
        </w:rPr>
        <w:t>合同生效</w:t>
      </w:r>
      <w:r>
        <w:rPr>
          <w:rFonts w:hint="eastAsia" w:ascii="宋体" w:hAnsi="宋体" w:eastAsia="宋体" w:cs="Times New Roman"/>
          <w:color w:val="000000" w:themeColor="text1"/>
          <w:szCs w:val="21"/>
          <w:highlight w:val="none"/>
          <w:lang w:val="en-US" w:eastAsia="zh-CN"/>
          <w14:textFill>
            <w14:solidFill>
              <w14:schemeClr w14:val="tx1"/>
            </w14:solidFill>
          </w14:textFill>
        </w:rPr>
        <w:t>并</w:t>
      </w:r>
      <w:r>
        <w:rPr>
          <w:rFonts w:hint="eastAsia" w:ascii="宋体" w:hAnsi="宋体" w:eastAsia="宋体" w:cs="Times New Roman"/>
          <w:color w:val="000000" w:themeColor="text1"/>
          <w:szCs w:val="21"/>
          <w:highlight w:val="none"/>
          <w:lang w:eastAsia="zh-CN"/>
          <w14:textFill>
            <w14:solidFill>
              <w14:schemeClr w14:val="tx1"/>
            </w14:solidFill>
          </w14:textFill>
        </w:rPr>
        <w:t>具备实施条件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7个工作日内支付合同价的70%作为预付款，项目服务完成并验收合格收到正式发票后支付合同价的30%</w:t>
      </w:r>
      <w:r>
        <w:rPr>
          <w:rFonts w:hint="eastAsia" w:ascii="宋体" w:hAnsi="宋体" w:eastAsia="宋体" w:cs="宋体"/>
          <w:color w:val="auto"/>
          <w:szCs w:val="21"/>
          <w:highlight w:val="none"/>
        </w:rPr>
        <w:t>。</w:t>
      </w:r>
    </w:p>
    <w:p w14:paraId="5EB979D4">
      <w:pPr>
        <w:spacing w:line="360" w:lineRule="auto"/>
        <w:ind w:firstLine="422" w:firstLineChars="200"/>
        <w:rPr>
          <w:rFonts w:hint="eastAsia" w:ascii="宋体" w:hAnsi="宋体" w:eastAsia="宋体" w:cs="宋体"/>
          <w:b/>
          <w:bCs/>
          <w:color w:val="auto"/>
          <w:szCs w:val="21"/>
          <w:highlight w:val="none"/>
        </w:rPr>
      </w:pPr>
    </w:p>
    <w:p w14:paraId="0E586952">
      <w:pPr>
        <w:pStyle w:val="16"/>
        <w:spacing w:before="156" w:beforeLines="50" w:after="156" w:afterLines="50" w:line="360" w:lineRule="auto"/>
        <w:jc w:val="center"/>
        <w:outlineLvl w:val="0"/>
        <w:rPr>
          <w:rFonts w:hint="eastAsia" w:ascii="宋体" w:hAnsi="宋体" w:eastAsia="宋体" w:cs="宋体"/>
          <w:b/>
          <w:color w:val="auto"/>
          <w:sz w:val="32"/>
          <w:szCs w:val="32"/>
          <w:highlight w:val="none"/>
        </w:rPr>
      </w:pPr>
    </w:p>
    <w:p w14:paraId="60D8EB6A">
      <w:pPr>
        <w:pStyle w:val="16"/>
        <w:spacing w:before="156" w:beforeLines="50" w:after="156" w:afterLines="50" w:line="360" w:lineRule="auto"/>
        <w:jc w:val="center"/>
        <w:outlineLvl w:val="0"/>
        <w:rPr>
          <w:rFonts w:hint="eastAsia" w:ascii="宋体" w:hAnsi="宋体" w:eastAsia="宋体" w:cs="宋体"/>
          <w:b/>
          <w:color w:val="auto"/>
          <w:sz w:val="32"/>
          <w:szCs w:val="32"/>
          <w:highlight w:val="none"/>
        </w:rPr>
      </w:pPr>
      <w:bookmarkStart w:id="168" w:name="_Toc710"/>
      <w:bookmarkStart w:id="169" w:name="_Toc9383"/>
      <w:bookmarkStart w:id="170" w:name="_Toc1460"/>
      <w:bookmarkStart w:id="171" w:name="_Toc6777"/>
      <w:bookmarkStart w:id="172" w:name="_Toc30710"/>
      <w:bookmarkStart w:id="173" w:name="_Toc13650"/>
      <w:bookmarkStart w:id="174" w:name="_Toc29753"/>
    </w:p>
    <w:p w14:paraId="2F7C6E62">
      <w:pPr>
        <w:pStyle w:val="16"/>
        <w:spacing w:before="156" w:beforeLines="50" w:after="156" w:afterLines="50" w:line="360" w:lineRule="auto"/>
        <w:jc w:val="center"/>
        <w:outlineLvl w:val="0"/>
        <w:rPr>
          <w:rFonts w:hint="eastAsia" w:ascii="宋体" w:hAnsi="宋体" w:eastAsia="宋体" w:cs="宋体"/>
          <w:b/>
          <w:color w:val="auto"/>
          <w:sz w:val="32"/>
          <w:szCs w:val="32"/>
          <w:highlight w:val="none"/>
        </w:rPr>
      </w:pPr>
    </w:p>
    <w:p w14:paraId="779A0B76">
      <w:pPr>
        <w:pStyle w:val="16"/>
        <w:spacing w:before="156" w:beforeLines="50" w:after="156" w:afterLines="50"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第四章 </w:t>
      </w:r>
      <w:r>
        <w:rPr>
          <w:rFonts w:hint="eastAsia" w:hAnsi="宋体" w:cs="宋体"/>
          <w:b/>
          <w:color w:val="auto"/>
          <w:sz w:val="32"/>
          <w:szCs w:val="32"/>
          <w:highlight w:val="none"/>
          <w:lang w:eastAsia="zh-CN"/>
        </w:rPr>
        <w:t>南湖区-遂昌县制造业高质量发展结对促共富经营管理赋能服务项目</w:t>
      </w:r>
      <w:r>
        <w:rPr>
          <w:rFonts w:hint="eastAsia" w:ascii="宋体" w:hAnsi="宋体" w:eastAsia="宋体" w:cs="宋体"/>
          <w:b/>
          <w:color w:val="auto"/>
          <w:sz w:val="32"/>
          <w:szCs w:val="32"/>
          <w:highlight w:val="none"/>
        </w:rPr>
        <w:t>政府采购合同</w:t>
      </w:r>
      <w:bookmarkEnd w:id="163"/>
      <w:bookmarkEnd w:id="168"/>
      <w:bookmarkEnd w:id="169"/>
      <w:bookmarkEnd w:id="170"/>
      <w:bookmarkEnd w:id="171"/>
      <w:bookmarkEnd w:id="172"/>
      <w:bookmarkEnd w:id="173"/>
      <w:bookmarkEnd w:id="174"/>
    </w:p>
    <w:p w14:paraId="7F990DE3">
      <w:pPr>
        <w:numPr>
          <w:ilvl w:val="0"/>
          <w:numId w:val="4"/>
        </w:numPr>
        <w:spacing w:before="156" w:beforeLines="50" w:after="156" w:afterLines="50"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通用必备条款部分</w:t>
      </w:r>
    </w:p>
    <w:p w14:paraId="71CFF391">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合同编号：明扬代（2024）第</w:t>
      </w:r>
      <w:r>
        <w:rPr>
          <w:rFonts w:hint="eastAsia" w:ascii="宋体" w:hAnsi="宋体" w:cs="宋体"/>
          <w:b/>
          <w:color w:val="auto"/>
          <w:szCs w:val="21"/>
          <w:highlight w:val="none"/>
          <w:lang w:eastAsia="zh-CN"/>
        </w:rPr>
        <w:t>04</w:t>
      </w:r>
      <w:r>
        <w:rPr>
          <w:rFonts w:hint="eastAsia" w:ascii="宋体" w:hAnsi="宋体" w:cs="宋体"/>
          <w:b/>
          <w:color w:val="auto"/>
          <w:szCs w:val="21"/>
          <w:highlight w:val="none"/>
          <w:lang w:val="en-US" w:eastAsia="zh-CN"/>
        </w:rPr>
        <w:t>4</w:t>
      </w:r>
      <w:r>
        <w:rPr>
          <w:rFonts w:hint="eastAsia" w:ascii="宋体" w:hAnsi="宋体" w:eastAsia="宋体" w:cs="宋体"/>
          <w:b/>
          <w:color w:val="auto"/>
          <w:szCs w:val="21"/>
          <w:highlight w:val="none"/>
        </w:rPr>
        <w:t>号</w:t>
      </w:r>
    </w:p>
    <w:p w14:paraId="2C70C6DE">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政府采购计划（预算）确认号：</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"https://pay.zcygov.cn/purchaseplan_front/" \l "/plan/list/view?id=1000000000011340968" \t "https://www.zcygov.cn/delegation-order/_procurement_/order/orderInfo/detail/_blank"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[2024]</w:t>
      </w:r>
      <w:r>
        <w:rPr>
          <w:rFonts w:hint="eastAsia" w:ascii="宋体" w:hAnsi="宋体" w:cs="宋体"/>
          <w:color w:val="auto"/>
          <w:szCs w:val="21"/>
          <w:highlight w:val="none"/>
          <w:lang w:val="en-US" w:eastAsia="zh-CN"/>
        </w:rPr>
        <w:t>3427</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rPr>
        <w:fldChar w:fldCharType="end"/>
      </w:r>
    </w:p>
    <w:p w14:paraId="4A1CC8AF">
      <w:pPr>
        <w:pStyle w:val="16"/>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w:t>
      </w:r>
      <w:r>
        <w:rPr>
          <w:rFonts w:hint="eastAsia" w:hAnsi="宋体" w:cs="宋体"/>
          <w:color w:val="auto"/>
          <w:szCs w:val="21"/>
          <w:highlight w:val="none"/>
          <w:lang w:val="en-US" w:eastAsia="zh-CN"/>
        </w:rPr>
        <w:t>12</w:t>
      </w:r>
      <w:r>
        <w:rPr>
          <w:rFonts w:hint="eastAsia" w:hAnsi="宋体" w:cs="宋体"/>
          <w:color w:val="auto"/>
          <w:szCs w:val="21"/>
          <w:highlight w:val="none"/>
          <w:lang w:eastAsia="zh-CN"/>
        </w:rPr>
        <w:t>0万元</w:t>
      </w:r>
    </w:p>
    <w:p w14:paraId="0EF14FD0">
      <w:pPr>
        <w:pStyle w:val="16"/>
        <w:snapToGrid w:val="0"/>
        <w:spacing w:line="40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项目编号：</w:t>
      </w:r>
      <w:r>
        <w:rPr>
          <w:rFonts w:hint="eastAsia" w:hAnsi="宋体" w:cs="宋体"/>
          <w:color w:val="auto"/>
          <w:kern w:val="0"/>
          <w:szCs w:val="21"/>
          <w:highlight w:val="none"/>
          <w:lang w:eastAsia="zh-CN"/>
        </w:rPr>
        <w:t>JXMYZFCG-2024-044</w:t>
      </w:r>
    </w:p>
    <w:p w14:paraId="456797AB">
      <w:pPr>
        <w:pStyle w:val="16"/>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hAnsi="宋体" w:cs="宋体"/>
          <w:color w:val="auto"/>
          <w:szCs w:val="21"/>
          <w:highlight w:val="none"/>
          <w:lang w:val="zh-CN"/>
        </w:rPr>
        <w:t>南湖区-遂昌县制造业高质量发展结对促共富经营管理赋能服务项目</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rPr>
        <w:t xml:space="preserve">            </w:t>
      </w:r>
    </w:p>
    <w:p w14:paraId="58A3786D">
      <w:pPr>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采购人（以下称甲方）：</w:t>
      </w:r>
      <w:r>
        <w:rPr>
          <w:rFonts w:hint="eastAsia" w:ascii="宋体" w:hAnsi="宋体" w:eastAsia="宋体" w:cs="宋体"/>
          <w:color w:val="auto"/>
          <w:szCs w:val="21"/>
          <w:highlight w:val="none"/>
          <w:u w:val="single"/>
        </w:rPr>
        <w:t xml:space="preserve">  嘉兴市南湖区经济信息商务局    </w:t>
      </w:r>
    </w:p>
    <w:p w14:paraId="072C3F68">
      <w:pPr>
        <w:spacing w:line="40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供应商（以下称乙方）：</w:t>
      </w:r>
      <w:r>
        <w:rPr>
          <w:rFonts w:hint="eastAsia" w:ascii="宋体" w:hAnsi="宋体" w:eastAsia="宋体" w:cs="宋体"/>
          <w:color w:val="auto"/>
          <w:szCs w:val="21"/>
          <w:highlight w:val="none"/>
          <w:u w:val="single"/>
        </w:rPr>
        <w:t xml:space="preserve">                         </w:t>
      </w:r>
    </w:p>
    <w:p w14:paraId="6501CA7C">
      <w:pPr>
        <w:pStyle w:val="16"/>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代理机构（以下称丙方）：</w:t>
      </w:r>
      <w:r>
        <w:rPr>
          <w:rFonts w:hint="eastAsia" w:ascii="宋体" w:hAnsi="宋体" w:eastAsia="宋体" w:cs="宋体"/>
          <w:color w:val="auto"/>
          <w:szCs w:val="21"/>
          <w:highlight w:val="none"/>
          <w:u w:val="single"/>
        </w:rPr>
        <w:t>嘉兴市明扬工程咨询有限公司</w:t>
      </w:r>
      <w:r>
        <w:rPr>
          <w:rFonts w:hint="eastAsia" w:ascii="宋体" w:hAnsi="宋体" w:eastAsia="宋体" w:cs="宋体"/>
          <w:color w:val="auto"/>
          <w:szCs w:val="21"/>
          <w:highlight w:val="none"/>
        </w:rPr>
        <w:t xml:space="preserve">   </w:t>
      </w:r>
    </w:p>
    <w:p w14:paraId="22005447">
      <w:pPr>
        <w:pStyle w:val="16"/>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采购方式：竞争性磋商</w:t>
      </w:r>
    </w:p>
    <w:p w14:paraId="308D51B9">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根据《中华人民共和国政府采购法》、《中华人民共和国民法典》等法律法规的规定，甲乙双方按照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项目采购结果签订本合同。</w:t>
      </w:r>
    </w:p>
    <w:p w14:paraId="212B9B20">
      <w:p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第一条 合同组成</w:t>
      </w:r>
    </w:p>
    <w:p w14:paraId="29D64DE7">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本次政府采购活动的相关文件为本合同的组成部分，这些文件包括但不限于：</w:t>
      </w:r>
    </w:p>
    <w:p w14:paraId="0A573CE5">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（1）本合同文本；</w:t>
      </w:r>
    </w:p>
    <w:p w14:paraId="5E9B79E4">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（2）竞争性磋商文件与磋商响应文件；</w:t>
      </w:r>
    </w:p>
    <w:p w14:paraId="5A30DD74">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（3）成交通知书；</w:t>
      </w:r>
    </w:p>
    <w:p w14:paraId="3BA7A646">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组成本合同的所有文件必须为书面形式。政府采购合同备案时，须提供以上（1）、（3）两项，如由社会中介机构代理，须提供代理协议，合同如有变更的，须提供变更协议。</w:t>
      </w:r>
    </w:p>
    <w:p w14:paraId="01DCBC9B">
      <w:p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第二条 合同标的与相关属性</w:t>
      </w:r>
    </w:p>
    <w:p w14:paraId="02B612CE">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1、本次采购的是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851904">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2、乙方是否属于中小微企业：□是  □否</w:t>
      </w:r>
    </w:p>
    <w:p w14:paraId="27BEAF43">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3、本合同项下产品属于（可多选）：□环保产品；□节能产品；□进口产品</w:t>
      </w:r>
    </w:p>
    <w:p w14:paraId="5C5281C4">
      <w:p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第三条 合同价款</w:t>
      </w:r>
    </w:p>
    <w:p w14:paraId="2755C37F">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1、本合同项下总价款为（大写）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人民币，分项价款见“价格清单”（如有）”。</w:t>
      </w:r>
    </w:p>
    <w:p w14:paraId="459A162F">
      <w:pPr>
        <w:pStyle w:val="16"/>
        <w:spacing w:line="400" w:lineRule="exact"/>
        <w:ind w:firstLine="4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本合同总价款包括提供正常服务所必需的人员工资、奖金、加班费、设备和设施费、管理费、税费、利润、完成合同所需的一切本身和不可或缺的所有工作开支、政策性文件规定及合同包含的所有风险、责任等各项全部费用。</w:t>
      </w:r>
    </w:p>
    <w:p w14:paraId="22470ECA">
      <w:pPr>
        <w:spacing w:line="400" w:lineRule="exact"/>
        <w:ind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3、本合同付款方式为以下第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w:t>
      </w:r>
    </w:p>
    <w:p w14:paraId="3A1C1863">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（1）本合同项下的采购资金系甲方自行支付，付款程序为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5E143EB">
      <w:pPr>
        <w:adjustRightIn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（2）本合同项下的采购资金须财政直接支付，付款程序为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A8AB434">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（3）其他方式：</w:t>
      </w:r>
    </w:p>
    <w:p w14:paraId="235AFDE3">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4、本合同项下的采购资金付款进度按招投标文件规定，未规定时按以下第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项支付：</w:t>
      </w:r>
    </w:p>
    <w:p w14:paraId="7DE4E038">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（1）一次性付款：乙方合同履行达到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（条件）时，一次性付款；</w:t>
      </w:r>
    </w:p>
    <w:p w14:paraId="2B635C17">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（2）分期付款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时支付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时支付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时支付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5165F39">
      <w:p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第四条 履约保证金</w:t>
      </w:r>
    </w:p>
    <w:p w14:paraId="4F9C2E83">
      <w:pPr>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按以下第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项处理：</w:t>
      </w:r>
    </w:p>
    <w:p w14:paraId="58793A0B">
      <w:pPr>
        <w:pStyle w:val="65"/>
        <w:snapToGrid w:val="0"/>
        <w:spacing w:line="400" w:lineRule="exact"/>
        <w:jc w:val="left"/>
        <w:rPr>
          <w:rFonts w:hint="eastAsia" w:ascii="宋体" w:hAnsi="宋体" w:eastAsia="宋体" w:cs="宋体"/>
          <w:color w:val="auto"/>
          <w:kern w:val="2"/>
          <w:szCs w:val="24"/>
          <w:highlight w:val="none"/>
          <w:lang w:eastAsia="zh-CN"/>
        </w:rPr>
      </w:pPr>
      <w:r>
        <w:rPr>
          <w:rFonts w:hint="eastAsia" w:ascii="宋体" w:hAnsi="宋体" w:eastAsia="宋体" w:cs="宋体"/>
          <w:color w:val="auto"/>
          <w:highlight w:val="none"/>
        </w:rPr>
        <w:t xml:space="preserve">    1、</w:t>
      </w:r>
      <w:r>
        <w:rPr>
          <w:rFonts w:hint="eastAsia" w:ascii="宋体" w:hAnsi="宋体" w:eastAsia="宋体" w:cs="宋体"/>
          <w:color w:val="auto"/>
          <w:kern w:val="2"/>
          <w:szCs w:val="24"/>
          <w:highlight w:val="none"/>
        </w:rPr>
        <w:t>本项目设置履约保证金，乙方应于</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（时间）向甲方提交履约保证金</w:t>
      </w:r>
      <w:r>
        <w:rPr>
          <w:rFonts w:hint="eastAsia" w:ascii="宋体" w:hAnsi="宋体" w:eastAsia="宋体" w:cs="宋体"/>
          <w:color w:val="auto"/>
          <w:kern w:val="2"/>
          <w:szCs w:val="24"/>
          <w:highlight w:val="none"/>
          <w:u w:val="single"/>
        </w:rPr>
        <w:t xml:space="preserve">          </w:t>
      </w:r>
      <w:r>
        <w:rPr>
          <w:rFonts w:hint="eastAsia" w:ascii="宋体" w:hAnsi="宋体" w:eastAsia="宋体" w:cs="宋体"/>
          <w:color w:val="auto"/>
          <w:kern w:val="2"/>
          <w:szCs w:val="24"/>
          <w:highlight w:val="none"/>
        </w:rPr>
        <w:t>元。</w:t>
      </w:r>
      <w:r>
        <w:rPr>
          <w:rFonts w:hint="eastAsia" w:ascii="宋体" w:hAnsi="宋体" w:eastAsia="宋体" w:cs="宋体"/>
          <w:color w:val="auto"/>
          <w:szCs w:val="28"/>
          <w:highlight w:val="none"/>
        </w:rPr>
        <w:t>履约保证金在</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退还乙方</w:t>
      </w:r>
      <w:r>
        <w:rPr>
          <w:rFonts w:hint="eastAsia" w:ascii="宋体" w:hAnsi="宋体" w:eastAsia="宋体" w:cs="宋体"/>
          <w:color w:val="auto"/>
          <w:kern w:val="2"/>
          <w:szCs w:val="24"/>
          <w:highlight w:val="none"/>
        </w:rPr>
        <w:t>。</w:t>
      </w:r>
    </w:p>
    <w:p w14:paraId="52B627D2">
      <w:pPr>
        <w:pStyle w:val="65"/>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kern w:val="2"/>
          <w:szCs w:val="24"/>
          <w:highlight w:val="none"/>
        </w:rPr>
        <w:t xml:space="preserve">    2、本项目不设置履约保证金。</w:t>
      </w:r>
    </w:p>
    <w:p w14:paraId="096FA751">
      <w:p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第五条 合同的变更和终止</w:t>
      </w:r>
    </w:p>
    <w:p w14:paraId="2FE44133">
      <w:pPr>
        <w:spacing w:line="400" w:lineRule="exact"/>
        <w:jc w:val="left"/>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 xml:space="preserve">    除《政府采购法》第49条、第50条第二款规定的情形外，本合同一经签订，甲乙双方不得擅自终止合同或对合同实质性条款进行变更。确有特殊情况的，须经同级财政部门备案同意。</w:t>
      </w:r>
    </w:p>
    <w:p w14:paraId="1AF64500">
      <w:p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第六条 合同的转让与分包</w:t>
      </w:r>
    </w:p>
    <w:p w14:paraId="52D68436">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乙方不得擅自部分或全部转让其应履行的合同义务。乙方分包的，应经过甲方书面同意。</w:t>
      </w:r>
    </w:p>
    <w:p w14:paraId="33E37EF5">
      <w:pPr>
        <w:numPr>
          <w:ilvl w:val="0"/>
          <w:numId w:val="5"/>
        </w:num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争议的解决</w:t>
      </w:r>
    </w:p>
    <w:p w14:paraId="7AA4B99E">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1、因履行本合同引起的或与本合同有关的争议，甲、乙双方应首先通过友好协商解决，如果协商不能解决争议，则采取以下第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种方式解决争议：</w:t>
      </w:r>
    </w:p>
    <w:p w14:paraId="0A674144">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（1）向甲方所在地人民法院提起诉讼；</w:t>
      </w:r>
    </w:p>
    <w:p w14:paraId="27DFA05E">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仲裁委员申请仲裁。 </w:t>
      </w:r>
    </w:p>
    <w:p w14:paraId="26FA4DB1">
      <w:pPr>
        <w:numPr>
          <w:ilvl w:val="0"/>
          <w:numId w:val="5"/>
        </w:numPr>
        <w:spacing w:line="400" w:lineRule="exact"/>
        <w:jc w:val="left"/>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合同备案及其他</w:t>
      </w:r>
    </w:p>
    <w:p w14:paraId="3A81C4C8">
      <w:pPr>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本合同一式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份，甲乙双方各执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份，1份报送政府采购监督管理部门备案，其余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438403D">
      <w:pPr>
        <w:spacing w:line="40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二、特殊专用条款部分</w:t>
      </w:r>
    </w:p>
    <w:p w14:paraId="341EF8C4">
      <w:pPr>
        <w:pStyle w:val="93"/>
        <w:spacing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第一条 项目概况</w:t>
      </w:r>
    </w:p>
    <w:p w14:paraId="5280DE6E">
      <w:pPr>
        <w:pStyle w:val="93"/>
        <w:spacing w:line="400" w:lineRule="exact"/>
        <w:ind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szCs w:val="21"/>
          <w:highlight w:val="none"/>
          <w:lang w:val="zh-CN"/>
        </w:rPr>
        <w:t>1.1 项目名称：</w:t>
      </w:r>
      <w:r>
        <w:rPr>
          <w:rFonts w:hint="eastAsia" w:ascii="宋体" w:hAnsi="宋体" w:cs="宋体"/>
          <w:color w:val="auto"/>
          <w:highlight w:val="none"/>
          <w:lang w:eastAsia="zh-CN"/>
        </w:rPr>
        <w:t>南湖区-遂昌县制造业高质量发展结对促共富经营管理赋能服务项目</w:t>
      </w:r>
    </w:p>
    <w:p w14:paraId="428AF1F6">
      <w:pPr>
        <w:pStyle w:val="93"/>
        <w:tabs>
          <w:tab w:val="left" w:pos="0"/>
        </w:tabs>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zh-CN"/>
        </w:rPr>
        <w:t>1.2 服务内容：</w:t>
      </w:r>
      <w:r>
        <w:rPr>
          <w:rFonts w:hint="default" w:ascii="宋体" w:hAnsi="宋体" w:cs="宋体"/>
          <w:color w:val="auto"/>
          <w:highlight w:val="none"/>
          <w:lang w:val="en-US" w:eastAsia="zh-CN"/>
        </w:rPr>
        <w:t>为加快推动南湖-遂昌制造业高质量结对促共富示范建设，</w:t>
      </w:r>
      <w:r>
        <w:rPr>
          <w:rFonts w:hint="default" w:ascii="宋体" w:hAnsi="宋体" w:cs="宋体"/>
          <w:color w:val="auto"/>
          <w:highlight w:val="none"/>
          <w:lang w:eastAsia="zh-CN"/>
        </w:rPr>
        <w:t>推动</w:t>
      </w:r>
      <w:r>
        <w:rPr>
          <w:rFonts w:hint="eastAsia" w:ascii="宋体" w:hAnsi="宋体" w:cs="宋体"/>
          <w:color w:val="auto"/>
          <w:highlight w:val="none"/>
          <w:lang w:val="en-US" w:eastAsia="zh-CN"/>
        </w:rPr>
        <w:t>遂昌县工业企业</w:t>
      </w:r>
      <w:r>
        <w:rPr>
          <w:rFonts w:hint="default" w:ascii="宋体" w:hAnsi="宋体" w:cs="宋体"/>
          <w:color w:val="auto"/>
          <w:highlight w:val="none"/>
          <w:lang w:eastAsia="zh-CN"/>
        </w:rPr>
        <w:t>经营管理</w:t>
      </w:r>
      <w:r>
        <w:rPr>
          <w:rFonts w:hint="eastAsia" w:ascii="宋体" w:hAnsi="宋体" w:cs="宋体"/>
          <w:color w:val="auto"/>
          <w:highlight w:val="none"/>
          <w:lang w:eastAsia="zh-CN"/>
        </w:rPr>
        <w:t>能力</w:t>
      </w:r>
      <w:r>
        <w:rPr>
          <w:rFonts w:hint="default" w:ascii="宋体" w:hAnsi="宋体" w:cs="宋体"/>
          <w:color w:val="auto"/>
          <w:highlight w:val="none"/>
          <w:lang w:eastAsia="zh-CN"/>
        </w:rPr>
        <w:t>提升</w:t>
      </w:r>
      <w:r>
        <w:rPr>
          <w:rFonts w:hint="eastAsia" w:ascii="宋体" w:hAnsi="宋体" w:cs="宋体"/>
          <w:color w:val="auto"/>
          <w:highlight w:val="none"/>
          <w:lang w:val="en-US" w:eastAsia="zh-CN"/>
        </w:rPr>
        <w:t>，帮助企业建立具备现代市场竞争能力的经营管理模式，提升企业人均利润率，促进降本增效，实现可持续盈利。拟委托第三方对遂昌县规上工业企业提供经营管理赋能服务，不断提升遂昌县工业企业</w:t>
      </w:r>
      <w:r>
        <w:rPr>
          <w:rFonts w:hint="default" w:ascii="宋体" w:hAnsi="宋体" w:cs="宋体"/>
          <w:color w:val="auto"/>
          <w:highlight w:val="none"/>
          <w:lang w:eastAsia="zh-CN"/>
        </w:rPr>
        <w:t>经营</w:t>
      </w:r>
      <w:r>
        <w:rPr>
          <w:rFonts w:hint="eastAsia" w:ascii="宋体" w:hAnsi="宋体" w:cs="宋体"/>
          <w:color w:val="auto"/>
          <w:highlight w:val="none"/>
          <w:lang w:val="en-US" w:eastAsia="zh-CN"/>
        </w:rPr>
        <w:t>管理能力。</w:t>
      </w:r>
    </w:p>
    <w:p w14:paraId="3B53E16A">
      <w:pPr>
        <w:pStyle w:val="16"/>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合同金额</w:t>
      </w:r>
    </w:p>
    <w:p w14:paraId="50F1B4E4">
      <w:pPr>
        <w:pStyle w:val="16"/>
        <w:spacing w:line="400" w:lineRule="exact"/>
        <w:ind w:left="359" w:hanging="359" w:hanging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本合同金额为（大写）：____________________________________元（￥_______________元）人民币。</w:t>
      </w:r>
    </w:p>
    <w:p w14:paraId="0096AF98">
      <w:pPr>
        <w:pStyle w:val="16"/>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技术资料</w:t>
      </w:r>
    </w:p>
    <w:p w14:paraId="279A709D">
      <w:pPr>
        <w:pStyle w:val="16"/>
        <w:spacing w:line="400" w:lineRule="exact"/>
        <w:ind w:left="359" w:hanging="359" w:hanging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3.1乙方应按竞争性磋商文件规定的时间向甲方提供服务内容及人员安排等相关资料。</w:t>
      </w:r>
    </w:p>
    <w:p w14:paraId="1E96C0D9">
      <w:pPr>
        <w:pStyle w:val="16"/>
        <w:spacing w:line="400" w:lineRule="exact"/>
        <w:ind w:left="359" w:hanging="359" w:hanging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3EB83FB4">
      <w:pPr>
        <w:pStyle w:val="16"/>
        <w:spacing w:line="400" w:lineRule="exact"/>
        <w:ind w:left="360" w:hanging="361" w:hangingChars="17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知识产权</w:t>
      </w:r>
    </w:p>
    <w:p w14:paraId="503F7ACB">
      <w:pPr>
        <w:pStyle w:val="16"/>
        <w:spacing w:line="400" w:lineRule="exact"/>
        <w:ind w:left="359" w:hanging="359" w:hangingChars="171"/>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4.1 乙方应保证所提供的服务或其任何一部分均不会侵犯任何第三方的知识产权</w:t>
      </w:r>
      <w:r>
        <w:rPr>
          <w:rFonts w:hint="eastAsia" w:ascii="宋体" w:hAnsi="宋体" w:eastAsia="宋体" w:cs="宋体"/>
          <w:bCs/>
          <w:color w:val="auto"/>
          <w:szCs w:val="21"/>
          <w:highlight w:val="none"/>
        </w:rPr>
        <w:t>。</w:t>
      </w:r>
    </w:p>
    <w:p w14:paraId="3F227953">
      <w:pPr>
        <w:pStyle w:val="16"/>
        <w:spacing w:line="400" w:lineRule="exac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第五条 产权担保</w:t>
      </w:r>
    </w:p>
    <w:p w14:paraId="192D047B">
      <w:pPr>
        <w:pStyle w:val="16"/>
        <w:spacing w:line="400" w:lineRule="exact"/>
        <w:ind w:left="357" w:hanging="357" w:hangingChars="17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5.1 乙方保证所交付的内容所有权完全属于乙方且无任何抵押、查封等产权瑕疵。</w:t>
      </w:r>
    </w:p>
    <w:p w14:paraId="0CE4D023">
      <w:pPr>
        <w:pStyle w:val="16"/>
        <w:spacing w:line="400" w:lineRule="exact"/>
        <w:ind w:left="358" w:hanging="358" w:hangingChars="17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 履约保证金：</w:t>
      </w:r>
      <w:r>
        <w:rPr>
          <w:rFonts w:hint="eastAsia" w:ascii="宋体" w:hAnsi="宋体" w:eastAsia="宋体" w:cs="宋体"/>
          <w:color w:val="auto"/>
          <w:szCs w:val="21"/>
          <w:highlight w:val="none"/>
        </w:rPr>
        <w:t>无。</w:t>
      </w:r>
    </w:p>
    <w:p w14:paraId="6028F16F">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转包或分包</w:t>
      </w:r>
    </w:p>
    <w:p w14:paraId="54DFC76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7.1本合同范围的服务，应由乙方直接供应，不得转让他人供应；</w:t>
      </w:r>
    </w:p>
    <w:p w14:paraId="3036D32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除非得到甲方的书面同意，乙方不得部分分包给他人供应。甲方有绝对权力阻止分包。</w:t>
      </w:r>
    </w:p>
    <w:p w14:paraId="432075A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7.3如有转让和未经甲方同意的分包行为，甲方有权给予终止合同。</w:t>
      </w:r>
    </w:p>
    <w:p w14:paraId="3C6D23E2">
      <w:pPr>
        <w:pStyle w:val="16"/>
        <w:spacing w:line="40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第八条 服务期</w:t>
      </w:r>
      <w:r>
        <w:rPr>
          <w:rFonts w:hint="eastAsia" w:hAnsi="宋体" w:cs="宋体"/>
          <w:b/>
          <w:color w:val="auto"/>
          <w:szCs w:val="21"/>
          <w:highlight w:val="none"/>
          <w:lang w:eastAsia="zh-CN"/>
        </w:rPr>
        <w:t>、</w:t>
      </w:r>
      <w:r>
        <w:rPr>
          <w:rFonts w:hint="eastAsia" w:hAnsi="宋体" w:cs="宋体"/>
          <w:b/>
          <w:color w:val="auto"/>
          <w:szCs w:val="21"/>
          <w:highlight w:val="none"/>
          <w:lang w:val="en-US" w:eastAsia="zh-CN"/>
        </w:rPr>
        <w:t>项目实施地址</w:t>
      </w:r>
    </w:p>
    <w:p w14:paraId="3CE3E0B0">
      <w:pPr>
        <w:pStyle w:val="16"/>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8.1 服务期：</w:t>
      </w: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 xml:space="preserve">  日</w:t>
      </w:r>
      <w:r>
        <w:rPr>
          <w:rFonts w:hint="eastAsia" w:ascii="宋体" w:hAnsi="宋体" w:eastAsia="宋体" w:cs="宋体"/>
          <w:color w:val="auto"/>
          <w:szCs w:val="21"/>
          <w:highlight w:val="none"/>
          <w:lang w:val="zh-CN"/>
        </w:rPr>
        <w:t>-20</w:t>
      </w: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 xml:space="preserve">  日</w:t>
      </w:r>
    </w:p>
    <w:p w14:paraId="44508424">
      <w:pPr>
        <w:pStyle w:val="16"/>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 xml:space="preserve">8.2 </w:t>
      </w:r>
      <w:r>
        <w:rPr>
          <w:rFonts w:hint="eastAsia" w:ascii="宋体" w:hAnsi="宋体" w:eastAsia="宋体" w:cs="宋体"/>
          <w:bCs/>
          <w:color w:val="auto"/>
          <w:szCs w:val="21"/>
          <w:highlight w:val="none"/>
          <w:lang w:val="en-US" w:eastAsia="zh-CN"/>
        </w:rPr>
        <w:t>项目实施地址</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遂昌县</w:t>
      </w:r>
    </w:p>
    <w:p w14:paraId="6578B625">
      <w:pPr>
        <w:pStyle w:val="16"/>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 合同价款支付：</w:t>
      </w:r>
      <w:r>
        <w:rPr>
          <w:rFonts w:hint="eastAsia" w:ascii="宋体" w:hAnsi="宋体" w:eastAsia="宋体" w:cs="Times New Roman"/>
          <w:color w:val="000000" w:themeColor="text1"/>
          <w:szCs w:val="21"/>
          <w:highlight w:val="none"/>
          <w:lang w:eastAsia="zh-CN"/>
          <w14:textFill>
            <w14:solidFill>
              <w14:schemeClr w14:val="tx1"/>
            </w14:solidFill>
          </w14:textFill>
        </w:rPr>
        <w:t>合同生效</w:t>
      </w:r>
      <w:r>
        <w:rPr>
          <w:rFonts w:hint="eastAsia" w:ascii="宋体" w:hAnsi="宋体" w:eastAsia="宋体" w:cs="Times New Roman"/>
          <w:color w:val="000000" w:themeColor="text1"/>
          <w:szCs w:val="21"/>
          <w:highlight w:val="none"/>
          <w:lang w:val="en-US" w:eastAsia="zh-CN"/>
          <w14:textFill>
            <w14:solidFill>
              <w14:schemeClr w14:val="tx1"/>
            </w14:solidFill>
          </w14:textFill>
        </w:rPr>
        <w:t>并</w:t>
      </w:r>
      <w:r>
        <w:rPr>
          <w:rFonts w:hint="eastAsia" w:ascii="宋体" w:hAnsi="宋体" w:eastAsia="宋体" w:cs="Times New Roman"/>
          <w:color w:val="000000" w:themeColor="text1"/>
          <w:szCs w:val="21"/>
          <w:highlight w:val="none"/>
          <w:lang w:eastAsia="zh-CN"/>
          <w14:textFill>
            <w14:solidFill>
              <w14:schemeClr w14:val="tx1"/>
            </w14:solidFill>
          </w14:textFill>
        </w:rPr>
        <w:t>具备实施条件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后</w:t>
      </w:r>
      <w:r>
        <w:rPr>
          <w:rFonts w:hint="eastAsia" w:ascii="宋体" w:hAnsi="宋体" w:eastAsia="宋体" w:cs="Times New Roman"/>
          <w:color w:val="000000" w:themeColor="text1"/>
          <w:szCs w:val="21"/>
          <w:highlight w:val="none"/>
          <w14:textFill>
            <w14:solidFill>
              <w14:schemeClr w14:val="tx1"/>
            </w14:solidFill>
          </w14:textFill>
        </w:rPr>
        <w:t>7个工作日内支付合同价的70%作为预付款，项目服务完成并验收合格收到正式发票后支付合同价的30%</w:t>
      </w:r>
      <w:r>
        <w:rPr>
          <w:rFonts w:hint="eastAsia" w:ascii="宋体" w:hAnsi="宋体" w:eastAsia="宋体" w:cs="宋体"/>
          <w:color w:val="auto"/>
          <w:szCs w:val="21"/>
          <w:highlight w:val="none"/>
        </w:rPr>
        <w:t>。</w:t>
      </w:r>
    </w:p>
    <w:p w14:paraId="79355911">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税费</w:t>
      </w:r>
    </w:p>
    <w:p w14:paraId="7497886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10.1本合同执行中相关的一切税费均由乙方负担。</w:t>
      </w:r>
    </w:p>
    <w:p w14:paraId="67668581">
      <w:pPr>
        <w:pStyle w:val="16"/>
        <w:spacing w:line="400" w:lineRule="exact"/>
        <w:ind w:left="360" w:hanging="361" w:hangingChars="17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质量保证及售后服务</w:t>
      </w:r>
    </w:p>
    <w:p w14:paraId="0FB98E11">
      <w:pPr>
        <w:pStyle w:val="16"/>
        <w:spacing w:line="400" w:lineRule="exact"/>
        <w:ind w:left="359" w:hanging="359" w:hanging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乙方应按竞争性磋商文件规定的技术要求、质量标准向甲方提供</w:t>
      </w:r>
      <w:r>
        <w:rPr>
          <w:rFonts w:hint="eastAsia" w:ascii="宋体" w:hAnsi="宋体" w:eastAsia="宋体" w:cs="宋体"/>
          <w:bCs/>
          <w:color w:val="auto"/>
          <w:szCs w:val="21"/>
          <w:highlight w:val="none"/>
        </w:rPr>
        <w:t>所要求的服务工作</w:t>
      </w:r>
      <w:r>
        <w:rPr>
          <w:rFonts w:hint="eastAsia" w:ascii="宋体" w:hAnsi="宋体" w:eastAsia="宋体" w:cs="宋体"/>
          <w:color w:val="auto"/>
          <w:szCs w:val="21"/>
          <w:highlight w:val="none"/>
        </w:rPr>
        <w:t>。</w:t>
      </w:r>
    </w:p>
    <w:p w14:paraId="4C2BD89D">
      <w:pPr>
        <w:pStyle w:val="16"/>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乙方提供的服务在服务期内因实际情况或其他因素导致的需要更换或者调整相关内容时，乙方应无条件更换或调整。</w:t>
      </w:r>
    </w:p>
    <w:p w14:paraId="518C482A">
      <w:pPr>
        <w:pStyle w:val="16"/>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11.3 </w:t>
      </w:r>
      <w:r>
        <w:rPr>
          <w:rFonts w:hint="eastAsia" w:ascii="宋体" w:hAnsi="宋体" w:eastAsia="宋体" w:cs="宋体"/>
          <w:bCs/>
          <w:color w:val="auto"/>
          <w:szCs w:val="21"/>
          <w:highlight w:val="none"/>
        </w:rPr>
        <w:t>售后服务及响应要求</w:t>
      </w:r>
    </w:p>
    <w:p w14:paraId="5F8FAB91">
      <w:pPr>
        <w:pStyle w:val="16"/>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（1）售后服务期：项目整体验收交付使用后，</w:t>
      </w:r>
      <w:r>
        <w:rPr>
          <w:rFonts w:hint="eastAsia" w:ascii="宋体" w:hAnsi="宋体" w:eastAsia="宋体" w:cs="宋体"/>
          <w:bCs/>
          <w:color w:val="auto"/>
          <w:szCs w:val="21"/>
          <w:highlight w:val="none"/>
          <w:lang w:val="en-US" w:eastAsia="zh-CN"/>
        </w:rPr>
        <w:t>乙方</w:t>
      </w:r>
      <w:r>
        <w:rPr>
          <w:rFonts w:hint="eastAsia" w:ascii="宋体" w:hAnsi="宋体" w:eastAsia="宋体" w:cs="宋体"/>
          <w:bCs/>
          <w:color w:val="auto"/>
          <w:szCs w:val="21"/>
          <w:highlight w:val="none"/>
        </w:rPr>
        <w:t>提供一年售后服务。</w:t>
      </w:r>
    </w:p>
    <w:p w14:paraId="2AD0C5D8">
      <w:pPr>
        <w:pStyle w:val="16"/>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（2）提供电话、电子邮件、聊天工具、现场等多种方式技术支持服务，全方位响应需求。</w:t>
      </w:r>
    </w:p>
    <w:p w14:paraId="57FC3AA9">
      <w:pPr>
        <w:pStyle w:val="16"/>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（3）售后服务方式及响应时间：采用现场维护方式，</w:t>
      </w:r>
      <w:r>
        <w:rPr>
          <w:rFonts w:hint="eastAsia" w:ascii="宋体" w:hAnsi="宋体" w:eastAsia="宋体" w:cs="宋体"/>
          <w:bCs/>
          <w:color w:val="auto"/>
          <w:szCs w:val="21"/>
          <w:highlight w:val="none"/>
          <w:lang w:val="en-US" w:eastAsia="zh-CN"/>
        </w:rPr>
        <w:t>乙方</w:t>
      </w:r>
      <w:r>
        <w:rPr>
          <w:rFonts w:hint="eastAsia" w:ascii="宋体" w:hAnsi="宋体" w:eastAsia="宋体" w:cs="宋体"/>
          <w:bCs/>
          <w:color w:val="auto"/>
          <w:szCs w:val="21"/>
          <w:highlight w:val="none"/>
        </w:rPr>
        <w:t>接到用户电话后2小时内响应，8小时内上门服务，24小时电话支持。</w:t>
      </w:r>
    </w:p>
    <w:p w14:paraId="68F6C7FA">
      <w:pPr>
        <w:pStyle w:val="16"/>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违约责任</w:t>
      </w:r>
    </w:p>
    <w:p w14:paraId="0CFBC93E">
      <w:pPr>
        <w:pStyle w:val="16"/>
        <w:spacing w:line="400" w:lineRule="exact"/>
        <w:ind w:left="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乙方逾期交付规定时间内的服务内容，乙方应按逾期交付总额每日千分之六向甲方支付违约金，由甲方从待付中标款中扣除。逾期超过约定日期10个工作日不能提交服务内容的，甲方可解除本合同。乙方因逾期提交服务内容或因其他违约行为导致甲方解除合同的，乙方应向甲方支付合同总值5%的违约金，如造成甲方损失超过违约金的，超出部分由乙方继续承担赔偿责任。</w:t>
      </w:r>
    </w:p>
    <w:p w14:paraId="7BCCBE76">
      <w:pPr>
        <w:pStyle w:val="16"/>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不可抗力事件处理</w:t>
      </w:r>
    </w:p>
    <w:p w14:paraId="2D9FD934">
      <w:pPr>
        <w:pStyle w:val="16"/>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在合同有效期内，任何一方因不可抗力事件导致不能履行合同，则合同履行期可延长，其延长期与不可抗力影响期相同。</w:t>
      </w:r>
    </w:p>
    <w:p w14:paraId="2F3D3DA1">
      <w:pPr>
        <w:pStyle w:val="16"/>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不可抗力事件发生后，应立即通知对方，并寄送有关权威机构出具的证明。</w:t>
      </w:r>
    </w:p>
    <w:p w14:paraId="3FA533F5">
      <w:pPr>
        <w:pStyle w:val="16"/>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不可抗力事件延续120天以上，双方应通过友好协商，确定是否继续履行合同。</w:t>
      </w:r>
    </w:p>
    <w:p w14:paraId="147FB5C6">
      <w:pPr>
        <w:pStyle w:val="16"/>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诉讼/仲裁</w:t>
      </w:r>
    </w:p>
    <w:p w14:paraId="7EF37B98">
      <w:pPr>
        <w:pStyle w:val="16"/>
        <w:spacing w:line="400" w:lineRule="exact"/>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双方在执行合同中所发生的一切争议，应通过协商解决。如协商不成，可向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人民法院起诉。</w:t>
      </w:r>
    </w:p>
    <w:p w14:paraId="0431A09C">
      <w:pPr>
        <w:pStyle w:val="16"/>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第十五条 合同生效及其它</w:t>
      </w:r>
    </w:p>
    <w:p w14:paraId="63461C41">
      <w:pPr>
        <w:pStyle w:val="16"/>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合同经双方法定代表人或授权委托代理人签字并加盖单位公章后生效。</w:t>
      </w:r>
    </w:p>
    <w:p w14:paraId="404A746F">
      <w:pPr>
        <w:pStyle w:val="16"/>
        <w:spacing w:line="400" w:lineRule="exact"/>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15.2竞争性磋商文件、磋商响应文件及其他有关书面资料作为合同的组成部分。本合同未尽事宜，遵照《中华人民共和国民法典》有关条文执行。</w:t>
      </w:r>
    </w:p>
    <w:p w14:paraId="29B21F07">
      <w:pPr>
        <w:pStyle w:val="16"/>
        <w:spacing w:line="400" w:lineRule="exact"/>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本合同正本一式四份，具有同等法律效力，甲乙丙三方各执一份，一份作为付款凭证。</w:t>
      </w:r>
    </w:p>
    <w:p w14:paraId="2F50895A">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w:t>
      </w:r>
    </w:p>
    <w:p w14:paraId="2F2551EC">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地址：</w:t>
      </w:r>
    </w:p>
    <w:p w14:paraId="0B48A9FC">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     联系电话：</w:t>
      </w:r>
    </w:p>
    <w:p w14:paraId="41D34CCA">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授权委托人：     联系电话：</w:t>
      </w:r>
    </w:p>
    <w:p w14:paraId="47A0B7E2">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p>
    <w:p w14:paraId="46EFAEA2">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地址：</w:t>
      </w:r>
    </w:p>
    <w:p w14:paraId="6A5052D7">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     联系电话：</w:t>
      </w:r>
    </w:p>
    <w:p w14:paraId="338DABD6">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授权委托人：     联系电话：</w:t>
      </w:r>
    </w:p>
    <w:p w14:paraId="4544DE5E">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开户银行：</w:t>
      </w:r>
    </w:p>
    <w:p w14:paraId="48D9618F">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账号：</w:t>
      </w:r>
    </w:p>
    <w:p w14:paraId="109BDDC6">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p>
    <w:p w14:paraId="45FCA363">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丙方：</w:t>
      </w:r>
    </w:p>
    <w:p w14:paraId="3A471D10">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授权委托人：     联系电话：</w:t>
      </w:r>
    </w:p>
    <w:p w14:paraId="6C8D0E1E">
      <w:pPr>
        <w:pStyle w:val="16"/>
        <w:spacing w:before="156" w:beforeLines="50" w:after="156" w:afterLines="50"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签订地点：浙江嘉兴           签订日期：    年    月    日</w:t>
      </w:r>
    </w:p>
    <w:p w14:paraId="6480D82F">
      <w:pPr>
        <w:pStyle w:val="16"/>
        <w:spacing w:before="156" w:beforeLines="50" w:after="156" w:afterLines="50" w:line="400" w:lineRule="exact"/>
        <w:jc w:val="center"/>
        <w:outlineLvl w:val="0"/>
        <w:rPr>
          <w:rFonts w:hint="eastAsia" w:ascii="宋体" w:hAnsi="宋体" w:eastAsia="宋体" w:cs="宋体"/>
          <w:b/>
          <w:color w:val="auto"/>
          <w:sz w:val="32"/>
          <w:szCs w:val="32"/>
          <w:highlight w:val="none"/>
        </w:rPr>
      </w:pPr>
      <w:bookmarkStart w:id="175" w:name="_Toc21420"/>
      <w:bookmarkStart w:id="176" w:name="_Toc9995"/>
      <w:bookmarkStart w:id="177" w:name="_Toc4860"/>
      <w:bookmarkStart w:id="178" w:name="_Toc18846"/>
      <w:bookmarkStart w:id="179" w:name="_Toc18735"/>
      <w:bookmarkStart w:id="180" w:name="_Toc12927"/>
      <w:bookmarkStart w:id="181" w:name="_Toc3974"/>
      <w:bookmarkStart w:id="182" w:name="_Toc16393"/>
      <w:r>
        <w:rPr>
          <w:rFonts w:hint="eastAsia" w:ascii="宋体" w:hAnsi="宋体" w:eastAsia="宋体" w:cs="宋体"/>
          <w:b/>
          <w:color w:val="auto"/>
          <w:sz w:val="32"/>
          <w:szCs w:val="32"/>
          <w:highlight w:val="none"/>
        </w:rPr>
        <w:t>第五章  评审办法</w:t>
      </w:r>
      <w:bookmarkEnd w:id="175"/>
      <w:bookmarkEnd w:id="176"/>
      <w:bookmarkEnd w:id="177"/>
      <w:bookmarkEnd w:id="178"/>
      <w:bookmarkEnd w:id="179"/>
      <w:bookmarkEnd w:id="180"/>
      <w:bookmarkEnd w:id="181"/>
      <w:bookmarkEnd w:id="182"/>
    </w:p>
    <w:p w14:paraId="399C1473">
      <w:pPr>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根据《中华人民共和国政府采购法》等有关法律法规的规定，结合本项目的实际，按照公正、公平、科学、择优的原则选择成交人，制定本办法。</w:t>
      </w:r>
    </w:p>
    <w:p w14:paraId="1CE0BA19">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一、总则</w:t>
      </w:r>
    </w:p>
    <w:p w14:paraId="24AD9061">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分法，总分为100分，其中价格分10分，资信商务及技术分90分。合格磋商供应商的评标得分为各评审项目的汇总得分，成交候选资格按评标综合得分由高到低顺序排列，得分相同的，按投标报价由低到高顺序排列；得分且投标报价相同的，按资信商务及技术得分由高到低顺序排列。排名第一的供应商为成交候选人，排名第二的供应商为候补成交候选人。本项目成交候选人放弃成交或者因不可抗力提出不能履行合同，采购人可以确定候补成交候选人为成交供应商，候补成交候选人因前款同样的原因不能签订合同，采购人可以确定排名第三的成交候选人为成交供应商。评分过程中采用四舍五入法，并保留小数2位。</w:t>
      </w:r>
    </w:p>
    <w:p w14:paraId="476FF8F4">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评标综合得分=价格分+资信商务及技术分</w:t>
      </w:r>
    </w:p>
    <w:p w14:paraId="080CD838">
      <w:pPr>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二、评审办法</w:t>
      </w:r>
    </w:p>
    <w:p w14:paraId="742941B3">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1、本次采用综合评分法。</w:t>
      </w:r>
    </w:p>
    <w:p w14:paraId="4F32A4F5">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2、磋商后，磋商小组将对各磋商响应文件进行审查，确定磋商响应文件是否合格，对磋商响应文件中的疑问，按磋商顺序对供应商进行询疑，供应商作出书面答复并作为磋商响应文件的补充文件。</w:t>
      </w:r>
    </w:p>
    <w:p w14:paraId="33599B52">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以磋商响应文件、询疑为基础依据，综合考虑价格、技术、质量、业绩、服务期、服务能力等因素，对合格的供应商进行客观地分析、评价，并采用百分制评分，将综合得分最高的供应商作为成交候选人向采购人推荐，采购单位依据磋商小组推荐的成交候选人名单，最终确定成交供应商。</w:t>
      </w:r>
    </w:p>
    <w:p w14:paraId="3F996460">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三、评分细则</w:t>
      </w:r>
    </w:p>
    <w:p w14:paraId="5B5D0F1D">
      <w:pPr>
        <w:adjustRightInd w:val="0"/>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（一）资信商务及技术标：（0-90分）</w:t>
      </w:r>
      <w:r>
        <w:rPr>
          <w:rFonts w:hint="eastAsia" w:ascii="宋体" w:hAnsi="宋体" w:eastAsia="宋体" w:cs="宋体"/>
          <w:color w:val="auto"/>
          <w:szCs w:val="21"/>
          <w:highlight w:val="none"/>
        </w:rPr>
        <w:t>（保留小数点后2位，四舍五入法）</w:t>
      </w:r>
    </w:p>
    <w:p w14:paraId="3F1B8F7C">
      <w:pPr>
        <w:adjustRightInd w:val="0"/>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小组成员按评标具体办法独立进行评判，每人一张评分计算票，并记名。如某张票的一个因素项目超过规定的范围，则该张票无效。各供应商的资信商务及技术分值为所有磋商小组成员给出的值的算术平均值。</w:t>
      </w:r>
    </w:p>
    <w:tbl>
      <w:tblPr>
        <w:tblStyle w:val="36"/>
        <w:tblW w:w="89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7"/>
        <w:gridCol w:w="1190"/>
        <w:gridCol w:w="6095"/>
        <w:gridCol w:w="1076"/>
      </w:tblGrid>
      <w:tr w14:paraId="502A6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3" w:hRule="atLeast"/>
          <w:tblHeader/>
          <w:jc w:val="center"/>
        </w:trPr>
        <w:tc>
          <w:tcPr>
            <w:tcW w:w="597" w:type="dxa"/>
            <w:vAlign w:val="center"/>
          </w:tcPr>
          <w:p w14:paraId="1194AFDE">
            <w:pPr>
              <w:spacing w:line="360" w:lineRule="auto"/>
              <w:jc w:val="cente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序号</w:t>
            </w:r>
          </w:p>
        </w:tc>
        <w:tc>
          <w:tcPr>
            <w:tcW w:w="1190" w:type="dxa"/>
            <w:vAlign w:val="center"/>
          </w:tcPr>
          <w:p w14:paraId="047B5963">
            <w:pPr>
              <w:spacing w:line="360" w:lineRule="auto"/>
              <w:jc w:val="cente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评审项目</w:t>
            </w:r>
          </w:p>
        </w:tc>
        <w:tc>
          <w:tcPr>
            <w:tcW w:w="6095" w:type="dxa"/>
            <w:vAlign w:val="center"/>
          </w:tcPr>
          <w:p w14:paraId="280D1E40">
            <w:pPr>
              <w:spacing w:line="360" w:lineRule="auto"/>
              <w:jc w:val="cente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评分标准</w:t>
            </w:r>
          </w:p>
        </w:tc>
        <w:tc>
          <w:tcPr>
            <w:tcW w:w="1076" w:type="dxa"/>
            <w:vAlign w:val="center"/>
          </w:tcPr>
          <w:p w14:paraId="2E8F7F7A">
            <w:pPr>
              <w:spacing w:line="360" w:lineRule="auto"/>
              <w:jc w:val="cente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分值</w:t>
            </w:r>
          </w:p>
        </w:tc>
      </w:tr>
      <w:tr w14:paraId="0B5D7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58" w:type="dxa"/>
            <w:gridSpan w:val="4"/>
            <w:vAlign w:val="center"/>
          </w:tcPr>
          <w:p w14:paraId="15843A71">
            <w:pPr>
              <w:spacing w:line="360" w:lineRule="auto"/>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一、商务部分（18分）</w:t>
            </w:r>
          </w:p>
        </w:tc>
      </w:tr>
      <w:tr w14:paraId="05A3B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Align w:val="center"/>
          </w:tcPr>
          <w:p w14:paraId="08AB327C">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1</w:t>
            </w:r>
          </w:p>
        </w:tc>
        <w:tc>
          <w:tcPr>
            <w:tcW w:w="1190" w:type="dxa"/>
            <w:vAlign w:val="center"/>
          </w:tcPr>
          <w:p w14:paraId="749D11C0">
            <w:pPr>
              <w:spacing w:line="360" w:lineRule="auto"/>
              <w:jc w:val="center"/>
              <w:rPr>
                <w:rFonts w:cs="宋体" w:asciiTheme="minorEastAsia" w:hAnsiTheme="minorEastAsia" w:eastAsiaTheme="minorEastAsia"/>
                <w:b/>
                <w:color w:val="auto"/>
                <w:kern w:val="0"/>
                <w:szCs w:val="21"/>
              </w:rPr>
            </w:pPr>
            <w:r>
              <w:rPr>
                <w:rFonts w:cs="宋体" w:asciiTheme="minorEastAsia" w:hAnsiTheme="minorEastAsia" w:eastAsiaTheme="minorEastAsia"/>
                <w:b/>
                <w:color w:val="auto"/>
                <w:kern w:val="0"/>
                <w:szCs w:val="21"/>
              </w:rPr>
              <w:t>企业业绩</w:t>
            </w:r>
          </w:p>
        </w:tc>
        <w:tc>
          <w:tcPr>
            <w:tcW w:w="6095" w:type="dxa"/>
            <w:vAlign w:val="center"/>
          </w:tcPr>
          <w:p w14:paraId="03AB3A56">
            <w:pPr>
              <w:pStyle w:val="2"/>
              <w:spacing w:line="360" w:lineRule="auto"/>
              <w:rPr>
                <w:rFonts w:cs="宋体" w:asciiTheme="minorEastAsia" w:hAnsiTheme="minorEastAsia" w:eastAsiaTheme="minorEastAsia"/>
                <w:color w:val="auto"/>
                <w:sz w:val="21"/>
                <w:szCs w:val="21"/>
              </w:rPr>
            </w:pPr>
            <w:r>
              <w:rPr>
                <w:rFonts w:hint="eastAsia" w:ascii="宋体" w:hAnsi="宋体"/>
                <w:color w:val="auto"/>
                <w:sz w:val="21"/>
                <w:szCs w:val="21"/>
              </w:rPr>
              <w:t>自202</w:t>
            </w:r>
            <w:r>
              <w:rPr>
                <w:rFonts w:hint="eastAsia" w:ascii="宋体" w:hAnsi="宋体"/>
                <w:color w:val="auto"/>
                <w:sz w:val="21"/>
                <w:szCs w:val="21"/>
                <w:lang w:val="en-US" w:eastAsia="zh-CN"/>
              </w:rPr>
              <w:t>1</w:t>
            </w:r>
            <w:r>
              <w:rPr>
                <w:rFonts w:hint="eastAsia" w:ascii="宋体" w:hAnsi="宋体"/>
                <w:color w:val="auto"/>
                <w:sz w:val="21"/>
                <w:szCs w:val="21"/>
              </w:rPr>
              <w:t>年1月1日以来具有类似项目的业绩，每个业绩得0.5分，最高</w:t>
            </w:r>
            <w:r>
              <w:rPr>
                <w:rFonts w:hint="eastAsia" w:ascii="宋体" w:hAnsi="宋体"/>
                <w:color w:val="auto"/>
                <w:sz w:val="21"/>
                <w:szCs w:val="21"/>
                <w:lang w:val="en-US" w:eastAsia="zh-CN"/>
              </w:rPr>
              <w:t>得</w:t>
            </w:r>
            <w:r>
              <w:rPr>
                <w:rFonts w:hint="eastAsia" w:ascii="宋体" w:hAnsi="宋体"/>
                <w:color w:val="auto"/>
                <w:sz w:val="21"/>
                <w:szCs w:val="21"/>
              </w:rPr>
              <w:t>1分。【提供合同</w:t>
            </w:r>
            <w:r>
              <w:rPr>
                <w:rFonts w:hint="eastAsia" w:ascii="宋体" w:hAnsi="宋体"/>
                <w:color w:val="auto"/>
                <w:sz w:val="21"/>
                <w:szCs w:val="21"/>
                <w:lang w:val="en-US" w:eastAsia="zh-CN"/>
              </w:rPr>
              <w:t>扫描</w:t>
            </w:r>
            <w:r>
              <w:rPr>
                <w:rFonts w:hint="eastAsia" w:ascii="宋体" w:hAnsi="宋体"/>
                <w:color w:val="auto"/>
                <w:sz w:val="21"/>
                <w:szCs w:val="21"/>
              </w:rPr>
              <w:t>件加盖公章，时间以合同签订时间为准】</w:t>
            </w:r>
          </w:p>
        </w:tc>
        <w:tc>
          <w:tcPr>
            <w:tcW w:w="1076" w:type="dxa"/>
            <w:vAlign w:val="center"/>
          </w:tcPr>
          <w:p w14:paraId="52161F18">
            <w:pPr>
              <w:pStyle w:val="16"/>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0-1分</w:t>
            </w:r>
          </w:p>
        </w:tc>
      </w:tr>
      <w:tr w14:paraId="61B63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597" w:type="dxa"/>
            <w:vMerge w:val="restart"/>
            <w:vAlign w:val="center"/>
          </w:tcPr>
          <w:p w14:paraId="1AE40FAD">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2</w:t>
            </w:r>
          </w:p>
        </w:tc>
        <w:tc>
          <w:tcPr>
            <w:tcW w:w="1190" w:type="dxa"/>
            <w:vMerge w:val="restart"/>
            <w:vAlign w:val="center"/>
          </w:tcPr>
          <w:p w14:paraId="63B2FBD6">
            <w:pPr>
              <w:spacing w:line="360" w:lineRule="auto"/>
              <w:jc w:val="center"/>
              <w:rPr>
                <w:rFonts w:cs="宋体" w:asciiTheme="minorEastAsia" w:hAnsiTheme="minorEastAsia" w:eastAsiaTheme="minorEastAsia"/>
                <w:b/>
                <w:color w:val="auto"/>
                <w:kern w:val="0"/>
                <w:szCs w:val="21"/>
              </w:rPr>
            </w:pPr>
            <w:r>
              <w:rPr>
                <w:rFonts w:cs="宋体" w:asciiTheme="minorEastAsia" w:hAnsiTheme="minorEastAsia" w:eastAsiaTheme="minorEastAsia"/>
                <w:b/>
                <w:color w:val="auto"/>
                <w:kern w:val="0"/>
                <w:szCs w:val="21"/>
              </w:rPr>
              <w:t>项目负责人</w:t>
            </w:r>
          </w:p>
        </w:tc>
        <w:tc>
          <w:tcPr>
            <w:tcW w:w="6095" w:type="dxa"/>
            <w:vAlign w:val="center"/>
          </w:tcPr>
          <w:p w14:paraId="0487C7C5">
            <w:pPr>
              <w:pStyle w:val="2"/>
              <w:spacing w:line="360" w:lineRule="auto"/>
              <w:rPr>
                <w:rFonts w:ascii="宋体" w:hAnsi="宋体"/>
                <w:color w:val="auto"/>
                <w:sz w:val="21"/>
                <w:szCs w:val="21"/>
              </w:rPr>
            </w:pPr>
            <w:r>
              <w:rPr>
                <w:rFonts w:hint="eastAsia" w:ascii="宋体" w:hAnsi="宋体"/>
                <w:color w:val="auto"/>
                <w:sz w:val="21"/>
                <w:szCs w:val="21"/>
              </w:rPr>
              <w:t>（1）具有企业管理或工商管理或工科博士学历得4分，硕士学历得2分，其余不得分。</w:t>
            </w:r>
          </w:p>
          <w:p w14:paraId="682C957D">
            <w:pPr>
              <w:pStyle w:val="2"/>
              <w:spacing w:line="360" w:lineRule="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磋商响应</w:t>
            </w:r>
            <w:r>
              <w:rPr>
                <w:rFonts w:hint="eastAsia" w:ascii="宋体" w:hAnsi="宋体"/>
                <w:color w:val="auto"/>
                <w:sz w:val="21"/>
                <w:szCs w:val="21"/>
              </w:rPr>
              <w:t>文件中提供人员</w:t>
            </w:r>
            <w:r>
              <w:rPr>
                <w:rFonts w:hint="eastAsia" w:ascii="宋体" w:hAnsi="宋体"/>
                <w:color w:val="auto"/>
                <w:sz w:val="21"/>
                <w:szCs w:val="21"/>
                <w:lang w:val="en-US" w:eastAsia="zh-CN"/>
              </w:rPr>
              <w:t>学历</w:t>
            </w:r>
            <w:r>
              <w:rPr>
                <w:rFonts w:ascii="宋体" w:hAnsi="宋体"/>
                <w:color w:val="auto"/>
                <w:sz w:val="21"/>
                <w:szCs w:val="21"/>
              </w:rPr>
              <w:t>证书</w:t>
            </w:r>
            <w:r>
              <w:rPr>
                <w:rFonts w:hint="eastAsia" w:ascii="宋体" w:hAnsi="宋体"/>
                <w:color w:val="auto"/>
                <w:sz w:val="21"/>
                <w:szCs w:val="21"/>
              </w:rPr>
              <w:t>扫描件，否则不得分。】</w:t>
            </w:r>
          </w:p>
        </w:tc>
        <w:tc>
          <w:tcPr>
            <w:tcW w:w="1076" w:type="dxa"/>
            <w:vAlign w:val="center"/>
          </w:tcPr>
          <w:p w14:paraId="700F8D35">
            <w:pPr>
              <w:pStyle w:val="16"/>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0-4分</w:t>
            </w:r>
          </w:p>
        </w:tc>
      </w:tr>
      <w:tr w14:paraId="3C4AF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9" w:hRule="atLeast"/>
          <w:jc w:val="center"/>
        </w:trPr>
        <w:tc>
          <w:tcPr>
            <w:tcW w:w="597" w:type="dxa"/>
            <w:vMerge w:val="continue"/>
            <w:vAlign w:val="center"/>
          </w:tcPr>
          <w:p w14:paraId="65D14558">
            <w:pPr>
              <w:spacing w:line="360" w:lineRule="auto"/>
              <w:jc w:val="center"/>
              <w:rPr>
                <w:rFonts w:cs="宋体" w:asciiTheme="minorEastAsia" w:hAnsiTheme="minorEastAsia" w:eastAsiaTheme="minorEastAsia"/>
                <w:b/>
                <w:color w:val="auto"/>
                <w:kern w:val="0"/>
                <w:szCs w:val="21"/>
              </w:rPr>
            </w:pPr>
          </w:p>
        </w:tc>
        <w:tc>
          <w:tcPr>
            <w:tcW w:w="1190" w:type="dxa"/>
            <w:vMerge w:val="continue"/>
            <w:vAlign w:val="center"/>
          </w:tcPr>
          <w:p w14:paraId="4AFB5A4C">
            <w:pPr>
              <w:spacing w:line="360" w:lineRule="auto"/>
              <w:jc w:val="center"/>
              <w:rPr>
                <w:rFonts w:cs="宋体" w:asciiTheme="minorEastAsia" w:hAnsiTheme="minorEastAsia" w:eastAsiaTheme="minorEastAsia"/>
                <w:b/>
                <w:color w:val="auto"/>
                <w:kern w:val="0"/>
                <w:szCs w:val="21"/>
              </w:rPr>
            </w:pPr>
          </w:p>
        </w:tc>
        <w:tc>
          <w:tcPr>
            <w:tcW w:w="6095" w:type="dxa"/>
            <w:vAlign w:val="center"/>
          </w:tcPr>
          <w:p w14:paraId="0F97C55C">
            <w:pPr>
              <w:pStyle w:val="2"/>
              <w:spacing w:line="360" w:lineRule="auto"/>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具有</w:t>
            </w:r>
            <w:r>
              <w:rPr>
                <w:rFonts w:hint="eastAsia" w:ascii="宋体" w:hAnsi="宋体"/>
                <w:color w:val="auto"/>
                <w:sz w:val="21"/>
                <w:szCs w:val="21"/>
              </w:rPr>
              <w:t>企业管理专业高级及上职称得4分，企业管理</w:t>
            </w:r>
            <w:r>
              <w:rPr>
                <w:rFonts w:hint="eastAsia" w:ascii="宋体" w:hAnsi="宋体"/>
                <w:color w:val="auto"/>
                <w:sz w:val="21"/>
                <w:szCs w:val="21"/>
                <w:lang w:val="en-US" w:eastAsia="zh-CN"/>
              </w:rPr>
              <w:t>专业</w:t>
            </w:r>
            <w:r>
              <w:rPr>
                <w:rFonts w:hint="eastAsia" w:ascii="宋体" w:hAnsi="宋体"/>
                <w:color w:val="auto"/>
                <w:sz w:val="21"/>
                <w:szCs w:val="21"/>
              </w:rPr>
              <w:t>中级职称得2分。</w:t>
            </w:r>
          </w:p>
          <w:p w14:paraId="6C99ED51">
            <w:pPr>
              <w:pStyle w:val="2"/>
              <w:spacing w:line="360" w:lineRule="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磋商响应</w:t>
            </w:r>
            <w:r>
              <w:rPr>
                <w:rFonts w:hint="eastAsia" w:ascii="宋体" w:hAnsi="宋体"/>
                <w:color w:val="auto"/>
                <w:sz w:val="21"/>
                <w:szCs w:val="21"/>
              </w:rPr>
              <w:t>文件中提供人员专业</w:t>
            </w:r>
            <w:r>
              <w:rPr>
                <w:rFonts w:hint="eastAsia" w:ascii="宋体" w:hAnsi="宋体"/>
                <w:color w:val="auto"/>
                <w:sz w:val="21"/>
                <w:szCs w:val="21"/>
                <w:lang w:val="en-US" w:eastAsia="zh-CN"/>
              </w:rPr>
              <w:t>技术</w:t>
            </w:r>
            <w:r>
              <w:rPr>
                <w:rFonts w:hint="eastAsia" w:ascii="宋体" w:hAnsi="宋体"/>
                <w:color w:val="auto"/>
                <w:sz w:val="21"/>
                <w:szCs w:val="21"/>
              </w:rPr>
              <w:t>职称证书扫描件，否则不得分。】</w:t>
            </w:r>
          </w:p>
        </w:tc>
        <w:tc>
          <w:tcPr>
            <w:tcW w:w="1076" w:type="dxa"/>
            <w:vAlign w:val="center"/>
          </w:tcPr>
          <w:p w14:paraId="35EA1BD9">
            <w:pPr>
              <w:pStyle w:val="16"/>
              <w:spacing w:line="360" w:lineRule="auto"/>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0-4分</w:t>
            </w:r>
          </w:p>
        </w:tc>
      </w:tr>
      <w:tr w14:paraId="304A4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Align w:val="center"/>
          </w:tcPr>
          <w:p w14:paraId="33515F9C">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3</w:t>
            </w:r>
          </w:p>
        </w:tc>
        <w:tc>
          <w:tcPr>
            <w:tcW w:w="1190" w:type="dxa"/>
            <w:vAlign w:val="center"/>
          </w:tcPr>
          <w:p w14:paraId="2F354628">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团队人员</w:t>
            </w:r>
          </w:p>
        </w:tc>
        <w:tc>
          <w:tcPr>
            <w:tcW w:w="6095" w:type="dxa"/>
            <w:vAlign w:val="center"/>
          </w:tcPr>
          <w:p w14:paraId="38B1D540">
            <w:pPr>
              <w:pStyle w:val="2"/>
              <w:spacing w:line="360" w:lineRule="auto"/>
              <w:rPr>
                <w:rFonts w:ascii="宋体" w:hAnsi="宋体"/>
                <w:color w:val="auto"/>
                <w:sz w:val="21"/>
                <w:szCs w:val="21"/>
              </w:rPr>
            </w:pPr>
            <w:r>
              <w:rPr>
                <w:rFonts w:hint="eastAsia" w:ascii="宋体" w:hAnsi="宋体"/>
                <w:color w:val="auto"/>
                <w:sz w:val="21"/>
                <w:szCs w:val="21"/>
              </w:rPr>
              <w:t>项目团队人员（不包括项目负责人）</w:t>
            </w:r>
            <w:r>
              <w:rPr>
                <w:rFonts w:hint="eastAsia" w:ascii="宋体" w:hAnsi="宋体"/>
                <w:color w:val="auto"/>
                <w:sz w:val="21"/>
                <w:szCs w:val="21"/>
                <w:lang w:val="en-US" w:eastAsia="zh-CN"/>
              </w:rPr>
              <w:t>具有</w:t>
            </w:r>
            <w:r>
              <w:rPr>
                <w:rFonts w:hint="eastAsia" w:ascii="宋体" w:hAnsi="宋体"/>
                <w:color w:val="auto"/>
                <w:sz w:val="21"/>
                <w:szCs w:val="21"/>
              </w:rPr>
              <w:t>企业管理或工商管理或工科博士学历</w:t>
            </w:r>
            <w:r>
              <w:rPr>
                <w:rFonts w:hint="eastAsia" w:ascii="宋体" w:hAnsi="宋体"/>
                <w:color w:val="auto"/>
                <w:sz w:val="21"/>
                <w:szCs w:val="21"/>
                <w:lang w:eastAsia="zh-CN"/>
              </w:rPr>
              <w:t>的</w:t>
            </w:r>
            <w:r>
              <w:rPr>
                <w:rFonts w:hint="eastAsia" w:ascii="宋体" w:hAnsi="宋体"/>
                <w:color w:val="auto"/>
                <w:sz w:val="21"/>
                <w:szCs w:val="21"/>
              </w:rPr>
              <w:t>每人</w:t>
            </w:r>
            <w:r>
              <w:rPr>
                <w:rFonts w:hint="eastAsia" w:ascii="宋体" w:hAnsi="宋体"/>
                <w:color w:val="auto"/>
                <w:sz w:val="21"/>
                <w:szCs w:val="21"/>
                <w:lang w:val="en-US" w:eastAsia="zh-CN"/>
              </w:rPr>
              <w:t>得</w:t>
            </w:r>
            <w:r>
              <w:rPr>
                <w:rFonts w:hint="eastAsia" w:ascii="宋体" w:hAnsi="宋体"/>
                <w:color w:val="auto"/>
                <w:sz w:val="21"/>
                <w:szCs w:val="21"/>
              </w:rPr>
              <w:t>2分，本项最高得6分。</w:t>
            </w:r>
          </w:p>
          <w:p w14:paraId="019687EC">
            <w:pPr>
              <w:pStyle w:val="2"/>
              <w:spacing w:line="360" w:lineRule="auto"/>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磋商响应</w:t>
            </w:r>
            <w:r>
              <w:rPr>
                <w:rFonts w:ascii="宋体" w:hAnsi="宋体"/>
                <w:color w:val="auto"/>
                <w:sz w:val="21"/>
                <w:szCs w:val="21"/>
              </w:rPr>
              <w:t>文件中提供</w:t>
            </w:r>
            <w:r>
              <w:rPr>
                <w:rFonts w:hint="eastAsia" w:ascii="宋体" w:hAnsi="宋体"/>
                <w:color w:val="auto"/>
                <w:sz w:val="21"/>
                <w:szCs w:val="21"/>
                <w:lang w:val="en-US" w:eastAsia="zh-CN"/>
              </w:rPr>
              <w:t>人员学历</w:t>
            </w:r>
            <w:r>
              <w:rPr>
                <w:rFonts w:ascii="宋体" w:hAnsi="宋体"/>
                <w:color w:val="auto"/>
                <w:sz w:val="21"/>
                <w:szCs w:val="21"/>
              </w:rPr>
              <w:t>证书</w:t>
            </w:r>
            <w:r>
              <w:rPr>
                <w:rFonts w:hint="eastAsia" w:ascii="宋体" w:hAnsi="宋体"/>
                <w:color w:val="auto"/>
                <w:sz w:val="21"/>
                <w:szCs w:val="21"/>
              </w:rPr>
              <w:t>扫描件，否则不得分。】</w:t>
            </w:r>
          </w:p>
        </w:tc>
        <w:tc>
          <w:tcPr>
            <w:tcW w:w="1076" w:type="dxa"/>
            <w:vAlign w:val="center"/>
          </w:tcPr>
          <w:p w14:paraId="09EBD432">
            <w:pPr>
              <w:pStyle w:val="16"/>
              <w:spacing w:line="500" w:lineRule="exact"/>
              <w:jc w:val="center"/>
              <w:rPr>
                <w:rFonts w:hAnsi="宋体" w:cs="宋体"/>
                <w:color w:val="auto"/>
                <w:kern w:val="0"/>
                <w:szCs w:val="21"/>
              </w:rPr>
            </w:pPr>
            <w:r>
              <w:rPr>
                <w:rFonts w:hint="eastAsia" w:hAnsi="宋体" w:cs="宋体"/>
                <w:color w:val="auto"/>
                <w:kern w:val="0"/>
                <w:szCs w:val="21"/>
              </w:rPr>
              <w:t>0-6分</w:t>
            </w:r>
          </w:p>
        </w:tc>
      </w:tr>
      <w:tr w14:paraId="4E347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Align w:val="center"/>
          </w:tcPr>
          <w:p w14:paraId="2CE7A42F">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4</w:t>
            </w:r>
          </w:p>
        </w:tc>
        <w:tc>
          <w:tcPr>
            <w:tcW w:w="1190" w:type="dxa"/>
            <w:vAlign w:val="center"/>
          </w:tcPr>
          <w:p w14:paraId="289A6B25">
            <w:pPr>
              <w:spacing w:line="360" w:lineRule="auto"/>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诚信分</w:t>
            </w:r>
          </w:p>
        </w:tc>
        <w:tc>
          <w:tcPr>
            <w:tcW w:w="6095" w:type="dxa"/>
            <w:vAlign w:val="center"/>
          </w:tcPr>
          <w:p w14:paraId="5BAB1315">
            <w:pPr>
              <w:spacing w:line="360" w:lineRule="auto"/>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供应商</w:t>
            </w:r>
            <w:r>
              <w:rPr>
                <w:rFonts w:hint="eastAsia" w:cs="宋体" w:asciiTheme="minorEastAsia" w:hAnsiTheme="minorEastAsia" w:eastAsiaTheme="minorEastAsia"/>
                <w:color w:val="auto"/>
                <w:szCs w:val="21"/>
                <w:highlight w:val="none"/>
              </w:rPr>
              <w:t>凡在</w:t>
            </w:r>
            <w:r>
              <w:rPr>
                <w:rFonts w:hint="eastAsia" w:cs="宋体" w:asciiTheme="minorEastAsia" w:hAnsiTheme="minorEastAsia" w:eastAsiaTheme="minorEastAsia"/>
                <w:color w:val="auto"/>
                <w:szCs w:val="21"/>
                <w:highlight w:val="none"/>
                <w:lang w:val="en-US" w:eastAsia="zh-CN"/>
              </w:rPr>
              <w:t>磋商</w:t>
            </w:r>
            <w:r>
              <w:rPr>
                <w:rFonts w:hint="eastAsia" w:cs="宋体" w:asciiTheme="minorEastAsia" w:hAnsiTheme="minorEastAsia" w:eastAsiaTheme="minorEastAsia"/>
                <w:color w:val="auto"/>
                <w:szCs w:val="21"/>
                <w:highlight w:val="none"/>
              </w:rPr>
              <w:t>截止时间前三年受到行政处罚、行政处理（含通报）或记入不良行为的，此项得0分；若无处罚、行政处理（含通报）或记入不良行为的得3分。【</w:t>
            </w:r>
            <w:r>
              <w:rPr>
                <w:rFonts w:hint="eastAsia" w:cs="宋体" w:asciiTheme="minorEastAsia" w:hAnsiTheme="minorEastAsia" w:eastAsiaTheme="minorEastAsia"/>
                <w:color w:val="auto"/>
                <w:szCs w:val="21"/>
                <w:highlight w:val="none"/>
                <w:lang w:val="en-US" w:eastAsia="zh-CN"/>
              </w:rPr>
              <w:t>供应商</w:t>
            </w:r>
            <w:r>
              <w:rPr>
                <w:rFonts w:hint="eastAsia" w:ascii="宋体" w:hAnsi="宋体" w:cs="宋体"/>
                <w:color w:val="auto"/>
                <w:szCs w:val="21"/>
                <w:highlight w:val="none"/>
              </w:rPr>
              <w:t>自行提供承诺</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rPr>
              <w:t>，不提供承诺函的得0分，如有不良记录</w:t>
            </w:r>
            <w:r>
              <w:rPr>
                <w:rFonts w:hint="eastAsia" w:ascii="宋体" w:hAnsi="宋体" w:cs="宋体"/>
                <w:color w:val="auto"/>
                <w:szCs w:val="21"/>
                <w:highlight w:val="none"/>
                <w:lang w:val="en-US" w:eastAsia="zh-CN"/>
              </w:rPr>
              <w:t>又</w:t>
            </w:r>
            <w:r>
              <w:rPr>
                <w:rFonts w:hint="eastAsia" w:ascii="宋体" w:hAnsi="宋体" w:cs="宋体"/>
                <w:color w:val="auto"/>
                <w:szCs w:val="21"/>
                <w:highlight w:val="none"/>
              </w:rPr>
              <w:t>虚假</w:t>
            </w:r>
            <w:r>
              <w:rPr>
                <w:rFonts w:hint="eastAsia" w:ascii="宋体" w:hAnsi="宋体" w:cs="宋体"/>
                <w:color w:val="auto"/>
                <w:szCs w:val="21"/>
                <w:highlight w:val="none"/>
                <w:lang w:val="en-US" w:eastAsia="zh-CN"/>
              </w:rPr>
              <w:t>承诺</w:t>
            </w:r>
            <w:r>
              <w:rPr>
                <w:rFonts w:hint="eastAsia" w:ascii="宋体" w:hAnsi="宋体" w:cs="宋体"/>
                <w:color w:val="auto"/>
                <w:szCs w:val="21"/>
                <w:highlight w:val="none"/>
              </w:rPr>
              <w:t>的，一经发现将取消</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资格并报监管部门依法处理。</w:t>
            </w:r>
            <w:r>
              <w:rPr>
                <w:rFonts w:hint="eastAsia" w:cs="宋体" w:asciiTheme="minorEastAsia" w:hAnsiTheme="minorEastAsia" w:eastAsiaTheme="minorEastAsia"/>
                <w:color w:val="auto"/>
                <w:szCs w:val="21"/>
                <w:highlight w:val="none"/>
              </w:rPr>
              <w:t>】</w:t>
            </w:r>
          </w:p>
        </w:tc>
        <w:tc>
          <w:tcPr>
            <w:tcW w:w="1076" w:type="dxa"/>
            <w:vAlign w:val="center"/>
          </w:tcPr>
          <w:p w14:paraId="7284EE32">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0-3分</w:t>
            </w:r>
          </w:p>
        </w:tc>
      </w:tr>
      <w:tr w14:paraId="3F4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58" w:type="dxa"/>
            <w:gridSpan w:val="4"/>
            <w:vAlign w:val="center"/>
          </w:tcPr>
          <w:p w14:paraId="16D7D754">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二、技术部分（72分）</w:t>
            </w:r>
          </w:p>
        </w:tc>
      </w:tr>
      <w:tr w14:paraId="5E6E3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restart"/>
            <w:vAlign w:val="center"/>
          </w:tcPr>
          <w:p w14:paraId="791B9E85">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5</w:t>
            </w:r>
          </w:p>
        </w:tc>
        <w:tc>
          <w:tcPr>
            <w:tcW w:w="1190" w:type="dxa"/>
            <w:vMerge w:val="restart"/>
            <w:vAlign w:val="center"/>
          </w:tcPr>
          <w:p w14:paraId="42B96143">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项目理解</w:t>
            </w:r>
          </w:p>
        </w:tc>
        <w:tc>
          <w:tcPr>
            <w:tcW w:w="6095" w:type="dxa"/>
            <w:vAlign w:val="center"/>
          </w:tcPr>
          <w:p w14:paraId="0AF829ED">
            <w:pPr>
              <w:spacing w:line="460" w:lineRule="exact"/>
              <w:jc w:val="left"/>
              <w:rPr>
                <w:rFonts w:ascii="宋体" w:hAnsi="宋体"/>
                <w:color w:val="auto"/>
                <w:szCs w:val="21"/>
              </w:rPr>
            </w:pPr>
            <w:r>
              <w:rPr>
                <w:rFonts w:hint="eastAsia" w:ascii="宋体" w:hAnsi="宋体"/>
                <w:color w:val="auto"/>
                <w:szCs w:val="21"/>
              </w:rPr>
              <w:t>（1）对制造业精益管理发展态势研究完整且深入，在企业精益管理改善和流程优化方面论述全面、讨论充分，得5.1-8分；</w:t>
            </w:r>
          </w:p>
          <w:p w14:paraId="71D84016">
            <w:pPr>
              <w:spacing w:line="460" w:lineRule="exact"/>
              <w:jc w:val="left"/>
              <w:rPr>
                <w:rFonts w:ascii="宋体" w:hAnsi="宋体"/>
                <w:color w:val="auto"/>
                <w:szCs w:val="21"/>
              </w:rPr>
            </w:pPr>
            <w:r>
              <w:rPr>
                <w:rFonts w:hint="eastAsia" w:ascii="宋体" w:hAnsi="宋体"/>
                <w:color w:val="auto"/>
                <w:szCs w:val="21"/>
              </w:rPr>
              <w:t>对制造业精益管理发展态势研究</w:t>
            </w:r>
            <w:r>
              <w:rPr>
                <w:rFonts w:hint="eastAsia" w:ascii="宋体" w:hAnsi="宋体"/>
                <w:color w:val="auto"/>
                <w:szCs w:val="21"/>
                <w:lang w:val="en-US" w:eastAsia="zh-CN"/>
              </w:rPr>
              <w:t>较</w:t>
            </w:r>
            <w:r>
              <w:rPr>
                <w:rFonts w:hint="eastAsia" w:ascii="宋体" w:hAnsi="宋体"/>
                <w:color w:val="auto"/>
                <w:szCs w:val="21"/>
              </w:rPr>
              <w:t>完整、</w:t>
            </w:r>
            <w:r>
              <w:rPr>
                <w:rFonts w:hint="eastAsia" w:ascii="宋体" w:hAnsi="宋体"/>
                <w:color w:val="auto"/>
                <w:szCs w:val="21"/>
                <w:lang w:val="en-US" w:eastAsia="zh-CN"/>
              </w:rPr>
              <w:t>较</w:t>
            </w:r>
            <w:r>
              <w:rPr>
                <w:rFonts w:ascii="宋体" w:hAnsi="宋体"/>
                <w:color w:val="auto"/>
                <w:szCs w:val="21"/>
              </w:rPr>
              <w:t>深入</w:t>
            </w:r>
            <w:r>
              <w:rPr>
                <w:rFonts w:hint="eastAsia" w:ascii="宋体" w:hAnsi="宋体"/>
                <w:color w:val="auto"/>
                <w:szCs w:val="21"/>
              </w:rPr>
              <w:t>，或在企业精益管理改善和流程优化方面论述</w:t>
            </w:r>
            <w:r>
              <w:rPr>
                <w:rFonts w:hint="eastAsia" w:ascii="宋体" w:hAnsi="宋体"/>
                <w:color w:val="auto"/>
                <w:szCs w:val="21"/>
                <w:lang w:val="en-US" w:eastAsia="zh-CN"/>
              </w:rPr>
              <w:t>较</w:t>
            </w:r>
            <w:r>
              <w:rPr>
                <w:rFonts w:hint="eastAsia" w:ascii="宋体" w:hAnsi="宋体"/>
                <w:color w:val="auto"/>
                <w:szCs w:val="21"/>
              </w:rPr>
              <w:t>全面、论证</w:t>
            </w:r>
            <w:r>
              <w:rPr>
                <w:rFonts w:hint="eastAsia" w:ascii="宋体" w:hAnsi="宋体"/>
                <w:color w:val="auto"/>
                <w:szCs w:val="21"/>
                <w:lang w:val="en-US" w:eastAsia="zh-CN"/>
              </w:rPr>
              <w:t>较</w:t>
            </w:r>
            <w:r>
              <w:rPr>
                <w:rFonts w:hint="eastAsia" w:ascii="宋体" w:hAnsi="宋体"/>
                <w:color w:val="auto"/>
                <w:szCs w:val="21"/>
              </w:rPr>
              <w:t>充分，得2.1-5分；</w:t>
            </w:r>
          </w:p>
          <w:p w14:paraId="3E0F6F9E">
            <w:pPr>
              <w:spacing w:line="460" w:lineRule="exact"/>
              <w:jc w:val="left"/>
              <w:rPr>
                <w:rFonts w:ascii="宋体" w:hAnsi="宋体"/>
                <w:color w:val="auto"/>
                <w:szCs w:val="21"/>
              </w:rPr>
            </w:pPr>
            <w:r>
              <w:rPr>
                <w:rFonts w:hint="eastAsia" w:ascii="宋体" w:hAnsi="宋体"/>
                <w:color w:val="auto"/>
                <w:szCs w:val="21"/>
              </w:rPr>
              <w:t>对制造业精益管理发展态势研究不完整</w:t>
            </w:r>
            <w:r>
              <w:rPr>
                <w:rFonts w:ascii="宋体" w:hAnsi="宋体"/>
                <w:color w:val="auto"/>
                <w:szCs w:val="21"/>
              </w:rPr>
              <w:t>深入</w:t>
            </w:r>
            <w:r>
              <w:rPr>
                <w:rFonts w:hint="eastAsia" w:ascii="宋体" w:hAnsi="宋体"/>
                <w:color w:val="auto"/>
                <w:szCs w:val="21"/>
              </w:rPr>
              <w:t>，或在企业精益管理改善和流程优化方面论述不全面、论证不充分，得0.1-2分。未提供不得分。</w:t>
            </w:r>
          </w:p>
        </w:tc>
        <w:tc>
          <w:tcPr>
            <w:tcW w:w="1076" w:type="dxa"/>
            <w:vAlign w:val="center"/>
          </w:tcPr>
          <w:p w14:paraId="386FD630">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0-8分</w:t>
            </w:r>
          </w:p>
        </w:tc>
      </w:tr>
      <w:tr w14:paraId="5CBA8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continue"/>
            <w:vAlign w:val="center"/>
          </w:tcPr>
          <w:p w14:paraId="2D6258D9">
            <w:pPr>
              <w:spacing w:line="360" w:lineRule="auto"/>
              <w:jc w:val="center"/>
              <w:rPr>
                <w:rFonts w:cs="宋体" w:asciiTheme="minorEastAsia" w:hAnsiTheme="minorEastAsia" w:eastAsiaTheme="minorEastAsia"/>
                <w:b/>
                <w:color w:val="auto"/>
                <w:kern w:val="0"/>
                <w:szCs w:val="21"/>
              </w:rPr>
            </w:pPr>
          </w:p>
        </w:tc>
        <w:tc>
          <w:tcPr>
            <w:tcW w:w="1190" w:type="dxa"/>
            <w:vMerge w:val="continue"/>
            <w:vAlign w:val="center"/>
          </w:tcPr>
          <w:p w14:paraId="3A98C614">
            <w:pPr>
              <w:spacing w:line="360" w:lineRule="auto"/>
              <w:jc w:val="center"/>
              <w:rPr>
                <w:rFonts w:cs="宋体" w:asciiTheme="minorEastAsia" w:hAnsiTheme="minorEastAsia" w:eastAsiaTheme="minorEastAsia"/>
                <w:b/>
                <w:color w:val="auto"/>
                <w:kern w:val="0"/>
                <w:szCs w:val="21"/>
              </w:rPr>
            </w:pPr>
          </w:p>
        </w:tc>
        <w:tc>
          <w:tcPr>
            <w:tcW w:w="6095" w:type="dxa"/>
            <w:vAlign w:val="center"/>
          </w:tcPr>
          <w:p w14:paraId="48CB832E">
            <w:pPr>
              <w:spacing w:line="460" w:lineRule="exact"/>
              <w:jc w:val="left"/>
              <w:rPr>
                <w:rFonts w:ascii="宋体" w:hAnsi="宋体"/>
                <w:color w:val="auto"/>
                <w:szCs w:val="21"/>
              </w:rPr>
            </w:pPr>
            <w:r>
              <w:rPr>
                <w:rFonts w:hint="eastAsia" w:ascii="宋体" w:hAnsi="宋体"/>
                <w:color w:val="auto"/>
                <w:szCs w:val="21"/>
              </w:rPr>
              <w:t>（2）对项目所在地制造业精益管理企业了解、结合类似案例进行分析，结合类似工作经验分析，理解深刻、分析清晰，得5.1-8分；结合类似工作经验分析，理解</w:t>
            </w:r>
            <w:r>
              <w:rPr>
                <w:rFonts w:hint="eastAsia" w:ascii="宋体" w:hAnsi="宋体"/>
                <w:color w:val="auto"/>
                <w:szCs w:val="21"/>
                <w:lang w:val="en-US" w:eastAsia="zh-CN"/>
              </w:rPr>
              <w:t>较</w:t>
            </w:r>
            <w:r>
              <w:rPr>
                <w:rFonts w:hint="eastAsia" w:ascii="宋体" w:hAnsi="宋体"/>
                <w:color w:val="auto"/>
                <w:szCs w:val="21"/>
              </w:rPr>
              <w:t>深刻、分析</w:t>
            </w:r>
            <w:r>
              <w:rPr>
                <w:rFonts w:hint="eastAsia" w:ascii="宋体" w:hAnsi="宋体"/>
                <w:color w:val="auto"/>
                <w:szCs w:val="21"/>
                <w:lang w:val="en-US" w:eastAsia="zh-CN"/>
              </w:rPr>
              <w:t>较</w:t>
            </w:r>
            <w:r>
              <w:rPr>
                <w:rFonts w:hint="eastAsia" w:ascii="宋体" w:hAnsi="宋体"/>
                <w:color w:val="auto"/>
                <w:szCs w:val="21"/>
              </w:rPr>
              <w:t>清晰，得2.1-5分；未结合类似工作经验分析，理解不深刻、分析不清晰，得0.1-2分。未提供不得分。</w:t>
            </w:r>
          </w:p>
        </w:tc>
        <w:tc>
          <w:tcPr>
            <w:tcW w:w="1076" w:type="dxa"/>
            <w:vAlign w:val="center"/>
          </w:tcPr>
          <w:p w14:paraId="197814C5">
            <w:pPr>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0-8分</w:t>
            </w:r>
          </w:p>
        </w:tc>
      </w:tr>
      <w:tr w14:paraId="1038A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restart"/>
            <w:vAlign w:val="center"/>
          </w:tcPr>
          <w:p w14:paraId="25BFF3C4">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6</w:t>
            </w:r>
          </w:p>
        </w:tc>
        <w:tc>
          <w:tcPr>
            <w:tcW w:w="1190" w:type="dxa"/>
            <w:vMerge w:val="restart"/>
            <w:vAlign w:val="center"/>
          </w:tcPr>
          <w:p w14:paraId="4D0387D5">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项目解决方案分析</w:t>
            </w:r>
          </w:p>
        </w:tc>
        <w:tc>
          <w:tcPr>
            <w:tcW w:w="6095" w:type="dxa"/>
            <w:vAlign w:val="center"/>
          </w:tcPr>
          <w:p w14:paraId="552504BA">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（1）对制造业精益管理能够提出精准要点概述，</w:t>
            </w:r>
            <w:r>
              <w:rPr>
                <w:rFonts w:cs="宋体" w:asciiTheme="minorEastAsia" w:hAnsiTheme="minorEastAsia" w:eastAsiaTheme="minorEastAsia"/>
                <w:color w:val="auto"/>
                <w:kern w:val="0"/>
                <w:szCs w:val="21"/>
              </w:rPr>
              <w:t>得</w:t>
            </w:r>
            <w:r>
              <w:rPr>
                <w:rFonts w:hint="eastAsia" w:cs="宋体" w:asciiTheme="minorEastAsia" w:hAnsiTheme="minorEastAsia" w:eastAsiaTheme="minorEastAsia"/>
                <w:color w:val="auto"/>
                <w:kern w:val="0"/>
                <w:szCs w:val="21"/>
              </w:rPr>
              <w:t>5.1-8分；提出概述，但</w:t>
            </w:r>
            <w:r>
              <w:rPr>
                <w:rFonts w:cs="宋体" w:asciiTheme="minorEastAsia" w:hAnsiTheme="minorEastAsia" w:eastAsiaTheme="minorEastAsia"/>
                <w:color w:val="auto"/>
                <w:kern w:val="0"/>
                <w:szCs w:val="21"/>
              </w:rPr>
              <w:t>不</w:t>
            </w:r>
            <w:r>
              <w:rPr>
                <w:rFonts w:hint="eastAsia" w:cs="宋体" w:asciiTheme="minorEastAsia" w:hAnsiTheme="minorEastAsia" w:eastAsiaTheme="minorEastAsia"/>
                <w:color w:val="auto"/>
                <w:kern w:val="0"/>
                <w:szCs w:val="21"/>
              </w:rPr>
              <w:t>精准，</w:t>
            </w:r>
            <w:r>
              <w:rPr>
                <w:rFonts w:cs="宋体" w:asciiTheme="minorEastAsia" w:hAnsiTheme="minorEastAsia" w:eastAsiaTheme="minorEastAsia"/>
                <w:color w:val="auto"/>
                <w:kern w:val="0"/>
                <w:szCs w:val="21"/>
              </w:rPr>
              <w:t>得</w:t>
            </w:r>
            <w:r>
              <w:rPr>
                <w:rFonts w:hint="eastAsia" w:cs="宋体" w:asciiTheme="minorEastAsia" w:hAnsiTheme="minorEastAsia" w:eastAsiaTheme="minorEastAsia"/>
                <w:color w:val="auto"/>
                <w:kern w:val="0"/>
                <w:szCs w:val="21"/>
              </w:rPr>
              <w:t>2.1-5分</w:t>
            </w:r>
            <w:r>
              <w:rPr>
                <w:rFonts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提出概述不</w:t>
            </w:r>
            <w:r>
              <w:rPr>
                <w:rFonts w:cs="宋体" w:asciiTheme="minorEastAsia" w:hAnsiTheme="minorEastAsia" w:eastAsiaTheme="minorEastAsia"/>
                <w:color w:val="auto"/>
                <w:kern w:val="0"/>
                <w:szCs w:val="21"/>
              </w:rPr>
              <w:t>完整</w:t>
            </w:r>
            <w:r>
              <w:rPr>
                <w:rFonts w:hint="eastAsia" w:cs="宋体" w:asciiTheme="minorEastAsia" w:hAnsiTheme="minorEastAsia" w:eastAsiaTheme="minorEastAsia"/>
                <w:color w:val="auto"/>
                <w:kern w:val="0"/>
                <w:szCs w:val="21"/>
              </w:rPr>
              <w:t>且</w:t>
            </w:r>
            <w:r>
              <w:rPr>
                <w:rFonts w:cs="宋体" w:asciiTheme="minorEastAsia" w:hAnsiTheme="minorEastAsia" w:eastAsiaTheme="minorEastAsia"/>
                <w:color w:val="auto"/>
                <w:kern w:val="0"/>
                <w:szCs w:val="21"/>
              </w:rPr>
              <w:t>不精准</w:t>
            </w:r>
            <w:r>
              <w:rPr>
                <w:rFonts w:hint="eastAsia" w:cs="宋体" w:asciiTheme="minorEastAsia" w:hAnsiTheme="minorEastAsia" w:eastAsiaTheme="minorEastAsia"/>
                <w:color w:val="auto"/>
                <w:kern w:val="0"/>
                <w:szCs w:val="21"/>
              </w:rPr>
              <w:t>，</w:t>
            </w:r>
            <w:r>
              <w:rPr>
                <w:rFonts w:cs="宋体" w:asciiTheme="minorEastAsia" w:hAnsiTheme="minorEastAsia" w:eastAsiaTheme="minorEastAsia"/>
                <w:color w:val="auto"/>
                <w:kern w:val="0"/>
                <w:szCs w:val="21"/>
              </w:rPr>
              <w:t>得</w:t>
            </w:r>
            <w:r>
              <w:rPr>
                <w:rFonts w:hint="eastAsia" w:cs="宋体" w:asciiTheme="minorEastAsia" w:hAnsiTheme="minorEastAsia" w:eastAsiaTheme="minorEastAsia"/>
                <w:color w:val="auto"/>
                <w:kern w:val="0"/>
                <w:szCs w:val="21"/>
              </w:rPr>
              <w:t>0.1-2分。</w:t>
            </w:r>
            <w:r>
              <w:rPr>
                <w:rFonts w:hint="eastAsia" w:ascii="宋体" w:hAnsi="宋体"/>
                <w:color w:val="auto"/>
                <w:szCs w:val="21"/>
              </w:rPr>
              <w:t>未提供不得分。</w:t>
            </w:r>
          </w:p>
        </w:tc>
        <w:tc>
          <w:tcPr>
            <w:tcW w:w="1076" w:type="dxa"/>
            <w:vAlign w:val="center"/>
          </w:tcPr>
          <w:p w14:paraId="2152F2D9">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0-8分</w:t>
            </w:r>
          </w:p>
        </w:tc>
      </w:tr>
      <w:tr w14:paraId="7EFC8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continue"/>
            <w:vAlign w:val="center"/>
          </w:tcPr>
          <w:p w14:paraId="77A6475C">
            <w:pPr>
              <w:spacing w:line="360" w:lineRule="auto"/>
              <w:jc w:val="center"/>
              <w:rPr>
                <w:rFonts w:cs="宋体" w:asciiTheme="minorEastAsia" w:hAnsiTheme="minorEastAsia" w:eastAsiaTheme="minorEastAsia"/>
                <w:b/>
                <w:color w:val="auto"/>
                <w:kern w:val="0"/>
                <w:szCs w:val="21"/>
              </w:rPr>
            </w:pPr>
          </w:p>
        </w:tc>
        <w:tc>
          <w:tcPr>
            <w:tcW w:w="1190" w:type="dxa"/>
            <w:vMerge w:val="continue"/>
            <w:vAlign w:val="center"/>
          </w:tcPr>
          <w:p w14:paraId="341C50B5">
            <w:pPr>
              <w:spacing w:line="360" w:lineRule="auto"/>
              <w:jc w:val="center"/>
              <w:rPr>
                <w:rFonts w:cs="宋体" w:asciiTheme="minorEastAsia" w:hAnsiTheme="minorEastAsia" w:eastAsiaTheme="minorEastAsia"/>
                <w:b/>
                <w:color w:val="auto"/>
                <w:kern w:val="0"/>
                <w:szCs w:val="21"/>
              </w:rPr>
            </w:pPr>
          </w:p>
        </w:tc>
        <w:tc>
          <w:tcPr>
            <w:tcW w:w="6095" w:type="dxa"/>
            <w:vAlign w:val="center"/>
          </w:tcPr>
          <w:p w14:paraId="22F6418E">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（2）在精益管理方面熟知如何帮助企业进行有效的人员、生产设备等的管理，得4.1-7分；熟知人员、生产设备等的管理方案</w:t>
            </w:r>
            <w:r>
              <w:rPr>
                <w:rFonts w:cs="宋体" w:asciiTheme="minorEastAsia" w:hAnsiTheme="minorEastAsia" w:eastAsiaTheme="minorEastAsia"/>
                <w:color w:val="auto"/>
                <w:kern w:val="0"/>
                <w:szCs w:val="21"/>
              </w:rPr>
              <w:t>，提供</w:t>
            </w:r>
            <w:r>
              <w:rPr>
                <w:rFonts w:hint="eastAsia" w:cs="宋体" w:asciiTheme="minorEastAsia" w:hAnsiTheme="minorEastAsia" w:eastAsiaTheme="minorEastAsia"/>
                <w:color w:val="auto"/>
                <w:kern w:val="0"/>
                <w:szCs w:val="21"/>
              </w:rPr>
              <w:t>的</w:t>
            </w:r>
            <w:r>
              <w:rPr>
                <w:rFonts w:cs="宋体" w:asciiTheme="minorEastAsia" w:hAnsiTheme="minorEastAsia" w:eastAsiaTheme="minorEastAsia"/>
                <w:color w:val="auto"/>
                <w:kern w:val="0"/>
                <w:szCs w:val="21"/>
              </w:rPr>
              <w:t>帮助解决方案</w:t>
            </w:r>
            <w:r>
              <w:rPr>
                <w:rFonts w:hint="eastAsia" w:cs="宋体" w:asciiTheme="minorEastAsia" w:hAnsiTheme="minorEastAsia" w:eastAsiaTheme="minorEastAsia"/>
                <w:color w:val="auto"/>
                <w:kern w:val="0"/>
                <w:szCs w:val="21"/>
              </w:rPr>
              <w:t>缺乏</w:t>
            </w:r>
            <w:r>
              <w:rPr>
                <w:rFonts w:cs="宋体" w:asciiTheme="minorEastAsia" w:hAnsiTheme="minorEastAsia" w:eastAsiaTheme="minorEastAsia"/>
                <w:color w:val="auto"/>
                <w:kern w:val="0"/>
                <w:szCs w:val="21"/>
              </w:rPr>
              <w:t>有效性</w:t>
            </w:r>
            <w:r>
              <w:rPr>
                <w:rFonts w:hint="eastAsia" w:cs="宋体" w:asciiTheme="minorEastAsia" w:hAnsiTheme="minorEastAsia" w:eastAsiaTheme="minorEastAsia"/>
                <w:color w:val="auto"/>
                <w:kern w:val="0"/>
                <w:szCs w:val="21"/>
              </w:rPr>
              <w:t>，得2.1-4分；人员、生产设备等的管理方案简略</w:t>
            </w:r>
            <w:r>
              <w:rPr>
                <w:rFonts w:cs="宋体" w:asciiTheme="minorEastAsia" w:hAnsiTheme="minorEastAsia" w:eastAsiaTheme="minorEastAsia"/>
                <w:color w:val="auto"/>
                <w:kern w:val="0"/>
                <w:szCs w:val="21"/>
              </w:rPr>
              <w:t>，且提供的帮助解决方案</w:t>
            </w:r>
            <w:r>
              <w:rPr>
                <w:rFonts w:hint="eastAsia" w:cs="宋体" w:asciiTheme="minorEastAsia" w:hAnsiTheme="minorEastAsia" w:eastAsiaTheme="minorEastAsia"/>
                <w:color w:val="auto"/>
                <w:kern w:val="0"/>
                <w:szCs w:val="21"/>
              </w:rPr>
              <w:t>缺乏</w:t>
            </w:r>
            <w:r>
              <w:rPr>
                <w:rFonts w:cs="宋体" w:asciiTheme="minorEastAsia" w:hAnsiTheme="minorEastAsia" w:eastAsiaTheme="minorEastAsia"/>
                <w:color w:val="auto"/>
                <w:kern w:val="0"/>
                <w:szCs w:val="21"/>
              </w:rPr>
              <w:t>有效性</w:t>
            </w:r>
            <w:r>
              <w:rPr>
                <w:rFonts w:hint="eastAsia" w:cs="宋体" w:asciiTheme="minorEastAsia" w:hAnsiTheme="minorEastAsia" w:eastAsiaTheme="minorEastAsia"/>
                <w:color w:val="auto"/>
                <w:kern w:val="0"/>
                <w:szCs w:val="21"/>
              </w:rPr>
              <w:t>，得0.1-2分。</w:t>
            </w:r>
            <w:r>
              <w:rPr>
                <w:rFonts w:hint="eastAsia" w:ascii="宋体" w:hAnsi="宋体"/>
                <w:color w:val="auto"/>
                <w:szCs w:val="21"/>
              </w:rPr>
              <w:t>未提供不得分。</w:t>
            </w:r>
          </w:p>
        </w:tc>
        <w:tc>
          <w:tcPr>
            <w:tcW w:w="1076" w:type="dxa"/>
            <w:vAlign w:val="center"/>
          </w:tcPr>
          <w:p w14:paraId="57C7C50E">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0-7分</w:t>
            </w:r>
          </w:p>
        </w:tc>
      </w:tr>
      <w:tr w14:paraId="008BA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continue"/>
            <w:vAlign w:val="center"/>
          </w:tcPr>
          <w:p w14:paraId="21E3AD47">
            <w:pPr>
              <w:spacing w:line="360" w:lineRule="auto"/>
              <w:jc w:val="center"/>
              <w:rPr>
                <w:rFonts w:cs="宋体" w:asciiTheme="minorEastAsia" w:hAnsiTheme="minorEastAsia" w:eastAsiaTheme="minorEastAsia"/>
                <w:b/>
                <w:color w:val="auto"/>
                <w:kern w:val="0"/>
                <w:szCs w:val="21"/>
              </w:rPr>
            </w:pPr>
          </w:p>
        </w:tc>
        <w:tc>
          <w:tcPr>
            <w:tcW w:w="1190" w:type="dxa"/>
            <w:vMerge w:val="continue"/>
            <w:vAlign w:val="center"/>
          </w:tcPr>
          <w:p w14:paraId="418F7898">
            <w:pPr>
              <w:spacing w:line="360" w:lineRule="auto"/>
              <w:jc w:val="center"/>
              <w:rPr>
                <w:rFonts w:cs="宋体" w:asciiTheme="minorEastAsia" w:hAnsiTheme="minorEastAsia" w:eastAsiaTheme="minorEastAsia"/>
                <w:b/>
                <w:color w:val="auto"/>
                <w:kern w:val="0"/>
                <w:szCs w:val="21"/>
              </w:rPr>
            </w:pPr>
          </w:p>
        </w:tc>
        <w:tc>
          <w:tcPr>
            <w:tcW w:w="6095" w:type="dxa"/>
            <w:vAlign w:val="center"/>
          </w:tcPr>
          <w:p w14:paraId="48F61600">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（3）提供</w:t>
            </w:r>
            <w:r>
              <w:rPr>
                <w:rFonts w:cs="宋体" w:asciiTheme="minorEastAsia" w:hAnsiTheme="minorEastAsia" w:eastAsiaTheme="minorEastAsia"/>
                <w:color w:val="auto"/>
                <w:kern w:val="0"/>
                <w:szCs w:val="21"/>
              </w:rPr>
              <w:t>完整的</w:t>
            </w:r>
            <w:r>
              <w:rPr>
                <w:rFonts w:hint="eastAsia" w:cs="宋体" w:asciiTheme="minorEastAsia" w:hAnsiTheme="minorEastAsia" w:eastAsiaTheme="minorEastAsia"/>
                <w:color w:val="auto"/>
                <w:kern w:val="0"/>
                <w:szCs w:val="21"/>
              </w:rPr>
              <w:t>提质增效、降本方案</w:t>
            </w:r>
            <w:r>
              <w:rPr>
                <w:rFonts w:cs="宋体" w:asciiTheme="minorEastAsia" w:hAnsiTheme="minorEastAsia" w:eastAsiaTheme="minorEastAsia"/>
                <w:color w:val="auto"/>
                <w:kern w:val="0"/>
                <w:szCs w:val="21"/>
              </w:rPr>
              <w:t>，</w:t>
            </w:r>
            <w:r>
              <w:rPr>
                <w:rFonts w:hint="eastAsia" w:cs="宋体" w:asciiTheme="minorEastAsia" w:hAnsiTheme="minorEastAsia" w:eastAsiaTheme="minorEastAsia"/>
                <w:color w:val="auto"/>
                <w:kern w:val="0"/>
                <w:szCs w:val="21"/>
              </w:rPr>
              <w:t>在精益管理方面熟知如何帮助企业提质增效、降本，得4.1-7分；提供</w:t>
            </w:r>
            <w:r>
              <w:rPr>
                <w:rFonts w:cs="宋体" w:asciiTheme="minorEastAsia" w:hAnsiTheme="minorEastAsia" w:eastAsiaTheme="minorEastAsia"/>
                <w:color w:val="auto"/>
                <w:kern w:val="0"/>
                <w:szCs w:val="21"/>
              </w:rPr>
              <w:t>完整的</w:t>
            </w:r>
            <w:r>
              <w:rPr>
                <w:rFonts w:hint="eastAsia" w:cs="宋体" w:asciiTheme="minorEastAsia" w:hAnsiTheme="minorEastAsia" w:eastAsiaTheme="minorEastAsia"/>
                <w:color w:val="auto"/>
                <w:kern w:val="0"/>
                <w:szCs w:val="21"/>
              </w:rPr>
              <w:t>提质增效、降本方案，帮助企业提质增效、降本缺乏</w:t>
            </w:r>
            <w:r>
              <w:rPr>
                <w:rFonts w:cs="宋体" w:asciiTheme="minorEastAsia" w:hAnsiTheme="minorEastAsia" w:eastAsiaTheme="minorEastAsia"/>
                <w:color w:val="auto"/>
                <w:kern w:val="0"/>
                <w:szCs w:val="21"/>
              </w:rPr>
              <w:t>有效性</w:t>
            </w:r>
            <w:r>
              <w:rPr>
                <w:rFonts w:hint="eastAsia" w:cs="宋体" w:asciiTheme="minorEastAsia" w:hAnsiTheme="minorEastAsia" w:eastAsiaTheme="minorEastAsia"/>
                <w:color w:val="auto"/>
                <w:kern w:val="0"/>
                <w:szCs w:val="21"/>
              </w:rPr>
              <w:t>，得2.1-4分；提供</w:t>
            </w:r>
            <w:r>
              <w:rPr>
                <w:rFonts w:cs="宋体" w:asciiTheme="minorEastAsia" w:hAnsiTheme="minorEastAsia" w:eastAsiaTheme="minorEastAsia"/>
                <w:color w:val="auto"/>
                <w:kern w:val="0"/>
                <w:szCs w:val="21"/>
              </w:rPr>
              <w:t>的</w:t>
            </w:r>
            <w:r>
              <w:rPr>
                <w:rFonts w:hint="eastAsia" w:cs="宋体" w:asciiTheme="minorEastAsia" w:hAnsiTheme="minorEastAsia" w:eastAsiaTheme="minorEastAsia"/>
                <w:color w:val="auto"/>
                <w:kern w:val="0"/>
                <w:szCs w:val="21"/>
              </w:rPr>
              <w:t>提质增效、降本方案不</w:t>
            </w:r>
            <w:r>
              <w:rPr>
                <w:rFonts w:cs="宋体" w:asciiTheme="minorEastAsia" w:hAnsiTheme="minorEastAsia" w:eastAsiaTheme="minorEastAsia"/>
                <w:color w:val="auto"/>
                <w:kern w:val="0"/>
                <w:szCs w:val="21"/>
              </w:rPr>
              <w:t>完整，</w:t>
            </w:r>
            <w:r>
              <w:rPr>
                <w:rFonts w:hint="eastAsia" w:cs="宋体" w:asciiTheme="minorEastAsia" w:hAnsiTheme="minorEastAsia" w:eastAsiaTheme="minorEastAsia"/>
                <w:color w:val="auto"/>
                <w:kern w:val="0"/>
                <w:szCs w:val="21"/>
              </w:rPr>
              <w:t>在精益管理方面熟知如何帮助企业提质增效、降本的有效性</w:t>
            </w:r>
            <w:r>
              <w:rPr>
                <w:rFonts w:cs="宋体" w:asciiTheme="minorEastAsia" w:hAnsiTheme="minorEastAsia" w:eastAsiaTheme="minorEastAsia"/>
                <w:color w:val="auto"/>
                <w:kern w:val="0"/>
                <w:szCs w:val="21"/>
              </w:rPr>
              <w:t>缺失</w:t>
            </w:r>
            <w:r>
              <w:rPr>
                <w:rFonts w:hint="eastAsia" w:cs="宋体" w:asciiTheme="minorEastAsia" w:hAnsiTheme="minorEastAsia" w:eastAsiaTheme="minorEastAsia"/>
                <w:color w:val="auto"/>
                <w:kern w:val="0"/>
                <w:szCs w:val="21"/>
              </w:rPr>
              <w:t>，得0.1-2分。</w:t>
            </w:r>
            <w:r>
              <w:rPr>
                <w:rFonts w:hint="eastAsia" w:ascii="宋体" w:hAnsi="宋体"/>
                <w:color w:val="auto"/>
                <w:szCs w:val="21"/>
              </w:rPr>
              <w:t>未提供不得分。</w:t>
            </w:r>
          </w:p>
        </w:tc>
        <w:tc>
          <w:tcPr>
            <w:tcW w:w="1076" w:type="dxa"/>
            <w:vAlign w:val="center"/>
          </w:tcPr>
          <w:p w14:paraId="52FBDB55">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0-7分</w:t>
            </w:r>
          </w:p>
        </w:tc>
      </w:tr>
      <w:tr w14:paraId="4CEA9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continue"/>
            <w:vAlign w:val="center"/>
          </w:tcPr>
          <w:p w14:paraId="60D043BA">
            <w:pPr>
              <w:spacing w:line="360" w:lineRule="auto"/>
              <w:jc w:val="center"/>
              <w:rPr>
                <w:rFonts w:cs="宋体" w:asciiTheme="minorEastAsia" w:hAnsiTheme="minorEastAsia" w:eastAsiaTheme="minorEastAsia"/>
                <w:b/>
                <w:color w:val="auto"/>
                <w:kern w:val="0"/>
                <w:szCs w:val="21"/>
              </w:rPr>
            </w:pPr>
          </w:p>
        </w:tc>
        <w:tc>
          <w:tcPr>
            <w:tcW w:w="1190" w:type="dxa"/>
            <w:vMerge w:val="continue"/>
            <w:vAlign w:val="center"/>
          </w:tcPr>
          <w:p w14:paraId="7CEB0EA8">
            <w:pPr>
              <w:spacing w:line="360" w:lineRule="auto"/>
              <w:jc w:val="center"/>
              <w:rPr>
                <w:rFonts w:cs="宋体" w:asciiTheme="minorEastAsia" w:hAnsiTheme="minorEastAsia" w:eastAsiaTheme="minorEastAsia"/>
                <w:b/>
                <w:color w:val="auto"/>
                <w:kern w:val="0"/>
                <w:szCs w:val="21"/>
              </w:rPr>
            </w:pPr>
          </w:p>
        </w:tc>
        <w:tc>
          <w:tcPr>
            <w:tcW w:w="6095" w:type="dxa"/>
            <w:vAlign w:val="center"/>
          </w:tcPr>
          <w:p w14:paraId="6419C66C">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（4）针对制造业精益管理，可提供相关案例介绍详细，且方案推广性强，得4.1-6分；提供相关案例介绍简单，方案具有推广性的，得2.1-4分；提供相关案例介绍简单，方案不具有推广性的，得0.1-2分。</w:t>
            </w:r>
            <w:r>
              <w:rPr>
                <w:rFonts w:hint="eastAsia" w:ascii="宋体" w:hAnsi="宋体"/>
                <w:color w:val="auto"/>
                <w:szCs w:val="21"/>
              </w:rPr>
              <w:t>未提供不得分。</w:t>
            </w:r>
          </w:p>
        </w:tc>
        <w:tc>
          <w:tcPr>
            <w:tcW w:w="1076" w:type="dxa"/>
            <w:vAlign w:val="center"/>
          </w:tcPr>
          <w:p w14:paraId="4799B924">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0-6分</w:t>
            </w:r>
          </w:p>
        </w:tc>
      </w:tr>
      <w:tr w14:paraId="7C574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restart"/>
            <w:vAlign w:val="center"/>
          </w:tcPr>
          <w:p w14:paraId="6905895F">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7</w:t>
            </w:r>
          </w:p>
        </w:tc>
        <w:tc>
          <w:tcPr>
            <w:tcW w:w="1190" w:type="dxa"/>
            <w:vMerge w:val="restart"/>
            <w:vAlign w:val="center"/>
          </w:tcPr>
          <w:p w14:paraId="69FA6020">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组织</w:t>
            </w:r>
            <w:r>
              <w:rPr>
                <w:rFonts w:cs="宋体" w:asciiTheme="minorEastAsia" w:hAnsiTheme="minorEastAsia" w:eastAsiaTheme="minorEastAsia"/>
                <w:b/>
                <w:color w:val="auto"/>
                <w:kern w:val="0"/>
                <w:szCs w:val="21"/>
              </w:rPr>
              <w:t>保障方案</w:t>
            </w:r>
          </w:p>
        </w:tc>
        <w:tc>
          <w:tcPr>
            <w:tcW w:w="6095" w:type="dxa"/>
          </w:tcPr>
          <w:p w14:paraId="57158213">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cs="宋体" w:asciiTheme="minorEastAsia" w:hAnsiTheme="minorEastAsia" w:eastAsiaTheme="minorEastAsia"/>
                <w:color w:val="auto"/>
                <w:kern w:val="0"/>
                <w:szCs w:val="21"/>
              </w:rPr>
              <w:t>交通保障方案：</w:t>
            </w:r>
          </w:p>
          <w:p w14:paraId="60FE90E8">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w:t>
            </w:r>
            <w:r>
              <w:rPr>
                <w:rFonts w:hint="eastAsia" w:cs="宋体" w:asciiTheme="minorEastAsia" w:hAnsiTheme="minorEastAsia" w:eastAsiaTheme="minorEastAsia"/>
                <w:color w:val="auto"/>
                <w:kern w:val="0"/>
                <w:szCs w:val="21"/>
                <w:lang w:val="en-US" w:eastAsia="zh-CN"/>
              </w:rPr>
              <w:t>供应商</w:t>
            </w:r>
            <w:r>
              <w:rPr>
                <w:rFonts w:hint="eastAsia" w:cs="宋体" w:asciiTheme="minorEastAsia" w:hAnsiTheme="minorEastAsia" w:eastAsiaTheme="minorEastAsia"/>
                <w:color w:val="auto"/>
                <w:kern w:val="0"/>
                <w:szCs w:val="21"/>
              </w:rPr>
              <w:t>拟为本项目投入的办公地点至遂昌</w:t>
            </w:r>
            <w:r>
              <w:rPr>
                <w:rFonts w:cs="宋体" w:asciiTheme="minorEastAsia" w:hAnsiTheme="minorEastAsia" w:eastAsiaTheme="minorEastAsia"/>
                <w:color w:val="auto"/>
                <w:kern w:val="0"/>
                <w:szCs w:val="21"/>
              </w:rPr>
              <w:t>范围内</w:t>
            </w:r>
            <w:r>
              <w:rPr>
                <w:rFonts w:hint="eastAsia" w:cs="宋体" w:asciiTheme="minorEastAsia" w:hAnsiTheme="minorEastAsia" w:eastAsiaTheme="minorEastAsia"/>
                <w:color w:val="auto"/>
                <w:kern w:val="0"/>
                <w:szCs w:val="21"/>
              </w:rPr>
              <w:t>各版块</w:t>
            </w:r>
            <w:r>
              <w:rPr>
                <w:rFonts w:cs="宋体" w:asciiTheme="minorEastAsia" w:hAnsiTheme="minorEastAsia" w:eastAsiaTheme="minorEastAsia"/>
                <w:color w:val="auto"/>
                <w:kern w:val="0"/>
                <w:szCs w:val="21"/>
              </w:rPr>
              <w:t>项目服务场</w:t>
            </w:r>
            <w:r>
              <w:rPr>
                <w:rFonts w:hint="eastAsia" w:cs="宋体" w:asciiTheme="minorEastAsia" w:hAnsiTheme="minorEastAsia" w:eastAsiaTheme="minorEastAsia"/>
                <w:color w:val="auto"/>
                <w:kern w:val="0"/>
                <w:szCs w:val="21"/>
              </w:rPr>
              <w:t>所的交通保障方案情况进行评定。交通保障方案齐全完善，科学合理，得3.1-5分；交通保障方案略简单但有合理性，得1.1-3分；交通保障方案粗略且合理性有所缺失，得0.1-1分；</w:t>
            </w:r>
            <w:r>
              <w:rPr>
                <w:rFonts w:hint="eastAsia" w:ascii="宋体" w:hAnsi="宋体"/>
                <w:color w:val="auto"/>
                <w:szCs w:val="21"/>
              </w:rPr>
              <w:t>未提供不得分。</w:t>
            </w:r>
          </w:p>
        </w:tc>
        <w:tc>
          <w:tcPr>
            <w:tcW w:w="1076" w:type="dxa"/>
            <w:vAlign w:val="center"/>
          </w:tcPr>
          <w:p w14:paraId="3EA714BF">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0-5分</w:t>
            </w:r>
          </w:p>
        </w:tc>
      </w:tr>
      <w:tr w14:paraId="7A854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97" w:type="dxa"/>
            <w:vMerge w:val="continue"/>
            <w:vAlign w:val="center"/>
          </w:tcPr>
          <w:p w14:paraId="5A6EC978">
            <w:pPr>
              <w:spacing w:line="360" w:lineRule="auto"/>
              <w:jc w:val="center"/>
              <w:rPr>
                <w:rFonts w:cs="宋体" w:asciiTheme="minorEastAsia" w:hAnsiTheme="minorEastAsia" w:eastAsiaTheme="minorEastAsia"/>
                <w:b/>
                <w:color w:val="auto"/>
                <w:kern w:val="0"/>
                <w:szCs w:val="21"/>
              </w:rPr>
            </w:pPr>
          </w:p>
        </w:tc>
        <w:tc>
          <w:tcPr>
            <w:tcW w:w="1190" w:type="dxa"/>
            <w:vMerge w:val="continue"/>
            <w:vAlign w:val="center"/>
          </w:tcPr>
          <w:p w14:paraId="4A750970">
            <w:pPr>
              <w:spacing w:line="360" w:lineRule="auto"/>
              <w:jc w:val="center"/>
              <w:rPr>
                <w:color w:val="auto"/>
                <w:kern w:val="0"/>
                <w:sz w:val="24"/>
                <w:szCs w:val="22"/>
              </w:rPr>
            </w:pPr>
          </w:p>
        </w:tc>
        <w:tc>
          <w:tcPr>
            <w:tcW w:w="6095" w:type="dxa"/>
          </w:tcPr>
          <w:p w14:paraId="2F65DD2E">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（2）人员</w:t>
            </w:r>
            <w:r>
              <w:rPr>
                <w:rFonts w:cs="宋体" w:asciiTheme="minorEastAsia" w:hAnsiTheme="minorEastAsia" w:eastAsiaTheme="minorEastAsia"/>
                <w:color w:val="auto"/>
                <w:kern w:val="0"/>
                <w:szCs w:val="21"/>
              </w:rPr>
              <w:t>组织保障方案：</w:t>
            </w:r>
          </w:p>
          <w:p w14:paraId="31E1C7A4">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人员组织保障方案内容齐全、组织有力、措施完善、操作可行，得3.1-5分；人员组织保障方案内容基本齐全、组织和措施有待完善、有可操作性，得1.1-3分；人员组织保障方案内容粗略、组织和措施及可操作性均有所缺失，得0.1-1分。</w:t>
            </w:r>
            <w:r>
              <w:rPr>
                <w:rFonts w:hint="eastAsia" w:ascii="宋体" w:hAnsi="宋体"/>
                <w:color w:val="auto"/>
                <w:szCs w:val="21"/>
              </w:rPr>
              <w:t>未提供不得分。</w:t>
            </w:r>
          </w:p>
        </w:tc>
        <w:tc>
          <w:tcPr>
            <w:tcW w:w="1076" w:type="dxa"/>
            <w:vAlign w:val="center"/>
          </w:tcPr>
          <w:p w14:paraId="0D1573A3">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0-5分</w:t>
            </w:r>
          </w:p>
        </w:tc>
      </w:tr>
      <w:tr w14:paraId="75AE3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597" w:type="dxa"/>
            <w:vAlign w:val="center"/>
          </w:tcPr>
          <w:p w14:paraId="2D942F72">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8</w:t>
            </w:r>
          </w:p>
        </w:tc>
        <w:tc>
          <w:tcPr>
            <w:tcW w:w="1190" w:type="dxa"/>
            <w:vAlign w:val="center"/>
          </w:tcPr>
          <w:p w14:paraId="04C71722">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进度计划</w:t>
            </w:r>
          </w:p>
        </w:tc>
        <w:tc>
          <w:tcPr>
            <w:tcW w:w="6095" w:type="dxa"/>
            <w:vAlign w:val="center"/>
          </w:tcPr>
          <w:p w14:paraId="3835D437">
            <w:pPr>
              <w:adjustRightInd w:val="0"/>
              <w:snapToGrid w:val="0"/>
              <w:spacing w:line="360" w:lineRule="auto"/>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w:t>
            </w:r>
            <w:r>
              <w:rPr>
                <w:rFonts w:hint="eastAsia" w:cs="宋体" w:asciiTheme="minorEastAsia" w:hAnsiTheme="minorEastAsia" w:eastAsiaTheme="minorEastAsia"/>
                <w:color w:val="auto"/>
                <w:kern w:val="0"/>
                <w:szCs w:val="21"/>
                <w:lang w:val="en-US" w:eastAsia="zh-CN"/>
              </w:rPr>
              <w:t>供应商</w:t>
            </w:r>
            <w:r>
              <w:rPr>
                <w:rFonts w:hint="eastAsia" w:cs="宋体" w:asciiTheme="minorEastAsia" w:hAnsiTheme="minorEastAsia" w:eastAsiaTheme="minorEastAsia"/>
                <w:color w:val="auto"/>
                <w:kern w:val="0"/>
                <w:szCs w:val="21"/>
              </w:rPr>
              <w:t>对本项目的各阶段工作进度计划进行评审，根据其有效性、合理性酌情打分。未提供不得分。</w:t>
            </w:r>
          </w:p>
          <w:p w14:paraId="48DDC754">
            <w:pPr>
              <w:adjustRightInd w:val="0"/>
              <w:snapToGrid w:val="0"/>
              <w:spacing w:line="360" w:lineRule="auto"/>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工作计划完善，实施性强，得5.1-8分；工作计划较为完善，可操作性较强，得2.1-5分；工作计划进度不完善，不符合项目需求得0.1-2分。未提供不得分。</w:t>
            </w:r>
          </w:p>
        </w:tc>
        <w:tc>
          <w:tcPr>
            <w:tcW w:w="1076" w:type="dxa"/>
            <w:vAlign w:val="center"/>
          </w:tcPr>
          <w:p w14:paraId="53932241">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0-8分</w:t>
            </w:r>
          </w:p>
        </w:tc>
      </w:tr>
      <w:tr w14:paraId="0867D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597" w:type="dxa"/>
            <w:vAlign w:val="center"/>
          </w:tcPr>
          <w:p w14:paraId="50A5BF62">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9</w:t>
            </w:r>
          </w:p>
        </w:tc>
        <w:tc>
          <w:tcPr>
            <w:tcW w:w="1190" w:type="dxa"/>
            <w:vAlign w:val="center"/>
          </w:tcPr>
          <w:p w14:paraId="71944757">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质量保证措施</w:t>
            </w:r>
          </w:p>
        </w:tc>
        <w:tc>
          <w:tcPr>
            <w:tcW w:w="6095" w:type="dxa"/>
            <w:vAlign w:val="center"/>
          </w:tcPr>
          <w:p w14:paraId="03487558">
            <w:pPr>
              <w:adjustRightInd w:val="0"/>
              <w:snapToGrid w:val="0"/>
              <w:spacing w:line="360" w:lineRule="auto"/>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w:t>
            </w:r>
            <w:r>
              <w:rPr>
                <w:rFonts w:hint="eastAsia" w:cs="宋体" w:asciiTheme="minorEastAsia" w:hAnsiTheme="minorEastAsia" w:eastAsiaTheme="minorEastAsia"/>
                <w:color w:val="auto"/>
                <w:kern w:val="0"/>
                <w:szCs w:val="21"/>
                <w:lang w:val="en-US" w:eastAsia="zh-CN"/>
              </w:rPr>
              <w:t>供应商</w:t>
            </w:r>
            <w:r>
              <w:rPr>
                <w:rFonts w:hint="eastAsia" w:cs="宋体" w:asciiTheme="minorEastAsia" w:hAnsiTheme="minorEastAsia" w:eastAsiaTheme="minorEastAsia"/>
                <w:color w:val="auto"/>
                <w:kern w:val="0"/>
                <w:szCs w:val="21"/>
              </w:rPr>
              <w:t>对本项目出具的报告质量提供合理保证措施及方案完善性、合理性进行评审。</w:t>
            </w:r>
          </w:p>
          <w:p w14:paraId="02ED9F2A">
            <w:pPr>
              <w:adjustRightInd w:val="0"/>
              <w:snapToGrid w:val="0"/>
              <w:spacing w:line="360" w:lineRule="auto"/>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质量保证和质量控制体系完善，并对应制定了详实可行的质控措施，得3.1-6分；基本建立了质量保证和质量控制体系，有一定的质控措施，得0-3分。未提供不得分。</w:t>
            </w:r>
          </w:p>
        </w:tc>
        <w:tc>
          <w:tcPr>
            <w:tcW w:w="1076" w:type="dxa"/>
            <w:vAlign w:val="center"/>
          </w:tcPr>
          <w:p w14:paraId="0FE345AE">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0-6分</w:t>
            </w:r>
          </w:p>
        </w:tc>
      </w:tr>
      <w:tr w14:paraId="69BFE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597" w:type="dxa"/>
            <w:vAlign w:val="center"/>
          </w:tcPr>
          <w:p w14:paraId="519878C1">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b/>
                <w:color w:val="auto"/>
                <w:kern w:val="0"/>
                <w:szCs w:val="21"/>
              </w:rPr>
              <w:t>10</w:t>
            </w:r>
          </w:p>
        </w:tc>
        <w:tc>
          <w:tcPr>
            <w:tcW w:w="1190" w:type="dxa"/>
            <w:vAlign w:val="center"/>
          </w:tcPr>
          <w:p w14:paraId="5631C6BC">
            <w:pPr>
              <w:spacing w:line="360" w:lineRule="auto"/>
              <w:jc w:val="center"/>
              <w:rPr>
                <w:rFonts w:cs="宋体" w:asciiTheme="minorEastAsia" w:hAnsiTheme="minorEastAsia" w:eastAsiaTheme="minorEastAsia"/>
                <w:b/>
                <w:color w:val="auto"/>
                <w:kern w:val="0"/>
                <w:szCs w:val="21"/>
              </w:rPr>
            </w:pPr>
            <w:r>
              <w:rPr>
                <w:rFonts w:cs="宋体" w:asciiTheme="minorEastAsia" w:hAnsiTheme="minorEastAsia" w:eastAsiaTheme="minorEastAsia"/>
                <w:b/>
                <w:color w:val="auto"/>
                <w:kern w:val="0"/>
                <w:szCs w:val="21"/>
              </w:rPr>
              <w:t>保密措施</w:t>
            </w:r>
          </w:p>
        </w:tc>
        <w:tc>
          <w:tcPr>
            <w:tcW w:w="6095" w:type="dxa"/>
            <w:vAlign w:val="center"/>
          </w:tcPr>
          <w:p w14:paraId="067DCC09">
            <w:pPr>
              <w:spacing w:line="360" w:lineRule="auto"/>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在服务期间，涉及用户涉密信息、资料的保密措施以及承诺。</w:t>
            </w:r>
            <w:r>
              <w:rPr>
                <w:rFonts w:hint="eastAsia" w:ascii="宋体" w:hAnsi="宋体"/>
                <w:color w:val="auto"/>
                <w:szCs w:val="21"/>
              </w:rPr>
              <w:t>未提供不得分。</w:t>
            </w:r>
          </w:p>
        </w:tc>
        <w:tc>
          <w:tcPr>
            <w:tcW w:w="1076" w:type="dxa"/>
            <w:vAlign w:val="center"/>
          </w:tcPr>
          <w:p w14:paraId="26C334E9">
            <w:pPr>
              <w:spacing w:line="360" w:lineRule="auto"/>
              <w:jc w:val="center"/>
              <w:rPr>
                <w:rFonts w:cs="宋体" w:asciiTheme="minorEastAsia" w:hAnsiTheme="minorEastAsia" w:eastAsiaTheme="minorEastAsia"/>
                <w:b/>
                <w:color w:val="auto"/>
                <w:kern w:val="0"/>
                <w:szCs w:val="21"/>
              </w:rPr>
            </w:pPr>
            <w:r>
              <w:rPr>
                <w:rFonts w:hint="eastAsia" w:cs="宋体" w:asciiTheme="minorEastAsia" w:hAnsiTheme="minorEastAsia" w:eastAsiaTheme="minorEastAsia"/>
                <w:color w:val="auto"/>
                <w:szCs w:val="21"/>
              </w:rPr>
              <w:t>0-4分</w:t>
            </w:r>
          </w:p>
        </w:tc>
      </w:tr>
    </w:tbl>
    <w:p w14:paraId="52C2C408">
      <w:pPr>
        <w:adjustRightInd w:val="0"/>
        <w:snapToGrid w:val="0"/>
        <w:spacing w:line="40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注：以上所涉及项目，若附件格式未提供，请自行设计格式装订于磋商响应文件中。</w:t>
      </w:r>
    </w:p>
    <w:p w14:paraId="0831DE32">
      <w:pPr>
        <w:tabs>
          <w:tab w:val="left" w:pos="360"/>
        </w:tabs>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（二）磋商报价10分：</w:t>
      </w:r>
      <w:r>
        <w:rPr>
          <w:rFonts w:hint="eastAsia" w:ascii="宋体" w:hAnsi="宋体" w:eastAsia="宋体" w:cs="宋体"/>
          <w:color w:val="auto"/>
          <w:szCs w:val="21"/>
          <w:highlight w:val="none"/>
        </w:rPr>
        <w:t>（保留小数点后2位，四舍五入法。）</w:t>
      </w:r>
    </w:p>
    <w:p w14:paraId="495A42E8">
      <w:pPr>
        <w:tabs>
          <w:tab w:val="left" w:pos="6264"/>
        </w:tabs>
        <w:snapToGrid w:val="0"/>
        <w:spacing w:line="400" w:lineRule="exact"/>
        <w:ind w:firstLine="476"/>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磋商报价为采购人公布的</w:t>
      </w:r>
      <w:r>
        <w:rPr>
          <w:rFonts w:hint="eastAsia" w:ascii="宋体" w:hAnsi="宋体" w:eastAsia="宋体" w:cs="宋体"/>
          <w:color w:val="auto"/>
          <w:szCs w:val="21"/>
          <w:highlight w:val="none"/>
          <w:lang w:val="zh-CN"/>
        </w:rPr>
        <w:t>最高</w:t>
      </w:r>
      <w:r>
        <w:rPr>
          <w:rFonts w:hint="eastAsia" w:ascii="宋体" w:hAnsi="宋体" w:eastAsia="宋体" w:cs="宋体"/>
          <w:color w:val="auto"/>
          <w:szCs w:val="21"/>
          <w:highlight w:val="none"/>
        </w:rPr>
        <w:t>限价及以下、在各阶段评审中未被定为无效响应文件或废标，其供应商的磋商报价为有效报价。</w:t>
      </w:r>
    </w:p>
    <w:p w14:paraId="5D794D6D">
      <w:pPr>
        <w:tabs>
          <w:tab w:val="left" w:pos="6264"/>
        </w:tabs>
        <w:snapToGrid w:val="0"/>
        <w:spacing w:line="360" w:lineRule="exact"/>
        <w:ind w:firstLine="476"/>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综合评分法中的价格分统一采用低价优先法计算，即满足竞争性磋商文件要求且最终磋商报价最低的报价为评标基准价，其价格分为满分。其他供应商的价格分统一按照下列公式计算:</w:t>
      </w:r>
    </w:p>
    <w:p w14:paraId="31C7072E">
      <w:pPr>
        <w:tabs>
          <w:tab w:val="left" w:pos="6264"/>
        </w:tabs>
        <w:snapToGrid w:val="0"/>
        <w:spacing w:line="360" w:lineRule="exact"/>
        <w:ind w:firstLine="476"/>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报价得分=(评标基准价/最终磋商报价)×10%×100</w:t>
      </w:r>
    </w:p>
    <w:p w14:paraId="041883A6">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注：1、本次磋商</w:t>
      </w:r>
      <w:r>
        <w:rPr>
          <w:rFonts w:hint="eastAsia" w:ascii="宋体" w:hAnsi="宋体" w:eastAsia="宋体" w:cs="宋体"/>
          <w:b/>
          <w:bCs/>
          <w:color w:val="auto"/>
          <w:szCs w:val="21"/>
          <w:highlight w:val="none"/>
          <w:lang w:val="zh-CN"/>
        </w:rPr>
        <w:t>最高</w:t>
      </w:r>
      <w:r>
        <w:rPr>
          <w:rFonts w:hint="eastAsia" w:ascii="宋体" w:hAnsi="宋体" w:eastAsia="宋体" w:cs="宋体"/>
          <w:b/>
          <w:bCs/>
          <w:color w:val="auto"/>
          <w:szCs w:val="21"/>
          <w:highlight w:val="none"/>
        </w:rPr>
        <w:t>限价为人民币</w:t>
      </w: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lang w:eastAsia="zh-CN"/>
        </w:rPr>
        <w:t>0万元</w:t>
      </w:r>
      <w:r>
        <w:rPr>
          <w:rFonts w:hint="eastAsia" w:ascii="宋体" w:hAnsi="宋体" w:eastAsia="宋体" w:cs="宋体"/>
          <w:b/>
          <w:bCs/>
          <w:color w:val="auto"/>
          <w:szCs w:val="21"/>
          <w:highlight w:val="none"/>
        </w:rPr>
        <w:t>，高于最高限价其磋商响应文件作无效标处理。</w:t>
      </w:r>
    </w:p>
    <w:p w14:paraId="5E6B0A28">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最低报价不是成交的保证，磋商小组认为供应商的报价明显低于其他通过符合性审查供应商的报价，有可能影响服务质量或者不能诚信履约的，应当要求其在磋商合理的时间内提供书面说明，必要时提交相关证明材料；供应商不能证明其报价合理性的，磋商小组应当将其作为无效投标处理。磋商小组将推荐综合评分最高的供应商为成交候选人。</w:t>
      </w:r>
    </w:p>
    <w:p w14:paraId="0CA45CA7">
      <w:pPr>
        <w:adjustRightInd w:val="0"/>
        <w:snapToGrid w:val="0"/>
        <w:spacing w:line="36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四、定标办法</w:t>
      </w:r>
    </w:p>
    <w:p w14:paraId="472EF8D9">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采购代理机构应当自磋商结束之日起2个工作日内将评标报告送交采购人。采购人应当自收到评标报告之日起5个工作日内在评标报告推荐的成交候选人中按顺序确定成交供应商。</w:t>
      </w:r>
    </w:p>
    <w:p w14:paraId="285B876C">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五、供应商义务</w:t>
      </w:r>
    </w:p>
    <w:p w14:paraId="205A4727">
      <w:pPr>
        <w:adjustRightInd w:val="0"/>
        <w:snapToGrid w:val="0"/>
        <w:spacing w:line="360" w:lineRule="exact"/>
        <w:ind w:firstLine="4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供应商应随时接受磋商小组的询标，解答有关的商务、技术问题等。磋商结束，所有磋商资料存采购代理机构备查。</w:t>
      </w:r>
    </w:p>
    <w:p w14:paraId="46144A3B">
      <w:pPr>
        <w:rPr>
          <w:rFonts w:hint="eastAsia"/>
        </w:rPr>
      </w:pPr>
    </w:p>
    <w:p w14:paraId="294C69A6">
      <w:pPr>
        <w:pStyle w:val="2"/>
        <w:rPr>
          <w:rFonts w:hint="eastAsia"/>
        </w:rPr>
      </w:pPr>
    </w:p>
    <w:p w14:paraId="7F2EE4BB">
      <w:pPr>
        <w:spacing w:line="400" w:lineRule="exact"/>
        <w:jc w:val="center"/>
        <w:outlineLvl w:val="0"/>
        <w:rPr>
          <w:rFonts w:hint="eastAsia" w:ascii="宋体" w:hAnsi="宋体" w:eastAsia="宋体" w:cs="宋体"/>
          <w:b/>
          <w:bCs/>
          <w:color w:val="auto"/>
          <w:sz w:val="32"/>
          <w:szCs w:val="32"/>
          <w:highlight w:val="none"/>
        </w:rPr>
      </w:pPr>
      <w:bookmarkStart w:id="183" w:name="_Toc12461"/>
      <w:bookmarkStart w:id="184" w:name="_Toc21092"/>
      <w:bookmarkStart w:id="185" w:name="_Toc26275"/>
      <w:bookmarkStart w:id="186" w:name="_Toc7605"/>
      <w:bookmarkStart w:id="187" w:name="_Toc12117"/>
      <w:bookmarkStart w:id="188" w:name="_Toc1414"/>
      <w:bookmarkStart w:id="189" w:name="_Toc28223"/>
      <w:bookmarkStart w:id="190" w:name="_Toc28689"/>
      <w:r>
        <w:rPr>
          <w:rFonts w:hint="eastAsia" w:ascii="宋体" w:hAnsi="宋体" w:eastAsia="宋体" w:cs="宋体"/>
          <w:b/>
          <w:bCs/>
          <w:color w:val="auto"/>
          <w:sz w:val="32"/>
          <w:szCs w:val="32"/>
          <w:highlight w:val="none"/>
        </w:rPr>
        <w:t>第六章 磋商响应相关文件格式</w:t>
      </w:r>
      <w:bookmarkEnd w:id="183"/>
      <w:bookmarkEnd w:id="184"/>
      <w:bookmarkEnd w:id="185"/>
      <w:bookmarkEnd w:id="186"/>
      <w:bookmarkEnd w:id="187"/>
      <w:bookmarkEnd w:id="188"/>
      <w:bookmarkEnd w:id="189"/>
      <w:bookmarkEnd w:id="190"/>
    </w:p>
    <w:p w14:paraId="2F99A464">
      <w:pPr>
        <w:outlineLvl w:val="1"/>
        <w:rPr>
          <w:rFonts w:hint="eastAsia" w:ascii="宋体" w:hAnsi="宋体" w:eastAsia="宋体" w:cs="宋体"/>
          <w:color w:val="auto"/>
          <w:highlight w:val="none"/>
        </w:rPr>
      </w:pPr>
    </w:p>
    <w:p w14:paraId="6DE1A687">
      <w:pPr>
        <w:spacing w:line="588" w:lineRule="exact"/>
        <w:ind w:firstLine="667"/>
        <w:jc w:val="center"/>
        <w:rPr>
          <w:rFonts w:hint="eastAsia" w:ascii="宋体" w:hAnsi="宋体" w:eastAsia="宋体" w:cs="宋体"/>
          <w:b/>
          <w:color w:val="auto"/>
          <w:spacing w:val="6"/>
          <w:sz w:val="32"/>
          <w:highlight w:val="none"/>
        </w:rPr>
      </w:pPr>
      <w:bookmarkStart w:id="191" w:name="_Toc11046"/>
      <w:bookmarkStart w:id="192" w:name="_Toc9881"/>
      <w:bookmarkStart w:id="193" w:name="_Toc12986"/>
      <w:r>
        <w:rPr>
          <w:rFonts w:hint="eastAsia" w:ascii="宋体" w:hAnsi="宋体" w:eastAsia="宋体" w:cs="宋体"/>
          <w:b/>
          <w:color w:val="auto"/>
          <w:spacing w:val="6"/>
          <w:sz w:val="32"/>
          <w:highlight w:val="none"/>
        </w:rPr>
        <w:t>政府采购活动现场确认声明书</w:t>
      </w:r>
      <w:bookmarkEnd w:id="191"/>
      <w:bookmarkEnd w:id="192"/>
      <w:bookmarkEnd w:id="193"/>
    </w:p>
    <w:p w14:paraId="78462B70">
      <w:pPr>
        <w:pStyle w:val="102"/>
        <w:snapToGrid w:val="0"/>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（要求在电子</w:t>
      </w:r>
      <w:r>
        <w:rPr>
          <w:rFonts w:hint="eastAsia" w:ascii="宋体" w:hAnsi="宋体" w:eastAsia="宋体" w:cs="宋体"/>
          <w:b/>
          <w:color w:val="auto"/>
          <w:highlight w:val="none"/>
          <w:lang w:eastAsia="zh-CN"/>
        </w:rPr>
        <w:t>磋商响应</w:t>
      </w:r>
      <w:r>
        <w:rPr>
          <w:rFonts w:hint="eastAsia" w:ascii="宋体" w:hAnsi="宋体" w:eastAsia="宋体" w:cs="宋体"/>
          <w:b/>
          <w:color w:val="auto"/>
          <w:highlight w:val="none"/>
        </w:rPr>
        <w:t>文件解密后，将以下表格填写完成后，再通过电子邮箱28509616@qq.com将照片传给代理公司，不要封存于</w:t>
      </w:r>
      <w:r>
        <w:rPr>
          <w:rFonts w:hint="eastAsia" w:ascii="宋体" w:hAnsi="宋体" w:eastAsia="宋体" w:cs="宋体"/>
          <w:b/>
          <w:color w:val="auto"/>
          <w:highlight w:val="none"/>
          <w:lang w:eastAsia="zh-CN"/>
        </w:rPr>
        <w:t>磋商响应</w:t>
      </w:r>
      <w:r>
        <w:rPr>
          <w:rFonts w:hint="eastAsia" w:ascii="宋体" w:hAnsi="宋体" w:eastAsia="宋体" w:cs="宋体"/>
          <w:b/>
          <w:color w:val="auto"/>
          <w:highlight w:val="none"/>
        </w:rPr>
        <w:t>文件里）</w:t>
      </w:r>
    </w:p>
    <w:p w14:paraId="4B1DF2B0">
      <w:pPr>
        <w:pStyle w:val="60"/>
        <w:snapToGrid w:val="0"/>
        <w:spacing w:line="44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嘉兴市明扬工程咨询有限公司</w:t>
      </w:r>
      <w:r>
        <w:rPr>
          <w:rFonts w:hint="eastAsia" w:ascii="宋体" w:hAnsi="宋体" w:eastAsia="宋体" w:cs="宋体"/>
          <w:color w:val="auto"/>
          <w:kern w:val="0"/>
          <w:sz w:val="21"/>
          <w:szCs w:val="21"/>
          <w:highlight w:val="none"/>
        </w:rPr>
        <w:t>：</w:t>
      </w:r>
    </w:p>
    <w:p w14:paraId="2C7EB818">
      <w:pPr>
        <w:pStyle w:val="60"/>
        <w:snapToGrid w:val="0"/>
        <w:spacing w:line="440" w:lineRule="exact"/>
        <w:ind w:firstLine="444"/>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hAnsi="宋体" w:eastAsia="宋体" w:cs="宋体"/>
          <w:color w:val="auto"/>
          <w:spacing w:val="6"/>
          <w:sz w:val="21"/>
          <w:szCs w:val="21"/>
          <w:highlight w:val="none"/>
          <w:u w:val="single"/>
          <w:lang w:eastAsia="zh-CN"/>
        </w:rPr>
        <w:t>南湖区-遂昌县制造业高质量发展结对促共富经营管理赋能服务项目</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pacing w:val="6"/>
          <w:sz w:val="21"/>
          <w:szCs w:val="21"/>
          <w:highlight w:val="none"/>
          <w:u w:val="single"/>
        </w:rPr>
        <w:t>编号：</w:t>
      </w:r>
      <w:r>
        <w:rPr>
          <w:rFonts w:hint="eastAsia" w:hAnsi="宋体" w:eastAsia="宋体" w:cs="宋体"/>
          <w:color w:val="auto"/>
          <w:kern w:val="0"/>
          <w:sz w:val="21"/>
          <w:szCs w:val="21"/>
          <w:highlight w:val="none"/>
          <w:u w:val="single"/>
          <w:lang w:eastAsia="zh-CN"/>
        </w:rPr>
        <w:t>JXMYZFCG-2024-044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E9EAAFE">
      <w:pPr>
        <w:pStyle w:val="61"/>
        <w:widowControl/>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一、本单位与采购人之间 □不存在利害关系 □存在下列利害关系：</w:t>
      </w:r>
    </w:p>
    <w:p w14:paraId="42DC0E6B">
      <w:pPr>
        <w:pStyle w:val="61"/>
        <w:widowControl/>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A.投资关系    B.行政隶属关系    C.业务指导关系</w:t>
      </w:r>
    </w:p>
    <w:p w14:paraId="74B6DAE5">
      <w:pPr>
        <w:pStyle w:val="61"/>
        <w:widowControl/>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2158DA63">
      <w:pPr>
        <w:pStyle w:val="61"/>
        <w:widowControl/>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p>
    <w:p w14:paraId="32E78CD2">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 w:val="21"/>
          <w:szCs w:val="21"/>
          <w:highlight w:val="none"/>
        </w:rPr>
        <w:t xml:space="preserve"> A.法定代表人或负责人或实际控制人是同一人</w:t>
      </w:r>
    </w:p>
    <w:p w14:paraId="2D18A7AD">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5113D49">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781EC5AA">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8704048">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4ABE028">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5B890FF">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194" w:name="_Toc16376"/>
      <w:bookmarkStart w:id="195" w:name="_Toc7993"/>
      <w:bookmarkStart w:id="196" w:name="_Toc26874"/>
      <w:r>
        <w:rPr>
          <w:rFonts w:hint="eastAsia" w:ascii="宋体" w:hAnsi="宋体" w:eastAsia="宋体" w:cs="宋体"/>
          <w:color w:val="auto"/>
          <w:kern w:val="0"/>
          <w:sz w:val="21"/>
          <w:szCs w:val="21"/>
          <w:highlight w:val="none"/>
        </w:rPr>
        <w:t>G.存在共同直接或间接投资设立子公司、联营企业和合营企业情况</w:t>
      </w:r>
      <w:bookmarkEnd w:id="194"/>
      <w:bookmarkEnd w:id="195"/>
      <w:bookmarkEnd w:id="196"/>
    </w:p>
    <w:p w14:paraId="4B6F5EC9">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H.存在分级代理或代销关系、同一生产制造商关系、管理关系、重要业务（占主营业务收入50%以上）或重要财务往来关系（如融资）等其他实质性控制关系</w:t>
      </w:r>
    </w:p>
    <w:p w14:paraId="12520825">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197" w:name="_Toc17025"/>
      <w:bookmarkStart w:id="198" w:name="_Toc25461"/>
      <w:bookmarkStart w:id="199" w:name="_Toc7485"/>
      <w:r>
        <w:rPr>
          <w:rFonts w:hint="eastAsia" w:ascii="宋体" w:hAnsi="宋体" w:eastAsia="宋体" w:cs="宋体"/>
          <w:color w:val="auto"/>
          <w:kern w:val="0"/>
          <w:sz w:val="21"/>
          <w:szCs w:val="21"/>
          <w:highlight w:val="none"/>
        </w:rPr>
        <w:t>I.其他利害关系情况。</w:t>
      </w:r>
      <w:bookmarkEnd w:id="197"/>
      <w:bookmarkEnd w:id="198"/>
      <w:bookmarkEnd w:id="199"/>
    </w:p>
    <w:p w14:paraId="34E77533">
      <w:pPr>
        <w:pStyle w:val="61"/>
        <w:widowControl/>
        <w:numPr>
          <w:ilvl w:val="0"/>
          <w:numId w:val="6"/>
        </w:numPr>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现已清楚知道并严格遵守政府采购法律法规和现场纪律。</w:t>
      </w:r>
    </w:p>
    <w:p w14:paraId="4E2E8729">
      <w:pPr>
        <w:pStyle w:val="61"/>
        <w:widowControl/>
        <w:numPr>
          <w:ilvl w:val="0"/>
          <w:numId w:val="6"/>
        </w:numPr>
        <w:snapToGrid w:val="0"/>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我发现供应商之间存在或可能存在上述第二条第项利害关系。</w:t>
      </w:r>
    </w:p>
    <w:p w14:paraId="002EEAA9">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7BD90AE3">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供应商代表</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签</w:t>
      </w:r>
      <w:r>
        <w:rPr>
          <w:rFonts w:hint="eastAsia" w:hAnsi="宋体" w:cs="宋体"/>
          <w:color w:val="auto"/>
          <w:kern w:val="0"/>
          <w:sz w:val="21"/>
          <w:szCs w:val="21"/>
          <w:highlight w:val="none"/>
          <w:lang w:val="en-US" w:eastAsia="zh-CN"/>
        </w:rPr>
        <w:t>字或签章</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4FE91DA2">
      <w:pPr>
        <w:pStyle w:val="64"/>
        <w:snapToGrid w:val="0"/>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p w14:paraId="688FA2A2">
      <w:pPr>
        <w:pStyle w:val="16"/>
        <w:tabs>
          <w:tab w:val="left" w:pos="2472"/>
        </w:tabs>
        <w:snapToGrid w:val="0"/>
        <w:spacing w:line="360" w:lineRule="auto"/>
        <w:jc w:val="center"/>
        <w:rPr>
          <w:rFonts w:hint="eastAsia" w:ascii="宋体" w:hAnsi="宋体" w:eastAsia="宋体" w:cs="宋体"/>
          <w:color w:val="auto"/>
          <w:highlight w:val="none"/>
        </w:rPr>
      </w:pPr>
    </w:p>
    <w:p w14:paraId="24657DD8">
      <w:pPr>
        <w:spacing w:before="156" w:beforeLines="50" w:line="360" w:lineRule="auto"/>
        <w:ind w:firstLine="2909" w:firstLineChars="1035"/>
        <w:rPr>
          <w:rFonts w:hint="eastAsia" w:ascii="宋体" w:hAnsi="宋体" w:eastAsia="宋体" w:cs="宋体"/>
          <w:b/>
          <w:bCs/>
          <w:color w:val="auto"/>
          <w:sz w:val="28"/>
          <w:szCs w:val="28"/>
          <w:highlight w:val="none"/>
        </w:rPr>
      </w:pPr>
      <w:bookmarkStart w:id="200" w:name="_Toc12800"/>
      <w:bookmarkStart w:id="201" w:name="_Toc177870561"/>
      <w:bookmarkStart w:id="202" w:name="_Toc2992"/>
      <w:bookmarkStart w:id="203" w:name="_Toc26849"/>
      <w:bookmarkStart w:id="204" w:name="_Toc24149"/>
      <w:r>
        <w:rPr>
          <w:rFonts w:hint="eastAsia" w:ascii="宋体" w:hAnsi="宋体" w:eastAsia="宋体" w:cs="宋体"/>
          <w:b/>
          <w:bCs/>
          <w:color w:val="auto"/>
          <w:sz w:val="28"/>
          <w:szCs w:val="28"/>
          <w:highlight w:val="none"/>
        </w:rPr>
        <w:t>磋商响应文件封面格式</w:t>
      </w:r>
      <w:bookmarkEnd w:id="200"/>
      <w:bookmarkEnd w:id="201"/>
      <w:bookmarkEnd w:id="202"/>
      <w:bookmarkEnd w:id="203"/>
      <w:bookmarkEnd w:id="204"/>
    </w:p>
    <w:p w14:paraId="33BA09C5">
      <w:pPr>
        <w:spacing w:before="156" w:before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政府采购项目</w:t>
      </w:r>
    </w:p>
    <w:p w14:paraId="66407A25">
      <w:pPr>
        <w:spacing w:before="156" w:beforeLines="50" w:line="360" w:lineRule="auto"/>
        <w:ind w:firstLine="1377" w:firstLineChars="490"/>
        <w:jc w:val="center"/>
        <w:outlineLvl w:val="1"/>
        <w:rPr>
          <w:rFonts w:hint="eastAsia" w:ascii="宋体" w:hAnsi="宋体" w:eastAsia="宋体" w:cs="宋体"/>
          <w:b/>
          <w:bCs/>
          <w:color w:val="auto"/>
          <w:sz w:val="28"/>
          <w:szCs w:val="28"/>
          <w:highlight w:val="none"/>
        </w:rPr>
      </w:pPr>
    </w:p>
    <w:p w14:paraId="766B2072">
      <w:pPr>
        <w:spacing w:before="156" w:beforeLines="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磋商响应文件</w:t>
      </w:r>
    </w:p>
    <w:p w14:paraId="4837BE7F">
      <w:pPr>
        <w:spacing w:before="156" w:beforeLines="50" w:line="480" w:lineRule="auto"/>
        <w:ind w:firstLine="944" w:firstLineChars="392"/>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项目名称：</w:t>
      </w:r>
    </w:p>
    <w:p w14:paraId="3194B254">
      <w:pPr>
        <w:spacing w:before="156" w:beforeLines="50" w:line="480" w:lineRule="auto"/>
        <w:ind w:firstLine="954" w:firstLineChars="396"/>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项目编号</w:t>
      </w:r>
      <w:r>
        <w:rPr>
          <w:rFonts w:hint="eastAsia" w:ascii="宋体" w:hAnsi="宋体" w:eastAsia="宋体" w:cs="宋体"/>
          <w:b/>
          <w:color w:val="auto"/>
          <w:sz w:val="24"/>
          <w:highlight w:val="none"/>
        </w:rPr>
        <w:t>：</w:t>
      </w:r>
    </w:p>
    <w:p w14:paraId="07AA1E75">
      <w:pPr>
        <w:spacing w:before="156" w:beforeLines="50" w:line="480" w:lineRule="auto"/>
        <w:ind w:firstLine="944" w:firstLineChars="39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磋商响应文件名称：（资信商务及技术文件）或（报价文件）</w:t>
      </w:r>
    </w:p>
    <w:p w14:paraId="60D7CF7F">
      <w:pPr>
        <w:spacing w:before="156" w:beforeLines="50" w:line="480" w:lineRule="auto"/>
        <w:ind w:firstLine="944" w:firstLineChars="39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供应商名称：（盖章）</w:t>
      </w:r>
    </w:p>
    <w:p w14:paraId="6B0ABEE4">
      <w:pPr>
        <w:spacing w:before="156" w:beforeLines="50" w:line="480" w:lineRule="auto"/>
        <w:ind w:firstLine="944" w:firstLineChars="39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供应商地址：</w:t>
      </w:r>
    </w:p>
    <w:p w14:paraId="7D8060BC">
      <w:pPr>
        <w:spacing w:before="156" w:beforeLines="50" w:line="480" w:lineRule="auto"/>
        <w:ind w:firstLine="944" w:firstLineChars="39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在  年  月  日  时  分之前不得启封</w:t>
      </w:r>
    </w:p>
    <w:p w14:paraId="7A8043B6">
      <w:pPr>
        <w:pStyle w:val="9"/>
        <w:ind w:firstLine="1497" w:firstLineChars="416"/>
        <w:rPr>
          <w:rFonts w:hint="eastAsia" w:ascii="宋体" w:hAnsi="宋体" w:eastAsia="宋体" w:cs="宋体"/>
          <w:color w:val="auto"/>
          <w:sz w:val="36"/>
          <w:highlight w:val="none"/>
        </w:rPr>
      </w:pPr>
    </w:p>
    <w:p w14:paraId="58CEF50D">
      <w:pPr>
        <w:pStyle w:val="9"/>
        <w:ind w:firstLine="1497" w:firstLineChars="416"/>
        <w:rPr>
          <w:rFonts w:hint="eastAsia" w:ascii="宋体" w:hAnsi="宋体" w:eastAsia="宋体" w:cs="宋体"/>
          <w:color w:val="auto"/>
          <w:sz w:val="36"/>
          <w:highlight w:val="none"/>
        </w:rPr>
      </w:pPr>
    </w:p>
    <w:p w14:paraId="1E5A03F4">
      <w:pPr>
        <w:pStyle w:val="9"/>
        <w:ind w:firstLine="1497" w:firstLineChars="416"/>
        <w:rPr>
          <w:rFonts w:hint="eastAsia" w:ascii="宋体" w:hAnsi="宋体" w:eastAsia="宋体" w:cs="宋体"/>
          <w:color w:val="auto"/>
          <w:sz w:val="36"/>
          <w:highlight w:val="none"/>
        </w:rPr>
      </w:pPr>
    </w:p>
    <w:p w14:paraId="29372093">
      <w:pPr>
        <w:pStyle w:val="9"/>
        <w:ind w:firstLine="1497" w:firstLineChars="416"/>
        <w:rPr>
          <w:rFonts w:hint="eastAsia" w:ascii="宋体" w:hAnsi="宋体" w:eastAsia="宋体" w:cs="宋体"/>
          <w:color w:val="auto"/>
          <w:sz w:val="36"/>
          <w:highlight w:val="none"/>
        </w:rPr>
      </w:pPr>
    </w:p>
    <w:p w14:paraId="20D8187A">
      <w:pPr>
        <w:pStyle w:val="9"/>
        <w:ind w:firstLine="1497" w:firstLineChars="416"/>
        <w:rPr>
          <w:rFonts w:hint="eastAsia" w:ascii="宋体" w:hAnsi="宋体" w:eastAsia="宋体" w:cs="宋体"/>
          <w:color w:val="auto"/>
          <w:sz w:val="36"/>
          <w:highlight w:val="none"/>
        </w:rPr>
      </w:pPr>
    </w:p>
    <w:p w14:paraId="7B0D702A">
      <w:pPr>
        <w:pStyle w:val="9"/>
        <w:ind w:firstLine="1497" w:firstLineChars="416"/>
        <w:rPr>
          <w:rFonts w:hint="eastAsia" w:ascii="宋体" w:hAnsi="宋体" w:eastAsia="宋体" w:cs="宋体"/>
          <w:color w:val="auto"/>
          <w:sz w:val="36"/>
          <w:highlight w:val="none"/>
        </w:rPr>
      </w:pPr>
    </w:p>
    <w:p w14:paraId="266CBE55">
      <w:pPr>
        <w:pStyle w:val="9"/>
        <w:ind w:firstLine="1497" w:firstLineChars="416"/>
        <w:rPr>
          <w:rFonts w:hint="eastAsia" w:ascii="宋体" w:hAnsi="宋体" w:eastAsia="宋体" w:cs="宋体"/>
          <w:color w:val="auto"/>
          <w:sz w:val="36"/>
          <w:highlight w:val="none"/>
        </w:rPr>
      </w:pPr>
    </w:p>
    <w:p w14:paraId="19E33DF4">
      <w:pPr>
        <w:pStyle w:val="9"/>
        <w:ind w:firstLine="1497" w:firstLineChars="416"/>
        <w:rPr>
          <w:rFonts w:hint="eastAsia" w:ascii="宋体" w:hAnsi="宋体" w:eastAsia="宋体" w:cs="宋体"/>
          <w:color w:val="auto"/>
          <w:sz w:val="36"/>
          <w:highlight w:val="none"/>
        </w:rPr>
      </w:pPr>
    </w:p>
    <w:p w14:paraId="6053680C">
      <w:pPr>
        <w:pStyle w:val="9"/>
        <w:ind w:firstLine="1497" w:firstLineChars="416"/>
        <w:rPr>
          <w:rFonts w:hint="eastAsia" w:ascii="宋体" w:hAnsi="宋体" w:eastAsia="宋体" w:cs="宋体"/>
          <w:color w:val="auto"/>
          <w:sz w:val="36"/>
          <w:highlight w:val="none"/>
        </w:rPr>
      </w:pPr>
    </w:p>
    <w:p w14:paraId="4B9A462A">
      <w:pPr>
        <w:pStyle w:val="9"/>
        <w:ind w:firstLine="1497" w:firstLineChars="416"/>
        <w:rPr>
          <w:rFonts w:hint="eastAsia" w:ascii="宋体" w:hAnsi="宋体" w:eastAsia="宋体" w:cs="宋体"/>
          <w:color w:val="auto"/>
          <w:sz w:val="36"/>
          <w:highlight w:val="none"/>
        </w:rPr>
      </w:pPr>
    </w:p>
    <w:p w14:paraId="0A44A264">
      <w:pPr>
        <w:pStyle w:val="9"/>
        <w:ind w:firstLine="1497" w:firstLineChars="416"/>
        <w:rPr>
          <w:rFonts w:hint="eastAsia" w:ascii="宋体" w:hAnsi="宋体" w:eastAsia="宋体" w:cs="宋体"/>
          <w:color w:val="auto"/>
          <w:sz w:val="36"/>
          <w:highlight w:val="none"/>
        </w:rPr>
      </w:pPr>
    </w:p>
    <w:p w14:paraId="015226F4">
      <w:pPr>
        <w:pStyle w:val="9"/>
        <w:ind w:firstLine="1497" w:firstLineChars="416"/>
        <w:rPr>
          <w:rFonts w:hint="eastAsia" w:ascii="宋体" w:hAnsi="宋体" w:eastAsia="宋体" w:cs="宋体"/>
          <w:color w:val="auto"/>
          <w:sz w:val="36"/>
          <w:highlight w:val="none"/>
        </w:rPr>
      </w:pPr>
    </w:p>
    <w:p w14:paraId="5B5CF0DA">
      <w:pPr>
        <w:pStyle w:val="9"/>
        <w:ind w:firstLine="1497" w:firstLineChars="416"/>
        <w:rPr>
          <w:rFonts w:hint="eastAsia" w:ascii="宋体" w:hAnsi="宋体" w:eastAsia="宋体" w:cs="宋体"/>
          <w:color w:val="auto"/>
          <w:sz w:val="36"/>
          <w:highlight w:val="none"/>
        </w:rPr>
      </w:pPr>
    </w:p>
    <w:p w14:paraId="50F00BCE">
      <w:pPr>
        <w:pStyle w:val="9"/>
        <w:ind w:firstLine="1497" w:firstLineChars="416"/>
        <w:rPr>
          <w:rFonts w:hint="eastAsia" w:ascii="宋体" w:hAnsi="宋体" w:eastAsia="宋体" w:cs="宋体"/>
          <w:color w:val="auto"/>
          <w:sz w:val="36"/>
          <w:highlight w:val="none"/>
        </w:rPr>
      </w:pPr>
    </w:p>
    <w:p w14:paraId="6B93A712">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资信商务及技术文件目录</w:t>
      </w:r>
    </w:p>
    <w:p w14:paraId="3D4E1000">
      <w:pPr>
        <w:widowControl/>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1.1资信商务及技术文件</w:t>
      </w:r>
    </w:p>
    <w:p w14:paraId="5AFA65C0">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1.1.1资信商务文件：</w:t>
      </w:r>
    </w:p>
    <w:p w14:paraId="344FBBED">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（1）磋商声明书；（格式见附件1）</w:t>
      </w:r>
    </w:p>
    <w:p w14:paraId="4A571355">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（2）法定代表人授权委托书；（格式见附件2）</w:t>
      </w:r>
    </w:p>
    <w:p w14:paraId="4DB353A2">
      <w:pPr>
        <w:widowControl/>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（3）所有资质文件；（格式见附件3）</w:t>
      </w:r>
    </w:p>
    <w:p w14:paraId="53C3F501">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基本情况表、法人营业执照、符合参加政府采购活动应当具备的一般条件的承诺函、中小企业声明函、残疾人福利性单位声明函、监狱企业证明文件、企业经营状况、优势、有关资信等级证明、荣誉获奖证书等资料。（以上证书</w:t>
      </w:r>
      <w:r>
        <w:rPr>
          <w:rFonts w:hint="eastAsia" w:ascii="宋体" w:hAnsi="宋体" w:cs="宋体"/>
          <w:color w:val="auto"/>
          <w:szCs w:val="21"/>
          <w:highlight w:val="none"/>
          <w:lang w:val="en-US" w:eastAsia="zh-CN"/>
        </w:rPr>
        <w:t>扫描</w:t>
      </w:r>
      <w:r>
        <w:rPr>
          <w:rFonts w:hint="eastAsia" w:ascii="宋体" w:hAnsi="宋体" w:eastAsia="宋体" w:cs="宋体"/>
          <w:color w:val="auto"/>
          <w:szCs w:val="21"/>
          <w:highlight w:val="none"/>
        </w:rPr>
        <w:t>件盖章）</w:t>
      </w:r>
    </w:p>
    <w:p w14:paraId="5FB6E7C1">
      <w:pPr>
        <w:tabs>
          <w:tab w:val="left" w:pos="840"/>
        </w:tabs>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（4）提供自磋商公告发布之日起至磋商截止日内任意时间的“信用中国”网站（www.creditchina.gov.cn）、中国政府采购网（www.ccgp.gov.cn）供应商信用查询网页截图等（</w:t>
      </w:r>
      <w:r>
        <w:rPr>
          <w:rFonts w:hint="eastAsia" w:ascii="宋体" w:hAnsi="宋体" w:eastAsia="宋体" w:cs="宋体"/>
          <w:color w:val="auto"/>
          <w:kern w:val="0"/>
          <w:szCs w:val="21"/>
          <w:highlight w:val="none"/>
        </w:rPr>
        <w:t>以磋商当日磋商小组或代理机构网页查询记录为准</w:t>
      </w:r>
      <w:r>
        <w:rPr>
          <w:rFonts w:hint="eastAsia" w:ascii="宋体" w:hAnsi="宋体" w:eastAsia="宋体" w:cs="宋体"/>
          <w:color w:val="auto"/>
          <w:szCs w:val="21"/>
          <w:highlight w:val="none"/>
        </w:rPr>
        <w:t>）。</w:t>
      </w:r>
    </w:p>
    <w:p w14:paraId="1315DDFA">
      <w:pPr>
        <w:tabs>
          <w:tab w:val="left" w:pos="840"/>
        </w:tabs>
        <w:autoSpaceDE w:val="0"/>
        <w:autoSpaceDN w:val="0"/>
        <w:adjustRightIn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（5）提供类似业绩证明材料。（以提供的加盖有效公章的合同扫描件为准）（格式见附件4）</w:t>
      </w:r>
    </w:p>
    <w:p w14:paraId="15A04044">
      <w:pPr>
        <w:tabs>
          <w:tab w:val="left" w:pos="840"/>
        </w:tabs>
        <w:autoSpaceDE w:val="0"/>
        <w:autoSpaceDN w:val="0"/>
        <w:adjustRightIn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诚信承诺书</w:t>
      </w:r>
      <w:r>
        <w:rPr>
          <w:rFonts w:hint="eastAsia" w:ascii="宋体" w:hAnsi="宋体" w:eastAsia="宋体" w:cs="宋体"/>
          <w:color w:val="auto"/>
          <w:szCs w:val="21"/>
          <w:highlight w:val="none"/>
        </w:rPr>
        <w:t>（格式见附件5）</w:t>
      </w:r>
    </w:p>
    <w:p w14:paraId="2A0EB272">
      <w:pPr>
        <w:widowControl/>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（7）商务条款偏离表（格式见附件6）</w:t>
      </w:r>
    </w:p>
    <w:p w14:paraId="787625F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（8）供应商认为需要的其他文件资料</w:t>
      </w:r>
    </w:p>
    <w:p w14:paraId="51540687">
      <w:pPr>
        <w:widowControl/>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1.1.2技术文件</w:t>
      </w:r>
    </w:p>
    <w:p w14:paraId="1AF04F99">
      <w:pPr>
        <w:numPr>
          <w:ilvl w:val="0"/>
          <w:numId w:val="7"/>
        </w:numPr>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对本项目总体要求的理解、技术方案</w:t>
      </w:r>
    </w:p>
    <w:p w14:paraId="6A7A5EB5">
      <w:pPr>
        <w:numPr>
          <w:ilvl w:val="0"/>
          <w:numId w:val="7"/>
        </w:numPr>
        <w:spacing w:line="4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项目组织实施方案（包括</w:t>
      </w:r>
      <w:r>
        <w:rPr>
          <w:rFonts w:hint="eastAsia" w:ascii="宋体" w:hAnsi="宋体"/>
          <w:color w:val="auto"/>
          <w:szCs w:val="21"/>
        </w:rPr>
        <w:t>主</w:t>
      </w:r>
      <w:r>
        <w:rPr>
          <w:rFonts w:hint="eastAsia"/>
          <w:color w:val="auto"/>
          <w:szCs w:val="21"/>
        </w:rPr>
        <w:t>要工作内容、机构及人员设置、实施方案、成果目标、进度安排、质量保证、安全措施</w:t>
      </w:r>
      <w:r>
        <w:rPr>
          <w:rFonts w:hint="eastAsia" w:ascii="宋体" w:hAnsi="宋体"/>
          <w:color w:val="auto"/>
          <w:szCs w:val="21"/>
          <w:highlight w:val="none"/>
        </w:rPr>
        <w:t>、突发应急事件的处理预案</w:t>
      </w:r>
      <w:r>
        <w:rPr>
          <w:rFonts w:hint="eastAsia"/>
          <w:color w:val="auto"/>
          <w:szCs w:val="21"/>
        </w:rPr>
        <w:t>以及拟投入的设备、设施及配置计划</w:t>
      </w:r>
      <w:r>
        <w:rPr>
          <w:rFonts w:hint="eastAsia" w:ascii="宋体" w:hAnsi="宋体" w:cs="宋体"/>
          <w:color w:val="auto"/>
          <w:szCs w:val="21"/>
          <w:highlight w:val="none"/>
        </w:rPr>
        <w:t>等）</w:t>
      </w:r>
      <w:r>
        <w:rPr>
          <w:rFonts w:hint="eastAsia" w:ascii="宋体" w:hAnsi="宋体" w:eastAsia="宋体" w:cs="宋体"/>
          <w:color w:val="auto"/>
          <w:szCs w:val="21"/>
          <w:highlight w:val="none"/>
        </w:rPr>
        <w:t>（格式见附件7）；</w:t>
      </w:r>
    </w:p>
    <w:p w14:paraId="3CBB7388">
      <w:pPr>
        <w:numPr>
          <w:ilvl w:val="0"/>
          <w:numId w:val="7"/>
        </w:num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项目实施人员一览表（格式见附件8）</w:t>
      </w:r>
    </w:p>
    <w:p w14:paraId="78EC0613">
      <w:pPr>
        <w:numPr>
          <w:ilvl w:val="0"/>
          <w:numId w:val="7"/>
        </w:numPr>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承诺方案：1、本项目的服务方案及保证措施；2、保证服务质量的技术力量及技术措施；3、本项目服务队伍的技术及管理水平实力；4、供应商对本项目的合理化建议和改进措施（格式自拟）；5、安全文明管理措施；6、距采购人最近或者能为本项目提供最优服务的网点情况表；7、其他服务承诺。（格式见附件9）</w:t>
      </w:r>
    </w:p>
    <w:p w14:paraId="3AEA518B">
      <w:pPr>
        <w:spacing w:line="460" w:lineRule="exact"/>
        <w:rPr>
          <w:rFonts w:hint="eastAsia" w:ascii="宋体" w:hAnsi="宋体" w:eastAsia="宋体" w:cs="宋体"/>
          <w:color w:val="auto"/>
          <w:highlight w:val="none"/>
        </w:rPr>
      </w:pPr>
    </w:p>
    <w:p w14:paraId="29368CFB">
      <w:pPr>
        <w:widowControl/>
        <w:snapToGrid w:val="0"/>
        <w:spacing w:line="400" w:lineRule="exact"/>
        <w:jc w:val="left"/>
        <w:rPr>
          <w:rFonts w:hint="eastAsia" w:ascii="宋体" w:hAnsi="宋体" w:eastAsia="宋体" w:cs="宋体"/>
          <w:color w:val="auto"/>
          <w:szCs w:val="21"/>
          <w:highlight w:val="none"/>
        </w:rPr>
      </w:pPr>
    </w:p>
    <w:p w14:paraId="02595785">
      <w:pPr>
        <w:pStyle w:val="31"/>
        <w:spacing w:line="432" w:lineRule="auto"/>
        <w:jc w:val="both"/>
        <w:rPr>
          <w:rFonts w:hint="eastAsia" w:ascii="宋体" w:hAnsi="宋体" w:eastAsia="宋体" w:cs="宋体"/>
          <w:b/>
          <w:bCs/>
          <w:color w:val="auto"/>
          <w:sz w:val="44"/>
          <w:szCs w:val="44"/>
          <w:highlight w:val="none"/>
        </w:rPr>
      </w:pPr>
    </w:p>
    <w:p w14:paraId="5A16E7E0">
      <w:pPr>
        <w:adjustRightInd w:val="0"/>
        <w:snapToGrid w:val="0"/>
        <w:spacing w:line="360" w:lineRule="auto"/>
        <w:rPr>
          <w:rFonts w:hint="eastAsia" w:ascii="宋体" w:hAnsi="宋体" w:eastAsia="宋体" w:cs="宋体"/>
          <w:b/>
          <w:color w:val="auto"/>
          <w:sz w:val="32"/>
          <w:szCs w:val="32"/>
          <w:highlight w:val="none"/>
        </w:rPr>
      </w:pPr>
    </w:p>
    <w:p w14:paraId="70861A53">
      <w:pPr>
        <w:adjustRightInd w:val="0"/>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t xml:space="preserve">附件1              </w:t>
      </w:r>
      <w:r>
        <w:rPr>
          <w:rFonts w:hint="eastAsia" w:ascii="宋体" w:hAnsi="宋体" w:eastAsia="宋体" w:cs="宋体"/>
          <w:b/>
          <w:color w:val="auto"/>
          <w:sz w:val="30"/>
          <w:szCs w:val="30"/>
          <w:highlight w:val="none"/>
        </w:rPr>
        <w:t>磋商声明书</w:t>
      </w:r>
    </w:p>
    <w:p w14:paraId="781042C7">
      <w:pPr>
        <w:adjustRightInd w:val="0"/>
        <w:snapToGrid w:val="0"/>
        <w:spacing w:line="360" w:lineRule="auto"/>
        <w:rPr>
          <w:rFonts w:hint="eastAsia" w:ascii="宋体" w:hAnsi="宋体" w:eastAsia="宋体" w:cs="宋体"/>
          <w:color w:val="auto"/>
          <w:sz w:val="24"/>
          <w:highlight w:val="none"/>
        </w:rPr>
      </w:pPr>
    </w:p>
    <w:p w14:paraId="3B6EC836">
      <w:pPr>
        <w:snapToGrid w:val="0"/>
        <w:spacing w:before="156" w:beforeLines="50" w:after="50"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71DC365">
      <w:pPr>
        <w:snapToGrid w:val="0"/>
        <w:spacing w:before="156" w:beforeLines="50" w:after="50"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71B1D8">
      <w:pPr>
        <w:snapToGrid w:val="0"/>
        <w:spacing w:before="156" w:beforeLines="50" w:after="50" w:line="360" w:lineRule="auto"/>
        <w:ind w:firstLine="645"/>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（供应商名称）的法定代表人，我方愿意参加贵方组织的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项目的磋商，为便于贵方公正、择优地确定成交人及其磋商服务，我方就本次磋商有关事项郑重声明如下：</w:t>
      </w:r>
    </w:p>
    <w:p w14:paraId="5F96B3BE">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（1）我方向贵方提交的所有磋商响应文件、资料都是准确的和真实的。</w:t>
      </w:r>
    </w:p>
    <w:p w14:paraId="609C9141">
      <w:pPr>
        <w:snapToGrid w:val="0"/>
        <w:spacing w:before="156" w:beforeLines="5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7B7BD985">
      <w:pPr>
        <w:snapToGrid w:val="0"/>
        <w:spacing w:before="156" w:beforeLines="5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（3）我方及由本人担任法定代表人的其他机构最近三年内被通报或者被处罚的违法行为有：</w:t>
      </w:r>
      <w:r>
        <w:rPr>
          <w:rFonts w:hint="eastAsia" w:ascii="宋体" w:hAnsi="宋体" w:eastAsia="宋体" w:cs="宋体"/>
          <w:color w:val="auto"/>
          <w:sz w:val="24"/>
          <w:highlight w:val="none"/>
          <w:u w:val="single"/>
        </w:rPr>
        <w:t>　　　　　　　　　　　　　　　　　　　　　　　　　　　　　　　　　　　　　　　　　　　　　</w:t>
      </w:r>
    </w:p>
    <w:p w14:paraId="7FCFD249">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（4）以上事项如有虚假或隐瞒，我方愿意承担一切后果，并不再寻求任何旨在减轻或免除法律责任的辩解。</w:t>
      </w:r>
    </w:p>
    <w:p w14:paraId="6555369E">
      <w:pPr>
        <w:pStyle w:val="13"/>
        <w:tabs>
          <w:tab w:val="left" w:pos="939"/>
        </w:tabs>
        <w:snapToGrid w:val="0"/>
        <w:ind w:left="773" w:leftChars="150" w:hanging="458" w:hangingChars="191"/>
        <w:rPr>
          <w:rFonts w:hint="eastAsia" w:ascii="宋体" w:hAnsi="宋体" w:eastAsia="宋体" w:cs="宋体"/>
          <w:color w:val="auto"/>
          <w:sz w:val="24"/>
          <w:highlight w:val="none"/>
        </w:rPr>
      </w:pPr>
    </w:p>
    <w:p w14:paraId="15601588">
      <w:pPr>
        <w:pStyle w:val="63"/>
        <w:snapToGrid w:val="0"/>
        <w:spacing w:before="156" w:beforeLines="50"/>
        <w:ind w:firstLine="200"/>
        <w:rPr>
          <w:rFonts w:hint="eastAsia" w:ascii="宋体" w:hAnsi="宋体" w:eastAsia="宋体" w:cs="宋体"/>
          <w:color w:val="auto"/>
          <w:highlight w:val="none"/>
        </w:rPr>
      </w:pPr>
    </w:p>
    <w:p w14:paraId="49518E83">
      <w:pPr>
        <w:snapToGrid w:val="0"/>
        <w:spacing w:before="156" w:beforeLines="50"/>
        <w:ind w:firstLine="200"/>
        <w:rPr>
          <w:rFonts w:hint="eastAsia" w:ascii="宋体" w:hAnsi="宋体" w:eastAsia="宋体" w:cs="宋体"/>
          <w:color w:val="auto"/>
          <w:sz w:val="24"/>
          <w:szCs w:val="20"/>
          <w:highlight w:val="none"/>
          <w:u w:val="single"/>
        </w:rPr>
      </w:pPr>
      <w:r>
        <w:rPr>
          <w:rFonts w:hint="eastAsia" w:ascii="宋体" w:hAnsi="宋体" w:eastAsia="宋体" w:cs="宋体"/>
          <w:color w:val="auto"/>
          <w:sz w:val="24"/>
          <w:highlight w:val="none"/>
        </w:rPr>
        <w:t>法定代表人或被授权人签字（或签章）：</w:t>
      </w:r>
    </w:p>
    <w:p w14:paraId="12B0C2EE">
      <w:pPr>
        <w:adjustRightInd w:val="0"/>
        <w:spacing w:line="360" w:lineRule="auto"/>
        <w:ind w:firstLine="240" w:firstLineChars="100"/>
        <w:rPr>
          <w:rFonts w:hint="eastAsia" w:ascii="宋体" w:hAnsi="宋体" w:eastAsia="宋体" w:cs="宋体"/>
          <w:color w:val="auto"/>
          <w:sz w:val="24"/>
          <w:highlight w:val="none"/>
        </w:rPr>
      </w:pPr>
    </w:p>
    <w:p w14:paraId="7BB144CA">
      <w:pPr>
        <w:adjustRightIn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                      年    月    日</w:t>
      </w:r>
    </w:p>
    <w:p w14:paraId="3F0A5CF2">
      <w:pPr>
        <w:adjustRightInd w:val="0"/>
        <w:spacing w:line="360" w:lineRule="auto"/>
        <w:rPr>
          <w:rFonts w:hint="eastAsia" w:ascii="宋体" w:hAnsi="宋体" w:eastAsia="宋体" w:cs="宋体"/>
          <w:color w:val="auto"/>
          <w:sz w:val="24"/>
          <w:highlight w:val="none"/>
        </w:rPr>
      </w:pPr>
    </w:p>
    <w:p w14:paraId="417A1A7B">
      <w:pPr>
        <w:spacing w:before="156" w:beforeLines="50" w:line="360" w:lineRule="auto"/>
        <w:jc w:val="center"/>
        <w:rPr>
          <w:rFonts w:hint="eastAsia" w:ascii="宋体" w:hAnsi="宋体" w:eastAsia="宋体" w:cs="宋体"/>
          <w:b/>
          <w:color w:val="auto"/>
          <w:sz w:val="24"/>
          <w:highlight w:val="none"/>
        </w:rPr>
      </w:pPr>
    </w:p>
    <w:p w14:paraId="2D8022CB">
      <w:pPr>
        <w:spacing w:before="156" w:beforeLines="50" w:line="360" w:lineRule="auto"/>
        <w:jc w:val="center"/>
        <w:rPr>
          <w:rFonts w:hint="eastAsia" w:ascii="宋体" w:hAnsi="宋体" w:eastAsia="宋体" w:cs="宋体"/>
          <w:b/>
          <w:color w:val="auto"/>
          <w:sz w:val="24"/>
          <w:highlight w:val="none"/>
        </w:rPr>
      </w:pPr>
    </w:p>
    <w:p w14:paraId="49AE5503">
      <w:pPr>
        <w:spacing w:before="156" w:beforeLines="50" w:line="360" w:lineRule="auto"/>
        <w:jc w:val="center"/>
        <w:rPr>
          <w:rFonts w:hint="eastAsia" w:ascii="宋体" w:hAnsi="宋体" w:eastAsia="宋体" w:cs="宋体"/>
          <w:b/>
          <w:color w:val="auto"/>
          <w:sz w:val="24"/>
          <w:highlight w:val="none"/>
        </w:rPr>
      </w:pPr>
    </w:p>
    <w:p w14:paraId="3C09D350">
      <w:pPr>
        <w:spacing w:before="156" w:beforeLines="50" w:line="360" w:lineRule="auto"/>
        <w:jc w:val="center"/>
        <w:rPr>
          <w:rFonts w:hint="eastAsia" w:ascii="宋体" w:hAnsi="宋体" w:eastAsia="宋体" w:cs="宋体"/>
          <w:b/>
          <w:color w:val="auto"/>
          <w:sz w:val="24"/>
          <w:highlight w:val="none"/>
        </w:rPr>
      </w:pPr>
    </w:p>
    <w:p w14:paraId="3AA2BDB7">
      <w:pPr>
        <w:spacing w:before="156" w:beforeLines="50" w:line="360" w:lineRule="auto"/>
        <w:jc w:val="center"/>
        <w:rPr>
          <w:rFonts w:hint="eastAsia" w:ascii="宋体" w:hAnsi="宋体" w:eastAsia="宋体" w:cs="宋体"/>
          <w:b/>
          <w:color w:val="auto"/>
          <w:sz w:val="24"/>
          <w:highlight w:val="none"/>
        </w:rPr>
      </w:pPr>
    </w:p>
    <w:p w14:paraId="75729CC6">
      <w:pPr>
        <w:spacing w:before="156" w:beforeLines="5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附件2           法定代表人授权委托书</w:t>
      </w:r>
    </w:p>
    <w:p w14:paraId="43822A29">
      <w:pPr>
        <w:spacing w:before="156" w:beforeLines="50"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564ADE">
      <w:pPr>
        <w:spacing w:before="156" w:beforeLines="50"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（企业名称）系中华人民共和国合法企业，法定地址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00118E3">
      <w:pPr>
        <w:spacing w:before="156" w:beforeLines="50"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代表我单位全权办理针对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项目的磋商、签约等具体工作，并签署全部有关的文件、协议。</w:t>
      </w:r>
    </w:p>
    <w:p w14:paraId="453EFB72">
      <w:pPr>
        <w:spacing w:before="156"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我单位对被授权人的签名负全部责任。</w:t>
      </w:r>
    </w:p>
    <w:p w14:paraId="20CA1296">
      <w:pPr>
        <w:spacing w:before="156" w:beforeLines="50"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在撤销授权的书面通知以前，本授权书一直有效。被授权人签署的所有文件（在授权书有效期内签署的）不因授权的撤销而失效。</w:t>
      </w:r>
    </w:p>
    <w:p w14:paraId="3DD50703">
      <w:pPr>
        <w:spacing w:before="156" w:beforeLines="50" w:line="360" w:lineRule="auto"/>
        <w:rPr>
          <w:rFonts w:hint="eastAsia" w:ascii="宋体" w:hAnsi="宋体" w:eastAsia="宋体" w:cs="宋体"/>
          <w:color w:val="auto"/>
          <w:sz w:val="24"/>
          <w:highlight w:val="none"/>
        </w:rPr>
      </w:pPr>
    </w:p>
    <w:p w14:paraId="6314F6F5">
      <w:pPr>
        <w:adjustRightInd w:val="0"/>
        <w:snapToGrid w:val="0"/>
        <w:spacing w:before="156" w:beforeLines="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被授权人签字（或签章）：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法定代表人签字（或签章）：</w:t>
      </w:r>
      <w:r>
        <w:rPr>
          <w:rFonts w:hint="eastAsia" w:ascii="宋体" w:hAnsi="宋体" w:eastAsia="宋体" w:cs="宋体"/>
          <w:color w:val="auto"/>
          <w:sz w:val="24"/>
          <w:highlight w:val="none"/>
          <w:u w:val="single"/>
        </w:rPr>
        <w:t xml:space="preserve">          </w:t>
      </w:r>
    </w:p>
    <w:p w14:paraId="4B791AA5">
      <w:pPr>
        <w:adjustRightInd w:val="0"/>
        <w:snapToGrid w:val="0"/>
        <w:spacing w:before="156"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270900FC">
      <w:pPr>
        <w:adjustRightInd w:val="0"/>
        <w:snapToGrid w:val="0"/>
        <w:spacing w:before="156" w:beforeLines="50" w:line="360" w:lineRule="auto"/>
        <w:jc w:val="center"/>
        <w:rPr>
          <w:rFonts w:hint="eastAsia" w:ascii="宋体" w:hAnsi="宋体" w:eastAsia="宋体" w:cs="宋体"/>
          <w:color w:val="auto"/>
          <w:sz w:val="24"/>
          <w:highlight w:val="none"/>
        </w:rPr>
      </w:pPr>
    </w:p>
    <w:p w14:paraId="44E0F3E5">
      <w:pPr>
        <w:adjustRightInd w:val="0"/>
        <w:snapToGrid w:val="0"/>
        <w:spacing w:before="156" w:beforeLines="50"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pacing w:val="20"/>
          <w:sz w:val="24"/>
          <w:highlight w:val="none"/>
        </w:rPr>
        <w:t>供应商</w:t>
      </w:r>
      <w:r>
        <w:rPr>
          <w:rFonts w:hint="eastAsia" w:ascii="宋体" w:hAnsi="宋体" w:eastAsia="宋体" w:cs="宋体"/>
          <w:color w:val="auto"/>
          <w:sz w:val="24"/>
          <w:highlight w:val="none"/>
        </w:rPr>
        <w:t>公章：</w:t>
      </w:r>
    </w:p>
    <w:p w14:paraId="5336BBA8">
      <w:pPr>
        <w:adjustRightInd w:val="0"/>
        <w:snapToGrid w:val="0"/>
        <w:spacing w:before="156" w:beforeLines="50" w:line="360" w:lineRule="auto"/>
        <w:ind w:firstLine="5114" w:firstLineChars="2131"/>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E30617E">
      <w:pPr>
        <w:spacing w:before="156" w:beforeLines="50" w:line="360" w:lineRule="auto"/>
        <w:rPr>
          <w:rFonts w:hint="eastAsia" w:ascii="宋体" w:hAnsi="宋体" w:eastAsia="宋体" w:cs="宋体"/>
          <w:b/>
          <w:color w:val="auto"/>
          <w:sz w:val="24"/>
          <w:highlight w:val="none"/>
        </w:rPr>
      </w:pPr>
    </w:p>
    <w:p w14:paraId="7D4203F2">
      <w:pPr>
        <w:spacing w:before="156" w:beforeLines="50" w:line="360" w:lineRule="auto"/>
        <w:rPr>
          <w:rFonts w:hint="eastAsia" w:ascii="宋体" w:hAnsi="宋体" w:eastAsia="宋体" w:cs="宋体"/>
          <w:color w:val="auto"/>
          <w:sz w:val="24"/>
          <w:highlight w:val="none"/>
        </w:rPr>
      </w:pPr>
    </w:p>
    <w:p w14:paraId="2C3C4E99">
      <w:pPr>
        <w:snapToGrid w:val="0"/>
        <w:spacing w:before="156" w:beforeLines="50" w:after="50"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法定代表人身份证粘贴处（正反面）          被授权人身份证粘贴处（正反面）</w:t>
      </w:r>
    </w:p>
    <w:p w14:paraId="5501C175">
      <w:pPr>
        <w:spacing w:before="156" w:beforeLines="50" w:line="360" w:lineRule="auto"/>
        <w:rPr>
          <w:rFonts w:hint="eastAsia" w:ascii="宋体" w:hAnsi="宋体" w:eastAsia="宋体" w:cs="宋体"/>
          <w:b/>
          <w:color w:val="auto"/>
          <w:sz w:val="24"/>
          <w:highlight w:val="none"/>
        </w:rPr>
      </w:pPr>
    </w:p>
    <w:p w14:paraId="00E0A20C">
      <w:pPr>
        <w:spacing w:before="156" w:beforeLines="50" w:line="360" w:lineRule="auto"/>
        <w:rPr>
          <w:rFonts w:hint="eastAsia" w:ascii="宋体" w:hAnsi="宋体" w:eastAsia="宋体" w:cs="宋体"/>
          <w:color w:val="auto"/>
          <w:sz w:val="24"/>
          <w:highlight w:val="none"/>
        </w:rPr>
      </w:pPr>
    </w:p>
    <w:p w14:paraId="6A099C9A">
      <w:pPr>
        <w:spacing w:before="156" w:beforeLines="50" w:line="360" w:lineRule="auto"/>
        <w:rPr>
          <w:rFonts w:hint="eastAsia" w:ascii="宋体" w:hAnsi="宋体" w:eastAsia="宋体" w:cs="宋体"/>
          <w:color w:val="auto"/>
          <w:sz w:val="24"/>
          <w:highlight w:val="none"/>
        </w:rPr>
      </w:pPr>
    </w:p>
    <w:p w14:paraId="5D3C6903">
      <w:pPr>
        <w:spacing w:before="156" w:beforeLines="50" w:line="360" w:lineRule="auto"/>
        <w:rPr>
          <w:rFonts w:hint="eastAsia" w:ascii="宋体" w:hAnsi="宋体" w:eastAsia="宋体" w:cs="宋体"/>
          <w:color w:val="auto"/>
          <w:sz w:val="24"/>
          <w:highlight w:val="none"/>
        </w:rPr>
      </w:pPr>
    </w:p>
    <w:p w14:paraId="46D067DF">
      <w:pPr>
        <w:spacing w:before="156" w:beforeLines="50" w:line="360" w:lineRule="auto"/>
        <w:rPr>
          <w:rFonts w:hint="eastAsia" w:ascii="宋体" w:hAnsi="宋体" w:eastAsia="宋体" w:cs="宋体"/>
          <w:b/>
          <w:color w:val="auto"/>
          <w:sz w:val="32"/>
          <w:szCs w:val="32"/>
          <w:highlight w:val="none"/>
        </w:rPr>
      </w:pPr>
    </w:p>
    <w:p w14:paraId="6CA976B6">
      <w:pPr>
        <w:spacing w:before="156" w:beforeLines="5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              关于资格的声明函</w:t>
      </w:r>
    </w:p>
    <w:p w14:paraId="525F923A">
      <w:pPr>
        <w:spacing w:before="156" w:beforeLines="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p>
    <w:p w14:paraId="11E0F015">
      <w:pPr>
        <w:spacing w:before="156" w:beforeLines="50" w:line="360"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关于贵方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招标项目，本签字人愿意参加磋商，提供嘉兴政府采购一览表中规定的服务，并证实提交的下列文件和说明是准确的和真实的：</w:t>
      </w:r>
    </w:p>
    <w:p w14:paraId="57F7DAA3">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1、供应商基本情况表。</w:t>
      </w:r>
    </w:p>
    <w:p w14:paraId="70B1B248">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2、法人营业执照副本。（</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件盖章）</w:t>
      </w:r>
    </w:p>
    <w:p w14:paraId="18BA86BB">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3、符合参加政府采购活动应当具备的一般条件的承诺函</w:t>
      </w:r>
    </w:p>
    <w:p w14:paraId="79F2AD81">
      <w:pPr>
        <w:spacing w:line="600" w:lineRule="exact"/>
        <w:ind w:firstLine="360" w:firstLineChars="150"/>
        <w:rPr>
          <w:rFonts w:hint="eastAsia" w:ascii="宋体" w:hAnsi="宋体" w:eastAsia="宋体" w:cs="宋体"/>
          <w:color w:val="auto"/>
          <w:highlight w:val="none"/>
        </w:rPr>
      </w:pPr>
      <w:r>
        <w:rPr>
          <w:rFonts w:hint="eastAsia" w:ascii="宋体" w:hAnsi="宋体" w:eastAsia="宋体" w:cs="宋体"/>
          <w:color w:val="auto"/>
          <w:sz w:val="24"/>
          <w:highlight w:val="none"/>
        </w:rPr>
        <w:t>4、中小企业声明函；残疾人福利性单位声明函；监狱企业证明文件</w:t>
      </w:r>
    </w:p>
    <w:p w14:paraId="0A793515">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5、资信等级证明、荣誉获奖证书等资料（如有，</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件盖章）</w:t>
      </w:r>
    </w:p>
    <w:p w14:paraId="69E55890">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N、供应商认为有必要提供的声明及文件资料。</w:t>
      </w:r>
    </w:p>
    <w:p w14:paraId="23FF9124">
      <w:pPr>
        <w:spacing w:before="156" w:beforeLines="50" w:line="360" w:lineRule="auto"/>
        <w:rPr>
          <w:rFonts w:hint="eastAsia" w:ascii="宋体" w:hAnsi="宋体" w:eastAsia="宋体" w:cs="宋体"/>
          <w:color w:val="auto"/>
          <w:sz w:val="24"/>
          <w:highlight w:val="none"/>
        </w:rPr>
      </w:pPr>
    </w:p>
    <w:p w14:paraId="3C3EC59A">
      <w:pPr>
        <w:spacing w:before="156" w:beforeLines="50" w:line="360" w:lineRule="auto"/>
        <w:rPr>
          <w:rFonts w:hint="eastAsia" w:ascii="宋体" w:hAnsi="宋体" w:eastAsia="宋体" w:cs="宋体"/>
          <w:color w:val="auto"/>
          <w:sz w:val="24"/>
          <w:highlight w:val="none"/>
        </w:rPr>
      </w:pPr>
    </w:p>
    <w:p w14:paraId="07B2474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CCDB9E6">
      <w:pPr>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供应商基本情况表</w:t>
      </w:r>
    </w:p>
    <w:tbl>
      <w:tblPr>
        <w:tblStyle w:val="36"/>
        <w:tblpPr w:leftFromText="180" w:rightFromText="180" w:vertAnchor="text" w:horzAnchor="margin" w:tblpXSpec="center" w:tblpY="166"/>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35"/>
        <w:gridCol w:w="2160"/>
        <w:gridCol w:w="1958"/>
        <w:gridCol w:w="2809"/>
      </w:tblGrid>
      <w:tr w14:paraId="4C3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658" w:type="dxa"/>
            <w:vMerge w:val="restart"/>
            <w:vAlign w:val="center"/>
          </w:tcPr>
          <w:p w14:paraId="7E365CB4">
            <w:pPr>
              <w:jc w:val="center"/>
              <w:rPr>
                <w:rFonts w:hint="eastAsia" w:ascii="宋体" w:hAnsi="宋体" w:eastAsia="宋体" w:cs="宋体"/>
                <w:color w:val="auto"/>
                <w:sz w:val="24"/>
                <w:highlight w:val="none"/>
              </w:rPr>
            </w:pPr>
          </w:p>
          <w:p w14:paraId="57B8062A">
            <w:pPr>
              <w:jc w:val="center"/>
              <w:rPr>
                <w:rFonts w:hint="eastAsia" w:ascii="宋体" w:hAnsi="宋体" w:eastAsia="宋体" w:cs="宋体"/>
                <w:color w:val="auto"/>
                <w:sz w:val="24"/>
                <w:highlight w:val="none"/>
              </w:rPr>
            </w:pPr>
          </w:p>
          <w:p w14:paraId="649438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14:paraId="2733AD23">
            <w:pPr>
              <w:jc w:val="center"/>
              <w:rPr>
                <w:rFonts w:hint="eastAsia" w:ascii="宋体" w:hAnsi="宋体" w:eastAsia="宋体" w:cs="宋体"/>
                <w:color w:val="auto"/>
                <w:sz w:val="24"/>
                <w:highlight w:val="none"/>
              </w:rPr>
            </w:pPr>
          </w:p>
          <w:p w14:paraId="2E5291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14:paraId="14FF559C">
            <w:pPr>
              <w:jc w:val="center"/>
              <w:rPr>
                <w:rFonts w:hint="eastAsia" w:ascii="宋体" w:hAnsi="宋体" w:eastAsia="宋体" w:cs="宋体"/>
                <w:color w:val="auto"/>
                <w:sz w:val="24"/>
                <w:highlight w:val="none"/>
              </w:rPr>
            </w:pPr>
          </w:p>
          <w:p w14:paraId="48C0CB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29C20EE8">
            <w:pPr>
              <w:rPr>
                <w:rFonts w:hint="eastAsia" w:ascii="宋体" w:hAnsi="宋体" w:eastAsia="宋体" w:cs="宋体"/>
                <w:color w:val="auto"/>
                <w:sz w:val="24"/>
                <w:highlight w:val="none"/>
              </w:rPr>
            </w:pPr>
          </w:p>
          <w:p w14:paraId="039D496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概</w:t>
            </w:r>
          </w:p>
          <w:p w14:paraId="6570A664">
            <w:pPr>
              <w:jc w:val="center"/>
              <w:rPr>
                <w:rFonts w:hint="eastAsia" w:ascii="宋体" w:hAnsi="宋体" w:eastAsia="宋体" w:cs="宋体"/>
                <w:color w:val="auto"/>
                <w:sz w:val="24"/>
                <w:highlight w:val="none"/>
              </w:rPr>
            </w:pPr>
          </w:p>
          <w:p w14:paraId="01E51C6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况</w:t>
            </w:r>
          </w:p>
        </w:tc>
        <w:tc>
          <w:tcPr>
            <w:tcW w:w="1835" w:type="dxa"/>
            <w:vAlign w:val="center"/>
          </w:tcPr>
          <w:p w14:paraId="5D48F8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公司名称</w:t>
            </w:r>
          </w:p>
        </w:tc>
        <w:tc>
          <w:tcPr>
            <w:tcW w:w="6927" w:type="dxa"/>
            <w:gridSpan w:val="3"/>
            <w:vAlign w:val="center"/>
          </w:tcPr>
          <w:p w14:paraId="4FE3A9E8">
            <w:pPr>
              <w:jc w:val="center"/>
              <w:rPr>
                <w:rFonts w:hint="eastAsia" w:ascii="宋体" w:hAnsi="宋体" w:eastAsia="宋体" w:cs="宋体"/>
                <w:color w:val="auto"/>
                <w:sz w:val="24"/>
                <w:highlight w:val="none"/>
              </w:rPr>
            </w:pPr>
          </w:p>
        </w:tc>
      </w:tr>
      <w:tr w14:paraId="7300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58" w:type="dxa"/>
            <w:vMerge w:val="continue"/>
            <w:vAlign w:val="center"/>
          </w:tcPr>
          <w:p w14:paraId="53C98B32">
            <w:pPr>
              <w:jc w:val="center"/>
              <w:rPr>
                <w:rFonts w:hint="eastAsia" w:ascii="宋体" w:hAnsi="宋体" w:eastAsia="宋体" w:cs="宋体"/>
                <w:color w:val="auto"/>
                <w:sz w:val="24"/>
                <w:highlight w:val="none"/>
              </w:rPr>
            </w:pPr>
          </w:p>
        </w:tc>
        <w:tc>
          <w:tcPr>
            <w:tcW w:w="1835" w:type="dxa"/>
            <w:vAlign w:val="center"/>
          </w:tcPr>
          <w:p w14:paraId="69CC00C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6927" w:type="dxa"/>
            <w:gridSpan w:val="3"/>
            <w:vAlign w:val="center"/>
          </w:tcPr>
          <w:p w14:paraId="7908B53B">
            <w:pPr>
              <w:jc w:val="center"/>
              <w:rPr>
                <w:rFonts w:hint="eastAsia" w:ascii="宋体" w:hAnsi="宋体" w:eastAsia="宋体" w:cs="宋体"/>
                <w:color w:val="auto"/>
                <w:sz w:val="24"/>
                <w:highlight w:val="none"/>
              </w:rPr>
            </w:pPr>
          </w:p>
        </w:tc>
      </w:tr>
      <w:tr w14:paraId="6EF3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58" w:type="dxa"/>
            <w:vMerge w:val="continue"/>
            <w:vAlign w:val="center"/>
          </w:tcPr>
          <w:p w14:paraId="4200FC0B">
            <w:pPr>
              <w:jc w:val="center"/>
              <w:rPr>
                <w:rFonts w:hint="eastAsia" w:ascii="宋体" w:hAnsi="宋体" w:eastAsia="宋体" w:cs="宋体"/>
                <w:color w:val="auto"/>
                <w:sz w:val="24"/>
                <w:highlight w:val="none"/>
              </w:rPr>
            </w:pPr>
          </w:p>
        </w:tc>
        <w:tc>
          <w:tcPr>
            <w:tcW w:w="1835" w:type="dxa"/>
            <w:vAlign w:val="center"/>
          </w:tcPr>
          <w:p w14:paraId="5C6D4F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6927" w:type="dxa"/>
            <w:gridSpan w:val="3"/>
            <w:vAlign w:val="center"/>
          </w:tcPr>
          <w:p w14:paraId="59FB5596">
            <w:pPr>
              <w:jc w:val="center"/>
              <w:rPr>
                <w:rFonts w:hint="eastAsia" w:ascii="宋体" w:hAnsi="宋体" w:eastAsia="宋体" w:cs="宋体"/>
                <w:color w:val="auto"/>
                <w:sz w:val="24"/>
                <w:highlight w:val="none"/>
              </w:rPr>
            </w:pPr>
          </w:p>
        </w:tc>
      </w:tr>
      <w:tr w14:paraId="2BF9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58" w:type="dxa"/>
            <w:vMerge w:val="continue"/>
            <w:vAlign w:val="center"/>
          </w:tcPr>
          <w:p w14:paraId="6E37E0F1">
            <w:pPr>
              <w:jc w:val="center"/>
              <w:rPr>
                <w:rFonts w:hint="eastAsia" w:ascii="宋体" w:hAnsi="宋体" w:eastAsia="宋体" w:cs="宋体"/>
                <w:color w:val="auto"/>
                <w:sz w:val="24"/>
                <w:highlight w:val="none"/>
              </w:rPr>
            </w:pPr>
          </w:p>
        </w:tc>
        <w:tc>
          <w:tcPr>
            <w:tcW w:w="1835" w:type="dxa"/>
            <w:vAlign w:val="center"/>
          </w:tcPr>
          <w:p w14:paraId="0B891D3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160" w:type="dxa"/>
            <w:vAlign w:val="center"/>
          </w:tcPr>
          <w:p w14:paraId="309D6825">
            <w:pPr>
              <w:jc w:val="center"/>
              <w:rPr>
                <w:rFonts w:hint="eastAsia" w:ascii="宋体" w:hAnsi="宋体" w:eastAsia="宋体" w:cs="宋体"/>
                <w:color w:val="auto"/>
                <w:sz w:val="24"/>
                <w:highlight w:val="none"/>
              </w:rPr>
            </w:pPr>
          </w:p>
        </w:tc>
        <w:tc>
          <w:tcPr>
            <w:tcW w:w="1958" w:type="dxa"/>
            <w:vAlign w:val="center"/>
          </w:tcPr>
          <w:p w14:paraId="480DD59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经济性质</w:t>
            </w:r>
          </w:p>
        </w:tc>
        <w:tc>
          <w:tcPr>
            <w:tcW w:w="2809" w:type="dxa"/>
            <w:vAlign w:val="center"/>
          </w:tcPr>
          <w:p w14:paraId="4D3421F9">
            <w:pPr>
              <w:jc w:val="center"/>
              <w:rPr>
                <w:rFonts w:hint="eastAsia" w:ascii="宋体" w:hAnsi="宋体" w:eastAsia="宋体" w:cs="宋体"/>
                <w:color w:val="auto"/>
                <w:sz w:val="24"/>
                <w:highlight w:val="none"/>
              </w:rPr>
            </w:pPr>
          </w:p>
        </w:tc>
      </w:tr>
      <w:tr w14:paraId="234F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58" w:type="dxa"/>
            <w:vMerge w:val="continue"/>
            <w:vAlign w:val="center"/>
          </w:tcPr>
          <w:p w14:paraId="00D74050">
            <w:pPr>
              <w:jc w:val="center"/>
              <w:rPr>
                <w:rFonts w:hint="eastAsia" w:ascii="宋体" w:hAnsi="宋体" w:eastAsia="宋体" w:cs="宋体"/>
                <w:color w:val="auto"/>
                <w:sz w:val="24"/>
                <w:highlight w:val="none"/>
              </w:rPr>
            </w:pPr>
          </w:p>
        </w:tc>
        <w:tc>
          <w:tcPr>
            <w:tcW w:w="1835" w:type="dxa"/>
            <w:vAlign w:val="center"/>
          </w:tcPr>
          <w:p w14:paraId="7B42EFA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160" w:type="dxa"/>
            <w:vAlign w:val="center"/>
          </w:tcPr>
          <w:p w14:paraId="0D583E17">
            <w:pPr>
              <w:jc w:val="center"/>
              <w:rPr>
                <w:rFonts w:hint="eastAsia" w:ascii="宋体" w:hAnsi="宋体" w:eastAsia="宋体" w:cs="宋体"/>
                <w:color w:val="auto"/>
                <w:sz w:val="24"/>
                <w:highlight w:val="none"/>
              </w:rPr>
            </w:pPr>
          </w:p>
        </w:tc>
        <w:tc>
          <w:tcPr>
            <w:tcW w:w="1958" w:type="dxa"/>
            <w:vAlign w:val="center"/>
          </w:tcPr>
          <w:p w14:paraId="694558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809" w:type="dxa"/>
            <w:vAlign w:val="center"/>
          </w:tcPr>
          <w:p w14:paraId="6765E5D8">
            <w:pPr>
              <w:jc w:val="center"/>
              <w:rPr>
                <w:rFonts w:hint="eastAsia" w:ascii="宋体" w:hAnsi="宋体" w:eastAsia="宋体" w:cs="宋体"/>
                <w:color w:val="auto"/>
                <w:sz w:val="24"/>
                <w:highlight w:val="none"/>
              </w:rPr>
            </w:pPr>
          </w:p>
        </w:tc>
      </w:tr>
      <w:tr w14:paraId="12AA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58" w:type="dxa"/>
            <w:vMerge w:val="continue"/>
            <w:vAlign w:val="center"/>
          </w:tcPr>
          <w:p w14:paraId="3AB142D3">
            <w:pPr>
              <w:jc w:val="center"/>
              <w:rPr>
                <w:rFonts w:hint="eastAsia" w:ascii="宋体" w:hAnsi="宋体" w:eastAsia="宋体" w:cs="宋体"/>
                <w:color w:val="auto"/>
                <w:sz w:val="24"/>
                <w:highlight w:val="none"/>
              </w:rPr>
            </w:pPr>
          </w:p>
        </w:tc>
        <w:tc>
          <w:tcPr>
            <w:tcW w:w="1835" w:type="dxa"/>
            <w:vAlign w:val="center"/>
          </w:tcPr>
          <w:p w14:paraId="3AD914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2160" w:type="dxa"/>
            <w:vAlign w:val="center"/>
          </w:tcPr>
          <w:p w14:paraId="1B2D71A6">
            <w:pPr>
              <w:jc w:val="center"/>
              <w:rPr>
                <w:rFonts w:hint="eastAsia" w:ascii="宋体" w:hAnsi="宋体" w:eastAsia="宋体" w:cs="宋体"/>
                <w:color w:val="auto"/>
                <w:sz w:val="24"/>
                <w:highlight w:val="none"/>
              </w:rPr>
            </w:pPr>
          </w:p>
        </w:tc>
        <w:tc>
          <w:tcPr>
            <w:tcW w:w="1958" w:type="dxa"/>
            <w:vAlign w:val="center"/>
          </w:tcPr>
          <w:p w14:paraId="25C753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技术人员数</w:t>
            </w:r>
          </w:p>
        </w:tc>
        <w:tc>
          <w:tcPr>
            <w:tcW w:w="2809" w:type="dxa"/>
            <w:vAlign w:val="center"/>
          </w:tcPr>
          <w:p w14:paraId="2C08B75E">
            <w:pPr>
              <w:jc w:val="center"/>
              <w:rPr>
                <w:rFonts w:hint="eastAsia" w:ascii="宋体" w:hAnsi="宋体" w:eastAsia="宋体" w:cs="宋体"/>
                <w:color w:val="auto"/>
                <w:sz w:val="24"/>
                <w:highlight w:val="none"/>
              </w:rPr>
            </w:pPr>
          </w:p>
        </w:tc>
      </w:tr>
      <w:tr w14:paraId="5DD3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58" w:type="dxa"/>
            <w:vMerge w:val="continue"/>
            <w:vAlign w:val="center"/>
          </w:tcPr>
          <w:p w14:paraId="7C96DAB9">
            <w:pPr>
              <w:jc w:val="center"/>
              <w:rPr>
                <w:rFonts w:hint="eastAsia" w:ascii="宋体" w:hAnsi="宋体" w:eastAsia="宋体" w:cs="宋体"/>
                <w:color w:val="auto"/>
                <w:sz w:val="24"/>
                <w:highlight w:val="none"/>
              </w:rPr>
            </w:pPr>
          </w:p>
        </w:tc>
        <w:tc>
          <w:tcPr>
            <w:tcW w:w="1835" w:type="dxa"/>
            <w:vAlign w:val="center"/>
          </w:tcPr>
          <w:p w14:paraId="375B34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工商登记号</w:t>
            </w:r>
          </w:p>
        </w:tc>
        <w:tc>
          <w:tcPr>
            <w:tcW w:w="2160" w:type="dxa"/>
            <w:vAlign w:val="center"/>
          </w:tcPr>
          <w:p w14:paraId="2A4ABA9C">
            <w:pPr>
              <w:jc w:val="center"/>
              <w:rPr>
                <w:rFonts w:hint="eastAsia" w:ascii="宋体" w:hAnsi="宋体" w:eastAsia="宋体" w:cs="宋体"/>
                <w:color w:val="auto"/>
                <w:sz w:val="24"/>
                <w:highlight w:val="none"/>
              </w:rPr>
            </w:pPr>
          </w:p>
        </w:tc>
        <w:tc>
          <w:tcPr>
            <w:tcW w:w="1958" w:type="dxa"/>
            <w:vAlign w:val="center"/>
          </w:tcPr>
          <w:p w14:paraId="3CBDB5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税务登记号</w:t>
            </w:r>
          </w:p>
        </w:tc>
        <w:tc>
          <w:tcPr>
            <w:tcW w:w="2809" w:type="dxa"/>
            <w:vAlign w:val="center"/>
          </w:tcPr>
          <w:p w14:paraId="75158E3E">
            <w:pPr>
              <w:jc w:val="center"/>
              <w:rPr>
                <w:rFonts w:hint="eastAsia" w:ascii="宋体" w:hAnsi="宋体" w:eastAsia="宋体" w:cs="宋体"/>
                <w:color w:val="auto"/>
                <w:sz w:val="24"/>
                <w:highlight w:val="none"/>
              </w:rPr>
            </w:pPr>
          </w:p>
        </w:tc>
      </w:tr>
      <w:tr w14:paraId="30E8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658" w:type="dxa"/>
            <w:vMerge w:val="continue"/>
            <w:vAlign w:val="center"/>
          </w:tcPr>
          <w:p w14:paraId="5A0A2DDC">
            <w:pPr>
              <w:jc w:val="center"/>
              <w:rPr>
                <w:rFonts w:hint="eastAsia" w:ascii="宋体" w:hAnsi="宋体" w:eastAsia="宋体" w:cs="宋体"/>
                <w:color w:val="auto"/>
                <w:sz w:val="24"/>
                <w:highlight w:val="none"/>
              </w:rPr>
            </w:pPr>
          </w:p>
        </w:tc>
        <w:tc>
          <w:tcPr>
            <w:tcW w:w="1835" w:type="dxa"/>
            <w:vAlign w:val="center"/>
          </w:tcPr>
          <w:p w14:paraId="40A3E1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业绩、信誉</w:t>
            </w:r>
          </w:p>
        </w:tc>
        <w:tc>
          <w:tcPr>
            <w:tcW w:w="6927" w:type="dxa"/>
            <w:gridSpan w:val="3"/>
            <w:vAlign w:val="center"/>
          </w:tcPr>
          <w:p w14:paraId="2E2ED0C3">
            <w:pPr>
              <w:jc w:val="center"/>
              <w:rPr>
                <w:rFonts w:hint="eastAsia" w:ascii="宋体" w:hAnsi="宋体" w:eastAsia="宋体" w:cs="宋体"/>
                <w:color w:val="auto"/>
                <w:sz w:val="24"/>
                <w:highlight w:val="none"/>
              </w:rPr>
            </w:pPr>
          </w:p>
          <w:p w14:paraId="21F1F834">
            <w:pPr>
              <w:rPr>
                <w:rFonts w:hint="eastAsia" w:ascii="宋体" w:hAnsi="宋体" w:eastAsia="宋体" w:cs="宋体"/>
                <w:color w:val="auto"/>
                <w:sz w:val="24"/>
                <w:highlight w:val="none"/>
              </w:rPr>
            </w:pPr>
          </w:p>
        </w:tc>
      </w:tr>
      <w:tr w14:paraId="478A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5" w:hRule="atLeast"/>
        </w:trPr>
        <w:tc>
          <w:tcPr>
            <w:tcW w:w="658" w:type="dxa"/>
            <w:vMerge w:val="continue"/>
            <w:vAlign w:val="center"/>
          </w:tcPr>
          <w:p w14:paraId="4C0CE007">
            <w:pPr>
              <w:jc w:val="center"/>
              <w:rPr>
                <w:rFonts w:hint="eastAsia" w:ascii="宋体" w:hAnsi="宋体" w:eastAsia="宋体" w:cs="宋体"/>
                <w:color w:val="auto"/>
                <w:sz w:val="24"/>
                <w:highlight w:val="none"/>
              </w:rPr>
            </w:pPr>
          </w:p>
        </w:tc>
        <w:tc>
          <w:tcPr>
            <w:tcW w:w="8762" w:type="dxa"/>
            <w:gridSpan w:val="4"/>
          </w:tcPr>
          <w:p w14:paraId="2012B456">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单位优势及特点：</w:t>
            </w:r>
          </w:p>
        </w:tc>
      </w:tr>
    </w:tbl>
    <w:p w14:paraId="65002A43">
      <w:pPr>
        <w:spacing w:before="120" w:beforeLines="50" w:line="360" w:lineRule="auto"/>
        <w:rPr>
          <w:rFonts w:hint="eastAsia" w:ascii="宋体" w:hAnsi="宋体" w:eastAsia="宋体" w:cs="宋体"/>
          <w:color w:val="auto"/>
          <w:sz w:val="24"/>
          <w:highlight w:val="none"/>
        </w:rPr>
      </w:pPr>
    </w:p>
    <w:p w14:paraId="367C1001">
      <w:pPr>
        <w:spacing w:before="120" w:beforeLines="50"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法定代表人或被授权人签字（或签章）</w:t>
      </w:r>
      <w:r>
        <w:rPr>
          <w:rFonts w:hint="eastAsia" w:ascii="宋体" w:hAnsi="宋体" w:eastAsia="宋体" w:cs="宋体"/>
          <w:color w:val="auto"/>
          <w:spacing w:val="20"/>
          <w:sz w:val="24"/>
          <w:highlight w:val="none"/>
        </w:rPr>
        <w:t>：</w:t>
      </w:r>
    </w:p>
    <w:p w14:paraId="5DD9E962">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供应商盖章：</w:t>
      </w:r>
    </w:p>
    <w:p w14:paraId="4A777259">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w:t>
      </w:r>
    </w:p>
    <w:p w14:paraId="2C117AC7">
      <w:pPr>
        <w:spacing w:line="360" w:lineRule="auto"/>
        <w:ind w:firstLine="420" w:firstLineChars="200"/>
        <w:jc w:val="left"/>
        <w:rPr>
          <w:rFonts w:hint="eastAsia" w:ascii="宋体" w:hAnsi="宋体" w:eastAsia="宋体" w:cs="宋体"/>
          <w:color w:val="auto"/>
          <w:szCs w:val="21"/>
          <w:highlight w:val="none"/>
        </w:rPr>
      </w:pPr>
    </w:p>
    <w:p w14:paraId="471D6E75">
      <w:pPr>
        <w:spacing w:line="360" w:lineRule="auto"/>
        <w:ind w:firstLine="420" w:firstLineChars="200"/>
        <w:jc w:val="left"/>
        <w:rPr>
          <w:rFonts w:hint="eastAsia" w:ascii="宋体" w:hAnsi="宋体" w:eastAsia="宋体" w:cs="宋体"/>
          <w:color w:val="auto"/>
          <w:szCs w:val="21"/>
          <w:highlight w:val="none"/>
        </w:rPr>
      </w:pPr>
    </w:p>
    <w:p w14:paraId="76D11840">
      <w:pPr>
        <w:spacing w:line="360" w:lineRule="auto"/>
        <w:ind w:firstLine="420" w:firstLineChars="200"/>
        <w:jc w:val="left"/>
        <w:rPr>
          <w:rFonts w:hint="eastAsia" w:ascii="宋体" w:hAnsi="宋体" w:eastAsia="宋体" w:cs="宋体"/>
          <w:color w:val="auto"/>
          <w:spacing w:val="20"/>
          <w:sz w:val="24"/>
          <w:highlight w:val="none"/>
        </w:rPr>
      </w:pPr>
      <w:r>
        <w:rPr>
          <w:rFonts w:hint="eastAsia" w:ascii="宋体" w:hAnsi="宋体" w:eastAsia="宋体" w:cs="宋体"/>
          <w:color w:val="auto"/>
          <w:szCs w:val="21"/>
          <w:highlight w:val="none"/>
        </w:rPr>
        <w:t>提供自磋商公告发布之日起至磋商截止日内任意时间的“信用中国”网站（www.creditchina.gov.cn）、中国政府采购网（www.ccgp.gov.cn）供应商信用查询网页截图等（</w:t>
      </w:r>
      <w:r>
        <w:rPr>
          <w:rFonts w:hint="eastAsia" w:ascii="宋体" w:hAnsi="宋体" w:eastAsia="宋体" w:cs="宋体"/>
          <w:color w:val="auto"/>
          <w:kern w:val="0"/>
          <w:szCs w:val="21"/>
          <w:highlight w:val="none"/>
        </w:rPr>
        <w:t>以磋商当日磋商小组或代理机构网页查询记录为准</w:t>
      </w:r>
      <w:r>
        <w:rPr>
          <w:rFonts w:hint="eastAsia" w:ascii="宋体" w:hAnsi="宋体" w:eastAsia="宋体" w:cs="宋体"/>
          <w:color w:val="auto"/>
          <w:szCs w:val="21"/>
          <w:highlight w:val="none"/>
        </w:rPr>
        <w:t>）</w:t>
      </w:r>
    </w:p>
    <w:p w14:paraId="4A18A900">
      <w:pPr>
        <w:snapToGrid w:val="0"/>
        <w:spacing w:before="50"/>
        <w:jc w:val="center"/>
        <w:rPr>
          <w:rFonts w:hint="eastAsia" w:ascii="宋体" w:hAnsi="宋体" w:eastAsia="宋体" w:cs="宋体"/>
          <w:b/>
          <w:color w:val="auto"/>
          <w:sz w:val="30"/>
          <w:szCs w:val="30"/>
          <w:highlight w:val="none"/>
        </w:rPr>
        <w:sectPr>
          <w:footerReference r:id="rId8" w:type="first"/>
          <w:footerReference r:id="rId7" w:type="default"/>
          <w:pgSz w:w="11906" w:h="16838"/>
          <w:pgMar w:top="1474" w:right="1700" w:bottom="1247" w:left="1797" w:header="851" w:footer="851" w:gutter="0"/>
          <w:cols w:space="720" w:num="1"/>
          <w:titlePg/>
          <w:docGrid w:linePitch="312" w:charSpace="0"/>
        </w:sectPr>
      </w:pPr>
    </w:p>
    <w:p w14:paraId="49387AE6">
      <w:pPr>
        <w:pStyle w:val="4"/>
        <w:spacing w:line="360" w:lineRule="auto"/>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符合参加政府采购活动应当具备的一般条件的承诺函</w:t>
      </w:r>
    </w:p>
    <w:p w14:paraId="5C39D5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15C96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我方参与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（项目名称）【项目编号：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（采购编号）】政府采购活动，郑重承诺：</w:t>
      </w:r>
    </w:p>
    <w:p w14:paraId="3A07B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（一）具备《中华人民共和国政府采购法》第二十二条第一款规定的条件：</w:t>
      </w:r>
    </w:p>
    <w:p w14:paraId="5C813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14:paraId="79F0C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2、具有良好的商业信誉和健全的财务会计制度； </w:t>
      </w:r>
    </w:p>
    <w:p w14:paraId="07D10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3、具有履行合同所必需的设备和专业技术能力；</w:t>
      </w:r>
    </w:p>
    <w:p w14:paraId="2C61B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14:paraId="7DFD15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5、参加政府采购活动前三年内，在经营活动中没有重大违法记录；</w:t>
      </w:r>
    </w:p>
    <w:p w14:paraId="02736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6、具有法律、行政法规规定的其他条件。</w:t>
      </w:r>
    </w:p>
    <w:p w14:paraId="77A57E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14:paraId="58CCD0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（三）不存在以下情况：</w:t>
      </w:r>
    </w:p>
    <w:p w14:paraId="3602AB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1、单位负责人为同一人或者存在直接控股、管理关系的不同供应商参加同一合同项下的政府采购活动的；</w:t>
      </w:r>
    </w:p>
    <w:p w14:paraId="70B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2、为采购项目提供整体设计、规范编制或者项目管理、监理、检测等服务后再参加该采购项目的其他采购活动的。</w:t>
      </w:r>
    </w:p>
    <w:p w14:paraId="7C432FB2">
      <w:pPr>
        <w:tabs>
          <w:tab w:val="left" w:pos="1418"/>
        </w:tabs>
        <w:spacing w:line="360" w:lineRule="auto"/>
        <w:ind w:firstLine="240" w:firstLineChars="100"/>
        <w:rPr>
          <w:rFonts w:hint="eastAsia" w:ascii="宋体" w:hAnsi="宋体" w:eastAsia="宋体" w:cs="宋体"/>
          <w:color w:val="auto"/>
          <w:sz w:val="24"/>
          <w:highlight w:val="none"/>
        </w:rPr>
      </w:pPr>
    </w:p>
    <w:p w14:paraId="7C032BCE">
      <w:pPr>
        <w:tabs>
          <w:tab w:val="left" w:pos="1418"/>
        </w:tabs>
        <w:spacing w:line="360" w:lineRule="auto"/>
        <w:ind w:firstLine="240" w:firstLineChars="100"/>
        <w:jc w:val="right"/>
        <w:rPr>
          <w:rFonts w:hint="eastAsia" w:ascii="宋体" w:hAnsi="宋体" w:eastAsia="宋体" w:cs="宋体"/>
          <w:color w:val="auto"/>
          <w:sz w:val="24"/>
          <w:highlight w:val="none"/>
        </w:rPr>
      </w:pPr>
    </w:p>
    <w:p w14:paraId="5B782074">
      <w:pPr>
        <w:tabs>
          <w:tab w:val="left" w:pos="1418"/>
        </w:tabs>
        <w:spacing w:line="360" w:lineRule="auto"/>
        <w:ind w:firstLine="240" w:firstLineChars="100"/>
        <w:jc w:val="righ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法定代表人或委托代理人签字（或签章）：</w:t>
      </w:r>
      <w:r>
        <w:rPr>
          <w:rFonts w:hint="eastAsia" w:ascii="宋体" w:hAnsi="宋体" w:eastAsia="宋体" w:cs="宋体"/>
          <w:bCs/>
          <w:color w:val="auto"/>
          <w:sz w:val="24"/>
          <w:highlight w:val="none"/>
        </w:rPr>
        <w:t xml:space="preserve"> </w:t>
      </w:r>
    </w:p>
    <w:p w14:paraId="5EFE0EE4">
      <w:pPr>
        <w:tabs>
          <w:tab w:val="left" w:pos="1418"/>
        </w:tabs>
        <w:spacing w:line="360" w:lineRule="auto"/>
        <w:ind w:firstLine="240" w:firstLineChars="100"/>
        <w:jc w:val="righ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供应商（盖章）：                              </w:t>
      </w:r>
    </w:p>
    <w:p w14:paraId="74CB2E84">
      <w:pPr>
        <w:spacing w:line="400" w:lineRule="exact"/>
        <w:jc w:val="right"/>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年  月  日</w:t>
      </w:r>
    </w:p>
    <w:p w14:paraId="3048822C">
      <w:pPr>
        <w:spacing w:line="400" w:lineRule="exact"/>
        <w:rPr>
          <w:rFonts w:hint="eastAsia" w:ascii="宋体" w:hAnsi="宋体" w:eastAsia="宋体" w:cs="宋体"/>
          <w:b/>
          <w:color w:val="auto"/>
          <w:sz w:val="32"/>
          <w:szCs w:val="32"/>
          <w:highlight w:val="none"/>
        </w:rPr>
      </w:pPr>
    </w:p>
    <w:p w14:paraId="6E231A6C">
      <w:pPr>
        <w:spacing w:line="400" w:lineRule="exact"/>
        <w:rPr>
          <w:rFonts w:hint="eastAsia" w:ascii="宋体" w:hAnsi="宋体" w:eastAsia="宋体" w:cs="宋体"/>
          <w:b/>
          <w:color w:val="auto"/>
          <w:sz w:val="32"/>
          <w:szCs w:val="32"/>
          <w:highlight w:val="none"/>
        </w:rPr>
      </w:pPr>
    </w:p>
    <w:p w14:paraId="680326A7">
      <w:pPr>
        <w:spacing w:line="400" w:lineRule="exact"/>
        <w:rPr>
          <w:rFonts w:hint="eastAsia" w:ascii="宋体" w:hAnsi="宋体" w:eastAsia="宋体" w:cs="宋体"/>
          <w:b/>
          <w:color w:val="auto"/>
          <w:sz w:val="32"/>
          <w:szCs w:val="32"/>
          <w:highlight w:val="none"/>
        </w:rPr>
      </w:pPr>
    </w:p>
    <w:p w14:paraId="68327410">
      <w:pPr>
        <w:spacing w:line="400" w:lineRule="exact"/>
        <w:rPr>
          <w:rFonts w:hint="eastAsia" w:ascii="宋体" w:hAnsi="宋体" w:eastAsia="宋体" w:cs="宋体"/>
          <w:b/>
          <w:color w:val="auto"/>
          <w:sz w:val="32"/>
          <w:szCs w:val="32"/>
          <w:highlight w:val="none"/>
        </w:rPr>
      </w:pPr>
    </w:p>
    <w:p w14:paraId="39690960">
      <w:pPr>
        <w:spacing w:line="400" w:lineRule="exact"/>
        <w:rPr>
          <w:rFonts w:hint="eastAsia" w:ascii="宋体" w:hAnsi="宋体" w:eastAsia="宋体" w:cs="宋体"/>
          <w:b/>
          <w:color w:val="auto"/>
          <w:sz w:val="32"/>
          <w:szCs w:val="32"/>
          <w:highlight w:val="none"/>
        </w:rPr>
      </w:pPr>
    </w:p>
    <w:p w14:paraId="47C16771">
      <w:pPr>
        <w:snapToGrid w:val="0"/>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中小企业声明函（工程、服务）</w:t>
      </w:r>
    </w:p>
    <w:p w14:paraId="3BA24424">
      <w:pPr>
        <w:pStyle w:val="97"/>
        <w:spacing w:line="460" w:lineRule="exact"/>
        <w:ind w:right="157"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 xml:space="preserve"> 的 </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037E8C00">
      <w:pPr>
        <w:pStyle w:val="97"/>
        <w:spacing w:line="460" w:lineRule="exact"/>
        <w:ind w:right="157"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万元，属于 </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14:paraId="5E3B1295">
      <w:pPr>
        <w:pStyle w:val="97"/>
        <w:spacing w:line="460" w:lineRule="exact"/>
        <w:ind w:right="157"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万元，属于 </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14:paraId="77BFED1B">
      <w:pPr>
        <w:pStyle w:val="97"/>
        <w:spacing w:line="460" w:lineRule="exact"/>
        <w:ind w:right="157"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6F3C40FA">
      <w:pPr>
        <w:pStyle w:val="97"/>
        <w:spacing w:line="460" w:lineRule="exact"/>
        <w:ind w:right="157"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01D6B02">
      <w:pPr>
        <w:pStyle w:val="97"/>
        <w:spacing w:line="460" w:lineRule="exact"/>
        <w:ind w:right="157"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48D7A6D4">
      <w:pPr>
        <w:pStyle w:val="57"/>
        <w:spacing w:line="460" w:lineRule="exact"/>
        <w:rPr>
          <w:rFonts w:hint="eastAsia" w:ascii="宋体" w:hAnsi="宋体" w:eastAsia="宋体" w:cs="宋体"/>
          <w:color w:val="auto"/>
          <w:highlight w:val="none"/>
        </w:rPr>
      </w:pPr>
    </w:p>
    <w:p w14:paraId="152C4775">
      <w:pPr>
        <w:pStyle w:val="97"/>
        <w:spacing w:line="460" w:lineRule="exact"/>
        <w:ind w:right="157" w:firstLine="642"/>
        <w:rPr>
          <w:rFonts w:hint="eastAsia" w:ascii="宋体" w:hAnsi="宋体" w:eastAsia="宋体" w:cs="宋体"/>
          <w:color w:val="auto"/>
          <w:spacing w:val="20"/>
          <w:highlight w:val="none"/>
          <w:u w:val="single"/>
        </w:rPr>
      </w:pPr>
      <w:r>
        <w:rPr>
          <w:rFonts w:hint="eastAsia" w:ascii="宋体" w:hAnsi="宋体" w:eastAsia="宋体" w:cs="宋体"/>
          <w:color w:val="auto"/>
          <w:spacing w:val="20"/>
          <w:highlight w:val="none"/>
        </w:rPr>
        <w:t>供应商名称：</w:t>
      </w:r>
      <w:r>
        <w:rPr>
          <w:rFonts w:hint="eastAsia" w:ascii="宋体" w:hAnsi="宋体" w:eastAsia="宋体" w:cs="宋体"/>
          <w:color w:val="auto"/>
          <w:spacing w:val="20"/>
          <w:highlight w:val="none"/>
          <w:u w:val="single"/>
        </w:rPr>
        <w:t xml:space="preserve">       （盖章）   </w:t>
      </w:r>
      <w:r>
        <w:rPr>
          <w:rFonts w:hint="eastAsia" w:ascii="宋体" w:hAnsi="宋体" w:eastAsia="宋体" w:cs="宋体"/>
          <w:color w:val="auto"/>
          <w:spacing w:val="20"/>
          <w:highlight w:val="none"/>
        </w:rPr>
        <w:t xml:space="preserve">      日  期：</w:t>
      </w:r>
    </w:p>
    <w:p w14:paraId="2DDC33C2">
      <w:pPr>
        <w:pStyle w:val="57"/>
        <w:spacing w:line="460" w:lineRule="exact"/>
        <w:rPr>
          <w:rFonts w:hint="eastAsia" w:ascii="宋体" w:hAnsi="宋体" w:eastAsia="宋体" w:cs="宋体"/>
          <w:color w:val="auto"/>
          <w:sz w:val="21"/>
          <w:szCs w:val="21"/>
          <w:highlight w:val="none"/>
        </w:rPr>
      </w:pPr>
    </w:p>
    <w:p w14:paraId="6ABD6F78">
      <w:pPr>
        <w:pStyle w:val="57"/>
        <w:spacing w:line="460" w:lineRule="exact"/>
        <w:rPr>
          <w:rFonts w:hint="eastAsia" w:ascii="宋体" w:hAnsi="宋体" w:eastAsia="宋体" w:cs="宋体"/>
          <w:color w:val="auto"/>
          <w:sz w:val="21"/>
          <w:szCs w:val="21"/>
          <w:highlight w:val="none"/>
        </w:rPr>
      </w:pPr>
    </w:p>
    <w:p w14:paraId="45111476">
      <w:pPr>
        <w:pStyle w:val="57"/>
        <w:spacing w:line="460" w:lineRule="exact"/>
        <w:rPr>
          <w:rFonts w:hint="eastAsia" w:ascii="宋体" w:hAnsi="宋体" w:eastAsia="宋体" w:cs="宋体"/>
          <w:color w:val="auto"/>
          <w:sz w:val="21"/>
          <w:szCs w:val="21"/>
          <w:highlight w:val="none"/>
        </w:rPr>
      </w:pPr>
    </w:p>
    <w:p w14:paraId="7C82F01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5E3B0C8D">
      <w:pPr>
        <w:spacing w:line="400" w:lineRule="exact"/>
        <w:rPr>
          <w:rFonts w:hint="eastAsia" w:ascii="宋体" w:hAnsi="宋体" w:eastAsia="宋体" w:cs="宋体"/>
          <w:b/>
          <w:color w:val="auto"/>
          <w:sz w:val="32"/>
          <w:szCs w:val="32"/>
          <w:highlight w:val="none"/>
        </w:rPr>
      </w:pPr>
    </w:p>
    <w:p w14:paraId="1CD6FA12">
      <w:pPr>
        <w:spacing w:line="400" w:lineRule="exact"/>
        <w:rPr>
          <w:rFonts w:hint="eastAsia" w:ascii="宋体" w:hAnsi="宋体" w:eastAsia="宋体" w:cs="宋体"/>
          <w:b/>
          <w:color w:val="auto"/>
          <w:sz w:val="32"/>
          <w:szCs w:val="32"/>
          <w:highlight w:val="none"/>
        </w:rPr>
      </w:pPr>
    </w:p>
    <w:p w14:paraId="0B9A4CDC">
      <w:pPr>
        <w:spacing w:line="400" w:lineRule="exact"/>
        <w:rPr>
          <w:rFonts w:hint="eastAsia" w:ascii="宋体" w:hAnsi="宋体" w:eastAsia="宋体" w:cs="宋体"/>
          <w:b/>
          <w:color w:val="auto"/>
          <w:sz w:val="32"/>
          <w:szCs w:val="32"/>
          <w:highlight w:val="none"/>
        </w:rPr>
      </w:pPr>
    </w:p>
    <w:p w14:paraId="68D1114B">
      <w:pPr>
        <w:pStyle w:val="35"/>
        <w:ind w:firstLine="627"/>
        <w:rPr>
          <w:rFonts w:hint="eastAsia" w:ascii="宋体" w:hAnsi="宋体" w:eastAsia="宋体" w:cs="宋体"/>
          <w:b/>
          <w:color w:val="auto"/>
          <w:sz w:val="32"/>
          <w:szCs w:val="32"/>
          <w:highlight w:val="none"/>
        </w:rPr>
      </w:pPr>
    </w:p>
    <w:p w14:paraId="2B1574B8">
      <w:pPr>
        <w:pStyle w:val="35"/>
        <w:ind w:firstLine="627"/>
        <w:rPr>
          <w:rFonts w:hint="eastAsia" w:ascii="宋体" w:hAnsi="宋体" w:eastAsia="宋体" w:cs="宋体"/>
          <w:b/>
          <w:color w:val="auto"/>
          <w:sz w:val="32"/>
          <w:szCs w:val="32"/>
          <w:highlight w:val="none"/>
        </w:rPr>
      </w:pPr>
    </w:p>
    <w:p w14:paraId="541B75A9">
      <w:pPr>
        <w:pStyle w:val="35"/>
        <w:ind w:firstLine="627"/>
        <w:rPr>
          <w:rFonts w:hint="eastAsia" w:ascii="宋体" w:hAnsi="宋体" w:eastAsia="宋体" w:cs="宋体"/>
          <w:b/>
          <w:color w:val="auto"/>
          <w:sz w:val="32"/>
          <w:szCs w:val="32"/>
          <w:highlight w:val="none"/>
        </w:rPr>
      </w:pPr>
    </w:p>
    <w:p w14:paraId="52930674">
      <w:pPr>
        <w:pStyle w:val="35"/>
        <w:ind w:firstLine="627"/>
        <w:rPr>
          <w:rFonts w:hint="eastAsia" w:ascii="宋体" w:hAnsi="宋体" w:eastAsia="宋体" w:cs="宋体"/>
          <w:b/>
          <w:color w:val="auto"/>
          <w:sz w:val="32"/>
          <w:szCs w:val="32"/>
          <w:highlight w:val="none"/>
        </w:rPr>
      </w:pPr>
    </w:p>
    <w:p w14:paraId="2EB64603">
      <w:pPr>
        <w:pStyle w:val="35"/>
        <w:ind w:firstLine="627"/>
        <w:rPr>
          <w:rFonts w:hint="eastAsia" w:ascii="宋体" w:hAnsi="宋体" w:eastAsia="宋体" w:cs="宋体"/>
          <w:b/>
          <w:color w:val="auto"/>
          <w:sz w:val="32"/>
          <w:szCs w:val="32"/>
          <w:highlight w:val="none"/>
        </w:rPr>
      </w:pPr>
    </w:p>
    <w:p w14:paraId="348D5CA5">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20D19CE0">
      <w:pPr>
        <w:pStyle w:val="9"/>
        <w:rPr>
          <w:rFonts w:hint="eastAsia" w:ascii="宋体" w:hAnsi="宋体" w:eastAsia="宋体" w:cs="宋体"/>
          <w:color w:val="auto"/>
          <w:highlight w:val="none"/>
        </w:rPr>
      </w:pPr>
    </w:p>
    <w:p w14:paraId="2AF51D33">
      <w:pPr>
        <w:widowControl/>
        <w:wordWrap w:val="0"/>
        <w:spacing w:line="360" w:lineRule="auto"/>
        <w:ind w:firstLine="480" w:firstLineChars="200"/>
        <w:jc w:val="left"/>
        <w:textAlignment w:val="top"/>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F40383">
      <w:pPr>
        <w:widowControl/>
        <w:wordWrap w:val="0"/>
        <w:spacing w:line="360" w:lineRule="auto"/>
        <w:ind w:firstLine="480" w:firstLineChars="200"/>
        <w:jc w:val="left"/>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2ACF74C0">
      <w:pPr>
        <w:widowControl/>
        <w:wordWrap w:val="0"/>
        <w:spacing w:line="23" w:lineRule="atLeast"/>
        <w:jc w:val="right"/>
        <w:textAlignment w:val="top"/>
        <w:rPr>
          <w:rFonts w:hint="eastAsia" w:ascii="宋体" w:hAnsi="宋体" w:eastAsia="宋体" w:cs="宋体"/>
          <w:color w:val="auto"/>
          <w:kern w:val="0"/>
          <w:sz w:val="24"/>
          <w:highlight w:val="none"/>
        </w:rPr>
      </w:pPr>
    </w:p>
    <w:p w14:paraId="5218914B">
      <w:pPr>
        <w:widowControl/>
        <w:spacing w:line="360" w:lineRule="auto"/>
        <w:jc w:val="right"/>
        <w:textAlignment w:val="top"/>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单位名称（盖章）：</w:t>
      </w:r>
    </w:p>
    <w:p w14:paraId="549DAFB7">
      <w:pPr>
        <w:pStyle w:val="9"/>
        <w:rPr>
          <w:rFonts w:hint="eastAsia" w:ascii="宋体" w:hAnsi="宋体" w:eastAsia="宋体" w:cs="宋体"/>
          <w:color w:val="auto"/>
          <w:highlight w:val="none"/>
        </w:rPr>
      </w:pPr>
    </w:p>
    <w:p w14:paraId="76737069">
      <w:pPr>
        <w:spacing w:line="400" w:lineRule="exact"/>
        <w:jc w:val="right"/>
        <w:rPr>
          <w:rFonts w:hint="eastAsia" w:ascii="宋体" w:hAnsi="宋体" w:eastAsia="宋体" w:cs="宋体"/>
          <w:b/>
          <w:color w:val="auto"/>
          <w:sz w:val="32"/>
          <w:szCs w:val="32"/>
          <w:highlight w:val="none"/>
        </w:rPr>
      </w:pPr>
      <w:r>
        <w:rPr>
          <w:rFonts w:hint="eastAsia" w:ascii="宋体" w:hAnsi="宋体" w:eastAsia="宋体" w:cs="宋体"/>
          <w:color w:val="auto"/>
          <w:kern w:val="0"/>
          <w:sz w:val="24"/>
          <w:highlight w:val="none"/>
        </w:rPr>
        <w:t>日 期：</w:t>
      </w:r>
    </w:p>
    <w:p w14:paraId="1C9BABEA">
      <w:pPr>
        <w:spacing w:line="400" w:lineRule="exact"/>
        <w:rPr>
          <w:rFonts w:hint="eastAsia" w:ascii="宋体" w:hAnsi="宋体" w:eastAsia="宋体" w:cs="宋体"/>
          <w:b/>
          <w:color w:val="auto"/>
          <w:sz w:val="32"/>
          <w:szCs w:val="32"/>
          <w:highlight w:val="none"/>
        </w:rPr>
      </w:pPr>
    </w:p>
    <w:p w14:paraId="53348BB0">
      <w:pPr>
        <w:spacing w:line="400" w:lineRule="exact"/>
        <w:rPr>
          <w:rFonts w:hint="eastAsia" w:ascii="宋体" w:hAnsi="宋体" w:eastAsia="宋体" w:cs="宋体"/>
          <w:b/>
          <w:color w:val="auto"/>
          <w:sz w:val="32"/>
          <w:szCs w:val="32"/>
          <w:highlight w:val="none"/>
        </w:rPr>
      </w:pPr>
    </w:p>
    <w:p w14:paraId="08CA7E26">
      <w:pPr>
        <w:spacing w:line="400" w:lineRule="exact"/>
        <w:rPr>
          <w:rFonts w:hint="eastAsia" w:ascii="宋体" w:hAnsi="宋体" w:eastAsia="宋体" w:cs="宋体"/>
          <w:b/>
          <w:color w:val="auto"/>
          <w:sz w:val="32"/>
          <w:szCs w:val="32"/>
          <w:highlight w:val="none"/>
        </w:rPr>
      </w:pPr>
    </w:p>
    <w:p w14:paraId="576FF96B">
      <w:pPr>
        <w:spacing w:line="400" w:lineRule="exact"/>
        <w:rPr>
          <w:rFonts w:hint="eastAsia" w:ascii="宋体" w:hAnsi="宋体" w:eastAsia="宋体" w:cs="宋体"/>
          <w:b/>
          <w:color w:val="auto"/>
          <w:sz w:val="32"/>
          <w:szCs w:val="32"/>
          <w:highlight w:val="none"/>
        </w:rPr>
      </w:pPr>
    </w:p>
    <w:p w14:paraId="6E287774">
      <w:pPr>
        <w:spacing w:line="400" w:lineRule="exact"/>
        <w:rPr>
          <w:rFonts w:hint="eastAsia" w:ascii="宋体" w:hAnsi="宋体" w:eastAsia="宋体" w:cs="宋体"/>
          <w:b/>
          <w:color w:val="auto"/>
          <w:sz w:val="32"/>
          <w:szCs w:val="32"/>
          <w:highlight w:val="none"/>
        </w:rPr>
      </w:pPr>
    </w:p>
    <w:p w14:paraId="072B90B5">
      <w:pPr>
        <w:spacing w:line="400" w:lineRule="exact"/>
        <w:rPr>
          <w:rFonts w:hint="eastAsia" w:ascii="宋体" w:hAnsi="宋体" w:eastAsia="宋体" w:cs="宋体"/>
          <w:b/>
          <w:color w:val="auto"/>
          <w:sz w:val="32"/>
          <w:szCs w:val="32"/>
          <w:highlight w:val="none"/>
        </w:rPr>
      </w:pPr>
    </w:p>
    <w:p w14:paraId="05174B88">
      <w:pPr>
        <w:pStyle w:val="35"/>
        <w:ind w:firstLine="627"/>
        <w:rPr>
          <w:rFonts w:hint="eastAsia" w:ascii="宋体" w:hAnsi="宋体" w:eastAsia="宋体" w:cs="宋体"/>
          <w:b/>
          <w:color w:val="auto"/>
          <w:sz w:val="32"/>
          <w:szCs w:val="32"/>
          <w:highlight w:val="none"/>
        </w:rPr>
      </w:pPr>
    </w:p>
    <w:p w14:paraId="11293FFF">
      <w:pPr>
        <w:pStyle w:val="35"/>
        <w:ind w:firstLine="627"/>
        <w:rPr>
          <w:rFonts w:hint="eastAsia" w:ascii="宋体" w:hAnsi="宋体" w:eastAsia="宋体" w:cs="宋体"/>
          <w:b/>
          <w:color w:val="auto"/>
          <w:sz w:val="32"/>
          <w:szCs w:val="32"/>
          <w:highlight w:val="none"/>
        </w:rPr>
      </w:pPr>
    </w:p>
    <w:p w14:paraId="4447EC32">
      <w:pPr>
        <w:pStyle w:val="35"/>
        <w:ind w:firstLine="627"/>
        <w:rPr>
          <w:rFonts w:hint="eastAsia" w:ascii="宋体" w:hAnsi="宋体" w:eastAsia="宋体" w:cs="宋体"/>
          <w:b/>
          <w:color w:val="auto"/>
          <w:sz w:val="32"/>
          <w:szCs w:val="32"/>
          <w:highlight w:val="none"/>
        </w:rPr>
      </w:pPr>
    </w:p>
    <w:p w14:paraId="74CAF7FE">
      <w:pPr>
        <w:pStyle w:val="35"/>
        <w:ind w:firstLine="627"/>
        <w:rPr>
          <w:rFonts w:hint="eastAsia" w:ascii="宋体" w:hAnsi="宋体" w:eastAsia="宋体" w:cs="宋体"/>
          <w:b/>
          <w:color w:val="auto"/>
          <w:sz w:val="32"/>
          <w:szCs w:val="32"/>
          <w:highlight w:val="none"/>
        </w:rPr>
      </w:pPr>
    </w:p>
    <w:p w14:paraId="604758E1">
      <w:pPr>
        <w:pStyle w:val="35"/>
        <w:ind w:firstLine="627"/>
        <w:rPr>
          <w:rFonts w:hint="eastAsia" w:ascii="宋体" w:hAnsi="宋体" w:eastAsia="宋体" w:cs="宋体"/>
          <w:b/>
          <w:color w:val="auto"/>
          <w:sz w:val="32"/>
          <w:szCs w:val="32"/>
          <w:highlight w:val="none"/>
        </w:rPr>
      </w:pPr>
    </w:p>
    <w:p w14:paraId="14238825">
      <w:pPr>
        <w:pStyle w:val="35"/>
        <w:ind w:firstLine="627"/>
        <w:rPr>
          <w:rFonts w:hint="eastAsia" w:ascii="宋体" w:hAnsi="宋体" w:eastAsia="宋体" w:cs="宋体"/>
          <w:b/>
          <w:color w:val="auto"/>
          <w:sz w:val="32"/>
          <w:szCs w:val="32"/>
          <w:highlight w:val="none"/>
        </w:rPr>
      </w:pPr>
    </w:p>
    <w:p w14:paraId="3CD5F6C2">
      <w:pPr>
        <w:pStyle w:val="35"/>
        <w:ind w:firstLine="627"/>
        <w:rPr>
          <w:rFonts w:hint="eastAsia" w:ascii="宋体" w:hAnsi="宋体" w:eastAsia="宋体" w:cs="宋体"/>
          <w:b/>
          <w:color w:val="auto"/>
          <w:sz w:val="32"/>
          <w:szCs w:val="32"/>
          <w:highlight w:val="none"/>
        </w:rPr>
      </w:pPr>
    </w:p>
    <w:p w14:paraId="06913AEC">
      <w:pPr>
        <w:pStyle w:val="35"/>
        <w:ind w:firstLine="627"/>
        <w:rPr>
          <w:rFonts w:hint="eastAsia" w:ascii="宋体" w:hAnsi="宋体" w:eastAsia="宋体" w:cs="宋体"/>
          <w:b/>
          <w:color w:val="auto"/>
          <w:sz w:val="32"/>
          <w:szCs w:val="32"/>
          <w:highlight w:val="none"/>
        </w:rPr>
      </w:pPr>
    </w:p>
    <w:p w14:paraId="705D365D">
      <w:pPr>
        <w:pStyle w:val="35"/>
        <w:ind w:firstLine="627"/>
        <w:rPr>
          <w:rFonts w:hint="eastAsia" w:ascii="宋体" w:hAnsi="宋体" w:eastAsia="宋体" w:cs="宋体"/>
          <w:b/>
          <w:color w:val="auto"/>
          <w:sz w:val="32"/>
          <w:szCs w:val="32"/>
          <w:highlight w:val="none"/>
        </w:rPr>
      </w:pPr>
    </w:p>
    <w:p w14:paraId="4029A58B">
      <w:pPr>
        <w:pStyle w:val="35"/>
        <w:ind w:firstLine="627"/>
        <w:rPr>
          <w:rFonts w:hint="eastAsia" w:ascii="宋体" w:hAnsi="宋体" w:eastAsia="宋体" w:cs="宋体"/>
          <w:b/>
          <w:color w:val="auto"/>
          <w:sz w:val="32"/>
          <w:szCs w:val="32"/>
          <w:highlight w:val="none"/>
        </w:rPr>
      </w:pPr>
    </w:p>
    <w:p w14:paraId="3F072B74">
      <w:pPr>
        <w:pStyle w:val="35"/>
        <w:ind w:firstLine="627"/>
        <w:rPr>
          <w:rFonts w:hint="eastAsia" w:ascii="宋体" w:hAnsi="宋体" w:eastAsia="宋体" w:cs="宋体"/>
          <w:b/>
          <w:color w:val="auto"/>
          <w:sz w:val="32"/>
          <w:szCs w:val="32"/>
          <w:highlight w:val="none"/>
        </w:rPr>
      </w:pPr>
    </w:p>
    <w:p w14:paraId="5E6B84B5">
      <w:pPr>
        <w:pStyle w:val="35"/>
        <w:ind w:firstLine="627"/>
        <w:rPr>
          <w:rFonts w:hint="eastAsia" w:ascii="宋体" w:hAnsi="宋体" w:eastAsia="宋体" w:cs="宋体"/>
          <w:b/>
          <w:color w:val="auto"/>
          <w:sz w:val="32"/>
          <w:szCs w:val="32"/>
          <w:highlight w:val="none"/>
        </w:rPr>
      </w:pPr>
    </w:p>
    <w:p w14:paraId="415961F9">
      <w:pPr>
        <w:pStyle w:val="35"/>
        <w:ind w:firstLine="627"/>
        <w:rPr>
          <w:rFonts w:hint="eastAsia" w:ascii="宋体" w:hAnsi="宋体" w:eastAsia="宋体" w:cs="宋体"/>
          <w:b/>
          <w:color w:val="auto"/>
          <w:sz w:val="32"/>
          <w:szCs w:val="32"/>
          <w:highlight w:val="none"/>
        </w:rPr>
      </w:pPr>
    </w:p>
    <w:p w14:paraId="25C2C6E8">
      <w:pPr>
        <w:pStyle w:val="35"/>
        <w:ind w:firstLine="627"/>
        <w:rPr>
          <w:rFonts w:hint="eastAsia" w:ascii="宋体" w:hAnsi="宋体" w:eastAsia="宋体" w:cs="宋体"/>
          <w:b/>
          <w:color w:val="auto"/>
          <w:sz w:val="32"/>
          <w:szCs w:val="32"/>
          <w:highlight w:val="none"/>
        </w:rPr>
      </w:pPr>
    </w:p>
    <w:p w14:paraId="40BCED24">
      <w:pPr>
        <w:pStyle w:val="35"/>
        <w:ind w:firstLine="627"/>
        <w:rPr>
          <w:rFonts w:hint="eastAsia" w:ascii="宋体" w:hAnsi="宋体" w:eastAsia="宋体" w:cs="宋体"/>
          <w:b/>
          <w:color w:val="auto"/>
          <w:sz w:val="32"/>
          <w:szCs w:val="32"/>
          <w:highlight w:val="none"/>
        </w:rPr>
      </w:pPr>
    </w:p>
    <w:p w14:paraId="699B0542">
      <w:pPr>
        <w:spacing w:line="400" w:lineRule="exact"/>
        <w:rPr>
          <w:rFonts w:hint="eastAsia" w:ascii="宋体" w:hAnsi="宋体" w:eastAsia="宋体" w:cs="宋体"/>
          <w:b/>
          <w:color w:val="auto"/>
          <w:sz w:val="32"/>
          <w:szCs w:val="32"/>
          <w:highlight w:val="none"/>
        </w:rPr>
      </w:pPr>
    </w:p>
    <w:p w14:paraId="3C5ADDC7">
      <w:pPr>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附件4          供应商类似业绩一览表</w:t>
      </w:r>
    </w:p>
    <w:p w14:paraId="39F2DA3C">
      <w:pPr>
        <w:spacing w:line="400" w:lineRule="exact"/>
        <w:rPr>
          <w:rFonts w:hint="eastAsia" w:ascii="宋体" w:hAnsi="宋体" w:eastAsia="宋体" w:cs="宋体"/>
          <w:color w:val="auto"/>
          <w:sz w:val="24"/>
          <w:highlight w:val="none"/>
        </w:rPr>
      </w:pPr>
    </w:p>
    <w:tbl>
      <w:tblPr>
        <w:tblStyle w:val="3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0"/>
        <w:gridCol w:w="1619"/>
        <w:gridCol w:w="2170"/>
        <w:gridCol w:w="2139"/>
      </w:tblGrid>
      <w:tr w14:paraId="65EA4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2600" w:type="dxa"/>
            <w:vMerge w:val="restart"/>
            <w:tcBorders>
              <w:top w:val="single" w:color="auto" w:sz="4" w:space="0"/>
              <w:bottom w:val="single" w:color="auto" w:sz="4" w:space="0"/>
              <w:right w:val="single" w:color="auto" w:sz="4" w:space="0"/>
            </w:tcBorders>
            <w:vAlign w:val="center"/>
          </w:tcPr>
          <w:p w14:paraId="745D174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采购单位名称</w:t>
            </w:r>
          </w:p>
        </w:tc>
        <w:tc>
          <w:tcPr>
            <w:tcW w:w="1619" w:type="dxa"/>
            <w:vMerge w:val="restart"/>
            <w:tcBorders>
              <w:top w:val="single" w:color="auto" w:sz="4" w:space="0"/>
              <w:left w:val="single" w:color="auto" w:sz="4" w:space="0"/>
              <w:bottom w:val="single" w:color="auto" w:sz="4" w:space="0"/>
              <w:right w:val="single" w:color="auto" w:sz="4" w:space="0"/>
            </w:tcBorders>
            <w:vAlign w:val="center"/>
          </w:tcPr>
          <w:p w14:paraId="28B04FC3">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14:paraId="7804566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1610A4C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139" w:type="dxa"/>
            <w:vMerge w:val="restart"/>
            <w:tcBorders>
              <w:top w:val="single" w:color="auto" w:sz="4" w:space="0"/>
              <w:left w:val="single" w:color="auto" w:sz="4" w:space="0"/>
              <w:bottom w:val="single" w:color="auto" w:sz="4" w:space="0"/>
            </w:tcBorders>
            <w:vAlign w:val="center"/>
          </w:tcPr>
          <w:p w14:paraId="0B7FD48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14:paraId="0C3E2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2600" w:type="dxa"/>
            <w:vMerge w:val="continue"/>
            <w:tcBorders>
              <w:top w:val="single" w:color="auto" w:sz="4" w:space="0"/>
              <w:bottom w:val="single" w:color="auto" w:sz="4" w:space="0"/>
              <w:right w:val="single" w:color="auto" w:sz="4" w:space="0"/>
            </w:tcBorders>
            <w:vAlign w:val="center"/>
          </w:tcPr>
          <w:p w14:paraId="57D6FFD8">
            <w:pPr>
              <w:widowControl/>
              <w:jc w:val="left"/>
              <w:rPr>
                <w:rFonts w:hint="eastAsia" w:ascii="宋体" w:hAnsi="宋体" w:eastAsia="宋体" w:cs="宋体"/>
                <w:color w:val="auto"/>
                <w:sz w:val="24"/>
                <w:highlight w:val="none"/>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14:paraId="634E3CE9">
            <w:pPr>
              <w:widowControl/>
              <w:jc w:val="left"/>
              <w:rPr>
                <w:rFonts w:hint="eastAsia" w:ascii="宋体" w:hAnsi="宋体" w:eastAsia="宋体" w:cs="宋体"/>
                <w:color w:val="auto"/>
                <w:sz w:val="24"/>
                <w:highlight w:val="none"/>
              </w:rPr>
            </w:pPr>
          </w:p>
        </w:tc>
        <w:tc>
          <w:tcPr>
            <w:tcW w:w="2170" w:type="dxa"/>
            <w:vMerge w:val="continue"/>
            <w:tcBorders>
              <w:top w:val="single" w:color="auto" w:sz="4" w:space="0"/>
              <w:left w:val="single" w:color="auto" w:sz="4" w:space="0"/>
              <w:bottom w:val="single" w:color="auto" w:sz="4" w:space="0"/>
              <w:right w:val="single" w:color="auto" w:sz="4" w:space="0"/>
            </w:tcBorders>
            <w:vAlign w:val="center"/>
          </w:tcPr>
          <w:p w14:paraId="5D5CB393">
            <w:pPr>
              <w:widowControl/>
              <w:jc w:val="left"/>
              <w:rPr>
                <w:rFonts w:hint="eastAsia" w:ascii="宋体" w:hAnsi="宋体" w:eastAsia="宋体" w:cs="宋体"/>
                <w:color w:val="auto"/>
                <w:sz w:val="24"/>
                <w:highlight w:val="none"/>
              </w:rPr>
            </w:pPr>
          </w:p>
        </w:tc>
        <w:tc>
          <w:tcPr>
            <w:tcW w:w="2139" w:type="dxa"/>
            <w:vMerge w:val="continue"/>
            <w:tcBorders>
              <w:top w:val="single" w:color="auto" w:sz="4" w:space="0"/>
              <w:left w:val="single" w:color="auto" w:sz="4" w:space="0"/>
              <w:bottom w:val="single" w:color="auto" w:sz="4" w:space="0"/>
            </w:tcBorders>
            <w:vAlign w:val="center"/>
          </w:tcPr>
          <w:p w14:paraId="2ABD4820">
            <w:pPr>
              <w:widowControl/>
              <w:jc w:val="left"/>
              <w:rPr>
                <w:rFonts w:hint="eastAsia" w:ascii="宋体" w:hAnsi="宋体" w:eastAsia="宋体" w:cs="宋体"/>
                <w:color w:val="auto"/>
                <w:sz w:val="24"/>
                <w:highlight w:val="none"/>
              </w:rPr>
            </w:pPr>
          </w:p>
        </w:tc>
      </w:tr>
      <w:tr w14:paraId="2CD2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600" w:type="dxa"/>
            <w:tcBorders>
              <w:top w:val="single" w:color="auto" w:sz="4" w:space="0"/>
              <w:bottom w:val="single" w:color="auto" w:sz="4" w:space="0"/>
              <w:right w:val="single" w:color="auto" w:sz="4" w:space="0"/>
            </w:tcBorders>
          </w:tcPr>
          <w:p w14:paraId="0513C294">
            <w:pPr>
              <w:snapToGrid w:val="0"/>
              <w:spacing w:line="240" w:lineRule="exact"/>
              <w:jc w:val="left"/>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tcPr>
          <w:p w14:paraId="09665986">
            <w:pPr>
              <w:snapToGrid w:val="0"/>
              <w:spacing w:line="240" w:lineRule="exact"/>
              <w:jc w:val="left"/>
              <w:rPr>
                <w:rFonts w:hint="eastAsia" w:ascii="宋体" w:hAnsi="宋体" w:eastAsia="宋体" w:cs="宋体"/>
                <w:color w:val="auto"/>
                <w:sz w:val="24"/>
                <w:highlight w:val="none"/>
              </w:rPr>
            </w:pPr>
          </w:p>
        </w:tc>
        <w:tc>
          <w:tcPr>
            <w:tcW w:w="2170" w:type="dxa"/>
            <w:tcBorders>
              <w:top w:val="single" w:color="auto" w:sz="4" w:space="0"/>
              <w:left w:val="single" w:color="auto" w:sz="4" w:space="0"/>
              <w:bottom w:val="single" w:color="auto" w:sz="4" w:space="0"/>
              <w:right w:val="single" w:color="auto" w:sz="4" w:space="0"/>
            </w:tcBorders>
          </w:tcPr>
          <w:p w14:paraId="0D10B9E6">
            <w:pPr>
              <w:snapToGrid w:val="0"/>
              <w:spacing w:line="240" w:lineRule="exact"/>
              <w:jc w:val="left"/>
              <w:rPr>
                <w:rFonts w:hint="eastAsia" w:ascii="宋体" w:hAnsi="宋体" w:eastAsia="宋体" w:cs="宋体"/>
                <w:color w:val="auto"/>
                <w:sz w:val="24"/>
                <w:highlight w:val="none"/>
              </w:rPr>
            </w:pPr>
          </w:p>
        </w:tc>
        <w:tc>
          <w:tcPr>
            <w:tcW w:w="2139" w:type="dxa"/>
            <w:tcBorders>
              <w:top w:val="single" w:color="auto" w:sz="4" w:space="0"/>
              <w:left w:val="single" w:color="auto" w:sz="4" w:space="0"/>
              <w:bottom w:val="single" w:color="auto" w:sz="4" w:space="0"/>
            </w:tcBorders>
          </w:tcPr>
          <w:p w14:paraId="53FBDB1D">
            <w:pPr>
              <w:snapToGrid w:val="0"/>
              <w:spacing w:line="240" w:lineRule="exact"/>
              <w:jc w:val="left"/>
              <w:rPr>
                <w:rFonts w:hint="eastAsia" w:ascii="宋体" w:hAnsi="宋体" w:eastAsia="宋体" w:cs="宋体"/>
                <w:color w:val="auto"/>
                <w:sz w:val="24"/>
                <w:highlight w:val="none"/>
              </w:rPr>
            </w:pPr>
          </w:p>
        </w:tc>
      </w:tr>
      <w:tr w14:paraId="53CB6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600" w:type="dxa"/>
            <w:tcBorders>
              <w:top w:val="single" w:color="auto" w:sz="4" w:space="0"/>
              <w:bottom w:val="single" w:color="auto" w:sz="4" w:space="0"/>
              <w:right w:val="single" w:color="auto" w:sz="4" w:space="0"/>
            </w:tcBorders>
          </w:tcPr>
          <w:p w14:paraId="7AD19951">
            <w:pPr>
              <w:snapToGrid w:val="0"/>
              <w:spacing w:before="50" w:after="120" w:afterLines="50" w:line="400" w:lineRule="exact"/>
              <w:jc w:val="left"/>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tcPr>
          <w:p w14:paraId="5F958BB3">
            <w:pPr>
              <w:snapToGrid w:val="0"/>
              <w:spacing w:before="50" w:after="120" w:afterLines="50" w:line="400" w:lineRule="exact"/>
              <w:jc w:val="left"/>
              <w:rPr>
                <w:rFonts w:hint="eastAsia" w:ascii="宋体" w:hAnsi="宋体" w:eastAsia="宋体" w:cs="宋体"/>
                <w:color w:val="auto"/>
                <w:sz w:val="24"/>
                <w:highlight w:val="none"/>
              </w:rPr>
            </w:pPr>
          </w:p>
        </w:tc>
        <w:tc>
          <w:tcPr>
            <w:tcW w:w="2170" w:type="dxa"/>
            <w:tcBorders>
              <w:top w:val="single" w:color="auto" w:sz="4" w:space="0"/>
              <w:left w:val="single" w:color="auto" w:sz="4" w:space="0"/>
              <w:bottom w:val="single" w:color="auto" w:sz="4" w:space="0"/>
              <w:right w:val="single" w:color="auto" w:sz="4" w:space="0"/>
            </w:tcBorders>
          </w:tcPr>
          <w:p w14:paraId="441F0A24">
            <w:pPr>
              <w:snapToGrid w:val="0"/>
              <w:spacing w:before="50" w:after="120" w:afterLines="50" w:line="400" w:lineRule="exact"/>
              <w:jc w:val="left"/>
              <w:rPr>
                <w:rFonts w:hint="eastAsia" w:ascii="宋体" w:hAnsi="宋体" w:eastAsia="宋体" w:cs="宋体"/>
                <w:color w:val="auto"/>
                <w:sz w:val="24"/>
                <w:highlight w:val="none"/>
              </w:rPr>
            </w:pPr>
          </w:p>
        </w:tc>
        <w:tc>
          <w:tcPr>
            <w:tcW w:w="2139" w:type="dxa"/>
            <w:tcBorders>
              <w:top w:val="single" w:color="auto" w:sz="4" w:space="0"/>
              <w:left w:val="single" w:color="auto" w:sz="4" w:space="0"/>
              <w:bottom w:val="single" w:color="auto" w:sz="4" w:space="0"/>
            </w:tcBorders>
          </w:tcPr>
          <w:p w14:paraId="7369B580">
            <w:pPr>
              <w:snapToGrid w:val="0"/>
              <w:spacing w:before="50" w:after="120" w:afterLines="50" w:line="400" w:lineRule="exact"/>
              <w:jc w:val="left"/>
              <w:rPr>
                <w:rFonts w:hint="eastAsia" w:ascii="宋体" w:hAnsi="宋体" w:eastAsia="宋体" w:cs="宋体"/>
                <w:color w:val="auto"/>
                <w:sz w:val="24"/>
                <w:highlight w:val="none"/>
              </w:rPr>
            </w:pPr>
          </w:p>
        </w:tc>
      </w:tr>
      <w:tr w14:paraId="4D19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600" w:type="dxa"/>
            <w:tcBorders>
              <w:top w:val="single" w:color="auto" w:sz="4" w:space="0"/>
              <w:bottom w:val="single" w:color="auto" w:sz="4" w:space="0"/>
              <w:right w:val="single" w:color="auto" w:sz="4" w:space="0"/>
            </w:tcBorders>
          </w:tcPr>
          <w:p w14:paraId="71CC7B2E">
            <w:pPr>
              <w:snapToGrid w:val="0"/>
              <w:spacing w:before="50" w:after="120" w:afterLines="50" w:line="400" w:lineRule="exact"/>
              <w:jc w:val="left"/>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tcPr>
          <w:p w14:paraId="1AA30658">
            <w:pPr>
              <w:snapToGrid w:val="0"/>
              <w:spacing w:before="50" w:after="120" w:afterLines="50" w:line="400" w:lineRule="exact"/>
              <w:jc w:val="left"/>
              <w:rPr>
                <w:rFonts w:hint="eastAsia" w:ascii="宋体" w:hAnsi="宋体" w:eastAsia="宋体" w:cs="宋体"/>
                <w:color w:val="auto"/>
                <w:sz w:val="24"/>
                <w:highlight w:val="none"/>
              </w:rPr>
            </w:pPr>
          </w:p>
        </w:tc>
        <w:tc>
          <w:tcPr>
            <w:tcW w:w="2170" w:type="dxa"/>
            <w:tcBorders>
              <w:top w:val="single" w:color="auto" w:sz="4" w:space="0"/>
              <w:left w:val="single" w:color="auto" w:sz="4" w:space="0"/>
              <w:bottom w:val="single" w:color="auto" w:sz="4" w:space="0"/>
              <w:right w:val="single" w:color="auto" w:sz="4" w:space="0"/>
            </w:tcBorders>
          </w:tcPr>
          <w:p w14:paraId="5387B5D8">
            <w:pPr>
              <w:snapToGrid w:val="0"/>
              <w:spacing w:before="50" w:after="120" w:afterLines="50" w:line="400" w:lineRule="exact"/>
              <w:jc w:val="left"/>
              <w:rPr>
                <w:rFonts w:hint="eastAsia" w:ascii="宋体" w:hAnsi="宋体" w:eastAsia="宋体" w:cs="宋体"/>
                <w:color w:val="auto"/>
                <w:sz w:val="24"/>
                <w:highlight w:val="none"/>
              </w:rPr>
            </w:pPr>
          </w:p>
        </w:tc>
        <w:tc>
          <w:tcPr>
            <w:tcW w:w="2139" w:type="dxa"/>
            <w:tcBorders>
              <w:top w:val="single" w:color="auto" w:sz="4" w:space="0"/>
              <w:left w:val="single" w:color="auto" w:sz="4" w:space="0"/>
              <w:bottom w:val="single" w:color="auto" w:sz="4" w:space="0"/>
            </w:tcBorders>
          </w:tcPr>
          <w:p w14:paraId="15FA583D">
            <w:pPr>
              <w:snapToGrid w:val="0"/>
              <w:spacing w:before="50" w:after="120" w:afterLines="50" w:line="400" w:lineRule="exact"/>
              <w:jc w:val="left"/>
              <w:rPr>
                <w:rFonts w:hint="eastAsia" w:ascii="宋体" w:hAnsi="宋体" w:eastAsia="宋体" w:cs="宋体"/>
                <w:color w:val="auto"/>
                <w:sz w:val="24"/>
                <w:highlight w:val="none"/>
              </w:rPr>
            </w:pPr>
          </w:p>
        </w:tc>
      </w:tr>
      <w:tr w14:paraId="7DBB0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600" w:type="dxa"/>
            <w:tcBorders>
              <w:top w:val="single" w:color="auto" w:sz="4" w:space="0"/>
              <w:bottom w:val="single" w:color="auto" w:sz="4" w:space="0"/>
              <w:right w:val="single" w:color="auto" w:sz="4" w:space="0"/>
            </w:tcBorders>
          </w:tcPr>
          <w:p w14:paraId="0F63EFD2">
            <w:pPr>
              <w:snapToGrid w:val="0"/>
              <w:spacing w:before="50" w:after="120" w:afterLines="50" w:line="400" w:lineRule="exact"/>
              <w:jc w:val="left"/>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tcPr>
          <w:p w14:paraId="66737066">
            <w:pPr>
              <w:snapToGrid w:val="0"/>
              <w:spacing w:before="50" w:after="120" w:afterLines="50" w:line="400" w:lineRule="exact"/>
              <w:jc w:val="left"/>
              <w:rPr>
                <w:rFonts w:hint="eastAsia" w:ascii="宋体" w:hAnsi="宋体" w:eastAsia="宋体" w:cs="宋体"/>
                <w:color w:val="auto"/>
                <w:sz w:val="24"/>
                <w:highlight w:val="none"/>
              </w:rPr>
            </w:pPr>
          </w:p>
        </w:tc>
        <w:tc>
          <w:tcPr>
            <w:tcW w:w="2170" w:type="dxa"/>
            <w:tcBorders>
              <w:top w:val="single" w:color="auto" w:sz="4" w:space="0"/>
              <w:left w:val="single" w:color="auto" w:sz="4" w:space="0"/>
              <w:bottom w:val="single" w:color="auto" w:sz="4" w:space="0"/>
              <w:right w:val="single" w:color="auto" w:sz="4" w:space="0"/>
            </w:tcBorders>
          </w:tcPr>
          <w:p w14:paraId="7787B6CB">
            <w:pPr>
              <w:snapToGrid w:val="0"/>
              <w:spacing w:before="50" w:after="120" w:afterLines="50" w:line="400" w:lineRule="exact"/>
              <w:jc w:val="left"/>
              <w:rPr>
                <w:rFonts w:hint="eastAsia" w:ascii="宋体" w:hAnsi="宋体" w:eastAsia="宋体" w:cs="宋体"/>
                <w:color w:val="auto"/>
                <w:sz w:val="24"/>
                <w:highlight w:val="none"/>
              </w:rPr>
            </w:pPr>
          </w:p>
        </w:tc>
        <w:tc>
          <w:tcPr>
            <w:tcW w:w="2139" w:type="dxa"/>
            <w:tcBorders>
              <w:top w:val="single" w:color="auto" w:sz="4" w:space="0"/>
              <w:left w:val="single" w:color="auto" w:sz="4" w:space="0"/>
              <w:bottom w:val="single" w:color="auto" w:sz="4" w:space="0"/>
            </w:tcBorders>
          </w:tcPr>
          <w:p w14:paraId="4B439ABE">
            <w:pPr>
              <w:snapToGrid w:val="0"/>
              <w:spacing w:before="50" w:after="120" w:afterLines="50" w:line="400" w:lineRule="exact"/>
              <w:jc w:val="left"/>
              <w:rPr>
                <w:rFonts w:hint="eastAsia" w:ascii="宋体" w:hAnsi="宋体" w:eastAsia="宋体" w:cs="宋体"/>
                <w:color w:val="auto"/>
                <w:sz w:val="24"/>
                <w:highlight w:val="none"/>
              </w:rPr>
            </w:pPr>
          </w:p>
        </w:tc>
      </w:tr>
      <w:tr w14:paraId="35B12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600" w:type="dxa"/>
            <w:tcBorders>
              <w:top w:val="single" w:color="auto" w:sz="4" w:space="0"/>
              <w:bottom w:val="single" w:color="auto" w:sz="4" w:space="0"/>
              <w:right w:val="single" w:color="auto" w:sz="4" w:space="0"/>
            </w:tcBorders>
          </w:tcPr>
          <w:p w14:paraId="1B917280">
            <w:pPr>
              <w:snapToGrid w:val="0"/>
              <w:spacing w:before="50" w:after="120" w:afterLines="50" w:line="400" w:lineRule="exact"/>
              <w:jc w:val="left"/>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tcPr>
          <w:p w14:paraId="5D68A4AB">
            <w:pPr>
              <w:snapToGrid w:val="0"/>
              <w:spacing w:before="50" w:after="120" w:afterLines="50" w:line="400" w:lineRule="exact"/>
              <w:jc w:val="left"/>
              <w:rPr>
                <w:rFonts w:hint="eastAsia" w:ascii="宋体" w:hAnsi="宋体" w:eastAsia="宋体" w:cs="宋体"/>
                <w:color w:val="auto"/>
                <w:sz w:val="24"/>
                <w:highlight w:val="none"/>
              </w:rPr>
            </w:pPr>
          </w:p>
        </w:tc>
        <w:tc>
          <w:tcPr>
            <w:tcW w:w="2170" w:type="dxa"/>
            <w:tcBorders>
              <w:top w:val="single" w:color="auto" w:sz="4" w:space="0"/>
              <w:left w:val="single" w:color="auto" w:sz="4" w:space="0"/>
              <w:bottom w:val="single" w:color="auto" w:sz="4" w:space="0"/>
              <w:right w:val="single" w:color="auto" w:sz="4" w:space="0"/>
            </w:tcBorders>
          </w:tcPr>
          <w:p w14:paraId="627489AD">
            <w:pPr>
              <w:snapToGrid w:val="0"/>
              <w:spacing w:before="50" w:after="120" w:afterLines="50" w:line="400" w:lineRule="exact"/>
              <w:jc w:val="left"/>
              <w:rPr>
                <w:rFonts w:hint="eastAsia" w:ascii="宋体" w:hAnsi="宋体" w:eastAsia="宋体" w:cs="宋体"/>
                <w:color w:val="auto"/>
                <w:sz w:val="24"/>
                <w:highlight w:val="none"/>
              </w:rPr>
            </w:pPr>
          </w:p>
        </w:tc>
        <w:tc>
          <w:tcPr>
            <w:tcW w:w="2139" w:type="dxa"/>
            <w:tcBorders>
              <w:top w:val="single" w:color="auto" w:sz="4" w:space="0"/>
              <w:left w:val="single" w:color="auto" w:sz="4" w:space="0"/>
              <w:bottom w:val="single" w:color="auto" w:sz="4" w:space="0"/>
            </w:tcBorders>
          </w:tcPr>
          <w:p w14:paraId="5FB56A8C">
            <w:pPr>
              <w:snapToGrid w:val="0"/>
              <w:spacing w:before="50" w:after="120" w:afterLines="50" w:line="400" w:lineRule="exact"/>
              <w:jc w:val="left"/>
              <w:rPr>
                <w:rFonts w:hint="eastAsia" w:ascii="宋体" w:hAnsi="宋体" w:eastAsia="宋体" w:cs="宋体"/>
                <w:color w:val="auto"/>
                <w:sz w:val="24"/>
                <w:highlight w:val="none"/>
              </w:rPr>
            </w:pPr>
          </w:p>
        </w:tc>
      </w:tr>
      <w:tr w14:paraId="248CB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600" w:type="dxa"/>
            <w:tcBorders>
              <w:top w:val="single" w:color="auto" w:sz="4" w:space="0"/>
              <w:bottom w:val="single" w:color="auto" w:sz="4" w:space="0"/>
              <w:right w:val="single" w:color="auto" w:sz="4" w:space="0"/>
            </w:tcBorders>
          </w:tcPr>
          <w:p w14:paraId="6F35CDB6">
            <w:pPr>
              <w:snapToGrid w:val="0"/>
              <w:spacing w:before="50" w:after="120" w:afterLines="50" w:line="400" w:lineRule="exact"/>
              <w:jc w:val="left"/>
              <w:rPr>
                <w:rFonts w:hint="eastAsia" w:ascii="宋体" w:hAnsi="宋体" w:eastAsia="宋体" w:cs="宋体"/>
                <w:color w:val="auto"/>
                <w:sz w:val="24"/>
                <w:highlight w:val="none"/>
              </w:rPr>
            </w:pPr>
          </w:p>
        </w:tc>
        <w:tc>
          <w:tcPr>
            <w:tcW w:w="1619" w:type="dxa"/>
            <w:tcBorders>
              <w:top w:val="single" w:color="auto" w:sz="4" w:space="0"/>
              <w:left w:val="single" w:color="auto" w:sz="4" w:space="0"/>
              <w:bottom w:val="single" w:color="auto" w:sz="4" w:space="0"/>
              <w:right w:val="single" w:color="auto" w:sz="4" w:space="0"/>
            </w:tcBorders>
          </w:tcPr>
          <w:p w14:paraId="52982266">
            <w:pPr>
              <w:snapToGrid w:val="0"/>
              <w:spacing w:before="50" w:after="120" w:afterLines="50" w:line="400" w:lineRule="exact"/>
              <w:jc w:val="left"/>
              <w:rPr>
                <w:rFonts w:hint="eastAsia" w:ascii="宋体" w:hAnsi="宋体" w:eastAsia="宋体" w:cs="宋体"/>
                <w:color w:val="auto"/>
                <w:sz w:val="24"/>
                <w:highlight w:val="none"/>
              </w:rPr>
            </w:pPr>
          </w:p>
        </w:tc>
        <w:tc>
          <w:tcPr>
            <w:tcW w:w="2170" w:type="dxa"/>
            <w:tcBorders>
              <w:top w:val="single" w:color="auto" w:sz="4" w:space="0"/>
              <w:left w:val="single" w:color="auto" w:sz="4" w:space="0"/>
              <w:bottom w:val="single" w:color="auto" w:sz="4" w:space="0"/>
              <w:right w:val="single" w:color="auto" w:sz="4" w:space="0"/>
            </w:tcBorders>
          </w:tcPr>
          <w:p w14:paraId="0A059E9C">
            <w:pPr>
              <w:snapToGrid w:val="0"/>
              <w:spacing w:before="50" w:after="120" w:afterLines="50" w:line="400" w:lineRule="exact"/>
              <w:jc w:val="left"/>
              <w:rPr>
                <w:rFonts w:hint="eastAsia" w:ascii="宋体" w:hAnsi="宋体" w:eastAsia="宋体" w:cs="宋体"/>
                <w:color w:val="auto"/>
                <w:sz w:val="24"/>
                <w:highlight w:val="none"/>
              </w:rPr>
            </w:pPr>
          </w:p>
        </w:tc>
        <w:tc>
          <w:tcPr>
            <w:tcW w:w="2139" w:type="dxa"/>
            <w:tcBorders>
              <w:top w:val="single" w:color="auto" w:sz="4" w:space="0"/>
              <w:left w:val="single" w:color="auto" w:sz="4" w:space="0"/>
              <w:bottom w:val="single" w:color="auto" w:sz="4" w:space="0"/>
            </w:tcBorders>
          </w:tcPr>
          <w:p w14:paraId="7A82F74F">
            <w:pPr>
              <w:snapToGrid w:val="0"/>
              <w:spacing w:before="50" w:after="120" w:afterLines="50" w:line="400" w:lineRule="exact"/>
              <w:jc w:val="left"/>
              <w:rPr>
                <w:rFonts w:hint="eastAsia" w:ascii="宋体" w:hAnsi="宋体" w:eastAsia="宋体" w:cs="宋体"/>
                <w:color w:val="auto"/>
                <w:sz w:val="24"/>
                <w:highlight w:val="none"/>
              </w:rPr>
            </w:pPr>
          </w:p>
        </w:tc>
      </w:tr>
    </w:tbl>
    <w:p w14:paraId="169C5934">
      <w:pPr>
        <w:autoSpaceDE w:val="0"/>
        <w:autoSpaceDN w:val="0"/>
        <w:adjustRightInd w:val="0"/>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w:t>
      </w:r>
      <w:r>
        <w:rPr>
          <w:rFonts w:hint="eastAsia" w:ascii="宋体" w:hAnsi="宋体" w:cs="宋体"/>
          <w:b/>
          <w:color w:val="auto"/>
          <w:sz w:val="24"/>
          <w:highlight w:val="none"/>
          <w:lang w:val="en-US" w:eastAsia="zh-CN"/>
        </w:rPr>
        <w:t>扫描</w:t>
      </w:r>
      <w:r>
        <w:rPr>
          <w:rFonts w:hint="eastAsia" w:ascii="宋体" w:hAnsi="宋体" w:eastAsia="宋体" w:cs="宋体"/>
          <w:b/>
          <w:color w:val="auto"/>
          <w:sz w:val="24"/>
          <w:highlight w:val="none"/>
        </w:rPr>
        <w:t>件。（加盖单位公章）</w:t>
      </w:r>
    </w:p>
    <w:p w14:paraId="4ED3098C">
      <w:pPr>
        <w:spacing w:line="300" w:lineRule="exact"/>
        <w:rPr>
          <w:rFonts w:hint="eastAsia" w:ascii="宋体" w:hAnsi="宋体" w:eastAsia="宋体" w:cs="宋体"/>
          <w:color w:val="auto"/>
          <w:spacing w:val="20"/>
          <w:sz w:val="24"/>
          <w:highlight w:val="none"/>
        </w:rPr>
      </w:pPr>
    </w:p>
    <w:p w14:paraId="681EA482">
      <w:pPr>
        <w:spacing w:line="300" w:lineRule="exact"/>
        <w:ind w:firstLine="6860" w:firstLineChars="2450"/>
        <w:rPr>
          <w:rFonts w:hint="eastAsia" w:ascii="宋体" w:hAnsi="宋体" w:eastAsia="宋体" w:cs="宋体"/>
          <w:color w:val="auto"/>
          <w:spacing w:val="20"/>
          <w:sz w:val="24"/>
          <w:highlight w:val="none"/>
        </w:rPr>
      </w:pPr>
    </w:p>
    <w:p w14:paraId="68CAE8C5">
      <w:pPr>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法定代表人或被授权人签字（或签章）：</w:t>
      </w:r>
    </w:p>
    <w:p w14:paraId="1B9A41AF">
      <w:pPr>
        <w:spacing w:before="120" w:beforeLines="50" w:line="360" w:lineRule="auto"/>
        <w:rPr>
          <w:rFonts w:hint="eastAsia" w:ascii="宋体" w:hAnsi="宋体" w:eastAsia="宋体" w:cs="宋体"/>
          <w:color w:val="auto"/>
          <w:sz w:val="24"/>
          <w:highlight w:val="none"/>
        </w:rPr>
      </w:pPr>
    </w:p>
    <w:p w14:paraId="5E198E52">
      <w:pPr>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50975170">
      <w:pPr>
        <w:spacing w:before="120" w:beforeLines="50" w:line="360" w:lineRule="auto"/>
        <w:rPr>
          <w:rFonts w:hint="eastAsia" w:ascii="宋体" w:hAnsi="宋体" w:eastAsia="宋体" w:cs="宋体"/>
          <w:color w:val="auto"/>
          <w:sz w:val="24"/>
          <w:highlight w:val="none"/>
        </w:rPr>
      </w:pPr>
    </w:p>
    <w:p w14:paraId="480D2DB8">
      <w:pPr>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5B89C40">
      <w:pPr>
        <w:tabs>
          <w:tab w:val="left" w:pos="1418"/>
        </w:tabs>
        <w:spacing w:line="300" w:lineRule="exact"/>
        <w:jc w:val="left"/>
        <w:rPr>
          <w:rFonts w:hint="eastAsia" w:ascii="宋体" w:hAnsi="宋体" w:eastAsia="宋体" w:cs="宋体"/>
          <w:color w:val="auto"/>
          <w:spacing w:val="20"/>
          <w:sz w:val="24"/>
          <w:highlight w:val="none"/>
        </w:rPr>
      </w:pPr>
    </w:p>
    <w:p w14:paraId="5AA99E3B">
      <w:pPr>
        <w:tabs>
          <w:tab w:val="left" w:pos="1418"/>
        </w:tabs>
        <w:spacing w:line="300" w:lineRule="exact"/>
        <w:jc w:val="left"/>
        <w:rPr>
          <w:rFonts w:hint="eastAsia" w:ascii="宋体" w:hAnsi="宋体" w:eastAsia="宋体" w:cs="宋体"/>
          <w:color w:val="auto"/>
          <w:spacing w:val="20"/>
          <w:sz w:val="24"/>
          <w:highlight w:val="none"/>
        </w:rPr>
      </w:pPr>
    </w:p>
    <w:p w14:paraId="5C850966">
      <w:pPr>
        <w:tabs>
          <w:tab w:val="left" w:pos="1418"/>
        </w:tabs>
        <w:spacing w:line="300" w:lineRule="exact"/>
        <w:jc w:val="left"/>
        <w:rPr>
          <w:rFonts w:hint="eastAsia" w:ascii="宋体" w:hAnsi="宋体" w:eastAsia="宋体" w:cs="宋体"/>
          <w:color w:val="auto"/>
          <w:spacing w:val="20"/>
          <w:sz w:val="24"/>
          <w:highlight w:val="none"/>
        </w:rPr>
      </w:pPr>
    </w:p>
    <w:p w14:paraId="581F7472">
      <w:pPr>
        <w:tabs>
          <w:tab w:val="left" w:pos="1418"/>
        </w:tabs>
        <w:spacing w:line="300" w:lineRule="exact"/>
        <w:jc w:val="left"/>
        <w:rPr>
          <w:rFonts w:hint="eastAsia" w:ascii="宋体" w:hAnsi="宋体" w:eastAsia="宋体" w:cs="宋体"/>
          <w:color w:val="auto"/>
          <w:spacing w:val="20"/>
          <w:sz w:val="24"/>
          <w:highlight w:val="none"/>
        </w:rPr>
      </w:pPr>
    </w:p>
    <w:p w14:paraId="221A9313">
      <w:pPr>
        <w:tabs>
          <w:tab w:val="left" w:pos="1418"/>
        </w:tabs>
        <w:spacing w:line="300" w:lineRule="exact"/>
        <w:jc w:val="left"/>
        <w:rPr>
          <w:rFonts w:hint="eastAsia" w:ascii="宋体" w:hAnsi="宋体" w:eastAsia="宋体" w:cs="宋体"/>
          <w:color w:val="auto"/>
          <w:spacing w:val="20"/>
          <w:sz w:val="24"/>
          <w:highlight w:val="none"/>
          <w:u w:val="single"/>
        </w:rPr>
        <w:sectPr>
          <w:pgSz w:w="11906" w:h="16838"/>
          <w:pgMar w:top="1247" w:right="1797" w:bottom="1474" w:left="1797" w:header="851" w:footer="851" w:gutter="0"/>
          <w:cols w:space="720" w:num="1"/>
          <w:titlePg/>
          <w:docGrid w:linePitch="312" w:charSpace="0"/>
        </w:sectPr>
      </w:pPr>
    </w:p>
    <w:p w14:paraId="6499AD16">
      <w:p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t xml:space="preserve">附件5         </w:t>
      </w:r>
    </w:p>
    <w:p w14:paraId="097E6AC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诚信承诺书</w:t>
      </w:r>
    </w:p>
    <w:p w14:paraId="220EF2CD">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（采购人或招标组织机构）</w:t>
      </w:r>
      <w:r>
        <w:rPr>
          <w:rFonts w:hint="eastAsia" w:ascii="宋体" w:hAnsi="宋体" w:eastAsia="宋体" w:cs="宋体"/>
          <w:color w:val="auto"/>
          <w:sz w:val="24"/>
          <w:highlight w:val="none"/>
        </w:rPr>
        <w:t>：</w:t>
      </w:r>
    </w:p>
    <w:p w14:paraId="1D7DCD3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我方在参加贵单位的＿＿＿＿＿＿＿＿＿＿政府采购项目的磋商活动中，郑重承诺如下：</w:t>
      </w:r>
    </w:p>
    <w:p w14:paraId="49712B1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14:paraId="4BFC69A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14:paraId="6293CD0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3、我方未处于被各级行政主管部门做出停止市场行为处罚的期限内；</w:t>
      </w:r>
    </w:p>
    <w:p w14:paraId="52C0C68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我方参加本项目政府采购活动前3年内在经营活动中没有重大违法记录；</w:t>
      </w:r>
    </w:p>
    <w:p w14:paraId="3BCAD155">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5、若我方成交，将严格按照规定及时与采购人签订合同；</w:t>
      </w:r>
    </w:p>
    <w:p w14:paraId="3093B47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6、若我方成交，将严格按照竞争性磋商文件要求及磋商响应文件承诺的报价、质量、服务期限、磋商方案、项目负责人等内容组织实施；</w:t>
      </w:r>
    </w:p>
    <w:p w14:paraId="2072693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竞争性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4A685B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4B91F25A">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供应商（加盖公章）：＿＿＿＿＿＿＿＿＿＿＿＿＿＿＿</w:t>
      </w:r>
    </w:p>
    <w:p w14:paraId="6D8A150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法定代表人或被授权人签字（或签章）：＿＿＿＿＿＿＿＿＿＿＿＿＿＿＿</w:t>
      </w:r>
    </w:p>
    <w:p w14:paraId="5E8B0271">
      <w:pPr>
        <w:ind w:firstLine="480" w:firstLineChars="200"/>
        <w:rPr>
          <w:rFonts w:hint="eastAsia" w:ascii="宋体" w:hAnsi="宋体" w:eastAsia="宋体" w:cs="宋体"/>
          <w:color w:val="auto"/>
          <w:sz w:val="24"/>
          <w:highlight w:val="none"/>
        </w:rPr>
      </w:pPr>
    </w:p>
    <w:p w14:paraId="42E038D4">
      <w:pPr>
        <w:ind w:firstLine="4920" w:firstLineChars="20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年＿＿月＿＿日</w:t>
      </w:r>
    </w:p>
    <w:p w14:paraId="1843292B">
      <w:pPr>
        <w:spacing w:line="480" w:lineRule="exact"/>
        <w:rPr>
          <w:rFonts w:hint="eastAsia" w:ascii="宋体" w:hAnsi="宋体" w:eastAsia="宋体" w:cs="宋体"/>
          <w:b/>
          <w:color w:val="auto"/>
          <w:sz w:val="22"/>
          <w:szCs w:val="22"/>
          <w:highlight w:val="none"/>
        </w:rPr>
      </w:pPr>
    </w:p>
    <w:p w14:paraId="5BBA4796">
      <w:pPr>
        <w:spacing w:line="480" w:lineRule="exact"/>
        <w:rPr>
          <w:rFonts w:hint="eastAsia" w:ascii="宋体" w:hAnsi="宋体" w:eastAsia="宋体" w:cs="宋体"/>
          <w:b/>
          <w:color w:val="auto"/>
          <w:sz w:val="22"/>
          <w:szCs w:val="22"/>
          <w:highlight w:val="none"/>
        </w:rPr>
      </w:pPr>
    </w:p>
    <w:p w14:paraId="7852A5B8">
      <w:pPr>
        <w:spacing w:line="480" w:lineRule="exact"/>
        <w:rPr>
          <w:rFonts w:hint="eastAsia" w:ascii="宋体" w:hAnsi="宋体" w:eastAsia="宋体" w:cs="宋体"/>
          <w:b/>
          <w:color w:val="auto"/>
          <w:sz w:val="22"/>
          <w:szCs w:val="22"/>
          <w:highlight w:val="none"/>
        </w:rPr>
      </w:pPr>
    </w:p>
    <w:p w14:paraId="2AABB0EC">
      <w:pPr>
        <w:spacing w:line="480" w:lineRule="exact"/>
        <w:rPr>
          <w:rFonts w:hint="eastAsia" w:ascii="宋体" w:hAnsi="宋体" w:eastAsia="宋体" w:cs="宋体"/>
          <w:b/>
          <w:color w:val="auto"/>
          <w:sz w:val="22"/>
          <w:szCs w:val="22"/>
          <w:highlight w:val="none"/>
        </w:rPr>
      </w:pPr>
    </w:p>
    <w:p w14:paraId="22D41054">
      <w:pPr>
        <w:spacing w:line="480" w:lineRule="exact"/>
        <w:rPr>
          <w:rFonts w:hint="eastAsia" w:ascii="宋体" w:hAnsi="宋体" w:eastAsia="宋体" w:cs="宋体"/>
          <w:b/>
          <w:color w:val="auto"/>
          <w:sz w:val="22"/>
          <w:szCs w:val="22"/>
          <w:highlight w:val="none"/>
        </w:rPr>
      </w:pPr>
    </w:p>
    <w:p w14:paraId="0D0727E8">
      <w:pPr>
        <w:spacing w:line="480" w:lineRule="exact"/>
        <w:rPr>
          <w:rFonts w:hint="eastAsia" w:ascii="宋体" w:hAnsi="宋体" w:eastAsia="宋体" w:cs="宋体"/>
          <w:b/>
          <w:color w:val="auto"/>
          <w:sz w:val="22"/>
          <w:szCs w:val="22"/>
          <w:highlight w:val="none"/>
        </w:rPr>
      </w:pPr>
    </w:p>
    <w:p w14:paraId="40E101D5">
      <w:pPr>
        <w:spacing w:line="480" w:lineRule="exact"/>
        <w:rPr>
          <w:rFonts w:hint="eastAsia" w:ascii="宋体" w:hAnsi="宋体" w:eastAsia="宋体" w:cs="宋体"/>
          <w:b/>
          <w:color w:val="auto"/>
          <w:sz w:val="22"/>
          <w:szCs w:val="22"/>
          <w:highlight w:val="none"/>
        </w:rPr>
      </w:pPr>
    </w:p>
    <w:p w14:paraId="631AC276">
      <w:pPr>
        <w:spacing w:line="360" w:lineRule="auto"/>
        <w:rPr>
          <w:rFonts w:hint="eastAsia" w:ascii="宋体" w:hAnsi="宋体" w:eastAsia="宋体" w:cs="宋体"/>
          <w:color w:val="auto"/>
          <w:kern w:val="0"/>
          <w:sz w:val="24"/>
          <w:highlight w:val="none"/>
        </w:rPr>
      </w:pPr>
    </w:p>
    <w:p w14:paraId="50AED2AC">
      <w:pPr>
        <w:spacing w:line="360" w:lineRule="auto"/>
        <w:rPr>
          <w:rFonts w:hint="eastAsia" w:ascii="宋体" w:hAnsi="宋体" w:eastAsia="宋体" w:cs="宋体"/>
          <w:color w:val="auto"/>
          <w:kern w:val="0"/>
          <w:sz w:val="24"/>
          <w:highlight w:val="none"/>
        </w:rPr>
      </w:pPr>
    </w:p>
    <w:p w14:paraId="4D50DA06">
      <w:pPr>
        <w:spacing w:line="360" w:lineRule="auto"/>
        <w:rPr>
          <w:rFonts w:hint="eastAsia" w:ascii="宋体" w:hAnsi="宋体" w:eastAsia="宋体" w:cs="宋体"/>
          <w:color w:val="auto"/>
          <w:kern w:val="0"/>
          <w:sz w:val="24"/>
          <w:highlight w:val="none"/>
        </w:rPr>
      </w:pPr>
    </w:p>
    <w:p w14:paraId="74E95E14">
      <w:pPr>
        <w:spacing w:line="360" w:lineRule="auto"/>
        <w:rPr>
          <w:rFonts w:hint="eastAsia" w:ascii="宋体" w:hAnsi="宋体" w:eastAsia="宋体" w:cs="宋体"/>
          <w:color w:val="auto"/>
          <w:kern w:val="0"/>
          <w:sz w:val="24"/>
          <w:highlight w:val="none"/>
        </w:rPr>
      </w:pPr>
    </w:p>
    <w:p w14:paraId="2B28D5D7">
      <w:pPr>
        <w:spacing w:line="360" w:lineRule="auto"/>
        <w:rPr>
          <w:rFonts w:hint="eastAsia" w:ascii="宋体" w:hAnsi="宋体" w:eastAsia="宋体" w:cs="宋体"/>
          <w:color w:val="auto"/>
          <w:kern w:val="0"/>
          <w:sz w:val="24"/>
          <w:highlight w:val="none"/>
        </w:rPr>
      </w:pPr>
    </w:p>
    <w:p w14:paraId="1DF4B51E">
      <w:pPr>
        <w:spacing w:before="120" w:beforeLines="50" w:line="360" w:lineRule="auto"/>
        <w:rPr>
          <w:rFonts w:hint="eastAsia" w:ascii="宋体" w:hAnsi="宋体" w:eastAsia="宋体" w:cs="宋体"/>
          <w:b/>
          <w:color w:val="auto"/>
          <w:sz w:val="32"/>
          <w:szCs w:val="32"/>
          <w:highlight w:val="none"/>
        </w:rPr>
      </w:pPr>
    </w:p>
    <w:p w14:paraId="00DE4D6E">
      <w:pPr>
        <w:spacing w:before="120" w:beforeLines="50" w:line="360" w:lineRule="auto"/>
        <w:rPr>
          <w:rFonts w:hint="eastAsia" w:ascii="宋体" w:hAnsi="宋体" w:eastAsia="宋体" w:cs="宋体"/>
          <w:b/>
          <w:bCs/>
          <w:color w:val="auto"/>
          <w:sz w:val="30"/>
          <w:szCs w:val="30"/>
          <w:highlight w:val="none"/>
        </w:rPr>
      </w:pPr>
      <w:r>
        <w:rPr>
          <w:rFonts w:hint="eastAsia" w:ascii="宋体" w:hAnsi="宋体" w:eastAsia="宋体" w:cs="宋体"/>
          <w:b/>
          <w:color w:val="auto"/>
          <w:sz w:val="32"/>
          <w:szCs w:val="32"/>
          <w:highlight w:val="none"/>
        </w:rPr>
        <w:t>附件6</w:t>
      </w:r>
      <w:r>
        <w:rPr>
          <w:rFonts w:hint="eastAsia" w:ascii="宋体" w:hAnsi="宋体" w:eastAsia="宋体" w:cs="宋体"/>
          <w:b/>
          <w:bCs/>
          <w:color w:val="auto"/>
          <w:sz w:val="30"/>
          <w:szCs w:val="30"/>
          <w:highlight w:val="none"/>
        </w:rPr>
        <w:t xml:space="preserve">               商务条款偏离表</w:t>
      </w:r>
    </w:p>
    <w:p w14:paraId="17510EC3">
      <w:pPr>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请逐条对应竞争性磋商文件中要求的商务条件，认真填写该表。</w:t>
      </w:r>
    </w:p>
    <w:tbl>
      <w:tblPr>
        <w:tblStyle w:val="36"/>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317"/>
        <w:gridCol w:w="2434"/>
        <w:gridCol w:w="2596"/>
      </w:tblGrid>
      <w:tr w14:paraId="1A0D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586F8B70">
            <w:pPr>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317" w:type="dxa"/>
            <w:vAlign w:val="center"/>
          </w:tcPr>
          <w:p w14:paraId="07CA5C10">
            <w:pPr>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竞争性磋商文件的商务条款</w:t>
            </w:r>
          </w:p>
        </w:tc>
        <w:tc>
          <w:tcPr>
            <w:tcW w:w="2434" w:type="dxa"/>
            <w:vAlign w:val="center"/>
          </w:tcPr>
          <w:p w14:paraId="39D2C729">
            <w:pPr>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是否响应</w:t>
            </w:r>
          </w:p>
        </w:tc>
        <w:tc>
          <w:tcPr>
            <w:tcW w:w="2596" w:type="dxa"/>
            <w:vAlign w:val="center"/>
          </w:tcPr>
          <w:p w14:paraId="771CAB97">
            <w:pPr>
              <w:spacing w:before="120"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供应商的承诺或说明</w:t>
            </w:r>
          </w:p>
        </w:tc>
      </w:tr>
      <w:tr w14:paraId="588A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5FCBD490">
            <w:pPr>
              <w:pStyle w:val="59"/>
              <w:spacing w:before="120" w:beforeLines="50" w:after="120" w:line="36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3317" w:type="dxa"/>
          </w:tcPr>
          <w:p w14:paraId="3CFA83E3">
            <w:pPr>
              <w:spacing w:before="120" w:beforeLines="5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服务期限及</w:t>
            </w:r>
            <w:r>
              <w:rPr>
                <w:rFonts w:hint="eastAsia" w:ascii="宋体" w:hAnsi="宋体" w:cs="宋体"/>
                <w:color w:val="auto"/>
                <w:sz w:val="24"/>
                <w:highlight w:val="none"/>
                <w:lang w:val="en-US" w:eastAsia="zh-CN"/>
              </w:rPr>
              <w:t>项目实施地址</w:t>
            </w:r>
          </w:p>
        </w:tc>
        <w:tc>
          <w:tcPr>
            <w:tcW w:w="2434" w:type="dxa"/>
            <w:vAlign w:val="center"/>
          </w:tcPr>
          <w:p w14:paraId="65B4C79D">
            <w:pPr>
              <w:spacing w:before="120" w:beforeLines="50" w:line="360" w:lineRule="auto"/>
              <w:jc w:val="center"/>
              <w:rPr>
                <w:rFonts w:hint="eastAsia" w:ascii="宋体" w:hAnsi="宋体" w:eastAsia="宋体" w:cs="宋体"/>
                <w:color w:val="auto"/>
                <w:sz w:val="24"/>
                <w:highlight w:val="none"/>
              </w:rPr>
            </w:pPr>
          </w:p>
        </w:tc>
        <w:tc>
          <w:tcPr>
            <w:tcW w:w="2596" w:type="dxa"/>
            <w:vAlign w:val="center"/>
          </w:tcPr>
          <w:p w14:paraId="62AB324E">
            <w:pPr>
              <w:spacing w:before="120" w:beforeLines="50" w:line="360" w:lineRule="auto"/>
              <w:jc w:val="center"/>
              <w:rPr>
                <w:rFonts w:hint="eastAsia" w:ascii="宋体" w:hAnsi="宋体" w:eastAsia="宋体" w:cs="宋体"/>
                <w:color w:val="auto"/>
                <w:sz w:val="24"/>
                <w:highlight w:val="none"/>
              </w:rPr>
            </w:pPr>
          </w:p>
        </w:tc>
      </w:tr>
      <w:tr w14:paraId="3F01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3E5D1BEE">
            <w:pPr>
              <w:pStyle w:val="59"/>
              <w:spacing w:before="120" w:beforeLines="50" w:after="120" w:line="36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3317" w:type="dxa"/>
          </w:tcPr>
          <w:p w14:paraId="3B57E963">
            <w:pPr>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服务要求</w:t>
            </w:r>
          </w:p>
        </w:tc>
        <w:tc>
          <w:tcPr>
            <w:tcW w:w="2434" w:type="dxa"/>
          </w:tcPr>
          <w:p w14:paraId="5BF4BE38">
            <w:pPr>
              <w:pStyle w:val="15"/>
              <w:spacing w:before="120" w:beforeLines="50" w:after="120" w:line="360" w:lineRule="auto"/>
              <w:ind w:firstLine="480"/>
              <w:rPr>
                <w:rFonts w:hint="eastAsia" w:ascii="宋体" w:hAnsi="宋体" w:eastAsia="宋体" w:cs="宋体"/>
                <w:color w:val="auto"/>
                <w:highlight w:val="none"/>
              </w:rPr>
            </w:pPr>
          </w:p>
        </w:tc>
        <w:tc>
          <w:tcPr>
            <w:tcW w:w="2596" w:type="dxa"/>
          </w:tcPr>
          <w:p w14:paraId="055EAE71">
            <w:pPr>
              <w:pStyle w:val="15"/>
              <w:spacing w:before="120" w:beforeLines="50" w:after="120" w:line="360" w:lineRule="auto"/>
              <w:ind w:firstLine="480"/>
              <w:rPr>
                <w:rFonts w:hint="eastAsia" w:ascii="宋体" w:hAnsi="宋体" w:eastAsia="宋体" w:cs="宋体"/>
                <w:color w:val="auto"/>
                <w:highlight w:val="none"/>
              </w:rPr>
            </w:pPr>
          </w:p>
        </w:tc>
      </w:tr>
      <w:tr w14:paraId="1FFA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48176792">
            <w:pPr>
              <w:pStyle w:val="59"/>
              <w:spacing w:before="120" w:beforeLines="50" w:after="120" w:line="36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3317" w:type="dxa"/>
          </w:tcPr>
          <w:p w14:paraId="5DCCF795">
            <w:pPr>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2434" w:type="dxa"/>
          </w:tcPr>
          <w:p w14:paraId="194C6992">
            <w:pPr>
              <w:pStyle w:val="15"/>
              <w:spacing w:before="120" w:beforeLines="50" w:after="120" w:line="360" w:lineRule="auto"/>
              <w:ind w:firstLine="480"/>
              <w:rPr>
                <w:rFonts w:hint="eastAsia" w:ascii="宋体" w:hAnsi="宋体" w:eastAsia="宋体" w:cs="宋体"/>
                <w:color w:val="auto"/>
                <w:highlight w:val="none"/>
              </w:rPr>
            </w:pPr>
          </w:p>
        </w:tc>
        <w:tc>
          <w:tcPr>
            <w:tcW w:w="2596" w:type="dxa"/>
          </w:tcPr>
          <w:p w14:paraId="0D540350">
            <w:pPr>
              <w:pStyle w:val="15"/>
              <w:spacing w:before="120" w:beforeLines="50" w:after="120" w:line="360" w:lineRule="auto"/>
              <w:ind w:firstLine="480"/>
              <w:rPr>
                <w:rFonts w:hint="eastAsia" w:ascii="宋体" w:hAnsi="宋体" w:eastAsia="宋体" w:cs="宋体"/>
                <w:color w:val="auto"/>
                <w:highlight w:val="none"/>
              </w:rPr>
            </w:pPr>
          </w:p>
        </w:tc>
      </w:tr>
      <w:tr w14:paraId="3A72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62A88F8D">
            <w:pPr>
              <w:pStyle w:val="59"/>
              <w:spacing w:before="120" w:beforeLines="50" w:after="120" w:line="36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3317" w:type="dxa"/>
          </w:tcPr>
          <w:p w14:paraId="6A204369">
            <w:pPr>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34" w:type="dxa"/>
          </w:tcPr>
          <w:p w14:paraId="61DB40C2">
            <w:pPr>
              <w:pStyle w:val="15"/>
              <w:spacing w:before="120" w:beforeLines="50" w:after="120" w:line="360" w:lineRule="auto"/>
              <w:ind w:firstLine="480"/>
              <w:rPr>
                <w:rFonts w:hint="eastAsia" w:ascii="宋体" w:hAnsi="宋体" w:eastAsia="宋体" w:cs="宋体"/>
                <w:color w:val="auto"/>
                <w:highlight w:val="none"/>
              </w:rPr>
            </w:pPr>
          </w:p>
        </w:tc>
        <w:tc>
          <w:tcPr>
            <w:tcW w:w="2596" w:type="dxa"/>
          </w:tcPr>
          <w:p w14:paraId="0E8D7206">
            <w:pPr>
              <w:pStyle w:val="15"/>
              <w:spacing w:before="120" w:beforeLines="50" w:after="120" w:line="360" w:lineRule="auto"/>
              <w:ind w:firstLine="480"/>
              <w:rPr>
                <w:rFonts w:hint="eastAsia" w:ascii="宋体" w:hAnsi="宋体" w:eastAsia="宋体" w:cs="宋体"/>
                <w:color w:val="auto"/>
                <w:highlight w:val="none"/>
              </w:rPr>
            </w:pPr>
          </w:p>
        </w:tc>
      </w:tr>
      <w:tr w14:paraId="3E84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51A4AF92">
            <w:pPr>
              <w:pStyle w:val="59"/>
              <w:spacing w:before="120" w:beforeLines="50" w:after="120" w:line="360" w:lineRule="auto"/>
              <w:ind w:firstLine="0" w:firstLineChars="0"/>
              <w:jc w:val="center"/>
              <w:rPr>
                <w:rFonts w:hint="eastAsia" w:ascii="宋体" w:hAnsi="宋体" w:eastAsia="宋体" w:cs="宋体"/>
                <w:color w:val="auto"/>
                <w:szCs w:val="24"/>
                <w:highlight w:val="none"/>
              </w:rPr>
            </w:pPr>
          </w:p>
        </w:tc>
        <w:tc>
          <w:tcPr>
            <w:tcW w:w="3317" w:type="dxa"/>
          </w:tcPr>
          <w:p w14:paraId="27336080">
            <w:pPr>
              <w:spacing w:before="120" w:beforeLines="50" w:line="360" w:lineRule="auto"/>
              <w:jc w:val="left"/>
              <w:rPr>
                <w:rFonts w:hint="eastAsia" w:ascii="宋体" w:hAnsi="宋体" w:eastAsia="宋体" w:cs="宋体"/>
                <w:color w:val="auto"/>
                <w:sz w:val="24"/>
                <w:highlight w:val="none"/>
              </w:rPr>
            </w:pPr>
          </w:p>
        </w:tc>
        <w:tc>
          <w:tcPr>
            <w:tcW w:w="2434" w:type="dxa"/>
          </w:tcPr>
          <w:p w14:paraId="048E827E">
            <w:pPr>
              <w:pStyle w:val="15"/>
              <w:spacing w:before="120" w:beforeLines="50" w:after="120" w:line="360" w:lineRule="auto"/>
              <w:ind w:firstLine="480"/>
              <w:rPr>
                <w:rFonts w:hint="eastAsia" w:ascii="宋体" w:hAnsi="宋体" w:eastAsia="宋体" w:cs="宋体"/>
                <w:color w:val="auto"/>
                <w:highlight w:val="none"/>
              </w:rPr>
            </w:pPr>
          </w:p>
        </w:tc>
        <w:tc>
          <w:tcPr>
            <w:tcW w:w="2596" w:type="dxa"/>
          </w:tcPr>
          <w:p w14:paraId="25CC10E4">
            <w:pPr>
              <w:pStyle w:val="15"/>
              <w:spacing w:before="120" w:beforeLines="50" w:after="120" w:line="360" w:lineRule="auto"/>
              <w:ind w:firstLine="480"/>
              <w:rPr>
                <w:rFonts w:hint="eastAsia" w:ascii="宋体" w:hAnsi="宋体" w:eastAsia="宋体" w:cs="宋体"/>
                <w:color w:val="auto"/>
                <w:highlight w:val="none"/>
              </w:rPr>
            </w:pPr>
          </w:p>
        </w:tc>
      </w:tr>
      <w:tr w14:paraId="1820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0F84D74B">
            <w:pPr>
              <w:spacing w:before="120" w:beforeLines="50" w:line="360" w:lineRule="auto"/>
              <w:rPr>
                <w:rFonts w:hint="eastAsia" w:ascii="宋体" w:hAnsi="宋体" w:eastAsia="宋体" w:cs="宋体"/>
                <w:color w:val="auto"/>
                <w:sz w:val="24"/>
                <w:highlight w:val="none"/>
              </w:rPr>
            </w:pPr>
          </w:p>
        </w:tc>
        <w:tc>
          <w:tcPr>
            <w:tcW w:w="3317" w:type="dxa"/>
          </w:tcPr>
          <w:p w14:paraId="0915CD2F">
            <w:pPr>
              <w:spacing w:before="120" w:beforeLines="50" w:line="360" w:lineRule="auto"/>
              <w:rPr>
                <w:rFonts w:hint="eastAsia" w:ascii="宋体" w:hAnsi="宋体" w:eastAsia="宋体" w:cs="宋体"/>
                <w:color w:val="auto"/>
                <w:sz w:val="24"/>
                <w:highlight w:val="none"/>
              </w:rPr>
            </w:pPr>
          </w:p>
        </w:tc>
        <w:tc>
          <w:tcPr>
            <w:tcW w:w="2434" w:type="dxa"/>
          </w:tcPr>
          <w:p w14:paraId="6F85344E">
            <w:pPr>
              <w:pStyle w:val="15"/>
              <w:spacing w:before="120" w:beforeLines="50" w:after="120" w:line="360" w:lineRule="auto"/>
              <w:ind w:firstLine="480"/>
              <w:rPr>
                <w:rFonts w:hint="eastAsia" w:ascii="宋体" w:hAnsi="宋体" w:eastAsia="宋体" w:cs="宋体"/>
                <w:color w:val="auto"/>
                <w:highlight w:val="none"/>
              </w:rPr>
            </w:pPr>
          </w:p>
        </w:tc>
        <w:tc>
          <w:tcPr>
            <w:tcW w:w="2596" w:type="dxa"/>
          </w:tcPr>
          <w:p w14:paraId="7A00CF4D">
            <w:pPr>
              <w:pStyle w:val="15"/>
              <w:spacing w:before="120" w:beforeLines="50" w:after="120" w:line="360" w:lineRule="auto"/>
              <w:ind w:firstLine="480"/>
              <w:rPr>
                <w:rFonts w:hint="eastAsia" w:ascii="宋体" w:hAnsi="宋体" w:eastAsia="宋体" w:cs="宋体"/>
                <w:color w:val="auto"/>
                <w:highlight w:val="none"/>
              </w:rPr>
            </w:pPr>
          </w:p>
        </w:tc>
      </w:tr>
      <w:tr w14:paraId="15B0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0C446370">
            <w:pPr>
              <w:pStyle w:val="59"/>
              <w:spacing w:before="120" w:beforeLines="50" w:after="120" w:line="360" w:lineRule="auto"/>
              <w:ind w:firstLine="480"/>
              <w:rPr>
                <w:rFonts w:hint="eastAsia" w:ascii="宋体" w:hAnsi="宋体" w:eastAsia="宋体" w:cs="宋体"/>
                <w:color w:val="auto"/>
                <w:szCs w:val="24"/>
                <w:highlight w:val="none"/>
              </w:rPr>
            </w:pPr>
          </w:p>
        </w:tc>
        <w:tc>
          <w:tcPr>
            <w:tcW w:w="3317" w:type="dxa"/>
          </w:tcPr>
          <w:p w14:paraId="5FDFE541">
            <w:pPr>
              <w:spacing w:before="120" w:beforeLines="50" w:line="360" w:lineRule="auto"/>
              <w:rPr>
                <w:rFonts w:hint="eastAsia" w:ascii="宋体" w:hAnsi="宋体" w:eastAsia="宋体" w:cs="宋体"/>
                <w:color w:val="auto"/>
                <w:sz w:val="24"/>
                <w:highlight w:val="none"/>
              </w:rPr>
            </w:pPr>
          </w:p>
        </w:tc>
        <w:tc>
          <w:tcPr>
            <w:tcW w:w="2434" w:type="dxa"/>
          </w:tcPr>
          <w:p w14:paraId="5E67F62F">
            <w:pPr>
              <w:spacing w:before="120" w:beforeLines="50" w:line="360" w:lineRule="auto"/>
              <w:rPr>
                <w:rFonts w:hint="eastAsia" w:ascii="宋体" w:hAnsi="宋体" w:eastAsia="宋体" w:cs="宋体"/>
                <w:color w:val="auto"/>
                <w:sz w:val="24"/>
                <w:highlight w:val="none"/>
              </w:rPr>
            </w:pPr>
          </w:p>
        </w:tc>
        <w:tc>
          <w:tcPr>
            <w:tcW w:w="2596" w:type="dxa"/>
          </w:tcPr>
          <w:p w14:paraId="0549BB58">
            <w:pPr>
              <w:spacing w:before="120" w:beforeLines="50" w:line="360" w:lineRule="auto"/>
              <w:rPr>
                <w:rFonts w:hint="eastAsia" w:ascii="宋体" w:hAnsi="宋体" w:eastAsia="宋体" w:cs="宋体"/>
                <w:color w:val="auto"/>
                <w:sz w:val="24"/>
                <w:highlight w:val="none"/>
              </w:rPr>
            </w:pPr>
          </w:p>
        </w:tc>
      </w:tr>
      <w:tr w14:paraId="5DE8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4CC68CDC">
            <w:pPr>
              <w:spacing w:before="120" w:beforeLines="50" w:line="360" w:lineRule="auto"/>
              <w:rPr>
                <w:rFonts w:hint="eastAsia" w:ascii="宋体" w:hAnsi="宋体" w:eastAsia="宋体" w:cs="宋体"/>
                <w:color w:val="auto"/>
                <w:sz w:val="24"/>
                <w:highlight w:val="none"/>
              </w:rPr>
            </w:pPr>
          </w:p>
        </w:tc>
        <w:tc>
          <w:tcPr>
            <w:tcW w:w="3317" w:type="dxa"/>
          </w:tcPr>
          <w:p w14:paraId="24A38197">
            <w:pPr>
              <w:spacing w:before="120" w:beforeLines="50" w:line="360" w:lineRule="auto"/>
              <w:rPr>
                <w:rFonts w:hint="eastAsia" w:ascii="宋体" w:hAnsi="宋体" w:eastAsia="宋体" w:cs="宋体"/>
                <w:color w:val="auto"/>
                <w:sz w:val="24"/>
                <w:highlight w:val="none"/>
              </w:rPr>
            </w:pPr>
          </w:p>
        </w:tc>
        <w:tc>
          <w:tcPr>
            <w:tcW w:w="2434" w:type="dxa"/>
          </w:tcPr>
          <w:p w14:paraId="041B4085">
            <w:pPr>
              <w:spacing w:before="120" w:beforeLines="50" w:line="360" w:lineRule="auto"/>
              <w:rPr>
                <w:rFonts w:hint="eastAsia" w:ascii="宋体" w:hAnsi="宋体" w:eastAsia="宋体" w:cs="宋体"/>
                <w:color w:val="auto"/>
                <w:sz w:val="24"/>
                <w:highlight w:val="none"/>
              </w:rPr>
            </w:pPr>
          </w:p>
        </w:tc>
        <w:tc>
          <w:tcPr>
            <w:tcW w:w="2596" w:type="dxa"/>
          </w:tcPr>
          <w:p w14:paraId="6B57A931">
            <w:pPr>
              <w:spacing w:before="120" w:beforeLines="50" w:line="360" w:lineRule="auto"/>
              <w:rPr>
                <w:rFonts w:hint="eastAsia" w:ascii="宋体" w:hAnsi="宋体" w:eastAsia="宋体" w:cs="宋体"/>
                <w:color w:val="auto"/>
                <w:sz w:val="24"/>
                <w:highlight w:val="none"/>
              </w:rPr>
            </w:pPr>
          </w:p>
        </w:tc>
      </w:tr>
      <w:tr w14:paraId="7204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12ACA46">
            <w:pPr>
              <w:spacing w:before="120" w:beforeLines="50" w:line="360" w:lineRule="auto"/>
              <w:rPr>
                <w:rFonts w:hint="eastAsia" w:ascii="宋体" w:hAnsi="宋体" w:eastAsia="宋体" w:cs="宋体"/>
                <w:color w:val="auto"/>
                <w:sz w:val="24"/>
                <w:highlight w:val="none"/>
              </w:rPr>
            </w:pPr>
          </w:p>
        </w:tc>
        <w:tc>
          <w:tcPr>
            <w:tcW w:w="3317" w:type="dxa"/>
          </w:tcPr>
          <w:p w14:paraId="743D1C27">
            <w:pPr>
              <w:spacing w:before="120" w:beforeLines="50" w:line="360" w:lineRule="auto"/>
              <w:rPr>
                <w:rFonts w:hint="eastAsia" w:ascii="宋体" w:hAnsi="宋体" w:eastAsia="宋体" w:cs="宋体"/>
                <w:color w:val="auto"/>
                <w:sz w:val="24"/>
                <w:highlight w:val="none"/>
              </w:rPr>
            </w:pPr>
          </w:p>
        </w:tc>
        <w:tc>
          <w:tcPr>
            <w:tcW w:w="2434" w:type="dxa"/>
          </w:tcPr>
          <w:p w14:paraId="5F063D32">
            <w:pPr>
              <w:spacing w:before="120" w:beforeLines="50" w:line="360" w:lineRule="auto"/>
              <w:rPr>
                <w:rFonts w:hint="eastAsia" w:ascii="宋体" w:hAnsi="宋体" w:eastAsia="宋体" w:cs="宋体"/>
                <w:color w:val="auto"/>
                <w:sz w:val="24"/>
                <w:highlight w:val="none"/>
              </w:rPr>
            </w:pPr>
          </w:p>
        </w:tc>
        <w:tc>
          <w:tcPr>
            <w:tcW w:w="2596" w:type="dxa"/>
          </w:tcPr>
          <w:p w14:paraId="46BACCA2">
            <w:pPr>
              <w:spacing w:before="120" w:beforeLines="50" w:line="360" w:lineRule="auto"/>
              <w:rPr>
                <w:rFonts w:hint="eastAsia" w:ascii="宋体" w:hAnsi="宋体" w:eastAsia="宋体" w:cs="宋体"/>
                <w:color w:val="auto"/>
                <w:sz w:val="24"/>
                <w:highlight w:val="none"/>
              </w:rPr>
            </w:pPr>
          </w:p>
        </w:tc>
      </w:tr>
      <w:tr w14:paraId="4D9F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 w:type="dxa"/>
          </w:tcPr>
          <w:p w14:paraId="21BB94D1">
            <w:pPr>
              <w:spacing w:before="120" w:beforeLines="50" w:line="360" w:lineRule="auto"/>
              <w:rPr>
                <w:rFonts w:hint="eastAsia" w:ascii="宋体" w:hAnsi="宋体" w:eastAsia="宋体" w:cs="宋体"/>
                <w:color w:val="auto"/>
                <w:sz w:val="24"/>
                <w:highlight w:val="none"/>
              </w:rPr>
            </w:pPr>
          </w:p>
        </w:tc>
        <w:tc>
          <w:tcPr>
            <w:tcW w:w="3317" w:type="dxa"/>
          </w:tcPr>
          <w:p w14:paraId="2AC10E78">
            <w:pPr>
              <w:spacing w:before="120" w:beforeLines="50" w:line="360" w:lineRule="auto"/>
              <w:rPr>
                <w:rFonts w:hint="eastAsia" w:ascii="宋体" w:hAnsi="宋体" w:eastAsia="宋体" w:cs="宋体"/>
                <w:color w:val="auto"/>
                <w:sz w:val="24"/>
                <w:highlight w:val="none"/>
              </w:rPr>
            </w:pPr>
          </w:p>
        </w:tc>
        <w:tc>
          <w:tcPr>
            <w:tcW w:w="2434" w:type="dxa"/>
          </w:tcPr>
          <w:p w14:paraId="134D347C">
            <w:pPr>
              <w:spacing w:before="120" w:beforeLines="50" w:line="360" w:lineRule="auto"/>
              <w:rPr>
                <w:rFonts w:hint="eastAsia" w:ascii="宋体" w:hAnsi="宋体" w:eastAsia="宋体" w:cs="宋体"/>
                <w:color w:val="auto"/>
                <w:sz w:val="24"/>
                <w:highlight w:val="none"/>
              </w:rPr>
            </w:pPr>
          </w:p>
        </w:tc>
        <w:tc>
          <w:tcPr>
            <w:tcW w:w="2596" w:type="dxa"/>
          </w:tcPr>
          <w:p w14:paraId="53338472">
            <w:pPr>
              <w:spacing w:before="120" w:beforeLines="50" w:line="360" w:lineRule="auto"/>
              <w:rPr>
                <w:rFonts w:hint="eastAsia" w:ascii="宋体" w:hAnsi="宋体" w:eastAsia="宋体" w:cs="宋体"/>
                <w:color w:val="auto"/>
                <w:sz w:val="24"/>
                <w:highlight w:val="none"/>
              </w:rPr>
            </w:pPr>
          </w:p>
        </w:tc>
      </w:tr>
      <w:tr w14:paraId="4A9C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7514C635">
            <w:pPr>
              <w:spacing w:before="120" w:beforeLines="50" w:line="360" w:lineRule="auto"/>
              <w:rPr>
                <w:rFonts w:hint="eastAsia" w:ascii="宋体" w:hAnsi="宋体" w:eastAsia="宋体" w:cs="宋体"/>
                <w:color w:val="auto"/>
                <w:sz w:val="24"/>
                <w:highlight w:val="none"/>
              </w:rPr>
            </w:pPr>
          </w:p>
        </w:tc>
        <w:tc>
          <w:tcPr>
            <w:tcW w:w="3317" w:type="dxa"/>
          </w:tcPr>
          <w:p w14:paraId="2D93480B">
            <w:pPr>
              <w:spacing w:before="120" w:beforeLines="50" w:line="360" w:lineRule="auto"/>
              <w:rPr>
                <w:rFonts w:hint="eastAsia" w:ascii="宋体" w:hAnsi="宋体" w:eastAsia="宋体" w:cs="宋体"/>
                <w:color w:val="auto"/>
                <w:sz w:val="24"/>
                <w:highlight w:val="none"/>
              </w:rPr>
            </w:pPr>
          </w:p>
        </w:tc>
        <w:tc>
          <w:tcPr>
            <w:tcW w:w="2434" w:type="dxa"/>
          </w:tcPr>
          <w:p w14:paraId="39F4EFF0">
            <w:pPr>
              <w:spacing w:before="120" w:beforeLines="50" w:line="360" w:lineRule="auto"/>
              <w:rPr>
                <w:rFonts w:hint="eastAsia" w:ascii="宋体" w:hAnsi="宋体" w:eastAsia="宋体" w:cs="宋体"/>
                <w:color w:val="auto"/>
                <w:sz w:val="24"/>
                <w:highlight w:val="none"/>
              </w:rPr>
            </w:pPr>
          </w:p>
        </w:tc>
        <w:tc>
          <w:tcPr>
            <w:tcW w:w="2596" w:type="dxa"/>
          </w:tcPr>
          <w:p w14:paraId="523A13F4">
            <w:pPr>
              <w:spacing w:before="120" w:beforeLines="50" w:line="360" w:lineRule="auto"/>
              <w:rPr>
                <w:rFonts w:hint="eastAsia" w:ascii="宋体" w:hAnsi="宋体" w:eastAsia="宋体" w:cs="宋体"/>
                <w:color w:val="auto"/>
                <w:sz w:val="24"/>
                <w:highlight w:val="none"/>
              </w:rPr>
            </w:pPr>
          </w:p>
        </w:tc>
      </w:tr>
    </w:tbl>
    <w:p w14:paraId="6B8D2B43">
      <w:pPr>
        <w:spacing w:before="120" w:beforeLines="50" w:line="360" w:lineRule="auto"/>
        <w:ind w:firstLine="1200" w:firstLineChars="500"/>
        <w:rPr>
          <w:rFonts w:hint="eastAsia" w:ascii="宋体" w:hAnsi="宋体" w:eastAsia="宋体" w:cs="宋体"/>
          <w:color w:val="auto"/>
          <w:sz w:val="24"/>
          <w:highlight w:val="none"/>
        </w:rPr>
      </w:pPr>
    </w:p>
    <w:p w14:paraId="2B19606A">
      <w:pPr>
        <w:spacing w:before="120" w:beforeLines="50" w:line="360" w:lineRule="auto"/>
        <w:ind w:firstLine="1200" w:firstLineChars="500"/>
        <w:rPr>
          <w:rFonts w:hint="eastAsia" w:ascii="宋体" w:hAnsi="宋体" w:eastAsia="宋体" w:cs="宋体"/>
          <w:color w:val="auto"/>
          <w:sz w:val="24"/>
          <w:highlight w:val="none"/>
        </w:rPr>
      </w:pPr>
    </w:p>
    <w:p w14:paraId="342A71A0">
      <w:pPr>
        <w:spacing w:line="360" w:lineRule="auto"/>
        <w:ind w:firstLine="2160" w:firstLineChars="90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法定代表人或被授权人签字（或签章）</w:t>
      </w:r>
      <w:r>
        <w:rPr>
          <w:rFonts w:hint="eastAsia" w:ascii="宋体" w:hAnsi="宋体" w:eastAsia="宋体" w:cs="宋体"/>
          <w:color w:val="auto"/>
          <w:spacing w:val="20"/>
          <w:sz w:val="24"/>
          <w:highlight w:val="none"/>
        </w:rPr>
        <w:t>：</w:t>
      </w:r>
    </w:p>
    <w:p w14:paraId="2EBC5C6F">
      <w:pPr>
        <w:spacing w:line="360" w:lineRule="auto"/>
        <w:ind w:right="560" w:firstLine="2240" w:firstLineChars="8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供应商盖章：</w:t>
      </w:r>
    </w:p>
    <w:p w14:paraId="1B39CAE6">
      <w:pPr>
        <w:spacing w:line="360" w:lineRule="auto"/>
        <w:ind w:firstLine="2240" w:firstLineChars="800"/>
        <w:rPr>
          <w:rFonts w:hint="eastAsia" w:ascii="宋体" w:hAnsi="宋体" w:eastAsia="宋体" w:cs="宋体"/>
          <w:color w:val="auto"/>
          <w:highlight w:val="none"/>
        </w:rPr>
        <w:sectPr>
          <w:pgSz w:w="11906" w:h="16838"/>
          <w:pgMar w:top="1247" w:right="1797" w:bottom="1474" w:left="1797" w:header="851" w:footer="851" w:gutter="0"/>
          <w:cols w:space="720" w:num="1"/>
          <w:titlePg/>
          <w:docGrid w:linePitch="312" w:charSpace="0"/>
        </w:sectPr>
      </w:pPr>
      <w:r>
        <w:rPr>
          <w:rFonts w:hint="eastAsia" w:ascii="宋体" w:hAnsi="宋体" w:eastAsia="宋体" w:cs="宋体"/>
          <w:color w:val="auto"/>
          <w:spacing w:val="20"/>
          <w:sz w:val="24"/>
          <w:highlight w:val="none"/>
        </w:rPr>
        <w:t>日     期：</w:t>
      </w:r>
    </w:p>
    <w:p w14:paraId="258839CF">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t>附件7           项目</w:t>
      </w:r>
      <w:r>
        <w:rPr>
          <w:rFonts w:hint="eastAsia" w:ascii="宋体" w:hAnsi="宋体" w:cs="宋体"/>
          <w:b/>
          <w:color w:val="auto"/>
          <w:spacing w:val="20"/>
          <w:sz w:val="30"/>
          <w:szCs w:val="30"/>
          <w:highlight w:val="none"/>
          <w:lang w:val="en-US" w:eastAsia="zh-CN"/>
        </w:rPr>
        <w:t>组织实施</w:t>
      </w:r>
      <w:r>
        <w:rPr>
          <w:rFonts w:hint="eastAsia" w:ascii="宋体" w:hAnsi="宋体" w:eastAsia="宋体" w:cs="宋体"/>
          <w:b/>
          <w:color w:val="auto"/>
          <w:spacing w:val="20"/>
          <w:sz w:val="30"/>
          <w:szCs w:val="30"/>
          <w:highlight w:val="none"/>
        </w:rPr>
        <w:t>方案</w:t>
      </w:r>
    </w:p>
    <w:p w14:paraId="1CBE4A22">
      <w:pPr>
        <w:rPr>
          <w:rFonts w:hint="eastAsia" w:ascii="宋体" w:hAnsi="宋体" w:eastAsia="宋体" w:cs="宋体"/>
          <w:color w:val="auto"/>
          <w:spacing w:val="20"/>
          <w:sz w:val="24"/>
          <w:highlight w:val="none"/>
        </w:rPr>
      </w:pPr>
    </w:p>
    <w:p w14:paraId="03FCDD28">
      <w:pPr>
        <w:numPr>
          <w:ilvl w:val="0"/>
          <w:numId w:val="0"/>
        </w:numPr>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对本项目总体要求的理解、技术方案</w:t>
      </w:r>
    </w:p>
    <w:p w14:paraId="22A411EB">
      <w:pPr>
        <w:numPr>
          <w:ilvl w:val="0"/>
          <w:numId w:val="0"/>
        </w:numPr>
        <w:spacing w:line="460" w:lineRule="exact"/>
        <w:jc w:val="left"/>
        <w:rPr>
          <w:rFonts w:hint="eastAsia" w:ascii="宋体" w:hAnsi="宋体" w:cs="宋体"/>
          <w:color w:val="auto"/>
          <w:sz w:val="24"/>
          <w:szCs w:val="24"/>
          <w:highlight w:val="none"/>
        </w:rPr>
      </w:pPr>
    </w:p>
    <w:p w14:paraId="3F7DE7EC">
      <w:pPr>
        <w:numPr>
          <w:ilvl w:val="0"/>
          <w:numId w:val="0"/>
        </w:numPr>
        <w:spacing w:line="46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w:t>
      </w:r>
      <w:r>
        <w:rPr>
          <w:rFonts w:hint="eastAsia" w:ascii="宋体" w:hAnsi="宋体" w:cs="宋体"/>
          <w:color w:val="auto"/>
          <w:sz w:val="24"/>
          <w:szCs w:val="24"/>
          <w:highlight w:val="none"/>
        </w:rPr>
        <w:t>目组织实施方案（包括</w:t>
      </w:r>
      <w:r>
        <w:rPr>
          <w:rFonts w:hint="eastAsia" w:ascii="宋体" w:hAnsi="宋体"/>
          <w:color w:val="auto"/>
          <w:sz w:val="24"/>
          <w:szCs w:val="24"/>
        </w:rPr>
        <w:t>主</w:t>
      </w:r>
      <w:r>
        <w:rPr>
          <w:rFonts w:hint="eastAsia"/>
          <w:color w:val="auto"/>
          <w:sz w:val="24"/>
          <w:szCs w:val="24"/>
        </w:rPr>
        <w:t>要工作内容、机构及人员设置、实施方案、成果目标、进度安排、质量保证、安全措施</w:t>
      </w:r>
      <w:r>
        <w:rPr>
          <w:rFonts w:hint="eastAsia" w:ascii="宋体" w:hAnsi="宋体"/>
          <w:color w:val="auto"/>
          <w:sz w:val="24"/>
          <w:szCs w:val="24"/>
          <w:highlight w:val="none"/>
        </w:rPr>
        <w:t>、突发应急事件的处理预案</w:t>
      </w:r>
      <w:r>
        <w:rPr>
          <w:rFonts w:hint="eastAsia"/>
          <w:color w:val="auto"/>
          <w:sz w:val="24"/>
          <w:szCs w:val="24"/>
        </w:rPr>
        <w:t>以及拟投入的设备、设施及配置计划</w:t>
      </w:r>
      <w:r>
        <w:rPr>
          <w:rFonts w:hint="eastAsia" w:ascii="宋体" w:hAnsi="宋体" w:cs="宋体"/>
          <w:color w:val="auto"/>
          <w:sz w:val="24"/>
          <w:szCs w:val="24"/>
          <w:highlight w:val="none"/>
        </w:rPr>
        <w:t>等）</w:t>
      </w:r>
    </w:p>
    <w:p w14:paraId="2EB34D40">
      <w:pPr>
        <w:spacing w:line="360" w:lineRule="auto"/>
        <w:ind w:firstLine="560" w:firstLineChars="200"/>
        <w:rPr>
          <w:rFonts w:hint="eastAsia" w:ascii="宋体" w:hAnsi="宋体" w:eastAsia="宋体" w:cs="宋体"/>
          <w:color w:val="auto"/>
          <w:spacing w:val="20"/>
          <w:sz w:val="24"/>
          <w:highlight w:val="none"/>
        </w:rPr>
      </w:pPr>
    </w:p>
    <w:p w14:paraId="00ACBA21">
      <w:pPr>
        <w:jc w:val="center"/>
        <w:rPr>
          <w:rFonts w:hint="eastAsia" w:ascii="宋体" w:hAnsi="宋体" w:eastAsia="宋体" w:cs="宋体"/>
          <w:color w:val="auto"/>
          <w:spacing w:val="20"/>
          <w:sz w:val="24"/>
          <w:highlight w:val="none"/>
        </w:rPr>
      </w:pPr>
    </w:p>
    <w:p w14:paraId="316C0465">
      <w:pPr>
        <w:jc w:val="center"/>
        <w:rPr>
          <w:rFonts w:hint="eastAsia" w:ascii="宋体" w:hAnsi="宋体" w:eastAsia="宋体" w:cs="宋体"/>
          <w:color w:val="auto"/>
          <w:spacing w:val="20"/>
          <w:sz w:val="24"/>
          <w:highlight w:val="none"/>
        </w:rPr>
      </w:pPr>
    </w:p>
    <w:p w14:paraId="6111F08C">
      <w:pPr>
        <w:rPr>
          <w:rFonts w:hint="eastAsia" w:ascii="宋体" w:hAnsi="宋体" w:eastAsia="宋体" w:cs="宋体"/>
          <w:color w:val="auto"/>
          <w:spacing w:val="20"/>
          <w:sz w:val="24"/>
          <w:highlight w:val="none"/>
        </w:rPr>
      </w:pPr>
    </w:p>
    <w:p w14:paraId="69B56483">
      <w:pPr>
        <w:rPr>
          <w:rFonts w:hint="eastAsia" w:ascii="宋体" w:hAnsi="宋体" w:eastAsia="宋体" w:cs="宋体"/>
          <w:color w:val="auto"/>
          <w:spacing w:val="20"/>
          <w:sz w:val="24"/>
          <w:highlight w:val="none"/>
        </w:rPr>
      </w:pPr>
    </w:p>
    <w:p w14:paraId="2145824E">
      <w:pPr>
        <w:rPr>
          <w:rFonts w:hint="eastAsia" w:ascii="宋体" w:hAnsi="宋体" w:eastAsia="宋体" w:cs="宋体"/>
          <w:color w:val="auto"/>
          <w:spacing w:val="20"/>
          <w:sz w:val="24"/>
          <w:highlight w:val="none"/>
        </w:rPr>
      </w:pPr>
    </w:p>
    <w:p w14:paraId="4441AEFB">
      <w:pPr>
        <w:rPr>
          <w:rFonts w:hint="eastAsia" w:ascii="宋体" w:hAnsi="宋体" w:eastAsia="宋体" w:cs="宋体"/>
          <w:color w:val="auto"/>
          <w:spacing w:val="20"/>
          <w:sz w:val="24"/>
          <w:highlight w:val="none"/>
        </w:rPr>
      </w:pPr>
    </w:p>
    <w:p w14:paraId="520A19D8">
      <w:pPr>
        <w:rPr>
          <w:rFonts w:hint="eastAsia" w:ascii="宋体" w:hAnsi="宋体" w:eastAsia="宋体" w:cs="宋体"/>
          <w:color w:val="auto"/>
          <w:spacing w:val="20"/>
          <w:sz w:val="24"/>
          <w:highlight w:val="none"/>
        </w:rPr>
      </w:pPr>
    </w:p>
    <w:p w14:paraId="0CB35332">
      <w:pPr>
        <w:rPr>
          <w:rFonts w:hint="eastAsia" w:ascii="宋体" w:hAnsi="宋体" w:eastAsia="宋体" w:cs="宋体"/>
          <w:color w:val="auto"/>
          <w:spacing w:val="20"/>
          <w:sz w:val="24"/>
          <w:highlight w:val="none"/>
        </w:rPr>
      </w:pPr>
    </w:p>
    <w:p w14:paraId="2F88EC99">
      <w:pPr>
        <w:rPr>
          <w:rFonts w:hint="eastAsia" w:ascii="宋体" w:hAnsi="宋体" w:eastAsia="宋体" w:cs="宋体"/>
          <w:color w:val="auto"/>
          <w:spacing w:val="20"/>
          <w:sz w:val="24"/>
          <w:highlight w:val="none"/>
        </w:rPr>
      </w:pPr>
    </w:p>
    <w:p w14:paraId="0FC40E8D">
      <w:pPr>
        <w:rPr>
          <w:rFonts w:hint="eastAsia" w:ascii="宋体" w:hAnsi="宋体" w:eastAsia="宋体" w:cs="宋体"/>
          <w:color w:val="auto"/>
          <w:spacing w:val="20"/>
          <w:sz w:val="24"/>
          <w:highlight w:val="none"/>
        </w:rPr>
      </w:pPr>
    </w:p>
    <w:p w14:paraId="119B855F">
      <w:pPr>
        <w:rPr>
          <w:rFonts w:hint="eastAsia" w:ascii="宋体" w:hAnsi="宋体" w:eastAsia="宋体" w:cs="宋体"/>
          <w:color w:val="auto"/>
          <w:spacing w:val="20"/>
          <w:sz w:val="24"/>
          <w:highlight w:val="none"/>
        </w:rPr>
      </w:pPr>
    </w:p>
    <w:p w14:paraId="0B057F67">
      <w:pPr>
        <w:rPr>
          <w:rFonts w:hint="eastAsia" w:ascii="宋体" w:hAnsi="宋体" w:eastAsia="宋体" w:cs="宋体"/>
          <w:color w:val="auto"/>
          <w:spacing w:val="20"/>
          <w:sz w:val="24"/>
          <w:highlight w:val="none"/>
        </w:rPr>
      </w:pPr>
    </w:p>
    <w:p w14:paraId="7266CDA9">
      <w:pPr>
        <w:rPr>
          <w:rFonts w:hint="eastAsia" w:ascii="宋体" w:hAnsi="宋体" w:eastAsia="宋体" w:cs="宋体"/>
          <w:color w:val="auto"/>
          <w:spacing w:val="20"/>
          <w:sz w:val="24"/>
          <w:highlight w:val="none"/>
        </w:rPr>
      </w:pPr>
    </w:p>
    <w:p w14:paraId="23627E37">
      <w:pPr>
        <w:rPr>
          <w:rFonts w:hint="eastAsia" w:ascii="宋体" w:hAnsi="宋体" w:eastAsia="宋体" w:cs="宋体"/>
          <w:color w:val="auto"/>
          <w:spacing w:val="20"/>
          <w:sz w:val="24"/>
          <w:highlight w:val="none"/>
        </w:rPr>
      </w:pPr>
    </w:p>
    <w:p w14:paraId="4E7BDBF6">
      <w:pPr>
        <w:rPr>
          <w:rFonts w:hint="eastAsia" w:ascii="宋体" w:hAnsi="宋体" w:eastAsia="宋体" w:cs="宋体"/>
          <w:color w:val="auto"/>
          <w:spacing w:val="20"/>
          <w:sz w:val="24"/>
          <w:highlight w:val="none"/>
        </w:rPr>
      </w:pPr>
    </w:p>
    <w:p w14:paraId="1F52CA0D">
      <w:pPr>
        <w:rPr>
          <w:rFonts w:hint="eastAsia" w:ascii="宋体" w:hAnsi="宋体" w:eastAsia="宋体" w:cs="宋体"/>
          <w:color w:val="auto"/>
          <w:spacing w:val="20"/>
          <w:sz w:val="24"/>
          <w:highlight w:val="none"/>
        </w:rPr>
      </w:pPr>
    </w:p>
    <w:p w14:paraId="5AF709CA">
      <w:pPr>
        <w:rPr>
          <w:rFonts w:hint="eastAsia" w:ascii="宋体" w:hAnsi="宋体" w:eastAsia="宋体" w:cs="宋体"/>
          <w:color w:val="auto"/>
          <w:spacing w:val="20"/>
          <w:sz w:val="24"/>
          <w:highlight w:val="none"/>
        </w:rPr>
      </w:pPr>
    </w:p>
    <w:p w14:paraId="2EF53ED0">
      <w:pPr>
        <w:rPr>
          <w:rFonts w:hint="eastAsia" w:ascii="宋体" w:hAnsi="宋体" w:eastAsia="宋体" w:cs="宋体"/>
          <w:color w:val="auto"/>
          <w:spacing w:val="20"/>
          <w:sz w:val="24"/>
          <w:highlight w:val="none"/>
        </w:rPr>
      </w:pPr>
    </w:p>
    <w:p w14:paraId="6C32F3F8">
      <w:pPr>
        <w:rPr>
          <w:rFonts w:hint="eastAsia" w:ascii="宋体" w:hAnsi="宋体" w:eastAsia="宋体" w:cs="宋体"/>
          <w:color w:val="auto"/>
          <w:spacing w:val="20"/>
          <w:sz w:val="24"/>
          <w:highlight w:val="none"/>
        </w:rPr>
      </w:pPr>
    </w:p>
    <w:p w14:paraId="1C06DE3C">
      <w:pPr>
        <w:rPr>
          <w:rFonts w:hint="eastAsia" w:ascii="宋体" w:hAnsi="宋体" w:eastAsia="宋体" w:cs="宋体"/>
          <w:color w:val="auto"/>
          <w:spacing w:val="20"/>
          <w:sz w:val="24"/>
          <w:highlight w:val="none"/>
        </w:rPr>
      </w:pPr>
    </w:p>
    <w:p w14:paraId="285F2B3A">
      <w:pPr>
        <w:rPr>
          <w:rFonts w:hint="eastAsia" w:ascii="宋体" w:hAnsi="宋体" w:eastAsia="宋体" w:cs="宋体"/>
          <w:color w:val="auto"/>
          <w:spacing w:val="20"/>
          <w:sz w:val="24"/>
          <w:highlight w:val="none"/>
        </w:rPr>
      </w:pPr>
    </w:p>
    <w:p w14:paraId="4BE3AB2A">
      <w:pPr>
        <w:rPr>
          <w:rFonts w:hint="eastAsia" w:ascii="宋体" w:hAnsi="宋体" w:eastAsia="宋体" w:cs="宋体"/>
          <w:color w:val="auto"/>
          <w:spacing w:val="20"/>
          <w:sz w:val="24"/>
          <w:highlight w:val="none"/>
        </w:rPr>
      </w:pPr>
    </w:p>
    <w:p w14:paraId="5952FC82">
      <w:pPr>
        <w:spacing w:line="500" w:lineRule="exact"/>
        <w:jc w:val="left"/>
        <w:rPr>
          <w:rFonts w:hint="eastAsia" w:ascii="宋体" w:hAnsi="宋体" w:eastAsia="宋体" w:cs="宋体"/>
          <w:b/>
          <w:color w:val="auto"/>
          <w:spacing w:val="20"/>
          <w:sz w:val="30"/>
          <w:szCs w:val="30"/>
          <w:highlight w:val="none"/>
        </w:rPr>
      </w:pPr>
    </w:p>
    <w:p w14:paraId="6A3EBB3D">
      <w:pPr>
        <w:spacing w:line="500" w:lineRule="exact"/>
        <w:jc w:val="left"/>
        <w:rPr>
          <w:rFonts w:hint="eastAsia" w:ascii="宋体" w:hAnsi="宋体" w:eastAsia="宋体" w:cs="宋体"/>
          <w:b/>
          <w:color w:val="auto"/>
          <w:spacing w:val="20"/>
          <w:sz w:val="30"/>
          <w:szCs w:val="30"/>
          <w:highlight w:val="none"/>
        </w:rPr>
      </w:pPr>
    </w:p>
    <w:p w14:paraId="040091CC">
      <w:pPr>
        <w:spacing w:line="500" w:lineRule="exact"/>
        <w:jc w:val="left"/>
        <w:rPr>
          <w:rFonts w:hint="eastAsia" w:ascii="宋体" w:hAnsi="宋体" w:eastAsia="宋体" w:cs="宋体"/>
          <w:b/>
          <w:color w:val="auto"/>
          <w:spacing w:val="20"/>
          <w:sz w:val="30"/>
          <w:szCs w:val="30"/>
          <w:highlight w:val="none"/>
        </w:rPr>
      </w:pPr>
    </w:p>
    <w:p w14:paraId="4A551495">
      <w:pPr>
        <w:spacing w:line="500" w:lineRule="exact"/>
        <w:jc w:val="left"/>
        <w:rPr>
          <w:rFonts w:hint="eastAsia" w:ascii="宋体" w:hAnsi="宋体" w:eastAsia="宋体" w:cs="宋体"/>
          <w:b/>
          <w:color w:val="auto"/>
          <w:spacing w:val="20"/>
          <w:sz w:val="30"/>
          <w:szCs w:val="30"/>
          <w:highlight w:val="none"/>
        </w:rPr>
      </w:pPr>
    </w:p>
    <w:p w14:paraId="09CB1DEF">
      <w:pPr>
        <w:spacing w:line="500" w:lineRule="exact"/>
        <w:jc w:val="left"/>
        <w:rPr>
          <w:rFonts w:hint="eastAsia" w:ascii="宋体" w:hAnsi="宋体" w:eastAsia="宋体" w:cs="宋体"/>
          <w:b/>
          <w:color w:val="auto"/>
          <w:spacing w:val="20"/>
          <w:sz w:val="30"/>
          <w:szCs w:val="30"/>
          <w:highlight w:val="none"/>
        </w:rPr>
      </w:pPr>
    </w:p>
    <w:p w14:paraId="57331899">
      <w:pPr>
        <w:spacing w:line="500" w:lineRule="exact"/>
        <w:jc w:val="left"/>
        <w:rPr>
          <w:rFonts w:hint="eastAsia" w:ascii="宋体" w:hAnsi="宋体" w:eastAsia="宋体" w:cs="宋体"/>
          <w:b/>
          <w:color w:val="auto"/>
          <w:spacing w:val="20"/>
          <w:sz w:val="30"/>
          <w:szCs w:val="30"/>
          <w:highlight w:val="none"/>
        </w:rPr>
      </w:pPr>
    </w:p>
    <w:p w14:paraId="1F8F6C5B">
      <w:pPr>
        <w:adjustRightInd w:val="0"/>
        <w:snapToGrid w:val="0"/>
        <w:spacing w:line="360" w:lineRule="auto"/>
        <w:rPr>
          <w:rFonts w:hint="eastAsia" w:ascii="宋体" w:hAnsi="宋体" w:eastAsia="宋体" w:cs="宋体"/>
          <w:b/>
          <w:color w:val="auto"/>
          <w:spacing w:val="20"/>
          <w:sz w:val="30"/>
          <w:szCs w:val="30"/>
          <w:highlight w:val="none"/>
        </w:rPr>
      </w:pPr>
    </w:p>
    <w:p w14:paraId="092C5BD6">
      <w:pPr>
        <w:adjustRightInd w:val="0"/>
        <w:snapToGrid w:val="0"/>
        <w:spacing w:line="360" w:lineRule="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t>附件8</w:t>
      </w:r>
    </w:p>
    <w:p w14:paraId="241C98CA">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项目负责人简历表</w:t>
      </w:r>
    </w:p>
    <w:p w14:paraId="3DB1077B">
      <w:pPr>
        <w:pStyle w:val="16"/>
        <w:spacing w:line="400" w:lineRule="atLeast"/>
        <w:ind w:left="2629"/>
        <w:rPr>
          <w:rFonts w:hint="eastAsia" w:ascii="宋体" w:hAnsi="宋体" w:eastAsia="宋体" w:cs="宋体"/>
          <w:b/>
          <w:color w:val="auto"/>
          <w:sz w:val="28"/>
          <w:highlight w:val="none"/>
        </w:rPr>
      </w:pPr>
    </w:p>
    <w:p w14:paraId="53BB08D5">
      <w:pPr>
        <w:pStyle w:val="16"/>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w:t>
      </w:r>
    </w:p>
    <w:p w14:paraId="0AC42A28">
      <w:pPr>
        <w:pStyle w:val="16"/>
        <w:spacing w:line="400" w:lineRule="atLeast"/>
        <w:ind w:left="663" w:hanging="663" w:hangingChars="3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项目编号：</w:t>
      </w:r>
    </w:p>
    <w:tbl>
      <w:tblPr>
        <w:tblStyle w:val="36"/>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2F4B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64CDC259">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姓名</w:t>
            </w:r>
          </w:p>
        </w:tc>
        <w:tc>
          <w:tcPr>
            <w:tcW w:w="1652" w:type="dxa"/>
            <w:tcBorders>
              <w:top w:val="single" w:color="auto" w:sz="12" w:space="0"/>
              <w:left w:val="single" w:color="auto" w:sz="6" w:space="0"/>
              <w:bottom w:val="single" w:color="auto" w:sz="6" w:space="0"/>
              <w:right w:val="single" w:color="auto" w:sz="6" w:space="0"/>
            </w:tcBorders>
            <w:vAlign w:val="center"/>
          </w:tcPr>
          <w:p w14:paraId="3A37063D">
            <w:pPr>
              <w:pStyle w:val="16"/>
              <w:spacing w:line="400" w:lineRule="atLeast"/>
              <w:ind w:left="660" w:hanging="660" w:hangingChars="300"/>
              <w:jc w:val="center"/>
              <w:rPr>
                <w:rFonts w:hint="eastAsia" w:ascii="宋体" w:hAnsi="宋体" w:eastAsia="宋体" w:cs="宋体"/>
                <w:color w:val="auto"/>
                <w:sz w:val="22"/>
                <w:szCs w:val="24"/>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00A0F236">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性别</w:t>
            </w:r>
          </w:p>
        </w:tc>
        <w:tc>
          <w:tcPr>
            <w:tcW w:w="1761" w:type="dxa"/>
            <w:tcBorders>
              <w:top w:val="single" w:color="auto" w:sz="12" w:space="0"/>
              <w:left w:val="single" w:color="auto" w:sz="6" w:space="0"/>
              <w:bottom w:val="single" w:color="auto" w:sz="6" w:space="0"/>
              <w:right w:val="single" w:color="auto" w:sz="6" w:space="0"/>
            </w:tcBorders>
            <w:vAlign w:val="center"/>
          </w:tcPr>
          <w:p w14:paraId="232C25CF">
            <w:pPr>
              <w:pStyle w:val="16"/>
              <w:spacing w:line="400" w:lineRule="atLeast"/>
              <w:ind w:left="660" w:hanging="660" w:hangingChars="300"/>
              <w:jc w:val="center"/>
              <w:rPr>
                <w:rFonts w:hint="eastAsia" w:ascii="宋体" w:hAnsi="宋体" w:eastAsia="宋体" w:cs="宋体"/>
                <w:color w:val="auto"/>
                <w:sz w:val="22"/>
                <w:szCs w:val="24"/>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604EBF5A">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年龄</w:t>
            </w:r>
          </w:p>
        </w:tc>
        <w:tc>
          <w:tcPr>
            <w:tcW w:w="1693" w:type="dxa"/>
            <w:tcBorders>
              <w:top w:val="single" w:color="auto" w:sz="12" w:space="0"/>
              <w:left w:val="single" w:color="auto" w:sz="6" w:space="0"/>
              <w:bottom w:val="single" w:color="auto" w:sz="6" w:space="0"/>
              <w:right w:val="single" w:color="auto" w:sz="12" w:space="0"/>
            </w:tcBorders>
            <w:vAlign w:val="center"/>
          </w:tcPr>
          <w:p w14:paraId="2068C99E">
            <w:pPr>
              <w:pStyle w:val="16"/>
              <w:spacing w:line="400" w:lineRule="atLeast"/>
              <w:ind w:left="660" w:hanging="660" w:hangingChars="300"/>
              <w:jc w:val="center"/>
              <w:rPr>
                <w:rFonts w:hint="eastAsia" w:ascii="宋体" w:hAnsi="宋体" w:eastAsia="宋体" w:cs="宋体"/>
                <w:color w:val="auto"/>
                <w:sz w:val="22"/>
                <w:szCs w:val="24"/>
                <w:highlight w:val="none"/>
              </w:rPr>
            </w:pPr>
          </w:p>
        </w:tc>
      </w:tr>
      <w:tr w14:paraId="4F45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12DF052D">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学历</w:t>
            </w:r>
          </w:p>
        </w:tc>
        <w:tc>
          <w:tcPr>
            <w:tcW w:w="1652" w:type="dxa"/>
            <w:tcBorders>
              <w:top w:val="single" w:color="auto" w:sz="6" w:space="0"/>
              <w:left w:val="single" w:color="auto" w:sz="6" w:space="0"/>
              <w:bottom w:val="single" w:color="auto" w:sz="6" w:space="0"/>
              <w:right w:val="single" w:color="auto" w:sz="6" w:space="0"/>
            </w:tcBorders>
            <w:vAlign w:val="center"/>
          </w:tcPr>
          <w:p w14:paraId="2250D5A9">
            <w:pPr>
              <w:pStyle w:val="16"/>
              <w:spacing w:line="400" w:lineRule="atLeast"/>
              <w:ind w:left="660" w:hanging="660" w:hangingChars="300"/>
              <w:jc w:val="center"/>
              <w:rPr>
                <w:rFonts w:hint="eastAsia" w:ascii="宋体" w:hAnsi="宋体" w:eastAsia="宋体" w:cs="宋体"/>
                <w:color w:val="auto"/>
                <w:sz w:val="22"/>
                <w:szCs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1C0BA461">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职称</w:t>
            </w:r>
          </w:p>
        </w:tc>
        <w:tc>
          <w:tcPr>
            <w:tcW w:w="1761" w:type="dxa"/>
            <w:tcBorders>
              <w:top w:val="single" w:color="auto" w:sz="6" w:space="0"/>
              <w:left w:val="single" w:color="auto" w:sz="6" w:space="0"/>
              <w:bottom w:val="single" w:color="auto" w:sz="6" w:space="0"/>
              <w:right w:val="single" w:color="auto" w:sz="6" w:space="0"/>
            </w:tcBorders>
            <w:vAlign w:val="center"/>
          </w:tcPr>
          <w:p w14:paraId="091BB05E">
            <w:pPr>
              <w:pStyle w:val="16"/>
              <w:spacing w:line="400" w:lineRule="atLeast"/>
              <w:ind w:left="660" w:hanging="660" w:hangingChars="300"/>
              <w:jc w:val="center"/>
              <w:rPr>
                <w:rFonts w:hint="eastAsia" w:ascii="宋体" w:hAnsi="宋体" w:eastAsia="宋体" w:cs="宋体"/>
                <w:color w:val="auto"/>
                <w:sz w:val="22"/>
                <w:szCs w:val="24"/>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168DAF00">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职务</w:t>
            </w:r>
          </w:p>
        </w:tc>
        <w:tc>
          <w:tcPr>
            <w:tcW w:w="1693" w:type="dxa"/>
            <w:tcBorders>
              <w:top w:val="single" w:color="auto" w:sz="6" w:space="0"/>
              <w:left w:val="single" w:color="auto" w:sz="6" w:space="0"/>
              <w:bottom w:val="single" w:color="auto" w:sz="6" w:space="0"/>
              <w:right w:val="single" w:color="auto" w:sz="12" w:space="0"/>
            </w:tcBorders>
            <w:vAlign w:val="center"/>
          </w:tcPr>
          <w:p w14:paraId="1DBE6A82">
            <w:pPr>
              <w:pStyle w:val="16"/>
              <w:spacing w:line="400" w:lineRule="atLeast"/>
              <w:ind w:left="660" w:hanging="660" w:hangingChars="300"/>
              <w:jc w:val="center"/>
              <w:rPr>
                <w:rFonts w:hint="eastAsia" w:ascii="宋体" w:hAnsi="宋体" w:eastAsia="宋体" w:cs="宋体"/>
                <w:color w:val="auto"/>
                <w:sz w:val="22"/>
                <w:szCs w:val="24"/>
                <w:highlight w:val="none"/>
              </w:rPr>
            </w:pPr>
          </w:p>
        </w:tc>
      </w:tr>
      <w:tr w14:paraId="18B9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07690283">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69FCF2D0">
            <w:pPr>
              <w:pStyle w:val="16"/>
              <w:spacing w:line="400" w:lineRule="atLeast"/>
              <w:ind w:left="660" w:hanging="660" w:hangingChars="300"/>
              <w:jc w:val="center"/>
              <w:rPr>
                <w:rFonts w:hint="eastAsia" w:ascii="宋体" w:hAnsi="宋体" w:eastAsia="宋体" w:cs="宋体"/>
                <w:color w:val="auto"/>
                <w:sz w:val="22"/>
                <w:szCs w:val="24"/>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2748AC56">
            <w:pPr>
              <w:pStyle w:val="16"/>
              <w:spacing w:line="400" w:lineRule="atLeast"/>
              <w:ind w:left="660" w:hanging="660" w:hangingChars="300"/>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手机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6C0BF4C4">
            <w:pPr>
              <w:pStyle w:val="16"/>
              <w:spacing w:line="400" w:lineRule="atLeast"/>
              <w:ind w:left="660" w:hanging="660" w:hangingChars="300"/>
              <w:jc w:val="center"/>
              <w:rPr>
                <w:rFonts w:hint="eastAsia" w:ascii="宋体" w:hAnsi="宋体" w:eastAsia="宋体" w:cs="宋体"/>
                <w:color w:val="auto"/>
                <w:sz w:val="22"/>
                <w:szCs w:val="24"/>
                <w:highlight w:val="none"/>
              </w:rPr>
            </w:pPr>
          </w:p>
        </w:tc>
      </w:tr>
      <w:tr w14:paraId="383E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3"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40519FB0">
            <w:pPr>
              <w:pStyle w:val="16"/>
              <w:spacing w:line="400" w:lineRule="atLeast"/>
              <w:ind w:left="660" w:hanging="660" w:hangingChars="3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从事相关工作经历及业绩：</w:t>
            </w:r>
          </w:p>
        </w:tc>
      </w:tr>
    </w:tbl>
    <w:p w14:paraId="19CF5D14">
      <w:pPr>
        <w:pStyle w:val="16"/>
        <w:spacing w:line="340" w:lineRule="exac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注：需提供学历证、职业</w:t>
      </w:r>
      <w:r>
        <w:rPr>
          <w:rFonts w:hint="eastAsia" w:hAnsi="宋体" w:cs="宋体"/>
          <w:color w:val="auto"/>
          <w:sz w:val="22"/>
          <w:highlight w:val="none"/>
          <w:lang w:val="en-US" w:eastAsia="zh-CN"/>
        </w:rPr>
        <w:t>资格</w:t>
      </w:r>
      <w:r>
        <w:rPr>
          <w:rFonts w:hint="eastAsia" w:ascii="宋体" w:hAnsi="宋体" w:eastAsia="宋体" w:cs="宋体"/>
          <w:color w:val="auto"/>
          <w:sz w:val="22"/>
          <w:highlight w:val="none"/>
        </w:rPr>
        <w:t>证书、职称证书等</w:t>
      </w:r>
      <w:r>
        <w:rPr>
          <w:rFonts w:hint="eastAsia" w:hAnsi="宋体" w:cs="宋体"/>
          <w:color w:val="auto"/>
          <w:sz w:val="22"/>
          <w:highlight w:val="none"/>
          <w:lang w:val="en-US" w:eastAsia="zh-CN"/>
        </w:rPr>
        <w:t>扫描</w:t>
      </w:r>
      <w:r>
        <w:rPr>
          <w:rFonts w:hint="eastAsia" w:ascii="宋体" w:hAnsi="宋体" w:eastAsia="宋体" w:cs="宋体"/>
          <w:color w:val="auto"/>
          <w:sz w:val="22"/>
          <w:highlight w:val="none"/>
        </w:rPr>
        <w:t>件</w:t>
      </w:r>
      <w:r>
        <w:rPr>
          <w:rFonts w:hint="eastAsia" w:ascii="宋体" w:hAnsi="宋体" w:eastAsia="宋体" w:cs="宋体"/>
          <w:color w:val="auto"/>
          <w:sz w:val="22"/>
          <w:szCs w:val="22"/>
          <w:highlight w:val="none"/>
        </w:rPr>
        <w:t>（加盖</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公章）；</w:t>
      </w:r>
    </w:p>
    <w:p w14:paraId="7F81F4DA">
      <w:pPr>
        <w:pStyle w:val="16"/>
        <w:spacing w:line="340" w:lineRule="exact"/>
        <w:rPr>
          <w:rFonts w:hint="eastAsia" w:ascii="宋体" w:hAnsi="宋体" w:eastAsia="宋体" w:cs="宋体"/>
          <w:color w:val="auto"/>
          <w:sz w:val="22"/>
          <w:highlight w:val="none"/>
        </w:rPr>
      </w:pPr>
    </w:p>
    <w:p w14:paraId="0CDECBA1">
      <w:pPr>
        <w:pStyle w:val="16"/>
        <w:spacing w:line="360" w:lineRule="auto"/>
        <w:ind w:left="657" w:leftChars="313" w:firstLine="4180" w:firstLineChars="190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供应商名称（盖章）：</w:t>
      </w:r>
    </w:p>
    <w:p w14:paraId="0595E8ED">
      <w:pPr>
        <w:pStyle w:val="16"/>
        <w:spacing w:line="360" w:lineRule="auto"/>
        <w:ind w:firstLine="3300" w:firstLineChars="1500"/>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法定代表人或被授权人签字（或签章）：</w:t>
      </w:r>
    </w:p>
    <w:p w14:paraId="06428923">
      <w:pPr>
        <w:pStyle w:val="16"/>
        <w:tabs>
          <w:tab w:val="left" w:pos="0"/>
          <w:tab w:val="left" w:pos="540"/>
        </w:tabs>
        <w:spacing w:line="360" w:lineRule="auto"/>
        <w:ind w:firstLine="5060" w:firstLineChars="2300"/>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14:paraId="40234FC4">
      <w:pPr>
        <w:adjustRightInd w:val="0"/>
        <w:snapToGrid w:val="0"/>
        <w:spacing w:line="360" w:lineRule="auto"/>
        <w:rPr>
          <w:rFonts w:hint="eastAsia" w:ascii="宋体" w:hAnsi="宋体" w:eastAsia="宋体" w:cs="宋体"/>
          <w:b/>
          <w:color w:val="auto"/>
          <w:spacing w:val="20"/>
          <w:sz w:val="30"/>
          <w:szCs w:val="30"/>
          <w:highlight w:val="none"/>
        </w:rPr>
      </w:pPr>
    </w:p>
    <w:p w14:paraId="63595E8C">
      <w:pPr>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供应商相关人员一览表</w:t>
      </w:r>
    </w:p>
    <w:p w14:paraId="2824D725">
      <w:pPr>
        <w:rPr>
          <w:rFonts w:hint="eastAsia" w:ascii="宋体" w:hAnsi="宋体" w:eastAsia="宋体" w:cs="宋体"/>
          <w:color w:val="auto"/>
          <w:highlight w:val="none"/>
        </w:rPr>
      </w:pPr>
    </w:p>
    <w:p w14:paraId="11F6CCD2">
      <w:pPr>
        <w:ind w:firstLine="527" w:firstLineChars="250"/>
        <w:rPr>
          <w:rFonts w:hint="eastAsia" w:ascii="宋体" w:hAnsi="宋体" w:eastAsia="宋体" w:cs="宋体"/>
          <w:b/>
          <w:color w:val="auto"/>
          <w:highlight w:val="none"/>
        </w:rPr>
      </w:pPr>
      <w:r>
        <w:rPr>
          <w:rFonts w:hint="eastAsia" w:ascii="宋体" w:hAnsi="宋体" w:eastAsia="宋体" w:cs="宋体"/>
          <w:b/>
          <w:color w:val="auto"/>
          <w:highlight w:val="none"/>
        </w:rPr>
        <w:t>项目名称：</w:t>
      </w:r>
    </w:p>
    <w:p w14:paraId="7319B80C">
      <w:pPr>
        <w:ind w:firstLine="527" w:firstLineChars="250"/>
        <w:rPr>
          <w:rFonts w:hint="eastAsia" w:ascii="宋体" w:hAnsi="宋体" w:eastAsia="宋体" w:cs="宋体"/>
          <w:b/>
          <w:color w:val="auto"/>
          <w:highlight w:val="none"/>
        </w:rPr>
      </w:pPr>
      <w:r>
        <w:rPr>
          <w:rFonts w:hint="eastAsia" w:ascii="宋体" w:hAnsi="宋体" w:eastAsia="宋体" w:cs="宋体"/>
          <w:b/>
          <w:color w:val="auto"/>
          <w:highlight w:val="none"/>
        </w:rPr>
        <w:t>项目编号：</w:t>
      </w:r>
    </w:p>
    <w:tbl>
      <w:tblPr>
        <w:tblStyle w:val="3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13"/>
        <w:gridCol w:w="667"/>
        <w:gridCol w:w="720"/>
        <w:gridCol w:w="900"/>
        <w:gridCol w:w="1080"/>
        <w:gridCol w:w="1440"/>
        <w:gridCol w:w="2880"/>
      </w:tblGrid>
      <w:tr w14:paraId="5029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0" w:type="dxa"/>
            <w:vAlign w:val="center"/>
          </w:tcPr>
          <w:p w14:paraId="3C24B8A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13" w:type="dxa"/>
            <w:vAlign w:val="center"/>
          </w:tcPr>
          <w:p w14:paraId="16FB35F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667" w:type="dxa"/>
            <w:vAlign w:val="center"/>
          </w:tcPr>
          <w:p w14:paraId="1F6284E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720" w:type="dxa"/>
            <w:vAlign w:val="center"/>
          </w:tcPr>
          <w:p w14:paraId="11B6601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900" w:type="dxa"/>
            <w:vAlign w:val="center"/>
          </w:tcPr>
          <w:p w14:paraId="2A9D6CB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1080" w:type="dxa"/>
            <w:vAlign w:val="center"/>
          </w:tcPr>
          <w:p w14:paraId="1B36A9D0">
            <w:pPr>
              <w:ind w:left="-107" w:leftChars="-51" w:right="-107" w:rightChars="-51" w:firstLine="105" w:firstLineChars="4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职称职位</w:t>
            </w:r>
          </w:p>
        </w:tc>
        <w:tc>
          <w:tcPr>
            <w:tcW w:w="1440" w:type="dxa"/>
            <w:vAlign w:val="center"/>
          </w:tcPr>
          <w:p w14:paraId="0878CFC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从事岗位</w:t>
            </w:r>
          </w:p>
        </w:tc>
        <w:tc>
          <w:tcPr>
            <w:tcW w:w="2880" w:type="dxa"/>
            <w:vAlign w:val="center"/>
          </w:tcPr>
          <w:p w14:paraId="0D6EC0B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从事类似服务简历、年限</w:t>
            </w:r>
          </w:p>
        </w:tc>
      </w:tr>
      <w:tr w14:paraId="1D54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vAlign w:val="center"/>
          </w:tcPr>
          <w:p w14:paraId="6CE9A8C8">
            <w:pPr>
              <w:jc w:val="center"/>
              <w:rPr>
                <w:rFonts w:hint="eastAsia" w:ascii="宋体" w:hAnsi="宋体" w:eastAsia="宋体" w:cs="宋体"/>
                <w:color w:val="auto"/>
                <w:highlight w:val="none"/>
              </w:rPr>
            </w:pPr>
          </w:p>
        </w:tc>
        <w:tc>
          <w:tcPr>
            <w:tcW w:w="1313" w:type="dxa"/>
            <w:vAlign w:val="center"/>
          </w:tcPr>
          <w:p w14:paraId="6080BB87">
            <w:pPr>
              <w:jc w:val="center"/>
              <w:rPr>
                <w:rFonts w:hint="eastAsia" w:ascii="宋体" w:hAnsi="宋体" w:eastAsia="宋体" w:cs="宋体"/>
                <w:color w:val="auto"/>
                <w:highlight w:val="none"/>
              </w:rPr>
            </w:pPr>
          </w:p>
        </w:tc>
        <w:tc>
          <w:tcPr>
            <w:tcW w:w="667" w:type="dxa"/>
            <w:vAlign w:val="center"/>
          </w:tcPr>
          <w:p w14:paraId="0F2E72DF">
            <w:pPr>
              <w:jc w:val="center"/>
              <w:rPr>
                <w:rFonts w:hint="eastAsia" w:ascii="宋体" w:hAnsi="宋体" w:eastAsia="宋体" w:cs="宋体"/>
                <w:color w:val="auto"/>
                <w:highlight w:val="none"/>
              </w:rPr>
            </w:pPr>
          </w:p>
        </w:tc>
        <w:tc>
          <w:tcPr>
            <w:tcW w:w="720" w:type="dxa"/>
            <w:vAlign w:val="center"/>
          </w:tcPr>
          <w:p w14:paraId="33CFCBE7">
            <w:pPr>
              <w:jc w:val="center"/>
              <w:rPr>
                <w:rFonts w:hint="eastAsia" w:ascii="宋体" w:hAnsi="宋体" w:eastAsia="宋体" w:cs="宋体"/>
                <w:color w:val="auto"/>
                <w:highlight w:val="none"/>
              </w:rPr>
            </w:pPr>
          </w:p>
        </w:tc>
        <w:tc>
          <w:tcPr>
            <w:tcW w:w="900" w:type="dxa"/>
            <w:vAlign w:val="center"/>
          </w:tcPr>
          <w:p w14:paraId="41B9E2EE">
            <w:pPr>
              <w:jc w:val="center"/>
              <w:rPr>
                <w:rFonts w:hint="eastAsia" w:ascii="宋体" w:hAnsi="宋体" w:eastAsia="宋体" w:cs="宋体"/>
                <w:color w:val="auto"/>
                <w:highlight w:val="none"/>
              </w:rPr>
            </w:pPr>
          </w:p>
        </w:tc>
        <w:tc>
          <w:tcPr>
            <w:tcW w:w="1080" w:type="dxa"/>
            <w:vAlign w:val="center"/>
          </w:tcPr>
          <w:p w14:paraId="1B07B801">
            <w:pPr>
              <w:jc w:val="center"/>
              <w:rPr>
                <w:rFonts w:hint="eastAsia" w:ascii="宋体" w:hAnsi="宋体" w:eastAsia="宋体" w:cs="宋体"/>
                <w:color w:val="auto"/>
                <w:highlight w:val="none"/>
              </w:rPr>
            </w:pPr>
          </w:p>
        </w:tc>
        <w:tc>
          <w:tcPr>
            <w:tcW w:w="1440" w:type="dxa"/>
            <w:vAlign w:val="center"/>
          </w:tcPr>
          <w:p w14:paraId="292E82B5">
            <w:pPr>
              <w:jc w:val="center"/>
              <w:rPr>
                <w:rFonts w:hint="eastAsia" w:ascii="宋体" w:hAnsi="宋体" w:eastAsia="宋体" w:cs="宋体"/>
                <w:color w:val="auto"/>
                <w:highlight w:val="none"/>
              </w:rPr>
            </w:pPr>
          </w:p>
        </w:tc>
        <w:tc>
          <w:tcPr>
            <w:tcW w:w="2880" w:type="dxa"/>
            <w:vAlign w:val="center"/>
          </w:tcPr>
          <w:p w14:paraId="146B464C">
            <w:pPr>
              <w:jc w:val="center"/>
              <w:rPr>
                <w:rFonts w:hint="eastAsia" w:ascii="宋体" w:hAnsi="宋体" w:eastAsia="宋体" w:cs="宋体"/>
                <w:color w:val="auto"/>
                <w:highlight w:val="none"/>
              </w:rPr>
            </w:pPr>
          </w:p>
        </w:tc>
      </w:tr>
      <w:tr w14:paraId="1B30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vAlign w:val="center"/>
          </w:tcPr>
          <w:p w14:paraId="5E45E2E8">
            <w:pPr>
              <w:jc w:val="center"/>
              <w:rPr>
                <w:rFonts w:hint="eastAsia" w:ascii="宋体" w:hAnsi="宋体" w:eastAsia="宋体" w:cs="宋体"/>
                <w:color w:val="auto"/>
                <w:highlight w:val="none"/>
              </w:rPr>
            </w:pPr>
          </w:p>
        </w:tc>
        <w:tc>
          <w:tcPr>
            <w:tcW w:w="1313" w:type="dxa"/>
            <w:vAlign w:val="center"/>
          </w:tcPr>
          <w:p w14:paraId="2EFD7CC1">
            <w:pPr>
              <w:jc w:val="center"/>
              <w:rPr>
                <w:rFonts w:hint="eastAsia" w:ascii="宋体" w:hAnsi="宋体" w:eastAsia="宋体" w:cs="宋体"/>
                <w:color w:val="auto"/>
                <w:highlight w:val="none"/>
              </w:rPr>
            </w:pPr>
          </w:p>
        </w:tc>
        <w:tc>
          <w:tcPr>
            <w:tcW w:w="667" w:type="dxa"/>
            <w:vAlign w:val="center"/>
          </w:tcPr>
          <w:p w14:paraId="37768B5B">
            <w:pPr>
              <w:jc w:val="center"/>
              <w:rPr>
                <w:rFonts w:hint="eastAsia" w:ascii="宋体" w:hAnsi="宋体" w:eastAsia="宋体" w:cs="宋体"/>
                <w:color w:val="auto"/>
                <w:highlight w:val="none"/>
              </w:rPr>
            </w:pPr>
          </w:p>
        </w:tc>
        <w:tc>
          <w:tcPr>
            <w:tcW w:w="720" w:type="dxa"/>
            <w:vAlign w:val="center"/>
          </w:tcPr>
          <w:p w14:paraId="449563B1">
            <w:pPr>
              <w:jc w:val="center"/>
              <w:rPr>
                <w:rFonts w:hint="eastAsia" w:ascii="宋体" w:hAnsi="宋体" w:eastAsia="宋体" w:cs="宋体"/>
                <w:color w:val="auto"/>
                <w:highlight w:val="none"/>
              </w:rPr>
            </w:pPr>
          </w:p>
        </w:tc>
        <w:tc>
          <w:tcPr>
            <w:tcW w:w="900" w:type="dxa"/>
            <w:vAlign w:val="center"/>
          </w:tcPr>
          <w:p w14:paraId="735BC24C">
            <w:pPr>
              <w:jc w:val="center"/>
              <w:rPr>
                <w:rFonts w:hint="eastAsia" w:ascii="宋体" w:hAnsi="宋体" w:eastAsia="宋体" w:cs="宋体"/>
                <w:color w:val="auto"/>
                <w:highlight w:val="none"/>
              </w:rPr>
            </w:pPr>
          </w:p>
        </w:tc>
        <w:tc>
          <w:tcPr>
            <w:tcW w:w="1080" w:type="dxa"/>
            <w:vAlign w:val="center"/>
          </w:tcPr>
          <w:p w14:paraId="770AB785">
            <w:pPr>
              <w:jc w:val="center"/>
              <w:rPr>
                <w:rFonts w:hint="eastAsia" w:ascii="宋体" w:hAnsi="宋体" w:eastAsia="宋体" w:cs="宋体"/>
                <w:color w:val="auto"/>
                <w:highlight w:val="none"/>
              </w:rPr>
            </w:pPr>
          </w:p>
        </w:tc>
        <w:tc>
          <w:tcPr>
            <w:tcW w:w="1440" w:type="dxa"/>
            <w:vAlign w:val="center"/>
          </w:tcPr>
          <w:p w14:paraId="02E3B676">
            <w:pPr>
              <w:jc w:val="center"/>
              <w:rPr>
                <w:rFonts w:hint="eastAsia" w:ascii="宋体" w:hAnsi="宋体" w:eastAsia="宋体" w:cs="宋体"/>
                <w:color w:val="auto"/>
                <w:highlight w:val="none"/>
              </w:rPr>
            </w:pPr>
          </w:p>
        </w:tc>
        <w:tc>
          <w:tcPr>
            <w:tcW w:w="2880" w:type="dxa"/>
            <w:vAlign w:val="center"/>
          </w:tcPr>
          <w:p w14:paraId="5B83881E">
            <w:pPr>
              <w:jc w:val="center"/>
              <w:rPr>
                <w:rFonts w:hint="eastAsia" w:ascii="宋体" w:hAnsi="宋体" w:eastAsia="宋体" w:cs="宋体"/>
                <w:color w:val="auto"/>
                <w:highlight w:val="none"/>
              </w:rPr>
            </w:pPr>
          </w:p>
        </w:tc>
      </w:tr>
      <w:tr w14:paraId="06DC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1478F7D1">
            <w:pPr>
              <w:jc w:val="center"/>
              <w:rPr>
                <w:rFonts w:hint="eastAsia" w:ascii="宋体" w:hAnsi="宋体" w:eastAsia="宋体" w:cs="宋体"/>
                <w:color w:val="auto"/>
                <w:highlight w:val="none"/>
              </w:rPr>
            </w:pPr>
          </w:p>
        </w:tc>
        <w:tc>
          <w:tcPr>
            <w:tcW w:w="1313" w:type="dxa"/>
            <w:vAlign w:val="center"/>
          </w:tcPr>
          <w:p w14:paraId="4C932494">
            <w:pPr>
              <w:jc w:val="center"/>
              <w:rPr>
                <w:rFonts w:hint="eastAsia" w:ascii="宋体" w:hAnsi="宋体" w:eastAsia="宋体" w:cs="宋体"/>
                <w:color w:val="auto"/>
                <w:highlight w:val="none"/>
              </w:rPr>
            </w:pPr>
          </w:p>
        </w:tc>
        <w:tc>
          <w:tcPr>
            <w:tcW w:w="667" w:type="dxa"/>
            <w:vAlign w:val="center"/>
          </w:tcPr>
          <w:p w14:paraId="6E2037AF">
            <w:pPr>
              <w:jc w:val="center"/>
              <w:rPr>
                <w:rFonts w:hint="eastAsia" w:ascii="宋体" w:hAnsi="宋体" w:eastAsia="宋体" w:cs="宋体"/>
                <w:color w:val="auto"/>
                <w:highlight w:val="none"/>
              </w:rPr>
            </w:pPr>
          </w:p>
        </w:tc>
        <w:tc>
          <w:tcPr>
            <w:tcW w:w="720" w:type="dxa"/>
            <w:vAlign w:val="center"/>
          </w:tcPr>
          <w:p w14:paraId="4B9B7651">
            <w:pPr>
              <w:jc w:val="center"/>
              <w:rPr>
                <w:rFonts w:hint="eastAsia" w:ascii="宋体" w:hAnsi="宋体" w:eastAsia="宋体" w:cs="宋体"/>
                <w:color w:val="auto"/>
                <w:highlight w:val="none"/>
              </w:rPr>
            </w:pPr>
          </w:p>
        </w:tc>
        <w:tc>
          <w:tcPr>
            <w:tcW w:w="900" w:type="dxa"/>
            <w:vAlign w:val="center"/>
          </w:tcPr>
          <w:p w14:paraId="751EE602">
            <w:pPr>
              <w:jc w:val="center"/>
              <w:rPr>
                <w:rFonts w:hint="eastAsia" w:ascii="宋体" w:hAnsi="宋体" w:eastAsia="宋体" w:cs="宋体"/>
                <w:color w:val="auto"/>
                <w:highlight w:val="none"/>
              </w:rPr>
            </w:pPr>
          </w:p>
        </w:tc>
        <w:tc>
          <w:tcPr>
            <w:tcW w:w="1080" w:type="dxa"/>
            <w:vAlign w:val="center"/>
          </w:tcPr>
          <w:p w14:paraId="229F7F66">
            <w:pPr>
              <w:jc w:val="center"/>
              <w:rPr>
                <w:rFonts w:hint="eastAsia" w:ascii="宋体" w:hAnsi="宋体" w:eastAsia="宋体" w:cs="宋体"/>
                <w:color w:val="auto"/>
                <w:highlight w:val="none"/>
              </w:rPr>
            </w:pPr>
          </w:p>
        </w:tc>
        <w:tc>
          <w:tcPr>
            <w:tcW w:w="1440" w:type="dxa"/>
            <w:vAlign w:val="center"/>
          </w:tcPr>
          <w:p w14:paraId="7630BF59">
            <w:pPr>
              <w:jc w:val="center"/>
              <w:rPr>
                <w:rFonts w:hint="eastAsia" w:ascii="宋体" w:hAnsi="宋体" w:eastAsia="宋体" w:cs="宋体"/>
                <w:color w:val="auto"/>
                <w:highlight w:val="none"/>
              </w:rPr>
            </w:pPr>
          </w:p>
        </w:tc>
        <w:tc>
          <w:tcPr>
            <w:tcW w:w="2880" w:type="dxa"/>
            <w:vAlign w:val="center"/>
          </w:tcPr>
          <w:p w14:paraId="6CB55653">
            <w:pPr>
              <w:jc w:val="center"/>
              <w:rPr>
                <w:rFonts w:hint="eastAsia" w:ascii="宋体" w:hAnsi="宋体" w:eastAsia="宋体" w:cs="宋体"/>
                <w:color w:val="auto"/>
                <w:highlight w:val="none"/>
              </w:rPr>
            </w:pPr>
          </w:p>
        </w:tc>
      </w:tr>
      <w:tr w14:paraId="0DF0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31E2F15D">
            <w:pPr>
              <w:jc w:val="center"/>
              <w:rPr>
                <w:rFonts w:hint="eastAsia" w:ascii="宋体" w:hAnsi="宋体" w:eastAsia="宋体" w:cs="宋体"/>
                <w:color w:val="auto"/>
                <w:highlight w:val="none"/>
              </w:rPr>
            </w:pPr>
          </w:p>
        </w:tc>
        <w:tc>
          <w:tcPr>
            <w:tcW w:w="1313" w:type="dxa"/>
            <w:vAlign w:val="center"/>
          </w:tcPr>
          <w:p w14:paraId="3FF3F02B">
            <w:pPr>
              <w:jc w:val="center"/>
              <w:rPr>
                <w:rFonts w:hint="eastAsia" w:ascii="宋体" w:hAnsi="宋体" w:eastAsia="宋体" w:cs="宋体"/>
                <w:color w:val="auto"/>
                <w:highlight w:val="none"/>
              </w:rPr>
            </w:pPr>
          </w:p>
        </w:tc>
        <w:tc>
          <w:tcPr>
            <w:tcW w:w="667" w:type="dxa"/>
            <w:vAlign w:val="center"/>
          </w:tcPr>
          <w:p w14:paraId="04E5FA25">
            <w:pPr>
              <w:jc w:val="center"/>
              <w:rPr>
                <w:rFonts w:hint="eastAsia" w:ascii="宋体" w:hAnsi="宋体" w:eastAsia="宋体" w:cs="宋体"/>
                <w:color w:val="auto"/>
                <w:highlight w:val="none"/>
              </w:rPr>
            </w:pPr>
          </w:p>
        </w:tc>
        <w:tc>
          <w:tcPr>
            <w:tcW w:w="720" w:type="dxa"/>
            <w:vAlign w:val="center"/>
          </w:tcPr>
          <w:p w14:paraId="4B5A58D9">
            <w:pPr>
              <w:jc w:val="center"/>
              <w:rPr>
                <w:rFonts w:hint="eastAsia" w:ascii="宋体" w:hAnsi="宋体" w:eastAsia="宋体" w:cs="宋体"/>
                <w:color w:val="auto"/>
                <w:highlight w:val="none"/>
              </w:rPr>
            </w:pPr>
          </w:p>
        </w:tc>
        <w:tc>
          <w:tcPr>
            <w:tcW w:w="900" w:type="dxa"/>
            <w:vAlign w:val="center"/>
          </w:tcPr>
          <w:p w14:paraId="02541A70">
            <w:pPr>
              <w:jc w:val="center"/>
              <w:rPr>
                <w:rFonts w:hint="eastAsia" w:ascii="宋体" w:hAnsi="宋体" w:eastAsia="宋体" w:cs="宋体"/>
                <w:color w:val="auto"/>
                <w:highlight w:val="none"/>
              </w:rPr>
            </w:pPr>
          </w:p>
        </w:tc>
        <w:tc>
          <w:tcPr>
            <w:tcW w:w="1080" w:type="dxa"/>
            <w:vAlign w:val="center"/>
          </w:tcPr>
          <w:p w14:paraId="397181A4">
            <w:pPr>
              <w:jc w:val="center"/>
              <w:rPr>
                <w:rFonts w:hint="eastAsia" w:ascii="宋体" w:hAnsi="宋体" w:eastAsia="宋体" w:cs="宋体"/>
                <w:color w:val="auto"/>
                <w:highlight w:val="none"/>
              </w:rPr>
            </w:pPr>
          </w:p>
        </w:tc>
        <w:tc>
          <w:tcPr>
            <w:tcW w:w="1440" w:type="dxa"/>
            <w:vAlign w:val="center"/>
          </w:tcPr>
          <w:p w14:paraId="745B183B">
            <w:pPr>
              <w:jc w:val="center"/>
              <w:rPr>
                <w:rFonts w:hint="eastAsia" w:ascii="宋体" w:hAnsi="宋体" w:eastAsia="宋体" w:cs="宋体"/>
                <w:color w:val="auto"/>
                <w:highlight w:val="none"/>
              </w:rPr>
            </w:pPr>
          </w:p>
        </w:tc>
        <w:tc>
          <w:tcPr>
            <w:tcW w:w="2880" w:type="dxa"/>
            <w:vAlign w:val="center"/>
          </w:tcPr>
          <w:p w14:paraId="2CB7C5C5">
            <w:pPr>
              <w:jc w:val="center"/>
              <w:rPr>
                <w:rFonts w:hint="eastAsia" w:ascii="宋体" w:hAnsi="宋体" w:eastAsia="宋体" w:cs="宋体"/>
                <w:color w:val="auto"/>
                <w:highlight w:val="none"/>
              </w:rPr>
            </w:pPr>
          </w:p>
        </w:tc>
      </w:tr>
      <w:tr w14:paraId="35CA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070F7ED4">
            <w:pPr>
              <w:jc w:val="center"/>
              <w:rPr>
                <w:rFonts w:hint="eastAsia" w:ascii="宋体" w:hAnsi="宋体" w:eastAsia="宋体" w:cs="宋体"/>
                <w:color w:val="auto"/>
                <w:highlight w:val="none"/>
              </w:rPr>
            </w:pPr>
          </w:p>
        </w:tc>
        <w:tc>
          <w:tcPr>
            <w:tcW w:w="1313" w:type="dxa"/>
            <w:vAlign w:val="center"/>
          </w:tcPr>
          <w:p w14:paraId="5B9746E0">
            <w:pPr>
              <w:jc w:val="center"/>
              <w:rPr>
                <w:rFonts w:hint="eastAsia" w:ascii="宋体" w:hAnsi="宋体" w:eastAsia="宋体" w:cs="宋体"/>
                <w:color w:val="auto"/>
                <w:highlight w:val="none"/>
              </w:rPr>
            </w:pPr>
          </w:p>
        </w:tc>
        <w:tc>
          <w:tcPr>
            <w:tcW w:w="667" w:type="dxa"/>
            <w:vAlign w:val="center"/>
          </w:tcPr>
          <w:p w14:paraId="6727A949">
            <w:pPr>
              <w:jc w:val="center"/>
              <w:rPr>
                <w:rFonts w:hint="eastAsia" w:ascii="宋体" w:hAnsi="宋体" w:eastAsia="宋体" w:cs="宋体"/>
                <w:color w:val="auto"/>
                <w:highlight w:val="none"/>
              </w:rPr>
            </w:pPr>
          </w:p>
        </w:tc>
        <w:tc>
          <w:tcPr>
            <w:tcW w:w="720" w:type="dxa"/>
            <w:vAlign w:val="center"/>
          </w:tcPr>
          <w:p w14:paraId="1FED60B5">
            <w:pPr>
              <w:jc w:val="center"/>
              <w:rPr>
                <w:rFonts w:hint="eastAsia" w:ascii="宋体" w:hAnsi="宋体" w:eastAsia="宋体" w:cs="宋体"/>
                <w:color w:val="auto"/>
                <w:highlight w:val="none"/>
              </w:rPr>
            </w:pPr>
          </w:p>
        </w:tc>
        <w:tc>
          <w:tcPr>
            <w:tcW w:w="900" w:type="dxa"/>
            <w:vAlign w:val="center"/>
          </w:tcPr>
          <w:p w14:paraId="6011E129">
            <w:pPr>
              <w:jc w:val="center"/>
              <w:rPr>
                <w:rFonts w:hint="eastAsia" w:ascii="宋体" w:hAnsi="宋体" w:eastAsia="宋体" w:cs="宋体"/>
                <w:color w:val="auto"/>
                <w:highlight w:val="none"/>
              </w:rPr>
            </w:pPr>
          </w:p>
        </w:tc>
        <w:tc>
          <w:tcPr>
            <w:tcW w:w="1080" w:type="dxa"/>
            <w:vAlign w:val="center"/>
          </w:tcPr>
          <w:p w14:paraId="6A53315C">
            <w:pPr>
              <w:jc w:val="center"/>
              <w:rPr>
                <w:rFonts w:hint="eastAsia" w:ascii="宋体" w:hAnsi="宋体" w:eastAsia="宋体" w:cs="宋体"/>
                <w:color w:val="auto"/>
                <w:highlight w:val="none"/>
              </w:rPr>
            </w:pPr>
          </w:p>
        </w:tc>
        <w:tc>
          <w:tcPr>
            <w:tcW w:w="1440" w:type="dxa"/>
            <w:vAlign w:val="center"/>
          </w:tcPr>
          <w:p w14:paraId="4AE29CAA">
            <w:pPr>
              <w:jc w:val="center"/>
              <w:rPr>
                <w:rFonts w:hint="eastAsia" w:ascii="宋体" w:hAnsi="宋体" w:eastAsia="宋体" w:cs="宋体"/>
                <w:color w:val="auto"/>
                <w:highlight w:val="none"/>
              </w:rPr>
            </w:pPr>
          </w:p>
        </w:tc>
        <w:tc>
          <w:tcPr>
            <w:tcW w:w="2880" w:type="dxa"/>
            <w:vAlign w:val="center"/>
          </w:tcPr>
          <w:p w14:paraId="789B6525">
            <w:pPr>
              <w:jc w:val="center"/>
              <w:rPr>
                <w:rFonts w:hint="eastAsia" w:ascii="宋体" w:hAnsi="宋体" w:eastAsia="宋体" w:cs="宋体"/>
                <w:color w:val="auto"/>
                <w:highlight w:val="none"/>
              </w:rPr>
            </w:pPr>
          </w:p>
        </w:tc>
      </w:tr>
      <w:tr w14:paraId="1371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3D4C510B">
            <w:pPr>
              <w:jc w:val="center"/>
              <w:rPr>
                <w:rFonts w:hint="eastAsia" w:ascii="宋体" w:hAnsi="宋体" w:eastAsia="宋体" w:cs="宋体"/>
                <w:color w:val="auto"/>
                <w:highlight w:val="none"/>
              </w:rPr>
            </w:pPr>
          </w:p>
        </w:tc>
        <w:tc>
          <w:tcPr>
            <w:tcW w:w="1313" w:type="dxa"/>
            <w:vAlign w:val="center"/>
          </w:tcPr>
          <w:p w14:paraId="325138ED">
            <w:pPr>
              <w:jc w:val="center"/>
              <w:rPr>
                <w:rFonts w:hint="eastAsia" w:ascii="宋体" w:hAnsi="宋体" w:eastAsia="宋体" w:cs="宋体"/>
                <w:color w:val="auto"/>
                <w:highlight w:val="none"/>
              </w:rPr>
            </w:pPr>
          </w:p>
        </w:tc>
        <w:tc>
          <w:tcPr>
            <w:tcW w:w="667" w:type="dxa"/>
            <w:vAlign w:val="center"/>
          </w:tcPr>
          <w:p w14:paraId="0D6BAA0B">
            <w:pPr>
              <w:jc w:val="center"/>
              <w:rPr>
                <w:rFonts w:hint="eastAsia" w:ascii="宋体" w:hAnsi="宋体" w:eastAsia="宋体" w:cs="宋体"/>
                <w:color w:val="auto"/>
                <w:highlight w:val="none"/>
              </w:rPr>
            </w:pPr>
          </w:p>
        </w:tc>
        <w:tc>
          <w:tcPr>
            <w:tcW w:w="720" w:type="dxa"/>
            <w:vAlign w:val="center"/>
          </w:tcPr>
          <w:p w14:paraId="53233676">
            <w:pPr>
              <w:jc w:val="center"/>
              <w:rPr>
                <w:rFonts w:hint="eastAsia" w:ascii="宋体" w:hAnsi="宋体" w:eastAsia="宋体" w:cs="宋体"/>
                <w:color w:val="auto"/>
                <w:highlight w:val="none"/>
              </w:rPr>
            </w:pPr>
          </w:p>
        </w:tc>
        <w:tc>
          <w:tcPr>
            <w:tcW w:w="900" w:type="dxa"/>
            <w:vAlign w:val="center"/>
          </w:tcPr>
          <w:p w14:paraId="6116D4B2">
            <w:pPr>
              <w:jc w:val="center"/>
              <w:rPr>
                <w:rFonts w:hint="eastAsia" w:ascii="宋体" w:hAnsi="宋体" w:eastAsia="宋体" w:cs="宋体"/>
                <w:color w:val="auto"/>
                <w:highlight w:val="none"/>
              </w:rPr>
            </w:pPr>
          </w:p>
        </w:tc>
        <w:tc>
          <w:tcPr>
            <w:tcW w:w="1080" w:type="dxa"/>
            <w:vAlign w:val="center"/>
          </w:tcPr>
          <w:p w14:paraId="699D7370">
            <w:pPr>
              <w:jc w:val="center"/>
              <w:rPr>
                <w:rFonts w:hint="eastAsia" w:ascii="宋体" w:hAnsi="宋体" w:eastAsia="宋体" w:cs="宋体"/>
                <w:color w:val="auto"/>
                <w:highlight w:val="none"/>
              </w:rPr>
            </w:pPr>
          </w:p>
        </w:tc>
        <w:tc>
          <w:tcPr>
            <w:tcW w:w="1440" w:type="dxa"/>
            <w:vAlign w:val="center"/>
          </w:tcPr>
          <w:p w14:paraId="1A7F2B7A">
            <w:pPr>
              <w:jc w:val="center"/>
              <w:rPr>
                <w:rFonts w:hint="eastAsia" w:ascii="宋体" w:hAnsi="宋体" w:eastAsia="宋体" w:cs="宋体"/>
                <w:color w:val="auto"/>
                <w:highlight w:val="none"/>
              </w:rPr>
            </w:pPr>
          </w:p>
        </w:tc>
        <w:tc>
          <w:tcPr>
            <w:tcW w:w="2880" w:type="dxa"/>
            <w:vAlign w:val="center"/>
          </w:tcPr>
          <w:p w14:paraId="486C4F3D">
            <w:pPr>
              <w:jc w:val="center"/>
              <w:rPr>
                <w:rFonts w:hint="eastAsia" w:ascii="宋体" w:hAnsi="宋体" w:eastAsia="宋体" w:cs="宋体"/>
                <w:color w:val="auto"/>
                <w:highlight w:val="none"/>
              </w:rPr>
            </w:pPr>
          </w:p>
        </w:tc>
      </w:tr>
      <w:tr w14:paraId="7B4E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3A99E5C0">
            <w:pPr>
              <w:jc w:val="center"/>
              <w:rPr>
                <w:rFonts w:hint="eastAsia" w:ascii="宋体" w:hAnsi="宋体" w:eastAsia="宋体" w:cs="宋体"/>
                <w:color w:val="auto"/>
                <w:highlight w:val="none"/>
              </w:rPr>
            </w:pPr>
          </w:p>
        </w:tc>
        <w:tc>
          <w:tcPr>
            <w:tcW w:w="1313" w:type="dxa"/>
            <w:vAlign w:val="center"/>
          </w:tcPr>
          <w:p w14:paraId="5D4902A5">
            <w:pPr>
              <w:jc w:val="center"/>
              <w:rPr>
                <w:rFonts w:hint="eastAsia" w:ascii="宋体" w:hAnsi="宋体" w:eastAsia="宋体" w:cs="宋体"/>
                <w:color w:val="auto"/>
                <w:highlight w:val="none"/>
              </w:rPr>
            </w:pPr>
          </w:p>
        </w:tc>
        <w:tc>
          <w:tcPr>
            <w:tcW w:w="667" w:type="dxa"/>
            <w:vAlign w:val="center"/>
          </w:tcPr>
          <w:p w14:paraId="70E78A80">
            <w:pPr>
              <w:jc w:val="center"/>
              <w:rPr>
                <w:rFonts w:hint="eastAsia" w:ascii="宋体" w:hAnsi="宋体" w:eastAsia="宋体" w:cs="宋体"/>
                <w:color w:val="auto"/>
                <w:highlight w:val="none"/>
              </w:rPr>
            </w:pPr>
          </w:p>
        </w:tc>
        <w:tc>
          <w:tcPr>
            <w:tcW w:w="720" w:type="dxa"/>
            <w:vAlign w:val="center"/>
          </w:tcPr>
          <w:p w14:paraId="31D943B2">
            <w:pPr>
              <w:jc w:val="center"/>
              <w:rPr>
                <w:rFonts w:hint="eastAsia" w:ascii="宋体" w:hAnsi="宋体" w:eastAsia="宋体" w:cs="宋体"/>
                <w:color w:val="auto"/>
                <w:highlight w:val="none"/>
              </w:rPr>
            </w:pPr>
          </w:p>
        </w:tc>
        <w:tc>
          <w:tcPr>
            <w:tcW w:w="900" w:type="dxa"/>
            <w:vAlign w:val="center"/>
          </w:tcPr>
          <w:p w14:paraId="044860A0">
            <w:pPr>
              <w:jc w:val="center"/>
              <w:rPr>
                <w:rFonts w:hint="eastAsia" w:ascii="宋体" w:hAnsi="宋体" w:eastAsia="宋体" w:cs="宋体"/>
                <w:color w:val="auto"/>
                <w:highlight w:val="none"/>
              </w:rPr>
            </w:pPr>
          </w:p>
        </w:tc>
        <w:tc>
          <w:tcPr>
            <w:tcW w:w="1080" w:type="dxa"/>
            <w:vAlign w:val="center"/>
          </w:tcPr>
          <w:p w14:paraId="41EBEFAE">
            <w:pPr>
              <w:jc w:val="center"/>
              <w:rPr>
                <w:rFonts w:hint="eastAsia" w:ascii="宋体" w:hAnsi="宋体" w:eastAsia="宋体" w:cs="宋体"/>
                <w:color w:val="auto"/>
                <w:highlight w:val="none"/>
              </w:rPr>
            </w:pPr>
          </w:p>
        </w:tc>
        <w:tc>
          <w:tcPr>
            <w:tcW w:w="1440" w:type="dxa"/>
            <w:vAlign w:val="center"/>
          </w:tcPr>
          <w:p w14:paraId="49E9DD92">
            <w:pPr>
              <w:jc w:val="center"/>
              <w:rPr>
                <w:rFonts w:hint="eastAsia" w:ascii="宋体" w:hAnsi="宋体" w:eastAsia="宋体" w:cs="宋体"/>
                <w:color w:val="auto"/>
                <w:highlight w:val="none"/>
              </w:rPr>
            </w:pPr>
          </w:p>
        </w:tc>
        <w:tc>
          <w:tcPr>
            <w:tcW w:w="2880" w:type="dxa"/>
            <w:vAlign w:val="center"/>
          </w:tcPr>
          <w:p w14:paraId="5D790EE7">
            <w:pPr>
              <w:jc w:val="center"/>
              <w:rPr>
                <w:rFonts w:hint="eastAsia" w:ascii="宋体" w:hAnsi="宋体" w:eastAsia="宋体" w:cs="宋体"/>
                <w:color w:val="auto"/>
                <w:highlight w:val="none"/>
              </w:rPr>
            </w:pPr>
          </w:p>
        </w:tc>
      </w:tr>
      <w:tr w14:paraId="743F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50DCE89B">
            <w:pPr>
              <w:jc w:val="center"/>
              <w:rPr>
                <w:rFonts w:hint="eastAsia" w:ascii="宋体" w:hAnsi="宋体" w:eastAsia="宋体" w:cs="宋体"/>
                <w:color w:val="auto"/>
                <w:highlight w:val="none"/>
              </w:rPr>
            </w:pPr>
          </w:p>
        </w:tc>
        <w:tc>
          <w:tcPr>
            <w:tcW w:w="1313" w:type="dxa"/>
            <w:vAlign w:val="center"/>
          </w:tcPr>
          <w:p w14:paraId="221EFDFF">
            <w:pPr>
              <w:jc w:val="center"/>
              <w:rPr>
                <w:rFonts w:hint="eastAsia" w:ascii="宋体" w:hAnsi="宋体" w:eastAsia="宋体" w:cs="宋体"/>
                <w:color w:val="auto"/>
                <w:highlight w:val="none"/>
              </w:rPr>
            </w:pPr>
          </w:p>
        </w:tc>
        <w:tc>
          <w:tcPr>
            <w:tcW w:w="667" w:type="dxa"/>
            <w:vAlign w:val="center"/>
          </w:tcPr>
          <w:p w14:paraId="709706F2">
            <w:pPr>
              <w:jc w:val="center"/>
              <w:rPr>
                <w:rFonts w:hint="eastAsia" w:ascii="宋体" w:hAnsi="宋体" w:eastAsia="宋体" w:cs="宋体"/>
                <w:color w:val="auto"/>
                <w:highlight w:val="none"/>
              </w:rPr>
            </w:pPr>
          </w:p>
        </w:tc>
        <w:tc>
          <w:tcPr>
            <w:tcW w:w="720" w:type="dxa"/>
            <w:vAlign w:val="center"/>
          </w:tcPr>
          <w:p w14:paraId="3D24189B">
            <w:pPr>
              <w:jc w:val="center"/>
              <w:rPr>
                <w:rFonts w:hint="eastAsia" w:ascii="宋体" w:hAnsi="宋体" w:eastAsia="宋体" w:cs="宋体"/>
                <w:color w:val="auto"/>
                <w:highlight w:val="none"/>
              </w:rPr>
            </w:pPr>
          </w:p>
        </w:tc>
        <w:tc>
          <w:tcPr>
            <w:tcW w:w="900" w:type="dxa"/>
            <w:vAlign w:val="center"/>
          </w:tcPr>
          <w:p w14:paraId="7C6B7FA8">
            <w:pPr>
              <w:jc w:val="center"/>
              <w:rPr>
                <w:rFonts w:hint="eastAsia" w:ascii="宋体" w:hAnsi="宋体" w:eastAsia="宋体" w:cs="宋体"/>
                <w:color w:val="auto"/>
                <w:highlight w:val="none"/>
              </w:rPr>
            </w:pPr>
          </w:p>
        </w:tc>
        <w:tc>
          <w:tcPr>
            <w:tcW w:w="1080" w:type="dxa"/>
            <w:vAlign w:val="center"/>
          </w:tcPr>
          <w:p w14:paraId="2CBBCEB7">
            <w:pPr>
              <w:jc w:val="center"/>
              <w:rPr>
                <w:rFonts w:hint="eastAsia" w:ascii="宋体" w:hAnsi="宋体" w:eastAsia="宋体" w:cs="宋体"/>
                <w:color w:val="auto"/>
                <w:highlight w:val="none"/>
              </w:rPr>
            </w:pPr>
          </w:p>
        </w:tc>
        <w:tc>
          <w:tcPr>
            <w:tcW w:w="1440" w:type="dxa"/>
            <w:vAlign w:val="center"/>
          </w:tcPr>
          <w:p w14:paraId="78BF7CBE">
            <w:pPr>
              <w:jc w:val="center"/>
              <w:rPr>
                <w:rFonts w:hint="eastAsia" w:ascii="宋体" w:hAnsi="宋体" w:eastAsia="宋体" w:cs="宋体"/>
                <w:color w:val="auto"/>
                <w:highlight w:val="none"/>
              </w:rPr>
            </w:pPr>
          </w:p>
        </w:tc>
        <w:tc>
          <w:tcPr>
            <w:tcW w:w="2880" w:type="dxa"/>
            <w:vAlign w:val="center"/>
          </w:tcPr>
          <w:p w14:paraId="2E069D87">
            <w:pPr>
              <w:jc w:val="center"/>
              <w:rPr>
                <w:rFonts w:hint="eastAsia" w:ascii="宋体" w:hAnsi="宋体" w:eastAsia="宋体" w:cs="宋体"/>
                <w:color w:val="auto"/>
                <w:highlight w:val="none"/>
              </w:rPr>
            </w:pPr>
          </w:p>
        </w:tc>
      </w:tr>
      <w:tr w14:paraId="53E2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2A2BF2B1">
            <w:pPr>
              <w:jc w:val="center"/>
              <w:rPr>
                <w:rFonts w:hint="eastAsia" w:ascii="宋体" w:hAnsi="宋体" w:eastAsia="宋体" w:cs="宋体"/>
                <w:color w:val="auto"/>
                <w:highlight w:val="none"/>
              </w:rPr>
            </w:pPr>
          </w:p>
        </w:tc>
        <w:tc>
          <w:tcPr>
            <w:tcW w:w="1313" w:type="dxa"/>
            <w:vAlign w:val="center"/>
          </w:tcPr>
          <w:p w14:paraId="2E469713">
            <w:pPr>
              <w:jc w:val="center"/>
              <w:rPr>
                <w:rFonts w:hint="eastAsia" w:ascii="宋体" w:hAnsi="宋体" w:eastAsia="宋体" w:cs="宋体"/>
                <w:color w:val="auto"/>
                <w:highlight w:val="none"/>
              </w:rPr>
            </w:pPr>
          </w:p>
        </w:tc>
        <w:tc>
          <w:tcPr>
            <w:tcW w:w="667" w:type="dxa"/>
            <w:vAlign w:val="center"/>
          </w:tcPr>
          <w:p w14:paraId="46FE348C">
            <w:pPr>
              <w:jc w:val="center"/>
              <w:rPr>
                <w:rFonts w:hint="eastAsia" w:ascii="宋体" w:hAnsi="宋体" w:eastAsia="宋体" w:cs="宋体"/>
                <w:color w:val="auto"/>
                <w:highlight w:val="none"/>
              </w:rPr>
            </w:pPr>
          </w:p>
        </w:tc>
        <w:tc>
          <w:tcPr>
            <w:tcW w:w="720" w:type="dxa"/>
            <w:vAlign w:val="center"/>
          </w:tcPr>
          <w:p w14:paraId="763E8F6A">
            <w:pPr>
              <w:jc w:val="center"/>
              <w:rPr>
                <w:rFonts w:hint="eastAsia" w:ascii="宋体" w:hAnsi="宋体" w:eastAsia="宋体" w:cs="宋体"/>
                <w:color w:val="auto"/>
                <w:highlight w:val="none"/>
              </w:rPr>
            </w:pPr>
          </w:p>
        </w:tc>
        <w:tc>
          <w:tcPr>
            <w:tcW w:w="900" w:type="dxa"/>
            <w:vAlign w:val="center"/>
          </w:tcPr>
          <w:p w14:paraId="1C414D15">
            <w:pPr>
              <w:jc w:val="center"/>
              <w:rPr>
                <w:rFonts w:hint="eastAsia" w:ascii="宋体" w:hAnsi="宋体" w:eastAsia="宋体" w:cs="宋体"/>
                <w:color w:val="auto"/>
                <w:highlight w:val="none"/>
              </w:rPr>
            </w:pPr>
          </w:p>
        </w:tc>
        <w:tc>
          <w:tcPr>
            <w:tcW w:w="1080" w:type="dxa"/>
            <w:vAlign w:val="center"/>
          </w:tcPr>
          <w:p w14:paraId="466273AD">
            <w:pPr>
              <w:jc w:val="center"/>
              <w:rPr>
                <w:rFonts w:hint="eastAsia" w:ascii="宋体" w:hAnsi="宋体" w:eastAsia="宋体" w:cs="宋体"/>
                <w:color w:val="auto"/>
                <w:highlight w:val="none"/>
              </w:rPr>
            </w:pPr>
          </w:p>
        </w:tc>
        <w:tc>
          <w:tcPr>
            <w:tcW w:w="1440" w:type="dxa"/>
            <w:vAlign w:val="center"/>
          </w:tcPr>
          <w:p w14:paraId="3713EDAF">
            <w:pPr>
              <w:jc w:val="center"/>
              <w:rPr>
                <w:rFonts w:hint="eastAsia" w:ascii="宋体" w:hAnsi="宋体" w:eastAsia="宋体" w:cs="宋体"/>
                <w:color w:val="auto"/>
                <w:highlight w:val="none"/>
              </w:rPr>
            </w:pPr>
          </w:p>
        </w:tc>
        <w:tc>
          <w:tcPr>
            <w:tcW w:w="2880" w:type="dxa"/>
            <w:vAlign w:val="center"/>
          </w:tcPr>
          <w:p w14:paraId="0FDF64EC">
            <w:pPr>
              <w:jc w:val="center"/>
              <w:rPr>
                <w:rFonts w:hint="eastAsia" w:ascii="宋体" w:hAnsi="宋体" w:eastAsia="宋体" w:cs="宋体"/>
                <w:color w:val="auto"/>
                <w:highlight w:val="none"/>
              </w:rPr>
            </w:pPr>
          </w:p>
        </w:tc>
      </w:tr>
      <w:tr w14:paraId="475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5F26ACB7">
            <w:pPr>
              <w:jc w:val="center"/>
              <w:rPr>
                <w:rFonts w:hint="eastAsia" w:ascii="宋体" w:hAnsi="宋体" w:eastAsia="宋体" w:cs="宋体"/>
                <w:color w:val="auto"/>
                <w:highlight w:val="none"/>
              </w:rPr>
            </w:pPr>
          </w:p>
        </w:tc>
        <w:tc>
          <w:tcPr>
            <w:tcW w:w="1313" w:type="dxa"/>
            <w:vAlign w:val="center"/>
          </w:tcPr>
          <w:p w14:paraId="6EBAF2E8">
            <w:pPr>
              <w:jc w:val="center"/>
              <w:rPr>
                <w:rFonts w:hint="eastAsia" w:ascii="宋体" w:hAnsi="宋体" w:eastAsia="宋体" w:cs="宋体"/>
                <w:color w:val="auto"/>
                <w:highlight w:val="none"/>
              </w:rPr>
            </w:pPr>
          </w:p>
        </w:tc>
        <w:tc>
          <w:tcPr>
            <w:tcW w:w="667" w:type="dxa"/>
            <w:vAlign w:val="center"/>
          </w:tcPr>
          <w:p w14:paraId="7672EF6A">
            <w:pPr>
              <w:jc w:val="center"/>
              <w:rPr>
                <w:rFonts w:hint="eastAsia" w:ascii="宋体" w:hAnsi="宋体" w:eastAsia="宋体" w:cs="宋体"/>
                <w:color w:val="auto"/>
                <w:highlight w:val="none"/>
              </w:rPr>
            </w:pPr>
          </w:p>
        </w:tc>
        <w:tc>
          <w:tcPr>
            <w:tcW w:w="720" w:type="dxa"/>
            <w:vAlign w:val="center"/>
          </w:tcPr>
          <w:p w14:paraId="0763F0AF">
            <w:pPr>
              <w:jc w:val="center"/>
              <w:rPr>
                <w:rFonts w:hint="eastAsia" w:ascii="宋体" w:hAnsi="宋体" w:eastAsia="宋体" w:cs="宋体"/>
                <w:color w:val="auto"/>
                <w:highlight w:val="none"/>
              </w:rPr>
            </w:pPr>
          </w:p>
        </w:tc>
        <w:tc>
          <w:tcPr>
            <w:tcW w:w="900" w:type="dxa"/>
            <w:vAlign w:val="center"/>
          </w:tcPr>
          <w:p w14:paraId="050DB8A5">
            <w:pPr>
              <w:jc w:val="center"/>
              <w:rPr>
                <w:rFonts w:hint="eastAsia" w:ascii="宋体" w:hAnsi="宋体" w:eastAsia="宋体" w:cs="宋体"/>
                <w:color w:val="auto"/>
                <w:highlight w:val="none"/>
              </w:rPr>
            </w:pPr>
          </w:p>
        </w:tc>
        <w:tc>
          <w:tcPr>
            <w:tcW w:w="1080" w:type="dxa"/>
            <w:vAlign w:val="center"/>
          </w:tcPr>
          <w:p w14:paraId="28746583">
            <w:pPr>
              <w:jc w:val="center"/>
              <w:rPr>
                <w:rFonts w:hint="eastAsia" w:ascii="宋体" w:hAnsi="宋体" w:eastAsia="宋体" w:cs="宋体"/>
                <w:color w:val="auto"/>
                <w:highlight w:val="none"/>
              </w:rPr>
            </w:pPr>
          </w:p>
        </w:tc>
        <w:tc>
          <w:tcPr>
            <w:tcW w:w="1440" w:type="dxa"/>
            <w:vAlign w:val="center"/>
          </w:tcPr>
          <w:p w14:paraId="3E3DDD5A">
            <w:pPr>
              <w:jc w:val="center"/>
              <w:rPr>
                <w:rFonts w:hint="eastAsia" w:ascii="宋体" w:hAnsi="宋体" w:eastAsia="宋体" w:cs="宋体"/>
                <w:color w:val="auto"/>
                <w:highlight w:val="none"/>
              </w:rPr>
            </w:pPr>
          </w:p>
        </w:tc>
        <w:tc>
          <w:tcPr>
            <w:tcW w:w="2880" w:type="dxa"/>
            <w:vAlign w:val="center"/>
          </w:tcPr>
          <w:p w14:paraId="461A9B0A">
            <w:pPr>
              <w:jc w:val="center"/>
              <w:rPr>
                <w:rFonts w:hint="eastAsia" w:ascii="宋体" w:hAnsi="宋体" w:eastAsia="宋体" w:cs="宋体"/>
                <w:color w:val="auto"/>
                <w:highlight w:val="none"/>
              </w:rPr>
            </w:pPr>
          </w:p>
        </w:tc>
      </w:tr>
      <w:tr w14:paraId="7512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3CF163FA">
            <w:pPr>
              <w:jc w:val="center"/>
              <w:rPr>
                <w:rFonts w:hint="eastAsia" w:ascii="宋体" w:hAnsi="宋体" w:eastAsia="宋体" w:cs="宋体"/>
                <w:color w:val="auto"/>
                <w:highlight w:val="none"/>
              </w:rPr>
            </w:pPr>
          </w:p>
        </w:tc>
        <w:tc>
          <w:tcPr>
            <w:tcW w:w="1313" w:type="dxa"/>
            <w:vAlign w:val="center"/>
          </w:tcPr>
          <w:p w14:paraId="6AF48251">
            <w:pPr>
              <w:jc w:val="center"/>
              <w:rPr>
                <w:rFonts w:hint="eastAsia" w:ascii="宋体" w:hAnsi="宋体" w:eastAsia="宋体" w:cs="宋体"/>
                <w:color w:val="auto"/>
                <w:highlight w:val="none"/>
              </w:rPr>
            </w:pPr>
          </w:p>
        </w:tc>
        <w:tc>
          <w:tcPr>
            <w:tcW w:w="667" w:type="dxa"/>
            <w:vAlign w:val="center"/>
          </w:tcPr>
          <w:p w14:paraId="3A86F217">
            <w:pPr>
              <w:jc w:val="center"/>
              <w:rPr>
                <w:rFonts w:hint="eastAsia" w:ascii="宋体" w:hAnsi="宋体" w:eastAsia="宋体" w:cs="宋体"/>
                <w:color w:val="auto"/>
                <w:highlight w:val="none"/>
              </w:rPr>
            </w:pPr>
          </w:p>
        </w:tc>
        <w:tc>
          <w:tcPr>
            <w:tcW w:w="720" w:type="dxa"/>
            <w:vAlign w:val="center"/>
          </w:tcPr>
          <w:p w14:paraId="4CD66FCA">
            <w:pPr>
              <w:jc w:val="center"/>
              <w:rPr>
                <w:rFonts w:hint="eastAsia" w:ascii="宋体" w:hAnsi="宋体" w:eastAsia="宋体" w:cs="宋体"/>
                <w:color w:val="auto"/>
                <w:highlight w:val="none"/>
              </w:rPr>
            </w:pPr>
          </w:p>
        </w:tc>
        <w:tc>
          <w:tcPr>
            <w:tcW w:w="900" w:type="dxa"/>
            <w:vAlign w:val="center"/>
          </w:tcPr>
          <w:p w14:paraId="5A67D812">
            <w:pPr>
              <w:jc w:val="center"/>
              <w:rPr>
                <w:rFonts w:hint="eastAsia" w:ascii="宋体" w:hAnsi="宋体" w:eastAsia="宋体" w:cs="宋体"/>
                <w:color w:val="auto"/>
                <w:highlight w:val="none"/>
              </w:rPr>
            </w:pPr>
          </w:p>
        </w:tc>
        <w:tc>
          <w:tcPr>
            <w:tcW w:w="1080" w:type="dxa"/>
            <w:vAlign w:val="center"/>
          </w:tcPr>
          <w:p w14:paraId="40D71AC5">
            <w:pPr>
              <w:jc w:val="center"/>
              <w:rPr>
                <w:rFonts w:hint="eastAsia" w:ascii="宋体" w:hAnsi="宋体" w:eastAsia="宋体" w:cs="宋体"/>
                <w:color w:val="auto"/>
                <w:highlight w:val="none"/>
              </w:rPr>
            </w:pPr>
          </w:p>
        </w:tc>
        <w:tc>
          <w:tcPr>
            <w:tcW w:w="1440" w:type="dxa"/>
            <w:vAlign w:val="center"/>
          </w:tcPr>
          <w:p w14:paraId="0B036063">
            <w:pPr>
              <w:jc w:val="center"/>
              <w:rPr>
                <w:rFonts w:hint="eastAsia" w:ascii="宋体" w:hAnsi="宋体" w:eastAsia="宋体" w:cs="宋体"/>
                <w:color w:val="auto"/>
                <w:highlight w:val="none"/>
              </w:rPr>
            </w:pPr>
          </w:p>
        </w:tc>
        <w:tc>
          <w:tcPr>
            <w:tcW w:w="2880" w:type="dxa"/>
            <w:vAlign w:val="center"/>
          </w:tcPr>
          <w:p w14:paraId="52AC9F19">
            <w:pPr>
              <w:jc w:val="center"/>
              <w:rPr>
                <w:rFonts w:hint="eastAsia" w:ascii="宋体" w:hAnsi="宋体" w:eastAsia="宋体" w:cs="宋体"/>
                <w:color w:val="auto"/>
                <w:highlight w:val="none"/>
              </w:rPr>
            </w:pPr>
          </w:p>
        </w:tc>
      </w:tr>
      <w:tr w14:paraId="5F03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11CAB2E4">
            <w:pPr>
              <w:jc w:val="center"/>
              <w:rPr>
                <w:rFonts w:hint="eastAsia" w:ascii="宋体" w:hAnsi="宋体" w:eastAsia="宋体" w:cs="宋体"/>
                <w:color w:val="auto"/>
                <w:highlight w:val="none"/>
              </w:rPr>
            </w:pPr>
          </w:p>
        </w:tc>
        <w:tc>
          <w:tcPr>
            <w:tcW w:w="1313" w:type="dxa"/>
            <w:vAlign w:val="center"/>
          </w:tcPr>
          <w:p w14:paraId="57FC3647">
            <w:pPr>
              <w:jc w:val="center"/>
              <w:rPr>
                <w:rFonts w:hint="eastAsia" w:ascii="宋体" w:hAnsi="宋体" w:eastAsia="宋体" w:cs="宋体"/>
                <w:color w:val="auto"/>
                <w:highlight w:val="none"/>
              </w:rPr>
            </w:pPr>
          </w:p>
        </w:tc>
        <w:tc>
          <w:tcPr>
            <w:tcW w:w="667" w:type="dxa"/>
            <w:vAlign w:val="center"/>
          </w:tcPr>
          <w:p w14:paraId="6ABE54DE">
            <w:pPr>
              <w:jc w:val="center"/>
              <w:rPr>
                <w:rFonts w:hint="eastAsia" w:ascii="宋体" w:hAnsi="宋体" w:eastAsia="宋体" w:cs="宋体"/>
                <w:color w:val="auto"/>
                <w:highlight w:val="none"/>
              </w:rPr>
            </w:pPr>
          </w:p>
        </w:tc>
        <w:tc>
          <w:tcPr>
            <w:tcW w:w="720" w:type="dxa"/>
            <w:vAlign w:val="center"/>
          </w:tcPr>
          <w:p w14:paraId="37AE9E56">
            <w:pPr>
              <w:jc w:val="center"/>
              <w:rPr>
                <w:rFonts w:hint="eastAsia" w:ascii="宋体" w:hAnsi="宋体" w:eastAsia="宋体" w:cs="宋体"/>
                <w:color w:val="auto"/>
                <w:highlight w:val="none"/>
              </w:rPr>
            </w:pPr>
          </w:p>
        </w:tc>
        <w:tc>
          <w:tcPr>
            <w:tcW w:w="900" w:type="dxa"/>
            <w:vAlign w:val="center"/>
          </w:tcPr>
          <w:p w14:paraId="39DD3AAC">
            <w:pPr>
              <w:jc w:val="center"/>
              <w:rPr>
                <w:rFonts w:hint="eastAsia" w:ascii="宋体" w:hAnsi="宋体" w:eastAsia="宋体" w:cs="宋体"/>
                <w:color w:val="auto"/>
                <w:highlight w:val="none"/>
              </w:rPr>
            </w:pPr>
          </w:p>
        </w:tc>
        <w:tc>
          <w:tcPr>
            <w:tcW w:w="1080" w:type="dxa"/>
            <w:vAlign w:val="center"/>
          </w:tcPr>
          <w:p w14:paraId="34BA4290">
            <w:pPr>
              <w:jc w:val="center"/>
              <w:rPr>
                <w:rFonts w:hint="eastAsia" w:ascii="宋体" w:hAnsi="宋体" w:eastAsia="宋体" w:cs="宋体"/>
                <w:color w:val="auto"/>
                <w:highlight w:val="none"/>
              </w:rPr>
            </w:pPr>
          </w:p>
        </w:tc>
        <w:tc>
          <w:tcPr>
            <w:tcW w:w="1440" w:type="dxa"/>
            <w:vAlign w:val="center"/>
          </w:tcPr>
          <w:p w14:paraId="494E63E9">
            <w:pPr>
              <w:jc w:val="center"/>
              <w:rPr>
                <w:rFonts w:hint="eastAsia" w:ascii="宋体" w:hAnsi="宋体" w:eastAsia="宋体" w:cs="宋体"/>
                <w:color w:val="auto"/>
                <w:highlight w:val="none"/>
              </w:rPr>
            </w:pPr>
          </w:p>
        </w:tc>
        <w:tc>
          <w:tcPr>
            <w:tcW w:w="2880" w:type="dxa"/>
            <w:vAlign w:val="center"/>
          </w:tcPr>
          <w:p w14:paraId="531ED9C2">
            <w:pPr>
              <w:jc w:val="center"/>
              <w:rPr>
                <w:rFonts w:hint="eastAsia" w:ascii="宋体" w:hAnsi="宋体" w:eastAsia="宋体" w:cs="宋体"/>
                <w:color w:val="auto"/>
                <w:highlight w:val="none"/>
              </w:rPr>
            </w:pPr>
          </w:p>
        </w:tc>
      </w:tr>
      <w:tr w14:paraId="4D0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0" w:type="dxa"/>
            <w:vAlign w:val="center"/>
          </w:tcPr>
          <w:p w14:paraId="2FBF990B">
            <w:pPr>
              <w:jc w:val="center"/>
              <w:rPr>
                <w:rFonts w:hint="eastAsia" w:ascii="宋体" w:hAnsi="宋体" w:eastAsia="宋体" w:cs="宋体"/>
                <w:color w:val="auto"/>
                <w:highlight w:val="none"/>
              </w:rPr>
            </w:pPr>
          </w:p>
        </w:tc>
        <w:tc>
          <w:tcPr>
            <w:tcW w:w="1313" w:type="dxa"/>
            <w:vAlign w:val="center"/>
          </w:tcPr>
          <w:p w14:paraId="139975A3">
            <w:pPr>
              <w:jc w:val="center"/>
              <w:rPr>
                <w:rFonts w:hint="eastAsia" w:ascii="宋体" w:hAnsi="宋体" w:eastAsia="宋体" w:cs="宋体"/>
                <w:color w:val="auto"/>
                <w:highlight w:val="none"/>
              </w:rPr>
            </w:pPr>
          </w:p>
        </w:tc>
        <w:tc>
          <w:tcPr>
            <w:tcW w:w="667" w:type="dxa"/>
            <w:vAlign w:val="center"/>
          </w:tcPr>
          <w:p w14:paraId="671C8563">
            <w:pPr>
              <w:jc w:val="center"/>
              <w:rPr>
                <w:rFonts w:hint="eastAsia" w:ascii="宋体" w:hAnsi="宋体" w:eastAsia="宋体" w:cs="宋体"/>
                <w:color w:val="auto"/>
                <w:highlight w:val="none"/>
              </w:rPr>
            </w:pPr>
          </w:p>
        </w:tc>
        <w:tc>
          <w:tcPr>
            <w:tcW w:w="720" w:type="dxa"/>
            <w:vAlign w:val="center"/>
          </w:tcPr>
          <w:p w14:paraId="5AC95050">
            <w:pPr>
              <w:jc w:val="center"/>
              <w:rPr>
                <w:rFonts w:hint="eastAsia" w:ascii="宋体" w:hAnsi="宋体" w:eastAsia="宋体" w:cs="宋体"/>
                <w:color w:val="auto"/>
                <w:highlight w:val="none"/>
              </w:rPr>
            </w:pPr>
          </w:p>
        </w:tc>
        <w:tc>
          <w:tcPr>
            <w:tcW w:w="900" w:type="dxa"/>
            <w:vAlign w:val="center"/>
          </w:tcPr>
          <w:p w14:paraId="1ECFAEBF">
            <w:pPr>
              <w:jc w:val="center"/>
              <w:rPr>
                <w:rFonts w:hint="eastAsia" w:ascii="宋体" w:hAnsi="宋体" w:eastAsia="宋体" w:cs="宋体"/>
                <w:color w:val="auto"/>
                <w:highlight w:val="none"/>
              </w:rPr>
            </w:pPr>
          </w:p>
        </w:tc>
        <w:tc>
          <w:tcPr>
            <w:tcW w:w="1080" w:type="dxa"/>
            <w:vAlign w:val="center"/>
          </w:tcPr>
          <w:p w14:paraId="2582EBE8">
            <w:pPr>
              <w:jc w:val="center"/>
              <w:rPr>
                <w:rFonts w:hint="eastAsia" w:ascii="宋体" w:hAnsi="宋体" w:eastAsia="宋体" w:cs="宋体"/>
                <w:color w:val="auto"/>
                <w:highlight w:val="none"/>
              </w:rPr>
            </w:pPr>
          </w:p>
        </w:tc>
        <w:tc>
          <w:tcPr>
            <w:tcW w:w="1440" w:type="dxa"/>
            <w:vAlign w:val="center"/>
          </w:tcPr>
          <w:p w14:paraId="0935BC2D">
            <w:pPr>
              <w:jc w:val="center"/>
              <w:rPr>
                <w:rFonts w:hint="eastAsia" w:ascii="宋体" w:hAnsi="宋体" w:eastAsia="宋体" w:cs="宋体"/>
                <w:color w:val="auto"/>
                <w:highlight w:val="none"/>
              </w:rPr>
            </w:pPr>
          </w:p>
        </w:tc>
        <w:tc>
          <w:tcPr>
            <w:tcW w:w="2880" w:type="dxa"/>
            <w:vAlign w:val="center"/>
          </w:tcPr>
          <w:p w14:paraId="657CFC5F">
            <w:pPr>
              <w:jc w:val="center"/>
              <w:rPr>
                <w:rFonts w:hint="eastAsia" w:ascii="宋体" w:hAnsi="宋体" w:eastAsia="宋体" w:cs="宋体"/>
                <w:color w:val="auto"/>
                <w:highlight w:val="none"/>
              </w:rPr>
            </w:pPr>
          </w:p>
        </w:tc>
      </w:tr>
    </w:tbl>
    <w:p w14:paraId="36C1CDE6">
      <w:pPr>
        <w:spacing w:before="156" w:beforeLines="50"/>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本表须附学历证、职业资格证、职称证书</w:t>
      </w:r>
      <w:r>
        <w:rPr>
          <w:rFonts w:hint="eastAsia" w:ascii="宋体" w:hAnsi="宋体" w:eastAsia="宋体" w:cs="宋体"/>
          <w:color w:val="auto"/>
          <w:sz w:val="22"/>
          <w:highlight w:val="none"/>
        </w:rPr>
        <w:t>等</w:t>
      </w:r>
      <w:r>
        <w:rPr>
          <w:rFonts w:hint="eastAsia" w:ascii="宋体" w:hAnsi="宋体" w:cs="宋体"/>
          <w:color w:val="auto"/>
          <w:sz w:val="22"/>
          <w:szCs w:val="22"/>
          <w:highlight w:val="none"/>
          <w:lang w:val="en-US" w:eastAsia="zh-CN"/>
        </w:rPr>
        <w:t>扫描</w:t>
      </w:r>
      <w:r>
        <w:rPr>
          <w:rFonts w:hint="eastAsia" w:ascii="宋体" w:hAnsi="宋体" w:eastAsia="宋体" w:cs="宋体"/>
          <w:color w:val="auto"/>
          <w:sz w:val="22"/>
          <w:szCs w:val="22"/>
          <w:highlight w:val="none"/>
        </w:rPr>
        <w:t>件（加盖</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公章）；</w:t>
      </w:r>
    </w:p>
    <w:p w14:paraId="35217802">
      <w:pPr>
        <w:pStyle w:val="16"/>
        <w:spacing w:line="400" w:lineRule="atLeast"/>
        <w:ind w:left="660" w:hanging="660" w:hangingChars="300"/>
        <w:rPr>
          <w:rFonts w:hint="eastAsia" w:ascii="宋体" w:hAnsi="宋体" w:eastAsia="宋体" w:cs="宋体"/>
          <w:color w:val="auto"/>
          <w:sz w:val="22"/>
          <w:highlight w:val="none"/>
        </w:rPr>
      </w:pPr>
    </w:p>
    <w:p w14:paraId="193A2802">
      <w:pPr>
        <w:spacing w:line="400" w:lineRule="exact"/>
        <w:ind w:left="5263" w:leftChars="250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2FB43ED8">
      <w:pPr>
        <w:spacing w:line="400" w:lineRule="exact"/>
        <w:ind w:firstLine="3520" w:firstLineChars="16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法定代表人或被授权人签字（或签章）：</w:t>
      </w:r>
    </w:p>
    <w:p w14:paraId="0D42394E">
      <w:pPr>
        <w:spacing w:line="380" w:lineRule="exact"/>
        <w:ind w:firstLine="5280" w:firstLineChars="2400"/>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t>日    期：</w:t>
      </w:r>
    </w:p>
    <w:p w14:paraId="51AB432C">
      <w:pPr>
        <w:adjustRightInd w:val="0"/>
        <w:snapToGrid w:val="0"/>
        <w:spacing w:line="360" w:lineRule="auto"/>
        <w:rPr>
          <w:rFonts w:hint="eastAsia" w:ascii="宋体" w:hAnsi="宋体" w:eastAsia="宋体" w:cs="宋体"/>
          <w:b/>
          <w:color w:val="auto"/>
          <w:sz w:val="32"/>
          <w:szCs w:val="32"/>
          <w:highlight w:val="none"/>
        </w:rPr>
      </w:pPr>
    </w:p>
    <w:p w14:paraId="7569A61E">
      <w:pPr>
        <w:adjustRightInd w:val="0"/>
        <w:snapToGrid w:val="0"/>
        <w:spacing w:line="360" w:lineRule="auto"/>
        <w:rPr>
          <w:rFonts w:hint="eastAsia" w:ascii="宋体" w:hAnsi="宋体" w:eastAsia="宋体" w:cs="宋体"/>
          <w:b/>
          <w:color w:val="auto"/>
          <w:sz w:val="32"/>
          <w:szCs w:val="32"/>
          <w:highlight w:val="none"/>
        </w:rPr>
      </w:pPr>
    </w:p>
    <w:p w14:paraId="3C5EF502">
      <w:pPr>
        <w:adjustRightInd w:val="0"/>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附件9              服务承诺方案</w:t>
      </w:r>
    </w:p>
    <w:p w14:paraId="2045CFFE">
      <w:pPr>
        <w:tabs>
          <w:tab w:val="left" w:pos="1418"/>
        </w:tabs>
        <w:spacing w:line="360" w:lineRule="auto"/>
        <w:ind w:left="1418" w:hanging="567"/>
        <w:rPr>
          <w:rFonts w:hint="eastAsia" w:ascii="宋体" w:hAnsi="宋体" w:eastAsia="宋体" w:cs="宋体"/>
          <w:color w:val="auto"/>
          <w:spacing w:val="20"/>
          <w:sz w:val="24"/>
          <w:highlight w:val="none"/>
          <w:u w:val="single"/>
        </w:rPr>
      </w:pPr>
    </w:p>
    <w:p w14:paraId="699C5C46">
      <w:pPr>
        <w:numPr>
          <w:ilvl w:val="0"/>
          <w:numId w:val="8"/>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本项目的售后服务方案及保证措施</w:t>
      </w:r>
      <w:r>
        <w:rPr>
          <w:rFonts w:hint="eastAsia" w:ascii="宋体" w:hAnsi="宋体" w:eastAsia="宋体" w:cs="宋体"/>
          <w:color w:val="auto"/>
          <w:szCs w:val="21"/>
          <w:highlight w:val="none"/>
        </w:rPr>
        <w:t>；</w:t>
      </w:r>
    </w:p>
    <w:p w14:paraId="3244A673">
      <w:pPr>
        <w:numPr>
          <w:ilvl w:val="0"/>
          <w:numId w:val="8"/>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保证服务质量的技术力量及技术措施；</w:t>
      </w:r>
    </w:p>
    <w:p w14:paraId="1C4D81DD">
      <w:pPr>
        <w:numPr>
          <w:ilvl w:val="0"/>
          <w:numId w:val="8"/>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本项目服务队伍的技术及管理水平实力</w:t>
      </w:r>
      <w:r>
        <w:rPr>
          <w:rFonts w:hint="eastAsia" w:ascii="宋体" w:hAnsi="宋体" w:eastAsia="宋体" w:cs="宋体"/>
          <w:color w:val="auto"/>
          <w:szCs w:val="21"/>
          <w:highlight w:val="none"/>
        </w:rPr>
        <w:t>；</w:t>
      </w:r>
    </w:p>
    <w:p w14:paraId="33F5B49B">
      <w:pPr>
        <w:numPr>
          <w:ilvl w:val="0"/>
          <w:numId w:val="8"/>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供应商对本项目的合理化建议和改进措施（格式自拟）；</w:t>
      </w:r>
    </w:p>
    <w:p w14:paraId="4557C2B6">
      <w:pPr>
        <w:numPr>
          <w:ilvl w:val="0"/>
          <w:numId w:val="8"/>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安全文明管理措施</w:t>
      </w:r>
      <w:r>
        <w:rPr>
          <w:rFonts w:hint="eastAsia" w:ascii="宋体" w:hAnsi="宋体" w:eastAsia="宋体" w:cs="宋体"/>
          <w:color w:val="auto"/>
          <w:szCs w:val="21"/>
          <w:highlight w:val="none"/>
        </w:rPr>
        <w:t>；</w:t>
      </w:r>
    </w:p>
    <w:p w14:paraId="275934AE">
      <w:pPr>
        <w:numPr>
          <w:ilvl w:val="0"/>
          <w:numId w:val="8"/>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其他服务承诺；</w:t>
      </w:r>
    </w:p>
    <w:p w14:paraId="5E6151A1">
      <w:pPr>
        <w:numPr>
          <w:ilvl w:val="0"/>
          <w:numId w:val="8"/>
        </w:num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距采购人最近或者能为本项目提供最优服务的网点情况表；</w:t>
      </w:r>
    </w:p>
    <w:tbl>
      <w:tblPr>
        <w:tblStyle w:val="36"/>
        <w:tblW w:w="8765" w:type="dxa"/>
        <w:tblInd w:w="0" w:type="dxa"/>
        <w:tblLayout w:type="fixed"/>
        <w:tblCellMar>
          <w:top w:w="0" w:type="dxa"/>
          <w:left w:w="108" w:type="dxa"/>
          <w:bottom w:w="0" w:type="dxa"/>
          <w:right w:w="108" w:type="dxa"/>
        </w:tblCellMar>
      </w:tblPr>
      <w:tblGrid>
        <w:gridCol w:w="2072"/>
        <w:gridCol w:w="1947"/>
        <w:gridCol w:w="230"/>
        <w:gridCol w:w="1727"/>
        <w:gridCol w:w="1065"/>
        <w:gridCol w:w="1724"/>
      </w:tblGrid>
      <w:tr w14:paraId="236C21A4">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6EFB1000">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服务网点名称</w:t>
            </w:r>
          </w:p>
        </w:tc>
        <w:tc>
          <w:tcPr>
            <w:tcW w:w="6693" w:type="dxa"/>
            <w:gridSpan w:val="5"/>
            <w:tcBorders>
              <w:top w:val="single" w:color="000000" w:sz="4" w:space="0"/>
              <w:left w:val="nil"/>
              <w:bottom w:val="single" w:color="000000" w:sz="4" w:space="0"/>
              <w:right w:val="single" w:color="000000" w:sz="4" w:space="0"/>
            </w:tcBorders>
          </w:tcPr>
          <w:p w14:paraId="7C172D27">
            <w:pPr>
              <w:widowControl/>
              <w:spacing w:before="50" w:after="156"/>
              <w:jc w:val="left"/>
              <w:rPr>
                <w:rFonts w:hint="eastAsia" w:ascii="宋体" w:hAnsi="宋体" w:eastAsia="宋体" w:cs="宋体"/>
                <w:color w:val="auto"/>
                <w:kern w:val="0"/>
                <w:szCs w:val="21"/>
                <w:highlight w:val="none"/>
              </w:rPr>
            </w:pPr>
          </w:p>
        </w:tc>
      </w:tr>
      <w:tr w14:paraId="3A8C7FE8">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58595F29">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tc>
        <w:tc>
          <w:tcPr>
            <w:tcW w:w="6693" w:type="dxa"/>
            <w:gridSpan w:val="5"/>
            <w:tcBorders>
              <w:top w:val="single" w:color="000000" w:sz="4" w:space="0"/>
              <w:left w:val="nil"/>
              <w:bottom w:val="single" w:color="000000" w:sz="4" w:space="0"/>
              <w:right w:val="single" w:color="000000" w:sz="4" w:space="0"/>
            </w:tcBorders>
          </w:tcPr>
          <w:p w14:paraId="414B27C2">
            <w:pPr>
              <w:widowControl/>
              <w:spacing w:before="50" w:after="156"/>
              <w:jc w:val="left"/>
              <w:rPr>
                <w:rFonts w:hint="eastAsia" w:ascii="宋体" w:hAnsi="宋体" w:eastAsia="宋体" w:cs="宋体"/>
                <w:color w:val="auto"/>
                <w:kern w:val="0"/>
                <w:szCs w:val="21"/>
                <w:highlight w:val="none"/>
              </w:rPr>
            </w:pPr>
          </w:p>
        </w:tc>
      </w:tr>
      <w:tr w14:paraId="1FD4B9B8">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000000" w:sz="4" w:space="0"/>
            </w:tcBorders>
          </w:tcPr>
          <w:p w14:paraId="35DC7485">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注册资本金</w:t>
            </w:r>
          </w:p>
        </w:tc>
        <w:tc>
          <w:tcPr>
            <w:tcW w:w="1947" w:type="dxa"/>
            <w:tcBorders>
              <w:top w:val="single" w:color="000000" w:sz="4" w:space="0"/>
              <w:left w:val="nil"/>
              <w:bottom w:val="single" w:color="000000" w:sz="4" w:space="0"/>
              <w:right w:val="single" w:color="000000" w:sz="4" w:space="0"/>
            </w:tcBorders>
          </w:tcPr>
          <w:p w14:paraId="1FA02D64">
            <w:pPr>
              <w:widowControl/>
              <w:spacing w:before="50" w:after="156"/>
              <w:jc w:val="left"/>
              <w:rPr>
                <w:rFonts w:hint="eastAsia" w:ascii="宋体" w:hAnsi="宋体" w:eastAsia="宋体" w:cs="宋体"/>
                <w:color w:val="auto"/>
                <w:kern w:val="0"/>
                <w:szCs w:val="21"/>
                <w:highlight w:val="none"/>
              </w:rPr>
            </w:pPr>
          </w:p>
        </w:tc>
        <w:tc>
          <w:tcPr>
            <w:tcW w:w="3022" w:type="dxa"/>
            <w:gridSpan w:val="3"/>
            <w:tcBorders>
              <w:top w:val="single" w:color="000000" w:sz="4" w:space="0"/>
              <w:left w:val="nil"/>
              <w:bottom w:val="single" w:color="000000" w:sz="4" w:space="0"/>
              <w:right w:val="single" w:color="000000" w:sz="4" w:space="0"/>
            </w:tcBorders>
          </w:tcPr>
          <w:p w14:paraId="3B7A474B">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出资比例</w:t>
            </w:r>
          </w:p>
        </w:tc>
        <w:tc>
          <w:tcPr>
            <w:tcW w:w="1724" w:type="dxa"/>
            <w:tcBorders>
              <w:top w:val="single" w:color="000000" w:sz="4" w:space="0"/>
              <w:left w:val="nil"/>
              <w:bottom w:val="single" w:color="000000" w:sz="4" w:space="0"/>
              <w:right w:val="single" w:color="000000" w:sz="4" w:space="0"/>
            </w:tcBorders>
          </w:tcPr>
          <w:p w14:paraId="2BA048D5">
            <w:pPr>
              <w:widowControl/>
              <w:spacing w:before="50" w:after="156"/>
              <w:jc w:val="left"/>
              <w:rPr>
                <w:rFonts w:hint="eastAsia" w:ascii="宋体" w:hAnsi="宋体" w:eastAsia="宋体" w:cs="宋体"/>
                <w:color w:val="auto"/>
                <w:kern w:val="0"/>
                <w:szCs w:val="21"/>
                <w:highlight w:val="none"/>
              </w:rPr>
            </w:pPr>
          </w:p>
        </w:tc>
      </w:tr>
      <w:tr w14:paraId="7A70D3BA">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2AE31435">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947" w:type="dxa"/>
            <w:tcBorders>
              <w:top w:val="single" w:color="000000" w:sz="4" w:space="0"/>
              <w:left w:val="nil"/>
              <w:bottom w:val="single" w:color="000000" w:sz="4" w:space="0"/>
              <w:right w:val="single" w:color="000000" w:sz="4" w:space="0"/>
            </w:tcBorders>
          </w:tcPr>
          <w:p w14:paraId="11D59591">
            <w:pPr>
              <w:widowControl/>
              <w:spacing w:before="50" w:after="156"/>
              <w:jc w:val="left"/>
              <w:rPr>
                <w:rFonts w:hint="eastAsia" w:ascii="宋体" w:hAnsi="宋体" w:eastAsia="宋体" w:cs="宋体"/>
                <w:color w:val="auto"/>
                <w:kern w:val="0"/>
                <w:szCs w:val="21"/>
                <w:highlight w:val="none"/>
              </w:rPr>
            </w:pPr>
          </w:p>
        </w:tc>
        <w:tc>
          <w:tcPr>
            <w:tcW w:w="3022" w:type="dxa"/>
            <w:gridSpan w:val="3"/>
            <w:tcBorders>
              <w:top w:val="single" w:color="000000" w:sz="4" w:space="0"/>
              <w:left w:val="nil"/>
              <w:bottom w:val="single" w:color="000000" w:sz="4" w:space="0"/>
              <w:right w:val="single" w:color="000000" w:sz="4" w:space="0"/>
            </w:tcBorders>
          </w:tcPr>
          <w:p w14:paraId="0C8ECF41">
            <w:pPr>
              <w:widowControl/>
              <w:spacing w:before="50" w:after="156"/>
              <w:ind w:left="6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其中：技术人员数</w:t>
            </w:r>
          </w:p>
        </w:tc>
        <w:tc>
          <w:tcPr>
            <w:tcW w:w="1724" w:type="dxa"/>
            <w:tcBorders>
              <w:top w:val="single" w:color="000000" w:sz="4" w:space="0"/>
              <w:left w:val="nil"/>
              <w:bottom w:val="single" w:color="000000" w:sz="4" w:space="0"/>
              <w:right w:val="single" w:color="000000" w:sz="4" w:space="0"/>
            </w:tcBorders>
          </w:tcPr>
          <w:p w14:paraId="0A007CB5">
            <w:pPr>
              <w:widowControl/>
              <w:spacing w:before="50" w:after="156"/>
              <w:jc w:val="left"/>
              <w:rPr>
                <w:rFonts w:hint="eastAsia" w:ascii="宋体" w:hAnsi="宋体" w:eastAsia="宋体" w:cs="宋体"/>
                <w:color w:val="auto"/>
                <w:kern w:val="0"/>
                <w:szCs w:val="21"/>
                <w:highlight w:val="none"/>
              </w:rPr>
            </w:pPr>
          </w:p>
        </w:tc>
      </w:tr>
      <w:tr w14:paraId="4D7F3989">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17CB21DC">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p>
        </w:tc>
        <w:tc>
          <w:tcPr>
            <w:tcW w:w="6693" w:type="dxa"/>
            <w:gridSpan w:val="5"/>
            <w:tcBorders>
              <w:top w:val="single" w:color="000000" w:sz="4" w:space="0"/>
              <w:left w:val="nil"/>
              <w:bottom w:val="single" w:color="000000" w:sz="4" w:space="0"/>
              <w:right w:val="single" w:color="000000" w:sz="4" w:space="0"/>
            </w:tcBorders>
          </w:tcPr>
          <w:p w14:paraId="0D539003">
            <w:pPr>
              <w:widowControl/>
              <w:spacing w:before="50" w:after="156"/>
              <w:jc w:val="left"/>
              <w:rPr>
                <w:rFonts w:hint="eastAsia" w:ascii="宋体" w:hAnsi="宋体" w:eastAsia="宋体" w:cs="宋体"/>
                <w:color w:val="auto"/>
                <w:kern w:val="0"/>
                <w:szCs w:val="21"/>
                <w:highlight w:val="none"/>
              </w:rPr>
            </w:pPr>
          </w:p>
        </w:tc>
      </w:tr>
      <w:tr w14:paraId="39F4DC32">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000000" w:sz="4" w:space="0"/>
            </w:tcBorders>
          </w:tcPr>
          <w:p w14:paraId="3CC18FE5">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服务协议</w:t>
            </w:r>
          </w:p>
        </w:tc>
        <w:tc>
          <w:tcPr>
            <w:tcW w:w="6693" w:type="dxa"/>
            <w:gridSpan w:val="5"/>
            <w:tcBorders>
              <w:top w:val="single" w:color="000000" w:sz="4" w:space="0"/>
              <w:left w:val="nil"/>
              <w:bottom w:val="single" w:color="000000" w:sz="4" w:space="0"/>
              <w:right w:val="single" w:color="000000" w:sz="4" w:space="0"/>
            </w:tcBorders>
          </w:tcPr>
          <w:p w14:paraId="4FB3EA31">
            <w:pPr>
              <w:widowControl/>
              <w:spacing w:before="50" w:after="156"/>
              <w:jc w:val="left"/>
              <w:rPr>
                <w:rFonts w:hint="eastAsia" w:ascii="宋体" w:hAnsi="宋体" w:eastAsia="宋体" w:cs="宋体"/>
                <w:color w:val="auto"/>
                <w:kern w:val="0"/>
                <w:szCs w:val="21"/>
                <w:highlight w:val="none"/>
              </w:rPr>
            </w:pPr>
          </w:p>
        </w:tc>
      </w:tr>
      <w:tr w14:paraId="59B5753E">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1217E551">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w:t>
            </w:r>
          </w:p>
        </w:tc>
        <w:tc>
          <w:tcPr>
            <w:tcW w:w="6693" w:type="dxa"/>
            <w:gridSpan w:val="5"/>
            <w:tcBorders>
              <w:top w:val="single" w:color="000000" w:sz="4" w:space="0"/>
              <w:left w:val="nil"/>
              <w:bottom w:val="single" w:color="000000" w:sz="4" w:space="0"/>
              <w:right w:val="single" w:color="000000" w:sz="4" w:space="0"/>
            </w:tcBorders>
          </w:tcPr>
          <w:p w14:paraId="320C0AA1">
            <w:pPr>
              <w:widowControl/>
              <w:spacing w:before="50" w:after="156"/>
              <w:jc w:val="left"/>
              <w:rPr>
                <w:rFonts w:hint="eastAsia" w:ascii="宋体" w:hAnsi="宋体" w:eastAsia="宋体" w:cs="宋体"/>
                <w:color w:val="auto"/>
                <w:kern w:val="0"/>
                <w:szCs w:val="21"/>
                <w:highlight w:val="none"/>
              </w:rPr>
            </w:pPr>
          </w:p>
        </w:tc>
      </w:tr>
      <w:tr w14:paraId="1B3D3631">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6D97B4FD">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工作业绩</w:t>
            </w:r>
          </w:p>
        </w:tc>
        <w:tc>
          <w:tcPr>
            <w:tcW w:w="6693" w:type="dxa"/>
            <w:gridSpan w:val="5"/>
            <w:tcBorders>
              <w:top w:val="single" w:color="000000" w:sz="4" w:space="0"/>
              <w:left w:val="nil"/>
              <w:bottom w:val="single" w:color="000000" w:sz="4" w:space="0"/>
              <w:right w:val="single" w:color="000000" w:sz="4" w:space="0"/>
            </w:tcBorders>
          </w:tcPr>
          <w:p w14:paraId="19F7CC44">
            <w:pPr>
              <w:widowControl/>
              <w:spacing w:before="50" w:after="156"/>
              <w:jc w:val="left"/>
              <w:rPr>
                <w:rFonts w:hint="eastAsia" w:ascii="宋体" w:hAnsi="宋体" w:eastAsia="宋体" w:cs="宋体"/>
                <w:color w:val="auto"/>
                <w:kern w:val="0"/>
                <w:szCs w:val="21"/>
                <w:highlight w:val="none"/>
              </w:rPr>
            </w:pPr>
          </w:p>
        </w:tc>
      </w:tr>
      <w:tr w14:paraId="49077C05">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000000" w:sz="4" w:space="0"/>
            </w:tcBorders>
          </w:tcPr>
          <w:p w14:paraId="13051374">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服务承诺</w:t>
            </w:r>
          </w:p>
        </w:tc>
        <w:tc>
          <w:tcPr>
            <w:tcW w:w="6693" w:type="dxa"/>
            <w:gridSpan w:val="5"/>
            <w:tcBorders>
              <w:top w:val="single" w:color="000000" w:sz="4" w:space="0"/>
              <w:left w:val="nil"/>
              <w:bottom w:val="single" w:color="auto" w:sz="4" w:space="0"/>
              <w:right w:val="single" w:color="000000" w:sz="4" w:space="0"/>
            </w:tcBorders>
          </w:tcPr>
          <w:p w14:paraId="5DDBF8E2">
            <w:pPr>
              <w:widowControl/>
              <w:spacing w:before="50" w:after="156"/>
              <w:jc w:val="left"/>
              <w:rPr>
                <w:rFonts w:hint="eastAsia" w:ascii="宋体" w:hAnsi="宋体" w:eastAsia="宋体" w:cs="宋体"/>
                <w:color w:val="auto"/>
                <w:kern w:val="0"/>
                <w:szCs w:val="21"/>
                <w:highlight w:val="none"/>
              </w:rPr>
            </w:pPr>
          </w:p>
        </w:tc>
      </w:tr>
      <w:tr w14:paraId="578A049B">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auto" w:sz="4" w:space="0"/>
            </w:tcBorders>
          </w:tcPr>
          <w:p w14:paraId="5771C406">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业务咨询电话</w:t>
            </w:r>
          </w:p>
        </w:tc>
        <w:tc>
          <w:tcPr>
            <w:tcW w:w="2177" w:type="dxa"/>
            <w:gridSpan w:val="2"/>
            <w:tcBorders>
              <w:top w:val="single" w:color="auto" w:sz="4" w:space="0"/>
              <w:left w:val="single" w:color="auto" w:sz="4" w:space="0"/>
              <w:bottom w:val="single" w:color="auto" w:sz="4" w:space="0"/>
              <w:right w:val="single" w:color="auto" w:sz="4" w:space="0"/>
            </w:tcBorders>
          </w:tcPr>
          <w:p w14:paraId="3339DAE1">
            <w:pPr>
              <w:widowControl/>
              <w:spacing w:before="50" w:after="156"/>
              <w:jc w:val="left"/>
              <w:rPr>
                <w:rFonts w:hint="eastAsia" w:ascii="宋体" w:hAnsi="宋体" w:eastAsia="宋体" w:cs="宋体"/>
                <w:color w:val="auto"/>
                <w:kern w:val="0"/>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608474D8">
            <w:pPr>
              <w:widowControl/>
              <w:spacing w:before="50" w:after="156"/>
              <w:ind w:firstLine="2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789" w:type="dxa"/>
            <w:gridSpan w:val="2"/>
            <w:tcBorders>
              <w:top w:val="single" w:color="auto" w:sz="4" w:space="0"/>
              <w:left w:val="single" w:color="auto" w:sz="4" w:space="0"/>
              <w:bottom w:val="single" w:color="auto" w:sz="4" w:space="0"/>
              <w:right w:val="single" w:color="auto" w:sz="4" w:space="0"/>
            </w:tcBorders>
          </w:tcPr>
          <w:p w14:paraId="0CF56D1A">
            <w:pPr>
              <w:widowControl/>
              <w:spacing w:before="50" w:after="156"/>
              <w:jc w:val="left"/>
              <w:rPr>
                <w:rFonts w:hint="eastAsia" w:ascii="宋体" w:hAnsi="宋体" w:eastAsia="宋体" w:cs="宋体"/>
                <w:color w:val="auto"/>
                <w:kern w:val="0"/>
                <w:szCs w:val="21"/>
                <w:highlight w:val="none"/>
              </w:rPr>
            </w:pPr>
          </w:p>
        </w:tc>
      </w:tr>
      <w:tr w14:paraId="11B31948">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auto" w:sz="4" w:space="0"/>
            </w:tcBorders>
          </w:tcPr>
          <w:p w14:paraId="54E699A4">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负责人</w:t>
            </w:r>
          </w:p>
        </w:tc>
        <w:tc>
          <w:tcPr>
            <w:tcW w:w="2177" w:type="dxa"/>
            <w:gridSpan w:val="2"/>
            <w:tcBorders>
              <w:top w:val="single" w:color="auto" w:sz="4" w:space="0"/>
              <w:left w:val="single" w:color="auto" w:sz="4" w:space="0"/>
              <w:bottom w:val="single" w:color="auto" w:sz="4" w:space="0"/>
              <w:right w:val="single" w:color="auto" w:sz="4" w:space="0"/>
            </w:tcBorders>
          </w:tcPr>
          <w:p w14:paraId="70BA5C9A">
            <w:pPr>
              <w:widowControl/>
              <w:spacing w:before="50" w:after="156"/>
              <w:jc w:val="left"/>
              <w:rPr>
                <w:rFonts w:hint="eastAsia" w:ascii="宋体" w:hAnsi="宋体" w:eastAsia="宋体" w:cs="宋体"/>
                <w:color w:val="auto"/>
                <w:kern w:val="0"/>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78F7442D">
            <w:pPr>
              <w:widowControl/>
              <w:spacing w:before="50" w:after="15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789" w:type="dxa"/>
            <w:gridSpan w:val="2"/>
            <w:tcBorders>
              <w:top w:val="single" w:color="auto" w:sz="4" w:space="0"/>
              <w:left w:val="single" w:color="auto" w:sz="4" w:space="0"/>
              <w:bottom w:val="single" w:color="auto" w:sz="4" w:space="0"/>
              <w:right w:val="single" w:color="auto" w:sz="4" w:space="0"/>
            </w:tcBorders>
          </w:tcPr>
          <w:p w14:paraId="4A27C14A">
            <w:pPr>
              <w:widowControl/>
              <w:spacing w:before="50" w:after="156"/>
              <w:jc w:val="left"/>
              <w:rPr>
                <w:rFonts w:hint="eastAsia" w:ascii="宋体" w:hAnsi="宋体" w:eastAsia="宋体" w:cs="宋体"/>
                <w:color w:val="auto"/>
                <w:kern w:val="0"/>
                <w:szCs w:val="21"/>
                <w:highlight w:val="none"/>
              </w:rPr>
            </w:pPr>
          </w:p>
        </w:tc>
      </w:tr>
    </w:tbl>
    <w:p w14:paraId="1F977C7F">
      <w:pPr>
        <w:widowControl/>
        <w:rPr>
          <w:rFonts w:hint="eastAsia" w:ascii="宋体" w:hAnsi="宋体" w:eastAsia="宋体" w:cs="宋体"/>
          <w:color w:val="auto"/>
          <w:kern w:val="0"/>
          <w:sz w:val="24"/>
          <w:highlight w:val="none"/>
        </w:rPr>
      </w:pPr>
    </w:p>
    <w:p w14:paraId="0E833B54">
      <w:pPr>
        <w:widowControl/>
        <w:rPr>
          <w:rFonts w:hint="eastAsia" w:ascii="宋体" w:hAnsi="宋体" w:eastAsia="宋体" w:cs="宋体"/>
          <w:color w:val="auto"/>
          <w:kern w:val="0"/>
          <w:sz w:val="24"/>
          <w:highlight w:val="none"/>
        </w:rPr>
      </w:pPr>
    </w:p>
    <w:p w14:paraId="2A706D29">
      <w:pPr>
        <w:widowControl/>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cs="宋体"/>
          <w:color w:val="auto"/>
          <w:kern w:val="0"/>
          <w:sz w:val="24"/>
          <w:highlight w:val="none"/>
          <w:lang w:val="en-US" w:eastAsia="zh-CN"/>
        </w:rPr>
        <w:t>盖</w:t>
      </w:r>
      <w:r>
        <w:rPr>
          <w:rFonts w:hint="eastAsia" w:ascii="宋体" w:hAnsi="宋体" w:eastAsia="宋体" w:cs="宋体"/>
          <w:color w:val="auto"/>
          <w:kern w:val="0"/>
          <w:sz w:val="24"/>
          <w:highlight w:val="none"/>
        </w:rPr>
        <w:t>章：</w:t>
      </w:r>
    </w:p>
    <w:p w14:paraId="75E72435">
      <w:pPr>
        <w:widowControl/>
        <w:spacing w:line="480" w:lineRule="auto"/>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558AB571">
      <w:pPr>
        <w:pStyle w:val="65"/>
        <w:spacing w:before="50" w:after="156" w:line="480" w:lineRule="auto"/>
        <w:jc w:val="left"/>
        <w:rPr>
          <w:rFonts w:hint="eastAsia" w:ascii="宋体" w:hAnsi="宋体" w:eastAsia="宋体" w:cs="宋体"/>
          <w:color w:val="auto"/>
          <w:kern w:val="2"/>
          <w:sz w:val="24"/>
          <w:szCs w:val="24"/>
          <w:highlight w:val="none"/>
        </w:rPr>
      </w:pPr>
    </w:p>
    <w:p w14:paraId="3788BA21">
      <w:pPr>
        <w:pStyle w:val="65"/>
        <w:spacing w:before="50" w:after="156" w:line="480" w:lineRule="auto"/>
        <w:jc w:val="left"/>
        <w:rPr>
          <w:rFonts w:hint="eastAsia" w:ascii="宋体" w:hAnsi="宋体" w:eastAsia="宋体" w:cs="宋体"/>
          <w:color w:val="auto"/>
          <w:kern w:val="2"/>
          <w:sz w:val="24"/>
          <w:szCs w:val="24"/>
          <w:highlight w:val="none"/>
        </w:rPr>
      </w:pPr>
    </w:p>
    <w:p w14:paraId="494223C1">
      <w:pPr>
        <w:pStyle w:val="65"/>
        <w:spacing w:before="50" w:after="156" w:line="480" w:lineRule="auto"/>
        <w:jc w:val="left"/>
        <w:rPr>
          <w:rFonts w:hint="eastAsia" w:ascii="宋体" w:hAnsi="宋体" w:eastAsia="宋体" w:cs="宋体"/>
          <w:color w:val="auto"/>
          <w:kern w:val="2"/>
          <w:sz w:val="24"/>
          <w:szCs w:val="24"/>
          <w:highlight w:val="none"/>
        </w:rPr>
      </w:pPr>
    </w:p>
    <w:p w14:paraId="4D003A9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服务联系表</w:t>
      </w:r>
    </w:p>
    <w:tbl>
      <w:tblPr>
        <w:tblStyle w:val="36"/>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544"/>
        <w:gridCol w:w="1704"/>
        <w:gridCol w:w="1705"/>
        <w:gridCol w:w="2914"/>
      </w:tblGrid>
      <w:tr w14:paraId="4D4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19AEF16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44" w:type="dxa"/>
          </w:tcPr>
          <w:p w14:paraId="36C058F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tc>
        <w:tc>
          <w:tcPr>
            <w:tcW w:w="1704" w:type="dxa"/>
          </w:tcPr>
          <w:p w14:paraId="7C5FDEF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705" w:type="dxa"/>
          </w:tcPr>
          <w:p w14:paraId="2B91EC8F">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2914" w:type="dxa"/>
          </w:tcPr>
          <w:p w14:paraId="57963B4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7E4C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0EEFBD06">
            <w:pPr>
              <w:spacing w:line="500" w:lineRule="exact"/>
              <w:jc w:val="center"/>
              <w:rPr>
                <w:rFonts w:hint="eastAsia" w:ascii="宋体" w:hAnsi="宋体" w:eastAsia="宋体" w:cs="宋体"/>
                <w:color w:val="auto"/>
                <w:sz w:val="24"/>
                <w:highlight w:val="none"/>
              </w:rPr>
            </w:pPr>
          </w:p>
        </w:tc>
        <w:tc>
          <w:tcPr>
            <w:tcW w:w="2544" w:type="dxa"/>
          </w:tcPr>
          <w:p w14:paraId="686FD1B3">
            <w:pPr>
              <w:spacing w:line="500" w:lineRule="exact"/>
              <w:jc w:val="center"/>
              <w:rPr>
                <w:rFonts w:hint="eastAsia" w:ascii="宋体" w:hAnsi="宋体" w:eastAsia="宋体" w:cs="宋体"/>
                <w:color w:val="auto"/>
                <w:sz w:val="24"/>
                <w:highlight w:val="none"/>
              </w:rPr>
            </w:pPr>
          </w:p>
        </w:tc>
        <w:tc>
          <w:tcPr>
            <w:tcW w:w="1704" w:type="dxa"/>
          </w:tcPr>
          <w:p w14:paraId="346A7FB1">
            <w:pPr>
              <w:spacing w:line="500" w:lineRule="exact"/>
              <w:jc w:val="center"/>
              <w:rPr>
                <w:rFonts w:hint="eastAsia" w:ascii="宋体" w:hAnsi="宋体" w:eastAsia="宋体" w:cs="宋体"/>
                <w:color w:val="auto"/>
                <w:sz w:val="24"/>
                <w:highlight w:val="none"/>
              </w:rPr>
            </w:pPr>
          </w:p>
        </w:tc>
        <w:tc>
          <w:tcPr>
            <w:tcW w:w="1705" w:type="dxa"/>
          </w:tcPr>
          <w:p w14:paraId="7A4134D6">
            <w:pPr>
              <w:spacing w:line="500" w:lineRule="exact"/>
              <w:jc w:val="center"/>
              <w:rPr>
                <w:rFonts w:hint="eastAsia" w:ascii="宋体" w:hAnsi="宋体" w:eastAsia="宋体" w:cs="宋体"/>
                <w:color w:val="auto"/>
                <w:sz w:val="24"/>
                <w:highlight w:val="none"/>
              </w:rPr>
            </w:pPr>
          </w:p>
        </w:tc>
        <w:tc>
          <w:tcPr>
            <w:tcW w:w="2914" w:type="dxa"/>
          </w:tcPr>
          <w:p w14:paraId="02D99333">
            <w:pPr>
              <w:spacing w:line="500" w:lineRule="exact"/>
              <w:jc w:val="center"/>
              <w:rPr>
                <w:rFonts w:hint="eastAsia" w:ascii="宋体" w:hAnsi="宋体" w:eastAsia="宋体" w:cs="宋体"/>
                <w:color w:val="auto"/>
                <w:sz w:val="24"/>
                <w:highlight w:val="none"/>
              </w:rPr>
            </w:pPr>
          </w:p>
        </w:tc>
      </w:tr>
      <w:tr w14:paraId="5C11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0873A163">
            <w:pPr>
              <w:spacing w:line="500" w:lineRule="exact"/>
              <w:jc w:val="center"/>
              <w:rPr>
                <w:rFonts w:hint="eastAsia" w:ascii="宋体" w:hAnsi="宋体" w:eastAsia="宋体" w:cs="宋体"/>
                <w:color w:val="auto"/>
                <w:sz w:val="24"/>
                <w:highlight w:val="none"/>
              </w:rPr>
            </w:pPr>
          </w:p>
        </w:tc>
        <w:tc>
          <w:tcPr>
            <w:tcW w:w="2544" w:type="dxa"/>
          </w:tcPr>
          <w:p w14:paraId="006F3E5D">
            <w:pPr>
              <w:spacing w:line="500" w:lineRule="exact"/>
              <w:jc w:val="center"/>
              <w:rPr>
                <w:rFonts w:hint="eastAsia" w:ascii="宋体" w:hAnsi="宋体" w:eastAsia="宋体" w:cs="宋体"/>
                <w:color w:val="auto"/>
                <w:sz w:val="24"/>
                <w:highlight w:val="none"/>
              </w:rPr>
            </w:pPr>
          </w:p>
        </w:tc>
        <w:tc>
          <w:tcPr>
            <w:tcW w:w="1704" w:type="dxa"/>
          </w:tcPr>
          <w:p w14:paraId="52AC07FB">
            <w:pPr>
              <w:spacing w:line="500" w:lineRule="exact"/>
              <w:jc w:val="center"/>
              <w:rPr>
                <w:rFonts w:hint="eastAsia" w:ascii="宋体" w:hAnsi="宋体" w:eastAsia="宋体" w:cs="宋体"/>
                <w:color w:val="auto"/>
                <w:sz w:val="24"/>
                <w:highlight w:val="none"/>
              </w:rPr>
            </w:pPr>
          </w:p>
        </w:tc>
        <w:tc>
          <w:tcPr>
            <w:tcW w:w="1705" w:type="dxa"/>
          </w:tcPr>
          <w:p w14:paraId="4B49568B">
            <w:pPr>
              <w:spacing w:line="500" w:lineRule="exact"/>
              <w:jc w:val="center"/>
              <w:rPr>
                <w:rFonts w:hint="eastAsia" w:ascii="宋体" w:hAnsi="宋体" w:eastAsia="宋体" w:cs="宋体"/>
                <w:color w:val="auto"/>
                <w:sz w:val="24"/>
                <w:highlight w:val="none"/>
              </w:rPr>
            </w:pPr>
          </w:p>
        </w:tc>
        <w:tc>
          <w:tcPr>
            <w:tcW w:w="2914" w:type="dxa"/>
          </w:tcPr>
          <w:p w14:paraId="1DF4BF38">
            <w:pPr>
              <w:spacing w:line="500" w:lineRule="exact"/>
              <w:jc w:val="center"/>
              <w:rPr>
                <w:rFonts w:hint="eastAsia" w:ascii="宋体" w:hAnsi="宋体" w:eastAsia="宋体" w:cs="宋体"/>
                <w:color w:val="auto"/>
                <w:sz w:val="24"/>
                <w:highlight w:val="none"/>
              </w:rPr>
            </w:pPr>
          </w:p>
        </w:tc>
      </w:tr>
    </w:tbl>
    <w:p w14:paraId="1C7272EA">
      <w:pPr>
        <w:spacing w:before="156" w:beforeLines="50" w:line="240" w:lineRule="exact"/>
        <w:ind w:firstLine="2800" w:firstLineChars="1000"/>
        <w:rPr>
          <w:rFonts w:hint="eastAsia" w:ascii="宋体" w:hAnsi="宋体" w:eastAsia="宋体" w:cs="宋体"/>
          <w:color w:val="auto"/>
          <w:spacing w:val="20"/>
          <w:sz w:val="24"/>
          <w:highlight w:val="none"/>
        </w:rPr>
      </w:pPr>
    </w:p>
    <w:p w14:paraId="1D21CD25">
      <w:pPr>
        <w:spacing w:before="156" w:beforeLines="50" w:line="240" w:lineRule="exact"/>
        <w:ind w:firstLine="2800" w:firstLineChars="1000"/>
        <w:rPr>
          <w:rFonts w:hint="eastAsia" w:ascii="宋体" w:hAnsi="宋体" w:eastAsia="宋体" w:cs="宋体"/>
          <w:color w:val="auto"/>
          <w:spacing w:val="20"/>
          <w:sz w:val="24"/>
          <w:highlight w:val="none"/>
        </w:rPr>
      </w:pPr>
    </w:p>
    <w:p w14:paraId="14F3D127">
      <w:pPr>
        <w:adjustRightInd w:val="0"/>
        <w:snapToGrid w:val="0"/>
        <w:spacing w:line="360" w:lineRule="auto"/>
        <w:rPr>
          <w:rFonts w:hint="eastAsia" w:ascii="宋体" w:hAnsi="宋体" w:eastAsia="宋体" w:cs="宋体"/>
          <w:b/>
          <w:color w:val="auto"/>
          <w:sz w:val="32"/>
          <w:szCs w:val="32"/>
          <w:highlight w:val="none"/>
        </w:rPr>
      </w:pPr>
    </w:p>
    <w:p w14:paraId="35F42E50">
      <w:pPr>
        <w:adjustRightInd w:val="0"/>
        <w:snapToGrid w:val="0"/>
        <w:spacing w:line="360" w:lineRule="auto"/>
        <w:rPr>
          <w:rFonts w:hint="eastAsia" w:ascii="宋体" w:hAnsi="宋体" w:eastAsia="宋体" w:cs="宋体"/>
          <w:b/>
          <w:color w:val="auto"/>
          <w:sz w:val="32"/>
          <w:szCs w:val="32"/>
          <w:highlight w:val="none"/>
        </w:rPr>
      </w:pPr>
    </w:p>
    <w:p w14:paraId="7CD1B7C3">
      <w:pPr>
        <w:adjustRightInd w:val="0"/>
        <w:snapToGrid w:val="0"/>
        <w:spacing w:line="360" w:lineRule="auto"/>
        <w:rPr>
          <w:rFonts w:hint="eastAsia" w:ascii="宋体" w:hAnsi="宋体" w:eastAsia="宋体" w:cs="宋体"/>
          <w:b/>
          <w:color w:val="auto"/>
          <w:sz w:val="32"/>
          <w:szCs w:val="32"/>
          <w:highlight w:val="none"/>
        </w:rPr>
      </w:pPr>
    </w:p>
    <w:p w14:paraId="3B05A34A">
      <w:pPr>
        <w:adjustRightInd w:val="0"/>
        <w:snapToGrid w:val="0"/>
        <w:spacing w:line="360" w:lineRule="auto"/>
        <w:rPr>
          <w:rFonts w:hint="eastAsia" w:ascii="宋体" w:hAnsi="宋体" w:eastAsia="宋体" w:cs="宋体"/>
          <w:b/>
          <w:color w:val="auto"/>
          <w:sz w:val="32"/>
          <w:szCs w:val="32"/>
          <w:highlight w:val="none"/>
        </w:rPr>
      </w:pPr>
    </w:p>
    <w:p w14:paraId="6D8ACD3C">
      <w:pPr>
        <w:adjustRightInd w:val="0"/>
        <w:snapToGrid w:val="0"/>
        <w:spacing w:line="360" w:lineRule="auto"/>
        <w:rPr>
          <w:rFonts w:hint="eastAsia" w:ascii="宋体" w:hAnsi="宋体" w:eastAsia="宋体" w:cs="宋体"/>
          <w:b/>
          <w:color w:val="auto"/>
          <w:sz w:val="32"/>
          <w:szCs w:val="32"/>
          <w:highlight w:val="none"/>
        </w:rPr>
      </w:pPr>
    </w:p>
    <w:p w14:paraId="724130D1">
      <w:pPr>
        <w:adjustRightInd w:val="0"/>
        <w:snapToGrid w:val="0"/>
        <w:spacing w:line="360" w:lineRule="auto"/>
        <w:rPr>
          <w:rFonts w:hint="eastAsia" w:ascii="宋体" w:hAnsi="宋体" w:eastAsia="宋体" w:cs="宋体"/>
          <w:b/>
          <w:color w:val="auto"/>
          <w:sz w:val="32"/>
          <w:szCs w:val="32"/>
          <w:highlight w:val="none"/>
        </w:rPr>
      </w:pPr>
    </w:p>
    <w:p w14:paraId="0E038F40">
      <w:pPr>
        <w:spacing w:line="360" w:lineRule="auto"/>
        <w:rPr>
          <w:rFonts w:hint="eastAsia" w:ascii="宋体" w:hAnsi="宋体" w:eastAsia="宋体" w:cs="宋体"/>
          <w:color w:val="auto"/>
          <w:spacing w:val="20"/>
          <w:sz w:val="24"/>
          <w:highlight w:val="none"/>
          <w:u w:val="single"/>
        </w:rPr>
      </w:pPr>
    </w:p>
    <w:p w14:paraId="39DDCAA7">
      <w:pPr>
        <w:spacing w:line="360" w:lineRule="auto"/>
        <w:ind w:firstLine="4760" w:firstLineChars="17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供应商盖章：</w:t>
      </w:r>
    </w:p>
    <w:p w14:paraId="2EF92D72">
      <w:pPr>
        <w:spacing w:line="360" w:lineRule="auto"/>
        <w:rPr>
          <w:rFonts w:hint="eastAsia" w:ascii="宋体" w:hAnsi="宋体" w:eastAsia="宋体" w:cs="宋体"/>
          <w:color w:val="auto"/>
          <w:spacing w:val="20"/>
          <w:sz w:val="24"/>
          <w:highlight w:val="none"/>
          <w:u w:val="single"/>
        </w:rPr>
      </w:pPr>
    </w:p>
    <w:p w14:paraId="770C0F25">
      <w:pPr>
        <w:adjustRightInd w:val="0"/>
        <w:snapToGrid w:val="0"/>
        <w:spacing w:line="360" w:lineRule="auto"/>
        <w:ind w:firstLine="5040" w:firstLineChars="1800"/>
        <w:rPr>
          <w:rFonts w:hint="eastAsia" w:ascii="宋体" w:hAnsi="宋体" w:eastAsia="宋体" w:cs="宋体"/>
          <w:b/>
          <w:color w:val="auto"/>
          <w:sz w:val="32"/>
          <w:szCs w:val="32"/>
          <w:highlight w:val="none"/>
        </w:rPr>
      </w:pPr>
      <w:r>
        <w:rPr>
          <w:rFonts w:hint="eastAsia" w:ascii="宋体" w:hAnsi="宋体" w:eastAsia="宋体" w:cs="宋体"/>
          <w:color w:val="auto"/>
          <w:spacing w:val="20"/>
          <w:sz w:val="24"/>
          <w:highlight w:val="none"/>
        </w:rPr>
        <w:t>日    期：</w:t>
      </w:r>
    </w:p>
    <w:p w14:paraId="3B7D5483">
      <w:pPr>
        <w:adjustRightInd w:val="0"/>
        <w:snapToGrid w:val="0"/>
        <w:spacing w:line="360" w:lineRule="auto"/>
        <w:rPr>
          <w:rFonts w:hint="eastAsia" w:ascii="宋体" w:hAnsi="宋体" w:eastAsia="宋体" w:cs="宋体"/>
          <w:b/>
          <w:color w:val="auto"/>
          <w:sz w:val="32"/>
          <w:szCs w:val="32"/>
          <w:highlight w:val="none"/>
        </w:rPr>
      </w:pPr>
    </w:p>
    <w:p w14:paraId="043BF2D1">
      <w:pPr>
        <w:adjustRightInd w:val="0"/>
        <w:snapToGrid w:val="0"/>
        <w:spacing w:line="360" w:lineRule="auto"/>
        <w:rPr>
          <w:rFonts w:hint="eastAsia" w:ascii="宋体" w:hAnsi="宋体" w:eastAsia="宋体" w:cs="宋体"/>
          <w:b/>
          <w:color w:val="auto"/>
          <w:sz w:val="32"/>
          <w:szCs w:val="32"/>
          <w:highlight w:val="none"/>
        </w:rPr>
      </w:pPr>
    </w:p>
    <w:p w14:paraId="5EBE9F9C">
      <w:pPr>
        <w:adjustRightInd w:val="0"/>
        <w:snapToGrid w:val="0"/>
        <w:spacing w:line="360" w:lineRule="auto"/>
        <w:rPr>
          <w:rFonts w:hint="eastAsia" w:ascii="宋体" w:hAnsi="宋体" w:eastAsia="宋体" w:cs="宋体"/>
          <w:b/>
          <w:color w:val="auto"/>
          <w:sz w:val="32"/>
          <w:szCs w:val="32"/>
          <w:highlight w:val="none"/>
        </w:rPr>
      </w:pPr>
    </w:p>
    <w:p w14:paraId="6D6F4757">
      <w:pPr>
        <w:adjustRightInd w:val="0"/>
        <w:snapToGrid w:val="0"/>
        <w:spacing w:line="360" w:lineRule="auto"/>
        <w:rPr>
          <w:rFonts w:hint="eastAsia" w:ascii="宋体" w:hAnsi="宋体" w:eastAsia="宋体" w:cs="宋体"/>
          <w:b/>
          <w:color w:val="auto"/>
          <w:sz w:val="32"/>
          <w:szCs w:val="32"/>
          <w:highlight w:val="none"/>
        </w:rPr>
      </w:pPr>
    </w:p>
    <w:p w14:paraId="2D388D74">
      <w:pPr>
        <w:adjustRightInd w:val="0"/>
        <w:snapToGrid w:val="0"/>
        <w:spacing w:line="360" w:lineRule="auto"/>
        <w:rPr>
          <w:rFonts w:hint="eastAsia" w:ascii="宋体" w:hAnsi="宋体" w:eastAsia="宋体" w:cs="宋体"/>
          <w:b/>
          <w:color w:val="auto"/>
          <w:sz w:val="32"/>
          <w:szCs w:val="32"/>
          <w:highlight w:val="none"/>
        </w:rPr>
      </w:pPr>
    </w:p>
    <w:p w14:paraId="125D9C43">
      <w:pPr>
        <w:adjustRightInd w:val="0"/>
        <w:snapToGrid w:val="0"/>
        <w:spacing w:line="360" w:lineRule="auto"/>
        <w:rPr>
          <w:rFonts w:hint="eastAsia" w:ascii="宋体" w:hAnsi="宋体" w:eastAsia="宋体" w:cs="宋体"/>
          <w:b/>
          <w:color w:val="auto"/>
          <w:sz w:val="32"/>
          <w:szCs w:val="32"/>
          <w:highlight w:val="none"/>
        </w:rPr>
      </w:pPr>
    </w:p>
    <w:p w14:paraId="0850FD7B">
      <w:pPr>
        <w:adjustRightInd w:val="0"/>
        <w:snapToGrid w:val="0"/>
        <w:spacing w:line="360" w:lineRule="auto"/>
        <w:rPr>
          <w:rFonts w:hint="eastAsia" w:ascii="宋体" w:hAnsi="宋体" w:eastAsia="宋体" w:cs="宋体"/>
          <w:b/>
          <w:color w:val="auto"/>
          <w:sz w:val="32"/>
          <w:szCs w:val="32"/>
          <w:highlight w:val="none"/>
        </w:rPr>
      </w:pPr>
    </w:p>
    <w:p w14:paraId="29E18D72">
      <w:pPr>
        <w:adjustRightInd w:val="0"/>
        <w:snapToGrid w:val="0"/>
        <w:spacing w:line="360" w:lineRule="auto"/>
        <w:rPr>
          <w:rFonts w:hint="eastAsia" w:ascii="宋体" w:hAnsi="宋体" w:eastAsia="宋体" w:cs="宋体"/>
          <w:b/>
          <w:color w:val="auto"/>
          <w:sz w:val="32"/>
          <w:szCs w:val="32"/>
          <w:highlight w:val="none"/>
        </w:rPr>
      </w:pPr>
    </w:p>
    <w:p w14:paraId="2245E836">
      <w:pPr>
        <w:adjustRightInd w:val="0"/>
        <w:snapToGrid w:val="0"/>
        <w:spacing w:line="360" w:lineRule="auto"/>
        <w:rPr>
          <w:rFonts w:hint="eastAsia" w:ascii="宋体" w:hAnsi="宋体" w:eastAsia="宋体" w:cs="宋体"/>
          <w:b/>
          <w:color w:val="auto"/>
          <w:sz w:val="32"/>
          <w:szCs w:val="32"/>
          <w:highlight w:val="none"/>
        </w:rPr>
      </w:pPr>
    </w:p>
    <w:p w14:paraId="287A7175">
      <w:pPr>
        <w:adjustRightInd w:val="0"/>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附件10</w:t>
      </w:r>
    </w:p>
    <w:p w14:paraId="550589F5">
      <w:pPr>
        <w:adjustRightInd w:val="0"/>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磋商响应函</w:t>
      </w:r>
    </w:p>
    <w:p w14:paraId="407BB5C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致：__________________：</w:t>
      </w:r>
    </w:p>
    <w:p w14:paraId="57CCDAE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根据贵方为__________________的竞争性磋商公告（</w:t>
      </w:r>
      <w:r>
        <w:rPr>
          <w:rFonts w:hint="eastAsia" w:ascii="宋体" w:hAnsi="宋体" w:eastAsia="宋体" w:cs="宋体"/>
          <w:bCs/>
          <w:color w:val="auto"/>
          <w:sz w:val="24"/>
          <w:highlight w:val="none"/>
        </w:rPr>
        <w:t>项目编号：</w:t>
      </w:r>
      <w:r>
        <w:rPr>
          <w:rFonts w:hint="eastAsia" w:ascii="宋体" w:hAnsi="宋体" w:eastAsia="宋体" w:cs="宋体"/>
          <w:color w:val="auto"/>
          <w:sz w:val="24"/>
          <w:highlight w:val="none"/>
        </w:rPr>
        <w:t>__________________），签字代表____________________（全名）经正式授权并代表供应商________________________________________（供应商名称）提交资信商务及技术文件、报价文件。</w:t>
      </w:r>
    </w:p>
    <w:p w14:paraId="7448637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161CD31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已详细审查全部“竞争性磋商文件”，包括修改文件（如有的话）以及全部参考资料和有关附件，已经了解我方对于竞争性磋商文件、采购过程、采购结果有依法进行询问、质疑、投诉的权利及相关渠道和要求。</w:t>
      </w:r>
    </w:p>
    <w:p w14:paraId="6B675FF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2、供应商在磋商之前已经与贵方进行了充分的沟通，完全理解并接受竞争性磋商文件的各项规定和要求，对竞争性磋商文件的合理性、合法性不再有异议。</w:t>
      </w:r>
    </w:p>
    <w:p w14:paraId="53F04B7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3、本磋商有效期自磋商截止日起 90个日历天。</w:t>
      </w:r>
    </w:p>
    <w:p w14:paraId="605C790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4、如成交，本磋商响应文件至本项目合同履行完毕止均保持有效，本供应商将按“竞争性磋商文件”及政府采购法律、法规的规定履行合同责任和义务。</w:t>
      </w:r>
    </w:p>
    <w:p w14:paraId="1ADCC0C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5、供应商同意按照贵方要求提供与磋商有关的一切数据或资料，并保证其真实性、合法性。</w:t>
      </w:r>
    </w:p>
    <w:p w14:paraId="77BCCDA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6、与本磋商有关的一切正式往来信函请寄：</w:t>
      </w:r>
    </w:p>
    <w:p w14:paraId="732C8E1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地址：____________________邮编：__________   电话：______________</w:t>
      </w:r>
    </w:p>
    <w:p w14:paraId="24829B6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传真：______________供应商代表姓名 ___________ 职务：______________</w:t>
      </w:r>
    </w:p>
    <w:p w14:paraId="66A9B995">
      <w:pPr>
        <w:adjustRightInd w:val="0"/>
        <w:snapToGrid w:val="0"/>
        <w:spacing w:line="360" w:lineRule="auto"/>
        <w:rPr>
          <w:rFonts w:hint="eastAsia" w:ascii="宋体" w:hAnsi="宋体" w:eastAsia="宋体" w:cs="宋体"/>
          <w:color w:val="auto"/>
          <w:sz w:val="24"/>
          <w:highlight w:val="none"/>
        </w:rPr>
      </w:pPr>
    </w:p>
    <w:p w14:paraId="57A510F1">
      <w:pPr>
        <w:adjustRightInd w:val="0"/>
        <w:snapToGrid w:val="0"/>
        <w:spacing w:line="360" w:lineRule="auto"/>
        <w:rPr>
          <w:rFonts w:hint="eastAsia" w:ascii="宋体" w:hAnsi="宋体" w:eastAsia="宋体" w:cs="宋体"/>
          <w:color w:val="auto"/>
          <w:sz w:val="24"/>
          <w:highlight w:val="none"/>
        </w:rPr>
      </w:pPr>
    </w:p>
    <w:p w14:paraId="068EFF9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供应商名称(盖章):___________________</w:t>
      </w:r>
    </w:p>
    <w:p w14:paraId="759DB66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银行帐号：________________</w:t>
      </w:r>
    </w:p>
    <w:p w14:paraId="22B1331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法定代表人或被授权人签字（或签章）:___________</w:t>
      </w:r>
    </w:p>
    <w:p w14:paraId="05A1BFD3">
      <w:pPr>
        <w:adjustRightInd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14:paraId="37B19E96">
      <w:pPr>
        <w:ind w:firstLine="753" w:firstLineChars="250"/>
        <w:jc w:val="center"/>
        <w:rPr>
          <w:rFonts w:hint="eastAsia" w:ascii="宋体" w:hAnsi="宋体" w:eastAsia="宋体" w:cs="宋体"/>
          <w:b/>
          <w:color w:val="auto"/>
          <w:sz w:val="30"/>
          <w:szCs w:val="30"/>
          <w:highlight w:val="none"/>
        </w:rPr>
      </w:pPr>
    </w:p>
    <w:p w14:paraId="63EE59B2">
      <w:pPr>
        <w:adjustRightInd w:val="0"/>
        <w:snapToGrid w:val="0"/>
        <w:spacing w:line="360" w:lineRule="auto"/>
        <w:rPr>
          <w:rFonts w:hint="eastAsia" w:ascii="宋体" w:hAnsi="宋体" w:eastAsia="宋体" w:cs="宋体"/>
          <w:b/>
          <w:color w:val="auto"/>
          <w:sz w:val="32"/>
          <w:szCs w:val="32"/>
          <w:highlight w:val="none"/>
        </w:rPr>
      </w:pPr>
    </w:p>
    <w:p w14:paraId="2362801F">
      <w:pPr>
        <w:adjustRightInd w:val="0"/>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附件11</w:t>
      </w:r>
    </w:p>
    <w:p w14:paraId="105E314B">
      <w:pPr>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报价一览表</w:t>
      </w:r>
    </w:p>
    <w:tbl>
      <w:tblPr>
        <w:tblStyle w:val="36"/>
        <w:tblpPr w:leftFromText="180" w:rightFromText="180" w:vertAnchor="text" w:horzAnchor="page" w:tblpXSpec="center" w:tblpY="18"/>
        <w:tblOverlap w:val="neve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604"/>
        <w:gridCol w:w="1588"/>
        <w:gridCol w:w="1606"/>
        <w:gridCol w:w="1121"/>
        <w:gridCol w:w="1376"/>
        <w:gridCol w:w="722"/>
      </w:tblGrid>
      <w:tr w14:paraId="4D01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3" w:type="dxa"/>
            <w:vAlign w:val="center"/>
          </w:tcPr>
          <w:p w14:paraId="0677B872">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2604" w:type="dxa"/>
            <w:vAlign w:val="center"/>
          </w:tcPr>
          <w:p w14:paraId="737D0CE3">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w:t>
            </w:r>
          </w:p>
        </w:tc>
        <w:tc>
          <w:tcPr>
            <w:tcW w:w="1588" w:type="dxa"/>
            <w:vAlign w:val="center"/>
          </w:tcPr>
          <w:p w14:paraId="75893582">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报价（元）</w:t>
            </w:r>
          </w:p>
        </w:tc>
        <w:tc>
          <w:tcPr>
            <w:tcW w:w="1606" w:type="dxa"/>
            <w:vAlign w:val="center"/>
          </w:tcPr>
          <w:p w14:paraId="3C074E8E">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服务期限</w:t>
            </w:r>
          </w:p>
        </w:tc>
        <w:tc>
          <w:tcPr>
            <w:tcW w:w="1121" w:type="dxa"/>
            <w:vAlign w:val="center"/>
          </w:tcPr>
          <w:p w14:paraId="0D6FC643">
            <w:pPr>
              <w:spacing w:line="38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项目实施地址</w:t>
            </w:r>
          </w:p>
        </w:tc>
        <w:tc>
          <w:tcPr>
            <w:tcW w:w="1376" w:type="dxa"/>
            <w:vAlign w:val="center"/>
          </w:tcPr>
          <w:p w14:paraId="4A5520C1">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项目负责人</w:t>
            </w:r>
          </w:p>
        </w:tc>
        <w:tc>
          <w:tcPr>
            <w:tcW w:w="722" w:type="dxa"/>
            <w:vAlign w:val="center"/>
          </w:tcPr>
          <w:p w14:paraId="3F292B3A">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7041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3" w:type="dxa"/>
            <w:vAlign w:val="center"/>
          </w:tcPr>
          <w:p w14:paraId="1685E522">
            <w:pPr>
              <w:spacing w:line="38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2604" w:type="dxa"/>
            <w:vAlign w:val="center"/>
          </w:tcPr>
          <w:p w14:paraId="3D5568B7">
            <w:pPr>
              <w:spacing w:line="380" w:lineRule="exact"/>
              <w:jc w:val="center"/>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val="zh-CN"/>
              </w:rPr>
              <w:t>南湖区-遂昌县制造业高质量发展结对促共富经营管理赋能服务项目</w:t>
            </w:r>
          </w:p>
        </w:tc>
        <w:tc>
          <w:tcPr>
            <w:tcW w:w="1588" w:type="dxa"/>
            <w:vAlign w:val="center"/>
          </w:tcPr>
          <w:p w14:paraId="20F1DDB1">
            <w:pPr>
              <w:spacing w:line="380" w:lineRule="exact"/>
              <w:jc w:val="center"/>
              <w:rPr>
                <w:rFonts w:hint="eastAsia" w:ascii="宋体" w:hAnsi="宋体" w:eastAsia="宋体" w:cs="宋体"/>
                <w:bCs/>
                <w:color w:val="auto"/>
                <w:sz w:val="22"/>
                <w:szCs w:val="22"/>
                <w:highlight w:val="none"/>
              </w:rPr>
            </w:pPr>
          </w:p>
        </w:tc>
        <w:tc>
          <w:tcPr>
            <w:tcW w:w="1606" w:type="dxa"/>
            <w:vAlign w:val="center"/>
          </w:tcPr>
          <w:p w14:paraId="22D68982">
            <w:pPr>
              <w:spacing w:line="380" w:lineRule="exact"/>
              <w:jc w:val="center"/>
              <w:rPr>
                <w:rFonts w:hint="eastAsia" w:ascii="宋体" w:hAnsi="宋体" w:eastAsia="宋体" w:cs="宋体"/>
                <w:bCs/>
                <w:color w:val="auto"/>
                <w:sz w:val="22"/>
                <w:szCs w:val="22"/>
                <w:highlight w:val="none"/>
              </w:rPr>
            </w:pPr>
          </w:p>
        </w:tc>
        <w:tc>
          <w:tcPr>
            <w:tcW w:w="1121" w:type="dxa"/>
            <w:vAlign w:val="center"/>
          </w:tcPr>
          <w:p w14:paraId="7A302318">
            <w:pPr>
              <w:spacing w:line="380" w:lineRule="exact"/>
              <w:jc w:val="center"/>
              <w:rPr>
                <w:rFonts w:hint="eastAsia" w:ascii="宋体" w:hAnsi="宋体" w:eastAsia="宋体" w:cs="宋体"/>
                <w:bCs/>
                <w:color w:val="auto"/>
                <w:sz w:val="22"/>
                <w:szCs w:val="22"/>
                <w:highlight w:val="none"/>
              </w:rPr>
            </w:pPr>
          </w:p>
        </w:tc>
        <w:tc>
          <w:tcPr>
            <w:tcW w:w="1376" w:type="dxa"/>
            <w:vAlign w:val="center"/>
          </w:tcPr>
          <w:p w14:paraId="2CA1B11E">
            <w:pPr>
              <w:spacing w:line="380" w:lineRule="exact"/>
              <w:jc w:val="center"/>
              <w:rPr>
                <w:rFonts w:hint="eastAsia" w:ascii="宋体" w:hAnsi="宋体" w:eastAsia="宋体" w:cs="宋体"/>
                <w:bCs/>
                <w:color w:val="auto"/>
                <w:sz w:val="22"/>
                <w:szCs w:val="22"/>
                <w:highlight w:val="none"/>
              </w:rPr>
            </w:pPr>
          </w:p>
        </w:tc>
        <w:tc>
          <w:tcPr>
            <w:tcW w:w="722" w:type="dxa"/>
            <w:vAlign w:val="center"/>
          </w:tcPr>
          <w:p w14:paraId="12524883">
            <w:pPr>
              <w:spacing w:line="380" w:lineRule="exact"/>
              <w:jc w:val="center"/>
              <w:rPr>
                <w:rFonts w:hint="eastAsia" w:ascii="宋体" w:hAnsi="宋体" w:eastAsia="宋体" w:cs="宋体"/>
                <w:bCs/>
                <w:color w:val="auto"/>
                <w:sz w:val="22"/>
                <w:szCs w:val="22"/>
                <w:highlight w:val="none"/>
              </w:rPr>
            </w:pPr>
          </w:p>
        </w:tc>
      </w:tr>
      <w:tr w14:paraId="61F6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3307" w:type="dxa"/>
            <w:gridSpan w:val="2"/>
            <w:vAlign w:val="center"/>
          </w:tcPr>
          <w:p w14:paraId="58211E1D">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投标报价</w:t>
            </w:r>
            <w:r>
              <w:rPr>
                <w:rFonts w:hint="eastAsia" w:ascii="宋体" w:hAnsi="宋体" w:eastAsia="宋体" w:cs="宋体"/>
                <w:color w:val="auto"/>
                <w:sz w:val="24"/>
                <w:highlight w:val="none"/>
                <w:lang w:val="zh-CN"/>
              </w:rPr>
              <w:t>（大写）</w:t>
            </w:r>
          </w:p>
        </w:tc>
        <w:tc>
          <w:tcPr>
            <w:tcW w:w="5691" w:type="dxa"/>
            <w:gridSpan w:val="4"/>
            <w:vAlign w:val="center"/>
          </w:tcPr>
          <w:p w14:paraId="338A4B71">
            <w:pPr>
              <w:spacing w:line="380" w:lineRule="exact"/>
              <w:jc w:val="center"/>
              <w:rPr>
                <w:rFonts w:hint="eastAsia" w:ascii="宋体" w:hAnsi="宋体" w:eastAsia="宋体" w:cs="宋体"/>
                <w:bCs/>
                <w:color w:val="auto"/>
                <w:sz w:val="22"/>
                <w:szCs w:val="22"/>
                <w:highlight w:val="none"/>
              </w:rPr>
            </w:pPr>
          </w:p>
        </w:tc>
        <w:tc>
          <w:tcPr>
            <w:tcW w:w="722" w:type="dxa"/>
          </w:tcPr>
          <w:p w14:paraId="7ED68559">
            <w:pPr>
              <w:spacing w:line="380" w:lineRule="exact"/>
              <w:rPr>
                <w:rFonts w:hint="eastAsia" w:ascii="宋体" w:hAnsi="宋体" w:eastAsia="宋体" w:cs="宋体"/>
                <w:bCs/>
                <w:color w:val="auto"/>
                <w:sz w:val="22"/>
                <w:szCs w:val="22"/>
                <w:highlight w:val="none"/>
              </w:rPr>
            </w:pPr>
          </w:p>
        </w:tc>
      </w:tr>
    </w:tbl>
    <w:p w14:paraId="7C231DF8">
      <w:pPr>
        <w:adjustRightInd w:val="0"/>
        <w:spacing w:line="5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w:t>
      </w:r>
      <w:r>
        <w:rPr>
          <w:rFonts w:hint="eastAsia" w:ascii="宋体" w:hAnsi="宋体" w:eastAsia="宋体" w:cs="宋体"/>
          <w:color w:val="auto"/>
          <w:sz w:val="24"/>
          <w:highlight w:val="none"/>
        </w:rPr>
        <w:t>：1、填写此表时不得改变表格的形式。</w:t>
      </w:r>
    </w:p>
    <w:p w14:paraId="52B54DF8">
      <w:pPr>
        <w:adjustRightIn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磋商报价包括提供正常服务所必需的人员工资、奖金、加班费、设备和设施费、管理费、税费、利润、完成合同所需的一切本身和不可或缺的所有工作开支、政策性文件规定及合同包含的所有风险、责任等各项全部费用。</w:t>
      </w:r>
    </w:p>
    <w:p w14:paraId="499E5B2F">
      <w:pPr>
        <w:adjustRightInd w:val="0"/>
        <w:spacing w:line="500" w:lineRule="exact"/>
        <w:rPr>
          <w:rFonts w:hint="eastAsia" w:ascii="宋体" w:hAnsi="宋体" w:eastAsia="宋体" w:cs="宋体"/>
          <w:color w:val="auto"/>
          <w:sz w:val="24"/>
          <w:highlight w:val="none"/>
        </w:rPr>
      </w:pPr>
    </w:p>
    <w:p w14:paraId="25C3D2E3">
      <w:pPr>
        <w:ind w:firstLine="753" w:firstLineChars="250"/>
        <w:jc w:val="center"/>
        <w:rPr>
          <w:rFonts w:hint="eastAsia" w:ascii="宋体" w:hAnsi="宋体" w:eastAsia="宋体" w:cs="宋体"/>
          <w:b/>
          <w:color w:val="auto"/>
          <w:sz w:val="30"/>
          <w:szCs w:val="30"/>
          <w:highlight w:val="none"/>
        </w:rPr>
      </w:pPr>
    </w:p>
    <w:p w14:paraId="778157D6">
      <w:pPr>
        <w:tabs>
          <w:tab w:val="left" w:pos="7560"/>
        </w:tabs>
        <w:ind w:firstLine="753" w:firstLineChars="250"/>
        <w:jc w:val="center"/>
        <w:rPr>
          <w:rFonts w:hint="eastAsia" w:ascii="宋体" w:hAnsi="宋体" w:eastAsia="宋体" w:cs="宋体"/>
          <w:b/>
          <w:color w:val="auto"/>
          <w:sz w:val="30"/>
          <w:szCs w:val="30"/>
          <w:highlight w:val="none"/>
        </w:rPr>
      </w:pPr>
    </w:p>
    <w:p w14:paraId="587B9154">
      <w:pPr>
        <w:spacing w:line="360" w:lineRule="auto"/>
        <w:ind w:firstLine="3600" w:firstLineChars="1500"/>
        <w:rPr>
          <w:rFonts w:hint="eastAsia" w:ascii="宋体" w:hAnsi="宋体" w:eastAsia="宋体" w:cs="宋体"/>
          <w:color w:val="auto"/>
          <w:spacing w:val="20"/>
          <w:szCs w:val="21"/>
          <w:highlight w:val="none"/>
          <w:u w:val="single"/>
        </w:rPr>
      </w:pPr>
      <w:r>
        <w:rPr>
          <w:rFonts w:hint="eastAsia" w:ascii="宋体" w:hAnsi="宋体" w:eastAsia="宋体" w:cs="宋体"/>
          <w:color w:val="auto"/>
          <w:sz w:val="24"/>
          <w:highlight w:val="none"/>
        </w:rPr>
        <w:t>法定代表人或被授权人签字（或签章）</w:t>
      </w:r>
      <w:r>
        <w:rPr>
          <w:rFonts w:hint="eastAsia" w:ascii="宋体" w:hAnsi="宋体" w:eastAsia="宋体" w:cs="宋体"/>
          <w:color w:val="auto"/>
          <w:spacing w:val="20"/>
          <w:szCs w:val="21"/>
          <w:highlight w:val="none"/>
        </w:rPr>
        <w:t>：</w:t>
      </w:r>
    </w:p>
    <w:p w14:paraId="34F3EA6A">
      <w:pPr>
        <w:spacing w:line="360" w:lineRule="auto"/>
        <w:ind w:firstLine="3600" w:firstLineChars="1500"/>
        <w:rPr>
          <w:rFonts w:hint="eastAsia" w:ascii="宋体" w:hAnsi="宋体" w:eastAsia="宋体" w:cs="宋体"/>
          <w:color w:val="auto"/>
          <w:sz w:val="24"/>
          <w:highlight w:val="none"/>
        </w:rPr>
      </w:pPr>
    </w:p>
    <w:p w14:paraId="38BB9B39">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613E2C91">
      <w:pPr>
        <w:spacing w:line="360" w:lineRule="auto"/>
        <w:ind w:firstLine="3600" w:firstLineChars="1500"/>
        <w:rPr>
          <w:rFonts w:hint="eastAsia" w:ascii="宋体" w:hAnsi="宋体" w:eastAsia="宋体" w:cs="宋体"/>
          <w:color w:val="auto"/>
          <w:sz w:val="24"/>
          <w:highlight w:val="none"/>
        </w:rPr>
      </w:pPr>
    </w:p>
    <w:p w14:paraId="0DCB423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986EBDC">
      <w:pPr>
        <w:ind w:firstLine="525" w:firstLineChars="250"/>
        <w:jc w:val="center"/>
        <w:rPr>
          <w:rFonts w:hint="eastAsia" w:ascii="宋体" w:hAnsi="宋体" w:eastAsia="宋体" w:cs="宋体"/>
          <w:color w:val="auto"/>
          <w:szCs w:val="21"/>
          <w:highlight w:val="none"/>
          <w:u w:val="single"/>
        </w:rPr>
      </w:pPr>
    </w:p>
    <w:p w14:paraId="22F22E66">
      <w:pPr>
        <w:pStyle w:val="3"/>
        <w:rPr>
          <w:rFonts w:hint="eastAsia" w:ascii="宋体" w:hAnsi="宋体" w:eastAsia="宋体" w:cs="宋体"/>
          <w:color w:val="auto"/>
          <w:highlight w:val="none"/>
        </w:rPr>
      </w:pPr>
    </w:p>
    <w:p w14:paraId="6C1C06E8">
      <w:pPr>
        <w:rPr>
          <w:rFonts w:hint="eastAsia" w:ascii="宋体" w:hAnsi="宋体" w:eastAsia="宋体" w:cs="宋体"/>
          <w:color w:val="auto"/>
          <w:highlight w:val="none"/>
        </w:rPr>
      </w:pPr>
    </w:p>
    <w:p w14:paraId="7C32E085">
      <w:pPr>
        <w:pStyle w:val="32"/>
        <w:rPr>
          <w:rFonts w:hint="eastAsia" w:ascii="宋体" w:hAnsi="宋体" w:eastAsia="宋体" w:cs="宋体"/>
          <w:color w:val="auto"/>
          <w:highlight w:val="none"/>
        </w:rPr>
      </w:pPr>
    </w:p>
    <w:p w14:paraId="00FE000E">
      <w:pPr>
        <w:rPr>
          <w:rFonts w:hint="eastAsia"/>
        </w:rPr>
      </w:pPr>
    </w:p>
    <w:p w14:paraId="2C4DA1CB">
      <w:pPr>
        <w:rPr>
          <w:rFonts w:hint="eastAsia" w:ascii="宋体" w:hAnsi="宋体" w:eastAsia="宋体" w:cs="宋体"/>
          <w:color w:val="auto"/>
          <w:highlight w:val="none"/>
        </w:rPr>
      </w:pPr>
    </w:p>
    <w:p w14:paraId="38D0CBEC">
      <w:pPr>
        <w:spacing w:line="360" w:lineRule="exact"/>
        <w:rPr>
          <w:rFonts w:hint="eastAsia" w:ascii="宋体" w:hAnsi="宋体" w:eastAsia="宋体" w:cs="宋体"/>
          <w:b/>
          <w:color w:val="auto"/>
          <w:spacing w:val="20"/>
          <w:sz w:val="30"/>
          <w:szCs w:val="30"/>
          <w:highlight w:val="none"/>
        </w:rPr>
      </w:pPr>
      <w:r>
        <w:rPr>
          <w:rFonts w:hint="eastAsia" w:ascii="宋体" w:hAnsi="宋体" w:eastAsia="宋体" w:cs="宋体"/>
          <w:b/>
          <w:color w:val="auto"/>
          <w:sz w:val="32"/>
          <w:szCs w:val="32"/>
          <w:highlight w:val="none"/>
        </w:rPr>
        <w:t>附件12              报价明细表</w:t>
      </w:r>
    </w:p>
    <w:p w14:paraId="678D1883">
      <w:pPr>
        <w:rPr>
          <w:rFonts w:hint="eastAsia" w:ascii="宋体" w:hAnsi="宋体" w:eastAsia="宋体" w:cs="宋体"/>
          <w:color w:val="auto"/>
          <w:spacing w:val="20"/>
          <w:sz w:val="23"/>
          <w:szCs w:val="23"/>
          <w:highlight w:val="none"/>
        </w:rPr>
      </w:pPr>
    </w:p>
    <w:p w14:paraId="147DB23C">
      <w:pPr>
        <w:pStyle w:val="16"/>
        <w:snapToGrid w:val="0"/>
        <w:spacing w:before="295" w:after="295"/>
        <w:ind w:firstLine="5985" w:firstLineChars="2850"/>
        <w:rPr>
          <w:rFonts w:hint="eastAsia" w:ascii="宋体" w:hAnsi="宋体" w:eastAsia="宋体" w:cs="宋体"/>
          <w:color w:val="auto"/>
          <w:sz w:val="30"/>
          <w:highlight w:val="none"/>
        </w:rPr>
      </w:pPr>
      <w:r>
        <w:rPr>
          <w:rFonts w:hint="eastAsia" w:ascii="宋体" w:hAnsi="宋体" w:eastAsia="宋体" w:cs="宋体"/>
          <w:color w:val="auto"/>
          <w:highlight w:val="none"/>
        </w:rPr>
        <w:t>金额单位：人民币（元）</w:t>
      </w:r>
    </w:p>
    <w:tbl>
      <w:tblPr>
        <w:tblStyle w:val="36"/>
        <w:tblW w:w="9860"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77"/>
        <w:gridCol w:w="4305"/>
        <w:gridCol w:w="849"/>
        <w:gridCol w:w="1106"/>
        <w:gridCol w:w="1372"/>
        <w:gridCol w:w="1451"/>
      </w:tblGrid>
      <w:tr w14:paraId="1AF24B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44"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77E95B2A">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4029" w:type="dxa"/>
            <w:tcBorders>
              <w:top w:val="single" w:color="auto" w:sz="4" w:space="0"/>
              <w:left w:val="single" w:color="auto" w:sz="4" w:space="0"/>
              <w:bottom w:val="single" w:color="auto" w:sz="4" w:space="0"/>
              <w:right w:val="single" w:color="auto" w:sz="4" w:space="0"/>
            </w:tcBorders>
            <w:vAlign w:val="center"/>
          </w:tcPr>
          <w:p w14:paraId="2DB0D365">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795" w:type="dxa"/>
            <w:tcBorders>
              <w:top w:val="single" w:color="auto" w:sz="4" w:space="0"/>
              <w:left w:val="single" w:color="auto" w:sz="4" w:space="0"/>
              <w:bottom w:val="single" w:color="auto" w:sz="4" w:space="0"/>
              <w:right w:val="single" w:color="auto" w:sz="4" w:space="0"/>
            </w:tcBorders>
            <w:vAlign w:val="center"/>
          </w:tcPr>
          <w:p w14:paraId="3039D079">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1035" w:type="dxa"/>
            <w:tcBorders>
              <w:top w:val="single" w:color="auto" w:sz="4" w:space="0"/>
              <w:left w:val="single" w:color="auto" w:sz="4" w:space="0"/>
              <w:bottom w:val="single" w:color="auto" w:sz="4" w:space="0"/>
              <w:right w:val="single" w:color="auto" w:sz="4" w:space="0"/>
            </w:tcBorders>
            <w:vAlign w:val="center"/>
          </w:tcPr>
          <w:p w14:paraId="3BB3B68F">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1284" w:type="dxa"/>
            <w:tcBorders>
              <w:top w:val="single" w:color="auto" w:sz="4" w:space="0"/>
              <w:left w:val="single" w:color="auto" w:sz="4" w:space="0"/>
              <w:bottom w:val="single" w:color="auto" w:sz="4" w:space="0"/>
              <w:right w:val="single" w:color="auto" w:sz="4" w:space="0"/>
            </w:tcBorders>
            <w:vAlign w:val="center"/>
          </w:tcPr>
          <w:p w14:paraId="49BE59AE">
            <w:pP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单价</w:t>
            </w:r>
          </w:p>
        </w:tc>
        <w:tc>
          <w:tcPr>
            <w:tcW w:w="1358" w:type="dxa"/>
            <w:tcBorders>
              <w:top w:val="single" w:color="auto" w:sz="4" w:space="0"/>
              <w:left w:val="single" w:color="auto" w:sz="4" w:space="0"/>
              <w:bottom w:val="single" w:color="auto" w:sz="4" w:space="0"/>
              <w:right w:val="single" w:color="auto" w:sz="4" w:space="0"/>
            </w:tcBorders>
            <w:vAlign w:val="center"/>
          </w:tcPr>
          <w:p w14:paraId="07BD97E5">
            <w:pP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金额</w:t>
            </w:r>
          </w:p>
        </w:tc>
      </w:tr>
      <w:tr w14:paraId="68025E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56"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A3B5D48">
            <w:pPr>
              <w:widowControl/>
              <w:jc w:val="center"/>
              <w:rPr>
                <w:rFonts w:hint="eastAsia" w:ascii="宋体" w:hAnsi="宋体" w:eastAsia="宋体" w:cs="宋体"/>
                <w:color w:val="auto"/>
                <w:kern w:val="0"/>
                <w:szCs w:val="21"/>
                <w:highlight w:val="none"/>
              </w:rPr>
            </w:pPr>
          </w:p>
        </w:tc>
        <w:tc>
          <w:tcPr>
            <w:tcW w:w="4029" w:type="dxa"/>
            <w:tcBorders>
              <w:top w:val="single" w:color="auto" w:sz="4" w:space="0"/>
              <w:left w:val="single" w:color="auto" w:sz="4" w:space="0"/>
              <w:bottom w:val="single" w:color="auto" w:sz="4" w:space="0"/>
              <w:right w:val="single" w:color="auto" w:sz="4" w:space="0"/>
            </w:tcBorders>
            <w:vAlign w:val="center"/>
          </w:tcPr>
          <w:p w14:paraId="162415D9">
            <w:pPr>
              <w:widowControl/>
              <w:rPr>
                <w:rFonts w:hint="eastAsia" w:ascii="宋体" w:hAnsi="宋体" w:eastAsia="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70AE3DE7">
            <w:pPr>
              <w:widowControl/>
              <w:jc w:val="center"/>
              <w:rPr>
                <w:rFonts w:hint="eastAsia" w:ascii="宋体" w:hAnsi="宋体" w:eastAsia="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FDBFB6A">
            <w:pPr>
              <w:widowControl/>
              <w:jc w:val="center"/>
              <w:rPr>
                <w:rFonts w:hint="eastAsia" w:ascii="宋体" w:hAnsi="宋体" w:eastAsia="宋体" w:cs="宋体"/>
                <w:color w:val="auto"/>
                <w:kern w:val="0"/>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48E44FB7">
            <w:pPr>
              <w:widowControl/>
              <w:jc w:val="center"/>
              <w:rPr>
                <w:rFonts w:hint="eastAsia" w:ascii="宋体" w:hAnsi="宋体" w:eastAsia="宋体" w:cs="宋体"/>
                <w:color w:val="auto"/>
                <w:kern w:val="0"/>
                <w:szCs w:val="21"/>
                <w:highlight w:val="none"/>
              </w:rPr>
            </w:pPr>
          </w:p>
        </w:tc>
        <w:tc>
          <w:tcPr>
            <w:tcW w:w="1358" w:type="dxa"/>
            <w:tcBorders>
              <w:top w:val="single" w:color="auto" w:sz="4" w:space="0"/>
              <w:left w:val="single" w:color="auto" w:sz="4" w:space="0"/>
              <w:bottom w:val="single" w:color="auto" w:sz="4" w:space="0"/>
              <w:right w:val="single" w:color="auto" w:sz="4" w:space="0"/>
            </w:tcBorders>
          </w:tcPr>
          <w:p w14:paraId="0478E6E3">
            <w:pPr>
              <w:widowControl/>
              <w:jc w:val="center"/>
              <w:rPr>
                <w:rFonts w:hint="eastAsia" w:ascii="宋体" w:hAnsi="宋体" w:eastAsia="宋体" w:cs="宋体"/>
                <w:color w:val="auto"/>
                <w:kern w:val="0"/>
                <w:szCs w:val="21"/>
                <w:highlight w:val="none"/>
              </w:rPr>
            </w:pPr>
          </w:p>
        </w:tc>
      </w:tr>
      <w:tr w14:paraId="471F32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6"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F116887">
            <w:pPr>
              <w:widowControl/>
              <w:jc w:val="center"/>
              <w:rPr>
                <w:rFonts w:hint="eastAsia" w:ascii="宋体" w:hAnsi="宋体" w:eastAsia="宋体" w:cs="宋体"/>
                <w:color w:val="auto"/>
                <w:kern w:val="0"/>
                <w:szCs w:val="21"/>
                <w:highlight w:val="none"/>
              </w:rPr>
            </w:pPr>
          </w:p>
        </w:tc>
        <w:tc>
          <w:tcPr>
            <w:tcW w:w="4029" w:type="dxa"/>
            <w:tcBorders>
              <w:top w:val="single" w:color="auto" w:sz="4" w:space="0"/>
              <w:left w:val="single" w:color="auto" w:sz="4" w:space="0"/>
              <w:bottom w:val="single" w:color="auto" w:sz="4" w:space="0"/>
              <w:right w:val="single" w:color="auto" w:sz="4" w:space="0"/>
            </w:tcBorders>
            <w:vAlign w:val="center"/>
          </w:tcPr>
          <w:p w14:paraId="7D8DB7BC">
            <w:pPr>
              <w:widowControl/>
              <w:rPr>
                <w:rFonts w:hint="eastAsia" w:ascii="宋体" w:hAnsi="宋体" w:eastAsia="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668EA2F5">
            <w:pPr>
              <w:widowControl/>
              <w:jc w:val="center"/>
              <w:rPr>
                <w:rFonts w:hint="eastAsia" w:ascii="宋体" w:hAnsi="宋体" w:eastAsia="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77E2CFFD">
            <w:pPr>
              <w:widowControl/>
              <w:jc w:val="center"/>
              <w:rPr>
                <w:rFonts w:hint="eastAsia" w:ascii="宋体" w:hAnsi="宋体" w:eastAsia="宋体" w:cs="宋体"/>
                <w:color w:val="auto"/>
                <w:kern w:val="0"/>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465A2659">
            <w:pPr>
              <w:widowControl/>
              <w:jc w:val="center"/>
              <w:rPr>
                <w:rFonts w:hint="eastAsia" w:ascii="宋体" w:hAnsi="宋体" w:eastAsia="宋体" w:cs="宋体"/>
                <w:color w:val="auto"/>
                <w:kern w:val="0"/>
                <w:szCs w:val="21"/>
                <w:highlight w:val="none"/>
              </w:rPr>
            </w:pPr>
          </w:p>
        </w:tc>
        <w:tc>
          <w:tcPr>
            <w:tcW w:w="1358" w:type="dxa"/>
            <w:tcBorders>
              <w:top w:val="single" w:color="auto" w:sz="4" w:space="0"/>
              <w:left w:val="single" w:color="auto" w:sz="4" w:space="0"/>
              <w:bottom w:val="single" w:color="auto" w:sz="4" w:space="0"/>
              <w:right w:val="single" w:color="auto" w:sz="4" w:space="0"/>
            </w:tcBorders>
          </w:tcPr>
          <w:p w14:paraId="379AFD96">
            <w:pPr>
              <w:widowControl/>
              <w:jc w:val="center"/>
              <w:rPr>
                <w:rFonts w:hint="eastAsia" w:ascii="宋体" w:hAnsi="宋体" w:eastAsia="宋体" w:cs="宋体"/>
                <w:color w:val="auto"/>
                <w:kern w:val="0"/>
                <w:szCs w:val="21"/>
                <w:highlight w:val="none"/>
              </w:rPr>
            </w:pPr>
          </w:p>
        </w:tc>
      </w:tr>
      <w:tr w14:paraId="454527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FC1593B">
            <w:pPr>
              <w:widowControl/>
              <w:jc w:val="center"/>
              <w:rPr>
                <w:rFonts w:hint="eastAsia" w:ascii="宋体" w:hAnsi="宋体" w:eastAsia="宋体" w:cs="宋体"/>
                <w:color w:val="auto"/>
                <w:kern w:val="0"/>
                <w:szCs w:val="21"/>
                <w:highlight w:val="none"/>
              </w:rPr>
            </w:pPr>
          </w:p>
        </w:tc>
        <w:tc>
          <w:tcPr>
            <w:tcW w:w="4029" w:type="dxa"/>
            <w:tcBorders>
              <w:top w:val="single" w:color="auto" w:sz="4" w:space="0"/>
              <w:left w:val="single" w:color="auto" w:sz="4" w:space="0"/>
              <w:bottom w:val="single" w:color="auto" w:sz="4" w:space="0"/>
              <w:right w:val="single" w:color="auto" w:sz="4" w:space="0"/>
            </w:tcBorders>
            <w:vAlign w:val="center"/>
          </w:tcPr>
          <w:p w14:paraId="52E3EB96">
            <w:pPr>
              <w:widowControl/>
              <w:rPr>
                <w:rFonts w:hint="eastAsia" w:ascii="宋体" w:hAnsi="宋体" w:eastAsia="宋体" w:cs="宋体"/>
                <w:color w:val="auto"/>
                <w:kern w:val="0"/>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66E2536E">
            <w:pPr>
              <w:widowControl/>
              <w:jc w:val="center"/>
              <w:rPr>
                <w:rFonts w:hint="eastAsia" w:ascii="宋体" w:hAnsi="宋体" w:eastAsia="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1067A52">
            <w:pPr>
              <w:widowControl/>
              <w:jc w:val="center"/>
              <w:rPr>
                <w:rFonts w:hint="eastAsia" w:ascii="宋体" w:hAnsi="宋体" w:eastAsia="宋体" w:cs="宋体"/>
                <w:color w:val="auto"/>
                <w:kern w:val="0"/>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509779A4">
            <w:pPr>
              <w:widowControl/>
              <w:jc w:val="center"/>
              <w:rPr>
                <w:rFonts w:hint="eastAsia" w:ascii="宋体" w:hAnsi="宋体" w:eastAsia="宋体" w:cs="宋体"/>
                <w:color w:val="auto"/>
                <w:kern w:val="0"/>
                <w:szCs w:val="21"/>
                <w:highlight w:val="none"/>
              </w:rPr>
            </w:pPr>
          </w:p>
        </w:tc>
        <w:tc>
          <w:tcPr>
            <w:tcW w:w="1358" w:type="dxa"/>
            <w:tcBorders>
              <w:top w:val="single" w:color="auto" w:sz="4" w:space="0"/>
              <w:left w:val="single" w:color="auto" w:sz="4" w:space="0"/>
              <w:bottom w:val="single" w:color="auto" w:sz="4" w:space="0"/>
              <w:right w:val="single" w:color="auto" w:sz="4" w:space="0"/>
            </w:tcBorders>
          </w:tcPr>
          <w:p w14:paraId="2AC1FDBA">
            <w:pPr>
              <w:widowControl/>
              <w:jc w:val="center"/>
              <w:rPr>
                <w:rFonts w:hint="eastAsia" w:ascii="宋体" w:hAnsi="宋体" w:eastAsia="宋体" w:cs="宋体"/>
                <w:color w:val="auto"/>
                <w:kern w:val="0"/>
                <w:szCs w:val="21"/>
                <w:highlight w:val="none"/>
              </w:rPr>
            </w:pPr>
          </w:p>
        </w:tc>
      </w:tr>
      <w:tr w14:paraId="409E83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108CE1F8">
            <w:pPr>
              <w:widowControl/>
              <w:jc w:val="center"/>
              <w:rPr>
                <w:rFonts w:hint="eastAsia" w:ascii="宋体" w:hAnsi="宋体" w:eastAsia="宋体" w:cs="宋体"/>
                <w:color w:val="auto"/>
                <w:kern w:val="0"/>
                <w:szCs w:val="21"/>
                <w:highlight w:val="none"/>
              </w:rPr>
            </w:pPr>
          </w:p>
        </w:tc>
        <w:tc>
          <w:tcPr>
            <w:tcW w:w="4029" w:type="dxa"/>
            <w:tcBorders>
              <w:top w:val="single" w:color="auto" w:sz="4" w:space="0"/>
              <w:left w:val="single" w:color="auto" w:sz="4" w:space="0"/>
              <w:bottom w:val="single" w:color="auto" w:sz="4" w:space="0"/>
              <w:right w:val="single" w:color="auto" w:sz="4" w:space="0"/>
            </w:tcBorders>
            <w:vAlign w:val="center"/>
          </w:tcPr>
          <w:p w14:paraId="65F793DC">
            <w:pPr>
              <w:widowControl/>
              <w:jc w:val="center"/>
              <w:rPr>
                <w:rFonts w:hint="eastAsia" w:ascii="宋体" w:hAnsi="宋体" w:eastAsia="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0089C76C">
            <w:pPr>
              <w:widowControl/>
              <w:jc w:val="center"/>
              <w:rPr>
                <w:rFonts w:hint="eastAsia" w:ascii="宋体" w:hAnsi="宋体" w:eastAsia="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54BACD3">
            <w:pPr>
              <w:widowControl/>
              <w:jc w:val="center"/>
              <w:rPr>
                <w:rFonts w:hint="eastAsia" w:ascii="宋体" w:hAnsi="宋体" w:eastAsia="宋体" w:cs="宋体"/>
                <w:color w:val="auto"/>
                <w:kern w:val="0"/>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6A9A90BF">
            <w:pPr>
              <w:widowControl/>
              <w:jc w:val="center"/>
              <w:rPr>
                <w:rFonts w:hint="eastAsia" w:ascii="宋体" w:hAnsi="宋体" w:eastAsia="宋体" w:cs="宋体"/>
                <w:color w:val="auto"/>
                <w:kern w:val="0"/>
                <w:szCs w:val="21"/>
                <w:highlight w:val="none"/>
              </w:rPr>
            </w:pPr>
          </w:p>
        </w:tc>
        <w:tc>
          <w:tcPr>
            <w:tcW w:w="1358" w:type="dxa"/>
            <w:tcBorders>
              <w:top w:val="single" w:color="auto" w:sz="4" w:space="0"/>
              <w:left w:val="single" w:color="auto" w:sz="4" w:space="0"/>
              <w:bottom w:val="single" w:color="auto" w:sz="4" w:space="0"/>
              <w:right w:val="single" w:color="auto" w:sz="4" w:space="0"/>
            </w:tcBorders>
          </w:tcPr>
          <w:p w14:paraId="0BD3FFEB">
            <w:pPr>
              <w:widowControl/>
              <w:jc w:val="center"/>
              <w:rPr>
                <w:rFonts w:hint="eastAsia" w:ascii="宋体" w:hAnsi="宋体" w:eastAsia="宋体" w:cs="宋体"/>
                <w:color w:val="auto"/>
                <w:kern w:val="0"/>
                <w:szCs w:val="21"/>
                <w:highlight w:val="none"/>
              </w:rPr>
            </w:pPr>
          </w:p>
        </w:tc>
      </w:tr>
      <w:tr w14:paraId="292BA9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B1C71ED">
            <w:pPr>
              <w:widowControl/>
              <w:jc w:val="center"/>
              <w:rPr>
                <w:rFonts w:hint="eastAsia" w:ascii="宋体" w:hAnsi="宋体" w:eastAsia="宋体" w:cs="宋体"/>
                <w:color w:val="auto"/>
                <w:kern w:val="0"/>
                <w:szCs w:val="21"/>
                <w:highlight w:val="none"/>
              </w:rPr>
            </w:pPr>
          </w:p>
        </w:tc>
        <w:tc>
          <w:tcPr>
            <w:tcW w:w="4029" w:type="dxa"/>
            <w:tcBorders>
              <w:top w:val="single" w:color="auto" w:sz="4" w:space="0"/>
              <w:left w:val="single" w:color="auto" w:sz="4" w:space="0"/>
              <w:bottom w:val="single" w:color="auto" w:sz="4" w:space="0"/>
              <w:right w:val="single" w:color="auto" w:sz="4" w:space="0"/>
            </w:tcBorders>
            <w:vAlign w:val="center"/>
          </w:tcPr>
          <w:p w14:paraId="2FAFC098">
            <w:pPr>
              <w:widowControl/>
              <w:jc w:val="center"/>
              <w:rPr>
                <w:rFonts w:hint="eastAsia" w:ascii="宋体" w:hAnsi="宋体" w:eastAsia="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2025DB32">
            <w:pPr>
              <w:widowControl/>
              <w:jc w:val="center"/>
              <w:rPr>
                <w:rFonts w:hint="eastAsia" w:ascii="宋体" w:hAnsi="宋体" w:eastAsia="宋体" w:cs="宋体"/>
                <w:color w:val="auto"/>
                <w:kern w:val="0"/>
                <w:szCs w:val="21"/>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545BE64">
            <w:pPr>
              <w:widowControl/>
              <w:jc w:val="center"/>
              <w:rPr>
                <w:rFonts w:hint="eastAsia" w:ascii="宋体" w:hAnsi="宋体" w:eastAsia="宋体" w:cs="宋体"/>
                <w:color w:val="auto"/>
                <w:kern w:val="0"/>
                <w:szCs w:val="21"/>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79FAFE3B">
            <w:pPr>
              <w:widowControl/>
              <w:jc w:val="center"/>
              <w:rPr>
                <w:rFonts w:hint="eastAsia" w:ascii="宋体" w:hAnsi="宋体" w:eastAsia="宋体" w:cs="宋体"/>
                <w:color w:val="auto"/>
                <w:kern w:val="0"/>
                <w:szCs w:val="21"/>
                <w:highlight w:val="none"/>
              </w:rPr>
            </w:pPr>
          </w:p>
        </w:tc>
        <w:tc>
          <w:tcPr>
            <w:tcW w:w="1358" w:type="dxa"/>
            <w:tcBorders>
              <w:top w:val="single" w:color="auto" w:sz="4" w:space="0"/>
              <w:left w:val="single" w:color="auto" w:sz="4" w:space="0"/>
              <w:bottom w:val="single" w:color="auto" w:sz="4" w:space="0"/>
              <w:right w:val="single" w:color="auto" w:sz="4" w:space="0"/>
            </w:tcBorders>
          </w:tcPr>
          <w:p w14:paraId="7778D9A6">
            <w:pPr>
              <w:widowControl/>
              <w:jc w:val="center"/>
              <w:rPr>
                <w:rFonts w:hint="eastAsia" w:ascii="宋体" w:hAnsi="宋体" w:eastAsia="宋体" w:cs="宋体"/>
                <w:color w:val="auto"/>
                <w:kern w:val="0"/>
                <w:szCs w:val="21"/>
                <w:highlight w:val="none"/>
              </w:rPr>
            </w:pPr>
          </w:p>
        </w:tc>
      </w:tr>
      <w:tr w14:paraId="24AF0C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3" w:hRule="atLeast"/>
          <w:jc w:val="center"/>
        </w:trPr>
        <w:tc>
          <w:tcPr>
            <w:tcW w:w="9228" w:type="dxa"/>
            <w:gridSpan w:val="6"/>
            <w:tcBorders>
              <w:top w:val="single" w:color="auto" w:sz="4" w:space="0"/>
              <w:left w:val="single" w:color="auto" w:sz="4" w:space="0"/>
              <w:bottom w:val="single" w:color="auto" w:sz="4" w:space="0"/>
              <w:right w:val="single" w:color="auto" w:sz="4" w:space="0"/>
            </w:tcBorders>
            <w:vAlign w:val="center"/>
          </w:tcPr>
          <w:p w14:paraId="0BA6E5D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  人民币（大写）：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tc>
      </w:tr>
    </w:tbl>
    <w:p w14:paraId="003C045D">
      <w:pPr>
        <w:pStyle w:val="2"/>
        <w:rPr>
          <w:rFonts w:hint="eastAsia" w:ascii="宋体" w:hAnsi="宋体" w:eastAsia="宋体" w:cs="宋体"/>
          <w:color w:val="auto"/>
          <w:highlight w:val="none"/>
        </w:rPr>
      </w:pPr>
      <w:r>
        <w:rPr>
          <w:rFonts w:hint="eastAsia" w:ascii="宋体" w:hAnsi="宋体" w:eastAsia="宋体" w:cs="宋体"/>
          <w:color w:val="auto"/>
          <w:szCs w:val="21"/>
          <w:highlight w:val="none"/>
        </w:rPr>
        <w:t>注：此表在不改变表式的情况下，可自行制作。</w:t>
      </w:r>
    </w:p>
    <w:p w14:paraId="1D0D570A">
      <w:pPr>
        <w:rPr>
          <w:rFonts w:hint="eastAsia" w:ascii="宋体" w:hAnsi="宋体" w:eastAsia="宋体" w:cs="宋体"/>
          <w:color w:val="auto"/>
          <w:spacing w:val="20"/>
          <w:sz w:val="23"/>
          <w:szCs w:val="23"/>
          <w:highlight w:val="none"/>
        </w:rPr>
      </w:pPr>
    </w:p>
    <w:p w14:paraId="4A8FDB0B">
      <w:pPr>
        <w:spacing w:line="360" w:lineRule="auto"/>
        <w:rPr>
          <w:rFonts w:hint="eastAsia" w:ascii="宋体" w:hAnsi="宋体" w:eastAsia="宋体" w:cs="宋体"/>
          <w:color w:val="auto"/>
          <w:spacing w:val="20"/>
          <w:sz w:val="23"/>
          <w:szCs w:val="23"/>
          <w:highlight w:val="none"/>
        </w:rPr>
      </w:pPr>
      <w:r>
        <w:rPr>
          <w:rFonts w:hint="eastAsia" w:ascii="宋体" w:hAnsi="宋体" w:eastAsia="宋体" w:cs="宋体"/>
          <w:color w:val="auto"/>
          <w:spacing w:val="20"/>
          <w:sz w:val="23"/>
          <w:szCs w:val="23"/>
          <w:highlight w:val="none"/>
        </w:rPr>
        <w:t>法定代表人或被授权人签字（或签章）：</w:t>
      </w:r>
    </w:p>
    <w:p w14:paraId="5794612B">
      <w:pPr>
        <w:spacing w:line="360" w:lineRule="auto"/>
        <w:rPr>
          <w:rFonts w:hint="eastAsia" w:ascii="宋体" w:hAnsi="宋体" w:eastAsia="宋体" w:cs="宋体"/>
          <w:color w:val="auto"/>
          <w:spacing w:val="20"/>
          <w:sz w:val="23"/>
          <w:szCs w:val="23"/>
          <w:highlight w:val="none"/>
        </w:rPr>
      </w:pPr>
    </w:p>
    <w:p w14:paraId="1C1B142D">
      <w:pPr>
        <w:spacing w:line="360" w:lineRule="auto"/>
        <w:rPr>
          <w:rFonts w:hint="eastAsia" w:ascii="宋体" w:hAnsi="宋体" w:eastAsia="宋体" w:cs="宋体"/>
          <w:color w:val="auto"/>
          <w:spacing w:val="20"/>
          <w:sz w:val="23"/>
          <w:szCs w:val="23"/>
          <w:highlight w:val="none"/>
        </w:rPr>
      </w:pPr>
      <w:r>
        <w:rPr>
          <w:rFonts w:hint="eastAsia" w:ascii="宋体" w:hAnsi="宋体" w:eastAsia="宋体" w:cs="宋体"/>
          <w:color w:val="auto"/>
          <w:spacing w:val="20"/>
          <w:sz w:val="23"/>
          <w:szCs w:val="23"/>
          <w:highlight w:val="none"/>
        </w:rPr>
        <w:t>供应商名称（盖章）：</w:t>
      </w:r>
    </w:p>
    <w:p w14:paraId="0129FC1D">
      <w:pPr>
        <w:spacing w:line="360" w:lineRule="auto"/>
        <w:rPr>
          <w:rFonts w:hint="eastAsia" w:ascii="宋体" w:hAnsi="宋体" w:eastAsia="宋体" w:cs="宋体"/>
          <w:i/>
          <w:color w:val="auto"/>
          <w:spacing w:val="20"/>
          <w:sz w:val="23"/>
          <w:szCs w:val="23"/>
          <w:highlight w:val="none"/>
        </w:rPr>
      </w:pPr>
    </w:p>
    <w:p w14:paraId="6791A9A7">
      <w:pPr>
        <w:snapToGrid w:val="0"/>
        <w:spacing w:before="50" w:after="50"/>
        <w:ind w:right="-817" w:rightChars="-389"/>
        <w:outlineLvl w:val="1"/>
        <w:rPr>
          <w:rFonts w:hint="eastAsia" w:ascii="宋体" w:hAnsi="宋体" w:eastAsia="宋体" w:cs="宋体"/>
          <w:b/>
          <w:color w:val="auto"/>
          <w:szCs w:val="28"/>
          <w:highlight w:val="none"/>
        </w:rPr>
      </w:pPr>
    </w:p>
    <w:p w14:paraId="5EF56640">
      <w:pPr>
        <w:snapToGrid w:val="0"/>
        <w:spacing w:before="50" w:after="50"/>
        <w:ind w:right="-817" w:rightChars="-389"/>
        <w:outlineLvl w:val="1"/>
        <w:rPr>
          <w:rFonts w:hint="eastAsia" w:ascii="宋体" w:hAnsi="宋体" w:eastAsia="宋体" w:cs="宋体"/>
          <w:b/>
          <w:color w:val="auto"/>
          <w:szCs w:val="28"/>
          <w:highlight w:val="none"/>
        </w:rPr>
      </w:pPr>
      <w:bookmarkStart w:id="205" w:name="_Toc22021"/>
      <w:bookmarkStart w:id="206" w:name="_Toc23938"/>
      <w:bookmarkStart w:id="207" w:name="_Toc6866"/>
      <w:bookmarkStart w:id="208" w:name="_Toc11537"/>
      <w:bookmarkStart w:id="209" w:name="_Toc11155"/>
      <w:bookmarkStart w:id="210" w:name="_Toc6622"/>
      <w:bookmarkStart w:id="211" w:name="_Toc10740"/>
    </w:p>
    <w:p w14:paraId="46FAD79E">
      <w:pPr>
        <w:pStyle w:val="3"/>
        <w:rPr>
          <w:rFonts w:hint="eastAsia" w:ascii="宋体" w:hAnsi="宋体" w:eastAsia="宋体" w:cs="宋体"/>
          <w:color w:val="auto"/>
          <w:szCs w:val="28"/>
          <w:highlight w:val="none"/>
        </w:rPr>
      </w:pPr>
    </w:p>
    <w:p w14:paraId="2E0B3338">
      <w:pPr>
        <w:rPr>
          <w:rFonts w:hint="eastAsia" w:ascii="宋体" w:hAnsi="宋体" w:eastAsia="宋体" w:cs="宋体"/>
          <w:b/>
          <w:color w:val="auto"/>
          <w:szCs w:val="28"/>
          <w:highlight w:val="none"/>
        </w:rPr>
      </w:pPr>
    </w:p>
    <w:p w14:paraId="622160D0">
      <w:pPr>
        <w:snapToGrid w:val="0"/>
        <w:spacing w:before="50" w:after="50"/>
        <w:ind w:right="-817" w:rightChars="-389"/>
        <w:outlineLvl w:val="1"/>
        <w:rPr>
          <w:rFonts w:hint="eastAsia" w:ascii="宋体" w:hAnsi="宋体" w:eastAsia="宋体" w:cs="宋体"/>
          <w:b/>
          <w:color w:val="auto"/>
          <w:szCs w:val="28"/>
          <w:highlight w:val="none"/>
        </w:rPr>
      </w:pPr>
      <w:bookmarkStart w:id="212" w:name="_Toc28564"/>
    </w:p>
    <w:p w14:paraId="603C1C5E">
      <w:pPr>
        <w:snapToGrid w:val="0"/>
        <w:spacing w:before="50" w:after="50"/>
        <w:ind w:right="-817" w:rightChars="-389"/>
        <w:outlineLvl w:val="1"/>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附：供应商注册流程</w:t>
      </w:r>
      <w:bookmarkEnd w:id="205"/>
      <w:bookmarkEnd w:id="206"/>
      <w:bookmarkEnd w:id="207"/>
      <w:bookmarkEnd w:id="208"/>
      <w:bookmarkEnd w:id="209"/>
      <w:bookmarkEnd w:id="210"/>
      <w:bookmarkEnd w:id="211"/>
      <w:bookmarkEnd w:id="212"/>
    </w:p>
    <w:p w14:paraId="3D5B71FD">
      <w:pPr>
        <w:rPr>
          <w:rFonts w:hint="eastAsia" w:ascii="宋体" w:hAnsi="宋体" w:eastAsia="宋体" w:cs="宋体"/>
          <w:color w:val="auto"/>
          <w:highlight w:val="none"/>
        </w:rPr>
      </w:pPr>
      <w:r>
        <w:rPr>
          <w:rFonts w:hint="eastAsia" w:ascii="宋体" w:hAnsi="宋体" w:eastAsia="宋体" w:cs="宋体"/>
          <w:color w:val="auto"/>
          <w:szCs w:val="28"/>
          <w:highlight w:val="none"/>
        </w:rPr>
        <w:t>进入浙江政府采购网(</w:t>
      </w:r>
      <w:r>
        <w:rPr>
          <w:rFonts w:hint="eastAsia" w:ascii="宋体" w:hAnsi="宋体" w:eastAsia="宋体" w:cs="宋体"/>
          <w:color w:val="auto"/>
          <w:highlight w:val="none"/>
        </w:rPr>
        <w:t>http://zfcg.czt.zj.gov.cn/</w:t>
      </w:r>
      <w:r>
        <w:rPr>
          <w:rFonts w:hint="eastAsia" w:ascii="宋体" w:hAnsi="宋体" w:eastAsia="宋体" w:cs="宋体"/>
          <w:color w:val="auto"/>
          <w:szCs w:val="28"/>
          <w:highlight w:val="none"/>
        </w:rPr>
        <w:t>)→政府采购供应商注册→按下图提示进行。（注册联系电话：95763）</w:t>
      </w:r>
    </w:p>
    <w:p w14:paraId="1F528AB3">
      <w:pPr>
        <w:rPr>
          <w:rFonts w:hint="eastAsia" w:ascii="宋体" w:hAnsi="宋体" w:eastAsia="宋体" w:cs="宋体"/>
          <w:color w:val="auto"/>
          <w:szCs w:val="28"/>
          <w:highlight w:val="none"/>
        </w:rPr>
      </w:pPr>
      <w:r>
        <w:rPr>
          <w:rFonts w:hint="eastAsia" w:ascii="宋体" w:hAnsi="宋体" w:eastAsia="宋体" w:cs="宋体"/>
          <w:color w:val="auto"/>
          <w:highlight w:val="none"/>
        </w:rPr>
        <w:drawing>
          <wp:inline distT="0" distB="0" distL="0" distR="0">
            <wp:extent cx="5404485" cy="7271385"/>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l="590" t="9550"/>
                    <a:stretch>
                      <a:fillRect/>
                    </a:stretch>
                  </pic:blipFill>
                  <pic:spPr>
                    <a:xfrm>
                      <a:off x="0" y="0"/>
                      <a:ext cx="5404485" cy="7271385"/>
                    </a:xfrm>
                    <a:prstGeom prst="rect">
                      <a:avLst/>
                    </a:prstGeom>
                    <a:noFill/>
                    <a:ln>
                      <a:noFill/>
                    </a:ln>
                  </pic:spPr>
                </pic:pic>
              </a:graphicData>
            </a:graphic>
          </wp:inline>
        </w:drawing>
      </w:r>
    </w:p>
    <w:p w14:paraId="117DC882">
      <w:pPr>
        <w:rPr>
          <w:rFonts w:hint="eastAsia" w:ascii="宋体" w:hAnsi="宋体" w:eastAsia="宋体" w:cs="宋体"/>
          <w:color w:val="auto"/>
          <w:szCs w:val="28"/>
          <w:highlight w:val="none"/>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7A135">
    <w:pPr>
      <w:pStyle w:val="22"/>
      <w:ind w:right="360"/>
      <w:rPr>
        <w:rFonts w:ascii="仿宋_GB2312" w:eastAsia="仿宋_GB2312"/>
        <w:sz w:val="24"/>
      </w:rPr>
    </w:pPr>
  </w:p>
  <w:p w14:paraId="78330B8A">
    <w:pPr>
      <w:pStyle w:val="22"/>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E5A6">
    <w:pPr>
      <w:pStyle w:val="22"/>
      <w:framePr w:wrap="around" w:vAnchor="text" w:hAnchor="margin" w:xAlign="right" w:y="1"/>
      <w:rPr>
        <w:rStyle w:val="40"/>
      </w:rPr>
    </w:pPr>
    <w:r>
      <w:fldChar w:fldCharType="begin"/>
    </w:r>
    <w:r>
      <w:rPr>
        <w:rStyle w:val="40"/>
      </w:rPr>
      <w:instrText xml:space="preserve">PAGE  </w:instrText>
    </w:r>
    <w:r>
      <w:fldChar w:fldCharType="end"/>
    </w:r>
  </w:p>
  <w:p w14:paraId="760322B3">
    <w:pPr>
      <w:pStyle w:val="22"/>
      <w:ind w:right="360"/>
    </w:pPr>
    <w:r>
      <mc:AlternateContent>
        <mc:Choice Requires="wps">
          <w:drawing>
            <wp:anchor distT="0" distB="0" distL="114300" distR="114300" simplePos="0" relativeHeight="251659264" behindDoc="0" locked="0" layoutInCell="1" allowOverlap="1">
              <wp:simplePos x="0" y="0"/>
              <wp:positionH relativeFrom="column">
                <wp:posOffset>2533015</wp:posOffset>
              </wp:positionH>
              <wp:positionV relativeFrom="paragraph">
                <wp:posOffset>175895</wp:posOffset>
              </wp:positionV>
              <wp:extent cx="5678805" cy="6350"/>
              <wp:effectExtent l="0" t="4445" r="10795" b="8255"/>
              <wp:wrapNone/>
              <wp:docPr id="6" name="4097"/>
              <wp:cNvGraphicFramePr/>
              <a:graphic xmlns:a="http://schemas.openxmlformats.org/drawingml/2006/main">
                <a:graphicData uri="http://schemas.microsoft.com/office/word/2010/wordprocessingShape">
                  <wps:wsp>
                    <wps:cNvCnPr>
                      <a:cxnSpLocks noChangeShapeType="1"/>
                    </wps:cNvCnPr>
                    <wps:spPr bwMode="auto">
                      <a:xfrm>
                        <a:off x="0" y="0"/>
                        <a:ext cx="5678805" cy="6350"/>
                      </a:xfrm>
                      <a:prstGeom prst="line">
                        <a:avLst/>
                      </a:prstGeom>
                      <a:noFill/>
                      <a:ln w="9525">
                        <a:solidFill>
                          <a:srgbClr val="000000"/>
                        </a:solidFill>
                        <a:round/>
                      </a:ln>
                      <a:effectLst/>
                    </wps:spPr>
                    <wps:bodyPr/>
                  </wps:wsp>
                </a:graphicData>
              </a:graphic>
            </wp:anchor>
          </w:drawing>
        </mc:Choice>
        <mc:Fallback>
          <w:pict>
            <v:line id="4097" o:spid="_x0000_s1026" o:spt="20" style="position:absolute;left:0pt;margin-left:199.45pt;margin-top:13.85pt;height:0.5pt;width:447.15pt;z-index:251659264;mso-width-relative:page;mso-height-relative:page;" filled="f" stroked="t" coordsize="21600,21600" o:gfxdata="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9o+69gAAAAKAQAADwAAAAAAAAABACAA&#10;AAAiAAAAZHJzL2Rvd25yZXYueG1sUEsBAhQAFAAAAAgAh07iQMslk53UAQAArgMAAA4AAAAAAAAA&#10;AQAgAAAAJwEAAGRycy9lMm9Eb2MueG1sUEsFBgAAAAAGAAYAWQEAAG0FA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3736">
    <w:pPr>
      <w:pStyle w:val="22"/>
      <w:ind w:right="360"/>
      <w:rPr>
        <w:rFonts w:ascii="仿宋_GB2312"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7EB9AE">
                          <w:pPr>
                            <w:pStyle w:val="2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37EB9AE">
                    <w:pPr>
                      <w:pStyle w:val="22"/>
                    </w:pPr>
                    <w:r>
                      <w:fldChar w:fldCharType="begin"/>
                    </w:r>
                    <w:r>
                      <w:instrText xml:space="preserve"> PAGE  \* MERGEFORMAT </w:instrText>
                    </w:r>
                    <w:r>
                      <w:fldChar w:fldCharType="separate"/>
                    </w:r>
                    <w:r>
                      <w:t>29</w:t>
                    </w:r>
                    <w:r>
                      <w:fldChar w:fldCharType="end"/>
                    </w:r>
                  </w:p>
                </w:txbxContent>
              </v:textbox>
            </v:shape>
          </w:pict>
        </mc:Fallback>
      </mc:AlternateContent>
    </w:r>
  </w:p>
  <w:p w14:paraId="4BBEA623">
    <w:pPr>
      <w:pStyle w:val="22"/>
      <w:ind w:right="360"/>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E9F2">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97264B">
                          <w:pPr>
                            <w:pStyle w:val="2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0897264B">
                    <w:pPr>
                      <w:pStyle w:val="2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BDD0">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43961D">
                          <w:pPr>
                            <w:pStyle w:val="2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7B43961D">
                    <w:pPr>
                      <w:pStyle w:val="22"/>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410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45AD5BB">
                          <w:pPr>
                            <w:pStyle w:val="22"/>
                          </w:pPr>
                        </w:p>
                      </w:txbxContent>
                    </wps:txbx>
                    <wps:bodyPr rot="0" vert="horz" wrap="none" lIns="0" tIns="0" rIns="0" bIns="0" anchor="t" anchorCtr="0" upright="1">
                      <a:spAutoFit/>
                    </wps:bodyPr>
                  </wps:wsp>
                </a:graphicData>
              </a:graphic>
            </wp:anchor>
          </w:drawing>
        </mc:Choice>
        <mc:Fallback>
          <w:pict>
            <v:shape id="410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ADdysd+wEAAAkEAAAOAAAAAAAAAAEAIAAAAB8BAABkcnMvZTJvRG9jLnhtbFBL&#10;BQYAAAAABgAGAFkBAACMBQAAAAA=&#10;">
              <v:fill on="f" focussize="0,0"/>
              <v:stroke on="f"/>
              <v:imagedata o:title=""/>
              <o:lock v:ext="edit" aspectratio="f"/>
              <v:textbox inset="0mm,0mm,0mm,0mm" style="mso-fit-shape-to-text:t;">
                <w:txbxContent>
                  <w:p w14:paraId="345AD5BB">
                    <w:pPr>
                      <w:pStyle w:val="2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8576">
    <w:pPr>
      <w:pBdr>
        <w:bottom w:val="single" w:color="auto" w:sz="4" w:space="0"/>
      </w:pBdr>
      <w:jc w:val="center"/>
      <w:rPr>
        <w:rFonts w:ascii="宋体" w:hAnsi="宋体" w:cs="宋体"/>
        <w:sz w:val="21"/>
        <w:szCs w:val="21"/>
      </w:rPr>
    </w:pPr>
    <w:r>
      <w:rPr>
        <w:rFonts w:hint="eastAsia" w:ascii="宋体" w:hAnsi="宋体" w:cs="宋体"/>
        <w:sz w:val="21"/>
        <w:szCs w:val="21"/>
        <w:lang w:eastAsia="zh-CN"/>
      </w:rPr>
      <w:t>南湖区-遂昌县制造业高质量发展结对促共富经营管理赋能服务项目</w:t>
    </w:r>
    <w:r>
      <w:rPr>
        <w:rFonts w:hint="eastAsia" w:ascii="宋体" w:hAnsi="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D53B">
    <w:pPr>
      <w:pStyle w:val="23"/>
    </w:pPr>
    <w:r>
      <w:rPr>
        <w:rFonts w:hint="eastAsia" w:ascii="仿宋_GB2312" w:hAnsi="宋体"/>
        <w:lang w:eastAsia="zh-CN"/>
      </w:rPr>
      <w:t>南湖区-遂昌县制造业高质量发展结对促共富经营管理赋能服务项目</w:t>
    </w:r>
    <w:r>
      <w:rPr>
        <w:rFonts w:hint="eastAsia" w:ascii="仿宋_GB2312" w:hAnsi="宋体"/>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CF89">
    <w:pPr>
      <w:pStyle w:val="23"/>
      <w:rPr>
        <w:rFonts w:ascii="宋体"/>
      </w:rPr>
    </w:pPr>
    <w:r>
      <w:rPr>
        <w:rFonts w:hint="eastAsia" w:hAnsi="宋体" w:cs="仿宋_GB2312"/>
        <w:lang w:val="zh-CN"/>
      </w:rPr>
      <w:t>南湖区-遂昌县制造业高质量发展结对促共富经营管理赋能服务项目</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3F911"/>
    <w:multiLevelType w:val="singleLevel"/>
    <w:tmpl w:val="E4B3F911"/>
    <w:lvl w:ilvl="0" w:tentative="0">
      <w:start w:val="1"/>
      <w:numFmt w:val="decimal"/>
      <w:suff w:val="nothing"/>
      <w:lvlText w:val="（%1）"/>
      <w:lvlJc w:val="left"/>
      <w:pPr>
        <w:ind w:left="0"/>
      </w:pPr>
    </w:lvl>
  </w:abstractNum>
  <w:abstractNum w:abstractNumId="1">
    <w:nsid w:val="00000002"/>
    <w:multiLevelType w:val="singleLevel"/>
    <w:tmpl w:val="00000002"/>
    <w:lvl w:ilvl="0" w:tentative="0">
      <w:start w:val="4"/>
      <w:numFmt w:val="decimal"/>
      <w:suff w:val="nothing"/>
      <w:lvlText w:val="（%1）"/>
      <w:lvlJc w:val="left"/>
      <w:rPr>
        <w:rFonts w:cs="Times New Roman"/>
      </w:rPr>
    </w:lvl>
  </w:abstractNum>
  <w:abstractNum w:abstractNumId="2">
    <w:nsid w:val="00000005"/>
    <w:multiLevelType w:val="singleLevel"/>
    <w:tmpl w:val="00000005"/>
    <w:lvl w:ilvl="0" w:tentative="0">
      <w:start w:val="2"/>
      <w:numFmt w:val="decimal"/>
      <w:lvlText w:val="%1."/>
      <w:lvlJc w:val="left"/>
      <w:pPr>
        <w:tabs>
          <w:tab w:val="left" w:pos="312"/>
        </w:tabs>
      </w:pPr>
    </w:lvl>
  </w:abstractNum>
  <w:abstractNum w:abstractNumId="3">
    <w:nsid w:val="0000000F"/>
    <w:multiLevelType w:val="singleLevel"/>
    <w:tmpl w:val="0000000F"/>
    <w:lvl w:ilvl="0" w:tentative="0">
      <w:start w:val="3"/>
      <w:numFmt w:val="chineseCounting"/>
      <w:suff w:val="nothing"/>
      <w:lvlText w:val="%1、"/>
      <w:lvlJc w:val="left"/>
    </w:lvl>
  </w:abstractNum>
  <w:abstractNum w:abstractNumId="4">
    <w:nsid w:val="10FEE10A"/>
    <w:multiLevelType w:val="singleLevel"/>
    <w:tmpl w:val="10FEE10A"/>
    <w:lvl w:ilvl="0" w:tentative="0">
      <w:start w:val="7"/>
      <w:numFmt w:val="decimal"/>
      <w:suff w:val="space"/>
      <w:lvlText w:val="%1."/>
      <w:lvlJc w:val="left"/>
    </w:lvl>
  </w:abstractNum>
  <w:abstractNum w:abstractNumId="5">
    <w:nsid w:val="54F673F1"/>
    <w:multiLevelType w:val="singleLevel"/>
    <w:tmpl w:val="54F673F1"/>
    <w:lvl w:ilvl="0" w:tentative="0">
      <w:start w:val="7"/>
      <w:numFmt w:val="chineseCounting"/>
      <w:suff w:val="space"/>
      <w:lvlText w:val="第%1条"/>
      <w:lvlJc w:val="left"/>
    </w:lvl>
  </w:abstractNum>
  <w:abstractNum w:abstractNumId="6">
    <w:nsid w:val="54F6ADB5"/>
    <w:multiLevelType w:val="singleLevel"/>
    <w:tmpl w:val="54F6ADB5"/>
    <w:lvl w:ilvl="0" w:tentative="0">
      <w:start w:val="1"/>
      <w:numFmt w:val="chineseCounting"/>
      <w:suff w:val="nothing"/>
      <w:lvlText w:val="%1、"/>
      <w:lvlJc w:val="left"/>
    </w:lvl>
  </w:abstractNum>
  <w:abstractNum w:abstractNumId="7">
    <w:nsid w:val="564425C9"/>
    <w:multiLevelType w:val="singleLevel"/>
    <w:tmpl w:val="564425C9"/>
    <w:lvl w:ilvl="0" w:tentative="0">
      <w:start w:val="1"/>
      <w:numFmt w:val="decimal"/>
      <w:suff w:val="nothing"/>
      <w:lvlText w:val="%1、"/>
      <w:lvlJc w:val="left"/>
      <w:rPr>
        <w:rFonts w:cs="Times New Roman"/>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OWUxOTc5N2ZiYmI3MDc0MDAwYzEwMmQ0YzZmYmUifQ=="/>
  </w:docVars>
  <w:rsids>
    <w:rsidRoot w:val="00B06AA4"/>
    <w:rsid w:val="00010123"/>
    <w:rsid w:val="0001125B"/>
    <w:rsid w:val="00012B7D"/>
    <w:rsid w:val="000154EA"/>
    <w:rsid w:val="0002180C"/>
    <w:rsid w:val="0002392A"/>
    <w:rsid w:val="00036584"/>
    <w:rsid w:val="00044DA4"/>
    <w:rsid w:val="0005392A"/>
    <w:rsid w:val="000547A5"/>
    <w:rsid w:val="00055939"/>
    <w:rsid w:val="00076B78"/>
    <w:rsid w:val="00085E7A"/>
    <w:rsid w:val="00095566"/>
    <w:rsid w:val="000A296C"/>
    <w:rsid w:val="000A41D0"/>
    <w:rsid w:val="000A4334"/>
    <w:rsid w:val="000D49C2"/>
    <w:rsid w:val="000D729A"/>
    <w:rsid w:val="000E36B9"/>
    <w:rsid w:val="000E5A14"/>
    <w:rsid w:val="000F09D9"/>
    <w:rsid w:val="00102C43"/>
    <w:rsid w:val="00106F42"/>
    <w:rsid w:val="00130AE2"/>
    <w:rsid w:val="001376E5"/>
    <w:rsid w:val="001421ED"/>
    <w:rsid w:val="00150D65"/>
    <w:rsid w:val="001521F1"/>
    <w:rsid w:val="00155CDB"/>
    <w:rsid w:val="00155F00"/>
    <w:rsid w:val="00157DD7"/>
    <w:rsid w:val="00180F24"/>
    <w:rsid w:val="0019227D"/>
    <w:rsid w:val="00192B9B"/>
    <w:rsid w:val="00192CD3"/>
    <w:rsid w:val="001A6905"/>
    <w:rsid w:val="001B3877"/>
    <w:rsid w:val="001B49A5"/>
    <w:rsid w:val="001B79EF"/>
    <w:rsid w:val="001C74BF"/>
    <w:rsid w:val="001D3D22"/>
    <w:rsid w:val="001D6FA9"/>
    <w:rsid w:val="00216AD4"/>
    <w:rsid w:val="0022041F"/>
    <w:rsid w:val="00231C8C"/>
    <w:rsid w:val="00252215"/>
    <w:rsid w:val="00263E86"/>
    <w:rsid w:val="00274617"/>
    <w:rsid w:val="0029092E"/>
    <w:rsid w:val="0029098B"/>
    <w:rsid w:val="00291D3E"/>
    <w:rsid w:val="002A3EAB"/>
    <w:rsid w:val="002A5BCA"/>
    <w:rsid w:val="002B2EB4"/>
    <w:rsid w:val="002B4A8D"/>
    <w:rsid w:val="002C0BFF"/>
    <w:rsid w:val="002C0F9F"/>
    <w:rsid w:val="002C399E"/>
    <w:rsid w:val="002D08D4"/>
    <w:rsid w:val="002D1A6E"/>
    <w:rsid w:val="002E191B"/>
    <w:rsid w:val="002F3F1F"/>
    <w:rsid w:val="002F5F78"/>
    <w:rsid w:val="00302CAA"/>
    <w:rsid w:val="0032538F"/>
    <w:rsid w:val="00326012"/>
    <w:rsid w:val="00344F66"/>
    <w:rsid w:val="0036769B"/>
    <w:rsid w:val="003723E9"/>
    <w:rsid w:val="00397E09"/>
    <w:rsid w:val="003A035E"/>
    <w:rsid w:val="003A6FE7"/>
    <w:rsid w:val="003B01FD"/>
    <w:rsid w:val="003B3856"/>
    <w:rsid w:val="003D2439"/>
    <w:rsid w:val="003D5783"/>
    <w:rsid w:val="003F69D0"/>
    <w:rsid w:val="00400450"/>
    <w:rsid w:val="00402DF7"/>
    <w:rsid w:val="004055C0"/>
    <w:rsid w:val="00414678"/>
    <w:rsid w:val="00437644"/>
    <w:rsid w:val="00441918"/>
    <w:rsid w:val="00465A61"/>
    <w:rsid w:val="0047161E"/>
    <w:rsid w:val="0048475E"/>
    <w:rsid w:val="00486B99"/>
    <w:rsid w:val="00494A48"/>
    <w:rsid w:val="00496B91"/>
    <w:rsid w:val="004A452D"/>
    <w:rsid w:val="004B0172"/>
    <w:rsid w:val="004B5361"/>
    <w:rsid w:val="004B6522"/>
    <w:rsid w:val="004C2C0A"/>
    <w:rsid w:val="004C2FDB"/>
    <w:rsid w:val="004C57D0"/>
    <w:rsid w:val="004D0A21"/>
    <w:rsid w:val="004D5B53"/>
    <w:rsid w:val="004D7262"/>
    <w:rsid w:val="004D7CA6"/>
    <w:rsid w:val="004F3EA3"/>
    <w:rsid w:val="00503E60"/>
    <w:rsid w:val="00506AE1"/>
    <w:rsid w:val="00512E12"/>
    <w:rsid w:val="00513D06"/>
    <w:rsid w:val="00522484"/>
    <w:rsid w:val="005318FF"/>
    <w:rsid w:val="005538E6"/>
    <w:rsid w:val="0056798B"/>
    <w:rsid w:val="0057079E"/>
    <w:rsid w:val="00584B4F"/>
    <w:rsid w:val="005851F3"/>
    <w:rsid w:val="00592E8B"/>
    <w:rsid w:val="00593674"/>
    <w:rsid w:val="005A250C"/>
    <w:rsid w:val="005B5A0B"/>
    <w:rsid w:val="005D43E8"/>
    <w:rsid w:val="005F2FB2"/>
    <w:rsid w:val="005F6210"/>
    <w:rsid w:val="0062469F"/>
    <w:rsid w:val="00652E08"/>
    <w:rsid w:val="00653E29"/>
    <w:rsid w:val="00654994"/>
    <w:rsid w:val="00664519"/>
    <w:rsid w:val="006704EE"/>
    <w:rsid w:val="00672189"/>
    <w:rsid w:val="00672204"/>
    <w:rsid w:val="00672C47"/>
    <w:rsid w:val="00683B5E"/>
    <w:rsid w:val="00696D3F"/>
    <w:rsid w:val="006A17C7"/>
    <w:rsid w:val="006A4609"/>
    <w:rsid w:val="006A55AF"/>
    <w:rsid w:val="006B14C1"/>
    <w:rsid w:val="006E31DF"/>
    <w:rsid w:val="006E7A86"/>
    <w:rsid w:val="007073C8"/>
    <w:rsid w:val="00713A29"/>
    <w:rsid w:val="007251E5"/>
    <w:rsid w:val="00743148"/>
    <w:rsid w:val="007564BE"/>
    <w:rsid w:val="00761CE3"/>
    <w:rsid w:val="0077416A"/>
    <w:rsid w:val="0078319C"/>
    <w:rsid w:val="00795743"/>
    <w:rsid w:val="007B386F"/>
    <w:rsid w:val="007B54E7"/>
    <w:rsid w:val="007D65DE"/>
    <w:rsid w:val="007D716F"/>
    <w:rsid w:val="007E0AA1"/>
    <w:rsid w:val="007E2AB9"/>
    <w:rsid w:val="007E3B24"/>
    <w:rsid w:val="00804742"/>
    <w:rsid w:val="00817B8C"/>
    <w:rsid w:val="00824733"/>
    <w:rsid w:val="008253AC"/>
    <w:rsid w:val="00825C6C"/>
    <w:rsid w:val="00832A53"/>
    <w:rsid w:val="00861772"/>
    <w:rsid w:val="0087026D"/>
    <w:rsid w:val="008758C5"/>
    <w:rsid w:val="00883C61"/>
    <w:rsid w:val="00890887"/>
    <w:rsid w:val="008B6D9A"/>
    <w:rsid w:val="008C4E93"/>
    <w:rsid w:val="008D135D"/>
    <w:rsid w:val="008D72F7"/>
    <w:rsid w:val="008F2DD3"/>
    <w:rsid w:val="008F67F3"/>
    <w:rsid w:val="00900B74"/>
    <w:rsid w:val="00901B8F"/>
    <w:rsid w:val="00907A4B"/>
    <w:rsid w:val="009117F2"/>
    <w:rsid w:val="00922BB4"/>
    <w:rsid w:val="0093130F"/>
    <w:rsid w:val="00933057"/>
    <w:rsid w:val="0093567D"/>
    <w:rsid w:val="00961A03"/>
    <w:rsid w:val="00982C16"/>
    <w:rsid w:val="00986DCF"/>
    <w:rsid w:val="00997643"/>
    <w:rsid w:val="009B5242"/>
    <w:rsid w:val="009E378A"/>
    <w:rsid w:val="009F2C05"/>
    <w:rsid w:val="009F51D5"/>
    <w:rsid w:val="009F5CCE"/>
    <w:rsid w:val="00A1463E"/>
    <w:rsid w:val="00A2710A"/>
    <w:rsid w:val="00A35964"/>
    <w:rsid w:val="00A403DF"/>
    <w:rsid w:val="00A41E45"/>
    <w:rsid w:val="00A50BB9"/>
    <w:rsid w:val="00A50DC2"/>
    <w:rsid w:val="00A514F8"/>
    <w:rsid w:val="00A57B7D"/>
    <w:rsid w:val="00A60EE7"/>
    <w:rsid w:val="00A774FF"/>
    <w:rsid w:val="00A90A2C"/>
    <w:rsid w:val="00A92A11"/>
    <w:rsid w:val="00AA132D"/>
    <w:rsid w:val="00AB2888"/>
    <w:rsid w:val="00AC0833"/>
    <w:rsid w:val="00AC4372"/>
    <w:rsid w:val="00AC6389"/>
    <w:rsid w:val="00AD0870"/>
    <w:rsid w:val="00AD3DC6"/>
    <w:rsid w:val="00B0561C"/>
    <w:rsid w:val="00B064B2"/>
    <w:rsid w:val="00B06AA4"/>
    <w:rsid w:val="00B136AA"/>
    <w:rsid w:val="00B32586"/>
    <w:rsid w:val="00B33FCF"/>
    <w:rsid w:val="00B55FC9"/>
    <w:rsid w:val="00B65A9F"/>
    <w:rsid w:val="00B80CE0"/>
    <w:rsid w:val="00B84D56"/>
    <w:rsid w:val="00BA2429"/>
    <w:rsid w:val="00BA450E"/>
    <w:rsid w:val="00BA7831"/>
    <w:rsid w:val="00BB291A"/>
    <w:rsid w:val="00BC1D1A"/>
    <w:rsid w:val="00BD345C"/>
    <w:rsid w:val="00BD7328"/>
    <w:rsid w:val="00BE1B6E"/>
    <w:rsid w:val="00BE4BBC"/>
    <w:rsid w:val="00BE75BF"/>
    <w:rsid w:val="00C4030F"/>
    <w:rsid w:val="00C46787"/>
    <w:rsid w:val="00C55B50"/>
    <w:rsid w:val="00C6708A"/>
    <w:rsid w:val="00C7251F"/>
    <w:rsid w:val="00C7488D"/>
    <w:rsid w:val="00C96ACF"/>
    <w:rsid w:val="00C96F98"/>
    <w:rsid w:val="00CB2747"/>
    <w:rsid w:val="00CC11E5"/>
    <w:rsid w:val="00CC4E11"/>
    <w:rsid w:val="00CD6545"/>
    <w:rsid w:val="00CD783E"/>
    <w:rsid w:val="00CE11C6"/>
    <w:rsid w:val="00CE1C47"/>
    <w:rsid w:val="00CF4554"/>
    <w:rsid w:val="00D06917"/>
    <w:rsid w:val="00D1339E"/>
    <w:rsid w:val="00D13403"/>
    <w:rsid w:val="00D1653D"/>
    <w:rsid w:val="00D17547"/>
    <w:rsid w:val="00D237F5"/>
    <w:rsid w:val="00D316BA"/>
    <w:rsid w:val="00D5377B"/>
    <w:rsid w:val="00D731A0"/>
    <w:rsid w:val="00D8010B"/>
    <w:rsid w:val="00D8211B"/>
    <w:rsid w:val="00D85FC5"/>
    <w:rsid w:val="00D865BC"/>
    <w:rsid w:val="00D90335"/>
    <w:rsid w:val="00D93153"/>
    <w:rsid w:val="00DA21CA"/>
    <w:rsid w:val="00DB332B"/>
    <w:rsid w:val="00DB752E"/>
    <w:rsid w:val="00DC0723"/>
    <w:rsid w:val="00DC5879"/>
    <w:rsid w:val="00DE61D0"/>
    <w:rsid w:val="00DF1F40"/>
    <w:rsid w:val="00DF4BF4"/>
    <w:rsid w:val="00E017AD"/>
    <w:rsid w:val="00E24851"/>
    <w:rsid w:val="00E31934"/>
    <w:rsid w:val="00E364FD"/>
    <w:rsid w:val="00E37AE8"/>
    <w:rsid w:val="00E4499B"/>
    <w:rsid w:val="00E52FDF"/>
    <w:rsid w:val="00E675B9"/>
    <w:rsid w:val="00E71573"/>
    <w:rsid w:val="00E87B68"/>
    <w:rsid w:val="00E91F68"/>
    <w:rsid w:val="00ED1CAB"/>
    <w:rsid w:val="00ED6020"/>
    <w:rsid w:val="00EE4BE0"/>
    <w:rsid w:val="00F01BF9"/>
    <w:rsid w:val="00F03C22"/>
    <w:rsid w:val="00F04600"/>
    <w:rsid w:val="00F05E3A"/>
    <w:rsid w:val="00F067BA"/>
    <w:rsid w:val="00F10CAD"/>
    <w:rsid w:val="00F248B3"/>
    <w:rsid w:val="00F27337"/>
    <w:rsid w:val="00F47845"/>
    <w:rsid w:val="00F51FF7"/>
    <w:rsid w:val="00F800EE"/>
    <w:rsid w:val="00F95E53"/>
    <w:rsid w:val="00FA3B54"/>
    <w:rsid w:val="00FA588D"/>
    <w:rsid w:val="00FA5B36"/>
    <w:rsid w:val="00FC7AA0"/>
    <w:rsid w:val="00FD23CE"/>
    <w:rsid w:val="00FD2814"/>
    <w:rsid w:val="00FE3C32"/>
    <w:rsid w:val="00FE79F1"/>
    <w:rsid w:val="00FE7C1A"/>
    <w:rsid w:val="00FF036C"/>
    <w:rsid w:val="00FF3039"/>
    <w:rsid w:val="0134519E"/>
    <w:rsid w:val="016C1447"/>
    <w:rsid w:val="01732BB2"/>
    <w:rsid w:val="01F81CF8"/>
    <w:rsid w:val="02080919"/>
    <w:rsid w:val="023F0464"/>
    <w:rsid w:val="02A95C33"/>
    <w:rsid w:val="030E0DB3"/>
    <w:rsid w:val="035B4572"/>
    <w:rsid w:val="038C735B"/>
    <w:rsid w:val="03C46476"/>
    <w:rsid w:val="03F6755F"/>
    <w:rsid w:val="043F7D74"/>
    <w:rsid w:val="04662666"/>
    <w:rsid w:val="04B30C95"/>
    <w:rsid w:val="04FF4D08"/>
    <w:rsid w:val="05390149"/>
    <w:rsid w:val="05613131"/>
    <w:rsid w:val="0582269B"/>
    <w:rsid w:val="05F726AA"/>
    <w:rsid w:val="068E0076"/>
    <w:rsid w:val="06967A84"/>
    <w:rsid w:val="06F84E77"/>
    <w:rsid w:val="072640B7"/>
    <w:rsid w:val="07BE1DB0"/>
    <w:rsid w:val="0869623A"/>
    <w:rsid w:val="089910BE"/>
    <w:rsid w:val="09234703"/>
    <w:rsid w:val="09A834E6"/>
    <w:rsid w:val="09E17CC9"/>
    <w:rsid w:val="09E74558"/>
    <w:rsid w:val="0A0A180B"/>
    <w:rsid w:val="0A294AB4"/>
    <w:rsid w:val="0A340352"/>
    <w:rsid w:val="0A53659C"/>
    <w:rsid w:val="0A6E1734"/>
    <w:rsid w:val="0A8F4FCA"/>
    <w:rsid w:val="0A9037A2"/>
    <w:rsid w:val="0A954DD4"/>
    <w:rsid w:val="0A9A7668"/>
    <w:rsid w:val="0A9D7909"/>
    <w:rsid w:val="0AA9517A"/>
    <w:rsid w:val="0AB672F0"/>
    <w:rsid w:val="0B0C10F9"/>
    <w:rsid w:val="0B280358"/>
    <w:rsid w:val="0B5044E7"/>
    <w:rsid w:val="0BB167F3"/>
    <w:rsid w:val="0BF94F60"/>
    <w:rsid w:val="0C0A78CE"/>
    <w:rsid w:val="0C994548"/>
    <w:rsid w:val="0C9D26B6"/>
    <w:rsid w:val="0CA9647F"/>
    <w:rsid w:val="0CC31C91"/>
    <w:rsid w:val="0D352B8F"/>
    <w:rsid w:val="0D3F6B5D"/>
    <w:rsid w:val="0D571347"/>
    <w:rsid w:val="0D8E6C59"/>
    <w:rsid w:val="0DE64B98"/>
    <w:rsid w:val="0E010220"/>
    <w:rsid w:val="0E06145C"/>
    <w:rsid w:val="0E9376C2"/>
    <w:rsid w:val="0EAE0390"/>
    <w:rsid w:val="0EF60E1C"/>
    <w:rsid w:val="0F34791F"/>
    <w:rsid w:val="0F3B508E"/>
    <w:rsid w:val="0F7A0609"/>
    <w:rsid w:val="0F7B1930"/>
    <w:rsid w:val="0F7F00F1"/>
    <w:rsid w:val="0F917EAC"/>
    <w:rsid w:val="0FF37C3A"/>
    <w:rsid w:val="108771A4"/>
    <w:rsid w:val="10BA10A3"/>
    <w:rsid w:val="10E71F9B"/>
    <w:rsid w:val="110224C3"/>
    <w:rsid w:val="113170AA"/>
    <w:rsid w:val="1135289D"/>
    <w:rsid w:val="115B306E"/>
    <w:rsid w:val="11E84674"/>
    <w:rsid w:val="11F25172"/>
    <w:rsid w:val="121443F8"/>
    <w:rsid w:val="121705C1"/>
    <w:rsid w:val="122E1C92"/>
    <w:rsid w:val="1255086C"/>
    <w:rsid w:val="12793EE7"/>
    <w:rsid w:val="1280322C"/>
    <w:rsid w:val="12F53817"/>
    <w:rsid w:val="131F211C"/>
    <w:rsid w:val="13682DEA"/>
    <w:rsid w:val="13730780"/>
    <w:rsid w:val="13AA04E2"/>
    <w:rsid w:val="13C52838"/>
    <w:rsid w:val="13E11700"/>
    <w:rsid w:val="13FC60E8"/>
    <w:rsid w:val="14011A1D"/>
    <w:rsid w:val="141552A5"/>
    <w:rsid w:val="142B0041"/>
    <w:rsid w:val="14774B2E"/>
    <w:rsid w:val="14827C1B"/>
    <w:rsid w:val="14EB04F7"/>
    <w:rsid w:val="15407796"/>
    <w:rsid w:val="154E0EBF"/>
    <w:rsid w:val="156D2F92"/>
    <w:rsid w:val="15D72A12"/>
    <w:rsid w:val="169A0EAB"/>
    <w:rsid w:val="16AF5AC3"/>
    <w:rsid w:val="171527D6"/>
    <w:rsid w:val="171F41BA"/>
    <w:rsid w:val="17953FE0"/>
    <w:rsid w:val="17A273EA"/>
    <w:rsid w:val="17FD074D"/>
    <w:rsid w:val="181D47D7"/>
    <w:rsid w:val="18344480"/>
    <w:rsid w:val="1843256B"/>
    <w:rsid w:val="1850208A"/>
    <w:rsid w:val="197977D8"/>
    <w:rsid w:val="198101D8"/>
    <w:rsid w:val="198B3B37"/>
    <w:rsid w:val="19B100DA"/>
    <w:rsid w:val="19CD64B4"/>
    <w:rsid w:val="19D35943"/>
    <w:rsid w:val="1A2C69A8"/>
    <w:rsid w:val="1A641B90"/>
    <w:rsid w:val="1A96042D"/>
    <w:rsid w:val="1A9A7057"/>
    <w:rsid w:val="1AAA1E17"/>
    <w:rsid w:val="1AE1485B"/>
    <w:rsid w:val="1AEA1905"/>
    <w:rsid w:val="1AFA387D"/>
    <w:rsid w:val="1B032A0A"/>
    <w:rsid w:val="1B316246"/>
    <w:rsid w:val="1B744EE2"/>
    <w:rsid w:val="1B8F23FA"/>
    <w:rsid w:val="1BA6283C"/>
    <w:rsid w:val="1C051E97"/>
    <w:rsid w:val="1C1509F0"/>
    <w:rsid w:val="1CAB4C1C"/>
    <w:rsid w:val="1CF2143F"/>
    <w:rsid w:val="1D6732BC"/>
    <w:rsid w:val="1D973D13"/>
    <w:rsid w:val="1D9E6516"/>
    <w:rsid w:val="1D9E73D3"/>
    <w:rsid w:val="1DB93368"/>
    <w:rsid w:val="1DE440E2"/>
    <w:rsid w:val="1E102689"/>
    <w:rsid w:val="1E163F89"/>
    <w:rsid w:val="1E472722"/>
    <w:rsid w:val="1E7E2221"/>
    <w:rsid w:val="1EAB684F"/>
    <w:rsid w:val="1ECE16BF"/>
    <w:rsid w:val="1EF74FEF"/>
    <w:rsid w:val="1EFE1CB7"/>
    <w:rsid w:val="1F016845"/>
    <w:rsid w:val="1F3F789D"/>
    <w:rsid w:val="1F547280"/>
    <w:rsid w:val="1F5F3A9B"/>
    <w:rsid w:val="1FC011AB"/>
    <w:rsid w:val="20217801"/>
    <w:rsid w:val="208714FC"/>
    <w:rsid w:val="20AD32FB"/>
    <w:rsid w:val="20B81D5F"/>
    <w:rsid w:val="20FB7915"/>
    <w:rsid w:val="21B2351D"/>
    <w:rsid w:val="21B81722"/>
    <w:rsid w:val="21C22FBF"/>
    <w:rsid w:val="21E55016"/>
    <w:rsid w:val="21F83BC2"/>
    <w:rsid w:val="220B7A4B"/>
    <w:rsid w:val="221B7121"/>
    <w:rsid w:val="221D02F7"/>
    <w:rsid w:val="222171E6"/>
    <w:rsid w:val="225B2506"/>
    <w:rsid w:val="23381743"/>
    <w:rsid w:val="23417B6A"/>
    <w:rsid w:val="237B0ACE"/>
    <w:rsid w:val="23BA31EE"/>
    <w:rsid w:val="23F554AC"/>
    <w:rsid w:val="24095D8E"/>
    <w:rsid w:val="248572B6"/>
    <w:rsid w:val="24F62AED"/>
    <w:rsid w:val="25887030"/>
    <w:rsid w:val="25E5098B"/>
    <w:rsid w:val="25EE5425"/>
    <w:rsid w:val="26174623"/>
    <w:rsid w:val="263B470A"/>
    <w:rsid w:val="26634928"/>
    <w:rsid w:val="2679522B"/>
    <w:rsid w:val="273D5F0F"/>
    <w:rsid w:val="27CE4E06"/>
    <w:rsid w:val="27D16682"/>
    <w:rsid w:val="28246EB4"/>
    <w:rsid w:val="286D1A5D"/>
    <w:rsid w:val="28791576"/>
    <w:rsid w:val="292454FB"/>
    <w:rsid w:val="29745E2F"/>
    <w:rsid w:val="298909CC"/>
    <w:rsid w:val="29CF6247"/>
    <w:rsid w:val="29D60035"/>
    <w:rsid w:val="29EA7181"/>
    <w:rsid w:val="2A620DBB"/>
    <w:rsid w:val="2A9C1E5A"/>
    <w:rsid w:val="2AC13BD5"/>
    <w:rsid w:val="2AEF5382"/>
    <w:rsid w:val="2AF449B6"/>
    <w:rsid w:val="2AF96572"/>
    <w:rsid w:val="2B7F5502"/>
    <w:rsid w:val="2BC50D0E"/>
    <w:rsid w:val="2BC65EA1"/>
    <w:rsid w:val="2BC91572"/>
    <w:rsid w:val="2C57520B"/>
    <w:rsid w:val="2CC14FD6"/>
    <w:rsid w:val="2CE55F57"/>
    <w:rsid w:val="2CF97887"/>
    <w:rsid w:val="2D23482E"/>
    <w:rsid w:val="2DDF15ED"/>
    <w:rsid w:val="2E333A4B"/>
    <w:rsid w:val="2E3F60F1"/>
    <w:rsid w:val="2EB4603C"/>
    <w:rsid w:val="2EFD7662"/>
    <w:rsid w:val="2F1A4FD9"/>
    <w:rsid w:val="2F3000AA"/>
    <w:rsid w:val="2F360AF3"/>
    <w:rsid w:val="2F4C5DA6"/>
    <w:rsid w:val="30046E2E"/>
    <w:rsid w:val="307153DD"/>
    <w:rsid w:val="30AB5B64"/>
    <w:rsid w:val="30BF6569"/>
    <w:rsid w:val="31021049"/>
    <w:rsid w:val="314E5D98"/>
    <w:rsid w:val="31780AD8"/>
    <w:rsid w:val="31B91FA7"/>
    <w:rsid w:val="326162E8"/>
    <w:rsid w:val="32785148"/>
    <w:rsid w:val="32BA12BD"/>
    <w:rsid w:val="331A7524"/>
    <w:rsid w:val="335E2203"/>
    <w:rsid w:val="337A0A4C"/>
    <w:rsid w:val="33FC5905"/>
    <w:rsid w:val="3401622F"/>
    <w:rsid w:val="34A164C1"/>
    <w:rsid w:val="34B720C6"/>
    <w:rsid w:val="34E96310"/>
    <w:rsid w:val="351918C4"/>
    <w:rsid w:val="354A6CEA"/>
    <w:rsid w:val="35833A12"/>
    <w:rsid w:val="362138D2"/>
    <w:rsid w:val="364C496C"/>
    <w:rsid w:val="36727DBF"/>
    <w:rsid w:val="367C4ADB"/>
    <w:rsid w:val="37779E1A"/>
    <w:rsid w:val="37935683"/>
    <w:rsid w:val="381A1143"/>
    <w:rsid w:val="386F1496"/>
    <w:rsid w:val="388B1365"/>
    <w:rsid w:val="38D05563"/>
    <w:rsid w:val="38DF1A6C"/>
    <w:rsid w:val="38FC46B0"/>
    <w:rsid w:val="39241C65"/>
    <w:rsid w:val="39B57EB9"/>
    <w:rsid w:val="39F161AE"/>
    <w:rsid w:val="3A100A23"/>
    <w:rsid w:val="3A3E4F25"/>
    <w:rsid w:val="3A91023F"/>
    <w:rsid w:val="3B013145"/>
    <w:rsid w:val="3B3827B9"/>
    <w:rsid w:val="3B8B534F"/>
    <w:rsid w:val="3BC91D71"/>
    <w:rsid w:val="3C634007"/>
    <w:rsid w:val="3C896E65"/>
    <w:rsid w:val="3CAB7EC8"/>
    <w:rsid w:val="3CDD2778"/>
    <w:rsid w:val="3D063E7F"/>
    <w:rsid w:val="3D6469F5"/>
    <w:rsid w:val="3DAF1B21"/>
    <w:rsid w:val="3DFF22F5"/>
    <w:rsid w:val="3E9F12F5"/>
    <w:rsid w:val="3EA660B3"/>
    <w:rsid w:val="3F2647E6"/>
    <w:rsid w:val="3F412F0E"/>
    <w:rsid w:val="3F663161"/>
    <w:rsid w:val="3F7E0612"/>
    <w:rsid w:val="3FC62C3F"/>
    <w:rsid w:val="3FC67573"/>
    <w:rsid w:val="40094D76"/>
    <w:rsid w:val="40315743"/>
    <w:rsid w:val="40602E94"/>
    <w:rsid w:val="412B55CF"/>
    <w:rsid w:val="418B23E8"/>
    <w:rsid w:val="41B94E35"/>
    <w:rsid w:val="41D24B23"/>
    <w:rsid w:val="420D6CAF"/>
    <w:rsid w:val="42523FFF"/>
    <w:rsid w:val="427702F8"/>
    <w:rsid w:val="43390298"/>
    <w:rsid w:val="43465B97"/>
    <w:rsid w:val="43B94FCF"/>
    <w:rsid w:val="43FB1BE4"/>
    <w:rsid w:val="43FE3763"/>
    <w:rsid w:val="44304602"/>
    <w:rsid w:val="44A470C6"/>
    <w:rsid w:val="45140016"/>
    <w:rsid w:val="45475A5B"/>
    <w:rsid w:val="454B4782"/>
    <w:rsid w:val="455A174E"/>
    <w:rsid w:val="45AA2423"/>
    <w:rsid w:val="45B93ADF"/>
    <w:rsid w:val="46060198"/>
    <w:rsid w:val="46074938"/>
    <w:rsid w:val="46310CF0"/>
    <w:rsid w:val="463E5EFF"/>
    <w:rsid w:val="46424B25"/>
    <w:rsid w:val="46496788"/>
    <w:rsid w:val="46A03C6E"/>
    <w:rsid w:val="46E70BC9"/>
    <w:rsid w:val="474B3181"/>
    <w:rsid w:val="475F3D89"/>
    <w:rsid w:val="4889350C"/>
    <w:rsid w:val="48FF2675"/>
    <w:rsid w:val="49B64D00"/>
    <w:rsid w:val="49EB3883"/>
    <w:rsid w:val="4A310169"/>
    <w:rsid w:val="4A561F48"/>
    <w:rsid w:val="4AFD0E54"/>
    <w:rsid w:val="4B707ED7"/>
    <w:rsid w:val="4C425395"/>
    <w:rsid w:val="4C871350"/>
    <w:rsid w:val="4C9F0379"/>
    <w:rsid w:val="4CFF2DBC"/>
    <w:rsid w:val="4D2108BD"/>
    <w:rsid w:val="4D482AB0"/>
    <w:rsid w:val="4D77476B"/>
    <w:rsid w:val="4DB46579"/>
    <w:rsid w:val="4DBA52D6"/>
    <w:rsid w:val="4DBE3B07"/>
    <w:rsid w:val="4E0F089C"/>
    <w:rsid w:val="4E513D42"/>
    <w:rsid w:val="4E563BD2"/>
    <w:rsid w:val="4EBD239E"/>
    <w:rsid w:val="4ED77A44"/>
    <w:rsid w:val="4F6F076B"/>
    <w:rsid w:val="4FC817A4"/>
    <w:rsid w:val="4FEB40D7"/>
    <w:rsid w:val="50976093"/>
    <w:rsid w:val="50FC2CFB"/>
    <w:rsid w:val="510D4856"/>
    <w:rsid w:val="511046F2"/>
    <w:rsid w:val="519E7C88"/>
    <w:rsid w:val="51C677AE"/>
    <w:rsid w:val="51F822BD"/>
    <w:rsid w:val="52004AE2"/>
    <w:rsid w:val="525E73B4"/>
    <w:rsid w:val="526565AE"/>
    <w:rsid w:val="527F3C1C"/>
    <w:rsid w:val="53264217"/>
    <w:rsid w:val="534878B3"/>
    <w:rsid w:val="535F11F5"/>
    <w:rsid w:val="53A2633B"/>
    <w:rsid w:val="54115DD2"/>
    <w:rsid w:val="54195138"/>
    <w:rsid w:val="548009FE"/>
    <w:rsid w:val="549716BE"/>
    <w:rsid w:val="54E04540"/>
    <w:rsid w:val="555763B0"/>
    <w:rsid w:val="55746DCF"/>
    <w:rsid w:val="55850EFA"/>
    <w:rsid w:val="56186E01"/>
    <w:rsid w:val="562B5263"/>
    <w:rsid w:val="563C0393"/>
    <w:rsid w:val="56597E2A"/>
    <w:rsid w:val="5663255D"/>
    <w:rsid w:val="56835CE6"/>
    <w:rsid w:val="56D31526"/>
    <w:rsid w:val="56F67F60"/>
    <w:rsid w:val="57204FF9"/>
    <w:rsid w:val="5772362B"/>
    <w:rsid w:val="57AFD63E"/>
    <w:rsid w:val="58145210"/>
    <w:rsid w:val="582B238B"/>
    <w:rsid w:val="5858466B"/>
    <w:rsid w:val="58BB65E0"/>
    <w:rsid w:val="58BD5B52"/>
    <w:rsid w:val="58CD1BA6"/>
    <w:rsid w:val="58D91F16"/>
    <w:rsid w:val="58F1395A"/>
    <w:rsid w:val="59232D12"/>
    <w:rsid w:val="598E5826"/>
    <w:rsid w:val="599F10B7"/>
    <w:rsid w:val="59C43032"/>
    <w:rsid w:val="5A1123A5"/>
    <w:rsid w:val="5ACA4B83"/>
    <w:rsid w:val="5AD36B10"/>
    <w:rsid w:val="5B6E0934"/>
    <w:rsid w:val="5B831944"/>
    <w:rsid w:val="5B8E7E2C"/>
    <w:rsid w:val="5C0A47B4"/>
    <w:rsid w:val="5CBA238E"/>
    <w:rsid w:val="5CDED734"/>
    <w:rsid w:val="5CF70BA6"/>
    <w:rsid w:val="5DC424E1"/>
    <w:rsid w:val="5DD61438"/>
    <w:rsid w:val="5E530C5B"/>
    <w:rsid w:val="5E593C6D"/>
    <w:rsid w:val="5EE65A6A"/>
    <w:rsid w:val="5F491944"/>
    <w:rsid w:val="5F653F41"/>
    <w:rsid w:val="5FDB55B9"/>
    <w:rsid w:val="5FDE1468"/>
    <w:rsid w:val="60084D3C"/>
    <w:rsid w:val="6142054C"/>
    <w:rsid w:val="61EE1F3A"/>
    <w:rsid w:val="61FD1031"/>
    <w:rsid w:val="620623AC"/>
    <w:rsid w:val="624179FD"/>
    <w:rsid w:val="624C5270"/>
    <w:rsid w:val="62EF200D"/>
    <w:rsid w:val="631442BB"/>
    <w:rsid w:val="63173ACA"/>
    <w:rsid w:val="632213A0"/>
    <w:rsid w:val="63644827"/>
    <w:rsid w:val="6372202C"/>
    <w:rsid w:val="63BE6F23"/>
    <w:rsid w:val="63E102D8"/>
    <w:rsid w:val="641F3C92"/>
    <w:rsid w:val="64250209"/>
    <w:rsid w:val="64295FCB"/>
    <w:rsid w:val="645F5235"/>
    <w:rsid w:val="649D6BD0"/>
    <w:rsid w:val="64BC3309"/>
    <w:rsid w:val="64E559C9"/>
    <w:rsid w:val="64F10ABC"/>
    <w:rsid w:val="64F95D79"/>
    <w:rsid w:val="65032CB5"/>
    <w:rsid w:val="65056E9A"/>
    <w:rsid w:val="651F57A6"/>
    <w:rsid w:val="652170A4"/>
    <w:rsid w:val="65875862"/>
    <w:rsid w:val="668B502A"/>
    <w:rsid w:val="669620C0"/>
    <w:rsid w:val="669D74D2"/>
    <w:rsid w:val="66C15072"/>
    <w:rsid w:val="6712349D"/>
    <w:rsid w:val="6728750E"/>
    <w:rsid w:val="672F0A43"/>
    <w:rsid w:val="673C7B27"/>
    <w:rsid w:val="67721E3C"/>
    <w:rsid w:val="6797790D"/>
    <w:rsid w:val="67E74E95"/>
    <w:rsid w:val="686D5EAE"/>
    <w:rsid w:val="68880126"/>
    <w:rsid w:val="68B60841"/>
    <w:rsid w:val="691C09B6"/>
    <w:rsid w:val="695412D8"/>
    <w:rsid w:val="69564A80"/>
    <w:rsid w:val="697A5DA5"/>
    <w:rsid w:val="69D87DC6"/>
    <w:rsid w:val="69E70326"/>
    <w:rsid w:val="6A6264E3"/>
    <w:rsid w:val="6A712DE6"/>
    <w:rsid w:val="6A731912"/>
    <w:rsid w:val="6A9242F2"/>
    <w:rsid w:val="6AC15977"/>
    <w:rsid w:val="6AC4614D"/>
    <w:rsid w:val="6AF4342C"/>
    <w:rsid w:val="6B411BAF"/>
    <w:rsid w:val="6B426B55"/>
    <w:rsid w:val="6B6C4CA7"/>
    <w:rsid w:val="6B7B39E1"/>
    <w:rsid w:val="6C8B3472"/>
    <w:rsid w:val="6D0158CC"/>
    <w:rsid w:val="6D63558D"/>
    <w:rsid w:val="6E1312A6"/>
    <w:rsid w:val="6E367BD9"/>
    <w:rsid w:val="6EAB3BA1"/>
    <w:rsid w:val="6EC32CEC"/>
    <w:rsid w:val="6ED819C8"/>
    <w:rsid w:val="6EF30FAE"/>
    <w:rsid w:val="6EF66FE4"/>
    <w:rsid w:val="6EFD02A8"/>
    <w:rsid w:val="6F3111BA"/>
    <w:rsid w:val="6F327A13"/>
    <w:rsid w:val="6F522700"/>
    <w:rsid w:val="6FAF1284"/>
    <w:rsid w:val="6FFE140E"/>
    <w:rsid w:val="7055201D"/>
    <w:rsid w:val="7075449A"/>
    <w:rsid w:val="70A7395C"/>
    <w:rsid w:val="70B27BD4"/>
    <w:rsid w:val="70D73255"/>
    <w:rsid w:val="70E02B5F"/>
    <w:rsid w:val="70F85725"/>
    <w:rsid w:val="7148570A"/>
    <w:rsid w:val="7182613B"/>
    <w:rsid w:val="71937CED"/>
    <w:rsid w:val="71A64616"/>
    <w:rsid w:val="71D70675"/>
    <w:rsid w:val="72044BFE"/>
    <w:rsid w:val="723D07F3"/>
    <w:rsid w:val="72A95C7B"/>
    <w:rsid w:val="72DE2AC1"/>
    <w:rsid w:val="72E14498"/>
    <w:rsid w:val="73011E65"/>
    <w:rsid w:val="7324442E"/>
    <w:rsid w:val="737D5C06"/>
    <w:rsid w:val="73A256EB"/>
    <w:rsid w:val="73AA557E"/>
    <w:rsid w:val="73CF2F09"/>
    <w:rsid w:val="73F36EAF"/>
    <w:rsid w:val="748734AD"/>
    <w:rsid w:val="75303164"/>
    <w:rsid w:val="754A102B"/>
    <w:rsid w:val="759168A9"/>
    <w:rsid w:val="75CA24D0"/>
    <w:rsid w:val="75E4680A"/>
    <w:rsid w:val="75F95D91"/>
    <w:rsid w:val="7634717A"/>
    <w:rsid w:val="76605FEE"/>
    <w:rsid w:val="76EA2F3E"/>
    <w:rsid w:val="771E5874"/>
    <w:rsid w:val="77CC454F"/>
    <w:rsid w:val="77DD643A"/>
    <w:rsid w:val="78062A41"/>
    <w:rsid w:val="781C1CDF"/>
    <w:rsid w:val="7836375E"/>
    <w:rsid w:val="784778B6"/>
    <w:rsid w:val="785B52DC"/>
    <w:rsid w:val="7862307A"/>
    <w:rsid w:val="788603B2"/>
    <w:rsid w:val="78E8471D"/>
    <w:rsid w:val="790F78C2"/>
    <w:rsid w:val="799358A0"/>
    <w:rsid w:val="79F65D4F"/>
    <w:rsid w:val="79F66159"/>
    <w:rsid w:val="7A566B87"/>
    <w:rsid w:val="7AE06072"/>
    <w:rsid w:val="7B9C0A4F"/>
    <w:rsid w:val="7BB874F3"/>
    <w:rsid w:val="7BFE19A5"/>
    <w:rsid w:val="7C99088D"/>
    <w:rsid w:val="7D0E1EA7"/>
    <w:rsid w:val="7D770A5E"/>
    <w:rsid w:val="7D7B3DA4"/>
    <w:rsid w:val="7DDFB083"/>
    <w:rsid w:val="7DF31B93"/>
    <w:rsid w:val="7DF9B9D1"/>
    <w:rsid w:val="7E6028D7"/>
    <w:rsid w:val="7E7E4C4F"/>
    <w:rsid w:val="7EBB1540"/>
    <w:rsid w:val="7EDD6B16"/>
    <w:rsid w:val="7F651499"/>
    <w:rsid w:val="7F7615BA"/>
    <w:rsid w:val="7F971E72"/>
    <w:rsid w:val="7F9A4101"/>
    <w:rsid w:val="BB568CEC"/>
    <w:rsid w:val="DFEB6737"/>
    <w:rsid w:val="E9FFA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qFormat/>
    <w:uiPriority w:val="99"/>
    <w:pPr>
      <w:keepNext/>
      <w:keepLines/>
      <w:spacing w:before="260" w:after="260" w:line="416" w:lineRule="auto"/>
      <w:outlineLvl w:val="2"/>
    </w:pPr>
    <w:rPr>
      <w:b/>
      <w:bCs/>
      <w:sz w:val="32"/>
      <w:szCs w:val="32"/>
    </w:rPr>
  </w:style>
  <w:style w:type="paragraph" w:styleId="6">
    <w:name w:val="heading 4"/>
    <w:basedOn w:val="5"/>
    <w:next w:val="1"/>
    <w:link w:val="69"/>
    <w:qFormat/>
    <w:uiPriority w:val="99"/>
    <w:pPr>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0"/>
    <w:qFormat/>
    <w:uiPriority w:val="99"/>
    <w:pPr>
      <w:spacing w:after="120"/>
    </w:pPr>
    <w:rPr>
      <w:rFonts w:ascii="Calibri" w:hAnsi="Calibri"/>
    </w:rPr>
  </w:style>
  <w:style w:type="paragraph" w:styleId="7">
    <w:name w:val="toc 7"/>
    <w:basedOn w:val="1"/>
    <w:next w:val="1"/>
    <w:qFormat/>
    <w:uiPriority w:val="99"/>
    <w:pPr>
      <w:ind w:left="2520" w:leftChars="1200"/>
    </w:pPr>
  </w:style>
  <w:style w:type="paragraph" w:styleId="8">
    <w:name w:val="List Number"/>
    <w:basedOn w:val="1"/>
    <w:qFormat/>
    <w:uiPriority w:val="99"/>
    <w:pPr>
      <w:widowControl/>
      <w:tabs>
        <w:tab w:val="left" w:pos="454"/>
        <w:tab w:val="left" w:pos="1290"/>
      </w:tabs>
      <w:spacing w:afterLines="50"/>
      <w:ind w:left="454" w:hanging="284"/>
      <w:jc w:val="left"/>
    </w:pPr>
    <w:rPr>
      <w:kern w:val="0"/>
      <w:sz w:val="24"/>
      <w:szCs w:val="20"/>
    </w:rPr>
  </w:style>
  <w:style w:type="paragraph" w:styleId="9">
    <w:name w:val="Normal Indent"/>
    <w:basedOn w:val="1"/>
    <w:qFormat/>
    <w:uiPriority w:val="99"/>
    <w:pPr>
      <w:ind w:firstLine="420"/>
    </w:pPr>
    <w:rPr>
      <w:szCs w:val="20"/>
    </w:rPr>
  </w:style>
  <w:style w:type="paragraph" w:styleId="10">
    <w:name w:val="annotation text"/>
    <w:basedOn w:val="1"/>
    <w:link w:val="85"/>
    <w:qFormat/>
    <w:uiPriority w:val="0"/>
    <w:pPr>
      <w:jc w:val="left"/>
    </w:pPr>
  </w:style>
  <w:style w:type="paragraph" w:styleId="11">
    <w:name w:val="Body Text 3"/>
    <w:basedOn w:val="1"/>
    <w:qFormat/>
    <w:uiPriority w:val="99"/>
    <w:rPr>
      <w:sz w:val="16"/>
      <w:szCs w:val="16"/>
    </w:rPr>
  </w:style>
  <w:style w:type="paragraph" w:styleId="12">
    <w:name w:val="Body Text Indent"/>
    <w:basedOn w:val="1"/>
    <w:link w:val="71"/>
    <w:qFormat/>
    <w:uiPriority w:val="99"/>
    <w:pPr>
      <w:spacing w:line="200" w:lineRule="exact"/>
      <w:ind w:firstLine="301"/>
    </w:pPr>
    <w:rPr>
      <w:rFonts w:ascii="宋体" w:hAnsi="Courier New"/>
      <w:spacing w:val="-4"/>
      <w:sz w:val="18"/>
      <w:szCs w:val="20"/>
    </w:rPr>
  </w:style>
  <w:style w:type="paragraph" w:styleId="13">
    <w:name w:val="List 2"/>
    <w:basedOn w:val="1"/>
    <w:qFormat/>
    <w:uiPriority w:val="99"/>
    <w:pPr>
      <w:ind w:left="100" w:leftChars="200" w:hanging="200" w:hangingChars="200"/>
    </w:pPr>
    <w:rPr>
      <w:sz w:val="28"/>
    </w:rPr>
  </w:style>
  <w:style w:type="paragraph" w:styleId="14">
    <w:name w:val="toc 5"/>
    <w:basedOn w:val="1"/>
    <w:next w:val="1"/>
    <w:qFormat/>
    <w:uiPriority w:val="99"/>
    <w:pPr>
      <w:ind w:left="1680" w:leftChars="800"/>
    </w:pPr>
  </w:style>
  <w:style w:type="paragraph" w:styleId="15">
    <w:name w:val="toc 3"/>
    <w:basedOn w:val="1"/>
    <w:next w:val="1"/>
    <w:qFormat/>
    <w:uiPriority w:val="99"/>
    <w:pPr>
      <w:ind w:left="840" w:leftChars="400"/>
    </w:pPr>
  </w:style>
  <w:style w:type="paragraph" w:styleId="16">
    <w:name w:val="Plain Text"/>
    <w:basedOn w:val="1"/>
    <w:link w:val="72"/>
    <w:qFormat/>
    <w:uiPriority w:val="99"/>
    <w:rPr>
      <w:rFonts w:ascii="宋体" w:hAnsi="Courier New"/>
      <w:szCs w:val="20"/>
    </w:rPr>
  </w:style>
  <w:style w:type="paragraph" w:styleId="17">
    <w:name w:val="toc 8"/>
    <w:basedOn w:val="1"/>
    <w:next w:val="1"/>
    <w:qFormat/>
    <w:uiPriority w:val="99"/>
    <w:pPr>
      <w:ind w:left="2940" w:leftChars="1400"/>
    </w:pPr>
  </w:style>
  <w:style w:type="paragraph" w:styleId="18">
    <w:name w:val="Date"/>
    <w:basedOn w:val="1"/>
    <w:next w:val="1"/>
    <w:link w:val="73"/>
    <w:qFormat/>
    <w:uiPriority w:val="99"/>
    <w:pPr>
      <w:ind w:left="2500" w:leftChars="2500"/>
    </w:pPr>
    <w:rPr>
      <w:rFonts w:eastAsia="楷体_GB2312"/>
      <w:sz w:val="32"/>
      <w:szCs w:val="20"/>
    </w:rPr>
  </w:style>
  <w:style w:type="paragraph" w:styleId="19">
    <w:name w:val="Body Text Indent 2"/>
    <w:basedOn w:val="1"/>
    <w:next w:val="20"/>
    <w:qFormat/>
    <w:uiPriority w:val="0"/>
    <w:pPr>
      <w:snapToGrid w:val="0"/>
      <w:ind w:firstLine="542" w:firstLineChars="225"/>
    </w:pPr>
    <w:rPr>
      <w:rFonts w:ascii="仿宋_GB2312" w:hAnsi="宋体" w:cs="Arial"/>
      <w:b/>
      <w:bCs/>
      <w:color w:val="000000"/>
      <w:sz w:val="24"/>
    </w:rPr>
  </w:style>
  <w:style w:type="paragraph" w:customStyle="1" w:styleId="20">
    <w:name w:val="z正文"/>
    <w:basedOn w:val="16"/>
    <w:qFormat/>
    <w:uiPriority w:val="99"/>
    <w:pPr>
      <w:tabs>
        <w:tab w:val="left" w:pos="525"/>
      </w:tabs>
      <w:snapToGrid w:val="0"/>
      <w:spacing w:line="360" w:lineRule="auto"/>
    </w:pPr>
    <w:rPr>
      <w:rFonts w:hAnsi="宋体"/>
      <w:sz w:val="24"/>
    </w:rPr>
  </w:style>
  <w:style w:type="paragraph" w:styleId="21">
    <w:name w:val="Balloon Text"/>
    <w:basedOn w:val="1"/>
    <w:link w:val="74"/>
    <w:qFormat/>
    <w:uiPriority w:val="99"/>
    <w:rPr>
      <w:sz w:val="18"/>
      <w:szCs w:val="18"/>
    </w:rPr>
  </w:style>
  <w:style w:type="paragraph" w:styleId="22">
    <w:name w:val="footer"/>
    <w:basedOn w:val="1"/>
    <w:link w:val="75"/>
    <w:qFormat/>
    <w:uiPriority w:val="99"/>
    <w:pPr>
      <w:tabs>
        <w:tab w:val="center" w:pos="4153"/>
        <w:tab w:val="right" w:pos="8306"/>
      </w:tabs>
      <w:snapToGrid w:val="0"/>
      <w:jc w:val="left"/>
    </w:pPr>
    <w:rPr>
      <w:sz w:val="18"/>
      <w:szCs w:val="18"/>
    </w:rPr>
  </w:style>
  <w:style w:type="paragraph" w:styleId="23">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99"/>
    <w:pPr>
      <w:ind w:left="1260" w:leftChars="600"/>
    </w:pPr>
  </w:style>
  <w:style w:type="paragraph" w:styleId="26">
    <w:name w:val="toc 6"/>
    <w:basedOn w:val="1"/>
    <w:next w:val="1"/>
    <w:qFormat/>
    <w:uiPriority w:val="99"/>
    <w:pPr>
      <w:ind w:left="2100" w:leftChars="1000"/>
    </w:pPr>
  </w:style>
  <w:style w:type="paragraph" w:styleId="2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8">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9">
    <w:name w:val="toc 2"/>
    <w:basedOn w:val="1"/>
    <w:next w:val="1"/>
    <w:qFormat/>
    <w:uiPriority w:val="39"/>
    <w:pPr>
      <w:ind w:left="420" w:leftChars="200"/>
    </w:pPr>
  </w:style>
  <w:style w:type="paragraph" w:styleId="30">
    <w:name w:val="toc 9"/>
    <w:basedOn w:val="1"/>
    <w:next w:val="1"/>
    <w:qFormat/>
    <w:uiPriority w:val="99"/>
    <w:pPr>
      <w:ind w:left="3360" w:leftChars="160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76"/>
    <w:qFormat/>
    <w:uiPriority w:val="99"/>
    <w:pPr>
      <w:spacing w:before="240" w:after="60"/>
      <w:jc w:val="center"/>
      <w:outlineLvl w:val="0"/>
    </w:pPr>
    <w:rPr>
      <w:rFonts w:ascii="Cambria" w:hAnsi="Cambria"/>
      <w:b/>
      <w:bCs/>
      <w:sz w:val="32"/>
      <w:szCs w:val="32"/>
    </w:rPr>
  </w:style>
  <w:style w:type="paragraph" w:styleId="33">
    <w:name w:val="annotation subject"/>
    <w:basedOn w:val="10"/>
    <w:next w:val="10"/>
    <w:link w:val="86"/>
    <w:qFormat/>
    <w:uiPriority w:val="0"/>
    <w:rPr>
      <w:b/>
      <w:bCs/>
    </w:rPr>
  </w:style>
  <w:style w:type="paragraph" w:styleId="34">
    <w:name w:val="Body Text First Indent"/>
    <w:basedOn w:val="2"/>
    <w:next w:val="1"/>
    <w:qFormat/>
    <w:uiPriority w:val="0"/>
    <w:pPr>
      <w:spacing w:line="520" w:lineRule="exact"/>
      <w:ind w:firstLine="100" w:firstLineChars="100"/>
      <w:jc w:val="left"/>
    </w:pPr>
    <w:rPr>
      <w:sz w:val="28"/>
    </w:rPr>
  </w:style>
  <w:style w:type="paragraph" w:styleId="35">
    <w:name w:val="Body Text First Indent 2"/>
    <w:basedOn w:val="12"/>
    <w:qFormat/>
    <w:uiPriority w:val="99"/>
    <w:pPr>
      <w:spacing w:line="240" w:lineRule="auto"/>
      <w:ind w:left="420" w:leftChars="200" w:firstLine="420" w:firstLineChars="200"/>
    </w:pPr>
    <w:rPr>
      <w:rFonts w:ascii="Times New Roman"/>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99"/>
    <w:rPr>
      <w:rFonts w:ascii="微软雅黑" w:hAnsi="微软雅黑" w:eastAsia="微软雅黑"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333333"/>
      <w:u w:val="none"/>
    </w:rPr>
  </w:style>
  <w:style w:type="character" w:styleId="42">
    <w:name w:val="Emphasis"/>
    <w:qFormat/>
    <w:uiPriority w:val="99"/>
    <w:rPr>
      <w:rFonts w:cs="Times New Roman"/>
    </w:rPr>
  </w:style>
  <w:style w:type="character" w:styleId="43">
    <w:name w:val="HTML Definition"/>
    <w:qFormat/>
    <w:uiPriority w:val="99"/>
    <w:rPr>
      <w:rFonts w:cs="Times New Roman"/>
    </w:rPr>
  </w:style>
  <w:style w:type="character" w:styleId="44">
    <w:name w:val="HTML Typewriter"/>
    <w:qFormat/>
    <w:uiPriority w:val="99"/>
    <w:rPr>
      <w:rFonts w:ascii="微软雅黑" w:hAnsi="微软雅黑" w:eastAsia="微软雅黑" w:cs="Times New Roman"/>
      <w:sz w:val="20"/>
    </w:rPr>
  </w:style>
  <w:style w:type="character" w:styleId="45">
    <w:name w:val="HTML Variable"/>
    <w:qFormat/>
    <w:uiPriority w:val="99"/>
    <w:rPr>
      <w:rFonts w:cs="Times New Roman"/>
    </w:rPr>
  </w:style>
  <w:style w:type="character" w:styleId="46">
    <w:name w:val="Hyperlink"/>
    <w:basedOn w:val="38"/>
    <w:qFormat/>
    <w:uiPriority w:val="99"/>
    <w:rPr>
      <w:rFonts w:cs="Times New Roman"/>
      <w:color w:val="333333"/>
      <w:u w:val="none"/>
    </w:rPr>
  </w:style>
  <w:style w:type="character" w:styleId="47">
    <w:name w:val="HTML Code"/>
    <w:qFormat/>
    <w:uiPriority w:val="99"/>
    <w:rPr>
      <w:rFonts w:ascii="Courier New" w:hAnsi="Courier New" w:cs="Times New Roman"/>
      <w:sz w:val="20"/>
    </w:rPr>
  </w:style>
  <w:style w:type="character" w:styleId="48">
    <w:name w:val="annotation reference"/>
    <w:qFormat/>
    <w:uiPriority w:val="0"/>
    <w:rPr>
      <w:sz w:val="21"/>
      <w:szCs w:val="21"/>
    </w:rPr>
  </w:style>
  <w:style w:type="character" w:styleId="49">
    <w:name w:val="HTML Cite"/>
    <w:qFormat/>
    <w:uiPriority w:val="99"/>
    <w:rPr>
      <w:rFonts w:cs="Times New Roman"/>
    </w:rPr>
  </w:style>
  <w:style w:type="paragraph" w:customStyle="1" w:styleId="50">
    <w:name w:val="样式1"/>
    <w:basedOn w:val="9"/>
    <w:qFormat/>
    <w:uiPriority w:val="0"/>
    <w:pPr>
      <w:ind w:firstLine="510"/>
    </w:pPr>
    <w:rPr>
      <w:rFonts w:ascii="宋体"/>
    </w:rPr>
  </w:style>
  <w:style w:type="character" w:customStyle="1" w:styleId="51">
    <w:name w:val="页眉 字符"/>
    <w:link w:val="23"/>
    <w:qFormat/>
    <w:uiPriority w:val="99"/>
    <w:rPr>
      <w:rFonts w:cs="Times New Roman"/>
      <w:sz w:val="18"/>
      <w:szCs w:val="18"/>
    </w:rPr>
  </w:style>
  <w:style w:type="character" w:customStyle="1" w:styleId="52">
    <w:name w:val="标题 3 字符"/>
    <w:link w:val="5"/>
    <w:qFormat/>
    <w:uiPriority w:val="99"/>
    <w:rPr>
      <w:rFonts w:cs="Times New Roman"/>
      <w:b/>
      <w:bCs/>
      <w:sz w:val="32"/>
      <w:szCs w:val="32"/>
    </w:rPr>
  </w:style>
  <w:style w:type="paragraph" w:customStyle="1" w:styleId="53">
    <w:name w:val="一级标题"/>
    <w:basedOn w:val="1"/>
    <w:next w:val="2"/>
    <w:qFormat/>
    <w:uiPriority w:val="0"/>
    <w:pPr>
      <w:outlineLvl w:val="0"/>
    </w:pPr>
    <w:rPr>
      <w:b/>
      <w:bCs/>
      <w:sz w:val="32"/>
    </w:rPr>
  </w:style>
  <w:style w:type="paragraph" w:customStyle="1" w:styleId="54">
    <w:name w:val="Char Char3 Char Char"/>
    <w:basedOn w:val="1"/>
    <w:qFormat/>
    <w:uiPriority w:val="0"/>
  </w:style>
  <w:style w:type="paragraph" w:customStyle="1" w:styleId="55">
    <w:name w:val="标准正文"/>
    <w:basedOn w:val="1"/>
    <w:qFormat/>
    <w:uiPriority w:val="0"/>
    <w:pPr>
      <w:spacing w:line="360" w:lineRule="auto"/>
      <w:ind w:firstLine="200" w:firstLineChars="200"/>
    </w:pPr>
    <w:rPr>
      <w:sz w:val="24"/>
      <w:szCs w:val="20"/>
    </w:rPr>
  </w:style>
  <w:style w:type="paragraph" w:customStyle="1" w:styleId="56">
    <w:name w:val="默认段落字体 Para Char Char Char Char"/>
    <w:basedOn w:val="1"/>
    <w:qFormat/>
    <w:uiPriority w:val="99"/>
    <w:pPr>
      <w:spacing w:line="360" w:lineRule="auto"/>
      <w:ind w:firstLine="200" w:firstLineChars="200"/>
    </w:p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简单回函地址"/>
    <w:basedOn w:val="1"/>
    <w:qFormat/>
    <w:uiPriority w:val="99"/>
    <w:rPr>
      <w:szCs w:val="20"/>
    </w:rPr>
  </w:style>
  <w:style w:type="paragraph" w:customStyle="1" w:styleId="59">
    <w:name w:val="正文段"/>
    <w:basedOn w:val="1"/>
    <w:qFormat/>
    <w:uiPriority w:val="99"/>
    <w:pPr>
      <w:widowControl/>
      <w:snapToGrid w:val="0"/>
      <w:spacing w:afterLines="50"/>
      <w:ind w:firstLine="200" w:firstLineChars="200"/>
    </w:pPr>
    <w:rPr>
      <w:kern w:val="0"/>
      <w:sz w:val="24"/>
      <w:szCs w:val="20"/>
    </w:rPr>
  </w:style>
  <w:style w:type="paragraph" w:customStyle="1" w:styleId="60">
    <w:name w:val="纯文本2"/>
    <w:basedOn w:val="1"/>
    <w:qFormat/>
    <w:uiPriority w:val="99"/>
    <w:pPr>
      <w:widowControl/>
      <w:adjustRightInd w:val="0"/>
      <w:spacing w:line="300" w:lineRule="exact"/>
      <w:ind w:firstLine="200" w:firstLineChars="200"/>
      <w:jc w:val="left"/>
      <w:textAlignment w:val="baseline"/>
    </w:pPr>
    <w:rPr>
      <w:rFonts w:ascii="宋体" w:hAnsi="Courier New" w:eastAsia="楷体_GB2312"/>
      <w:sz w:val="26"/>
      <w:szCs w:val="20"/>
    </w:rPr>
  </w:style>
  <w:style w:type="paragraph" w:customStyle="1" w:styleId="61">
    <w:name w:val="正文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2"/>
    <w:qFormat/>
    <w:uiPriority w:val="99"/>
    <w:pPr>
      <w:widowControl w:val="0"/>
      <w:adjustRightInd w:val="0"/>
      <w:spacing w:line="360" w:lineRule="atLeast"/>
      <w:textAlignment w:val="baseline"/>
    </w:pPr>
    <w:rPr>
      <w:rFonts w:ascii="宋体" w:hAnsi="Times New Roman" w:eastAsia="宋体" w:cs="Times New Roman"/>
      <w:sz w:val="24"/>
      <w:szCs w:val="22"/>
      <w:lang w:val="en-US" w:eastAsia="zh-CN" w:bidi="ar-SA"/>
    </w:rPr>
  </w:style>
  <w:style w:type="paragraph" w:customStyle="1" w:styleId="63">
    <w:name w:val="默认段落字体 Para Char Char Char Char Char Char Char Char Char1 Char Char Char Char"/>
    <w:basedOn w:val="1"/>
    <w:qFormat/>
    <w:uiPriority w:val="99"/>
    <w:rPr>
      <w:rFonts w:ascii="Tahoma" w:hAnsi="Tahoma"/>
      <w:sz w:val="24"/>
      <w:szCs w:val="20"/>
    </w:rPr>
  </w:style>
  <w:style w:type="paragraph" w:customStyle="1" w:styleId="64">
    <w:name w:val="纯文本1"/>
    <w:basedOn w:val="1"/>
    <w:next w:val="1"/>
    <w:qFormat/>
    <w:uiPriority w:val="99"/>
    <w:rPr>
      <w:rFonts w:ascii="宋体" w:hAnsi="Courier New"/>
      <w:sz w:val="24"/>
    </w:rPr>
  </w:style>
  <w:style w:type="paragraph" w:customStyle="1" w:styleId="65">
    <w:name w:val="p0"/>
    <w:basedOn w:val="1"/>
    <w:qFormat/>
    <w:uiPriority w:val="99"/>
    <w:pPr>
      <w:widowControl/>
    </w:pPr>
    <w:rPr>
      <w:kern w:val="0"/>
      <w:szCs w:val="21"/>
    </w:rPr>
  </w:style>
  <w:style w:type="paragraph" w:customStyle="1" w:styleId="66">
    <w:name w:val="列出段落1"/>
    <w:basedOn w:val="1"/>
    <w:qFormat/>
    <w:uiPriority w:val="99"/>
    <w:pPr>
      <w:ind w:firstLine="420" w:firstLineChars="200"/>
    </w:pPr>
  </w:style>
  <w:style w:type="character" w:customStyle="1" w:styleId="67">
    <w:name w:val="标题 1 字符"/>
    <w:link w:val="3"/>
    <w:qFormat/>
    <w:uiPriority w:val="99"/>
    <w:rPr>
      <w:rFonts w:cs="Times New Roman"/>
      <w:b/>
      <w:bCs/>
      <w:kern w:val="44"/>
      <w:sz w:val="44"/>
      <w:szCs w:val="44"/>
    </w:rPr>
  </w:style>
  <w:style w:type="character" w:customStyle="1" w:styleId="68">
    <w:name w:val="标题 2 字符"/>
    <w:link w:val="4"/>
    <w:qFormat/>
    <w:uiPriority w:val="99"/>
    <w:rPr>
      <w:rFonts w:ascii="Cambria" w:hAnsi="Cambria" w:eastAsia="宋体" w:cs="Times New Roman"/>
      <w:b/>
      <w:bCs/>
      <w:sz w:val="32"/>
      <w:szCs w:val="32"/>
    </w:rPr>
  </w:style>
  <w:style w:type="character" w:customStyle="1" w:styleId="69">
    <w:name w:val="标题 4 字符"/>
    <w:link w:val="6"/>
    <w:qFormat/>
    <w:uiPriority w:val="99"/>
    <w:rPr>
      <w:rFonts w:ascii="Cambria" w:hAnsi="Cambria" w:eastAsia="宋体" w:cs="Times New Roman"/>
      <w:b/>
      <w:bCs/>
      <w:sz w:val="28"/>
      <w:szCs w:val="28"/>
    </w:rPr>
  </w:style>
  <w:style w:type="character" w:customStyle="1" w:styleId="70">
    <w:name w:val="正文文本 字符"/>
    <w:link w:val="2"/>
    <w:qFormat/>
    <w:uiPriority w:val="99"/>
    <w:rPr>
      <w:rFonts w:ascii="Calibri" w:hAnsi="Calibri" w:cs="Times New Roman"/>
      <w:kern w:val="2"/>
      <w:sz w:val="24"/>
      <w:szCs w:val="24"/>
    </w:rPr>
  </w:style>
  <w:style w:type="character" w:customStyle="1" w:styleId="71">
    <w:name w:val="正文文本缩进 字符"/>
    <w:link w:val="12"/>
    <w:qFormat/>
    <w:uiPriority w:val="99"/>
    <w:rPr>
      <w:rFonts w:cs="Times New Roman"/>
      <w:sz w:val="24"/>
      <w:szCs w:val="24"/>
    </w:rPr>
  </w:style>
  <w:style w:type="character" w:customStyle="1" w:styleId="72">
    <w:name w:val="纯文本 字符"/>
    <w:link w:val="16"/>
    <w:qFormat/>
    <w:uiPriority w:val="99"/>
    <w:rPr>
      <w:rFonts w:ascii="宋体" w:hAnsi="Courier New" w:eastAsia="宋体" w:cs="Times New Roman"/>
      <w:kern w:val="2"/>
      <w:sz w:val="21"/>
      <w:lang w:val="en-US" w:eastAsia="zh-CN"/>
    </w:rPr>
  </w:style>
  <w:style w:type="character" w:customStyle="1" w:styleId="73">
    <w:name w:val="日期 字符"/>
    <w:link w:val="18"/>
    <w:qFormat/>
    <w:uiPriority w:val="99"/>
    <w:rPr>
      <w:rFonts w:cs="Times New Roman"/>
      <w:sz w:val="24"/>
      <w:szCs w:val="24"/>
    </w:rPr>
  </w:style>
  <w:style w:type="character" w:customStyle="1" w:styleId="74">
    <w:name w:val="批注框文本 字符"/>
    <w:link w:val="21"/>
    <w:qFormat/>
    <w:uiPriority w:val="99"/>
    <w:rPr>
      <w:rFonts w:cs="Times New Roman"/>
      <w:sz w:val="2"/>
    </w:rPr>
  </w:style>
  <w:style w:type="character" w:customStyle="1" w:styleId="75">
    <w:name w:val="页脚 字符"/>
    <w:link w:val="22"/>
    <w:qFormat/>
    <w:uiPriority w:val="99"/>
    <w:rPr>
      <w:rFonts w:cs="Times New Roman"/>
      <w:sz w:val="18"/>
      <w:szCs w:val="18"/>
    </w:rPr>
  </w:style>
  <w:style w:type="character" w:customStyle="1" w:styleId="76">
    <w:name w:val="标题 字符"/>
    <w:link w:val="32"/>
    <w:qFormat/>
    <w:uiPriority w:val="99"/>
    <w:rPr>
      <w:rFonts w:ascii="Cambria" w:hAnsi="Cambria" w:cs="Times New Roman"/>
      <w:b/>
      <w:bCs/>
      <w:sz w:val="32"/>
      <w:szCs w:val="32"/>
    </w:rPr>
  </w:style>
  <w:style w:type="character" w:customStyle="1" w:styleId="77">
    <w:name w:val="slider_ctrl_con"/>
    <w:qFormat/>
    <w:uiPriority w:val="99"/>
    <w:rPr>
      <w:shd w:val="clear" w:color="auto" w:fill="666666"/>
    </w:rPr>
  </w:style>
  <w:style w:type="character" w:customStyle="1" w:styleId="78">
    <w:name w:val="current"/>
    <w:qFormat/>
    <w:uiPriority w:val="99"/>
    <w:rPr>
      <w:shd w:val="clear" w:color="auto" w:fill="A00303"/>
    </w:rPr>
  </w:style>
  <w:style w:type="character" w:customStyle="1" w:styleId="79">
    <w:name w:val="textcolor1"/>
    <w:qFormat/>
    <w:uiPriority w:val="99"/>
    <w:rPr>
      <w:color w:val="FF6600"/>
    </w:rPr>
  </w:style>
  <w:style w:type="character" w:customStyle="1" w:styleId="80">
    <w:name w:val="纯文本 Char2"/>
    <w:qFormat/>
    <w:uiPriority w:val="99"/>
    <w:rPr>
      <w:rFonts w:ascii="宋体" w:hAnsi="Courier New" w:eastAsia="宋体"/>
      <w:kern w:val="2"/>
      <w:sz w:val="20"/>
      <w:lang w:val="en-US" w:eastAsia="zh-CN"/>
    </w:rPr>
  </w:style>
  <w:style w:type="paragraph" w:customStyle="1" w:styleId="81">
    <w:name w:val="工经所正文"/>
    <w:basedOn w:val="1"/>
    <w:qFormat/>
    <w:uiPriority w:val="0"/>
    <w:pPr>
      <w:spacing w:line="600" w:lineRule="exact"/>
      <w:ind w:firstLine="616" w:firstLineChars="200"/>
    </w:pPr>
    <w:rPr>
      <w:rFonts w:eastAsia="仿宋_GB2312" w:cs="仿宋_GB2312"/>
      <w:spacing w:val="-6"/>
      <w:sz w:val="32"/>
      <w:szCs w:val="32"/>
      <w:shd w:val="clear" w:color="auto" w:fill="FFFFFF"/>
      <w:lang w:val="zh-CN"/>
    </w:rPr>
  </w:style>
  <w:style w:type="paragraph" w:customStyle="1" w:styleId="82">
    <w:name w:val="保留正文"/>
    <w:basedOn w:val="1"/>
    <w:qFormat/>
    <w:uiPriority w:val="0"/>
    <w:pPr>
      <w:keepNext/>
      <w:spacing w:line="480" w:lineRule="auto"/>
    </w:pPr>
    <w:rPr>
      <w:rFonts w:ascii="宋体"/>
    </w:rPr>
  </w:style>
  <w:style w:type="paragraph" w:customStyle="1" w:styleId="83">
    <w:name w:val="目录"/>
    <w:basedOn w:val="24"/>
    <w:qFormat/>
    <w:uiPriority w:val="0"/>
    <w:pPr>
      <w:tabs>
        <w:tab w:val="right" w:leader="dot" w:pos="7937"/>
      </w:tabs>
      <w:spacing w:line="360" w:lineRule="auto"/>
      <w:jc w:val="center"/>
    </w:pPr>
    <w:rPr>
      <w:rFonts w:ascii="宋体" w:eastAsia="黑体"/>
      <w:b/>
      <w:caps/>
      <w:sz w:val="30"/>
    </w:rPr>
  </w:style>
  <w:style w:type="paragraph" w:customStyle="1" w:styleId="84">
    <w:name w:val="单位"/>
    <w:basedOn w:val="1"/>
    <w:qFormat/>
    <w:uiPriority w:val="0"/>
    <w:pPr>
      <w:jc w:val="center"/>
    </w:pPr>
    <w:rPr>
      <w:rFonts w:ascii="宋体"/>
      <w:b/>
      <w:sz w:val="32"/>
    </w:rPr>
  </w:style>
  <w:style w:type="character" w:customStyle="1" w:styleId="85">
    <w:name w:val="批注文字 字符"/>
    <w:link w:val="10"/>
    <w:qFormat/>
    <w:uiPriority w:val="0"/>
    <w:rPr>
      <w:kern w:val="2"/>
      <w:sz w:val="21"/>
      <w:szCs w:val="24"/>
    </w:rPr>
  </w:style>
  <w:style w:type="character" w:customStyle="1" w:styleId="86">
    <w:name w:val="批注主题 字符"/>
    <w:link w:val="33"/>
    <w:qFormat/>
    <w:uiPriority w:val="0"/>
    <w:rPr>
      <w:b/>
      <w:bCs/>
      <w:kern w:val="2"/>
      <w:sz w:val="21"/>
      <w:szCs w:val="24"/>
    </w:rPr>
  </w:style>
  <w:style w:type="character" w:customStyle="1" w:styleId="87">
    <w:name w:val="large1"/>
    <w:qFormat/>
    <w:uiPriority w:val="99"/>
    <w:rPr>
      <w:rFonts w:ascii="宋体" w:hAnsi="宋体" w:eastAsia="宋体"/>
      <w:sz w:val="21"/>
    </w:rPr>
  </w:style>
  <w:style w:type="paragraph" w:customStyle="1" w:styleId="88">
    <w:name w:val="样式 标题 31.1.1标题 333rd levelBOD 0Bold HeadCTH3H31Heading ...1"/>
    <w:basedOn w:val="5"/>
    <w:qFormat/>
    <w:uiPriority w:val="99"/>
    <w:pPr>
      <w:spacing w:before="0" w:after="0"/>
    </w:pPr>
    <w:rPr>
      <w:rFonts w:hAnsi="宋体" w:cs="宋体"/>
      <w:sz w:val="24"/>
    </w:rPr>
  </w:style>
  <w:style w:type="paragraph" w:customStyle="1" w:styleId="89">
    <w:name w:val="CM2"/>
    <w:basedOn w:val="1"/>
    <w:next w:val="1"/>
    <w:qFormat/>
    <w:uiPriority w:val="99"/>
    <w:pPr>
      <w:autoSpaceDE w:val="0"/>
      <w:autoSpaceDN w:val="0"/>
      <w:adjustRightInd w:val="0"/>
      <w:spacing w:line="343" w:lineRule="atLeast"/>
      <w:jc w:val="left"/>
    </w:pPr>
    <w:rPr>
      <w:rFonts w:ascii="宋体"/>
      <w:kern w:val="0"/>
      <w:sz w:val="24"/>
    </w:rPr>
  </w:style>
  <w:style w:type="character" w:customStyle="1" w:styleId="90">
    <w:name w:val="无"/>
    <w:qFormat/>
    <w:uiPriority w:val="99"/>
  </w:style>
  <w:style w:type="character" w:customStyle="1" w:styleId="91">
    <w:name w:val="bookmark-item"/>
    <w:basedOn w:val="38"/>
    <w:qFormat/>
    <w:uiPriority w:val="0"/>
  </w:style>
  <w:style w:type="character" w:customStyle="1" w:styleId="92">
    <w:name w:val="sub"/>
    <w:basedOn w:val="38"/>
    <w:qFormat/>
    <w:uiPriority w:val="0"/>
  </w:style>
  <w:style w:type="paragraph" w:customStyle="1" w:styleId="93">
    <w:name w:val="List Paragraph1"/>
    <w:basedOn w:val="1"/>
    <w:qFormat/>
    <w:uiPriority w:val="99"/>
    <w:pPr>
      <w:ind w:firstLine="420" w:firstLineChars="200"/>
    </w:pPr>
  </w:style>
  <w:style w:type="paragraph" w:styleId="94">
    <w:name w:val="List Paragraph"/>
    <w:basedOn w:val="1"/>
    <w:qFormat/>
    <w:uiPriority w:val="34"/>
    <w:pPr>
      <w:ind w:firstLine="420" w:firstLineChars="200"/>
    </w:pPr>
  </w:style>
  <w:style w:type="paragraph" w:customStyle="1" w:styleId="95">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9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7">
    <w:name w:val="CM11"/>
    <w:basedOn w:val="57"/>
    <w:next w:val="57"/>
    <w:unhideWhenUsed/>
    <w:qFormat/>
    <w:uiPriority w:val="99"/>
    <w:pPr>
      <w:spacing w:line="520" w:lineRule="atLeast"/>
    </w:pPr>
  </w:style>
  <w:style w:type="character" w:customStyle="1" w:styleId="98">
    <w:name w:val="font71"/>
    <w:basedOn w:val="38"/>
    <w:qFormat/>
    <w:uiPriority w:val="0"/>
    <w:rPr>
      <w:rFonts w:hint="eastAsia" w:ascii="宋体" w:hAnsi="宋体" w:eastAsia="宋体" w:cs="宋体"/>
      <w:color w:val="FF0000"/>
      <w:sz w:val="20"/>
      <w:szCs w:val="20"/>
      <w:u w:val="none"/>
    </w:rPr>
  </w:style>
  <w:style w:type="character" w:customStyle="1" w:styleId="99">
    <w:name w:val="font81"/>
    <w:basedOn w:val="38"/>
    <w:qFormat/>
    <w:uiPriority w:val="0"/>
    <w:rPr>
      <w:rFonts w:hint="default" w:ascii="Times New Roman" w:hAnsi="Times New Roman" w:cs="Times New Roman"/>
      <w:b/>
      <w:bCs/>
      <w:color w:val="FF0000"/>
      <w:sz w:val="20"/>
      <w:szCs w:val="20"/>
      <w:u w:val="none"/>
    </w:rPr>
  </w:style>
  <w:style w:type="character" w:customStyle="1" w:styleId="100">
    <w:name w:val="font41"/>
    <w:basedOn w:val="38"/>
    <w:qFormat/>
    <w:uiPriority w:val="0"/>
    <w:rPr>
      <w:rFonts w:hint="eastAsia" w:ascii="宋体" w:hAnsi="宋体" w:eastAsia="宋体" w:cs="宋体"/>
      <w:b/>
      <w:bCs/>
      <w:color w:val="FF0000"/>
      <w:sz w:val="20"/>
      <w:szCs w:val="20"/>
      <w:u w:val="none"/>
    </w:rPr>
  </w:style>
  <w:style w:type="character" w:customStyle="1" w:styleId="101">
    <w:name w:val="font91"/>
    <w:basedOn w:val="38"/>
    <w:qFormat/>
    <w:uiPriority w:val="0"/>
    <w:rPr>
      <w:rFonts w:hint="default" w:ascii="Times New Roman" w:hAnsi="Times New Roman" w:cs="Times New Roman"/>
      <w:color w:val="FF0000"/>
      <w:sz w:val="20"/>
      <w:szCs w:val="20"/>
      <w:u w:val="none"/>
    </w:rPr>
  </w:style>
  <w:style w:type="paragraph" w:customStyle="1" w:styleId="102">
    <w:name w:val="纯文本3"/>
    <w:basedOn w:val="1"/>
    <w:qFormat/>
    <w:uiPriority w:val="0"/>
    <w:rPr>
      <w:rFonts w:ascii="宋体" w:hAnsi="Courier New" w:eastAsia="仿宋_GB2312"/>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13435</Words>
  <Characters>14986</Characters>
  <Lines>223</Lines>
  <Paragraphs>62</Paragraphs>
  <TotalTime>1</TotalTime>
  <ScaleCrop>false</ScaleCrop>
  <LinksUpToDate>false</LinksUpToDate>
  <CharactersWithSpaces>15304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2019-10-12T22:03:00Z</dcterms:created>
  <dc:creator>john</dc:creator>
  <cp:lastModifiedBy>奶奶的孙女</cp:lastModifiedBy>
  <cp:lastPrinted>2020-11-19T23:18:00Z</cp:lastPrinted>
  <dcterms:modified xsi:type="dcterms:W3CDTF">2024-11-15T11:41:27Z</dcterms:modified>
  <dc:title>嘉兴市体育局关于</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D957FA8EC9BA44E59C91008B3FA60451_13</vt:lpwstr>
  </property>
</Properties>
</file>