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rPr>
          <w:rFonts w:hint="eastAsia" w:ascii="仿宋" w:hAnsi="仿宋" w:eastAsia="仿宋" w:cs="仿宋"/>
          <w:b/>
          <w:sz w:val="48"/>
          <w:szCs w:val="48"/>
        </w:rPr>
      </w:pPr>
    </w:p>
    <w:p>
      <w:pPr>
        <w:pStyle w:val="2"/>
        <w:jc w:val="center"/>
        <w:rPr>
          <w:rFonts w:hint="eastAsia" w:ascii="仿宋" w:hAnsi="仿宋" w:eastAsia="仿宋" w:cs="仿宋"/>
          <w:sz w:val="48"/>
          <w:szCs w:val="48"/>
          <w:lang w:eastAsia="zh-CN"/>
        </w:rPr>
      </w:pPr>
      <w:r>
        <w:rPr>
          <w:rFonts w:hint="eastAsia" w:ascii="仿宋" w:eastAsia="仿宋" w:cs="仿宋"/>
          <w:sz w:val="48"/>
          <w:szCs w:val="48"/>
          <w:lang w:eastAsia="zh-CN"/>
        </w:rPr>
        <w:t>临浦镇绿化养护服务采购项目</w:t>
      </w:r>
    </w:p>
    <w:p>
      <w:pPr>
        <w:rPr>
          <w:rFonts w:hint="eastAsia" w:ascii="仿宋" w:hAnsi="仿宋" w:eastAsia="仿宋" w:cs="仿宋"/>
        </w:rPr>
      </w:pPr>
    </w:p>
    <w:p>
      <w:pPr>
        <w:adjustRightInd/>
        <w:spacing w:line="360" w:lineRule="auto"/>
        <w:jc w:val="center"/>
        <w:rPr>
          <w:rFonts w:hint="eastAsia" w:ascii="仿宋" w:hAnsi="仿宋" w:eastAsia="仿宋" w:cs="仿宋"/>
          <w:sz w:val="48"/>
          <w:szCs w:val="48"/>
        </w:rPr>
      </w:pPr>
    </w:p>
    <w:p>
      <w:pPr>
        <w:pStyle w:val="2"/>
        <w:rPr>
          <w:rFonts w:hint="eastAsia"/>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bCs/>
          <w:sz w:val="32"/>
          <w:szCs w:val="32"/>
          <w:lang w:val="en-US" w:eastAsia="zh-CN"/>
        </w:rPr>
        <w:t>LP2025CG002</w:t>
      </w:r>
      <w:r>
        <w:rPr>
          <w:rFonts w:hint="eastAsia" w:ascii="仿宋" w:hAnsi="仿宋" w:eastAsia="仿宋" w:cs="仿宋"/>
          <w:sz w:val="30"/>
          <w:szCs w:val="30"/>
        </w:rPr>
        <w:t xml:space="preserve"> </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杭州市萧山区临浦镇人民政府</w:t>
      </w:r>
    </w:p>
    <w:p>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浙江富力诚欣工程顾问有限公司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临浦镇绿化养护服务采购项目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8"/>
          <w:rFonts w:hint="eastAsia" w:ascii="仿宋" w:hAnsi="仿宋" w:eastAsia="仿宋" w:cs="仿宋"/>
          <w:snapToGrid/>
          <w:color w:val="auto"/>
          <w:kern w:val="2"/>
          <w:sz w:val="24"/>
          <w:szCs w:val="24"/>
        </w:rPr>
        <w:t>https://www.zcygov.cn/）获取（下载）招标文件，并于</w:t>
      </w:r>
      <w:r>
        <w:rPr>
          <w:rStyle w:val="78"/>
          <w:rFonts w:hint="eastAsia" w:ascii="仿宋" w:hAnsi="仿宋" w:eastAsia="仿宋" w:cs="仿宋"/>
          <w:snapToGrid/>
          <w:color w:val="auto"/>
          <w:kern w:val="2"/>
          <w:sz w:val="24"/>
          <w:szCs w:val="24"/>
          <w:lang w:eastAsia="zh-CN"/>
        </w:rPr>
        <w:t>2025年</w:t>
      </w:r>
      <w:r>
        <w:rPr>
          <w:rStyle w:val="78"/>
          <w:rFonts w:hint="eastAsia" w:ascii="仿宋" w:hAnsi="仿宋" w:eastAsia="仿宋" w:cs="仿宋"/>
          <w:snapToGrid/>
          <w:color w:val="auto"/>
          <w:kern w:val="2"/>
          <w:sz w:val="24"/>
          <w:szCs w:val="24"/>
          <w:lang w:val="en-US" w:eastAsia="zh-CN"/>
        </w:rPr>
        <w:t>03</w:t>
      </w:r>
      <w:r>
        <w:rPr>
          <w:rStyle w:val="78"/>
          <w:rFonts w:hint="eastAsia" w:ascii="仿宋" w:hAnsi="仿宋" w:eastAsia="仿宋" w:cs="仿宋"/>
          <w:snapToGrid/>
          <w:color w:val="auto"/>
          <w:kern w:val="2"/>
          <w:sz w:val="24"/>
          <w:szCs w:val="24"/>
          <w:lang w:eastAsia="zh-CN"/>
        </w:rPr>
        <w:t>月</w:t>
      </w:r>
      <w:r>
        <w:rPr>
          <w:rStyle w:val="78"/>
          <w:rFonts w:hint="eastAsia" w:ascii="仿宋" w:hAnsi="仿宋" w:eastAsia="仿宋" w:cs="仿宋"/>
          <w:snapToGrid/>
          <w:color w:val="auto"/>
          <w:kern w:val="2"/>
          <w:sz w:val="24"/>
          <w:szCs w:val="24"/>
          <w:lang w:val="en-US" w:eastAsia="zh-CN"/>
        </w:rPr>
        <w:t>19</w:t>
      </w:r>
      <w:r>
        <w:rPr>
          <w:rStyle w:val="78"/>
          <w:rFonts w:hint="eastAsia" w:ascii="仿宋" w:hAnsi="仿宋" w:eastAsia="仿宋" w:cs="仿宋"/>
          <w:snapToGrid/>
          <w:color w:val="auto"/>
          <w:kern w:val="2"/>
          <w:sz w:val="24"/>
          <w:szCs w:val="24"/>
          <w:lang w:eastAsia="zh-CN"/>
        </w:rPr>
        <w:t>日</w:t>
      </w:r>
      <w:r>
        <w:rPr>
          <w:rStyle w:val="78"/>
          <w:rFonts w:hint="eastAsia" w:ascii="仿宋" w:hAnsi="仿宋" w:eastAsia="仿宋" w:cs="仿宋"/>
          <w:snapToGrid/>
          <w:color w:val="auto"/>
          <w:kern w:val="2"/>
          <w:sz w:val="24"/>
          <w:szCs w:val="24"/>
          <w:lang w:val="en-US" w:eastAsia="zh-CN"/>
        </w:rPr>
        <w:t>09</w:t>
      </w:r>
      <w:r>
        <w:rPr>
          <w:rStyle w:val="78"/>
          <w:rFonts w:hint="eastAsia" w:ascii="仿宋" w:hAnsi="仿宋" w:eastAsia="仿宋" w:cs="仿宋"/>
          <w:snapToGrid/>
          <w:color w:val="auto"/>
          <w:kern w:val="2"/>
          <w:sz w:val="24"/>
          <w:szCs w:val="24"/>
        </w:rPr>
        <w:t>点30分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lang w:eastAsia="zh-CN"/>
        </w:rPr>
        <w:t xml:space="preserve">LP2025CG002 </w:t>
      </w:r>
      <w:r>
        <w:rPr>
          <w:rFonts w:hint="eastAsia" w:ascii="仿宋" w:hAnsi="仿宋" w:eastAsia="仿宋" w:cs="仿宋"/>
          <w:b/>
          <w:sz w:val="24"/>
        </w:rPr>
        <w:t xml:space="preserve"> </w:t>
      </w:r>
    </w:p>
    <w:p>
      <w:pPr>
        <w:spacing w:line="360" w:lineRule="auto"/>
        <w:ind w:firstLine="480"/>
        <w:rPr>
          <w:rFonts w:hint="eastAsia"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z w:val="24"/>
          <w:lang w:eastAsia="zh-CN"/>
        </w:rPr>
        <w:t>临浦镇绿化养护服务采购项目</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预算金额（元）：</w:t>
      </w:r>
      <w:r>
        <w:rPr>
          <w:rFonts w:hint="eastAsia" w:ascii="仿宋" w:hAnsi="仿宋" w:eastAsia="仿宋" w:cs="仿宋"/>
          <w:b/>
          <w:sz w:val="24"/>
          <w:lang w:val="en-US" w:eastAsia="zh-CN"/>
        </w:rPr>
        <w:t>4536000</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4536000</w:t>
      </w:r>
    </w:p>
    <w:p>
      <w:pPr>
        <w:pStyle w:val="15"/>
        <w:spacing w:line="360" w:lineRule="auto"/>
        <w:ind w:firstLine="480"/>
        <w:rPr>
          <w:rFonts w:hint="eastAsia" w:ascii="仿宋" w:hAnsi="仿宋" w:eastAsia="仿宋" w:cs="仿宋"/>
          <w:bCs/>
          <w:snapToGrid/>
          <w:color w:val="auto"/>
          <w:kern w:val="2"/>
          <w:sz w:val="24"/>
          <w:szCs w:val="24"/>
          <w:lang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临浦镇绿化养护服务采购项目</w:t>
      </w:r>
    </w:p>
    <w:p>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lang w:eastAsia="zh-CN"/>
        </w:rPr>
        <w:t>养护内容包括人工、修剪、施肥、农药、除草、补植、保洁、病虫害防治、抗台应急等任务，各类举报、投诉和意见等派遣案卷的处置工作，建设单位的任务单、抄告单，应急保障和日常巡检等相关任务。</w:t>
      </w:r>
    </w:p>
    <w:p>
      <w:pPr>
        <w:pStyle w:val="132"/>
        <w:spacing w:before="0"/>
        <w:ind w:firstLine="482"/>
        <w:outlineLvl w:val="2"/>
        <w:rPr>
          <w:rFonts w:hint="eastAsia" w:ascii="仿宋" w:hAnsi="仿宋" w:eastAsia="仿宋" w:cs="仿宋"/>
        </w:rPr>
      </w:pPr>
      <w:r>
        <w:rPr>
          <w:rFonts w:hint="eastAsia" w:ascii="仿宋" w:hAnsi="仿宋" w:eastAsia="仿宋" w:cs="仿宋"/>
          <w:b/>
        </w:rPr>
        <w:t>合同履约期限：</w:t>
      </w:r>
      <w:r>
        <w:rPr>
          <w:rFonts w:hint="eastAsia" w:ascii="仿宋" w:hAnsi="仿宋" w:eastAsia="仿宋" w:cs="仿宋"/>
          <w:b/>
          <w:lang w:val="en-US" w:eastAsia="zh-CN"/>
        </w:rPr>
        <w:t>1</w:t>
      </w:r>
      <w:r>
        <w:rPr>
          <w:rFonts w:hint="eastAsia" w:ascii="仿宋" w:hAnsi="仿宋" w:eastAsia="仿宋" w:cs="仿宋"/>
          <w:b/>
        </w:rPr>
        <w:t>年。</w:t>
      </w:r>
    </w:p>
    <w:p>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rPr>
          <w:id w:val="1052570136"/>
          <w14:checkbox>
            <w14:checked w14:val="1"/>
            <w14:checkedState w14:val="00FE" w14:font="Wingdings"/>
            <w14:uncheckedState w14:val="2610" w14:font="MS Gothic"/>
          </w14:checkbox>
        </w:sdtPr>
        <w:sdtEndPr>
          <w:rPr>
            <w:rFonts w:hint="eastAsia" w:ascii="仿宋" w:hAnsi="仿宋" w:eastAsia="仿宋" w:cs="仿宋"/>
            <w:color w:val="auto"/>
          </w:rPr>
        </w:sdtEndPr>
        <w:sdtContent>
          <w:r>
            <w:rPr>
              <w:rFonts w:hint="eastAsia" w:ascii="仿宋" w:hAnsi="仿宋" w:eastAsia="仿宋" w:cs="仿宋"/>
              <w:color w:val="auto"/>
            </w:rPr>
            <w:sym w:font="Wingdings" w:char="F0FE"/>
          </w:r>
        </w:sdtContent>
      </w:sdt>
      <w:r>
        <w:rPr>
          <w:rFonts w:hint="eastAsia" w:ascii="仿宋" w:hAnsi="仿宋" w:eastAsia="仿宋" w:cs="仿宋"/>
          <w:snapToGrid/>
          <w:color w:val="auto"/>
          <w:kern w:val="2"/>
          <w:sz w:val="24"/>
          <w:szCs w:val="24"/>
        </w:rPr>
        <w:t>是；</w:t>
      </w:r>
    </w:p>
    <w:p>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204286147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33519293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专</w:t>
      </w:r>
      <w:r>
        <w:rPr>
          <w:rFonts w:hint="eastAsia" w:ascii="仿宋" w:hAnsi="仿宋" w:eastAsia="仿宋" w:cs="仿宋"/>
          <w:sz w:val="24"/>
        </w:rPr>
        <w:t>门面向中小企业</w:t>
      </w:r>
    </w:p>
    <w:p>
      <w:pPr>
        <w:spacing w:line="360" w:lineRule="auto"/>
        <w:ind w:firstLine="960" w:firstLineChars="400"/>
        <w:rPr>
          <w:rFonts w:hint="eastAsia" w:ascii="仿宋" w:hAnsi="仿宋" w:eastAsia="仿宋" w:cs="仿宋"/>
          <w:sz w:val="24"/>
        </w:rPr>
      </w:pPr>
      <w:sdt>
        <w:sdtPr>
          <w:rPr>
            <w:rFonts w:hint="eastAsia" w:ascii="仿宋" w:hAnsi="仿宋" w:eastAsia="仿宋" w:cs="仿宋"/>
            <w:kern w:val="0"/>
            <w:sz w:val="24"/>
          </w:rPr>
          <w:id w:val="-13340698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xml:space="preserve"> </w:t>
      </w:r>
      <w:r>
        <w:rPr>
          <w:rFonts w:hint="eastAsia" w:ascii="仿宋" w:hAnsi="仿宋" w:eastAsia="仿宋" w:cs="仿宋"/>
          <w:sz w:val="24"/>
          <w:lang w:val="en-US" w:eastAsia="zh-CN"/>
        </w:rPr>
        <w:t>服务</w:t>
      </w:r>
      <w:r>
        <w:rPr>
          <w:rFonts w:hint="eastAsia" w:ascii="仿宋" w:hAnsi="仿宋" w:eastAsia="仿宋" w:cs="仿宋"/>
          <w:sz w:val="24"/>
        </w:rPr>
        <w:t>全部由符合政策要求的中小企业制造，提供中小企业声明函；</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服务</w:t>
      </w:r>
      <w:r>
        <w:rPr>
          <w:rFonts w:hint="eastAsia" w:ascii="仿宋" w:hAnsi="仿宋" w:eastAsia="仿宋" w:cs="仿宋"/>
          <w:sz w:val="24"/>
        </w:rPr>
        <w:t>全部由符合政策要求的小微企业制造，提供中小企业声明函；</w:t>
      </w:r>
    </w:p>
    <w:p>
      <w:pPr>
        <w:spacing w:line="360" w:lineRule="auto"/>
        <w:ind w:firstLine="480" w:firstLineChars="200"/>
        <w:rPr>
          <w:rFonts w:hint="eastAsia" w:ascii="仿宋" w:hAnsi="仿宋" w:eastAsia="仿宋" w:cs="仿宋"/>
          <w:sz w:val="24"/>
        </w:rPr>
      </w:pPr>
      <w:bookmarkStart w:id="12" w:name="_Hlk101132524"/>
      <w:sdt>
        <w:sdtPr>
          <w:rPr>
            <w:rFonts w:hint="eastAsia" w:ascii="仿宋" w:hAnsi="仿宋" w:eastAsia="仿宋" w:cs="仿宋"/>
            <w:kern w:val="0"/>
            <w:sz w:val="24"/>
          </w:rPr>
          <w:id w:val="11557274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2670075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4.本项目的特定资格要求：/</w:t>
      </w:r>
      <w:r>
        <w:rPr>
          <w:rFonts w:hint="eastAsia" w:ascii="仿宋" w:hAnsi="仿宋" w:eastAsia="仿宋" w:cs="仿宋"/>
          <w:kern w:val="0"/>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03</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19</w:t>
      </w:r>
      <w:r>
        <w:rPr>
          <w:rFonts w:hint="eastAsia" w:ascii="仿宋" w:hAnsi="仿宋" w:eastAsia="仿宋" w:cs="仿宋"/>
          <w:sz w:val="24"/>
          <w:u w:val="single"/>
          <w:lang w:eastAsia="zh-CN"/>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03</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19</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点30分00秒</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03</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19</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点30分00秒</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杭州市萧山区临浦镇人民政府</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地    址：杭州市萧山区</w:t>
      </w:r>
      <w:r>
        <w:rPr>
          <w:rFonts w:hint="eastAsia" w:ascii="仿宋" w:hAnsi="仿宋" w:eastAsia="仿宋" w:cs="仿宋"/>
          <w:sz w:val="24"/>
          <w:lang w:val="en-US" w:eastAsia="zh-CN"/>
        </w:rPr>
        <w:t>临浦镇</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徐凌峰</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13777707477</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裘飞华</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0571-82287041</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浙江富力诚欣工程顾问有限公司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址：杭州市萧山区北干街道天润中心2幢2楼</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王露萍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sz w:val="24"/>
          <w:szCs w:val="28"/>
          <w:lang w:val="en-US" w:eastAsia="zh-CN"/>
        </w:rPr>
        <w:t>18367172448</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徐工</w:t>
      </w:r>
      <w:r>
        <w:rPr>
          <w:rFonts w:hint="eastAsia" w:ascii="仿宋" w:hAnsi="仿宋" w:eastAsia="仿宋" w:cs="仿宋"/>
          <w:sz w:val="24"/>
        </w:rPr>
        <w:t xml:space="preserve"> </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17764505273</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 同级政府采购监督管理部门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称：萧山区财政局、浙江省政府采购行政裁决服务中心（杭州）</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联系人：朱女士/王女士</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监督投诉电话：0571-87227671,0571-87800218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政策咨询电话：0571-82756122  （汤先生）</w:t>
      </w:r>
    </w:p>
    <w:p>
      <w:pPr>
        <w:spacing w:line="360" w:lineRule="auto"/>
        <w:ind w:left="237" w:leftChars="113" w:firstLine="180" w:firstLineChars="75"/>
        <w:rPr>
          <w:rFonts w:hint="eastAsia" w:ascii="仿宋" w:hAnsi="仿宋" w:eastAsia="仿宋" w:cs="仿宋"/>
          <w:sz w:val="24"/>
        </w:rPr>
      </w:pP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6"/>
        <w:spacing w:line="360" w:lineRule="auto"/>
        <w:jc w:val="left"/>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 xml:space="preserve"> </w:t>
      </w:r>
    </w:p>
    <w:p>
      <w:pPr>
        <w:pStyle w:val="2"/>
        <w:rPr>
          <w:rFonts w:hint="eastAsia" w:ascii="仿宋" w:hAnsi="仿宋" w:eastAsia="仿宋" w:cs="仿宋"/>
          <w:snapToGrid w:val="0"/>
        </w:rPr>
      </w:pPr>
      <w:r>
        <w:rPr>
          <w:rFonts w:hint="eastAsia" w:ascii="仿宋" w:hAnsi="仿宋" w:eastAsia="仿宋" w:cs="仿宋"/>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lang w:eastAsia="zh-CN"/>
              </w:rPr>
              <w:t>临浦镇绿化养护服务采购项目</w:t>
            </w:r>
            <w:r>
              <w:rPr>
                <w:rFonts w:hint="eastAsia" w:ascii="仿宋" w:hAnsi="仿宋" w:eastAsia="仿宋" w:cs="仿宋"/>
                <w:sz w:val="24"/>
              </w:rPr>
              <w:t>，属于</w:t>
            </w:r>
            <w:r>
              <w:rPr>
                <w:rFonts w:hint="eastAsia" w:ascii="仿宋" w:hAnsi="仿宋" w:eastAsia="仿宋" w:cs="仿宋"/>
                <w:color w:val="auto"/>
                <w:sz w:val="24"/>
                <w:szCs w:val="24"/>
                <w:highlight w:val="none"/>
              </w:rPr>
              <w:t>其他未列明行业</w:t>
            </w:r>
            <w:r>
              <w:rPr>
                <w:rFonts w:hint="eastAsia" w:ascii="仿宋" w:hAnsi="仿宋" w:eastAsia="仿宋" w:cs="仿宋"/>
                <w:sz w:val="24"/>
              </w:rPr>
              <w:t>；</w:t>
            </w:r>
          </w:p>
          <w:p>
            <w:pPr>
              <w:rPr>
                <w:rFonts w:hint="eastAsia" w:ascii="仿宋" w:hAnsi="仿宋" w:eastAsia="仿宋" w:cs="仿宋"/>
              </w:rPr>
            </w:pPr>
            <w:r>
              <w:rPr>
                <w:rFonts w:hint="eastAsia" w:ascii="仿宋" w:hAnsi="仿宋" w:eastAsia="仿宋" w:cs="仿宋"/>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sdt>
              <w:sdtPr>
                <w:rPr>
                  <w:rFonts w:hint="eastAsia" w:ascii="仿宋" w:hAnsi="仿宋" w:eastAsia="仿宋" w:cs="仿宋"/>
                </w:rPr>
                <w:id w:val="-1828425707"/>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rPr>
                  <w:sym w:font="Wingdings" w:char="F0FE"/>
                </w:r>
              </w:sdtContent>
            </w:sdt>
            <w:r>
              <w:rPr>
                <w:rFonts w:hint="eastAsia" w:ascii="仿宋" w:hAnsi="仿宋" w:eastAsia="仿宋" w:cs="仿宋"/>
                <w:sz w:val="24"/>
              </w:rPr>
              <w:t>本项目不允许采购进口产品。</w:t>
            </w:r>
          </w:p>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rPr>
                <w:id w:val="1359465885"/>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kern w:val="2"/>
                    <w:sz w:val="21"/>
                    <w:szCs w:val="24"/>
                    <w:lang w:val="en-US" w:eastAsia="zh-CN" w:bidi="ar-SA"/>
                  </w:rPr>
                  <w:t>þ</w:t>
                </w:r>
              </w:sdtContent>
            </w:sdt>
            <w:r>
              <w:rPr>
                <w:rFonts w:hint="eastAsia" w:ascii="仿宋" w:hAnsi="仿宋" w:eastAsia="仿宋" w:cs="仿宋"/>
                <w:sz w:val="24"/>
              </w:rPr>
              <w:t>同意将非主体、非关键性的工作分包。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szCs w:val="20"/>
              </w:rPr>
            </w:pPr>
            <w:sdt>
              <w:sdtPr>
                <w:rPr>
                  <w:rFonts w:hint="eastAsia" w:ascii="仿宋" w:hAnsi="仿宋" w:eastAsia="仿宋" w:cs="仿宋"/>
                </w:rPr>
                <w:id w:val="1870726802"/>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sdt>
              <w:sdtPr>
                <w:rPr>
                  <w:rFonts w:hint="eastAsia" w:ascii="仿宋" w:hAnsi="仿宋" w:eastAsia="仿宋" w:cs="仿宋"/>
                  <w:sz w:val="24"/>
                </w:rPr>
                <w:id w:val="1026831988"/>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kern w:val="2"/>
                    <w:sz w:val="24"/>
                    <w:szCs w:val="24"/>
                    <w:lang w:val="en-US" w:eastAsia="zh-CN" w:bidi="ar-SA"/>
                  </w:rPr>
                  <w:t>þ</w:t>
                </w:r>
              </w:sdtContent>
            </w:sdt>
            <w:r>
              <w:rPr>
                <w:rFonts w:hint="eastAsia" w:ascii="仿宋" w:hAnsi="仿宋" w:eastAsia="仿宋" w:cs="仿宋"/>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4746134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rFonts w:hint="eastAsia" w:ascii="仿宋" w:hAnsi="仿宋" w:eastAsia="仿宋" w:cs="仿宋"/>
                <w:sz w:val="24"/>
              </w:rPr>
            </w:pPr>
            <w:r>
              <w:rPr>
                <w:rFonts w:hint="eastAsia" w:ascii="仿宋" w:hAnsi="仿宋" w:eastAsia="仿宋" w:cs="仿宋"/>
                <w:sz w:val="24"/>
              </w:rPr>
              <w:t>本项目支持《杭州市萧山区政府采购支持中小企业信用融资暂行办法》。</w:t>
            </w:r>
          </w:p>
          <w:p>
            <w:pPr>
              <w:rPr>
                <w:rFonts w:hint="eastAsia" w:ascii="仿宋" w:hAnsi="仿宋" w:eastAsia="仿宋" w:cs="仿宋"/>
              </w:rPr>
            </w:pPr>
            <w:r>
              <w:rPr>
                <w:rFonts w:hint="eastAsia" w:ascii="仿宋" w:hAnsi="仿宋" w:eastAsia="仿宋" w:cs="仿宋"/>
                <w:sz w:val="24"/>
              </w:rPr>
              <w:t>有融资需求的中标供应商可参照相关规定及银行方案凭政府采购合同向相关合作银行提出信用融资（贷款）申请。详见</w:t>
            </w:r>
            <w:r>
              <w:rPr>
                <w:rFonts w:hint="eastAsia" w:ascii="仿宋" w:hAnsi="仿宋" w:eastAsia="仿宋" w:cs="仿宋"/>
              </w:rPr>
              <w:fldChar w:fldCharType="begin"/>
            </w:r>
            <w:r>
              <w:rPr>
                <w:rFonts w:hint="eastAsia" w:ascii="仿宋" w:hAnsi="仿宋" w:eastAsia="仿宋" w:cs="仿宋"/>
              </w:rPr>
              <w:instrText xml:space="preserve"> HYPERLINK "http://www.xiaoshan.gov.cn/art/2018/12/20/art_1229293109_1559514.html" </w:instrText>
            </w:r>
            <w:r>
              <w:rPr>
                <w:rFonts w:hint="eastAsia" w:ascii="仿宋" w:hAnsi="仿宋" w:eastAsia="仿宋" w:cs="仿宋"/>
              </w:rPr>
              <w:fldChar w:fldCharType="separate"/>
            </w:r>
            <w:r>
              <w:rPr>
                <w:rStyle w:val="78"/>
                <w:rFonts w:hint="eastAsia" w:ascii="仿宋" w:hAnsi="仿宋" w:eastAsia="仿宋" w:cs="仿宋"/>
                <w:snapToGrid/>
                <w:color w:val="auto"/>
                <w:sz w:val="24"/>
                <w:szCs w:val="24"/>
              </w:rPr>
              <w:t>http://www.xiaoshan.gov.cn/art/2018/12/20/art_1229293109_1559514.html</w:t>
            </w:r>
            <w:r>
              <w:rPr>
                <w:rStyle w:val="78"/>
                <w:rFonts w:hint="eastAsia" w:ascii="仿宋" w:hAnsi="仿宋" w:eastAsia="仿宋" w:cs="仿宋"/>
                <w:snapToGrid/>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pPr>
              <w:pageBreakBefore w:val="0"/>
              <w:widowControl w:val="0"/>
              <w:kinsoku/>
              <w:wordWrap/>
              <w:overflowPunct/>
              <w:topLinePunct w:val="0"/>
              <w:autoSpaceDE/>
              <w:autoSpaceDN/>
              <w:bidi w:val="0"/>
              <w:snapToGrid w:val="0"/>
              <w:spacing w:line="240" w:lineRule="auto"/>
              <w:ind w:left="21" w:leftChars="10" w:right="21" w:rightChars="10"/>
              <w:jc w:val="center"/>
              <w:textAlignment w:val="auto"/>
              <w:rPr>
                <w:rFonts w:hint="eastAsia" w:ascii="仿宋" w:hAnsi="仿宋" w:eastAsia="仿宋" w:cs="仿宋"/>
                <w:b/>
                <w:sz w:val="24"/>
              </w:rPr>
            </w:pPr>
            <w:r>
              <w:rPr>
                <w:rFonts w:hint="eastAsia" w:ascii="仿宋" w:hAnsi="仿宋" w:eastAsia="仿宋" w:cs="仿宋"/>
                <w:b/>
                <w:color w:val="auto"/>
                <w:sz w:val="24"/>
                <w:szCs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pageBreakBefore w:val="0"/>
              <w:widowControl w:val="0"/>
              <w:kinsoku/>
              <w:wordWrap/>
              <w:overflowPunct/>
              <w:topLinePunct w:val="0"/>
              <w:autoSpaceDE/>
              <w:autoSpaceDN/>
              <w:bidi w:val="0"/>
              <w:spacing w:line="240" w:lineRule="auto"/>
              <w:ind w:left="21" w:leftChars="10" w:right="21" w:rightChars="10"/>
              <w:textAlignment w:val="auto"/>
              <w:rPr>
                <w:rFonts w:hint="eastAsia" w:ascii="仿宋" w:hAnsi="仿宋" w:eastAsia="仿宋" w:cs="仿宋"/>
                <w:kern w:val="28"/>
                <w:sz w:val="24"/>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sz w:val="24"/>
              </w:rPr>
            </w:pPr>
            <w:r>
              <w:rPr>
                <w:rFonts w:hint="eastAsia" w:ascii="仿宋" w:hAnsi="仿宋" w:eastAsia="仿宋" w:cs="仿宋"/>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1.本项目采购代理费由中标人支付</w:t>
            </w:r>
            <w:r>
              <w:rPr>
                <w:rFonts w:hint="eastAsia" w:ascii="仿宋" w:hAnsi="仿宋" w:eastAsia="仿宋" w:cs="仿宋"/>
                <w:snapToGrid w:val="0"/>
                <w:color w:val="auto"/>
                <w:kern w:val="28"/>
                <w:sz w:val="24"/>
                <w:szCs w:val="24"/>
                <w:highlight w:val="none"/>
              </w:rPr>
              <w:t>。</w:t>
            </w:r>
          </w:p>
          <w:p>
            <w:pPr>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 xml:space="preserve">不论采购结果如何，供应商均应自行承担所有与采购有关的全部费用；中标供应商在领取中标通知书发出时，应向采购代理机构交纳代理服务费；     </w:t>
            </w:r>
          </w:p>
          <w:p>
            <w:pPr>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3.中标供应商逾期支付代理服务费，须承担代理服务费每日百分之三的违约金，逾 期十日未支付的，采购代理机构有权向杭州仲裁委员会对成交供应商提起仲裁，仲 裁 费用 (包括仲裁受理费和仲裁处理费)均由中标供应商承担。</w:t>
            </w:r>
          </w:p>
          <w:p>
            <w:pPr>
              <w:rPr>
                <w:rFonts w:hint="eastAsia" w:ascii="仿宋" w:hAnsi="仿宋" w:eastAsia="仿宋" w:cs="仿宋"/>
                <w:sz w:val="24"/>
              </w:rPr>
            </w:pPr>
            <w:r>
              <w:rPr>
                <w:rFonts w:hint="eastAsia" w:ascii="仿宋" w:hAnsi="仿宋" w:eastAsia="仿宋" w:cs="仿宋"/>
                <w:color w:val="auto"/>
                <w:sz w:val="24"/>
                <w:highlight w:val="none"/>
                <w:lang w:val="en-US" w:eastAsia="zh-CN"/>
              </w:rPr>
              <w:t>4.收费标准：以中标金额为计费基准，按《计价格［2002］1980 号》规定收费标准的49%计取。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rPr>
            </w:pPr>
            <w:r>
              <w:rPr>
                <w:rFonts w:hint="eastAsia" w:ascii="仿宋" w:hAnsi="仿宋" w:eastAsia="仿宋" w:cs="仿宋"/>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sz w:val="24"/>
              </w:rPr>
            </w:pPr>
            <w:r>
              <w:rPr>
                <w:rFonts w:hint="eastAsia" w:ascii="仿宋" w:hAnsi="仿宋" w:eastAsia="仿宋"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r>
              <w:rPr>
                <w:rFonts w:hint="eastAsia" w:ascii="仿宋" w:hAnsi="仿宋" w:eastAsia="仿宋" w:cs="仿宋"/>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sz w:val="24"/>
              </w:rPr>
            </w:pPr>
            <w:r>
              <w:rPr>
                <w:rFonts w:hint="eastAsia" w:ascii="仿宋" w:hAnsi="仿宋" w:eastAsia="仿宋"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r>
              <w:rPr>
                <w:rFonts w:hint="eastAsia" w:ascii="仿宋" w:hAnsi="仿宋" w:eastAsia="仿宋" w:cs="仿宋"/>
                <w:sz w:val="24"/>
              </w:rPr>
              <w:t>采购人、采购机构质疑接收人、联系方式：详见公告</w:t>
            </w:r>
          </w:p>
          <w:p>
            <w:pPr>
              <w:rPr>
                <w:rFonts w:hint="eastAsia" w:ascii="仿宋" w:hAnsi="仿宋" w:eastAsia="仿宋" w:cs="仿宋"/>
                <w:sz w:val="24"/>
              </w:rPr>
            </w:pPr>
            <w:r>
              <w:rPr>
                <w:rFonts w:hint="eastAsia" w:ascii="仿宋" w:hAnsi="仿宋" w:eastAsia="仿宋" w:cs="仿宋"/>
                <w:sz w:val="24"/>
              </w:rPr>
              <w:t>线上提交质疑方式：政采云线上质疑路径：项目采购-询问质疑投诉-质疑列表。请使用ca签章在每一页质疑文件中加盖电子公章，上传完整附件。</w:t>
            </w:r>
          </w:p>
          <w:p>
            <w:pPr>
              <w:rPr>
                <w:rFonts w:hint="eastAsia"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本项目涉及资格条件、采购需求、评分办法及采购过程中有关现场考察或开标前答疑会等事项由采购人进行答复。</w:t>
            </w:r>
          </w:p>
          <w:p>
            <w:pPr>
              <w:rPr>
                <w:rFonts w:hint="eastAsia" w:ascii="仿宋" w:hAnsi="仿宋" w:eastAsia="仿宋" w:cs="仿宋"/>
                <w:sz w:val="24"/>
              </w:rPr>
            </w:pPr>
            <w:r>
              <w:rPr>
                <w:rFonts w:hint="eastAsia" w:ascii="仿宋" w:hAnsi="仿宋" w:eastAsia="仿宋" w:cs="仿宋"/>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仿宋" w:hAnsi="仿宋" w:eastAsia="仿宋" w:cs="仿宋"/>
                <w:sz w:val="24"/>
              </w:rPr>
            </w:pPr>
            <w:r>
              <w:rPr>
                <w:rFonts w:hint="eastAsia" w:ascii="仿宋" w:hAnsi="仿宋" w:eastAsia="仿宋" w:cs="仿宋"/>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仿宋" w:hAnsi="仿宋" w:eastAsia="仿宋" w:cs="仿宋"/>
                <w:b/>
                <w:sz w:val="24"/>
              </w:rPr>
            </w:pPr>
            <w:r>
              <w:rPr>
                <w:rFonts w:hint="eastAsia" w:ascii="仿宋" w:hAnsi="仿宋" w:eastAsia="仿宋"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r>
              <w:rPr>
                <w:rFonts w:hint="eastAsia" w:ascii="仿宋" w:hAnsi="仿宋" w:eastAsia="仿宋" w:cs="仿宋"/>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rPr>
                <w:rFonts w:hint="eastAsia" w:ascii="仿宋" w:hAnsi="仿宋" w:eastAsia="仿宋" w:cs="仿宋"/>
                <w:sz w:val="24"/>
              </w:rPr>
            </w:pPr>
            <w:r>
              <w:rPr>
                <w:rFonts w:hint="eastAsia" w:ascii="仿宋" w:hAnsi="仿宋" w:eastAsia="仿宋" w:cs="仿宋"/>
                <w:sz w:val="24"/>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sz w:val="24"/>
              </w:rPr>
            </w:pPr>
            <w:r>
              <w:rPr>
                <w:rFonts w:hint="eastAsia" w:ascii="仿宋" w:hAnsi="仿宋" w:eastAsia="仿宋" w:cs="仿宋"/>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8"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sz w:val="24"/>
                  <w:highlight w:val="cyan"/>
                </w:rPr>
                <w:id w:val="-369766551"/>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sz w:val="24"/>
                  </w:rPr>
                  <w:t>☐</w:t>
                </w:r>
              </w:sdtContent>
            </w:sdt>
            <w:r>
              <w:rPr>
                <w:rFonts w:hint="eastAsia" w:ascii="仿宋" w:hAnsi="仿宋" w:eastAsia="仿宋" w:cs="仿宋"/>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z w:val="24"/>
              </w:rPr>
            </w:pPr>
            <w:sdt>
              <w:sdtPr>
                <w:rPr>
                  <w:rFonts w:hint="eastAsia" w:ascii="仿宋" w:hAnsi="仿宋" w:eastAsia="仿宋" w:cs="仿宋"/>
                  <w:sz w:val="24"/>
                </w:rPr>
                <w:id w:val="-1159225835"/>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þ</w:t>
                </w:r>
              </w:sdtContent>
            </w:sdt>
            <w:r>
              <w:rPr>
                <w:rFonts w:hint="eastAsia" w:ascii="仿宋" w:hAnsi="仿宋" w:eastAsia="仿宋" w:cs="仿宋"/>
                <w:sz w:val="24"/>
              </w:rPr>
              <w:t>联合体投标的，联合体中有一方或者联合体成员根据分工按招标文件第四部分评标标准要求提供资信证明文件的，视为符合了相关要求。</w:t>
            </w:r>
            <w:r>
              <w:rPr>
                <w:rFonts w:hint="eastAsia" w:ascii="仿宋" w:hAnsi="仿宋" w:eastAsia="仿宋" w:cs="仿宋"/>
                <w:sz w:val="24"/>
              </w:rPr>
              <w:br w:type="textWrapping"/>
            </w:r>
            <w:r>
              <w:rPr>
                <w:rFonts w:hint="eastAsia" w:ascii="仿宋" w:hAnsi="仿宋" w:eastAsia="仿宋" w:cs="仿宋"/>
                <w:kern w:val="0"/>
                <w:sz w:val="24"/>
              </w:rPr>
              <w:t>评审因素对应的要求视为采购需求的一部分。</w:t>
            </w:r>
          </w:p>
          <w:p>
            <w:pPr>
              <w:spacing w:line="360" w:lineRule="auto"/>
              <w:rPr>
                <w:rFonts w:hint="eastAsia" w:ascii="仿宋" w:hAnsi="仿宋" w:eastAsia="仿宋" w:cs="仿宋"/>
                <w:b/>
                <w:bCs/>
                <w:sz w:val="24"/>
              </w:rPr>
            </w:pPr>
            <w:r>
              <w:rPr>
                <w:rFonts w:hint="eastAsia" w:ascii="仿宋" w:hAnsi="仿宋" w:eastAsia="仿宋" w:cs="仿宋"/>
                <w:b/>
                <w:bCs/>
                <w:sz w:val="24"/>
              </w:rPr>
              <w:t>严格执行预算限价，项目如涉及办公用房装修、通用办公设备家具的不得超限额标准。（萧财国资【2019】389号）</w:t>
            </w:r>
          </w:p>
          <w:p>
            <w:pPr>
              <w:spacing w:line="360" w:lineRule="auto"/>
              <w:rPr>
                <w:rFonts w:hint="eastAsia" w:ascii="仿宋" w:hAnsi="仿宋" w:eastAsia="仿宋" w:cs="仿宋"/>
                <w:sz w:val="24"/>
              </w:rPr>
            </w:pPr>
            <w:r>
              <w:rPr>
                <w:rFonts w:hint="eastAsia" w:ascii="仿宋" w:hAnsi="仿宋" w:eastAsia="仿宋" w:cs="仿宋"/>
                <w:b/>
                <w:bCs/>
                <w:sz w:val="24"/>
              </w:rPr>
              <w:t>本项目通用总则条款与前附表等专用特别规定有冲突之处，以专用条款（特别规定）为准</w:t>
            </w:r>
          </w:p>
        </w:tc>
      </w:tr>
      <w:bookmarkEnd w:id="10"/>
    </w:tbl>
    <w:p>
      <w:pPr>
        <w:adjustRightInd/>
        <w:spacing w:line="360" w:lineRule="auto"/>
        <w:ind w:firstLine="3845" w:firstLineChars="1197"/>
        <w:outlineLvl w:val="0"/>
        <w:rPr>
          <w:rFonts w:hint="eastAsia"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w:t>
      </w:r>
      <w:r>
        <w:rPr>
          <w:rFonts w:hint="eastAsia" w:ascii="仿宋" w:hAnsi="仿宋" w:eastAsia="仿宋" w:cs="仿宋"/>
          <w:sz w:val="24"/>
        </w:rPr>
        <w:t xml:space="preserve"> 系指不适用本项目的要求，“</w:t>
      </w:r>
      <w:sdt>
        <w:sdtPr>
          <w:rPr>
            <w:rFonts w:hint="eastAsia" w:ascii="仿宋" w:hAnsi="仿宋" w:eastAsia="仿宋" w:cs="仿宋"/>
            <w:kern w:val="0"/>
            <w:sz w:val="24"/>
          </w:rPr>
          <w:id w:val="40488885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þ</w:t>
          </w:r>
        </w:sdtContent>
      </w:sdt>
      <w:r>
        <w:rPr>
          <w:rFonts w:hint="eastAsia" w:ascii="仿宋" w:hAnsi="仿宋" w:eastAsia="仿宋" w:cs="仿宋"/>
          <w:sz w:val="24"/>
        </w:rPr>
        <w:t>” 系指适用本项目的要求，“◆”系本项目重要参数。</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pPr>
        <w:pStyle w:val="36"/>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6"/>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132"/>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2"/>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2"/>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7" w:name="_Hlk101259339"/>
      <w:r>
        <w:rPr>
          <w:rFonts w:hint="eastAsia" w:ascii="仿宋" w:hAnsi="仿宋" w:eastAsia="仿宋" w:cs="仿宋"/>
          <w:snapToGrid w:val="0"/>
          <w:kern w:val="28"/>
          <w:sz w:val="24"/>
          <w:szCs w:val="20"/>
        </w:rPr>
        <w:t>联合协议</w:t>
      </w:r>
      <w:bookmarkEnd w:id="17"/>
      <w:r>
        <w:rPr>
          <w:rFonts w:hint="eastAsia" w:ascii="仿宋" w:hAnsi="仿宋" w:eastAsia="仿宋" w:cs="仿宋"/>
          <w:snapToGrid w:val="0"/>
          <w:kern w:val="28"/>
          <w:sz w:val="24"/>
          <w:szCs w:val="20"/>
        </w:rPr>
        <w:t>（如果有)；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4" w:firstLineChars="400"/>
        <w:rPr>
          <w:rFonts w:hint="eastAsia" w:ascii="仿宋" w:hAnsi="仿宋" w:eastAsia="仿宋" w:cs="仿宋"/>
          <w:b/>
          <w:bCs/>
          <w:sz w:val="24"/>
        </w:rPr>
      </w:pPr>
      <w:r>
        <w:rPr>
          <w:rFonts w:hint="eastAsia" w:ascii="仿宋" w:hAnsi="仿宋" w:eastAsia="仿宋" w:cs="仿宋"/>
          <w:b/>
          <w:bCs/>
          <w:sz w:val="24"/>
        </w:rPr>
        <w:t>11.3.2中小企业声明函（如有）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11.3.3投标人针对报价需要说明的其他文件和资料（格式自拟）。</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6"/>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6"/>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1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2"/>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2"/>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480"/>
        <w:rPr>
          <w:rFonts w:hint="eastAsia" w:ascii="仿宋" w:hAnsi="仿宋" w:eastAsia="仿宋" w:cs="仿宋"/>
        </w:rPr>
      </w:pPr>
      <w:r>
        <w:rPr>
          <w:rFonts w:hint="eastAsia" w:ascii="仿宋" w:hAnsi="仿宋" w:eastAsia="仿宋" w:cs="仿宋"/>
        </w:rPr>
        <w:t>17.4在投标截止时间起至投标有效期届满，供应商投标文件不可撤销。</w:t>
      </w:r>
    </w:p>
    <w:p>
      <w:pPr>
        <w:pStyle w:val="132"/>
        <w:spacing w:before="0"/>
        <w:ind w:firstLine="480"/>
        <w:rPr>
          <w:rFonts w:hint="eastAsia" w:ascii="仿宋" w:hAnsi="仿宋" w:eastAsia="仿宋" w:cs="仿宋"/>
        </w:rPr>
      </w:pPr>
    </w:p>
    <w:p>
      <w:pPr>
        <w:pStyle w:val="132"/>
        <w:spacing w:before="0"/>
        <w:ind w:firstLine="643"/>
        <w:rPr>
          <w:rFonts w:hint="eastAsia" w:ascii="仿宋" w:hAnsi="仿宋" w:eastAsia="仿宋" w:cs="仿宋"/>
          <w:b/>
          <w:sz w:val="32"/>
        </w:rPr>
      </w:pPr>
    </w:p>
    <w:p>
      <w:pPr>
        <w:pStyle w:val="132"/>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2"/>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2"/>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2"/>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8"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2"/>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2"/>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仿宋" w:hAnsi="仿宋" w:eastAsia="仿宋" w:cs="仿宋"/>
        </w:rPr>
      </w:pPr>
      <w:r>
        <w:rPr>
          <w:rFonts w:hint="eastAsia" w:ascii="仿宋" w:hAnsi="仿宋" w:eastAsia="仿宋" w:cs="仿宋"/>
          <w:sz w:val="24"/>
          <w:lang w:val="en-US"/>
        </w:rPr>
        <w:t>27.预付款</w:t>
      </w:r>
    </w:p>
    <w:p>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rPr>
      </w:pP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pPr>
        <w:pStyle w:val="132"/>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pPr>
        <w:pStyle w:val="132"/>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pPr>
        <w:pStyle w:val="132"/>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pPr>
        <w:pStyle w:val="132"/>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pPr>
        <w:pStyle w:val="132"/>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16"/>
        <w:spacing w:line="360" w:lineRule="auto"/>
        <w:ind w:firstLine="0" w:firstLineChars="0"/>
        <w:rPr>
          <w:rFonts w:hint="eastAsia"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75236011"/>
      <w:bookmarkEnd w:id="20"/>
      <w:bookmarkStart w:id="21" w:name="_Hlt74714665"/>
      <w:bookmarkEnd w:id="21"/>
      <w:bookmarkStart w:id="22" w:name="_Hlt74707468"/>
      <w:bookmarkEnd w:id="22"/>
      <w:bookmarkStart w:id="23" w:name="_Hlt68072998"/>
      <w:bookmarkEnd w:id="23"/>
      <w:bookmarkStart w:id="24" w:name="_Hlt75236290"/>
      <w:bookmarkEnd w:id="24"/>
      <w:bookmarkStart w:id="25" w:name="_Hlt68073093"/>
      <w:bookmarkEnd w:id="25"/>
      <w:bookmarkStart w:id="26" w:name="_Hlt68403820"/>
      <w:bookmarkEnd w:id="26"/>
      <w:bookmarkStart w:id="27" w:name="_Hlt75236101"/>
      <w:bookmarkEnd w:id="27"/>
      <w:bookmarkStart w:id="28" w:name="_Hlt68072990"/>
      <w:bookmarkEnd w:id="28"/>
      <w:bookmarkStart w:id="29" w:name="_Hlt68057669"/>
      <w:bookmarkEnd w:id="29"/>
      <w:bookmarkStart w:id="30" w:name="_Hlt74730295"/>
      <w:bookmarkEnd w:id="30"/>
    </w:p>
    <w:bookmarkEnd w:id="13"/>
    <w:bookmarkEnd w:id="14"/>
    <w:p>
      <w:pPr>
        <w:spacing w:line="360" w:lineRule="auto"/>
        <w:jc w:val="center"/>
        <w:outlineLvl w:val="0"/>
        <w:rPr>
          <w:rFonts w:hint="eastAsia" w:ascii="仿宋" w:hAnsi="仿宋" w:eastAsia="仿宋" w:cs="仿宋"/>
          <w:b/>
          <w:sz w:val="36"/>
          <w:szCs w:val="36"/>
        </w:rPr>
      </w:pPr>
      <w:bookmarkStart w:id="31" w:name="第四部分"/>
      <w:r>
        <w:rPr>
          <w:rFonts w:hint="eastAsia" w:ascii="仿宋" w:hAnsi="仿宋" w:eastAsia="仿宋" w:cs="仿宋"/>
          <w:b/>
          <w:sz w:val="36"/>
          <w:szCs w:val="36"/>
        </w:rPr>
        <w:t>第三部分   采购需求</w:t>
      </w:r>
    </w:p>
    <w:p>
      <w:pPr>
        <w:snapToGrid w:val="0"/>
        <w:spacing w:beforeLines="0" w:afterLines="0"/>
        <w:rPr>
          <w:rStyle w:val="965"/>
          <w:rFonts w:hint="eastAsia" w:ascii="仿宋" w:hAnsi="仿宋" w:eastAsia="仿宋" w:cs="仿宋"/>
          <w:color w:val="auto"/>
          <w:sz w:val="21"/>
          <w:szCs w:val="24"/>
        </w:rPr>
      </w:pPr>
      <w:r>
        <w:rPr>
          <w:rStyle w:val="965"/>
          <w:rFonts w:hint="eastAsia" w:ascii="仿宋" w:hAnsi="仿宋" w:eastAsia="仿宋" w:cs="仿宋"/>
          <w:color w:val="auto"/>
          <w:sz w:val="21"/>
          <w:szCs w:val="24"/>
        </w:rPr>
        <w:t>属于实质性要求条款的，请用符号“▲”标明，否则属于非实质性要求。</w:t>
      </w:r>
    </w:p>
    <w:p>
      <w:pPr>
        <w:snapToGrid w:val="0"/>
        <w:spacing w:beforeLines="0" w:afterLines="0"/>
        <w:rPr>
          <w:rStyle w:val="965"/>
          <w:rFonts w:hint="eastAsia" w:ascii="仿宋" w:hAnsi="仿宋" w:eastAsia="仿宋" w:cs="仿宋"/>
          <w:color w:val="auto"/>
          <w:sz w:val="21"/>
          <w:szCs w:val="24"/>
        </w:rPr>
      </w:pPr>
      <w:r>
        <w:rPr>
          <w:rStyle w:val="965"/>
          <w:rFonts w:hint="eastAsia" w:ascii="仿宋" w:hAnsi="仿宋" w:eastAsia="仿宋" w:cs="仿宋"/>
          <w:color w:val="auto"/>
          <w:sz w:val="21"/>
          <w:szCs w:val="24"/>
        </w:rPr>
        <w:t>“★”系产品采购项目中单一产品或核心产品。</w:t>
      </w:r>
    </w:p>
    <w:p>
      <w:pPr>
        <w:numPr>
          <w:ilvl w:val="0"/>
          <w:numId w:val="0"/>
        </w:numPr>
        <w:spacing w:beforeLines="0" w:afterLines="0"/>
        <w:rPr>
          <w:rFonts w:hint="eastAsia" w:ascii="仿宋" w:hAnsi="仿宋" w:eastAsia="仿宋" w:cs="仿宋"/>
          <w:color w:val="auto"/>
          <w:sz w:val="21"/>
          <w:szCs w:val="24"/>
        </w:rPr>
      </w:pPr>
    </w:p>
    <w:p>
      <w:pPr>
        <w:numPr>
          <w:ilvl w:val="0"/>
          <w:numId w:val="0"/>
        </w:numPr>
        <w:spacing w:beforeLines="0" w:afterLines="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一、招标一览表</w:t>
      </w:r>
    </w:p>
    <w:tbl>
      <w:tblPr>
        <w:tblStyle w:val="64"/>
        <w:tblpPr w:leftFromText="180" w:rightFromText="180" w:vertAnchor="text" w:horzAnchor="margin" w:tblpX="-5" w:tblpY="63"/>
        <w:tblOverlap w:val="never"/>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9"/>
        <w:gridCol w:w="1724"/>
        <w:gridCol w:w="508"/>
        <w:gridCol w:w="565"/>
        <w:gridCol w:w="991"/>
        <w:gridCol w:w="2508"/>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trPr>
        <w:tc>
          <w:tcPr>
            <w:tcW w:w="529"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序号</w:t>
            </w:r>
          </w:p>
        </w:tc>
        <w:tc>
          <w:tcPr>
            <w:tcW w:w="172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名称</w:t>
            </w:r>
          </w:p>
        </w:tc>
        <w:tc>
          <w:tcPr>
            <w:tcW w:w="508"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数量</w:t>
            </w:r>
          </w:p>
        </w:tc>
        <w:tc>
          <w:tcPr>
            <w:tcW w:w="5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单位</w:t>
            </w:r>
          </w:p>
        </w:tc>
        <w:tc>
          <w:tcPr>
            <w:tcW w:w="991"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预算（元）</w:t>
            </w: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简要规格描述或基本情况介绍</w:t>
            </w:r>
          </w:p>
        </w:tc>
        <w:tc>
          <w:tcPr>
            <w:tcW w:w="1857"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0"/>
              </w:tabs>
              <w:snapToGrid w:val="0"/>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9"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tabs>
                <w:tab w:val="left" w:pos="0"/>
              </w:tabs>
              <w:spacing w:beforeLines="0" w:afterLines="0"/>
              <w:jc w:val="center"/>
              <w:rPr>
                <w:rFonts w:hint="eastAsia" w:ascii="仿宋" w:hAnsi="仿宋" w:eastAsia="仿宋" w:cs="仿宋"/>
                <w:color w:val="auto"/>
                <w:sz w:val="21"/>
                <w:szCs w:val="24"/>
              </w:rPr>
            </w:pPr>
            <w:r>
              <w:rPr>
                <w:rFonts w:hint="eastAsia" w:ascii="仿宋" w:hAnsi="仿宋" w:eastAsia="仿宋" w:cs="仿宋"/>
                <w:color w:val="auto"/>
                <w:sz w:val="21"/>
                <w:szCs w:val="24"/>
              </w:rPr>
              <w:t>1</w:t>
            </w:r>
          </w:p>
        </w:tc>
        <w:tc>
          <w:tcPr>
            <w:tcW w:w="1724"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textAlignment w:val="center"/>
              <w:rPr>
                <w:rFonts w:hint="eastAsia" w:ascii="仿宋" w:hAnsi="仿宋" w:eastAsia="仿宋" w:cs="仿宋"/>
                <w:color w:val="auto"/>
                <w:sz w:val="21"/>
                <w:szCs w:val="24"/>
              </w:rPr>
            </w:pPr>
            <w:bookmarkStart w:id="32" w:name="OLE_LINK1"/>
            <w:r>
              <w:rPr>
                <w:rFonts w:hint="eastAsia" w:ascii="仿宋" w:hAnsi="仿宋" w:eastAsia="仿宋" w:cs="仿宋"/>
                <w:color w:val="auto"/>
                <w:sz w:val="21"/>
                <w:szCs w:val="24"/>
              </w:rPr>
              <w:t>临浦镇绿化养护服务采购项目</w:t>
            </w:r>
            <w:bookmarkEnd w:id="32"/>
          </w:p>
        </w:tc>
        <w:tc>
          <w:tcPr>
            <w:tcW w:w="508"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textAlignment w:val="center"/>
              <w:rPr>
                <w:rFonts w:hint="eastAsia" w:ascii="仿宋" w:hAnsi="仿宋" w:eastAsia="仿宋" w:cs="仿宋"/>
                <w:color w:val="auto"/>
                <w:sz w:val="21"/>
                <w:szCs w:val="24"/>
              </w:rPr>
            </w:pPr>
            <w:r>
              <w:rPr>
                <w:rFonts w:hint="eastAsia" w:ascii="仿宋" w:hAnsi="仿宋" w:eastAsia="仿宋" w:cs="仿宋"/>
                <w:color w:val="auto"/>
                <w:sz w:val="21"/>
                <w:szCs w:val="24"/>
              </w:rPr>
              <w:t>1</w:t>
            </w:r>
          </w:p>
        </w:tc>
        <w:tc>
          <w:tcPr>
            <w:tcW w:w="5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textAlignment w:val="center"/>
              <w:rPr>
                <w:rFonts w:hint="eastAsia" w:ascii="仿宋" w:hAnsi="仿宋" w:eastAsia="仿宋" w:cs="仿宋"/>
                <w:color w:val="auto"/>
                <w:sz w:val="21"/>
                <w:szCs w:val="24"/>
              </w:rPr>
            </w:pPr>
            <w:r>
              <w:rPr>
                <w:rFonts w:hint="eastAsia" w:ascii="仿宋" w:hAnsi="仿宋" w:eastAsia="仿宋" w:cs="仿宋"/>
                <w:color w:val="auto"/>
                <w:sz w:val="21"/>
                <w:szCs w:val="24"/>
              </w:rPr>
              <w:t>项</w:t>
            </w:r>
          </w:p>
        </w:tc>
        <w:tc>
          <w:tcPr>
            <w:tcW w:w="9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eastAsia" w:ascii="仿宋" w:hAnsi="仿宋" w:eastAsia="仿宋" w:cs="仿宋"/>
                <w:color w:val="auto"/>
                <w:sz w:val="21"/>
                <w:szCs w:val="24"/>
                <w:lang w:val="en-US" w:eastAsia="zh-CN"/>
              </w:rPr>
            </w:pPr>
            <w:r>
              <w:rPr>
                <w:rFonts w:hint="eastAsia" w:ascii="仿宋" w:hAnsi="仿宋" w:eastAsia="仿宋" w:cs="仿宋"/>
                <w:color w:val="auto"/>
                <w:sz w:val="21"/>
                <w:szCs w:val="24"/>
                <w:lang w:val="en-US" w:eastAsia="zh-CN"/>
              </w:rPr>
              <w:t>4536000</w:t>
            </w: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eastAsia" w:ascii="仿宋" w:hAnsi="仿宋" w:eastAsia="仿宋" w:cs="仿宋"/>
                <w:color w:val="auto"/>
                <w:sz w:val="21"/>
                <w:szCs w:val="24"/>
              </w:rPr>
            </w:pPr>
            <w:r>
              <w:rPr>
                <w:rFonts w:hint="eastAsia" w:ascii="仿宋" w:hAnsi="仿宋" w:eastAsia="仿宋" w:cs="仿宋"/>
                <w:color w:val="auto"/>
                <w:sz w:val="21"/>
                <w:szCs w:val="24"/>
              </w:rPr>
              <w:t>详见采购需求</w:t>
            </w:r>
          </w:p>
        </w:tc>
        <w:tc>
          <w:tcPr>
            <w:tcW w:w="18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textAlignment w:val="center"/>
              <w:rPr>
                <w:rFonts w:hint="eastAsia" w:ascii="仿宋" w:hAnsi="仿宋" w:eastAsia="仿宋" w:cs="仿宋"/>
                <w:color w:val="auto"/>
                <w:sz w:val="21"/>
                <w:szCs w:val="24"/>
              </w:rPr>
            </w:pPr>
            <w:r>
              <w:rPr>
                <w:rFonts w:hint="eastAsia" w:ascii="仿宋" w:hAnsi="仿宋" w:eastAsia="仿宋" w:cs="仿宋"/>
                <w:color w:val="auto"/>
                <w:sz w:val="21"/>
                <w:szCs w:val="24"/>
                <w:lang w:val="en-US" w:eastAsia="zh-CN"/>
              </w:rPr>
              <w:t>4536000</w:t>
            </w:r>
          </w:p>
        </w:tc>
      </w:tr>
    </w:tbl>
    <w:p>
      <w:pPr>
        <w:spacing w:beforeLines="0" w:afterLines="0"/>
        <w:rPr>
          <w:rFonts w:hint="eastAsia" w:ascii="仿宋" w:hAnsi="仿宋" w:eastAsia="仿宋" w:cs="仿宋"/>
          <w:b/>
          <w:color w:val="auto"/>
          <w:sz w:val="22"/>
          <w:szCs w:val="22"/>
        </w:rPr>
      </w:pPr>
      <w:r>
        <w:rPr>
          <w:rFonts w:hint="eastAsia" w:ascii="仿宋" w:hAnsi="仿宋" w:eastAsia="仿宋" w:cs="仿宋"/>
          <w:b/>
          <w:color w:val="auto"/>
          <w:sz w:val="22"/>
          <w:szCs w:val="22"/>
        </w:rPr>
        <w:t>注：▲投标人需在投标（开标）一览表中明确投标报价（总价）及以上各分项小计报价，各分项小计报价不得超过上表各最高限价。严格执行预算限价，项目如涉及办公用房装修、通用办公设备家具的不得超配置标准限额（萧财国资【2019】389号）。</w:t>
      </w:r>
    </w:p>
    <w:p>
      <w:pPr>
        <w:pStyle w:val="2"/>
        <w:numPr>
          <w:numId w:val="0"/>
        </w:numPr>
        <w:spacing w:beforeLines="0" w:afterLines="0"/>
        <w:ind w:leftChars="0"/>
        <w:rPr>
          <w:rFonts w:hint="eastAsia" w:ascii="仿宋" w:hAnsi="仿宋" w:eastAsia="仿宋" w:cs="仿宋"/>
          <w:sz w:val="32"/>
          <w:szCs w:val="32"/>
        </w:rPr>
      </w:pPr>
    </w:p>
    <w:p>
      <w:pPr>
        <w:widowControl/>
        <w:snapToGrid w:val="0"/>
        <w:spacing w:beforeLines="0" w:afterLines="0" w:line="360" w:lineRule="auto"/>
        <w:jc w:val="center"/>
        <w:rPr>
          <w:rFonts w:hint="eastAsia" w:ascii="仿宋" w:hAnsi="仿宋" w:eastAsia="仿宋" w:cs="仿宋"/>
          <w:sz w:val="21"/>
          <w:szCs w:val="24"/>
        </w:rPr>
      </w:pPr>
      <w:r>
        <w:rPr>
          <w:rFonts w:hint="eastAsia" w:ascii="仿宋" w:hAnsi="仿宋" w:eastAsia="仿宋" w:cs="仿宋"/>
          <w:b/>
          <w:sz w:val="28"/>
          <w:szCs w:val="28"/>
        </w:rPr>
        <w:t>技术需求</w:t>
      </w:r>
    </w:p>
    <w:p>
      <w:pPr>
        <w:widowControl/>
        <w:adjustRightInd/>
        <w:snapToGrid w:val="0"/>
        <w:spacing w:beforeLines="0" w:afterLines="0"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1、项目概况：项目主要包括但不限于临浦镇绿化养护清单范围内道路、公园共约</w:t>
      </w:r>
      <w:r>
        <w:rPr>
          <w:rFonts w:hint="eastAsia" w:ascii="仿宋" w:hAnsi="仿宋" w:eastAsia="仿宋" w:cs="仿宋"/>
          <w:color w:val="000000"/>
          <w:kern w:val="0"/>
          <w:sz w:val="24"/>
          <w:szCs w:val="24"/>
          <w:lang w:val="en-US" w:eastAsia="zh-CN"/>
        </w:rPr>
        <w:t>535517.5</w:t>
      </w:r>
      <w:r>
        <w:rPr>
          <w:rFonts w:hint="eastAsia" w:ascii="仿宋" w:hAnsi="仿宋" w:eastAsia="仿宋" w:cs="仿宋"/>
          <w:color w:val="000000"/>
          <w:kern w:val="0"/>
          <w:sz w:val="24"/>
          <w:szCs w:val="24"/>
        </w:rPr>
        <w:t>平方米的绿化养护服务和部分区域约</w:t>
      </w:r>
      <w:r>
        <w:rPr>
          <w:rFonts w:hint="eastAsia" w:ascii="仿宋" w:hAnsi="仿宋" w:eastAsia="仿宋" w:cs="仿宋"/>
          <w:color w:val="000000"/>
          <w:kern w:val="0"/>
          <w:sz w:val="24"/>
          <w:szCs w:val="24"/>
          <w:lang w:val="en-US" w:eastAsia="zh-CN"/>
        </w:rPr>
        <w:t>1757.2</w:t>
      </w:r>
      <w:r>
        <w:rPr>
          <w:rFonts w:hint="eastAsia" w:ascii="仿宋" w:hAnsi="仿宋" w:eastAsia="仿宋" w:cs="仿宋"/>
          <w:color w:val="000000"/>
          <w:kern w:val="0"/>
          <w:sz w:val="24"/>
          <w:szCs w:val="24"/>
        </w:rPr>
        <w:t>平方米的时花种植</w:t>
      </w:r>
      <w:r>
        <w:rPr>
          <w:rFonts w:hint="eastAsia" w:ascii="仿宋" w:hAnsi="仿宋" w:eastAsia="仿宋" w:cs="仿宋"/>
          <w:color w:val="000000"/>
          <w:kern w:val="0"/>
          <w:sz w:val="24"/>
          <w:szCs w:val="24"/>
          <w:lang w:val="en-US" w:eastAsia="zh-CN"/>
        </w:rPr>
        <w:t>养护</w:t>
      </w:r>
      <w:r>
        <w:rPr>
          <w:rFonts w:hint="eastAsia" w:ascii="仿宋" w:hAnsi="仿宋" w:eastAsia="仿宋" w:cs="仿宋"/>
          <w:color w:val="000000"/>
          <w:kern w:val="0"/>
          <w:sz w:val="24"/>
          <w:szCs w:val="24"/>
        </w:rPr>
        <w:t>。养护内容包括人工、修剪、施肥、农药、除草、补植、保洁、病虫害防治、抗台应急等一切任务，绿化内设施养护及小维修，绿化及设施优化提升，各类举报、投诉和意见等派遣案卷的处置工作，建设单位的任务单、抄告单，应急保障和日常巡检等一切相关任务。</w:t>
      </w:r>
    </w:p>
    <w:p>
      <w:pPr>
        <w:spacing w:beforeLines="0" w:afterLines="0"/>
        <w:rPr>
          <w:rFonts w:hint="eastAsia" w:ascii="仿宋" w:hAnsi="仿宋" w:eastAsia="仿宋" w:cs="仿宋"/>
          <w:sz w:val="21"/>
          <w:szCs w:val="24"/>
        </w:rPr>
      </w:pPr>
    </w:p>
    <w:p>
      <w:pPr>
        <w:spacing w:beforeLines="0" w:afterLines="0" w:line="360" w:lineRule="auto"/>
        <w:rPr>
          <w:rFonts w:hint="eastAsia" w:ascii="仿宋" w:hAnsi="仿宋" w:eastAsia="仿宋" w:cs="仿宋"/>
          <w:b/>
          <w:color w:val="000000"/>
          <w:sz w:val="24"/>
          <w:szCs w:val="24"/>
        </w:rPr>
      </w:pPr>
      <w:r>
        <w:rPr>
          <w:rFonts w:hint="eastAsia" w:ascii="仿宋" w:hAnsi="仿宋" w:eastAsia="仿宋" w:cs="仿宋"/>
          <w:sz w:val="21"/>
          <w:szCs w:val="24"/>
        </w:rPr>
        <w:t>2、</w:t>
      </w:r>
      <w:r>
        <w:rPr>
          <w:rFonts w:hint="eastAsia" w:ascii="仿宋" w:hAnsi="仿宋" w:eastAsia="仿宋" w:cs="仿宋"/>
          <w:b/>
          <w:color w:val="000000"/>
          <w:sz w:val="24"/>
          <w:szCs w:val="24"/>
        </w:rPr>
        <w:t>绿化养护要求：</w:t>
      </w:r>
    </w:p>
    <w:p>
      <w:pPr>
        <w:spacing w:beforeLines="0" w:afterLines="0"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（一）绿化养护面积范围</w:t>
      </w:r>
    </w:p>
    <w:tbl>
      <w:tblPr>
        <w:tblStyle w:val="64"/>
        <w:tblW w:w="8616"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3072"/>
        <w:gridCol w:w="1716"/>
        <w:gridCol w:w="1613"/>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区块名称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面积/m2</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行道树/棵（直径15-25）</w:t>
            </w:r>
          </w:p>
        </w:tc>
        <w:tc>
          <w:tcPr>
            <w:tcW w:w="1446" w:type="dxa"/>
            <w:tcBorders>
              <w:top w:val="single" w:color="000000" w:sz="4" w:space="0"/>
              <w:left w:val="single" w:color="000000" w:sz="4" w:space="0"/>
              <w:bottom w:val="single" w:color="000000" w:sz="4" w:space="0"/>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养护标准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03省道与东思线交叉口</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1097.69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03省道前孔段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2033.13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03省道南江村段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1666.98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03省道新河村段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6368.91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03省道柏山陈段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4995.29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03省道浦二村段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1378.39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03省道白鹿塘段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4844.19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03省道自由孔段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13046.54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03省道谭家埭段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3261.79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东溪路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4536.15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东藩小区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7972.71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12.1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东藩路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11124.92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12.2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东藩路-行道树(樟树)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东藩路河边绿化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11143.15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东麓池社区及零星绿化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484.80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临东老火车站</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306.67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临北路两侧绿化和行道树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16002.96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3091.80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18.1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临浦工业园区三期绿化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15311.72 </w:t>
            </w:r>
          </w:p>
        </w:tc>
        <w:tc>
          <w:tcPr>
            <w:tcW w:w="1613" w:type="dxa"/>
            <w:tcBorders>
              <w:top w:val="nil"/>
              <w:left w:val="nil"/>
              <w:bottom w:val="nil"/>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18.2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临浦工业园区三期绿化行道树-行道树(樟树)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19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临浦工业园区二期绿化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42441.01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20.1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临浦镇人民政府</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3815.49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20.2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临浦镇人民政府-行道树(樟树)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二中南侧 </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4218.31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五号桥铁路下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526.02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23.1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人民路+西延伸段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7224.42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23.2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人民路-行道树(樟树)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体育公园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2391.91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体育公园西侧草地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9717.14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体育公园铁路桥下草地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2100.75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体育馆周边-行道树（樟树）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28.1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元宝山路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197.08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28.2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元宝山路-行道树（樟树）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29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兴商路-行道树（樟树）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城市文化公园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32861.05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塘湄线塘郎孙村段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10734.24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塘湄线苎东村段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11747.25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塘湄线苎萝村段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22594.39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塘湄线通一村段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6883.85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塘湄线通二村段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5622.56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塘湄线高田陈社区段</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17933.06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37.1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小庄路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5315.62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37.2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小庄路-行道树(樟树)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245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峙山东路、临江路、新河路-行道树（樟树120、梧桐树80）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200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39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峙山公园-行道树(樟树)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峙山北路-行道树(银杏树)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峙山西苑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1899.25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峙山西路-行道树(梧桐树)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康家湖岸边绿化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8732.74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康家湖路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3512.42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戴家桥公寓</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462.34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新河路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1681.13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旧里河小区及零星绿化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1280.70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杭金衢入城口绿化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13740.42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49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柏山陈社区公园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1561.21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永翔路与03省道交叉口公园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3317.23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51.1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永翔路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647.22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51.2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永翔路-行道树(樟树)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浴美施路住宅区及零星绿化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474.52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白曹线</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5405.13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红石路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4225.91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55.1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苎萝路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2399.22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55.2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苎萝路-行道树(樟树)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茅谭支河</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3606.95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57.1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蔡东藩社区及零星绿化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1026.18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57.2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蔡东藩社区及零星绿化-行道树(樟树)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西施公园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30195.22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59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越兴路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1699.34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风情大道入城口</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25915.23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龙潭池/峙山风景区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7978.20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镇中周边-行道树(樟树)</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里河公寓</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960.00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碧桂园越溪府小区南侧绿化（除草坪外）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3000.00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王村湿地</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18112.00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建材市场西侧绿化带</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2561.00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娘娘庙</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2138.00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山阴老街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1850.00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69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外滩景观带</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59946.00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70</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西子小街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630.00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71</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峙山西路新建支路</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709.00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72</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峙山西路停车场</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4256.00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73</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环城东路（浴美施桥西南侧）</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350.00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74</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前孔停车场草坪</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16515.00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75</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临浦老大桥北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818.00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76</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03省道浦二村段花箱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44.50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77</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峙山西路新建支路花箱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1.50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78</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前孔停车场花箱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2.00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79</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环城东路（铁路桥下）</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8872.00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合    计</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535517.50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2167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按照上述标准的88%计取</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79</w:t>
            </w:r>
          </w:p>
        </w:tc>
        <w:tc>
          <w:tcPr>
            <w:tcW w:w="3072"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时花养护：人民政府内</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100.00 </w:t>
            </w:r>
          </w:p>
        </w:tc>
        <w:tc>
          <w:tcPr>
            <w:tcW w:w="1613"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1年更换4次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9"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80</w:t>
            </w:r>
          </w:p>
        </w:tc>
        <w:tc>
          <w:tcPr>
            <w:tcW w:w="3072"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时花养护：东藩路</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859.00 </w:t>
            </w:r>
          </w:p>
        </w:tc>
        <w:tc>
          <w:tcPr>
            <w:tcW w:w="1613"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合同期内更换3次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81</w:t>
            </w:r>
          </w:p>
        </w:tc>
        <w:tc>
          <w:tcPr>
            <w:tcW w:w="3072"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时花养护：体育馆旗杆周边</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64.80 </w:t>
            </w:r>
          </w:p>
        </w:tc>
        <w:tc>
          <w:tcPr>
            <w:tcW w:w="1613"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1年更换4次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9"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82</w:t>
            </w:r>
          </w:p>
        </w:tc>
        <w:tc>
          <w:tcPr>
            <w:tcW w:w="3072"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时花养护：临北路（城市标语周边）/边坡绿地区域</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 xml:space="preserve">701.10 </w:t>
            </w:r>
          </w:p>
        </w:tc>
        <w:tc>
          <w:tcPr>
            <w:tcW w:w="1613"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1年更换4次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83</w:t>
            </w:r>
          </w:p>
        </w:tc>
        <w:tc>
          <w:tcPr>
            <w:tcW w:w="3072" w:type="dxa"/>
            <w:tcBorders>
              <w:top w:val="nil"/>
              <w:left w:val="nil"/>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时花养护：西子小街花箱</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32.28</w:t>
            </w:r>
          </w:p>
        </w:tc>
        <w:tc>
          <w:tcPr>
            <w:tcW w:w="1613"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1年更换4次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841" w:type="dxa"/>
            <w:gridSpan w:val="2"/>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合  计</w:t>
            </w:r>
          </w:p>
        </w:tc>
        <w:tc>
          <w:tcPr>
            <w:tcW w:w="171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1757.18</w:t>
            </w:r>
          </w:p>
        </w:tc>
        <w:tc>
          <w:tcPr>
            <w:tcW w:w="1613"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p>
        </w:tc>
        <w:tc>
          <w:tcPr>
            <w:tcW w:w="1446" w:type="dxa"/>
            <w:tcBorders>
              <w:top w:val="nil"/>
              <w:left w:val="single" w:color="000000" w:sz="4" w:space="0"/>
              <w:bottom w:val="single" w:color="000000" w:sz="4" w:space="0"/>
              <w:right w:val="single" w:color="000000" w:sz="4" w:space="0"/>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16" w:type="dxa"/>
            <w:gridSpan w:val="5"/>
            <w:tcBorders>
              <w:top w:val="nil"/>
              <w:left w:val="single" w:color="000000" w:sz="4" w:space="0"/>
              <w:bottom w:val="single" w:color="000000" w:sz="4" w:space="0"/>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总  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16" w:type="dxa"/>
            <w:gridSpan w:val="5"/>
            <w:tcBorders>
              <w:top w:val="nil"/>
              <w:left w:val="nil"/>
              <w:bottom w:val="nil"/>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注：1、绿地养护费编制依据参照《杭州市城区公共绿地养护资金管理办法》的通知（杭财基【2011】1049号）文件执行；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16" w:type="dxa"/>
            <w:gridSpan w:val="5"/>
            <w:tcBorders>
              <w:top w:val="nil"/>
              <w:left w:val="nil"/>
              <w:bottom w:val="nil"/>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2、养护费综合单价包含了人员工资、修剪、施肥、农药、除草、浇水、补植、绿地保洁、设施维护、抗台应急、管理费、税金等相关费用；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16" w:type="dxa"/>
            <w:gridSpan w:val="5"/>
            <w:tcBorders>
              <w:top w:val="nil"/>
              <w:left w:val="nil"/>
              <w:bottom w:val="nil"/>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3、三级绿地养护费综合单价为7.5865元/平方米，二级绿地养护费综合单价为10.0306元/平方米，行道树养护费综合单价为44.99元/株.年；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8616" w:type="dxa"/>
            <w:gridSpan w:val="5"/>
            <w:tcBorders>
              <w:top w:val="nil"/>
              <w:left w:val="nil"/>
              <w:bottom w:val="nil"/>
              <w:right w:val="nil"/>
            </w:tcBorders>
            <w:shd w:val="clear" w:color="auto" w:fill="auto"/>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4、考虑到临浦镇为非城区，在参照杭财基【2011】1049号文件的基础上，按照88%来核定养护费。</w:t>
            </w:r>
          </w:p>
        </w:tc>
      </w:tr>
    </w:tbl>
    <w:p>
      <w:pPr>
        <w:spacing w:beforeLines="0" w:afterLines="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ab/>
      </w:r>
    </w:p>
    <w:p>
      <w:pPr>
        <w:adjustRightInd/>
        <w:spacing w:beforeLines="0" w:afterLines="0" w:line="360" w:lineRule="auto"/>
        <w:ind w:left="480"/>
        <w:rPr>
          <w:rFonts w:hint="eastAsia" w:ascii="仿宋" w:hAnsi="仿宋" w:eastAsia="仿宋" w:cs="仿宋"/>
          <w:b/>
          <w:sz w:val="24"/>
          <w:szCs w:val="24"/>
          <w:u w:val="single"/>
        </w:rPr>
      </w:pPr>
    </w:p>
    <w:p>
      <w:pPr>
        <w:adjustRightInd/>
        <w:spacing w:beforeLines="0" w:afterLines="0" w:line="360" w:lineRule="auto"/>
        <w:ind w:left="480"/>
        <w:rPr>
          <w:rFonts w:hint="eastAsia" w:ascii="仿宋" w:hAnsi="仿宋" w:eastAsia="仿宋" w:cs="仿宋"/>
          <w:b/>
          <w:sz w:val="24"/>
          <w:szCs w:val="24"/>
          <w:u w:val="single"/>
        </w:rPr>
      </w:pPr>
      <w:r>
        <w:rPr>
          <w:rFonts w:hint="eastAsia" w:ascii="仿宋" w:hAnsi="仿宋" w:eastAsia="仿宋" w:cs="仿宋"/>
          <w:b/>
          <w:sz w:val="24"/>
          <w:szCs w:val="24"/>
          <w:u w:val="single"/>
        </w:rPr>
        <w:t>（二）、绿化养护要求</w:t>
      </w:r>
    </w:p>
    <w:p>
      <w:pPr>
        <w:adjustRightInd/>
        <w:spacing w:beforeLines="0" w:afterLines="0" w:line="360" w:lineRule="auto"/>
        <w:ind w:firstLine="540"/>
        <w:rPr>
          <w:rFonts w:hint="eastAsia" w:ascii="仿宋" w:hAnsi="仿宋" w:eastAsia="仿宋" w:cs="仿宋"/>
          <w:b/>
          <w:sz w:val="24"/>
          <w:szCs w:val="24"/>
          <w:u w:val="single"/>
        </w:rPr>
      </w:pPr>
      <w:r>
        <w:rPr>
          <w:rFonts w:hint="eastAsia" w:ascii="仿宋" w:hAnsi="仿宋" w:eastAsia="仿宋" w:cs="仿宋"/>
          <w:b/>
          <w:sz w:val="24"/>
          <w:szCs w:val="24"/>
          <w:u w:val="single"/>
        </w:rPr>
        <w:t>1.本项目成立以后，供应商必须有一名专业全职养护项目主管，花艺师和园艺师各一名，</w:t>
      </w:r>
      <w:r>
        <w:rPr>
          <w:rFonts w:hint="eastAsia" w:ascii="仿宋" w:hAnsi="仿宋" w:eastAsia="仿宋" w:cs="仿宋"/>
          <w:b/>
          <w:sz w:val="24"/>
          <w:szCs w:val="24"/>
          <w:highlight w:val="none"/>
          <w:u w:val="single"/>
        </w:rPr>
        <w:t>一支不少于</w:t>
      </w:r>
      <w:r>
        <w:rPr>
          <w:rFonts w:hint="eastAsia" w:ascii="仿宋" w:hAnsi="仿宋" w:eastAsia="仿宋" w:cs="仿宋"/>
          <w:b/>
          <w:sz w:val="24"/>
          <w:szCs w:val="24"/>
          <w:highlight w:val="none"/>
          <w:u w:val="single"/>
          <w:lang w:val="en-US" w:eastAsia="zh-CN"/>
        </w:rPr>
        <w:t>22</w:t>
      </w:r>
      <w:r>
        <w:rPr>
          <w:rFonts w:hint="eastAsia" w:ascii="仿宋" w:hAnsi="仿宋" w:eastAsia="仿宋" w:cs="仿宋"/>
          <w:b/>
          <w:sz w:val="24"/>
          <w:szCs w:val="24"/>
          <w:highlight w:val="none"/>
          <w:u w:val="single"/>
        </w:rPr>
        <w:t>人</w:t>
      </w:r>
      <w:r>
        <w:rPr>
          <w:rFonts w:hint="eastAsia" w:ascii="仿宋" w:hAnsi="仿宋" w:eastAsia="仿宋" w:cs="仿宋"/>
          <w:b/>
          <w:sz w:val="24"/>
          <w:szCs w:val="24"/>
          <w:u w:val="single"/>
        </w:rPr>
        <w:t>（含花艺师和园艺师）的稳定的全职养护团队，特殊情况另外安排必要的临时人员，产生费用由乙方承担。</w:t>
      </w:r>
    </w:p>
    <w:p>
      <w:pPr>
        <w:adjustRightInd/>
        <w:spacing w:beforeLines="0" w:afterLines="0" w:line="360" w:lineRule="auto"/>
        <w:ind w:firstLine="540"/>
        <w:rPr>
          <w:rFonts w:hint="eastAsia" w:ascii="仿宋" w:hAnsi="仿宋" w:eastAsia="仿宋" w:cs="仿宋"/>
          <w:b/>
          <w:sz w:val="24"/>
          <w:szCs w:val="24"/>
          <w:u w:val="single"/>
        </w:rPr>
      </w:pPr>
      <w:r>
        <w:rPr>
          <w:rFonts w:hint="eastAsia" w:ascii="仿宋" w:hAnsi="仿宋" w:eastAsia="仿宋" w:cs="仿宋"/>
          <w:b/>
          <w:sz w:val="24"/>
          <w:szCs w:val="24"/>
          <w:u w:val="single"/>
        </w:rPr>
        <w:t>2.集镇5条主要道路成立一支不少于</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人的养护小组（人数包含于</w:t>
      </w:r>
      <w:r>
        <w:rPr>
          <w:rFonts w:hint="eastAsia" w:ascii="仿宋" w:hAnsi="仿宋" w:eastAsia="仿宋" w:cs="仿宋"/>
          <w:b/>
          <w:color w:val="auto"/>
          <w:sz w:val="24"/>
          <w:szCs w:val="24"/>
          <w:highlight w:val="none"/>
          <w:u w:val="single"/>
          <w:lang w:val="en-US" w:eastAsia="zh-CN"/>
        </w:rPr>
        <w:t>22</w:t>
      </w:r>
      <w:r>
        <w:rPr>
          <w:rFonts w:hint="eastAsia" w:ascii="仿宋" w:hAnsi="仿宋" w:eastAsia="仿宋" w:cs="仿宋"/>
          <w:b/>
          <w:color w:val="auto"/>
          <w:sz w:val="24"/>
          <w:szCs w:val="24"/>
          <w:highlight w:val="none"/>
          <w:u w:val="single"/>
        </w:rPr>
        <w:t>人团</w:t>
      </w:r>
      <w:r>
        <w:rPr>
          <w:rFonts w:hint="eastAsia" w:ascii="仿宋" w:hAnsi="仿宋" w:eastAsia="仿宋" w:cs="仿宋"/>
          <w:b/>
          <w:sz w:val="24"/>
          <w:szCs w:val="24"/>
          <w:u w:val="single"/>
        </w:rPr>
        <w:t>队内），每日巡查绿化带，确保无死株缺株等情况；每周清理枯枝和落叶不少于1次，确保绿化带内无残枝败叶；每月开展必要草坪修剪和乔木整枝，确保绿化造型整齐。</w:t>
      </w:r>
    </w:p>
    <w:p>
      <w:pPr>
        <w:adjustRightInd/>
        <w:spacing w:beforeLines="0" w:afterLines="0" w:line="360" w:lineRule="auto"/>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3.须具备必要的绿化养护硬件设施配齐，采购人根据实际情况需要供应商购买或租赁设施设备时，供应商需无条件配合，第一时间采购或租赁到位。</w:t>
      </w:r>
    </w:p>
    <w:p>
      <w:pPr>
        <w:adjustRightInd/>
        <w:spacing w:beforeLines="0" w:afterLines="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4.其他养护要求：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①绿化、行道树、盆栽涉及养护、补种、修剪、施肥、浇水等一切人工费由供应商承担。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②种植时花和播种花籽的绿化区块，鲜花和花籽品种、更换时间由采购人指定，4次时花更换和播种花籽产生的费用（包括时花、花籽购买及种植）由供应商承担，供应商必须确保植株在种植后至花期结束期间存活，因养护不当出现死亡等情况，补种费用全部由供应商承担。因人为践踏造成的少量植株损坏，由供应商承担补植费用。</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③养护工作时间安排：养护工作需根据季节变化按采购人要求合理安排作业时间。</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④质量要求达到《杭州市城区绿地养护质量标准》与采购人考核标准，确保在国家、省、市各类创建检查中不失责任分。</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a.养护区域内的大型乔木在养护期内应确保达到100%以上成活率，灌木、草坪等在养护期内应确保达到98%以上成活率。</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乔灌木的修剪按《杭州园林植物养护技术规程》进行操作，香樟等乔木或大型花灌木冬季必须刷白，及时按防治病虫害；发现枯枝、死枝必须24小时内处理完毕；对花灌木应随时修剪，球形灌木应常年保持形态完整，色块灌木应控制高度及宽度，色块之间界限分明、线条清晰流畅，无缺株、无空洞。对枯死的树木应连同根部在24小时内挖除，并在2天内补种完毕，补种苗木的规格、品种和原苗木基本相同，特殊情况无法补种原规格苗木，需经采购人同意。</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c.绿地内各类地被植物覆盖完好（包括桥荫柱的垂直植物），覆盖率达到100%以上，植株缺损在二天内补种，补种苗木的品种和原苗木相同。地被植物与乔、灌木的界线清晰，线条流畅。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d.草坪随时修建，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e.植保员应每天检查绿地病虫害发生情况，发现病虫害应在2天内治理完毕，并做好病虫害防治工作台帐。要求园林植物常年无明显病虫害。</w:t>
      </w:r>
    </w:p>
    <w:p>
      <w:pPr>
        <w:spacing w:beforeLines="0" w:afterLines="0"/>
        <w:rPr>
          <w:rFonts w:hint="eastAsia" w:ascii="仿宋" w:hAnsi="仿宋" w:eastAsia="仿宋" w:cs="仿宋"/>
          <w:sz w:val="24"/>
          <w:szCs w:val="24"/>
        </w:rPr>
      </w:pPr>
      <w:r>
        <w:rPr>
          <w:rFonts w:hint="eastAsia" w:ascii="仿宋" w:hAnsi="仿宋" w:eastAsia="仿宋" w:cs="仿宋"/>
          <w:sz w:val="24"/>
          <w:szCs w:val="24"/>
        </w:rPr>
        <w:t>f.绿地树木修剪、滚草、枯死枝的清理等绿地的垃圾当日清运完毕。</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g.所有植物一年不少于两次施肥，肥料为复合肥或饼肥，施肥时间应定于游人稀少的时间段，并通知采购人，以采购人验收为准。</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h.维护好绿地内的园林建筑和设施。</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i.遇到因人为或其它因素造成的苗木损坏，必须无条件在2天内按采购人要求完成补种，苗木费用由</w:t>
      </w:r>
      <w:r>
        <w:rPr>
          <w:rFonts w:hint="eastAsia" w:ascii="仿宋" w:hAnsi="仿宋" w:eastAsia="仿宋" w:cs="仿宋"/>
          <w:b/>
          <w:sz w:val="24"/>
          <w:szCs w:val="24"/>
          <w:u w:val="single"/>
        </w:rPr>
        <w:t>采购人</w:t>
      </w:r>
      <w:r>
        <w:rPr>
          <w:rFonts w:hint="eastAsia" w:ascii="仿宋" w:hAnsi="仿宋" w:eastAsia="仿宋" w:cs="仿宋"/>
          <w:sz w:val="24"/>
          <w:szCs w:val="24"/>
        </w:rPr>
        <w:t>承担。因养护不当造成的植株草坪损坏，补种和苗木费用全部由供应商自行承担。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j.管理人员统一着装，标志明显，管理方式应文明、礼貌，对进入绿地践踏树木和损坏花木现象应及时予以制止，遇到严重的破坏绿化行为应及时上报采购人及执法部门。</w:t>
      </w:r>
    </w:p>
    <w:p>
      <w:pPr>
        <w:spacing w:beforeLines="0" w:afterLines="0"/>
        <w:ind w:firstLine="480"/>
        <w:rPr>
          <w:rFonts w:hint="eastAsia" w:ascii="仿宋" w:hAnsi="仿宋" w:eastAsia="仿宋" w:cs="仿宋"/>
          <w:sz w:val="24"/>
          <w:szCs w:val="24"/>
        </w:rPr>
      </w:pPr>
      <w:r>
        <w:rPr>
          <w:rFonts w:hint="eastAsia" w:ascii="仿宋" w:hAnsi="仿宋" w:eastAsia="仿宋" w:cs="仿宋"/>
          <w:sz w:val="24"/>
          <w:szCs w:val="24"/>
        </w:rPr>
        <w:t>k.建立日常巡查制度，巡查人员对所养护的绿地每天巡查不少于一次，每天上报自查情况、巡查记录，发现问题时应及时整改。建立每日养护管理工作台帐（台帐应明确人员、机械、气候等内容），并建立养护工作日报、月报与年报制度，健全养护档案制度。</w:t>
      </w:r>
    </w:p>
    <w:p>
      <w:pPr>
        <w:spacing w:beforeLines="0" w:afterLines="0"/>
        <w:ind w:firstLine="480"/>
        <w:rPr>
          <w:rFonts w:hint="eastAsia" w:ascii="仿宋" w:hAnsi="仿宋" w:eastAsia="仿宋" w:cs="仿宋"/>
          <w:sz w:val="24"/>
          <w:szCs w:val="24"/>
        </w:rPr>
      </w:pPr>
      <w:r>
        <w:rPr>
          <w:rFonts w:hint="eastAsia" w:ascii="仿宋" w:hAnsi="仿宋" w:eastAsia="仿宋" w:cs="仿宋"/>
          <w:sz w:val="24"/>
          <w:szCs w:val="24"/>
        </w:rPr>
        <w:t>l.所有行道树一年必须修剪一次及以上。</w:t>
      </w:r>
    </w:p>
    <w:p>
      <w:pPr>
        <w:spacing w:beforeLines="0" w:afterLines="0"/>
        <w:ind w:firstLine="480"/>
        <w:rPr>
          <w:rFonts w:hint="eastAsia" w:ascii="仿宋" w:hAnsi="仿宋" w:eastAsia="仿宋" w:cs="仿宋"/>
          <w:sz w:val="24"/>
          <w:szCs w:val="24"/>
        </w:rPr>
      </w:pPr>
      <w:r>
        <w:rPr>
          <w:rFonts w:hint="eastAsia" w:ascii="仿宋" w:hAnsi="仿宋" w:eastAsia="仿宋" w:cs="仿宋"/>
          <w:sz w:val="24"/>
          <w:szCs w:val="24"/>
        </w:rPr>
        <w:t>m.养护区域内的枯枝烂叶、白色垃圾等必须做到一个月两次清理。</w:t>
      </w:r>
    </w:p>
    <w:p>
      <w:pPr>
        <w:spacing w:beforeLines="0" w:afterLines="0"/>
        <w:ind w:firstLine="482" w:firstLineChars="200"/>
        <w:rPr>
          <w:rFonts w:hint="eastAsia" w:ascii="仿宋" w:hAnsi="仿宋" w:eastAsia="仿宋" w:cs="仿宋"/>
          <w:b/>
          <w:sz w:val="24"/>
          <w:szCs w:val="24"/>
        </w:rPr>
      </w:pPr>
      <w:r>
        <w:rPr>
          <w:rFonts w:hint="eastAsia" w:ascii="仿宋" w:hAnsi="仿宋" w:eastAsia="仿宋" w:cs="仿宋"/>
          <w:b/>
          <w:sz w:val="24"/>
          <w:szCs w:val="24"/>
        </w:rPr>
        <w:t>（三）行道树养护要求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①总体标准：指行道树养护的整体质量，内容有养护质量、树木存活率、设施维护、土肥标准、病虫害防治标准及管理标准。</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②养护质量：</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a.植株树冠丰满、完整、茂盛，骨架均匀、树干挺直，具有一定的遮荫及观赏效果。叶片正常，在正常条件下不黄叶，不焦叶，不卷叶，不落叶。</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植株无徒长枝、病虫枝、过密枝、并生枝、交叉枝、下垂枝、枯枝、伤损枝、碰线枝；及时抹芽，主干及一级枝不定芽不超过15cm；对倾斜老树要及时扶正。（对需要强修剪的树种必须按采购人要求在规定时间内修剪）</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c.行道树要有群体特色效果，品种、规格相对统一，补植树品种、规格（树高一致，胸径误差≤20%）也应保持一致，树冠必须保留骨架（3--4根一级主枝）</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d.有应急措施，在防台、抗旱、抗雪等灾害性天气时的应急工作要到位。有应急小分队，遇灾害性天气能及时对行道树组织进行支撑、抢扶、移除、灌溉、除尘等工作。</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③树木存活率：新栽行道树存活率95%以上，行道树保存率100%。无死株、无缺株。（新补种行道树的养护由养护单位养护，养护不当造成死亡的由养护单位补种）</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④设施维护：</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a.树穴边长净空大于1米，树穴有侧石，侧石保持完整，有平整盖板或种植地被植物，黄土不裸露。</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b.树木支撑规范、统一，无断桩、坏桩，桩位扎缚规范化。</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⑤土肥标准：栽培基质应具有一定的透水、透气、保肥能力；每年施肥至少两次，冬季必须施有机肥一次。 </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⑥病虫害防治标准:基本无病虫害危害迹象， 严格按照杭州绿管站发布的《杭州市园林植物有害生物监控信息》进行防治。</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⑦管理标准：</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a.树穴无杂草、垃圾和其它杂物，树干无钉子、铁丝等破坏树木生长的东西。</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b.管理制度全面落实，档案资料完整、详尽，对行道树的基础资料、变更情况及时记录入档；制定年度、月度养护计划；工作人员统一着装，挂牌上岗。</w:t>
      </w:r>
    </w:p>
    <w:p>
      <w:pPr>
        <w:spacing w:beforeLines="0" w:afterLines="0"/>
        <w:ind w:firstLine="482" w:firstLineChars="200"/>
        <w:rPr>
          <w:rFonts w:hint="eastAsia" w:ascii="仿宋" w:hAnsi="仿宋" w:eastAsia="仿宋" w:cs="仿宋"/>
          <w:b/>
          <w:sz w:val="24"/>
          <w:szCs w:val="24"/>
        </w:rPr>
      </w:pPr>
      <w:r>
        <w:rPr>
          <w:rFonts w:hint="eastAsia" w:ascii="仿宋" w:hAnsi="仿宋" w:eastAsia="仿宋" w:cs="仿宋"/>
          <w:b/>
          <w:sz w:val="24"/>
          <w:szCs w:val="24"/>
        </w:rPr>
        <w:t>c.供应商应当就行道树办理相应的保险。</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具体养护标准</w:t>
      </w:r>
    </w:p>
    <w:tbl>
      <w:tblPr>
        <w:tblStyle w:val="64"/>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3"/>
        <w:gridCol w:w="2226"/>
        <w:gridCol w:w="2691"/>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1" w:hRule="atLeast"/>
        </w:trPr>
        <w:tc>
          <w:tcPr>
            <w:tcW w:w="175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590550" cy="828675"/>
                  <wp:effectExtent l="0" t="0" r="0" b="9525"/>
                  <wp:docPr id="2" name="图片 1" descr="C:\Users\lenovo\AppData\Local\Temp\ksohtml\wpsA2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ksohtml\wpsA26D.tmp.png"/>
                          <pic:cNvPicPr>
                            <a:picLocks noChangeAspect="1"/>
                          </pic:cNvPicPr>
                        </pic:nvPicPr>
                        <pic:blipFill>
                          <a:blip r:embed="rId26"/>
                          <a:stretch>
                            <a:fillRect/>
                          </a:stretch>
                        </pic:blipFill>
                        <pic:spPr>
                          <a:xfrm>
                            <a:off x="0" y="0"/>
                            <a:ext cx="590550" cy="828675"/>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1047750" cy="422910"/>
                  <wp:effectExtent l="0" t="0" r="0" b="15240"/>
                  <wp:docPr id="5" name="图片 2" descr="C:\Users\lenovo\AppData\Local\Temp\ksohtml\wpsA26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AppData\Local\Temp\ksohtml\wpsA26E.tmp.png"/>
                          <pic:cNvPicPr>
                            <a:picLocks noChangeAspect="1"/>
                          </pic:cNvPicPr>
                        </pic:nvPicPr>
                        <pic:blipFill>
                          <a:blip r:embed="rId27"/>
                          <a:stretch>
                            <a:fillRect/>
                          </a:stretch>
                        </pic:blipFill>
                        <pic:spPr>
                          <a:xfrm>
                            <a:off x="0" y="0"/>
                            <a:ext cx="1047750" cy="422910"/>
                          </a:xfrm>
                          <a:prstGeom prst="rect">
                            <a:avLst/>
                          </a:prstGeom>
                          <a:noFill/>
                          <a:ln>
                            <a:noFill/>
                          </a:ln>
                        </pic:spPr>
                      </pic:pic>
                    </a:graphicData>
                  </a:graphic>
                </wp:inline>
              </w:drawing>
            </w:r>
            <w:r>
              <w:rPr>
                <w:rFonts w:hint="eastAsia" w:ascii="仿宋" w:hAnsi="仿宋" w:eastAsia="仿宋" w:cs="仿宋"/>
                <w:sz w:val="24"/>
                <w:szCs w:val="24"/>
              </w:rPr>
              <w:t>    分级 </w:t>
            </w:r>
          </w:p>
          <w:p>
            <w:pPr>
              <w:spacing w:beforeLines="0" w:afterLines="0"/>
              <w:ind w:firstLine="720" w:firstLineChars="300"/>
              <w:rPr>
                <w:rFonts w:hint="eastAsia" w:ascii="仿宋" w:hAnsi="仿宋" w:eastAsia="仿宋" w:cs="仿宋"/>
                <w:sz w:val="24"/>
                <w:szCs w:val="24"/>
              </w:rPr>
            </w:pPr>
            <w:r>
              <w:rPr>
                <w:rFonts w:hint="eastAsia" w:ascii="仿宋" w:hAnsi="仿宋" w:eastAsia="仿宋" w:cs="仿宋"/>
                <w:sz w:val="24"/>
                <w:szCs w:val="24"/>
              </w:rPr>
              <w:t>标准</w:t>
            </w:r>
          </w:p>
          <w:p>
            <w:pPr>
              <w:spacing w:beforeLines="0" w:afterLines="0"/>
              <w:rPr>
                <w:rFonts w:hint="eastAsia" w:ascii="仿宋" w:hAnsi="仿宋" w:eastAsia="仿宋" w:cs="仿宋"/>
                <w:sz w:val="24"/>
                <w:szCs w:val="24"/>
              </w:rPr>
            </w:pPr>
            <w:r>
              <w:rPr>
                <w:rFonts w:hint="eastAsia" w:ascii="仿宋" w:hAnsi="仿宋" w:eastAsia="仿宋" w:cs="仿宋"/>
                <w:sz w:val="24"/>
                <w:szCs w:val="24"/>
              </w:rPr>
              <w:t>类别</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一级标准</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二级标准</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生长势</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好</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正常</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叶片</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健壮，在正常条件下不黄叶，不焦叶，不卷叶，不落叶。</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正常，较严重黄叶，焦叶，卷叶的株数在2%以下。</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基本正常，较严重黄叶，焦叶，卷叶的株数在10%以下。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枝干</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健壮，无明显枯枝死杈。</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正常，无明显枯枝死杈。</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树冠</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完整美观，分枝点合适。内膛不乱，通风透光。</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基本完整，主侧枝分布均匀，通风透光。</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90%以上的树冠基本完整，有绿化效果。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240" w:firstLineChars="100"/>
              <w:rPr>
                <w:rFonts w:hint="eastAsia" w:ascii="仿宋" w:hAnsi="仿宋" w:eastAsia="仿宋" w:cs="仿宋"/>
                <w:sz w:val="24"/>
                <w:szCs w:val="24"/>
              </w:rPr>
            </w:pPr>
            <w:r>
              <w:rPr>
                <w:rFonts w:hint="eastAsia" w:ascii="仿宋" w:hAnsi="仿宋" w:eastAsia="仿宋" w:cs="仿宋"/>
                <w:sz w:val="24"/>
                <w:szCs w:val="24"/>
              </w:rPr>
              <w:t>病虫害控制</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基本无病虫害危害。食叶害虫危害的叶片每株不超过5%，刺吸性害虫危害的叶片每株不超过10%，无蛀干性害虫的活虫，活卵。</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病虫害危害未达到明显程度。食叶害虫危害的叶片每株不超过10%，刺吸性害虫危害的叶片每株不超过15%，蛀干性害虫危害的株数在2%以下。</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有病虫害控制措施。食叶害虫危害的叶片每株不超过20%，刺吸性害虫危害的叶片每株不超过25%，蛀干性害虫危害的株数在5%以下。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树穴</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有侧石，有平整盖板或种植地被植物，黄土不裸露。</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有平整盖板或种植地被植物，黄土不裸露。</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有较完整的覆盖。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其他</w:t>
            </w:r>
          </w:p>
        </w:tc>
        <w:tc>
          <w:tcPr>
            <w:tcW w:w="22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无断桩，坏桩，桩位扎缚规范。有应急措施。</w:t>
            </w:r>
          </w:p>
        </w:tc>
        <w:tc>
          <w:tcPr>
            <w:tcW w:w="26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基本无断桩，坏桩，桩位扎缚有效。有一定的应急措施。</w:t>
            </w:r>
          </w:p>
        </w:tc>
        <w:tc>
          <w:tcPr>
            <w:tcW w:w="22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有一定的应急措施。</w:t>
            </w:r>
          </w:p>
        </w:tc>
      </w:tr>
    </w:tbl>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d.胸径10cm以上的行道树要求达到二级养护标准，胸径10cm以下的行道树要求达到三级以上养护标准。</w:t>
      </w:r>
    </w:p>
    <w:p>
      <w:pPr>
        <w:spacing w:beforeLines="0" w:afterLines="0"/>
        <w:ind w:firstLine="482" w:firstLineChars="200"/>
        <w:rPr>
          <w:rFonts w:hint="eastAsia" w:ascii="仿宋" w:hAnsi="仿宋" w:eastAsia="仿宋" w:cs="仿宋"/>
          <w:b/>
          <w:sz w:val="24"/>
          <w:szCs w:val="24"/>
        </w:rPr>
      </w:pPr>
      <w:r>
        <w:rPr>
          <w:rFonts w:hint="eastAsia" w:ascii="仿宋" w:hAnsi="仿宋" w:eastAsia="仿宋" w:cs="仿宋"/>
          <w:b/>
          <w:sz w:val="24"/>
          <w:szCs w:val="24"/>
        </w:rPr>
        <w:t>（四）高架及立交桥挂箱养护要求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①供应商在成交后</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a.必须为高架挂箱办理相应的保险，包括因人为或意外引发挂箱坠落而造成的人和物的损失，并提供相关的保险证明；</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c.应给每一个作业人员购买人身意外伤害保险；</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d.必须与采购人签订《高架道路施工规范责任书》</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e.保修单复印件应报采购人备案。</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②供应商必须提供替换苗木摆放场地一块，并备有合同范围内5﹪原有同一品种、规格的成品苗以便于随时有花更换。</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③按照《杭州市城区高架及立交桥挂箱悬垂绿化养护管理规定（试行）》，加强对高架及立交桥挂箱悬垂绿化的养护管理和安全管理。</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a.日常巡查管理应注意安全，做到文明作业，浇水必须在晚间作业（晚上10点至凌晨4点），冬季浇水根据市有关通知另作调整，并确保无水下滴，不影响行人和车辆通行，确保安全。</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b.遇到灾害性天气，应及时组织人员进行抗旱浇水、抗台护绿、抗雪保绿工作。</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c.发现挂箱安全隐患立即排除，若因管护不善造成挂箱坠落事故及由此产生的一切责任由供应商承担。</w:t>
      </w:r>
    </w:p>
    <w:p>
      <w:pPr>
        <w:spacing w:beforeLines="0" w:afterLines="0"/>
        <w:ind w:firstLine="480"/>
        <w:rPr>
          <w:rFonts w:hint="eastAsia" w:ascii="仿宋" w:hAnsi="仿宋" w:eastAsia="仿宋" w:cs="仿宋"/>
          <w:sz w:val="24"/>
          <w:szCs w:val="24"/>
        </w:rPr>
      </w:pPr>
      <w:r>
        <w:rPr>
          <w:rFonts w:hint="eastAsia" w:ascii="仿宋" w:hAnsi="仿宋" w:eastAsia="仿宋" w:cs="仿宋"/>
          <w:sz w:val="24"/>
          <w:szCs w:val="24"/>
        </w:rPr>
        <w:t>d.上桥车辆按交警部门要求整改，上桥的车辆及作业人员必须严格按交警及管理部门要求办理审批并按要求规范作业。</w:t>
      </w:r>
    </w:p>
    <w:p>
      <w:pPr>
        <w:spacing w:beforeLines="0" w:afterLines="0"/>
        <w:ind w:firstLine="482" w:firstLineChars="200"/>
        <w:rPr>
          <w:rFonts w:hint="eastAsia" w:ascii="仿宋" w:hAnsi="仿宋" w:eastAsia="仿宋" w:cs="仿宋"/>
          <w:b/>
          <w:sz w:val="24"/>
          <w:szCs w:val="24"/>
        </w:rPr>
      </w:pPr>
      <w:r>
        <w:rPr>
          <w:rFonts w:hint="eastAsia" w:ascii="仿宋" w:hAnsi="仿宋" w:eastAsia="仿宋" w:cs="仿宋"/>
          <w:b/>
          <w:sz w:val="24"/>
          <w:szCs w:val="24"/>
        </w:rPr>
        <w:t>（五）抗灾应急等要求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a.必须配有应急仓库及应急物资如：洒水车、水泵、车辆等。</w:t>
      </w:r>
    </w:p>
    <w:p>
      <w:pPr>
        <w:spacing w:beforeLines="0" w:afterLines="0"/>
        <w:rPr>
          <w:rFonts w:hint="eastAsia" w:ascii="仿宋" w:hAnsi="仿宋" w:eastAsia="仿宋" w:cs="仿宋"/>
          <w:sz w:val="24"/>
          <w:szCs w:val="24"/>
        </w:rPr>
      </w:pPr>
      <w:r>
        <w:rPr>
          <w:rFonts w:hint="eastAsia" w:ascii="仿宋" w:hAnsi="仿宋" w:eastAsia="仿宋" w:cs="仿宋"/>
          <w:sz w:val="24"/>
          <w:szCs w:val="24"/>
        </w:rPr>
        <w:t>b.制定灾害性天气应急预案，建立应急救灾队伍，将应急预案和人员名单上报采购人备案。制定灾害性天气应急预案，建立应急救灾队伍，将应急预案和人员名单上报采购人备案。针对台风、暴雨、降雪等灾害性天气，各中标单位应随时配备有一定数量的施工机械和应急抢救人员，同时主要负责人需保证24小时通讯畅通，如中标单位未能按以上业主要求，致应急抢救任务未能顺利完成或中途未能严格执行合同（出现不响应业主要求等情况）的，采购人将视情节作出相应处罚；如造成严重后果的，采购人有权解除合同，并扣除全额履约保证金。</w:t>
      </w:r>
    </w:p>
    <w:p>
      <w:pPr>
        <w:spacing w:beforeLines="0" w:afterLines="0"/>
        <w:rPr>
          <w:rFonts w:hint="eastAsia" w:ascii="仿宋" w:hAnsi="仿宋" w:eastAsia="仿宋" w:cs="仿宋"/>
          <w:sz w:val="24"/>
          <w:szCs w:val="24"/>
        </w:rPr>
      </w:pPr>
      <w:r>
        <w:rPr>
          <w:rFonts w:hint="eastAsia" w:ascii="仿宋" w:hAnsi="仿宋" w:eastAsia="仿宋" w:cs="仿宋"/>
          <w:sz w:val="24"/>
          <w:szCs w:val="24"/>
        </w:rPr>
        <w:t>c.建立应急备货制，备货的内容有：抗旱、防汛、抗台、抗寒、抗雪等物资（钢管、毛竹、水泵等）；‚容器苗木，主要是夏季易干枯的灌木品种。</w:t>
      </w:r>
    </w:p>
    <w:p>
      <w:pPr>
        <w:spacing w:beforeLines="0" w:afterLines="0"/>
        <w:rPr>
          <w:rFonts w:hint="eastAsia" w:ascii="仿宋" w:hAnsi="仿宋" w:eastAsia="仿宋" w:cs="仿宋"/>
          <w:sz w:val="24"/>
          <w:szCs w:val="24"/>
        </w:rPr>
      </w:pPr>
      <w:r>
        <w:rPr>
          <w:rFonts w:hint="eastAsia" w:ascii="仿宋" w:hAnsi="仿宋" w:eastAsia="仿宋" w:cs="仿宋"/>
          <w:sz w:val="24"/>
          <w:szCs w:val="24"/>
        </w:rPr>
        <w:t>d.遇灾害性天气，听从采购人统一指挥，及时组织人员夏季抗旱浇水、抗台护绿，冬季抗雪保绿等工作措施。遇到树木斜倒时，根据采购人要求，做好清障扶正工作。</w:t>
      </w:r>
    </w:p>
    <w:p>
      <w:pPr>
        <w:spacing w:beforeLines="0" w:afterLines="0"/>
        <w:rPr>
          <w:rFonts w:hint="eastAsia" w:ascii="仿宋" w:hAnsi="仿宋" w:eastAsia="仿宋" w:cs="仿宋"/>
          <w:sz w:val="24"/>
          <w:szCs w:val="24"/>
        </w:rPr>
      </w:pPr>
      <w:r>
        <w:rPr>
          <w:rFonts w:hint="eastAsia" w:ascii="仿宋" w:hAnsi="仿宋" w:eastAsia="仿宋" w:cs="仿宋"/>
          <w:sz w:val="24"/>
          <w:szCs w:val="24"/>
        </w:rPr>
        <w:t>f.遇灾害性天气，应及时组织人员进行工作。</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g.做好防台树木支撑工作，在市气象台发出台风预警信号以后，立即做好树木支撑工作，具体要求参照《杭州市城区绿化防台树木支撑工作方案》及采购人要求执行。</w:t>
      </w:r>
    </w:p>
    <w:p>
      <w:pPr>
        <w:spacing w:beforeLines="0" w:afterLines="0"/>
        <w:ind w:firstLine="482" w:firstLineChars="200"/>
        <w:rPr>
          <w:rFonts w:hint="eastAsia" w:ascii="仿宋" w:hAnsi="仿宋" w:eastAsia="仿宋" w:cs="仿宋"/>
          <w:b/>
          <w:sz w:val="24"/>
          <w:szCs w:val="24"/>
        </w:rPr>
      </w:pPr>
      <w:r>
        <w:rPr>
          <w:rFonts w:hint="eastAsia" w:ascii="仿宋" w:hAnsi="仿宋" w:eastAsia="仿宋" w:cs="仿宋"/>
          <w:b/>
          <w:sz w:val="24"/>
          <w:szCs w:val="24"/>
        </w:rPr>
        <w:t>（六）养护施工所需机械、材料、器具设备要求</w:t>
      </w:r>
    </w:p>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①供应商自行准备的机械、材料、器具设备</w:t>
      </w:r>
    </w:p>
    <w:p>
      <w:pPr>
        <w:spacing w:beforeLines="0" w:afterLines="0"/>
        <w:rPr>
          <w:rFonts w:hint="eastAsia" w:ascii="仿宋" w:hAnsi="仿宋" w:eastAsia="仿宋" w:cs="仿宋"/>
          <w:sz w:val="24"/>
          <w:szCs w:val="24"/>
        </w:rPr>
      </w:pPr>
      <w:r>
        <w:rPr>
          <w:rFonts w:hint="eastAsia" w:ascii="仿宋" w:hAnsi="仿宋" w:eastAsia="仿宋" w:cs="仿宋"/>
          <w:sz w:val="24"/>
          <w:szCs w:val="24"/>
        </w:rPr>
        <w:t>a.除双方另有约定外，供应商应自行配置养护管理所需要的交通工具以及其他养护所需机械、材料、器具设备。供应商配置的养护所需机械、材料、器具设备的清单如下：洒水车、绿篱机、疏草机、割灌机、抽水泵、打药机、养护巡查车等。</w:t>
      </w:r>
    </w:p>
    <w:p>
      <w:pPr>
        <w:spacing w:beforeLines="0" w:afterLines="0"/>
        <w:rPr>
          <w:rFonts w:hint="eastAsia" w:ascii="仿宋" w:hAnsi="仿宋" w:eastAsia="仿宋" w:cs="仿宋"/>
          <w:sz w:val="24"/>
          <w:szCs w:val="24"/>
        </w:rPr>
      </w:pPr>
      <w:r>
        <w:rPr>
          <w:rFonts w:hint="eastAsia" w:ascii="仿宋" w:hAnsi="仿宋" w:eastAsia="仿宋" w:cs="仿宋"/>
          <w:sz w:val="24"/>
          <w:szCs w:val="24"/>
        </w:rPr>
        <w:t>b.供应商应当对投入使用的机械、材料、器具设备的质量负责。供应商在机械、材料、器具设备送达养护场地前24小时通知采购人代表清点。供应商投入使用的机械、材料、器具设备的数量、规格和品质达不到合同约定标准时，须承担违约责任。</w:t>
      </w:r>
    </w:p>
    <w:p>
      <w:pPr>
        <w:spacing w:beforeLines="0" w:afterLines="0"/>
        <w:rPr>
          <w:rFonts w:hint="eastAsia" w:ascii="仿宋" w:hAnsi="仿宋" w:eastAsia="仿宋" w:cs="仿宋"/>
          <w:sz w:val="24"/>
          <w:szCs w:val="24"/>
        </w:rPr>
      </w:pPr>
      <w:r>
        <w:rPr>
          <w:rFonts w:hint="eastAsia" w:ascii="仿宋" w:hAnsi="仿宋" w:eastAsia="仿宋" w:cs="仿宋"/>
          <w:sz w:val="24"/>
          <w:szCs w:val="24"/>
        </w:rPr>
        <w:t>c.供应商应保证其提供的机械、材料、器具设备符合安全标准。在供应商使用前，应按规范要求进行检验或试验，不合格的不得使用。检验或试验费用，除双方另有约定外，由供应商承担。</w:t>
      </w:r>
    </w:p>
    <w:p>
      <w:pPr>
        <w:spacing w:beforeLines="0" w:afterLines="0"/>
        <w:rPr>
          <w:rFonts w:hint="eastAsia" w:ascii="仿宋" w:hAnsi="仿宋" w:eastAsia="仿宋" w:cs="仿宋"/>
          <w:sz w:val="24"/>
          <w:szCs w:val="24"/>
        </w:rPr>
      </w:pPr>
      <w:r>
        <w:rPr>
          <w:rFonts w:hint="eastAsia" w:ascii="仿宋" w:hAnsi="仿宋" w:eastAsia="仿宋" w:cs="仿宋"/>
          <w:sz w:val="24"/>
          <w:szCs w:val="24"/>
        </w:rPr>
        <w:t>d.采购人发现供应商提供或使用不符合约定的机械、材料、器具设备时，供应商应当按照采购人的要求负责采取更换、重做等补救措施，并自行承担相应费用。</w:t>
      </w:r>
    </w:p>
    <w:p>
      <w:pPr>
        <w:spacing w:beforeLines="0" w:afterLines="0"/>
        <w:ind w:firstLine="480"/>
        <w:rPr>
          <w:rFonts w:hint="eastAsia" w:ascii="仿宋" w:hAnsi="仿宋" w:eastAsia="仿宋" w:cs="仿宋"/>
          <w:sz w:val="24"/>
          <w:szCs w:val="24"/>
        </w:rPr>
      </w:pPr>
      <w:r>
        <w:rPr>
          <w:rFonts w:hint="eastAsia" w:ascii="仿宋" w:hAnsi="仿宋" w:eastAsia="仿宋" w:cs="仿宋"/>
          <w:sz w:val="24"/>
          <w:szCs w:val="24"/>
        </w:rPr>
        <w:t>f.供应商需要使用代用机械、材料、器具设备时，应经采购人代表认可后才能使用。由此增减的合同价款，除非双方另有约定，增加的合同价款由供应商自行承担，减少的合同价款须从合同总价中核减。</w:t>
      </w:r>
    </w:p>
    <w:p>
      <w:pPr>
        <w:adjustRightInd/>
        <w:spacing w:beforeLines="0" w:afterLines="0" w:line="46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（七）其他要求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①供应商必须在合同签订后一个月内对所承包绿地现状进行绘图并清点范围内绿化苗木及设施数量、品种，上交给采购人确认。</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②涉及“双最”绿地的，按一级绿化养护要求进行考核，供应商必须无条件服从采购人按双最公园考核提出的养护要求。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③负责调查、解决来电来访等信访反映的承包区域内的养护问题。</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④供应商不得随意更改绿地性质和植物品种，如确需更改的应报经采购人同意。</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⑤采购人有权提出认为不称职的主要管理、技术人员的更换，直至满意为止。</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⑥因养护不当及灾害产生的事故纠纷由养护单位自行承担责任。</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⑦中标单位确定中标后10天内须编制详细的养护方案，养护方案应包括合理的人员与机具配备、养护措施、应急处理预案及规章制度等相关内容，报采购人、业主认可后方可实施。此项中的人员到位率列入每月考核范围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⑧供应商须预留车辆以备日常巡检，如无法按需按时提供车辆采购人将进行经济处罚。</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⑨第三方安全责任条款：如中标单位在施工过程中未能按业主要求及时完成维修任务，出现质量、安全等事故的，将视情节轻重作出处罚，造成的损失由中标单位承担；如中标单位中途未能严格执行合同（出现不响应业主要求等情况），造成严重后果的，采购人有权解除合同，并将扣除全额履约保证金。</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⑩补种苗木在一定期限内务必做到存活，保活期限为1年.如期间有死亡现象的供应商必须马上做到补种。保活期限顺延.</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⑪</w:t>
      </w:r>
      <w:r>
        <w:rPr>
          <w:rFonts w:hint="eastAsia" w:ascii="仿宋" w:hAnsi="仿宋" w:eastAsia="仿宋" w:cs="仿宋"/>
          <w:sz w:val="24"/>
          <w:szCs w:val="24"/>
        </w:rPr>
        <w:t>少数因工期等有特殊要求的工程，采购人可根据工程需要，制定其他施工单位实施，供应商不得对此提出异议。</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⑫</w:t>
      </w:r>
      <w:r>
        <w:rPr>
          <w:rFonts w:hint="eastAsia" w:ascii="仿宋" w:hAnsi="仿宋" w:eastAsia="仿宋" w:cs="仿宋"/>
          <w:sz w:val="24"/>
          <w:szCs w:val="24"/>
        </w:rPr>
        <w:t>跨中标养护区域与不同养护区域之间出现的单个工程，采购人可根据工程需要制定同一施工单位实施，供应商不得对此提出异议。</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⑬</w:t>
      </w:r>
      <w:r>
        <w:rPr>
          <w:rFonts w:hint="eastAsia" w:ascii="仿宋" w:hAnsi="仿宋" w:eastAsia="仿宋" w:cs="仿宋"/>
          <w:sz w:val="24"/>
          <w:szCs w:val="24"/>
        </w:rPr>
        <w:t>供应商在养护管理期间，因养管措施不力，出现以下情况之一的，采购人有权终止合同，并扣除全额履约保证金：</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a.发生重大质量安全责任事故，或被媒体曝光造成严重影响的；</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b.遇灾害性天气，未听从采购人统一指挥，未按采购人要求进行应急管理造成严重损失；</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c.采购人将定期不定期的对供应商的养护工作进行考核（考核办法在签订合同前明确），如出现连续两次以上考评结果为不合格的。</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d.养护期间因供应商管理不善、养护不当造成植物大面积死亡或设施严重破损，供应商对存在问题未整改或整改不到位的。</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e.参照《萧山区城市环境面貌提升工作考核评分标准》，连续两月在绿化考核中评分排在倒数第一，或年度考核中排在倒数第一的。</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f.在 “美丽萧山”、“迎亚运城市环境大整治、城市面貌大提升”管理专项任务考核中，绿化部分得分较差的。</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采购人将严格按上述要求，对供应商定期不定期的进行检查与考核，如发现供应商未能按上述要求执行的，作违约处理，由承包人自行承担由此造成的一切经济损失与法律责任。采购人另将视情节轻重，对供应商按考核细则等酌情扣减养护费用，直至解除合同并全额扣除履约保证金。</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⑭</w:t>
      </w:r>
      <w:r>
        <w:rPr>
          <w:rFonts w:hint="eastAsia" w:ascii="仿宋" w:hAnsi="仿宋" w:eastAsia="仿宋" w:cs="仿宋"/>
          <w:sz w:val="24"/>
          <w:szCs w:val="24"/>
        </w:rPr>
        <w:t>养护范围中明确的全部绿地养护项目，包括养护期内死亡苗木补植、现有植物的养护管理和管理房室内的设施维护，墙涂料、园林建筑等所有配套设施及附属物的维护以及行道树抗台应急。养护绿地工程量如有调整，按实结算。</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⑮</w:t>
      </w:r>
      <w:r>
        <w:rPr>
          <w:rFonts w:hint="eastAsia" w:ascii="仿宋" w:hAnsi="仿宋" w:eastAsia="仿宋" w:cs="仿宋"/>
          <w:sz w:val="24"/>
          <w:szCs w:val="24"/>
        </w:rPr>
        <w:t>养护费报价中应包括养护管理所需的所有费用，包干使用，包括：人工费、药剂费、水电费、机械费、材料费、设施维护费及行道树抗台支撑应急措施费。</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⑯</w:t>
      </w:r>
      <w:r>
        <w:rPr>
          <w:rFonts w:hint="eastAsia" w:ascii="仿宋" w:hAnsi="仿宋" w:eastAsia="仿宋" w:cs="仿宋"/>
          <w:sz w:val="24"/>
          <w:szCs w:val="24"/>
        </w:rPr>
        <w:t>项目交接过渡期不得超过</w:t>
      </w:r>
      <w:r>
        <w:rPr>
          <w:rFonts w:hint="eastAsia" w:ascii="仿宋" w:hAnsi="仿宋" w:eastAsia="仿宋" w:cs="仿宋"/>
          <w:b/>
          <w:sz w:val="24"/>
          <w:szCs w:val="24"/>
        </w:rPr>
        <w:t>1</w:t>
      </w:r>
      <w:r>
        <w:rPr>
          <w:rFonts w:hint="eastAsia" w:ascii="仿宋" w:hAnsi="仿宋" w:eastAsia="仿宋" w:cs="仿宋"/>
          <w:sz w:val="24"/>
          <w:szCs w:val="24"/>
        </w:rPr>
        <w:t>个月，过渡期间发生的费用由供应商承担。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color w:val="121212"/>
          <w:sz w:val="24"/>
          <w:szCs w:val="24"/>
          <w:shd w:val="clear" w:color="auto" w:fill="FFFFFF"/>
        </w:rPr>
        <w:t>⑰</w:t>
      </w:r>
      <w:r>
        <w:rPr>
          <w:rFonts w:hint="eastAsia" w:ascii="仿宋" w:hAnsi="仿宋" w:eastAsia="仿宋" w:cs="仿宋"/>
          <w:sz w:val="24"/>
          <w:szCs w:val="24"/>
        </w:rPr>
        <w:t>按建设单位和采购人有关要求做好台账记录，并按要求及时上报业主备查。</w:t>
      </w:r>
    </w:p>
    <w:p>
      <w:pPr>
        <w:spacing w:beforeLines="0" w:afterLines="0"/>
        <w:ind w:firstLine="482" w:firstLineChars="200"/>
        <w:rPr>
          <w:rFonts w:hint="eastAsia" w:ascii="仿宋" w:hAnsi="仿宋" w:eastAsia="仿宋" w:cs="仿宋"/>
          <w:b/>
          <w:sz w:val="24"/>
          <w:szCs w:val="24"/>
        </w:rPr>
      </w:pPr>
      <w:r>
        <w:rPr>
          <w:rFonts w:hint="eastAsia" w:ascii="仿宋" w:hAnsi="仿宋" w:eastAsia="仿宋" w:cs="仿宋"/>
          <w:b/>
          <w:sz w:val="24"/>
          <w:szCs w:val="24"/>
        </w:rPr>
        <w:t>（八）、安全防护及事故处理</w:t>
      </w:r>
    </w:p>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①一般要求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供应商在养护期间，应当严格遵守安全生产作业的有关管理制度，并随时接受行业安全检查人员依法实施的监督检查，采取必要的安全防护措施，消除事故隐患。由于供应商安全措施不力造成事故的责任和因此发生的费用，由供应商承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b.供应商应对其在养护场地的工作人员进行安全教育，并对他们的安全负责。</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c.采购人不得要求供应商违反安全管理的规定进行养护工作。因采购人原因导致的安全事故，由采购人承担相应责任及发生的费用。</w:t>
      </w:r>
    </w:p>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②安全防范</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a.供应商在从事喷洒农药、控制有害生物、修剪树木、修理设施、清理道路或水体、防台防汛等工作时应自行采取相应的安全防护措施。除双方另有约定外，安全防护费用由供应商自行承担。</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供应商应保证养护范围内的各项设施能够安全使用，对于存在安全隐患的设施、物品，应及时提请采购人予以修理或更换。对养护范围内的树林、水体或其他可能造成人员伤亡的场所，供应商应提请采购人设置禁止吸烟、禁止火种、禁止游泳等安全警告铭牌。</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c.供应商对土壤进行消毒或防治病虫害时，应使用符合环保要求的药剂，不得使用国家禁止使用的剧毒、高残留或可能造成其它公害的药剂。供应商喷洒药物之前，须将喷洒时间、药物种类提前报采购人批准，按采购人批准的时间和路线进行喷洒。瓜果类植物在挂果期间不得碰洒药剂，以防发生意外。残留药剂和容器，供应商应按规定妥善收集和处理。供应商未按规定使用药剂，造成的责任由供应商自行承担。</w:t>
      </w:r>
    </w:p>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③环境保护</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a.养护期间，供应商应遵守国家有关环境保护的政策、法规。养护范围内的垃圾应按规定清理、外运。</w:t>
      </w:r>
    </w:p>
    <w:p>
      <w:pPr>
        <w:spacing w:beforeLines="0" w:afterLines="0"/>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b.供应商应按合同约定进行施肥、沤肥。施肥、沤肥不得造成绿化景观和周边环境污染。</w:t>
      </w:r>
    </w:p>
    <w:p>
      <w:pPr>
        <w:spacing w:beforeLines="0" w:afterLines="0"/>
        <w:rPr>
          <w:rFonts w:hint="eastAsia" w:ascii="仿宋" w:hAnsi="仿宋" w:eastAsia="仿宋" w:cs="仿宋"/>
          <w:sz w:val="24"/>
          <w:szCs w:val="24"/>
        </w:rPr>
      </w:pPr>
      <w:r>
        <w:rPr>
          <w:rFonts w:hint="eastAsia" w:ascii="仿宋" w:hAnsi="仿宋" w:eastAsia="仿宋" w:cs="仿宋"/>
          <w:sz w:val="24"/>
          <w:szCs w:val="24"/>
        </w:rPr>
        <w:t xml:space="preserve">    ④事故处理</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a.养护期间，若发生重大伤亡及其他安全事故，供应商应按有关规定立即上报有关部门并通知采购人代表，同时按政府有关部门要求处理，由事故责任方承担发生的费用。</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b.采购人、供应商对事故责任有争议时，应按政府有关部门的认定处理。</w:t>
      </w:r>
    </w:p>
    <w:p>
      <w:pPr>
        <w:spacing w:beforeLines="0" w:afterLines="0"/>
        <w:rPr>
          <w:rFonts w:hint="eastAsia" w:ascii="仿宋" w:hAnsi="仿宋" w:eastAsia="仿宋" w:cs="仿宋"/>
          <w:sz w:val="21"/>
          <w:szCs w:val="24"/>
        </w:rPr>
      </w:pPr>
    </w:p>
    <w:p>
      <w:pPr>
        <w:pStyle w:val="2"/>
        <w:rPr>
          <w:rFonts w:hint="eastAsia" w:ascii="仿宋" w:hAnsi="仿宋" w:eastAsia="仿宋" w:cs="仿宋"/>
          <w:sz w:val="21"/>
          <w:szCs w:val="24"/>
        </w:rPr>
      </w:pPr>
    </w:p>
    <w:p>
      <w:pPr>
        <w:rPr>
          <w:rFonts w:hint="eastAsia" w:ascii="仿宋" w:hAnsi="仿宋" w:eastAsia="仿宋" w:cs="仿宋"/>
          <w:sz w:val="21"/>
          <w:szCs w:val="24"/>
        </w:rPr>
      </w:pPr>
    </w:p>
    <w:p>
      <w:pPr>
        <w:pStyle w:val="2"/>
        <w:rPr>
          <w:rFonts w:hint="eastAsia"/>
        </w:rPr>
      </w:pPr>
    </w:p>
    <w:p>
      <w:pPr>
        <w:spacing w:beforeLines="0" w:afterLines="0"/>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商务需求</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▲2.1服务期：1年，（202</w:t>
      </w:r>
      <w:r>
        <w:rPr>
          <w:rFonts w:hint="eastAsia" w:ascii="仿宋" w:hAnsi="仿宋" w:eastAsia="仿宋" w:cs="仿宋"/>
          <w:sz w:val="24"/>
          <w:szCs w:val="24"/>
          <w:lang w:val="en-US" w:eastAsia="zh-CN"/>
        </w:rPr>
        <w:t>5</w:t>
      </w:r>
      <w:r>
        <w:rPr>
          <w:rFonts w:hint="eastAsia" w:ascii="仿宋" w:hAnsi="仿宋" w:eastAsia="仿宋" w:cs="仿宋"/>
          <w:sz w:val="24"/>
          <w:szCs w:val="24"/>
        </w:rPr>
        <w:t>年4月1日到202</w:t>
      </w:r>
      <w:r>
        <w:rPr>
          <w:rFonts w:hint="eastAsia" w:ascii="仿宋" w:hAnsi="仿宋" w:eastAsia="仿宋" w:cs="仿宋"/>
          <w:sz w:val="24"/>
          <w:szCs w:val="24"/>
          <w:lang w:val="en-US" w:eastAsia="zh-CN"/>
        </w:rPr>
        <w:t>6</w:t>
      </w:r>
      <w:r>
        <w:rPr>
          <w:rFonts w:hint="eastAsia" w:ascii="仿宋" w:hAnsi="仿宋" w:eastAsia="仿宋" w:cs="仿宋"/>
          <w:sz w:val="24"/>
          <w:szCs w:val="24"/>
        </w:rPr>
        <w:t>年3月31日）。在服务期内中标人必须严格履行合同，如中标人在服务期内违反合同约定，经考核不合格，采购人有权提前终止合同。合同期满后，妥善处理退场移交、人员安置，如果出现劳资纠纷，责任在中标人，与采购人无关。</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2.2服务质量承诺</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（1）为确保服务质量及与采购人沟通联络，中标人须设置专职主管，负责对承包项目、范围、服务质量的检查监督及与采购人日常业务联系；</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（2）中标人需提供员工管理服务规范要求及确保服务质量达标的具体措施；</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（3）中标人需向采购人提供服务承诺；</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（4）中标人须主动接受采购人的指导、检查、监督及协调；</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（5）现有服务范围内，由于调整而增加的工作量，不再增加费用。</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2.3承包方式：包工包料。</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2.4本项目投标人一旦中标，分包需经采购人同意，不得擅自分包（除前附表规定的），一经发现中标人存在擅自分包转包的行为，本项目合同立即自动中止。</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▲2.5付款方式</w:t>
      </w:r>
    </w:p>
    <w:p>
      <w:pPr>
        <w:spacing w:beforeLines="0" w:afterLines="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按季度支付。每一季度末，</w:t>
      </w:r>
      <w:r>
        <w:rPr>
          <w:rFonts w:hint="eastAsia" w:ascii="仿宋" w:hAnsi="仿宋" w:eastAsia="仿宋" w:cs="仿宋"/>
          <w:sz w:val="24"/>
          <w:szCs w:val="24"/>
          <w:lang w:val="en-US" w:eastAsia="zh-CN"/>
        </w:rPr>
        <w:t>经采购人扣除考核款项后支付。</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1、如有附图，仅作参考。</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2、打▲内容为实质性要求，不允许有负偏离，否则将以涉及无效投标条款作无效投标。</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3、中标人所提供的货物、服务须与投标承诺一致，不得以次充好、偷工减料，若在项目验收中发现有上述情况，将向有关部门举报，根据相关规定进行处理。</w:t>
      </w:r>
    </w:p>
    <w:p>
      <w:pPr>
        <w:spacing w:line="360" w:lineRule="auto"/>
        <w:ind w:firstLine="181" w:firstLineChars="50"/>
        <w:rPr>
          <w:rFonts w:hint="eastAsia" w:ascii="仿宋" w:hAnsi="仿宋" w:eastAsia="仿宋" w:cs="仿宋"/>
          <w:b/>
          <w:sz w:val="36"/>
          <w:szCs w:val="36"/>
        </w:rPr>
      </w:pPr>
    </w:p>
    <w:p>
      <w:pPr>
        <w:spacing w:line="360" w:lineRule="auto"/>
        <w:ind w:firstLine="482"/>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ind w:firstLine="482"/>
        <w:rPr>
          <w:rFonts w:hint="eastAsia" w:ascii="仿宋" w:hAnsi="仿宋" w:eastAsia="仿宋" w:cs="仿宋"/>
          <w:snapToGrid w:val="0"/>
          <w:kern w:val="0"/>
          <w:sz w:val="24"/>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sz w:val="24"/>
        </w:rPr>
        <w:br w:type="page"/>
      </w:r>
      <w:r>
        <w:rPr>
          <w:rFonts w:hint="eastAsia" w:ascii="仿宋" w:hAnsi="仿宋" w:eastAsia="仿宋" w:cs="仿宋"/>
          <w:b/>
          <w:color w:val="auto"/>
          <w:sz w:val="36"/>
          <w:szCs w:val="36"/>
          <w:highlight w:val="none"/>
        </w:rPr>
        <w:t xml:space="preserve">第四部分 </w:t>
      </w:r>
      <w:bookmarkStart w:id="33" w:name="_Toc184310285"/>
      <w:bookmarkEnd w:id="33"/>
      <w:bookmarkStart w:id="34" w:name="_Toc184313275"/>
      <w:bookmarkEnd w:id="34"/>
      <w:bookmarkStart w:id="35" w:name="_Toc184308073"/>
      <w:bookmarkEnd w:id="35"/>
      <w:bookmarkStart w:id="36" w:name="_Toc184308099"/>
      <w:bookmarkEnd w:id="36"/>
      <w:bookmarkStart w:id="37" w:name="_Toc184312136"/>
      <w:bookmarkEnd w:id="37"/>
      <w:bookmarkStart w:id="38" w:name="_Toc184314443"/>
      <w:bookmarkEnd w:id="38"/>
      <w:bookmarkStart w:id="39" w:name="_Toc184308079"/>
      <w:bookmarkEnd w:id="39"/>
      <w:bookmarkStart w:id="40" w:name="_Toc184308084"/>
      <w:bookmarkEnd w:id="40"/>
      <w:bookmarkStart w:id="41" w:name="_Toc184314459"/>
      <w:bookmarkEnd w:id="41"/>
      <w:bookmarkStart w:id="42" w:name="_Toc184312135"/>
      <w:bookmarkEnd w:id="42"/>
      <w:bookmarkStart w:id="43" w:name="_Toc184312077"/>
      <w:bookmarkEnd w:id="43"/>
      <w:bookmarkStart w:id="44" w:name="_Toc184312068"/>
      <w:bookmarkEnd w:id="44"/>
      <w:bookmarkStart w:id="45" w:name="_Toc184313269"/>
      <w:bookmarkEnd w:id="45"/>
      <w:bookmarkStart w:id="46" w:name="_Toc184314470"/>
      <w:bookmarkEnd w:id="46"/>
      <w:bookmarkStart w:id="47" w:name="_Toc184310312"/>
      <w:bookmarkEnd w:id="47"/>
      <w:bookmarkStart w:id="48" w:name="_Toc184313263"/>
      <w:bookmarkEnd w:id="48"/>
      <w:bookmarkStart w:id="49" w:name="_Toc184314437"/>
      <w:bookmarkEnd w:id="49"/>
      <w:bookmarkStart w:id="50" w:name="_Toc184310296"/>
      <w:bookmarkEnd w:id="50"/>
      <w:bookmarkStart w:id="51" w:name="_Toc184310309"/>
      <w:bookmarkEnd w:id="51"/>
      <w:bookmarkStart w:id="52" w:name="_Toc184312114"/>
      <w:bookmarkEnd w:id="52"/>
      <w:bookmarkStart w:id="53" w:name="_Toc184313301"/>
      <w:bookmarkEnd w:id="53"/>
      <w:bookmarkStart w:id="54" w:name="_Toc184312107"/>
      <w:bookmarkEnd w:id="54"/>
      <w:bookmarkStart w:id="55" w:name="_Toc184308054"/>
      <w:bookmarkEnd w:id="55"/>
      <w:bookmarkStart w:id="56" w:name="_Toc184310301"/>
      <w:bookmarkEnd w:id="56"/>
      <w:bookmarkStart w:id="57" w:name="_Toc184312069"/>
      <w:bookmarkEnd w:id="57"/>
      <w:bookmarkStart w:id="58" w:name="_Toc184308036"/>
      <w:bookmarkEnd w:id="58"/>
      <w:bookmarkStart w:id="59" w:name="_Toc184310311"/>
      <w:bookmarkEnd w:id="59"/>
      <w:bookmarkStart w:id="60" w:name="_Toc184312087"/>
      <w:bookmarkEnd w:id="60"/>
      <w:bookmarkStart w:id="61" w:name="_Toc184312101"/>
      <w:bookmarkEnd w:id="61"/>
      <w:bookmarkStart w:id="62" w:name="_Toc184308087"/>
      <w:bookmarkEnd w:id="62"/>
      <w:bookmarkStart w:id="63" w:name="_Toc184312118"/>
      <w:bookmarkEnd w:id="63"/>
      <w:bookmarkStart w:id="64" w:name="_Toc184312074"/>
      <w:bookmarkEnd w:id="64"/>
      <w:bookmarkStart w:id="65" w:name="_Toc184314480"/>
      <w:bookmarkEnd w:id="65"/>
      <w:bookmarkStart w:id="66" w:name="_Toc184310284"/>
      <w:bookmarkEnd w:id="66"/>
      <w:bookmarkStart w:id="67" w:name="_Toc184312121"/>
      <w:bookmarkEnd w:id="67"/>
      <w:bookmarkStart w:id="68" w:name="_Toc184310337"/>
      <w:bookmarkEnd w:id="68"/>
      <w:bookmarkStart w:id="69" w:name="_Toc184312102"/>
      <w:bookmarkEnd w:id="69"/>
      <w:bookmarkStart w:id="70" w:name="_Toc184313286"/>
      <w:bookmarkEnd w:id="70"/>
      <w:bookmarkStart w:id="71" w:name="_Toc184308108"/>
      <w:bookmarkEnd w:id="71"/>
      <w:bookmarkStart w:id="72" w:name="_Toc184312082"/>
      <w:bookmarkEnd w:id="72"/>
      <w:bookmarkStart w:id="73" w:name="_Toc184310313"/>
      <w:bookmarkEnd w:id="73"/>
      <w:bookmarkStart w:id="74" w:name="_Toc184310314"/>
      <w:bookmarkEnd w:id="74"/>
      <w:bookmarkStart w:id="75" w:name="_Toc184310300"/>
      <w:bookmarkEnd w:id="75"/>
      <w:bookmarkStart w:id="76" w:name="_Toc184314413"/>
      <w:bookmarkEnd w:id="76"/>
      <w:bookmarkStart w:id="77" w:name="_Toc184312124"/>
      <w:bookmarkEnd w:id="77"/>
      <w:bookmarkStart w:id="78" w:name="_Toc184308038"/>
      <w:bookmarkEnd w:id="78"/>
      <w:bookmarkStart w:id="79" w:name="_Toc184312103"/>
      <w:bookmarkEnd w:id="79"/>
      <w:bookmarkStart w:id="80" w:name="_Toc184313310"/>
      <w:bookmarkEnd w:id="80"/>
      <w:bookmarkStart w:id="81" w:name="_Toc184314464"/>
      <w:bookmarkEnd w:id="81"/>
      <w:bookmarkStart w:id="82" w:name="_Toc184313278"/>
      <w:bookmarkEnd w:id="82"/>
      <w:bookmarkStart w:id="83" w:name="_Toc184314456"/>
      <w:bookmarkEnd w:id="83"/>
      <w:bookmarkStart w:id="84" w:name="_Toc184313245"/>
      <w:bookmarkEnd w:id="84"/>
      <w:bookmarkStart w:id="85" w:name="_Toc184313242"/>
      <w:bookmarkEnd w:id="85"/>
      <w:bookmarkStart w:id="86" w:name="_Toc184312126"/>
      <w:bookmarkEnd w:id="86"/>
      <w:bookmarkStart w:id="87" w:name="_Toc184313307"/>
      <w:bookmarkEnd w:id="87"/>
      <w:bookmarkStart w:id="88" w:name="_Toc184314446"/>
      <w:bookmarkEnd w:id="88"/>
      <w:bookmarkStart w:id="89" w:name="_Toc184312106"/>
      <w:bookmarkEnd w:id="89"/>
      <w:bookmarkStart w:id="90" w:name="_Toc184308097"/>
      <w:bookmarkEnd w:id="90"/>
      <w:bookmarkStart w:id="91" w:name="_Toc184308068"/>
      <w:bookmarkEnd w:id="91"/>
      <w:bookmarkStart w:id="92" w:name="_Toc184314478"/>
      <w:bookmarkEnd w:id="92"/>
      <w:bookmarkStart w:id="93" w:name="_Toc184310278"/>
      <w:bookmarkEnd w:id="93"/>
      <w:bookmarkStart w:id="94" w:name="_Toc184312119"/>
      <w:bookmarkEnd w:id="94"/>
      <w:bookmarkStart w:id="95" w:name="_Toc184310320"/>
      <w:bookmarkEnd w:id="95"/>
      <w:bookmarkStart w:id="96" w:name="_Toc184310279"/>
      <w:bookmarkEnd w:id="96"/>
      <w:bookmarkStart w:id="97" w:name="_Toc184313289"/>
      <w:bookmarkEnd w:id="97"/>
      <w:bookmarkStart w:id="98" w:name="_Toc184314432"/>
      <w:bookmarkEnd w:id="98"/>
      <w:bookmarkStart w:id="99" w:name="_Toc184310292"/>
      <w:bookmarkEnd w:id="99"/>
      <w:bookmarkStart w:id="100" w:name="_Toc184312111"/>
      <w:bookmarkEnd w:id="100"/>
      <w:bookmarkStart w:id="101" w:name="_Toc184308047"/>
      <w:bookmarkEnd w:id="101"/>
      <w:bookmarkStart w:id="102" w:name="_Toc184310306"/>
      <w:bookmarkEnd w:id="102"/>
      <w:bookmarkStart w:id="103" w:name="_Toc184310275"/>
      <w:bookmarkEnd w:id="103"/>
      <w:bookmarkStart w:id="104" w:name="_Toc184308046"/>
      <w:bookmarkEnd w:id="104"/>
      <w:bookmarkStart w:id="105" w:name="_Toc184308104"/>
      <w:bookmarkEnd w:id="105"/>
      <w:bookmarkStart w:id="106" w:name="_Toc184310318"/>
      <w:bookmarkEnd w:id="106"/>
      <w:bookmarkStart w:id="107" w:name="_Toc184308059"/>
      <w:bookmarkEnd w:id="107"/>
      <w:bookmarkStart w:id="108" w:name="_Toc184312131"/>
      <w:bookmarkEnd w:id="108"/>
      <w:bookmarkStart w:id="109" w:name="_Toc184310329"/>
      <w:bookmarkEnd w:id="109"/>
      <w:bookmarkStart w:id="110" w:name="_Toc184310332"/>
      <w:bookmarkEnd w:id="110"/>
      <w:bookmarkStart w:id="111" w:name="_Toc184313299"/>
      <w:bookmarkEnd w:id="111"/>
      <w:bookmarkStart w:id="112" w:name="_Toc184310327"/>
      <w:bookmarkEnd w:id="112"/>
      <w:bookmarkStart w:id="113" w:name="_Toc184314467"/>
      <w:bookmarkEnd w:id="113"/>
      <w:bookmarkStart w:id="114" w:name="_Toc184310328"/>
      <w:bookmarkEnd w:id="114"/>
      <w:bookmarkStart w:id="115" w:name="_Toc184308050"/>
      <w:bookmarkEnd w:id="115"/>
      <w:bookmarkStart w:id="116" w:name="_Toc184308063"/>
      <w:bookmarkEnd w:id="116"/>
      <w:bookmarkStart w:id="117" w:name="_Toc184314477"/>
      <w:bookmarkEnd w:id="117"/>
      <w:bookmarkStart w:id="118" w:name="_Toc184308074"/>
      <w:bookmarkEnd w:id="118"/>
      <w:bookmarkStart w:id="119" w:name="_Toc184312093"/>
      <w:bookmarkEnd w:id="119"/>
      <w:bookmarkStart w:id="120" w:name="_Toc184314410"/>
      <w:bookmarkEnd w:id="120"/>
      <w:bookmarkStart w:id="121" w:name="_Toc184314454"/>
      <w:bookmarkEnd w:id="121"/>
      <w:bookmarkStart w:id="122" w:name="_Toc184313283"/>
      <w:bookmarkEnd w:id="122"/>
      <w:bookmarkStart w:id="123" w:name="_Toc184314427"/>
      <w:bookmarkEnd w:id="123"/>
      <w:bookmarkStart w:id="124" w:name="_Toc184310315"/>
      <w:bookmarkEnd w:id="124"/>
      <w:bookmarkStart w:id="125" w:name="_Toc184313268"/>
      <w:bookmarkEnd w:id="125"/>
      <w:bookmarkStart w:id="126" w:name="_Toc184314416"/>
      <w:bookmarkEnd w:id="126"/>
      <w:bookmarkStart w:id="127" w:name="_Toc184314462"/>
      <w:bookmarkEnd w:id="127"/>
      <w:bookmarkStart w:id="128" w:name="_Toc184314433"/>
      <w:bookmarkEnd w:id="128"/>
      <w:bookmarkStart w:id="129" w:name="_Toc184312081"/>
      <w:bookmarkEnd w:id="129"/>
      <w:bookmarkStart w:id="130" w:name="_Toc184314424"/>
      <w:bookmarkEnd w:id="130"/>
      <w:bookmarkStart w:id="131" w:name="_Toc184310316"/>
      <w:bookmarkEnd w:id="131"/>
      <w:bookmarkStart w:id="132" w:name="_Toc184313309"/>
      <w:bookmarkEnd w:id="132"/>
      <w:bookmarkStart w:id="133" w:name="_Toc184313292"/>
      <w:bookmarkEnd w:id="133"/>
      <w:bookmarkStart w:id="134" w:name="_Toc184314441"/>
      <w:bookmarkEnd w:id="134"/>
      <w:bookmarkStart w:id="135" w:name="_Toc184312094"/>
      <w:bookmarkEnd w:id="135"/>
      <w:bookmarkStart w:id="136" w:name="_Toc184313273"/>
      <w:bookmarkEnd w:id="136"/>
      <w:bookmarkStart w:id="137" w:name="_Toc184314430"/>
      <w:bookmarkEnd w:id="137"/>
      <w:bookmarkStart w:id="138" w:name="_Toc184310276"/>
      <w:bookmarkEnd w:id="138"/>
      <w:bookmarkStart w:id="139" w:name="_Toc184313260"/>
      <w:bookmarkEnd w:id="139"/>
      <w:bookmarkStart w:id="140" w:name="_Toc184313296"/>
      <w:bookmarkEnd w:id="140"/>
      <w:bookmarkStart w:id="141" w:name="_Toc184308055"/>
      <w:bookmarkEnd w:id="141"/>
      <w:bookmarkStart w:id="142" w:name="_Toc184314419"/>
      <w:bookmarkEnd w:id="142"/>
      <w:bookmarkStart w:id="143" w:name="_Toc184314448"/>
      <w:bookmarkEnd w:id="143"/>
      <w:bookmarkStart w:id="144" w:name="_Toc184314471"/>
      <w:bookmarkEnd w:id="144"/>
      <w:bookmarkStart w:id="145" w:name="_Toc184313276"/>
      <w:bookmarkEnd w:id="145"/>
      <w:bookmarkStart w:id="146" w:name="_Toc184308080"/>
      <w:bookmarkEnd w:id="146"/>
      <w:bookmarkStart w:id="147" w:name="_Toc184310282"/>
      <w:bookmarkEnd w:id="147"/>
      <w:bookmarkStart w:id="148" w:name="_Toc184314429"/>
      <w:bookmarkEnd w:id="148"/>
      <w:bookmarkStart w:id="149" w:name="_Toc184308039"/>
      <w:bookmarkEnd w:id="149"/>
      <w:bookmarkStart w:id="150" w:name="_Toc184308051"/>
      <w:bookmarkEnd w:id="150"/>
      <w:bookmarkStart w:id="151" w:name="_Toc184313247"/>
      <w:bookmarkEnd w:id="151"/>
      <w:bookmarkStart w:id="152" w:name="_Toc184308062"/>
      <w:bookmarkEnd w:id="152"/>
      <w:bookmarkStart w:id="153" w:name="_Toc184310289"/>
      <w:bookmarkEnd w:id="153"/>
      <w:bookmarkStart w:id="154" w:name="_Toc184313305"/>
      <w:bookmarkEnd w:id="154"/>
      <w:bookmarkStart w:id="155" w:name="_Toc184312127"/>
      <w:bookmarkEnd w:id="155"/>
      <w:bookmarkStart w:id="156" w:name="_Toc184313298"/>
      <w:bookmarkEnd w:id="156"/>
      <w:bookmarkStart w:id="157" w:name="_Toc184312134"/>
      <w:bookmarkEnd w:id="157"/>
      <w:bookmarkStart w:id="158" w:name="_Toc184308075"/>
      <w:bookmarkEnd w:id="158"/>
      <w:bookmarkStart w:id="159" w:name="_Toc184312112"/>
      <w:bookmarkEnd w:id="159"/>
      <w:bookmarkStart w:id="160" w:name="_Toc184310333"/>
      <w:bookmarkEnd w:id="160"/>
      <w:bookmarkStart w:id="161" w:name="_Toc184314425"/>
      <w:bookmarkEnd w:id="161"/>
      <w:bookmarkStart w:id="162" w:name="_Toc184312110"/>
      <w:bookmarkEnd w:id="162"/>
      <w:bookmarkStart w:id="163" w:name="_Toc184314426"/>
      <w:bookmarkEnd w:id="163"/>
      <w:bookmarkStart w:id="164" w:name="_Toc184310344"/>
      <w:bookmarkEnd w:id="164"/>
      <w:bookmarkStart w:id="165" w:name="_Toc184312116"/>
      <w:bookmarkEnd w:id="165"/>
      <w:bookmarkStart w:id="166" w:name="_Toc184313294"/>
      <w:bookmarkEnd w:id="166"/>
      <w:bookmarkStart w:id="167" w:name="_Toc184310298"/>
      <w:bookmarkEnd w:id="167"/>
      <w:bookmarkStart w:id="168" w:name="_Toc184313249"/>
      <w:bookmarkEnd w:id="168"/>
      <w:bookmarkStart w:id="169" w:name="_Toc184310274"/>
      <w:bookmarkEnd w:id="169"/>
      <w:bookmarkStart w:id="170" w:name="_Toc184312083"/>
      <w:bookmarkEnd w:id="170"/>
      <w:bookmarkStart w:id="171" w:name="_Toc184310331"/>
      <w:bookmarkEnd w:id="171"/>
      <w:bookmarkStart w:id="172" w:name="_Toc184310339"/>
      <w:bookmarkEnd w:id="172"/>
      <w:bookmarkStart w:id="173" w:name="_Toc184314466"/>
      <w:bookmarkEnd w:id="173"/>
      <w:bookmarkStart w:id="174" w:name="_Toc184313257"/>
      <w:bookmarkEnd w:id="174"/>
      <w:bookmarkStart w:id="175" w:name="_Toc184314479"/>
      <w:bookmarkEnd w:id="175"/>
      <w:bookmarkStart w:id="176" w:name="_Toc184312137"/>
      <w:bookmarkEnd w:id="176"/>
      <w:bookmarkStart w:id="177" w:name="_Toc184312076"/>
      <w:bookmarkEnd w:id="177"/>
      <w:bookmarkStart w:id="178" w:name="_Toc184312085"/>
      <w:bookmarkEnd w:id="178"/>
      <w:bookmarkStart w:id="179" w:name="_Toc184310324"/>
      <w:bookmarkEnd w:id="179"/>
      <w:bookmarkStart w:id="180" w:name="_Toc184314468"/>
      <w:bookmarkEnd w:id="180"/>
      <w:bookmarkStart w:id="181" w:name="_Toc184308070"/>
      <w:bookmarkEnd w:id="181"/>
      <w:bookmarkStart w:id="182" w:name="_Toc184310297"/>
      <w:bookmarkEnd w:id="182"/>
      <w:bookmarkStart w:id="183" w:name="_Toc184313240"/>
      <w:bookmarkEnd w:id="183"/>
      <w:bookmarkStart w:id="184" w:name="_Toc184310293"/>
      <w:bookmarkEnd w:id="184"/>
      <w:bookmarkStart w:id="185" w:name="_Toc184308106"/>
      <w:bookmarkEnd w:id="185"/>
      <w:bookmarkStart w:id="186" w:name="_Toc184308082"/>
      <w:bookmarkEnd w:id="186"/>
      <w:bookmarkStart w:id="187" w:name="_Toc184312117"/>
      <w:bookmarkEnd w:id="187"/>
      <w:bookmarkStart w:id="188" w:name="_Toc184310303"/>
      <w:bookmarkEnd w:id="188"/>
      <w:bookmarkStart w:id="189" w:name="_Toc184308067"/>
      <w:bookmarkEnd w:id="189"/>
      <w:bookmarkStart w:id="190" w:name="_Toc184312105"/>
      <w:bookmarkEnd w:id="190"/>
      <w:bookmarkStart w:id="191" w:name="_Toc184310343"/>
      <w:bookmarkEnd w:id="191"/>
      <w:bookmarkStart w:id="192" w:name="_Toc184314475"/>
      <w:bookmarkEnd w:id="192"/>
      <w:bookmarkStart w:id="193" w:name="_Toc184313290"/>
      <w:bookmarkEnd w:id="193"/>
      <w:bookmarkStart w:id="194" w:name="_Toc184313287"/>
      <w:bookmarkEnd w:id="194"/>
      <w:bookmarkStart w:id="195" w:name="_Toc184314431"/>
      <w:bookmarkEnd w:id="195"/>
      <w:bookmarkStart w:id="196" w:name="_Toc184312090"/>
      <w:bookmarkEnd w:id="196"/>
      <w:bookmarkStart w:id="197" w:name="_Toc184310277"/>
      <w:bookmarkEnd w:id="197"/>
      <w:bookmarkStart w:id="198" w:name="_Toc184313252"/>
      <w:bookmarkEnd w:id="198"/>
      <w:bookmarkStart w:id="199" w:name="_Toc184312108"/>
      <w:bookmarkEnd w:id="199"/>
      <w:bookmarkStart w:id="200" w:name="_Toc184313308"/>
      <w:bookmarkEnd w:id="200"/>
      <w:bookmarkStart w:id="201" w:name="_Toc184313255"/>
      <w:bookmarkEnd w:id="201"/>
      <w:bookmarkStart w:id="202" w:name="_Toc184310288"/>
      <w:bookmarkEnd w:id="202"/>
      <w:bookmarkStart w:id="203" w:name="_Toc184308052"/>
      <w:bookmarkEnd w:id="203"/>
      <w:bookmarkStart w:id="204" w:name="_Toc184314451"/>
      <w:bookmarkEnd w:id="204"/>
      <w:bookmarkStart w:id="205" w:name="_Toc184314418"/>
      <w:bookmarkEnd w:id="205"/>
      <w:bookmarkStart w:id="206" w:name="_Toc184308049"/>
      <w:bookmarkEnd w:id="206"/>
      <w:bookmarkStart w:id="207" w:name="_Toc184313238"/>
      <w:bookmarkEnd w:id="207"/>
      <w:bookmarkStart w:id="208" w:name="_Toc184308088"/>
      <w:bookmarkEnd w:id="208"/>
      <w:bookmarkStart w:id="209" w:name="_Toc184310295"/>
      <w:bookmarkEnd w:id="209"/>
      <w:bookmarkStart w:id="210" w:name="_Toc184312079"/>
      <w:bookmarkEnd w:id="210"/>
      <w:bookmarkStart w:id="211" w:name="_Toc184312072"/>
      <w:bookmarkEnd w:id="211"/>
      <w:bookmarkStart w:id="212" w:name="_Toc184312088"/>
      <w:bookmarkEnd w:id="212"/>
      <w:bookmarkStart w:id="213" w:name="_Toc184313293"/>
      <w:bookmarkEnd w:id="213"/>
      <w:bookmarkStart w:id="214" w:name="_Toc184308060"/>
      <w:bookmarkEnd w:id="214"/>
      <w:bookmarkStart w:id="215" w:name="_Toc184308053"/>
      <w:bookmarkEnd w:id="215"/>
      <w:bookmarkStart w:id="216" w:name="_Toc184308098"/>
      <w:bookmarkEnd w:id="216"/>
      <w:bookmarkStart w:id="217" w:name="_Toc184314423"/>
      <w:bookmarkEnd w:id="217"/>
      <w:bookmarkStart w:id="218" w:name="_Toc184312080"/>
      <w:bookmarkEnd w:id="218"/>
      <w:bookmarkStart w:id="219" w:name="_Toc184314442"/>
      <w:bookmarkEnd w:id="219"/>
      <w:bookmarkStart w:id="220" w:name="_Toc184310310"/>
      <w:bookmarkEnd w:id="220"/>
      <w:bookmarkStart w:id="221" w:name="_Toc184308071"/>
      <w:bookmarkEnd w:id="221"/>
      <w:bookmarkStart w:id="222" w:name="_Toc184312115"/>
      <w:bookmarkEnd w:id="222"/>
      <w:bookmarkStart w:id="223" w:name="_Toc184313250"/>
      <w:bookmarkEnd w:id="223"/>
      <w:bookmarkStart w:id="224" w:name="_Toc184310308"/>
      <w:bookmarkEnd w:id="224"/>
      <w:bookmarkStart w:id="225" w:name="_Toc184313256"/>
      <w:bookmarkEnd w:id="225"/>
      <w:bookmarkStart w:id="226" w:name="_Toc184310340"/>
      <w:bookmarkEnd w:id="226"/>
      <w:bookmarkStart w:id="227" w:name="_Toc184310299"/>
      <w:bookmarkEnd w:id="227"/>
      <w:bookmarkStart w:id="228" w:name="_Toc184310294"/>
      <w:bookmarkEnd w:id="228"/>
      <w:bookmarkStart w:id="229" w:name="_Toc184314461"/>
      <w:bookmarkEnd w:id="229"/>
      <w:bookmarkStart w:id="230" w:name="_Toc184310281"/>
      <w:bookmarkEnd w:id="230"/>
      <w:bookmarkStart w:id="231" w:name="_Toc184308045"/>
      <w:bookmarkEnd w:id="231"/>
      <w:bookmarkStart w:id="232" w:name="_Toc184308093"/>
      <w:bookmarkEnd w:id="232"/>
      <w:bookmarkStart w:id="233" w:name="_Toc184314452"/>
      <w:bookmarkEnd w:id="233"/>
      <w:bookmarkStart w:id="234" w:name="_Toc184313288"/>
      <w:bookmarkEnd w:id="234"/>
      <w:bookmarkStart w:id="235" w:name="_Toc184313253"/>
      <w:bookmarkEnd w:id="235"/>
      <w:bookmarkStart w:id="236" w:name="_Toc184312070"/>
      <w:bookmarkEnd w:id="236"/>
      <w:bookmarkStart w:id="237" w:name="_Toc184310317"/>
      <w:bookmarkEnd w:id="237"/>
      <w:bookmarkStart w:id="238" w:name="_Toc184314463"/>
      <w:bookmarkEnd w:id="238"/>
      <w:bookmarkStart w:id="239" w:name="_Toc184313274"/>
      <w:bookmarkEnd w:id="239"/>
      <w:bookmarkStart w:id="240" w:name="_Toc184312113"/>
      <w:bookmarkEnd w:id="240"/>
      <w:bookmarkStart w:id="241" w:name="_Toc184314469"/>
      <w:bookmarkEnd w:id="241"/>
      <w:bookmarkStart w:id="242" w:name="_Toc184314415"/>
      <w:bookmarkEnd w:id="242"/>
      <w:bookmarkStart w:id="243" w:name="_Toc184312098"/>
      <w:bookmarkEnd w:id="243"/>
      <w:bookmarkStart w:id="244" w:name="_Toc184308090"/>
      <w:bookmarkEnd w:id="244"/>
      <w:bookmarkStart w:id="245" w:name="_Toc184312086"/>
      <w:bookmarkEnd w:id="245"/>
      <w:bookmarkStart w:id="246" w:name="_Toc184314482"/>
      <w:bookmarkEnd w:id="246"/>
      <w:bookmarkStart w:id="247" w:name="_Toc184313302"/>
      <w:bookmarkEnd w:id="247"/>
      <w:bookmarkStart w:id="248" w:name="_Toc184308040"/>
      <w:bookmarkEnd w:id="248"/>
      <w:bookmarkStart w:id="249" w:name="_Toc184313258"/>
      <w:bookmarkEnd w:id="249"/>
      <w:bookmarkStart w:id="250" w:name="_Toc184314465"/>
      <w:bookmarkEnd w:id="250"/>
      <w:bookmarkStart w:id="251" w:name="_Toc184308092"/>
      <w:bookmarkEnd w:id="251"/>
      <w:bookmarkStart w:id="252" w:name="_Toc184313243"/>
      <w:bookmarkEnd w:id="252"/>
      <w:bookmarkStart w:id="253" w:name="_Toc184314457"/>
      <w:bookmarkEnd w:id="253"/>
      <w:bookmarkStart w:id="254" w:name="_Toc184314414"/>
      <w:bookmarkEnd w:id="254"/>
      <w:bookmarkStart w:id="255" w:name="_Toc184314439"/>
      <w:bookmarkEnd w:id="255"/>
      <w:bookmarkStart w:id="256" w:name="_Toc184308037"/>
      <w:bookmarkEnd w:id="256"/>
      <w:bookmarkStart w:id="257" w:name="_Toc184314428"/>
      <w:bookmarkEnd w:id="257"/>
      <w:bookmarkStart w:id="258" w:name="_Toc184310273"/>
      <w:bookmarkEnd w:id="258"/>
      <w:bookmarkStart w:id="259" w:name="_Toc184312100"/>
      <w:bookmarkEnd w:id="259"/>
      <w:bookmarkStart w:id="260" w:name="_Toc184313291"/>
      <w:bookmarkEnd w:id="260"/>
      <w:bookmarkStart w:id="261" w:name="_Toc184308042"/>
      <w:bookmarkEnd w:id="261"/>
      <w:bookmarkStart w:id="262" w:name="_Toc184312095"/>
      <w:bookmarkEnd w:id="262"/>
      <w:bookmarkStart w:id="263" w:name="_Toc184308066"/>
      <w:bookmarkEnd w:id="263"/>
      <w:bookmarkStart w:id="264" w:name="_Toc184313303"/>
      <w:bookmarkEnd w:id="264"/>
      <w:bookmarkStart w:id="265" w:name="_Toc184308095"/>
      <w:bookmarkEnd w:id="265"/>
      <w:bookmarkStart w:id="266" w:name="_Toc184312075"/>
      <w:bookmarkEnd w:id="266"/>
      <w:bookmarkStart w:id="267" w:name="_Toc184308064"/>
      <w:bookmarkEnd w:id="267"/>
      <w:bookmarkStart w:id="268" w:name="_Toc184310286"/>
      <w:bookmarkEnd w:id="268"/>
      <w:bookmarkStart w:id="269" w:name="_Toc184314440"/>
      <w:bookmarkEnd w:id="269"/>
      <w:bookmarkStart w:id="270" w:name="_Toc184313280"/>
      <w:bookmarkEnd w:id="270"/>
      <w:bookmarkStart w:id="271" w:name="_Toc184308065"/>
      <w:bookmarkEnd w:id="271"/>
      <w:bookmarkStart w:id="272" w:name="_Toc184310325"/>
      <w:bookmarkEnd w:id="272"/>
      <w:bookmarkStart w:id="273" w:name="_Toc184312133"/>
      <w:bookmarkEnd w:id="273"/>
      <w:bookmarkStart w:id="274" w:name="_Toc184310307"/>
      <w:bookmarkEnd w:id="274"/>
      <w:bookmarkStart w:id="275" w:name="_Toc184308041"/>
      <w:bookmarkEnd w:id="275"/>
      <w:bookmarkStart w:id="276" w:name="_Toc184312122"/>
      <w:bookmarkEnd w:id="276"/>
      <w:bookmarkStart w:id="277" w:name="_Toc184312128"/>
      <w:bookmarkEnd w:id="277"/>
      <w:bookmarkStart w:id="278" w:name="_Toc184308094"/>
      <w:bookmarkEnd w:id="278"/>
      <w:bookmarkStart w:id="279" w:name="_Toc184308078"/>
      <w:bookmarkEnd w:id="279"/>
      <w:bookmarkStart w:id="280" w:name="_Toc184313295"/>
      <w:bookmarkEnd w:id="280"/>
      <w:bookmarkStart w:id="281" w:name="_Toc184310283"/>
      <w:bookmarkEnd w:id="281"/>
      <w:bookmarkStart w:id="282" w:name="_Toc184312078"/>
      <w:bookmarkEnd w:id="282"/>
      <w:bookmarkStart w:id="283" w:name="_Toc184310280"/>
      <w:bookmarkEnd w:id="283"/>
      <w:bookmarkStart w:id="284" w:name="_Toc184314455"/>
      <w:bookmarkEnd w:id="284"/>
      <w:bookmarkStart w:id="285" w:name="_Toc184308089"/>
      <w:bookmarkEnd w:id="285"/>
      <w:bookmarkStart w:id="286" w:name="_Toc184308043"/>
      <w:bookmarkEnd w:id="286"/>
      <w:bookmarkStart w:id="287" w:name="_Toc184313304"/>
      <w:bookmarkEnd w:id="287"/>
      <w:bookmarkStart w:id="288" w:name="_Toc184313284"/>
      <w:bookmarkEnd w:id="288"/>
      <w:bookmarkStart w:id="289" w:name="_Toc184313271"/>
      <w:bookmarkEnd w:id="289"/>
      <w:bookmarkStart w:id="290" w:name="_Toc184312120"/>
      <w:bookmarkEnd w:id="290"/>
      <w:bookmarkStart w:id="291" w:name="_Toc184314447"/>
      <w:bookmarkEnd w:id="291"/>
      <w:bookmarkStart w:id="292" w:name="_Toc184310323"/>
      <w:bookmarkEnd w:id="292"/>
      <w:bookmarkStart w:id="293" w:name="_Toc184314473"/>
      <w:bookmarkEnd w:id="293"/>
      <w:bookmarkStart w:id="294" w:name="_Toc184314420"/>
      <w:bookmarkEnd w:id="294"/>
      <w:bookmarkStart w:id="295" w:name="_Toc184308096"/>
      <w:bookmarkEnd w:id="295"/>
      <w:bookmarkStart w:id="296" w:name="_Toc184314476"/>
      <w:bookmarkEnd w:id="296"/>
      <w:bookmarkStart w:id="297" w:name="_Toc184312091"/>
      <w:bookmarkEnd w:id="297"/>
      <w:bookmarkStart w:id="298" w:name="_Toc184313297"/>
      <w:bookmarkEnd w:id="298"/>
      <w:bookmarkStart w:id="299" w:name="_Toc184308107"/>
      <w:bookmarkEnd w:id="299"/>
      <w:bookmarkStart w:id="300" w:name="_Toc184312099"/>
      <w:bookmarkEnd w:id="300"/>
      <w:bookmarkStart w:id="301" w:name="_Toc184314436"/>
      <w:bookmarkEnd w:id="301"/>
      <w:bookmarkStart w:id="302" w:name="_Toc184312097"/>
      <w:bookmarkEnd w:id="302"/>
      <w:bookmarkStart w:id="303" w:name="_Toc184314435"/>
      <w:bookmarkEnd w:id="303"/>
      <w:bookmarkStart w:id="304" w:name="_Toc184313239"/>
      <w:bookmarkEnd w:id="304"/>
      <w:bookmarkStart w:id="305" w:name="_Toc184314445"/>
      <w:bookmarkEnd w:id="305"/>
      <w:bookmarkStart w:id="306" w:name="_Toc184314421"/>
      <w:bookmarkEnd w:id="306"/>
      <w:bookmarkStart w:id="307" w:name="_Toc184308077"/>
      <w:bookmarkEnd w:id="307"/>
      <w:bookmarkStart w:id="308" w:name="_Toc184308076"/>
      <w:bookmarkEnd w:id="308"/>
      <w:bookmarkStart w:id="309" w:name="_Toc184314417"/>
      <w:bookmarkEnd w:id="309"/>
      <w:bookmarkStart w:id="310" w:name="_Toc184313254"/>
      <w:bookmarkEnd w:id="310"/>
      <w:bookmarkStart w:id="311" w:name="_Toc184313306"/>
      <w:bookmarkEnd w:id="311"/>
      <w:bookmarkStart w:id="312" w:name="_Toc184312073"/>
      <w:bookmarkEnd w:id="312"/>
      <w:bookmarkStart w:id="313" w:name="_Toc184308048"/>
      <w:bookmarkEnd w:id="313"/>
      <w:bookmarkStart w:id="314" w:name="_Toc184314458"/>
      <w:bookmarkEnd w:id="314"/>
      <w:bookmarkStart w:id="315" w:name="_Toc184312132"/>
      <w:bookmarkEnd w:id="315"/>
      <w:bookmarkStart w:id="316" w:name="_Toc184314453"/>
      <w:bookmarkEnd w:id="316"/>
      <w:bookmarkStart w:id="317" w:name="_Toc184313244"/>
      <w:bookmarkEnd w:id="317"/>
      <w:bookmarkStart w:id="318" w:name="_Toc184314434"/>
      <w:bookmarkEnd w:id="318"/>
      <w:bookmarkStart w:id="319" w:name="_Toc184308086"/>
      <w:bookmarkEnd w:id="319"/>
      <w:bookmarkStart w:id="320" w:name="_Toc184310302"/>
      <w:bookmarkEnd w:id="320"/>
      <w:bookmarkStart w:id="321" w:name="_Toc184313281"/>
      <w:bookmarkEnd w:id="321"/>
      <w:bookmarkStart w:id="322" w:name="_Toc184312092"/>
      <w:bookmarkEnd w:id="322"/>
      <w:bookmarkStart w:id="323" w:name="_Toc184312129"/>
      <w:bookmarkEnd w:id="323"/>
      <w:bookmarkStart w:id="324" w:name="_Toc184312138"/>
      <w:bookmarkEnd w:id="324"/>
      <w:bookmarkStart w:id="325" w:name="_Toc184310272"/>
      <w:bookmarkEnd w:id="325"/>
      <w:bookmarkStart w:id="326" w:name="_Toc184310304"/>
      <w:bookmarkEnd w:id="326"/>
      <w:bookmarkStart w:id="327" w:name="_Toc184312125"/>
      <w:bookmarkEnd w:id="327"/>
      <w:bookmarkStart w:id="328" w:name="_Toc184310319"/>
      <w:bookmarkEnd w:id="328"/>
      <w:bookmarkStart w:id="329" w:name="_Toc184313251"/>
      <w:bookmarkEnd w:id="329"/>
      <w:bookmarkStart w:id="330" w:name="_Toc184308069"/>
      <w:bookmarkEnd w:id="330"/>
      <w:bookmarkStart w:id="331" w:name="_Toc184313259"/>
      <w:bookmarkEnd w:id="331"/>
      <w:bookmarkStart w:id="332" w:name="_Toc184310336"/>
      <w:bookmarkEnd w:id="332"/>
      <w:bookmarkStart w:id="333" w:name="_Toc184312109"/>
      <w:bookmarkEnd w:id="333"/>
      <w:bookmarkStart w:id="334" w:name="_Toc184314411"/>
      <w:bookmarkEnd w:id="334"/>
      <w:bookmarkStart w:id="335" w:name="_Toc184308100"/>
      <w:bookmarkEnd w:id="335"/>
      <w:bookmarkStart w:id="336" w:name="_Toc184313264"/>
      <w:bookmarkEnd w:id="336"/>
      <w:bookmarkStart w:id="337" w:name="_Toc184313246"/>
      <w:bookmarkEnd w:id="337"/>
      <w:bookmarkStart w:id="338" w:name="_Toc184314422"/>
      <w:bookmarkEnd w:id="338"/>
      <w:bookmarkStart w:id="339" w:name="_Toc184313285"/>
      <w:bookmarkEnd w:id="339"/>
      <w:bookmarkStart w:id="340" w:name="_Toc184308044"/>
      <w:bookmarkEnd w:id="340"/>
      <w:bookmarkStart w:id="341" w:name="_Toc184312104"/>
      <w:bookmarkEnd w:id="341"/>
      <w:bookmarkStart w:id="342" w:name="_Toc184313265"/>
      <w:bookmarkEnd w:id="342"/>
      <w:bookmarkStart w:id="343" w:name="_Toc184308056"/>
      <w:bookmarkEnd w:id="343"/>
      <w:bookmarkStart w:id="344" w:name="_Toc184310287"/>
      <w:bookmarkEnd w:id="344"/>
      <w:bookmarkStart w:id="345" w:name="_Toc184308061"/>
      <w:bookmarkEnd w:id="345"/>
      <w:bookmarkStart w:id="346" w:name="_Toc184313248"/>
      <w:bookmarkEnd w:id="346"/>
      <w:bookmarkStart w:id="347" w:name="_Toc184310291"/>
      <w:bookmarkEnd w:id="347"/>
      <w:bookmarkStart w:id="348" w:name="_Toc184308085"/>
      <w:bookmarkEnd w:id="348"/>
      <w:bookmarkStart w:id="349" w:name="_Toc184312139"/>
      <w:bookmarkEnd w:id="349"/>
      <w:bookmarkStart w:id="350" w:name="_Toc184310338"/>
      <w:bookmarkEnd w:id="350"/>
      <w:bookmarkStart w:id="351" w:name="_Toc184308072"/>
      <w:bookmarkEnd w:id="351"/>
      <w:bookmarkStart w:id="352" w:name="_Toc184313277"/>
      <w:bookmarkEnd w:id="352"/>
      <w:bookmarkStart w:id="353" w:name="_Toc184312130"/>
      <w:bookmarkEnd w:id="353"/>
      <w:bookmarkStart w:id="354" w:name="_Toc184310334"/>
      <w:bookmarkEnd w:id="354"/>
      <w:bookmarkStart w:id="355" w:name="_Toc184308102"/>
      <w:bookmarkEnd w:id="355"/>
      <w:bookmarkStart w:id="356" w:name="_Toc184310342"/>
      <w:bookmarkEnd w:id="356"/>
      <w:bookmarkStart w:id="357" w:name="_Toc184312089"/>
      <w:bookmarkEnd w:id="357"/>
      <w:bookmarkStart w:id="358" w:name="_Toc184314438"/>
      <w:bookmarkEnd w:id="358"/>
      <w:bookmarkStart w:id="359" w:name="_Toc184308101"/>
      <w:bookmarkEnd w:id="359"/>
      <w:bookmarkStart w:id="360" w:name="_Toc184308091"/>
      <w:bookmarkEnd w:id="360"/>
      <w:bookmarkStart w:id="361" w:name="_Toc184314474"/>
      <w:bookmarkEnd w:id="361"/>
      <w:bookmarkStart w:id="362" w:name="_Toc184314444"/>
      <w:bookmarkEnd w:id="362"/>
      <w:bookmarkStart w:id="363" w:name="_Toc184313241"/>
      <w:bookmarkEnd w:id="363"/>
      <w:bookmarkStart w:id="364" w:name="_Toc184308081"/>
      <w:bookmarkEnd w:id="364"/>
      <w:bookmarkStart w:id="365" w:name="_Toc184313282"/>
      <w:bookmarkEnd w:id="365"/>
      <w:bookmarkStart w:id="366" w:name="_Toc184313266"/>
      <w:bookmarkEnd w:id="366"/>
      <w:bookmarkStart w:id="367" w:name="_Toc184314450"/>
      <w:bookmarkEnd w:id="367"/>
      <w:bookmarkStart w:id="368" w:name="_Toc184310335"/>
      <w:bookmarkEnd w:id="368"/>
      <w:bookmarkStart w:id="369" w:name="_Toc184314481"/>
      <w:bookmarkEnd w:id="369"/>
      <w:bookmarkStart w:id="370" w:name="_Toc184313267"/>
      <w:bookmarkEnd w:id="370"/>
      <w:bookmarkStart w:id="371" w:name="_Toc184312096"/>
      <w:bookmarkEnd w:id="371"/>
      <w:bookmarkStart w:id="372" w:name="_Toc184312123"/>
      <w:bookmarkEnd w:id="372"/>
      <w:bookmarkStart w:id="373" w:name="_Toc184310305"/>
      <w:bookmarkEnd w:id="373"/>
      <w:bookmarkStart w:id="374" w:name="_Toc184310290"/>
      <w:bookmarkEnd w:id="374"/>
      <w:bookmarkStart w:id="375" w:name="_Toc184308057"/>
      <w:bookmarkEnd w:id="375"/>
      <w:bookmarkStart w:id="376" w:name="_Toc184310330"/>
      <w:bookmarkEnd w:id="376"/>
      <w:bookmarkStart w:id="377" w:name="_Toc184313300"/>
      <w:bookmarkEnd w:id="377"/>
      <w:bookmarkStart w:id="378" w:name="_Toc184313270"/>
      <w:bookmarkEnd w:id="378"/>
      <w:bookmarkStart w:id="379" w:name="_Toc184314412"/>
      <w:bookmarkEnd w:id="379"/>
      <w:bookmarkStart w:id="380" w:name="_Toc184310322"/>
      <w:bookmarkEnd w:id="380"/>
      <w:bookmarkStart w:id="381" w:name="_Toc184313279"/>
      <w:bookmarkEnd w:id="381"/>
      <w:bookmarkStart w:id="382" w:name="_Toc184312067"/>
      <w:bookmarkEnd w:id="382"/>
      <w:bookmarkStart w:id="383" w:name="_Toc184310341"/>
      <w:bookmarkEnd w:id="383"/>
      <w:bookmarkStart w:id="384" w:name="_Toc184308058"/>
      <w:bookmarkEnd w:id="384"/>
      <w:bookmarkStart w:id="385" w:name="_Toc184310321"/>
      <w:bookmarkEnd w:id="385"/>
      <w:bookmarkStart w:id="386" w:name="_Toc184312084"/>
      <w:bookmarkEnd w:id="386"/>
      <w:bookmarkStart w:id="387" w:name="_Toc184314460"/>
      <w:bookmarkEnd w:id="387"/>
      <w:bookmarkStart w:id="388" w:name="_Toc184310326"/>
      <w:bookmarkEnd w:id="388"/>
      <w:bookmarkStart w:id="389" w:name="_Toc184313262"/>
      <w:bookmarkEnd w:id="389"/>
      <w:bookmarkStart w:id="390" w:name="_Toc184312071"/>
      <w:bookmarkEnd w:id="390"/>
      <w:bookmarkStart w:id="391" w:name="_Toc184313272"/>
      <w:bookmarkEnd w:id="391"/>
      <w:bookmarkStart w:id="392" w:name="_Toc184308083"/>
      <w:bookmarkEnd w:id="392"/>
      <w:bookmarkStart w:id="393" w:name="_Toc184308105"/>
      <w:bookmarkEnd w:id="393"/>
      <w:bookmarkStart w:id="394" w:name="_Toc184308103"/>
      <w:bookmarkEnd w:id="394"/>
      <w:bookmarkStart w:id="395" w:name="_Toc184313261"/>
      <w:bookmarkEnd w:id="395"/>
      <w:bookmarkStart w:id="396" w:name="_Toc184314449"/>
      <w:bookmarkEnd w:id="396"/>
      <w:bookmarkStart w:id="397" w:name="_Toc184314472"/>
      <w:bookmarkEnd w:id="397"/>
      <w:r>
        <w:rPr>
          <w:rFonts w:hint="eastAsia" w:ascii="仿宋" w:hAnsi="仿宋" w:eastAsia="仿宋" w:cs="仿宋"/>
          <w:b/>
          <w:color w:val="auto"/>
          <w:sz w:val="36"/>
          <w:szCs w:val="36"/>
          <w:highlight w:val="none"/>
        </w:rPr>
        <w:t>评标办法</w:t>
      </w:r>
    </w:p>
    <w:p>
      <w:pPr>
        <w:rPr>
          <w:rFonts w:hint="eastAsia" w:ascii="仿宋" w:hAnsi="仿宋" w:eastAsia="仿宋" w:cs="仿宋"/>
          <w:b/>
          <w:highlight w:val="none"/>
        </w:rPr>
      </w:pPr>
      <w:r>
        <w:rPr>
          <w:rFonts w:hint="eastAsia" w:ascii="仿宋" w:hAnsi="仿宋" w:eastAsia="仿宋" w:cs="仿宋"/>
          <w:b/>
          <w:highlight w:val="none"/>
        </w:rPr>
        <w:t>商务技术分（</w:t>
      </w:r>
      <w:r>
        <w:rPr>
          <w:rFonts w:hint="eastAsia" w:ascii="仿宋" w:hAnsi="仿宋" w:eastAsia="仿宋" w:cs="仿宋"/>
          <w:b/>
          <w:highlight w:val="none"/>
          <w:lang w:val="en-US" w:eastAsia="zh-CN"/>
        </w:rPr>
        <w:t>90</w:t>
      </w:r>
      <w:r>
        <w:rPr>
          <w:rFonts w:hint="eastAsia" w:ascii="仿宋" w:hAnsi="仿宋" w:eastAsia="仿宋" w:cs="仿宋"/>
          <w:b/>
          <w:highlight w:val="none"/>
        </w:rPr>
        <w:t>分）</w:t>
      </w:r>
    </w:p>
    <w:tbl>
      <w:tblPr>
        <w:tblStyle w:val="6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551"/>
        <w:gridCol w:w="6426"/>
        <w:gridCol w:w="81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spacing w:after="0"/>
              <w:jc w:val="center"/>
              <w:rPr>
                <w:rFonts w:hint="eastAsia" w:ascii="仿宋" w:hAnsi="仿宋" w:eastAsia="仿宋" w:cs="仿宋"/>
                <w:highlight w:val="none"/>
              </w:rPr>
            </w:pPr>
          </w:p>
        </w:tc>
        <w:tc>
          <w:tcPr>
            <w:tcW w:w="551" w:type="dxa"/>
            <w:vAlign w:val="center"/>
          </w:tcPr>
          <w:p>
            <w:pPr>
              <w:spacing w:after="0"/>
              <w:jc w:val="center"/>
              <w:rPr>
                <w:rFonts w:hint="eastAsia" w:ascii="仿宋" w:hAnsi="仿宋" w:eastAsia="仿宋" w:cs="仿宋"/>
                <w:highlight w:val="none"/>
              </w:rPr>
            </w:pPr>
            <w:r>
              <w:rPr>
                <w:rFonts w:hint="eastAsia" w:ascii="仿宋" w:hAnsi="仿宋" w:eastAsia="仿宋" w:cs="仿宋"/>
                <w:highlight w:val="none"/>
              </w:rPr>
              <w:t>序号</w:t>
            </w:r>
          </w:p>
        </w:tc>
        <w:tc>
          <w:tcPr>
            <w:tcW w:w="6426" w:type="dxa"/>
            <w:vAlign w:val="center"/>
          </w:tcPr>
          <w:p>
            <w:pPr>
              <w:spacing w:after="0"/>
              <w:jc w:val="center"/>
              <w:rPr>
                <w:rFonts w:hint="eastAsia" w:ascii="仿宋" w:hAnsi="仿宋" w:eastAsia="仿宋" w:cs="仿宋"/>
                <w:highlight w:val="none"/>
              </w:rPr>
            </w:pPr>
            <w:r>
              <w:rPr>
                <w:rFonts w:hint="eastAsia" w:ascii="仿宋" w:hAnsi="仿宋" w:eastAsia="仿宋" w:cs="仿宋"/>
                <w:highlight w:val="none"/>
              </w:rPr>
              <w:t>评分内容和标准</w:t>
            </w:r>
          </w:p>
        </w:tc>
        <w:tc>
          <w:tcPr>
            <w:tcW w:w="816" w:type="dxa"/>
            <w:vAlign w:val="center"/>
          </w:tcPr>
          <w:p>
            <w:pPr>
              <w:spacing w:after="0"/>
              <w:jc w:val="center"/>
              <w:rPr>
                <w:rFonts w:hint="eastAsia" w:ascii="仿宋" w:hAnsi="仿宋" w:eastAsia="仿宋" w:cs="仿宋"/>
                <w:highlight w:val="none"/>
              </w:rPr>
            </w:pPr>
            <w:r>
              <w:rPr>
                <w:rFonts w:hint="eastAsia" w:ascii="仿宋" w:hAnsi="仿宋" w:eastAsia="仿宋" w:cs="仿宋"/>
                <w:highlight w:val="none"/>
              </w:rPr>
              <w:t>分值区间</w:t>
            </w:r>
          </w:p>
        </w:tc>
        <w:tc>
          <w:tcPr>
            <w:tcW w:w="843" w:type="dxa"/>
            <w:vAlign w:val="center"/>
          </w:tcPr>
          <w:p>
            <w:pPr>
              <w:spacing w:after="0"/>
              <w:jc w:val="center"/>
              <w:rPr>
                <w:rFonts w:hint="eastAsia" w:ascii="仿宋" w:hAnsi="仿宋" w:eastAsia="仿宋" w:cs="仿宋"/>
                <w:highlight w:val="none"/>
              </w:rPr>
            </w:pPr>
            <w:r>
              <w:rPr>
                <w:rFonts w:hint="eastAsia" w:ascii="仿宋" w:hAnsi="仿宋" w:eastAsia="仿宋" w:cs="仿宋"/>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spacing w:after="0"/>
              <w:jc w:val="center"/>
              <w:rPr>
                <w:rFonts w:hint="eastAsia" w:ascii="仿宋" w:hAnsi="仿宋" w:eastAsia="仿宋" w:cs="仿宋"/>
                <w:highlight w:val="none"/>
                <w:lang w:eastAsia="zh-CN"/>
              </w:rPr>
            </w:pPr>
            <w:r>
              <w:rPr>
                <w:rFonts w:hint="eastAsia" w:ascii="仿宋" w:hAnsi="仿宋" w:eastAsia="仿宋" w:cs="仿宋"/>
                <w:highlight w:val="none"/>
              </w:rPr>
              <w:t>商务资信分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9分</w:t>
            </w:r>
            <w:r>
              <w:rPr>
                <w:rFonts w:hint="eastAsia" w:ascii="仿宋" w:hAnsi="仿宋" w:eastAsia="仿宋" w:cs="仿宋"/>
                <w:highlight w:val="none"/>
                <w:lang w:eastAsia="zh-CN"/>
              </w:rPr>
              <w:t>）</w:t>
            </w:r>
          </w:p>
        </w:tc>
        <w:tc>
          <w:tcPr>
            <w:tcW w:w="551" w:type="dxa"/>
            <w:vAlign w:val="center"/>
          </w:tcPr>
          <w:p>
            <w:pPr>
              <w:pStyle w:val="258"/>
              <w:numPr>
                <w:ilvl w:val="0"/>
                <w:numId w:val="1"/>
              </w:numPr>
              <w:spacing w:after="0"/>
              <w:jc w:val="center"/>
              <w:rPr>
                <w:rFonts w:hint="eastAsia" w:ascii="仿宋" w:hAnsi="仿宋" w:eastAsia="仿宋" w:cs="仿宋"/>
                <w:highlight w:val="none"/>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类似项目实施业绩：投标人自2022年1月1日(含)以来(时间以合同签订时间为准)承担过类似绿化养护业绩，每提供1个得0.5分，本项最多得1分;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【注:需同时提供中标结果网页截图、中标通知书及合同复印件、并加盖公章]</w:t>
            </w:r>
          </w:p>
        </w:tc>
        <w:tc>
          <w:tcPr>
            <w:tcW w:w="816" w:type="dxa"/>
            <w:vAlign w:val="center"/>
          </w:tcPr>
          <w:p>
            <w:pPr>
              <w:spacing w:after="0"/>
              <w:ind w:left="194" w:hanging="194" w:hangingChars="81"/>
              <w:jc w:val="center"/>
              <w:rPr>
                <w:rFonts w:hint="eastAsia" w:ascii="仿宋" w:hAnsi="仿宋" w:eastAsia="仿宋" w:cs="仿宋"/>
                <w:highlight w:val="none"/>
                <w:lang w:val="en-US" w:eastAsia="zh-CN"/>
              </w:rPr>
            </w:pPr>
            <w:r>
              <w:rPr>
                <w:rFonts w:hint="eastAsia" w:ascii="仿宋" w:hAnsi="仿宋" w:eastAsia="仿宋" w:cs="仿宋"/>
                <w:color w:val="000000"/>
                <w:sz w:val="24"/>
                <w:highlight w:val="none"/>
              </w:rPr>
              <w:t>0-</w:t>
            </w:r>
            <w:r>
              <w:rPr>
                <w:rFonts w:hint="eastAsia" w:ascii="仿宋" w:hAnsi="仿宋" w:eastAsia="仿宋" w:cs="仿宋"/>
                <w:color w:val="000000"/>
                <w:sz w:val="24"/>
                <w:highlight w:val="none"/>
                <w:lang w:val="en-US" w:eastAsia="zh-CN"/>
              </w:rPr>
              <w:t>1</w:t>
            </w:r>
          </w:p>
        </w:tc>
        <w:tc>
          <w:tcPr>
            <w:tcW w:w="843" w:type="dxa"/>
            <w:vAlign w:val="center"/>
          </w:tcPr>
          <w:p>
            <w:pPr>
              <w:spacing w:after="0"/>
              <w:jc w:val="center"/>
              <w:rPr>
                <w:rFonts w:hint="eastAsia" w:ascii="仿宋" w:hAnsi="仿宋" w:eastAsia="仿宋" w:cs="仿宋"/>
                <w:highlight w:val="none"/>
              </w:rPr>
            </w:pPr>
            <w:r>
              <w:rPr>
                <w:rFonts w:hint="eastAsia" w:ascii="仿宋" w:hAnsi="仿宋" w:eastAsia="仿宋" w:cs="仿宋"/>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人具有质量管理体系认证证书、环境管理体系认证证书、职业健康安全管理体系认证证书、企业诚信管理体系认证证书、社会责任管理体系认证证书、履约能力评价服务认证证书、售后服务完善程度认证证书、安全生产标准化认证证书，且上述每个体系证书认证范围均必需包含“绿化养护"或相关内容的每个得1分，本项最高得8分。(注:需提供全国认证认可信息公共服务平台网站(http://www.cnca.gov.cn/)查询页面截图及体系证书复制件，证书须处于“有效状态，提供不全或不符合要求不得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0-8</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技术服务分（81分）</w:t>
            </w: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绿化养护整体方案，包括:针对本项目详细的年度养护方案(含绿化区域养护进度表)，针对本项目的乔灌木松土、浇水、施肥及乔木复壮方案，针对本项目的修剪整形及清理植物剪枝、枯树、绿地垃圾方案，针对本项目的园林补种方案，绿化计划、施工、养护等资料管理方案。方案针对本项目的实际情况进行具体制定，抓住重点要点，全面、详细、合理，具有针对性得6分;方案针对本项目的实际情况进行具体制定，较为全面、详细、合理，针对性较好得5分:方案与本项目的实际情况针对性一般，重点要点表述一般得3分:方案有缺项或不合理得1分；未提供方案不得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0-6分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道路绿化养护要求提供拟投入的绿化养护人员组织、机具设备、时间安排、不同类别绿化养护解决方案，根据提供的方案内容的完整性、与项目的匹配性进行评分。方案内容完整且与项目匹配度好的得5分；方案内容基本完整且与项目匹配度较好的得4分；方案内容与项目匹配度一般的得3分；方案内容存在欠缺的得2分；方案内容缺失比较严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重点阐述绿化养护病虫害防治、施肥、修剪等关键养护技术措施，常见和园林病害和虫害的特征和防治要点，特殊病害和虫害的特征和防治要点，方案抓住重点要点，全面、详细、合理，具有针对性得5分；方案较为全面、详细、合理，针对性较好得4分；方案表述一般得3分；方案有缺项不合理得1分；未提供方案不得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根据要求制定巡查方案，落实专职巡查人员，建立完善的考核机制，根据提供的方案内容的完整性、与项目的匹配性进行评分。方案内容完整且与项目匹配度好的得5分；方案内容与项目匹配度一般的得4分；方案内容存在欠缺的得3分；方案内容缺失比较严重的得2分；方案内容与项目不匹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平稳交接过渡方案；绿化养护服务平稳过渡交接，制定相关的平稳过渡交接实施措施的合理性，根据提供的内容的完整性、与项目的匹配性进行评分。方案内容完整且与项目匹配度好的得5分；方案内容与项目匹配度一般的得4分；方案内容存在欠缺的得3分；方案内容缺失比较严重的得2分；方案内容与项目不匹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质量保证情况，根据可实现程度、提供优惠等内容，提供的内容的完整性、与项目的匹配性进行评分。方案内容完整且与项目匹配度好的得5分；方案内容与项目匹配度一般的得4分；方案内容存在欠缺的得3分；方案内容缺失比较严重的得2分；方案内容与项目不匹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有完善的自然灾害应急预案(高温干旱、台风内涝、暴雪严寒等)和重大活动(大型活动、节庆假日、创优评优等)保障方案，方案科学合理、具有针对性及可操作性、能圆满完成保障任务情况的得5分;有较为完善的重大活动保障方案、方案较为科学合理、针对性及可操作性较好、能较为圆满完成活动保障任务情况的得4分；重大活动保障方案一般，针对性及可操作性一般，对保障任务保障的可靠性一般得3分;方案有缺项或不合理得1分；未提供方案不得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单位对于本项目养护内容重难点分析；分析内容的完整性、与项目的匹配性进行评分。方案内容完整且与项目匹配度好的得5分；方案内容与项目匹配度一般的得4分；方案内容存在欠缺的得3分；方案内容缺失比较严重的得2分；方案内容与项目不匹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承诺，根据售后服务、措施、响应及本地化服务能力等提供详细方案，根据提供的方案内容的完整性、与项目的匹配性进行评分。方案内容完整且与项目匹配度好的得5分；方案内容与项目匹配度一般的得4分；方案内容存在欠缺的得3分；方案内容缺失比较严重的得2分；方案内容与项目不匹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园林绿化垃圾处置方案:</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提供园林绿化垃圾处置方案，绿化垃圾处置设备处理能力强劲，处置流程完善，废弃物处置绿色环保的，得5分；绿化垃圾处置设备处理能力较好，处置流程齐全，废弃物处置较合理的，得4分；:绿化垃圾处置设备处理能力较差，处置流程不齐全，废弃物处置不规范的，得3分；方案不合理得1.5分；未提供方案不得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单位有完善的的重大活动保障方案，方案科学合理，具有针对性及可操作性，能圆满完成大型活动、节庆假日、创优评优等重大活动保障任务，根据提供的方案内容的完整性、与项目的匹配性进行评分。方案内容完整且与项目匹配度好的得5分；方案内容基本完整且与项目匹配度较好的得4分；方案内容与项目匹配度一般的得3分；方案内容存在欠缺的得2分；方案内容缺失比较严重的得1分。</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养护人员配备方案:</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1、拟派项目负责人同时具有全日制本科及以上学历和政府人社相关部门颁发的中级及以上职称的得2分，项目负责人具有政府主管部门颁发的区级及以上荣誉的得1分，本项最高得3分;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2、拟派技术负责人同时具有本科及以上学历和政府人社相关部门颁发的高级及以上职称的得2分，技术负责人具有政府主管部门颁发的区级及以上荣誉的得1分，本项最高得3分；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3、拟派专职安全生产管理员，需具有政府应急管理部门颁发的安全生产知识和管理能力考核合格证书的得2分，本项最高得2分</w:t>
            </w:r>
            <w:bookmarkStart w:id="507" w:name="_GoBack"/>
            <w:bookmarkEnd w:id="507"/>
            <w:r>
              <w:rPr>
                <w:rFonts w:hint="eastAsia" w:ascii="仿宋" w:hAnsi="仿宋" w:eastAsia="仿宋" w:cs="仿宋"/>
                <w:highlight w:val="none"/>
                <w:lang w:val="en-US" w:eastAsia="zh-CN"/>
              </w:rPr>
              <w:t>;</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4、项目班组人员中除项目负责人，技术负责人外具有政府人社相关部门颁发的高级及以上职称的每人得1分，本项最高得2分；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5、项目班组人员中除项目负责人，技术负责人外具有绿化高级工(三级)及以上职业技能等级证书的每人得1分，本项最高得3分；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需提供证书复制件及在本企业缴纳的有效社会保险证明。社会保险证明:应由社保部门出具且需满足最近三个月中任意一个月在本企业缴纳的时间要求。学历证明需提供毕业证书复制件及学信网学历截图并加盖公章】</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0-13分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Pr>
          <w:p>
            <w:pPr>
              <w:spacing w:after="0"/>
              <w:rPr>
                <w:rFonts w:hint="eastAsia" w:ascii="仿宋" w:hAnsi="仿宋" w:eastAsia="仿宋" w:cs="仿宋"/>
                <w:highlight w:val="none"/>
                <w:lang w:val="en-US" w:eastAsia="zh-CN"/>
              </w:rPr>
            </w:pPr>
          </w:p>
        </w:tc>
        <w:tc>
          <w:tcPr>
            <w:tcW w:w="551" w:type="dxa"/>
            <w:vAlign w:val="center"/>
          </w:tcPr>
          <w:p>
            <w:pPr>
              <w:spacing w:after="0"/>
              <w:rPr>
                <w:rFonts w:hint="eastAsia" w:ascii="仿宋" w:hAnsi="仿宋" w:eastAsia="仿宋" w:cs="仿宋"/>
                <w:highlight w:val="none"/>
                <w:lang w:val="en-US" w:eastAsia="zh-CN"/>
              </w:rPr>
            </w:pPr>
          </w:p>
        </w:tc>
        <w:tc>
          <w:tcPr>
            <w:tcW w:w="64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设备设施配套情况:</w:t>
            </w:r>
            <w:r>
              <w:rPr>
                <w:rFonts w:hint="eastAsia" w:ascii="仿宋" w:hAnsi="仿宋" w:eastAsia="仿宋" w:cs="仿宋"/>
                <w:highlight w:val="none"/>
                <w:lang w:val="en-US" w:eastAsia="zh-CN"/>
              </w:rPr>
              <w:tab/>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1、具有用于绿化浇灌，乔木除雪的多功能抑尘车的得2分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2、具有总质量18吨及以上洒水车一辆得1分，最高1分;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3、具有作业高度17米及以上用于绿化修剪的高空作业车得1分;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4、具有总质量4吨及以上轻型自卸货车一辆得1分，最高1分;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5、具有使用性质为“工程救险或工程抢险”应急抢险车辆的1辆得 1分，最多得2分；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6、具有绿篱机5台及以上得1分，本项最高得1分；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7、具有手推割草机2台及以上的得1分，最高得1分；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8、具有园林高压喷药机的得1分，最高得1分；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9、具有鼓风机或吹风机2台及以上得1分，本项最高得1分；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10、具有绿化垃圾处置设备(树枝粉碎机)的得1分，本项最高得1分。</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车辆设备租赁的同样得分。1-5项所有车辆均需提供车辆行驶证、购车发票、车辆登记证扫描件及清晰带有车牌号的正面、45度斜侧面的照片，需加盖投标人公章。6-10项设备需提供设备购买发票复印件或扫描件，并提供设备照片。租赁的，提供以上除购车资料以外的全部资料，还需提供租赁合同复印件】</w:t>
            </w:r>
          </w:p>
        </w:tc>
        <w:tc>
          <w:tcPr>
            <w:tcW w:w="81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0-12分</w:t>
            </w:r>
          </w:p>
        </w:tc>
        <w:tc>
          <w:tcPr>
            <w:tcW w:w="843"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客观分</w:t>
            </w:r>
          </w:p>
        </w:tc>
      </w:tr>
    </w:tbl>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价格分（10分）</w:t>
      </w:r>
    </w:p>
    <w:tbl>
      <w:tblPr>
        <w:tblStyle w:val="6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126"/>
        <w:gridCol w:w="4394"/>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62"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价格分</w:t>
            </w:r>
          </w:p>
        </w:tc>
        <w:tc>
          <w:tcPr>
            <w:tcW w:w="2126" w:type="dxa"/>
            <w:vAlign w:val="center"/>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价格权值：0.1</w:t>
            </w:r>
          </w:p>
        </w:tc>
        <w:tc>
          <w:tcPr>
            <w:tcW w:w="4394" w:type="dxa"/>
          </w:tcPr>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最低有效投标价格为评标基准价</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投标报价得分=(评标基准价／投标报价)×价格权值×100 </w:t>
            </w:r>
          </w:p>
          <w:p>
            <w:pPr>
              <w:spacing w:after="0"/>
              <w:rPr>
                <w:rFonts w:hint="eastAsia" w:ascii="仿宋" w:hAnsi="仿宋" w:eastAsia="仿宋" w:cs="仿宋"/>
                <w:highlight w:val="none"/>
                <w:lang w:val="en-US" w:eastAsia="zh-CN"/>
              </w:rPr>
            </w:pPr>
            <w:r>
              <w:rPr>
                <w:rFonts w:hint="eastAsia" w:ascii="仿宋" w:hAnsi="仿宋" w:eastAsia="仿宋" w:cs="仿宋"/>
                <w:highlight w:val="none"/>
                <w:lang w:val="en-US" w:eastAsia="zh-CN"/>
              </w:rPr>
              <w:t>（计算得分保留小数点后2位）</w:t>
            </w:r>
          </w:p>
        </w:tc>
        <w:tc>
          <w:tcPr>
            <w:tcW w:w="709" w:type="dxa"/>
            <w:vAlign w:val="center"/>
          </w:tcPr>
          <w:p>
            <w:pPr>
              <w:spacing w:after="0"/>
              <w:rPr>
                <w:rFonts w:hint="eastAsia" w:ascii="仿宋" w:hAnsi="仿宋" w:eastAsia="仿宋" w:cs="仿宋"/>
                <w:highlight w:val="none"/>
                <w:lang w:val="en-US" w:eastAsia="zh-CN"/>
              </w:rPr>
            </w:pPr>
          </w:p>
        </w:tc>
        <w:tc>
          <w:tcPr>
            <w:tcW w:w="850" w:type="dxa"/>
            <w:vAlign w:val="center"/>
          </w:tcPr>
          <w:p>
            <w:pPr>
              <w:spacing w:after="0"/>
              <w:rPr>
                <w:rFonts w:hint="eastAsia" w:ascii="仿宋" w:hAnsi="仿宋" w:eastAsia="仿宋" w:cs="仿宋"/>
                <w:highlight w:val="none"/>
                <w:lang w:val="en-US" w:eastAsia="zh-CN"/>
              </w:rPr>
            </w:pPr>
          </w:p>
        </w:tc>
      </w:tr>
    </w:tbl>
    <w:p>
      <w:pPr>
        <w:ind w:firstLine="482"/>
        <w:rPr>
          <w:rFonts w:hint="eastAsia" w:ascii="仿宋" w:hAnsi="仿宋" w:eastAsia="仿宋" w:cs="仿宋"/>
        </w:rPr>
      </w:pPr>
    </w:p>
    <w:p>
      <w:pPr>
        <w:spacing w:line="360" w:lineRule="auto"/>
        <w:ind w:firstLine="482"/>
        <w:rPr>
          <w:rFonts w:hint="eastAsia" w:ascii="仿宋" w:hAnsi="仿宋" w:eastAsia="仿宋" w:cs="仿宋"/>
          <w:b/>
          <w:sz w:val="24"/>
        </w:rPr>
      </w:pPr>
      <w:r>
        <w:rPr>
          <w:rFonts w:hint="eastAsia" w:ascii="仿宋" w:hAnsi="仿宋" w:eastAsia="仿宋" w:cs="仿宋"/>
          <w:sz w:val="24"/>
          <w:shd w:val="clear" w:color="auto" w:fill="FFFFFF"/>
        </w:rPr>
        <w:t>*</w:t>
      </w:r>
      <w:r>
        <w:rPr>
          <w:rFonts w:hint="eastAsia" w:ascii="仿宋" w:hAnsi="仿宋" w:eastAsia="仿宋" w:cs="仿宋"/>
          <w:b/>
          <w:sz w:val="24"/>
        </w:rPr>
        <w:t>备注：1）评分条款中涉及的业绩、荣誉、人员、社保等分公司均有效。</w:t>
      </w:r>
    </w:p>
    <w:p>
      <w:pPr>
        <w:spacing w:line="360" w:lineRule="auto"/>
        <w:rPr>
          <w:rFonts w:hint="eastAsia" w:ascii="仿宋" w:hAnsi="仿宋" w:eastAsia="仿宋" w:cs="仿宋"/>
          <w:b/>
          <w:sz w:val="24"/>
        </w:rPr>
      </w:pPr>
      <w:r>
        <w:rPr>
          <w:rFonts w:hint="eastAsia" w:ascii="仿宋" w:hAnsi="仿宋" w:eastAsia="仿宋" w:cs="仿宋"/>
          <w:b/>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rPr>
          <w:rFonts w:hint="eastAsia" w:ascii="仿宋" w:hAnsi="仿宋" w:eastAsia="仿宋" w:cs="仿宋"/>
          <w:b/>
          <w:sz w:val="32"/>
        </w:rPr>
      </w:pPr>
      <w:r>
        <w:rPr>
          <w:rFonts w:hint="eastAsia" w:ascii="仿宋" w:hAnsi="仿宋" w:eastAsia="仿宋" w:cs="仿宋"/>
          <w:b/>
          <w:sz w:val="24"/>
        </w:rPr>
        <w:t>3）投标人编制投标文件（商务技术文件部分）时，建议按此目录（序号和内容）提供评标标准相应的商务技术资料。</w:t>
      </w:r>
    </w:p>
    <w:p>
      <w:pPr>
        <w:widowControl/>
        <w:spacing w:line="360" w:lineRule="auto"/>
        <w:ind w:firstLine="480" w:firstLineChars="200"/>
        <w:rPr>
          <w:rFonts w:hint="eastAsia" w:ascii="仿宋" w:hAnsi="仿宋" w:eastAsia="仿宋" w:cs="仿宋"/>
          <w:sz w:val="24"/>
          <w:shd w:val="clear" w:color="auto" w:fill="FFFFFF"/>
        </w:rPr>
      </w:pPr>
    </w:p>
    <w:p>
      <w:pPr>
        <w:widowControl/>
        <w:spacing w:line="360" w:lineRule="auto"/>
        <w:ind w:firstLine="480" w:firstLineChars="200"/>
        <w:jc w:val="left"/>
        <w:rPr>
          <w:rFonts w:hint="eastAsia" w:ascii="仿宋" w:hAnsi="仿宋" w:eastAsia="仿宋" w:cs="仿宋"/>
          <w:b/>
          <w:sz w:val="32"/>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rPr>
          <w:rFonts w:hint="eastAsia" w:ascii="仿宋" w:hAnsi="仿宋" w:eastAsia="仿宋" w:cs="仿宋"/>
          <w:b/>
          <w:sz w:val="32"/>
        </w:rPr>
      </w:pPr>
      <w:r>
        <w:rPr>
          <w:rFonts w:hint="eastAsia" w:ascii="仿宋" w:hAnsi="仿宋" w:eastAsia="仿宋" w:cs="仿宋"/>
          <w:b/>
          <w:sz w:val="32"/>
        </w:rPr>
        <w:br w:type="page"/>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pPr>
        <w:spacing w:line="360" w:lineRule="auto"/>
        <w:ind w:firstLine="480" w:firstLineChars="200"/>
        <w:rPr>
          <w:rFonts w:hint="eastAsia" w:ascii="仿宋" w:hAnsi="仿宋" w:eastAsia="仿宋" w:cs="仿宋"/>
        </w:rPr>
      </w:pPr>
      <w:r>
        <w:rPr>
          <w:rFonts w:hint="eastAsia" w:ascii="仿宋" w:hAnsi="仿宋" w:eastAsia="仿宋" w:cs="仿宋"/>
          <w:kern w:val="0"/>
          <w:sz w:val="24"/>
        </w:rPr>
        <w:t>4.2.14 投标文件不满足招标文件的实质性要求的；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pPr>
        <w:pStyle w:val="1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1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1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1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1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1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pPr>
        <w:pStyle w:val="1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1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1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1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1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16"/>
        <w:snapToGrid w:val="0"/>
        <w:spacing w:line="360" w:lineRule="auto"/>
        <w:ind w:firstLine="0" w:firstLineChars="0"/>
        <w:rPr>
          <w:rFonts w:hint="eastAsia" w:ascii="仿宋" w:hAnsi="仿宋" w:eastAsia="仿宋" w:cs="仿宋"/>
        </w:rPr>
      </w:pPr>
    </w:p>
    <w:bookmarkEnd w:id="31"/>
    <w:p>
      <w:pPr>
        <w:spacing w:line="360" w:lineRule="auto"/>
        <w:ind w:left="720" w:leftChars="343" w:firstLine="1084" w:firstLineChars="300"/>
        <w:outlineLvl w:val="0"/>
        <w:rPr>
          <w:rFonts w:hint="eastAsia" w:ascii="仿宋" w:hAnsi="仿宋" w:eastAsia="仿宋" w:cs="仿宋"/>
          <w:b/>
          <w:sz w:val="36"/>
          <w:szCs w:val="36"/>
        </w:rPr>
      </w:pPr>
      <w:bookmarkStart w:id="398" w:name="第五部分"/>
      <w:bookmarkStart w:id="399"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36"/>
          <w:szCs w:val="36"/>
        </w:rPr>
      </w:pPr>
    </w:p>
    <w:p>
      <w:pPr>
        <w:spacing w:line="480" w:lineRule="auto"/>
        <w:jc w:val="center"/>
        <w:rPr>
          <w:rFonts w:hint="eastAsia" w:ascii="仿宋" w:hAnsi="仿宋" w:eastAsia="仿宋" w:cs="仿宋"/>
          <w:b/>
          <w:sz w:val="36"/>
          <w:szCs w:val="36"/>
        </w:rPr>
      </w:pPr>
    </w:p>
    <w:p>
      <w:pPr>
        <w:spacing w:line="480" w:lineRule="auto"/>
        <w:jc w:val="center"/>
        <w:rPr>
          <w:rFonts w:hint="eastAsia" w:ascii="仿宋" w:hAnsi="仿宋" w:eastAsia="仿宋" w:cs="仿宋"/>
          <w:b/>
          <w:sz w:val="36"/>
          <w:szCs w:val="36"/>
        </w:rPr>
      </w:pPr>
    </w:p>
    <w:p>
      <w:pPr>
        <w:spacing w:line="480" w:lineRule="auto"/>
        <w:jc w:val="center"/>
        <w:rPr>
          <w:rFonts w:hint="eastAsia" w:ascii="仿宋" w:hAnsi="仿宋" w:eastAsia="仿宋" w:cs="仿宋"/>
          <w:b/>
          <w:sz w:val="36"/>
          <w:szCs w:val="36"/>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2"/>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9"/>
        <w:spacing w:before="120" w:line="22" w:lineRule="atLeast"/>
        <w:rPr>
          <w:rFonts w:hint="eastAsia" w:ascii="仿宋" w:hAnsi="仿宋" w:eastAsia="仿宋" w:cs="仿宋"/>
          <w:szCs w:val="24"/>
        </w:rPr>
      </w:pPr>
    </w:p>
    <w:p>
      <w:pPr>
        <w:pStyle w:val="599"/>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sz w:val="24"/>
        </w:rPr>
      </w:pPr>
      <w:r>
        <w:rPr>
          <w:rFonts w:hint="eastAsia" w:ascii="仿宋" w:hAnsi="仿宋" w:eastAsia="仿宋" w:cs="仿宋"/>
          <w:b/>
          <w:sz w:val="24"/>
        </w:rPr>
        <w:br w:type="page"/>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00" w:name="_Toc20421"/>
      <w:bookmarkStart w:id="401" w:name="_Toc22967"/>
      <w:bookmarkStart w:id="402" w:name="_Toc15367"/>
      <w:bookmarkStart w:id="403" w:name="_Toc19273"/>
      <w:bookmarkStart w:id="404" w:name="_Toc28855"/>
      <w:r>
        <w:rPr>
          <w:rFonts w:hint="eastAsia" w:ascii="仿宋" w:hAnsi="仿宋" w:eastAsia="仿宋" w:cs="仿宋"/>
          <w:b/>
          <w:sz w:val="24"/>
        </w:rPr>
        <w:t>1.1 合同组成部分</w:t>
      </w:r>
      <w:bookmarkEnd w:id="400"/>
      <w:bookmarkEnd w:id="401"/>
      <w:bookmarkEnd w:id="402"/>
      <w:bookmarkEnd w:id="403"/>
      <w:bookmarkEnd w:id="40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05" w:name="_Toc6311"/>
      <w:bookmarkStart w:id="406" w:name="_Toc6773"/>
      <w:bookmarkStart w:id="407" w:name="_Toc22185"/>
      <w:bookmarkStart w:id="408" w:name="_Toc2918"/>
      <w:bookmarkStart w:id="409" w:name="_Toc18585"/>
      <w:r>
        <w:rPr>
          <w:rFonts w:hint="eastAsia" w:ascii="仿宋" w:hAnsi="仿宋" w:eastAsia="仿宋" w:cs="仿宋"/>
          <w:b/>
          <w:sz w:val="24"/>
        </w:rPr>
        <w:t>1.2 标的</w:t>
      </w:r>
      <w:bookmarkEnd w:id="405"/>
      <w:bookmarkEnd w:id="406"/>
      <w:bookmarkEnd w:id="407"/>
      <w:bookmarkEnd w:id="408"/>
      <w:bookmarkEnd w:id="409"/>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pPr>
        <w:spacing w:line="560" w:lineRule="exact"/>
        <w:ind w:firstLine="480" w:firstLineChars="200"/>
        <w:rPr>
          <w:rFonts w:hint="eastAsia" w:ascii="仿宋" w:hAnsi="仿宋" w:eastAsia="仿宋" w:cs="仿宋"/>
          <w:sz w:val="24"/>
          <w:u w:val="single"/>
        </w:rPr>
      </w:pPr>
      <w:bookmarkStart w:id="410" w:name="_Toc5635"/>
      <w:bookmarkStart w:id="411" w:name="_Toc21124"/>
      <w:bookmarkStart w:id="412" w:name="_Toc4929"/>
      <w:bookmarkStart w:id="413" w:name="_Toc1386"/>
      <w:bookmarkStart w:id="414" w:name="_Toc13918"/>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10"/>
      <w:bookmarkEnd w:id="411"/>
      <w:bookmarkEnd w:id="412"/>
      <w:bookmarkEnd w:id="413"/>
      <w:bookmarkEnd w:id="41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20"/>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20"/>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sz w:val="24"/>
                <w:szCs w:val="24"/>
              </w:rPr>
            </w:pPr>
          </w:p>
        </w:tc>
        <w:tc>
          <w:tcPr>
            <w:tcW w:w="3402" w:type="dxa"/>
            <w:vAlign w:val="center"/>
          </w:tcPr>
          <w:p>
            <w:pPr>
              <w:pStyle w:val="320"/>
              <w:spacing w:line="560" w:lineRule="exact"/>
              <w:ind w:firstLine="200"/>
              <w:jc w:val="center"/>
              <w:rPr>
                <w:rFonts w:hint="eastAsia" w:ascii="仿宋" w:hAnsi="仿宋" w:eastAsia="仿宋" w:cs="仿宋"/>
                <w:sz w:val="24"/>
                <w:szCs w:val="24"/>
              </w:rPr>
            </w:pPr>
          </w:p>
        </w:tc>
        <w:tc>
          <w:tcPr>
            <w:tcW w:w="2552" w:type="dxa"/>
            <w:vAlign w:val="center"/>
          </w:tcPr>
          <w:p>
            <w:pPr>
              <w:pStyle w:val="32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sz w:val="24"/>
                <w:szCs w:val="24"/>
              </w:rPr>
            </w:pPr>
          </w:p>
        </w:tc>
        <w:tc>
          <w:tcPr>
            <w:tcW w:w="3402" w:type="dxa"/>
            <w:vAlign w:val="center"/>
          </w:tcPr>
          <w:p>
            <w:pPr>
              <w:pStyle w:val="320"/>
              <w:spacing w:line="560" w:lineRule="exact"/>
              <w:ind w:firstLine="200"/>
              <w:jc w:val="center"/>
              <w:rPr>
                <w:rFonts w:hint="eastAsia" w:ascii="仿宋" w:hAnsi="仿宋" w:eastAsia="仿宋" w:cs="仿宋"/>
                <w:sz w:val="24"/>
                <w:szCs w:val="24"/>
              </w:rPr>
            </w:pPr>
          </w:p>
        </w:tc>
        <w:tc>
          <w:tcPr>
            <w:tcW w:w="2552" w:type="dxa"/>
            <w:vAlign w:val="center"/>
          </w:tcPr>
          <w:p>
            <w:pPr>
              <w:pStyle w:val="32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sz w:val="24"/>
                <w:szCs w:val="24"/>
              </w:rPr>
            </w:pPr>
          </w:p>
        </w:tc>
        <w:tc>
          <w:tcPr>
            <w:tcW w:w="3402" w:type="dxa"/>
            <w:vAlign w:val="center"/>
          </w:tcPr>
          <w:p>
            <w:pPr>
              <w:pStyle w:val="320"/>
              <w:spacing w:line="560" w:lineRule="exact"/>
              <w:ind w:firstLine="200"/>
              <w:jc w:val="center"/>
              <w:rPr>
                <w:rFonts w:hint="eastAsia" w:ascii="仿宋" w:hAnsi="仿宋" w:eastAsia="仿宋" w:cs="仿宋"/>
                <w:sz w:val="24"/>
                <w:szCs w:val="24"/>
              </w:rPr>
            </w:pPr>
          </w:p>
        </w:tc>
        <w:tc>
          <w:tcPr>
            <w:tcW w:w="2552" w:type="dxa"/>
            <w:vAlign w:val="center"/>
          </w:tcPr>
          <w:p>
            <w:pPr>
              <w:pStyle w:val="32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仿宋" w:hAnsi="仿宋" w:eastAsia="仿宋" w:cs="仿宋"/>
                <w:sz w:val="24"/>
                <w:szCs w:val="24"/>
              </w:rPr>
            </w:pPr>
          </w:p>
        </w:tc>
        <w:tc>
          <w:tcPr>
            <w:tcW w:w="3402" w:type="dxa"/>
            <w:vAlign w:val="center"/>
          </w:tcPr>
          <w:p>
            <w:pPr>
              <w:pStyle w:val="320"/>
              <w:spacing w:line="560" w:lineRule="exact"/>
              <w:ind w:firstLine="200"/>
              <w:jc w:val="center"/>
              <w:rPr>
                <w:rFonts w:hint="eastAsia" w:ascii="仿宋" w:hAnsi="仿宋" w:eastAsia="仿宋" w:cs="仿宋"/>
                <w:sz w:val="24"/>
                <w:szCs w:val="24"/>
              </w:rPr>
            </w:pPr>
          </w:p>
        </w:tc>
        <w:tc>
          <w:tcPr>
            <w:tcW w:w="2552" w:type="dxa"/>
            <w:vAlign w:val="center"/>
          </w:tcPr>
          <w:p>
            <w:pPr>
              <w:pStyle w:val="320"/>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20"/>
              <w:spacing w:line="560" w:lineRule="exact"/>
              <w:ind w:firstLine="200"/>
              <w:jc w:val="center"/>
              <w:rPr>
                <w:rFonts w:hint="eastAsia" w:ascii="仿宋" w:hAnsi="仿宋" w:eastAsia="仿宋" w:cs="仿宋"/>
                <w:sz w:val="24"/>
                <w:szCs w:val="24"/>
              </w:rPr>
            </w:pPr>
          </w:p>
        </w:tc>
      </w:tr>
    </w:tbl>
    <w:p>
      <w:pPr>
        <w:spacing w:line="560" w:lineRule="exact"/>
        <w:ind w:firstLine="480" w:firstLineChars="200"/>
        <w:rPr>
          <w:rFonts w:hint="eastAsia" w:ascii="仿宋" w:hAnsi="仿宋" w:eastAsia="仿宋" w:cs="仿宋"/>
          <w:sz w:val="24"/>
        </w:rPr>
      </w:pPr>
      <w:bookmarkStart w:id="415" w:name="_Toc14993"/>
      <w:bookmarkStart w:id="416" w:name="_Toc30506"/>
      <w:bookmarkStart w:id="417" w:name="_Toc3654"/>
      <w:bookmarkStart w:id="418" w:name="_Toc26916"/>
      <w:bookmarkStart w:id="419" w:name="_Toc30158"/>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2"/>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15"/>
    <w:bookmarkEnd w:id="416"/>
    <w:bookmarkEnd w:id="417"/>
    <w:bookmarkEnd w:id="418"/>
    <w:bookmarkEnd w:id="419"/>
    <w:p>
      <w:pPr>
        <w:pStyle w:val="960"/>
        <w:spacing w:before="0" w:beforeAutospacing="0" w:after="0" w:afterAutospacing="0" w:line="360" w:lineRule="auto"/>
        <w:ind w:firstLine="480"/>
        <w:rPr>
          <w:rFonts w:hint="eastAsia" w:ascii="仿宋" w:hAnsi="仿宋" w:eastAsia="仿宋" w:cs="仿宋"/>
          <w:b/>
        </w:rPr>
      </w:pPr>
      <w:bookmarkStart w:id="420" w:name="_Toc4760"/>
      <w:bookmarkStart w:id="421" w:name="_Toc3625"/>
      <w:bookmarkStart w:id="422" w:name="_Toc8772"/>
      <w:bookmarkStart w:id="423" w:name="_Toc31421"/>
      <w:bookmarkStart w:id="424" w:name="_Toc11108"/>
      <w:r>
        <w:rPr>
          <w:rFonts w:hint="eastAsia" w:ascii="仿宋" w:hAnsi="仿宋" w:eastAsia="仿宋" w:cs="仿宋"/>
          <w:b/>
        </w:rPr>
        <w:t>1.4履约保证金</w:t>
      </w:r>
    </w:p>
    <w:p>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2"/>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0"/>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960"/>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pPr>
        <w:pStyle w:val="960"/>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20"/>
      <w:bookmarkEnd w:id="421"/>
      <w:bookmarkEnd w:id="422"/>
      <w:bookmarkEnd w:id="423"/>
      <w:bookmarkEnd w:id="424"/>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bCs/>
          <w:sz w:val="24"/>
        </w:rPr>
      </w:pPr>
      <w:bookmarkStart w:id="425" w:name="_Toc5698"/>
      <w:bookmarkStart w:id="426" w:name="_Toc2375"/>
      <w:bookmarkStart w:id="427" w:name="_Toc8586"/>
      <w:bookmarkStart w:id="428" w:name="_Toc24662"/>
      <w:bookmarkStart w:id="429" w:name="_Toc3079"/>
      <w:r>
        <w:rPr>
          <w:rFonts w:hint="eastAsia" w:ascii="仿宋" w:hAnsi="仿宋" w:eastAsia="仿宋" w:cs="仿宋"/>
          <w:bCs/>
          <w:sz w:val="24"/>
        </w:rPr>
        <w:t>1.7.4若服务涉及货物的，则货物的：</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5"/>
      <w:bookmarkEnd w:id="426"/>
      <w:bookmarkEnd w:id="427"/>
      <w:bookmarkEnd w:id="428"/>
      <w:bookmarkEnd w:id="42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bookmarkStart w:id="430" w:name="_Toc30329"/>
      <w:bookmarkStart w:id="431" w:name="_Toc18683"/>
      <w:bookmarkStart w:id="432" w:name="_Toc32454"/>
      <w:bookmarkStart w:id="433" w:name="_Toc9497"/>
      <w:bookmarkStart w:id="434"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30"/>
    <w:bookmarkEnd w:id="431"/>
    <w:bookmarkEnd w:id="432"/>
    <w:bookmarkEnd w:id="433"/>
    <w:bookmarkEnd w:id="434"/>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hint="eastAsia" w:ascii="仿宋" w:hAnsi="仿宋" w:eastAsia="仿宋" w:cs="仿宋"/>
          <w:sz w:val="24"/>
          <w:lang w:val="zh-CN"/>
        </w:rPr>
      </w:pPr>
      <w:r>
        <w:rPr>
          <w:rFonts w:hint="eastAsia" w:ascii="仿宋" w:hAnsi="仿宋" w:eastAsia="仿宋" w:cs="仿宋"/>
          <w:sz w:val="24"/>
        </w:rPr>
        <w:t>本合同自双方当事人盖章签字时生效。</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pStyle w:val="702"/>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35" w:name="_Toc25079"/>
      <w:bookmarkStart w:id="436" w:name="_Toc14021"/>
      <w:bookmarkStart w:id="437" w:name="_Toc5228"/>
      <w:bookmarkStart w:id="438" w:name="_Toc19680"/>
      <w:bookmarkStart w:id="439" w:name="_Toc31297"/>
      <w:r>
        <w:rPr>
          <w:rFonts w:hint="eastAsia" w:ascii="仿宋" w:hAnsi="仿宋" w:eastAsia="仿宋" w:cs="仿宋"/>
          <w:b/>
          <w:sz w:val="24"/>
        </w:rPr>
        <w:t>2.1 定义</w:t>
      </w:r>
      <w:bookmarkEnd w:id="435"/>
      <w:bookmarkEnd w:id="436"/>
      <w:bookmarkEnd w:id="437"/>
      <w:bookmarkEnd w:id="438"/>
      <w:bookmarkEnd w:id="43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40" w:name="_Toc31402"/>
      <w:bookmarkStart w:id="441" w:name="_Toc3769"/>
      <w:bookmarkStart w:id="442" w:name="_Toc19539"/>
      <w:bookmarkStart w:id="443" w:name="_Toc16752"/>
      <w:bookmarkStart w:id="444" w:name="_Toc23289"/>
      <w:r>
        <w:rPr>
          <w:rFonts w:hint="eastAsia" w:ascii="仿宋" w:hAnsi="仿宋" w:eastAsia="仿宋" w:cs="仿宋"/>
          <w:b/>
          <w:sz w:val="24"/>
        </w:rPr>
        <w:t>2.2 技术规范</w:t>
      </w:r>
      <w:bookmarkEnd w:id="440"/>
      <w:bookmarkEnd w:id="441"/>
      <w:bookmarkEnd w:id="442"/>
      <w:bookmarkEnd w:id="443"/>
      <w:bookmarkEnd w:id="44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45" w:name="_Toc12412"/>
      <w:bookmarkStart w:id="446" w:name="_Toc27945"/>
      <w:bookmarkStart w:id="447" w:name="_Toc9161"/>
      <w:bookmarkStart w:id="448" w:name="_Toc13673"/>
      <w:bookmarkStart w:id="449" w:name="_Toc4133"/>
      <w:r>
        <w:rPr>
          <w:rFonts w:hint="eastAsia" w:ascii="仿宋" w:hAnsi="仿宋" w:eastAsia="仿宋" w:cs="仿宋"/>
          <w:b/>
          <w:sz w:val="24"/>
        </w:rPr>
        <w:t>2.3 知识产权</w:t>
      </w:r>
      <w:bookmarkEnd w:id="445"/>
      <w:bookmarkEnd w:id="446"/>
      <w:bookmarkEnd w:id="447"/>
      <w:bookmarkEnd w:id="448"/>
      <w:bookmarkEnd w:id="44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50" w:name="_Toc26555"/>
      <w:bookmarkStart w:id="451" w:name="_Toc15447"/>
      <w:bookmarkStart w:id="452" w:name="_Toc32670"/>
      <w:bookmarkStart w:id="453" w:name="_Toc22011"/>
      <w:bookmarkStart w:id="454" w:name="_Toc31233"/>
      <w:r>
        <w:rPr>
          <w:rFonts w:hint="eastAsia" w:ascii="仿宋" w:hAnsi="仿宋" w:eastAsia="仿宋" w:cs="仿宋"/>
          <w:b/>
          <w:sz w:val="24"/>
        </w:rPr>
        <w:t>2.5 结算方式和付款条件</w:t>
      </w:r>
      <w:bookmarkEnd w:id="450"/>
      <w:bookmarkEnd w:id="451"/>
      <w:bookmarkEnd w:id="452"/>
      <w:bookmarkEnd w:id="453"/>
      <w:bookmarkEnd w:id="45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55" w:name="_Toc13154"/>
      <w:bookmarkStart w:id="456" w:name="_Toc30507"/>
      <w:bookmarkStart w:id="457" w:name="_Toc16163"/>
      <w:bookmarkStart w:id="458" w:name="_Toc18990"/>
      <w:bookmarkStart w:id="459" w:name="_Toc13467"/>
      <w:r>
        <w:rPr>
          <w:rFonts w:hint="eastAsia" w:ascii="仿宋" w:hAnsi="仿宋" w:eastAsia="仿宋" w:cs="仿宋"/>
          <w:b/>
          <w:sz w:val="24"/>
        </w:rPr>
        <w:t>2.6 技术资料和保密义务</w:t>
      </w:r>
      <w:bookmarkEnd w:id="455"/>
      <w:bookmarkEnd w:id="456"/>
      <w:bookmarkEnd w:id="457"/>
      <w:bookmarkEnd w:id="458"/>
      <w:bookmarkEnd w:id="45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60" w:name="_Toc19069"/>
      <w:r>
        <w:rPr>
          <w:rFonts w:hint="eastAsia" w:ascii="仿宋" w:hAnsi="仿宋" w:eastAsia="仿宋" w:cs="仿宋"/>
          <w:b/>
          <w:sz w:val="24"/>
        </w:rPr>
        <w:t>2.7 质量保证</w:t>
      </w:r>
      <w:bookmarkEnd w:id="46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61" w:name="_Toc22267"/>
      <w:r>
        <w:rPr>
          <w:rFonts w:hint="eastAsia" w:ascii="仿宋" w:hAnsi="仿宋" w:eastAsia="仿宋" w:cs="仿宋"/>
          <w:b/>
          <w:sz w:val="24"/>
        </w:rPr>
        <w:t>2.8 延迟履行</w:t>
      </w:r>
      <w:bookmarkEnd w:id="46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62" w:name="_Toc10611"/>
      <w:r>
        <w:rPr>
          <w:rFonts w:hint="eastAsia" w:ascii="仿宋" w:hAnsi="仿宋" w:eastAsia="仿宋" w:cs="仿宋"/>
          <w:b/>
          <w:sz w:val="24"/>
        </w:rPr>
        <w:t>2.9 合同变更</w:t>
      </w:r>
      <w:bookmarkEnd w:id="46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63" w:name="_Toc42"/>
      <w:bookmarkStart w:id="464" w:name="_Toc21830"/>
      <w:bookmarkStart w:id="465" w:name="_Toc26689"/>
      <w:bookmarkStart w:id="466" w:name="_Toc23368"/>
      <w:bookmarkStart w:id="467" w:name="_Toc10663"/>
      <w:r>
        <w:rPr>
          <w:rFonts w:hint="eastAsia" w:ascii="仿宋" w:hAnsi="仿宋" w:eastAsia="仿宋" w:cs="仿宋"/>
          <w:b/>
          <w:sz w:val="24"/>
        </w:rPr>
        <w:t>2.10 合同转让和分包</w:t>
      </w:r>
      <w:bookmarkEnd w:id="463"/>
      <w:bookmarkEnd w:id="464"/>
      <w:bookmarkEnd w:id="465"/>
      <w:bookmarkEnd w:id="466"/>
      <w:bookmarkEnd w:id="46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68" w:name="_Toc4720"/>
      <w:bookmarkStart w:id="469" w:name="_Toc14371"/>
      <w:bookmarkStart w:id="470" w:name="_Toc32494"/>
      <w:bookmarkStart w:id="471" w:name="_Toc25571"/>
      <w:bookmarkStart w:id="472" w:name="_Toc26633"/>
      <w:r>
        <w:rPr>
          <w:rFonts w:hint="eastAsia" w:ascii="仿宋" w:hAnsi="仿宋" w:eastAsia="仿宋" w:cs="仿宋"/>
          <w:b/>
          <w:sz w:val="24"/>
        </w:rPr>
        <w:t>2.11 不可抗力</w:t>
      </w:r>
      <w:bookmarkEnd w:id="468"/>
      <w:bookmarkEnd w:id="469"/>
      <w:bookmarkEnd w:id="470"/>
      <w:bookmarkEnd w:id="471"/>
      <w:bookmarkEnd w:id="47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73" w:name="_Toc23854"/>
      <w:bookmarkStart w:id="474" w:name="_Toc14115"/>
      <w:bookmarkStart w:id="475" w:name="_Toc3638"/>
      <w:bookmarkStart w:id="476" w:name="_Toc24465"/>
      <w:bookmarkStart w:id="477" w:name="_Toc25783"/>
      <w:r>
        <w:rPr>
          <w:rFonts w:hint="eastAsia" w:ascii="仿宋" w:hAnsi="仿宋" w:eastAsia="仿宋" w:cs="仿宋"/>
          <w:b/>
          <w:sz w:val="24"/>
        </w:rPr>
        <w:t>2.12 税费</w:t>
      </w:r>
      <w:bookmarkEnd w:id="473"/>
      <w:bookmarkEnd w:id="474"/>
      <w:bookmarkEnd w:id="475"/>
      <w:bookmarkEnd w:id="476"/>
      <w:bookmarkEnd w:id="47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478" w:name="_Toc25525"/>
      <w:bookmarkStart w:id="479" w:name="_Toc30105"/>
      <w:bookmarkStart w:id="480" w:name="_Toc26883"/>
      <w:bookmarkStart w:id="481" w:name="_Toc14814"/>
      <w:bookmarkStart w:id="482" w:name="_Toc7315"/>
      <w:r>
        <w:rPr>
          <w:rFonts w:hint="eastAsia" w:ascii="仿宋" w:hAnsi="仿宋" w:eastAsia="仿宋" w:cs="仿宋"/>
          <w:b/>
          <w:sz w:val="24"/>
        </w:rPr>
        <w:t>2.13 乙方破产</w:t>
      </w:r>
      <w:bookmarkEnd w:id="478"/>
      <w:bookmarkEnd w:id="479"/>
      <w:bookmarkEnd w:id="480"/>
      <w:bookmarkEnd w:id="481"/>
      <w:bookmarkEnd w:id="48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483" w:name="_Toc23323"/>
      <w:bookmarkStart w:id="484" w:name="_Toc1123"/>
      <w:bookmarkStart w:id="485" w:name="_Toc2016"/>
      <w:r>
        <w:rPr>
          <w:rFonts w:hint="eastAsia" w:ascii="仿宋" w:hAnsi="仿宋" w:eastAsia="仿宋" w:cs="仿宋"/>
          <w:b/>
          <w:sz w:val="24"/>
        </w:rPr>
        <w:t>2.14 合同中止、终止</w:t>
      </w:r>
      <w:bookmarkEnd w:id="483"/>
      <w:bookmarkEnd w:id="484"/>
      <w:bookmarkEnd w:id="48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86" w:name="_Toc1969"/>
      <w:bookmarkStart w:id="487" w:name="_Toc17363"/>
      <w:bookmarkStart w:id="488" w:name="_Toc14525"/>
      <w:r>
        <w:rPr>
          <w:rFonts w:hint="eastAsia" w:ascii="仿宋" w:hAnsi="仿宋" w:eastAsia="仿宋" w:cs="仿宋"/>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489" w:name="_Toc25198"/>
      <w:bookmarkStart w:id="490" w:name="_Toc12666"/>
      <w:bookmarkStart w:id="491" w:name="_Toc31892"/>
      <w:bookmarkStart w:id="492" w:name="_Toc9808"/>
      <w:bookmarkStart w:id="493" w:name="_Toc2308"/>
      <w:r>
        <w:rPr>
          <w:rFonts w:hint="eastAsia" w:ascii="仿宋" w:hAnsi="仿宋" w:eastAsia="仿宋" w:cs="仿宋"/>
          <w:b/>
          <w:sz w:val="24"/>
        </w:rPr>
        <w:t>2.16 通知和送达</w:t>
      </w:r>
      <w:bookmarkEnd w:id="489"/>
      <w:bookmarkEnd w:id="490"/>
      <w:bookmarkEnd w:id="491"/>
      <w:bookmarkEnd w:id="492"/>
      <w:bookmarkEnd w:id="493"/>
    </w:p>
    <w:p>
      <w:pPr>
        <w:spacing w:line="560" w:lineRule="exact"/>
        <w:ind w:firstLine="480" w:firstLineChars="200"/>
        <w:rPr>
          <w:rFonts w:hint="eastAsia" w:ascii="仿宋" w:hAnsi="仿宋" w:eastAsia="仿宋" w:cs="仿宋"/>
          <w:sz w:val="24"/>
        </w:rPr>
      </w:pPr>
      <w:bookmarkStart w:id="494" w:name="_Toc27674"/>
      <w:bookmarkStart w:id="495"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560" w:lineRule="exact"/>
        <w:ind w:firstLine="482" w:firstLineChars="200"/>
        <w:outlineLvl w:val="0"/>
        <w:rPr>
          <w:rFonts w:hint="eastAsia" w:ascii="仿宋" w:hAnsi="仿宋" w:eastAsia="仿宋" w:cs="仿宋"/>
          <w:b/>
          <w:sz w:val="24"/>
        </w:rPr>
      </w:pPr>
      <w:bookmarkStart w:id="496" w:name="_Toc28906"/>
      <w:bookmarkStart w:id="497" w:name="_Toc12254"/>
      <w:bookmarkStart w:id="498" w:name="_Toc27644"/>
      <w:bookmarkStart w:id="499" w:name="_Toc20808"/>
      <w:bookmarkStart w:id="500" w:name="_Toc5063"/>
      <w:r>
        <w:rPr>
          <w:rFonts w:hint="eastAsia" w:ascii="仿宋" w:hAnsi="仿宋" w:eastAsia="仿宋" w:cs="仿宋"/>
          <w:b/>
          <w:sz w:val="24"/>
        </w:rPr>
        <w:t>2.17 合同使用的文字和适用的法律</w:t>
      </w:r>
      <w:bookmarkEnd w:id="496"/>
      <w:bookmarkEnd w:id="497"/>
      <w:bookmarkEnd w:id="498"/>
      <w:bookmarkEnd w:id="499"/>
      <w:bookmarkEnd w:id="50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hint="eastAsia" w:ascii="仿宋" w:hAnsi="仿宋" w:eastAsia="仿宋" w:cs="仿宋"/>
                <w:sz w:val="24"/>
              </w:rPr>
            </w:pPr>
          </w:p>
        </w:tc>
      </w:tr>
    </w:tbl>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360" w:lineRule="auto"/>
        <w:ind w:left="720" w:firstLine="643" w:firstLineChars="200"/>
        <w:outlineLvl w:val="0"/>
        <w:rPr>
          <w:rFonts w:hint="eastAsia" w:ascii="仿宋" w:hAnsi="仿宋" w:eastAsia="仿宋" w:cs="仿宋"/>
          <w:b/>
          <w:sz w:val="32"/>
          <w:szCs w:val="20"/>
        </w:rPr>
      </w:pPr>
    </w:p>
    <w:p>
      <w:pPr>
        <w:spacing w:line="360" w:lineRule="auto"/>
        <w:ind w:left="720" w:firstLine="643" w:firstLineChars="200"/>
        <w:outlineLvl w:val="0"/>
        <w:rPr>
          <w:rFonts w:hint="eastAsia" w:ascii="仿宋" w:hAnsi="仿宋" w:eastAsia="仿宋" w:cs="仿宋"/>
          <w:b/>
          <w:sz w:val="32"/>
          <w:szCs w:val="20"/>
        </w:rPr>
      </w:pPr>
    </w:p>
    <w:p>
      <w:pPr>
        <w:spacing w:line="360" w:lineRule="auto"/>
        <w:ind w:left="720" w:firstLine="643" w:firstLineChars="200"/>
        <w:outlineLvl w:val="0"/>
        <w:rPr>
          <w:rFonts w:hint="eastAsia" w:ascii="仿宋" w:hAnsi="仿宋" w:eastAsia="仿宋" w:cs="仿宋"/>
          <w:b/>
          <w:sz w:val="32"/>
          <w:szCs w:val="20"/>
        </w:rPr>
      </w:pPr>
    </w:p>
    <w:p>
      <w:pPr>
        <w:spacing w:line="360" w:lineRule="auto"/>
        <w:ind w:left="720" w:firstLine="643" w:firstLineChars="200"/>
        <w:outlineLvl w:val="0"/>
        <w:rPr>
          <w:rFonts w:hint="eastAsia" w:ascii="仿宋" w:hAnsi="仿宋" w:eastAsia="仿宋" w:cs="仿宋"/>
          <w:b/>
          <w:sz w:val="32"/>
          <w:szCs w:val="20"/>
        </w:rPr>
      </w:pPr>
      <w:r>
        <w:rPr>
          <w:rFonts w:hint="eastAsia" w:ascii="仿宋" w:hAnsi="仿宋" w:eastAsia="仿宋" w:cs="仿宋"/>
          <w:b/>
          <w:sz w:val="32"/>
          <w:szCs w:val="20"/>
        </w:rPr>
        <w:t xml:space="preserve"> </w:t>
      </w:r>
    </w:p>
    <w:p>
      <w:pPr>
        <w:rPr>
          <w:rFonts w:hint="eastAsia" w:ascii="仿宋" w:hAnsi="仿宋" w:eastAsia="仿宋" w:cs="仿宋"/>
          <w:b/>
          <w:sz w:val="32"/>
          <w:szCs w:val="20"/>
        </w:rPr>
      </w:pPr>
      <w:r>
        <w:rPr>
          <w:rFonts w:hint="eastAsia" w:ascii="仿宋" w:hAnsi="仿宋" w:eastAsia="仿宋" w:cs="仿宋"/>
          <w:b/>
          <w:sz w:val="32"/>
          <w:szCs w:val="20"/>
        </w:rPr>
        <w:br w:type="page"/>
      </w: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8"/>
      <w:r>
        <w:rPr>
          <w:rFonts w:hint="eastAsia" w:ascii="仿宋" w:hAnsi="仿宋" w:eastAsia="仿宋" w:cs="仿宋"/>
          <w:b/>
          <w:sz w:val="36"/>
          <w:szCs w:val="20"/>
        </w:rPr>
        <w:t xml:space="preserve"> </w:t>
      </w:r>
      <w:bookmarkEnd w:id="399"/>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rPr>
          <w:rFonts w:hint="eastAsia" w:ascii="仿宋" w:hAnsi="仿宋" w:eastAsia="仿宋" w:cs="仿宋"/>
          <w:b/>
          <w:kern w:val="0"/>
          <w:sz w:val="32"/>
          <w:szCs w:val="32"/>
        </w:rPr>
      </w:pPr>
    </w:p>
    <w:p>
      <w:pPr>
        <w:snapToGrid w:val="0"/>
        <w:spacing w:line="360" w:lineRule="auto"/>
        <w:ind w:right="480" w:firstLine="559" w:firstLineChars="233"/>
        <w:jc w:val="left"/>
        <w:rPr>
          <w:rFonts w:hint="eastAsia" w:ascii="仿宋" w:hAnsi="仿宋" w:eastAsia="仿宋" w:cs="仿宋"/>
          <w:b/>
          <w:kern w:val="0"/>
          <w:sz w:val="32"/>
          <w:szCs w:val="32"/>
        </w:rPr>
      </w:pPr>
      <w:r>
        <w:rPr>
          <w:rFonts w:hint="eastAsia" w:ascii="仿宋" w:hAnsi="仿宋" w:eastAsia="仿宋" w:cs="仿宋"/>
          <w:sz w:val="24"/>
          <w:highlight w:val="cyan"/>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2"/>
        <w:rPr>
          <w:rFonts w:hint="eastAsia" w:ascii="仿宋" w:hAnsi="仿宋" w:eastAsia="仿宋" w:cs="仿宋"/>
          <w:lang w:val="en-US"/>
        </w:rPr>
      </w:pPr>
    </w:p>
    <w:p>
      <w:pPr>
        <w:rPr>
          <w:rFonts w:hint="eastAsia" w:ascii="仿宋" w:hAnsi="仿宋" w:eastAsia="仿宋" w:cs="仿宋"/>
        </w:rPr>
      </w:pPr>
    </w:p>
    <w:p>
      <w:pPr>
        <w:snapToGrid w:val="0"/>
        <w:spacing w:line="360" w:lineRule="auto"/>
        <w:ind w:firstLine="3855" w:firstLineChars="1200"/>
        <w:outlineLvl w:val="0"/>
        <w:rPr>
          <w:rFonts w:hint="eastAsia" w:ascii="仿宋" w:hAnsi="仿宋" w:eastAsia="仿宋" w:cs="仿宋"/>
          <w:b/>
          <w:kern w:val="0"/>
          <w:sz w:val="32"/>
          <w:szCs w:val="32"/>
        </w:rPr>
      </w:pPr>
    </w:p>
    <w:p>
      <w:pPr>
        <w:snapToGrid w:val="0"/>
        <w:spacing w:line="360" w:lineRule="auto"/>
        <w:ind w:firstLine="3855" w:firstLineChars="1200"/>
        <w:outlineLvl w:val="0"/>
        <w:rPr>
          <w:rFonts w:hint="eastAsia" w:ascii="仿宋" w:hAnsi="仿宋" w:eastAsia="仿宋" w:cs="仿宋"/>
          <w:b/>
          <w:kern w:val="0"/>
          <w:sz w:val="32"/>
          <w:szCs w:val="32"/>
        </w:rPr>
      </w:pPr>
    </w:p>
    <w:p>
      <w:pPr>
        <w:snapToGrid w:val="0"/>
        <w:spacing w:line="360" w:lineRule="auto"/>
        <w:ind w:firstLine="3855" w:firstLineChars="1200"/>
        <w:outlineLvl w:val="0"/>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firstLine="3855" w:firstLineChars="1200"/>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2.3.3投标人针对报价需要说明的其他文件和资料（格式自拟）。</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kern w:val="0"/>
          <w:sz w:val="24"/>
          <w:highlight w:val="cyan"/>
          <w:lang w:val="zh-CN"/>
        </w:rPr>
        <w:t>注：</w:t>
      </w:r>
      <w:r>
        <w:rPr>
          <w:rFonts w:hint="eastAsia" w:ascii="仿宋" w:hAnsi="仿宋" w:eastAsia="仿宋" w:cs="仿宋"/>
          <w:kern w:val="0"/>
          <w:sz w:val="24"/>
          <w:highlight w:val="red"/>
          <w:lang w:val="zh-CN"/>
        </w:rPr>
        <w:t>▲</w:t>
      </w:r>
      <w:r>
        <w:rPr>
          <w:rFonts w:hint="eastAsia" w:ascii="仿宋" w:hAnsi="仿宋" w:eastAsia="仿宋" w:cs="仿宋"/>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hint="eastAsia" w:ascii="仿宋" w:hAnsi="仿宋" w:eastAsia="仿宋" w:cs="仿宋"/>
          <w:sz w:val="24"/>
        </w:rPr>
      </w:pPr>
      <w:bookmarkStart w:id="501"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01"/>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p>
    <w:p>
      <w:pPr>
        <w:pStyle w:val="2"/>
        <w:rPr>
          <w:rFonts w:hint="eastAsia" w:ascii="仿宋" w:hAnsi="仿宋" w:eastAsia="仿宋" w:cs="仿宋"/>
          <w:lang w:val="en-US"/>
        </w:rPr>
      </w:pPr>
    </w:p>
    <w:p>
      <w:pPr>
        <w:rPr>
          <w:rFonts w:hint="eastAsia" w:ascii="仿宋" w:hAnsi="仿宋" w:eastAsia="仿宋" w:cs="仿宋"/>
        </w:rPr>
      </w:pPr>
    </w:p>
    <w:p>
      <w:pPr>
        <w:pStyle w:val="2"/>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sz w:val="24"/>
              </w:rPr>
            </w:pPr>
          </w:p>
        </w:tc>
        <w:tc>
          <w:tcPr>
            <w:tcW w:w="992"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410" w:type="dxa"/>
            <w:vAlign w:val="center"/>
          </w:tcPr>
          <w:p>
            <w:pPr>
              <w:snapToGrid w:val="0"/>
              <w:spacing w:line="360" w:lineRule="auto"/>
              <w:jc w:val="center"/>
              <w:rPr>
                <w:rFonts w:hint="eastAsia" w:ascii="仿宋" w:hAnsi="仿宋" w:eastAsia="仿宋" w:cs="仿宋"/>
                <w:sz w:val="24"/>
              </w:rPr>
            </w:pPr>
          </w:p>
        </w:tc>
        <w:tc>
          <w:tcPr>
            <w:tcW w:w="2268" w:type="dxa"/>
            <w:vAlign w:val="center"/>
          </w:tcPr>
          <w:p>
            <w:pPr>
              <w:snapToGrid w:val="0"/>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c>
          <w:tcPr>
            <w:tcW w:w="2127" w:type="dxa"/>
          </w:tcPr>
          <w:p>
            <w:pPr>
              <w:spacing w:line="360" w:lineRule="auto"/>
              <w:jc w:val="center"/>
              <w:rPr>
                <w:rFonts w:hint="eastAsia" w:ascii="仿宋" w:hAnsi="仿宋" w:eastAsia="仿宋" w:cs="仿宋"/>
                <w:sz w:val="24"/>
              </w:rPr>
            </w:pPr>
          </w:p>
        </w:tc>
        <w:tc>
          <w:tcPr>
            <w:tcW w:w="2126"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pPr>
        <w:rPr>
          <w:rFonts w:hint="eastAsia" w:ascii="仿宋" w:hAnsi="仿宋" w:eastAsia="仿宋" w:cs="仿宋"/>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sz w:val="32"/>
          <w:szCs w:val="32"/>
        </w:rPr>
        <w:br w:type="page"/>
      </w: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bookmarkStart w:id="502" w:name="_Toc465665161"/>
    </w:p>
    <w:p>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bookmarkEnd w:id="502"/>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3" w:name="OLE_LINK14"/>
      <w:bookmarkStart w:id="504" w:name="OLE_LINK13"/>
      <w:r>
        <w:rPr>
          <w:rFonts w:hint="eastAsia" w:ascii="仿宋" w:hAnsi="仿宋" w:eastAsia="仿宋" w:cs="仿宋"/>
          <w:b/>
          <w:spacing w:val="6"/>
          <w:sz w:val="32"/>
          <w:szCs w:val="32"/>
        </w:rPr>
        <w:t>残疾人福利性单位声明函</w:t>
      </w:r>
    </w:p>
    <w:bookmarkEnd w:id="503"/>
    <w:bookmarkEnd w:id="504"/>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bookmarkStart w:id="50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05"/>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0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06"/>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rPr>
          <w:rFonts w:hint="eastAsia" w:ascii="仿宋" w:hAnsi="仿宋" w:eastAsia="仿宋" w:cs="仿宋"/>
          <w:b/>
          <w:kern w:val="0"/>
          <w:sz w:val="44"/>
          <w:szCs w:val="44"/>
        </w:rPr>
      </w:pPr>
      <w:r>
        <w:rPr>
          <w:rFonts w:hint="eastAsia" w:ascii="仿宋" w:hAnsi="仿宋" w:eastAsia="仿宋" w:cs="仿宋"/>
          <w:b/>
          <w:kern w:val="0"/>
          <w:sz w:val="44"/>
          <w:szCs w:val="44"/>
        </w:rPr>
        <w:br w:type="page"/>
      </w:r>
    </w:p>
    <w:p>
      <w:pPr>
        <w:spacing w:line="360" w:lineRule="auto"/>
        <w:jc w:val="left"/>
        <w:outlineLvl w:val="0"/>
        <w:rPr>
          <w:rFonts w:hint="eastAsia" w:ascii="仿宋" w:hAnsi="仿宋" w:eastAsia="仿宋" w:cs="仿宋"/>
          <w:b/>
          <w:sz w:val="32"/>
          <w:szCs w:val="18"/>
        </w:rPr>
      </w:pPr>
      <w:r>
        <w:rPr>
          <w:rFonts w:hint="eastAsia" w:ascii="仿宋" w:hAnsi="仿宋" w:eastAsia="仿宋" w:cs="仿宋"/>
          <w:b/>
          <w:sz w:val="32"/>
          <w:szCs w:val="18"/>
        </w:rPr>
        <w:t>附件7：中小企业声明函</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pPr>
        <w:numPr>
          <w:ilvl w:val="0"/>
          <w:numId w:val="2"/>
        </w:numPr>
        <w:spacing w:line="360" w:lineRule="auto"/>
        <w:ind w:right="420" w:firstLine="480" w:firstLineChars="200"/>
        <w:rPr>
          <w:rFonts w:hint="eastAsia" w:ascii="仿宋" w:hAnsi="仿宋" w:eastAsia="仿宋" w:cs="仿宋"/>
          <w:b/>
          <w:bCs/>
          <w:sz w:val="24"/>
        </w:rPr>
      </w:pPr>
      <w:r>
        <w:rPr>
          <w:rFonts w:hint="eastAsia" w:ascii="仿宋" w:hAnsi="仿宋" w:eastAsia="仿宋" w:cs="仿宋"/>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p>
    <w:p>
      <w:pPr>
        <w:spacing w:line="360" w:lineRule="auto"/>
        <w:jc w:val="center"/>
        <w:rPr>
          <w:rFonts w:hint="eastAsia" w:ascii="仿宋" w:hAnsi="仿宋" w:eastAsia="仿宋" w:cs="仿宋"/>
          <w:b/>
          <w:sz w:val="32"/>
          <w:szCs w:val="32"/>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b/>
          <w:sz w:val="32"/>
          <w:szCs w:val="32"/>
        </w:rPr>
        <w:br w:type="page"/>
      </w:r>
    </w:p>
    <w:p>
      <w:pPr>
        <w:pStyle w:val="2"/>
        <w:jc w:val="center"/>
        <w:rPr>
          <w:rFonts w:hint="eastAsia" w:ascii="仿宋" w:hAnsi="仿宋" w:eastAsia="仿宋" w:cs="仿宋"/>
          <w:bCs w:val="0"/>
          <w:kern w:val="0"/>
          <w:lang w:val="en-US"/>
        </w:rPr>
      </w:pPr>
      <w:r>
        <w:rPr>
          <w:rFonts w:hint="eastAsia" w:ascii="仿宋" w:hAnsi="仿宋" w:eastAsia="仿宋" w:cs="仿宋"/>
          <w:bCs w:val="0"/>
          <w:kern w:val="0"/>
          <w:lang w:val="en-US"/>
        </w:rPr>
        <w:t>附件8样品（演示）授权委托书</w:t>
      </w:r>
    </w:p>
    <w:p>
      <w:pPr>
        <w:jc w:val="center"/>
        <w:rPr>
          <w:rFonts w:hint="eastAsia" w:ascii="仿宋" w:hAnsi="仿宋" w:eastAsia="仿宋" w:cs="仿宋"/>
          <w:sz w:val="40"/>
        </w:rPr>
      </w:pPr>
    </w:p>
    <w:p>
      <w:pPr>
        <w:jc w:val="center"/>
        <w:rPr>
          <w:rFonts w:hint="eastAsia" w:ascii="仿宋" w:hAnsi="仿宋" w:eastAsia="仿宋" w:cs="仿宋"/>
          <w:sz w:val="40"/>
        </w:rPr>
      </w:pPr>
      <w:r>
        <w:rPr>
          <w:rFonts w:hint="eastAsia" w:ascii="仿宋" w:hAnsi="仿宋" w:eastAsia="仿宋" w:cs="仿宋"/>
          <w:sz w:val="40"/>
        </w:rPr>
        <w:t>样品（演示）授权委托书</w:t>
      </w:r>
    </w:p>
    <w:p>
      <w:pPr>
        <w:jc w:val="center"/>
        <w:rPr>
          <w:rFonts w:hint="eastAsia" w:ascii="仿宋" w:hAnsi="仿宋" w:eastAsia="仿宋" w:cs="仿宋"/>
          <w:sz w:val="40"/>
        </w:rPr>
      </w:pPr>
    </w:p>
    <w:p>
      <w:pPr>
        <w:snapToGrid w:val="0"/>
        <w:spacing w:line="360" w:lineRule="auto"/>
        <w:rPr>
          <w:rFonts w:hint="eastAsia" w:ascii="仿宋" w:hAnsi="仿宋" w:eastAsia="仿宋" w:cs="仿宋"/>
          <w:color w:val="000000"/>
        </w:rPr>
      </w:pPr>
      <w:r>
        <w:rPr>
          <w:rFonts w:hint="eastAsia" w:ascii="仿宋" w:hAnsi="仿宋" w:eastAsia="仿宋" w:cs="仿宋"/>
          <w:color w:val="000000"/>
        </w:rPr>
        <w:t>XXX（单位名称或采购机构名称）</w:t>
      </w:r>
      <w:r>
        <w:rPr>
          <w:rFonts w:hint="eastAsia" w:ascii="仿宋" w:hAnsi="仿宋" w:eastAsia="仿宋" w:cs="仿宋"/>
          <w:color w:val="000000"/>
          <w:lang w:val="zh-CN"/>
        </w:rPr>
        <w:t>：</w:t>
      </w:r>
    </w:p>
    <w:p>
      <w:pPr>
        <w:snapToGrid w:val="0"/>
        <w:spacing w:line="360" w:lineRule="auto"/>
        <w:ind w:left="254" w:leftChars="121" w:firstLine="420" w:firstLineChars="200"/>
        <w:rPr>
          <w:rFonts w:hint="eastAsia" w:ascii="仿宋" w:hAnsi="仿宋" w:eastAsia="仿宋" w:cs="仿宋"/>
          <w:color w:val="000000"/>
          <w:u w:val="single"/>
          <w:lang w:val="zh-CN"/>
        </w:rPr>
      </w:pPr>
      <w:r>
        <w:rPr>
          <w:rFonts w:hint="eastAsia" w:ascii="仿宋" w:hAnsi="仿宋" w:eastAsia="仿宋" w:cs="仿宋"/>
          <w:color w:val="000000"/>
          <w:lang w:val="zh-CN"/>
        </w:rPr>
        <w:t>兹委派</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先生/女士，身份证号：</w:t>
      </w:r>
      <w:r>
        <w:rPr>
          <w:rFonts w:hint="eastAsia" w:ascii="仿宋" w:hAnsi="仿宋" w:eastAsia="仿宋" w:cs="仿宋"/>
          <w:color w:val="000000"/>
          <w:u w:val="single"/>
          <w:lang w:val="zh-CN"/>
        </w:rPr>
        <w:t xml:space="preserve">                   </w:t>
      </w:r>
    </w:p>
    <w:p>
      <w:pPr>
        <w:snapToGrid w:val="0"/>
        <w:spacing w:line="360" w:lineRule="auto"/>
        <w:ind w:left="254" w:leftChars="121" w:firstLine="420" w:firstLineChars="200"/>
        <w:rPr>
          <w:rFonts w:hint="eastAsia" w:ascii="仿宋" w:hAnsi="仿宋" w:eastAsia="仿宋" w:cs="仿宋"/>
          <w:color w:val="000000"/>
        </w:rPr>
      </w:pPr>
      <w:r>
        <w:rPr>
          <w:rFonts w:hint="eastAsia" w:ascii="仿宋" w:hAnsi="仿宋" w:eastAsia="仿宋" w:cs="仿宋"/>
          <w:color w:val="000000"/>
          <w:lang w:val="zh-CN"/>
        </w:rPr>
        <w:t>手机：</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，代表我公司前来递交</w:t>
      </w:r>
      <w:r>
        <w:rPr>
          <w:rFonts w:hint="eastAsia" w:ascii="仿宋" w:hAnsi="仿宋" w:eastAsia="仿宋" w:cs="仿宋"/>
          <w:color w:val="000000"/>
          <w:u w:val="single"/>
          <w:lang w:val="zh-CN"/>
        </w:rPr>
        <w:t xml:space="preserve">                           采购项目</w:t>
      </w:r>
      <w:r>
        <w:rPr>
          <w:rFonts w:hint="eastAsia" w:ascii="仿宋" w:hAnsi="仿宋" w:eastAsia="仿宋" w:cs="仿宋"/>
          <w:color w:val="000000"/>
          <w:lang w:val="zh-CN"/>
        </w:rPr>
        <w:t>【项目编号：              】（标项号：  ）投标</w:t>
      </w:r>
      <w:r>
        <w:rPr>
          <w:rFonts w:hint="eastAsia" w:ascii="仿宋" w:hAnsi="仿宋" w:eastAsia="仿宋" w:cs="仿宋"/>
          <w:color w:val="0000FF"/>
          <w:lang w:val="zh-CN"/>
        </w:rPr>
        <w:t>样品或参加演示</w:t>
      </w:r>
      <w:r>
        <w:rPr>
          <w:rFonts w:hint="eastAsia" w:ascii="仿宋" w:hAnsi="仿宋" w:eastAsia="仿宋" w:cs="仿宋"/>
          <w:color w:val="000000"/>
          <w:lang w:val="zh-CN"/>
        </w:rPr>
        <w:t>，并全权负责标后取回样品等其他处理事宜。</w:t>
      </w:r>
    </w:p>
    <w:p>
      <w:pPr>
        <w:snapToGrid w:val="0"/>
        <w:spacing w:line="360" w:lineRule="auto"/>
        <w:rPr>
          <w:rFonts w:hint="eastAsia" w:ascii="仿宋" w:hAnsi="仿宋" w:eastAsia="仿宋" w:cs="仿宋"/>
          <w:color w:val="000000"/>
          <w:lang w:val="zh-CN"/>
        </w:rPr>
      </w:pPr>
      <w:r>
        <w:rPr>
          <w:rFonts w:hint="eastAsia" w:ascii="仿宋" w:hAnsi="仿宋" w:eastAsia="仿宋" w:cs="仿宋"/>
          <w:color w:val="000000"/>
          <w:lang w:val="zh-CN"/>
        </w:rPr>
        <w:t xml:space="preserve">  </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特此告知。</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投标人名称(公章)：</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w:t>
      </w:r>
    </w:p>
    <w:p>
      <w:pPr>
        <w:snapToGrid w:val="0"/>
        <w:spacing w:line="360" w:lineRule="auto"/>
        <w:ind w:right="240"/>
        <w:jc w:val="right"/>
        <w:rPr>
          <w:rFonts w:hint="eastAsia" w:ascii="仿宋" w:hAnsi="仿宋" w:eastAsia="仿宋" w:cs="仿宋"/>
          <w:color w:val="000000"/>
          <w:lang w:val="zh-CN"/>
        </w:rPr>
      </w:pPr>
      <w:r>
        <w:rPr>
          <w:rFonts w:hint="eastAsia" w:ascii="仿宋" w:hAnsi="仿宋" w:eastAsia="仿宋" w:cs="仿宋"/>
          <w:color w:val="000000"/>
          <w:lang w:val="zh-CN"/>
        </w:rPr>
        <w:t>签发日期：  年  月   日</w:t>
      </w:r>
    </w:p>
    <w:p>
      <w:pPr>
        <w:snapToGrid w:val="0"/>
        <w:spacing w:line="360" w:lineRule="auto"/>
        <w:ind w:right="240"/>
        <w:jc w:val="right"/>
        <w:rPr>
          <w:rFonts w:hint="eastAsia" w:ascii="仿宋" w:hAnsi="仿宋" w:eastAsia="仿宋" w:cs="仿宋"/>
          <w:color w:val="000000"/>
          <w:lang w:val="zh-CN"/>
        </w:rPr>
      </w:pPr>
    </w:p>
    <w:p>
      <w:pPr>
        <w:snapToGrid w:val="0"/>
        <w:spacing w:line="360" w:lineRule="auto"/>
        <w:ind w:right="1920"/>
        <w:rPr>
          <w:rFonts w:hint="eastAsia" w:ascii="仿宋" w:hAnsi="仿宋" w:eastAsia="仿宋" w:cs="仿宋"/>
          <w:color w:val="000000"/>
          <w:lang w:val="zh-CN"/>
        </w:rPr>
      </w:pPr>
    </w:p>
    <w:p>
      <w:pPr>
        <w:snapToGrid w:val="0"/>
        <w:spacing w:line="360" w:lineRule="auto"/>
        <w:ind w:right="240"/>
        <w:jc w:val="right"/>
        <w:rPr>
          <w:rFonts w:hint="eastAsia" w:ascii="仿宋" w:hAnsi="仿宋" w:eastAsia="仿宋" w:cs="仿宋"/>
          <w:color w:val="000000"/>
          <w:lang w:val="zh-CN"/>
        </w:rPr>
      </w:pPr>
    </w:p>
    <w:p>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rPr>
        <w:t>受委托人</w:t>
      </w:r>
      <w:r>
        <w:rPr>
          <w:rFonts w:hint="eastAsia" w:ascii="仿宋" w:hAnsi="仿宋" w:eastAsia="仿宋" w:cs="仿宋"/>
          <w:color w:val="000000"/>
          <w:lang w:val="zh-CN"/>
        </w:rPr>
        <w:t>身份证复印件：</w:t>
      </w:r>
    </w:p>
    <w:p>
      <w:pPr>
        <w:snapToGrid w:val="0"/>
        <w:spacing w:line="360" w:lineRule="auto"/>
        <w:ind w:right="240"/>
        <w:rPr>
          <w:rFonts w:hint="eastAsia" w:ascii="仿宋" w:hAnsi="仿宋" w:eastAsia="仿宋" w:cs="仿宋"/>
          <w:color w:val="000000"/>
          <w:lang w:val="zh-CN"/>
        </w:rPr>
      </w:pPr>
    </w:p>
    <w:p>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lang w:val="zh-CN"/>
        </w:rPr>
        <w:t>说明：本委托书在有样品或演示时由受委托人携带至指定地点。</w:t>
      </w:r>
    </w:p>
    <w:p>
      <w:pPr>
        <w:autoSpaceDE w:val="0"/>
        <w:autoSpaceDN w:val="0"/>
        <w:jc w:val="center"/>
        <w:rPr>
          <w:rFonts w:hint="eastAsia" w:ascii="仿宋" w:hAnsi="仿宋" w:eastAsia="仿宋" w:cs="仿宋"/>
          <w:b/>
          <w:spacing w:val="6"/>
          <w:sz w:val="32"/>
          <w:szCs w:val="32"/>
        </w:rPr>
      </w:pPr>
      <w:r>
        <w:rPr>
          <w:rFonts w:hint="eastAsia" w:ascii="仿宋" w:hAnsi="仿宋" w:eastAsia="仿宋" w:cs="仿宋"/>
          <w:b/>
          <w:color w:val="000000"/>
        </w:rPr>
        <w:t>同时有样品和演示的，可委托不同人员。</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widowControl/>
        <w:adjustRightInd/>
        <w:jc w:val="left"/>
        <w:rPr>
          <w:rFonts w:hint="eastAsia" w:ascii="仿宋" w:hAnsi="仿宋" w:eastAsia="仿宋" w:cs="仿宋"/>
          <w:b/>
          <w:kern w:val="0"/>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79</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3"/>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43"/>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3"/>
                      <w:jc w:val="center"/>
                    </w:pPr>
                  </w:p>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BE8EC7"/>
    <w:multiLevelType w:val="singleLevel"/>
    <w:tmpl w:val="75BE8EC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NTczOTk5ZmQ0YmU1MTcxNDJiZGViZTIwODVmMmYifQ=="/>
    <w:docVar w:name="KSO_WPS_MARK_KEY" w:val="afd01172-9ccd-444a-9a21-3e3ab59231e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45C"/>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704"/>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83"/>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A17"/>
    <w:rsid w:val="000D7C9D"/>
    <w:rsid w:val="000D7CE0"/>
    <w:rsid w:val="000E2785"/>
    <w:rsid w:val="000E27BB"/>
    <w:rsid w:val="000E3093"/>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8B0"/>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151"/>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B1"/>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B4"/>
    <w:rsid w:val="001E17E3"/>
    <w:rsid w:val="001E2052"/>
    <w:rsid w:val="001E2492"/>
    <w:rsid w:val="001E257C"/>
    <w:rsid w:val="001E286C"/>
    <w:rsid w:val="001E2F34"/>
    <w:rsid w:val="001E35EE"/>
    <w:rsid w:val="001E4B2C"/>
    <w:rsid w:val="001E507F"/>
    <w:rsid w:val="001E56C2"/>
    <w:rsid w:val="001E59FB"/>
    <w:rsid w:val="001E692C"/>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BF5"/>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17"/>
    <w:rsid w:val="002A7FB1"/>
    <w:rsid w:val="002A7FC9"/>
    <w:rsid w:val="002B0DF2"/>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39C"/>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DFF"/>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6B"/>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FF1"/>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99F"/>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BF6"/>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427"/>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37E"/>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598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DB5"/>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9D3"/>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487"/>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A93"/>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AF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6FE"/>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106"/>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AC"/>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69"/>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4BF"/>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895"/>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3D53"/>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252"/>
    <w:rsid w:val="007D5BA2"/>
    <w:rsid w:val="007D5E18"/>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9B8"/>
    <w:rsid w:val="007E6B25"/>
    <w:rsid w:val="007E6E06"/>
    <w:rsid w:val="007E6F4A"/>
    <w:rsid w:val="007E79CC"/>
    <w:rsid w:val="007F1124"/>
    <w:rsid w:val="007F152D"/>
    <w:rsid w:val="007F20C4"/>
    <w:rsid w:val="007F20EE"/>
    <w:rsid w:val="007F23D8"/>
    <w:rsid w:val="007F307A"/>
    <w:rsid w:val="007F30C6"/>
    <w:rsid w:val="007F33D0"/>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70"/>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A7A"/>
    <w:rsid w:val="00884B7A"/>
    <w:rsid w:val="00884BE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55"/>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04A"/>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545"/>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DC1"/>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97DA4"/>
    <w:rsid w:val="009A113D"/>
    <w:rsid w:val="009A1ECA"/>
    <w:rsid w:val="009A2BE9"/>
    <w:rsid w:val="009A2BF3"/>
    <w:rsid w:val="009A3688"/>
    <w:rsid w:val="009A3713"/>
    <w:rsid w:val="009A3C3E"/>
    <w:rsid w:val="009A4153"/>
    <w:rsid w:val="009A4C24"/>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39F"/>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438"/>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90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794"/>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1B9"/>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EF3"/>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7F5"/>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0F9"/>
    <w:rsid w:val="00AF584C"/>
    <w:rsid w:val="00AF5D84"/>
    <w:rsid w:val="00AF6476"/>
    <w:rsid w:val="00AF6568"/>
    <w:rsid w:val="00AF669D"/>
    <w:rsid w:val="00AF672C"/>
    <w:rsid w:val="00AF673E"/>
    <w:rsid w:val="00AF6ABE"/>
    <w:rsid w:val="00AF7389"/>
    <w:rsid w:val="00AF79DF"/>
    <w:rsid w:val="00AF7C37"/>
    <w:rsid w:val="00B00378"/>
    <w:rsid w:val="00B00D91"/>
    <w:rsid w:val="00B00E84"/>
    <w:rsid w:val="00B01DD9"/>
    <w:rsid w:val="00B01E5C"/>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406"/>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2D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AA"/>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195"/>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1F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531"/>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CCA"/>
    <w:rsid w:val="00D13D50"/>
    <w:rsid w:val="00D14101"/>
    <w:rsid w:val="00D144D8"/>
    <w:rsid w:val="00D14919"/>
    <w:rsid w:val="00D14E25"/>
    <w:rsid w:val="00D15470"/>
    <w:rsid w:val="00D15AE3"/>
    <w:rsid w:val="00D160C4"/>
    <w:rsid w:val="00D165D8"/>
    <w:rsid w:val="00D1724E"/>
    <w:rsid w:val="00D17C26"/>
    <w:rsid w:val="00D17E08"/>
    <w:rsid w:val="00D2032D"/>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44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80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B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780"/>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F56"/>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596"/>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27"/>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2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3A3"/>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E92"/>
    <w:rsid w:val="00EC4528"/>
    <w:rsid w:val="00EC5241"/>
    <w:rsid w:val="00EC5817"/>
    <w:rsid w:val="00EC594C"/>
    <w:rsid w:val="00EC5C7B"/>
    <w:rsid w:val="00EC66AA"/>
    <w:rsid w:val="00EC68B1"/>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36E"/>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B1D"/>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98C"/>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7BF"/>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585"/>
    <w:rsid w:val="00FF5B8D"/>
    <w:rsid w:val="00FF5C6A"/>
    <w:rsid w:val="00FF651D"/>
    <w:rsid w:val="00FF6843"/>
    <w:rsid w:val="00FF6C25"/>
    <w:rsid w:val="010651D9"/>
    <w:rsid w:val="011F6449"/>
    <w:rsid w:val="01236AFB"/>
    <w:rsid w:val="013F4E2A"/>
    <w:rsid w:val="016D5684"/>
    <w:rsid w:val="019F7441"/>
    <w:rsid w:val="01A17AA8"/>
    <w:rsid w:val="01B37585"/>
    <w:rsid w:val="01D55165"/>
    <w:rsid w:val="01DF6BF8"/>
    <w:rsid w:val="01EC2C57"/>
    <w:rsid w:val="025F0711"/>
    <w:rsid w:val="026B2E25"/>
    <w:rsid w:val="02824D4D"/>
    <w:rsid w:val="02DC4B10"/>
    <w:rsid w:val="02DD76CE"/>
    <w:rsid w:val="02DE7C7D"/>
    <w:rsid w:val="02F36323"/>
    <w:rsid w:val="02F520D1"/>
    <w:rsid w:val="02F5619C"/>
    <w:rsid w:val="03195159"/>
    <w:rsid w:val="0326446A"/>
    <w:rsid w:val="032D5555"/>
    <w:rsid w:val="036634D2"/>
    <w:rsid w:val="03922815"/>
    <w:rsid w:val="03B74E41"/>
    <w:rsid w:val="03C765EA"/>
    <w:rsid w:val="03DD35E4"/>
    <w:rsid w:val="04076900"/>
    <w:rsid w:val="04152967"/>
    <w:rsid w:val="041A5A3B"/>
    <w:rsid w:val="042311BA"/>
    <w:rsid w:val="042B157A"/>
    <w:rsid w:val="043B2EAD"/>
    <w:rsid w:val="0461319C"/>
    <w:rsid w:val="04824B9E"/>
    <w:rsid w:val="048F763B"/>
    <w:rsid w:val="049F330E"/>
    <w:rsid w:val="04A5113C"/>
    <w:rsid w:val="04AA775C"/>
    <w:rsid w:val="04AF1889"/>
    <w:rsid w:val="04D31337"/>
    <w:rsid w:val="04F66F48"/>
    <w:rsid w:val="05251E14"/>
    <w:rsid w:val="05A16594"/>
    <w:rsid w:val="05A33A8F"/>
    <w:rsid w:val="05A7762D"/>
    <w:rsid w:val="060E5941"/>
    <w:rsid w:val="06110FAF"/>
    <w:rsid w:val="06493CA7"/>
    <w:rsid w:val="065A6178"/>
    <w:rsid w:val="066F1CF3"/>
    <w:rsid w:val="0671547F"/>
    <w:rsid w:val="06930BB8"/>
    <w:rsid w:val="06A92350"/>
    <w:rsid w:val="06D558AA"/>
    <w:rsid w:val="06E96AA2"/>
    <w:rsid w:val="07245D42"/>
    <w:rsid w:val="07264C62"/>
    <w:rsid w:val="0779354C"/>
    <w:rsid w:val="078E7A25"/>
    <w:rsid w:val="08061376"/>
    <w:rsid w:val="08452D77"/>
    <w:rsid w:val="086401F8"/>
    <w:rsid w:val="08751CAA"/>
    <w:rsid w:val="08793FA4"/>
    <w:rsid w:val="087E4C40"/>
    <w:rsid w:val="08A871D0"/>
    <w:rsid w:val="08D66AD6"/>
    <w:rsid w:val="08DA33A3"/>
    <w:rsid w:val="08E80F13"/>
    <w:rsid w:val="090048DC"/>
    <w:rsid w:val="091D14A5"/>
    <w:rsid w:val="09335624"/>
    <w:rsid w:val="0944690F"/>
    <w:rsid w:val="09535675"/>
    <w:rsid w:val="095F057D"/>
    <w:rsid w:val="09642282"/>
    <w:rsid w:val="09733572"/>
    <w:rsid w:val="09772C16"/>
    <w:rsid w:val="098353B5"/>
    <w:rsid w:val="09A92330"/>
    <w:rsid w:val="09B06B87"/>
    <w:rsid w:val="09C13146"/>
    <w:rsid w:val="09DC47EA"/>
    <w:rsid w:val="09E04166"/>
    <w:rsid w:val="09ED271C"/>
    <w:rsid w:val="0A1C0718"/>
    <w:rsid w:val="0A3E7710"/>
    <w:rsid w:val="0A5B7E63"/>
    <w:rsid w:val="0A822192"/>
    <w:rsid w:val="0AA374A5"/>
    <w:rsid w:val="0AAB7649"/>
    <w:rsid w:val="0ABC5606"/>
    <w:rsid w:val="0B30404E"/>
    <w:rsid w:val="0B4C6C14"/>
    <w:rsid w:val="0B547599"/>
    <w:rsid w:val="0B631A88"/>
    <w:rsid w:val="0B683D45"/>
    <w:rsid w:val="0B7F3F11"/>
    <w:rsid w:val="0B884417"/>
    <w:rsid w:val="0BF6188C"/>
    <w:rsid w:val="0BF73C91"/>
    <w:rsid w:val="0C170175"/>
    <w:rsid w:val="0C2B3807"/>
    <w:rsid w:val="0C571A41"/>
    <w:rsid w:val="0C5C1171"/>
    <w:rsid w:val="0C5E1CBC"/>
    <w:rsid w:val="0C602EFA"/>
    <w:rsid w:val="0C615B50"/>
    <w:rsid w:val="0C8445DA"/>
    <w:rsid w:val="0C87121B"/>
    <w:rsid w:val="0C882A07"/>
    <w:rsid w:val="0CAA755C"/>
    <w:rsid w:val="0CC007F7"/>
    <w:rsid w:val="0CC617AC"/>
    <w:rsid w:val="0CC70BCA"/>
    <w:rsid w:val="0CE618DF"/>
    <w:rsid w:val="0CEF45A0"/>
    <w:rsid w:val="0CF37890"/>
    <w:rsid w:val="0CFE707A"/>
    <w:rsid w:val="0D063BDA"/>
    <w:rsid w:val="0D08375F"/>
    <w:rsid w:val="0D0F7E0C"/>
    <w:rsid w:val="0D184CFB"/>
    <w:rsid w:val="0D1C7D1F"/>
    <w:rsid w:val="0D4A7419"/>
    <w:rsid w:val="0D827401"/>
    <w:rsid w:val="0D84094E"/>
    <w:rsid w:val="0D8A00E9"/>
    <w:rsid w:val="0D8D589E"/>
    <w:rsid w:val="0DA01C73"/>
    <w:rsid w:val="0DC43B46"/>
    <w:rsid w:val="0DD63300"/>
    <w:rsid w:val="0DF50604"/>
    <w:rsid w:val="0DF702FE"/>
    <w:rsid w:val="0E060E51"/>
    <w:rsid w:val="0E4E33A5"/>
    <w:rsid w:val="0E5604B2"/>
    <w:rsid w:val="0E6D5D79"/>
    <w:rsid w:val="0E9D0089"/>
    <w:rsid w:val="0EB803EE"/>
    <w:rsid w:val="0EBE6BB4"/>
    <w:rsid w:val="0EF94D4B"/>
    <w:rsid w:val="0F03073C"/>
    <w:rsid w:val="0F4958DC"/>
    <w:rsid w:val="0F515DF7"/>
    <w:rsid w:val="0F596BA8"/>
    <w:rsid w:val="0F6248D2"/>
    <w:rsid w:val="0F693536"/>
    <w:rsid w:val="0F7B0511"/>
    <w:rsid w:val="0F7B76D9"/>
    <w:rsid w:val="0F816ACD"/>
    <w:rsid w:val="0F9832DB"/>
    <w:rsid w:val="0FBF3FD2"/>
    <w:rsid w:val="0FBF686B"/>
    <w:rsid w:val="0FBF7FF3"/>
    <w:rsid w:val="1050195C"/>
    <w:rsid w:val="10646583"/>
    <w:rsid w:val="107D4B15"/>
    <w:rsid w:val="108A3C80"/>
    <w:rsid w:val="10C26171"/>
    <w:rsid w:val="10C84048"/>
    <w:rsid w:val="10F33360"/>
    <w:rsid w:val="10FC16EA"/>
    <w:rsid w:val="10FC6AD8"/>
    <w:rsid w:val="110F1D40"/>
    <w:rsid w:val="11266F33"/>
    <w:rsid w:val="118963A1"/>
    <w:rsid w:val="11AF0A31"/>
    <w:rsid w:val="11C6522A"/>
    <w:rsid w:val="11C9307C"/>
    <w:rsid w:val="11DB182B"/>
    <w:rsid w:val="11E104CC"/>
    <w:rsid w:val="11E20309"/>
    <w:rsid w:val="121C355D"/>
    <w:rsid w:val="12255233"/>
    <w:rsid w:val="124E024F"/>
    <w:rsid w:val="12530213"/>
    <w:rsid w:val="127723A9"/>
    <w:rsid w:val="12862074"/>
    <w:rsid w:val="12883966"/>
    <w:rsid w:val="129E45B4"/>
    <w:rsid w:val="12A22DAA"/>
    <w:rsid w:val="12D81596"/>
    <w:rsid w:val="12DB2562"/>
    <w:rsid w:val="13072A44"/>
    <w:rsid w:val="135F4BE2"/>
    <w:rsid w:val="136417B1"/>
    <w:rsid w:val="139B1A0A"/>
    <w:rsid w:val="139D25C7"/>
    <w:rsid w:val="139D3726"/>
    <w:rsid w:val="13BF3CE4"/>
    <w:rsid w:val="141008D8"/>
    <w:rsid w:val="14125FE6"/>
    <w:rsid w:val="1415556D"/>
    <w:rsid w:val="142E6D4B"/>
    <w:rsid w:val="145928DC"/>
    <w:rsid w:val="146D271E"/>
    <w:rsid w:val="14982588"/>
    <w:rsid w:val="149A5AD9"/>
    <w:rsid w:val="149D0E1B"/>
    <w:rsid w:val="14A7619D"/>
    <w:rsid w:val="150536C3"/>
    <w:rsid w:val="150A6C5B"/>
    <w:rsid w:val="150C1963"/>
    <w:rsid w:val="151447A0"/>
    <w:rsid w:val="153F51B1"/>
    <w:rsid w:val="154A6454"/>
    <w:rsid w:val="15762120"/>
    <w:rsid w:val="159B0690"/>
    <w:rsid w:val="163C1560"/>
    <w:rsid w:val="16A8729C"/>
    <w:rsid w:val="16B33777"/>
    <w:rsid w:val="16BC70A7"/>
    <w:rsid w:val="16C6339E"/>
    <w:rsid w:val="170830C2"/>
    <w:rsid w:val="172078D6"/>
    <w:rsid w:val="172F2D79"/>
    <w:rsid w:val="17557BEF"/>
    <w:rsid w:val="1759391E"/>
    <w:rsid w:val="178D088D"/>
    <w:rsid w:val="179F4AE7"/>
    <w:rsid w:val="17D061C5"/>
    <w:rsid w:val="17D349C1"/>
    <w:rsid w:val="17E3556E"/>
    <w:rsid w:val="18244F26"/>
    <w:rsid w:val="1830729E"/>
    <w:rsid w:val="18650755"/>
    <w:rsid w:val="1870062C"/>
    <w:rsid w:val="187B448D"/>
    <w:rsid w:val="18817102"/>
    <w:rsid w:val="18830A15"/>
    <w:rsid w:val="18852B28"/>
    <w:rsid w:val="188B5321"/>
    <w:rsid w:val="19563CB9"/>
    <w:rsid w:val="19932372"/>
    <w:rsid w:val="199C69FE"/>
    <w:rsid w:val="19A20DD5"/>
    <w:rsid w:val="19A838D1"/>
    <w:rsid w:val="19AE03F1"/>
    <w:rsid w:val="1A071A03"/>
    <w:rsid w:val="1A1F16AE"/>
    <w:rsid w:val="1A3B5C77"/>
    <w:rsid w:val="1A673E98"/>
    <w:rsid w:val="1A692698"/>
    <w:rsid w:val="1A984BAD"/>
    <w:rsid w:val="1AB8220E"/>
    <w:rsid w:val="1AC8400A"/>
    <w:rsid w:val="1AE4166C"/>
    <w:rsid w:val="1AF06CFB"/>
    <w:rsid w:val="1AF11B8D"/>
    <w:rsid w:val="1B11359C"/>
    <w:rsid w:val="1B1D4C62"/>
    <w:rsid w:val="1B2A271F"/>
    <w:rsid w:val="1B530544"/>
    <w:rsid w:val="1B713184"/>
    <w:rsid w:val="1BA209CF"/>
    <w:rsid w:val="1BB4777D"/>
    <w:rsid w:val="1BD75AB8"/>
    <w:rsid w:val="1BF64A6B"/>
    <w:rsid w:val="1C0459C2"/>
    <w:rsid w:val="1C1B3B4A"/>
    <w:rsid w:val="1C88086E"/>
    <w:rsid w:val="1C960B75"/>
    <w:rsid w:val="1CF93149"/>
    <w:rsid w:val="1D266CE1"/>
    <w:rsid w:val="1D3963AF"/>
    <w:rsid w:val="1D6A673C"/>
    <w:rsid w:val="1D9247AE"/>
    <w:rsid w:val="1DA3360D"/>
    <w:rsid w:val="1DB567EC"/>
    <w:rsid w:val="1DC011C6"/>
    <w:rsid w:val="1DEF6D8A"/>
    <w:rsid w:val="1DF51A98"/>
    <w:rsid w:val="1E051CD9"/>
    <w:rsid w:val="1E1D5C20"/>
    <w:rsid w:val="1E3D060F"/>
    <w:rsid w:val="1E3F7D2E"/>
    <w:rsid w:val="1E4134E4"/>
    <w:rsid w:val="1E5062B3"/>
    <w:rsid w:val="1E523514"/>
    <w:rsid w:val="1E714A66"/>
    <w:rsid w:val="1E7D79E8"/>
    <w:rsid w:val="1E802593"/>
    <w:rsid w:val="1E8B6156"/>
    <w:rsid w:val="1EA703CC"/>
    <w:rsid w:val="1EB7330C"/>
    <w:rsid w:val="1F0A0FF3"/>
    <w:rsid w:val="1F5771FF"/>
    <w:rsid w:val="1F9D72D5"/>
    <w:rsid w:val="1FD52574"/>
    <w:rsid w:val="1FE30229"/>
    <w:rsid w:val="1FE721AD"/>
    <w:rsid w:val="1FE868A9"/>
    <w:rsid w:val="20034907"/>
    <w:rsid w:val="20141D54"/>
    <w:rsid w:val="20173E4B"/>
    <w:rsid w:val="201E1C07"/>
    <w:rsid w:val="20497DA7"/>
    <w:rsid w:val="204E48BC"/>
    <w:rsid w:val="205D622D"/>
    <w:rsid w:val="208921B3"/>
    <w:rsid w:val="208D5628"/>
    <w:rsid w:val="2090637B"/>
    <w:rsid w:val="20973DEB"/>
    <w:rsid w:val="20B26522"/>
    <w:rsid w:val="20B44310"/>
    <w:rsid w:val="20FB5A46"/>
    <w:rsid w:val="211116EB"/>
    <w:rsid w:val="21413F37"/>
    <w:rsid w:val="216133FC"/>
    <w:rsid w:val="21D56769"/>
    <w:rsid w:val="21E17653"/>
    <w:rsid w:val="21E52EF3"/>
    <w:rsid w:val="21ED6DF6"/>
    <w:rsid w:val="21FB5D7B"/>
    <w:rsid w:val="22015E94"/>
    <w:rsid w:val="220B1C3D"/>
    <w:rsid w:val="221D1D20"/>
    <w:rsid w:val="2221572E"/>
    <w:rsid w:val="22334A87"/>
    <w:rsid w:val="227A4A01"/>
    <w:rsid w:val="22BE6801"/>
    <w:rsid w:val="233500BF"/>
    <w:rsid w:val="23377FF7"/>
    <w:rsid w:val="236B425F"/>
    <w:rsid w:val="23836192"/>
    <w:rsid w:val="23901F29"/>
    <w:rsid w:val="239C0061"/>
    <w:rsid w:val="23B908A4"/>
    <w:rsid w:val="23BA7198"/>
    <w:rsid w:val="23E81E0C"/>
    <w:rsid w:val="23E95BEF"/>
    <w:rsid w:val="23FD0064"/>
    <w:rsid w:val="245375B0"/>
    <w:rsid w:val="24642C0A"/>
    <w:rsid w:val="248867D7"/>
    <w:rsid w:val="24B22173"/>
    <w:rsid w:val="24B95AD9"/>
    <w:rsid w:val="24BC729A"/>
    <w:rsid w:val="24BE24DA"/>
    <w:rsid w:val="24CF5825"/>
    <w:rsid w:val="24D663E6"/>
    <w:rsid w:val="24D77F2B"/>
    <w:rsid w:val="258B00E2"/>
    <w:rsid w:val="25904EC6"/>
    <w:rsid w:val="25944AC9"/>
    <w:rsid w:val="25A917A6"/>
    <w:rsid w:val="25B71060"/>
    <w:rsid w:val="25BE27CC"/>
    <w:rsid w:val="25F74A5C"/>
    <w:rsid w:val="26223DC7"/>
    <w:rsid w:val="2628662C"/>
    <w:rsid w:val="262D45DE"/>
    <w:rsid w:val="26745362"/>
    <w:rsid w:val="267F67D1"/>
    <w:rsid w:val="26871DC8"/>
    <w:rsid w:val="26995227"/>
    <w:rsid w:val="26A53EF9"/>
    <w:rsid w:val="26A94201"/>
    <w:rsid w:val="26AC274F"/>
    <w:rsid w:val="26E33204"/>
    <w:rsid w:val="27044A29"/>
    <w:rsid w:val="27156FA5"/>
    <w:rsid w:val="271D34C8"/>
    <w:rsid w:val="27405B8F"/>
    <w:rsid w:val="27442A3F"/>
    <w:rsid w:val="276142BF"/>
    <w:rsid w:val="27783712"/>
    <w:rsid w:val="27907362"/>
    <w:rsid w:val="27BB52F1"/>
    <w:rsid w:val="28333E1D"/>
    <w:rsid w:val="28454BD6"/>
    <w:rsid w:val="28455253"/>
    <w:rsid w:val="28551971"/>
    <w:rsid w:val="285B1C53"/>
    <w:rsid w:val="28643ED1"/>
    <w:rsid w:val="289F7086"/>
    <w:rsid w:val="28AD5878"/>
    <w:rsid w:val="28C32028"/>
    <w:rsid w:val="28CC490F"/>
    <w:rsid w:val="28DE40AA"/>
    <w:rsid w:val="29345E77"/>
    <w:rsid w:val="294A756A"/>
    <w:rsid w:val="294C65AD"/>
    <w:rsid w:val="295D54F0"/>
    <w:rsid w:val="29731988"/>
    <w:rsid w:val="29806583"/>
    <w:rsid w:val="298B3C4C"/>
    <w:rsid w:val="29D95BD2"/>
    <w:rsid w:val="29E67BCF"/>
    <w:rsid w:val="29F26D24"/>
    <w:rsid w:val="2A15033F"/>
    <w:rsid w:val="2A1662C1"/>
    <w:rsid w:val="2A1C7367"/>
    <w:rsid w:val="2A2815FA"/>
    <w:rsid w:val="2A403DF7"/>
    <w:rsid w:val="2A6D6092"/>
    <w:rsid w:val="2A6E7289"/>
    <w:rsid w:val="2A716636"/>
    <w:rsid w:val="2A7D76B4"/>
    <w:rsid w:val="2AFA3330"/>
    <w:rsid w:val="2B437463"/>
    <w:rsid w:val="2B6C11D6"/>
    <w:rsid w:val="2B7807EE"/>
    <w:rsid w:val="2B986D7B"/>
    <w:rsid w:val="2BA50BF7"/>
    <w:rsid w:val="2BBF00EC"/>
    <w:rsid w:val="2BC37CFD"/>
    <w:rsid w:val="2BD5237F"/>
    <w:rsid w:val="2BE536CE"/>
    <w:rsid w:val="2BE758D9"/>
    <w:rsid w:val="2BF346BB"/>
    <w:rsid w:val="2C09049E"/>
    <w:rsid w:val="2C0A653C"/>
    <w:rsid w:val="2C191F85"/>
    <w:rsid w:val="2CA271A3"/>
    <w:rsid w:val="2CE82D6F"/>
    <w:rsid w:val="2D343236"/>
    <w:rsid w:val="2D4A18E7"/>
    <w:rsid w:val="2D575011"/>
    <w:rsid w:val="2D9873C0"/>
    <w:rsid w:val="2DC32B2E"/>
    <w:rsid w:val="2DD15014"/>
    <w:rsid w:val="2DF72DE4"/>
    <w:rsid w:val="2E0220AF"/>
    <w:rsid w:val="2E39231C"/>
    <w:rsid w:val="2E3C1B78"/>
    <w:rsid w:val="2E4B082A"/>
    <w:rsid w:val="2E5D4E86"/>
    <w:rsid w:val="2E5D790B"/>
    <w:rsid w:val="2E9A3C18"/>
    <w:rsid w:val="2EBB0FEE"/>
    <w:rsid w:val="2EBC5033"/>
    <w:rsid w:val="2EC63002"/>
    <w:rsid w:val="2ED26038"/>
    <w:rsid w:val="2ED4275D"/>
    <w:rsid w:val="2F0A6B38"/>
    <w:rsid w:val="2F2F4267"/>
    <w:rsid w:val="2F946CCB"/>
    <w:rsid w:val="2FD25781"/>
    <w:rsid w:val="2FDC745C"/>
    <w:rsid w:val="2FFD7934"/>
    <w:rsid w:val="30450A8C"/>
    <w:rsid w:val="305F7D9F"/>
    <w:rsid w:val="30733ACD"/>
    <w:rsid w:val="307A0735"/>
    <w:rsid w:val="308C3862"/>
    <w:rsid w:val="309379D8"/>
    <w:rsid w:val="30A270F7"/>
    <w:rsid w:val="30DF1478"/>
    <w:rsid w:val="30E74FBA"/>
    <w:rsid w:val="30EC586F"/>
    <w:rsid w:val="310E70FE"/>
    <w:rsid w:val="319C6071"/>
    <w:rsid w:val="31AC537E"/>
    <w:rsid w:val="31AC5DB3"/>
    <w:rsid w:val="31E3679B"/>
    <w:rsid w:val="31E732FD"/>
    <w:rsid w:val="31F87E8B"/>
    <w:rsid w:val="32517576"/>
    <w:rsid w:val="32B53CA7"/>
    <w:rsid w:val="32BE5C2C"/>
    <w:rsid w:val="32FB6478"/>
    <w:rsid w:val="330609D4"/>
    <w:rsid w:val="33097532"/>
    <w:rsid w:val="33263B3F"/>
    <w:rsid w:val="336963EB"/>
    <w:rsid w:val="33816EEB"/>
    <w:rsid w:val="33A8380B"/>
    <w:rsid w:val="33AE2763"/>
    <w:rsid w:val="33DF4F65"/>
    <w:rsid w:val="33EB55CD"/>
    <w:rsid w:val="33EC4C02"/>
    <w:rsid w:val="33EE4A83"/>
    <w:rsid w:val="340D2360"/>
    <w:rsid w:val="3410665D"/>
    <w:rsid w:val="34211214"/>
    <w:rsid w:val="342E63AB"/>
    <w:rsid w:val="34950E68"/>
    <w:rsid w:val="34986E94"/>
    <w:rsid w:val="349B3370"/>
    <w:rsid w:val="34AF62C9"/>
    <w:rsid w:val="34CB4388"/>
    <w:rsid w:val="34FA6E12"/>
    <w:rsid w:val="351C5D78"/>
    <w:rsid w:val="354D7158"/>
    <w:rsid w:val="358D5588"/>
    <w:rsid w:val="359327BC"/>
    <w:rsid w:val="35A53D8B"/>
    <w:rsid w:val="363A3B40"/>
    <w:rsid w:val="365302AE"/>
    <w:rsid w:val="36607A0A"/>
    <w:rsid w:val="366E227C"/>
    <w:rsid w:val="366F2E0D"/>
    <w:rsid w:val="367B6A5C"/>
    <w:rsid w:val="36A74ADA"/>
    <w:rsid w:val="36AA529F"/>
    <w:rsid w:val="36AD60D5"/>
    <w:rsid w:val="36B224F9"/>
    <w:rsid w:val="36E34F17"/>
    <w:rsid w:val="36EC0CC9"/>
    <w:rsid w:val="37114C9C"/>
    <w:rsid w:val="373F410B"/>
    <w:rsid w:val="376D4844"/>
    <w:rsid w:val="37EE7094"/>
    <w:rsid w:val="38296C89"/>
    <w:rsid w:val="383002EB"/>
    <w:rsid w:val="38586797"/>
    <w:rsid w:val="385D15DF"/>
    <w:rsid w:val="38BC0149"/>
    <w:rsid w:val="38D87D1C"/>
    <w:rsid w:val="38FC32F5"/>
    <w:rsid w:val="392F4E93"/>
    <w:rsid w:val="393D0552"/>
    <w:rsid w:val="39605333"/>
    <w:rsid w:val="39636459"/>
    <w:rsid w:val="396633F1"/>
    <w:rsid w:val="396B7F6C"/>
    <w:rsid w:val="39B417A9"/>
    <w:rsid w:val="39FA4695"/>
    <w:rsid w:val="39FC5695"/>
    <w:rsid w:val="3A006D8E"/>
    <w:rsid w:val="3A136626"/>
    <w:rsid w:val="3A1E0383"/>
    <w:rsid w:val="3A296163"/>
    <w:rsid w:val="3A3651E5"/>
    <w:rsid w:val="3A744481"/>
    <w:rsid w:val="3A790C4B"/>
    <w:rsid w:val="3A8C7BEF"/>
    <w:rsid w:val="3A906246"/>
    <w:rsid w:val="3AD068AC"/>
    <w:rsid w:val="3B1534E3"/>
    <w:rsid w:val="3B2349B7"/>
    <w:rsid w:val="3B245E6D"/>
    <w:rsid w:val="3B616CFF"/>
    <w:rsid w:val="3B6259F6"/>
    <w:rsid w:val="3B847696"/>
    <w:rsid w:val="3B976654"/>
    <w:rsid w:val="3BA6193E"/>
    <w:rsid w:val="3BAE6631"/>
    <w:rsid w:val="3BC01EFC"/>
    <w:rsid w:val="3BCA786A"/>
    <w:rsid w:val="3BD31E2F"/>
    <w:rsid w:val="3BE5698E"/>
    <w:rsid w:val="3BF15831"/>
    <w:rsid w:val="3C0331F7"/>
    <w:rsid w:val="3C105946"/>
    <w:rsid w:val="3C1C1886"/>
    <w:rsid w:val="3C310CC0"/>
    <w:rsid w:val="3C471448"/>
    <w:rsid w:val="3C5F759A"/>
    <w:rsid w:val="3C6C525A"/>
    <w:rsid w:val="3CA348B2"/>
    <w:rsid w:val="3CCE23CB"/>
    <w:rsid w:val="3CD17D17"/>
    <w:rsid w:val="3D394249"/>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278B8"/>
    <w:rsid w:val="3E7B5D6B"/>
    <w:rsid w:val="3E8135D7"/>
    <w:rsid w:val="3E843E66"/>
    <w:rsid w:val="3E8F51FE"/>
    <w:rsid w:val="3E926F87"/>
    <w:rsid w:val="3E9A59DE"/>
    <w:rsid w:val="3EAF4836"/>
    <w:rsid w:val="3EC33DFA"/>
    <w:rsid w:val="3EE020AB"/>
    <w:rsid w:val="3F060E16"/>
    <w:rsid w:val="3F1D1096"/>
    <w:rsid w:val="3F2F0234"/>
    <w:rsid w:val="3F6363FE"/>
    <w:rsid w:val="3F756B8F"/>
    <w:rsid w:val="3F95482B"/>
    <w:rsid w:val="3FD17682"/>
    <w:rsid w:val="4019356B"/>
    <w:rsid w:val="40592157"/>
    <w:rsid w:val="406E1CAE"/>
    <w:rsid w:val="40A0133A"/>
    <w:rsid w:val="40C31A53"/>
    <w:rsid w:val="40DB795D"/>
    <w:rsid w:val="40FF545D"/>
    <w:rsid w:val="410067C8"/>
    <w:rsid w:val="41377F7D"/>
    <w:rsid w:val="418F0D2A"/>
    <w:rsid w:val="41D01505"/>
    <w:rsid w:val="42474939"/>
    <w:rsid w:val="424C3C57"/>
    <w:rsid w:val="42613FF3"/>
    <w:rsid w:val="42660D96"/>
    <w:rsid w:val="428617AE"/>
    <w:rsid w:val="428667D2"/>
    <w:rsid w:val="42CD1CE0"/>
    <w:rsid w:val="42DC215E"/>
    <w:rsid w:val="42E1381E"/>
    <w:rsid w:val="42ED6459"/>
    <w:rsid w:val="42FE58DD"/>
    <w:rsid w:val="43174B3D"/>
    <w:rsid w:val="434B790E"/>
    <w:rsid w:val="4360274F"/>
    <w:rsid w:val="43977AB6"/>
    <w:rsid w:val="43A3342B"/>
    <w:rsid w:val="43B92000"/>
    <w:rsid w:val="43C77C27"/>
    <w:rsid w:val="43DE09EE"/>
    <w:rsid w:val="44002FAD"/>
    <w:rsid w:val="449101DD"/>
    <w:rsid w:val="44980AAA"/>
    <w:rsid w:val="44A93B50"/>
    <w:rsid w:val="44CA262C"/>
    <w:rsid w:val="44DE1391"/>
    <w:rsid w:val="451B225C"/>
    <w:rsid w:val="452410C9"/>
    <w:rsid w:val="45317DFB"/>
    <w:rsid w:val="456D3CE4"/>
    <w:rsid w:val="457037A5"/>
    <w:rsid w:val="45731A87"/>
    <w:rsid w:val="4579042C"/>
    <w:rsid w:val="457F0571"/>
    <w:rsid w:val="45851176"/>
    <w:rsid w:val="45AC0555"/>
    <w:rsid w:val="45BD63AC"/>
    <w:rsid w:val="45C63B94"/>
    <w:rsid w:val="45ED379F"/>
    <w:rsid w:val="45F97A71"/>
    <w:rsid w:val="460E7DA5"/>
    <w:rsid w:val="46422483"/>
    <w:rsid w:val="4659254A"/>
    <w:rsid w:val="465B0637"/>
    <w:rsid w:val="465E3F0D"/>
    <w:rsid w:val="466A16E6"/>
    <w:rsid w:val="46893F2B"/>
    <w:rsid w:val="46AC262D"/>
    <w:rsid w:val="46C4686E"/>
    <w:rsid w:val="47727F60"/>
    <w:rsid w:val="477B778F"/>
    <w:rsid w:val="478203EC"/>
    <w:rsid w:val="47B025FA"/>
    <w:rsid w:val="4809698F"/>
    <w:rsid w:val="4811697D"/>
    <w:rsid w:val="485504D2"/>
    <w:rsid w:val="487A3E25"/>
    <w:rsid w:val="488B5503"/>
    <w:rsid w:val="48937E21"/>
    <w:rsid w:val="489A0361"/>
    <w:rsid w:val="48B94FF3"/>
    <w:rsid w:val="48CD3C9C"/>
    <w:rsid w:val="48E37AAB"/>
    <w:rsid w:val="48FD4B4C"/>
    <w:rsid w:val="490A68E0"/>
    <w:rsid w:val="491055FE"/>
    <w:rsid w:val="495F5B3E"/>
    <w:rsid w:val="496F77D7"/>
    <w:rsid w:val="497654FD"/>
    <w:rsid w:val="49B64211"/>
    <w:rsid w:val="49C21734"/>
    <w:rsid w:val="49F6167F"/>
    <w:rsid w:val="4A064FA0"/>
    <w:rsid w:val="4A16615C"/>
    <w:rsid w:val="4A4424D7"/>
    <w:rsid w:val="4AB82D0F"/>
    <w:rsid w:val="4AEB7664"/>
    <w:rsid w:val="4AFD7C19"/>
    <w:rsid w:val="4B0567D1"/>
    <w:rsid w:val="4B236AAE"/>
    <w:rsid w:val="4B707271"/>
    <w:rsid w:val="4B9739F7"/>
    <w:rsid w:val="4BD72E77"/>
    <w:rsid w:val="4BEE2503"/>
    <w:rsid w:val="4C245A30"/>
    <w:rsid w:val="4C4934F4"/>
    <w:rsid w:val="4C6B44EA"/>
    <w:rsid w:val="4C8A2E46"/>
    <w:rsid w:val="4C9A4A62"/>
    <w:rsid w:val="4CB6685F"/>
    <w:rsid w:val="4CC367FE"/>
    <w:rsid w:val="4D077F3C"/>
    <w:rsid w:val="4D123355"/>
    <w:rsid w:val="4D1D1077"/>
    <w:rsid w:val="4D2A3B31"/>
    <w:rsid w:val="4D312C52"/>
    <w:rsid w:val="4D3804BF"/>
    <w:rsid w:val="4D5F2329"/>
    <w:rsid w:val="4D905305"/>
    <w:rsid w:val="4D964A72"/>
    <w:rsid w:val="4D9C1254"/>
    <w:rsid w:val="4DAD4803"/>
    <w:rsid w:val="4E21033B"/>
    <w:rsid w:val="4E482245"/>
    <w:rsid w:val="4E4F39D4"/>
    <w:rsid w:val="4E793892"/>
    <w:rsid w:val="4E800872"/>
    <w:rsid w:val="4EAB722A"/>
    <w:rsid w:val="4EC569ED"/>
    <w:rsid w:val="4ED50EA1"/>
    <w:rsid w:val="4EE951EB"/>
    <w:rsid w:val="4EEC050C"/>
    <w:rsid w:val="4F104EC3"/>
    <w:rsid w:val="4F1B712F"/>
    <w:rsid w:val="4F3928C7"/>
    <w:rsid w:val="4F47354A"/>
    <w:rsid w:val="4F5F6E2B"/>
    <w:rsid w:val="4F911C54"/>
    <w:rsid w:val="4FE625E0"/>
    <w:rsid w:val="5021480F"/>
    <w:rsid w:val="507A6985"/>
    <w:rsid w:val="50855026"/>
    <w:rsid w:val="50952E66"/>
    <w:rsid w:val="50962ECB"/>
    <w:rsid w:val="50A42E38"/>
    <w:rsid w:val="50A4577F"/>
    <w:rsid w:val="50B73D1F"/>
    <w:rsid w:val="50BD5BC9"/>
    <w:rsid w:val="50C11EEE"/>
    <w:rsid w:val="50E97CFC"/>
    <w:rsid w:val="50FA4028"/>
    <w:rsid w:val="51077140"/>
    <w:rsid w:val="510D65B7"/>
    <w:rsid w:val="511157AB"/>
    <w:rsid w:val="513B13C3"/>
    <w:rsid w:val="5142540C"/>
    <w:rsid w:val="516F78FF"/>
    <w:rsid w:val="518832C8"/>
    <w:rsid w:val="519D3C50"/>
    <w:rsid w:val="51A0432A"/>
    <w:rsid w:val="51A86090"/>
    <w:rsid w:val="51B7396D"/>
    <w:rsid w:val="51C51AAA"/>
    <w:rsid w:val="51D014E8"/>
    <w:rsid w:val="522A537A"/>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0E1E"/>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4D2F1F"/>
    <w:rsid w:val="566B6D1E"/>
    <w:rsid w:val="56BD6A20"/>
    <w:rsid w:val="56D71D47"/>
    <w:rsid w:val="56F22DC7"/>
    <w:rsid w:val="56F75D8C"/>
    <w:rsid w:val="57032A2C"/>
    <w:rsid w:val="570F5219"/>
    <w:rsid w:val="57587810"/>
    <w:rsid w:val="575D12B5"/>
    <w:rsid w:val="57610A87"/>
    <w:rsid w:val="577B1140"/>
    <w:rsid w:val="577B7F21"/>
    <w:rsid w:val="577F181B"/>
    <w:rsid w:val="57921984"/>
    <w:rsid w:val="579737F0"/>
    <w:rsid w:val="579C4AA3"/>
    <w:rsid w:val="57AB7B30"/>
    <w:rsid w:val="57AF5251"/>
    <w:rsid w:val="57B26373"/>
    <w:rsid w:val="57B63F04"/>
    <w:rsid w:val="57CD20C2"/>
    <w:rsid w:val="57D675AB"/>
    <w:rsid w:val="57D73717"/>
    <w:rsid w:val="57D95FDD"/>
    <w:rsid w:val="58352E01"/>
    <w:rsid w:val="5886386C"/>
    <w:rsid w:val="58917D2F"/>
    <w:rsid w:val="5894085C"/>
    <w:rsid w:val="58AE4F0C"/>
    <w:rsid w:val="58B85899"/>
    <w:rsid w:val="58E363A9"/>
    <w:rsid w:val="59166304"/>
    <w:rsid w:val="5939482E"/>
    <w:rsid w:val="593C6736"/>
    <w:rsid w:val="595E1678"/>
    <w:rsid w:val="596D5BD4"/>
    <w:rsid w:val="597E3DD8"/>
    <w:rsid w:val="59D64DC3"/>
    <w:rsid w:val="59EF5C2F"/>
    <w:rsid w:val="59F80043"/>
    <w:rsid w:val="5A09252F"/>
    <w:rsid w:val="5A0B2778"/>
    <w:rsid w:val="5A0E018E"/>
    <w:rsid w:val="5A2A7C7B"/>
    <w:rsid w:val="5A3E2560"/>
    <w:rsid w:val="5A5D3B6E"/>
    <w:rsid w:val="5A637A76"/>
    <w:rsid w:val="5A6D33BA"/>
    <w:rsid w:val="5A792B1F"/>
    <w:rsid w:val="5A874767"/>
    <w:rsid w:val="5AA85BE2"/>
    <w:rsid w:val="5AAD6F28"/>
    <w:rsid w:val="5AD63A24"/>
    <w:rsid w:val="5AE71988"/>
    <w:rsid w:val="5B2E1A1D"/>
    <w:rsid w:val="5B843A1C"/>
    <w:rsid w:val="5B873E3F"/>
    <w:rsid w:val="5B954F7C"/>
    <w:rsid w:val="5C02690E"/>
    <w:rsid w:val="5C154AF7"/>
    <w:rsid w:val="5C196DA7"/>
    <w:rsid w:val="5C2A048C"/>
    <w:rsid w:val="5C327B4C"/>
    <w:rsid w:val="5C80234E"/>
    <w:rsid w:val="5C8A680C"/>
    <w:rsid w:val="5D0C4701"/>
    <w:rsid w:val="5D0F0395"/>
    <w:rsid w:val="5D221076"/>
    <w:rsid w:val="5D397964"/>
    <w:rsid w:val="5D5A391C"/>
    <w:rsid w:val="5D5F10C0"/>
    <w:rsid w:val="5D7B657D"/>
    <w:rsid w:val="5D891B7B"/>
    <w:rsid w:val="5DAD38EE"/>
    <w:rsid w:val="5DB22A0D"/>
    <w:rsid w:val="5DEE7DDB"/>
    <w:rsid w:val="5E006862"/>
    <w:rsid w:val="5E0207B9"/>
    <w:rsid w:val="5E170F2B"/>
    <w:rsid w:val="5E1834A1"/>
    <w:rsid w:val="5E261785"/>
    <w:rsid w:val="5E4A7017"/>
    <w:rsid w:val="5E552BBA"/>
    <w:rsid w:val="5E611C10"/>
    <w:rsid w:val="5E7A0F3F"/>
    <w:rsid w:val="5EC21376"/>
    <w:rsid w:val="5EFC7377"/>
    <w:rsid w:val="5F06174D"/>
    <w:rsid w:val="5F3A3602"/>
    <w:rsid w:val="5F45733B"/>
    <w:rsid w:val="5F482646"/>
    <w:rsid w:val="5F6277C6"/>
    <w:rsid w:val="5F6D0B1D"/>
    <w:rsid w:val="5F8D0B82"/>
    <w:rsid w:val="5FA40637"/>
    <w:rsid w:val="5FB50D6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6668A"/>
    <w:rsid w:val="619D0D68"/>
    <w:rsid w:val="619F7F92"/>
    <w:rsid w:val="61B33416"/>
    <w:rsid w:val="61C64CD9"/>
    <w:rsid w:val="61F94C26"/>
    <w:rsid w:val="61FC4B9F"/>
    <w:rsid w:val="62000E56"/>
    <w:rsid w:val="62125243"/>
    <w:rsid w:val="624F3E49"/>
    <w:rsid w:val="62632286"/>
    <w:rsid w:val="62885958"/>
    <w:rsid w:val="62ED42FF"/>
    <w:rsid w:val="62F40B65"/>
    <w:rsid w:val="62FC2CFE"/>
    <w:rsid w:val="63024505"/>
    <w:rsid w:val="635600A5"/>
    <w:rsid w:val="635B1DB5"/>
    <w:rsid w:val="63711FED"/>
    <w:rsid w:val="63880DDC"/>
    <w:rsid w:val="638D750D"/>
    <w:rsid w:val="63922188"/>
    <w:rsid w:val="63AC6CC0"/>
    <w:rsid w:val="63E87188"/>
    <w:rsid w:val="64055776"/>
    <w:rsid w:val="64240056"/>
    <w:rsid w:val="6427482D"/>
    <w:rsid w:val="642A0B92"/>
    <w:rsid w:val="643E143A"/>
    <w:rsid w:val="64491666"/>
    <w:rsid w:val="648B6EEF"/>
    <w:rsid w:val="64C158BF"/>
    <w:rsid w:val="64CE2EAA"/>
    <w:rsid w:val="652B4DF6"/>
    <w:rsid w:val="653C3090"/>
    <w:rsid w:val="65854376"/>
    <w:rsid w:val="658767BE"/>
    <w:rsid w:val="65892531"/>
    <w:rsid w:val="660F6502"/>
    <w:rsid w:val="66195831"/>
    <w:rsid w:val="662E75B1"/>
    <w:rsid w:val="66342C2E"/>
    <w:rsid w:val="663E784C"/>
    <w:rsid w:val="668B6A45"/>
    <w:rsid w:val="672F3F24"/>
    <w:rsid w:val="67377761"/>
    <w:rsid w:val="673E055F"/>
    <w:rsid w:val="67551CE3"/>
    <w:rsid w:val="67750818"/>
    <w:rsid w:val="67A22552"/>
    <w:rsid w:val="67B22DCC"/>
    <w:rsid w:val="67BE71AA"/>
    <w:rsid w:val="67C823EF"/>
    <w:rsid w:val="67D90273"/>
    <w:rsid w:val="67DE5875"/>
    <w:rsid w:val="67E55852"/>
    <w:rsid w:val="67EB1AB4"/>
    <w:rsid w:val="67FA1285"/>
    <w:rsid w:val="68014CBD"/>
    <w:rsid w:val="681A3FD0"/>
    <w:rsid w:val="682269E1"/>
    <w:rsid w:val="6832131A"/>
    <w:rsid w:val="68551F4F"/>
    <w:rsid w:val="687C10C9"/>
    <w:rsid w:val="68840C16"/>
    <w:rsid w:val="68876EFB"/>
    <w:rsid w:val="68884654"/>
    <w:rsid w:val="689F444F"/>
    <w:rsid w:val="68B96DBB"/>
    <w:rsid w:val="68BC69A9"/>
    <w:rsid w:val="68CA2805"/>
    <w:rsid w:val="68E937A3"/>
    <w:rsid w:val="68F0116E"/>
    <w:rsid w:val="690C1234"/>
    <w:rsid w:val="693E15D3"/>
    <w:rsid w:val="69627681"/>
    <w:rsid w:val="6977531D"/>
    <w:rsid w:val="69CC2BFF"/>
    <w:rsid w:val="69FD55B8"/>
    <w:rsid w:val="6A0B1C62"/>
    <w:rsid w:val="6A153424"/>
    <w:rsid w:val="6A2406C8"/>
    <w:rsid w:val="6ADE0BD1"/>
    <w:rsid w:val="6AE9623B"/>
    <w:rsid w:val="6AE96859"/>
    <w:rsid w:val="6AF816BD"/>
    <w:rsid w:val="6B147746"/>
    <w:rsid w:val="6B24787C"/>
    <w:rsid w:val="6B573233"/>
    <w:rsid w:val="6B5B6274"/>
    <w:rsid w:val="6B8A6529"/>
    <w:rsid w:val="6B935D53"/>
    <w:rsid w:val="6C196F71"/>
    <w:rsid w:val="6C226FCB"/>
    <w:rsid w:val="6C31226F"/>
    <w:rsid w:val="6C552F0B"/>
    <w:rsid w:val="6C8C67B7"/>
    <w:rsid w:val="6C9D744C"/>
    <w:rsid w:val="6CAE5601"/>
    <w:rsid w:val="6CB01223"/>
    <w:rsid w:val="6D167928"/>
    <w:rsid w:val="6D210392"/>
    <w:rsid w:val="6D26299B"/>
    <w:rsid w:val="6D4772EC"/>
    <w:rsid w:val="6D4D3600"/>
    <w:rsid w:val="6D9078AF"/>
    <w:rsid w:val="6DAA3FEF"/>
    <w:rsid w:val="6DC0172B"/>
    <w:rsid w:val="6DCB690C"/>
    <w:rsid w:val="6DD41A5B"/>
    <w:rsid w:val="6DE3498A"/>
    <w:rsid w:val="6DF230E9"/>
    <w:rsid w:val="6DF43C2E"/>
    <w:rsid w:val="6DF51CA3"/>
    <w:rsid w:val="6E523E05"/>
    <w:rsid w:val="6E7240CB"/>
    <w:rsid w:val="6E8335BD"/>
    <w:rsid w:val="6E8E12EF"/>
    <w:rsid w:val="6E972936"/>
    <w:rsid w:val="6E9F2B3A"/>
    <w:rsid w:val="6ED446C5"/>
    <w:rsid w:val="6F2A7D94"/>
    <w:rsid w:val="6F8331F1"/>
    <w:rsid w:val="6F984159"/>
    <w:rsid w:val="6FA56C7C"/>
    <w:rsid w:val="6FAE1A09"/>
    <w:rsid w:val="6FBA7C54"/>
    <w:rsid w:val="6FD75BF8"/>
    <w:rsid w:val="704C4F43"/>
    <w:rsid w:val="70713D1E"/>
    <w:rsid w:val="707723D0"/>
    <w:rsid w:val="70F5661B"/>
    <w:rsid w:val="71360107"/>
    <w:rsid w:val="713B688E"/>
    <w:rsid w:val="71794CEA"/>
    <w:rsid w:val="719F449E"/>
    <w:rsid w:val="71D43752"/>
    <w:rsid w:val="71F1796A"/>
    <w:rsid w:val="72154626"/>
    <w:rsid w:val="72262B5D"/>
    <w:rsid w:val="72283FF7"/>
    <w:rsid w:val="722E7212"/>
    <w:rsid w:val="723A0474"/>
    <w:rsid w:val="725923E4"/>
    <w:rsid w:val="72864BF7"/>
    <w:rsid w:val="729023FC"/>
    <w:rsid w:val="72906E6A"/>
    <w:rsid w:val="73861E89"/>
    <w:rsid w:val="73865B1B"/>
    <w:rsid w:val="739915E2"/>
    <w:rsid w:val="73C0646E"/>
    <w:rsid w:val="742222F5"/>
    <w:rsid w:val="74476126"/>
    <w:rsid w:val="7452178F"/>
    <w:rsid w:val="74706664"/>
    <w:rsid w:val="747F3682"/>
    <w:rsid w:val="74800A00"/>
    <w:rsid w:val="749C4185"/>
    <w:rsid w:val="74C257AA"/>
    <w:rsid w:val="74E25E76"/>
    <w:rsid w:val="75067759"/>
    <w:rsid w:val="751002ED"/>
    <w:rsid w:val="752E6DCD"/>
    <w:rsid w:val="7551380D"/>
    <w:rsid w:val="75600BE5"/>
    <w:rsid w:val="7564475C"/>
    <w:rsid w:val="7583797F"/>
    <w:rsid w:val="75D20F1D"/>
    <w:rsid w:val="75DA2C18"/>
    <w:rsid w:val="75F54412"/>
    <w:rsid w:val="760A6FF4"/>
    <w:rsid w:val="761D08E0"/>
    <w:rsid w:val="765929B4"/>
    <w:rsid w:val="765D347C"/>
    <w:rsid w:val="76826699"/>
    <w:rsid w:val="76C87133"/>
    <w:rsid w:val="76CD08D5"/>
    <w:rsid w:val="76D73311"/>
    <w:rsid w:val="76DB4B92"/>
    <w:rsid w:val="76F329CD"/>
    <w:rsid w:val="76FF5330"/>
    <w:rsid w:val="77052AA4"/>
    <w:rsid w:val="77136511"/>
    <w:rsid w:val="77167A87"/>
    <w:rsid w:val="77340A39"/>
    <w:rsid w:val="77351FD0"/>
    <w:rsid w:val="77472422"/>
    <w:rsid w:val="777F31F2"/>
    <w:rsid w:val="77AE203F"/>
    <w:rsid w:val="77D1700D"/>
    <w:rsid w:val="77EA74CC"/>
    <w:rsid w:val="77EC04CC"/>
    <w:rsid w:val="780B56E4"/>
    <w:rsid w:val="781472FD"/>
    <w:rsid w:val="78775729"/>
    <w:rsid w:val="78A42DB0"/>
    <w:rsid w:val="78A656AB"/>
    <w:rsid w:val="78B2245C"/>
    <w:rsid w:val="78E172CC"/>
    <w:rsid w:val="78EA1D1F"/>
    <w:rsid w:val="7904172F"/>
    <w:rsid w:val="790F7E27"/>
    <w:rsid w:val="792A231A"/>
    <w:rsid w:val="79316829"/>
    <w:rsid w:val="79635B60"/>
    <w:rsid w:val="797E66A9"/>
    <w:rsid w:val="798518A4"/>
    <w:rsid w:val="79A97383"/>
    <w:rsid w:val="79B95E17"/>
    <w:rsid w:val="79D13F02"/>
    <w:rsid w:val="79E27E8B"/>
    <w:rsid w:val="79F850CE"/>
    <w:rsid w:val="79FD443C"/>
    <w:rsid w:val="79FF403C"/>
    <w:rsid w:val="7A1D1975"/>
    <w:rsid w:val="7A3E5150"/>
    <w:rsid w:val="7A4670D6"/>
    <w:rsid w:val="7A534B63"/>
    <w:rsid w:val="7A615382"/>
    <w:rsid w:val="7A67303B"/>
    <w:rsid w:val="7AAB1D04"/>
    <w:rsid w:val="7AB83EFD"/>
    <w:rsid w:val="7ABA4368"/>
    <w:rsid w:val="7AD05746"/>
    <w:rsid w:val="7B257FFD"/>
    <w:rsid w:val="7B2F2736"/>
    <w:rsid w:val="7B316901"/>
    <w:rsid w:val="7B343476"/>
    <w:rsid w:val="7B53273C"/>
    <w:rsid w:val="7B537077"/>
    <w:rsid w:val="7B5A2978"/>
    <w:rsid w:val="7B5A7E4C"/>
    <w:rsid w:val="7B5B24DE"/>
    <w:rsid w:val="7B667AF9"/>
    <w:rsid w:val="7B70279A"/>
    <w:rsid w:val="7B7468F8"/>
    <w:rsid w:val="7BAF00FE"/>
    <w:rsid w:val="7BC85EE6"/>
    <w:rsid w:val="7BCD443D"/>
    <w:rsid w:val="7BEE0103"/>
    <w:rsid w:val="7BFA3AA5"/>
    <w:rsid w:val="7BFB68FE"/>
    <w:rsid w:val="7C0A0FE4"/>
    <w:rsid w:val="7C254906"/>
    <w:rsid w:val="7C590818"/>
    <w:rsid w:val="7C66275A"/>
    <w:rsid w:val="7C6732F0"/>
    <w:rsid w:val="7C7C10F6"/>
    <w:rsid w:val="7C853BEA"/>
    <w:rsid w:val="7C881368"/>
    <w:rsid w:val="7CAB0170"/>
    <w:rsid w:val="7CE27788"/>
    <w:rsid w:val="7D0C32F1"/>
    <w:rsid w:val="7D0F408D"/>
    <w:rsid w:val="7D491C6C"/>
    <w:rsid w:val="7D4B78D8"/>
    <w:rsid w:val="7D5429C0"/>
    <w:rsid w:val="7D6E6D43"/>
    <w:rsid w:val="7DB57A34"/>
    <w:rsid w:val="7DB8011E"/>
    <w:rsid w:val="7DC73E5B"/>
    <w:rsid w:val="7DE60973"/>
    <w:rsid w:val="7DEF0916"/>
    <w:rsid w:val="7DF52776"/>
    <w:rsid w:val="7E1E5218"/>
    <w:rsid w:val="7E265025"/>
    <w:rsid w:val="7E955D07"/>
    <w:rsid w:val="7E9A4E1F"/>
    <w:rsid w:val="7EA7723A"/>
    <w:rsid w:val="7EF56FBB"/>
    <w:rsid w:val="7F0768EB"/>
    <w:rsid w:val="7F143BEC"/>
    <w:rsid w:val="7F166549"/>
    <w:rsid w:val="7F715AF2"/>
    <w:rsid w:val="7F886E69"/>
    <w:rsid w:val="7F8F035F"/>
    <w:rsid w:val="7F9F0AC2"/>
    <w:rsid w:val="7FDB4950"/>
    <w:rsid w:val="7FF015C4"/>
    <w:rsid w:val="7FF32CD8"/>
    <w:rsid w:val="7FF6458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5"/>
    <w:qFormat/>
    <w:uiPriority w:val="0"/>
    <w:pPr>
      <w:spacing w:line="480" w:lineRule="exact"/>
      <w:ind w:firstLine="480" w:firstLineChars="200"/>
    </w:pPr>
    <w:rPr>
      <w:rFonts w:ascii="宋体" w:hAnsi="宋体"/>
      <w:sz w:val="24"/>
    </w:rPr>
  </w:style>
  <w:style w:type="paragraph" w:styleId="17">
    <w:name w:val="envelope return"/>
    <w:basedOn w:val="1"/>
    <w:qFormat/>
    <w:uiPriority w:val="0"/>
    <w:pPr>
      <w:snapToGrid w:val="0"/>
    </w:pPr>
    <w:rPr>
      <w:rFonts w:ascii="Arial" w:hAnsi="Arial"/>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unhideWhenUsed/>
    <w:qFormat/>
    <w:uiPriority w:val="99"/>
    <w:pPr>
      <w:ind w:left="600" w:leftChars="600"/>
    </w:pPr>
    <w:rPr>
      <w:rFonts w:ascii="Calibri" w:hAnsi="Calibri"/>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16"/>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纯文本3"/>
    <w:basedOn w:val="968"/>
    <w:qFormat/>
    <w:uiPriority w:val="0"/>
    <w:pPr>
      <w:widowControl/>
      <w:jc w:val="left"/>
    </w:pPr>
    <w:rPr>
      <w:rFonts w:ascii="宋体" w:hAnsi="Courier New"/>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99"/>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4BADF-7CA9-4F50-B30C-7943AE81E47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43223</Words>
  <Characters>46178</Characters>
  <Lines>339</Lines>
  <Paragraphs>95</Paragraphs>
  <TotalTime>7</TotalTime>
  <ScaleCrop>false</ScaleCrop>
  <LinksUpToDate>false</LinksUpToDate>
  <CharactersWithSpaces>51783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莫小饼。</cp:lastModifiedBy>
  <cp:lastPrinted>2024-08-13T07:53:00Z</cp:lastPrinted>
  <dcterms:modified xsi:type="dcterms:W3CDTF">2025-02-27T04:58:36Z</dcterms:modified>
  <dc:title>杭州市市民卡扩大发卡工程</dc:title>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B27FEE9ACB8F49E59A72D6FAEB4B891E_13</vt:lpwstr>
  </property>
  <property fmtid="{D5CDD505-2E9C-101B-9397-08002B2CF9AE}" pid="5" name="KSOTemplateDocerSaveRecord">
    <vt:lpwstr>eyJoZGlkIjoiNjhhNGYwNzg3YTMwYzUxNDk3ZjcwNDZlNDVjMjI2NTMiLCJ1c2VySWQiOiIxOTM4NzE3ODUifQ==</vt:lpwstr>
  </property>
</Properties>
</file>