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A041F">
      <w:pPr>
        <w:spacing w:line="360" w:lineRule="auto"/>
        <w:ind w:right="42" w:rightChars="20"/>
        <w:jc w:val="center"/>
        <w:rPr>
          <w:rFonts w:hint="eastAsia" w:asciiTheme="minorEastAsia" w:hAnsiTheme="minorEastAsia" w:eastAsiaTheme="minorEastAsia"/>
          <w:b/>
          <w:bCs/>
          <w:color w:val="000000" w:themeColor="text1"/>
          <w:sz w:val="36"/>
          <w:szCs w:val="36"/>
          <w:lang w:eastAsia="zh-CN"/>
        </w:rPr>
      </w:pPr>
      <w:r>
        <w:rPr>
          <w:rFonts w:hint="eastAsia" w:asciiTheme="minorEastAsia" w:hAnsiTheme="minorEastAsia" w:eastAsiaTheme="minorEastAsia"/>
          <w:b/>
          <w:bCs/>
          <w:color w:val="000000" w:themeColor="text1"/>
          <w:sz w:val="36"/>
          <w:szCs w:val="36"/>
          <w:lang w:eastAsia="zh-CN"/>
        </w:rPr>
        <w:t>秀洲区2025年水文测站标准化运行管理及维护项目</w:t>
      </w:r>
    </w:p>
    <w:p w14:paraId="54C1DC65">
      <w:pPr>
        <w:spacing w:line="360" w:lineRule="auto"/>
        <w:ind w:right="42" w:rightChars="20"/>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b/>
          <w:bCs/>
          <w:color w:val="000000" w:themeColor="text1"/>
          <w:sz w:val="36"/>
          <w:szCs w:val="36"/>
        </w:rPr>
        <w:t>（线上电子招投标）</w:t>
      </w:r>
    </w:p>
    <w:p w14:paraId="1972E811">
      <w:pPr>
        <w:pStyle w:val="60"/>
        <w:spacing w:line="360" w:lineRule="auto"/>
        <w:ind w:right="42" w:rightChars="20"/>
        <w:rPr>
          <w:rFonts w:asciiTheme="minorEastAsia" w:hAnsiTheme="minorEastAsia" w:eastAsiaTheme="minorEastAsia"/>
          <w:color w:val="000000" w:themeColor="text1"/>
        </w:rPr>
      </w:pPr>
    </w:p>
    <w:p w14:paraId="20D41414">
      <w:pPr>
        <w:pStyle w:val="60"/>
        <w:spacing w:line="360" w:lineRule="auto"/>
        <w:ind w:right="42" w:rightChars="20"/>
        <w:rPr>
          <w:rFonts w:asciiTheme="minorEastAsia" w:hAnsiTheme="minorEastAsia" w:eastAsiaTheme="minorEastAsia"/>
          <w:color w:val="000000" w:themeColor="text1"/>
        </w:rPr>
      </w:pPr>
    </w:p>
    <w:p w14:paraId="10DF1473">
      <w:pPr>
        <w:pStyle w:val="60"/>
        <w:spacing w:line="360" w:lineRule="auto"/>
        <w:ind w:right="42" w:rightChars="20"/>
        <w:rPr>
          <w:rFonts w:asciiTheme="minorEastAsia" w:hAnsiTheme="minorEastAsia" w:eastAsiaTheme="minorEastAsia"/>
          <w:color w:val="000000" w:themeColor="text1"/>
        </w:rPr>
      </w:pPr>
    </w:p>
    <w:p w14:paraId="5E1F5CE2">
      <w:pPr>
        <w:spacing w:line="360" w:lineRule="auto"/>
        <w:ind w:right="42" w:rightChars="20"/>
        <w:jc w:val="center"/>
        <w:rPr>
          <w:rFonts w:asciiTheme="minorEastAsia" w:hAnsiTheme="minorEastAsia" w:eastAsiaTheme="minorEastAsia"/>
          <w:b/>
          <w:color w:val="000000" w:themeColor="text1"/>
          <w:sz w:val="52"/>
          <w:szCs w:val="52"/>
        </w:rPr>
      </w:pPr>
      <w:r>
        <w:rPr>
          <w:rFonts w:hint="eastAsia" w:asciiTheme="minorEastAsia" w:hAnsiTheme="minorEastAsia" w:eastAsiaTheme="minorEastAsia"/>
          <w:b/>
          <w:color w:val="000000" w:themeColor="text1"/>
          <w:sz w:val="52"/>
          <w:szCs w:val="52"/>
        </w:rPr>
        <w:t>公</w:t>
      </w:r>
    </w:p>
    <w:p w14:paraId="3BB4D929">
      <w:pPr>
        <w:spacing w:line="360" w:lineRule="auto"/>
        <w:ind w:right="42" w:rightChars="20"/>
        <w:jc w:val="center"/>
        <w:rPr>
          <w:rFonts w:asciiTheme="minorEastAsia" w:hAnsiTheme="minorEastAsia" w:eastAsiaTheme="minorEastAsia"/>
          <w:b/>
          <w:color w:val="000000" w:themeColor="text1"/>
          <w:sz w:val="52"/>
          <w:szCs w:val="52"/>
        </w:rPr>
      </w:pPr>
      <w:r>
        <w:rPr>
          <w:rFonts w:hint="eastAsia" w:asciiTheme="minorEastAsia" w:hAnsiTheme="minorEastAsia" w:eastAsiaTheme="minorEastAsia"/>
          <w:b/>
          <w:color w:val="000000" w:themeColor="text1"/>
          <w:sz w:val="52"/>
          <w:szCs w:val="52"/>
        </w:rPr>
        <w:t>开</w:t>
      </w:r>
    </w:p>
    <w:p w14:paraId="5F23FABA">
      <w:pPr>
        <w:spacing w:line="360" w:lineRule="auto"/>
        <w:ind w:right="42" w:rightChars="20"/>
        <w:jc w:val="center"/>
        <w:rPr>
          <w:rFonts w:asciiTheme="minorEastAsia" w:hAnsiTheme="minorEastAsia" w:eastAsiaTheme="minorEastAsia"/>
          <w:b/>
          <w:color w:val="000000" w:themeColor="text1"/>
          <w:sz w:val="52"/>
          <w:szCs w:val="52"/>
        </w:rPr>
      </w:pPr>
      <w:r>
        <w:rPr>
          <w:rFonts w:hint="eastAsia" w:asciiTheme="minorEastAsia" w:hAnsiTheme="minorEastAsia" w:eastAsiaTheme="minorEastAsia"/>
          <w:b/>
          <w:color w:val="000000" w:themeColor="text1"/>
          <w:sz w:val="52"/>
          <w:szCs w:val="52"/>
        </w:rPr>
        <w:t>招</w:t>
      </w:r>
    </w:p>
    <w:p w14:paraId="1AAE3F64">
      <w:pPr>
        <w:spacing w:line="360" w:lineRule="auto"/>
        <w:ind w:right="42" w:rightChars="20"/>
        <w:jc w:val="center"/>
        <w:rPr>
          <w:rFonts w:asciiTheme="minorEastAsia" w:hAnsiTheme="minorEastAsia" w:eastAsiaTheme="minorEastAsia"/>
          <w:b/>
          <w:color w:val="000000" w:themeColor="text1"/>
          <w:sz w:val="52"/>
          <w:szCs w:val="52"/>
        </w:rPr>
      </w:pPr>
      <w:r>
        <w:rPr>
          <w:rFonts w:hint="eastAsia" w:asciiTheme="minorEastAsia" w:hAnsiTheme="minorEastAsia" w:eastAsiaTheme="minorEastAsia"/>
          <w:b/>
          <w:color w:val="000000" w:themeColor="text1"/>
          <w:sz w:val="52"/>
          <w:szCs w:val="52"/>
        </w:rPr>
        <w:t>标</w:t>
      </w:r>
    </w:p>
    <w:p w14:paraId="555F60D6">
      <w:pPr>
        <w:spacing w:line="360" w:lineRule="auto"/>
        <w:ind w:right="42" w:rightChars="20"/>
        <w:jc w:val="center"/>
        <w:rPr>
          <w:rFonts w:asciiTheme="minorEastAsia" w:hAnsiTheme="minorEastAsia" w:eastAsiaTheme="minorEastAsia"/>
          <w:b/>
          <w:color w:val="000000" w:themeColor="text1"/>
          <w:sz w:val="52"/>
          <w:szCs w:val="52"/>
        </w:rPr>
      </w:pPr>
      <w:r>
        <w:rPr>
          <w:rFonts w:hint="eastAsia" w:asciiTheme="minorEastAsia" w:hAnsiTheme="minorEastAsia" w:eastAsiaTheme="minorEastAsia"/>
          <w:b/>
          <w:color w:val="000000" w:themeColor="text1"/>
          <w:sz w:val="52"/>
          <w:szCs w:val="52"/>
        </w:rPr>
        <w:t>文</w:t>
      </w:r>
    </w:p>
    <w:p w14:paraId="6B2BAF6E">
      <w:pPr>
        <w:spacing w:line="360" w:lineRule="auto"/>
        <w:ind w:right="42" w:rightChars="20"/>
        <w:jc w:val="center"/>
        <w:rPr>
          <w:rFonts w:asciiTheme="minorEastAsia" w:hAnsiTheme="minorEastAsia" w:eastAsiaTheme="minorEastAsia"/>
          <w:b/>
          <w:color w:val="000000" w:themeColor="text1"/>
          <w:sz w:val="52"/>
          <w:szCs w:val="52"/>
        </w:rPr>
      </w:pPr>
      <w:r>
        <w:rPr>
          <w:rFonts w:hint="eastAsia" w:asciiTheme="minorEastAsia" w:hAnsiTheme="minorEastAsia" w:eastAsiaTheme="minorEastAsia"/>
          <w:b/>
          <w:color w:val="000000" w:themeColor="text1"/>
          <w:sz w:val="52"/>
          <w:szCs w:val="52"/>
        </w:rPr>
        <w:t>件</w:t>
      </w:r>
    </w:p>
    <w:p w14:paraId="254EB967">
      <w:pPr>
        <w:pStyle w:val="60"/>
        <w:spacing w:line="360" w:lineRule="auto"/>
        <w:ind w:right="42" w:rightChars="20"/>
        <w:rPr>
          <w:rFonts w:asciiTheme="minorEastAsia" w:hAnsiTheme="minorEastAsia" w:eastAsiaTheme="minorEastAsia"/>
          <w:color w:val="000000" w:themeColor="text1"/>
        </w:rPr>
      </w:pPr>
    </w:p>
    <w:p w14:paraId="72F9E3F6">
      <w:pPr>
        <w:pStyle w:val="19"/>
        <w:spacing w:after="0" w:line="360" w:lineRule="auto"/>
        <w:ind w:right="42" w:rightChars="20"/>
        <w:rPr>
          <w:rFonts w:asciiTheme="minorEastAsia" w:hAnsiTheme="minorEastAsia" w:eastAsiaTheme="minorEastAsia"/>
          <w:color w:val="000000" w:themeColor="text1"/>
          <w:sz w:val="28"/>
          <w:szCs w:val="28"/>
        </w:rPr>
      </w:pPr>
    </w:p>
    <w:p w14:paraId="1FCE3DA2">
      <w:pPr>
        <w:pStyle w:val="26"/>
        <w:spacing w:line="360" w:lineRule="auto"/>
        <w:ind w:right="42" w:rightChars="20" w:firstLine="1068" w:firstLineChars="400"/>
        <w:jc w:val="left"/>
        <w:rPr>
          <w:rFonts w:asciiTheme="minorEastAsia" w:hAnsiTheme="minorEastAsia" w:eastAsiaTheme="minorEastAsia"/>
          <w:b/>
          <w:bCs/>
          <w:color w:val="000000" w:themeColor="text1"/>
          <w:w w:val="95"/>
          <w:sz w:val="28"/>
          <w:szCs w:val="28"/>
        </w:rPr>
      </w:pPr>
    </w:p>
    <w:p w14:paraId="37CAF89A">
      <w:pPr>
        <w:pStyle w:val="26"/>
        <w:spacing w:line="360" w:lineRule="auto"/>
        <w:ind w:right="42" w:rightChars="20" w:firstLine="1068" w:firstLineChars="400"/>
        <w:jc w:val="left"/>
        <w:rPr>
          <w:rFonts w:hint="eastAsia" w:asciiTheme="minorEastAsia" w:hAnsiTheme="minorEastAsia" w:eastAsiaTheme="minorEastAsia"/>
          <w:b/>
          <w:bCs/>
          <w:color w:val="000000" w:themeColor="text1"/>
          <w:w w:val="95"/>
          <w:sz w:val="28"/>
          <w:szCs w:val="28"/>
          <w:lang w:eastAsia="zh-CN"/>
        </w:rPr>
      </w:pPr>
      <w:r>
        <w:rPr>
          <w:rFonts w:hint="eastAsia" w:asciiTheme="minorEastAsia" w:hAnsiTheme="minorEastAsia" w:eastAsiaTheme="minorEastAsia"/>
          <w:b/>
          <w:bCs/>
          <w:color w:val="000000" w:themeColor="text1"/>
          <w:w w:val="95"/>
          <w:sz w:val="28"/>
          <w:szCs w:val="28"/>
        </w:rPr>
        <w:t>招标编号：</w:t>
      </w:r>
      <w:r>
        <w:rPr>
          <w:rFonts w:hint="eastAsia" w:asciiTheme="minorEastAsia" w:hAnsiTheme="minorEastAsia" w:eastAsiaTheme="minorEastAsia"/>
          <w:b/>
          <w:color w:val="000000" w:themeColor="text1"/>
          <w:sz w:val="28"/>
          <w:szCs w:val="28"/>
          <w:lang w:eastAsia="zh-CN"/>
        </w:rPr>
        <w:t>浙勋代理嘉【2025】003号</w:t>
      </w:r>
    </w:p>
    <w:p w14:paraId="13776C70">
      <w:pPr>
        <w:pStyle w:val="26"/>
        <w:spacing w:line="360" w:lineRule="auto"/>
        <w:ind w:right="42" w:rightChars="20" w:firstLine="1068" w:firstLineChars="400"/>
        <w:jc w:val="left"/>
        <w:rPr>
          <w:rFonts w:asciiTheme="minorEastAsia" w:hAnsiTheme="minorEastAsia" w:eastAsiaTheme="minorEastAsia"/>
          <w:b/>
          <w:bCs/>
          <w:color w:val="000000" w:themeColor="text1"/>
          <w:w w:val="95"/>
          <w:sz w:val="28"/>
          <w:szCs w:val="28"/>
          <w:highlight w:val="none"/>
        </w:rPr>
      </w:pPr>
      <w:r>
        <w:rPr>
          <w:rFonts w:hint="eastAsia" w:asciiTheme="minorEastAsia" w:hAnsiTheme="minorEastAsia" w:eastAsiaTheme="minorEastAsia"/>
          <w:b/>
          <w:bCs/>
          <w:color w:val="000000" w:themeColor="text1"/>
          <w:w w:val="95"/>
          <w:sz w:val="28"/>
          <w:szCs w:val="28"/>
          <w:highlight w:val="none"/>
        </w:rPr>
        <w:t>采购单位：</w:t>
      </w:r>
      <w:r>
        <w:rPr>
          <w:rFonts w:hint="eastAsia" w:asciiTheme="minorEastAsia" w:hAnsiTheme="minorEastAsia" w:eastAsiaTheme="minorEastAsia"/>
          <w:b/>
          <w:color w:val="000000" w:themeColor="text1"/>
          <w:sz w:val="28"/>
          <w:szCs w:val="28"/>
          <w:highlight w:val="none"/>
        </w:rPr>
        <w:t>嘉兴市秀洲区河湖管理站</w:t>
      </w:r>
    </w:p>
    <w:p w14:paraId="375D24B3">
      <w:pPr>
        <w:pStyle w:val="26"/>
        <w:spacing w:line="360" w:lineRule="auto"/>
        <w:ind w:right="42" w:rightChars="20" w:firstLine="1068" w:firstLineChars="400"/>
        <w:jc w:val="left"/>
        <w:rPr>
          <w:rFonts w:hint="eastAsia" w:asciiTheme="minorEastAsia" w:hAnsiTheme="minorEastAsia" w:eastAsiaTheme="minorEastAsia"/>
          <w:b/>
          <w:bCs/>
          <w:color w:val="000000" w:themeColor="text1"/>
          <w:w w:val="95"/>
          <w:sz w:val="28"/>
          <w:szCs w:val="28"/>
          <w:lang w:eastAsia="zh-CN"/>
        </w:rPr>
      </w:pPr>
      <w:r>
        <w:rPr>
          <w:rFonts w:hint="eastAsia" w:asciiTheme="minorEastAsia" w:hAnsiTheme="minorEastAsia" w:eastAsiaTheme="minorEastAsia"/>
          <w:b/>
          <w:bCs/>
          <w:color w:val="000000" w:themeColor="text1"/>
          <w:w w:val="95"/>
          <w:sz w:val="28"/>
          <w:szCs w:val="28"/>
        </w:rPr>
        <w:t>代理机构：</w:t>
      </w:r>
      <w:r>
        <w:rPr>
          <w:rFonts w:hint="eastAsia" w:asciiTheme="minorEastAsia" w:hAnsiTheme="minorEastAsia" w:eastAsiaTheme="minorEastAsia"/>
          <w:b/>
          <w:bCs/>
          <w:color w:val="000000" w:themeColor="text1"/>
          <w:w w:val="95"/>
          <w:sz w:val="28"/>
          <w:szCs w:val="28"/>
          <w:lang w:eastAsia="zh-CN"/>
        </w:rPr>
        <w:t>浙江勋达工程咨询有限公司</w:t>
      </w:r>
    </w:p>
    <w:p w14:paraId="1DDC873C">
      <w:pPr>
        <w:pStyle w:val="26"/>
        <w:spacing w:line="360" w:lineRule="auto"/>
        <w:ind w:right="42" w:rightChars="20" w:firstLine="1068" w:firstLineChars="400"/>
        <w:jc w:val="left"/>
        <w:rPr>
          <w:rFonts w:asciiTheme="minorEastAsia" w:hAnsiTheme="minorEastAsia" w:eastAsiaTheme="minorEastAsia"/>
          <w:b/>
          <w:bCs/>
          <w:color w:val="000000" w:themeColor="text1"/>
          <w:w w:val="95"/>
          <w:sz w:val="28"/>
          <w:szCs w:val="28"/>
        </w:rPr>
      </w:pPr>
      <w:r>
        <w:rPr>
          <w:rFonts w:hint="eastAsia" w:asciiTheme="minorEastAsia" w:hAnsiTheme="minorEastAsia" w:eastAsiaTheme="minorEastAsia"/>
          <w:b/>
          <w:bCs/>
          <w:color w:val="000000" w:themeColor="text1"/>
          <w:w w:val="95"/>
          <w:sz w:val="28"/>
          <w:szCs w:val="28"/>
        </w:rPr>
        <w:t>备案单位：嘉兴市秀洲区财政局</w:t>
      </w:r>
    </w:p>
    <w:p w14:paraId="6D4B071C">
      <w:pPr>
        <w:spacing w:line="360" w:lineRule="auto"/>
        <w:ind w:right="42" w:rightChars="20" w:firstLine="534" w:firstLineChars="200"/>
        <w:jc w:val="center"/>
        <w:rPr>
          <w:rFonts w:asciiTheme="minorEastAsia" w:hAnsiTheme="minorEastAsia" w:eastAsiaTheme="minorEastAsia"/>
          <w:b/>
          <w:bCs/>
          <w:color w:val="000000" w:themeColor="text1"/>
          <w:w w:val="95"/>
          <w:sz w:val="28"/>
          <w:szCs w:val="28"/>
        </w:rPr>
      </w:pPr>
      <w:r>
        <w:rPr>
          <w:rFonts w:hint="eastAsia" w:asciiTheme="minorEastAsia" w:hAnsiTheme="minorEastAsia" w:eastAsiaTheme="minorEastAsia"/>
          <w:b/>
          <w:bCs/>
          <w:color w:val="000000" w:themeColor="text1"/>
          <w:w w:val="95"/>
          <w:sz w:val="28"/>
          <w:szCs w:val="28"/>
          <w:lang w:eastAsia="zh-CN"/>
        </w:rPr>
        <w:t>2025年</w:t>
      </w:r>
      <w:r>
        <w:rPr>
          <w:rFonts w:hint="eastAsia" w:asciiTheme="minorEastAsia" w:hAnsiTheme="minorEastAsia" w:eastAsiaTheme="minorEastAsia"/>
          <w:b/>
          <w:bCs/>
          <w:color w:val="000000" w:themeColor="text1"/>
          <w:w w:val="95"/>
          <w:sz w:val="28"/>
          <w:szCs w:val="28"/>
        </w:rPr>
        <w:t>02月</w:t>
      </w:r>
    </w:p>
    <w:p w14:paraId="23DAB598">
      <w:pPr>
        <w:pStyle w:val="139"/>
        <w:spacing w:before="0" w:line="360" w:lineRule="auto"/>
        <w:ind w:right="42" w:rightChars="20" w:firstLine="422" w:firstLineChars="200"/>
        <w:rPr>
          <w:rFonts w:asciiTheme="minorEastAsia" w:hAnsiTheme="minorEastAsia" w:eastAsiaTheme="minorEastAsia"/>
          <w:color w:val="000000" w:themeColor="text1"/>
          <w:sz w:val="21"/>
          <w:szCs w:val="21"/>
          <w:lang w:val="zh-CN"/>
        </w:rPr>
        <w:sectPr>
          <w:headerReference r:id="rId4" w:type="first"/>
          <w:footerReference r:id="rId6" w:type="first"/>
          <w:headerReference r:id="rId3" w:type="default"/>
          <w:footerReference r:id="rId5" w:type="default"/>
          <w:pgSz w:w="11906" w:h="16838"/>
          <w:pgMar w:top="1474" w:right="1701" w:bottom="1474" w:left="1701" w:header="851" w:footer="2092" w:gutter="0"/>
          <w:cols w:space="720" w:num="1"/>
          <w:titlePg/>
          <w:docGrid w:linePitch="312" w:charSpace="0"/>
        </w:sectPr>
      </w:pPr>
    </w:p>
    <w:p w14:paraId="49DBFE53">
      <w:pPr>
        <w:pStyle w:val="139"/>
        <w:spacing w:before="0" w:line="600" w:lineRule="auto"/>
        <w:ind w:right="42" w:rightChars="20" w:firstLine="643" w:firstLineChars="200"/>
        <w:jc w:val="center"/>
        <w:rPr>
          <w:rFonts w:asciiTheme="minorEastAsia" w:hAnsiTheme="minorEastAsia" w:eastAsiaTheme="minorEastAsia"/>
          <w:color w:val="000000" w:themeColor="text1"/>
          <w:sz w:val="32"/>
          <w:szCs w:val="32"/>
        </w:rPr>
      </w:pPr>
      <w:bookmarkStart w:id="0" w:name="_Toc28810"/>
      <w:r>
        <w:rPr>
          <w:rFonts w:asciiTheme="minorEastAsia" w:hAnsiTheme="minorEastAsia" w:eastAsiaTheme="minorEastAsia"/>
          <w:color w:val="000000" w:themeColor="text1"/>
          <w:sz w:val="32"/>
          <w:szCs w:val="32"/>
          <w:lang w:val="zh-CN"/>
        </w:rPr>
        <w:t>目</w:t>
      </w:r>
      <w:r>
        <w:rPr>
          <w:rFonts w:hint="eastAsia" w:asciiTheme="minorEastAsia" w:hAnsiTheme="minorEastAsia" w:eastAsiaTheme="minorEastAsia"/>
          <w:color w:val="000000" w:themeColor="text1"/>
          <w:sz w:val="32"/>
          <w:szCs w:val="32"/>
        </w:rPr>
        <w:t xml:space="preserve">  </w:t>
      </w:r>
      <w:r>
        <w:rPr>
          <w:rFonts w:asciiTheme="minorEastAsia" w:hAnsiTheme="minorEastAsia" w:eastAsiaTheme="minorEastAsia"/>
          <w:color w:val="000000" w:themeColor="text1"/>
          <w:sz w:val="32"/>
          <w:szCs w:val="32"/>
          <w:lang w:val="zh-CN"/>
        </w:rPr>
        <w:t>录</w:t>
      </w:r>
      <w:bookmarkEnd w:id="0"/>
    </w:p>
    <w:p w14:paraId="5F06DC92">
      <w:pPr>
        <w:pStyle w:val="33"/>
        <w:tabs>
          <w:tab w:val="right" w:leader="dot" w:pos="8988"/>
        </w:tabs>
        <w:spacing w:line="480" w:lineRule="auto"/>
        <w:rPr>
          <w:sz w:val="22"/>
          <w:szCs w:val="28"/>
        </w:rPr>
      </w:pPr>
      <w:r>
        <w:rPr>
          <w:rFonts w:hint="eastAsia" w:cs="微软雅黑" w:asciiTheme="minorEastAsia" w:hAnsiTheme="minorEastAsia" w:eastAsiaTheme="minorEastAsia"/>
          <w:color w:val="000000" w:themeColor="text1"/>
          <w:sz w:val="22"/>
          <w:szCs w:val="22"/>
        </w:rPr>
        <w:fldChar w:fldCharType="begin"/>
      </w:r>
      <w:r>
        <w:rPr>
          <w:rFonts w:hint="eastAsia" w:cs="微软雅黑" w:asciiTheme="minorEastAsia" w:hAnsiTheme="minorEastAsia" w:eastAsiaTheme="minorEastAsia"/>
          <w:color w:val="000000" w:themeColor="text1"/>
          <w:sz w:val="22"/>
          <w:szCs w:val="22"/>
        </w:rPr>
        <w:instrText xml:space="preserve"> TOC \o "1-3" \h \z \u </w:instrText>
      </w:r>
      <w:r>
        <w:rPr>
          <w:rFonts w:hint="eastAsia" w:cs="微软雅黑" w:asciiTheme="minorEastAsia" w:hAnsiTheme="minorEastAsia" w:eastAsiaTheme="minorEastAsia"/>
          <w:color w:val="000000" w:themeColor="text1"/>
          <w:sz w:val="22"/>
          <w:szCs w:val="22"/>
        </w:rPr>
        <w:fldChar w:fldCharType="separate"/>
      </w:r>
      <w:r>
        <w:fldChar w:fldCharType="begin"/>
      </w:r>
      <w:r>
        <w:instrText xml:space="preserve"> HYPERLINK \l "_Toc28189" </w:instrText>
      </w:r>
      <w:r>
        <w:fldChar w:fldCharType="separate"/>
      </w:r>
      <w:r>
        <w:rPr>
          <w:rFonts w:hint="eastAsia" w:ascii="宋体" w:hAnsi="宋体" w:cs="宋体"/>
          <w:bCs/>
          <w:sz w:val="22"/>
          <w:szCs w:val="40"/>
        </w:rPr>
        <w:t>第一章  公开招标采购公告</w:t>
      </w:r>
      <w:r>
        <w:rPr>
          <w:sz w:val="22"/>
          <w:szCs w:val="28"/>
        </w:rPr>
        <w:tab/>
      </w:r>
      <w:r>
        <w:rPr>
          <w:sz w:val="22"/>
          <w:szCs w:val="28"/>
        </w:rPr>
        <w:fldChar w:fldCharType="begin"/>
      </w:r>
      <w:r>
        <w:rPr>
          <w:sz w:val="22"/>
          <w:szCs w:val="28"/>
        </w:rPr>
        <w:instrText xml:space="preserve"> PAGEREF _Toc28189 \h </w:instrText>
      </w:r>
      <w:r>
        <w:rPr>
          <w:sz w:val="22"/>
          <w:szCs w:val="28"/>
        </w:rPr>
        <w:fldChar w:fldCharType="separate"/>
      </w:r>
      <w:r>
        <w:rPr>
          <w:sz w:val="22"/>
          <w:szCs w:val="28"/>
        </w:rPr>
        <w:t>4</w:t>
      </w:r>
      <w:r>
        <w:rPr>
          <w:sz w:val="22"/>
          <w:szCs w:val="28"/>
        </w:rPr>
        <w:fldChar w:fldCharType="end"/>
      </w:r>
      <w:r>
        <w:rPr>
          <w:sz w:val="22"/>
          <w:szCs w:val="28"/>
        </w:rPr>
        <w:fldChar w:fldCharType="end"/>
      </w:r>
    </w:p>
    <w:p w14:paraId="3AF28D65">
      <w:pPr>
        <w:pStyle w:val="33"/>
        <w:tabs>
          <w:tab w:val="right" w:leader="dot" w:pos="8988"/>
        </w:tabs>
        <w:spacing w:line="480" w:lineRule="auto"/>
        <w:rPr>
          <w:sz w:val="22"/>
          <w:szCs w:val="28"/>
        </w:rPr>
      </w:pPr>
      <w:r>
        <w:fldChar w:fldCharType="begin"/>
      </w:r>
      <w:r>
        <w:instrText xml:space="preserve"> HYPERLINK \l "_Toc30505" </w:instrText>
      </w:r>
      <w:r>
        <w:fldChar w:fldCharType="separate"/>
      </w:r>
      <w:r>
        <w:rPr>
          <w:sz w:val="22"/>
          <w:szCs w:val="40"/>
        </w:rPr>
        <w:t>第</w:t>
      </w:r>
      <w:r>
        <w:rPr>
          <w:rFonts w:hint="eastAsia"/>
          <w:sz w:val="22"/>
          <w:szCs w:val="40"/>
        </w:rPr>
        <w:t>二章  采购需求</w:t>
      </w:r>
      <w:r>
        <w:rPr>
          <w:sz w:val="22"/>
          <w:szCs w:val="28"/>
        </w:rPr>
        <w:tab/>
      </w:r>
      <w:r>
        <w:rPr>
          <w:sz w:val="22"/>
          <w:szCs w:val="28"/>
        </w:rPr>
        <w:fldChar w:fldCharType="begin"/>
      </w:r>
      <w:r>
        <w:rPr>
          <w:sz w:val="22"/>
          <w:szCs w:val="28"/>
        </w:rPr>
        <w:instrText xml:space="preserve"> PAGEREF _Toc30505 \h </w:instrText>
      </w:r>
      <w:r>
        <w:rPr>
          <w:sz w:val="22"/>
          <w:szCs w:val="28"/>
        </w:rPr>
        <w:fldChar w:fldCharType="separate"/>
      </w:r>
      <w:r>
        <w:rPr>
          <w:sz w:val="22"/>
          <w:szCs w:val="28"/>
        </w:rPr>
        <w:t>9</w:t>
      </w:r>
      <w:r>
        <w:rPr>
          <w:sz w:val="22"/>
          <w:szCs w:val="28"/>
        </w:rPr>
        <w:fldChar w:fldCharType="end"/>
      </w:r>
      <w:r>
        <w:rPr>
          <w:sz w:val="22"/>
          <w:szCs w:val="28"/>
        </w:rPr>
        <w:fldChar w:fldCharType="end"/>
      </w:r>
    </w:p>
    <w:p w14:paraId="65F3FFCE">
      <w:pPr>
        <w:pStyle w:val="33"/>
        <w:tabs>
          <w:tab w:val="right" w:leader="dot" w:pos="8988"/>
        </w:tabs>
        <w:spacing w:line="480" w:lineRule="auto"/>
        <w:rPr>
          <w:sz w:val="22"/>
          <w:szCs w:val="28"/>
        </w:rPr>
      </w:pPr>
      <w:r>
        <w:fldChar w:fldCharType="begin"/>
      </w:r>
      <w:r>
        <w:instrText xml:space="preserve"> HYPERLINK \l "_Toc17165" </w:instrText>
      </w:r>
      <w:r>
        <w:fldChar w:fldCharType="separate"/>
      </w:r>
      <w:r>
        <w:rPr>
          <w:rFonts w:hint="eastAsia"/>
          <w:sz w:val="22"/>
          <w:szCs w:val="40"/>
        </w:rPr>
        <w:t>第三章  投标人须知</w:t>
      </w:r>
      <w:r>
        <w:rPr>
          <w:sz w:val="22"/>
          <w:szCs w:val="28"/>
        </w:rPr>
        <w:tab/>
      </w:r>
      <w:r>
        <w:rPr>
          <w:sz w:val="22"/>
          <w:szCs w:val="28"/>
        </w:rPr>
        <w:fldChar w:fldCharType="begin"/>
      </w:r>
      <w:r>
        <w:rPr>
          <w:sz w:val="22"/>
          <w:szCs w:val="28"/>
        </w:rPr>
        <w:instrText xml:space="preserve"> PAGEREF _Toc17165 \h </w:instrText>
      </w:r>
      <w:r>
        <w:rPr>
          <w:sz w:val="22"/>
          <w:szCs w:val="28"/>
        </w:rPr>
        <w:fldChar w:fldCharType="separate"/>
      </w:r>
      <w:r>
        <w:rPr>
          <w:sz w:val="22"/>
          <w:szCs w:val="28"/>
        </w:rPr>
        <w:t>12</w:t>
      </w:r>
      <w:r>
        <w:rPr>
          <w:sz w:val="22"/>
          <w:szCs w:val="28"/>
        </w:rPr>
        <w:fldChar w:fldCharType="end"/>
      </w:r>
      <w:r>
        <w:rPr>
          <w:sz w:val="22"/>
          <w:szCs w:val="28"/>
        </w:rPr>
        <w:fldChar w:fldCharType="end"/>
      </w:r>
    </w:p>
    <w:p w14:paraId="403CEF51">
      <w:pPr>
        <w:pStyle w:val="33"/>
        <w:tabs>
          <w:tab w:val="right" w:leader="dot" w:pos="8988"/>
        </w:tabs>
        <w:spacing w:line="480" w:lineRule="auto"/>
        <w:ind w:firstLine="420" w:firstLineChars="200"/>
        <w:rPr>
          <w:sz w:val="22"/>
          <w:szCs w:val="28"/>
        </w:rPr>
      </w:pPr>
      <w:r>
        <w:fldChar w:fldCharType="begin"/>
      </w:r>
      <w:r>
        <w:instrText xml:space="preserve"> HYPERLINK \l "_Toc16971" </w:instrText>
      </w:r>
      <w:r>
        <w:fldChar w:fldCharType="separate"/>
      </w:r>
      <w:r>
        <w:rPr>
          <w:rFonts w:hint="eastAsia"/>
          <w:sz w:val="22"/>
          <w:szCs w:val="40"/>
        </w:rPr>
        <w:t>前附表</w:t>
      </w:r>
      <w:r>
        <w:rPr>
          <w:sz w:val="22"/>
          <w:szCs w:val="28"/>
        </w:rPr>
        <w:tab/>
      </w:r>
      <w:r>
        <w:rPr>
          <w:sz w:val="22"/>
          <w:szCs w:val="28"/>
        </w:rPr>
        <w:fldChar w:fldCharType="begin"/>
      </w:r>
      <w:r>
        <w:rPr>
          <w:sz w:val="22"/>
          <w:szCs w:val="28"/>
        </w:rPr>
        <w:instrText xml:space="preserve"> PAGEREF _Toc16971 \h </w:instrText>
      </w:r>
      <w:r>
        <w:rPr>
          <w:sz w:val="22"/>
          <w:szCs w:val="28"/>
        </w:rPr>
        <w:fldChar w:fldCharType="separate"/>
      </w:r>
      <w:r>
        <w:rPr>
          <w:sz w:val="22"/>
          <w:szCs w:val="28"/>
        </w:rPr>
        <w:t>13</w:t>
      </w:r>
      <w:r>
        <w:rPr>
          <w:sz w:val="22"/>
          <w:szCs w:val="28"/>
        </w:rPr>
        <w:fldChar w:fldCharType="end"/>
      </w:r>
      <w:r>
        <w:rPr>
          <w:sz w:val="22"/>
          <w:szCs w:val="28"/>
        </w:rPr>
        <w:fldChar w:fldCharType="end"/>
      </w:r>
    </w:p>
    <w:p w14:paraId="1B1A9179">
      <w:pPr>
        <w:pStyle w:val="41"/>
        <w:tabs>
          <w:tab w:val="right" w:leader="dot" w:pos="8988"/>
        </w:tabs>
        <w:spacing w:line="480" w:lineRule="auto"/>
        <w:ind w:left="0" w:leftChars="0" w:firstLine="420" w:firstLineChars="200"/>
        <w:rPr>
          <w:sz w:val="22"/>
          <w:szCs w:val="28"/>
        </w:rPr>
      </w:pPr>
      <w:r>
        <w:fldChar w:fldCharType="begin"/>
      </w:r>
      <w:r>
        <w:instrText xml:space="preserve"> HYPERLINK \l "_Toc15929" </w:instrText>
      </w:r>
      <w:r>
        <w:fldChar w:fldCharType="separate"/>
      </w:r>
      <w:r>
        <w:rPr>
          <w:rFonts w:hint="eastAsia" w:asciiTheme="minorEastAsia" w:hAnsiTheme="minorEastAsia" w:eastAsiaTheme="minorEastAsia"/>
          <w:sz w:val="22"/>
          <w:szCs w:val="22"/>
        </w:rPr>
        <w:t>一、总  则</w:t>
      </w:r>
      <w:r>
        <w:rPr>
          <w:sz w:val="22"/>
          <w:szCs w:val="28"/>
        </w:rPr>
        <w:tab/>
      </w:r>
      <w:r>
        <w:rPr>
          <w:sz w:val="22"/>
          <w:szCs w:val="28"/>
        </w:rPr>
        <w:fldChar w:fldCharType="begin"/>
      </w:r>
      <w:r>
        <w:rPr>
          <w:sz w:val="22"/>
          <w:szCs w:val="28"/>
        </w:rPr>
        <w:instrText xml:space="preserve"> PAGEREF _Toc15929 \h </w:instrText>
      </w:r>
      <w:r>
        <w:rPr>
          <w:sz w:val="22"/>
          <w:szCs w:val="28"/>
        </w:rPr>
        <w:fldChar w:fldCharType="separate"/>
      </w:r>
      <w:r>
        <w:rPr>
          <w:sz w:val="22"/>
          <w:szCs w:val="28"/>
        </w:rPr>
        <w:t>17</w:t>
      </w:r>
      <w:r>
        <w:rPr>
          <w:sz w:val="22"/>
          <w:szCs w:val="28"/>
        </w:rPr>
        <w:fldChar w:fldCharType="end"/>
      </w:r>
      <w:r>
        <w:rPr>
          <w:sz w:val="22"/>
          <w:szCs w:val="28"/>
        </w:rPr>
        <w:fldChar w:fldCharType="end"/>
      </w:r>
    </w:p>
    <w:p w14:paraId="4C01BFA8">
      <w:pPr>
        <w:pStyle w:val="41"/>
        <w:tabs>
          <w:tab w:val="right" w:leader="dot" w:pos="8988"/>
        </w:tabs>
        <w:spacing w:line="480" w:lineRule="auto"/>
        <w:ind w:left="0" w:leftChars="0" w:firstLine="420" w:firstLineChars="200"/>
        <w:rPr>
          <w:sz w:val="22"/>
          <w:szCs w:val="28"/>
        </w:rPr>
      </w:pPr>
      <w:r>
        <w:fldChar w:fldCharType="begin"/>
      </w:r>
      <w:r>
        <w:instrText xml:space="preserve"> HYPERLINK \l "_Toc237" </w:instrText>
      </w:r>
      <w:r>
        <w:fldChar w:fldCharType="separate"/>
      </w:r>
      <w:r>
        <w:rPr>
          <w:rFonts w:hint="eastAsia" w:asciiTheme="minorEastAsia" w:hAnsiTheme="minorEastAsia" w:eastAsiaTheme="minorEastAsia"/>
          <w:sz w:val="22"/>
          <w:szCs w:val="22"/>
        </w:rPr>
        <w:t>二、招标文件</w:t>
      </w:r>
      <w:r>
        <w:rPr>
          <w:sz w:val="22"/>
          <w:szCs w:val="28"/>
        </w:rPr>
        <w:tab/>
      </w:r>
      <w:r>
        <w:rPr>
          <w:sz w:val="22"/>
          <w:szCs w:val="28"/>
        </w:rPr>
        <w:fldChar w:fldCharType="begin"/>
      </w:r>
      <w:r>
        <w:rPr>
          <w:sz w:val="22"/>
          <w:szCs w:val="28"/>
        </w:rPr>
        <w:instrText xml:space="preserve"> PAGEREF _Toc237 \h </w:instrText>
      </w:r>
      <w:r>
        <w:rPr>
          <w:sz w:val="22"/>
          <w:szCs w:val="28"/>
        </w:rPr>
        <w:fldChar w:fldCharType="separate"/>
      </w:r>
      <w:r>
        <w:rPr>
          <w:sz w:val="22"/>
          <w:szCs w:val="28"/>
        </w:rPr>
        <w:t>18</w:t>
      </w:r>
      <w:r>
        <w:rPr>
          <w:sz w:val="22"/>
          <w:szCs w:val="28"/>
        </w:rPr>
        <w:fldChar w:fldCharType="end"/>
      </w:r>
      <w:r>
        <w:rPr>
          <w:sz w:val="22"/>
          <w:szCs w:val="28"/>
        </w:rPr>
        <w:fldChar w:fldCharType="end"/>
      </w:r>
    </w:p>
    <w:p w14:paraId="4B766FB8">
      <w:pPr>
        <w:pStyle w:val="41"/>
        <w:tabs>
          <w:tab w:val="right" w:leader="dot" w:pos="8988"/>
        </w:tabs>
        <w:spacing w:line="480" w:lineRule="auto"/>
        <w:ind w:left="0" w:leftChars="0" w:firstLine="420" w:firstLineChars="200"/>
        <w:rPr>
          <w:sz w:val="22"/>
          <w:szCs w:val="28"/>
        </w:rPr>
      </w:pPr>
      <w:r>
        <w:fldChar w:fldCharType="begin"/>
      </w:r>
      <w:r>
        <w:instrText xml:space="preserve"> HYPERLINK \l "_Toc10960" </w:instrText>
      </w:r>
      <w:r>
        <w:fldChar w:fldCharType="separate"/>
      </w:r>
      <w:r>
        <w:rPr>
          <w:rFonts w:hint="eastAsia" w:asciiTheme="minorEastAsia" w:hAnsiTheme="minorEastAsia" w:eastAsiaTheme="minorEastAsia"/>
          <w:sz w:val="22"/>
          <w:szCs w:val="22"/>
        </w:rPr>
        <w:t>三、投标文件的编制</w:t>
      </w:r>
      <w:r>
        <w:rPr>
          <w:sz w:val="22"/>
          <w:szCs w:val="28"/>
        </w:rPr>
        <w:tab/>
      </w:r>
      <w:r>
        <w:rPr>
          <w:sz w:val="22"/>
          <w:szCs w:val="28"/>
        </w:rPr>
        <w:fldChar w:fldCharType="begin"/>
      </w:r>
      <w:r>
        <w:rPr>
          <w:sz w:val="22"/>
          <w:szCs w:val="28"/>
        </w:rPr>
        <w:instrText xml:space="preserve"> PAGEREF _Toc10960 \h </w:instrText>
      </w:r>
      <w:r>
        <w:rPr>
          <w:sz w:val="22"/>
          <w:szCs w:val="28"/>
        </w:rPr>
        <w:fldChar w:fldCharType="separate"/>
      </w:r>
      <w:r>
        <w:rPr>
          <w:sz w:val="22"/>
          <w:szCs w:val="28"/>
        </w:rPr>
        <w:t>19</w:t>
      </w:r>
      <w:r>
        <w:rPr>
          <w:sz w:val="22"/>
          <w:szCs w:val="28"/>
        </w:rPr>
        <w:fldChar w:fldCharType="end"/>
      </w:r>
      <w:r>
        <w:rPr>
          <w:sz w:val="22"/>
          <w:szCs w:val="28"/>
        </w:rPr>
        <w:fldChar w:fldCharType="end"/>
      </w:r>
    </w:p>
    <w:p w14:paraId="49BC3328">
      <w:pPr>
        <w:pStyle w:val="41"/>
        <w:tabs>
          <w:tab w:val="right" w:leader="dot" w:pos="8988"/>
        </w:tabs>
        <w:spacing w:line="480" w:lineRule="auto"/>
        <w:ind w:left="0" w:leftChars="0" w:firstLine="420" w:firstLineChars="200"/>
        <w:rPr>
          <w:sz w:val="22"/>
          <w:szCs w:val="28"/>
        </w:rPr>
      </w:pPr>
      <w:r>
        <w:fldChar w:fldCharType="begin"/>
      </w:r>
      <w:r>
        <w:instrText xml:space="preserve"> HYPERLINK \l "_Toc13141" </w:instrText>
      </w:r>
      <w:r>
        <w:fldChar w:fldCharType="separate"/>
      </w:r>
      <w:r>
        <w:rPr>
          <w:rFonts w:hint="eastAsia" w:asciiTheme="minorEastAsia" w:hAnsiTheme="minorEastAsia" w:eastAsiaTheme="minorEastAsia"/>
          <w:sz w:val="22"/>
          <w:szCs w:val="22"/>
        </w:rPr>
        <w:t>四、开标</w:t>
      </w:r>
      <w:r>
        <w:rPr>
          <w:sz w:val="22"/>
          <w:szCs w:val="28"/>
        </w:rPr>
        <w:tab/>
      </w:r>
      <w:r>
        <w:rPr>
          <w:sz w:val="22"/>
          <w:szCs w:val="28"/>
        </w:rPr>
        <w:fldChar w:fldCharType="begin"/>
      </w:r>
      <w:r>
        <w:rPr>
          <w:sz w:val="22"/>
          <w:szCs w:val="28"/>
        </w:rPr>
        <w:instrText xml:space="preserve"> PAGEREF _Toc13141 \h </w:instrText>
      </w:r>
      <w:r>
        <w:rPr>
          <w:sz w:val="22"/>
          <w:szCs w:val="28"/>
        </w:rPr>
        <w:fldChar w:fldCharType="separate"/>
      </w:r>
      <w:r>
        <w:rPr>
          <w:sz w:val="22"/>
          <w:szCs w:val="28"/>
        </w:rPr>
        <w:t>24</w:t>
      </w:r>
      <w:r>
        <w:rPr>
          <w:sz w:val="22"/>
          <w:szCs w:val="28"/>
        </w:rPr>
        <w:fldChar w:fldCharType="end"/>
      </w:r>
      <w:r>
        <w:rPr>
          <w:sz w:val="22"/>
          <w:szCs w:val="28"/>
        </w:rPr>
        <w:fldChar w:fldCharType="end"/>
      </w:r>
    </w:p>
    <w:p w14:paraId="04094681">
      <w:pPr>
        <w:pStyle w:val="41"/>
        <w:tabs>
          <w:tab w:val="right" w:leader="dot" w:pos="8988"/>
        </w:tabs>
        <w:spacing w:line="480" w:lineRule="auto"/>
        <w:ind w:left="0" w:leftChars="0" w:firstLine="420" w:firstLineChars="200"/>
        <w:rPr>
          <w:sz w:val="22"/>
          <w:szCs w:val="28"/>
        </w:rPr>
      </w:pPr>
      <w:r>
        <w:fldChar w:fldCharType="begin"/>
      </w:r>
      <w:r>
        <w:instrText xml:space="preserve"> HYPERLINK \l "_Toc25507" </w:instrText>
      </w:r>
      <w:r>
        <w:fldChar w:fldCharType="separate"/>
      </w:r>
      <w:r>
        <w:rPr>
          <w:rFonts w:hint="eastAsia" w:asciiTheme="minorEastAsia" w:hAnsiTheme="minorEastAsia" w:eastAsiaTheme="minorEastAsia"/>
          <w:sz w:val="22"/>
          <w:szCs w:val="22"/>
        </w:rPr>
        <w:t>五、评标</w:t>
      </w:r>
      <w:r>
        <w:rPr>
          <w:sz w:val="22"/>
          <w:szCs w:val="28"/>
        </w:rPr>
        <w:tab/>
      </w:r>
      <w:r>
        <w:rPr>
          <w:sz w:val="22"/>
          <w:szCs w:val="28"/>
        </w:rPr>
        <w:fldChar w:fldCharType="begin"/>
      </w:r>
      <w:r>
        <w:rPr>
          <w:sz w:val="22"/>
          <w:szCs w:val="28"/>
        </w:rPr>
        <w:instrText xml:space="preserve"> PAGEREF _Toc25507 \h </w:instrText>
      </w:r>
      <w:r>
        <w:rPr>
          <w:sz w:val="22"/>
          <w:szCs w:val="28"/>
        </w:rPr>
        <w:fldChar w:fldCharType="separate"/>
      </w:r>
      <w:r>
        <w:rPr>
          <w:sz w:val="22"/>
          <w:szCs w:val="28"/>
        </w:rPr>
        <w:t>26</w:t>
      </w:r>
      <w:r>
        <w:rPr>
          <w:sz w:val="22"/>
          <w:szCs w:val="28"/>
        </w:rPr>
        <w:fldChar w:fldCharType="end"/>
      </w:r>
      <w:r>
        <w:rPr>
          <w:sz w:val="22"/>
          <w:szCs w:val="28"/>
        </w:rPr>
        <w:fldChar w:fldCharType="end"/>
      </w:r>
    </w:p>
    <w:p w14:paraId="31F6E518">
      <w:pPr>
        <w:pStyle w:val="41"/>
        <w:tabs>
          <w:tab w:val="right" w:leader="dot" w:pos="8988"/>
        </w:tabs>
        <w:spacing w:line="480" w:lineRule="auto"/>
        <w:ind w:left="0" w:leftChars="0" w:firstLine="420" w:firstLineChars="200"/>
        <w:rPr>
          <w:sz w:val="22"/>
          <w:szCs w:val="28"/>
        </w:rPr>
      </w:pPr>
      <w:r>
        <w:fldChar w:fldCharType="begin"/>
      </w:r>
      <w:r>
        <w:instrText xml:space="preserve"> HYPERLINK \l "_Toc14790" </w:instrText>
      </w:r>
      <w:r>
        <w:fldChar w:fldCharType="separate"/>
      </w:r>
      <w:r>
        <w:rPr>
          <w:rFonts w:hint="eastAsia" w:asciiTheme="minorEastAsia" w:hAnsiTheme="minorEastAsia" w:eastAsiaTheme="minorEastAsia"/>
          <w:sz w:val="22"/>
          <w:szCs w:val="22"/>
        </w:rPr>
        <w:t>六、定标</w:t>
      </w:r>
      <w:r>
        <w:rPr>
          <w:sz w:val="22"/>
          <w:szCs w:val="28"/>
        </w:rPr>
        <w:tab/>
      </w:r>
      <w:r>
        <w:rPr>
          <w:sz w:val="22"/>
          <w:szCs w:val="28"/>
        </w:rPr>
        <w:fldChar w:fldCharType="begin"/>
      </w:r>
      <w:r>
        <w:rPr>
          <w:sz w:val="22"/>
          <w:szCs w:val="28"/>
        </w:rPr>
        <w:instrText xml:space="preserve"> PAGEREF _Toc14790 \h </w:instrText>
      </w:r>
      <w:r>
        <w:rPr>
          <w:sz w:val="22"/>
          <w:szCs w:val="28"/>
        </w:rPr>
        <w:fldChar w:fldCharType="separate"/>
      </w:r>
      <w:r>
        <w:rPr>
          <w:sz w:val="22"/>
          <w:szCs w:val="28"/>
        </w:rPr>
        <w:t>27</w:t>
      </w:r>
      <w:r>
        <w:rPr>
          <w:sz w:val="22"/>
          <w:szCs w:val="28"/>
        </w:rPr>
        <w:fldChar w:fldCharType="end"/>
      </w:r>
      <w:r>
        <w:rPr>
          <w:sz w:val="22"/>
          <w:szCs w:val="28"/>
        </w:rPr>
        <w:fldChar w:fldCharType="end"/>
      </w:r>
    </w:p>
    <w:p w14:paraId="7252F671">
      <w:pPr>
        <w:pStyle w:val="41"/>
        <w:tabs>
          <w:tab w:val="right" w:leader="dot" w:pos="8988"/>
        </w:tabs>
        <w:spacing w:line="480" w:lineRule="auto"/>
        <w:rPr>
          <w:sz w:val="22"/>
          <w:szCs w:val="28"/>
        </w:rPr>
      </w:pPr>
      <w:r>
        <w:fldChar w:fldCharType="begin"/>
      </w:r>
      <w:r>
        <w:instrText xml:space="preserve"> HYPERLINK \l "_Toc12843" </w:instrText>
      </w:r>
      <w:r>
        <w:fldChar w:fldCharType="separate"/>
      </w:r>
      <w:r>
        <w:rPr>
          <w:rFonts w:hint="eastAsia" w:asciiTheme="minorEastAsia" w:hAnsiTheme="minorEastAsia" w:eastAsiaTheme="minorEastAsia"/>
          <w:sz w:val="22"/>
          <w:szCs w:val="22"/>
        </w:rPr>
        <w:t>七、合同授予</w:t>
      </w:r>
      <w:r>
        <w:rPr>
          <w:sz w:val="22"/>
          <w:szCs w:val="28"/>
        </w:rPr>
        <w:tab/>
      </w:r>
      <w:r>
        <w:rPr>
          <w:sz w:val="22"/>
          <w:szCs w:val="28"/>
        </w:rPr>
        <w:fldChar w:fldCharType="begin"/>
      </w:r>
      <w:r>
        <w:rPr>
          <w:sz w:val="22"/>
          <w:szCs w:val="28"/>
        </w:rPr>
        <w:instrText xml:space="preserve"> PAGEREF _Toc12843 \h </w:instrText>
      </w:r>
      <w:r>
        <w:rPr>
          <w:sz w:val="22"/>
          <w:szCs w:val="28"/>
        </w:rPr>
        <w:fldChar w:fldCharType="separate"/>
      </w:r>
      <w:r>
        <w:rPr>
          <w:sz w:val="22"/>
          <w:szCs w:val="28"/>
        </w:rPr>
        <w:t>28</w:t>
      </w:r>
      <w:r>
        <w:rPr>
          <w:sz w:val="22"/>
          <w:szCs w:val="28"/>
        </w:rPr>
        <w:fldChar w:fldCharType="end"/>
      </w:r>
      <w:r>
        <w:rPr>
          <w:sz w:val="22"/>
          <w:szCs w:val="28"/>
        </w:rPr>
        <w:fldChar w:fldCharType="end"/>
      </w:r>
    </w:p>
    <w:p w14:paraId="31BCA28D">
      <w:pPr>
        <w:pStyle w:val="33"/>
        <w:tabs>
          <w:tab w:val="right" w:leader="dot" w:pos="8988"/>
        </w:tabs>
        <w:spacing w:line="480" w:lineRule="auto"/>
        <w:rPr>
          <w:sz w:val="22"/>
          <w:szCs w:val="28"/>
        </w:rPr>
      </w:pPr>
      <w:r>
        <w:fldChar w:fldCharType="begin"/>
      </w:r>
      <w:r>
        <w:instrText xml:space="preserve"> HYPERLINK \l "_Toc2240" </w:instrText>
      </w:r>
      <w:r>
        <w:fldChar w:fldCharType="separate"/>
      </w:r>
      <w:r>
        <w:rPr>
          <w:rFonts w:hint="eastAsia"/>
          <w:sz w:val="22"/>
          <w:szCs w:val="40"/>
        </w:rPr>
        <w:t>第四章  评标办法及评分标准</w:t>
      </w:r>
      <w:r>
        <w:rPr>
          <w:sz w:val="22"/>
          <w:szCs w:val="28"/>
        </w:rPr>
        <w:tab/>
      </w:r>
      <w:r>
        <w:rPr>
          <w:sz w:val="22"/>
          <w:szCs w:val="28"/>
        </w:rPr>
        <w:fldChar w:fldCharType="begin"/>
      </w:r>
      <w:r>
        <w:rPr>
          <w:sz w:val="22"/>
          <w:szCs w:val="28"/>
        </w:rPr>
        <w:instrText xml:space="preserve"> PAGEREF _Toc2240 \h </w:instrText>
      </w:r>
      <w:r>
        <w:rPr>
          <w:sz w:val="22"/>
          <w:szCs w:val="28"/>
        </w:rPr>
        <w:fldChar w:fldCharType="separate"/>
      </w:r>
      <w:r>
        <w:rPr>
          <w:sz w:val="22"/>
          <w:szCs w:val="28"/>
        </w:rPr>
        <w:t>29</w:t>
      </w:r>
      <w:r>
        <w:rPr>
          <w:sz w:val="22"/>
          <w:szCs w:val="28"/>
        </w:rPr>
        <w:fldChar w:fldCharType="end"/>
      </w:r>
      <w:r>
        <w:rPr>
          <w:sz w:val="22"/>
          <w:szCs w:val="28"/>
        </w:rPr>
        <w:fldChar w:fldCharType="end"/>
      </w:r>
    </w:p>
    <w:p w14:paraId="2E617AD8">
      <w:pPr>
        <w:pStyle w:val="33"/>
        <w:tabs>
          <w:tab w:val="right" w:leader="dot" w:pos="8988"/>
        </w:tabs>
        <w:spacing w:line="480" w:lineRule="auto"/>
        <w:rPr>
          <w:sz w:val="22"/>
          <w:szCs w:val="28"/>
        </w:rPr>
      </w:pPr>
      <w:r>
        <w:fldChar w:fldCharType="begin"/>
      </w:r>
      <w:r>
        <w:instrText xml:space="preserve"> HYPERLINK \l "_Toc29987" </w:instrText>
      </w:r>
      <w:r>
        <w:fldChar w:fldCharType="separate"/>
      </w:r>
      <w:r>
        <w:rPr>
          <w:rFonts w:hint="eastAsia"/>
          <w:sz w:val="22"/>
          <w:szCs w:val="40"/>
        </w:rPr>
        <w:t>第五章  政府采购合同</w:t>
      </w:r>
      <w:r>
        <w:rPr>
          <w:sz w:val="22"/>
          <w:szCs w:val="28"/>
        </w:rPr>
        <w:tab/>
      </w:r>
      <w:r>
        <w:rPr>
          <w:sz w:val="22"/>
          <w:szCs w:val="28"/>
        </w:rPr>
        <w:fldChar w:fldCharType="begin"/>
      </w:r>
      <w:r>
        <w:rPr>
          <w:sz w:val="22"/>
          <w:szCs w:val="28"/>
        </w:rPr>
        <w:instrText xml:space="preserve"> PAGEREF _Toc29987 \h </w:instrText>
      </w:r>
      <w:r>
        <w:rPr>
          <w:sz w:val="22"/>
          <w:szCs w:val="28"/>
        </w:rPr>
        <w:fldChar w:fldCharType="separate"/>
      </w:r>
      <w:r>
        <w:rPr>
          <w:sz w:val="22"/>
          <w:szCs w:val="28"/>
        </w:rPr>
        <w:t>32</w:t>
      </w:r>
      <w:r>
        <w:rPr>
          <w:sz w:val="22"/>
          <w:szCs w:val="28"/>
        </w:rPr>
        <w:fldChar w:fldCharType="end"/>
      </w:r>
      <w:r>
        <w:rPr>
          <w:sz w:val="22"/>
          <w:szCs w:val="28"/>
        </w:rPr>
        <w:fldChar w:fldCharType="end"/>
      </w:r>
    </w:p>
    <w:p w14:paraId="796B5C71">
      <w:pPr>
        <w:pStyle w:val="33"/>
        <w:tabs>
          <w:tab w:val="right" w:leader="dot" w:pos="8988"/>
        </w:tabs>
        <w:spacing w:line="480" w:lineRule="auto"/>
        <w:rPr>
          <w:rFonts w:cs="微软雅黑" w:asciiTheme="minorEastAsia" w:hAnsiTheme="minorEastAsia" w:eastAsiaTheme="minorEastAsia"/>
          <w:color w:val="000000" w:themeColor="text1"/>
          <w:sz w:val="22"/>
          <w:szCs w:val="22"/>
        </w:rPr>
      </w:pPr>
      <w:r>
        <w:fldChar w:fldCharType="begin"/>
      </w:r>
      <w:r>
        <w:instrText xml:space="preserve"> HYPERLINK \l "_Toc17379" </w:instrText>
      </w:r>
      <w:r>
        <w:fldChar w:fldCharType="separate"/>
      </w:r>
      <w:r>
        <w:rPr>
          <w:rFonts w:hint="eastAsia"/>
          <w:sz w:val="22"/>
          <w:szCs w:val="40"/>
        </w:rPr>
        <w:t>第六章　投标文件相关格式</w:t>
      </w:r>
      <w:r>
        <w:rPr>
          <w:sz w:val="22"/>
          <w:szCs w:val="28"/>
        </w:rPr>
        <w:tab/>
      </w:r>
      <w:r>
        <w:rPr>
          <w:sz w:val="22"/>
          <w:szCs w:val="28"/>
        </w:rPr>
        <w:fldChar w:fldCharType="begin"/>
      </w:r>
      <w:r>
        <w:rPr>
          <w:sz w:val="22"/>
          <w:szCs w:val="28"/>
        </w:rPr>
        <w:instrText xml:space="preserve"> PAGEREF _Toc17379 \h </w:instrText>
      </w:r>
      <w:r>
        <w:rPr>
          <w:sz w:val="22"/>
          <w:szCs w:val="28"/>
        </w:rPr>
        <w:fldChar w:fldCharType="separate"/>
      </w:r>
      <w:r>
        <w:rPr>
          <w:sz w:val="22"/>
          <w:szCs w:val="28"/>
        </w:rPr>
        <w:t>37</w:t>
      </w:r>
      <w:r>
        <w:rPr>
          <w:sz w:val="22"/>
          <w:szCs w:val="28"/>
        </w:rPr>
        <w:fldChar w:fldCharType="end"/>
      </w:r>
      <w:r>
        <w:rPr>
          <w:sz w:val="22"/>
          <w:szCs w:val="28"/>
        </w:rPr>
        <w:fldChar w:fldCharType="end"/>
      </w:r>
      <w:r>
        <w:rPr>
          <w:rFonts w:hint="eastAsia" w:cs="微软雅黑" w:asciiTheme="minorEastAsia" w:hAnsiTheme="minorEastAsia" w:eastAsiaTheme="minorEastAsia"/>
          <w:color w:val="000000" w:themeColor="text1"/>
          <w:sz w:val="22"/>
          <w:szCs w:val="22"/>
        </w:rPr>
        <w:fldChar w:fldCharType="end"/>
      </w:r>
    </w:p>
    <w:p w14:paraId="19EC5F8E">
      <w:pPr>
        <w:spacing w:line="360" w:lineRule="auto"/>
        <w:ind w:right="42" w:rightChars="20" w:firstLine="420" w:firstLineChars="200"/>
        <w:jc w:val="left"/>
        <w:rPr>
          <w:rFonts w:asciiTheme="minorEastAsia" w:hAnsiTheme="minorEastAsia" w:eastAsiaTheme="minorEastAsia"/>
          <w:color w:val="000000" w:themeColor="text1"/>
          <w:szCs w:val="21"/>
        </w:rPr>
      </w:pPr>
    </w:p>
    <w:p w14:paraId="4EEFE204">
      <w:pPr>
        <w:pStyle w:val="154"/>
        <w:ind w:right="42" w:rightChars="20"/>
        <w:rPr>
          <w:rStyle w:val="91"/>
          <w:rFonts w:ascii="宋体" w:eastAsia="宋体" w:cs="宋体"/>
          <w:b/>
          <w:bCs/>
          <w:sz w:val="36"/>
          <w:szCs w:val="36"/>
        </w:rPr>
        <w:sectPr>
          <w:footerReference r:id="rId7" w:type="default"/>
          <w:pgSz w:w="11910" w:h="16840"/>
          <w:pgMar w:top="1474" w:right="1701" w:bottom="1474" w:left="1701" w:header="0" w:footer="0" w:gutter="0"/>
          <w:cols w:space="425" w:num="1"/>
          <w:docGrid w:linePitch="326" w:charSpace="0"/>
        </w:sectPr>
      </w:pPr>
      <w:bookmarkStart w:id="1" w:name="_Toc493511540"/>
    </w:p>
    <w:p w14:paraId="00C18551">
      <w:pPr>
        <w:pStyle w:val="154"/>
        <w:ind w:right="42" w:rightChars="20"/>
        <w:rPr>
          <w:rFonts w:asciiTheme="minorEastAsia" w:hAnsiTheme="minorEastAsia" w:eastAsiaTheme="minorEastAsia"/>
          <w:b w:val="0"/>
          <w:color w:val="000000" w:themeColor="text1"/>
        </w:rPr>
      </w:pPr>
      <w:bookmarkStart w:id="2" w:name="_Toc28189"/>
      <w:r>
        <w:rPr>
          <w:rStyle w:val="91"/>
          <w:rFonts w:hint="eastAsia" w:ascii="宋体" w:eastAsia="宋体" w:cs="宋体"/>
          <w:b/>
          <w:bCs/>
          <w:sz w:val="36"/>
          <w:szCs w:val="36"/>
        </w:rPr>
        <w:t>第一章  公开招标采购公告</w:t>
      </w:r>
      <w:bookmarkEnd w:id="1"/>
      <w:bookmarkEnd w:id="2"/>
    </w:p>
    <w:p w14:paraId="439AF6E5">
      <w:pPr>
        <w:spacing w:line="440" w:lineRule="exact"/>
        <w:ind w:firstLine="420" w:firstLineChars="200"/>
        <w:rPr>
          <w:rFonts w:ascii="宋体" w:hAnsi="宋体" w:cs="宋体"/>
          <w:szCs w:val="21"/>
        </w:rPr>
      </w:pPr>
      <w:bookmarkStart w:id="3" w:name="_Toc493511541"/>
      <w:bookmarkStart w:id="4" w:name="_Toc177870534"/>
    </w:p>
    <w:p w14:paraId="6C3CB8DD">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rPr>
      </w:pPr>
      <w:r>
        <w:rPr>
          <w:rFonts w:hint="eastAsia" w:ascii="宋体" w:hAnsi="宋体" w:cs="宋体"/>
          <w:szCs w:val="21"/>
        </w:rPr>
        <w:t>项目概况</w:t>
      </w:r>
    </w:p>
    <w:p w14:paraId="09664AE3">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szCs w:val="21"/>
        </w:rPr>
      </w:pPr>
      <w:r>
        <w:rPr>
          <w:rFonts w:hint="eastAsia" w:ascii="宋体" w:hAnsi="宋体" w:cs="宋体"/>
          <w:szCs w:val="21"/>
          <w:u w:val="single"/>
          <w:lang w:eastAsia="zh-CN"/>
        </w:rPr>
        <w:t>秀洲区2025年水文测站标准化运行管理及维护项目</w:t>
      </w:r>
      <w:r>
        <w:rPr>
          <w:rFonts w:hint="eastAsia" w:ascii="宋体" w:hAnsi="宋体" w:cs="宋体"/>
          <w:szCs w:val="21"/>
        </w:rPr>
        <w:t>招标项目的潜在投标人应在政采云平台线上获取招标文件，并于</w:t>
      </w:r>
      <w:r>
        <w:rPr>
          <w:rFonts w:hint="eastAsia" w:ascii="宋体" w:hAnsi="宋体" w:cs="宋体"/>
          <w:bCs/>
          <w:szCs w:val="21"/>
          <w:u w:val="single"/>
          <w:lang w:eastAsia="zh-CN"/>
        </w:rPr>
        <w:t>2025年</w:t>
      </w:r>
      <w:r>
        <w:rPr>
          <w:rFonts w:hint="eastAsia" w:ascii="宋体" w:hAnsi="宋体" w:cs="宋体"/>
          <w:bCs/>
          <w:szCs w:val="21"/>
          <w:u w:val="single"/>
          <w:lang w:val="en-US" w:eastAsia="zh-CN"/>
        </w:rPr>
        <w:t>03月05</w:t>
      </w:r>
      <w:r>
        <w:rPr>
          <w:rFonts w:hint="eastAsia" w:ascii="宋体" w:hAnsi="宋体" w:cs="宋体"/>
          <w:bCs/>
          <w:szCs w:val="21"/>
          <w:u w:val="single"/>
        </w:rPr>
        <w:t>日14时30分（</w:t>
      </w:r>
      <w:r>
        <w:rPr>
          <w:rFonts w:hint="eastAsia" w:ascii="宋体" w:hAnsi="宋体" w:cs="宋体"/>
          <w:bCs/>
          <w:szCs w:val="21"/>
        </w:rPr>
        <w:t>北京时间）前递交（上传）投标文件</w:t>
      </w:r>
      <w:r>
        <w:rPr>
          <w:rFonts w:hint="eastAsia" w:ascii="宋体" w:hAnsi="宋体" w:cs="宋体"/>
          <w:szCs w:val="21"/>
        </w:rPr>
        <w:t>。</w:t>
      </w:r>
    </w:p>
    <w:p w14:paraId="4FCC7B36">
      <w:pPr>
        <w:spacing w:line="440" w:lineRule="exact"/>
        <w:ind w:firstLine="420" w:firstLineChars="200"/>
        <w:rPr>
          <w:rFonts w:ascii="宋体" w:hAnsi="宋体" w:cs="宋体"/>
          <w:szCs w:val="21"/>
        </w:rPr>
      </w:pPr>
    </w:p>
    <w:p w14:paraId="4EC74238">
      <w:pPr>
        <w:spacing w:line="440" w:lineRule="exact"/>
        <w:rPr>
          <w:b/>
          <w:bCs/>
        </w:rPr>
      </w:pPr>
      <w:bookmarkStart w:id="5" w:name="_Toc28359079"/>
      <w:bookmarkStart w:id="6" w:name="_Toc35393621"/>
      <w:bookmarkStart w:id="7" w:name="_Toc35393790"/>
      <w:bookmarkStart w:id="8" w:name="_Toc28359002"/>
      <w:bookmarkStart w:id="9" w:name="_Hlk24379207"/>
      <w:r>
        <w:rPr>
          <w:rFonts w:hint="eastAsia"/>
          <w:b/>
          <w:bCs/>
        </w:rPr>
        <w:t>一、项目基本情况</w:t>
      </w:r>
      <w:bookmarkEnd w:id="5"/>
      <w:bookmarkEnd w:id="6"/>
      <w:bookmarkEnd w:id="7"/>
      <w:bookmarkEnd w:id="8"/>
    </w:p>
    <w:p w14:paraId="24219D95">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bCs/>
          <w:szCs w:val="21"/>
          <w:lang w:eastAsia="zh-CN"/>
        </w:rPr>
        <w:t>浙勋代理嘉【2025】003号</w:t>
      </w:r>
    </w:p>
    <w:p w14:paraId="4B03B7E6">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秀洲区2025年水文测站标准化运行管理及维护项目</w:t>
      </w:r>
    </w:p>
    <w:bookmarkEnd w:id="9"/>
    <w:p w14:paraId="08DFEDB2">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预算金额（元）：</w:t>
      </w:r>
      <w:r>
        <w:rPr>
          <w:rFonts w:hint="eastAsia" w:ascii="宋体" w:hAnsi="宋体" w:cs="宋体"/>
          <w:szCs w:val="21"/>
          <w:lang w:eastAsia="zh-CN"/>
        </w:rPr>
        <w:t>680000</w:t>
      </w:r>
    </w:p>
    <w:p w14:paraId="66DDA781">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最高限价（元）：</w:t>
      </w:r>
      <w:r>
        <w:rPr>
          <w:rFonts w:hint="eastAsia" w:ascii="宋体" w:hAnsi="宋体" w:cs="宋体"/>
          <w:szCs w:val="21"/>
          <w:lang w:eastAsia="zh-CN"/>
        </w:rPr>
        <w:t>680000</w:t>
      </w:r>
    </w:p>
    <w:p w14:paraId="3FA0ABCA">
      <w:pPr>
        <w:spacing w:line="440" w:lineRule="exact"/>
        <w:ind w:firstLine="420" w:firstLineChars="200"/>
        <w:rPr>
          <w:rFonts w:ascii="宋体" w:hAnsi="宋体" w:cs="宋体"/>
          <w:szCs w:val="21"/>
          <w:u w:val="single"/>
        </w:rPr>
      </w:pPr>
      <w:r>
        <w:rPr>
          <w:rFonts w:hint="eastAsia" w:ascii="宋体" w:hAnsi="宋体" w:cs="宋体"/>
          <w:szCs w:val="21"/>
        </w:rPr>
        <w:t>采购需求：详见《第二章采购需求》</w:t>
      </w:r>
    </w:p>
    <w:p w14:paraId="03F61F72">
      <w:pPr>
        <w:spacing w:line="440" w:lineRule="exact"/>
        <w:ind w:firstLine="420" w:firstLineChars="200"/>
        <w:rPr>
          <w:rFonts w:ascii="宋体" w:hAnsi="宋体" w:cs="宋体"/>
          <w:szCs w:val="21"/>
        </w:rPr>
      </w:pPr>
    </w:p>
    <w:p w14:paraId="440C4C6F">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标项名称：</w:t>
      </w:r>
      <w:r>
        <w:rPr>
          <w:rFonts w:hint="eastAsia" w:ascii="宋体" w:hAnsi="宋体" w:cs="宋体"/>
          <w:szCs w:val="21"/>
          <w:lang w:eastAsia="zh-CN"/>
        </w:rPr>
        <w:t>秀洲区2025年水文测站标准化运行管理及维护项目</w:t>
      </w:r>
    </w:p>
    <w:p w14:paraId="75BC5562">
      <w:pPr>
        <w:spacing w:line="440" w:lineRule="exact"/>
        <w:ind w:firstLine="420" w:firstLineChars="200"/>
        <w:rPr>
          <w:rFonts w:ascii="宋体" w:hAnsi="宋体" w:cs="宋体"/>
          <w:szCs w:val="21"/>
        </w:rPr>
      </w:pPr>
      <w:r>
        <w:rPr>
          <w:rFonts w:hint="eastAsia" w:ascii="宋体" w:hAnsi="宋体" w:cs="宋体"/>
          <w:szCs w:val="21"/>
        </w:rPr>
        <w:t>数量：1</w:t>
      </w:r>
    </w:p>
    <w:p w14:paraId="698279A0">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预算金额（元）：</w:t>
      </w:r>
      <w:r>
        <w:rPr>
          <w:rFonts w:hint="eastAsia" w:ascii="宋体" w:hAnsi="宋体" w:cs="宋体"/>
          <w:szCs w:val="21"/>
          <w:lang w:eastAsia="zh-CN"/>
        </w:rPr>
        <w:t>680000</w:t>
      </w:r>
    </w:p>
    <w:p w14:paraId="34136100">
      <w:pPr>
        <w:spacing w:line="440" w:lineRule="exact"/>
        <w:ind w:firstLine="420" w:firstLineChars="200"/>
        <w:rPr>
          <w:rFonts w:ascii="宋体" w:hAnsi="宋体" w:cs="宋体"/>
          <w:szCs w:val="21"/>
        </w:rPr>
      </w:pPr>
      <w:r>
        <w:rPr>
          <w:rFonts w:hint="eastAsia" w:ascii="宋体" w:hAnsi="宋体" w:cs="宋体"/>
          <w:szCs w:val="21"/>
        </w:rPr>
        <w:t>简要规格描述或项目基本概况介绍、用途：详见采购文件。</w:t>
      </w:r>
    </w:p>
    <w:p w14:paraId="2B66B92A">
      <w:pPr>
        <w:spacing w:line="440" w:lineRule="exact"/>
        <w:ind w:firstLine="420" w:firstLineChars="200"/>
        <w:rPr>
          <w:rFonts w:ascii="宋体" w:hAnsi="宋体" w:cs="宋体"/>
          <w:szCs w:val="21"/>
        </w:rPr>
      </w:pPr>
      <w:r>
        <w:rPr>
          <w:rFonts w:hint="eastAsia" w:ascii="宋体" w:hAnsi="宋体" w:cs="宋体"/>
          <w:szCs w:val="21"/>
        </w:rPr>
        <w:t>备注：</w:t>
      </w:r>
    </w:p>
    <w:p w14:paraId="1B3DD0CA">
      <w:pPr>
        <w:spacing w:line="440" w:lineRule="exact"/>
        <w:ind w:firstLine="420" w:firstLineChars="200"/>
        <w:rPr>
          <w:rFonts w:ascii="宋体" w:hAnsi="宋体" w:cs="宋体"/>
          <w:szCs w:val="21"/>
          <w:u w:val="single"/>
        </w:rPr>
      </w:pPr>
      <w:r>
        <w:rPr>
          <w:rFonts w:hint="eastAsia" w:ascii="宋体" w:hAnsi="宋体" w:cs="宋体"/>
          <w:szCs w:val="21"/>
        </w:rPr>
        <w:t>合同履约期限：标项1，详见采购文件。</w:t>
      </w:r>
    </w:p>
    <w:p w14:paraId="710CB228">
      <w:pPr>
        <w:spacing w:line="440" w:lineRule="exact"/>
        <w:ind w:firstLine="420" w:firstLineChars="200"/>
        <w:jc w:val="left"/>
        <w:rPr>
          <w:rFonts w:ascii="宋体" w:hAnsi="宋体" w:cs="宋体"/>
          <w:szCs w:val="21"/>
        </w:rPr>
      </w:pPr>
      <w:r>
        <w:rPr>
          <w:rFonts w:hint="eastAsia" w:ascii="宋体" w:hAnsi="宋体" w:cs="宋体"/>
          <w:szCs w:val="21"/>
        </w:rPr>
        <w:t>本项目（否）接受联合体投标。</w:t>
      </w:r>
    </w:p>
    <w:p w14:paraId="7ECCCAF6">
      <w:pPr>
        <w:spacing w:line="440" w:lineRule="exact"/>
      </w:pPr>
      <w:bookmarkStart w:id="10" w:name="_Toc35393622"/>
      <w:bookmarkStart w:id="11" w:name="_Toc28359080"/>
      <w:bookmarkStart w:id="12" w:name="_Toc35393791"/>
      <w:bookmarkStart w:id="13" w:name="_Toc28359003"/>
    </w:p>
    <w:p w14:paraId="0A0DE250">
      <w:pPr>
        <w:spacing w:line="440" w:lineRule="exact"/>
        <w:rPr>
          <w:b/>
          <w:bCs/>
        </w:rPr>
      </w:pPr>
      <w:r>
        <w:rPr>
          <w:rFonts w:hint="eastAsia"/>
          <w:b/>
          <w:bCs/>
        </w:rPr>
        <w:t>二、申请人的资格要求：</w:t>
      </w:r>
      <w:bookmarkEnd w:id="10"/>
      <w:bookmarkEnd w:id="11"/>
      <w:bookmarkEnd w:id="12"/>
      <w:bookmarkEnd w:id="13"/>
    </w:p>
    <w:p w14:paraId="41E91D1F">
      <w:pPr>
        <w:spacing w:line="440" w:lineRule="exact"/>
        <w:ind w:firstLine="420" w:firstLineChars="200"/>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FC6110F">
      <w:pPr>
        <w:adjustRightInd w:val="0"/>
        <w:snapToGrid w:val="0"/>
        <w:spacing w:line="390" w:lineRule="exact"/>
        <w:ind w:firstLine="420" w:firstLineChars="200"/>
        <w:jc w:val="left"/>
        <w:rPr>
          <w:rFonts w:hint="eastAsia" w:ascii="宋体" w:hAnsi="宋体" w:cs="宋体"/>
          <w:szCs w:val="21"/>
        </w:rPr>
      </w:pPr>
      <w:bookmarkStart w:id="14" w:name="_Toc28359004"/>
      <w:bookmarkStart w:id="15" w:name="_Toc28359081"/>
      <w:r>
        <w:rPr>
          <w:rFonts w:hint="eastAsia" w:ascii="宋体" w:hAnsi="宋体" w:cs="宋体"/>
          <w:szCs w:val="21"/>
        </w:rPr>
        <w:t>2、落实政府采购政策需满足的资格要求：</w:t>
      </w:r>
    </w:p>
    <w:p w14:paraId="21947BFF">
      <w:pPr>
        <w:adjustRightInd w:val="0"/>
        <w:snapToGrid w:val="0"/>
        <w:spacing w:line="39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2.1</w:t>
      </w:r>
      <w:r>
        <w:rPr>
          <w:rFonts w:hint="eastAsia" w:ascii="宋体" w:hAnsi="宋体" w:cs="仿宋"/>
          <w:color w:val="auto"/>
          <w:szCs w:val="21"/>
          <w:highlight w:val="none"/>
        </w:rPr>
        <w:sym w:font="Wingdings" w:char="00A8"/>
      </w:r>
      <w:r>
        <w:rPr>
          <w:rFonts w:hint="eastAsia" w:ascii="宋体" w:hAnsi="宋体" w:cs="仿宋"/>
          <w:color w:val="auto"/>
          <w:szCs w:val="21"/>
          <w:highlight w:val="none"/>
        </w:rPr>
        <w:t>无需落实；</w:t>
      </w:r>
    </w:p>
    <w:p w14:paraId="499DCE3A">
      <w:pPr>
        <w:adjustRightInd w:val="0"/>
        <w:snapToGrid w:val="0"/>
        <w:spacing w:line="39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2.2</w:t>
      </w:r>
      <w:r>
        <w:rPr>
          <w:rFonts w:hint="eastAsia" w:ascii="宋体" w:hAnsi="宋体"/>
          <w:color w:val="auto"/>
          <w:kern w:val="0"/>
          <w:szCs w:val="21"/>
          <w:highlight w:val="none"/>
        </w:rPr>
        <w:sym w:font="Wingdings" w:char="00FE"/>
      </w:r>
      <w:r>
        <w:rPr>
          <w:rFonts w:hint="eastAsia" w:ascii="宋体" w:hAnsi="宋体" w:cs="仿宋"/>
          <w:color w:val="auto"/>
          <w:szCs w:val="21"/>
          <w:highlight w:val="none"/>
        </w:rPr>
        <w:t xml:space="preserve"> 需要落实：</w:t>
      </w:r>
    </w:p>
    <w:p w14:paraId="79E5E200">
      <w:pPr>
        <w:adjustRightInd w:val="0"/>
        <w:snapToGrid w:val="0"/>
        <w:spacing w:line="39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2.2.1专门面向中小企业</w:t>
      </w:r>
    </w:p>
    <w:p w14:paraId="09C16B4C">
      <w:pPr>
        <w:adjustRightInd w:val="0"/>
        <w:snapToGrid w:val="0"/>
        <w:spacing w:line="390" w:lineRule="exact"/>
        <w:ind w:firstLine="420" w:firstLineChars="200"/>
        <w:jc w:val="left"/>
        <w:rPr>
          <w:rFonts w:hint="eastAsia" w:ascii="宋体" w:hAnsi="宋体" w:cs="仿宋"/>
          <w:color w:val="auto"/>
          <w:szCs w:val="21"/>
          <w:highlight w:val="none"/>
        </w:rPr>
      </w:pPr>
      <w:r>
        <w:rPr>
          <w:rFonts w:hint="eastAsia" w:ascii="宋体" w:hAnsi="宋体"/>
          <w:color w:val="auto"/>
          <w:kern w:val="0"/>
          <w:szCs w:val="21"/>
          <w:highlight w:val="none"/>
        </w:rPr>
        <w:sym w:font="Wingdings" w:char="00A8"/>
      </w:r>
      <w:r>
        <w:rPr>
          <w:rFonts w:hint="eastAsia" w:ascii="宋体" w:hAnsi="宋体"/>
          <w:color w:val="auto"/>
          <w:kern w:val="0"/>
          <w:szCs w:val="21"/>
          <w:highlight w:val="none"/>
        </w:rPr>
        <w:t xml:space="preserve"> </w:t>
      </w:r>
      <w:r>
        <w:rPr>
          <w:rFonts w:hint="eastAsia" w:ascii="宋体" w:hAnsi="宋体" w:cs="仿宋"/>
          <w:color w:val="auto"/>
          <w:szCs w:val="21"/>
          <w:highlight w:val="none"/>
        </w:rPr>
        <w:t>货物全部由符合政策要求的中小企业制造，提供中小企业声明函；</w:t>
      </w:r>
    </w:p>
    <w:p w14:paraId="4B43B384">
      <w:pPr>
        <w:adjustRightInd w:val="0"/>
        <w:snapToGrid w:val="0"/>
        <w:spacing w:line="390" w:lineRule="exact"/>
        <w:ind w:firstLine="420" w:firstLineChars="200"/>
        <w:jc w:val="left"/>
        <w:rPr>
          <w:rFonts w:hint="eastAsia" w:ascii="宋体" w:hAnsi="宋体" w:cs="仿宋"/>
          <w:color w:val="auto"/>
          <w:szCs w:val="21"/>
          <w:highlight w:val="none"/>
        </w:rPr>
      </w:pPr>
      <w:r>
        <w:rPr>
          <w:rFonts w:hint="eastAsia" w:ascii="宋体" w:hAnsi="宋体"/>
          <w:color w:val="auto"/>
          <w:kern w:val="0"/>
          <w:szCs w:val="21"/>
          <w:highlight w:val="none"/>
        </w:rPr>
        <w:sym w:font="Wingdings" w:char="00A8"/>
      </w:r>
      <w:r>
        <w:rPr>
          <w:rFonts w:hint="eastAsia" w:ascii="宋体" w:hAnsi="宋体"/>
          <w:color w:val="auto"/>
          <w:kern w:val="0"/>
          <w:szCs w:val="21"/>
          <w:highlight w:val="none"/>
        </w:rPr>
        <w:t xml:space="preserve"> </w:t>
      </w:r>
      <w:r>
        <w:rPr>
          <w:rFonts w:hint="eastAsia" w:ascii="宋体" w:hAnsi="宋体" w:cs="仿宋"/>
          <w:color w:val="auto"/>
          <w:szCs w:val="21"/>
          <w:highlight w:val="none"/>
        </w:rPr>
        <w:t>货物全部由符合政策要求的小微企业制造，提供中小企业声明函；</w:t>
      </w:r>
    </w:p>
    <w:p w14:paraId="6E668F6E">
      <w:pPr>
        <w:adjustRightInd w:val="0"/>
        <w:snapToGrid w:val="0"/>
        <w:spacing w:line="390" w:lineRule="exact"/>
        <w:ind w:firstLine="420" w:firstLineChars="200"/>
        <w:jc w:val="left"/>
        <w:rPr>
          <w:rFonts w:hint="eastAsia" w:ascii="宋体" w:hAnsi="宋体"/>
          <w:color w:val="auto"/>
          <w:szCs w:val="21"/>
          <w:highlight w:val="none"/>
        </w:rPr>
      </w:pPr>
      <w:r>
        <w:rPr>
          <w:rFonts w:hint="eastAsia" w:ascii="宋体" w:hAnsi="宋体"/>
          <w:color w:val="auto"/>
          <w:kern w:val="0"/>
          <w:szCs w:val="21"/>
          <w:highlight w:val="none"/>
        </w:rPr>
        <w:sym w:font="Wingdings" w:char="00FE"/>
      </w:r>
      <w:r>
        <w:rPr>
          <w:rFonts w:hint="eastAsia" w:ascii="宋体" w:hAnsi="宋体"/>
          <w:color w:val="auto"/>
          <w:kern w:val="0"/>
          <w:szCs w:val="21"/>
          <w:highlight w:val="none"/>
        </w:rPr>
        <w:t xml:space="preserve"> </w:t>
      </w:r>
      <w:r>
        <w:rPr>
          <w:rFonts w:hint="eastAsia" w:ascii="宋体" w:hAnsi="宋体"/>
          <w:color w:val="auto"/>
          <w:szCs w:val="21"/>
          <w:highlight w:val="none"/>
        </w:rPr>
        <w:t>服务全部由符合政策要求的中小企业承接，提供中小企业声明函；</w:t>
      </w:r>
    </w:p>
    <w:p w14:paraId="083E8F16">
      <w:pPr>
        <w:adjustRightInd w:val="0"/>
        <w:snapToGrid w:val="0"/>
        <w:spacing w:line="390" w:lineRule="exact"/>
        <w:ind w:firstLine="420" w:firstLineChars="200"/>
        <w:jc w:val="left"/>
        <w:rPr>
          <w:rFonts w:hint="eastAsia" w:ascii="宋体" w:hAnsi="宋体"/>
          <w:color w:val="auto"/>
          <w:szCs w:val="21"/>
          <w:highlight w:val="none"/>
        </w:rPr>
      </w:pPr>
      <w:r>
        <w:rPr>
          <w:rFonts w:hint="eastAsia" w:ascii="宋体" w:hAnsi="宋体"/>
          <w:color w:val="auto"/>
          <w:kern w:val="0"/>
          <w:szCs w:val="21"/>
          <w:highlight w:val="none"/>
        </w:rPr>
        <w:sym w:font="Wingdings" w:char="00A8"/>
      </w:r>
      <w:r>
        <w:rPr>
          <w:rFonts w:hint="eastAsia" w:ascii="宋体" w:hAnsi="宋体"/>
          <w:color w:val="auto"/>
          <w:kern w:val="0"/>
          <w:szCs w:val="21"/>
          <w:highlight w:val="none"/>
        </w:rPr>
        <w:t xml:space="preserve"> </w:t>
      </w:r>
      <w:r>
        <w:rPr>
          <w:rFonts w:hint="eastAsia" w:ascii="宋体" w:hAnsi="宋体"/>
          <w:color w:val="auto"/>
          <w:szCs w:val="21"/>
          <w:highlight w:val="none"/>
        </w:rPr>
        <w:t>服务全部由符合政策要求的小微企业承接，提供中小企业声明函；</w:t>
      </w:r>
    </w:p>
    <w:p w14:paraId="32316AAC">
      <w:pPr>
        <w:adjustRightInd w:val="0"/>
        <w:snapToGrid w:val="0"/>
        <w:spacing w:line="39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2.2.2</w:t>
      </w:r>
      <w:r>
        <w:rPr>
          <w:rFonts w:hint="eastAsia" w:ascii="宋体" w:hAnsi="宋体"/>
          <w:color w:val="auto"/>
          <w:kern w:val="0"/>
          <w:szCs w:val="21"/>
          <w:highlight w:val="none"/>
        </w:rPr>
        <w:sym w:font="Wingdings" w:char="00A8"/>
      </w:r>
      <w:r>
        <w:rPr>
          <w:rFonts w:hint="eastAsia" w:ascii="宋体" w:hAnsi="宋体" w:cs="仿宋"/>
          <w:color w:val="auto"/>
          <w:szCs w:val="21"/>
          <w:highlight w:val="none"/>
        </w:rPr>
        <w:t>要求以联合体形式参加，提供联合协议和中小企业声明函，联合协议中中小企业合同金额应当达到</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%（不得低于40%），其中小微企业合同金额应当达到</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%（不得低于70%）；如果供应商本身提供所有标的均由中小企业制造、承建或承接，视同符合了资格条件，无需再与其他中小企业组成联合体参加政府采购活动，无需提供联合协议；</w:t>
      </w:r>
    </w:p>
    <w:p w14:paraId="3475B06C">
      <w:pPr>
        <w:spacing w:line="440" w:lineRule="exact"/>
        <w:ind w:firstLine="420" w:firstLineChars="200"/>
        <w:rPr>
          <w:rFonts w:ascii="宋体" w:hAnsi="宋体" w:cs="宋体"/>
          <w:szCs w:val="21"/>
        </w:rPr>
      </w:pPr>
      <w:r>
        <w:rPr>
          <w:rFonts w:hint="eastAsia" w:ascii="宋体" w:hAnsi="宋体"/>
          <w:color w:val="auto"/>
          <w:szCs w:val="21"/>
          <w:highlight w:val="none"/>
        </w:rPr>
        <w:t>2.2.3</w:t>
      </w:r>
      <w:r>
        <w:rPr>
          <w:rFonts w:hint="eastAsia" w:ascii="宋体" w:hAnsi="宋体"/>
          <w:color w:val="auto"/>
          <w:szCs w:val="21"/>
          <w:highlight w:val="none"/>
        </w:rPr>
        <w:sym w:font="Wingdings" w:char="00A8"/>
      </w:r>
      <w:r>
        <w:rPr>
          <w:rFonts w:hint="eastAsia" w:ascii="宋体" w:hAnsi="宋体"/>
          <w:color w:val="auto"/>
          <w:szCs w:val="21"/>
          <w:highlight w:val="none"/>
        </w:rPr>
        <w:t>要求合同分包，提供分包意向协议和中小企业声明函，分包意向协议中中小企业合同金额应当达到</w:t>
      </w:r>
      <w:r>
        <w:rPr>
          <w:rFonts w:hint="eastAsia" w:ascii="宋体" w:hAnsi="宋体"/>
          <w:color w:val="auto"/>
          <w:szCs w:val="21"/>
          <w:highlight w:val="none"/>
          <w:u w:val="single"/>
        </w:rPr>
        <w:t xml:space="preserve">   </w:t>
      </w:r>
      <w:r>
        <w:rPr>
          <w:rFonts w:hint="eastAsia" w:ascii="宋体" w:hAnsi="宋体"/>
          <w:color w:val="auto"/>
          <w:szCs w:val="21"/>
          <w:highlight w:val="none"/>
        </w:rPr>
        <w:t>% （不得低于40%），其中小微企业合同金额应当达到</w:t>
      </w:r>
      <w:r>
        <w:rPr>
          <w:rFonts w:hint="eastAsia" w:ascii="宋体" w:hAnsi="宋体"/>
          <w:color w:val="auto"/>
          <w:szCs w:val="21"/>
          <w:highlight w:val="none"/>
          <w:u w:val="single"/>
        </w:rPr>
        <w:t xml:space="preserve">   </w:t>
      </w:r>
      <w:r>
        <w:rPr>
          <w:rFonts w:hint="eastAsia" w:ascii="宋体" w:hAnsi="宋体"/>
          <w:color w:val="auto"/>
          <w:szCs w:val="21"/>
          <w:highlight w:val="none"/>
        </w:rPr>
        <w:t>% （不得低于70%）；如果供应商本身提供所有标的均由中小企业制造、承建或承接，视同符合了资格条件，无需再向中小企业分包，无需提供分包意向协议；</w:t>
      </w:r>
    </w:p>
    <w:p w14:paraId="06C380CE">
      <w:pPr>
        <w:spacing w:line="440" w:lineRule="exact"/>
        <w:ind w:firstLine="420" w:firstLineChars="200"/>
        <w:rPr>
          <w:rFonts w:ascii="宋体" w:hAnsi="宋体" w:cs="宋体"/>
          <w:i/>
          <w:iCs/>
          <w:szCs w:val="21"/>
          <w:u w:val="single"/>
        </w:rPr>
      </w:pPr>
      <w:r>
        <w:rPr>
          <w:rFonts w:hint="eastAsia" w:ascii="宋体" w:hAnsi="宋体" w:cs="宋体"/>
          <w:szCs w:val="21"/>
        </w:rPr>
        <w:t>3、本项目的特定资格要求：无；</w:t>
      </w:r>
    </w:p>
    <w:p w14:paraId="5FD311CF">
      <w:pPr>
        <w:adjustRightInd w:val="0"/>
        <w:snapToGrid w:val="0"/>
        <w:spacing w:line="390" w:lineRule="exact"/>
        <w:ind w:firstLine="420" w:firstLineChars="200"/>
        <w:jc w:val="left"/>
        <w:rPr>
          <w:rFonts w:hint="eastAsia" w:ascii="宋体" w:hAnsi="宋体"/>
          <w:color w:val="auto"/>
          <w:szCs w:val="21"/>
          <w:highlight w:val="none"/>
        </w:rPr>
      </w:pPr>
      <w:bookmarkStart w:id="16" w:name="_Toc35393623"/>
      <w:bookmarkStart w:id="17" w:name="_Toc35393792"/>
      <w:r>
        <w:rPr>
          <w:rFonts w:hint="eastAsia" w:ascii="宋体" w:hAnsi="宋体"/>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69AF9C">
      <w:pPr>
        <w:spacing w:line="440" w:lineRule="exact"/>
        <w:rPr>
          <w:b/>
          <w:bCs/>
        </w:rPr>
      </w:pPr>
      <w:r>
        <w:rPr>
          <w:rFonts w:hint="eastAsia"/>
          <w:b/>
          <w:bCs/>
        </w:rPr>
        <w:t>三、获取招标文件</w:t>
      </w:r>
      <w:bookmarkEnd w:id="14"/>
      <w:bookmarkEnd w:id="15"/>
      <w:bookmarkEnd w:id="16"/>
      <w:bookmarkEnd w:id="17"/>
    </w:p>
    <w:p w14:paraId="7922FB8F">
      <w:pPr>
        <w:spacing w:line="440" w:lineRule="exact"/>
        <w:ind w:firstLine="420" w:firstLineChars="200"/>
        <w:rPr>
          <w:rFonts w:ascii="宋体" w:hAnsi="宋体" w:cs="宋体"/>
          <w:szCs w:val="21"/>
        </w:rPr>
      </w:pPr>
      <w:r>
        <w:rPr>
          <w:rFonts w:hint="eastAsia" w:ascii="宋体" w:hAnsi="宋体" w:cs="宋体"/>
          <w:szCs w:val="21"/>
        </w:rPr>
        <w:t>1、时间：</w:t>
      </w:r>
      <w:r>
        <w:rPr>
          <w:rFonts w:hint="eastAsia" w:ascii="宋体" w:hAnsi="宋体" w:cs="宋体"/>
          <w:bCs/>
          <w:szCs w:val="21"/>
        </w:rPr>
        <w:t>/至</w:t>
      </w:r>
      <w:r>
        <w:rPr>
          <w:rFonts w:hint="eastAsia" w:ascii="宋体" w:hAnsi="宋体" w:cs="宋体"/>
          <w:bCs/>
          <w:szCs w:val="21"/>
          <w:lang w:eastAsia="zh-CN"/>
        </w:rPr>
        <w:t>2025年03月05日</w:t>
      </w:r>
      <w:r>
        <w:rPr>
          <w:rFonts w:hint="eastAsia" w:ascii="宋体" w:hAnsi="宋体" w:cs="宋体"/>
          <w:bCs/>
          <w:szCs w:val="21"/>
        </w:rPr>
        <w:t>14时30分。</w:t>
      </w:r>
    </w:p>
    <w:p w14:paraId="60DA9F10">
      <w:pPr>
        <w:spacing w:line="440" w:lineRule="exact"/>
        <w:ind w:firstLine="420" w:firstLineChars="200"/>
        <w:rPr>
          <w:rFonts w:ascii="宋体" w:hAnsi="宋体" w:cs="宋体"/>
          <w:szCs w:val="21"/>
          <w:u w:val="single"/>
        </w:rPr>
      </w:pPr>
      <w:r>
        <w:rPr>
          <w:rFonts w:hint="eastAsia" w:ascii="宋体" w:hAnsi="宋体" w:cs="宋体"/>
          <w:szCs w:val="21"/>
        </w:rPr>
        <w:t>2、地点（网址）：政采云平台线上获取</w:t>
      </w:r>
    </w:p>
    <w:p w14:paraId="23106F3E">
      <w:pPr>
        <w:spacing w:line="440" w:lineRule="exact"/>
        <w:ind w:firstLine="420" w:firstLineChars="200"/>
        <w:rPr>
          <w:rFonts w:ascii="宋体" w:hAnsi="宋体" w:cs="宋体"/>
          <w:szCs w:val="21"/>
          <w:u w:val="single"/>
        </w:rPr>
      </w:pPr>
      <w:r>
        <w:rPr>
          <w:rFonts w:hint="eastAsia" w:ascii="宋体" w:hAnsi="宋体" w:cs="宋体"/>
          <w:szCs w:val="21"/>
        </w:rPr>
        <w:t>3、方式：供应商登录政采云平台https://www.zcygov.cn/在线申请获取采购文件（进入“项目采购”应用，在获取采购文件菜单中选择项目，申请获取采购文件）</w:t>
      </w:r>
    </w:p>
    <w:p w14:paraId="6219F938">
      <w:pPr>
        <w:spacing w:line="440" w:lineRule="exact"/>
        <w:ind w:firstLine="420" w:firstLineChars="200"/>
        <w:rPr>
          <w:rFonts w:ascii="宋体" w:hAnsi="宋体" w:cs="宋体"/>
          <w:szCs w:val="21"/>
        </w:rPr>
      </w:pPr>
      <w:r>
        <w:rPr>
          <w:rFonts w:hint="eastAsia" w:ascii="宋体" w:hAnsi="宋体" w:cs="宋体"/>
          <w:szCs w:val="21"/>
        </w:rPr>
        <w:t>4、售价(元）：0</w:t>
      </w:r>
    </w:p>
    <w:p w14:paraId="13F12682">
      <w:pPr>
        <w:spacing w:line="440" w:lineRule="exact"/>
      </w:pPr>
      <w:bookmarkStart w:id="18" w:name="_Toc28359082"/>
      <w:bookmarkStart w:id="19" w:name="_Toc28359005"/>
      <w:bookmarkStart w:id="20" w:name="_Toc35393793"/>
      <w:bookmarkStart w:id="21" w:name="_Toc35393624"/>
    </w:p>
    <w:p w14:paraId="033DACAD">
      <w:pPr>
        <w:spacing w:line="440" w:lineRule="exact"/>
        <w:rPr>
          <w:b/>
          <w:bCs/>
        </w:rPr>
      </w:pPr>
      <w:r>
        <w:rPr>
          <w:rFonts w:hint="eastAsia"/>
          <w:b/>
          <w:bCs/>
        </w:rPr>
        <w:t>四、提交投标文件</w:t>
      </w:r>
      <w:bookmarkEnd w:id="18"/>
      <w:bookmarkEnd w:id="19"/>
      <w:r>
        <w:rPr>
          <w:rFonts w:hint="eastAsia"/>
          <w:b/>
          <w:bCs/>
        </w:rPr>
        <w:t>截止时间、开标时间和地点</w:t>
      </w:r>
      <w:bookmarkEnd w:id="20"/>
      <w:bookmarkEnd w:id="21"/>
    </w:p>
    <w:p w14:paraId="3B43CCBE">
      <w:pPr>
        <w:spacing w:line="440" w:lineRule="exact"/>
        <w:ind w:firstLine="420" w:firstLineChars="200"/>
        <w:rPr>
          <w:rFonts w:ascii="宋体" w:hAnsi="宋体" w:cs="宋体"/>
          <w:bCs/>
          <w:szCs w:val="21"/>
          <w:u w:val="single"/>
        </w:rPr>
      </w:pPr>
      <w:r>
        <w:rPr>
          <w:rFonts w:hint="eastAsia" w:ascii="宋体" w:hAnsi="宋体" w:cs="宋体"/>
          <w:bCs/>
          <w:szCs w:val="21"/>
        </w:rPr>
        <w:t>1、提交投标文件截止时间：</w:t>
      </w:r>
      <w:r>
        <w:rPr>
          <w:rFonts w:hint="eastAsia" w:ascii="宋体" w:hAnsi="宋体" w:cs="宋体"/>
          <w:bCs/>
          <w:szCs w:val="21"/>
          <w:u w:val="single"/>
          <w:lang w:eastAsia="zh-CN"/>
        </w:rPr>
        <w:t>2025年03月05日</w:t>
      </w:r>
      <w:r>
        <w:rPr>
          <w:rFonts w:hint="eastAsia" w:ascii="宋体" w:hAnsi="宋体" w:cs="宋体"/>
          <w:bCs/>
          <w:szCs w:val="21"/>
          <w:u w:val="single"/>
        </w:rPr>
        <w:t>14时30分</w:t>
      </w:r>
      <w:r>
        <w:rPr>
          <w:rFonts w:hint="eastAsia" w:ascii="宋体" w:hAnsi="宋体" w:cs="宋体"/>
          <w:bCs/>
          <w:szCs w:val="21"/>
        </w:rPr>
        <w:t>（北京时间）</w:t>
      </w:r>
    </w:p>
    <w:p w14:paraId="4566F04E">
      <w:pPr>
        <w:spacing w:line="440" w:lineRule="exact"/>
        <w:ind w:firstLine="420" w:firstLineChars="200"/>
        <w:rPr>
          <w:rFonts w:ascii="宋体" w:hAnsi="宋体" w:cs="宋体"/>
          <w:bCs/>
          <w:szCs w:val="21"/>
        </w:rPr>
      </w:pPr>
      <w:r>
        <w:rPr>
          <w:rFonts w:hint="eastAsia" w:ascii="宋体" w:hAnsi="宋体" w:cs="宋体"/>
          <w:szCs w:val="21"/>
        </w:rPr>
        <w:t>2、投标地点（网址）：</w:t>
      </w:r>
      <w:bookmarkStart w:id="22" w:name="_Toc35393625"/>
      <w:bookmarkStart w:id="23" w:name="_Toc35393794"/>
      <w:bookmarkStart w:id="24" w:name="_Toc28359084"/>
      <w:bookmarkStart w:id="25" w:name="_Toc28359007"/>
      <w:r>
        <w:rPr>
          <w:rFonts w:hint="eastAsia" w:ascii="宋体" w:hAnsi="宋体" w:cs="宋体"/>
          <w:szCs w:val="21"/>
        </w:rPr>
        <w:t>供应商登录浙江政府采购网（https://zfcg.czt.zj.gov.cn/）在线制作并提交</w:t>
      </w:r>
      <w:r>
        <w:rPr>
          <w:rFonts w:hint="eastAsia" w:ascii="宋体" w:hAnsi="宋体" w:cs="宋体"/>
          <w:bCs/>
          <w:szCs w:val="21"/>
        </w:rPr>
        <w:t>电子投标文件。</w:t>
      </w:r>
    </w:p>
    <w:p w14:paraId="769E3BD5">
      <w:pPr>
        <w:spacing w:line="440" w:lineRule="exact"/>
        <w:ind w:firstLine="420" w:firstLineChars="200"/>
        <w:rPr>
          <w:rFonts w:ascii="宋体" w:hAnsi="宋体" w:cs="宋体"/>
          <w:bCs/>
          <w:szCs w:val="21"/>
        </w:rPr>
      </w:pPr>
      <w:r>
        <w:rPr>
          <w:rFonts w:hint="eastAsia" w:ascii="宋体" w:hAnsi="宋体" w:cs="宋体"/>
          <w:bCs/>
          <w:szCs w:val="21"/>
        </w:rPr>
        <w:t>3、开标时间：</w:t>
      </w:r>
      <w:r>
        <w:rPr>
          <w:rFonts w:hint="eastAsia" w:ascii="宋体" w:hAnsi="宋体" w:cs="宋体"/>
          <w:bCs/>
          <w:szCs w:val="21"/>
          <w:u w:val="single"/>
          <w:lang w:eastAsia="zh-CN"/>
        </w:rPr>
        <w:t>2025年03月05日</w:t>
      </w:r>
      <w:r>
        <w:rPr>
          <w:rFonts w:hint="eastAsia" w:ascii="宋体" w:hAnsi="宋体" w:cs="宋体"/>
          <w:bCs/>
          <w:szCs w:val="21"/>
          <w:u w:val="single"/>
        </w:rPr>
        <w:t>14时30分</w:t>
      </w:r>
    </w:p>
    <w:p w14:paraId="215C338D">
      <w:pPr>
        <w:spacing w:line="440" w:lineRule="exact"/>
        <w:ind w:firstLine="420" w:firstLineChars="200"/>
        <w:rPr>
          <w:rFonts w:ascii="宋体" w:hAnsi="宋体" w:cs="宋体"/>
        </w:rPr>
      </w:pPr>
      <w:r>
        <w:rPr>
          <w:rFonts w:hint="eastAsia" w:ascii="宋体" w:hAnsi="宋体" w:cs="宋体"/>
        </w:rPr>
        <w:t>4、开标地点（网址）：</w:t>
      </w:r>
      <w:r>
        <w:rPr>
          <w:rFonts w:hint="eastAsia" w:ascii="宋体" w:hAnsi="宋体" w:cs="宋体"/>
          <w:szCs w:val="21"/>
        </w:rPr>
        <w:t>政采云平台线上开标</w:t>
      </w:r>
      <w:r>
        <w:rPr>
          <w:rFonts w:hint="eastAsia" w:ascii="宋体" w:hAnsi="宋体" w:cs="宋体"/>
        </w:rPr>
        <w:t>。供应商无需到开标现场，但须准时在线参加，直至评审结束。</w:t>
      </w:r>
    </w:p>
    <w:p w14:paraId="68662E66">
      <w:pPr>
        <w:spacing w:line="440" w:lineRule="exact"/>
        <w:ind w:firstLine="422" w:firstLineChars="200"/>
        <w:rPr>
          <w:rFonts w:ascii="宋体" w:hAnsi="宋体" w:cs="宋体"/>
          <w:b/>
          <w:bCs/>
          <w:szCs w:val="21"/>
        </w:rPr>
      </w:pPr>
      <w:r>
        <w:rPr>
          <w:rFonts w:hint="eastAsia" w:ascii="宋体" w:hAnsi="宋体" w:cs="宋体"/>
          <w:b/>
          <w:bCs/>
          <w:szCs w:val="21"/>
        </w:rPr>
        <w:t>供应商未按规定加密的投标文件，“政府采购云平台”将予以拒收。</w:t>
      </w:r>
    </w:p>
    <w:p w14:paraId="282A0920">
      <w:pPr>
        <w:spacing w:line="440" w:lineRule="exact"/>
      </w:pPr>
    </w:p>
    <w:p w14:paraId="65D703DF">
      <w:pPr>
        <w:spacing w:line="440" w:lineRule="exact"/>
        <w:rPr>
          <w:b/>
          <w:bCs/>
        </w:rPr>
      </w:pPr>
      <w:r>
        <w:rPr>
          <w:rFonts w:hint="eastAsia"/>
          <w:b/>
          <w:bCs/>
        </w:rPr>
        <w:t>五、公告期限</w:t>
      </w:r>
      <w:bookmarkEnd w:id="22"/>
      <w:bookmarkEnd w:id="23"/>
      <w:bookmarkEnd w:id="24"/>
      <w:bookmarkEnd w:id="25"/>
    </w:p>
    <w:p w14:paraId="6F604DFB">
      <w:pPr>
        <w:spacing w:line="44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50CAA6A9">
      <w:pPr>
        <w:spacing w:line="440" w:lineRule="exact"/>
        <w:rPr>
          <w:b/>
          <w:bCs/>
        </w:rPr>
      </w:pPr>
      <w:bookmarkStart w:id="26" w:name="_Toc35393626"/>
      <w:bookmarkStart w:id="27" w:name="_Toc35393795"/>
    </w:p>
    <w:p w14:paraId="4F20D9F7">
      <w:pPr>
        <w:spacing w:line="440" w:lineRule="exact"/>
        <w:rPr>
          <w:b/>
          <w:bCs/>
        </w:rPr>
      </w:pPr>
      <w:r>
        <w:rPr>
          <w:rFonts w:hint="eastAsia"/>
          <w:b/>
          <w:bCs/>
        </w:rPr>
        <w:t>六、其他补充事宜</w:t>
      </w:r>
      <w:bookmarkEnd w:id="26"/>
      <w:bookmarkEnd w:id="27"/>
    </w:p>
    <w:p w14:paraId="6BB13997">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73A8">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2.其他事项：</w:t>
      </w:r>
    </w:p>
    <w:p w14:paraId="0572080B">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（1）需要落实的政府采购政策：包括节约资源、保护环境、支持创新、促进中小企业发展等。</w:t>
      </w:r>
    </w:p>
    <w:p w14:paraId="3AC86DF5">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（2）电子招投标的说明：</w:t>
      </w:r>
    </w:p>
    <w:p w14:paraId="0E1E84D9">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①电子招投标：本项目以数据电文形式，依托“政府采购云平台（www.zcygov.cn）”进行招投标活动，不接受纸质投标文件；</w:t>
      </w:r>
    </w:p>
    <w:p w14:paraId="233065CF">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C6B1ABB">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CA驱动和申领流程</w:t>
      </w:r>
    </w:p>
    <w:p w14:paraId="0677D50C">
      <w:pPr>
        <w:adjustRightInd w:val="0"/>
        <w:snapToGrid w:val="0"/>
        <w:spacing w:line="390" w:lineRule="exact"/>
        <w:ind w:firstLine="420" w:firstLineChars="200"/>
        <w:jc w:val="left"/>
        <w:rPr>
          <w:rFonts w:ascii="宋体" w:hAnsi="宋体"/>
          <w:bCs/>
          <w:color w:val="auto"/>
          <w:szCs w:val="21"/>
          <w:highlight w:val="none"/>
        </w:rPr>
      </w:pPr>
      <w:r>
        <w:rPr>
          <w:rFonts w:ascii="宋体" w:hAnsi="宋体"/>
          <w:bCs/>
          <w:color w:val="auto"/>
          <w:szCs w:val="21"/>
          <w:highlight w:val="none"/>
        </w:rPr>
        <w:t xml:space="preserve">https://zfcg.czt.zj.gov.cn/bidClientTemplate/2019-05-27/12945.html    </w:t>
      </w:r>
    </w:p>
    <w:p w14:paraId="4B31F5FD">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注：ＣＡ证书遗失补办、延期、解锁、质保等业务可以在联连客户端上进行操作；使用政采云投标客户端时，建议使用windows7以上且64位的操作系统。</w:t>
      </w:r>
    </w:p>
    <w:p w14:paraId="65930351">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CA证书办理操作视频</w:t>
      </w:r>
    </w:p>
    <w:p w14:paraId="037D2102">
      <w:pPr>
        <w:adjustRightInd w:val="0"/>
        <w:snapToGrid w:val="0"/>
        <w:spacing w:line="390" w:lineRule="exact"/>
        <w:ind w:firstLine="420" w:firstLineChars="200"/>
        <w:jc w:val="left"/>
        <w:rPr>
          <w:rFonts w:ascii="宋体" w:hAnsi="宋体"/>
          <w:bCs/>
          <w:color w:val="auto"/>
          <w:szCs w:val="21"/>
          <w:highlight w:val="none"/>
        </w:rPr>
      </w:pPr>
      <w:r>
        <w:rPr>
          <w:rFonts w:ascii="宋体" w:hAnsi="宋体"/>
          <w:bCs/>
          <w:color w:val="auto"/>
          <w:szCs w:val="21"/>
          <w:highlight w:val="none"/>
        </w:rPr>
        <w:t>https://service.zcygov.cn/#/knowledges/UgcbC3EBiyELHE-opz1b/EWqqyXEByNnJ3A2CPyDI</w:t>
      </w:r>
    </w:p>
    <w:p w14:paraId="16C9DAE5">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CA绑定登录操作视频</w:t>
      </w:r>
    </w:p>
    <w:p w14:paraId="06281F92">
      <w:pPr>
        <w:adjustRightInd w:val="0"/>
        <w:snapToGrid w:val="0"/>
        <w:spacing w:line="390" w:lineRule="exact"/>
        <w:ind w:firstLine="420" w:firstLineChars="200"/>
        <w:jc w:val="left"/>
        <w:rPr>
          <w:rFonts w:ascii="宋体" w:hAnsi="宋体"/>
          <w:bCs/>
          <w:color w:val="auto"/>
          <w:szCs w:val="21"/>
          <w:highlight w:val="none"/>
        </w:rPr>
      </w:pPr>
      <w:r>
        <w:rPr>
          <w:rFonts w:ascii="宋体" w:hAnsi="宋体"/>
          <w:bCs/>
          <w:color w:val="auto"/>
          <w:szCs w:val="21"/>
          <w:highlight w:val="none"/>
        </w:rPr>
        <w:t>https://service.zcygov.cn/#/knowledges/UgcbC3EBiyELHE-opz1b/nAkmyXEBiyELHE-o-983</w:t>
      </w:r>
    </w:p>
    <w:p w14:paraId="13EAC68B">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③招标文件的获取：使用账号登录或者使用CA登录政采云平台；进入“项目采购”应用，在获取采购文件菜单中选择项目，获取招标文件；</w:t>
      </w:r>
    </w:p>
    <w:p w14:paraId="6B13FB76">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④投标文件的制作：在“政采云电子交易客户端”中完成“填写基本信息”、“导入投标文件”、“标书关联”、“标书检查”、“电子签名”、“生成电子标书”等操作；</w:t>
      </w:r>
    </w:p>
    <w:p w14:paraId="4CEC46C4">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 xml:space="preserve">⑤采购人、采购机构将依托政采云平台完成本项目的电子交易活动，平台不接受未按上述方式获取招标文件的供应商进行投标活动； </w:t>
      </w:r>
    </w:p>
    <w:p w14:paraId="40F262B4">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⑥对未按上述方式获取招标文件的供应商对该文件提出的质疑，采购人或采购代理机构将不予处理；</w:t>
      </w:r>
    </w:p>
    <w:p w14:paraId="13821B40">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⑦不提供招标文件纸质版；</w:t>
      </w:r>
    </w:p>
    <w:p w14:paraId="24983D05">
      <w:pPr>
        <w:adjustRightInd w:val="0"/>
        <w:snapToGrid w:val="0"/>
        <w:spacing w:line="390" w:lineRule="exact"/>
        <w:ind w:firstLine="420" w:firstLineChars="200"/>
        <w:jc w:val="left"/>
        <w:rPr>
          <w:rFonts w:hint="eastAsia" w:ascii="宋体" w:hAnsi="宋体"/>
          <w:b/>
          <w:bCs/>
          <w:color w:val="auto"/>
          <w:szCs w:val="21"/>
          <w:highlight w:val="none"/>
        </w:rPr>
      </w:pPr>
      <w:r>
        <w:rPr>
          <w:rFonts w:hint="eastAsia" w:ascii="宋体" w:hAnsi="宋体"/>
          <w:bCs/>
          <w:color w:val="auto"/>
          <w:szCs w:val="21"/>
          <w:highlight w:val="none"/>
        </w:rPr>
        <w:t>⑧投标文件的传输递交：投标供应商在投标截止时间前将加密的投标文件上传至政府采购云平台，</w:t>
      </w:r>
      <w:r>
        <w:rPr>
          <w:rFonts w:hint="eastAsia" w:ascii="宋体" w:hAnsi="宋体"/>
          <w:b/>
          <w:bCs/>
          <w:color w:val="auto"/>
          <w:szCs w:val="21"/>
          <w:highlight w:val="none"/>
        </w:rPr>
        <w:t>还可以在投标截止时间前直接提交或者以邮政快递方式递交备份投标文件1份【地址：</w:t>
      </w:r>
      <w:r>
        <w:rPr>
          <w:rFonts w:hint="eastAsia" w:ascii="宋体" w:hAnsi="宋体" w:cs="仿宋"/>
          <w:b/>
          <w:color w:val="auto"/>
          <w:szCs w:val="21"/>
          <w:highlight w:val="none"/>
          <w:lang w:eastAsia="zh-CN"/>
        </w:rPr>
        <w:t>嘉兴市东升东路299号东升大楼5楼509室</w:t>
      </w:r>
      <w:r>
        <w:rPr>
          <w:rFonts w:hint="eastAsia" w:ascii="宋体" w:hAnsi="宋体"/>
          <w:b/>
          <w:bCs/>
          <w:color w:val="auto"/>
          <w:szCs w:val="21"/>
          <w:highlight w:val="none"/>
        </w:rPr>
        <w:t>；收件人：</w:t>
      </w:r>
      <w:r>
        <w:rPr>
          <w:rFonts w:hint="eastAsia" w:ascii="宋体" w:hAnsi="宋体" w:cs="仿宋"/>
          <w:b/>
          <w:color w:val="auto"/>
          <w:szCs w:val="21"/>
          <w:highlight w:val="none"/>
          <w:lang w:eastAsia="zh-CN"/>
        </w:rPr>
        <w:t>吴英</w:t>
      </w:r>
      <w:r>
        <w:rPr>
          <w:rFonts w:hint="eastAsia" w:ascii="宋体" w:hAnsi="宋体"/>
          <w:b/>
          <w:bCs/>
          <w:color w:val="auto"/>
          <w:szCs w:val="21"/>
          <w:highlight w:val="none"/>
        </w:rPr>
        <w:t>；电话：</w:t>
      </w:r>
      <w:r>
        <w:rPr>
          <w:rFonts w:hint="eastAsia" w:ascii="宋体" w:hAnsi="宋体"/>
          <w:b/>
          <w:bCs/>
          <w:color w:val="auto"/>
          <w:szCs w:val="21"/>
          <w:highlight w:val="none"/>
          <w:lang w:eastAsia="zh-CN"/>
        </w:rPr>
        <w:t>0573-82288756</w:t>
      </w: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lang w:eastAsia="zh-CN"/>
        </w:rPr>
        <w:t>13516833153</w:t>
      </w:r>
      <w:r>
        <w:rPr>
          <w:rFonts w:hint="eastAsia" w:ascii="宋体" w:hAnsi="宋体"/>
          <w:b/>
          <w:bCs/>
          <w:color w:val="auto"/>
          <w:szCs w:val="21"/>
          <w:highlight w:val="none"/>
        </w:rPr>
        <w:t>；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宋体" w:hAnsi="宋体"/>
          <w:b/>
          <w:bCs/>
          <w:color w:val="auto"/>
          <w:szCs w:val="21"/>
          <w:highlight w:val="none"/>
          <w:lang w:eastAsia="zh-CN"/>
        </w:rPr>
        <w:t>513893801</w:t>
      </w:r>
      <w:r>
        <w:rPr>
          <w:rFonts w:hint="eastAsia" w:ascii="宋体" w:hAnsi="宋体"/>
          <w:b/>
          <w:bCs/>
          <w:color w:val="auto"/>
          <w:szCs w:val="21"/>
          <w:highlight w:val="none"/>
        </w:rPr>
        <w:t>@qq.com)。如供应商选择快递费到付，代理采购机构将拒签。】；</w:t>
      </w:r>
    </w:p>
    <w:p w14:paraId="52C4E2A7">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79759994">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⑩具体操作指南：详见政采云平台“服务中心-帮助文档-项目采购-操作流程-电子招投标-政府采购项目电子交易管理操作指南-供应商”（浙江省“项目采购电子交易系统/不见面开评标”学习专题：https://edu.zcygov.cn/luban/e-biding）。</w:t>
      </w:r>
    </w:p>
    <w:p w14:paraId="3D99391B">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5.惠企政策</w:t>
      </w:r>
    </w:p>
    <w:p w14:paraId="031606F9">
      <w:pPr>
        <w:adjustRightInd w:val="0"/>
        <w:snapToGrid w:val="0"/>
        <w:spacing w:line="39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5.1本采购项目，中标供应商与采购人签订的政府采购合同适用于嘉兴市政府采购贷款政策（简称“政采贷”），具体内容可参阅政府采购贷款流程：</w:t>
      </w:r>
    </w:p>
    <w:p w14:paraId="21377E86">
      <w:pPr>
        <w:adjustRightInd w:val="0"/>
        <w:snapToGrid w:val="0"/>
        <w:spacing w:line="390" w:lineRule="exact"/>
        <w:ind w:firstLine="420" w:firstLineChars="200"/>
        <w:jc w:val="left"/>
        <w:rPr>
          <w:rFonts w:ascii="宋体" w:hAnsi="宋体"/>
          <w:bCs/>
          <w:color w:val="auto"/>
          <w:szCs w:val="21"/>
          <w:highlight w:val="none"/>
        </w:rPr>
      </w:pPr>
      <w:r>
        <w:rPr>
          <w:rFonts w:ascii="宋体" w:hAnsi="宋体"/>
          <w:bCs/>
          <w:color w:val="auto"/>
          <w:szCs w:val="21"/>
          <w:highlight w:val="none"/>
        </w:rPr>
        <w:t>http://jxszwsjb.jiaxing.gov.cn/zxfw/005001/005001004/20190315/76d484f7-8fac-497f-9359-4df81cc086da.html</w:t>
      </w:r>
    </w:p>
    <w:p w14:paraId="68F44A2A">
      <w:pPr>
        <w:adjustRightInd w:val="0"/>
        <w:snapToGrid w:val="0"/>
        <w:spacing w:line="390" w:lineRule="exact"/>
        <w:ind w:firstLine="420" w:firstLineChars="200"/>
        <w:jc w:val="left"/>
        <w:rPr>
          <w:rFonts w:hint="eastAsia" w:ascii="宋体" w:hAnsi="宋体" w:cs="仿宋"/>
          <w:color w:val="auto"/>
          <w:szCs w:val="21"/>
          <w:highlight w:val="none"/>
        </w:rPr>
      </w:pPr>
      <w:r>
        <w:rPr>
          <w:rFonts w:hint="eastAsia" w:ascii="宋体" w:hAnsi="宋体"/>
          <w:bCs/>
          <w:color w:val="auto"/>
          <w:szCs w:val="21"/>
          <w:highlight w:val="none"/>
        </w:rPr>
        <w:t>5.2本采购项目，中标供应商与采购人签订的政府采购合同适用于浙江省政府采购履约保函政策，具体内容可登录政采云平台（https://www.zcygov.cn/），点击右侧咨询小采。</w:t>
      </w:r>
    </w:p>
    <w:p w14:paraId="08BD6004">
      <w:pPr>
        <w:spacing w:line="440" w:lineRule="exact"/>
        <w:rPr>
          <w:rFonts w:hint="eastAsia"/>
          <w:b/>
          <w:bCs/>
        </w:rPr>
      </w:pPr>
      <w:bookmarkStart w:id="28" w:name="_Toc35393627"/>
      <w:bookmarkStart w:id="29" w:name="_Toc35393796"/>
      <w:bookmarkStart w:id="30" w:name="_Toc28359008"/>
      <w:bookmarkStart w:id="31" w:name="_Toc28359085"/>
    </w:p>
    <w:p w14:paraId="4B7E140C">
      <w:pPr>
        <w:spacing w:line="440" w:lineRule="exact"/>
        <w:rPr>
          <w:b/>
          <w:bCs/>
        </w:rPr>
      </w:pPr>
      <w:r>
        <w:rPr>
          <w:rFonts w:hint="eastAsia"/>
          <w:b/>
          <w:bCs/>
        </w:rPr>
        <w:t>七、对本次招标提出询问，请按以下方式联系</w:t>
      </w:r>
      <w:bookmarkEnd w:id="28"/>
      <w:bookmarkEnd w:id="29"/>
      <w:bookmarkEnd w:id="30"/>
      <w:bookmarkEnd w:id="31"/>
    </w:p>
    <w:p w14:paraId="77125387">
      <w:pPr>
        <w:spacing w:line="440" w:lineRule="exact"/>
        <w:ind w:firstLine="420" w:firstLineChars="200"/>
        <w:rPr>
          <w:rFonts w:ascii="宋体" w:hAnsi="宋体" w:cs="宋体"/>
          <w:szCs w:val="21"/>
        </w:rPr>
      </w:pPr>
      <w:r>
        <w:rPr>
          <w:rFonts w:hint="eastAsia" w:ascii="宋体" w:hAnsi="宋体" w:cs="宋体"/>
          <w:szCs w:val="21"/>
        </w:rPr>
        <w:t>1、采购人信息</w:t>
      </w:r>
    </w:p>
    <w:p w14:paraId="2DAC8147">
      <w:pPr>
        <w:spacing w:line="440" w:lineRule="exact"/>
        <w:ind w:firstLine="420" w:firstLineChars="200"/>
        <w:rPr>
          <w:rFonts w:ascii="宋体" w:hAnsi="宋体" w:cs="宋体"/>
          <w:szCs w:val="21"/>
        </w:rPr>
      </w:pPr>
      <w:r>
        <w:rPr>
          <w:rFonts w:hint="eastAsia" w:ascii="宋体" w:hAnsi="宋体" w:cs="宋体"/>
          <w:szCs w:val="21"/>
        </w:rPr>
        <w:t>名    称：</w:t>
      </w:r>
      <w:r>
        <w:rPr>
          <w:rFonts w:hint="eastAsia" w:asciiTheme="minorEastAsia" w:hAnsiTheme="minorEastAsia" w:eastAsiaTheme="minorEastAsia" w:cstheme="minorEastAsia"/>
          <w:szCs w:val="21"/>
        </w:rPr>
        <w:t>嘉兴市秀洲区河湖管理站</w:t>
      </w:r>
    </w:p>
    <w:p w14:paraId="3E3038BD">
      <w:pPr>
        <w:spacing w:line="440" w:lineRule="exact"/>
        <w:ind w:firstLine="420" w:firstLineChars="200"/>
        <w:rPr>
          <w:rFonts w:ascii="宋体" w:hAnsi="宋体" w:cs="宋体"/>
          <w:szCs w:val="21"/>
        </w:rPr>
      </w:pPr>
      <w:r>
        <w:rPr>
          <w:rFonts w:hint="eastAsia" w:ascii="宋体" w:hAnsi="宋体" w:cs="宋体"/>
          <w:szCs w:val="21"/>
        </w:rPr>
        <w:t>地    址：</w:t>
      </w:r>
      <w:r>
        <w:rPr>
          <w:rFonts w:hint="eastAsia" w:asciiTheme="minorEastAsia" w:hAnsiTheme="minorEastAsia" w:eastAsiaTheme="minorEastAsia" w:cstheme="minorEastAsia"/>
          <w:szCs w:val="21"/>
        </w:rPr>
        <w:t>嘉兴市三塔路239号</w:t>
      </w:r>
    </w:p>
    <w:p w14:paraId="3043CD4B">
      <w:pPr>
        <w:spacing w:line="440" w:lineRule="exact"/>
        <w:ind w:firstLine="420" w:firstLineChars="200"/>
        <w:rPr>
          <w:rFonts w:ascii="宋体" w:hAnsi="宋体" w:cs="宋体"/>
          <w:szCs w:val="21"/>
        </w:rPr>
      </w:pPr>
      <w:r>
        <w:rPr>
          <w:rFonts w:hint="eastAsia" w:ascii="宋体" w:hAnsi="宋体" w:cs="宋体"/>
          <w:szCs w:val="21"/>
        </w:rPr>
        <w:t>传    真： /</w:t>
      </w:r>
    </w:p>
    <w:p w14:paraId="61E77534">
      <w:pPr>
        <w:spacing w:line="440" w:lineRule="exact"/>
        <w:ind w:firstLine="420" w:firstLineChars="200"/>
        <w:rPr>
          <w:rFonts w:ascii="宋体" w:hAnsi="宋体" w:cs="宋体"/>
          <w:szCs w:val="21"/>
        </w:rPr>
      </w:pPr>
      <w:r>
        <w:rPr>
          <w:rFonts w:hint="eastAsia" w:ascii="宋体" w:hAnsi="宋体" w:cs="宋体"/>
          <w:szCs w:val="21"/>
        </w:rPr>
        <w:t>项目联系人（询问）：</w:t>
      </w:r>
      <w:r>
        <w:rPr>
          <w:rFonts w:hint="eastAsia" w:asciiTheme="minorEastAsia" w:hAnsiTheme="minorEastAsia" w:eastAsiaTheme="minorEastAsia" w:cstheme="minorEastAsia"/>
          <w:szCs w:val="21"/>
        </w:rPr>
        <w:t>夏水舰</w:t>
      </w:r>
    </w:p>
    <w:p w14:paraId="49DBA1A2">
      <w:pPr>
        <w:spacing w:line="440" w:lineRule="exact"/>
        <w:ind w:firstLine="420" w:firstLineChars="200"/>
        <w:rPr>
          <w:rFonts w:ascii="宋体" w:hAnsi="宋体" w:cs="宋体"/>
          <w:szCs w:val="21"/>
        </w:rPr>
      </w:pPr>
      <w:r>
        <w:rPr>
          <w:rFonts w:hint="eastAsia" w:ascii="宋体" w:hAnsi="宋体" w:cs="宋体"/>
          <w:szCs w:val="21"/>
        </w:rPr>
        <w:t>项目联系方式（询问）：</w:t>
      </w:r>
      <w:r>
        <w:rPr>
          <w:rFonts w:hint="eastAsia" w:asciiTheme="minorEastAsia" w:hAnsiTheme="minorEastAsia" w:eastAsiaTheme="minorEastAsia" w:cstheme="minorEastAsia"/>
          <w:szCs w:val="21"/>
        </w:rPr>
        <w:t>0573-83675858</w:t>
      </w:r>
    </w:p>
    <w:p w14:paraId="1088CBD2">
      <w:pPr>
        <w:spacing w:line="440" w:lineRule="exact"/>
        <w:ind w:firstLine="420" w:firstLineChars="200"/>
        <w:rPr>
          <w:rFonts w:ascii="宋体" w:hAnsi="宋体" w:cs="宋体"/>
          <w:szCs w:val="21"/>
        </w:rPr>
      </w:pPr>
      <w:r>
        <w:rPr>
          <w:rFonts w:hint="eastAsia" w:ascii="宋体" w:hAnsi="宋体" w:cs="宋体"/>
          <w:szCs w:val="21"/>
        </w:rPr>
        <w:t>质疑联系人：</w:t>
      </w:r>
      <w:r>
        <w:rPr>
          <w:rFonts w:hint="eastAsia" w:asciiTheme="minorEastAsia" w:hAnsiTheme="minorEastAsia" w:eastAsiaTheme="minorEastAsia" w:cstheme="minorEastAsia"/>
          <w:szCs w:val="21"/>
        </w:rPr>
        <w:t>赵淑媛</w:t>
      </w:r>
    </w:p>
    <w:p w14:paraId="1EBE1AC2">
      <w:pPr>
        <w:spacing w:line="440" w:lineRule="exact"/>
        <w:ind w:firstLine="420" w:firstLineChars="200"/>
        <w:rPr>
          <w:rFonts w:ascii="宋体" w:hAnsi="宋体" w:cs="宋体"/>
          <w:szCs w:val="21"/>
        </w:rPr>
      </w:pPr>
      <w:r>
        <w:rPr>
          <w:rFonts w:hint="eastAsia" w:ascii="宋体" w:hAnsi="宋体" w:cs="宋体"/>
          <w:szCs w:val="21"/>
        </w:rPr>
        <w:t>质疑联系方式：</w:t>
      </w:r>
      <w:r>
        <w:rPr>
          <w:rFonts w:hint="eastAsia" w:asciiTheme="minorEastAsia" w:hAnsiTheme="minorEastAsia" w:eastAsiaTheme="minorEastAsia" w:cstheme="minorEastAsia"/>
          <w:szCs w:val="21"/>
        </w:rPr>
        <w:t>0573-</w:t>
      </w:r>
      <w:r>
        <w:t xml:space="preserve"> </w:t>
      </w:r>
      <w:r>
        <w:rPr>
          <w:rFonts w:asciiTheme="minorEastAsia" w:hAnsiTheme="minorEastAsia" w:eastAsiaTheme="minorEastAsia" w:cstheme="minorEastAsia"/>
          <w:szCs w:val="21"/>
        </w:rPr>
        <w:t>83675837</w:t>
      </w:r>
    </w:p>
    <w:p w14:paraId="04C07578">
      <w:pPr>
        <w:spacing w:line="440" w:lineRule="exact"/>
        <w:ind w:firstLine="420" w:firstLineChars="200"/>
        <w:rPr>
          <w:rFonts w:ascii="宋体" w:hAnsi="宋体" w:cs="宋体"/>
          <w:szCs w:val="21"/>
        </w:rPr>
      </w:pPr>
      <w:r>
        <w:rPr>
          <w:rFonts w:hint="eastAsia" w:ascii="宋体" w:hAnsi="宋体" w:cs="宋体"/>
          <w:szCs w:val="21"/>
        </w:rPr>
        <w:t xml:space="preserve">    </w:t>
      </w:r>
    </w:p>
    <w:p w14:paraId="500F6C91">
      <w:pPr>
        <w:numPr>
          <w:ilvl w:val="0"/>
          <w:numId w:val="1"/>
        </w:numPr>
        <w:spacing w:line="440" w:lineRule="exact"/>
        <w:ind w:left="420" w:leftChars="200"/>
        <w:rPr>
          <w:rFonts w:ascii="宋体" w:hAnsi="宋体" w:cs="宋体"/>
          <w:szCs w:val="21"/>
        </w:rPr>
      </w:pPr>
      <w:r>
        <w:rPr>
          <w:rFonts w:hint="eastAsia" w:ascii="宋体" w:hAnsi="宋体" w:cs="宋体"/>
          <w:szCs w:val="21"/>
        </w:rPr>
        <w:t>采购代理机构信息</w:t>
      </w:r>
    </w:p>
    <w:p w14:paraId="37D5CFE9">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浙江勋达工程咨询有限公司</w:t>
      </w:r>
    </w:p>
    <w:p w14:paraId="2ED1C6A2">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地    址：</w:t>
      </w:r>
      <w:r>
        <w:rPr>
          <w:rFonts w:hint="eastAsia" w:ascii="宋体" w:hAnsi="宋体" w:cs="宋体"/>
          <w:szCs w:val="21"/>
          <w:lang w:eastAsia="zh-CN"/>
        </w:rPr>
        <w:t>嘉兴市东升东路299号东升大楼5楼509室</w:t>
      </w:r>
    </w:p>
    <w:p w14:paraId="5EE97967">
      <w:pPr>
        <w:spacing w:line="440" w:lineRule="exact"/>
        <w:ind w:firstLine="420" w:firstLineChars="200"/>
        <w:rPr>
          <w:rFonts w:ascii="宋体" w:hAnsi="宋体" w:cs="宋体"/>
          <w:szCs w:val="21"/>
        </w:rPr>
      </w:pPr>
      <w:r>
        <w:rPr>
          <w:rFonts w:hint="eastAsia" w:ascii="宋体" w:hAnsi="宋体" w:cs="宋体"/>
          <w:szCs w:val="21"/>
        </w:rPr>
        <w:t>传    真：/</w:t>
      </w:r>
    </w:p>
    <w:p w14:paraId="082068FE">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项目联系人（询问）：</w:t>
      </w:r>
      <w:r>
        <w:rPr>
          <w:rFonts w:hint="eastAsia" w:ascii="宋体" w:hAnsi="宋体" w:cs="宋体"/>
          <w:szCs w:val="21"/>
          <w:lang w:eastAsia="zh-CN"/>
        </w:rPr>
        <w:t>吴英</w:t>
      </w:r>
    </w:p>
    <w:p w14:paraId="2C0CA59A">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项目联系方式（询问）：</w:t>
      </w:r>
      <w:r>
        <w:rPr>
          <w:rFonts w:hint="eastAsia" w:ascii="宋体" w:hAnsi="宋体" w:cs="宋体"/>
          <w:szCs w:val="21"/>
          <w:lang w:val="en-US" w:eastAsia="zh-CN"/>
        </w:rPr>
        <w:t>1</w:t>
      </w:r>
      <w:r>
        <w:rPr>
          <w:rFonts w:hint="eastAsia" w:ascii="宋体" w:hAnsi="宋体" w:cs="宋体"/>
          <w:szCs w:val="21"/>
          <w:lang w:eastAsia="zh-CN"/>
        </w:rPr>
        <w:t>3516833153</w:t>
      </w:r>
    </w:p>
    <w:p w14:paraId="297F7EBE">
      <w:pPr>
        <w:spacing w:line="440" w:lineRule="exact"/>
        <w:ind w:firstLine="420" w:firstLineChars="200"/>
        <w:rPr>
          <w:rFonts w:ascii="宋体" w:hAnsi="宋体" w:cs="宋体"/>
          <w:szCs w:val="21"/>
        </w:rPr>
      </w:pPr>
      <w:r>
        <w:rPr>
          <w:rFonts w:hint="eastAsia" w:ascii="宋体" w:hAnsi="宋体" w:cs="宋体"/>
          <w:szCs w:val="21"/>
        </w:rPr>
        <w:t>质疑联系人：盛工</w:t>
      </w:r>
    </w:p>
    <w:p w14:paraId="7E957D30">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质疑联系方式：</w:t>
      </w:r>
      <w:r>
        <w:rPr>
          <w:rFonts w:hint="eastAsia" w:ascii="宋体" w:hAnsi="宋体" w:cs="宋体"/>
          <w:szCs w:val="21"/>
          <w:lang w:eastAsia="zh-CN"/>
        </w:rPr>
        <w:t>0573-82288756</w:t>
      </w:r>
    </w:p>
    <w:p w14:paraId="489F78B5">
      <w:pPr>
        <w:spacing w:line="440" w:lineRule="exact"/>
        <w:ind w:firstLine="420" w:firstLineChars="200"/>
        <w:rPr>
          <w:rFonts w:ascii="宋体" w:hAnsi="宋体" w:cs="宋体"/>
          <w:szCs w:val="21"/>
        </w:rPr>
      </w:pPr>
    </w:p>
    <w:p w14:paraId="11D86CB9">
      <w:pPr>
        <w:spacing w:line="440" w:lineRule="exact"/>
        <w:ind w:firstLine="420" w:firstLineChars="200"/>
        <w:rPr>
          <w:rFonts w:ascii="宋体" w:hAnsi="宋体" w:cs="宋体"/>
          <w:szCs w:val="21"/>
        </w:rPr>
      </w:pPr>
      <w:r>
        <w:rPr>
          <w:rFonts w:hint="eastAsia" w:ascii="宋体" w:hAnsi="宋体" w:cs="宋体"/>
          <w:szCs w:val="21"/>
        </w:rPr>
        <w:t>3、同级政府采购监督管理部门</w:t>
      </w:r>
    </w:p>
    <w:p w14:paraId="5D3FEBA7">
      <w:pPr>
        <w:spacing w:line="440" w:lineRule="exact"/>
        <w:ind w:firstLine="420" w:firstLineChars="200"/>
        <w:rPr>
          <w:rFonts w:ascii="宋体" w:hAnsi="宋体" w:cs="宋体"/>
          <w:color w:val="auto"/>
          <w:szCs w:val="21"/>
        </w:rPr>
      </w:pPr>
      <w:r>
        <w:rPr>
          <w:rFonts w:hint="eastAsia" w:ascii="宋体" w:hAnsi="宋体" w:cs="宋体"/>
          <w:szCs w:val="21"/>
        </w:rPr>
        <w:t>名    称：</w:t>
      </w:r>
      <w:r>
        <w:rPr>
          <w:rFonts w:hint="eastAsia" w:asciiTheme="minorEastAsia" w:hAnsiTheme="minorEastAsia" w:eastAsiaTheme="minorEastAsia" w:cstheme="minorEastAsia"/>
          <w:szCs w:val="21"/>
        </w:rPr>
        <w:t>嘉兴市秀洲区财政局</w:t>
      </w:r>
    </w:p>
    <w:p w14:paraId="7943809C">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地    址：/ </w:t>
      </w:r>
    </w:p>
    <w:p w14:paraId="5E156A8F">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传    真：/ </w:t>
      </w:r>
    </w:p>
    <w:p w14:paraId="798780E5">
      <w:pPr>
        <w:spacing w:line="440" w:lineRule="exact"/>
        <w:ind w:firstLine="420" w:firstLineChars="20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eastAsia="zh-CN"/>
        </w:rPr>
        <w:t>宋</w:t>
      </w:r>
      <w:r>
        <w:rPr>
          <w:rFonts w:hint="eastAsia" w:ascii="宋体" w:hAnsi="宋体" w:cs="宋体"/>
          <w:color w:val="auto"/>
          <w:szCs w:val="21"/>
        </w:rPr>
        <w:t xml:space="preserve">女士 </w:t>
      </w:r>
    </w:p>
    <w:p w14:paraId="3B78795E">
      <w:pPr>
        <w:spacing w:line="440" w:lineRule="exact"/>
        <w:ind w:firstLine="420" w:firstLineChars="200"/>
        <w:rPr>
          <w:rFonts w:ascii="宋体" w:hAnsi="宋体" w:cs="宋体"/>
          <w:color w:val="auto"/>
          <w:szCs w:val="21"/>
        </w:rPr>
      </w:pPr>
      <w:r>
        <w:rPr>
          <w:rFonts w:hint="eastAsia" w:ascii="宋体" w:hAnsi="宋体" w:cs="宋体"/>
          <w:color w:val="auto"/>
          <w:szCs w:val="21"/>
        </w:rPr>
        <w:t>监督投诉电话：</w:t>
      </w:r>
      <w:r>
        <w:rPr>
          <w:rFonts w:hint="eastAsia" w:asciiTheme="minorEastAsia" w:hAnsiTheme="minorEastAsia" w:eastAsiaTheme="minorEastAsia" w:cstheme="minorEastAsia"/>
          <w:color w:val="auto"/>
          <w:szCs w:val="21"/>
        </w:rPr>
        <w:t>0573-8272008</w:t>
      </w:r>
      <w:r>
        <w:rPr>
          <w:rFonts w:hint="eastAsia" w:asciiTheme="minorEastAsia" w:hAnsiTheme="minorEastAsia" w:eastAsiaTheme="minorEastAsia" w:cstheme="minorEastAsia"/>
          <w:color w:val="auto"/>
          <w:szCs w:val="21"/>
          <w:lang w:val="en-US" w:eastAsia="zh-CN"/>
        </w:rPr>
        <w:t>5</w:t>
      </w:r>
      <w:r>
        <w:rPr>
          <w:rFonts w:hint="eastAsia" w:ascii="宋体" w:hAnsi="宋体" w:cs="宋体"/>
          <w:color w:val="auto"/>
          <w:szCs w:val="21"/>
        </w:rPr>
        <w:t xml:space="preserve"> </w:t>
      </w:r>
    </w:p>
    <w:p w14:paraId="696F5945"/>
    <w:p w14:paraId="69B35B90"/>
    <w:p w14:paraId="485AB6D4">
      <w:pPr>
        <w:spacing w:line="440" w:lineRule="exact"/>
        <w:ind w:firstLine="420" w:firstLineChars="200"/>
        <w:rPr>
          <w:rFonts w:ascii="宋体" w:hAnsi="宋体" w:cs="宋体"/>
          <w:szCs w:val="21"/>
        </w:rPr>
      </w:pPr>
      <w:r>
        <w:rPr>
          <w:rFonts w:hint="eastAsia" w:ascii="宋体" w:hAnsi="宋体" w:cs="宋体"/>
          <w:szCs w:val="21"/>
        </w:rPr>
        <w:t xml:space="preserve">若对项目采购电子交易系统操作有疑问，可登录政采云（https://www.zcygov.cn/），点击右侧咨询小采，获取采小蜜智能服务管家帮助，或拨打政采云服务热线95763获取热线服务帮助。 </w:t>
      </w:r>
    </w:p>
    <w:p w14:paraId="5E9E8430">
      <w:pPr>
        <w:spacing w:line="440" w:lineRule="exact"/>
        <w:ind w:firstLine="420" w:firstLineChars="200"/>
      </w:pPr>
      <w:r>
        <w:rPr>
          <w:rFonts w:hint="eastAsia" w:ascii="宋体" w:hAnsi="宋体" w:cs="宋体"/>
          <w:szCs w:val="21"/>
        </w:rPr>
        <w:t>CA问题联系电话（人工）：汇信CA 400-888-4636；天谷CA 400-087-8198。</w:t>
      </w:r>
    </w:p>
    <w:bookmarkEnd w:id="3"/>
    <w:p w14:paraId="4A75BF9C">
      <w:pPr>
        <w:rPr>
          <w:rFonts w:asciiTheme="minorEastAsia" w:hAnsiTheme="minorEastAsia" w:eastAsiaTheme="minorEastAsia"/>
          <w:b/>
          <w:bCs/>
          <w:color w:val="000000" w:themeColor="text1"/>
          <w:szCs w:val="52"/>
        </w:rPr>
      </w:pPr>
      <w:bookmarkStart w:id="32" w:name="_Toc493511542"/>
      <w:r>
        <w:rPr>
          <w:rFonts w:asciiTheme="minorEastAsia" w:hAnsiTheme="minorEastAsia" w:eastAsiaTheme="minorEastAsia"/>
          <w:b/>
          <w:bCs/>
          <w:color w:val="000000" w:themeColor="text1"/>
          <w:szCs w:val="52"/>
        </w:rPr>
        <w:br w:type="page"/>
      </w:r>
    </w:p>
    <w:p w14:paraId="4CBB96DD">
      <w:pPr>
        <w:pStyle w:val="2"/>
        <w:spacing w:after="120"/>
        <w:jc w:val="center"/>
        <w:rPr>
          <w:sz w:val="36"/>
          <w:szCs w:val="36"/>
        </w:rPr>
      </w:pPr>
      <w:bookmarkStart w:id="33" w:name="_Toc30505"/>
      <w:r>
        <w:rPr>
          <w:sz w:val="36"/>
          <w:szCs w:val="36"/>
        </w:rPr>
        <w:t>第</w:t>
      </w:r>
      <w:r>
        <w:rPr>
          <w:rFonts w:hint="eastAsia"/>
          <w:sz w:val="36"/>
          <w:szCs w:val="36"/>
        </w:rPr>
        <w:t>二章  采购需求</w:t>
      </w:r>
      <w:bookmarkEnd w:id="33"/>
    </w:p>
    <w:p w14:paraId="6891AFA7">
      <w:pPr>
        <w:pStyle w:val="26"/>
        <w:adjustRightInd w:val="0"/>
        <w:snapToGrid w:val="0"/>
        <w:spacing w:line="440" w:lineRule="exact"/>
        <w:ind w:firstLine="422" w:firstLineChars="200"/>
        <w:contextualSpacing/>
        <w:rPr>
          <w:rFonts w:hAnsi="宋体" w:cs="宋体"/>
          <w:b/>
          <w:bCs/>
          <w:color w:val="000000" w:themeColor="text1"/>
          <w:szCs w:val="21"/>
        </w:rPr>
      </w:pPr>
      <w:r>
        <w:rPr>
          <w:rFonts w:hint="eastAsia" w:hAnsi="宋体" w:cs="宋体"/>
          <w:b/>
          <w:bCs/>
          <w:color w:val="000000" w:themeColor="text1"/>
          <w:szCs w:val="21"/>
        </w:rPr>
        <w:t>一、水文测站运维、流量比测等（200元以下配件免费更换，超过200元按实际收费。）</w:t>
      </w:r>
    </w:p>
    <w:p w14:paraId="398F692D">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1、信息管理系统（数据采集服务器</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软件平台</w:t>
      </w:r>
      <w:r>
        <w:rPr>
          <w:rFonts w:hint="eastAsia" w:cs="Times New Roman" w:asciiTheme="minorEastAsia" w:hAnsiTheme="minorEastAsia" w:eastAsiaTheme="minorEastAsia"/>
          <w:szCs w:val="21"/>
          <w:lang w:eastAsia="zh-CN"/>
        </w:rPr>
        <w:t>等</w:t>
      </w:r>
      <w:r>
        <w:rPr>
          <w:rFonts w:hint="eastAsia" w:cs="Times New Roman" w:asciiTheme="minorEastAsia" w:hAnsiTheme="minorEastAsia" w:eastAsiaTheme="minorEastAsia"/>
          <w:szCs w:val="21"/>
        </w:rPr>
        <w:t>）每</w:t>
      </w:r>
      <w:r>
        <w:rPr>
          <w:rFonts w:hint="eastAsia" w:cs="Times New Roman" w:asciiTheme="minorEastAsia" w:hAnsiTheme="minorEastAsia" w:eastAsiaTheme="minorEastAsia"/>
          <w:szCs w:val="21"/>
          <w:lang w:eastAsia="zh-CN"/>
        </w:rPr>
        <w:t>日查验</w:t>
      </w:r>
      <w:r>
        <w:rPr>
          <w:rFonts w:hint="eastAsia" w:cs="Times New Roman" w:asciiTheme="minorEastAsia" w:hAnsiTheme="minorEastAsia" w:eastAsiaTheme="minorEastAsia"/>
          <w:szCs w:val="21"/>
        </w:rPr>
        <w:t>及数据比对</w:t>
      </w:r>
      <w:r>
        <w:rPr>
          <w:rFonts w:hint="eastAsia" w:cs="Times New Roman" w:asciiTheme="minorEastAsia" w:hAnsiTheme="minorEastAsia" w:eastAsiaTheme="minorEastAsia"/>
          <w:szCs w:val="21"/>
          <w:lang w:eastAsia="zh-CN"/>
        </w:rPr>
        <w:t>（包括水位、雨量、流量、地下水）</w:t>
      </w:r>
      <w:r>
        <w:rPr>
          <w:rFonts w:hint="eastAsia" w:cs="Times New Roman" w:asciiTheme="minorEastAsia" w:hAnsiTheme="minorEastAsia" w:eastAsiaTheme="minorEastAsia"/>
          <w:szCs w:val="21"/>
        </w:rPr>
        <w:t>。</w:t>
      </w:r>
    </w:p>
    <w:p w14:paraId="2A1BACED">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2、1</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个站点</w:t>
      </w:r>
      <w:r>
        <w:rPr>
          <w:rFonts w:hint="eastAsia" w:cs="Times New Roman" w:asciiTheme="minorEastAsia" w:hAnsiTheme="minorEastAsia" w:eastAsiaTheme="minorEastAsia"/>
          <w:szCs w:val="21"/>
          <w:lang w:val="en-US" w:eastAsia="zh-CN"/>
        </w:rPr>
        <w:t>40套</w:t>
      </w:r>
      <w:r>
        <w:rPr>
          <w:rFonts w:hint="eastAsia" w:cs="Times New Roman" w:asciiTheme="minorEastAsia" w:hAnsiTheme="minorEastAsia" w:eastAsiaTheme="minorEastAsia"/>
          <w:szCs w:val="21"/>
        </w:rPr>
        <w:t>设备</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水位</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雨量</w:t>
      </w:r>
      <w:r>
        <w:rPr>
          <w:rFonts w:hint="eastAsia" w:cs="Times New Roman" w:asciiTheme="minorEastAsia" w:hAnsiTheme="minorEastAsia" w:eastAsiaTheme="minorEastAsia"/>
          <w:szCs w:val="21"/>
          <w:lang w:eastAsia="zh-CN"/>
        </w:rPr>
        <w:t>、流量）</w:t>
      </w:r>
      <w:r>
        <w:rPr>
          <w:rFonts w:hint="eastAsia" w:cs="Times New Roman" w:asciiTheme="minorEastAsia" w:hAnsiTheme="minorEastAsia" w:eastAsiaTheme="minorEastAsia"/>
          <w:szCs w:val="21"/>
        </w:rPr>
        <w:t>汛前、汛中、汛后3次</w:t>
      </w:r>
      <w:r>
        <w:rPr>
          <w:rFonts w:hint="eastAsia" w:cs="Times New Roman" w:asciiTheme="minorEastAsia" w:hAnsiTheme="minorEastAsia" w:eastAsiaTheme="minorEastAsia"/>
          <w:szCs w:val="21"/>
          <w:lang w:eastAsia="zh-CN"/>
        </w:rPr>
        <w:t>巡检，其中地下水站点每月</w:t>
      </w:r>
      <w:r>
        <w:rPr>
          <w:rFonts w:hint="eastAsia" w:cs="Times New Roman" w:asciiTheme="minorEastAsia" w:hAnsiTheme="minorEastAsia" w:eastAsiaTheme="minorEastAsia"/>
          <w:szCs w:val="21"/>
          <w:lang w:val="en-US" w:eastAsia="zh-CN"/>
        </w:rPr>
        <w:t>1次</w:t>
      </w:r>
      <w:r>
        <w:rPr>
          <w:rFonts w:hint="eastAsia" w:cs="Times New Roman" w:asciiTheme="minorEastAsia" w:hAnsiTheme="minorEastAsia" w:eastAsiaTheme="minorEastAsia"/>
          <w:szCs w:val="21"/>
          <w:lang w:eastAsia="zh-CN"/>
        </w:rPr>
        <w:t>巡检；按要求做好雨量注水试验等</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故障、异常等情况排查、维修</w:t>
      </w:r>
      <w:r>
        <w:rPr>
          <w:rFonts w:hint="eastAsia" w:cs="Times New Roman" w:asciiTheme="minorEastAsia" w:hAnsiTheme="minorEastAsia" w:eastAsiaTheme="minorEastAsia"/>
          <w:szCs w:val="21"/>
          <w:lang w:eastAsia="zh-CN"/>
        </w:rPr>
        <w:t>，保障设备运行正常。</w:t>
      </w:r>
    </w:p>
    <w:p w14:paraId="141E43B9">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3、36个圩区水位站不少于1次巡检，故障、异常等情况排查、维修，保障设备运行正常。</w:t>
      </w:r>
    </w:p>
    <w:p w14:paraId="540D8757">
      <w:pPr>
        <w:pStyle w:val="26"/>
        <w:adjustRightInd w:val="0"/>
        <w:snapToGrid w:val="0"/>
        <w:spacing w:line="440" w:lineRule="exact"/>
        <w:ind w:firstLine="420" w:firstLineChars="200"/>
        <w:contextualSpacing/>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4、手持式流速仪（1台）率定（每年一次）。</w:t>
      </w:r>
    </w:p>
    <w:p w14:paraId="25D0DF08">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5、国家基本站点</w:t>
      </w:r>
      <w:r>
        <w:rPr>
          <w:rFonts w:hint="eastAsia" w:cs="Times New Roman" w:asciiTheme="minorEastAsia" w:hAnsiTheme="minorEastAsia" w:eastAsiaTheme="minorEastAsia"/>
          <w:szCs w:val="21"/>
        </w:rPr>
        <w:t>水尺零高及地下水固定点高程校测</w:t>
      </w:r>
      <w:r>
        <w:rPr>
          <w:rFonts w:hint="eastAsia" w:cs="Times New Roman" w:asciiTheme="minorEastAsia" w:hAnsiTheme="minorEastAsia" w:eastAsiaTheme="minorEastAsia"/>
          <w:szCs w:val="21"/>
          <w:lang w:val="en-US" w:eastAsia="zh-CN"/>
        </w:rPr>
        <w:t>，其中王江泾、新塍站点</w:t>
      </w:r>
      <w:r>
        <w:rPr>
          <w:rFonts w:hint="eastAsia" w:cs="Times New Roman" w:asciiTheme="minorEastAsia" w:hAnsiTheme="minorEastAsia" w:eastAsiaTheme="minorEastAsia"/>
          <w:szCs w:val="21"/>
        </w:rPr>
        <w:t>汛前、汛后各1次水尺零点高程</w:t>
      </w:r>
      <w:r>
        <w:rPr>
          <w:rFonts w:hint="eastAsia" w:cs="Times New Roman" w:asciiTheme="minorEastAsia" w:hAnsiTheme="minorEastAsia" w:eastAsiaTheme="minorEastAsia"/>
          <w:szCs w:val="21"/>
          <w:lang w:eastAsia="zh-CN"/>
        </w:rPr>
        <w:t>接测；王江泾、新塍、油车港、南汇、大坝地下水站点</w:t>
      </w:r>
      <w:r>
        <w:rPr>
          <w:rFonts w:hint="eastAsia" w:cs="Times New Roman" w:asciiTheme="minorEastAsia" w:hAnsiTheme="minorEastAsia" w:eastAsiaTheme="minorEastAsia"/>
          <w:szCs w:val="21"/>
        </w:rPr>
        <w:t>汛前一次高程测量</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包含地面高程</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固定点高程。</w:t>
      </w:r>
    </w:p>
    <w:p w14:paraId="604601D7">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6、国家基本站、专用站的水文数据整理、分析等。</w:t>
      </w:r>
    </w:p>
    <w:p w14:paraId="45A77667">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7、</w:t>
      </w:r>
      <w:r>
        <w:rPr>
          <w:rFonts w:hint="eastAsia" w:cs="Times New Roman" w:asciiTheme="minorEastAsia" w:hAnsiTheme="minorEastAsia" w:eastAsiaTheme="minorEastAsia"/>
          <w:szCs w:val="21"/>
        </w:rPr>
        <w:t>双塔、王江泾、洛东</w:t>
      </w:r>
      <w:r>
        <w:rPr>
          <w:rFonts w:hint="eastAsia" w:cs="Times New Roman" w:asciiTheme="minorEastAsia" w:hAnsiTheme="minorEastAsia" w:eastAsiaTheme="minorEastAsia"/>
          <w:szCs w:val="21"/>
          <w:lang w:eastAsia="zh-CN"/>
        </w:rPr>
        <w:t>下首闸</w:t>
      </w:r>
      <w:r>
        <w:rPr>
          <w:rFonts w:hint="eastAsia" w:cs="Times New Roman" w:asciiTheme="minorEastAsia" w:hAnsiTheme="minorEastAsia" w:eastAsiaTheme="minorEastAsia"/>
          <w:szCs w:val="21"/>
        </w:rPr>
        <w:t>、圣塘桥、斜路、塘埂桥、大坝</w:t>
      </w:r>
      <w:r>
        <w:rPr>
          <w:rFonts w:hint="eastAsia" w:cs="Times New Roman" w:asciiTheme="minorEastAsia" w:hAnsiTheme="minorEastAsia" w:eastAsiaTheme="minorEastAsia"/>
          <w:szCs w:val="21"/>
          <w:lang w:eastAsia="zh-CN"/>
        </w:rPr>
        <w:t>站点的固定式</w:t>
      </w:r>
      <w:r>
        <w:rPr>
          <w:rFonts w:hint="eastAsia" w:cs="Times New Roman" w:asciiTheme="minorEastAsia" w:hAnsiTheme="minorEastAsia" w:eastAsiaTheme="minorEastAsia"/>
          <w:szCs w:val="21"/>
          <w:lang w:val="en-US" w:eastAsia="zh-CN"/>
        </w:rPr>
        <w:t>多普勒比测率定、分析</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每个站点通过人工测流量30次以上，包含大、中、小流量，再和同时段的多普勒流量数据对比，确定关系线。通过比测率定好的关系线，人工对每个站点流量数据进行确定筛选。</w:t>
      </w:r>
    </w:p>
    <w:p w14:paraId="4D6FD3FB">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对1</w:t>
      </w:r>
      <w:r>
        <w:rPr>
          <w:rFonts w:hint="eastAsia" w:cs="Times New Roman" w:asciiTheme="minorEastAsia" w:hAnsiTheme="minorEastAsia" w:eastAsiaTheme="minorEastAsia"/>
          <w:szCs w:val="21"/>
          <w:lang w:val="en-US" w:eastAsia="zh-CN"/>
        </w:rPr>
        <w:t>2</w:t>
      </w:r>
      <w:r>
        <w:rPr>
          <w:rFonts w:hint="eastAsia" w:cs="Times New Roman" w:asciiTheme="minorEastAsia" w:hAnsiTheme="minorEastAsia" w:eastAsiaTheme="minorEastAsia"/>
          <w:szCs w:val="21"/>
        </w:rPr>
        <w:t>个流量测验断面（王江泾、圣塘桥、洛东下首闸、双塔、</w:t>
      </w:r>
      <w:r>
        <w:rPr>
          <w:rFonts w:hint="eastAsia" w:cs="Times New Roman" w:asciiTheme="minorEastAsia" w:hAnsiTheme="minorEastAsia" w:eastAsiaTheme="minorEastAsia"/>
          <w:szCs w:val="21"/>
          <w:lang w:eastAsia="zh-CN"/>
        </w:rPr>
        <w:t>斜路、</w:t>
      </w:r>
      <w:r>
        <w:rPr>
          <w:rFonts w:hint="eastAsia" w:cs="Times New Roman" w:asciiTheme="minorEastAsia" w:hAnsiTheme="minorEastAsia" w:eastAsiaTheme="minorEastAsia"/>
          <w:szCs w:val="21"/>
        </w:rPr>
        <w:t>长浜北桥、磐香桥、虹阳桥、桃虹桥、庄港桥、塘埂桥、大坝）进行大断面测量。即汛前测量一次，测量要求结合上年测量的断面数据进行分析对比。水文流量巡测线（秀洲西段）即5个断面流量巡测。每个断面点流量测验不少于25次，测流数据包含大、中、小流量，分配合理。</w:t>
      </w:r>
    </w:p>
    <w:p w14:paraId="5D184155">
      <w:pPr>
        <w:pStyle w:val="26"/>
        <w:adjustRightInd w:val="0"/>
        <w:snapToGrid w:val="0"/>
        <w:spacing w:line="440" w:lineRule="exact"/>
        <w:ind w:firstLine="420" w:firstLineChars="200"/>
        <w:contextualSpacing/>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szCs w:val="21"/>
          <w:lang w:val="en-US" w:eastAsia="zh-CN"/>
        </w:rPr>
        <w:t>9、国家基本站（王江泾、新塍）日常管理（2人）。</w:t>
      </w:r>
      <w:r>
        <w:rPr>
          <w:rFonts w:hint="eastAsia" w:cs="Times New Roman" w:asciiTheme="minorEastAsia" w:hAnsiTheme="minorEastAsia" w:eastAsiaTheme="minorEastAsia"/>
          <w:szCs w:val="21"/>
        </w:rPr>
        <w:t>王江泾站</w:t>
      </w:r>
      <w:r>
        <w:rPr>
          <w:rFonts w:hint="eastAsia" w:cs="Times New Roman" w:asciiTheme="minorEastAsia" w:hAnsiTheme="minorEastAsia" w:eastAsiaTheme="minorEastAsia"/>
          <w:szCs w:val="21"/>
          <w:lang w:eastAsia="zh-CN"/>
        </w:rPr>
        <w:t>点</w:t>
      </w:r>
      <w:r>
        <w:rPr>
          <w:rFonts w:hint="eastAsia" w:cs="Times New Roman" w:asciiTheme="minorEastAsia" w:hAnsiTheme="minorEastAsia" w:eastAsiaTheme="minorEastAsia"/>
          <w:szCs w:val="21"/>
        </w:rPr>
        <w:t>每天人工按规范要求观测记载降水量、水位数据</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汛期报汛及应急响应期间的24小时值班；新塍站</w:t>
      </w:r>
      <w:r>
        <w:rPr>
          <w:rFonts w:hint="eastAsia" w:cs="Times New Roman" w:asciiTheme="minorEastAsia" w:hAnsiTheme="minorEastAsia" w:eastAsiaTheme="minorEastAsia"/>
          <w:szCs w:val="21"/>
          <w:lang w:eastAsia="zh-CN"/>
        </w:rPr>
        <w:t>点</w:t>
      </w:r>
      <w:r>
        <w:rPr>
          <w:rFonts w:hint="eastAsia" w:cs="Times New Roman" w:asciiTheme="minorEastAsia" w:hAnsiTheme="minorEastAsia" w:eastAsiaTheme="minorEastAsia"/>
          <w:szCs w:val="21"/>
        </w:rPr>
        <w:t>每天完成水位校测</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记载</w:t>
      </w:r>
      <w:r>
        <w:rPr>
          <w:rFonts w:hint="eastAsia" w:cs="Times New Roman" w:asciiTheme="minorEastAsia" w:hAnsiTheme="minorEastAsia" w:eastAsiaTheme="minorEastAsia"/>
          <w:szCs w:val="21"/>
          <w:lang w:eastAsia="zh-CN"/>
        </w:rPr>
        <w:t>。按要求做好</w:t>
      </w:r>
      <w:r>
        <w:rPr>
          <w:rFonts w:hint="eastAsia" w:cs="Times New Roman" w:asciiTheme="minorEastAsia" w:hAnsiTheme="minorEastAsia" w:eastAsiaTheme="minorEastAsia"/>
          <w:szCs w:val="21"/>
        </w:rPr>
        <w:t>基本站点标志标牌、水文设施维护</w:t>
      </w:r>
      <w:r>
        <w:rPr>
          <w:rFonts w:hint="eastAsia" w:cs="Times New Roman" w:asciiTheme="minorEastAsia" w:hAnsiTheme="minorEastAsia" w:eastAsiaTheme="minorEastAsia"/>
          <w:szCs w:val="21"/>
          <w:lang w:eastAsia="zh-CN"/>
        </w:rPr>
        <w:t>保养，</w:t>
      </w:r>
      <w:r>
        <w:rPr>
          <w:rFonts w:hint="eastAsia" w:cs="Times New Roman" w:asciiTheme="minorEastAsia" w:hAnsiTheme="minorEastAsia" w:eastAsiaTheme="minorEastAsia"/>
          <w:szCs w:val="21"/>
        </w:rPr>
        <w:t>做好水文测站标准化管理平台维护登记、安全设施监测</w:t>
      </w:r>
      <w:r>
        <w:rPr>
          <w:rFonts w:hint="eastAsia" w:cs="Times New Roman" w:asciiTheme="minorEastAsia" w:hAnsiTheme="minorEastAsia" w:eastAsiaTheme="minorEastAsia"/>
          <w:szCs w:val="21"/>
          <w:lang w:eastAsia="zh-CN"/>
        </w:rPr>
        <w:t>等</w:t>
      </w:r>
      <w:r>
        <w:rPr>
          <w:rFonts w:hint="eastAsia" w:cs="Times New Roman" w:asciiTheme="minorEastAsia" w:hAnsiTheme="minorEastAsia" w:eastAsiaTheme="minorEastAsia"/>
          <w:szCs w:val="21"/>
        </w:rPr>
        <w:t>。</w:t>
      </w:r>
    </w:p>
    <w:p w14:paraId="2FD219C4">
      <w:pPr>
        <w:pStyle w:val="26"/>
        <w:adjustRightInd w:val="0"/>
        <w:snapToGrid w:val="0"/>
        <w:spacing w:line="440" w:lineRule="exact"/>
        <w:ind w:firstLine="422" w:firstLineChars="200"/>
        <w:contextualSpacing/>
        <w:rPr>
          <w:rFonts w:hint="eastAsia" w:cs="Times New Roman" w:asciiTheme="minorEastAsia" w:hAnsiTheme="minorEastAsia" w:eastAsiaTheme="minorEastAsia"/>
          <w:b/>
          <w:bCs/>
          <w:color w:val="auto"/>
          <w:szCs w:val="21"/>
        </w:rPr>
      </w:pPr>
      <w:r>
        <w:rPr>
          <w:rFonts w:hint="eastAsia" w:cs="Times New Roman" w:asciiTheme="minorEastAsia" w:hAnsiTheme="minorEastAsia" w:eastAsiaTheme="minorEastAsia"/>
          <w:b/>
          <w:bCs/>
          <w:color w:val="auto"/>
          <w:szCs w:val="21"/>
          <w:lang w:eastAsia="zh-CN"/>
        </w:rPr>
        <w:t>二</w:t>
      </w:r>
      <w:r>
        <w:rPr>
          <w:rFonts w:hint="eastAsia" w:cs="Times New Roman" w:asciiTheme="minorEastAsia" w:hAnsiTheme="minorEastAsia" w:eastAsiaTheme="minorEastAsia"/>
          <w:b/>
          <w:bCs/>
          <w:color w:val="auto"/>
          <w:szCs w:val="21"/>
        </w:rPr>
        <w:t>、水文设备通信费</w:t>
      </w:r>
    </w:p>
    <w:p w14:paraId="01CD3A3B">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color w:val="auto"/>
          <w:szCs w:val="21"/>
        </w:rPr>
        <w:t>1、</w:t>
      </w:r>
      <w:r>
        <w:rPr>
          <w:rFonts w:hint="eastAsia" w:cs="Times New Roman" w:asciiTheme="minorEastAsia" w:hAnsiTheme="minorEastAsia" w:eastAsiaTheme="minorEastAsia"/>
          <w:color w:val="auto"/>
          <w:szCs w:val="21"/>
          <w:lang w:eastAsia="zh-CN"/>
        </w:rPr>
        <w:t>保障</w:t>
      </w:r>
      <w:r>
        <w:rPr>
          <w:rFonts w:hint="eastAsia" w:cs="Times New Roman" w:asciiTheme="minorEastAsia" w:hAnsiTheme="minorEastAsia" w:eastAsiaTheme="minorEastAsia"/>
          <w:color w:val="auto"/>
          <w:szCs w:val="21"/>
          <w:lang w:val="en-US" w:eastAsia="zh-CN"/>
        </w:rPr>
        <w:t>63</w:t>
      </w:r>
      <w:r>
        <w:rPr>
          <w:rFonts w:hint="eastAsia" w:cs="Times New Roman" w:asciiTheme="minorEastAsia" w:hAnsiTheme="minorEastAsia" w:eastAsiaTheme="minorEastAsia"/>
          <w:color w:val="auto"/>
          <w:szCs w:val="21"/>
        </w:rPr>
        <w:t>套</w:t>
      </w:r>
      <w:r>
        <w:rPr>
          <w:rFonts w:hint="eastAsia" w:cs="Times New Roman" w:asciiTheme="minorEastAsia" w:hAnsiTheme="minorEastAsia" w:eastAsiaTheme="minorEastAsia"/>
          <w:color w:val="auto"/>
          <w:szCs w:val="21"/>
          <w:lang w:eastAsia="zh-CN"/>
        </w:rPr>
        <w:t>水位</w:t>
      </w:r>
      <w:r>
        <w:rPr>
          <w:rFonts w:hint="eastAsia" w:cs="Times New Roman" w:asciiTheme="minorEastAsia" w:hAnsiTheme="minorEastAsia" w:eastAsiaTheme="minorEastAsia"/>
          <w:color w:val="auto"/>
          <w:szCs w:val="21"/>
        </w:rPr>
        <w:t>设备</w:t>
      </w:r>
      <w:r>
        <w:rPr>
          <w:rFonts w:hint="eastAsia" w:cs="Times New Roman" w:asciiTheme="minorEastAsia" w:hAnsiTheme="minorEastAsia" w:eastAsiaTheme="minorEastAsia"/>
          <w:color w:val="auto"/>
          <w:szCs w:val="21"/>
          <w:lang w:eastAsia="zh-CN"/>
        </w:rPr>
        <w:t>〔</w:t>
      </w:r>
      <w:r>
        <w:rPr>
          <w:rFonts w:hint="eastAsia" w:cs="Times New Roman" w:asciiTheme="minorEastAsia" w:hAnsiTheme="minorEastAsia" w:eastAsiaTheme="minorEastAsia"/>
          <w:color w:val="auto"/>
          <w:szCs w:val="21"/>
        </w:rPr>
        <w:t>王江泾（主）、王江泾(副）、王江泾（北斗）、新塍(主)、新塍（副）、双塔（主）、双塔(副)、油车港、王店、</w:t>
      </w:r>
      <w:r>
        <w:rPr>
          <w:rFonts w:hint="eastAsia" w:cs="Times New Roman" w:asciiTheme="minorEastAsia" w:hAnsiTheme="minorEastAsia" w:eastAsiaTheme="minorEastAsia"/>
          <w:color w:val="auto"/>
          <w:szCs w:val="21"/>
          <w:lang w:eastAsia="zh-CN"/>
        </w:rPr>
        <w:t>王店</w:t>
      </w:r>
      <w:r>
        <w:rPr>
          <w:rFonts w:hint="eastAsia" w:cs="Times New Roman" w:asciiTheme="minorEastAsia" w:hAnsiTheme="minorEastAsia" w:eastAsiaTheme="minorEastAsia"/>
          <w:color w:val="auto"/>
          <w:szCs w:val="21"/>
        </w:rPr>
        <w:t>银河东桥、洪合</w:t>
      </w:r>
      <w:r>
        <w:rPr>
          <w:rFonts w:hint="eastAsia" w:cs="Times New Roman" w:asciiTheme="minorEastAsia" w:hAnsiTheme="minorEastAsia" w:eastAsiaTheme="minorEastAsia"/>
          <w:color w:val="auto"/>
          <w:szCs w:val="21"/>
          <w:lang w:eastAsia="zh-CN"/>
        </w:rPr>
        <w:t>灵观庙桥</w:t>
      </w:r>
      <w:r>
        <w:rPr>
          <w:rFonts w:hint="eastAsia" w:cs="Times New Roman" w:asciiTheme="minorEastAsia" w:hAnsiTheme="minorEastAsia" w:eastAsiaTheme="minorEastAsia"/>
          <w:color w:val="auto"/>
          <w:szCs w:val="21"/>
        </w:rPr>
        <w:t>、收藏村、高照（主）、高照（副）、新塍(雷达)、王江泾（雷达）、双塔（雷达）、斜路、斜路（雷达）、</w:t>
      </w:r>
      <w:r>
        <w:rPr>
          <w:rFonts w:hint="eastAsia" w:cs="Times New Roman" w:asciiTheme="minorEastAsia" w:hAnsiTheme="minorEastAsia" w:eastAsiaTheme="minorEastAsia"/>
          <w:szCs w:val="21"/>
        </w:rPr>
        <w:t>洛东下首闸、洛东下首闸（雷达）、大坝、大坝（雷达）、塘</w:t>
      </w:r>
      <w:r>
        <w:rPr>
          <w:rFonts w:hint="eastAsia" w:cs="Times New Roman" w:asciiTheme="minorEastAsia" w:hAnsiTheme="minorEastAsia" w:eastAsiaTheme="minorEastAsia"/>
          <w:szCs w:val="21"/>
          <w:lang w:eastAsia="zh-CN"/>
        </w:rPr>
        <w:t>埂</w:t>
      </w:r>
      <w:r>
        <w:rPr>
          <w:rFonts w:hint="eastAsia" w:cs="Times New Roman" w:asciiTheme="minorEastAsia" w:hAnsiTheme="minorEastAsia" w:eastAsiaTheme="minorEastAsia"/>
          <w:szCs w:val="21"/>
        </w:rPr>
        <w:t>桥、塘</w:t>
      </w:r>
      <w:r>
        <w:rPr>
          <w:rFonts w:hint="eastAsia" w:cs="Times New Roman" w:asciiTheme="minorEastAsia" w:hAnsiTheme="minorEastAsia" w:eastAsiaTheme="minorEastAsia"/>
          <w:szCs w:val="21"/>
          <w:lang w:eastAsia="zh-CN"/>
        </w:rPr>
        <w:t>埂</w:t>
      </w:r>
      <w:r>
        <w:rPr>
          <w:rFonts w:hint="eastAsia" w:cs="Times New Roman" w:asciiTheme="minorEastAsia" w:hAnsiTheme="minorEastAsia" w:eastAsiaTheme="minorEastAsia"/>
          <w:szCs w:val="21"/>
        </w:rPr>
        <w:t>桥（雷达）、圣塘桥、圣塘桥（雷达）、圩内水位站</w:t>
      </w:r>
      <w:r>
        <w:rPr>
          <w:rFonts w:hint="eastAsia" w:cs="Times New Roman" w:asciiTheme="minorEastAsia" w:hAnsiTheme="minorEastAsia" w:eastAsiaTheme="minorEastAsia"/>
          <w:szCs w:val="21"/>
          <w:lang w:eastAsia="zh-CN"/>
        </w:rPr>
        <w:t>点</w:t>
      </w:r>
      <w:r>
        <w:rPr>
          <w:rFonts w:hint="eastAsia" w:cs="Times New Roman" w:asciiTheme="minorEastAsia" w:hAnsiTheme="minorEastAsia" w:eastAsiaTheme="minorEastAsia"/>
          <w:szCs w:val="21"/>
        </w:rPr>
        <w:t>（36个）</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GPRS通</w:t>
      </w:r>
      <w:r>
        <w:rPr>
          <w:rFonts w:hint="eastAsia" w:cs="Times New Roman" w:asciiTheme="minorEastAsia" w:hAnsiTheme="minorEastAsia" w:eastAsiaTheme="minorEastAsia"/>
          <w:szCs w:val="21"/>
          <w:lang w:eastAsia="zh-CN"/>
        </w:rPr>
        <w:t>讯正常</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eastAsia="zh-CN"/>
        </w:rPr>
        <w:t>确保数据上传及时</w:t>
      </w:r>
      <w:r>
        <w:rPr>
          <w:rFonts w:hint="eastAsia" w:cs="Times New Roman" w:asciiTheme="minorEastAsia" w:hAnsiTheme="minorEastAsia" w:eastAsiaTheme="minorEastAsia"/>
          <w:szCs w:val="21"/>
        </w:rPr>
        <w:t>。</w:t>
      </w:r>
    </w:p>
    <w:p w14:paraId="26A9EE8A">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2、保障王江泾、新塍、大坝、油车港、南汇地下水站</w:t>
      </w:r>
      <w:r>
        <w:rPr>
          <w:rFonts w:hint="eastAsia" w:cs="Times New Roman" w:asciiTheme="minorEastAsia" w:hAnsiTheme="minorEastAsia" w:eastAsiaTheme="minorEastAsia"/>
          <w:szCs w:val="21"/>
          <w:lang w:eastAsia="zh-CN"/>
        </w:rPr>
        <w:t>点</w:t>
      </w:r>
      <w:r>
        <w:rPr>
          <w:rFonts w:hint="eastAsia" w:cs="Times New Roman" w:asciiTheme="minorEastAsia" w:hAnsiTheme="minorEastAsia" w:eastAsiaTheme="minorEastAsia"/>
          <w:szCs w:val="21"/>
        </w:rPr>
        <w:t>5套设备GPRS通</w:t>
      </w:r>
      <w:r>
        <w:rPr>
          <w:rFonts w:hint="eastAsia" w:cs="Times New Roman" w:asciiTheme="minorEastAsia" w:hAnsiTheme="minorEastAsia" w:eastAsiaTheme="minorEastAsia"/>
          <w:szCs w:val="21"/>
          <w:lang w:eastAsia="zh-CN"/>
        </w:rPr>
        <w:t>讯正常</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eastAsia="zh-CN"/>
        </w:rPr>
        <w:t>确保数据上传及时</w:t>
      </w:r>
      <w:r>
        <w:rPr>
          <w:rFonts w:hint="eastAsia" w:cs="Times New Roman" w:asciiTheme="minorEastAsia" w:hAnsiTheme="minorEastAsia" w:eastAsiaTheme="minorEastAsia"/>
          <w:szCs w:val="21"/>
        </w:rPr>
        <w:t>。</w:t>
      </w:r>
    </w:p>
    <w:p w14:paraId="218634D9">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3、保障王江泾、双塔、收藏村、斜路、洛东下首闸、大坝、塘埂桥、圣塘桥流量站</w:t>
      </w:r>
      <w:r>
        <w:rPr>
          <w:rFonts w:hint="eastAsia" w:cs="Times New Roman" w:asciiTheme="minorEastAsia" w:hAnsiTheme="minorEastAsia" w:eastAsiaTheme="minorEastAsia"/>
          <w:szCs w:val="21"/>
          <w:lang w:eastAsia="zh-CN"/>
        </w:rPr>
        <w:t>点</w:t>
      </w:r>
      <w:r>
        <w:rPr>
          <w:rFonts w:hint="eastAsia" w:cs="Times New Roman" w:asciiTheme="minorEastAsia" w:hAnsiTheme="minorEastAsia" w:eastAsiaTheme="minorEastAsia"/>
          <w:szCs w:val="21"/>
          <w:lang w:val="en-US" w:eastAsia="zh-CN"/>
        </w:rPr>
        <w:t>8套</w:t>
      </w:r>
      <w:r>
        <w:rPr>
          <w:rFonts w:hint="eastAsia" w:cs="Times New Roman" w:asciiTheme="minorEastAsia" w:hAnsiTheme="minorEastAsia" w:eastAsiaTheme="minorEastAsia"/>
          <w:szCs w:val="21"/>
        </w:rPr>
        <w:t>设备GPRS通</w:t>
      </w:r>
      <w:r>
        <w:rPr>
          <w:rFonts w:hint="eastAsia" w:cs="Times New Roman" w:asciiTheme="minorEastAsia" w:hAnsiTheme="minorEastAsia" w:eastAsiaTheme="minorEastAsia"/>
          <w:szCs w:val="21"/>
          <w:lang w:eastAsia="zh-CN"/>
        </w:rPr>
        <w:t>讯正常</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eastAsia="zh-CN"/>
        </w:rPr>
        <w:t>确保数据上传及时</w:t>
      </w:r>
      <w:r>
        <w:rPr>
          <w:rFonts w:hint="eastAsia" w:cs="Times New Roman" w:asciiTheme="minorEastAsia" w:hAnsiTheme="minorEastAsia" w:eastAsiaTheme="minorEastAsia"/>
          <w:szCs w:val="21"/>
        </w:rPr>
        <w:t>。</w:t>
      </w:r>
    </w:p>
    <w:p w14:paraId="68D499B9">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4、保障高照（主）、新塍(主)、新塍(雷达)、王江泾（主）、王江泾（雷达）、双塔（主）、大坝、塘</w:t>
      </w:r>
      <w:r>
        <w:rPr>
          <w:rFonts w:hint="eastAsia" w:cs="Times New Roman" w:asciiTheme="minorEastAsia" w:hAnsiTheme="minorEastAsia" w:eastAsiaTheme="minorEastAsia"/>
          <w:szCs w:val="21"/>
          <w:lang w:eastAsia="zh-CN"/>
        </w:rPr>
        <w:t>埂</w:t>
      </w:r>
      <w:r>
        <w:rPr>
          <w:rFonts w:hint="eastAsia" w:cs="Times New Roman" w:asciiTheme="minorEastAsia" w:hAnsiTheme="minorEastAsia" w:eastAsiaTheme="minorEastAsia"/>
          <w:szCs w:val="21"/>
        </w:rPr>
        <w:t>桥、圣塘桥、斜路、洛东下首闸、卫星电话（2部）</w:t>
      </w:r>
      <w:r>
        <w:rPr>
          <w:rFonts w:hint="eastAsia" w:cs="Times New Roman" w:asciiTheme="minorEastAsia" w:hAnsiTheme="minorEastAsia" w:eastAsiaTheme="minorEastAsia"/>
          <w:szCs w:val="21"/>
          <w:lang w:val="en-US" w:eastAsia="zh-CN"/>
        </w:rPr>
        <w:t>13个北斗卫星</w:t>
      </w:r>
      <w:r>
        <w:rPr>
          <w:rFonts w:hint="eastAsia" w:cs="Times New Roman" w:asciiTheme="minorEastAsia" w:hAnsiTheme="minorEastAsia" w:eastAsiaTheme="minorEastAsia"/>
          <w:szCs w:val="21"/>
        </w:rPr>
        <w:t>通</w:t>
      </w:r>
      <w:r>
        <w:rPr>
          <w:rFonts w:hint="eastAsia" w:cs="Times New Roman" w:asciiTheme="minorEastAsia" w:hAnsiTheme="minorEastAsia" w:eastAsiaTheme="minorEastAsia"/>
          <w:szCs w:val="21"/>
          <w:lang w:eastAsia="zh-CN"/>
        </w:rPr>
        <w:t>讯正常</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eastAsia="zh-CN"/>
        </w:rPr>
        <w:t>确保数据上传及时</w:t>
      </w:r>
      <w:r>
        <w:rPr>
          <w:rFonts w:hint="eastAsia" w:cs="Times New Roman" w:asciiTheme="minorEastAsia" w:hAnsiTheme="minorEastAsia" w:eastAsiaTheme="minorEastAsia"/>
          <w:szCs w:val="21"/>
        </w:rPr>
        <w:t>。</w:t>
      </w:r>
    </w:p>
    <w:p w14:paraId="387E29F9">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5、保障王江泾、新塍</w:t>
      </w:r>
      <w:r>
        <w:rPr>
          <w:rFonts w:hint="eastAsia" w:cs="Times New Roman" w:asciiTheme="minorEastAsia" w:hAnsiTheme="minorEastAsia" w:eastAsiaTheme="minorEastAsia"/>
          <w:szCs w:val="21"/>
          <w:lang w:val="en-US" w:eastAsia="zh-CN"/>
        </w:rPr>
        <w:t>2个</w:t>
      </w:r>
      <w:r>
        <w:rPr>
          <w:rFonts w:hint="eastAsia" w:cs="Times New Roman" w:asciiTheme="minorEastAsia" w:hAnsiTheme="minorEastAsia" w:eastAsiaTheme="minorEastAsia"/>
          <w:szCs w:val="21"/>
        </w:rPr>
        <w:t>视频监控设备网络通</w:t>
      </w:r>
      <w:r>
        <w:rPr>
          <w:rFonts w:hint="eastAsia" w:cs="Times New Roman" w:asciiTheme="minorEastAsia" w:hAnsiTheme="minorEastAsia" w:eastAsiaTheme="minorEastAsia"/>
          <w:szCs w:val="21"/>
          <w:lang w:eastAsia="zh-CN"/>
        </w:rPr>
        <w:t>讯正常</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eastAsia="zh-CN"/>
        </w:rPr>
        <w:t>确保数据上传及时</w:t>
      </w:r>
      <w:r>
        <w:rPr>
          <w:rFonts w:hint="eastAsia" w:cs="Times New Roman" w:asciiTheme="minorEastAsia" w:hAnsiTheme="minorEastAsia" w:eastAsiaTheme="minorEastAsia"/>
          <w:szCs w:val="21"/>
        </w:rPr>
        <w:t>。</w:t>
      </w:r>
    </w:p>
    <w:p w14:paraId="02A04E92">
      <w:pPr>
        <w:pStyle w:val="26"/>
        <w:adjustRightInd w:val="0"/>
        <w:snapToGrid w:val="0"/>
        <w:spacing w:line="440" w:lineRule="exact"/>
        <w:ind w:firstLine="422" w:firstLineChars="200"/>
        <w:contextualSpacing/>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lang w:eastAsia="zh-CN"/>
        </w:rPr>
        <w:t>三</w:t>
      </w:r>
      <w:r>
        <w:rPr>
          <w:rFonts w:hint="eastAsia" w:cs="Times New Roman" w:asciiTheme="minorEastAsia" w:hAnsiTheme="minorEastAsia" w:eastAsiaTheme="minorEastAsia"/>
          <w:b/>
          <w:bCs/>
          <w:szCs w:val="21"/>
        </w:rPr>
        <w:t>、地表水</w:t>
      </w:r>
      <w:r>
        <w:rPr>
          <w:rFonts w:hint="eastAsia" w:cs="Times New Roman" w:asciiTheme="minorEastAsia" w:hAnsiTheme="minorEastAsia" w:eastAsiaTheme="minorEastAsia"/>
          <w:b/>
          <w:bCs/>
          <w:szCs w:val="21"/>
          <w:lang w:eastAsia="zh-CN"/>
        </w:rPr>
        <w:t>、地下水</w:t>
      </w:r>
      <w:r>
        <w:rPr>
          <w:rFonts w:hint="eastAsia" w:cs="Times New Roman" w:asciiTheme="minorEastAsia" w:hAnsiTheme="minorEastAsia" w:eastAsiaTheme="minorEastAsia"/>
          <w:b/>
          <w:bCs/>
          <w:szCs w:val="21"/>
        </w:rPr>
        <w:t>水质监测</w:t>
      </w:r>
    </w:p>
    <w:p w14:paraId="6C0C2278">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1、王江泾、新塍、大坝、油车港、南汇5个</w:t>
      </w:r>
      <w:r>
        <w:rPr>
          <w:rFonts w:hint="eastAsia" w:cs="Times New Roman" w:asciiTheme="minorEastAsia" w:hAnsiTheme="minorEastAsia" w:eastAsiaTheme="minorEastAsia"/>
          <w:szCs w:val="21"/>
          <w:lang w:eastAsia="zh-CN"/>
        </w:rPr>
        <w:t>地下水站点水质监测</w:t>
      </w:r>
      <w:r>
        <w:rPr>
          <w:rFonts w:hint="eastAsia" w:cs="Times New Roman" w:asciiTheme="minorEastAsia" w:hAnsiTheme="minorEastAsia" w:eastAsiaTheme="minorEastAsia"/>
          <w:szCs w:val="21"/>
        </w:rPr>
        <w:t>开展1次人工采样监测，9月底前完成</w:t>
      </w:r>
      <w:r>
        <w:rPr>
          <w:rFonts w:hint="eastAsia" w:cs="Times New Roman" w:asciiTheme="minorEastAsia" w:hAnsiTheme="minorEastAsia" w:eastAsiaTheme="minorEastAsia"/>
          <w:szCs w:val="21"/>
          <w:lang w:eastAsia="zh-CN"/>
        </w:rPr>
        <w:t>，并根据要求完成</w:t>
      </w:r>
      <w:r>
        <w:rPr>
          <w:rFonts w:hint="eastAsia" w:cs="Times New Roman" w:asciiTheme="minorEastAsia" w:hAnsiTheme="minorEastAsia" w:eastAsiaTheme="minorEastAsia"/>
          <w:szCs w:val="21"/>
        </w:rPr>
        <w:t>监测数据与评价表、评价报告、工作报告等工作</w:t>
      </w:r>
      <w:r>
        <w:rPr>
          <w:rFonts w:hint="eastAsia" w:cs="Times New Roman" w:asciiTheme="minorEastAsia" w:hAnsiTheme="minorEastAsia" w:eastAsiaTheme="minorEastAsia"/>
          <w:szCs w:val="21"/>
          <w:lang w:eastAsia="zh-CN"/>
        </w:rPr>
        <w:t>。</w:t>
      </w:r>
    </w:p>
    <w:p w14:paraId="5EC8AF33">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2、</w:t>
      </w:r>
      <w:r>
        <w:rPr>
          <w:rFonts w:hint="eastAsia" w:cs="Times New Roman" w:asciiTheme="minorEastAsia" w:hAnsiTheme="minorEastAsia" w:eastAsiaTheme="minorEastAsia"/>
          <w:szCs w:val="21"/>
        </w:rPr>
        <w:t>南虹桥、北虹大桥、石臼漾水厂、洛东大桥、圣塘桥和收藏桥6个地表水水质监测点监测项目</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监测频次</w:t>
      </w:r>
      <w:r>
        <w:rPr>
          <w:rFonts w:hint="eastAsia" w:cs="Times New Roman" w:asciiTheme="minorEastAsia" w:hAnsiTheme="minorEastAsia" w:eastAsiaTheme="minorEastAsia"/>
          <w:szCs w:val="21"/>
          <w:lang w:eastAsia="zh-CN"/>
        </w:rPr>
        <w:t>等</w:t>
      </w:r>
      <w:r>
        <w:rPr>
          <w:rFonts w:hint="eastAsia" w:cs="Times New Roman" w:asciiTheme="minorEastAsia" w:hAnsiTheme="minorEastAsia" w:eastAsiaTheme="minorEastAsia"/>
          <w:szCs w:val="21"/>
        </w:rPr>
        <w:t>根据上级部门要求执行。其中北虹大桥汛期（5～6月）和非汛期（11～12月）各补充监测一次水化学项目（钾、钠、钙、镁、氯化物、硫酸盐、碳酸盐、重碳酸盐和矿化度）。</w:t>
      </w:r>
    </w:p>
    <w:p w14:paraId="3C117E46">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水质监测要求：</w:t>
      </w:r>
    </w:p>
    <w:p w14:paraId="4832D9B0">
      <w:pPr>
        <w:pStyle w:val="26"/>
        <w:adjustRightInd w:val="0"/>
        <w:snapToGrid w:val="0"/>
        <w:spacing w:line="440" w:lineRule="exact"/>
        <w:ind w:firstLine="422" w:firstLineChars="200"/>
        <w:contextualSpacing/>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（一）地表水</w:t>
      </w:r>
    </w:p>
    <w:p w14:paraId="6E4B1E0B">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地表水水质监测要求如下：</w:t>
      </w:r>
    </w:p>
    <w:p w14:paraId="339252B5">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rPr>
        <w:t xml:space="preserve"> 1.河流型</w:t>
      </w:r>
    </w:p>
    <w:p w14:paraId="73622339">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水温、pH值、溶解氧、高锰酸盐指数、化学需氧量、五日生化需氧量、氨氮、总磷、总氮、铜、锌、氟化物、硒、砷、汞、镉、六价铬、铅、氰化物、挥发酚、石油类、阴离子表面活性剂、硫化物、粪大肠菌群，共24项。</w:t>
      </w:r>
    </w:p>
    <w:p w14:paraId="513F3D3A">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rPr>
        <w:t>2.湖库型</w:t>
      </w:r>
    </w:p>
    <w:p w14:paraId="736C951E">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河流型水质站基础上，增测氯化物、叶绿素a、透明度，共27项。</w:t>
      </w:r>
    </w:p>
    <w:p w14:paraId="195730E3">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rPr>
        <w:t xml:space="preserve"> 3.河流型水源地</w:t>
      </w:r>
    </w:p>
    <w:p w14:paraId="3FFBD369">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水温、pH值、溶解氧、高锰酸盐指数、化学需氧量、五日生化需氧量、氨氮、总磷、总氮、铜、锌、氟化物、硒、砷、汞、镉、六价铬、铅、氰化物、挥发酚、石油类、阴离子表面活性剂、硫化物、粪大肠菌群、氯化物、硫酸盐、硝酸盐氮、铁、锰、总硬度、电导率、铝，共32项。</w:t>
      </w:r>
    </w:p>
    <w:p w14:paraId="24518C6C">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rPr>
        <w:t>4.湖库型水源地</w:t>
      </w:r>
    </w:p>
    <w:p w14:paraId="173FE96D">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河流型饮用水水源地水质站基础上，增测叶绿素a、透明度，共34项。</w:t>
      </w:r>
    </w:p>
    <w:p w14:paraId="12EC4012">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lang w:val="en-US" w:eastAsia="zh-CN"/>
        </w:rPr>
        <w:t xml:space="preserve">  </w:t>
      </w:r>
      <w:r>
        <w:rPr>
          <w:rFonts w:hint="eastAsia" w:cs="Times New Roman" w:asciiTheme="minorEastAsia" w:hAnsiTheme="minorEastAsia" w:eastAsiaTheme="minorEastAsia"/>
          <w:szCs w:val="21"/>
        </w:rPr>
        <w:t xml:space="preserve"> 5.水位、流量参数</w:t>
      </w:r>
    </w:p>
    <w:p w14:paraId="629FD979">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对于已经具备水量监测的水质站，应同步记录水位、流量、流速等水文参数。</w:t>
      </w:r>
    </w:p>
    <w:p w14:paraId="79BB4348">
      <w:pPr>
        <w:pStyle w:val="26"/>
        <w:adjustRightInd w:val="0"/>
        <w:snapToGrid w:val="0"/>
        <w:spacing w:line="440" w:lineRule="exact"/>
        <w:ind w:firstLine="420" w:firstLineChars="200"/>
        <w:contextualSpacing/>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其它地表水水质站监测项目参照国家地表水重点水质站的监测要求执行。</w:t>
      </w:r>
    </w:p>
    <w:p w14:paraId="5EF0294C">
      <w:pPr>
        <w:pStyle w:val="26"/>
        <w:adjustRightInd w:val="0"/>
        <w:snapToGrid w:val="0"/>
        <w:spacing w:line="440" w:lineRule="exact"/>
        <w:ind w:firstLine="422" w:firstLineChars="200"/>
        <w:contextualSpacing/>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（二）地下水</w:t>
      </w:r>
    </w:p>
    <w:p w14:paraId="0502B1C7">
      <w:pPr>
        <w:pStyle w:val="26"/>
        <w:adjustRightInd w:val="0"/>
        <w:snapToGrid w:val="0"/>
        <w:spacing w:line="440" w:lineRule="exact"/>
        <w:ind w:firstLine="420" w:firstLineChars="200"/>
        <w:contextualSpacing/>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szCs w:val="21"/>
        </w:rPr>
        <w:t>地下水水质监测要求：色、嗅和味、浑浊度、肉眼可见物、pH、总硬度、溶解性总固体、硫酸盐、氯化物、铁、锰、铜、锌、铝、挥发性酚类、阴离子表面活性剂、耗氧量、氨氮、硫化物、钠、总大肠菌群、菌落总数、</w:t>
      </w:r>
      <w:r>
        <w:rPr>
          <w:rFonts w:hint="eastAsia" w:cs="Times New Roman" w:asciiTheme="minorEastAsia" w:hAnsiTheme="minorEastAsia" w:eastAsiaTheme="minorEastAsia"/>
          <w:color w:val="auto"/>
          <w:szCs w:val="21"/>
          <w:highlight w:val="none"/>
        </w:rPr>
        <w:t>亚硝酸盐、硝酸盐、氰化物、氟化物、碘化物、汞、砷、硒、镉、铬、铅、三氯甲烷、四氯化碳、苯、甲苯、总α放射性、总β放射性，共39项。</w:t>
      </w:r>
    </w:p>
    <w:p w14:paraId="45D1B37F">
      <w:pPr>
        <w:pStyle w:val="26"/>
        <w:adjustRightInd w:val="0"/>
        <w:snapToGrid w:val="0"/>
        <w:spacing w:line="440" w:lineRule="exact"/>
        <w:ind w:firstLine="420" w:firstLineChars="200"/>
        <w:contextualSpacing/>
        <w:rPr>
          <w:rFonts w:hAnsi="宋体" w:cs="宋体"/>
          <w:color w:val="auto"/>
          <w:szCs w:val="21"/>
          <w:highlight w:val="none"/>
        </w:rPr>
      </w:pPr>
      <w:r>
        <w:rPr>
          <w:rFonts w:hint="eastAsia" w:cs="Times New Roman" w:asciiTheme="minorEastAsia" w:hAnsiTheme="minorEastAsia" w:eastAsiaTheme="minorEastAsia"/>
          <w:color w:val="auto"/>
          <w:szCs w:val="21"/>
          <w:highlight w:val="none"/>
        </w:rPr>
        <w:t>其它监测项目根据水利部有关要求执行</w:t>
      </w:r>
      <w:r>
        <w:rPr>
          <w:rFonts w:hint="eastAsia" w:hAnsi="宋体" w:cs="宋体"/>
          <w:color w:val="auto"/>
          <w:szCs w:val="21"/>
          <w:highlight w:val="none"/>
        </w:rPr>
        <w:t>。</w:t>
      </w:r>
    </w:p>
    <w:p w14:paraId="5CA18FCB">
      <w:pPr>
        <w:pStyle w:val="40"/>
        <w:spacing w:line="440" w:lineRule="exact"/>
        <w:ind w:left="0" w:right="42" w:rightChars="20" w:firstLine="422" w:firstLineChars="200"/>
        <w:contextualSpacing/>
        <w:rPr>
          <w:rFonts w:cs="Times New Roman" w:asciiTheme="minorEastAsia" w:hAnsiTheme="minorEastAsia" w:eastAsiaTheme="minorEastAsia"/>
          <w:b/>
          <w:smallCaps w:val="0"/>
          <w:color w:val="auto"/>
          <w:sz w:val="21"/>
          <w:szCs w:val="21"/>
          <w:highlight w:val="none"/>
        </w:rPr>
      </w:pPr>
      <w:r>
        <w:rPr>
          <w:rFonts w:hint="eastAsia" w:cs="Times New Roman" w:asciiTheme="minorEastAsia" w:hAnsiTheme="minorEastAsia" w:eastAsiaTheme="minorEastAsia"/>
          <w:b/>
          <w:smallCaps w:val="0"/>
          <w:color w:val="auto"/>
          <w:sz w:val="21"/>
          <w:szCs w:val="21"/>
          <w:highlight w:val="none"/>
        </w:rPr>
        <w:t>四、商务条款</w:t>
      </w:r>
    </w:p>
    <w:p w14:paraId="4DF24A66">
      <w:pPr>
        <w:pStyle w:val="26"/>
        <w:adjustRightInd w:val="0"/>
        <w:snapToGrid w:val="0"/>
        <w:spacing w:line="440" w:lineRule="exact"/>
        <w:ind w:firstLine="420" w:firstLineChars="200"/>
        <w:contextualSpacing/>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1、服务期：</w:t>
      </w:r>
      <w:r>
        <w:rPr>
          <w:rFonts w:hint="eastAsia" w:asciiTheme="minorEastAsia" w:hAnsiTheme="minorEastAsia" w:eastAsiaTheme="minorEastAsia"/>
          <w:color w:val="auto"/>
          <w:szCs w:val="21"/>
          <w:highlight w:val="none"/>
          <w:lang w:eastAsia="zh-CN"/>
        </w:rPr>
        <w:t>2025年</w:t>
      </w:r>
      <w:r>
        <w:rPr>
          <w:rFonts w:hint="eastAsia" w:asciiTheme="minorEastAsia" w:hAnsiTheme="minorEastAsia" w:eastAsiaTheme="minorEastAsia"/>
          <w:color w:val="auto"/>
          <w:szCs w:val="21"/>
          <w:highlight w:val="none"/>
        </w:rPr>
        <w:t>4月3日—202</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31</w:t>
      </w:r>
      <w:r>
        <w:rPr>
          <w:rFonts w:hint="eastAsia" w:asciiTheme="minorEastAsia" w:hAnsiTheme="minorEastAsia" w:eastAsiaTheme="minorEastAsia"/>
          <w:color w:val="auto"/>
          <w:szCs w:val="21"/>
          <w:highlight w:val="none"/>
        </w:rPr>
        <w:t>日。</w:t>
      </w:r>
    </w:p>
    <w:p w14:paraId="603788F9">
      <w:pPr>
        <w:pStyle w:val="26"/>
        <w:adjustRightInd w:val="0"/>
        <w:snapToGrid w:val="0"/>
        <w:spacing w:line="440" w:lineRule="exact"/>
        <w:ind w:firstLine="420" w:firstLineChars="200"/>
        <w:contextualSpacing/>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2、付款条件：合同签订后支付合同价的</w:t>
      </w:r>
      <w:r>
        <w:rPr>
          <w:rFonts w:hint="eastAsia" w:asciiTheme="minorEastAsia" w:hAnsiTheme="minorEastAsia" w:eastAsiaTheme="minorEastAsia"/>
          <w:color w:val="auto"/>
          <w:szCs w:val="21"/>
          <w:highlight w:val="none"/>
          <w:lang w:val="en-US" w:eastAsia="zh-CN"/>
        </w:rPr>
        <w:t>40</w:t>
      </w:r>
      <w:r>
        <w:rPr>
          <w:rFonts w:hint="eastAsia" w:asciiTheme="minorEastAsia" w:hAnsiTheme="minorEastAsia" w:eastAsiaTheme="minorEastAsia"/>
          <w:color w:val="auto"/>
          <w:szCs w:val="21"/>
          <w:highlight w:val="none"/>
        </w:rPr>
        <w:t>%作为预付款，完成所有工作后根据考核情况支付余款（《</w:t>
      </w:r>
      <w:r>
        <w:rPr>
          <w:rFonts w:hint="eastAsia" w:asciiTheme="minorEastAsia" w:hAnsiTheme="minorEastAsia" w:eastAsiaTheme="minorEastAsia"/>
          <w:color w:val="auto"/>
          <w:szCs w:val="21"/>
          <w:highlight w:val="none"/>
          <w:lang w:eastAsia="zh-CN"/>
        </w:rPr>
        <w:t>秀洲区2025年水文测站标准化运行管理及维护项目</w:t>
      </w:r>
      <w:r>
        <w:rPr>
          <w:rFonts w:hint="eastAsia" w:asciiTheme="minorEastAsia" w:hAnsiTheme="minorEastAsia" w:eastAsiaTheme="minorEastAsia"/>
          <w:color w:val="auto"/>
          <w:szCs w:val="21"/>
          <w:highlight w:val="none"/>
        </w:rPr>
        <w:t>考核测评表》见附表）。</w:t>
      </w:r>
    </w:p>
    <w:p w14:paraId="08ACF40A">
      <w:pPr>
        <w:pStyle w:val="26"/>
        <w:adjustRightInd w:val="0"/>
        <w:snapToGrid w:val="0"/>
        <w:spacing w:line="440" w:lineRule="exact"/>
        <w:ind w:firstLine="420" w:firstLineChars="200"/>
        <w:contextualSpacing/>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报价要求：必须包括提供项目服务所需的一切费用，包括但不限于人员工资、奖金、各种加班费、各种社会保险（基本养老保险、基本医疗保险、工伤保险、失业保险、公积金等）、专家评审费、考察费、调研费、食宿与交通、高温补偿费）、会务费用、管理费用（意外保险、车辆、培训、税费、利润）、招标代理费等完成合同所需的一切本身和不可或缺的所有工作开支、政策性文件规定及合同包含的所有风险、责任等各项全部费用并承担一切风险责任。</w:t>
      </w:r>
    </w:p>
    <w:p w14:paraId="2AD63C63">
      <w:pPr>
        <w:pStyle w:val="45"/>
        <w:spacing w:before="0" w:beforeAutospacing="0" w:after="0" w:afterAutospacing="0" w:line="440" w:lineRule="exact"/>
        <w:ind w:right="42" w:rightChars="20"/>
        <w:contextualSpacing/>
        <w:rPr>
          <w:rFonts w:asciiTheme="minorEastAsia" w:hAnsiTheme="minorEastAsia" w:eastAsiaTheme="minorEastAsia"/>
          <w:bCs/>
          <w:color w:val="000000" w:themeColor="text1"/>
          <w:szCs w:val="21"/>
        </w:rPr>
      </w:pPr>
    </w:p>
    <w:p w14:paraId="2DAD2824">
      <w:pPr>
        <w:widowControl/>
        <w:spacing w:line="440" w:lineRule="exact"/>
        <w:ind w:right="42" w:rightChars="20" w:firstLine="480"/>
        <w:rPr>
          <w:color w:val="000000" w:themeColor="text1"/>
        </w:rPr>
        <w:sectPr>
          <w:footerReference r:id="rId8" w:type="default"/>
          <w:pgSz w:w="11910" w:h="16840"/>
          <w:pgMar w:top="1474" w:right="1701" w:bottom="1474" w:left="1701" w:header="0" w:footer="0" w:gutter="0"/>
          <w:cols w:space="425" w:num="1"/>
          <w:docGrid w:linePitch="326" w:charSpace="0"/>
        </w:sectPr>
      </w:pPr>
    </w:p>
    <w:p w14:paraId="6C8ED7B0">
      <w:pPr>
        <w:pStyle w:val="2"/>
        <w:jc w:val="center"/>
        <w:rPr>
          <w:sz w:val="36"/>
          <w:szCs w:val="36"/>
        </w:rPr>
      </w:pPr>
      <w:bookmarkStart w:id="34" w:name="_Toc17165"/>
      <w:r>
        <w:rPr>
          <w:rFonts w:hint="eastAsia"/>
          <w:sz w:val="36"/>
          <w:szCs w:val="36"/>
        </w:rPr>
        <w:t>第三章  投标人须知</w:t>
      </w:r>
      <w:bookmarkEnd w:id="4"/>
      <w:bookmarkEnd w:id="32"/>
      <w:bookmarkEnd w:id="34"/>
    </w:p>
    <w:p w14:paraId="4D84E223">
      <w:pPr>
        <w:spacing w:line="360" w:lineRule="auto"/>
        <w:ind w:right="42" w:rightChars="20"/>
        <w:jc w:val="center"/>
        <w:rPr>
          <w:rFonts w:asciiTheme="minorEastAsia" w:hAnsiTheme="minorEastAsia" w:eastAsiaTheme="minorEastAsia"/>
          <w:b/>
          <w:bCs/>
          <w:color w:val="000000" w:themeColor="text1"/>
          <w:sz w:val="28"/>
          <w:szCs w:val="28"/>
        </w:rPr>
      </w:pPr>
      <w:bookmarkStart w:id="35" w:name="_Toc493511543"/>
      <w:bookmarkStart w:id="36" w:name="_Toc17413"/>
      <w:bookmarkStart w:id="37" w:name="_Toc177870535"/>
      <w:bookmarkStart w:id="38" w:name="_Toc50012816"/>
      <w:r>
        <w:rPr>
          <w:rFonts w:hint="eastAsia" w:cs="宋体" w:asciiTheme="minorEastAsia" w:hAnsiTheme="minorEastAsia" w:eastAsiaTheme="minorEastAsia"/>
          <w:b/>
          <w:bCs/>
          <w:color w:val="000000" w:themeColor="text1"/>
          <w:sz w:val="28"/>
          <w:szCs w:val="28"/>
        </w:rPr>
        <w:t>电子交易注意事项</w:t>
      </w:r>
    </w:p>
    <w:p w14:paraId="60A9CD57">
      <w:pPr>
        <w:spacing w:line="360" w:lineRule="auto"/>
        <w:ind w:right="42" w:rightChars="20" w:firstLine="210" w:firstLineChars="100"/>
        <w:jc w:val="left"/>
        <w:rPr>
          <w:rFonts w:asciiTheme="minorEastAsia" w:hAnsiTheme="minorEastAsia" w:eastAsiaTheme="minorEastAsia"/>
          <w:color w:val="000000" w:themeColor="text1"/>
          <w:szCs w:val="21"/>
          <w:shd w:val="clear" w:color="auto" w:fill="FFFFFF"/>
        </w:rPr>
      </w:pPr>
      <w:r>
        <w:rPr>
          <w:rFonts w:hint="eastAsia" w:cs="宋体" w:asciiTheme="minorEastAsia" w:hAnsiTheme="minorEastAsia" w:eastAsiaTheme="minorEastAsia"/>
          <w:color w:val="000000" w:themeColor="text1"/>
          <w:szCs w:val="21"/>
          <w:shd w:val="clear" w:color="auto" w:fill="FFFFFF"/>
        </w:rPr>
        <w:t>　政府采购项目电子交易活动适用《浙江省政府采购项目电子交易管理暂行办法》，现将相关注意事项告知如下：</w:t>
      </w:r>
    </w:p>
    <w:p w14:paraId="07C7B70E">
      <w:pPr>
        <w:spacing w:line="360" w:lineRule="auto"/>
        <w:ind w:right="42" w:rightChars="20" w:firstLine="210" w:firstLineChars="10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　1.集中采购机构按照招标文件规定的时间通过电子交易平台组织开标、开启投标文件、开启报价文件，所有投标人均应当准时在线参加，直至评审结束。</w:t>
      </w:r>
    </w:p>
    <w:p w14:paraId="77AB63C2">
      <w:pPr>
        <w:pStyle w:val="45"/>
        <w:spacing w:beforeAutospacing="0" w:afterAutospacing="0" w:line="360" w:lineRule="auto"/>
        <w:ind w:right="42" w:rightChars="20" w:firstLine="210" w:firstLineChars="100"/>
        <w:rPr>
          <w:rFonts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　2.投标文件未按时解密，投标人如提供备份投标文件的，以符合要求的备份投标文件作为依据，否则视为投标文件撤回。投标文件已按时解密的，备份投标文件自动失效。</w:t>
      </w:r>
    </w:p>
    <w:p w14:paraId="5FB97C28">
      <w:pPr>
        <w:pStyle w:val="45"/>
        <w:spacing w:beforeAutospacing="0" w:afterAutospacing="0" w:line="360" w:lineRule="auto"/>
        <w:ind w:right="42" w:rightChars="20" w:firstLine="210" w:firstLineChars="100"/>
        <w:rPr>
          <w:rFonts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　3.采购过程中出现以下情形，导致电子交易平台无法正常运行，或者无法保证电子交易的公平、公正和安全时，集中采购机构可中止电子交易活动：</w:t>
      </w:r>
    </w:p>
    <w:p w14:paraId="2A2A1535">
      <w:pPr>
        <w:pStyle w:val="45"/>
        <w:spacing w:beforeAutospacing="0" w:afterAutospacing="0" w:line="360" w:lineRule="auto"/>
        <w:ind w:right="42" w:rightChars="20" w:firstLine="645"/>
        <w:rPr>
          <w:rFonts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（一）电子交易平台发生故障而无法登录访问的； </w:t>
      </w:r>
    </w:p>
    <w:p w14:paraId="79014D1B">
      <w:pPr>
        <w:pStyle w:val="45"/>
        <w:spacing w:beforeAutospacing="0" w:afterAutospacing="0" w:line="360" w:lineRule="auto"/>
        <w:ind w:right="42" w:rightChars="20" w:firstLine="645"/>
        <w:rPr>
          <w:rFonts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（二）电子交易平台应用或数据库出现错误，不能进行正常操作的；</w:t>
      </w:r>
    </w:p>
    <w:p w14:paraId="235457C0">
      <w:pPr>
        <w:pStyle w:val="45"/>
        <w:spacing w:beforeAutospacing="0" w:afterAutospacing="0" w:line="360" w:lineRule="auto"/>
        <w:ind w:right="42" w:rightChars="20" w:firstLine="645"/>
        <w:rPr>
          <w:rFonts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（三）电子交易平台发现严重安全漏洞，有潜在泄密危险的；</w:t>
      </w:r>
    </w:p>
    <w:p w14:paraId="2F5B9CA8">
      <w:pPr>
        <w:pStyle w:val="45"/>
        <w:spacing w:beforeAutospacing="0" w:afterAutospacing="0" w:line="360" w:lineRule="auto"/>
        <w:ind w:right="42" w:rightChars="20" w:firstLine="645"/>
        <w:rPr>
          <w:rFonts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（四）病毒发作导致不能进行正常操作的； </w:t>
      </w:r>
    </w:p>
    <w:p w14:paraId="38BE55CB">
      <w:pPr>
        <w:pStyle w:val="45"/>
        <w:spacing w:beforeAutospacing="0" w:afterAutospacing="0" w:line="360" w:lineRule="auto"/>
        <w:ind w:right="42" w:rightChars="20" w:firstLine="645"/>
        <w:rPr>
          <w:rFonts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（五）其他无法保证电子交易的公平、公正和安全的情况。</w:t>
      </w:r>
    </w:p>
    <w:p w14:paraId="570C611B">
      <w:pPr>
        <w:pStyle w:val="45"/>
        <w:spacing w:beforeAutospacing="0" w:afterAutospacing="0" w:line="360" w:lineRule="auto"/>
        <w:ind w:right="42" w:rightChars="20" w:firstLine="210"/>
        <w:rPr>
          <w:rFonts w:asciiTheme="minorEastAsia" w:hAnsiTheme="minorEastAsia" w:eastAsiaTheme="minorEastAsia"/>
          <w:color w:val="000000" w:themeColor="text1"/>
          <w:kern w:val="2"/>
          <w:sz w:val="21"/>
          <w:szCs w:val="21"/>
        </w:rPr>
      </w:pPr>
      <w:r>
        <w:rPr>
          <w:rFonts w:hint="eastAsia" w:cs="宋体" w:asciiTheme="minorEastAsia" w:hAnsiTheme="minorEastAsia" w:eastAsiaTheme="minorEastAsia"/>
          <w:color w:val="000000" w:themeColor="text1"/>
          <w:kern w:val="2"/>
          <w:sz w:val="21"/>
          <w:szCs w:val="21"/>
        </w:rPr>
        <w:t>出现前款规定情形，不影响采购公平、公正性的，集中采购机构可以待上述情形消除后继续组织电子交易活动，也可以决定某些环节以纸质形式进行；影响或可能影响采购公平、公正性的，应当重新采购。</w:t>
      </w:r>
    </w:p>
    <w:p w14:paraId="24FC888F">
      <w:pPr>
        <w:spacing w:line="360" w:lineRule="auto"/>
        <w:ind w:right="42" w:rightChars="20" w:firstLine="420" w:firstLineChars="200"/>
        <w:jc w:val="left"/>
        <w:outlineLvl w:val="1"/>
        <w:rPr>
          <w:rFonts w:cs="宋体" w:asciiTheme="minorEastAsia" w:hAnsiTheme="minorEastAsia" w:eastAsiaTheme="minorEastAsia"/>
          <w:color w:val="000000" w:themeColor="text1"/>
          <w:szCs w:val="21"/>
          <w:shd w:val="clear" w:color="auto" w:fill="FFFFFF"/>
        </w:rPr>
      </w:pPr>
      <w:r>
        <w:rPr>
          <w:rFonts w:hint="eastAsia" w:cs="宋体" w:asciiTheme="minorEastAsia" w:hAnsiTheme="minorEastAsia" w:eastAsiaTheme="minorEastAsia"/>
          <w:color w:val="000000" w:themeColor="text1"/>
          <w:szCs w:val="21"/>
        </w:rPr>
        <w:t>　</w:t>
      </w:r>
      <w:bookmarkStart w:id="39" w:name="_Toc23676"/>
      <w:r>
        <w:rPr>
          <w:rFonts w:hint="eastAsia" w:cs="宋体" w:asciiTheme="minorEastAsia" w:hAnsiTheme="minorEastAsia" w:eastAsiaTheme="minorEastAsia"/>
          <w:color w:val="000000" w:themeColor="text1"/>
          <w:szCs w:val="21"/>
        </w:rPr>
        <w:t>4.</w:t>
      </w:r>
      <w:r>
        <w:rPr>
          <w:rFonts w:hint="eastAsia" w:cs="宋体" w:asciiTheme="minorEastAsia" w:hAnsiTheme="minorEastAsia" w:eastAsiaTheme="minorEastAsia"/>
          <w:color w:val="000000" w:themeColor="text1"/>
          <w:szCs w:val="21"/>
          <w:shd w:val="clear" w:color="auto" w:fill="FFFFFF"/>
        </w:rPr>
        <w:t>评审中需要投标人对投标文件作出澄清、说明或者补正的，评审小组和投标人应当通过电子交易平台交换数据电文。投标人需在半小时内提交澄清说明或补正，投标人已经明确表示澄清说明或补正完毕的除外。</w:t>
      </w:r>
      <w:bookmarkEnd w:id="39"/>
    </w:p>
    <w:p w14:paraId="21F671C7">
      <w:pPr>
        <w:pStyle w:val="60"/>
        <w:spacing w:line="360" w:lineRule="auto"/>
        <w:ind w:right="42" w:rightChars="20"/>
        <w:rPr>
          <w:rFonts w:asciiTheme="minorEastAsia" w:hAnsiTheme="minorEastAsia" w:eastAsiaTheme="minorEastAsia"/>
          <w:color w:val="000000" w:themeColor="text1"/>
        </w:rPr>
      </w:pPr>
    </w:p>
    <w:p w14:paraId="241D4964">
      <w:pPr>
        <w:pStyle w:val="60"/>
        <w:ind w:right="42" w:rightChars="20"/>
        <w:rPr>
          <w:rFonts w:asciiTheme="minorEastAsia" w:hAnsiTheme="minorEastAsia" w:eastAsiaTheme="minorEastAsia"/>
          <w:color w:val="000000" w:themeColor="text1"/>
        </w:rPr>
      </w:pPr>
    </w:p>
    <w:p w14:paraId="3B38AD82">
      <w:pPr>
        <w:pStyle w:val="60"/>
        <w:ind w:right="42" w:rightChars="20"/>
        <w:rPr>
          <w:rFonts w:asciiTheme="minorEastAsia" w:hAnsiTheme="minorEastAsia" w:eastAsiaTheme="minorEastAsia"/>
          <w:color w:val="000000" w:themeColor="text1"/>
        </w:rPr>
      </w:pPr>
    </w:p>
    <w:p w14:paraId="1590CCF8">
      <w:pPr>
        <w:pStyle w:val="60"/>
        <w:ind w:right="42" w:rightChars="20"/>
        <w:rPr>
          <w:rFonts w:asciiTheme="minorEastAsia" w:hAnsiTheme="minorEastAsia" w:eastAsiaTheme="minorEastAsia"/>
          <w:color w:val="000000" w:themeColor="text1"/>
        </w:rPr>
      </w:pPr>
    </w:p>
    <w:p w14:paraId="61EA7A10">
      <w:pPr>
        <w:pStyle w:val="60"/>
        <w:ind w:right="42" w:rightChars="20"/>
        <w:rPr>
          <w:rFonts w:asciiTheme="minorEastAsia" w:hAnsiTheme="minorEastAsia" w:eastAsiaTheme="minorEastAsia"/>
          <w:color w:val="000000" w:themeColor="text1"/>
        </w:rPr>
      </w:pPr>
    </w:p>
    <w:p w14:paraId="4A0CC8C1">
      <w:pPr>
        <w:pStyle w:val="60"/>
        <w:ind w:right="42" w:rightChars="20"/>
        <w:rPr>
          <w:rFonts w:asciiTheme="minorEastAsia" w:hAnsiTheme="minorEastAsia" w:eastAsiaTheme="minorEastAsia"/>
          <w:color w:val="000000" w:themeColor="text1"/>
        </w:rPr>
      </w:pPr>
    </w:p>
    <w:p w14:paraId="35FD5414">
      <w:pPr>
        <w:pStyle w:val="60"/>
        <w:ind w:right="42" w:rightChars="20"/>
        <w:rPr>
          <w:rFonts w:asciiTheme="minorEastAsia" w:hAnsiTheme="minorEastAsia" w:eastAsiaTheme="minorEastAsia"/>
          <w:color w:val="000000" w:themeColor="text1"/>
        </w:rPr>
      </w:pPr>
    </w:p>
    <w:p w14:paraId="41879559">
      <w:pPr>
        <w:pStyle w:val="60"/>
        <w:ind w:right="42" w:rightChars="20"/>
        <w:rPr>
          <w:rFonts w:asciiTheme="minorEastAsia" w:hAnsiTheme="minorEastAsia" w:eastAsiaTheme="minorEastAsia"/>
          <w:color w:val="000000" w:themeColor="text1"/>
        </w:rPr>
      </w:pPr>
    </w:p>
    <w:p w14:paraId="2A83E0E5">
      <w:pPr>
        <w:pStyle w:val="2"/>
        <w:jc w:val="center"/>
        <w:rPr>
          <w:sz w:val="36"/>
          <w:szCs w:val="36"/>
        </w:rPr>
      </w:pPr>
      <w:bookmarkStart w:id="40" w:name="_Toc16971"/>
      <w:r>
        <w:rPr>
          <w:rFonts w:hint="eastAsia"/>
          <w:sz w:val="36"/>
          <w:szCs w:val="36"/>
        </w:rPr>
        <w:t>前附表</w:t>
      </w:r>
      <w:bookmarkEnd w:id="35"/>
      <w:bookmarkEnd w:id="36"/>
      <w:bookmarkEnd w:id="37"/>
      <w:bookmarkEnd w:id="38"/>
      <w:bookmarkEnd w:id="40"/>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7"/>
        <w:gridCol w:w="7963"/>
      </w:tblGrid>
      <w:tr w14:paraId="66A64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34" w:type="pct"/>
            <w:tcBorders>
              <w:top w:val="single" w:color="auto" w:sz="4" w:space="0"/>
              <w:left w:val="single" w:color="auto" w:sz="4" w:space="0"/>
              <w:bottom w:val="single" w:color="auto" w:sz="4" w:space="0"/>
              <w:right w:val="single" w:color="auto" w:sz="4" w:space="0"/>
            </w:tcBorders>
            <w:vAlign w:val="center"/>
          </w:tcPr>
          <w:p w14:paraId="1C27F3C7">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序号</w:t>
            </w:r>
          </w:p>
        </w:tc>
        <w:tc>
          <w:tcPr>
            <w:tcW w:w="4566" w:type="pct"/>
            <w:tcBorders>
              <w:top w:val="single" w:color="auto" w:sz="4" w:space="0"/>
              <w:left w:val="single" w:color="auto" w:sz="4" w:space="0"/>
              <w:bottom w:val="single" w:color="auto" w:sz="4" w:space="0"/>
              <w:right w:val="single" w:color="auto" w:sz="4" w:space="0"/>
            </w:tcBorders>
            <w:vAlign w:val="center"/>
          </w:tcPr>
          <w:p w14:paraId="65AA8B36">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内容、要求</w:t>
            </w:r>
          </w:p>
        </w:tc>
      </w:tr>
      <w:tr w14:paraId="0C923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434" w:type="pct"/>
            <w:tcBorders>
              <w:top w:val="single" w:color="auto" w:sz="4" w:space="0"/>
              <w:left w:val="single" w:color="auto" w:sz="4" w:space="0"/>
              <w:bottom w:val="single" w:color="auto" w:sz="4" w:space="0"/>
              <w:right w:val="single" w:color="auto" w:sz="4" w:space="0"/>
            </w:tcBorders>
            <w:vAlign w:val="center"/>
          </w:tcPr>
          <w:p w14:paraId="5A58D891">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w:t>
            </w:r>
          </w:p>
        </w:tc>
        <w:tc>
          <w:tcPr>
            <w:tcW w:w="4566" w:type="pct"/>
            <w:tcBorders>
              <w:top w:val="single" w:color="auto" w:sz="4" w:space="0"/>
              <w:left w:val="single" w:color="auto" w:sz="4" w:space="0"/>
              <w:bottom w:val="single" w:color="auto" w:sz="4" w:space="0"/>
              <w:right w:val="single" w:color="auto" w:sz="4" w:space="0"/>
            </w:tcBorders>
            <w:vAlign w:val="center"/>
          </w:tcPr>
          <w:p w14:paraId="70E8BBC3">
            <w:pPr>
              <w:snapToGrid w:val="0"/>
              <w:spacing w:line="440" w:lineRule="exact"/>
              <w:ind w:right="42" w:rightChars="20"/>
              <w:jc w:val="left"/>
              <w:rPr>
                <w:rFonts w:hint="eastAsia" w:cs="微软雅黑" w:asciiTheme="minorEastAsia" w:hAnsiTheme="minorEastAsia" w:eastAsiaTheme="minorEastAsia"/>
                <w:color w:val="000000" w:themeColor="text1"/>
                <w:szCs w:val="21"/>
                <w:lang w:eastAsia="zh-CN"/>
              </w:rPr>
            </w:pPr>
            <w:r>
              <w:rPr>
                <w:rFonts w:hint="eastAsia" w:cs="微软雅黑" w:asciiTheme="minorEastAsia" w:hAnsiTheme="minorEastAsia" w:eastAsiaTheme="minorEastAsia"/>
                <w:color w:val="000000" w:themeColor="text1"/>
                <w:szCs w:val="21"/>
              </w:rPr>
              <w:t>项目名称：</w:t>
            </w:r>
            <w:r>
              <w:rPr>
                <w:rFonts w:hint="eastAsia" w:cs="微软雅黑" w:asciiTheme="minorEastAsia" w:hAnsiTheme="minorEastAsia" w:eastAsiaTheme="minorEastAsia"/>
                <w:b/>
                <w:color w:val="000000" w:themeColor="text1"/>
                <w:szCs w:val="21"/>
                <w:lang w:eastAsia="zh-CN"/>
              </w:rPr>
              <w:t>秀洲区2025年水文测站标准化运行管理及维护项目</w:t>
            </w:r>
          </w:p>
        </w:tc>
      </w:tr>
      <w:tr w14:paraId="6D930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434" w:type="pct"/>
            <w:tcBorders>
              <w:top w:val="single" w:color="auto" w:sz="4" w:space="0"/>
              <w:left w:val="single" w:color="auto" w:sz="4" w:space="0"/>
              <w:bottom w:val="single" w:color="auto" w:sz="4" w:space="0"/>
              <w:right w:val="single" w:color="auto" w:sz="4" w:space="0"/>
            </w:tcBorders>
            <w:vAlign w:val="center"/>
          </w:tcPr>
          <w:p w14:paraId="161C59A0">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2</w:t>
            </w:r>
          </w:p>
        </w:tc>
        <w:tc>
          <w:tcPr>
            <w:tcW w:w="4566" w:type="pct"/>
            <w:tcBorders>
              <w:top w:val="single" w:color="auto" w:sz="4" w:space="0"/>
              <w:left w:val="single" w:color="auto" w:sz="4" w:space="0"/>
              <w:bottom w:val="single" w:color="auto" w:sz="4" w:space="0"/>
              <w:right w:val="single" w:color="auto" w:sz="4" w:space="0"/>
            </w:tcBorders>
            <w:vAlign w:val="center"/>
          </w:tcPr>
          <w:p w14:paraId="6FB98D27">
            <w:pPr>
              <w:snapToGrid w:val="0"/>
              <w:spacing w:line="440" w:lineRule="exact"/>
              <w:ind w:right="42" w:rightChars="20"/>
              <w:jc w:val="left"/>
              <w:rPr>
                <w:rFonts w:hint="eastAsia" w:cs="微软雅黑" w:asciiTheme="minorEastAsia" w:hAnsiTheme="minorEastAsia" w:eastAsiaTheme="minorEastAsia"/>
                <w:color w:val="000000" w:themeColor="text1"/>
                <w:szCs w:val="21"/>
                <w:lang w:eastAsia="zh-CN"/>
              </w:rPr>
            </w:pPr>
            <w:r>
              <w:rPr>
                <w:rFonts w:hint="eastAsia" w:cs="微软雅黑" w:asciiTheme="minorEastAsia" w:hAnsiTheme="minorEastAsia" w:eastAsiaTheme="minorEastAsia"/>
                <w:color w:val="000000" w:themeColor="text1"/>
                <w:szCs w:val="21"/>
              </w:rPr>
              <w:t>招标编号：</w:t>
            </w:r>
            <w:r>
              <w:rPr>
                <w:rFonts w:hint="eastAsia" w:cs="微软雅黑" w:asciiTheme="minorEastAsia" w:hAnsiTheme="minorEastAsia" w:eastAsiaTheme="minorEastAsia"/>
                <w:color w:val="000000" w:themeColor="text1"/>
                <w:szCs w:val="21"/>
                <w:lang w:eastAsia="zh-CN"/>
              </w:rPr>
              <w:t>浙勋代理嘉【2025】003号</w:t>
            </w:r>
          </w:p>
        </w:tc>
      </w:tr>
      <w:tr w14:paraId="7F5F7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434" w:type="pct"/>
            <w:tcBorders>
              <w:top w:val="single" w:color="auto" w:sz="4" w:space="0"/>
              <w:left w:val="single" w:color="auto" w:sz="4" w:space="0"/>
              <w:bottom w:val="single" w:color="auto" w:sz="4" w:space="0"/>
              <w:right w:val="single" w:color="auto" w:sz="4" w:space="0"/>
            </w:tcBorders>
            <w:vAlign w:val="center"/>
          </w:tcPr>
          <w:p w14:paraId="0B1AC681">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3</w:t>
            </w:r>
          </w:p>
        </w:tc>
        <w:tc>
          <w:tcPr>
            <w:tcW w:w="4566" w:type="pct"/>
            <w:tcBorders>
              <w:top w:val="single" w:color="auto" w:sz="4" w:space="0"/>
              <w:left w:val="single" w:color="auto" w:sz="4" w:space="0"/>
              <w:bottom w:val="single" w:color="auto" w:sz="4" w:space="0"/>
              <w:right w:val="single" w:color="auto" w:sz="4" w:space="0"/>
            </w:tcBorders>
            <w:vAlign w:val="center"/>
          </w:tcPr>
          <w:p w14:paraId="30547EBC">
            <w:pPr>
              <w:snapToGrid w:val="0"/>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投标报价及费用：1、本项目投标应以人民币报价；2、不论投标结果如何，投标人均应自行承担所有与投标有关的全部费用。</w:t>
            </w:r>
          </w:p>
        </w:tc>
      </w:tr>
      <w:tr w14:paraId="6AA27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434" w:type="pct"/>
            <w:tcBorders>
              <w:top w:val="single" w:color="auto" w:sz="4" w:space="0"/>
              <w:left w:val="single" w:color="auto" w:sz="4" w:space="0"/>
              <w:bottom w:val="single" w:color="auto" w:sz="4" w:space="0"/>
              <w:right w:val="single" w:color="auto" w:sz="4" w:space="0"/>
            </w:tcBorders>
            <w:vAlign w:val="center"/>
          </w:tcPr>
          <w:p w14:paraId="47D3C938">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4</w:t>
            </w:r>
          </w:p>
        </w:tc>
        <w:tc>
          <w:tcPr>
            <w:tcW w:w="4566" w:type="pct"/>
            <w:tcBorders>
              <w:top w:val="single" w:color="auto" w:sz="4" w:space="0"/>
              <w:left w:val="single" w:color="auto" w:sz="4" w:space="0"/>
              <w:bottom w:val="single" w:color="auto" w:sz="4" w:space="0"/>
              <w:right w:val="single" w:color="auto" w:sz="4" w:space="0"/>
            </w:tcBorders>
            <w:vAlign w:val="center"/>
          </w:tcPr>
          <w:p w14:paraId="494F32A2">
            <w:pPr>
              <w:snapToGrid w:val="0"/>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▲预算金额：</w:t>
            </w:r>
            <w:r>
              <w:rPr>
                <w:rFonts w:hint="eastAsia" w:cs="微软雅黑" w:asciiTheme="minorEastAsia" w:hAnsiTheme="minorEastAsia" w:eastAsiaTheme="minorEastAsia"/>
                <w:b/>
                <w:color w:val="000000" w:themeColor="text1"/>
                <w:szCs w:val="21"/>
              </w:rPr>
              <w:t>人民币</w:t>
            </w:r>
            <w:r>
              <w:rPr>
                <w:rFonts w:hint="eastAsia" w:cs="微软雅黑" w:asciiTheme="minorEastAsia" w:hAnsiTheme="minorEastAsia" w:eastAsiaTheme="minorEastAsia"/>
                <w:b/>
                <w:color w:val="000000" w:themeColor="text1"/>
                <w:szCs w:val="21"/>
                <w:lang w:val="en-US" w:eastAsia="zh-CN"/>
              </w:rPr>
              <w:t>68</w:t>
            </w:r>
            <w:r>
              <w:rPr>
                <w:rFonts w:hint="eastAsia" w:cs="微软雅黑" w:asciiTheme="minorEastAsia" w:hAnsiTheme="minorEastAsia" w:eastAsiaTheme="minorEastAsia"/>
                <w:b/>
                <w:color w:val="000000" w:themeColor="text1"/>
                <w:szCs w:val="21"/>
              </w:rPr>
              <w:t>万元，</w:t>
            </w:r>
            <w:r>
              <w:rPr>
                <w:rFonts w:hint="eastAsia" w:cs="宋体" w:asciiTheme="minorEastAsia" w:hAnsiTheme="minorEastAsia" w:eastAsiaTheme="minorEastAsia"/>
                <w:b/>
                <w:color w:val="000000" w:themeColor="text1"/>
                <w:szCs w:val="21"/>
              </w:rPr>
              <w:t>高于预算金额其投标文件作无效标处理。</w:t>
            </w:r>
          </w:p>
        </w:tc>
      </w:tr>
      <w:tr w14:paraId="79815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434" w:type="pct"/>
            <w:tcBorders>
              <w:top w:val="single" w:color="auto" w:sz="4" w:space="0"/>
              <w:left w:val="single" w:color="auto" w:sz="4" w:space="0"/>
              <w:bottom w:val="single" w:color="auto" w:sz="4" w:space="0"/>
              <w:right w:val="single" w:color="auto" w:sz="4" w:space="0"/>
            </w:tcBorders>
            <w:vAlign w:val="center"/>
          </w:tcPr>
          <w:p w14:paraId="7037B7CD">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5</w:t>
            </w:r>
          </w:p>
        </w:tc>
        <w:tc>
          <w:tcPr>
            <w:tcW w:w="4566" w:type="pct"/>
            <w:tcBorders>
              <w:top w:val="single" w:color="auto" w:sz="4" w:space="0"/>
              <w:left w:val="single" w:color="auto" w:sz="4" w:space="0"/>
              <w:bottom w:val="single" w:color="auto" w:sz="4" w:space="0"/>
              <w:right w:val="single" w:color="auto" w:sz="4" w:space="0"/>
            </w:tcBorders>
            <w:vAlign w:val="center"/>
          </w:tcPr>
          <w:p w14:paraId="227816EE">
            <w:pPr>
              <w:snapToGrid w:val="0"/>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投标保证金：无</w:t>
            </w:r>
          </w:p>
        </w:tc>
      </w:tr>
      <w:tr w14:paraId="34D21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434" w:type="pct"/>
            <w:tcBorders>
              <w:top w:val="single" w:color="auto" w:sz="4" w:space="0"/>
              <w:left w:val="single" w:color="auto" w:sz="4" w:space="0"/>
              <w:bottom w:val="single" w:color="auto" w:sz="4" w:space="0"/>
              <w:right w:val="single" w:color="auto" w:sz="4" w:space="0"/>
            </w:tcBorders>
            <w:vAlign w:val="center"/>
          </w:tcPr>
          <w:p w14:paraId="5E5FE294">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6</w:t>
            </w:r>
          </w:p>
        </w:tc>
        <w:tc>
          <w:tcPr>
            <w:tcW w:w="4566" w:type="pct"/>
            <w:tcBorders>
              <w:top w:val="single" w:color="auto" w:sz="4" w:space="0"/>
              <w:left w:val="single" w:color="auto" w:sz="4" w:space="0"/>
              <w:bottom w:val="single" w:color="auto" w:sz="4" w:space="0"/>
              <w:right w:val="single" w:color="auto" w:sz="4" w:space="0"/>
            </w:tcBorders>
            <w:vAlign w:val="center"/>
          </w:tcPr>
          <w:p w14:paraId="45E29D65">
            <w:pPr>
              <w:snapToGrid w:val="0"/>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现场踏勘：自行踏勘（费用自理）</w:t>
            </w:r>
          </w:p>
        </w:tc>
      </w:tr>
      <w:tr w14:paraId="61EA6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434" w:type="pct"/>
            <w:tcBorders>
              <w:top w:val="single" w:color="auto" w:sz="4" w:space="0"/>
              <w:left w:val="single" w:color="auto" w:sz="4" w:space="0"/>
              <w:bottom w:val="single" w:color="auto" w:sz="4" w:space="0"/>
              <w:right w:val="single" w:color="auto" w:sz="4" w:space="0"/>
            </w:tcBorders>
            <w:vAlign w:val="center"/>
          </w:tcPr>
          <w:p w14:paraId="57AC5F79">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7</w:t>
            </w:r>
          </w:p>
        </w:tc>
        <w:tc>
          <w:tcPr>
            <w:tcW w:w="4566" w:type="pct"/>
            <w:tcBorders>
              <w:top w:val="single" w:color="auto" w:sz="4" w:space="0"/>
              <w:left w:val="single" w:color="auto" w:sz="4" w:space="0"/>
              <w:bottom w:val="single" w:color="auto" w:sz="4" w:space="0"/>
              <w:right w:val="single" w:color="auto" w:sz="4" w:space="0"/>
            </w:tcBorders>
            <w:vAlign w:val="center"/>
          </w:tcPr>
          <w:p w14:paraId="3398147C">
            <w:pPr>
              <w:snapToGrid w:val="0"/>
              <w:spacing w:line="440" w:lineRule="exact"/>
              <w:ind w:right="42" w:rightChars="20"/>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演示及样品：</w:t>
            </w:r>
            <w:r>
              <w:rPr>
                <w:rFonts w:hint="eastAsia" w:ascii="宋体" w:hAnsi="宋体" w:cs="微软雅黑"/>
                <w:color w:val="000000" w:themeColor="text1"/>
                <w:szCs w:val="21"/>
              </w:rPr>
              <w:t>/</w:t>
            </w:r>
          </w:p>
        </w:tc>
      </w:tr>
      <w:tr w14:paraId="6346A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434" w:type="pct"/>
            <w:tcBorders>
              <w:top w:val="single" w:color="auto" w:sz="4" w:space="0"/>
              <w:left w:val="single" w:color="auto" w:sz="4" w:space="0"/>
              <w:bottom w:val="single" w:color="auto" w:sz="4" w:space="0"/>
              <w:right w:val="single" w:color="auto" w:sz="4" w:space="0"/>
            </w:tcBorders>
            <w:vAlign w:val="center"/>
          </w:tcPr>
          <w:p w14:paraId="2FC5D1BE">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8</w:t>
            </w:r>
          </w:p>
        </w:tc>
        <w:tc>
          <w:tcPr>
            <w:tcW w:w="4566" w:type="pct"/>
            <w:tcBorders>
              <w:top w:val="single" w:color="auto" w:sz="4" w:space="0"/>
              <w:left w:val="single" w:color="auto" w:sz="4" w:space="0"/>
              <w:bottom w:val="single" w:color="auto" w:sz="4" w:space="0"/>
              <w:right w:val="single" w:color="auto" w:sz="4" w:space="0"/>
            </w:tcBorders>
            <w:vAlign w:val="center"/>
          </w:tcPr>
          <w:p w14:paraId="2FEDCA1D">
            <w:pPr>
              <w:snapToGrid w:val="0"/>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答疑与澄清：无</w:t>
            </w:r>
          </w:p>
        </w:tc>
      </w:tr>
      <w:tr w14:paraId="5544C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34" w:type="pct"/>
            <w:tcBorders>
              <w:top w:val="single" w:color="auto" w:sz="4" w:space="0"/>
              <w:left w:val="single" w:color="auto" w:sz="4" w:space="0"/>
              <w:bottom w:val="single" w:color="auto" w:sz="4" w:space="0"/>
              <w:right w:val="single" w:color="auto" w:sz="4" w:space="0"/>
            </w:tcBorders>
            <w:vAlign w:val="center"/>
          </w:tcPr>
          <w:p w14:paraId="31FA5756">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9</w:t>
            </w:r>
          </w:p>
        </w:tc>
        <w:tc>
          <w:tcPr>
            <w:tcW w:w="4566" w:type="pct"/>
            <w:tcBorders>
              <w:top w:val="single" w:color="auto" w:sz="4" w:space="0"/>
              <w:left w:val="single" w:color="auto" w:sz="4" w:space="0"/>
              <w:bottom w:val="single" w:color="auto" w:sz="4" w:space="0"/>
              <w:right w:val="single" w:color="auto" w:sz="4" w:space="0"/>
            </w:tcBorders>
            <w:vAlign w:val="center"/>
          </w:tcPr>
          <w:p w14:paraId="76182AA6">
            <w:pPr>
              <w:autoSpaceDE w:val="0"/>
              <w:autoSpaceDN w:val="0"/>
              <w:snapToGrid w:val="0"/>
              <w:spacing w:line="440" w:lineRule="exact"/>
              <w:ind w:right="42" w:rightChars="20"/>
              <w:jc w:val="left"/>
              <w:textAlignment w:val="bottom"/>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投标文件组成：</w:t>
            </w:r>
            <w:r>
              <w:rPr>
                <w:rFonts w:hint="eastAsia" w:cs="微软雅黑" w:asciiTheme="minorEastAsia" w:hAnsiTheme="minorEastAsia" w:eastAsiaTheme="minorEastAsia"/>
                <w:bCs/>
                <w:color w:val="000000" w:themeColor="text1"/>
                <w:szCs w:val="21"/>
              </w:rPr>
              <w:t>完整的《投标文件》由</w:t>
            </w:r>
            <w:r>
              <w:rPr>
                <w:rFonts w:hint="eastAsia" w:cs="微软雅黑" w:asciiTheme="minorEastAsia" w:hAnsiTheme="minorEastAsia" w:eastAsiaTheme="minorEastAsia"/>
                <w:b/>
                <w:color w:val="000000" w:themeColor="text1"/>
                <w:szCs w:val="21"/>
              </w:rPr>
              <w:t>资格投标文件、商务技术文件、报价文件三部分组成</w:t>
            </w:r>
            <w:r>
              <w:rPr>
                <w:rFonts w:hint="eastAsia" w:cs="微软雅黑" w:asciiTheme="minorEastAsia" w:hAnsiTheme="minorEastAsia" w:eastAsiaTheme="minorEastAsia"/>
                <w:bCs/>
                <w:color w:val="000000" w:themeColor="text1"/>
                <w:szCs w:val="21"/>
              </w:rPr>
              <w:t>。</w:t>
            </w:r>
          </w:p>
        </w:tc>
      </w:tr>
      <w:tr w14:paraId="434C8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34" w:type="pct"/>
            <w:tcBorders>
              <w:top w:val="single" w:color="auto" w:sz="4" w:space="0"/>
              <w:left w:val="single" w:color="auto" w:sz="4" w:space="0"/>
              <w:bottom w:val="single" w:color="auto" w:sz="4" w:space="0"/>
              <w:right w:val="single" w:color="auto" w:sz="4" w:space="0"/>
            </w:tcBorders>
            <w:vAlign w:val="center"/>
          </w:tcPr>
          <w:p w14:paraId="3936BDFB">
            <w:pPr>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10</w:t>
            </w:r>
          </w:p>
        </w:tc>
        <w:tc>
          <w:tcPr>
            <w:tcW w:w="4566" w:type="pct"/>
            <w:tcBorders>
              <w:top w:val="single" w:color="auto" w:sz="4" w:space="0"/>
              <w:left w:val="single" w:color="auto" w:sz="4" w:space="0"/>
              <w:bottom w:val="single" w:color="auto" w:sz="4" w:space="0"/>
              <w:right w:val="single" w:color="auto" w:sz="4" w:space="0"/>
            </w:tcBorders>
            <w:vAlign w:val="center"/>
          </w:tcPr>
          <w:p w14:paraId="267C6711">
            <w:pPr>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投标文件的编制：投标人应先安装“政采云电子交易客户端”，并按照本招标文件和“政府采购云平台”的要求，通过“政采云电子交易客户端”编制并加密投标文件。</w:t>
            </w:r>
          </w:p>
        </w:tc>
      </w:tr>
      <w:tr w14:paraId="13738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434" w:type="pct"/>
            <w:tcBorders>
              <w:top w:val="single" w:color="auto" w:sz="4" w:space="0"/>
              <w:left w:val="single" w:color="auto" w:sz="4" w:space="0"/>
              <w:bottom w:val="single" w:color="auto" w:sz="4" w:space="0"/>
              <w:right w:val="single" w:color="auto" w:sz="4" w:space="0"/>
            </w:tcBorders>
            <w:vAlign w:val="center"/>
          </w:tcPr>
          <w:p w14:paraId="1A48FA5D">
            <w:pPr>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11</w:t>
            </w:r>
          </w:p>
        </w:tc>
        <w:tc>
          <w:tcPr>
            <w:tcW w:w="4566" w:type="pct"/>
            <w:tcBorders>
              <w:top w:val="single" w:color="auto" w:sz="4" w:space="0"/>
              <w:left w:val="single" w:color="auto" w:sz="4" w:space="0"/>
              <w:bottom w:val="single" w:color="auto" w:sz="4" w:space="0"/>
              <w:right w:val="single" w:color="auto" w:sz="4" w:space="0"/>
            </w:tcBorders>
            <w:vAlign w:val="center"/>
          </w:tcPr>
          <w:p w14:paraId="189F51EB">
            <w:pPr>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投标文件的签章：电子签章。</w:t>
            </w:r>
          </w:p>
        </w:tc>
      </w:tr>
      <w:tr w14:paraId="7C7F4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34" w:type="pct"/>
            <w:tcBorders>
              <w:top w:val="single" w:color="auto" w:sz="4" w:space="0"/>
              <w:left w:val="single" w:color="auto" w:sz="4" w:space="0"/>
              <w:bottom w:val="single" w:color="auto" w:sz="4" w:space="0"/>
              <w:right w:val="single" w:color="auto" w:sz="4" w:space="0"/>
            </w:tcBorders>
            <w:vAlign w:val="center"/>
          </w:tcPr>
          <w:p w14:paraId="62084BD6">
            <w:pPr>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12</w:t>
            </w:r>
          </w:p>
        </w:tc>
        <w:tc>
          <w:tcPr>
            <w:tcW w:w="4566" w:type="pct"/>
            <w:tcBorders>
              <w:top w:val="single" w:color="auto" w:sz="4" w:space="0"/>
              <w:left w:val="single" w:color="auto" w:sz="4" w:space="0"/>
              <w:bottom w:val="single" w:color="auto" w:sz="4" w:space="0"/>
              <w:right w:val="single" w:color="auto" w:sz="4" w:space="0"/>
            </w:tcBorders>
            <w:vAlign w:val="center"/>
          </w:tcPr>
          <w:p w14:paraId="2323B8C7">
            <w:pPr>
              <w:spacing w:line="440" w:lineRule="exact"/>
              <w:ind w:right="42" w:rightChars="20"/>
              <w:jc w:val="left"/>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color w:val="000000" w:themeColor="text1"/>
                <w:szCs w:val="21"/>
              </w:rPr>
              <w:t>投标文件的形式：</w:t>
            </w:r>
            <w:r>
              <w:rPr>
                <w:rFonts w:hint="eastAsia" w:ascii="MS Mincho" w:hAnsi="MS Mincho" w:eastAsia="MS Mincho" w:cs="MS Mincho"/>
                <w:bCs/>
                <w:color w:val="000000" w:themeColor="text1"/>
                <w:szCs w:val="21"/>
              </w:rPr>
              <w:t>☑</w:t>
            </w:r>
            <w:r>
              <w:rPr>
                <w:rFonts w:hint="eastAsia" w:ascii="宋体" w:hAnsi="宋体" w:cs="宋体"/>
                <w:bCs/>
                <w:color w:val="000000" w:themeColor="text1"/>
                <w:szCs w:val="21"/>
              </w:rPr>
              <w:t>电子投标文件（包括“电子加密投标文件”和“备份投标文件”，在投标文件编制完成后同时生成）；</w:t>
            </w:r>
          </w:p>
          <w:p w14:paraId="51C3EE8E">
            <w:pPr>
              <w:spacing w:line="440" w:lineRule="exact"/>
              <w:ind w:right="42" w:rightChars="20"/>
              <w:jc w:val="left"/>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（1）“电子加密投标文件”是指通过“政采云电子交易客户端”完成投标文件编制后生成并加密的数据电文形式的投标文件。</w:t>
            </w:r>
          </w:p>
          <w:p w14:paraId="40913C77">
            <w:pPr>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bCs/>
                <w:color w:val="000000" w:themeColor="text1"/>
                <w:szCs w:val="21"/>
              </w:rPr>
              <w:t>（2）“备份投标文件”是指与“电子加密投标文件”同时生成的数据电文形式的电子文件（备份标书），其他方式编制的备份投标文件视为无效备份投标文件。</w:t>
            </w:r>
          </w:p>
        </w:tc>
      </w:tr>
      <w:tr w14:paraId="2BCB9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34" w:type="pct"/>
            <w:tcBorders>
              <w:top w:val="single" w:color="auto" w:sz="4" w:space="0"/>
              <w:left w:val="single" w:color="auto" w:sz="4" w:space="0"/>
              <w:bottom w:val="single" w:color="auto" w:sz="4" w:space="0"/>
              <w:right w:val="single" w:color="auto" w:sz="4" w:space="0"/>
            </w:tcBorders>
            <w:vAlign w:val="center"/>
          </w:tcPr>
          <w:p w14:paraId="41D7AC1B">
            <w:pPr>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13</w:t>
            </w:r>
          </w:p>
        </w:tc>
        <w:tc>
          <w:tcPr>
            <w:tcW w:w="4566" w:type="pct"/>
            <w:tcBorders>
              <w:top w:val="single" w:color="auto" w:sz="4" w:space="0"/>
              <w:left w:val="single" w:color="auto" w:sz="4" w:space="0"/>
              <w:bottom w:val="single" w:color="auto" w:sz="4" w:space="0"/>
              <w:right w:val="single" w:color="auto" w:sz="4" w:space="0"/>
            </w:tcBorders>
            <w:vAlign w:val="center"/>
          </w:tcPr>
          <w:p w14:paraId="44CB9A3C">
            <w:pPr>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投标文件份数：</w:t>
            </w:r>
            <w:r>
              <w:rPr>
                <w:rFonts w:hint="eastAsia" w:cs="微软雅黑" w:asciiTheme="minorEastAsia" w:hAnsiTheme="minorEastAsia" w:eastAsiaTheme="minorEastAsia"/>
                <w:bCs/>
                <w:color w:val="000000" w:themeColor="text1"/>
                <w:szCs w:val="21"/>
              </w:rPr>
              <w:t>（1）“电子加密投标文件”：在线上传递交、一份。（2）“备份投标文件”：密封包装后（邮寄形式）投标截止时间前递交一份（邮寄地址：</w:t>
            </w:r>
            <w:r>
              <w:rPr>
                <w:rFonts w:hint="eastAsia" w:cs="微软雅黑" w:asciiTheme="minorEastAsia" w:hAnsiTheme="minorEastAsia" w:eastAsiaTheme="minorEastAsia"/>
                <w:bCs/>
                <w:color w:val="000000" w:themeColor="text1"/>
                <w:szCs w:val="21"/>
                <w:lang w:eastAsia="zh-CN"/>
              </w:rPr>
              <w:t>嘉兴市东升东路299号东升大楼5楼509室</w:t>
            </w:r>
            <w:r>
              <w:rPr>
                <w:rFonts w:hint="eastAsia" w:cs="微软雅黑" w:asciiTheme="minorEastAsia" w:hAnsiTheme="minorEastAsia" w:eastAsiaTheme="minorEastAsia"/>
                <w:bCs/>
                <w:color w:val="000000" w:themeColor="text1"/>
                <w:szCs w:val="21"/>
              </w:rPr>
              <w:t>（</w:t>
            </w:r>
            <w:r>
              <w:rPr>
                <w:rFonts w:hint="eastAsia" w:cs="微软雅黑" w:asciiTheme="minorEastAsia" w:hAnsiTheme="minorEastAsia" w:eastAsiaTheme="minorEastAsia"/>
                <w:bCs/>
                <w:color w:val="000000" w:themeColor="text1"/>
                <w:szCs w:val="21"/>
                <w:lang w:eastAsia="zh-CN"/>
              </w:rPr>
              <w:t>吴英</w:t>
            </w:r>
            <w:r>
              <w:rPr>
                <w:rFonts w:hint="eastAsia" w:cs="微软雅黑" w:asciiTheme="minorEastAsia" w:hAnsiTheme="minorEastAsia" w:eastAsiaTheme="minorEastAsia"/>
                <w:bCs/>
                <w:color w:val="000000" w:themeColor="text1"/>
                <w:szCs w:val="21"/>
              </w:rPr>
              <w:t xml:space="preserve">  电话：</w:t>
            </w:r>
            <w:r>
              <w:rPr>
                <w:rFonts w:hint="eastAsia" w:cs="微软雅黑" w:asciiTheme="minorEastAsia" w:hAnsiTheme="minorEastAsia" w:eastAsiaTheme="minorEastAsia"/>
                <w:bCs/>
                <w:color w:val="000000" w:themeColor="text1"/>
                <w:szCs w:val="21"/>
                <w:lang w:eastAsia="zh-CN"/>
              </w:rPr>
              <w:t>13516833153</w:t>
            </w:r>
            <w:r>
              <w:rPr>
                <w:rFonts w:hint="eastAsia" w:cs="微软雅黑" w:asciiTheme="minorEastAsia" w:hAnsiTheme="minorEastAsia" w:eastAsiaTheme="minorEastAsia"/>
                <w:bCs/>
                <w:color w:val="000000" w:themeColor="text1"/>
                <w:szCs w:val="21"/>
              </w:rPr>
              <w:t>）。</w:t>
            </w:r>
          </w:p>
        </w:tc>
      </w:tr>
      <w:tr w14:paraId="6D192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34" w:type="pct"/>
            <w:tcBorders>
              <w:top w:val="single" w:color="auto" w:sz="4" w:space="0"/>
              <w:left w:val="single" w:color="auto" w:sz="4" w:space="0"/>
              <w:bottom w:val="single" w:color="auto" w:sz="4" w:space="0"/>
              <w:right w:val="single" w:color="auto" w:sz="4" w:space="0"/>
            </w:tcBorders>
            <w:vAlign w:val="center"/>
          </w:tcPr>
          <w:p w14:paraId="4F82CCAE">
            <w:pPr>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14</w:t>
            </w:r>
          </w:p>
        </w:tc>
        <w:tc>
          <w:tcPr>
            <w:tcW w:w="4566" w:type="pct"/>
            <w:tcBorders>
              <w:top w:val="single" w:color="auto" w:sz="4" w:space="0"/>
              <w:left w:val="single" w:color="auto" w:sz="4" w:space="0"/>
              <w:bottom w:val="single" w:color="auto" w:sz="4" w:space="0"/>
              <w:right w:val="single" w:color="auto" w:sz="4" w:space="0"/>
            </w:tcBorders>
            <w:vAlign w:val="center"/>
          </w:tcPr>
          <w:p w14:paraId="5114CEAB">
            <w:pPr>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投标文件的上传和递交：</w:t>
            </w:r>
          </w:p>
          <w:p w14:paraId="1FECCBA3">
            <w:pPr>
              <w:spacing w:line="440" w:lineRule="exact"/>
              <w:ind w:right="42" w:rightChars="20"/>
              <w:jc w:val="left"/>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（1）“电子加密投标文件”的上传、递交：</w:t>
            </w:r>
          </w:p>
          <w:p w14:paraId="2B2905FC">
            <w:pPr>
              <w:spacing w:line="440" w:lineRule="exact"/>
              <w:ind w:right="42" w:rightChars="20" w:firstLine="420" w:firstLineChars="200"/>
              <w:jc w:val="left"/>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a.投标人应在投标截止时间前将“电子加密投标文件”成功上传递交至“政府采购云平台”，否则投标无效。</w:t>
            </w:r>
          </w:p>
          <w:p w14:paraId="2BE8171D">
            <w:pPr>
              <w:spacing w:line="440" w:lineRule="exact"/>
              <w:ind w:right="42" w:rightChars="20" w:firstLine="420" w:firstLineChars="200"/>
              <w:jc w:val="left"/>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b.“电子加密投标文件”成功上传递交后，投标人可自行打印投标文件接收回执。</w:t>
            </w:r>
          </w:p>
          <w:p w14:paraId="642FEF30">
            <w:pPr>
              <w:spacing w:line="440" w:lineRule="exact"/>
              <w:ind w:right="42" w:rightChars="20"/>
              <w:jc w:val="left"/>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（2）“备份投标文件”的密封包装、递交：</w:t>
            </w:r>
          </w:p>
          <w:p w14:paraId="2B7641F5">
            <w:pPr>
              <w:spacing w:line="440" w:lineRule="exact"/>
              <w:ind w:right="42" w:rightChars="20" w:firstLine="420" w:firstLineChars="200"/>
              <w:jc w:val="left"/>
              <w:rPr>
                <w:rFonts w:cs="微软雅黑" w:asciiTheme="minorEastAsia" w:hAnsiTheme="minorEastAsia" w:eastAsiaTheme="minorEastAsia"/>
                <w:bCs/>
                <w:color w:val="000000" w:themeColor="text1"/>
                <w:szCs w:val="21"/>
              </w:rPr>
            </w:pPr>
            <w:r>
              <w:rPr>
                <w:rFonts w:hint="eastAsia" w:cs="微软雅黑" w:asciiTheme="minorEastAsia" w:hAnsiTheme="minorEastAsia" w:eastAsiaTheme="minorEastAsia"/>
                <w:bCs/>
                <w:color w:val="000000" w:themeColor="text1"/>
                <w:szCs w:val="21"/>
              </w:rPr>
              <w:t>a.投标人在“政府采购云平台”完成“电子加密投标文件”的上传递交后，还可以（邮寄形式）在投标截止时间前递交以介质（U盘）存储的 “备份投标文件”（一份）；</w:t>
            </w:r>
          </w:p>
          <w:p w14:paraId="32555FBC">
            <w:pPr>
              <w:spacing w:line="440" w:lineRule="exact"/>
              <w:ind w:right="42" w:rightChars="20" w:firstLine="422" w:firstLineChars="200"/>
              <w:jc w:val="left"/>
              <w:rPr>
                <w:rFonts w:cs="微软雅黑" w:asciiTheme="minorEastAsia" w:hAnsiTheme="minorEastAsia" w:eastAsiaTheme="minorEastAsia"/>
                <w:b/>
                <w:bCs/>
                <w:color w:val="000000" w:themeColor="text1"/>
                <w:szCs w:val="21"/>
              </w:rPr>
            </w:pPr>
            <w:r>
              <w:rPr>
                <w:rFonts w:hint="eastAsia" w:cs="微软雅黑" w:asciiTheme="minorEastAsia" w:hAnsiTheme="minorEastAsia" w:eastAsiaTheme="minorEastAsia"/>
                <w:b/>
                <w:bCs/>
                <w:color w:val="000000" w:themeColor="text1"/>
                <w:szCs w:val="21"/>
              </w:rPr>
              <w:t>b.“备份投标文件”应当密封包装，并在包装上标注投标项目名称、投标单位名称并加盖公章。没有密封包装或者逾期邮寄送达至上述邮寄地点的“备份投标文件”将不予接收；（非强制递交）</w:t>
            </w:r>
          </w:p>
          <w:p w14:paraId="5614B13B">
            <w:pPr>
              <w:spacing w:line="440" w:lineRule="exact"/>
              <w:ind w:right="42" w:rightChars="20" w:firstLine="420" w:firstLineChars="20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bCs/>
                <w:color w:val="000000" w:themeColor="text1"/>
                <w:szCs w:val="21"/>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2E1DB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34" w:type="pct"/>
            <w:tcBorders>
              <w:top w:val="single" w:color="auto" w:sz="4" w:space="0"/>
              <w:left w:val="single" w:color="auto" w:sz="4" w:space="0"/>
              <w:bottom w:val="single" w:color="auto" w:sz="4" w:space="0"/>
              <w:right w:val="single" w:color="auto" w:sz="4" w:space="0"/>
            </w:tcBorders>
            <w:vAlign w:val="center"/>
          </w:tcPr>
          <w:p w14:paraId="0184BE8B">
            <w:pPr>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15</w:t>
            </w:r>
          </w:p>
        </w:tc>
        <w:tc>
          <w:tcPr>
            <w:tcW w:w="4566" w:type="pct"/>
            <w:tcBorders>
              <w:top w:val="single" w:color="auto" w:sz="4" w:space="0"/>
              <w:left w:val="single" w:color="auto" w:sz="4" w:space="0"/>
              <w:bottom w:val="single" w:color="auto" w:sz="4" w:space="0"/>
              <w:right w:val="single" w:color="auto" w:sz="4" w:space="0"/>
            </w:tcBorders>
            <w:vAlign w:val="center"/>
          </w:tcPr>
          <w:p w14:paraId="625CBF4F">
            <w:pPr>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电子加密投标文件的解密和异常情况处理：</w:t>
            </w:r>
          </w:p>
          <w:p w14:paraId="56708357">
            <w:pPr>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（1）开标后，采购组织机构将向各投标人发出“电子加密投标文件”的解密通知，各投标人代表应当在接到解密通知后30分钟内自行完成“电子加密投标文件”的在线解密。</w:t>
            </w:r>
          </w:p>
          <w:p w14:paraId="66893B4A">
            <w:pPr>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127C5F3">
            <w:pPr>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（3）投标截止时间前，投标人仅递交了“备份投标文件”而未将电子加密投标文件上传至“政府采购云平台”的，投标无效。</w:t>
            </w:r>
          </w:p>
        </w:tc>
      </w:tr>
      <w:tr w14:paraId="7FDFD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34" w:type="pct"/>
            <w:tcBorders>
              <w:top w:val="single" w:color="auto" w:sz="4" w:space="0"/>
              <w:left w:val="single" w:color="auto" w:sz="4" w:space="0"/>
              <w:bottom w:val="single" w:color="auto" w:sz="4" w:space="0"/>
              <w:right w:val="single" w:color="auto" w:sz="4" w:space="0"/>
            </w:tcBorders>
            <w:vAlign w:val="center"/>
          </w:tcPr>
          <w:p w14:paraId="1A3721F2">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16</w:t>
            </w:r>
          </w:p>
        </w:tc>
        <w:tc>
          <w:tcPr>
            <w:tcW w:w="4566" w:type="pct"/>
            <w:tcBorders>
              <w:top w:val="single" w:color="auto" w:sz="4" w:space="0"/>
              <w:left w:val="single" w:color="auto" w:sz="4" w:space="0"/>
              <w:bottom w:val="single" w:color="auto" w:sz="4" w:space="0"/>
              <w:right w:val="single" w:color="auto" w:sz="4" w:space="0"/>
            </w:tcBorders>
            <w:vAlign w:val="center"/>
          </w:tcPr>
          <w:p w14:paraId="78A465A0">
            <w:pPr>
              <w:snapToGrid w:val="0"/>
              <w:spacing w:line="440" w:lineRule="exact"/>
              <w:ind w:right="42" w:rightChars="20"/>
              <w:jc w:val="left"/>
              <w:rPr>
                <w:rFonts w:cs="微软雅黑" w:asciiTheme="minorEastAsia" w:hAnsiTheme="minorEastAsia" w:eastAsiaTheme="minorEastAsia"/>
                <w:color w:val="0000FF"/>
                <w:szCs w:val="21"/>
              </w:rPr>
            </w:pPr>
            <w:r>
              <w:rPr>
                <w:rFonts w:hint="eastAsia" w:cs="微软雅黑" w:asciiTheme="minorEastAsia" w:hAnsiTheme="minorEastAsia" w:eastAsiaTheme="minorEastAsia"/>
                <w:color w:val="000000" w:themeColor="text1"/>
                <w:szCs w:val="21"/>
              </w:rPr>
              <w:t>投标截止时间及地点：</w:t>
            </w:r>
            <w:r>
              <w:rPr>
                <w:rFonts w:hint="eastAsia" w:cs="微软雅黑" w:asciiTheme="minorEastAsia" w:hAnsiTheme="minorEastAsia" w:eastAsiaTheme="minorEastAsia"/>
                <w:color w:val="000000" w:themeColor="text1"/>
                <w:szCs w:val="21"/>
                <w:lang w:eastAsia="zh-CN"/>
              </w:rPr>
              <w:t>2025年03月05日</w:t>
            </w:r>
            <w:r>
              <w:rPr>
                <w:rFonts w:hint="eastAsia" w:cs="微软雅黑" w:asciiTheme="minorEastAsia" w:hAnsiTheme="minorEastAsia" w:eastAsiaTheme="minorEastAsia"/>
                <w:color w:val="000000" w:themeColor="text1"/>
                <w:szCs w:val="21"/>
              </w:rPr>
              <w:t>14时30分</w:t>
            </w:r>
          </w:p>
          <w:p w14:paraId="1B5A71AB">
            <w:pPr>
              <w:snapToGrid w:val="0"/>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kern w:val="0"/>
                <w:szCs w:val="21"/>
              </w:rPr>
              <w:t xml:space="preserve">                     政采云线上投标</w:t>
            </w:r>
          </w:p>
        </w:tc>
      </w:tr>
      <w:tr w14:paraId="37ACA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434" w:type="pct"/>
            <w:tcBorders>
              <w:top w:val="single" w:color="auto" w:sz="4" w:space="0"/>
              <w:left w:val="single" w:color="auto" w:sz="4" w:space="0"/>
              <w:bottom w:val="single" w:color="auto" w:sz="4" w:space="0"/>
              <w:right w:val="single" w:color="auto" w:sz="4" w:space="0"/>
            </w:tcBorders>
            <w:vAlign w:val="center"/>
          </w:tcPr>
          <w:p w14:paraId="74756D65">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17</w:t>
            </w:r>
          </w:p>
        </w:tc>
        <w:tc>
          <w:tcPr>
            <w:tcW w:w="4566" w:type="pct"/>
            <w:tcBorders>
              <w:top w:val="single" w:color="auto" w:sz="4" w:space="0"/>
              <w:left w:val="single" w:color="auto" w:sz="4" w:space="0"/>
              <w:bottom w:val="single" w:color="auto" w:sz="4" w:space="0"/>
              <w:right w:val="single" w:color="auto" w:sz="4" w:space="0"/>
            </w:tcBorders>
            <w:vAlign w:val="center"/>
          </w:tcPr>
          <w:p w14:paraId="79A5EB51">
            <w:pPr>
              <w:snapToGrid w:val="0"/>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开标时间及地点：</w:t>
            </w:r>
            <w:r>
              <w:rPr>
                <w:rFonts w:hint="eastAsia" w:cs="微软雅黑" w:asciiTheme="minorEastAsia" w:hAnsiTheme="minorEastAsia" w:eastAsiaTheme="minorEastAsia"/>
                <w:color w:val="000000" w:themeColor="text1"/>
                <w:szCs w:val="21"/>
                <w:lang w:eastAsia="zh-CN"/>
              </w:rPr>
              <w:t>2025年03月05日</w:t>
            </w:r>
            <w:r>
              <w:rPr>
                <w:rFonts w:hint="eastAsia" w:cs="微软雅黑" w:asciiTheme="minorEastAsia" w:hAnsiTheme="minorEastAsia" w:eastAsiaTheme="minorEastAsia"/>
                <w:color w:val="000000" w:themeColor="text1"/>
                <w:szCs w:val="21"/>
              </w:rPr>
              <w:t>14时30分</w:t>
            </w:r>
          </w:p>
          <w:p w14:paraId="27850964">
            <w:pPr>
              <w:snapToGrid w:val="0"/>
              <w:spacing w:line="440" w:lineRule="exact"/>
              <w:ind w:right="42" w:rightChars="20"/>
              <w:jc w:val="left"/>
              <w:rPr>
                <w:rFonts w:cs="微软雅黑" w:asciiTheme="minorEastAsia" w:hAnsiTheme="minorEastAsia" w:eastAsiaTheme="minorEastAsia"/>
                <w:color w:val="000000" w:themeColor="text1"/>
                <w:szCs w:val="21"/>
              </w:rPr>
            </w:pPr>
            <w:r>
              <w:rPr>
                <w:rFonts w:cs="Arial" w:asciiTheme="minorEastAsia" w:hAnsiTheme="minorEastAsia" w:eastAsiaTheme="minorEastAsia"/>
                <w:color w:val="000000" w:themeColor="text1"/>
                <w:kern w:val="0"/>
                <w:szCs w:val="21"/>
              </w:rPr>
              <w:t>开标地点（</w:t>
            </w:r>
            <w:r>
              <w:rPr>
                <w:rFonts w:hint="eastAsia" w:cs="Arial" w:asciiTheme="minorEastAsia" w:hAnsiTheme="minorEastAsia" w:eastAsiaTheme="minorEastAsia"/>
                <w:color w:val="000000" w:themeColor="text1"/>
                <w:kern w:val="0"/>
                <w:szCs w:val="21"/>
              </w:rPr>
              <w:t>线下</w:t>
            </w:r>
            <w:r>
              <w:rPr>
                <w:rFonts w:cs="Arial" w:asciiTheme="minorEastAsia" w:hAnsiTheme="minorEastAsia" w:eastAsiaTheme="minorEastAsia"/>
                <w:color w:val="000000" w:themeColor="text1"/>
                <w:kern w:val="0"/>
                <w:szCs w:val="21"/>
              </w:rPr>
              <w:t>）：</w:t>
            </w:r>
            <w:r>
              <w:rPr>
                <w:rFonts w:hint="eastAsia" w:cs="Arial" w:asciiTheme="minorEastAsia" w:hAnsiTheme="minorEastAsia" w:eastAsiaTheme="minorEastAsia"/>
                <w:color w:val="000000" w:themeColor="text1"/>
                <w:kern w:val="0"/>
                <w:szCs w:val="21"/>
                <w:lang w:eastAsia="zh-CN"/>
              </w:rPr>
              <w:t>嘉兴市东升东路299号东升大楼5楼5</w:t>
            </w:r>
            <w:r>
              <w:rPr>
                <w:rFonts w:hint="eastAsia" w:cs="Arial" w:asciiTheme="minorEastAsia" w:hAnsiTheme="minorEastAsia" w:eastAsiaTheme="minorEastAsia"/>
                <w:color w:val="000000" w:themeColor="text1"/>
                <w:kern w:val="0"/>
                <w:szCs w:val="21"/>
                <w:lang w:val="en-US" w:eastAsia="zh-CN"/>
              </w:rPr>
              <w:t>10</w:t>
            </w:r>
            <w:r>
              <w:rPr>
                <w:rFonts w:hint="eastAsia" w:cs="Arial" w:asciiTheme="minorEastAsia" w:hAnsiTheme="minorEastAsia" w:eastAsiaTheme="minorEastAsia"/>
                <w:color w:val="000000" w:themeColor="text1"/>
                <w:kern w:val="0"/>
                <w:szCs w:val="21"/>
                <w:lang w:eastAsia="zh-CN"/>
              </w:rPr>
              <w:t>室</w:t>
            </w:r>
          </w:p>
        </w:tc>
      </w:tr>
      <w:tr w14:paraId="34A8E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434" w:type="pct"/>
            <w:tcBorders>
              <w:top w:val="single" w:color="auto" w:sz="4" w:space="0"/>
              <w:left w:val="single" w:color="auto" w:sz="4" w:space="0"/>
              <w:bottom w:val="single" w:color="auto" w:sz="4" w:space="0"/>
              <w:right w:val="single" w:color="auto" w:sz="4" w:space="0"/>
            </w:tcBorders>
            <w:vAlign w:val="center"/>
          </w:tcPr>
          <w:p w14:paraId="015F2175">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18</w:t>
            </w:r>
          </w:p>
        </w:tc>
        <w:tc>
          <w:tcPr>
            <w:tcW w:w="4566" w:type="pct"/>
            <w:tcBorders>
              <w:top w:val="single" w:color="auto" w:sz="4" w:space="0"/>
              <w:left w:val="single" w:color="auto" w:sz="4" w:space="0"/>
              <w:bottom w:val="single" w:color="auto" w:sz="4" w:space="0"/>
              <w:right w:val="single" w:color="auto" w:sz="4" w:space="0"/>
            </w:tcBorders>
            <w:vAlign w:val="center"/>
          </w:tcPr>
          <w:p w14:paraId="1D0EBF37">
            <w:pPr>
              <w:autoSpaceDE w:val="0"/>
              <w:autoSpaceDN w:val="0"/>
              <w:snapToGrid w:val="0"/>
              <w:spacing w:line="440" w:lineRule="exact"/>
              <w:ind w:right="42" w:rightChars="20"/>
              <w:jc w:val="left"/>
              <w:textAlignment w:val="bottom"/>
              <w:rPr>
                <w:rFonts w:cs="微软雅黑" w:asciiTheme="minorEastAsia" w:hAnsiTheme="minorEastAsia" w:eastAsiaTheme="minorEastAsia"/>
                <w:b/>
                <w:color w:val="000000" w:themeColor="text1"/>
                <w:szCs w:val="21"/>
              </w:rPr>
            </w:pPr>
            <w:r>
              <w:rPr>
                <w:rFonts w:hint="eastAsia" w:cs="微软雅黑" w:asciiTheme="minorEastAsia" w:hAnsiTheme="minorEastAsia" w:eastAsiaTheme="minorEastAsia"/>
                <w:color w:val="000000" w:themeColor="text1"/>
                <w:szCs w:val="21"/>
              </w:rPr>
              <w:t>投标费用：</w:t>
            </w:r>
            <w:r>
              <w:rPr>
                <w:rFonts w:hint="eastAsia" w:ascii="宋体" w:hAnsi="宋体"/>
                <w:b/>
                <w:color w:val="000000" w:themeColor="text1"/>
                <w:szCs w:val="21"/>
              </w:rPr>
              <w:t>本项目招标代理费以中标价为收费基数，按《招标代理服务收费管理暂行办法》（计价格[2002]1980号）的60%收取,不足3000元按3000元计，由成交供应商在领取成交通知书时一次性支付给采购代理机构。</w:t>
            </w:r>
          </w:p>
        </w:tc>
      </w:tr>
      <w:tr w14:paraId="393C2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4" w:type="pct"/>
            <w:tcBorders>
              <w:top w:val="single" w:color="auto" w:sz="4" w:space="0"/>
              <w:left w:val="single" w:color="auto" w:sz="4" w:space="0"/>
              <w:bottom w:val="single" w:color="auto" w:sz="4" w:space="0"/>
              <w:right w:val="single" w:color="auto" w:sz="4" w:space="0"/>
            </w:tcBorders>
            <w:vAlign w:val="center"/>
          </w:tcPr>
          <w:p w14:paraId="3833C5AE">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19</w:t>
            </w:r>
          </w:p>
        </w:tc>
        <w:tc>
          <w:tcPr>
            <w:tcW w:w="4566" w:type="pct"/>
            <w:tcBorders>
              <w:top w:val="single" w:color="auto" w:sz="4" w:space="0"/>
              <w:left w:val="single" w:color="auto" w:sz="4" w:space="0"/>
              <w:bottom w:val="single" w:color="auto" w:sz="4" w:space="0"/>
              <w:right w:val="single" w:color="auto" w:sz="4" w:space="0"/>
            </w:tcBorders>
            <w:vAlign w:val="center"/>
          </w:tcPr>
          <w:p w14:paraId="08B2878A">
            <w:pPr>
              <w:autoSpaceDE w:val="0"/>
              <w:autoSpaceDN w:val="0"/>
              <w:snapToGrid w:val="0"/>
              <w:spacing w:line="440" w:lineRule="exact"/>
              <w:ind w:right="42" w:rightChars="20"/>
              <w:jc w:val="left"/>
              <w:textAlignment w:val="bottom"/>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签订合同时间：中标通知书发出后30日内。</w:t>
            </w:r>
          </w:p>
        </w:tc>
      </w:tr>
      <w:tr w14:paraId="45984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trPr>
        <w:tc>
          <w:tcPr>
            <w:tcW w:w="434" w:type="pct"/>
            <w:tcBorders>
              <w:top w:val="single" w:color="auto" w:sz="4" w:space="0"/>
              <w:left w:val="single" w:color="auto" w:sz="4" w:space="0"/>
              <w:bottom w:val="single" w:color="auto" w:sz="4" w:space="0"/>
              <w:right w:val="single" w:color="auto" w:sz="4" w:space="0"/>
            </w:tcBorders>
            <w:vAlign w:val="center"/>
          </w:tcPr>
          <w:p w14:paraId="782F8B13">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20</w:t>
            </w:r>
          </w:p>
        </w:tc>
        <w:tc>
          <w:tcPr>
            <w:tcW w:w="4566" w:type="pct"/>
            <w:tcBorders>
              <w:top w:val="single" w:color="auto" w:sz="4" w:space="0"/>
              <w:left w:val="single" w:color="auto" w:sz="4" w:space="0"/>
              <w:bottom w:val="single" w:color="auto" w:sz="4" w:space="0"/>
              <w:right w:val="single" w:color="auto" w:sz="4" w:space="0"/>
            </w:tcBorders>
            <w:vAlign w:val="center"/>
          </w:tcPr>
          <w:p w14:paraId="6136FE9A">
            <w:pPr>
              <w:autoSpaceDE w:val="0"/>
              <w:autoSpaceDN w:val="0"/>
              <w:snapToGrid w:val="0"/>
              <w:spacing w:line="440" w:lineRule="exact"/>
              <w:ind w:right="42" w:rightChars="20"/>
              <w:jc w:val="left"/>
              <w:textAlignment w:val="bottom"/>
              <w:rPr>
                <w:rFonts w:cs="微软雅黑"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履约保证金的收取及退还：</w:t>
            </w:r>
            <w:r>
              <w:rPr>
                <w:rFonts w:hint="eastAsia" w:ascii="宋体" w:hAnsi="宋体" w:cs="宋体"/>
                <w:color w:val="000000" w:themeColor="text1"/>
                <w:szCs w:val="21"/>
              </w:rPr>
              <w:t>无</w:t>
            </w:r>
          </w:p>
        </w:tc>
      </w:tr>
      <w:tr w14:paraId="4A452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434" w:type="pct"/>
            <w:tcBorders>
              <w:top w:val="single" w:color="auto" w:sz="4" w:space="0"/>
              <w:left w:val="single" w:color="auto" w:sz="4" w:space="0"/>
              <w:bottom w:val="single" w:color="auto" w:sz="4" w:space="0"/>
              <w:right w:val="single" w:color="auto" w:sz="4" w:space="0"/>
            </w:tcBorders>
            <w:vAlign w:val="center"/>
          </w:tcPr>
          <w:p w14:paraId="41F649EA">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21</w:t>
            </w:r>
          </w:p>
        </w:tc>
        <w:tc>
          <w:tcPr>
            <w:tcW w:w="4566" w:type="pct"/>
            <w:tcBorders>
              <w:top w:val="single" w:color="auto" w:sz="4" w:space="0"/>
              <w:left w:val="single" w:color="auto" w:sz="4" w:space="0"/>
              <w:bottom w:val="single" w:color="auto" w:sz="4" w:space="0"/>
              <w:right w:val="single" w:color="auto" w:sz="4" w:space="0"/>
            </w:tcBorders>
            <w:vAlign w:val="center"/>
          </w:tcPr>
          <w:p w14:paraId="7657A6F2">
            <w:pPr>
              <w:snapToGrid w:val="0"/>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投标文件有效期：</w:t>
            </w:r>
            <w:r>
              <w:rPr>
                <w:rFonts w:hint="eastAsia" w:cs="微软雅黑" w:asciiTheme="minorEastAsia" w:hAnsiTheme="minorEastAsia" w:eastAsiaTheme="minorEastAsia"/>
                <w:color w:val="000000" w:themeColor="text1"/>
                <w:szCs w:val="21"/>
                <w:u w:val="single"/>
              </w:rPr>
              <w:t>60</w:t>
            </w:r>
            <w:r>
              <w:rPr>
                <w:rFonts w:hint="eastAsia" w:cs="微软雅黑" w:asciiTheme="minorEastAsia" w:hAnsiTheme="minorEastAsia" w:eastAsiaTheme="minorEastAsia"/>
                <w:color w:val="000000" w:themeColor="text1"/>
                <w:szCs w:val="21"/>
              </w:rPr>
              <w:t>天</w:t>
            </w:r>
          </w:p>
        </w:tc>
      </w:tr>
      <w:tr w14:paraId="03E54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34" w:type="pct"/>
            <w:tcBorders>
              <w:top w:val="single" w:color="auto" w:sz="4" w:space="0"/>
              <w:left w:val="single" w:color="auto" w:sz="4" w:space="0"/>
              <w:bottom w:val="single" w:color="auto" w:sz="4" w:space="0"/>
              <w:right w:val="single" w:color="auto" w:sz="4" w:space="0"/>
            </w:tcBorders>
            <w:vAlign w:val="center"/>
          </w:tcPr>
          <w:p w14:paraId="541A5C11">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22</w:t>
            </w:r>
          </w:p>
        </w:tc>
        <w:tc>
          <w:tcPr>
            <w:tcW w:w="4566" w:type="pct"/>
            <w:tcBorders>
              <w:top w:val="single" w:color="auto" w:sz="4" w:space="0"/>
              <w:left w:val="single" w:color="auto" w:sz="4" w:space="0"/>
              <w:bottom w:val="single" w:color="auto" w:sz="4" w:space="0"/>
              <w:right w:val="single" w:color="auto" w:sz="4" w:space="0"/>
            </w:tcBorders>
            <w:vAlign w:val="center"/>
          </w:tcPr>
          <w:p w14:paraId="53C59DC9">
            <w:pPr>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kern w:val="0"/>
                <w:szCs w:val="21"/>
              </w:rPr>
              <w:t>网上注册：</w:t>
            </w:r>
            <w:r>
              <w:rPr>
                <w:rFonts w:hint="eastAsia" w:cs="微软雅黑" w:asciiTheme="minorEastAsia" w:hAnsiTheme="minorEastAsia" w:eastAsiaTheme="minorEastAsia"/>
                <w:color w:val="000000" w:themeColor="text1"/>
                <w:kern w:val="0"/>
                <w:szCs w:val="21"/>
              </w:rPr>
              <w:br w:type="textWrapping"/>
            </w:r>
            <w:r>
              <w:rPr>
                <w:rFonts w:hint="eastAsia" w:cs="微软雅黑" w:asciiTheme="minorEastAsia" w:hAnsiTheme="minorEastAsia" w:eastAsiaTheme="minorEastAsia"/>
                <w:color w:val="000000" w:themeColor="text1"/>
                <w:kern w:val="0"/>
                <w:szCs w:val="21"/>
              </w:rPr>
              <w:t>本项目不接受现场报名，须注册后进行网上报名。在浙江政府采购网进行投标人注册后完成报名；（详情请见第一章公告报名及招标文件的获取）</w:t>
            </w:r>
          </w:p>
        </w:tc>
      </w:tr>
      <w:tr w14:paraId="1BF6C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434" w:type="pct"/>
            <w:tcBorders>
              <w:top w:val="single" w:color="auto" w:sz="4" w:space="0"/>
              <w:left w:val="single" w:color="auto" w:sz="4" w:space="0"/>
              <w:bottom w:val="single" w:color="auto" w:sz="4" w:space="0"/>
              <w:right w:val="single" w:color="auto" w:sz="4" w:space="0"/>
            </w:tcBorders>
            <w:vAlign w:val="center"/>
          </w:tcPr>
          <w:p w14:paraId="0EE21D11">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23</w:t>
            </w:r>
          </w:p>
        </w:tc>
        <w:tc>
          <w:tcPr>
            <w:tcW w:w="4566" w:type="pct"/>
            <w:tcBorders>
              <w:top w:val="single" w:color="auto" w:sz="4" w:space="0"/>
              <w:left w:val="single" w:color="auto" w:sz="4" w:space="0"/>
              <w:bottom w:val="single" w:color="auto" w:sz="4" w:space="0"/>
              <w:right w:val="single" w:color="auto" w:sz="4" w:space="0"/>
            </w:tcBorders>
            <w:vAlign w:val="center"/>
          </w:tcPr>
          <w:p w14:paraId="2DD3463D">
            <w:pPr>
              <w:autoSpaceDE w:val="0"/>
              <w:autoSpaceDN w:val="0"/>
              <w:snapToGrid w:val="0"/>
              <w:spacing w:line="440" w:lineRule="exact"/>
              <w:ind w:right="42" w:rightChars="20"/>
              <w:textAlignment w:val="bottom"/>
              <w:rPr>
                <w:rFonts w:cs="微软雅黑" w:asciiTheme="minorEastAsia" w:hAnsiTheme="minorEastAsia" w:eastAsiaTheme="minorEastAsia"/>
                <w:color w:val="000000" w:themeColor="text1"/>
                <w:kern w:val="0"/>
                <w:szCs w:val="21"/>
              </w:rPr>
            </w:pPr>
            <w:r>
              <w:rPr>
                <w:rFonts w:hint="eastAsia" w:cs="微软雅黑" w:asciiTheme="minorEastAsia" w:hAnsiTheme="minorEastAsia" w:eastAsiaTheme="minorEastAsia"/>
                <w:color w:val="000000" w:themeColor="text1"/>
                <w:kern w:val="0"/>
                <w:szCs w:val="21"/>
              </w:rPr>
              <w:t>信用记录：符合浙财采监【2013】24号《关于规范政府采购投标人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投标人信用查询网页截图。</w:t>
            </w:r>
          </w:p>
        </w:tc>
      </w:tr>
      <w:tr w14:paraId="01D35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434" w:type="pct"/>
            <w:tcBorders>
              <w:top w:val="single" w:color="auto" w:sz="4" w:space="0"/>
              <w:left w:val="single" w:color="auto" w:sz="4" w:space="0"/>
              <w:bottom w:val="single" w:color="auto" w:sz="4" w:space="0"/>
              <w:right w:val="single" w:color="auto" w:sz="4" w:space="0"/>
            </w:tcBorders>
            <w:vAlign w:val="center"/>
          </w:tcPr>
          <w:p w14:paraId="59900A0A">
            <w:pPr>
              <w:snapToGrid w:val="0"/>
              <w:spacing w:line="440" w:lineRule="exact"/>
              <w:ind w:right="42" w:rightChars="20"/>
              <w:jc w:val="center"/>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24</w:t>
            </w:r>
          </w:p>
        </w:tc>
        <w:tc>
          <w:tcPr>
            <w:tcW w:w="4566" w:type="pct"/>
            <w:tcBorders>
              <w:top w:val="single" w:color="auto" w:sz="4" w:space="0"/>
              <w:left w:val="single" w:color="auto" w:sz="4" w:space="0"/>
              <w:bottom w:val="single" w:color="auto" w:sz="4" w:space="0"/>
              <w:right w:val="single" w:color="auto" w:sz="4" w:space="0"/>
            </w:tcBorders>
            <w:vAlign w:val="center"/>
          </w:tcPr>
          <w:p w14:paraId="3B9A7E95">
            <w:pPr>
              <w:snapToGrid w:val="0"/>
              <w:spacing w:line="440" w:lineRule="exact"/>
              <w:ind w:right="42" w:rightChars="20"/>
              <w:jc w:val="left"/>
              <w:rPr>
                <w:rFonts w:cs="微软雅黑" w:asciiTheme="minorEastAsia" w:hAnsiTheme="minorEastAsia" w:eastAsiaTheme="minorEastAsia"/>
                <w:color w:val="000000" w:themeColor="text1"/>
                <w:szCs w:val="21"/>
              </w:rPr>
            </w:pPr>
            <w:r>
              <w:rPr>
                <w:rFonts w:hint="eastAsia" w:cs="微软雅黑" w:asciiTheme="minorEastAsia" w:hAnsiTheme="minorEastAsia" w:eastAsiaTheme="minorEastAsia"/>
                <w:color w:val="000000" w:themeColor="text1"/>
                <w:szCs w:val="21"/>
              </w:rPr>
              <w:t>解释：本招标文件的解释权属于招标采购单位。</w:t>
            </w:r>
          </w:p>
        </w:tc>
      </w:tr>
    </w:tbl>
    <w:p w14:paraId="7BA87FB1">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41" w:name="_Toc493511580"/>
      <w:bookmarkStart w:id="42" w:name="_Toc177870536"/>
      <w:bookmarkStart w:id="43" w:name="_Toc50012817"/>
    </w:p>
    <w:p w14:paraId="70DFFEFE">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44" w:name="_Toc15929"/>
      <w:bookmarkStart w:id="45" w:name="_Toc2096"/>
    </w:p>
    <w:p w14:paraId="468DB715">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6744AA64">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06C429C3">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6A9DBF26">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0D795881">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3487F3A8">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4AD6E855">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2B09A029">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53FA2C41">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201A67F6">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5F05DE14">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1B77F2A7">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190C6554">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3351B566">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68656126">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36482E2D">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6F681929">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p>
    <w:p w14:paraId="23578AA9">
      <w:pPr>
        <w:rPr>
          <w:rFonts w:hint="eastAsia"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br w:type="page"/>
      </w:r>
    </w:p>
    <w:p w14:paraId="1924F9EE">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一、总  则</w:t>
      </w:r>
      <w:bookmarkEnd w:id="41"/>
      <w:bookmarkEnd w:id="42"/>
      <w:bookmarkEnd w:id="43"/>
      <w:bookmarkEnd w:id="44"/>
      <w:bookmarkEnd w:id="45"/>
    </w:p>
    <w:p w14:paraId="04480BDB">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46" w:name="_Toc177824939"/>
      <w:bookmarkStart w:id="47" w:name="_Toc177825120"/>
      <w:bookmarkStart w:id="48" w:name="_Toc493511581"/>
      <w:bookmarkStart w:id="49" w:name="_Toc8394"/>
      <w:bookmarkStart w:id="50" w:name="_Toc427915759"/>
      <w:bookmarkStart w:id="51" w:name="_Toc50012818"/>
      <w:bookmarkStart w:id="52" w:name="_Toc14165"/>
      <w:bookmarkStart w:id="53" w:name="_Toc177870537"/>
      <w:bookmarkStart w:id="54" w:name="_Toc177824872"/>
      <w:r>
        <w:rPr>
          <w:rFonts w:hint="eastAsia" w:asciiTheme="minorEastAsia" w:hAnsiTheme="minorEastAsia" w:eastAsiaTheme="minorEastAsia"/>
          <w:color w:val="000000" w:themeColor="text1"/>
          <w:szCs w:val="21"/>
        </w:rPr>
        <w:t>1、适用范围</w:t>
      </w:r>
      <w:bookmarkEnd w:id="46"/>
      <w:bookmarkEnd w:id="47"/>
      <w:bookmarkEnd w:id="48"/>
      <w:bookmarkEnd w:id="49"/>
      <w:bookmarkEnd w:id="50"/>
      <w:bookmarkEnd w:id="51"/>
      <w:bookmarkEnd w:id="52"/>
      <w:bookmarkEnd w:id="53"/>
      <w:bookmarkEnd w:id="54"/>
    </w:p>
    <w:p w14:paraId="3A9E7C35">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55" w:name="_Toc30106"/>
      <w:bookmarkStart w:id="56" w:name="_Toc50012819"/>
      <w:bookmarkStart w:id="57" w:name="_Toc26236"/>
      <w:bookmarkStart w:id="58" w:name="_Toc493511582"/>
      <w:r>
        <w:rPr>
          <w:rFonts w:hint="eastAsia" w:asciiTheme="minorEastAsia" w:hAnsiTheme="minorEastAsia" w:eastAsiaTheme="minorEastAsia"/>
          <w:color w:val="000000" w:themeColor="text1"/>
          <w:szCs w:val="21"/>
        </w:rPr>
        <w:t>1.1、本招标文件适用于本次所述项目的招标。</w:t>
      </w:r>
      <w:bookmarkEnd w:id="55"/>
      <w:bookmarkEnd w:id="56"/>
      <w:bookmarkEnd w:id="57"/>
      <w:bookmarkEnd w:id="58"/>
      <w:bookmarkStart w:id="59" w:name="_Toc177824940"/>
      <w:bookmarkStart w:id="60" w:name="_Toc427915760"/>
      <w:bookmarkStart w:id="61" w:name="_Toc177824873"/>
      <w:bookmarkStart w:id="62" w:name="_Toc177870538"/>
      <w:bookmarkStart w:id="63" w:name="_Toc177825121"/>
    </w:p>
    <w:p w14:paraId="760FF087">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64" w:name="_Toc50012820"/>
      <w:bookmarkStart w:id="65" w:name="_Toc29052"/>
      <w:bookmarkStart w:id="66" w:name="_Toc493511583"/>
      <w:bookmarkStart w:id="67" w:name="_Toc9729"/>
      <w:r>
        <w:rPr>
          <w:rFonts w:hint="eastAsia" w:asciiTheme="minorEastAsia" w:hAnsiTheme="minorEastAsia" w:eastAsiaTheme="minorEastAsia"/>
          <w:color w:val="000000" w:themeColor="text1"/>
          <w:szCs w:val="21"/>
        </w:rPr>
        <w:t>2、定义</w:t>
      </w:r>
      <w:bookmarkEnd w:id="59"/>
      <w:bookmarkEnd w:id="60"/>
      <w:bookmarkEnd w:id="61"/>
      <w:bookmarkEnd w:id="62"/>
      <w:bookmarkEnd w:id="63"/>
      <w:bookmarkEnd w:id="64"/>
      <w:bookmarkEnd w:id="65"/>
      <w:bookmarkEnd w:id="66"/>
      <w:bookmarkEnd w:id="67"/>
    </w:p>
    <w:p w14:paraId="77EE33D6">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68" w:name="_Toc19542"/>
      <w:bookmarkStart w:id="69" w:name="_Toc50012821"/>
      <w:bookmarkStart w:id="70" w:name="_Toc493511584"/>
      <w:bookmarkStart w:id="71" w:name="_Toc27441"/>
      <w:r>
        <w:rPr>
          <w:rFonts w:hint="eastAsia" w:asciiTheme="minorEastAsia" w:hAnsiTheme="minorEastAsia" w:eastAsiaTheme="minorEastAsia"/>
          <w:color w:val="000000" w:themeColor="text1"/>
          <w:szCs w:val="21"/>
        </w:rPr>
        <w:t>2.1、“招标人”系指组织本次招标的代理机构或采购人。</w:t>
      </w:r>
      <w:bookmarkEnd w:id="68"/>
      <w:bookmarkEnd w:id="69"/>
      <w:bookmarkEnd w:id="70"/>
      <w:bookmarkEnd w:id="71"/>
    </w:p>
    <w:p w14:paraId="7E2F78D0">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72" w:name="_Toc22525"/>
      <w:bookmarkStart w:id="73" w:name="_Toc50012822"/>
      <w:bookmarkStart w:id="74" w:name="_Toc493511585"/>
      <w:bookmarkStart w:id="75" w:name="_Toc4179"/>
      <w:r>
        <w:rPr>
          <w:rFonts w:hint="eastAsia" w:asciiTheme="minorEastAsia" w:hAnsiTheme="minorEastAsia" w:eastAsiaTheme="minorEastAsia"/>
          <w:color w:val="000000" w:themeColor="text1"/>
          <w:szCs w:val="21"/>
        </w:rPr>
        <w:t>2.2、“投标人”系指向招标方提交投标文件的投标人。</w:t>
      </w:r>
      <w:bookmarkEnd w:id="72"/>
      <w:bookmarkEnd w:id="73"/>
      <w:bookmarkEnd w:id="74"/>
      <w:bookmarkEnd w:id="75"/>
    </w:p>
    <w:p w14:paraId="127942E1">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76" w:name="_Toc774"/>
      <w:bookmarkStart w:id="77" w:name="_Toc2392"/>
      <w:bookmarkStart w:id="78" w:name="_Toc50012823"/>
      <w:bookmarkStart w:id="79" w:name="_Toc493511586"/>
      <w:r>
        <w:rPr>
          <w:rFonts w:hint="eastAsia" w:asciiTheme="minorEastAsia" w:hAnsiTheme="minorEastAsia" w:eastAsiaTheme="minorEastAsia"/>
          <w:color w:val="000000" w:themeColor="text1"/>
          <w:szCs w:val="21"/>
        </w:rPr>
        <w:t>2.3、“产品”系指供方按招标文件规定，须向采购人提供的一切设备、保险、税金、备品备件、工具、手册及其它有关技术资料和材料。</w:t>
      </w:r>
      <w:bookmarkEnd w:id="76"/>
      <w:bookmarkEnd w:id="77"/>
      <w:bookmarkEnd w:id="78"/>
      <w:bookmarkEnd w:id="79"/>
    </w:p>
    <w:p w14:paraId="7F2317BA">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80" w:name="_Toc50012824"/>
      <w:bookmarkStart w:id="81" w:name="_Toc15752"/>
      <w:bookmarkStart w:id="82" w:name="_Toc1043"/>
      <w:bookmarkStart w:id="83" w:name="_Toc493511587"/>
      <w:r>
        <w:rPr>
          <w:rFonts w:hint="eastAsia" w:asciiTheme="minorEastAsia" w:hAnsiTheme="minorEastAsia" w:eastAsiaTheme="minorEastAsia"/>
          <w:color w:val="000000" w:themeColor="text1"/>
          <w:szCs w:val="21"/>
        </w:rPr>
        <w:t>2.4、“服务”系指招标文件规定投标人须承担的安装、调试、技术协助、校准、培训、技术指导以及其他类似的义务。</w:t>
      </w:r>
      <w:bookmarkEnd w:id="80"/>
      <w:bookmarkEnd w:id="81"/>
      <w:bookmarkEnd w:id="82"/>
      <w:bookmarkEnd w:id="83"/>
    </w:p>
    <w:p w14:paraId="4EF7B079">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84" w:name="_Toc14128"/>
      <w:bookmarkStart w:id="85" w:name="_Toc493511588"/>
      <w:bookmarkStart w:id="86" w:name="_Toc50012825"/>
      <w:bookmarkStart w:id="87" w:name="_Toc14499"/>
      <w:r>
        <w:rPr>
          <w:rFonts w:hint="eastAsia" w:asciiTheme="minorEastAsia" w:hAnsiTheme="minorEastAsia" w:eastAsiaTheme="minorEastAsia"/>
          <w:color w:val="000000" w:themeColor="text1"/>
          <w:szCs w:val="21"/>
        </w:rPr>
        <w:t>2.5、“项目”系指投标人按招标文件规定向采购人提供的产品和服务。</w:t>
      </w:r>
      <w:bookmarkEnd w:id="84"/>
      <w:bookmarkEnd w:id="85"/>
      <w:bookmarkEnd w:id="86"/>
      <w:bookmarkEnd w:id="87"/>
    </w:p>
    <w:p w14:paraId="144E2E9C">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88" w:name="_Toc30211"/>
      <w:bookmarkStart w:id="89" w:name="_Toc493511589"/>
      <w:bookmarkStart w:id="90" w:name="_Toc50012826"/>
      <w:bookmarkStart w:id="91" w:name="_Toc28414"/>
      <w:r>
        <w:rPr>
          <w:rFonts w:hint="eastAsia" w:asciiTheme="minorEastAsia" w:hAnsiTheme="minorEastAsia" w:eastAsiaTheme="minorEastAsia"/>
          <w:color w:val="000000" w:themeColor="text1"/>
          <w:szCs w:val="21"/>
        </w:rPr>
        <w:t>2.6、“书面形式”包括信函、传真、电报、电子文档等。</w:t>
      </w:r>
      <w:bookmarkEnd w:id="88"/>
      <w:bookmarkEnd w:id="89"/>
      <w:bookmarkEnd w:id="90"/>
      <w:bookmarkEnd w:id="91"/>
    </w:p>
    <w:p w14:paraId="30AA44EF">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92" w:name="_Toc18649"/>
      <w:bookmarkStart w:id="93" w:name="_Toc493511590"/>
      <w:bookmarkStart w:id="94" w:name="_Toc60"/>
      <w:bookmarkStart w:id="95" w:name="_Toc50012827"/>
      <w:r>
        <w:rPr>
          <w:rFonts w:hint="eastAsia" w:asciiTheme="minorEastAsia" w:hAnsiTheme="minorEastAsia" w:eastAsiaTheme="minorEastAsia"/>
          <w:color w:val="000000" w:themeColor="text1"/>
          <w:szCs w:val="21"/>
        </w:rPr>
        <w:t>2.7、“▲”系指实质性要求条款。</w:t>
      </w:r>
      <w:bookmarkEnd w:id="92"/>
      <w:bookmarkEnd w:id="93"/>
      <w:bookmarkEnd w:id="94"/>
      <w:bookmarkEnd w:id="95"/>
      <w:bookmarkStart w:id="96" w:name="_Toc427915761"/>
      <w:bookmarkStart w:id="97" w:name="_Toc177870539"/>
    </w:p>
    <w:p w14:paraId="54C3D07A">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98" w:name="_Toc24555"/>
      <w:bookmarkStart w:id="99" w:name="_Toc50012828"/>
      <w:bookmarkStart w:id="100" w:name="_Toc10422"/>
      <w:bookmarkStart w:id="101" w:name="_Toc493511591"/>
      <w:r>
        <w:rPr>
          <w:rFonts w:hint="eastAsia" w:asciiTheme="minorEastAsia" w:hAnsiTheme="minorEastAsia" w:eastAsiaTheme="minorEastAsia"/>
          <w:color w:val="000000" w:themeColor="text1"/>
          <w:szCs w:val="21"/>
        </w:rPr>
        <w:t>3、招标方式</w:t>
      </w:r>
      <w:bookmarkEnd w:id="96"/>
      <w:bookmarkEnd w:id="97"/>
      <w:bookmarkEnd w:id="98"/>
      <w:bookmarkEnd w:id="99"/>
      <w:bookmarkEnd w:id="100"/>
      <w:bookmarkEnd w:id="101"/>
    </w:p>
    <w:p w14:paraId="34A7EC63">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02" w:name="_Toc3710"/>
      <w:bookmarkStart w:id="103" w:name="_Toc50012829"/>
      <w:bookmarkStart w:id="104" w:name="_Toc493511592"/>
      <w:bookmarkStart w:id="105" w:name="_Toc21572"/>
      <w:r>
        <w:rPr>
          <w:rFonts w:hint="eastAsia" w:asciiTheme="minorEastAsia" w:hAnsiTheme="minorEastAsia" w:eastAsiaTheme="minorEastAsia"/>
          <w:color w:val="000000" w:themeColor="text1"/>
          <w:szCs w:val="21"/>
        </w:rPr>
        <w:t>3.1、本次招标采用公开招标方式进行。</w:t>
      </w:r>
      <w:bookmarkEnd w:id="102"/>
      <w:bookmarkEnd w:id="103"/>
      <w:bookmarkEnd w:id="104"/>
      <w:bookmarkEnd w:id="105"/>
    </w:p>
    <w:p w14:paraId="55563451">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06" w:name="_Toc32722"/>
      <w:bookmarkStart w:id="107" w:name="_Toc50012830"/>
      <w:bookmarkStart w:id="108" w:name="_Toc30170"/>
      <w:bookmarkStart w:id="109" w:name="_Toc493511593"/>
      <w:r>
        <w:rPr>
          <w:rFonts w:hint="eastAsia" w:asciiTheme="minorEastAsia" w:hAnsiTheme="minorEastAsia" w:eastAsiaTheme="minorEastAsia"/>
          <w:color w:val="000000" w:themeColor="text1"/>
          <w:szCs w:val="21"/>
        </w:rPr>
        <w:t>3.2、本次招标设定上限价为预算价。</w:t>
      </w:r>
      <w:bookmarkEnd w:id="106"/>
      <w:bookmarkEnd w:id="107"/>
      <w:bookmarkEnd w:id="108"/>
      <w:bookmarkEnd w:id="109"/>
      <w:bookmarkStart w:id="110" w:name="_Toc177824874"/>
      <w:bookmarkStart w:id="111" w:name="_Toc177824941"/>
      <w:bookmarkStart w:id="112" w:name="_Toc177870540"/>
      <w:bookmarkStart w:id="113" w:name="_Toc177825122"/>
      <w:bookmarkStart w:id="114" w:name="_Toc427915762"/>
    </w:p>
    <w:p w14:paraId="04F0F0FC">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15" w:name="_Toc493511594"/>
      <w:bookmarkStart w:id="116" w:name="_Toc17118"/>
      <w:bookmarkStart w:id="117" w:name="_Toc50012831"/>
      <w:bookmarkStart w:id="118" w:name="_Toc21323"/>
      <w:r>
        <w:rPr>
          <w:rFonts w:hint="eastAsia" w:asciiTheme="minorEastAsia" w:hAnsiTheme="minorEastAsia" w:eastAsiaTheme="minorEastAsia"/>
          <w:color w:val="000000" w:themeColor="text1"/>
          <w:szCs w:val="21"/>
        </w:rPr>
        <w:t>4、投标委托</w:t>
      </w:r>
      <w:bookmarkEnd w:id="110"/>
      <w:bookmarkEnd w:id="111"/>
      <w:bookmarkEnd w:id="112"/>
      <w:bookmarkEnd w:id="113"/>
      <w:bookmarkEnd w:id="114"/>
      <w:bookmarkEnd w:id="115"/>
      <w:bookmarkEnd w:id="116"/>
      <w:bookmarkEnd w:id="117"/>
      <w:bookmarkEnd w:id="118"/>
    </w:p>
    <w:p w14:paraId="7A7B6579">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19" w:name="_Toc10126"/>
      <w:bookmarkStart w:id="120" w:name="_Toc50012832"/>
      <w:bookmarkStart w:id="121" w:name="_Toc493511595"/>
      <w:bookmarkStart w:id="122" w:name="_Toc18965"/>
      <w:r>
        <w:rPr>
          <w:rFonts w:hint="eastAsia" w:asciiTheme="minorEastAsia" w:hAnsiTheme="minorEastAsia" w:eastAsiaTheme="minorEastAsia"/>
          <w:color w:val="000000" w:themeColor="text1"/>
          <w:szCs w:val="21"/>
        </w:rPr>
        <w:t>如投标人代表不是法定代表人，须有法定代表人出具的授权委托书。（正本用原件，副本可用复印件，格式见第六部分）。</w:t>
      </w:r>
      <w:bookmarkEnd w:id="119"/>
      <w:bookmarkEnd w:id="120"/>
      <w:bookmarkEnd w:id="121"/>
      <w:bookmarkEnd w:id="122"/>
      <w:bookmarkStart w:id="123" w:name="_Toc427915763"/>
      <w:bookmarkStart w:id="124" w:name="_Toc177824875"/>
      <w:bookmarkStart w:id="125" w:name="_Toc177870541"/>
      <w:bookmarkStart w:id="126" w:name="_Toc177825123"/>
      <w:bookmarkStart w:id="127" w:name="_Toc177824942"/>
    </w:p>
    <w:p w14:paraId="7909DC73">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28" w:name="_Toc17162"/>
      <w:bookmarkStart w:id="129" w:name="_Toc493511596"/>
      <w:bookmarkStart w:id="130" w:name="_Toc2927"/>
      <w:bookmarkStart w:id="131" w:name="_Toc50012833"/>
      <w:r>
        <w:rPr>
          <w:rFonts w:hint="eastAsia" w:asciiTheme="minorEastAsia" w:hAnsiTheme="minorEastAsia" w:eastAsiaTheme="minorEastAsia"/>
          <w:color w:val="000000" w:themeColor="text1"/>
          <w:szCs w:val="21"/>
        </w:rPr>
        <w:t>5、投标费用</w:t>
      </w:r>
      <w:bookmarkEnd w:id="123"/>
      <w:bookmarkEnd w:id="124"/>
      <w:bookmarkEnd w:id="125"/>
      <w:bookmarkEnd w:id="126"/>
      <w:bookmarkEnd w:id="127"/>
      <w:bookmarkEnd w:id="128"/>
      <w:bookmarkEnd w:id="129"/>
      <w:bookmarkEnd w:id="130"/>
      <w:bookmarkEnd w:id="131"/>
    </w:p>
    <w:p w14:paraId="28101DC4">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32" w:name="_Toc27978"/>
      <w:bookmarkStart w:id="133" w:name="_Toc493511597"/>
      <w:bookmarkStart w:id="134" w:name="_Toc2682"/>
      <w:bookmarkStart w:id="135" w:name="_Toc50012834"/>
      <w:r>
        <w:rPr>
          <w:rFonts w:hint="eastAsia" w:asciiTheme="minorEastAsia" w:hAnsiTheme="minorEastAsia" w:eastAsiaTheme="minorEastAsia"/>
          <w:color w:val="000000" w:themeColor="text1"/>
          <w:szCs w:val="21"/>
        </w:rPr>
        <w:t>不论投标结果如何，投标人均应自行承担所有与投标有关的全部费用。</w:t>
      </w:r>
      <w:bookmarkEnd w:id="132"/>
      <w:bookmarkEnd w:id="133"/>
      <w:bookmarkEnd w:id="134"/>
      <w:bookmarkEnd w:id="135"/>
    </w:p>
    <w:p w14:paraId="2E98BF97">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36" w:name="_Toc493511598"/>
      <w:bookmarkStart w:id="137" w:name="_Toc26432"/>
      <w:bookmarkStart w:id="138" w:name="_Toc11363"/>
      <w:bookmarkStart w:id="139" w:name="_Toc50012835"/>
      <w:r>
        <w:rPr>
          <w:rFonts w:hint="eastAsia" w:asciiTheme="minorEastAsia" w:hAnsiTheme="minorEastAsia" w:eastAsiaTheme="minorEastAsia"/>
          <w:color w:val="000000" w:themeColor="text1"/>
          <w:szCs w:val="21"/>
        </w:rPr>
        <w:t>6、联合体投标</w:t>
      </w:r>
      <w:bookmarkEnd w:id="136"/>
      <w:bookmarkEnd w:id="137"/>
      <w:bookmarkEnd w:id="138"/>
      <w:bookmarkEnd w:id="139"/>
    </w:p>
    <w:p w14:paraId="2B24EC3F">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40" w:name="_Toc493511599"/>
      <w:bookmarkStart w:id="141" w:name="_Toc32258"/>
      <w:bookmarkStart w:id="142" w:name="_Toc30057"/>
      <w:bookmarkStart w:id="143" w:name="_Toc50012836"/>
      <w:r>
        <w:rPr>
          <w:rFonts w:hint="eastAsia" w:asciiTheme="minorEastAsia" w:hAnsiTheme="minorEastAsia" w:eastAsiaTheme="minorEastAsia"/>
          <w:color w:val="000000" w:themeColor="text1"/>
          <w:szCs w:val="21"/>
        </w:rPr>
        <w:t>本项目不接受联合体投标。</w:t>
      </w:r>
      <w:bookmarkEnd w:id="140"/>
      <w:bookmarkEnd w:id="141"/>
      <w:bookmarkEnd w:id="142"/>
      <w:bookmarkEnd w:id="143"/>
      <w:bookmarkStart w:id="144" w:name="_Toc177870544"/>
    </w:p>
    <w:p w14:paraId="09FEBF61">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145" w:name="_Toc1772"/>
      <w:bookmarkStart w:id="146" w:name="_Toc50012837"/>
      <w:bookmarkStart w:id="147" w:name="_Toc17175"/>
      <w:r>
        <w:rPr>
          <w:rFonts w:hint="eastAsia" w:asciiTheme="minorEastAsia" w:hAnsiTheme="minorEastAsia" w:eastAsiaTheme="minorEastAsia"/>
          <w:b/>
          <w:color w:val="000000" w:themeColor="text1"/>
          <w:szCs w:val="21"/>
        </w:rPr>
        <w:t>7、转包与分包</w:t>
      </w:r>
      <w:bookmarkEnd w:id="145"/>
      <w:bookmarkEnd w:id="146"/>
      <w:bookmarkEnd w:id="147"/>
    </w:p>
    <w:p w14:paraId="70DA3A5E">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48" w:name="_Toc20976"/>
      <w:bookmarkStart w:id="149" w:name="_Toc50012838"/>
      <w:bookmarkStart w:id="150" w:name="_Toc25115"/>
      <w:r>
        <w:rPr>
          <w:rFonts w:hint="eastAsia" w:asciiTheme="minorEastAsia" w:hAnsiTheme="minorEastAsia" w:eastAsiaTheme="minorEastAsia"/>
          <w:color w:val="000000" w:themeColor="text1"/>
          <w:szCs w:val="21"/>
        </w:rPr>
        <w:t>7.1、本项目不允许转包；</w:t>
      </w:r>
      <w:bookmarkEnd w:id="148"/>
      <w:bookmarkEnd w:id="149"/>
      <w:bookmarkEnd w:id="150"/>
    </w:p>
    <w:p w14:paraId="3A54EF8A">
      <w:pPr>
        <w:snapToGrid w:val="0"/>
        <w:spacing w:line="440" w:lineRule="exact"/>
        <w:ind w:right="42" w:rightChars="20" w:firstLine="420" w:firstLineChars="200"/>
        <w:jc w:val="left"/>
        <w:outlineLvl w:val="1"/>
        <w:rPr>
          <w:rFonts w:cs="宋体" w:asciiTheme="minorEastAsia" w:hAnsiTheme="minorEastAsia" w:eastAsiaTheme="minorEastAsia"/>
          <w:color w:val="000000" w:themeColor="text1"/>
          <w:kern w:val="0"/>
          <w:szCs w:val="21"/>
        </w:rPr>
      </w:pPr>
      <w:bookmarkStart w:id="151" w:name="_Toc50012839"/>
      <w:bookmarkStart w:id="152" w:name="_Toc10056"/>
      <w:bookmarkStart w:id="153" w:name="_Toc5717"/>
      <w:r>
        <w:rPr>
          <w:rFonts w:hint="eastAsia" w:cs="宋体" w:asciiTheme="minorEastAsia" w:hAnsiTheme="minorEastAsia" w:eastAsiaTheme="minorEastAsia"/>
          <w:color w:val="000000" w:themeColor="text1"/>
          <w:kern w:val="0"/>
          <w:szCs w:val="21"/>
        </w:rPr>
        <w:t>7.2、</w:t>
      </w:r>
      <w:r>
        <w:rPr>
          <w:rFonts w:hint="eastAsia" w:asciiTheme="minorEastAsia" w:hAnsiTheme="minorEastAsia" w:eastAsiaTheme="minorEastAsia"/>
          <w:color w:val="000000" w:themeColor="text1"/>
          <w:szCs w:val="21"/>
        </w:rPr>
        <w:t>本项目不允许分包</w:t>
      </w:r>
      <w:r>
        <w:rPr>
          <w:rFonts w:hint="eastAsia" w:cs="宋体" w:asciiTheme="minorEastAsia" w:hAnsiTheme="minorEastAsia" w:eastAsiaTheme="minorEastAsia"/>
          <w:color w:val="000000" w:themeColor="text1"/>
          <w:kern w:val="0"/>
          <w:szCs w:val="21"/>
        </w:rPr>
        <w:t>。</w:t>
      </w:r>
      <w:bookmarkEnd w:id="151"/>
      <w:bookmarkEnd w:id="152"/>
      <w:bookmarkEnd w:id="153"/>
      <w:bookmarkStart w:id="154" w:name="_Toc430786267"/>
      <w:bookmarkStart w:id="155" w:name="_Toc177870542"/>
    </w:p>
    <w:p w14:paraId="2E038B72">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156" w:name="_Toc2435"/>
      <w:bookmarkStart w:id="157" w:name="_Toc3333"/>
      <w:bookmarkStart w:id="158" w:name="_Toc50012840"/>
      <w:r>
        <w:rPr>
          <w:rFonts w:hint="eastAsia" w:asciiTheme="minorEastAsia" w:hAnsiTheme="minorEastAsia" w:eastAsiaTheme="minorEastAsia"/>
          <w:b/>
          <w:color w:val="000000" w:themeColor="text1"/>
          <w:szCs w:val="21"/>
        </w:rPr>
        <w:t>8、特别说明：</w:t>
      </w:r>
      <w:bookmarkEnd w:id="154"/>
      <w:bookmarkEnd w:id="155"/>
      <w:bookmarkEnd w:id="156"/>
      <w:bookmarkEnd w:id="157"/>
      <w:bookmarkEnd w:id="158"/>
    </w:p>
    <w:p w14:paraId="7CB64460">
      <w:pPr>
        <w:pStyle w:val="21"/>
        <w:snapToGrid w:val="0"/>
        <w:spacing w:line="440" w:lineRule="exact"/>
        <w:ind w:right="42" w:rightChars="20" w:firstLine="420" w:firstLineChars="200"/>
        <w:jc w:val="left"/>
        <w:rPr>
          <w:rFonts w:asciiTheme="minorEastAsia" w:hAnsiTheme="minorEastAsia" w:eastAsiaTheme="minorEastAsia"/>
          <w:color w:val="000000" w:themeColor="text1"/>
          <w:spacing w:val="0"/>
          <w:sz w:val="21"/>
          <w:szCs w:val="21"/>
        </w:rPr>
      </w:pPr>
      <w:bookmarkStart w:id="159" w:name="_Toc177870543"/>
      <w:bookmarkStart w:id="160" w:name="_Toc495603533"/>
      <w:bookmarkStart w:id="161" w:name="_Toc430786268"/>
      <w:r>
        <w:rPr>
          <w:rFonts w:hint="eastAsia" w:asciiTheme="minorEastAsia" w:hAnsiTheme="minorEastAsia" w:eastAsiaTheme="minorEastAsia"/>
          <w:color w:val="000000" w:themeColor="text1"/>
          <w:spacing w:val="0"/>
          <w:sz w:val="21"/>
          <w:szCs w:val="21"/>
        </w:rPr>
        <w:t>8.1、投标人投标所使用的资格、信誉、荣誉、业绩与企业认证必须为本单位所拥有。投标人投标所使用的采购项目实施人员必须为本单位员工（或必须为本单位法人或控股公司正式员工）。</w:t>
      </w:r>
    </w:p>
    <w:p w14:paraId="225D46AE">
      <w:pPr>
        <w:pStyle w:val="21"/>
        <w:snapToGrid w:val="0"/>
        <w:spacing w:line="440" w:lineRule="exact"/>
        <w:ind w:right="42" w:rightChars="20" w:firstLine="420" w:firstLineChars="200"/>
        <w:jc w:val="left"/>
        <w:rPr>
          <w:rFonts w:asciiTheme="minorEastAsia" w:hAnsiTheme="minorEastAsia" w:eastAsiaTheme="minorEastAsia"/>
          <w:color w:val="000000" w:themeColor="text1"/>
          <w:spacing w:val="0"/>
          <w:sz w:val="21"/>
          <w:szCs w:val="21"/>
        </w:rPr>
      </w:pPr>
      <w:r>
        <w:rPr>
          <w:rFonts w:hint="eastAsia" w:asciiTheme="minorEastAsia" w:hAnsiTheme="minorEastAsia" w:eastAsiaTheme="minorEastAsia"/>
          <w:color w:val="000000" w:themeColor="text1"/>
          <w:spacing w:val="0"/>
          <w:sz w:val="21"/>
          <w:szCs w:val="21"/>
        </w:rPr>
        <w:t>8.2、投标人应仔细阅读招标文件的所有内容，按照招标文件的要求提交投标文件，并对所提供的全部资料的真实性承担法律责任。</w:t>
      </w:r>
    </w:p>
    <w:p w14:paraId="3DB1712B">
      <w:pPr>
        <w:pStyle w:val="21"/>
        <w:snapToGrid w:val="0"/>
        <w:spacing w:line="440" w:lineRule="exact"/>
        <w:ind w:right="42" w:rightChars="20" w:firstLine="420" w:firstLineChars="200"/>
        <w:jc w:val="left"/>
        <w:rPr>
          <w:rFonts w:asciiTheme="minorEastAsia" w:hAnsiTheme="minorEastAsia" w:eastAsiaTheme="minorEastAsia"/>
          <w:color w:val="000000" w:themeColor="text1"/>
          <w:spacing w:val="0"/>
          <w:sz w:val="21"/>
          <w:szCs w:val="21"/>
        </w:rPr>
      </w:pPr>
      <w:r>
        <w:rPr>
          <w:rFonts w:hint="eastAsia" w:asciiTheme="minorEastAsia" w:hAnsiTheme="minorEastAsia" w:eastAsiaTheme="minorEastAsia"/>
          <w:color w:val="000000" w:themeColor="text1"/>
          <w:spacing w:val="0"/>
          <w:sz w:val="21"/>
          <w:szCs w:val="21"/>
        </w:rPr>
        <w:t>8.3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3C8980ED">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162" w:name="_Toc50012841"/>
      <w:bookmarkStart w:id="163" w:name="_Toc7381"/>
      <w:bookmarkStart w:id="164" w:name="_Toc10290"/>
      <w:r>
        <w:rPr>
          <w:rFonts w:hint="eastAsia" w:asciiTheme="minorEastAsia" w:hAnsiTheme="minorEastAsia" w:eastAsiaTheme="minorEastAsia"/>
          <w:b/>
          <w:color w:val="000000" w:themeColor="text1"/>
          <w:szCs w:val="21"/>
        </w:rPr>
        <w:t>9、质疑</w:t>
      </w:r>
      <w:bookmarkEnd w:id="159"/>
      <w:bookmarkEnd w:id="160"/>
      <w:bookmarkEnd w:id="161"/>
      <w:bookmarkEnd w:id="162"/>
      <w:bookmarkEnd w:id="163"/>
      <w:bookmarkEnd w:id="164"/>
    </w:p>
    <w:p w14:paraId="38C76096">
      <w:pPr>
        <w:pStyle w:val="26"/>
        <w:spacing w:line="440" w:lineRule="exact"/>
        <w:ind w:right="42" w:rightChars="20" w:firstLine="420" w:firstLineChars="200"/>
        <w:jc w:val="left"/>
        <w:outlineLvl w:val="1"/>
        <w:rPr>
          <w:rFonts w:asciiTheme="minorEastAsia" w:hAnsiTheme="minorEastAsia" w:eastAsiaTheme="minorEastAsia"/>
          <w:bCs/>
          <w:color w:val="000000" w:themeColor="text1"/>
          <w:szCs w:val="21"/>
        </w:rPr>
      </w:pPr>
      <w:bookmarkStart w:id="165" w:name="_Toc495603534"/>
      <w:bookmarkStart w:id="166" w:name="_Toc1791"/>
      <w:bookmarkStart w:id="167" w:name="_Toc50012842"/>
      <w:bookmarkStart w:id="168" w:name="_Toc14445"/>
      <w:r>
        <w:rPr>
          <w:rFonts w:hint="eastAsia" w:asciiTheme="minorEastAsia" w:hAnsiTheme="minorEastAsia" w:eastAsiaTheme="minorEastAsia"/>
          <w:bCs/>
          <w:color w:val="000000" w:themeColor="text1"/>
          <w:szCs w:val="21"/>
        </w:rPr>
        <w:t>9.</w:t>
      </w:r>
      <w:r>
        <w:rPr>
          <w:rFonts w:asciiTheme="minorEastAsia" w:hAnsiTheme="minorEastAsia" w:eastAsiaTheme="minorEastAsia"/>
          <w:bCs/>
          <w:color w:val="000000" w:themeColor="text1"/>
          <w:szCs w:val="21"/>
        </w:rPr>
        <w:t>1</w:t>
      </w:r>
      <w:r>
        <w:rPr>
          <w:rFonts w:hint="eastAsia" w:asciiTheme="minorEastAsia" w:hAnsiTheme="minorEastAsia" w:eastAsiaTheme="minorEastAsia"/>
          <w:bCs/>
          <w:color w:val="000000" w:themeColor="text1"/>
          <w:szCs w:val="21"/>
        </w:rPr>
        <w:t>、</w:t>
      </w:r>
      <w:bookmarkEnd w:id="165"/>
      <w:bookmarkEnd w:id="166"/>
      <w:bookmarkEnd w:id="167"/>
      <w:bookmarkStart w:id="169" w:name="_Toc495603535"/>
      <w:r>
        <w:rPr>
          <w:rFonts w:hint="eastAsia" w:asciiTheme="minorEastAsia" w:hAnsiTheme="minorEastAsia" w:eastAsiaTheme="minorEastAsia"/>
          <w:bCs/>
          <w:color w:val="000000" w:themeColor="text1"/>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bookmarkEnd w:id="168"/>
    </w:p>
    <w:p w14:paraId="14E0ADAD">
      <w:pPr>
        <w:pStyle w:val="26"/>
        <w:spacing w:line="440" w:lineRule="exact"/>
        <w:ind w:right="42" w:rightChars="20" w:firstLine="420" w:firstLineChars="200"/>
        <w:jc w:val="left"/>
        <w:outlineLvl w:val="1"/>
        <w:rPr>
          <w:rFonts w:asciiTheme="minorEastAsia" w:hAnsiTheme="minorEastAsia" w:eastAsiaTheme="minorEastAsia"/>
          <w:bCs/>
          <w:color w:val="000000" w:themeColor="text1"/>
          <w:szCs w:val="21"/>
        </w:rPr>
      </w:pPr>
      <w:bookmarkStart w:id="170" w:name="_Toc50012843"/>
      <w:bookmarkStart w:id="171" w:name="_Toc23570"/>
      <w:bookmarkStart w:id="172" w:name="_Toc19880"/>
      <w:r>
        <w:rPr>
          <w:rFonts w:hint="eastAsia" w:asciiTheme="minorEastAsia" w:hAnsiTheme="minorEastAsia" w:eastAsiaTheme="minorEastAsia"/>
          <w:bCs/>
          <w:color w:val="000000" w:themeColor="text1"/>
          <w:szCs w:val="21"/>
        </w:rPr>
        <w:t>9.</w:t>
      </w:r>
      <w:r>
        <w:rPr>
          <w:rFonts w:asciiTheme="minorEastAsia" w:hAnsiTheme="minorEastAsia" w:eastAsiaTheme="minorEastAsia"/>
          <w:bCs/>
          <w:color w:val="000000" w:themeColor="text1"/>
          <w:szCs w:val="21"/>
        </w:rPr>
        <w:t>2</w:t>
      </w:r>
      <w:r>
        <w:rPr>
          <w:rFonts w:hint="eastAsia" w:asciiTheme="minorEastAsia" w:hAnsiTheme="minorEastAsia" w:eastAsiaTheme="minorEastAsia"/>
          <w:bCs/>
          <w:color w:val="000000" w:themeColor="text1"/>
          <w:szCs w:val="21"/>
        </w:rPr>
        <w:t>、</w:t>
      </w:r>
      <w:bookmarkEnd w:id="169"/>
      <w:bookmarkEnd w:id="170"/>
      <w:bookmarkEnd w:id="171"/>
      <w:r>
        <w:rPr>
          <w:rFonts w:hint="eastAsia" w:asciiTheme="minorEastAsia" w:hAnsiTheme="minorEastAsia" w:eastAsiaTheme="minorEastAsia"/>
          <w:bCs/>
          <w:color w:val="000000" w:themeColor="text1"/>
          <w:szCs w:val="21"/>
        </w:rPr>
        <w:t>供应商须在法定质疑期内一次性提出针对同一采购程序环节的质疑。</w:t>
      </w:r>
      <w:bookmarkEnd w:id="172"/>
    </w:p>
    <w:p w14:paraId="0428DADE">
      <w:pPr>
        <w:pStyle w:val="26"/>
        <w:spacing w:line="440" w:lineRule="exact"/>
        <w:ind w:right="42" w:rightChars="20" w:firstLine="420" w:firstLineChars="200"/>
        <w:jc w:val="left"/>
        <w:outlineLvl w:val="1"/>
        <w:rPr>
          <w:rFonts w:asciiTheme="minorEastAsia" w:hAnsiTheme="minorEastAsia" w:eastAsiaTheme="minorEastAsia"/>
          <w:bCs/>
          <w:color w:val="000000" w:themeColor="text1"/>
          <w:szCs w:val="21"/>
        </w:rPr>
      </w:pPr>
      <w:bookmarkStart w:id="173" w:name="_Toc15010"/>
      <w:r>
        <w:rPr>
          <w:rFonts w:hint="eastAsia" w:asciiTheme="minorEastAsia" w:hAnsiTheme="minorEastAsia" w:eastAsiaTheme="minorEastAsia"/>
          <w:bCs/>
          <w:color w:val="000000" w:themeColor="text1"/>
          <w:szCs w:val="21"/>
        </w:rPr>
        <w:t>9.3、供应商认为采购代理机构在质疑答复程序中启用的调查和复评等程序，在该程序操作过程未明显违反法律禁止性规定时，不得提出疑义。</w:t>
      </w:r>
      <w:bookmarkEnd w:id="173"/>
    </w:p>
    <w:p w14:paraId="23463BC3">
      <w:pPr>
        <w:pStyle w:val="26"/>
        <w:spacing w:line="440" w:lineRule="exact"/>
        <w:ind w:right="42" w:rightChars="20" w:firstLine="420" w:firstLineChars="200"/>
        <w:jc w:val="left"/>
        <w:outlineLvl w:val="1"/>
        <w:rPr>
          <w:rFonts w:asciiTheme="minorEastAsia" w:hAnsiTheme="minorEastAsia" w:eastAsiaTheme="minorEastAsia"/>
          <w:bCs/>
          <w:color w:val="000000" w:themeColor="text1"/>
          <w:szCs w:val="21"/>
        </w:rPr>
      </w:pPr>
      <w:bookmarkStart w:id="174" w:name="_Toc12903"/>
      <w:r>
        <w:rPr>
          <w:rFonts w:hint="eastAsia" w:asciiTheme="minorEastAsia" w:hAnsiTheme="minorEastAsia" w:eastAsiaTheme="minorEastAsia"/>
          <w:bCs/>
          <w:color w:val="000000" w:themeColor="text1"/>
          <w:szCs w:val="21"/>
        </w:rPr>
        <w:t>9.4、质疑、投诉应当采用书面形式，质疑书、投诉书均应明确阐述招标文件、招标过程或中标结果中使自己合法权益受到损害的实质性内容，提供相关事实、依据和证据及其来源或线索，便于有关单位调查、答复和处理，具体按照《政府采购质疑和投诉办法》（财政部第94号令）执行。</w:t>
      </w:r>
      <w:bookmarkEnd w:id="174"/>
    </w:p>
    <w:p w14:paraId="7666108A">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175" w:name="_Toc493511613"/>
      <w:bookmarkStart w:id="176" w:name="_Toc50012844"/>
      <w:bookmarkStart w:id="177" w:name="_Toc25169"/>
      <w:bookmarkStart w:id="178" w:name="_Toc237"/>
      <w:r>
        <w:rPr>
          <w:rFonts w:hint="eastAsia" w:asciiTheme="minorEastAsia" w:hAnsiTheme="minorEastAsia" w:eastAsiaTheme="minorEastAsia"/>
          <w:b/>
          <w:color w:val="000000" w:themeColor="text1"/>
          <w:szCs w:val="21"/>
        </w:rPr>
        <w:t>二、招标文件</w:t>
      </w:r>
      <w:bookmarkEnd w:id="144"/>
      <w:bookmarkEnd w:id="175"/>
      <w:bookmarkEnd w:id="176"/>
      <w:bookmarkEnd w:id="177"/>
      <w:bookmarkEnd w:id="178"/>
    </w:p>
    <w:p w14:paraId="019BE067">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179" w:name="_Toc16026"/>
      <w:bookmarkStart w:id="180" w:name="_Toc493511614"/>
      <w:bookmarkStart w:id="181" w:name="_Toc50012845"/>
      <w:bookmarkStart w:id="182" w:name="_Toc24077"/>
      <w:r>
        <w:rPr>
          <w:rFonts w:hint="eastAsia" w:asciiTheme="minorEastAsia" w:hAnsiTheme="minorEastAsia" w:eastAsiaTheme="minorEastAsia"/>
          <w:b/>
          <w:color w:val="000000" w:themeColor="text1"/>
          <w:szCs w:val="21"/>
        </w:rPr>
        <w:t>1、招标文件的构成</w:t>
      </w:r>
      <w:bookmarkEnd w:id="179"/>
      <w:bookmarkEnd w:id="180"/>
      <w:bookmarkEnd w:id="181"/>
      <w:bookmarkEnd w:id="182"/>
    </w:p>
    <w:p w14:paraId="3FD3B69A">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83" w:name="_Toc493511615"/>
      <w:bookmarkStart w:id="184" w:name="_Toc7778"/>
      <w:bookmarkStart w:id="185" w:name="_Toc50012846"/>
      <w:bookmarkStart w:id="186" w:name="_Toc28168"/>
      <w:r>
        <w:rPr>
          <w:rFonts w:hint="eastAsia" w:asciiTheme="minorEastAsia" w:hAnsiTheme="minorEastAsia" w:eastAsiaTheme="minorEastAsia"/>
          <w:color w:val="000000" w:themeColor="text1"/>
          <w:szCs w:val="21"/>
        </w:rPr>
        <w:t>1.1、公开招标采购公告</w:t>
      </w:r>
      <w:bookmarkEnd w:id="183"/>
      <w:bookmarkEnd w:id="184"/>
      <w:bookmarkEnd w:id="185"/>
      <w:bookmarkEnd w:id="186"/>
    </w:p>
    <w:p w14:paraId="284B3966">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87" w:name="_Toc7186"/>
      <w:bookmarkStart w:id="188" w:name="_Toc50012847"/>
      <w:bookmarkStart w:id="189" w:name="_Toc948"/>
      <w:bookmarkStart w:id="190" w:name="_Toc493511616"/>
      <w:r>
        <w:rPr>
          <w:rFonts w:hint="eastAsia" w:asciiTheme="minorEastAsia" w:hAnsiTheme="minorEastAsia" w:eastAsiaTheme="minorEastAsia"/>
          <w:color w:val="000000" w:themeColor="text1"/>
          <w:szCs w:val="21"/>
        </w:rPr>
        <w:t>1.2、采购需求</w:t>
      </w:r>
      <w:bookmarkEnd w:id="187"/>
      <w:bookmarkEnd w:id="188"/>
      <w:bookmarkEnd w:id="189"/>
      <w:bookmarkEnd w:id="190"/>
    </w:p>
    <w:p w14:paraId="3F2D34FF">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91" w:name="_Toc6933"/>
      <w:bookmarkStart w:id="192" w:name="_Toc32453"/>
      <w:bookmarkStart w:id="193" w:name="_Toc493511617"/>
      <w:bookmarkStart w:id="194" w:name="_Toc50012848"/>
      <w:r>
        <w:rPr>
          <w:rFonts w:hint="eastAsia" w:asciiTheme="minorEastAsia" w:hAnsiTheme="minorEastAsia" w:eastAsiaTheme="minorEastAsia"/>
          <w:color w:val="000000" w:themeColor="text1"/>
          <w:szCs w:val="21"/>
        </w:rPr>
        <w:t>1.3、投标人须知</w:t>
      </w:r>
      <w:bookmarkEnd w:id="191"/>
      <w:bookmarkEnd w:id="192"/>
      <w:bookmarkEnd w:id="193"/>
      <w:bookmarkEnd w:id="194"/>
    </w:p>
    <w:p w14:paraId="239A8F1A">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95" w:name="_Toc2119"/>
      <w:bookmarkStart w:id="196" w:name="_Toc493511618"/>
      <w:bookmarkStart w:id="197" w:name="_Toc50012849"/>
      <w:bookmarkStart w:id="198" w:name="_Toc29318"/>
      <w:r>
        <w:rPr>
          <w:rFonts w:hint="eastAsia" w:asciiTheme="minorEastAsia" w:hAnsiTheme="minorEastAsia" w:eastAsiaTheme="minorEastAsia"/>
          <w:color w:val="000000" w:themeColor="text1"/>
          <w:szCs w:val="21"/>
        </w:rPr>
        <w:t>1.4、评标办法</w:t>
      </w:r>
      <w:bookmarkEnd w:id="195"/>
      <w:bookmarkEnd w:id="196"/>
      <w:bookmarkEnd w:id="197"/>
      <w:r>
        <w:rPr>
          <w:rFonts w:hint="eastAsia" w:asciiTheme="minorEastAsia" w:hAnsiTheme="minorEastAsia" w:eastAsiaTheme="minorEastAsia"/>
          <w:color w:val="000000" w:themeColor="text1"/>
          <w:szCs w:val="21"/>
        </w:rPr>
        <w:t>及评分标准</w:t>
      </w:r>
      <w:bookmarkEnd w:id="198"/>
    </w:p>
    <w:p w14:paraId="238C23D9">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199" w:name="_Toc50012850"/>
      <w:bookmarkStart w:id="200" w:name="_Toc19120"/>
      <w:bookmarkStart w:id="201" w:name="_Toc23772"/>
      <w:bookmarkStart w:id="202" w:name="_Toc493511619"/>
      <w:r>
        <w:rPr>
          <w:rFonts w:hint="eastAsia" w:asciiTheme="minorEastAsia" w:hAnsiTheme="minorEastAsia" w:eastAsiaTheme="minorEastAsia"/>
          <w:color w:val="000000" w:themeColor="text1"/>
          <w:szCs w:val="21"/>
        </w:rPr>
        <w:t>1.5、政府采购合同</w:t>
      </w:r>
      <w:bookmarkEnd w:id="199"/>
      <w:bookmarkEnd w:id="200"/>
      <w:bookmarkEnd w:id="201"/>
      <w:bookmarkEnd w:id="202"/>
    </w:p>
    <w:p w14:paraId="3F20A17C">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203" w:name="_Toc493511620"/>
      <w:bookmarkStart w:id="204" w:name="_Toc50012851"/>
      <w:bookmarkStart w:id="205" w:name="_Toc12222"/>
      <w:bookmarkStart w:id="206" w:name="_Toc19300"/>
      <w:r>
        <w:rPr>
          <w:rFonts w:hint="eastAsia" w:asciiTheme="minorEastAsia" w:hAnsiTheme="minorEastAsia" w:eastAsiaTheme="minorEastAsia"/>
          <w:color w:val="000000" w:themeColor="text1"/>
          <w:szCs w:val="21"/>
        </w:rPr>
        <w:t>1.6、投标文件相关文件格式</w:t>
      </w:r>
      <w:bookmarkEnd w:id="203"/>
      <w:bookmarkEnd w:id="204"/>
      <w:bookmarkEnd w:id="205"/>
      <w:bookmarkEnd w:id="206"/>
      <w:bookmarkStart w:id="207" w:name="_Toc482363722"/>
    </w:p>
    <w:p w14:paraId="6496CB76">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208" w:name="_Toc6488"/>
      <w:bookmarkStart w:id="209" w:name="_Toc50012852"/>
      <w:bookmarkStart w:id="210" w:name="_Toc493511621"/>
      <w:bookmarkStart w:id="211" w:name="_Toc32687"/>
      <w:r>
        <w:rPr>
          <w:rFonts w:asciiTheme="minorEastAsia" w:hAnsiTheme="minorEastAsia" w:eastAsiaTheme="minorEastAsia"/>
          <w:color w:val="000000" w:themeColor="text1"/>
          <w:szCs w:val="21"/>
        </w:rPr>
        <w:t>1.7、本项目招标文件的澄清、答复、修改、补充的内容（所有内容将以电子文档形式上传于</w:t>
      </w:r>
      <w:r>
        <w:rPr>
          <w:rFonts w:hint="eastAsia" w:asciiTheme="minorEastAsia" w:hAnsiTheme="minorEastAsia" w:eastAsiaTheme="minorEastAsia"/>
          <w:color w:val="000000" w:themeColor="text1"/>
          <w:szCs w:val="21"/>
        </w:rPr>
        <w:t>浙江政府采购网</w:t>
      </w:r>
      <w:r>
        <w:rPr>
          <w:rFonts w:asciiTheme="minorEastAsia" w:hAnsiTheme="minorEastAsia" w:eastAsiaTheme="minorEastAsia"/>
          <w:color w:val="000000" w:themeColor="text1"/>
          <w:szCs w:val="21"/>
        </w:rPr>
        <w:t>网站（https://zfcg.czt.zj.gov.cn/）。澄清、答复、修改、补充的内容均作为招标文件的组成部分，具有约束作用。投标人必须自行下载。）</w:t>
      </w:r>
      <w:bookmarkEnd w:id="207"/>
      <w:bookmarkEnd w:id="208"/>
      <w:bookmarkEnd w:id="209"/>
      <w:bookmarkEnd w:id="210"/>
      <w:bookmarkEnd w:id="211"/>
    </w:p>
    <w:p w14:paraId="663DC896">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212" w:name="_Toc11769"/>
      <w:bookmarkStart w:id="213" w:name="_Toc493511622"/>
      <w:bookmarkStart w:id="214" w:name="_Toc21770"/>
      <w:bookmarkStart w:id="215" w:name="_Toc50012853"/>
      <w:r>
        <w:rPr>
          <w:rFonts w:hint="eastAsia" w:asciiTheme="minorEastAsia" w:hAnsiTheme="minorEastAsia" w:eastAsiaTheme="minorEastAsia"/>
          <w:b/>
          <w:color w:val="000000" w:themeColor="text1"/>
          <w:szCs w:val="21"/>
        </w:rPr>
        <w:t>2、存在的风险</w:t>
      </w:r>
      <w:bookmarkEnd w:id="212"/>
      <w:bookmarkEnd w:id="213"/>
      <w:bookmarkEnd w:id="214"/>
      <w:bookmarkEnd w:id="215"/>
    </w:p>
    <w:p w14:paraId="397B15AE">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216" w:name="_Toc32245"/>
      <w:bookmarkStart w:id="217" w:name="_Toc493511623"/>
      <w:bookmarkStart w:id="218" w:name="_Toc50012854"/>
      <w:bookmarkStart w:id="219" w:name="_Toc21304"/>
      <w:r>
        <w:rPr>
          <w:rFonts w:hint="eastAsia" w:asciiTheme="minorEastAsia" w:hAnsiTheme="minorEastAsia" w:eastAsiaTheme="minorEastAsia"/>
          <w:color w:val="000000" w:themeColor="text1"/>
          <w:szCs w:val="21"/>
        </w:rPr>
        <w:t>投标人没有按照招标文件要求提供全部资料，或者投标人没有对招标文件在各方面作出实质性响应是投标人的风险，并可能导致其投标无效。</w:t>
      </w:r>
      <w:bookmarkEnd w:id="216"/>
      <w:bookmarkEnd w:id="217"/>
      <w:bookmarkEnd w:id="218"/>
      <w:bookmarkEnd w:id="219"/>
    </w:p>
    <w:p w14:paraId="055571DD">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220" w:name="_Toc18736"/>
      <w:bookmarkStart w:id="221" w:name="_Toc50012855"/>
      <w:bookmarkStart w:id="222" w:name="_Toc493511624"/>
      <w:bookmarkStart w:id="223" w:name="_Toc29635"/>
      <w:r>
        <w:rPr>
          <w:rFonts w:hint="eastAsia" w:asciiTheme="minorEastAsia" w:hAnsiTheme="minorEastAsia" w:eastAsiaTheme="minorEastAsia"/>
          <w:b/>
          <w:color w:val="000000" w:themeColor="text1"/>
          <w:szCs w:val="21"/>
        </w:rPr>
        <w:t>3、招标文件的澄清与修改</w:t>
      </w:r>
      <w:bookmarkEnd w:id="220"/>
      <w:bookmarkEnd w:id="221"/>
      <w:bookmarkEnd w:id="222"/>
      <w:bookmarkEnd w:id="223"/>
    </w:p>
    <w:p w14:paraId="71541671">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224" w:name="_Toc493511625"/>
      <w:bookmarkStart w:id="225" w:name="_Toc4790"/>
      <w:bookmarkStart w:id="226" w:name="_Toc50012856"/>
      <w:bookmarkStart w:id="227" w:name="_Toc29755"/>
      <w:r>
        <w:rPr>
          <w:rFonts w:hint="eastAsia" w:asciiTheme="minorEastAsia" w:hAnsiTheme="minorEastAsia" w:eastAsiaTheme="minorEastAsia"/>
          <w:color w:val="000000" w:themeColor="text1"/>
          <w:szCs w:val="21"/>
        </w:rPr>
        <w:t>3.1、</w:t>
      </w:r>
      <w:bookmarkEnd w:id="224"/>
      <w:bookmarkEnd w:id="225"/>
      <w:bookmarkEnd w:id="226"/>
      <w:r>
        <w:rPr>
          <w:rFonts w:hint="eastAsia" w:ascii="宋体" w:hAnsi="宋体" w:cs="宋体"/>
          <w:bCs/>
          <w:szCs w:val="21"/>
        </w:rPr>
        <w:t>供应商应认真阅读本招标文件，发现其中有误或有不合理要求的，可要求招标采购人澄清</w:t>
      </w:r>
      <w:r>
        <w:rPr>
          <w:rFonts w:hint="eastAsia" w:ascii="宋体" w:hAnsi="宋体" w:cs="宋体"/>
          <w:szCs w:val="21"/>
        </w:rPr>
        <w:t>。招标采购人对已发出的招标文件进行必要澄清或者修改的，应当在招标文件要求提交投标文件截止十五日前，在财政部门指定的政府采购信息发布媒体上发布更正公告，并以书面形式通知所有招标文件获取人。</w:t>
      </w:r>
      <w:bookmarkEnd w:id="227"/>
    </w:p>
    <w:p w14:paraId="13670D33">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228" w:name="_Toc493511626"/>
      <w:bookmarkStart w:id="229" w:name="_Toc31984"/>
      <w:bookmarkStart w:id="230" w:name="_Toc50012857"/>
      <w:bookmarkStart w:id="231" w:name="_Toc21435"/>
      <w:r>
        <w:rPr>
          <w:rFonts w:hint="eastAsia" w:asciiTheme="minorEastAsia" w:hAnsiTheme="minorEastAsia" w:eastAsiaTheme="minorEastAsia"/>
          <w:color w:val="000000" w:themeColor="text1"/>
          <w:szCs w:val="21"/>
        </w:rPr>
        <w:t>3.2、</w:t>
      </w:r>
      <w:bookmarkEnd w:id="228"/>
      <w:bookmarkEnd w:id="229"/>
      <w:bookmarkEnd w:id="230"/>
      <w:r>
        <w:rPr>
          <w:rFonts w:hint="eastAsia" w:asciiTheme="minorEastAsia" w:hAnsiTheme="minorEastAsia" w:eastAsiaTheme="minorEastAsia"/>
          <w:color w:val="000000" w:themeColor="text1"/>
          <w:szCs w:val="21"/>
        </w:rPr>
        <w:t>招标文件澄清或者修改的内容为招标文件的组成部分。当招标文件与澄清或者修改就同一内容的表述不一致时，以最后发出的书面文件为准。</w:t>
      </w:r>
      <w:bookmarkEnd w:id="231"/>
    </w:p>
    <w:p w14:paraId="2E6D4815">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232" w:name="_Toc50012858"/>
      <w:bookmarkStart w:id="233" w:name="_Toc20629"/>
      <w:bookmarkStart w:id="234" w:name="_Toc493511627"/>
      <w:bookmarkStart w:id="235" w:name="_Toc15604"/>
      <w:r>
        <w:rPr>
          <w:rFonts w:hint="eastAsia" w:asciiTheme="minorEastAsia" w:hAnsiTheme="minorEastAsia" w:eastAsiaTheme="minorEastAsia"/>
          <w:color w:val="000000" w:themeColor="text1"/>
          <w:szCs w:val="21"/>
        </w:rPr>
        <w:t>3.3、</w:t>
      </w:r>
      <w:bookmarkEnd w:id="232"/>
      <w:bookmarkEnd w:id="233"/>
      <w:bookmarkEnd w:id="234"/>
      <w:r>
        <w:rPr>
          <w:rFonts w:hint="eastAsia" w:asciiTheme="minorEastAsia" w:hAnsiTheme="minorEastAsia" w:eastAsiaTheme="minorEastAsia"/>
          <w:color w:val="000000" w:themeColor="text1"/>
          <w:szCs w:val="21"/>
        </w:rPr>
        <w:t>对招标文件的澄清、答复、修改或补充都应该通过采购代理机构以法定形式发布，采购人非通过本机构，不得擅自澄清、答复、修改或补充招标文件。</w:t>
      </w:r>
      <w:bookmarkEnd w:id="235"/>
    </w:p>
    <w:p w14:paraId="5FD13064">
      <w:pPr>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236" w:name="_Toc8175"/>
      <w:bookmarkStart w:id="237" w:name="_Toc10960"/>
      <w:bookmarkStart w:id="238" w:name="_Toc50012861"/>
      <w:bookmarkStart w:id="239" w:name="_Toc493511630"/>
      <w:bookmarkStart w:id="240" w:name="_Toc177870545"/>
      <w:r>
        <w:rPr>
          <w:rFonts w:hint="eastAsia" w:asciiTheme="minorEastAsia" w:hAnsiTheme="minorEastAsia" w:eastAsiaTheme="minorEastAsia"/>
          <w:b/>
          <w:color w:val="000000" w:themeColor="text1"/>
          <w:szCs w:val="21"/>
        </w:rPr>
        <w:t>三、投标文件的编制</w:t>
      </w:r>
      <w:bookmarkEnd w:id="236"/>
      <w:bookmarkEnd w:id="237"/>
      <w:bookmarkEnd w:id="238"/>
      <w:bookmarkEnd w:id="239"/>
      <w:bookmarkEnd w:id="240"/>
    </w:p>
    <w:p w14:paraId="7B447646">
      <w:pPr>
        <w:pStyle w:val="26"/>
        <w:snapToGrid w:val="0"/>
        <w:spacing w:line="440" w:lineRule="exact"/>
        <w:ind w:right="42" w:rightChars="20" w:firstLine="422" w:firstLineChars="200"/>
        <w:jc w:val="left"/>
        <w:outlineLvl w:val="1"/>
        <w:rPr>
          <w:rFonts w:cs="宋体" w:asciiTheme="minorEastAsia" w:hAnsiTheme="minorEastAsia" w:eastAsiaTheme="minorEastAsia"/>
          <w:b/>
          <w:color w:val="000000" w:themeColor="text1"/>
          <w:szCs w:val="21"/>
        </w:rPr>
      </w:pPr>
      <w:bookmarkStart w:id="241" w:name="_Toc12349"/>
      <w:bookmarkStart w:id="242" w:name="_Toc50012862"/>
      <w:bookmarkStart w:id="243" w:name="_Toc25239"/>
      <w:bookmarkStart w:id="244" w:name="_Toc33535356"/>
      <w:bookmarkStart w:id="245" w:name="_Toc493511643"/>
      <w:bookmarkStart w:id="246" w:name="_Toc177825125"/>
      <w:bookmarkStart w:id="247" w:name="_Toc177824944"/>
      <w:bookmarkStart w:id="248" w:name="_Toc177870547"/>
      <w:bookmarkStart w:id="249" w:name="_Toc177824877"/>
      <w:r>
        <w:rPr>
          <w:rFonts w:hint="eastAsia" w:cs="宋体" w:asciiTheme="minorEastAsia" w:hAnsiTheme="minorEastAsia" w:eastAsiaTheme="minorEastAsia"/>
          <w:b/>
          <w:color w:val="000000" w:themeColor="text1"/>
          <w:szCs w:val="21"/>
        </w:rPr>
        <w:t>本项目所涉投标文件格式请详见第六章，未给出的格式请自拟。资信商务及技术文件中不得出现报价，否则投标文件将被视为无效。</w:t>
      </w:r>
      <w:bookmarkEnd w:id="241"/>
      <w:bookmarkEnd w:id="242"/>
      <w:bookmarkEnd w:id="243"/>
      <w:bookmarkEnd w:id="244"/>
    </w:p>
    <w:p w14:paraId="3D2F0152">
      <w:pPr>
        <w:pStyle w:val="26"/>
        <w:snapToGrid w:val="0"/>
        <w:spacing w:line="440" w:lineRule="exact"/>
        <w:ind w:right="42" w:rightChars="20" w:firstLine="422" w:firstLineChars="200"/>
        <w:jc w:val="left"/>
        <w:outlineLvl w:val="1"/>
        <w:rPr>
          <w:rFonts w:cs="宋体" w:asciiTheme="minorEastAsia" w:hAnsiTheme="minorEastAsia" w:eastAsiaTheme="minorEastAsia"/>
          <w:b/>
          <w:color w:val="000000" w:themeColor="text1"/>
          <w:szCs w:val="21"/>
        </w:rPr>
      </w:pPr>
      <w:bookmarkStart w:id="250" w:name="_Toc33535357"/>
      <w:bookmarkStart w:id="251" w:name="_Toc32094"/>
      <w:bookmarkStart w:id="252" w:name="_Toc50012863"/>
      <w:bookmarkStart w:id="253" w:name="_Toc32243"/>
      <w:r>
        <w:rPr>
          <w:rFonts w:hint="eastAsia" w:cs="宋体" w:asciiTheme="minorEastAsia" w:hAnsiTheme="minorEastAsia" w:eastAsiaTheme="minorEastAsia"/>
          <w:b/>
          <w:color w:val="000000" w:themeColor="text1"/>
          <w:szCs w:val="21"/>
        </w:rPr>
        <w:t>总体要求：</w:t>
      </w:r>
      <w:bookmarkEnd w:id="250"/>
      <w:bookmarkEnd w:id="251"/>
      <w:bookmarkEnd w:id="252"/>
      <w:bookmarkEnd w:id="253"/>
    </w:p>
    <w:p w14:paraId="5CA32164">
      <w:pPr>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1、投标人</w:t>
      </w:r>
      <w:r>
        <w:rPr>
          <w:rFonts w:asciiTheme="minorEastAsia" w:hAnsiTheme="minorEastAsia" w:eastAsiaTheme="minorEastAsia"/>
          <w:color w:val="000000" w:themeColor="text1"/>
          <w:szCs w:val="21"/>
        </w:rPr>
        <w:t>应仔细阅读招标文件的所有内容，按本文件的要求提供投标文件，并保证所提供的全部资料的真实性，以使其投标文件对招标文件作出实质性响应，否则，投标文件可能视为无效投标文件。</w:t>
      </w:r>
    </w:p>
    <w:p w14:paraId="0E079381">
      <w:pPr>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2、投标文件及投标人与采购有关的来往通知，函件和文件均应使用中文。</w:t>
      </w:r>
    </w:p>
    <w:p w14:paraId="07005107">
      <w:pPr>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3、投标人应按本文件中提供的文件格式、内容和要求制作投标文件。</w:t>
      </w:r>
    </w:p>
    <w:p w14:paraId="3C1E95C1">
      <w:pPr>
        <w:spacing w:line="440" w:lineRule="exact"/>
        <w:ind w:right="42" w:rightChars="20" w:firstLine="422" w:firstLineChars="200"/>
        <w:jc w:val="left"/>
        <w:rPr>
          <w:rFonts w:cs="宋体" w:asciiTheme="minorEastAsia" w:hAnsiTheme="minorEastAsia" w:eastAsiaTheme="minorEastAsia"/>
          <w:bCs/>
          <w:color w:val="000000" w:themeColor="text1"/>
          <w:szCs w:val="21"/>
        </w:rPr>
      </w:pPr>
      <w:r>
        <w:rPr>
          <w:rFonts w:hint="eastAsia" w:asciiTheme="minorEastAsia" w:hAnsiTheme="minorEastAsia" w:eastAsiaTheme="minorEastAsia"/>
          <w:b/>
          <w:color w:val="000000" w:themeColor="text1"/>
          <w:szCs w:val="21"/>
        </w:rPr>
        <w:t>4、投标文件的效力：投标文件的启用，按先后顺位分别为电子投标文件、电子</w:t>
      </w:r>
      <w:r>
        <w:rPr>
          <w:rFonts w:hint="eastAsia" w:cs="宋体" w:asciiTheme="minorEastAsia" w:hAnsiTheme="minorEastAsia" w:eastAsiaTheme="minorEastAsia"/>
          <w:b/>
          <w:bCs/>
          <w:color w:val="000000" w:themeColor="text1"/>
          <w:szCs w:val="21"/>
        </w:rPr>
        <w:t>备份投标文件</w:t>
      </w:r>
      <w:r>
        <w:rPr>
          <w:rFonts w:hint="eastAsia" w:asciiTheme="minorEastAsia" w:hAnsiTheme="minorEastAsia" w:eastAsiaTheme="minorEastAsia"/>
          <w:b/>
          <w:color w:val="000000" w:themeColor="text1"/>
          <w:szCs w:val="21"/>
        </w:rPr>
        <w:t>。</w:t>
      </w:r>
      <w:r>
        <w:rPr>
          <w:rFonts w:hint="eastAsia" w:cs="宋体" w:asciiTheme="minorEastAsia" w:hAnsiTheme="minorEastAsia" w:eastAsiaTheme="minorEastAsia"/>
          <w:bCs/>
          <w:color w:val="000000" w:themeColor="text1"/>
          <w:szCs w:val="21"/>
        </w:rPr>
        <w:t>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4B3A4B9">
      <w:pPr>
        <w:snapToGrid w:val="0"/>
        <w:spacing w:line="440" w:lineRule="exact"/>
        <w:ind w:right="42" w:rightChars="20" w:firstLine="422" w:firstLineChars="200"/>
        <w:jc w:val="left"/>
        <w:outlineLvl w:val="0"/>
        <w:rPr>
          <w:rFonts w:asciiTheme="minorEastAsia" w:hAnsiTheme="minorEastAsia" w:eastAsiaTheme="minorEastAsia"/>
          <w:b/>
          <w:color w:val="000000" w:themeColor="text1"/>
          <w:szCs w:val="21"/>
        </w:rPr>
      </w:pPr>
      <w:bookmarkStart w:id="254" w:name="_Toc406402988"/>
      <w:bookmarkStart w:id="255" w:name="_Toc21540"/>
      <w:bookmarkStart w:id="256" w:name="_Toc406402944"/>
      <w:bookmarkStart w:id="257" w:name="_Toc33535358"/>
      <w:bookmarkStart w:id="258" w:name="_Toc50012864"/>
      <w:bookmarkStart w:id="259" w:name="_Toc1053"/>
      <w:r>
        <w:rPr>
          <w:rFonts w:hint="eastAsia" w:asciiTheme="minorEastAsia" w:hAnsiTheme="minorEastAsia" w:eastAsiaTheme="minorEastAsia"/>
          <w:b/>
          <w:color w:val="000000" w:themeColor="text1"/>
          <w:szCs w:val="21"/>
        </w:rPr>
        <w:t>（一）投标文件的组成</w:t>
      </w:r>
      <w:bookmarkEnd w:id="254"/>
      <w:bookmarkEnd w:id="255"/>
      <w:bookmarkEnd w:id="256"/>
      <w:bookmarkEnd w:id="257"/>
      <w:bookmarkEnd w:id="258"/>
      <w:bookmarkEnd w:id="259"/>
    </w:p>
    <w:p w14:paraId="6584AE6B">
      <w:pPr>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包括电子投标文件和电子</w:t>
      </w:r>
      <w:r>
        <w:rPr>
          <w:rFonts w:hint="eastAsia" w:cs="宋体" w:asciiTheme="minorEastAsia" w:hAnsiTheme="minorEastAsia" w:eastAsiaTheme="minorEastAsia"/>
          <w:b/>
          <w:bCs/>
          <w:color w:val="000000" w:themeColor="text1"/>
          <w:szCs w:val="21"/>
        </w:rPr>
        <w:t>备份投标文件（选送）</w:t>
      </w:r>
      <w:r>
        <w:rPr>
          <w:rFonts w:hint="eastAsia" w:asciiTheme="minorEastAsia" w:hAnsiTheme="minorEastAsia" w:eastAsiaTheme="minorEastAsia"/>
          <w:b/>
          <w:color w:val="000000" w:themeColor="text1"/>
          <w:szCs w:val="21"/>
        </w:rPr>
        <w:t>，均由资格投标文件、商务技术文件及投标报价文件三部分组成。其中电子投标文件中所须加盖公章部分均采用CA签章。</w:t>
      </w:r>
    </w:p>
    <w:p w14:paraId="4B481B8B">
      <w:pPr>
        <w:numPr>
          <w:ilvl w:val="0"/>
          <w:numId w:val="2"/>
        </w:numPr>
        <w:snapToGrid w:val="0"/>
        <w:spacing w:line="440" w:lineRule="exact"/>
        <w:ind w:left="0" w:right="42" w:rightChars="20" w:firstLine="422"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资格投标文件：</w:t>
      </w:r>
    </w:p>
    <w:p w14:paraId="5E3C6109">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（1）投标声明书；（格式附后）</w:t>
      </w:r>
    </w:p>
    <w:p w14:paraId="3643709A">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（2）法定代表人授权委托书；磋商代表是法定代表人需提供法定代表人身份证明；（格式附后）</w:t>
      </w:r>
    </w:p>
    <w:p w14:paraId="0BF18BDD">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（3）诚信承诺书；（格式附后）</w:t>
      </w:r>
    </w:p>
    <w:p w14:paraId="72785C77">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（4）具有独立承担民事责任的能力：投标人须在投标文件中出具符合以下情况的证明材料复印件（五选一）：</w:t>
      </w:r>
    </w:p>
    <w:p w14:paraId="6508554F">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①如投标人是企业（包括合伙企业），提供在工商部门注册的有效“企业法人营业执照”或“营业执照”；</w:t>
      </w:r>
    </w:p>
    <w:p w14:paraId="68BE412B">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②如投标人是事业单位，提供有效的“事业单位法人证书”；</w:t>
      </w:r>
    </w:p>
    <w:p w14:paraId="42E22884">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③如投标人是非企业专业服务机构的，提供执业许可证等证明文件；</w:t>
      </w:r>
    </w:p>
    <w:p w14:paraId="78BF0A9E">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④如投标人是个体工商户，提供有效的“个体工商户营业执照”；</w:t>
      </w:r>
    </w:p>
    <w:p w14:paraId="5E659718">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⑤如投标人是自然人，提供有效的自然人身份证明（居民身份证正反面或公安机关出具的临时居民身份证正反面或港澳台胞证或护照）。</w:t>
      </w:r>
    </w:p>
    <w:p w14:paraId="31839349">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6DE4180">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（5）具有良好的商业信誉和健全的财务会计制度；</w:t>
      </w:r>
    </w:p>
    <w:p w14:paraId="0A732F12">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（6）具备履行合同所必需的设备和专业技术能力；</w:t>
      </w:r>
    </w:p>
    <w:p w14:paraId="5C7AA061">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（7）有依法缴纳税收和社会保障资金的良好记录；</w:t>
      </w:r>
    </w:p>
    <w:p w14:paraId="5224BDB0">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（8）参加政府采购活动前三年，在经营活动中没有重大违法记录；</w:t>
      </w:r>
    </w:p>
    <w:p w14:paraId="7500ED3F">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注：上述（5-8项）投标人须在投标文件中出具符合参与政府采购活动资格条件的承诺函（格式见附件）。</w:t>
      </w:r>
    </w:p>
    <w:p w14:paraId="3083D196">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提供自磋商公告发布之日起至投标截止日内任意时间的“信用中国”网站（www.creditchina.gov.cn）、中国政府采购网（www.ccgp.gov.cn）供应商信用查询网页截图。（以开标当日采购人或由采购人委托的评标委员会核实的查询结果为准）；</w:t>
      </w:r>
    </w:p>
    <w:p w14:paraId="1B4573CD">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（10）中小企业声明函、残疾人福利性单位声明函及其他符合政策性的承诺函；</w:t>
      </w:r>
    </w:p>
    <w:p w14:paraId="28715F9E">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（11）供应商需要说明的其他文件和说明（格式略）。</w:t>
      </w:r>
    </w:p>
    <w:p w14:paraId="55F32856">
      <w:pPr>
        <w:spacing w:line="440" w:lineRule="exact"/>
        <w:ind w:right="42" w:rightChars="20" w:firstLine="422"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2、商务技术文件</w:t>
      </w:r>
    </w:p>
    <w:p w14:paraId="321A2E57">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2.1、投标声明书（格式见附件）；</w:t>
      </w:r>
    </w:p>
    <w:p w14:paraId="74863948">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2、类似案例成功的业绩</w:t>
      </w:r>
      <w:r>
        <w:rPr>
          <w:rFonts w:hint="eastAsia" w:asciiTheme="minorEastAsia" w:hAnsiTheme="minorEastAsia" w:eastAsiaTheme="minorEastAsia"/>
          <w:b/>
          <w:color w:val="000000" w:themeColor="text1"/>
          <w:szCs w:val="21"/>
        </w:rPr>
        <w:t>（合同复印件并CA签章）</w:t>
      </w:r>
      <w:r>
        <w:rPr>
          <w:rFonts w:hint="eastAsia" w:asciiTheme="minorEastAsia" w:hAnsiTheme="minorEastAsia" w:eastAsiaTheme="minorEastAsia"/>
          <w:color w:val="000000" w:themeColor="text1"/>
          <w:szCs w:val="21"/>
        </w:rPr>
        <w:t>（格式见附件）；</w:t>
      </w:r>
    </w:p>
    <w:p w14:paraId="21083063">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3、与本项目实施相关的投标人各类资质证书、认证证书、许可证等（如信誉荣誉、本地化服务等。</w:t>
      </w:r>
      <w:r>
        <w:rPr>
          <w:rFonts w:hint="eastAsia" w:asciiTheme="minorEastAsia" w:hAnsiTheme="minorEastAsia" w:eastAsiaTheme="minorEastAsia"/>
          <w:b/>
          <w:color w:val="000000" w:themeColor="text1"/>
          <w:szCs w:val="21"/>
        </w:rPr>
        <w:t>提供复印件并CA签章）（如有）</w:t>
      </w:r>
      <w:r>
        <w:rPr>
          <w:rFonts w:hint="eastAsia" w:asciiTheme="minorEastAsia" w:hAnsiTheme="minorEastAsia" w:eastAsiaTheme="minorEastAsia"/>
          <w:bCs/>
          <w:color w:val="000000" w:themeColor="text1"/>
          <w:szCs w:val="21"/>
        </w:rPr>
        <w:t>（格式自拟）</w:t>
      </w:r>
      <w:r>
        <w:rPr>
          <w:rFonts w:hint="eastAsia" w:asciiTheme="minorEastAsia" w:hAnsiTheme="minorEastAsia" w:eastAsiaTheme="minorEastAsia"/>
          <w:color w:val="000000" w:themeColor="text1"/>
          <w:szCs w:val="21"/>
        </w:rPr>
        <w:t>；</w:t>
      </w:r>
    </w:p>
    <w:p w14:paraId="1F50D9CF">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2.4、投标人情况介绍</w:t>
      </w:r>
      <w:r>
        <w:rPr>
          <w:rFonts w:hint="eastAsia" w:asciiTheme="minorEastAsia" w:hAnsiTheme="minorEastAsia" w:eastAsiaTheme="minorEastAsia"/>
          <w:bCs/>
          <w:color w:val="000000" w:themeColor="text1"/>
          <w:szCs w:val="21"/>
        </w:rPr>
        <w:t>（格式自拟）</w:t>
      </w:r>
      <w:r>
        <w:rPr>
          <w:rFonts w:hint="eastAsia" w:asciiTheme="minorEastAsia" w:hAnsiTheme="minorEastAsia" w:eastAsiaTheme="minorEastAsia"/>
          <w:color w:val="000000" w:themeColor="text1"/>
          <w:szCs w:val="21"/>
        </w:rPr>
        <w:t>；</w:t>
      </w:r>
    </w:p>
    <w:p w14:paraId="129C8D3D">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2.5、商务、技术响应表（格式见附件）；</w:t>
      </w:r>
    </w:p>
    <w:p w14:paraId="64AB9F16">
      <w:pPr>
        <w:snapToGrid w:val="0"/>
        <w:spacing w:line="440" w:lineRule="exact"/>
        <w:ind w:right="42" w:rightChars="20" w:firstLine="420" w:firstLineChars="2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2.6、</w:t>
      </w:r>
      <w:r>
        <w:rPr>
          <w:rFonts w:asciiTheme="minorEastAsia" w:hAnsiTheme="minorEastAsia" w:eastAsiaTheme="minorEastAsia"/>
          <w:color w:val="000000" w:themeColor="text1"/>
          <w:szCs w:val="21"/>
        </w:rPr>
        <w:t>项目实施人员</w:t>
      </w:r>
      <w:r>
        <w:rPr>
          <w:rFonts w:hint="eastAsia" w:asciiTheme="minorEastAsia" w:hAnsiTheme="minorEastAsia" w:eastAsiaTheme="minorEastAsia"/>
          <w:color w:val="000000" w:themeColor="text1"/>
          <w:szCs w:val="21"/>
        </w:rPr>
        <w:t>（格式见附件）；</w:t>
      </w:r>
    </w:p>
    <w:p w14:paraId="5CF6FD8D">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2.7、</w:t>
      </w:r>
      <w:r>
        <w:rPr>
          <w:rFonts w:asciiTheme="minorEastAsia" w:hAnsiTheme="minorEastAsia" w:eastAsiaTheme="minorEastAsia"/>
          <w:color w:val="000000" w:themeColor="text1"/>
          <w:szCs w:val="21"/>
        </w:rPr>
        <w:t>对招标项目的理解</w:t>
      </w:r>
      <w:r>
        <w:rPr>
          <w:rFonts w:hint="eastAsia" w:asciiTheme="minorEastAsia" w:hAnsiTheme="minorEastAsia" w:eastAsiaTheme="minorEastAsia"/>
          <w:color w:val="000000" w:themeColor="text1"/>
          <w:szCs w:val="21"/>
        </w:rPr>
        <w:t>（格式自拟）；</w:t>
      </w:r>
    </w:p>
    <w:p w14:paraId="7D2B360F">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2.8、工作的实施方案（格式自拟）；</w:t>
      </w:r>
    </w:p>
    <w:p w14:paraId="3DACD858">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2.9、</w:t>
      </w:r>
      <w:r>
        <w:rPr>
          <w:rFonts w:asciiTheme="minorEastAsia" w:hAnsiTheme="minorEastAsia" w:eastAsiaTheme="minorEastAsia"/>
          <w:color w:val="000000" w:themeColor="text1"/>
          <w:szCs w:val="21"/>
        </w:rPr>
        <w:t>进度安排</w:t>
      </w:r>
      <w:r>
        <w:rPr>
          <w:rFonts w:hint="eastAsia" w:asciiTheme="minorEastAsia" w:hAnsiTheme="minorEastAsia" w:eastAsiaTheme="minorEastAsia"/>
          <w:color w:val="000000" w:themeColor="text1"/>
          <w:szCs w:val="21"/>
        </w:rPr>
        <w:t>、质量</w:t>
      </w:r>
      <w:r>
        <w:rPr>
          <w:rFonts w:asciiTheme="minorEastAsia" w:hAnsiTheme="minorEastAsia" w:eastAsiaTheme="minorEastAsia"/>
          <w:color w:val="000000" w:themeColor="text1"/>
          <w:szCs w:val="21"/>
        </w:rPr>
        <w:t>保障</w:t>
      </w:r>
      <w:r>
        <w:rPr>
          <w:rFonts w:hint="eastAsia" w:asciiTheme="minorEastAsia" w:hAnsiTheme="minorEastAsia" w:eastAsiaTheme="minorEastAsia"/>
          <w:color w:val="000000" w:themeColor="text1"/>
          <w:szCs w:val="21"/>
        </w:rPr>
        <w:t>、服务保障（格式自拟）；</w:t>
      </w:r>
    </w:p>
    <w:p w14:paraId="0F288925">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2.10、拟投入实施设备（格式自拟，包含品牌、型号、功能等）；</w:t>
      </w:r>
    </w:p>
    <w:p w14:paraId="2612BE22">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2.11、</w:t>
      </w:r>
      <w:r>
        <w:rPr>
          <w:rFonts w:asciiTheme="minorEastAsia" w:hAnsiTheme="minorEastAsia" w:eastAsiaTheme="minorEastAsia"/>
          <w:color w:val="000000" w:themeColor="text1"/>
          <w:szCs w:val="21"/>
        </w:rPr>
        <w:t>投标人承诺给予招标人的各种优惠条件，包括售后服务等方面的优惠</w:t>
      </w:r>
      <w:r>
        <w:rPr>
          <w:rFonts w:hint="eastAsia" w:asciiTheme="minorEastAsia" w:hAnsiTheme="minorEastAsia" w:eastAsiaTheme="minorEastAsia"/>
          <w:color w:val="000000" w:themeColor="text1"/>
          <w:szCs w:val="21"/>
        </w:rPr>
        <w:t>（格式自拟）</w:t>
      </w:r>
      <w:r>
        <w:rPr>
          <w:rFonts w:asciiTheme="minorEastAsia" w:hAnsiTheme="minorEastAsia" w:eastAsiaTheme="minorEastAsia"/>
          <w:color w:val="000000" w:themeColor="text1"/>
          <w:szCs w:val="21"/>
        </w:rPr>
        <w:t>；</w:t>
      </w:r>
    </w:p>
    <w:p w14:paraId="13345F5A">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2.12、投标人截止投标时间前三年内的奖惩情况说明</w:t>
      </w:r>
      <w:r>
        <w:rPr>
          <w:rFonts w:asciiTheme="minorEastAsia" w:hAnsiTheme="minorEastAsia" w:eastAsiaTheme="minorEastAsia"/>
          <w:color w:val="000000" w:themeColor="text1"/>
          <w:szCs w:val="21"/>
        </w:rPr>
        <w:t>（格式</w:t>
      </w:r>
      <w:r>
        <w:rPr>
          <w:rFonts w:hint="eastAsia" w:asciiTheme="minorEastAsia" w:hAnsiTheme="minorEastAsia" w:eastAsiaTheme="minorEastAsia"/>
          <w:color w:val="000000" w:themeColor="text1"/>
          <w:szCs w:val="21"/>
        </w:rPr>
        <w:t>自拟</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w:t>
      </w:r>
    </w:p>
    <w:p w14:paraId="21B39082">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2.13、投标单位对本项目的合理化建议和改进措施</w:t>
      </w:r>
      <w:r>
        <w:rPr>
          <w:rFonts w:asciiTheme="minorEastAsia" w:hAnsiTheme="minorEastAsia" w:eastAsiaTheme="minorEastAsia"/>
          <w:color w:val="000000" w:themeColor="text1"/>
          <w:szCs w:val="21"/>
        </w:rPr>
        <w:t>（格式</w:t>
      </w:r>
      <w:r>
        <w:rPr>
          <w:rFonts w:hint="eastAsia" w:asciiTheme="minorEastAsia" w:hAnsiTheme="minorEastAsia" w:eastAsiaTheme="minorEastAsia"/>
          <w:color w:val="000000" w:themeColor="text1"/>
          <w:szCs w:val="21"/>
        </w:rPr>
        <w:t>自拟</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w:t>
      </w:r>
    </w:p>
    <w:p w14:paraId="09136F86">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2.14、廉政承诺书（格式见附件）；</w:t>
      </w:r>
    </w:p>
    <w:p w14:paraId="75514F28">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2.15、</w:t>
      </w:r>
      <w:r>
        <w:rPr>
          <w:rFonts w:asciiTheme="minorEastAsia" w:hAnsiTheme="minorEastAsia" w:eastAsiaTheme="minorEastAsia"/>
          <w:color w:val="000000" w:themeColor="text1"/>
          <w:szCs w:val="21"/>
        </w:rPr>
        <w:t>投标人需要说明的其他文件和说明（格式</w:t>
      </w:r>
      <w:r>
        <w:rPr>
          <w:rFonts w:hint="eastAsia" w:asciiTheme="minorEastAsia" w:hAnsiTheme="minorEastAsia" w:eastAsiaTheme="minorEastAsia"/>
          <w:color w:val="000000" w:themeColor="text1"/>
          <w:szCs w:val="21"/>
        </w:rPr>
        <w:t>自拟</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w:t>
      </w:r>
    </w:p>
    <w:p w14:paraId="34B838F1">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2.16、未尽事宜请各投标人按评分细则制作</w:t>
      </w:r>
      <w:r>
        <w:rPr>
          <w:rFonts w:asciiTheme="minorEastAsia" w:hAnsiTheme="minorEastAsia" w:eastAsiaTheme="minorEastAsia"/>
          <w:color w:val="000000" w:themeColor="text1"/>
          <w:szCs w:val="21"/>
        </w:rPr>
        <w:t>（格式</w:t>
      </w:r>
      <w:r>
        <w:rPr>
          <w:rFonts w:hint="eastAsia" w:asciiTheme="minorEastAsia" w:hAnsiTheme="minorEastAsia" w:eastAsiaTheme="minorEastAsia"/>
          <w:color w:val="000000" w:themeColor="text1"/>
          <w:szCs w:val="21"/>
        </w:rPr>
        <w:t>自拟</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w:t>
      </w:r>
    </w:p>
    <w:p w14:paraId="1E2E9E5F">
      <w:pPr>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3、投标报价文件：</w:t>
      </w:r>
    </w:p>
    <w:p w14:paraId="71A8874E">
      <w:pPr>
        <w:tabs>
          <w:tab w:val="left" w:pos="3870"/>
          <w:tab w:val="left" w:pos="4085"/>
        </w:tabs>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3.1、投标函（格式见附件）；</w:t>
      </w:r>
    </w:p>
    <w:p w14:paraId="3819BD71">
      <w:pPr>
        <w:tabs>
          <w:tab w:val="left" w:pos="3870"/>
          <w:tab w:val="left" w:pos="4085"/>
        </w:tabs>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3.2、开标一览表（格式见附件）；</w:t>
      </w:r>
    </w:p>
    <w:p w14:paraId="6241E418">
      <w:pPr>
        <w:tabs>
          <w:tab w:val="left" w:pos="3870"/>
          <w:tab w:val="left" w:pos="4085"/>
        </w:tabs>
        <w:snapToGrid w:val="0"/>
        <w:spacing w:line="440" w:lineRule="exact"/>
        <w:ind w:right="42" w:rightChars="20" w:firstLine="420" w:firstLineChars="20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3.3、</w:t>
      </w:r>
      <w:r>
        <w:rPr>
          <w:rFonts w:hint="eastAsia" w:asciiTheme="minorEastAsia" w:hAnsiTheme="minorEastAsia" w:eastAsiaTheme="minorEastAsia"/>
          <w:bCs/>
          <w:color w:val="000000" w:themeColor="text1"/>
          <w:szCs w:val="21"/>
        </w:rPr>
        <w:t>分项报价明细表</w:t>
      </w:r>
      <w:r>
        <w:rPr>
          <w:rFonts w:hint="eastAsia" w:asciiTheme="minorEastAsia" w:hAnsiTheme="minorEastAsia" w:eastAsiaTheme="minorEastAsia"/>
          <w:color w:val="000000" w:themeColor="text1"/>
          <w:szCs w:val="21"/>
        </w:rPr>
        <w:t>（格式见附件）</w:t>
      </w:r>
      <w:r>
        <w:rPr>
          <w:rFonts w:hint="eastAsia" w:asciiTheme="minorEastAsia" w:hAnsiTheme="minorEastAsia" w:eastAsiaTheme="minorEastAsia"/>
          <w:bCs/>
          <w:color w:val="000000" w:themeColor="text1"/>
          <w:szCs w:val="21"/>
        </w:rPr>
        <w:t>；</w:t>
      </w:r>
    </w:p>
    <w:p w14:paraId="35D13E12">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3.4、投标人针对报价需要说明的其他文件和说明</w:t>
      </w:r>
      <w:r>
        <w:rPr>
          <w:rFonts w:asciiTheme="minorEastAsia" w:hAnsiTheme="minorEastAsia" w:eastAsiaTheme="minorEastAsia"/>
          <w:color w:val="000000" w:themeColor="text1"/>
          <w:szCs w:val="21"/>
        </w:rPr>
        <w:t>（格式</w:t>
      </w:r>
      <w:r>
        <w:rPr>
          <w:rFonts w:hint="eastAsia" w:asciiTheme="minorEastAsia" w:hAnsiTheme="minorEastAsia" w:eastAsiaTheme="minorEastAsia"/>
          <w:color w:val="000000" w:themeColor="text1"/>
          <w:szCs w:val="21"/>
        </w:rPr>
        <w:t>自拟</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w:t>
      </w:r>
    </w:p>
    <w:bookmarkEnd w:id="245"/>
    <w:p w14:paraId="0C9A755F">
      <w:pPr>
        <w:snapToGrid w:val="0"/>
        <w:spacing w:line="440" w:lineRule="exact"/>
        <w:ind w:right="42" w:rightChars="20" w:firstLine="420" w:firstLineChars="200"/>
        <w:jc w:val="left"/>
        <w:outlineLvl w:val="1"/>
        <w:rPr>
          <w:rFonts w:asciiTheme="minorEastAsia" w:hAnsiTheme="minorEastAsia" w:eastAsiaTheme="minorEastAsia"/>
          <w:color w:val="000000" w:themeColor="text1"/>
          <w:szCs w:val="21"/>
        </w:rPr>
      </w:pPr>
      <w:bookmarkStart w:id="260" w:name="_Toc493511656"/>
      <w:bookmarkStart w:id="261" w:name="_Toc21044"/>
      <w:bookmarkStart w:id="262" w:name="_Toc50012865"/>
      <w:bookmarkStart w:id="263" w:name="_Toc8745"/>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注：法定代表人授权委托书、投标声明书、投标函、开标一览表必须由法定代表人</w:t>
      </w:r>
      <w:r>
        <w:rPr>
          <w:rFonts w:hint="eastAsia" w:asciiTheme="minorEastAsia" w:hAnsiTheme="minorEastAsia" w:eastAsiaTheme="minorEastAsia"/>
          <w:color w:val="000000" w:themeColor="text1"/>
          <w:szCs w:val="21"/>
        </w:rPr>
        <w:t>或负责人或授权代表</w:t>
      </w:r>
      <w:r>
        <w:rPr>
          <w:rFonts w:asciiTheme="minorEastAsia" w:hAnsiTheme="minorEastAsia" w:eastAsiaTheme="minorEastAsia"/>
          <w:color w:val="000000" w:themeColor="text1"/>
          <w:szCs w:val="21"/>
        </w:rPr>
        <w:t>签名</w:t>
      </w:r>
      <w:r>
        <w:rPr>
          <w:rFonts w:hint="eastAsia" w:asciiTheme="minorEastAsia" w:hAnsiTheme="minorEastAsia" w:eastAsiaTheme="minorEastAsia"/>
          <w:color w:val="000000" w:themeColor="text1"/>
          <w:szCs w:val="21"/>
        </w:rPr>
        <w:t>或盖章</w:t>
      </w:r>
      <w:r>
        <w:rPr>
          <w:rFonts w:asciiTheme="minorEastAsia" w:hAnsiTheme="minorEastAsia" w:eastAsiaTheme="minorEastAsia"/>
          <w:color w:val="000000" w:themeColor="text1"/>
          <w:szCs w:val="21"/>
        </w:rPr>
        <w:t>并加盖单位公章。</w:t>
      </w:r>
      <w:bookmarkEnd w:id="260"/>
      <w:bookmarkEnd w:id="261"/>
      <w:bookmarkEnd w:id="262"/>
      <w:bookmarkEnd w:id="263"/>
    </w:p>
    <w:bookmarkEnd w:id="246"/>
    <w:bookmarkEnd w:id="247"/>
    <w:bookmarkEnd w:id="248"/>
    <w:bookmarkEnd w:id="249"/>
    <w:p w14:paraId="0B0FF08E">
      <w:pPr>
        <w:snapToGrid w:val="0"/>
        <w:spacing w:line="440" w:lineRule="exact"/>
        <w:ind w:right="42" w:rightChars="20" w:firstLine="422" w:firstLineChars="200"/>
        <w:jc w:val="left"/>
        <w:outlineLvl w:val="0"/>
        <w:rPr>
          <w:rFonts w:asciiTheme="minorEastAsia" w:hAnsiTheme="minorEastAsia" w:eastAsiaTheme="minorEastAsia"/>
          <w:b/>
          <w:color w:val="000000" w:themeColor="text1"/>
          <w:szCs w:val="21"/>
        </w:rPr>
      </w:pPr>
      <w:bookmarkStart w:id="264" w:name="_Toc33535360"/>
      <w:bookmarkStart w:id="265" w:name="_Toc402963084"/>
      <w:bookmarkStart w:id="266" w:name="_Toc10703"/>
      <w:bookmarkStart w:id="267" w:name="_Toc385854146"/>
      <w:bookmarkStart w:id="268" w:name="_Toc50012866"/>
      <w:bookmarkStart w:id="269" w:name="_Toc402963117"/>
      <w:bookmarkStart w:id="270" w:name="_Toc385854100"/>
      <w:bookmarkStart w:id="271" w:name="_Toc406402990"/>
      <w:bookmarkStart w:id="272" w:name="_Toc406402946"/>
      <w:bookmarkStart w:id="273" w:name="_Toc31513"/>
      <w:bookmarkStart w:id="274" w:name="_Toc493511751"/>
      <w:r>
        <w:rPr>
          <w:rFonts w:hint="eastAsia" w:asciiTheme="minorEastAsia" w:hAnsiTheme="minorEastAsia" w:eastAsiaTheme="minorEastAsia"/>
          <w:b/>
          <w:color w:val="000000" w:themeColor="text1"/>
          <w:szCs w:val="21"/>
        </w:rPr>
        <w:t>（二）投标文件的语言及计量</w:t>
      </w:r>
      <w:bookmarkEnd w:id="264"/>
      <w:bookmarkEnd w:id="265"/>
      <w:bookmarkEnd w:id="266"/>
      <w:bookmarkEnd w:id="267"/>
      <w:bookmarkEnd w:id="268"/>
      <w:bookmarkEnd w:id="269"/>
      <w:bookmarkEnd w:id="270"/>
      <w:bookmarkEnd w:id="271"/>
      <w:bookmarkEnd w:id="272"/>
      <w:bookmarkEnd w:id="273"/>
    </w:p>
    <w:p w14:paraId="0E2B0510">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投标文件以及投标方与招标方就有关投标事宜的所有来往函电，均应以中文汉语书写。除签名、盖章、专用名称等特殊情形外，以中文汉语以外的文字表述的投标文件视同未提供。</w:t>
      </w:r>
    </w:p>
    <w:p w14:paraId="334B5395">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投标计量单位，招标文件已有明确规定的，使用招标文件规定的计量单位；招标文件没有规定的，应采用中华人民共和国法定计量单位（货币单位：人民币元），否则视同未响应。</w:t>
      </w:r>
    </w:p>
    <w:p w14:paraId="682FC7EF">
      <w:pPr>
        <w:snapToGrid w:val="0"/>
        <w:spacing w:line="440" w:lineRule="exact"/>
        <w:ind w:right="42" w:rightChars="20" w:firstLine="422" w:firstLineChars="200"/>
        <w:contextualSpacing/>
        <w:jc w:val="left"/>
        <w:outlineLvl w:val="0"/>
        <w:rPr>
          <w:rFonts w:asciiTheme="minorEastAsia" w:hAnsiTheme="minorEastAsia" w:eastAsiaTheme="minorEastAsia"/>
          <w:b/>
          <w:color w:val="000000" w:themeColor="text1"/>
          <w:szCs w:val="21"/>
        </w:rPr>
      </w:pPr>
      <w:bookmarkStart w:id="275" w:name="_Toc402963118"/>
      <w:bookmarkStart w:id="276" w:name="_Toc25290"/>
      <w:bookmarkStart w:id="277" w:name="_Toc385854101"/>
      <w:bookmarkStart w:id="278" w:name="_Toc406402991"/>
      <w:bookmarkStart w:id="279" w:name="_Toc402963085"/>
      <w:bookmarkStart w:id="280" w:name="_Toc406402947"/>
      <w:bookmarkStart w:id="281" w:name="_Toc385854147"/>
      <w:bookmarkStart w:id="282" w:name="_Toc33535361"/>
      <w:bookmarkStart w:id="283" w:name="_Toc50012867"/>
      <w:bookmarkStart w:id="284" w:name="_Toc18686"/>
      <w:r>
        <w:rPr>
          <w:rFonts w:hint="eastAsia" w:asciiTheme="minorEastAsia" w:hAnsiTheme="minorEastAsia" w:eastAsiaTheme="minorEastAsia"/>
          <w:b/>
          <w:color w:val="000000" w:themeColor="text1"/>
          <w:szCs w:val="21"/>
        </w:rPr>
        <w:t>（三）投标报价</w:t>
      </w:r>
      <w:bookmarkEnd w:id="275"/>
      <w:bookmarkEnd w:id="276"/>
      <w:bookmarkEnd w:id="277"/>
      <w:bookmarkEnd w:id="278"/>
      <w:bookmarkEnd w:id="279"/>
      <w:bookmarkEnd w:id="280"/>
      <w:bookmarkEnd w:id="281"/>
      <w:bookmarkEnd w:id="282"/>
      <w:bookmarkEnd w:id="283"/>
      <w:bookmarkEnd w:id="284"/>
    </w:p>
    <w:p w14:paraId="07184143">
      <w:pPr>
        <w:pStyle w:val="26"/>
        <w:snapToGrid w:val="0"/>
        <w:spacing w:line="440" w:lineRule="exact"/>
        <w:ind w:right="42" w:rightChars="20" w:firstLine="420" w:firstLineChars="200"/>
        <w:contextualSpacing/>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投标报价应按招标文件中相关附表格式填写。</w:t>
      </w:r>
    </w:p>
    <w:p w14:paraId="4BFCA802">
      <w:pPr>
        <w:widowControl/>
        <w:spacing w:line="440" w:lineRule="exact"/>
        <w:ind w:right="42" w:rightChars="20" w:firstLine="480"/>
        <w:contextualSpacing/>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、投标报价应包括为本项目服务内容可能发生的所有费用，包括但不限于</w:t>
      </w:r>
      <w:r>
        <w:rPr>
          <w:rFonts w:hint="eastAsia" w:asciiTheme="minorEastAsia" w:hAnsiTheme="minorEastAsia" w:eastAsiaTheme="minorEastAsia"/>
          <w:b/>
          <w:color w:val="000000" w:themeColor="text1"/>
          <w:szCs w:val="21"/>
        </w:rPr>
        <w:t>人员工资、奖金、各种加班费、各种社会保险（基本养老保险、基本医疗保险、工伤保险、失业保险、公积金等）、专家评审费、考察费、调研费、食宿与交通、高温补偿费）、会务费用、管理费用（意外保险、车辆、培训、税费、利润）、招标代理费等完成合同所需的一切本身和不可或缺的所有工作开支、政策性文件规定及合同包含的所有风险、责任等各项全部费用并承担一切风险责任</w:t>
      </w:r>
      <w:r>
        <w:rPr>
          <w:rFonts w:hint="eastAsia" w:asciiTheme="minorEastAsia" w:hAnsiTheme="minorEastAsia" w:eastAsiaTheme="minorEastAsia"/>
          <w:color w:val="000000" w:themeColor="text1"/>
          <w:szCs w:val="21"/>
        </w:rPr>
        <w:t>。</w:t>
      </w:r>
    </w:p>
    <w:p w14:paraId="0F27C289">
      <w:pPr>
        <w:pStyle w:val="26"/>
        <w:snapToGrid w:val="0"/>
        <w:spacing w:line="440" w:lineRule="exact"/>
        <w:ind w:right="42" w:rightChars="20" w:firstLine="420" w:firstLineChars="200"/>
        <w:contextualSpacing/>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投标文件只允许有一个报价，有选择的</w:t>
      </w:r>
      <w:r>
        <w:rPr>
          <w:rFonts w:hint="eastAsia" w:asciiTheme="minorEastAsia" w:hAnsiTheme="minorEastAsia" w:eastAsiaTheme="minorEastAsia"/>
          <w:color w:val="000000" w:themeColor="text1"/>
          <w:szCs w:val="21"/>
        </w:rPr>
        <w:t>或有条件的</w:t>
      </w:r>
      <w:r>
        <w:rPr>
          <w:rFonts w:asciiTheme="minorEastAsia" w:hAnsiTheme="minorEastAsia" w:eastAsiaTheme="minorEastAsia"/>
          <w:color w:val="000000" w:themeColor="text1"/>
          <w:szCs w:val="21"/>
        </w:rPr>
        <w:t>报价将不予接受。</w:t>
      </w:r>
    </w:p>
    <w:p w14:paraId="57743A3D">
      <w:pPr>
        <w:pStyle w:val="14"/>
        <w:widowControl w:val="0"/>
        <w:tabs>
          <w:tab w:val="clear" w:pos="454"/>
        </w:tabs>
        <w:snapToGrid w:val="0"/>
        <w:spacing w:afterLines="0" w:line="440" w:lineRule="exact"/>
        <w:ind w:left="0" w:right="42" w:rightChars="20" w:firstLine="422" w:firstLineChars="200"/>
        <w:contextualSpacing/>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（四）投标文件的有效期</w:t>
      </w:r>
    </w:p>
    <w:p w14:paraId="3761481A">
      <w:pPr>
        <w:pStyle w:val="14"/>
        <w:widowControl w:val="0"/>
        <w:tabs>
          <w:tab w:val="left" w:pos="4500"/>
          <w:tab w:val="clear" w:pos="454"/>
        </w:tabs>
        <w:snapToGrid w:val="0"/>
        <w:spacing w:afterLines="0" w:line="440" w:lineRule="exact"/>
        <w:ind w:left="0" w:right="42" w:rightChars="20" w:firstLine="420" w:firstLineChars="200"/>
        <w:contextualSpacing/>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自投标截止日起</w:t>
      </w:r>
      <w:r>
        <w:rPr>
          <w:rFonts w:hint="eastAsia" w:asciiTheme="minorEastAsia" w:hAnsiTheme="minorEastAsia" w:eastAsiaTheme="minorEastAsia"/>
          <w:color w:val="000000" w:themeColor="text1"/>
          <w:sz w:val="21"/>
          <w:szCs w:val="21"/>
          <w:u w:val="single"/>
        </w:rPr>
        <w:t>60</w:t>
      </w:r>
      <w:r>
        <w:rPr>
          <w:rFonts w:asciiTheme="minorEastAsia" w:hAnsiTheme="minorEastAsia" w:eastAsiaTheme="minorEastAsia"/>
          <w:color w:val="000000" w:themeColor="text1"/>
          <w:sz w:val="21"/>
          <w:szCs w:val="21"/>
        </w:rPr>
        <w:t>天投标</w:t>
      </w:r>
      <w:r>
        <w:rPr>
          <w:rFonts w:hint="eastAsia" w:asciiTheme="minorEastAsia" w:hAnsiTheme="minorEastAsia" w:eastAsiaTheme="minorEastAsia"/>
          <w:color w:val="000000" w:themeColor="text1"/>
          <w:sz w:val="21"/>
          <w:szCs w:val="21"/>
        </w:rPr>
        <w:t>文件</w:t>
      </w:r>
      <w:r>
        <w:rPr>
          <w:rFonts w:asciiTheme="minorEastAsia" w:hAnsiTheme="minorEastAsia" w:eastAsiaTheme="minorEastAsia"/>
          <w:color w:val="000000" w:themeColor="text1"/>
          <w:sz w:val="21"/>
          <w:szCs w:val="21"/>
        </w:rPr>
        <w:t>应保持有效。有效期</w:t>
      </w:r>
      <w:r>
        <w:rPr>
          <w:rFonts w:hint="eastAsia" w:asciiTheme="minorEastAsia" w:hAnsiTheme="minorEastAsia" w:eastAsiaTheme="minorEastAsia"/>
          <w:color w:val="000000" w:themeColor="text1"/>
          <w:sz w:val="21"/>
          <w:szCs w:val="21"/>
        </w:rPr>
        <w:t>不足</w:t>
      </w:r>
      <w:r>
        <w:rPr>
          <w:rFonts w:asciiTheme="minorEastAsia" w:hAnsiTheme="minorEastAsia" w:eastAsiaTheme="minorEastAsia"/>
          <w:color w:val="000000" w:themeColor="text1"/>
          <w:sz w:val="21"/>
          <w:szCs w:val="21"/>
        </w:rPr>
        <w:t>的投标</w:t>
      </w:r>
      <w:r>
        <w:rPr>
          <w:rFonts w:hint="eastAsia" w:asciiTheme="minorEastAsia" w:hAnsiTheme="minorEastAsia" w:eastAsiaTheme="minorEastAsia"/>
          <w:color w:val="000000" w:themeColor="text1"/>
          <w:sz w:val="21"/>
          <w:szCs w:val="21"/>
        </w:rPr>
        <w:t>文件</w:t>
      </w:r>
      <w:r>
        <w:rPr>
          <w:rFonts w:asciiTheme="minorEastAsia" w:hAnsiTheme="minorEastAsia" w:eastAsiaTheme="minorEastAsia"/>
          <w:color w:val="000000" w:themeColor="text1"/>
          <w:sz w:val="21"/>
          <w:szCs w:val="21"/>
        </w:rPr>
        <w:t>将被拒绝。</w:t>
      </w:r>
    </w:p>
    <w:p w14:paraId="17651292">
      <w:pPr>
        <w:pStyle w:val="14"/>
        <w:widowControl w:val="0"/>
        <w:tabs>
          <w:tab w:val="clear" w:pos="454"/>
        </w:tabs>
        <w:snapToGrid w:val="0"/>
        <w:spacing w:afterLines="0" w:line="440" w:lineRule="exact"/>
        <w:ind w:left="0" w:right="42" w:rightChars="20" w:firstLine="420" w:firstLineChars="200"/>
        <w:contextualSpacing/>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2</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在特殊情况下，</w:t>
      </w:r>
      <w:r>
        <w:rPr>
          <w:rFonts w:hint="eastAsia" w:asciiTheme="minorEastAsia" w:hAnsiTheme="minorEastAsia" w:eastAsiaTheme="minorEastAsia"/>
          <w:color w:val="000000" w:themeColor="text1"/>
          <w:sz w:val="21"/>
          <w:szCs w:val="21"/>
        </w:rPr>
        <w:t>采购人</w:t>
      </w:r>
      <w:r>
        <w:rPr>
          <w:rFonts w:asciiTheme="minorEastAsia" w:hAnsiTheme="minorEastAsia" w:eastAsiaTheme="minorEastAsia"/>
          <w:color w:val="000000" w:themeColor="text1"/>
          <w:sz w:val="21"/>
          <w:szCs w:val="21"/>
        </w:rPr>
        <w:t>可与投标人协商延长投标书的有效期，这种要求和答复均以书面形式进行。</w:t>
      </w:r>
    </w:p>
    <w:p w14:paraId="795C17E4">
      <w:pPr>
        <w:pStyle w:val="14"/>
        <w:widowControl w:val="0"/>
        <w:tabs>
          <w:tab w:val="left" w:pos="4500"/>
          <w:tab w:val="clear" w:pos="454"/>
        </w:tabs>
        <w:snapToGrid w:val="0"/>
        <w:spacing w:afterLines="0" w:line="440" w:lineRule="exact"/>
        <w:ind w:left="0" w:right="42" w:rightChars="20" w:firstLine="420" w:firstLineChars="200"/>
        <w:contextualSpacing/>
        <w:rPr>
          <w:rFonts w:asciiTheme="minorEastAsia" w:hAnsiTheme="minorEastAsia" w:eastAsiaTheme="minorEastAsia"/>
          <w:color w:val="000000" w:themeColor="text1"/>
          <w:sz w:val="21"/>
          <w:szCs w:val="21"/>
        </w:rPr>
      </w:pPr>
      <w:bookmarkStart w:id="285" w:name="_Toc406402948"/>
      <w:bookmarkStart w:id="286" w:name="_Toc50012868"/>
      <w:bookmarkStart w:id="287" w:name="_Toc385854148"/>
      <w:bookmarkStart w:id="288" w:name="_Toc33535362"/>
      <w:bookmarkStart w:id="289" w:name="_Toc402963119"/>
      <w:bookmarkStart w:id="290" w:name="_Toc406402992"/>
      <w:bookmarkStart w:id="291" w:name="_Toc385854102"/>
      <w:bookmarkStart w:id="292" w:name="_Toc402963086"/>
      <w:r>
        <w:rPr>
          <w:rFonts w:asciiTheme="minorEastAsia" w:hAnsiTheme="minorEastAsia" w:eastAsiaTheme="minorEastAsia"/>
          <w:color w:val="000000" w:themeColor="text1"/>
          <w:sz w:val="21"/>
          <w:szCs w:val="21"/>
        </w:rPr>
        <w:t>3</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投标人可拒绝接受延期要求。同意延长有效期的投标人不能修改投标文件。</w:t>
      </w:r>
      <w:bookmarkEnd w:id="285"/>
      <w:bookmarkEnd w:id="286"/>
      <w:bookmarkEnd w:id="287"/>
      <w:bookmarkEnd w:id="288"/>
      <w:bookmarkEnd w:id="289"/>
      <w:bookmarkEnd w:id="290"/>
      <w:bookmarkEnd w:id="291"/>
      <w:bookmarkEnd w:id="292"/>
    </w:p>
    <w:p w14:paraId="28EF7CAE">
      <w:pPr>
        <w:pStyle w:val="14"/>
        <w:widowControl w:val="0"/>
        <w:tabs>
          <w:tab w:val="left" w:pos="4500"/>
          <w:tab w:val="clear" w:pos="454"/>
        </w:tabs>
        <w:snapToGrid w:val="0"/>
        <w:spacing w:afterLines="0" w:line="440" w:lineRule="exact"/>
        <w:ind w:left="0" w:right="42" w:rightChars="20" w:firstLine="420" w:firstLineChars="200"/>
        <w:contextualSpacing/>
        <w:rPr>
          <w:rFonts w:asciiTheme="minorEastAsia" w:hAnsiTheme="minorEastAsia" w:eastAsiaTheme="minorEastAsia"/>
          <w:color w:val="000000" w:themeColor="text1"/>
          <w:sz w:val="21"/>
          <w:szCs w:val="21"/>
        </w:rPr>
      </w:pPr>
      <w:bookmarkStart w:id="293" w:name="_Toc385854149"/>
      <w:bookmarkStart w:id="294" w:name="_Toc406402949"/>
      <w:bookmarkStart w:id="295" w:name="_Toc33535363"/>
      <w:bookmarkStart w:id="296" w:name="_Toc402963120"/>
      <w:bookmarkStart w:id="297" w:name="_Toc385854103"/>
      <w:bookmarkStart w:id="298" w:name="_Toc50012869"/>
      <w:bookmarkStart w:id="299" w:name="_Toc402963087"/>
      <w:bookmarkStart w:id="300" w:name="_Toc406402993"/>
      <w:r>
        <w:rPr>
          <w:rFonts w:asciiTheme="minorEastAsia" w:hAnsiTheme="minorEastAsia" w:eastAsiaTheme="minorEastAsia"/>
          <w:color w:val="000000" w:themeColor="text1"/>
          <w:sz w:val="21"/>
          <w:szCs w:val="21"/>
        </w:rPr>
        <w:t>4</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中标人的投标文件自开标之日起至合同履行完毕止均应保持有效。</w:t>
      </w:r>
      <w:bookmarkEnd w:id="293"/>
      <w:bookmarkEnd w:id="294"/>
      <w:bookmarkEnd w:id="295"/>
      <w:bookmarkEnd w:id="296"/>
      <w:bookmarkEnd w:id="297"/>
      <w:bookmarkEnd w:id="298"/>
      <w:bookmarkEnd w:id="299"/>
      <w:bookmarkEnd w:id="300"/>
    </w:p>
    <w:p w14:paraId="4BA67ED0">
      <w:pPr>
        <w:snapToGrid w:val="0"/>
        <w:spacing w:line="440" w:lineRule="exact"/>
        <w:ind w:right="42" w:rightChars="20" w:firstLine="422" w:firstLineChars="200"/>
        <w:contextualSpacing/>
        <w:jc w:val="left"/>
        <w:outlineLvl w:val="0"/>
        <w:rPr>
          <w:rFonts w:asciiTheme="minorEastAsia" w:hAnsiTheme="minorEastAsia" w:eastAsiaTheme="minorEastAsia"/>
          <w:b/>
          <w:color w:val="000000" w:themeColor="text1"/>
          <w:szCs w:val="21"/>
        </w:rPr>
      </w:pPr>
      <w:bookmarkStart w:id="301" w:name="_Toc6369"/>
      <w:bookmarkStart w:id="302" w:name="_Toc402963089"/>
      <w:bookmarkStart w:id="303" w:name="_Toc50012870"/>
      <w:bookmarkStart w:id="304" w:name="_Toc16226"/>
      <w:bookmarkStart w:id="305" w:name="_Toc385854105"/>
      <w:bookmarkStart w:id="306" w:name="_Toc33535364"/>
      <w:bookmarkStart w:id="307" w:name="_Toc385854151"/>
      <w:bookmarkStart w:id="308" w:name="_Toc402963122"/>
      <w:bookmarkStart w:id="309" w:name="_Toc406402995"/>
      <w:bookmarkStart w:id="310" w:name="_Toc406402951"/>
      <w:r>
        <w:rPr>
          <w:rFonts w:hint="eastAsia" w:asciiTheme="minorEastAsia" w:hAnsiTheme="minorEastAsia" w:eastAsiaTheme="minorEastAsia"/>
          <w:b/>
          <w:color w:val="000000" w:themeColor="text1"/>
          <w:szCs w:val="21"/>
        </w:rPr>
        <w:t>（五）投标文件的签署和份数</w:t>
      </w:r>
      <w:bookmarkEnd w:id="301"/>
      <w:bookmarkEnd w:id="302"/>
      <w:bookmarkEnd w:id="303"/>
      <w:bookmarkEnd w:id="304"/>
      <w:bookmarkEnd w:id="305"/>
      <w:bookmarkEnd w:id="306"/>
      <w:bookmarkEnd w:id="307"/>
      <w:bookmarkEnd w:id="308"/>
      <w:bookmarkEnd w:id="309"/>
      <w:bookmarkEnd w:id="310"/>
    </w:p>
    <w:p w14:paraId="50D2F9D8">
      <w:pPr>
        <w:snapToGrid w:val="0"/>
        <w:spacing w:line="440" w:lineRule="exact"/>
        <w:ind w:right="42" w:rightChars="20" w:firstLine="420" w:firstLineChars="200"/>
        <w:contextualSpacing/>
        <w:jc w:val="left"/>
        <w:outlineLvl w:val="0"/>
        <w:rPr>
          <w:rFonts w:cs="微软雅黑" w:asciiTheme="minorEastAsia" w:hAnsiTheme="minorEastAsia" w:eastAsiaTheme="minorEastAsia"/>
          <w:b/>
          <w:bCs/>
          <w:color w:val="000000" w:themeColor="text1"/>
          <w:szCs w:val="21"/>
        </w:rPr>
      </w:pPr>
      <w:bookmarkStart w:id="311" w:name="_Toc50012871"/>
      <w:bookmarkStart w:id="312" w:name="_Toc12852"/>
      <w:bookmarkStart w:id="313" w:name="_Toc15727"/>
      <w:r>
        <w:rPr>
          <w:rFonts w:hint="eastAsia" w:cs="宋体" w:asciiTheme="minorEastAsia" w:hAnsiTheme="minorEastAsia" w:eastAsiaTheme="minorEastAsia"/>
          <w:color w:val="000000" w:themeColor="text1"/>
          <w:szCs w:val="21"/>
        </w:rPr>
        <w:t>投标文件的形式：</w:t>
      </w:r>
      <w:r>
        <w:rPr>
          <w:rFonts w:hint="eastAsia" w:eastAsia="MS Mincho" w:cs="MS Mincho" w:asciiTheme="minorEastAsia" w:hAnsiTheme="minorEastAsia"/>
          <w:b/>
          <w:bCs/>
          <w:color w:val="000000" w:themeColor="text1"/>
          <w:szCs w:val="21"/>
        </w:rPr>
        <w:t>☑</w:t>
      </w:r>
      <w:r>
        <w:rPr>
          <w:rFonts w:hint="eastAsia" w:cs="微软雅黑" w:asciiTheme="minorEastAsia" w:hAnsiTheme="minorEastAsia" w:eastAsiaTheme="minorEastAsia"/>
          <w:b/>
          <w:bCs/>
          <w:color w:val="000000" w:themeColor="text1"/>
          <w:szCs w:val="21"/>
        </w:rPr>
        <w:t>电子投标文件（包括“电子加密投标文件”和“备份投标文件”，在投标文件编制完成后同时生成）；</w:t>
      </w:r>
      <w:bookmarkEnd w:id="311"/>
      <w:bookmarkEnd w:id="312"/>
      <w:bookmarkEnd w:id="313"/>
    </w:p>
    <w:p w14:paraId="750FCEA2">
      <w:pPr>
        <w:snapToGrid w:val="0"/>
        <w:spacing w:line="440" w:lineRule="exact"/>
        <w:ind w:right="42" w:rightChars="20" w:firstLine="422" w:firstLineChars="200"/>
        <w:contextualSpacing/>
        <w:jc w:val="left"/>
        <w:outlineLvl w:val="0"/>
        <w:rPr>
          <w:rFonts w:cs="宋体" w:asciiTheme="minorEastAsia" w:hAnsiTheme="minorEastAsia" w:eastAsiaTheme="minorEastAsia"/>
          <w:b/>
          <w:bCs/>
          <w:color w:val="000000" w:themeColor="text1"/>
          <w:szCs w:val="21"/>
        </w:rPr>
      </w:pPr>
      <w:bookmarkStart w:id="314" w:name="_Toc23368"/>
      <w:bookmarkStart w:id="315" w:name="_Toc22371"/>
      <w:bookmarkStart w:id="316" w:name="_Toc50012872"/>
      <w:r>
        <w:rPr>
          <w:rFonts w:hint="eastAsia" w:cs="宋体" w:asciiTheme="minorEastAsia" w:hAnsiTheme="minorEastAsia" w:eastAsiaTheme="minorEastAsia"/>
          <w:b/>
          <w:bCs/>
          <w:color w:val="000000" w:themeColor="text1"/>
          <w:szCs w:val="21"/>
        </w:rPr>
        <w:t>（1）“电子加密投标文件”是指通过“政采云电子交易客户端”完成投标文件编制后生成并加密的数据电文形式的投标文件。</w:t>
      </w:r>
      <w:bookmarkEnd w:id="314"/>
      <w:bookmarkEnd w:id="315"/>
      <w:bookmarkEnd w:id="316"/>
    </w:p>
    <w:p w14:paraId="6454FC8C">
      <w:pPr>
        <w:snapToGrid w:val="0"/>
        <w:spacing w:line="440" w:lineRule="exact"/>
        <w:ind w:right="42" w:rightChars="20" w:firstLine="422" w:firstLineChars="200"/>
        <w:contextualSpacing/>
        <w:jc w:val="left"/>
        <w:outlineLvl w:val="0"/>
        <w:rPr>
          <w:rFonts w:cs="宋体" w:asciiTheme="minorEastAsia" w:hAnsiTheme="minorEastAsia" w:eastAsiaTheme="minorEastAsia"/>
          <w:b/>
          <w:bCs/>
          <w:color w:val="000000" w:themeColor="text1"/>
          <w:szCs w:val="21"/>
        </w:rPr>
      </w:pPr>
      <w:bookmarkStart w:id="317" w:name="_Toc50012873"/>
      <w:bookmarkStart w:id="318" w:name="_Toc18098"/>
      <w:bookmarkStart w:id="319" w:name="_Toc26767"/>
      <w:r>
        <w:rPr>
          <w:rFonts w:hint="eastAsia" w:cs="宋体" w:asciiTheme="minorEastAsia" w:hAnsiTheme="minorEastAsia" w:eastAsiaTheme="minorEastAsia"/>
          <w:b/>
          <w:bCs/>
          <w:color w:val="000000" w:themeColor="text1"/>
          <w:szCs w:val="21"/>
        </w:rPr>
        <w:t>（2）“备份投标文件”是指与“电子加密投标文件”同时生成的数据电文形式的电子文件（备份标书），其他方式编制的备份投标文件视为无效备份投标文件。</w:t>
      </w:r>
      <w:bookmarkEnd w:id="317"/>
      <w:bookmarkEnd w:id="318"/>
      <w:bookmarkEnd w:id="319"/>
    </w:p>
    <w:p w14:paraId="3BBC6074">
      <w:pPr>
        <w:snapToGrid w:val="0"/>
        <w:spacing w:line="440" w:lineRule="exact"/>
        <w:ind w:right="42" w:rightChars="20" w:firstLine="422" w:firstLineChars="200"/>
        <w:contextualSpacing/>
        <w:jc w:val="left"/>
        <w:outlineLvl w:val="0"/>
        <w:rPr>
          <w:rFonts w:cs="宋体" w:asciiTheme="minorEastAsia" w:hAnsiTheme="minorEastAsia" w:eastAsiaTheme="minorEastAsia"/>
          <w:b/>
          <w:bCs/>
          <w:color w:val="000000" w:themeColor="text1"/>
          <w:szCs w:val="21"/>
        </w:rPr>
      </w:pPr>
      <w:bookmarkStart w:id="320" w:name="_Toc20165"/>
      <w:bookmarkStart w:id="321" w:name="_Toc50012874"/>
      <w:bookmarkStart w:id="322" w:name="_Toc30285"/>
      <w:r>
        <w:rPr>
          <w:rFonts w:hint="eastAsia" w:cs="宋体" w:asciiTheme="minorEastAsia" w:hAnsiTheme="minorEastAsia" w:eastAsiaTheme="minorEastAsia"/>
          <w:b/>
          <w:bCs/>
          <w:color w:val="000000" w:themeColor="text1"/>
          <w:szCs w:val="21"/>
        </w:rPr>
        <w:t>（六）</w:t>
      </w:r>
      <w:bookmarkStart w:id="323" w:name="_Toc33535368"/>
      <w:r>
        <w:rPr>
          <w:rFonts w:hint="eastAsia" w:cs="宋体" w:asciiTheme="minorEastAsia" w:hAnsiTheme="minorEastAsia" w:eastAsiaTheme="minorEastAsia"/>
          <w:b/>
          <w:bCs/>
          <w:color w:val="000000" w:themeColor="text1"/>
          <w:szCs w:val="21"/>
        </w:rPr>
        <w:t>投标文件的上传和递交：</w:t>
      </w:r>
      <w:bookmarkEnd w:id="320"/>
      <w:bookmarkEnd w:id="321"/>
      <w:bookmarkEnd w:id="322"/>
    </w:p>
    <w:p w14:paraId="017A0104">
      <w:pPr>
        <w:snapToGrid w:val="0"/>
        <w:spacing w:line="440" w:lineRule="exact"/>
        <w:ind w:right="42" w:rightChars="20" w:firstLine="422" w:firstLineChars="200"/>
        <w:contextualSpacing/>
        <w:jc w:val="left"/>
        <w:outlineLvl w:val="0"/>
        <w:rPr>
          <w:rFonts w:cs="宋体" w:asciiTheme="minorEastAsia" w:hAnsiTheme="minorEastAsia" w:eastAsiaTheme="minorEastAsia"/>
          <w:b/>
          <w:bCs/>
          <w:color w:val="000000" w:themeColor="text1"/>
          <w:szCs w:val="21"/>
        </w:rPr>
      </w:pPr>
      <w:bookmarkStart w:id="324" w:name="_Toc50012875"/>
      <w:bookmarkStart w:id="325" w:name="_Toc19460"/>
      <w:bookmarkStart w:id="326" w:name="_Toc32512"/>
      <w:r>
        <w:rPr>
          <w:rFonts w:hint="eastAsia" w:cs="宋体" w:asciiTheme="minorEastAsia" w:hAnsiTheme="minorEastAsia" w:eastAsiaTheme="minorEastAsia"/>
          <w:b/>
          <w:bCs/>
          <w:color w:val="000000" w:themeColor="text1"/>
          <w:szCs w:val="21"/>
        </w:rPr>
        <w:t>（1）“电子加密投标文件”的上传、递交：</w:t>
      </w:r>
      <w:bookmarkEnd w:id="324"/>
      <w:bookmarkEnd w:id="325"/>
      <w:bookmarkEnd w:id="326"/>
    </w:p>
    <w:p w14:paraId="498BCB75">
      <w:pPr>
        <w:snapToGrid w:val="0"/>
        <w:spacing w:line="440" w:lineRule="exact"/>
        <w:ind w:right="42" w:rightChars="20" w:firstLine="422" w:firstLineChars="200"/>
        <w:jc w:val="left"/>
        <w:outlineLvl w:val="0"/>
        <w:rPr>
          <w:rFonts w:cs="宋体" w:asciiTheme="minorEastAsia" w:hAnsiTheme="minorEastAsia" w:eastAsiaTheme="minorEastAsia"/>
          <w:b/>
          <w:bCs/>
          <w:color w:val="000000" w:themeColor="text1"/>
          <w:szCs w:val="21"/>
        </w:rPr>
      </w:pPr>
      <w:bookmarkStart w:id="327" w:name="_Toc11797"/>
      <w:bookmarkStart w:id="328" w:name="_Toc30349"/>
      <w:bookmarkStart w:id="329" w:name="_Toc50012876"/>
      <w:r>
        <w:rPr>
          <w:rFonts w:cs="宋体" w:asciiTheme="minorEastAsia" w:hAnsiTheme="minorEastAsia" w:eastAsiaTheme="minorEastAsia"/>
          <w:b/>
          <w:bCs/>
          <w:color w:val="000000" w:themeColor="text1"/>
          <w:szCs w:val="21"/>
        </w:rPr>
        <w:t>A</w:t>
      </w:r>
      <w:r>
        <w:rPr>
          <w:rFonts w:hint="eastAsia" w:cs="宋体" w:asciiTheme="minorEastAsia" w:hAnsiTheme="minorEastAsia" w:eastAsiaTheme="minorEastAsia"/>
          <w:b/>
          <w:bCs/>
          <w:color w:val="000000" w:themeColor="text1"/>
          <w:szCs w:val="21"/>
        </w:rPr>
        <w:t>、投标人应在投标截止时间前将“电子加密投标文件”成功上传递交至“政府采购云平台”，否则投标无效。</w:t>
      </w:r>
      <w:bookmarkEnd w:id="327"/>
      <w:bookmarkEnd w:id="328"/>
      <w:bookmarkEnd w:id="329"/>
    </w:p>
    <w:p w14:paraId="417AD4F5">
      <w:pPr>
        <w:snapToGrid w:val="0"/>
        <w:spacing w:line="440" w:lineRule="exact"/>
        <w:ind w:right="42" w:rightChars="20" w:firstLine="422" w:firstLineChars="200"/>
        <w:jc w:val="left"/>
        <w:outlineLvl w:val="0"/>
        <w:rPr>
          <w:rFonts w:cs="宋体" w:asciiTheme="minorEastAsia" w:hAnsiTheme="minorEastAsia" w:eastAsiaTheme="minorEastAsia"/>
          <w:b/>
          <w:bCs/>
          <w:color w:val="000000" w:themeColor="text1"/>
          <w:szCs w:val="21"/>
        </w:rPr>
      </w:pPr>
      <w:bookmarkStart w:id="330" w:name="_Toc26746"/>
      <w:bookmarkStart w:id="331" w:name="_Toc10260"/>
      <w:bookmarkStart w:id="332" w:name="_Toc50012877"/>
      <w:r>
        <w:rPr>
          <w:rFonts w:cs="宋体" w:asciiTheme="minorEastAsia" w:hAnsiTheme="minorEastAsia" w:eastAsiaTheme="minorEastAsia"/>
          <w:b/>
          <w:bCs/>
          <w:color w:val="000000" w:themeColor="text1"/>
          <w:szCs w:val="21"/>
        </w:rPr>
        <w:t>B</w:t>
      </w:r>
      <w:r>
        <w:rPr>
          <w:rFonts w:hint="eastAsia" w:cs="宋体" w:asciiTheme="minorEastAsia" w:hAnsiTheme="minorEastAsia" w:eastAsiaTheme="minorEastAsia"/>
          <w:b/>
          <w:bCs/>
          <w:color w:val="000000" w:themeColor="text1"/>
          <w:szCs w:val="21"/>
        </w:rPr>
        <w:t>、“电子加密投标文件”成功上传递交后，投标人可自行打印投标文件接收回执。</w:t>
      </w:r>
      <w:bookmarkEnd w:id="330"/>
      <w:bookmarkEnd w:id="331"/>
      <w:bookmarkEnd w:id="332"/>
    </w:p>
    <w:p w14:paraId="7E4AEDA8">
      <w:pPr>
        <w:snapToGrid w:val="0"/>
        <w:spacing w:line="440" w:lineRule="exact"/>
        <w:ind w:right="42" w:rightChars="20" w:firstLine="422" w:firstLineChars="200"/>
        <w:jc w:val="left"/>
        <w:outlineLvl w:val="0"/>
        <w:rPr>
          <w:rFonts w:cs="宋体" w:asciiTheme="minorEastAsia" w:hAnsiTheme="minorEastAsia" w:eastAsiaTheme="minorEastAsia"/>
          <w:b/>
          <w:bCs/>
          <w:color w:val="000000" w:themeColor="text1"/>
          <w:szCs w:val="21"/>
        </w:rPr>
      </w:pPr>
      <w:bookmarkStart w:id="333" w:name="_Toc50012878"/>
      <w:bookmarkStart w:id="334" w:name="_Toc30797"/>
      <w:bookmarkStart w:id="335" w:name="_Toc14545"/>
      <w:r>
        <w:rPr>
          <w:rFonts w:hint="eastAsia" w:cs="宋体" w:asciiTheme="minorEastAsia" w:hAnsiTheme="minorEastAsia" w:eastAsiaTheme="minorEastAsia"/>
          <w:b/>
          <w:bCs/>
          <w:color w:val="000000" w:themeColor="text1"/>
          <w:szCs w:val="21"/>
        </w:rPr>
        <w:t>（2）“备份投标文件”的密封包装、递交：</w:t>
      </w:r>
      <w:bookmarkEnd w:id="333"/>
      <w:bookmarkEnd w:id="334"/>
      <w:r>
        <w:rPr>
          <w:rFonts w:hint="eastAsia" w:cs="宋体" w:asciiTheme="minorEastAsia" w:hAnsiTheme="minorEastAsia" w:eastAsiaTheme="minorEastAsia"/>
          <w:b/>
          <w:bCs/>
          <w:color w:val="000000" w:themeColor="text1"/>
          <w:szCs w:val="21"/>
        </w:rPr>
        <w:t>（备份文件非强制）</w:t>
      </w:r>
      <w:bookmarkEnd w:id="335"/>
    </w:p>
    <w:p w14:paraId="15905C31">
      <w:pPr>
        <w:snapToGrid w:val="0"/>
        <w:spacing w:line="440" w:lineRule="exact"/>
        <w:ind w:right="42" w:rightChars="20" w:firstLine="422" w:firstLineChars="200"/>
        <w:jc w:val="left"/>
        <w:outlineLvl w:val="0"/>
        <w:rPr>
          <w:rFonts w:cs="宋体" w:asciiTheme="minorEastAsia" w:hAnsiTheme="minorEastAsia" w:eastAsiaTheme="minorEastAsia"/>
          <w:b/>
          <w:bCs/>
          <w:color w:val="000000" w:themeColor="text1"/>
          <w:szCs w:val="21"/>
        </w:rPr>
      </w:pPr>
      <w:bookmarkStart w:id="336" w:name="_Toc1510"/>
      <w:bookmarkStart w:id="337" w:name="_Toc12452"/>
      <w:bookmarkStart w:id="338" w:name="_Toc50012879"/>
      <w:r>
        <w:rPr>
          <w:rFonts w:cs="宋体" w:asciiTheme="minorEastAsia" w:hAnsiTheme="minorEastAsia" w:eastAsiaTheme="minorEastAsia"/>
          <w:b/>
          <w:bCs/>
          <w:color w:val="000000" w:themeColor="text1"/>
          <w:szCs w:val="21"/>
        </w:rPr>
        <w:t>A</w:t>
      </w:r>
      <w:r>
        <w:rPr>
          <w:rFonts w:hint="eastAsia" w:cs="宋体" w:asciiTheme="minorEastAsia" w:hAnsiTheme="minorEastAsia" w:eastAsiaTheme="minorEastAsia"/>
          <w:b/>
          <w:bCs/>
          <w:color w:val="000000" w:themeColor="text1"/>
          <w:szCs w:val="21"/>
        </w:rPr>
        <w:t>、投标人在“政府采购云平台”完成“电子加密投标文件”的上传递交后，还可以（邮寄形式）在投标截止时间前递交以介质（U盘）存储的 “备份投标文件”（一份）；</w:t>
      </w:r>
      <w:bookmarkEnd w:id="336"/>
      <w:bookmarkEnd w:id="337"/>
      <w:bookmarkEnd w:id="338"/>
    </w:p>
    <w:p w14:paraId="476232FF">
      <w:pPr>
        <w:snapToGrid w:val="0"/>
        <w:spacing w:line="440" w:lineRule="exact"/>
        <w:ind w:right="42" w:rightChars="20" w:firstLine="422" w:firstLineChars="200"/>
        <w:jc w:val="left"/>
        <w:outlineLvl w:val="0"/>
        <w:rPr>
          <w:rFonts w:cs="宋体" w:asciiTheme="minorEastAsia" w:hAnsiTheme="minorEastAsia" w:eastAsiaTheme="minorEastAsia"/>
          <w:b/>
          <w:bCs/>
          <w:color w:val="000000" w:themeColor="text1"/>
          <w:szCs w:val="21"/>
        </w:rPr>
      </w:pPr>
      <w:bookmarkStart w:id="339" w:name="_Toc28234"/>
      <w:bookmarkStart w:id="340" w:name="_Toc50012880"/>
      <w:bookmarkStart w:id="341" w:name="_Toc17991"/>
      <w:r>
        <w:rPr>
          <w:rFonts w:cs="宋体" w:asciiTheme="minorEastAsia" w:hAnsiTheme="minorEastAsia" w:eastAsiaTheme="minorEastAsia"/>
          <w:b/>
          <w:bCs/>
          <w:color w:val="000000" w:themeColor="text1"/>
          <w:szCs w:val="21"/>
        </w:rPr>
        <w:t>B</w:t>
      </w:r>
      <w:r>
        <w:rPr>
          <w:rFonts w:hint="eastAsia" w:cs="宋体" w:asciiTheme="minorEastAsia" w:hAnsiTheme="minorEastAsia" w:eastAsiaTheme="minorEastAsia"/>
          <w:b/>
          <w:bCs/>
          <w:color w:val="000000" w:themeColor="text1"/>
          <w:szCs w:val="21"/>
        </w:rPr>
        <w:t>、“备份投标文件”应当密封包装，并在包装上标注投标项目名称、投标单位名称并加盖公章。没有密封包装或者逾期邮寄送达至邮寄接收地点的“备份投标文件”将不予接收；</w:t>
      </w:r>
      <w:bookmarkEnd w:id="339"/>
      <w:bookmarkEnd w:id="340"/>
      <w:bookmarkEnd w:id="341"/>
    </w:p>
    <w:p w14:paraId="6AFBDAFC">
      <w:pPr>
        <w:snapToGrid w:val="0"/>
        <w:spacing w:line="440" w:lineRule="exact"/>
        <w:ind w:right="42" w:rightChars="20" w:firstLine="422" w:firstLineChars="200"/>
        <w:jc w:val="left"/>
        <w:outlineLvl w:val="0"/>
        <w:rPr>
          <w:rFonts w:cs="宋体" w:asciiTheme="minorEastAsia" w:hAnsiTheme="minorEastAsia" w:eastAsiaTheme="minorEastAsia"/>
          <w:b/>
          <w:bCs/>
          <w:color w:val="000000" w:themeColor="text1"/>
          <w:szCs w:val="21"/>
        </w:rPr>
      </w:pPr>
      <w:bookmarkStart w:id="342" w:name="_Toc26727"/>
      <w:bookmarkStart w:id="343" w:name="_Toc50012881"/>
      <w:bookmarkStart w:id="344" w:name="_Toc23640"/>
      <w:r>
        <w:rPr>
          <w:rFonts w:cs="宋体" w:asciiTheme="minorEastAsia" w:hAnsiTheme="minorEastAsia" w:eastAsiaTheme="minorEastAsia"/>
          <w:b/>
          <w:bCs/>
          <w:color w:val="000000" w:themeColor="text1"/>
          <w:szCs w:val="21"/>
        </w:rPr>
        <w:t>C</w:t>
      </w:r>
      <w:r>
        <w:rPr>
          <w:rFonts w:hint="eastAsia" w:cs="宋体" w:asciiTheme="minorEastAsia" w:hAnsiTheme="minorEastAsia" w:eastAsiaTheme="minorEastAsia"/>
          <w:b/>
          <w:bCs/>
          <w:color w:val="000000" w:themeColor="text1"/>
          <w:szCs w:val="21"/>
        </w:rPr>
        <w:t>、通过“政府采购云平台”成功上传递交的“电子加密投标文件”已按时解密的，“备份投标文件”自动失效。投标截止时间前，投标人仅递交了“备份投标文件”而未将“电子加密投标文件”成功上传至“政府采购云平台”的，投标无效。</w:t>
      </w:r>
      <w:bookmarkEnd w:id="342"/>
      <w:bookmarkEnd w:id="343"/>
      <w:bookmarkEnd w:id="344"/>
    </w:p>
    <w:p w14:paraId="24923E12">
      <w:pPr>
        <w:snapToGrid w:val="0"/>
        <w:spacing w:line="440" w:lineRule="exact"/>
        <w:ind w:right="42" w:rightChars="20" w:firstLine="422" w:firstLineChars="200"/>
        <w:jc w:val="left"/>
        <w:outlineLvl w:val="0"/>
        <w:rPr>
          <w:rFonts w:asciiTheme="minorEastAsia" w:hAnsiTheme="minorEastAsia" w:eastAsiaTheme="minorEastAsia"/>
          <w:b/>
          <w:color w:val="000000" w:themeColor="text1"/>
          <w:szCs w:val="21"/>
        </w:rPr>
      </w:pPr>
      <w:bookmarkStart w:id="345" w:name="_Toc14761"/>
      <w:bookmarkStart w:id="346" w:name="_Toc7277"/>
      <w:bookmarkStart w:id="347" w:name="_Toc50012882"/>
      <w:r>
        <w:rPr>
          <w:rFonts w:hint="eastAsia" w:asciiTheme="minorEastAsia" w:hAnsiTheme="minorEastAsia" w:eastAsiaTheme="minorEastAsia"/>
          <w:b/>
          <w:color w:val="000000" w:themeColor="text1"/>
          <w:szCs w:val="21"/>
        </w:rPr>
        <w:t>（七）投标无效的情形</w:t>
      </w:r>
      <w:bookmarkEnd w:id="323"/>
      <w:bookmarkEnd w:id="345"/>
      <w:bookmarkEnd w:id="346"/>
      <w:bookmarkEnd w:id="347"/>
    </w:p>
    <w:p w14:paraId="74A80BCC">
      <w:pPr>
        <w:snapToGrid w:val="0"/>
        <w:spacing w:line="440" w:lineRule="exact"/>
        <w:ind w:right="42" w:rightChars="20" w:firstLine="420" w:firstLineChars="200"/>
        <w:jc w:val="left"/>
        <w:outlineLvl w:val="0"/>
        <w:rPr>
          <w:rFonts w:asciiTheme="minorEastAsia" w:hAnsiTheme="minorEastAsia" w:eastAsiaTheme="minorEastAsia"/>
          <w:color w:val="000000" w:themeColor="text1"/>
          <w:szCs w:val="21"/>
        </w:rPr>
      </w:pPr>
      <w:bookmarkStart w:id="348" w:name="_Toc15046"/>
      <w:bookmarkStart w:id="349" w:name="_Toc32709"/>
      <w:bookmarkStart w:id="350" w:name="_Toc50012883"/>
      <w:r>
        <w:rPr>
          <w:rFonts w:hint="eastAsia" w:asciiTheme="minorEastAsia" w:hAnsiTheme="minorEastAsia" w:eastAsiaTheme="minorEastAsia"/>
          <w:color w:val="000000" w:themeColor="text1"/>
          <w:szCs w:val="21"/>
        </w:rPr>
        <w:t>根据《政府采购货物和服务招标投标管理办法》有下列情形之一的，视为投标人串通投标，其投标无效：</w:t>
      </w:r>
      <w:bookmarkEnd w:id="348"/>
      <w:bookmarkEnd w:id="349"/>
      <w:bookmarkEnd w:id="350"/>
    </w:p>
    <w:p w14:paraId="5407C52E">
      <w:pPr>
        <w:snapToGrid w:val="0"/>
        <w:spacing w:line="440" w:lineRule="exact"/>
        <w:ind w:right="42" w:rightChars="20" w:firstLine="420" w:firstLineChars="200"/>
        <w:jc w:val="left"/>
        <w:outlineLvl w:val="0"/>
        <w:rPr>
          <w:rFonts w:asciiTheme="minorEastAsia" w:hAnsiTheme="minorEastAsia" w:eastAsiaTheme="minorEastAsia"/>
          <w:color w:val="000000" w:themeColor="text1"/>
          <w:szCs w:val="21"/>
        </w:rPr>
      </w:pPr>
      <w:bookmarkStart w:id="351" w:name="_Toc11171"/>
      <w:bookmarkStart w:id="352" w:name="_Toc50012884"/>
      <w:bookmarkStart w:id="353" w:name="_Toc32178"/>
      <w:r>
        <w:rPr>
          <w:rFonts w:hint="eastAsia" w:asciiTheme="minorEastAsia" w:hAnsiTheme="minorEastAsia" w:eastAsiaTheme="minorEastAsia"/>
          <w:color w:val="000000" w:themeColor="text1"/>
          <w:szCs w:val="21"/>
        </w:rPr>
        <w:t>(一)不同投标人的投标文件由同一单位或者个人编制</w:t>
      </w:r>
      <w:bookmarkEnd w:id="351"/>
      <w:bookmarkEnd w:id="352"/>
      <w:r>
        <w:rPr>
          <w:rFonts w:hint="eastAsia" w:asciiTheme="minorEastAsia" w:hAnsiTheme="minorEastAsia" w:eastAsiaTheme="minorEastAsia"/>
          <w:color w:val="000000" w:themeColor="text1"/>
          <w:szCs w:val="21"/>
        </w:rPr>
        <w:t>；</w:t>
      </w:r>
      <w:bookmarkEnd w:id="353"/>
    </w:p>
    <w:p w14:paraId="6E2AC2BB">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(二)不同投标人委托同一单位或者个人办理投标事宜；</w:t>
      </w:r>
    </w:p>
    <w:p w14:paraId="06FEBF53">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(三)不同投标人的投标文件载明的项目管理成员或者联系人员为同一人；</w:t>
      </w:r>
    </w:p>
    <w:p w14:paraId="399F9EDA">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(四)不同投标人的投标文件异常一致或者投标报价呈规律性差异；</w:t>
      </w:r>
    </w:p>
    <w:p w14:paraId="70A1EE3A">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(五)不同投标人的投标文件相互混装；</w:t>
      </w:r>
    </w:p>
    <w:p w14:paraId="2BE1E0FD">
      <w:pPr>
        <w:snapToGrid w:val="0"/>
        <w:spacing w:line="440" w:lineRule="exact"/>
        <w:ind w:right="42" w:rightChars="20" w:firstLine="420" w:firstLineChars="200"/>
        <w:jc w:val="left"/>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实质上没有响应招标文件要求的投标将被视为无效投标。</w:t>
      </w:r>
    </w:p>
    <w:p w14:paraId="5A56E6E4">
      <w:pPr>
        <w:snapToGrid w:val="0"/>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1、</w:t>
      </w:r>
      <w:r>
        <w:rPr>
          <w:rFonts w:asciiTheme="minorEastAsia" w:hAnsiTheme="minorEastAsia" w:eastAsiaTheme="minorEastAsia"/>
          <w:b/>
          <w:bCs/>
          <w:color w:val="000000" w:themeColor="text1"/>
          <w:szCs w:val="21"/>
        </w:rPr>
        <w:t>电子投标文件解密失败的，且未在规定时间内提交备份投标文件的</w:t>
      </w:r>
      <w:r>
        <w:rPr>
          <w:rFonts w:hint="eastAsia" w:asciiTheme="minorEastAsia" w:hAnsiTheme="minorEastAsia" w:eastAsiaTheme="minorEastAsia"/>
          <w:b/>
          <w:bCs/>
          <w:color w:val="000000" w:themeColor="text1"/>
          <w:szCs w:val="21"/>
        </w:rPr>
        <w:t>。</w:t>
      </w:r>
    </w:p>
    <w:p w14:paraId="256CF716">
      <w:pPr>
        <w:snapToGrid w:val="0"/>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asciiTheme="minorEastAsia" w:hAnsiTheme="minorEastAsia" w:eastAsiaTheme="minorEastAsia"/>
          <w:b/>
          <w:bCs/>
          <w:color w:val="000000" w:themeColor="text1"/>
          <w:szCs w:val="21"/>
        </w:rPr>
        <w:t>2</w:t>
      </w:r>
      <w:r>
        <w:rPr>
          <w:rFonts w:hint="eastAsia" w:asciiTheme="minorEastAsia" w:hAnsiTheme="minorEastAsia" w:eastAsiaTheme="minorEastAsia"/>
          <w:b/>
          <w:bCs/>
          <w:color w:val="000000" w:themeColor="text1"/>
          <w:szCs w:val="21"/>
        </w:rPr>
        <w:t>、没有通过资格审查的，</w:t>
      </w:r>
      <w:r>
        <w:rPr>
          <w:rFonts w:asciiTheme="minorEastAsia" w:hAnsiTheme="minorEastAsia" w:eastAsiaTheme="minorEastAsia"/>
          <w:b/>
          <w:bCs/>
          <w:color w:val="000000" w:themeColor="text1"/>
          <w:szCs w:val="21"/>
        </w:rPr>
        <w:t>投标文件将被视为无效。</w:t>
      </w:r>
    </w:p>
    <w:p w14:paraId="0BF3E5EF">
      <w:pPr>
        <w:snapToGrid w:val="0"/>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asciiTheme="minorEastAsia" w:hAnsiTheme="minorEastAsia" w:eastAsiaTheme="minorEastAsia"/>
          <w:b/>
          <w:bCs/>
          <w:color w:val="000000" w:themeColor="text1"/>
          <w:szCs w:val="21"/>
        </w:rPr>
        <w:t>3</w:t>
      </w:r>
      <w:r>
        <w:rPr>
          <w:rFonts w:hint="eastAsia" w:asciiTheme="minorEastAsia" w:hAnsiTheme="minorEastAsia" w:eastAsiaTheme="minorEastAsia"/>
          <w:b/>
          <w:bCs/>
          <w:color w:val="000000" w:themeColor="text1"/>
          <w:szCs w:val="21"/>
        </w:rPr>
        <w:t>、</w:t>
      </w:r>
      <w:r>
        <w:rPr>
          <w:rFonts w:asciiTheme="minorEastAsia" w:hAnsiTheme="minorEastAsia" w:eastAsiaTheme="minorEastAsia"/>
          <w:b/>
          <w:bCs/>
          <w:color w:val="000000" w:themeColor="text1"/>
          <w:szCs w:val="21"/>
        </w:rPr>
        <w:t>在符合性审查和商务评审时，如发现下列情形之一的，投标文件将被视为无效：</w:t>
      </w:r>
    </w:p>
    <w:p w14:paraId="4E473460">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bCs/>
          <w:color w:val="000000" w:themeColor="text1"/>
          <w:szCs w:val="21"/>
        </w:rPr>
        <w:t>（1）</w:t>
      </w:r>
      <w:r>
        <w:rPr>
          <w:rFonts w:asciiTheme="minorEastAsia" w:hAnsiTheme="minorEastAsia" w:eastAsiaTheme="minorEastAsia"/>
          <w:color w:val="000000" w:themeColor="text1"/>
          <w:szCs w:val="21"/>
        </w:rPr>
        <w:t>电子投标文件未按规定要求提供电子签章的</w:t>
      </w:r>
      <w:r>
        <w:rPr>
          <w:rFonts w:hint="eastAsia" w:asciiTheme="minorEastAsia" w:hAnsiTheme="minorEastAsia" w:eastAsiaTheme="minorEastAsia"/>
          <w:color w:val="000000" w:themeColor="text1"/>
          <w:szCs w:val="21"/>
        </w:rPr>
        <w:t>；</w:t>
      </w:r>
    </w:p>
    <w:p w14:paraId="600DF62D">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在资信商务技术文件中出现报价的；</w:t>
      </w:r>
    </w:p>
    <w:p w14:paraId="4BC9A6A2">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）资格证明文件不全的，或者不符合招标文件标明的资格要求的</w:t>
      </w:r>
      <w:r>
        <w:rPr>
          <w:rFonts w:hint="eastAsia" w:asciiTheme="minorEastAsia" w:hAnsiTheme="minorEastAsia" w:eastAsiaTheme="minorEastAsia"/>
          <w:color w:val="000000" w:themeColor="text1"/>
          <w:szCs w:val="21"/>
        </w:rPr>
        <w:t>；</w:t>
      </w:r>
    </w:p>
    <w:p w14:paraId="0A1B308D">
      <w:pPr>
        <w:snapToGrid w:val="0"/>
        <w:spacing w:line="440" w:lineRule="exact"/>
        <w:ind w:right="42" w:rightChars="20" w:firstLine="420" w:firstLineChars="200"/>
        <w:jc w:val="left"/>
        <w:rPr>
          <w:rFonts w:asciiTheme="minorEastAsia" w:hAnsiTheme="minorEastAsia" w:eastAsiaTheme="minorEastAsia"/>
          <w:bCs/>
          <w:color w:val="000000" w:themeColor="text1"/>
          <w:kern w:val="0"/>
          <w:szCs w:val="21"/>
        </w:rPr>
      </w:pPr>
      <w:r>
        <w:rPr>
          <w:rFonts w:hint="eastAsia" w:asciiTheme="minorEastAsia" w:hAnsiTheme="minorEastAsia" w:eastAsiaTheme="minorEastAsia"/>
          <w:color w:val="000000" w:themeColor="text1"/>
          <w:szCs w:val="21"/>
        </w:rPr>
        <w:t>（4</w:t>
      </w:r>
      <w:r>
        <w:rPr>
          <w:rFonts w:asciiTheme="minorEastAsia" w:hAnsiTheme="minorEastAsia" w:eastAsiaTheme="minorEastAsia"/>
          <w:color w:val="000000" w:themeColor="text1"/>
          <w:szCs w:val="21"/>
        </w:rPr>
        <w:t>）投标文件无法定代表人签字</w:t>
      </w:r>
      <w:r>
        <w:rPr>
          <w:rFonts w:hint="eastAsia" w:asciiTheme="minorEastAsia" w:hAnsiTheme="minorEastAsia" w:eastAsiaTheme="minorEastAsia"/>
          <w:color w:val="000000" w:themeColor="text1"/>
          <w:szCs w:val="21"/>
        </w:rPr>
        <w:t>（或盖章）</w:t>
      </w:r>
      <w:r>
        <w:rPr>
          <w:rFonts w:asciiTheme="minorEastAsia" w:hAnsiTheme="minorEastAsia" w:eastAsiaTheme="minorEastAsia"/>
          <w:color w:val="000000" w:themeColor="text1"/>
          <w:szCs w:val="21"/>
        </w:rPr>
        <w:t>,或未</w:t>
      </w:r>
      <w:r>
        <w:rPr>
          <w:rFonts w:hint="eastAsia" w:asciiTheme="minorEastAsia" w:hAnsiTheme="minorEastAsia" w:eastAsiaTheme="minorEastAsia"/>
          <w:bCs/>
          <w:color w:val="000000" w:themeColor="text1"/>
          <w:kern w:val="0"/>
          <w:szCs w:val="21"/>
        </w:rPr>
        <w:t>提供法定代表人授权委托书、投标声明书或者填写项目不齐全的；</w:t>
      </w:r>
    </w:p>
    <w:p w14:paraId="7F99C434">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w:t>
      </w:r>
      <w:r>
        <w:rPr>
          <w:rFonts w:hint="eastAsia" w:asciiTheme="minorEastAsia" w:hAnsiTheme="minorEastAsia" w:eastAsiaTheme="minorEastAsia"/>
          <w:snapToGrid w:val="0"/>
          <w:color w:val="000000" w:themeColor="text1"/>
          <w:szCs w:val="21"/>
        </w:rPr>
        <w:t>5</w:t>
      </w:r>
      <w:r>
        <w:rPr>
          <w:rFonts w:asciiTheme="minorEastAsia" w:hAnsiTheme="minorEastAsia" w:eastAsiaTheme="minorEastAsia"/>
          <w:snapToGrid w:val="0"/>
          <w:color w:val="000000" w:themeColor="text1"/>
          <w:szCs w:val="21"/>
        </w:rPr>
        <w:t>）</w:t>
      </w:r>
      <w:r>
        <w:rPr>
          <w:rFonts w:asciiTheme="minorEastAsia" w:hAnsiTheme="minorEastAsia" w:eastAsiaTheme="minorEastAsia"/>
          <w:color w:val="000000" w:themeColor="text1"/>
          <w:szCs w:val="21"/>
        </w:rPr>
        <w:t>投标文件格式不规范、项目不齐全或者内容虚假的；</w:t>
      </w:r>
    </w:p>
    <w:p w14:paraId="047D93C5">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6</w:t>
      </w:r>
      <w:r>
        <w:rPr>
          <w:rFonts w:asciiTheme="minorEastAsia" w:hAnsiTheme="minorEastAsia" w:eastAsiaTheme="minorEastAsia"/>
          <w:color w:val="000000" w:themeColor="text1"/>
          <w:szCs w:val="21"/>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color w:val="000000" w:themeColor="text1"/>
          <w:szCs w:val="21"/>
        </w:rPr>
        <w:t>并</w:t>
      </w:r>
      <w:r>
        <w:rPr>
          <w:rFonts w:asciiTheme="minorEastAsia" w:hAnsiTheme="minorEastAsia" w:eastAsiaTheme="minorEastAsia"/>
          <w:color w:val="000000" w:themeColor="text1"/>
          <w:szCs w:val="21"/>
        </w:rPr>
        <w:t>允许其当场更正的笔误除外）</w:t>
      </w:r>
      <w:r>
        <w:rPr>
          <w:rFonts w:hint="eastAsia" w:asciiTheme="minorEastAsia" w:hAnsiTheme="minorEastAsia" w:eastAsiaTheme="minorEastAsia"/>
          <w:color w:val="000000" w:themeColor="text1"/>
          <w:szCs w:val="21"/>
        </w:rPr>
        <w:t>；</w:t>
      </w:r>
    </w:p>
    <w:p w14:paraId="3BF0B1DA">
      <w:pPr>
        <w:snapToGrid w:val="0"/>
        <w:spacing w:line="440" w:lineRule="exact"/>
        <w:ind w:right="42" w:rightChars="20" w:firstLine="420" w:firstLineChars="200"/>
        <w:jc w:val="left"/>
        <w:rPr>
          <w:rFonts w:asciiTheme="minorEastAsia" w:hAnsiTheme="minorEastAsia" w:eastAsiaTheme="minorEastAsia"/>
          <w:snapToGrid w:val="0"/>
          <w:color w:val="000000" w:themeColor="text1"/>
          <w:szCs w:val="21"/>
        </w:rPr>
      </w:pPr>
      <w:r>
        <w:rPr>
          <w:rFonts w:asciiTheme="minorEastAsia" w:hAnsiTheme="minorEastAsia" w:eastAsiaTheme="minorEastAsia"/>
          <w:color w:val="000000" w:themeColor="text1"/>
          <w:szCs w:val="21"/>
        </w:rPr>
        <w:t>（</w:t>
      </w:r>
      <w:r>
        <w:rPr>
          <w:rFonts w:hint="eastAsia" w:asciiTheme="minorEastAsia" w:hAnsiTheme="minorEastAsia" w:eastAsiaTheme="minorEastAsia"/>
          <w:snapToGrid w:val="0"/>
          <w:color w:val="000000" w:themeColor="text1"/>
          <w:szCs w:val="21"/>
        </w:rPr>
        <w:t>7</w:t>
      </w:r>
      <w:r>
        <w:rPr>
          <w:rFonts w:asciiTheme="minorEastAsia" w:hAnsiTheme="minorEastAsia" w:eastAsiaTheme="minorEastAsia"/>
          <w:snapToGrid w:val="0"/>
          <w:color w:val="000000" w:themeColor="text1"/>
          <w:szCs w:val="21"/>
        </w:rPr>
        <w:t>）投标有效期等商务条款不能满足招标文件要求的；</w:t>
      </w:r>
    </w:p>
    <w:p w14:paraId="357D9EB2">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8</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未实质性</w:t>
      </w:r>
      <w:r>
        <w:rPr>
          <w:rFonts w:asciiTheme="minorEastAsia" w:hAnsiTheme="minorEastAsia" w:eastAsiaTheme="minorEastAsia"/>
          <w:color w:val="000000" w:themeColor="text1"/>
          <w:szCs w:val="21"/>
        </w:rPr>
        <w:t>响应招标文件要求或者投标文件有招标方不能接受的附加条件的</w:t>
      </w:r>
      <w:r>
        <w:rPr>
          <w:rFonts w:hint="eastAsia" w:asciiTheme="minorEastAsia" w:hAnsiTheme="minorEastAsia" w:eastAsiaTheme="minorEastAsia"/>
          <w:color w:val="000000" w:themeColor="text1"/>
          <w:szCs w:val="21"/>
        </w:rPr>
        <w:t>；</w:t>
      </w:r>
    </w:p>
    <w:p w14:paraId="2847A2AC">
      <w:pPr>
        <w:pStyle w:val="21"/>
        <w:snapToGrid w:val="0"/>
        <w:spacing w:line="480" w:lineRule="exact"/>
        <w:ind w:firstLine="413" w:firstLineChars="196"/>
        <w:rPr>
          <w:rFonts w:hint="eastAsia" w:ascii="宋体" w:hAnsi="宋体" w:eastAsia="宋体" w:cs="Times New Roman"/>
          <w:b/>
          <w:bCs w:val="0"/>
          <w:color w:val="auto"/>
          <w:spacing w:val="0"/>
          <w:kern w:val="2"/>
          <w:sz w:val="21"/>
          <w:szCs w:val="21"/>
          <w:highlight w:val="none"/>
          <w:shd w:val="clear" w:color="auto" w:fill="FFFFFF"/>
          <w:lang w:val="en-US"/>
        </w:rPr>
      </w:pPr>
      <w:r>
        <w:rPr>
          <w:rFonts w:hint="eastAsia" w:ascii="宋体" w:hAnsi="宋体" w:eastAsia="宋体" w:cs="Times New Roman"/>
          <w:b/>
          <w:bCs w:val="0"/>
          <w:color w:val="auto"/>
          <w:spacing w:val="0"/>
          <w:kern w:val="2"/>
          <w:sz w:val="21"/>
          <w:szCs w:val="21"/>
          <w:highlight w:val="none"/>
          <w:shd w:val="clear" w:color="auto" w:fill="FFFFFF"/>
          <w:lang w:val="en-US" w:eastAsia="zh-CN"/>
        </w:rPr>
        <w:t>（9）不同供应商的电子投标（响应）文件上传计算机的网卡</w:t>
      </w:r>
      <w:r>
        <w:rPr>
          <w:rFonts w:hint="default" w:ascii="宋体" w:hAnsi="宋体" w:eastAsia="宋体" w:cs="Times New Roman"/>
          <w:b/>
          <w:bCs w:val="0"/>
          <w:color w:val="auto"/>
          <w:spacing w:val="0"/>
          <w:kern w:val="2"/>
          <w:sz w:val="21"/>
          <w:szCs w:val="21"/>
          <w:highlight w:val="none"/>
          <w:shd w:val="clear" w:color="auto" w:fill="FFFFFF"/>
          <w:lang w:val="en-US" w:eastAsia="zh-CN"/>
        </w:rPr>
        <w:t xml:space="preserve"> MAC </w:t>
      </w:r>
      <w:r>
        <w:rPr>
          <w:rFonts w:hint="eastAsia" w:ascii="宋体" w:hAnsi="宋体" w:eastAsia="宋体" w:cs="Times New Roman"/>
          <w:b/>
          <w:bCs w:val="0"/>
          <w:color w:val="auto"/>
          <w:spacing w:val="0"/>
          <w:kern w:val="2"/>
          <w:sz w:val="21"/>
          <w:szCs w:val="21"/>
          <w:highlight w:val="none"/>
          <w:shd w:val="clear" w:color="auto" w:fill="FFFFFF"/>
          <w:lang w:val="en-US" w:eastAsia="zh-CN"/>
        </w:rPr>
        <w:t>地址、</w:t>
      </w:r>
      <w:r>
        <w:rPr>
          <w:rFonts w:hint="default" w:ascii="宋体" w:hAnsi="宋体" w:eastAsia="宋体" w:cs="Times New Roman"/>
          <w:b/>
          <w:bCs w:val="0"/>
          <w:color w:val="auto"/>
          <w:spacing w:val="0"/>
          <w:kern w:val="2"/>
          <w:sz w:val="21"/>
          <w:szCs w:val="21"/>
          <w:highlight w:val="none"/>
          <w:shd w:val="clear" w:color="auto" w:fill="FFFFFF"/>
          <w:lang w:val="en-US" w:eastAsia="zh-CN"/>
        </w:rPr>
        <w:t xml:space="preserve"> CPU </w:t>
      </w:r>
      <w:r>
        <w:rPr>
          <w:rFonts w:hint="eastAsia" w:ascii="宋体" w:hAnsi="宋体" w:eastAsia="宋体" w:cs="Times New Roman"/>
          <w:b/>
          <w:bCs w:val="0"/>
          <w:color w:val="auto"/>
          <w:spacing w:val="0"/>
          <w:kern w:val="2"/>
          <w:sz w:val="21"/>
          <w:szCs w:val="21"/>
          <w:highlight w:val="none"/>
          <w:shd w:val="clear" w:color="auto" w:fill="FFFFFF"/>
          <w:lang w:val="en-US" w:eastAsia="zh-CN"/>
        </w:rPr>
        <w:t>序列号和硬盘序列号等硬件信息相同的；</w:t>
      </w:r>
    </w:p>
    <w:p w14:paraId="7ECAE2B0">
      <w:pPr>
        <w:pStyle w:val="21"/>
        <w:snapToGrid w:val="0"/>
        <w:spacing w:line="480" w:lineRule="exact"/>
        <w:ind w:firstLine="413" w:firstLineChars="196"/>
        <w:rPr>
          <w:rFonts w:hint="eastAsia" w:ascii="宋体" w:hAnsi="宋体" w:eastAsia="宋体" w:cs="Times New Roman"/>
          <w:b/>
          <w:bCs w:val="0"/>
          <w:color w:val="auto"/>
          <w:spacing w:val="0"/>
          <w:kern w:val="2"/>
          <w:sz w:val="21"/>
          <w:szCs w:val="21"/>
          <w:highlight w:val="none"/>
          <w:shd w:val="clear" w:color="auto" w:fill="FFFFFF"/>
          <w:lang w:val="en-US"/>
        </w:rPr>
      </w:pPr>
      <w:r>
        <w:rPr>
          <w:rFonts w:hint="eastAsia" w:ascii="宋体" w:hAnsi="宋体" w:eastAsia="宋体" w:cs="Times New Roman"/>
          <w:b/>
          <w:bCs w:val="0"/>
          <w:color w:val="auto"/>
          <w:spacing w:val="0"/>
          <w:kern w:val="2"/>
          <w:sz w:val="21"/>
          <w:szCs w:val="21"/>
          <w:highlight w:val="none"/>
          <w:shd w:val="clear" w:color="auto" w:fill="FFFFFF"/>
          <w:lang w:val="en-US" w:eastAsia="zh-CN"/>
        </w:rPr>
        <w:t>（10）上传的电子投标（响应）文件若出现使用本项目其他投标（响应）供应商的数字证书加息密的，或者加盖本项目其他投标（响应）供应商的电子印章的；</w:t>
      </w:r>
    </w:p>
    <w:p w14:paraId="5FDFF8BE">
      <w:pPr>
        <w:pStyle w:val="21"/>
        <w:snapToGrid w:val="0"/>
        <w:spacing w:line="480" w:lineRule="exact"/>
        <w:ind w:firstLine="413" w:firstLineChars="196"/>
        <w:rPr>
          <w:rFonts w:hint="eastAsia" w:ascii="宋体" w:hAnsi="宋体" w:eastAsia="宋体" w:cs="Times New Roman"/>
          <w:b/>
          <w:bCs w:val="0"/>
          <w:color w:val="auto"/>
          <w:spacing w:val="0"/>
          <w:kern w:val="2"/>
          <w:sz w:val="21"/>
          <w:szCs w:val="21"/>
          <w:highlight w:val="none"/>
          <w:shd w:val="clear" w:color="auto" w:fill="FFFFFF"/>
          <w:lang w:val="en-US"/>
        </w:rPr>
      </w:pPr>
      <w:r>
        <w:rPr>
          <w:rFonts w:hint="eastAsia" w:ascii="宋体" w:hAnsi="宋体" w:eastAsia="宋体" w:cs="Times New Roman"/>
          <w:b/>
          <w:bCs w:val="0"/>
          <w:color w:val="auto"/>
          <w:spacing w:val="0"/>
          <w:kern w:val="2"/>
          <w:sz w:val="21"/>
          <w:szCs w:val="21"/>
          <w:highlight w:val="none"/>
          <w:shd w:val="clear" w:color="auto" w:fill="FFFFFF"/>
          <w:lang w:val="en-US" w:eastAsia="zh-CN"/>
        </w:rPr>
        <w:t>（11）不同供应商的投标（响应）文件的内容存在三处（含）以上错误一致，且无法合理解释的；</w:t>
      </w:r>
    </w:p>
    <w:p w14:paraId="1201BDDC">
      <w:pPr>
        <w:pStyle w:val="21"/>
        <w:snapToGrid w:val="0"/>
        <w:spacing w:line="480" w:lineRule="exact"/>
        <w:ind w:firstLine="413" w:firstLineChars="196"/>
        <w:rPr>
          <w:rFonts w:hint="eastAsia" w:hAnsi="宋体"/>
          <w:b/>
          <w:bCs w:val="0"/>
          <w:color w:val="auto"/>
          <w:spacing w:val="0"/>
          <w:kern w:val="2"/>
          <w:sz w:val="21"/>
          <w:szCs w:val="21"/>
          <w:highlight w:val="none"/>
          <w:shd w:val="clear" w:color="auto" w:fill="FFFFFF"/>
        </w:rPr>
      </w:pPr>
      <w:r>
        <w:rPr>
          <w:rFonts w:hint="eastAsia" w:ascii="宋体" w:hAnsi="宋体" w:eastAsia="宋体" w:cs="Times New Roman"/>
          <w:b/>
          <w:bCs w:val="0"/>
          <w:color w:val="auto"/>
          <w:spacing w:val="0"/>
          <w:kern w:val="2"/>
          <w:sz w:val="21"/>
          <w:szCs w:val="21"/>
          <w:highlight w:val="none"/>
          <w:shd w:val="clear" w:color="auto" w:fill="FFFFFF"/>
          <w:lang w:val="en-US" w:eastAsia="zh-CN"/>
        </w:rPr>
        <w:t>（12）不同供应商联系人为同一人或不同联系人的联系电话一致，且无法合理解释的；</w:t>
      </w:r>
    </w:p>
    <w:p w14:paraId="0820505A">
      <w:pPr>
        <w:pStyle w:val="21"/>
        <w:snapToGrid w:val="0"/>
        <w:spacing w:line="480" w:lineRule="exact"/>
        <w:ind w:firstLine="411" w:firstLineChars="196"/>
        <w:rPr>
          <w:rFonts w:hint="eastAsia" w:hAnsi="宋体"/>
          <w:bCs/>
          <w:color w:val="auto"/>
          <w:spacing w:val="0"/>
          <w:kern w:val="2"/>
          <w:sz w:val="21"/>
          <w:szCs w:val="21"/>
          <w:highlight w:val="none"/>
          <w:shd w:val="clear" w:color="auto" w:fill="FFFFFF"/>
        </w:rPr>
      </w:pPr>
      <w:r>
        <w:rPr>
          <w:rFonts w:hint="eastAsia" w:hAnsi="宋体"/>
          <w:bCs/>
          <w:color w:val="auto"/>
          <w:spacing w:val="0"/>
          <w:kern w:val="2"/>
          <w:sz w:val="21"/>
          <w:szCs w:val="21"/>
          <w:highlight w:val="none"/>
          <w:shd w:val="clear" w:color="auto" w:fill="FFFFFF"/>
        </w:rPr>
        <w:t>（</w:t>
      </w:r>
      <w:r>
        <w:rPr>
          <w:rFonts w:hint="eastAsia" w:hAnsi="宋体"/>
          <w:bCs/>
          <w:color w:val="auto"/>
          <w:spacing w:val="0"/>
          <w:kern w:val="2"/>
          <w:sz w:val="21"/>
          <w:szCs w:val="21"/>
          <w:highlight w:val="none"/>
          <w:shd w:val="clear" w:color="auto" w:fill="FFFFFF"/>
          <w:lang w:val="en-US" w:eastAsia="zh-CN"/>
        </w:rPr>
        <w:t>13</w:t>
      </w:r>
      <w:r>
        <w:rPr>
          <w:rFonts w:hint="eastAsia" w:hAnsi="宋体"/>
          <w:bCs/>
          <w:color w:val="auto"/>
          <w:spacing w:val="0"/>
          <w:kern w:val="2"/>
          <w:sz w:val="21"/>
          <w:szCs w:val="21"/>
          <w:highlight w:val="none"/>
          <w:shd w:val="clear" w:color="auto" w:fill="FFFFFF"/>
        </w:rPr>
        <w:t>）不符合本招标文件中的实质性要求条款。</w:t>
      </w:r>
    </w:p>
    <w:p w14:paraId="31AF4D89">
      <w:pPr>
        <w:snapToGrid w:val="0"/>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3、</w:t>
      </w:r>
      <w:r>
        <w:rPr>
          <w:rFonts w:asciiTheme="minorEastAsia" w:hAnsiTheme="minorEastAsia" w:eastAsiaTheme="minorEastAsia"/>
          <w:b/>
          <w:bCs/>
          <w:color w:val="000000" w:themeColor="text1"/>
          <w:szCs w:val="21"/>
        </w:rPr>
        <w:t>在技术评审时，如发现下列情形之一的，投标文件将被视为无效：</w:t>
      </w:r>
    </w:p>
    <w:p w14:paraId="7E0626BD">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（1）未提供或未如实提供投标货物的技术参数，或者投标文件标明的响应或偏离与事实不符或虚假投标的；</w:t>
      </w:r>
    </w:p>
    <w:p w14:paraId="203AB51A">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asciiTheme="minorEastAsia" w:hAnsiTheme="minorEastAsia" w:eastAsiaTheme="minorEastAsia"/>
          <w:snapToGrid w:val="0"/>
          <w:color w:val="000000" w:themeColor="text1"/>
          <w:szCs w:val="21"/>
        </w:rPr>
        <w:t>明显不符合招标文件</w:t>
      </w:r>
      <w:r>
        <w:rPr>
          <w:rFonts w:hint="eastAsia" w:asciiTheme="minorEastAsia" w:hAnsiTheme="minorEastAsia" w:eastAsiaTheme="minorEastAsia"/>
          <w:snapToGrid w:val="0"/>
          <w:color w:val="000000" w:themeColor="text1"/>
          <w:szCs w:val="21"/>
        </w:rPr>
        <w:t>要求</w:t>
      </w:r>
      <w:r>
        <w:rPr>
          <w:rFonts w:asciiTheme="minorEastAsia" w:hAnsiTheme="minorEastAsia" w:eastAsiaTheme="minorEastAsia"/>
          <w:snapToGrid w:val="0"/>
          <w:color w:val="000000" w:themeColor="text1"/>
          <w:szCs w:val="21"/>
        </w:rPr>
        <w:t>的规格型号、质量标准，或者</w:t>
      </w:r>
      <w:r>
        <w:rPr>
          <w:rFonts w:hint="eastAsia" w:asciiTheme="minorEastAsia" w:hAnsiTheme="minorEastAsia" w:eastAsiaTheme="minorEastAsia"/>
          <w:snapToGrid w:val="0"/>
          <w:color w:val="000000" w:themeColor="text1"/>
          <w:szCs w:val="21"/>
        </w:rPr>
        <w:t>与</w:t>
      </w:r>
      <w:r>
        <w:rPr>
          <w:rFonts w:asciiTheme="minorEastAsia" w:hAnsiTheme="minorEastAsia" w:eastAsiaTheme="minorEastAsia"/>
          <w:color w:val="000000" w:themeColor="text1"/>
          <w:szCs w:val="21"/>
        </w:rPr>
        <w:t>招标文件中标“▲”的技术指标、主要功能项目发生实质性偏离的；</w:t>
      </w:r>
    </w:p>
    <w:p w14:paraId="522CAC3D">
      <w:pPr>
        <w:pStyle w:val="21"/>
        <w:snapToGrid w:val="0"/>
        <w:spacing w:line="440" w:lineRule="exact"/>
        <w:ind w:right="42" w:rightChars="20" w:firstLine="404" w:firstLineChars="200"/>
        <w:jc w:val="left"/>
        <w:rPr>
          <w:rFonts w:asciiTheme="minorEastAsia" w:hAnsiTheme="minorEastAsia" w:eastAsiaTheme="minorEastAsia"/>
          <w:color w:val="000000" w:themeColor="text1"/>
          <w:sz w:val="21"/>
          <w:szCs w:val="21"/>
        </w:rPr>
      </w:pPr>
      <w:r>
        <w:rPr>
          <w:rFonts w:asciiTheme="minorEastAsia" w:hAnsiTheme="minorEastAsia" w:eastAsiaTheme="minorEastAsia"/>
          <w:snapToGrid w:val="0"/>
          <w:color w:val="000000" w:themeColor="text1"/>
          <w:sz w:val="21"/>
          <w:szCs w:val="21"/>
        </w:rPr>
        <w:t>（</w:t>
      </w:r>
      <w:r>
        <w:rPr>
          <w:rFonts w:hint="eastAsia" w:asciiTheme="minorEastAsia" w:hAnsiTheme="minorEastAsia" w:eastAsiaTheme="minorEastAsia"/>
          <w:snapToGrid w:val="0"/>
          <w:color w:val="000000" w:themeColor="text1"/>
          <w:sz w:val="21"/>
          <w:szCs w:val="21"/>
        </w:rPr>
        <w:t>3</w:t>
      </w:r>
      <w:r>
        <w:rPr>
          <w:rFonts w:asciiTheme="minorEastAsia" w:hAnsiTheme="minorEastAsia" w:eastAsiaTheme="minorEastAsia"/>
          <w:snapToGrid w:val="0"/>
          <w:color w:val="000000" w:themeColor="text1"/>
          <w:sz w:val="21"/>
          <w:szCs w:val="21"/>
        </w:rPr>
        <w:t>）</w:t>
      </w:r>
      <w:r>
        <w:rPr>
          <w:rFonts w:asciiTheme="minorEastAsia" w:hAnsiTheme="minorEastAsia" w:eastAsiaTheme="minorEastAsia"/>
          <w:color w:val="000000" w:themeColor="text1"/>
          <w:sz w:val="21"/>
          <w:szCs w:val="21"/>
        </w:rPr>
        <w:t>投标技术方案不明确，存在一个或一个以上备选（替代）投标方案的；</w:t>
      </w:r>
    </w:p>
    <w:p w14:paraId="6B64D4E3">
      <w:pPr>
        <w:pStyle w:val="21"/>
        <w:snapToGrid w:val="0"/>
        <w:spacing w:line="440" w:lineRule="exact"/>
        <w:ind w:right="42" w:rightChars="20" w:firstLine="406" w:firstLineChars="200"/>
        <w:jc w:val="left"/>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4、</w:t>
      </w:r>
      <w:r>
        <w:rPr>
          <w:rFonts w:asciiTheme="minorEastAsia" w:hAnsiTheme="minorEastAsia" w:eastAsiaTheme="minorEastAsia"/>
          <w:b/>
          <w:bCs/>
          <w:color w:val="000000" w:themeColor="text1"/>
          <w:sz w:val="21"/>
          <w:szCs w:val="21"/>
        </w:rPr>
        <w:t>在报价评审时，如发现下列情形之一的，投标文件将被视为无效：</w:t>
      </w:r>
    </w:p>
    <w:p w14:paraId="0CE197E3">
      <w:pPr>
        <w:pStyle w:val="21"/>
        <w:snapToGrid w:val="0"/>
        <w:spacing w:line="440" w:lineRule="exact"/>
        <w:ind w:right="42" w:rightChars="20" w:firstLine="404" w:firstLineChars="200"/>
        <w:jc w:val="left"/>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（1）未采用人民币报价或者未按照招标文件标明的币种报价的；</w:t>
      </w:r>
    </w:p>
    <w:p w14:paraId="78F170CC">
      <w:pPr>
        <w:pStyle w:val="21"/>
        <w:snapToGrid w:val="0"/>
        <w:spacing w:line="440" w:lineRule="exact"/>
        <w:ind w:right="42" w:rightChars="20" w:firstLine="404" w:firstLineChars="200"/>
        <w:jc w:val="left"/>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（2）报价超出最高限价</w:t>
      </w:r>
      <w:r>
        <w:rPr>
          <w:rFonts w:hint="eastAsia" w:asciiTheme="minorEastAsia" w:hAnsiTheme="minorEastAsia" w:eastAsiaTheme="minorEastAsia"/>
          <w:color w:val="000000" w:themeColor="text1"/>
          <w:sz w:val="21"/>
          <w:szCs w:val="21"/>
        </w:rPr>
        <w:t>；</w:t>
      </w:r>
    </w:p>
    <w:p w14:paraId="2D624B24">
      <w:pPr>
        <w:pStyle w:val="21"/>
        <w:snapToGrid w:val="0"/>
        <w:spacing w:line="440" w:lineRule="exact"/>
        <w:ind w:right="42" w:rightChars="20" w:firstLine="404" w:firstLineChars="200"/>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（3）投标报价具有选择性，或者开标价格与投标文件承诺的优惠（折扣）价格不一致的。</w:t>
      </w:r>
    </w:p>
    <w:p w14:paraId="11A01CCE">
      <w:pPr>
        <w:pStyle w:val="21"/>
        <w:snapToGrid w:val="0"/>
        <w:spacing w:line="440" w:lineRule="exact"/>
        <w:ind w:right="42" w:rightChars="20" w:firstLine="406" w:firstLineChars="200"/>
        <w:jc w:val="left"/>
        <w:rPr>
          <w:rFonts w:asciiTheme="minorEastAsia" w:hAnsiTheme="minorEastAsia" w:eastAsiaTheme="minorEastAsia"/>
          <w:b/>
          <w:snapToGrid w:val="0"/>
          <w:color w:val="000000" w:themeColor="text1"/>
          <w:sz w:val="21"/>
          <w:szCs w:val="21"/>
        </w:rPr>
      </w:pPr>
      <w:r>
        <w:rPr>
          <w:rFonts w:hint="eastAsia" w:asciiTheme="minorEastAsia" w:hAnsiTheme="minorEastAsia" w:eastAsiaTheme="minorEastAsia"/>
          <w:b/>
          <w:color w:val="000000" w:themeColor="text1"/>
          <w:sz w:val="21"/>
          <w:szCs w:val="21"/>
        </w:rPr>
        <w:t>5、</w:t>
      </w:r>
      <w:r>
        <w:rPr>
          <w:rFonts w:asciiTheme="minorEastAsia" w:hAnsiTheme="minorEastAsia" w:eastAsiaTheme="minorEastAsia"/>
          <w:b/>
          <w:color w:val="000000" w:themeColor="text1"/>
          <w:sz w:val="21"/>
          <w:szCs w:val="21"/>
        </w:rPr>
        <w:t>被拒绝的投标文件为无效。</w:t>
      </w:r>
    </w:p>
    <w:p w14:paraId="1C9CFF6E">
      <w:pPr>
        <w:pStyle w:val="21"/>
        <w:snapToGrid w:val="0"/>
        <w:spacing w:line="440" w:lineRule="exact"/>
        <w:ind w:right="42" w:rightChars="20" w:firstLine="406" w:firstLineChars="200"/>
        <w:jc w:val="left"/>
        <w:outlineLvl w:val="1"/>
        <w:rPr>
          <w:rFonts w:asciiTheme="minorEastAsia" w:hAnsiTheme="minorEastAsia" w:eastAsiaTheme="minorEastAsia"/>
          <w:b/>
          <w:snapToGrid w:val="0"/>
          <w:color w:val="000000" w:themeColor="text1"/>
          <w:sz w:val="21"/>
          <w:szCs w:val="21"/>
        </w:rPr>
      </w:pPr>
      <w:bookmarkStart w:id="354" w:name="_Toc33535369"/>
      <w:bookmarkStart w:id="355" w:name="_Toc9286"/>
      <w:bookmarkStart w:id="356" w:name="_Toc50012885"/>
      <w:bookmarkStart w:id="357" w:name="_Toc13141"/>
      <w:r>
        <w:rPr>
          <w:rFonts w:hint="eastAsia" w:asciiTheme="minorEastAsia" w:hAnsiTheme="minorEastAsia" w:eastAsiaTheme="minorEastAsia"/>
          <w:b/>
          <w:color w:val="000000" w:themeColor="text1"/>
          <w:sz w:val="21"/>
          <w:szCs w:val="21"/>
        </w:rPr>
        <w:t>四、开标</w:t>
      </w:r>
      <w:bookmarkEnd w:id="354"/>
      <w:bookmarkEnd w:id="355"/>
      <w:bookmarkEnd w:id="356"/>
      <w:bookmarkEnd w:id="357"/>
    </w:p>
    <w:p w14:paraId="5018A4D4">
      <w:pPr>
        <w:pStyle w:val="26"/>
        <w:snapToGrid w:val="0"/>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asciiTheme="minorEastAsia" w:hAnsiTheme="minorEastAsia" w:eastAsiaTheme="minorEastAsia"/>
          <w:b/>
          <w:bCs/>
          <w:color w:val="000000" w:themeColor="text1"/>
          <w:szCs w:val="21"/>
        </w:rPr>
        <w:t>（一）开标准备</w:t>
      </w:r>
    </w:p>
    <w:p w14:paraId="05A03743">
      <w:pPr>
        <w:pStyle w:val="26"/>
        <w:snapToGrid w:val="0"/>
        <w:spacing w:line="440" w:lineRule="exact"/>
        <w:ind w:firstLine="420" w:firstLineChars="200"/>
        <w:rPr>
          <w:rFonts w:hAnsi="宋体" w:cs="宋体"/>
          <w:bCs/>
          <w:szCs w:val="21"/>
        </w:rPr>
      </w:pPr>
      <w:r>
        <w:rPr>
          <w:rFonts w:hint="eastAsia" w:hAnsi="宋体" w:cs="宋体"/>
          <w:bCs/>
          <w:szCs w:val="21"/>
        </w:rPr>
        <w:t>1、开标的准备工作由采购组织机构负责落实。</w:t>
      </w:r>
    </w:p>
    <w:p w14:paraId="2B3742E1">
      <w:pPr>
        <w:pStyle w:val="26"/>
        <w:snapToGrid w:val="0"/>
        <w:spacing w:line="440" w:lineRule="exact"/>
        <w:ind w:firstLine="420" w:firstLineChars="200"/>
        <w:rPr>
          <w:rFonts w:hAnsi="宋体" w:cs="宋体"/>
          <w:bCs/>
          <w:szCs w:val="21"/>
        </w:rPr>
      </w:pPr>
      <w:r>
        <w:rPr>
          <w:rFonts w:hint="eastAsia" w:hAnsi="宋体" w:cs="宋体"/>
          <w:bCs/>
          <w:szCs w:val="21"/>
        </w:rPr>
        <w:t>2、采购组织机构将按照招标文件规定的时间通过“政府采购云平台”组织开标、开启投标文件，所有供应商均</w:t>
      </w:r>
      <w:r>
        <w:rPr>
          <w:rFonts w:hint="eastAsia" w:hAnsi="宋体" w:cs="宋体"/>
          <w:b/>
          <w:szCs w:val="21"/>
        </w:rPr>
        <w:t>应当准时在线参加</w:t>
      </w:r>
      <w:r>
        <w:rPr>
          <w:rFonts w:hint="eastAsia" w:hAnsi="宋体" w:cs="宋体"/>
          <w:bCs/>
          <w:szCs w:val="21"/>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D0803C7">
      <w:pPr>
        <w:pStyle w:val="26"/>
        <w:snapToGrid w:val="0"/>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(二)采购人或者采购代理机构职责</w:t>
      </w:r>
    </w:p>
    <w:p w14:paraId="645E6E16">
      <w:pPr>
        <w:pStyle w:val="26"/>
        <w:snapToGrid w:val="0"/>
        <w:spacing w:line="440" w:lineRule="exact"/>
        <w:ind w:firstLine="420" w:firstLineChars="200"/>
        <w:rPr>
          <w:rFonts w:hAnsi="宋体" w:cs="宋体"/>
          <w:bCs/>
          <w:szCs w:val="21"/>
        </w:rPr>
      </w:pPr>
      <w:r>
        <w:rPr>
          <w:rFonts w:hint="eastAsia" w:hAnsi="宋体" w:cs="宋体"/>
          <w:bCs/>
          <w:szCs w:val="21"/>
        </w:rPr>
        <w:t>采购人或者采购代理机构负责组织评标工作，并履行下列职责：</w:t>
      </w:r>
    </w:p>
    <w:p w14:paraId="64C8BC1E">
      <w:pPr>
        <w:pStyle w:val="26"/>
        <w:snapToGrid w:val="0"/>
        <w:spacing w:line="440" w:lineRule="exact"/>
        <w:ind w:firstLine="420" w:firstLineChars="200"/>
        <w:rPr>
          <w:rFonts w:hAnsi="宋体" w:cs="宋体"/>
          <w:bCs/>
          <w:szCs w:val="21"/>
        </w:rPr>
      </w:pPr>
      <w:r>
        <w:rPr>
          <w:rFonts w:hint="eastAsia" w:hAnsi="宋体" w:cs="宋体"/>
          <w:bCs/>
          <w:szCs w:val="21"/>
        </w:rPr>
        <w:t>1、核对评审专家身份和采购人代表授权函，对评审专家在政府采购活动中的职责履行情况予以记录，并及时将有关违法违规行为向财政部门报告；</w:t>
      </w:r>
    </w:p>
    <w:p w14:paraId="5C808B31">
      <w:pPr>
        <w:pStyle w:val="26"/>
        <w:snapToGrid w:val="0"/>
        <w:spacing w:line="440" w:lineRule="exact"/>
        <w:ind w:firstLine="420" w:firstLineChars="200"/>
        <w:rPr>
          <w:rFonts w:hAnsi="宋体" w:cs="宋体"/>
          <w:bCs/>
          <w:szCs w:val="21"/>
        </w:rPr>
      </w:pPr>
      <w:r>
        <w:rPr>
          <w:rFonts w:hint="eastAsia" w:hAnsi="宋体" w:cs="宋体"/>
          <w:bCs/>
          <w:szCs w:val="21"/>
        </w:rPr>
        <w:t>2、宣布评标纪律；</w:t>
      </w:r>
    </w:p>
    <w:p w14:paraId="24452FAC">
      <w:pPr>
        <w:pStyle w:val="26"/>
        <w:snapToGrid w:val="0"/>
        <w:spacing w:line="440" w:lineRule="exact"/>
        <w:ind w:firstLine="420" w:firstLineChars="200"/>
        <w:rPr>
          <w:rFonts w:hAnsi="宋体" w:cs="宋体"/>
          <w:bCs/>
          <w:szCs w:val="21"/>
        </w:rPr>
      </w:pPr>
      <w:r>
        <w:rPr>
          <w:rFonts w:hint="eastAsia" w:hAnsi="宋体" w:cs="宋体"/>
          <w:bCs/>
          <w:szCs w:val="21"/>
        </w:rPr>
        <w:t>3、公布供应商名单，告知评审专家应当回避的情形；</w:t>
      </w:r>
    </w:p>
    <w:p w14:paraId="35C01AA2">
      <w:pPr>
        <w:pStyle w:val="26"/>
        <w:snapToGrid w:val="0"/>
        <w:spacing w:line="440" w:lineRule="exact"/>
        <w:ind w:firstLine="420" w:firstLineChars="200"/>
        <w:rPr>
          <w:rFonts w:hAnsi="宋体" w:cs="宋体"/>
          <w:bCs/>
          <w:szCs w:val="21"/>
        </w:rPr>
      </w:pPr>
      <w:r>
        <w:rPr>
          <w:rFonts w:hint="eastAsia" w:hAnsi="宋体" w:cs="宋体"/>
          <w:bCs/>
          <w:szCs w:val="21"/>
        </w:rPr>
        <w:t>4、组织评标委员会推选评标组长，采购人代表不得担任组长；</w:t>
      </w:r>
    </w:p>
    <w:p w14:paraId="14B13562">
      <w:pPr>
        <w:pStyle w:val="26"/>
        <w:snapToGrid w:val="0"/>
        <w:spacing w:line="440" w:lineRule="exact"/>
        <w:ind w:firstLine="420" w:firstLineChars="200"/>
        <w:rPr>
          <w:rFonts w:hAnsi="宋体" w:cs="宋体"/>
          <w:bCs/>
          <w:szCs w:val="21"/>
        </w:rPr>
      </w:pPr>
      <w:r>
        <w:rPr>
          <w:rFonts w:hint="eastAsia" w:hAnsi="宋体" w:cs="宋体"/>
          <w:bCs/>
          <w:szCs w:val="21"/>
        </w:rPr>
        <w:t>5、在评标期间采取必要的通讯管理措施，保证评标活动不受外界干扰；</w:t>
      </w:r>
    </w:p>
    <w:p w14:paraId="4E33D415">
      <w:pPr>
        <w:pStyle w:val="26"/>
        <w:snapToGrid w:val="0"/>
        <w:spacing w:line="440" w:lineRule="exact"/>
        <w:ind w:firstLine="420" w:firstLineChars="200"/>
        <w:rPr>
          <w:rFonts w:hAnsi="宋体" w:cs="宋体"/>
          <w:bCs/>
          <w:szCs w:val="21"/>
        </w:rPr>
      </w:pPr>
      <w:r>
        <w:rPr>
          <w:rFonts w:hint="eastAsia" w:hAnsi="宋体" w:cs="宋体"/>
          <w:bCs/>
          <w:szCs w:val="21"/>
        </w:rPr>
        <w:t>6、根据评标委员会的要求介绍政府采购相关政策法规、招标文件；</w:t>
      </w:r>
    </w:p>
    <w:p w14:paraId="5B52920C">
      <w:pPr>
        <w:pStyle w:val="26"/>
        <w:snapToGrid w:val="0"/>
        <w:spacing w:line="440" w:lineRule="exact"/>
        <w:ind w:firstLine="420" w:firstLineChars="200"/>
        <w:rPr>
          <w:rFonts w:hAnsi="宋体" w:cs="宋体"/>
          <w:bCs/>
          <w:szCs w:val="21"/>
        </w:rPr>
      </w:pPr>
      <w:r>
        <w:rPr>
          <w:rFonts w:hint="eastAsia" w:hAnsi="宋体" w:cs="宋体"/>
          <w:bCs/>
          <w:szCs w:val="21"/>
        </w:rPr>
        <w:t>7、维护评标秩序，监督评标委员会依照招标文件规定的评标程序、方法和标准进行独立评审，及时制止和纠正采购人代表、评审专家的倾向性言论或者违法违规行为；</w:t>
      </w:r>
    </w:p>
    <w:p w14:paraId="79658C81">
      <w:pPr>
        <w:pStyle w:val="26"/>
        <w:snapToGrid w:val="0"/>
        <w:spacing w:line="440" w:lineRule="exact"/>
        <w:ind w:firstLine="420" w:firstLineChars="200"/>
        <w:rPr>
          <w:rFonts w:hAnsi="宋体" w:cs="宋体"/>
          <w:bCs/>
          <w:szCs w:val="21"/>
        </w:rPr>
      </w:pPr>
      <w:r>
        <w:rPr>
          <w:rFonts w:hint="eastAsia" w:hAnsi="宋体" w:cs="宋体"/>
          <w:bCs/>
          <w:szCs w:val="21"/>
        </w:rPr>
        <w:t>8、核对评标结果，根据《政府采购货物和服务招标投标管理办法》，如有第六十四条规定情形的，要求评标委员会复核或者书面说明理由，评标委员会拒绝的，应予记录并向本级财政部门报告；</w:t>
      </w:r>
    </w:p>
    <w:p w14:paraId="2C487BC8">
      <w:pPr>
        <w:pStyle w:val="26"/>
        <w:snapToGrid w:val="0"/>
        <w:spacing w:line="440" w:lineRule="exact"/>
        <w:ind w:firstLine="420" w:firstLineChars="200"/>
        <w:rPr>
          <w:rFonts w:hAnsi="宋体" w:cs="宋体"/>
          <w:bCs/>
          <w:szCs w:val="21"/>
        </w:rPr>
      </w:pPr>
      <w:r>
        <w:rPr>
          <w:rFonts w:hint="eastAsia" w:hAnsi="宋体" w:cs="宋体"/>
          <w:bCs/>
          <w:szCs w:val="21"/>
        </w:rPr>
        <w:t>9、评审工作完成后，按照规定向评审专家支付劳务报酬和异地评审差旅费；</w:t>
      </w:r>
    </w:p>
    <w:p w14:paraId="1C09C571">
      <w:pPr>
        <w:pStyle w:val="26"/>
        <w:snapToGrid w:val="0"/>
        <w:spacing w:line="440" w:lineRule="exact"/>
        <w:ind w:firstLine="420" w:firstLineChars="200"/>
        <w:rPr>
          <w:rFonts w:hAnsi="宋体" w:cs="宋体"/>
          <w:bCs/>
          <w:szCs w:val="21"/>
        </w:rPr>
      </w:pPr>
      <w:r>
        <w:rPr>
          <w:rFonts w:hint="eastAsia" w:hAnsi="宋体" w:cs="宋体"/>
          <w:bCs/>
          <w:szCs w:val="21"/>
        </w:rPr>
        <w:t>10、处理与评标有关的其他事项。</w:t>
      </w:r>
    </w:p>
    <w:p w14:paraId="226D8035">
      <w:pPr>
        <w:pStyle w:val="26"/>
        <w:snapToGrid w:val="0"/>
        <w:spacing w:line="440" w:lineRule="exact"/>
        <w:ind w:right="42" w:rightChars="20" w:firstLine="406" w:firstLineChars="200"/>
        <w:jc w:val="left"/>
        <w:rPr>
          <w:rFonts w:asciiTheme="minorEastAsia" w:hAnsiTheme="minorEastAsia" w:eastAsiaTheme="minorEastAsia"/>
          <w:b/>
          <w:color w:val="000000" w:themeColor="text1"/>
          <w:spacing w:val="-4"/>
          <w:szCs w:val="21"/>
        </w:rPr>
      </w:pPr>
      <w:r>
        <w:rPr>
          <w:rFonts w:asciiTheme="minorEastAsia" w:hAnsiTheme="minorEastAsia" w:eastAsiaTheme="minorEastAsia"/>
          <w:b/>
          <w:color w:val="000000" w:themeColor="text1"/>
          <w:spacing w:val="-4"/>
          <w:szCs w:val="21"/>
        </w:rPr>
        <w:t>（</w:t>
      </w:r>
      <w:r>
        <w:rPr>
          <w:rFonts w:hint="eastAsia" w:asciiTheme="minorEastAsia" w:hAnsiTheme="minorEastAsia" w:eastAsiaTheme="minorEastAsia"/>
          <w:b/>
          <w:color w:val="000000" w:themeColor="text1"/>
          <w:spacing w:val="-4"/>
          <w:szCs w:val="21"/>
        </w:rPr>
        <w:t>三</w:t>
      </w:r>
      <w:r>
        <w:rPr>
          <w:rFonts w:asciiTheme="minorEastAsia" w:hAnsiTheme="minorEastAsia" w:eastAsiaTheme="minorEastAsia"/>
          <w:b/>
          <w:color w:val="000000" w:themeColor="text1"/>
          <w:spacing w:val="-4"/>
          <w:szCs w:val="21"/>
        </w:rPr>
        <w:t>）</w:t>
      </w:r>
      <w:r>
        <w:rPr>
          <w:rFonts w:hint="eastAsia" w:asciiTheme="minorEastAsia" w:hAnsiTheme="minorEastAsia" w:eastAsiaTheme="minorEastAsia"/>
          <w:b/>
          <w:color w:val="000000" w:themeColor="text1"/>
          <w:spacing w:val="-4"/>
          <w:szCs w:val="21"/>
        </w:rPr>
        <w:t>开标流程</w:t>
      </w:r>
    </w:p>
    <w:p w14:paraId="2AF8D02C">
      <w:pPr>
        <w:spacing w:line="440" w:lineRule="exact"/>
        <w:ind w:firstLine="422" w:firstLineChars="200"/>
        <w:jc w:val="left"/>
        <w:rPr>
          <w:rFonts w:ascii="宋体" w:hAnsi="宋体" w:cs="宋体"/>
          <w:b/>
          <w:kern w:val="0"/>
          <w:szCs w:val="21"/>
        </w:rPr>
      </w:pPr>
      <w:r>
        <w:rPr>
          <w:rFonts w:hint="eastAsia" w:ascii="宋体" w:hAnsi="宋体" w:cs="宋体"/>
          <w:b/>
          <w:kern w:val="0"/>
          <w:szCs w:val="21"/>
        </w:rPr>
        <w:t>1、开标第一阶段</w:t>
      </w:r>
    </w:p>
    <w:p w14:paraId="06F4ED3C">
      <w:pPr>
        <w:spacing w:line="440" w:lineRule="exact"/>
        <w:ind w:firstLine="420" w:firstLineChars="200"/>
        <w:jc w:val="left"/>
        <w:rPr>
          <w:rFonts w:ascii="宋体" w:hAnsi="宋体" w:cs="宋体"/>
          <w:kern w:val="0"/>
          <w:szCs w:val="21"/>
        </w:rPr>
      </w:pPr>
      <w:r>
        <w:rPr>
          <w:rFonts w:hint="eastAsia" w:ascii="宋体" w:hAnsi="宋体" w:cs="宋体"/>
          <w:kern w:val="0"/>
          <w:szCs w:val="21"/>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9CF8CBE">
      <w:pPr>
        <w:spacing w:line="440" w:lineRule="exact"/>
        <w:ind w:firstLine="420" w:firstLineChars="200"/>
        <w:jc w:val="left"/>
        <w:rPr>
          <w:rFonts w:ascii="宋体" w:hAnsi="宋体" w:cs="宋体"/>
          <w:kern w:val="0"/>
          <w:szCs w:val="21"/>
        </w:rPr>
      </w:pPr>
      <w:r>
        <w:rPr>
          <w:rFonts w:hint="eastAsia" w:ascii="宋体" w:hAnsi="宋体" w:cs="宋体"/>
          <w:kern w:val="0"/>
          <w:szCs w:val="21"/>
        </w:rPr>
        <w:t>（2）投标文件解密成功后，进入资格审查；</w:t>
      </w:r>
    </w:p>
    <w:p w14:paraId="323DEA46">
      <w:pPr>
        <w:spacing w:line="440" w:lineRule="exact"/>
        <w:ind w:firstLine="420" w:firstLineChars="200"/>
        <w:jc w:val="left"/>
        <w:rPr>
          <w:rFonts w:ascii="宋体" w:hAnsi="宋体" w:cs="宋体"/>
          <w:kern w:val="0"/>
          <w:szCs w:val="21"/>
        </w:rPr>
      </w:pPr>
      <w:r>
        <w:rPr>
          <w:rFonts w:hint="eastAsia" w:ascii="宋体" w:hAnsi="宋体" w:cs="宋体"/>
          <w:kern w:val="0"/>
          <w:szCs w:val="21"/>
        </w:rPr>
        <w:t>（3）开启资格审查通过的投标供应商的商务资信技术文件进入符合性审查、商务资信技术评审；</w:t>
      </w:r>
    </w:p>
    <w:p w14:paraId="1F0793A6">
      <w:pPr>
        <w:spacing w:line="440" w:lineRule="exact"/>
        <w:ind w:firstLine="420" w:firstLineChars="200"/>
        <w:jc w:val="left"/>
        <w:rPr>
          <w:rFonts w:ascii="宋体" w:hAnsi="宋体" w:cs="宋体"/>
          <w:kern w:val="0"/>
          <w:szCs w:val="21"/>
        </w:rPr>
      </w:pPr>
      <w:r>
        <w:rPr>
          <w:rFonts w:hint="eastAsia" w:ascii="宋体" w:hAnsi="宋体" w:cs="宋体"/>
          <w:kern w:val="0"/>
          <w:szCs w:val="21"/>
        </w:rPr>
        <w:t>（4）第一阶段开标结束。</w:t>
      </w:r>
    </w:p>
    <w:p w14:paraId="05D9214D">
      <w:pPr>
        <w:spacing w:line="440" w:lineRule="exact"/>
        <w:ind w:firstLine="422" w:firstLineChars="200"/>
        <w:jc w:val="left"/>
        <w:rPr>
          <w:rFonts w:ascii="宋体" w:hAnsi="宋体" w:cs="宋体"/>
          <w:b/>
          <w:kern w:val="0"/>
          <w:szCs w:val="21"/>
        </w:rPr>
      </w:pPr>
      <w:r>
        <w:rPr>
          <w:rFonts w:hint="eastAsia" w:ascii="宋体" w:hAnsi="宋体" w:cs="宋体"/>
          <w:b/>
          <w:kern w:val="0"/>
          <w:szCs w:val="21"/>
        </w:rPr>
        <w:t>备注：开标第一阶段结束后，评审小组将对依法对投标供应商的资格进行审查，资格审查结束后进入符合性审查和商务资信技术的评审工作。</w:t>
      </w:r>
    </w:p>
    <w:p w14:paraId="5F62D7B4">
      <w:pPr>
        <w:spacing w:line="440" w:lineRule="exact"/>
        <w:ind w:firstLine="422" w:firstLineChars="200"/>
        <w:jc w:val="left"/>
        <w:rPr>
          <w:rFonts w:ascii="宋体" w:hAnsi="宋体" w:cs="宋体"/>
          <w:b/>
          <w:kern w:val="0"/>
          <w:szCs w:val="21"/>
        </w:rPr>
      </w:pPr>
      <w:r>
        <w:rPr>
          <w:rFonts w:hint="eastAsia" w:ascii="宋体" w:hAnsi="宋体" w:cs="宋体"/>
          <w:b/>
          <w:kern w:val="0"/>
          <w:szCs w:val="21"/>
        </w:rPr>
        <w:t>2、开标第二阶段</w:t>
      </w:r>
    </w:p>
    <w:p w14:paraId="2595BC87">
      <w:pPr>
        <w:spacing w:line="440" w:lineRule="exact"/>
        <w:ind w:firstLine="420" w:firstLineChars="200"/>
        <w:jc w:val="left"/>
        <w:rPr>
          <w:rFonts w:ascii="宋体" w:hAnsi="宋体" w:cs="宋体"/>
          <w:kern w:val="0"/>
          <w:szCs w:val="21"/>
        </w:rPr>
      </w:pPr>
      <w:r>
        <w:rPr>
          <w:rFonts w:hint="eastAsia" w:ascii="宋体" w:hAnsi="宋体" w:cs="宋体"/>
          <w:kern w:val="0"/>
          <w:szCs w:val="21"/>
        </w:rPr>
        <w:t>（1）符合性审查、商务资信技术评审结束后，举行开标第二阶段。</w:t>
      </w:r>
    </w:p>
    <w:p w14:paraId="5AD7B44B">
      <w:pPr>
        <w:spacing w:line="440" w:lineRule="exact"/>
        <w:ind w:firstLine="420" w:firstLineChars="200"/>
        <w:jc w:val="left"/>
        <w:rPr>
          <w:rFonts w:ascii="宋体" w:hAnsi="宋体" w:cs="宋体"/>
          <w:kern w:val="0"/>
          <w:szCs w:val="21"/>
        </w:rPr>
      </w:pPr>
      <w:r>
        <w:rPr>
          <w:rFonts w:hint="eastAsia" w:ascii="宋体" w:hAnsi="宋体" w:cs="宋体"/>
          <w:kern w:val="0"/>
          <w:szCs w:val="21"/>
        </w:rPr>
        <w:t>（2）开启符合性审查、商务资信技术评审有效投标供应商的《报价文件》，由评标委员会对报价的合理性、准确性等进行审查核实。</w:t>
      </w:r>
    </w:p>
    <w:p w14:paraId="5C9F4CB2">
      <w:pPr>
        <w:spacing w:line="440" w:lineRule="exact"/>
        <w:ind w:firstLine="420" w:firstLineChars="200"/>
        <w:jc w:val="left"/>
        <w:rPr>
          <w:rFonts w:ascii="宋体" w:hAnsi="宋体" w:cs="宋体"/>
          <w:kern w:val="0"/>
          <w:szCs w:val="21"/>
        </w:rPr>
      </w:pPr>
      <w:r>
        <w:rPr>
          <w:rFonts w:hint="eastAsia" w:ascii="宋体" w:hAnsi="宋体" w:cs="宋体"/>
          <w:kern w:val="0"/>
          <w:szCs w:val="21"/>
        </w:rPr>
        <w:t>（3）评审结束后，公布中标（成交）候选供应商名单。</w:t>
      </w:r>
    </w:p>
    <w:p w14:paraId="3E24373D">
      <w:pPr>
        <w:spacing w:line="440" w:lineRule="exact"/>
        <w:ind w:firstLine="420" w:firstLineChars="200"/>
        <w:jc w:val="left"/>
        <w:rPr>
          <w:rFonts w:ascii="宋体" w:hAnsi="宋体" w:cs="宋体"/>
          <w:kern w:val="0"/>
          <w:szCs w:val="21"/>
        </w:rPr>
      </w:pPr>
      <w:r>
        <w:rPr>
          <w:rFonts w:hint="eastAsia" w:ascii="宋体" w:hAnsi="宋体" w:cs="宋体"/>
          <w:kern w:val="0"/>
          <w:szCs w:val="21"/>
        </w:rPr>
        <w:t>（4）评标结束。</w:t>
      </w:r>
    </w:p>
    <w:p w14:paraId="4C1E33A1">
      <w:pPr>
        <w:spacing w:line="440" w:lineRule="exact"/>
        <w:ind w:firstLine="422" w:firstLineChars="200"/>
        <w:jc w:val="left"/>
        <w:rPr>
          <w:rFonts w:ascii="宋体" w:hAnsi="宋体" w:cs="宋体"/>
          <w:b/>
          <w:kern w:val="0"/>
          <w:szCs w:val="21"/>
        </w:rPr>
      </w:pPr>
      <w:r>
        <w:rPr>
          <w:rFonts w:hint="eastAsia" w:ascii="宋体" w:hAnsi="宋体" w:cs="宋体"/>
          <w:b/>
          <w:kern w:val="0"/>
          <w:szCs w:val="21"/>
        </w:rPr>
        <w:t>特别说明：如遇“政府采购云平台”电子化开标或评审程序调整的，按调整后程序执行。</w:t>
      </w:r>
    </w:p>
    <w:p w14:paraId="524478D1">
      <w:pPr>
        <w:spacing w:line="440" w:lineRule="exact"/>
        <w:ind w:right="42" w:rightChars="20" w:firstLine="422" w:firstLineChars="200"/>
        <w:jc w:val="left"/>
        <w:rPr>
          <w:rFonts w:asciiTheme="minorEastAsia" w:hAnsiTheme="minorEastAsia" w:eastAsiaTheme="minorEastAsia"/>
          <w:b/>
          <w:color w:val="000000" w:themeColor="text1"/>
          <w:szCs w:val="21"/>
        </w:rPr>
      </w:pPr>
      <w:bookmarkStart w:id="358" w:name="_Toc33194393"/>
      <w:bookmarkStart w:id="359" w:name="_Toc24550037"/>
      <w:r>
        <w:rPr>
          <w:rFonts w:hint="eastAsia" w:asciiTheme="minorEastAsia" w:hAnsiTheme="minorEastAsia" w:eastAsiaTheme="minorEastAsia"/>
          <w:b/>
          <w:color w:val="000000" w:themeColor="text1"/>
          <w:szCs w:val="21"/>
        </w:rPr>
        <w:t>（四）投标人资格审查</w:t>
      </w:r>
      <w:bookmarkEnd w:id="358"/>
      <w:bookmarkEnd w:id="359"/>
    </w:p>
    <w:p w14:paraId="10E4593F">
      <w:pPr>
        <w:spacing w:line="440" w:lineRule="exact"/>
        <w:ind w:firstLine="422" w:firstLineChars="200"/>
        <w:rPr>
          <w:rFonts w:ascii="宋体" w:hAnsi="宋体" w:cs="宋体"/>
          <w:szCs w:val="21"/>
        </w:rPr>
      </w:pPr>
      <w:r>
        <w:rPr>
          <w:rFonts w:hint="eastAsia" w:ascii="宋体" w:hAnsi="宋体" w:cs="宋体"/>
          <w:b/>
          <w:szCs w:val="21"/>
        </w:rPr>
        <w:t>1、开标第一阶段结束后，评审小组首先依法对各投标供应商的资格进行审查，审查各投标供应商的资格是否满足招标文件的要求。</w:t>
      </w:r>
      <w:r>
        <w:rPr>
          <w:rFonts w:hint="eastAsia" w:ascii="宋体" w:hAnsi="宋体" w:cs="宋体"/>
          <w:szCs w:val="21"/>
        </w:rPr>
        <w:t>评审小组对投标供应商所提交的资格证明材料仅负审核的责任。如发现投标供应商所提交的资格证明材料不合法或与事实不符，采购人可取消其中标资格并追究投标供应商的法律责任。</w:t>
      </w:r>
    </w:p>
    <w:p w14:paraId="1BED1026">
      <w:pPr>
        <w:spacing w:line="440" w:lineRule="exact"/>
        <w:ind w:firstLine="422" w:firstLineChars="200"/>
        <w:rPr>
          <w:rFonts w:ascii="宋体" w:hAnsi="宋体" w:cs="宋体"/>
          <w:b/>
          <w:kern w:val="0"/>
          <w:szCs w:val="21"/>
        </w:rPr>
      </w:pPr>
      <w:r>
        <w:rPr>
          <w:rFonts w:hint="eastAsia" w:ascii="宋体" w:hAnsi="宋体" w:cs="宋体"/>
          <w:b/>
          <w:szCs w:val="21"/>
        </w:rPr>
        <w:t>2、投标供应商提交的资格证明材料无法证明其符合招标文件规定的“投标供应商资格要求”的，评审小组</w:t>
      </w:r>
      <w:r>
        <w:rPr>
          <w:rFonts w:hint="eastAsia" w:ascii="宋体" w:hAnsi="宋体" w:cs="宋体"/>
          <w:b/>
          <w:kern w:val="0"/>
          <w:szCs w:val="21"/>
        </w:rPr>
        <w:t>将对其作资格审查不通过处理（无效投标），并不再将其投标提交评标委员会进行后续评审。</w:t>
      </w:r>
    </w:p>
    <w:p w14:paraId="0ADB5042">
      <w:pPr>
        <w:spacing w:line="440" w:lineRule="exact"/>
        <w:ind w:right="42" w:rightChars="20" w:firstLine="422" w:firstLineChars="200"/>
        <w:jc w:val="left"/>
        <w:rPr>
          <w:rFonts w:cs="宋体" w:asciiTheme="minorEastAsia" w:hAnsiTheme="minorEastAsia" w:eastAsiaTheme="minorEastAsia"/>
          <w:color w:val="000000" w:themeColor="text1"/>
          <w:kern w:val="0"/>
          <w:szCs w:val="21"/>
        </w:rPr>
      </w:pPr>
      <w:r>
        <w:rPr>
          <w:rFonts w:hint="eastAsia" w:ascii="宋体" w:hAnsi="宋体" w:cs="宋体"/>
          <w:b/>
          <w:kern w:val="0"/>
          <w:szCs w:val="21"/>
        </w:rPr>
        <w:t>3、单位负责人为同一人或者存在直接控股、管理关系的不同供应商参加同一合同项下的政府采购活动的，相关投标供应商均作资格无效处理。</w:t>
      </w:r>
    </w:p>
    <w:p w14:paraId="7DDCC5CB">
      <w:pPr>
        <w:pStyle w:val="26"/>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360" w:name="_Toc25507"/>
      <w:bookmarkStart w:id="361" w:name="_Toc50012886"/>
      <w:bookmarkStart w:id="362" w:name="_Toc3032"/>
      <w:bookmarkStart w:id="363" w:name="_Toc33535370"/>
      <w:r>
        <w:rPr>
          <w:rFonts w:hint="eastAsia" w:asciiTheme="minorEastAsia" w:hAnsiTheme="minorEastAsia" w:eastAsiaTheme="minorEastAsia"/>
          <w:b/>
          <w:color w:val="000000" w:themeColor="text1"/>
          <w:szCs w:val="21"/>
        </w:rPr>
        <w:t>五、评标</w:t>
      </w:r>
      <w:bookmarkEnd w:id="360"/>
      <w:bookmarkEnd w:id="361"/>
      <w:bookmarkEnd w:id="362"/>
      <w:bookmarkEnd w:id="363"/>
    </w:p>
    <w:p w14:paraId="7D0E6781">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（一）组建评标委员会</w:t>
      </w:r>
    </w:p>
    <w:p w14:paraId="3B52F26C">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评标委员会由采购人代表和评审专家组成，</w:t>
      </w:r>
      <w:r>
        <w:rPr>
          <w:rFonts w:asciiTheme="minorEastAsia" w:hAnsiTheme="minorEastAsia" w:eastAsiaTheme="minorEastAsia"/>
          <w:color w:val="000000" w:themeColor="text1"/>
          <w:szCs w:val="21"/>
        </w:rPr>
        <w:t>政府采购评审专家</w:t>
      </w:r>
      <w:r>
        <w:rPr>
          <w:rFonts w:hint="eastAsia" w:asciiTheme="minorEastAsia" w:hAnsiTheme="minorEastAsia" w:eastAsiaTheme="minorEastAsia"/>
          <w:color w:val="000000" w:themeColor="text1"/>
          <w:szCs w:val="21"/>
          <w:u w:val="single"/>
        </w:rPr>
        <w:t>4</w:t>
      </w:r>
      <w:r>
        <w:rPr>
          <w:rFonts w:asciiTheme="minorEastAsia" w:hAnsiTheme="minorEastAsia" w:eastAsiaTheme="minorEastAsia"/>
          <w:color w:val="000000" w:themeColor="text1"/>
          <w:szCs w:val="21"/>
        </w:rPr>
        <w:t>人和采购人代表</w:t>
      </w:r>
      <w:r>
        <w:rPr>
          <w:rFonts w:hint="eastAsia" w:asciiTheme="minorEastAsia" w:hAnsiTheme="minorEastAsia" w:eastAsiaTheme="minorEastAsia"/>
          <w:color w:val="000000" w:themeColor="text1"/>
          <w:szCs w:val="21"/>
          <w:u w:val="single"/>
        </w:rPr>
        <w:t>1</w:t>
      </w:r>
      <w:r>
        <w:rPr>
          <w:rFonts w:asciiTheme="minorEastAsia" w:hAnsiTheme="minorEastAsia" w:eastAsiaTheme="minorEastAsia"/>
          <w:color w:val="000000" w:themeColor="text1"/>
          <w:szCs w:val="21"/>
        </w:rPr>
        <w:t>人,共</w:t>
      </w:r>
      <w:r>
        <w:rPr>
          <w:rFonts w:hint="eastAsia" w:asciiTheme="minorEastAsia" w:hAnsiTheme="minorEastAsia" w:eastAsiaTheme="minorEastAsia"/>
          <w:color w:val="000000" w:themeColor="text1"/>
          <w:szCs w:val="21"/>
          <w:u w:val="single"/>
        </w:rPr>
        <w:t>5</w:t>
      </w:r>
      <w:r>
        <w:rPr>
          <w:rFonts w:asciiTheme="minorEastAsia" w:hAnsiTheme="minorEastAsia" w:eastAsiaTheme="minorEastAsia"/>
          <w:color w:val="000000" w:themeColor="text1"/>
          <w:szCs w:val="21"/>
        </w:rPr>
        <w:t>人组成。</w:t>
      </w:r>
    </w:p>
    <w:p w14:paraId="5E554218">
      <w:pPr>
        <w:widowControl/>
        <w:shd w:val="clear" w:color="auto" w:fill="FFFFFF"/>
        <w:spacing w:line="440" w:lineRule="exact"/>
        <w:ind w:right="42" w:rightChars="20" w:firstLine="420" w:firstLineChars="200"/>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评标委员会负责具体评标事务，并独立履行下列职责：</w:t>
      </w:r>
    </w:p>
    <w:p w14:paraId="46E51EBC">
      <w:pPr>
        <w:widowControl/>
        <w:shd w:val="clear" w:color="auto" w:fill="FFFFFF"/>
        <w:spacing w:line="440" w:lineRule="exact"/>
        <w:ind w:right="42" w:rightChars="20" w:firstLine="420" w:firstLineChars="200"/>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1、审查、评价投标文件是否符合招标文件的商务、技术等实质性要求;</w:t>
      </w:r>
    </w:p>
    <w:p w14:paraId="5AD7CFB9">
      <w:pPr>
        <w:widowControl/>
        <w:shd w:val="clear" w:color="auto" w:fill="FFFFFF"/>
        <w:spacing w:line="440" w:lineRule="exact"/>
        <w:ind w:right="42" w:rightChars="20" w:firstLine="420" w:firstLineChars="200"/>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2、要求投标人对投标文件有关事项作出澄清或者说明;</w:t>
      </w:r>
    </w:p>
    <w:p w14:paraId="2EAAC0D8">
      <w:pPr>
        <w:widowControl/>
        <w:shd w:val="clear" w:color="auto" w:fill="FFFFFF"/>
        <w:spacing w:line="440" w:lineRule="exact"/>
        <w:ind w:right="42" w:rightChars="20" w:firstLine="420" w:firstLineChars="200"/>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3、对投标文件进行比较和评价;</w:t>
      </w:r>
    </w:p>
    <w:p w14:paraId="7B29848F">
      <w:pPr>
        <w:widowControl/>
        <w:shd w:val="clear" w:color="auto" w:fill="FFFFFF"/>
        <w:spacing w:line="440" w:lineRule="exact"/>
        <w:ind w:right="42" w:rightChars="20" w:firstLine="420" w:firstLineChars="200"/>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4、确定中标候选人名单，以及根据采购人委托直接确定中标人;</w:t>
      </w:r>
    </w:p>
    <w:p w14:paraId="38B5B042">
      <w:pPr>
        <w:widowControl/>
        <w:shd w:val="clear" w:color="auto" w:fill="FFFFFF"/>
        <w:spacing w:line="440" w:lineRule="exact"/>
        <w:ind w:right="42" w:rightChars="20" w:firstLine="420" w:firstLineChars="200"/>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5、向采购人、采购代理机构或者有关部门报告评标中发现的违法行为。</w:t>
      </w:r>
    </w:p>
    <w:p w14:paraId="35D5DC78">
      <w:pPr>
        <w:widowControl/>
        <w:shd w:val="clear" w:color="auto" w:fill="FFFFFF"/>
        <w:spacing w:line="440" w:lineRule="exact"/>
        <w:ind w:right="42" w:rightChars="20" w:firstLine="422" w:firstLineChars="200"/>
        <w:jc w:val="left"/>
        <w:rPr>
          <w:rFonts w:cs="宋体" w:asciiTheme="minorEastAsia" w:hAnsiTheme="minorEastAsia" w:eastAsiaTheme="minorEastAsia"/>
          <w:b/>
          <w:color w:val="000000" w:themeColor="text1"/>
          <w:kern w:val="0"/>
          <w:szCs w:val="21"/>
        </w:rPr>
      </w:pPr>
      <w:r>
        <w:rPr>
          <w:rFonts w:hint="eastAsia" w:cs="宋体" w:asciiTheme="minorEastAsia" w:hAnsiTheme="minorEastAsia" w:eastAsiaTheme="minorEastAsia"/>
          <w:b/>
          <w:color w:val="000000" w:themeColor="text1"/>
          <w:kern w:val="0"/>
          <w:szCs w:val="21"/>
        </w:rPr>
        <w:t>除采购人代表、评标现场组织人员外，采购人的其他工作人员以及与评标工作无关的人员不得进入评标现场。</w:t>
      </w:r>
    </w:p>
    <w:p w14:paraId="310E5D33">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（二）评标的方式</w:t>
      </w:r>
    </w:p>
    <w:p w14:paraId="58F59BF3">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本项目采用不公开方式评标，评标的依据为招标文件和投标文件。</w:t>
      </w:r>
    </w:p>
    <w:p w14:paraId="48FFCF3A">
      <w:pPr>
        <w:pStyle w:val="26"/>
        <w:snapToGrid w:val="0"/>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asciiTheme="minorEastAsia" w:hAnsiTheme="minorEastAsia" w:eastAsiaTheme="minorEastAsia"/>
          <w:b/>
          <w:color w:val="000000" w:themeColor="text1"/>
          <w:szCs w:val="21"/>
        </w:rPr>
        <w:t>（三）</w:t>
      </w:r>
      <w:r>
        <w:rPr>
          <w:rFonts w:asciiTheme="minorEastAsia" w:hAnsiTheme="minorEastAsia" w:eastAsiaTheme="minorEastAsia"/>
          <w:b/>
          <w:bCs/>
          <w:color w:val="000000" w:themeColor="text1"/>
          <w:szCs w:val="21"/>
        </w:rPr>
        <w:t>评标程序</w:t>
      </w:r>
    </w:p>
    <w:p w14:paraId="1D3C6305">
      <w:pPr>
        <w:pStyle w:val="26"/>
        <w:snapToGrid w:val="0"/>
        <w:spacing w:line="440" w:lineRule="exact"/>
        <w:ind w:right="42" w:rightChars="20" w:firstLine="420" w:firstLineChars="200"/>
        <w:jc w:val="left"/>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采购人可以在评标前说明项目背景和采购需求，说明内容不得含有歧视性、倾向性意见，不得超出招标文件所述范围。说明应当提交书面材料，并随采购文件一并存档。</w:t>
      </w:r>
    </w:p>
    <w:p w14:paraId="34C28380">
      <w:pPr>
        <w:snapToGrid w:val="0"/>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asciiTheme="minorEastAsia" w:hAnsiTheme="minorEastAsia" w:eastAsiaTheme="minorEastAsia"/>
          <w:b/>
          <w:bCs/>
          <w:color w:val="000000" w:themeColor="text1"/>
          <w:szCs w:val="21"/>
        </w:rPr>
        <w:t>1</w:t>
      </w:r>
      <w:r>
        <w:rPr>
          <w:rFonts w:hint="eastAsia" w:asciiTheme="minorEastAsia" w:hAnsiTheme="minorEastAsia" w:eastAsiaTheme="minorEastAsia"/>
          <w:b/>
          <w:bCs/>
          <w:color w:val="000000" w:themeColor="text1"/>
          <w:szCs w:val="21"/>
        </w:rPr>
        <w:t>、</w:t>
      </w:r>
      <w:r>
        <w:rPr>
          <w:rFonts w:asciiTheme="minorEastAsia" w:hAnsiTheme="minorEastAsia" w:eastAsiaTheme="minorEastAsia"/>
          <w:b/>
          <w:bCs/>
          <w:color w:val="000000" w:themeColor="text1"/>
          <w:szCs w:val="21"/>
        </w:rPr>
        <w:t>形式审查</w:t>
      </w:r>
    </w:p>
    <w:p w14:paraId="688E33D7">
      <w:pPr>
        <w:snapToGrid w:val="0"/>
        <w:spacing w:line="440" w:lineRule="exact"/>
        <w:ind w:right="42" w:rightChars="20" w:firstLine="420" w:firstLineChars="200"/>
        <w:jc w:val="left"/>
        <w:rPr>
          <w:rFonts w:asciiTheme="minorEastAsia" w:hAnsiTheme="minorEastAsia" w:eastAsiaTheme="minorEastAsia"/>
          <w:bCs/>
          <w:color w:val="000000" w:themeColor="text1"/>
          <w:szCs w:val="21"/>
        </w:rPr>
      </w:pPr>
      <w:r>
        <w:rPr>
          <w:rFonts w:asciiTheme="minorEastAsia" w:hAnsiTheme="minorEastAsia" w:eastAsiaTheme="minorEastAsia"/>
          <w:bCs/>
          <w:color w:val="000000" w:themeColor="text1"/>
          <w:szCs w:val="21"/>
        </w:rPr>
        <w:t>形式审查</w:t>
      </w:r>
      <w:r>
        <w:rPr>
          <w:rFonts w:hint="eastAsia" w:asciiTheme="minorEastAsia" w:hAnsiTheme="minorEastAsia" w:eastAsiaTheme="minorEastAsia"/>
          <w:bCs/>
          <w:color w:val="000000" w:themeColor="text1"/>
          <w:szCs w:val="21"/>
        </w:rPr>
        <w:t>包括资格审查（除符合性审查以外的关于投标人资格条件等内容）和符合性审查，即对投标人的资格</w:t>
      </w:r>
      <w:r>
        <w:rPr>
          <w:rFonts w:asciiTheme="minorEastAsia" w:hAnsiTheme="minorEastAsia" w:eastAsiaTheme="minorEastAsia"/>
          <w:bCs/>
          <w:color w:val="000000" w:themeColor="text1"/>
          <w:szCs w:val="21"/>
        </w:rPr>
        <w:t>和投标文件的完整性、合法性等进行审查。</w:t>
      </w:r>
      <w:r>
        <w:rPr>
          <w:rFonts w:hint="eastAsia" w:asciiTheme="minorEastAsia" w:hAnsiTheme="minorEastAsia" w:eastAsiaTheme="minorEastAsia"/>
          <w:bCs/>
          <w:color w:val="000000" w:themeColor="text1"/>
          <w:szCs w:val="21"/>
        </w:rPr>
        <w:t>投标文件形式审查未通过的投标人，其投标文件将不再评审。</w:t>
      </w:r>
    </w:p>
    <w:p w14:paraId="35113259">
      <w:pPr>
        <w:snapToGrid w:val="0"/>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asciiTheme="minorEastAsia" w:hAnsiTheme="minorEastAsia" w:eastAsiaTheme="minorEastAsia"/>
          <w:b/>
          <w:bCs/>
          <w:color w:val="000000" w:themeColor="text1"/>
          <w:szCs w:val="21"/>
        </w:rPr>
        <w:t>2</w:t>
      </w:r>
      <w:r>
        <w:rPr>
          <w:rFonts w:hint="eastAsia" w:asciiTheme="minorEastAsia" w:hAnsiTheme="minorEastAsia" w:eastAsiaTheme="minorEastAsia"/>
          <w:b/>
          <w:bCs/>
          <w:color w:val="000000" w:themeColor="text1"/>
          <w:szCs w:val="21"/>
        </w:rPr>
        <w:t>、</w:t>
      </w:r>
      <w:r>
        <w:rPr>
          <w:rFonts w:asciiTheme="minorEastAsia" w:hAnsiTheme="minorEastAsia" w:eastAsiaTheme="minorEastAsia"/>
          <w:b/>
          <w:bCs/>
          <w:color w:val="000000" w:themeColor="text1"/>
          <w:szCs w:val="21"/>
        </w:rPr>
        <w:t>实质审查与比较</w:t>
      </w:r>
    </w:p>
    <w:p w14:paraId="510EF439">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1）评标委员会审查投标文件的实质性内容是否符合招标文件的实质性要求。</w:t>
      </w:r>
    </w:p>
    <w:p w14:paraId="19EDF97C">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2）评标委员会将根据投标人的投标文件进行审查、核对,如有疑问,将对投标人进行询标,投标人要向评标委员会澄清有关问题,并最终以书面形式进行答复。</w:t>
      </w:r>
    </w:p>
    <w:p w14:paraId="32A6FEB8">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询标</w:t>
      </w:r>
      <w:r>
        <w:rPr>
          <w:rFonts w:hint="eastAsia" w:asciiTheme="minorEastAsia" w:hAnsiTheme="minorEastAsia" w:eastAsiaTheme="minorEastAsia"/>
          <w:color w:val="000000" w:themeColor="text1"/>
          <w:szCs w:val="21"/>
        </w:rPr>
        <w:t>时，投标人代表未到场或者拒绝澄清或者澄清的内容改变了投标文件的实质性内容的，评标委员会有权对该投标文件作出不利于投标人的评判。</w:t>
      </w:r>
    </w:p>
    <w:p w14:paraId="022DF897">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3）各投标人的</w:t>
      </w:r>
      <w:r>
        <w:rPr>
          <w:rFonts w:hint="eastAsia" w:asciiTheme="minorEastAsia" w:hAnsiTheme="minorEastAsia" w:eastAsiaTheme="minorEastAsia"/>
          <w:color w:val="000000" w:themeColor="text1"/>
          <w:szCs w:val="21"/>
        </w:rPr>
        <w:t>资信商务及技术分按照评标委员会成员的独立评分结果汇后的算术平均分计算</w:t>
      </w:r>
      <w:r>
        <w:rPr>
          <w:rFonts w:asciiTheme="minorEastAsia" w:hAnsiTheme="minorEastAsia" w:eastAsiaTheme="minorEastAsia"/>
          <w:color w:val="000000" w:themeColor="text1"/>
          <w:szCs w:val="21"/>
        </w:rPr>
        <w:t>。</w:t>
      </w:r>
    </w:p>
    <w:p w14:paraId="27641191">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4）</w:t>
      </w:r>
      <w:r>
        <w:rPr>
          <w:rFonts w:hint="eastAsia" w:asciiTheme="minorEastAsia" w:hAnsiTheme="minorEastAsia" w:eastAsiaTheme="minorEastAsia"/>
          <w:color w:val="000000" w:themeColor="text1"/>
          <w:szCs w:val="21"/>
        </w:rPr>
        <w:t>采购代理机构工作人员协助</w:t>
      </w:r>
      <w:r>
        <w:rPr>
          <w:rFonts w:asciiTheme="minorEastAsia" w:hAnsiTheme="minorEastAsia" w:eastAsiaTheme="minorEastAsia"/>
          <w:color w:val="000000" w:themeColor="text1"/>
          <w:szCs w:val="21"/>
        </w:rPr>
        <w:t>评标委员会根据</w:t>
      </w:r>
      <w:r>
        <w:rPr>
          <w:rFonts w:hint="eastAsia" w:asciiTheme="minorEastAsia" w:hAnsiTheme="minorEastAsia" w:eastAsiaTheme="minorEastAsia"/>
          <w:color w:val="000000" w:themeColor="text1"/>
          <w:szCs w:val="21"/>
        </w:rPr>
        <w:t>本项目的评分标准操作政府采购业务系统，由系统</w:t>
      </w:r>
      <w:r>
        <w:rPr>
          <w:rFonts w:asciiTheme="minorEastAsia" w:hAnsiTheme="minorEastAsia" w:eastAsiaTheme="minorEastAsia"/>
          <w:color w:val="000000" w:themeColor="text1"/>
          <w:szCs w:val="21"/>
        </w:rPr>
        <w:t>计算各投标人的商务报价得分</w:t>
      </w:r>
      <w:r>
        <w:rPr>
          <w:rFonts w:hint="eastAsia" w:asciiTheme="minorEastAsia" w:hAnsiTheme="minorEastAsia" w:eastAsiaTheme="minorEastAsia"/>
          <w:color w:val="000000" w:themeColor="text1"/>
          <w:szCs w:val="21"/>
        </w:rPr>
        <w:t>。</w:t>
      </w:r>
    </w:p>
    <w:p w14:paraId="6EDF0AA0">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5）评标委员会完成评标后,评委对各部分得分汇总,</w:t>
      </w:r>
      <w:r>
        <w:rPr>
          <w:rFonts w:hint="eastAsia" w:asciiTheme="minorEastAsia" w:hAnsiTheme="minorEastAsia" w:eastAsiaTheme="minorEastAsia"/>
          <w:color w:val="000000" w:themeColor="text1"/>
          <w:szCs w:val="21"/>
        </w:rPr>
        <w:t>计算</w:t>
      </w:r>
      <w:r>
        <w:rPr>
          <w:rFonts w:asciiTheme="minorEastAsia" w:hAnsiTheme="minorEastAsia" w:eastAsiaTheme="minorEastAsia"/>
          <w:color w:val="000000" w:themeColor="text1"/>
          <w:szCs w:val="21"/>
        </w:rPr>
        <w:t>出本项目</w:t>
      </w:r>
      <w:r>
        <w:rPr>
          <w:rFonts w:hint="eastAsia" w:asciiTheme="minorEastAsia" w:hAnsiTheme="minorEastAsia" w:eastAsiaTheme="minorEastAsia"/>
          <w:color w:val="000000" w:themeColor="text1"/>
          <w:szCs w:val="21"/>
        </w:rPr>
        <w:t>最终得分、性价比、评标价等</w:t>
      </w:r>
      <w:r>
        <w:rPr>
          <w:rFonts w:asciiTheme="minorEastAsia" w:hAnsiTheme="minorEastAsia" w:eastAsiaTheme="minorEastAsia"/>
          <w:color w:val="000000" w:themeColor="text1"/>
          <w:szCs w:val="21"/>
        </w:rPr>
        <w:t>。评标委员会按评标原则推荐中标候选人同时起草评标报告。</w:t>
      </w:r>
    </w:p>
    <w:p w14:paraId="7D2CC384">
      <w:pPr>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（四）澄清问题的形式</w:t>
      </w:r>
    </w:p>
    <w:p w14:paraId="29742DB5">
      <w:pPr>
        <w:snapToGrid w:val="0"/>
        <w:spacing w:line="440" w:lineRule="exact"/>
        <w:ind w:right="42" w:rightChars="20" w:firstLine="420" w:firstLineChars="200"/>
        <w:jc w:val="left"/>
        <w:rPr>
          <w:rFonts w:cs="宋体" w:asciiTheme="minorEastAsia" w:hAnsiTheme="minorEastAsia" w:eastAsiaTheme="minorEastAsia"/>
          <w:color w:val="000000" w:themeColor="text1"/>
          <w:kern w:val="0"/>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kern w:val="0"/>
          <w:szCs w:val="21"/>
        </w:rPr>
        <w:t>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53306004">
      <w:pPr>
        <w:snapToGrid w:val="0"/>
        <w:spacing w:line="440" w:lineRule="exact"/>
        <w:ind w:right="42" w:rightChars="20" w:firstLine="420" w:firstLineChars="200"/>
        <w:jc w:val="left"/>
        <w:rPr>
          <w:rFonts w:cs="宋体" w:asciiTheme="minorEastAsia" w:hAnsiTheme="minorEastAsia" w:eastAsiaTheme="minorEastAsia"/>
          <w:color w:val="000000" w:themeColor="text1"/>
          <w:kern w:val="0"/>
          <w:szCs w:val="21"/>
        </w:rPr>
      </w:pP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kern w:val="0"/>
          <w:szCs w:val="21"/>
        </w:rPr>
        <w:t>投标人的澄清、说明或者补正应当采用书面（或通过“政府采购云平台”在线答复）形式提交，并加盖CA签章，或者由法定代表人或其授权的代表签字或盖章。投标人的澄清、说明或者补正不得超出投标文件的范围或者改变投标文件的实质性内容。</w:t>
      </w:r>
    </w:p>
    <w:p w14:paraId="064A5BAA">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（五）错误修正</w:t>
      </w:r>
    </w:p>
    <w:p w14:paraId="30556907">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投标文件如果出现计算或表达上的错误，修正错误的原则如下：</w:t>
      </w:r>
    </w:p>
    <w:p w14:paraId="3D329152">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投标文件的大写金额和小写金额不一致的，以大写金额为准；</w:t>
      </w:r>
    </w:p>
    <w:p w14:paraId="46D279DA">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总价金额与按单价汇总金额不一致的，以单价金额计算结果为准；</w:t>
      </w:r>
    </w:p>
    <w:p w14:paraId="4C63D378">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对不同文字文本投标文件的解释发生异议的，以中文文本为准。</w:t>
      </w:r>
    </w:p>
    <w:p w14:paraId="3D2C83DF">
      <w:pPr>
        <w:pStyle w:val="26"/>
        <w:tabs>
          <w:tab w:val="left" w:pos="630"/>
        </w:tabs>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（六）评标原则和评标办法</w:t>
      </w:r>
    </w:p>
    <w:p w14:paraId="3951CEA2">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EB015F6">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评标办法。本项目评标办法是</w:t>
      </w:r>
      <w:r>
        <w:rPr>
          <w:rFonts w:hint="eastAsia" w:asciiTheme="minorEastAsia" w:hAnsiTheme="minorEastAsia" w:eastAsiaTheme="minorEastAsia"/>
          <w:color w:val="000000" w:themeColor="text1"/>
          <w:szCs w:val="21"/>
        </w:rPr>
        <w:t xml:space="preserve"> 综合评标法</w:t>
      </w:r>
      <w:r>
        <w:rPr>
          <w:rFonts w:asciiTheme="minorEastAsia" w:hAnsiTheme="minorEastAsia" w:eastAsiaTheme="minorEastAsia"/>
          <w:color w:val="000000" w:themeColor="text1"/>
          <w:szCs w:val="21"/>
        </w:rPr>
        <w:t xml:space="preserve"> ，具体评标内容及评分标准等详见《第四章：评标办法及评分标准》。</w:t>
      </w:r>
    </w:p>
    <w:p w14:paraId="7E556090">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（七）评标过程的监控</w:t>
      </w:r>
    </w:p>
    <w:p w14:paraId="773BB735">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本项目评标过程实行全程录音、录像监控</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投标人在评标过程中所进行的</w:t>
      </w:r>
      <w:r>
        <w:rPr>
          <w:rFonts w:hint="eastAsia" w:asciiTheme="minorEastAsia" w:hAnsiTheme="minorEastAsia" w:eastAsiaTheme="minorEastAsia"/>
          <w:color w:val="000000" w:themeColor="text1"/>
          <w:szCs w:val="21"/>
        </w:rPr>
        <w:t>试</w:t>
      </w:r>
      <w:r>
        <w:rPr>
          <w:rFonts w:asciiTheme="minorEastAsia" w:hAnsiTheme="minorEastAsia" w:eastAsiaTheme="minorEastAsia"/>
          <w:color w:val="000000" w:themeColor="text1"/>
          <w:szCs w:val="21"/>
        </w:rPr>
        <w:t>图影响评标结果的不公正活动，可能导致其投标被拒绝。</w:t>
      </w:r>
    </w:p>
    <w:p w14:paraId="62FA5C0D">
      <w:pPr>
        <w:pStyle w:val="26"/>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364" w:name="_Toc33535371"/>
      <w:bookmarkStart w:id="365" w:name="_Toc14790"/>
      <w:bookmarkStart w:id="366" w:name="_Toc19997"/>
      <w:bookmarkStart w:id="367" w:name="_Toc50012887"/>
      <w:r>
        <w:rPr>
          <w:rFonts w:hint="eastAsia" w:asciiTheme="minorEastAsia" w:hAnsiTheme="minorEastAsia" w:eastAsiaTheme="minorEastAsia"/>
          <w:b/>
          <w:color w:val="000000" w:themeColor="text1"/>
          <w:szCs w:val="21"/>
        </w:rPr>
        <w:t>六、定标</w:t>
      </w:r>
      <w:bookmarkEnd w:id="364"/>
      <w:bookmarkEnd w:id="365"/>
      <w:bookmarkEnd w:id="366"/>
      <w:bookmarkEnd w:id="367"/>
    </w:p>
    <w:p w14:paraId="1F7F1989">
      <w:pPr>
        <w:pStyle w:val="26"/>
        <w:snapToGrid w:val="0"/>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（一）确定中标人。</w:t>
      </w:r>
    </w:p>
    <w:p w14:paraId="0036EB85">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、采购代理机构</w:t>
      </w:r>
      <w:r>
        <w:rPr>
          <w:rFonts w:asciiTheme="minorEastAsia" w:hAnsiTheme="minorEastAsia" w:eastAsiaTheme="minorEastAsia"/>
          <w:color w:val="000000" w:themeColor="text1"/>
          <w:szCs w:val="21"/>
        </w:rPr>
        <w:t>在评标结束后2个工作日内将评标报告交采购人确认，同时在发布招标公告的网站上对评标结果进行</w:t>
      </w:r>
      <w:r>
        <w:rPr>
          <w:rFonts w:hint="eastAsia" w:asciiTheme="minorEastAsia" w:hAnsiTheme="minorEastAsia" w:eastAsiaTheme="minorEastAsia"/>
          <w:color w:val="000000" w:themeColor="text1"/>
          <w:szCs w:val="21"/>
        </w:rPr>
        <w:t>公告</w:t>
      </w:r>
      <w:r>
        <w:rPr>
          <w:rFonts w:asciiTheme="minorEastAsia" w:hAnsiTheme="minorEastAsia" w:eastAsiaTheme="minorEastAsia"/>
          <w:color w:val="000000" w:themeColor="text1"/>
          <w:szCs w:val="21"/>
        </w:rPr>
        <w:t>。</w:t>
      </w:r>
    </w:p>
    <w:p w14:paraId="4F3D7CB2">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投标人对评标结果无异议的，采购人应在收到评标报告后5个工作日内对评标结果进行确认。如有投标人对评标结果提出质疑的，采购人可在质疑处理完毕后确定中标人。</w:t>
      </w:r>
    </w:p>
    <w:p w14:paraId="339AF43B">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 在公告中标结果的同时，采购代理机构向中标人发出中标通知书。</w:t>
      </w:r>
    </w:p>
    <w:p w14:paraId="7552F4EC">
      <w:pPr>
        <w:pStyle w:val="26"/>
        <w:snapToGrid w:val="0"/>
        <w:spacing w:line="440" w:lineRule="exact"/>
        <w:ind w:right="42" w:rightChars="20" w:firstLine="422" w:firstLineChars="200"/>
        <w:jc w:val="left"/>
        <w:outlineLvl w:val="1"/>
        <w:rPr>
          <w:rFonts w:asciiTheme="minorEastAsia" w:hAnsiTheme="minorEastAsia" w:eastAsiaTheme="minorEastAsia"/>
          <w:b/>
          <w:color w:val="000000" w:themeColor="text1"/>
          <w:szCs w:val="21"/>
        </w:rPr>
      </w:pPr>
      <w:bookmarkStart w:id="368" w:name="_Toc12843"/>
      <w:bookmarkStart w:id="369" w:name="_Toc5136"/>
      <w:bookmarkStart w:id="370" w:name="_Toc33535372"/>
      <w:bookmarkStart w:id="371" w:name="_Toc50012888"/>
      <w:r>
        <w:rPr>
          <w:rFonts w:hint="eastAsia" w:asciiTheme="minorEastAsia" w:hAnsiTheme="minorEastAsia" w:eastAsiaTheme="minorEastAsia"/>
          <w:b/>
          <w:color w:val="000000" w:themeColor="text1"/>
          <w:szCs w:val="21"/>
        </w:rPr>
        <w:t>七、合同授予</w:t>
      </w:r>
      <w:bookmarkEnd w:id="368"/>
      <w:bookmarkEnd w:id="369"/>
      <w:bookmarkEnd w:id="370"/>
      <w:bookmarkEnd w:id="371"/>
    </w:p>
    <w:p w14:paraId="3BEB4A90">
      <w:pPr>
        <w:snapToGrid w:val="0"/>
        <w:spacing w:line="440" w:lineRule="exact"/>
        <w:ind w:right="42" w:rightChars="20" w:firstLine="422" w:firstLineChars="200"/>
        <w:jc w:val="left"/>
        <w:rPr>
          <w:rFonts w:asciiTheme="minorEastAsia" w:hAnsiTheme="minorEastAsia" w:eastAsiaTheme="minorEastAsia"/>
          <w:bCs/>
          <w:color w:val="000000" w:themeColor="text1"/>
          <w:szCs w:val="21"/>
        </w:rPr>
      </w:pPr>
      <w:r>
        <w:rPr>
          <w:rFonts w:hint="eastAsia" w:asciiTheme="minorEastAsia" w:hAnsiTheme="minorEastAsia" w:eastAsiaTheme="minorEastAsia"/>
          <w:b/>
          <w:bCs/>
          <w:color w:val="000000" w:themeColor="text1"/>
          <w:szCs w:val="21"/>
        </w:rPr>
        <w:t>（一）签订合同</w:t>
      </w:r>
    </w:p>
    <w:p w14:paraId="53378268">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、采购人与</w:t>
      </w:r>
      <w:r>
        <w:rPr>
          <w:rFonts w:asciiTheme="minorEastAsia" w:hAnsiTheme="minorEastAsia" w:eastAsiaTheme="minorEastAsia"/>
          <w:color w:val="000000" w:themeColor="text1"/>
          <w:szCs w:val="21"/>
        </w:rPr>
        <w:t>中标人应</w:t>
      </w:r>
      <w:r>
        <w:rPr>
          <w:rFonts w:hint="eastAsia" w:asciiTheme="minorEastAsia" w:hAnsiTheme="minorEastAsia" w:eastAsiaTheme="minorEastAsia"/>
          <w:color w:val="000000" w:themeColor="text1"/>
          <w:szCs w:val="21"/>
        </w:rPr>
        <w:t>当在中标公示发出之日起30日内签订政府采购合同。同时，采购机构对合同内容进行审查，如发现与采购结果和投标承诺内容不一致的，将予以纠正。</w:t>
      </w:r>
    </w:p>
    <w:p w14:paraId="0F3861E7">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中标人拖延、拒签合同的,将被取消中标资格</w:t>
      </w:r>
      <w:r>
        <w:rPr>
          <w:rFonts w:hint="eastAsia" w:asciiTheme="minorEastAsia" w:hAnsiTheme="minorEastAsia" w:eastAsiaTheme="minorEastAsia"/>
          <w:color w:val="000000" w:themeColor="text1"/>
          <w:szCs w:val="21"/>
        </w:rPr>
        <w:t>，并报监督管理部门</w:t>
      </w:r>
      <w:r>
        <w:rPr>
          <w:rFonts w:asciiTheme="minorEastAsia" w:hAnsiTheme="minorEastAsia" w:eastAsiaTheme="minorEastAsia"/>
          <w:color w:val="000000" w:themeColor="text1"/>
          <w:szCs w:val="21"/>
        </w:rPr>
        <w:t>。</w:t>
      </w:r>
    </w:p>
    <w:p w14:paraId="18FEC725">
      <w:pPr>
        <w:pStyle w:val="26"/>
        <w:snapToGrid w:val="0"/>
        <w:spacing w:line="440" w:lineRule="exact"/>
        <w:ind w:right="42" w:rightChars="20" w:firstLine="422" w:firstLineChars="200"/>
        <w:jc w:val="left"/>
        <w:rPr>
          <w:rFonts w:asciiTheme="minorEastAsia" w:hAnsiTheme="minorEastAsia" w:eastAsiaTheme="minorEastAsia"/>
          <w:color w:val="000000" w:themeColor="text1"/>
          <w:szCs w:val="21"/>
        </w:rPr>
      </w:pPr>
      <w:r>
        <w:rPr>
          <w:rFonts w:asciiTheme="minorEastAsia" w:hAnsiTheme="minorEastAsia" w:eastAsiaTheme="minorEastAsia"/>
          <w:b/>
          <w:color w:val="000000" w:themeColor="text1"/>
          <w:szCs w:val="21"/>
        </w:rPr>
        <w:t>（二）</w:t>
      </w:r>
      <w:r>
        <w:rPr>
          <w:rFonts w:hint="eastAsia" w:asciiTheme="minorEastAsia" w:hAnsiTheme="minorEastAsia" w:eastAsiaTheme="minorEastAsia"/>
          <w:color w:val="000000" w:themeColor="text1"/>
          <w:szCs w:val="21"/>
        </w:rPr>
        <w:t>履约保证金的收取及退还：</w:t>
      </w:r>
      <w:r>
        <w:rPr>
          <w:rFonts w:hint="eastAsia" w:hAnsi="宋体" w:cs="宋体"/>
          <w:color w:val="000000" w:themeColor="text1"/>
          <w:szCs w:val="21"/>
        </w:rPr>
        <w:t>无</w:t>
      </w:r>
      <w:r>
        <w:rPr>
          <w:rFonts w:hint="eastAsia" w:asciiTheme="minorEastAsia" w:hAnsiTheme="minorEastAsia" w:eastAsiaTheme="minorEastAsia"/>
          <w:color w:val="000000" w:themeColor="text1"/>
          <w:szCs w:val="21"/>
        </w:rPr>
        <w:t>。</w:t>
      </w:r>
    </w:p>
    <w:p w14:paraId="13AD14B2">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br w:type="page"/>
      </w:r>
    </w:p>
    <w:bookmarkEnd w:id="274"/>
    <w:p w14:paraId="6F07EE71">
      <w:pPr>
        <w:pStyle w:val="2"/>
        <w:spacing w:line="440" w:lineRule="exact"/>
        <w:jc w:val="center"/>
        <w:rPr>
          <w:sz w:val="36"/>
          <w:szCs w:val="36"/>
        </w:rPr>
      </w:pPr>
      <w:bookmarkStart w:id="372" w:name="_Toc2240"/>
      <w:bookmarkStart w:id="373" w:name="_Toc493511776"/>
      <w:bookmarkStart w:id="374" w:name="_Toc177870559"/>
      <w:bookmarkStart w:id="375" w:name="_Toc170792807"/>
      <w:r>
        <w:rPr>
          <w:rFonts w:hint="eastAsia"/>
          <w:sz w:val="36"/>
          <w:szCs w:val="36"/>
        </w:rPr>
        <w:t>第四章  评标办法及评分标准</w:t>
      </w:r>
      <w:bookmarkEnd w:id="372"/>
      <w:bookmarkEnd w:id="373"/>
    </w:p>
    <w:p w14:paraId="6B1BA485">
      <w:pPr>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为公正、公平、科学地选择中标人，根据《中华人民共和国政府采购法》等有关法律法规的规定，并结合本项目的实际，制定本办法。</w:t>
      </w:r>
    </w:p>
    <w:bookmarkEnd w:id="374"/>
    <w:bookmarkEnd w:id="375"/>
    <w:p w14:paraId="576A779C">
      <w:pPr>
        <w:spacing w:line="440" w:lineRule="exact"/>
        <w:ind w:right="42" w:rightChars="20" w:firstLine="422" w:firstLineChars="200"/>
        <w:jc w:val="left"/>
        <w:rPr>
          <w:rFonts w:asciiTheme="minorEastAsia" w:hAnsiTheme="minorEastAsia" w:eastAsiaTheme="minorEastAsia"/>
          <w:b/>
          <w:color w:val="000000" w:themeColor="text1"/>
          <w:szCs w:val="21"/>
        </w:rPr>
      </w:pPr>
      <w:bookmarkStart w:id="376" w:name="_Toc170792802"/>
      <w:r>
        <w:rPr>
          <w:rFonts w:hint="eastAsia" w:asciiTheme="minorEastAsia" w:hAnsiTheme="minorEastAsia" w:eastAsiaTheme="minorEastAsia"/>
          <w:b/>
          <w:color w:val="000000" w:themeColor="text1"/>
          <w:szCs w:val="21"/>
        </w:rPr>
        <w:t>一、总则</w:t>
      </w:r>
    </w:p>
    <w:p w14:paraId="3C6A21DF">
      <w:pPr>
        <w:spacing w:line="440" w:lineRule="exact"/>
        <w:ind w:right="42" w:rightChars="20" w:firstLine="420" w:firstLineChars="200"/>
        <w:jc w:val="left"/>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本次评标采用综合评分法，总分为100分，其中价格分10分，技术资信及商务分90分。合格投标人的评标得分为各项目汇总得分，中标候选资格按评标得分由高到低顺序排列，得分相同的，按投标报价由低到高顺序排列；得分且投标报价相同的，按技术得分由高到低顺序排列。排名</w:t>
      </w:r>
      <w:r>
        <w:rPr>
          <w:rFonts w:hint="eastAsia" w:asciiTheme="minorEastAsia" w:hAnsiTheme="minorEastAsia" w:eastAsiaTheme="minorEastAsia"/>
          <w:b/>
          <w:color w:val="000000" w:themeColor="text1"/>
          <w:szCs w:val="21"/>
        </w:rPr>
        <w:t>第一</w:t>
      </w:r>
      <w:r>
        <w:rPr>
          <w:rFonts w:hint="eastAsia" w:asciiTheme="minorEastAsia" w:hAnsiTheme="minorEastAsia" w:eastAsiaTheme="minorEastAsia"/>
          <w:color w:val="000000" w:themeColor="text1"/>
          <w:szCs w:val="21"/>
        </w:rPr>
        <w:t>的投标人为中标候选人，排名第二的投标人为候补中标候选人……其他投标人中标候选资格依此类推。</w:t>
      </w:r>
      <w:r>
        <w:rPr>
          <w:rFonts w:hint="eastAsia" w:asciiTheme="minorEastAsia" w:hAnsiTheme="minorEastAsia" w:eastAsiaTheme="minorEastAsia"/>
          <w:bCs/>
          <w:color w:val="000000" w:themeColor="text1"/>
          <w:szCs w:val="21"/>
        </w:rPr>
        <w:t>评分过程中采用四舍五入法，并保留小数2位。</w:t>
      </w:r>
    </w:p>
    <w:p w14:paraId="29E1FC31">
      <w:pPr>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投标人评标</w:t>
      </w:r>
      <w:r>
        <w:rPr>
          <w:rFonts w:hint="eastAsia" w:asciiTheme="minorEastAsia" w:hAnsiTheme="minorEastAsia" w:eastAsiaTheme="minorEastAsia"/>
          <w:bCs/>
          <w:color w:val="000000" w:themeColor="text1"/>
          <w:szCs w:val="21"/>
        </w:rPr>
        <w:t>综合得分=价格分+(技术分+资信、商务及其他分)</w:t>
      </w:r>
    </w:p>
    <w:p w14:paraId="64BBE9C0">
      <w:pPr>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二、评标内容及标准</w:t>
      </w:r>
    </w:p>
    <w:p w14:paraId="417A7D40">
      <w:pPr>
        <w:pStyle w:val="26"/>
        <w:tabs>
          <w:tab w:val="left" w:pos="630"/>
        </w:tabs>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（一）价格分（10分）</w:t>
      </w:r>
    </w:p>
    <w:p w14:paraId="34050AEE">
      <w:pPr>
        <w:pStyle w:val="26"/>
        <w:tabs>
          <w:tab w:val="left" w:pos="630"/>
        </w:tabs>
        <w:spacing w:line="440" w:lineRule="exact"/>
        <w:ind w:right="42" w:rightChars="20" w:firstLine="420" w:firstLineChars="200"/>
        <w:jc w:val="left"/>
        <w:rPr>
          <w:rFonts w:hAnsi="宋体" w:cs="宋体"/>
          <w:color w:val="000000" w:themeColor="text1"/>
          <w:lang w:val="zh-CN"/>
        </w:rPr>
      </w:pPr>
      <w:r>
        <w:rPr>
          <w:rFonts w:hint="eastAsia" w:asciiTheme="minorEastAsia" w:hAnsiTheme="minorEastAsia" w:eastAsiaTheme="minorEastAsia"/>
          <w:bCs/>
          <w:color w:val="000000" w:themeColor="text1"/>
          <w:szCs w:val="21"/>
        </w:rPr>
        <w:t>1、价格分采用低价优先法计算，即满足招标文件要求且投标价格最低的投标报价为评标基准价</w:t>
      </w:r>
      <w:r>
        <w:rPr>
          <w:rFonts w:hint="eastAsia" w:hAnsi="宋体" w:cs="宋体"/>
          <w:color w:val="000000" w:themeColor="text1"/>
          <w:lang w:val="zh-CN"/>
        </w:rPr>
        <w:t>，其价格分为满分。其他的报价分统一按下列公式计算：</w:t>
      </w:r>
    </w:p>
    <w:p w14:paraId="2E9628C1">
      <w:pPr>
        <w:pStyle w:val="26"/>
        <w:tabs>
          <w:tab w:val="left" w:pos="630"/>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hAnsi="宋体" w:cs="宋体"/>
          <w:color w:val="000000" w:themeColor="text1"/>
          <w:lang w:val="zh-CN"/>
        </w:rPr>
        <w:t>投标报价得分=(评标基准价／投标报价)×价格权值（</w:t>
      </w:r>
      <w:r>
        <w:rPr>
          <w:rFonts w:hint="eastAsia" w:hAnsi="宋体" w:cs="宋体"/>
          <w:color w:val="000000" w:themeColor="text1"/>
        </w:rPr>
        <w:t>10</w:t>
      </w:r>
      <w:r>
        <w:rPr>
          <w:rFonts w:hint="eastAsia" w:hAnsi="宋体" w:cs="宋体"/>
          <w:color w:val="000000" w:themeColor="text1"/>
          <w:lang w:val="zh-CN"/>
        </w:rPr>
        <w:t>%）×100。</w:t>
      </w:r>
    </w:p>
    <w:p w14:paraId="73AE5B28">
      <w:pPr>
        <w:pStyle w:val="26"/>
        <w:tabs>
          <w:tab w:val="left" w:pos="630"/>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2、投标人的投标报价超过采购人设定的最高限价，将作为无效标。</w:t>
      </w:r>
    </w:p>
    <w:p w14:paraId="224CFBD7">
      <w:pPr>
        <w:pStyle w:val="26"/>
        <w:tabs>
          <w:tab w:val="left" w:pos="630"/>
        </w:tabs>
        <w:spacing w:line="440" w:lineRule="exact"/>
        <w:ind w:right="42" w:rightChars="20" w:firstLine="420" w:firstLineChars="200"/>
        <w:jc w:val="left"/>
        <w:rPr>
          <w:rFonts w:asciiTheme="minorEastAsia" w:hAnsiTheme="minorEastAsia" w:eastAsiaTheme="minorEastAsia"/>
          <w:bCs/>
          <w:color w:val="000000" w:themeColor="text1"/>
          <w:szCs w:val="21"/>
        </w:rPr>
      </w:pPr>
      <w:r>
        <w:rPr>
          <w:rFonts w:hint="eastAsia" w:asciiTheme="minorEastAsia" w:hAnsiTheme="minorEastAsia" w:eastAsiaTheme="minorEastAsia"/>
          <w:color w:val="000000" w:themeColor="text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w:t>
      </w:r>
      <w:r>
        <w:rPr>
          <w:rFonts w:hint="eastAsia" w:asciiTheme="minorEastAsia" w:hAnsiTheme="minorEastAsia" w:eastAsiaTheme="minorEastAsia"/>
          <w:bCs/>
          <w:color w:val="000000" w:themeColor="text1"/>
          <w:szCs w:val="21"/>
        </w:rPr>
        <w:t>其报价合理性的，评标委员会应当将其作为无效投标处理。</w:t>
      </w:r>
    </w:p>
    <w:p w14:paraId="5811FEE6">
      <w:pPr>
        <w:pStyle w:val="26"/>
        <w:tabs>
          <w:tab w:val="left" w:pos="630"/>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4、扶持政策说明：</w:t>
      </w:r>
    </w:p>
    <w:p w14:paraId="21FC1D8A">
      <w:pPr>
        <w:pStyle w:val="26"/>
        <w:tabs>
          <w:tab w:val="left" w:pos="630"/>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（1）本次采购为专门面向中小企业预留采购份额的采购项目。</w:t>
      </w:r>
    </w:p>
    <w:p w14:paraId="2100355B">
      <w:pPr>
        <w:pStyle w:val="26"/>
        <w:tabs>
          <w:tab w:val="left" w:pos="630"/>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（2）本项目对应的中小企业划分标准所属行业：</w:t>
      </w:r>
      <w:r>
        <w:rPr>
          <w:rFonts w:hint="eastAsia" w:asciiTheme="minorEastAsia" w:hAnsiTheme="minorEastAsia" w:eastAsiaTheme="minorEastAsia"/>
          <w:b/>
          <w:bCs/>
          <w:color w:val="000000" w:themeColor="text1"/>
          <w:szCs w:val="21"/>
        </w:rPr>
        <w:t>其他未列明行业。</w:t>
      </w:r>
    </w:p>
    <w:p w14:paraId="09019F4F">
      <w:pPr>
        <w:pStyle w:val="26"/>
        <w:tabs>
          <w:tab w:val="left" w:pos="630"/>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05845EF">
      <w:pPr>
        <w:pStyle w:val="26"/>
        <w:tabs>
          <w:tab w:val="left" w:pos="630"/>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14:paraId="3E10A948">
      <w:pPr>
        <w:pStyle w:val="26"/>
        <w:tabs>
          <w:tab w:val="left" w:pos="630"/>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601F6C3A">
      <w:pPr>
        <w:numPr>
          <w:ilvl w:val="0"/>
          <w:numId w:val="3"/>
        </w:numPr>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技术资信分：</w:t>
      </w:r>
      <w:bookmarkStart w:id="377" w:name="_Toc493511826"/>
      <w:bookmarkStart w:id="378" w:name="_Toc417992896"/>
      <w:bookmarkStart w:id="379" w:name="_Toc416422800"/>
      <w:r>
        <w:rPr>
          <w:rFonts w:hint="eastAsia" w:asciiTheme="minorEastAsia" w:hAnsiTheme="minorEastAsia" w:eastAsiaTheme="minorEastAsia"/>
          <w:b/>
          <w:bCs/>
          <w:color w:val="000000" w:themeColor="text1"/>
          <w:szCs w:val="21"/>
        </w:rPr>
        <w:t>（90分）</w:t>
      </w:r>
    </w:p>
    <w:tbl>
      <w:tblPr>
        <w:tblStyle w:val="49"/>
        <w:tblW w:w="87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8"/>
        <w:gridCol w:w="1230"/>
        <w:gridCol w:w="6142"/>
        <w:gridCol w:w="802"/>
      </w:tblGrid>
      <w:tr w14:paraId="68FF0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8" w:type="dxa"/>
            <w:tcBorders>
              <w:top w:val="single" w:color="auto" w:sz="6" w:space="0"/>
              <w:left w:val="single" w:color="auto" w:sz="6" w:space="0"/>
              <w:right w:val="single" w:color="auto" w:sz="6" w:space="0"/>
            </w:tcBorders>
            <w:vAlign w:val="center"/>
          </w:tcPr>
          <w:p w14:paraId="4F116C20">
            <w:pPr>
              <w:spacing w:line="360" w:lineRule="exact"/>
              <w:contextualSpacing/>
              <w:rPr>
                <w:rFonts w:asciiTheme="minorEastAsia" w:hAnsiTheme="minorEastAsia" w:eastAsiaTheme="minorEastAsia"/>
                <w:b/>
                <w:szCs w:val="21"/>
              </w:rPr>
            </w:pPr>
            <w:r>
              <w:rPr>
                <w:rFonts w:asciiTheme="minorEastAsia" w:hAnsiTheme="minorEastAsia" w:eastAsiaTheme="minorEastAsia"/>
                <w:b/>
                <w:szCs w:val="21"/>
              </w:rPr>
              <w:t>序号</w:t>
            </w:r>
          </w:p>
        </w:tc>
        <w:tc>
          <w:tcPr>
            <w:tcW w:w="1230" w:type="dxa"/>
            <w:tcBorders>
              <w:top w:val="single" w:color="auto" w:sz="6" w:space="0"/>
              <w:left w:val="single" w:color="auto" w:sz="6" w:space="0"/>
              <w:right w:val="single" w:color="auto" w:sz="6" w:space="0"/>
            </w:tcBorders>
            <w:vAlign w:val="center"/>
          </w:tcPr>
          <w:p w14:paraId="3B75A18E">
            <w:pPr>
              <w:spacing w:line="360" w:lineRule="exact"/>
              <w:contextualSpacing/>
              <w:rPr>
                <w:rFonts w:asciiTheme="minorEastAsia" w:hAnsiTheme="minorEastAsia" w:eastAsiaTheme="minorEastAsia"/>
                <w:b/>
                <w:szCs w:val="21"/>
              </w:rPr>
            </w:pPr>
            <w:r>
              <w:rPr>
                <w:rFonts w:asciiTheme="minorEastAsia" w:hAnsiTheme="minorEastAsia" w:eastAsiaTheme="minorEastAsia"/>
                <w:b/>
                <w:szCs w:val="21"/>
              </w:rPr>
              <w:t>评分项目</w:t>
            </w:r>
          </w:p>
        </w:tc>
        <w:tc>
          <w:tcPr>
            <w:tcW w:w="6142" w:type="dxa"/>
            <w:tcBorders>
              <w:top w:val="single" w:color="auto" w:sz="6" w:space="0"/>
              <w:left w:val="single" w:color="auto" w:sz="6" w:space="0"/>
              <w:right w:val="single" w:color="auto" w:sz="6" w:space="0"/>
            </w:tcBorders>
            <w:vAlign w:val="center"/>
          </w:tcPr>
          <w:p w14:paraId="44B89B7F">
            <w:pPr>
              <w:spacing w:line="360" w:lineRule="exact"/>
              <w:contextualSpacing/>
              <w:rPr>
                <w:rFonts w:asciiTheme="minorEastAsia" w:hAnsiTheme="minorEastAsia" w:eastAsiaTheme="minorEastAsia"/>
                <w:b/>
                <w:color w:val="auto"/>
                <w:szCs w:val="21"/>
              </w:rPr>
            </w:pPr>
            <w:r>
              <w:rPr>
                <w:rFonts w:asciiTheme="minorEastAsia" w:hAnsiTheme="minorEastAsia" w:eastAsiaTheme="minorEastAsia"/>
                <w:b/>
                <w:color w:val="auto"/>
                <w:szCs w:val="21"/>
              </w:rPr>
              <w:t>评审标准</w:t>
            </w:r>
          </w:p>
        </w:tc>
        <w:tc>
          <w:tcPr>
            <w:tcW w:w="802" w:type="dxa"/>
            <w:tcBorders>
              <w:top w:val="single" w:color="auto" w:sz="6" w:space="0"/>
              <w:left w:val="single" w:color="auto" w:sz="6" w:space="0"/>
              <w:right w:val="single" w:color="auto" w:sz="6" w:space="0"/>
            </w:tcBorders>
            <w:vAlign w:val="center"/>
          </w:tcPr>
          <w:p w14:paraId="2BA3ECDB">
            <w:pPr>
              <w:spacing w:line="360" w:lineRule="exact"/>
              <w:contextualSpacing/>
              <w:rPr>
                <w:rFonts w:asciiTheme="minorEastAsia" w:hAnsiTheme="minorEastAsia" w:eastAsiaTheme="minorEastAsia"/>
                <w:b/>
                <w:color w:val="auto"/>
                <w:szCs w:val="21"/>
              </w:rPr>
            </w:pPr>
            <w:r>
              <w:rPr>
                <w:rFonts w:asciiTheme="minorEastAsia" w:hAnsiTheme="minorEastAsia" w:eastAsiaTheme="minorEastAsia"/>
                <w:b/>
                <w:color w:val="auto"/>
                <w:szCs w:val="21"/>
              </w:rPr>
              <w:t>分值</w:t>
            </w:r>
          </w:p>
        </w:tc>
      </w:tr>
      <w:tr w14:paraId="16EDA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8" w:type="dxa"/>
            <w:tcBorders>
              <w:top w:val="single" w:color="auto" w:sz="6" w:space="0"/>
              <w:left w:val="single" w:color="auto" w:sz="6" w:space="0"/>
              <w:right w:val="single" w:color="auto" w:sz="6" w:space="0"/>
            </w:tcBorders>
            <w:vAlign w:val="center"/>
          </w:tcPr>
          <w:p w14:paraId="61DE85EA">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230" w:type="dxa"/>
            <w:vMerge w:val="restart"/>
            <w:tcBorders>
              <w:top w:val="single" w:color="auto" w:sz="6" w:space="0"/>
              <w:left w:val="single" w:color="auto" w:sz="6" w:space="0"/>
              <w:right w:val="single" w:color="auto" w:sz="6" w:space="0"/>
            </w:tcBorders>
            <w:vAlign w:val="center"/>
          </w:tcPr>
          <w:p w14:paraId="03BAEEE2">
            <w:pPr>
              <w:spacing w:line="360" w:lineRule="exact"/>
              <w:contextualSpacing/>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资信分</w:t>
            </w:r>
          </w:p>
          <w:p w14:paraId="40F93118">
            <w:pPr>
              <w:spacing w:line="360" w:lineRule="exact"/>
              <w:contextualSpacing/>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w:t>
            </w:r>
            <w:r>
              <w:rPr>
                <w:rFonts w:hint="eastAsia" w:asciiTheme="minorEastAsia" w:hAnsiTheme="minorEastAsia" w:eastAsiaTheme="minorEastAsia"/>
                <w:b/>
                <w:color w:val="auto"/>
                <w:szCs w:val="21"/>
                <w:lang w:val="en-US" w:eastAsia="zh-CN"/>
              </w:rPr>
              <w:t>8</w:t>
            </w:r>
            <w:r>
              <w:rPr>
                <w:rFonts w:hint="eastAsia" w:asciiTheme="minorEastAsia" w:hAnsiTheme="minorEastAsia" w:eastAsiaTheme="minorEastAsia"/>
                <w:b/>
                <w:color w:val="auto"/>
                <w:szCs w:val="21"/>
              </w:rPr>
              <w:t>分）</w:t>
            </w:r>
          </w:p>
        </w:tc>
        <w:tc>
          <w:tcPr>
            <w:tcW w:w="6142" w:type="dxa"/>
            <w:tcBorders>
              <w:top w:val="single" w:color="auto" w:sz="6" w:space="0"/>
              <w:left w:val="single" w:color="auto" w:sz="6" w:space="0"/>
              <w:right w:val="single" w:color="auto" w:sz="6" w:space="0"/>
            </w:tcBorders>
            <w:vAlign w:val="center"/>
          </w:tcPr>
          <w:p w14:paraId="3EFC3ECF">
            <w:pPr>
              <w:spacing w:line="360" w:lineRule="exact"/>
              <w:contextualSpacing/>
              <w:rPr>
                <w:rFonts w:asciiTheme="minorEastAsia" w:hAnsiTheme="minorEastAsia" w:eastAsiaTheme="minorEastAsia"/>
                <w:b/>
                <w:color w:val="auto"/>
                <w:szCs w:val="21"/>
              </w:rPr>
            </w:pPr>
            <w:r>
              <w:rPr>
                <w:rFonts w:hint="eastAsia" w:cs="微软雅黑" w:asciiTheme="minorEastAsia" w:hAnsiTheme="minorEastAsia" w:eastAsiaTheme="minorEastAsia"/>
                <w:color w:val="auto"/>
                <w:kern w:val="0"/>
                <w:szCs w:val="21"/>
              </w:rPr>
              <w:t>投标人具有信息安全管理体系认证证书（水利相关软件类与</w:t>
            </w:r>
            <w:r>
              <w:rPr>
                <w:rFonts w:hint="eastAsia" w:cs="微软雅黑" w:asciiTheme="minorEastAsia" w:hAnsiTheme="minorEastAsia" w:eastAsiaTheme="minorEastAsia"/>
                <w:color w:val="auto"/>
                <w:kern w:val="0"/>
                <w:szCs w:val="21"/>
                <w:lang w:eastAsia="zh-CN"/>
              </w:rPr>
              <w:t>相关</w:t>
            </w:r>
            <w:r>
              <w:rPr>
                <w:rFonts w:hint="eastAsia" w:cs="微软雅黑" w:asciiTheme="minorEastAsia" w:hAnsiTheme="minorEastAsia" w:eastAsiaTheme="minorEastAsia"/>
                <w:color w:val="auto"/>
                <w:kern w:val="0"/>
                <w:szCs w:val="21"/>
              </w:rPr>
              <w:t>信息安全管理活动类）的得2分。</w:t>
            </w:r>
            <w:r>
              <w:rPr>
                <w:rFonts w:hint="eastAsia" w:cs="微软雅黑" w:asciiTheme="minorEastAsia" w:hAnsiTheme="minorEastAsia" w:eastAsiaTheme="minorEastAsia"/>
                <w:b/>
                <w:color w:val="auto"/>
                <w:kern w:val="0"/>
                <w:szCs w:val="21"/>
              </w:rPr>
              <w:t>(提供证书复印件并CA签章）</w:t>
            </w:r>
          </w:p>
        </w:tc>
        <w:tc>
          <w:tcPr>
            <w:tcW w:w="802" w:type="dxa"/>
            <w:tcBorders>
              <w:top w:val="single" w:color="auto" w:sz="6" w:space="0"/>
              <w:left w:val="single" w:color="auto" w:sz="6" w:space="0"/>
              <w:right w:val="single" w:color="auto" w:sz="6" w:space="0"/>
            </w:tcBorders>
            <w:vAlign w:val="center"/>
          </w:tcPr>
          <w:p w14:paraId="0CD8998A">
            <w:pPr>
              <w:spacing w:line="360" w:lineRule="exact"/>
              <w:contextualSpacing/>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w:t>
            </w:r>
          </w:p>
        </w:tc>
      </w:tr>
      <w:tr w14:paraId="677FD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8" w:type="dxa"/>
            <w:tcBorders>
              <w:top w:val="single" w:color="auto" w:sz="6" w:space="0"/>
              <w:left w:val="single" w:color="auto" w:sz="6" w:space="0"/>
              <w:right w:val="single" w:color="auto" w:sz="6" w:space="0"/>
            </w:tcBorders>
            <w:vAlign w:val="center"/>
          </w:tcPr>
          <w:p w14:paraId="7B6CC9F5">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230" w:type="dxa"/>
            <w:vMerge w:val="continue"/>
            <w:tcBorders>
              <w:left w:val="single" w:color="auto" w:sz="6" w:space="0"/>
              <w:right w:val="single" w:color="auto" w:sz="6" w:space="0"/>
            </w:tcBorders>
            <w:vAlign w:val="center"/>
          </w:tcPr>
          <w:p w14:paraId="43C96624">
            <w:pPr>
              <w:spacing w:line="360" w:lineRule="exact"/>
              <w:contextualSpacing/>
              <w:rPr>
                <w:rFonts w:asciiTheme="minorEastAsia" w:hAnsiTheme="minorEastAsia" w:eastAsiaTheme="minorEastAsia"/>
                <w:b/>
                <w:color w:val="auto"/>
                <w:szCs w:val="21"/>
              </w:rPr>
            </w:pPr>
          </w:p>
        </w:tc>
        <w:tc>
          <w:tcPr>
            <w:tcW w:w="6142" w:type="dxa"/>
            <w:tcBorders>
              <w:top w:val="single" w:color="auto" w:sz="6" w:space="0"/>
              <w:left w:val="single" w:color="auto" w:sz="6" w:space="0"/>
              <w:right w:val="single" w:color="auto" w:sz="6" w:space="0"/>
            </w:tcBorders>
            <w:vAlign w:val="center"/>
          </w:tcPr>
          <w:p w14:paraId="25A96112">
            <w:pPr>
              <w:spacing w:line="360" w:lineRule="exact"/>
              <w:contextualSpacing/>
              <w:rPr>
                <w:rFonts w:asciiTheme="minorEastAsia" w:hAnsiTheme="minorEastAsia" w:eastAsiaTheme="minorEastAsia"/>
                <w:b/>
                <w:color w:val="auto"/>
                <w:szCs w:val="21"/>
              </w:rPr>
            </w:pPr>
            <w:r>
              <w:rPr>
                <w:rFonts w:hint="eastAsia" w:cs="微软雅黑" w:asciiTheme="minorEastAsia" w:hAnsiTheme="minorEastAsia" w:eastAsiaTheme="minorEastAsia"/>
                <w:color w:val="auto"/>
                <w:kern w:val="0"/>
                <w:szCs w:val="21"/>
              </w:rPr>
              <w:t>投标人具有信息技术服务标准符合性证书（运行维护）ITSS</w:t>
            </w:r>
            <w:r>
              <w:rPr>
                <w:rFonts w:hint="eastAsia" w:cs="微软雅黑" w:asciiTheme="minorEastAsia" w:hAnsiTheme="minorEastAsia" w:eastAsiaTheme="minorEastAsia"/>
                <w:color w:val="auto"/>
                <w:kern w:val="0"/>
                <w:szCs w:val="21"/>
                <w:highlight w:val="none"/>
              </w:rPr>
              <w:t>贰级</w:t>
            </w:r>
            <w:r>
              <w:rPr>
                <w:rFonts w:hint="eastAsia" w:cs="微软雅黑" w:asciiTheme="minorEastAsia" w:hAnsiTheme="minorEastAsia" w:eastAsiaTheme="minorEastAsia"/>
                <w:color w:val="auto"/>
                <w:kern w:val="0"/>
                <w:szCs w:val="21"/>
              </w:rPr>
              <w:t>及以上的得2分。</w:t>
            </w:r>
            <w:r>
              <w:rPr>
                <w:rFonts w:hint="eastAsia" w:cs="微软雅黑" w:asciiTheme="minorEastAsia" w:hAnsiTheme="minorEastAsia" w:eastAsiaTheme="minorEastAsia"/>
                <w:b/>
                <w:color w:val="auto"/>
                <w:kern w:val="0"/>
                <w:szCs w:val="21"/>
              </w:rPr>
              <w:t>(提供证书复印件并CA签章）</w:t>
            </w:r>
          </w:p>
        </w:tc>
        <w:tc>
          <w:tcPr>
            <w:tcW w:w="802" w:type="dxa"/>
            <w:tcBorders>
              <w:top w:val="single" w:color="auto" w:sz="6" w:space="0"/>
              <w:left w:val="single" w:color="auto" w:sz="6" w:space="0"/>
              <w:right w:val="single" w:color="auto" w:sz="6" w:space="0"/>
            </w:tcBorders>
            <w:vAlign w:val="center"/>
          </w:tcPr>
          <w:p w14:paraId="24E10875">
            <w:pPr>
              <w:spacing w:line="360" w:lineRule="exact"/>
              <w:contextualSpacing/>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w:t>
            </w:r>
          </w:p>
        </w:tc>
      </w:tr>
      <w:tr w14:paraId="1940C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8" w:type="dxa"/>
            <w:tcBorders>
              <w:top w:val="single" w:color="auto" w:sz="6" w:space="0"/>
              <w:left w:val="single" w:color="auto" w:sz="6" w:space="0"/>
              <w:right w:val="single" w:color="auto" w:sz="6" w:space="0"/>
            </w:tcBorders>
            <w:vAlign w:val="center"/>
          </w:tcPr>
          <w:p w14:paraId="6121FFBA">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230" w:type="dxa"/>
            <w:vMerge w:val="continue"/>
            <w:tcBorders>
              <w:left w:val="single" w:color="auto" w:sz="6" w:space="0"/>
              <w:right w:val="single" w:color="auto" w:sz="6" w:space="0"/>
            </w:tcBorders>
            <w:vAlign w:val="center"/>
          </w:tcPr>
          <w:p w14:paraId="43DA2FCA">
            <w:pPr>
              <w:spacing w:line="360" w:lineRule="exact"/>
              <w:contextualSpacing/>
              <w:rPr>
                <w:rFonts w:asciiTheme="minorEastAsia" w:hAnsiTheme="minorEastAsia" w:eastAsiaTheme="minorEastAsia"/>
                <w:b/>
                <w:color w:val="auto"/>
                <w:szCs w:val="21"/>
              </w:rPr>
            </w:pPr>
          </w:p>
        </w:tc>
        <w:tc>
          <w:tcPr>
            <w:tcW w:w="6142" w:type="dxa"/>
            <w:tcBorders>
              <w:top w:val="single" w:color="auto" w:sz="6" w:space="0"/>
              <w:left w:val="single" w:color="auto" w:sz="6" w:space="0"/>
              <w:right w:val="single" w:color="auto" w:sz="6" w:space="0"/>
            </w:tcBorders>
            <w:vAlign w:val="center"/>
          </w:tcPr>
          <w:p w14:paraId="23688F96">
            <w:pPr>
              <w:spacing w:line="360" w:lineRule="exact"/>
              <w:contextualSpacing/>
              <w:rPr>
                <w:rFonts w:asciiTheme="minorEastAsia" w:hAnsiTheme="minorEastAsia" w:eastAsiaTheme="minorEastAsia"/>
                <w:b/>
                <w:color w:val="auto"/>
                <w:szCs w:val="21"/>
              </w:rPr>
            </w:pPr>
            <w:r>
              <w:rPr>
                <w:rFonts w:hint="eastAsia" w:cs="微软雅黑" w:asciiTheme="minorEastAsia" w:hAnsiTheme="minorEastAsia" w:eastAsiaTheme="minorEastAsia"/>
                <w:color w:val="auto"/>
                <w:kern w:val="0"/>
                <w:szCs w:val="21"/>
              </w:rPr>
              <w:t>投标人具有水文、水资源调查评价单位水平乙级及以上证书（水文测量与分析计算</w:t>
            </w:r>
            <w:r>
              <w:rPr>
                <w:rFonts w:hint="eastAsia" w:cs="微软雅黑" w:asciiTheme="minorEastAsia" w:hAnsiTheme="minorEastAsia" w:eastAsiaTheme="minorEastAsia"/>
                <w:color w:val="auto"/>
                <w:kern w:val="0"/>
                <w:szCs w:val="21"/>
                <w:lang w:eastAsia="zh-CN"/>
              </w:rPr>
              <w:t>或水文测报设施运行维护</w:t>
            </w:r>
            <w:r>
              <w:rPr>
                <w:rFonts w:hint="eastAsia" w:cs="微软雅黑" w:asciiTheme="minorEastAsia" w:hAnsiTheme="minorEastAsia" w:eastAsiaTheme="minorEastAsia"/>
                <w:color w:val="auto"/>
                <w:kern w:val="0"/>
                <w:szCs w:val="21"/>
              </w:rPr>
              <w:t>）的得2分。</w:t>
            </w:r>
            <w:r>
              <w:rPr>
                <w:rFonts w:hint="eastAsia" w:cs="微软雅黑" w:asciiTheme="minorEastAsia" w:hAnsiTheme="minorEastAsia" w:eastAsiaTheme="minorEastAsia"/>
                <w:b/>
                <w:color w:val="auto"/>
                <w:kern w:val="0"/>
                <w:szCs w:val="21"/>
              </w:rPr>
              <w:t>(提供证书复印件并CA签章）</w:t>
            </w:r>
          </w:p>
        </w:tc>
        <w:tc>
          <w:tcPr>
            <w:tcW w:w="802" w:type="dxa"/>
            <w:tcBorders>
              <w:top w:val="single" w:color="auto" w:sz="6" w:space="0"/>
              <w:left w:val="single" w:color="auto" w:sz="6" w:space="0"/>
              <w:right w:val="single" w:color="auto" w:sz="6" w:space="0"/>
            </w:tcBorders>
            <w:vAlign w:val="center"/>
          </w:tcPr>
          <w:p w14:paraId="064468E4">
            <w:pPr>
              <w:spacing w:line="360" w:lineRule="exact"/>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eastAsiaTheme="minorEastAsia"/>
                <w:b/>
                <w:color w:val="auto"/>
                <w:szCs w:val="21"/>
                <w:lang w:val="en-US" w:eastAsia="zh-CN"/>
              </w:rPr>
              <w:t>2</w:t>
            </w:r>
          </w:p>
        </w:tc>
      </w:tr>
      <w:tr w14:paraId="4DB8D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8" w:type="dxa"/>
            <w:tcBorders>
              <w:top w:val="single" w:color="auto" w:sz="6" w:space="0"/>
              <w:left w:val="single" w:color="auto" w:sz="6" w:space="0"/>
              <w:right w:val="single" w:color="auto" w:sz="6" w:space="0"/>
            </w:tcBorders>
            <w:vAlign w:val="center"/>
          </w:tcPr>
          <w:p w14:paraId="328F9F32">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4</w:t>
            </w:r>
          </w:p>
        </w:tc>
        <w:tc>
          <w:tcPr>
            <w:tcW w:w="1230" w:type="dxa"/>
            <w:vMerge w:val="continue"/>
            <w:tcBorders>
              <w:left w:val="single" w:color="auto" w:sz="6" w:space="0"/>
              <w:right w:val="single" w:color="auto" w:sz="6" w:space="0"/>
            </w:tcBorders>
            <w:vAlign w:val="center"/>
          </w:tcPr>
          <w:p w14:paraId="3C6CF392">
            <w:pPr>
              <w:spacing w:line="360" w:lineRule="exact"/>
              <w:contextualSpacing/>
              <w:rPr>
                <w:rFonts w:asciiTheme="minorEastAsia" w:hAnsiTheme="minorEastAsia" w:eastAsiaTheme="minorEastAsia"/>
                <w:b/>
                <w:color w:val="auto"/>
                <w:szCs w:val="21"/>
              </w:rPr>
            </w:pPr>
          </w:p>
        </w:tc>
        <w:tc>
          <w:tcPr>
            <w:tcW w:w="6142" w:type="dxa"/>
            <w:tcBorders>
              <w:top w:val="single" w:color="auto" w:sz="6" w:space="0"/>
              <w:left w:val="single" w:color="auto" w:sz="6" w:space="0"/>
              <w:right w:val="single" w:color="auto" w:sz="6" w:space="0"/>
            </w:tcBorders>
            <w:vAlign w:val="center"/>
          </w:tcPr>
          <w:p w14:paraId="7F9AFB4E">
            <w:pPr>
              <w:spacing w:line="360" w:lineRule="exact"/>
              <w:contextualSpacing/>
              <w:rPr>
                <w:rFonts w:asciiTheme="minorEastAsia" w:hAnsiTheme="minorEastAsia" w:eastAsiaTheme="minorEastAsia"/>
                <w:b/>
                <w:color w:val="auto"/>
                <w:szCs w:val="21"/>
              </w:rPr>
            </w:pPr>
            <w:r>
              <w:rPr>
                <w:rFonts w:hint="eastAsia" w:cs="微软雅黑" w:asciiTheme="minorEastAsia" w:hAnsiTheme="minorEastAsia" w:eastAsiaTheme="minorEastAsia"/>
                <w:color w:val="auto"/>
                <w:kern w:val="0"/>
                <w:szCs w:val="21"/>
              </w:rPr>
              <w:t>拟派项目负责人具有</w:t>
            </w:r>
            <w:r>
              <w:rPr>
                <w:rFonts w:hint="eastAsia" w:cs="微软雅黑" w:asciiTheme="minorEastAsia" w:hAnsiTheme="minorEastAsia" w:eastAsiaTheme="minorEastAsia"/>
                <w:color w:val="auto"/>
                <w:kern w:val="0"/>
                <w:szCs w:val="21"/>
                <w:highlight w:val="none"/>
              </w:rPr>
              <w:t>水文</w:t>
            </w:r>
            <w:r>
              <w:rPr>
                <w:rFonts w:hint="eastAsia" w:cs="微软雅黑" w:asciiTheme="minorEastAsia" w:hAnsiTheme="minorEastAsia" w:eastAsiaTheme="minorEastAsia"/>
                <w:color w:val="auto"/>
                <w:kern w:val="0"/>
                <w:szCs w:val="21"/>
                <w:highlight w:val="none"/>
                <w:lang w:val="en-US" w:eastAsia="zh-CN"/>
              </w:rPr>
              <w:t>与</w:t>
            </w:r>
            <w:r>
              <w:rPr>
                <w:rFonts w:hint="eastAsia" w:cs="微软雅黑" w:asciiTheme="minorEastAsia" w:hAnsiTheme="minorEastAsia" w:eastAsiaTheme="minorEastAsia"/>
                <w:color w:val="auto"/>
                <w:kern w:val="0"/>
                <w:szCs w:val="21"/>
                <w:highlight w:val="none"/>
              </w:rPr>
              <w:t>水资源专业</w:t>
            </w:r>
            <w:r>
              <w:rPr>
                <w:rFonts w:hint="eastAsia" w:cs="微软雅黑" w:asciiTheme="minorEastAsia" w:hAnsiTheme="minorEastAsia" w:eastAsiaTheme="minorEastAsia"/>
                <w:color w:val="auto"/>
                <w:kern w:val="0"/>
                <w:szCs w:val="21"/>
              </w:rPr>
              <w:t>高级工程师</w:t>
            </w:r>
            <w:r>
              <w:rPr>
                <w:rFonts w:hint="eastAsia" w:cs="微软雅黑" w:asciiTheme="minorEastAsia" w:hAnsiTheme="minorEastAsia" w:eastAsiaTheme="minorEastAsia"/>
                <w:color w:val="auto"/>
                <w:kern w:val="0"/>
                <w:szCs w:val="21"/>
                <w:lang w:val="en-US" w:eastAsia="zh-CN"/>
              </w:rPr>
              <w:t>证书</w:t>
            </w:r>
            <w:r>
              <w:rPr>
                <w:rFonts w:hint="eastAsia" w:cs="微软雅黑" w:asciiTheme="minorEastAsia" w:hAnsiTheme="minorEastAsia" w:eastAsiaTheme="minorEastAsia"/>
                <w:color w:val="auto"/>
                <w:kern w:val="0"/>
                <w:szCs w:val="21"/>
              </w:rPr>
              <w:t>并同时具备</w:t>
            </w:r>
            <w:r>
              <w:rPr>
                <w:rFonts w:hint="eastAsia" w:cs="微软雅黑" w:asciiTheme="minorEastAsia" w:hAnsiTheme="minorEastAsia" w:eastAsiaTheme="minorEastAsia"/>
                <w:color w:val="auto"/>
                <w:kern w:val="0"/>
                <w:szCs w:val="21"/>
                <w:lang w:val="en-US" w:eastAsia="zh-CN"/>
              </w:rPr>
              <w:t>CISAW信息安全保障人员认证证书</w:t>
            </w:r>
            <w:r>
              <w:rPr>
                <w:rFonts w:hint="eastAsia" w:cs="微软雅黑" w:asciiTheme="minorEastAsia" w:hAnsiTheme="minorEastAsia" w:eastAsiaTheme="minorEastAsia"/>
                <w:color w:val="auto"/>
                <w:kern w:val="0"/>
                <w:szCs w:val="21"/>
              </w:rPr>
              <w:t>的得4分，只具备一项资格的得2分，两项资格都不具备的不得分。</w:t>
            </w:r>
            <w:r>
              <w:rPr>
                <w:rFonts w:hint="eastAsia" w:cs="微软雅黑" w:asciiTheme="minorEastAsia" w:hAnsiTheme="minorEastAsia" w:eastAsiaTheme="minorEastAsia"/>
                <w:b/>
                <w:color w:val="auto"/>
                <w:kern w:val="0"/>
                <w:szCs w:val="21"/>
              </w:rPr>
              <w:t>(</w:t>
            </w:r>
            <w:r>
              <w:rPr>
                <w:rFonts w:hint="eastAsia" w:cs="微软雅黑" w:asciiTheme="minorEastAsia" w:hAnsiTheme="minorEastAsia" w:eastAsiaTheme="minorEastAsia"/>
                <w:b/>
                <w:color w:val="auto"/>
                <w:kern w:val="0"/>
                <w:szCs w:val="21"/>
                <w:lang w:eastAsia="zh-CN"/>
              </w:rPr>
              <w:t>提供</w:t>
            </w:r>
            <w:r>
              <w:rPr>
                <w:rFonts w:hint="eastAsia" w:ascii="宋体" w:hAnsi="宋体" w:cs="微软雅黑"/>
                <w:b/>
                <w:color w:val="auto"/>
                <w:kern w:val="0"/>
                <w:szCs w:val="21"/>
              </w:rPr>
              <w:t>证书复印件</w:t>
            </w:r>
            <w:r>
              <w:rPr>
                <w:rFonts w:hint="eastAsia" w:cs="微软雅黑" w:asciiTheme="minorEastAsia" w:hAnsiTheme="minorEastAsia" w:eastAsiaTheme="minorEastAsia"/>
                <w:b/>
                <w:color w:val="auto"/>
                <w:kern w:val="0"/>
                <w:szCs w:val="21"/>
              </w:rPr>
              <w:t>并CA签章</w:t>
            </w:r>
            <w:r>
              <w:rPr>
                <w:rFonts w:hint="eastAsia" w:ascii="宋体" w:hAnsi="宋体" w:cs="微软雅黑"/>
                <w:b/>
                <w:color w:val="auto"/>
                <w:kern w:val="0"/>
                <w:szCs w:val="21"/>
              </w:rPr>
              <w:t>及投标人为拟配备人员缴纳的开标日前三个月的社保证明）</w:t>
            </w:r>
          </w:p>
        </w:tc>
        <w:tc>
          <w:tcPr>
            <w:tcW w:w="802" w:type="dxa"/>
            <w:tcBorders>
              <w:top w:val="single" w:color="auto" w:sz="6" w:space="0"/>
              <w:left w:val="single" w:color="auto" w:sz="6" w:space="0"/>
              <w:right w:val="single" w:color="auto" w:sz="6" w:space="0"/>
            </w:tcBorders>
            <w:vAlign w:val="center"/>
          </w:tcPr>
          <w:p w14:paraId="5648BA30">
            <w:pPr>
              <w:spacing w:line="360" w:lineRule="exact"/>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eastAsiaTheme="minorEastAsia"/>
                <w:b/>
                <w:color w:val="auto"/>
                <w:szCs w:val="21"/>
                <w:lang w:val="en-US" w:eastAsia="zh-CN"/>
              </w:rPr>
              <w:t>4</w:t>
            </w:r>
          </w:p>
        </w:tc>
      </w:tr>
      <w:tr w14:paraId="72D23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8" w:type="dxa"/>
            <w:tcBorders>
              <w:top w:val="single" w:color="auto" w:sz="6" w:space="0"/>
              <w:left w:val="single" w:color="auto" w:sz="6" w:space="0"/>
              <w:right w:val="single" w:color="auto" w:sz="6" w:space="0"/>
            </w:tcBorders>
            <w:vAlign w:val="center"/>
          </w:tcPr>
          <w:p w14:paraId="02BB4740">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230" w:type="dxa"/>
            <w:vMerge w:val="continue"/>
            <w:tcBorders>
              <w:left w:val="single" w:color="auto" w:sz="6" w:space="0"/>
              <w:right w:val="single" w:color="auto" w:sz="6" w:space="0"/>
            </w:tcBorders>
            <w:vAlign w:val="center"/>
          </w:tcPr>
          <w:p w14:paraId="5A3E16D3">
            <w:pPr>
              <w:spacing w:line="360" w:lineRule="exact"/>
              <w:contextualSpacing/>
              <w:rPr>
                <w:rFonts w:asciiTheme="minorEastAsia" w:hAnsiTheme="minorEastAsia" w:eastAsiaTheme="minorEastAsia"/>
                <w:b/>
                <w:color w:val="auto"/>
                <w:szCs w:val="21"/>
              </w:rPr>
            </w:pPr>
          </w:p>
        </w:tc>
        <w:tc>
          <w:tcPr>
            <w:tcW w:w="6142" w:type="dxa"/>
            <w:tcBorders>
              <w:top w:val="single" w:color="auto" w:sz="6" w:space="0"/>
              <w:left w:val="single" w:color="auto" w:sz="6" w:space="0"/>
              <w:right w:val="single" w:color="auto" w:sz="6" w:space="0"/>
            </w:tcBorders>
            <w:vAlign w:val="center"/>
          </w:tcPr>
          <w:p w14:paraId="510941CF">
            <w:pPr>
              <w:spacing w:line="360" w:lineRule="exact"/>
              <w:contextualSpacing/>
              <w:rPr>
                <w:rFonts w:cs="微软雅黑" w:asciiTheme="minorEastAsia" w:hAnsiTheme="minorEastAsia" w:eastAsiaTheme="minorEastAsia"/>
                <w:color w:val="auto"/>
                <w:kern w:val="0"/>
                <w:szCs w:val="21"/>
              </w:rPr>
            </w:pPr>
            <w:r>
              <w:rPr>
                <w:rFonts w:hint="eastAsia" w:cs="微软雅黑" w:asciiTheme="minorEastAsia" w:hAnsiTheme="minorEastAsia" w:eastAsiaTheme="minorEastAsia"/>
                <w:color w:val="auto"/>
                <w:kern w:val="0"/>
                <w:szCs w:val="21"/>
              </w:rPr>
              <w:t>项目组成员中（项目负责人除外）具有</w:t>
            </w:r>
            <w:r>
              <w:rPr>
                <w:rFonts w:hint="eastAsia" w:cs="微软雅黑" w:asciiTheme="minorEastAsia" w:hAnsiTheme="minorEastAsia" w:eastAsiaTheme="minorEastAsia"/>
                <w:color w:val="auto"/>
                <w:kern w:val="0"/>
                <w:szCs w:val="21"/>
                <w:lang w:val="en-US" w:eastAsia="zh-CN"/>
              </w:rPr>
              <w:t>水利水电或工学、电气类相关类专业（如</w:t>
            </w:r>
            <w:r>
              <w:rPr>
                <w:rFonts w:hint="eastAsia" w:cs="微软雅黑" w:asciiTheme="minorEastAsia" w:hAnsiTheme="minorEastAsia" w:eastAsiaTheme="minorEastAsia"/>
                <w:color w:val="auto"/>
                <w:kern w:val="0"/>
                <w:szCs w:val="21"/>
                <w:lang w:eastAsia="zh-CN"/>
              </w:rPr>
              <w:t>水利水电、</w:t>
            </w:r>
            <w:r>
              <w:rPr>
                <w:rFonts w:hint="eastAsia" w:cs="微软雅黑" w:asciiTheme="minorEastAsia" w:hAnsiTheme="minorEastAsia" w:eastAsiaTheme="minorEastAsia"/>
                <w:color w:val="auto"/>
                <w:kern w:val="0"/>
                <w:szCs w:val="21"/>
                <w:lang w:val="en-US" w:eastAsia="zh-CN"/>
              </w:rPr>
              <w:t>水利工程信息化、工程测量、</w:t>
            </w:r>
            <w:r>
              <w:rPr>
                <w:rFonts w:hint="eastAsia" w:cs="微软雅黑" w:asciiTheme="minorEastAsia" w:hAnsiTheme="minorEastAsia" w:eastAsiaTheme="minorEastAsia"/>
                <w:color w:val="auto"/>
                <w:kern w:val="0"/>
                <w:szCs w:val="21"/>
                <w:highlight w:val="none"/>
                <w:lang w:val="en-US" w:eastAsia="zh-CN"/>
              </w:rPr>
              <w:t>系统规划、运行管理</w:t>
            </w:r>
            <w:r>
              <w:rPr>
                <w:rFonts w:hint="eastAsia" w:cs="微软雅黑" w:asciiTheme="minorEastAsia" w:hAnsiTheme="minorEastAsia" w:eastAsiaTheme="minorEastAsia"/>
                <w:color w:val="auto"/>
                <w:kern w:val="0"/>
                <w:szCs w:val="21"/>
                <w:lang w:val="en-US" w:eastAsia="zh-CN"/>
              </w:rPr>
              <w:t>、信息技术、电气工程及其自动化）中级及以上</w:t>
            </w:r>
            <w:r>
              <w:rPr>
                <w:rFonts w:hint="eastAsia" w:cs="微软雅黑" w:asciiTheme="minorEastAsia" w:hAnsiTheme="minorEastAsia" w:eastAsiaTheme="minorEastAsia"/>
                <w:color w:val="auto"/>
                <w:kern w:val="0"/>
                <w:szCs w:val="21"/>
              </w:rPr>
              <w:t>职称证书的</w:t>
            </w:r>
            <w:r>
              <w:rPr>
                <w:rFonts w:hint="eastAsia" w:cs="微软雅黑" w:asciiTheme="minorEastAsia" w:hAnsiTheme="minorEastAsia" w:eastAsiaTheme="minorEastAsia"/>
                <w:color w:val="auto"/>
                <w:kern w:val="0"/>
                <w:szCs w:val="21"/>
                <w:lang w:val="en-US" w:eastAsia="zh-CN"/>
              </w:rPr>
              <w:t>每个</w:t>
            </w:r>
            <w:r>
              <w:rPr>
                <w:rFonts w:hint="eastAsia" w:cs="微软雅黑" w:asciiTheme="minorEastAsia" w:hAnsiTheme="minorEastAsia" w:eastAsiaTheme="minorEastAsia"/>
                <w:color w:val="auto"/>
                <w:kern w:val="0"/>
                <w:szCs w:val="21"/>
              </w:rPr>
              <w:t>得1分，本项最高得</w:t>
            </w:r>
            <w:r>
              <w:rPr>
                <w:rFonts w:hint="eastAsia" w:cs="微软雅黑" w:asciiTheme="minorEastAsia" w:hAnsiTheme="minorEastAsia" w:eastAsiaTheme="minorEastAsia"/>
                <w:color w:val="auto"/>
                <w:kern w:val="0"/>
                <w:szCs w:val="21"/>
                <w:lang w:val="en-US" w:eastAsia="zh-CN"/>
              </w:rPr>
              <w:t>7</w:t>
            </w:r>
            <w:r>
              <w:rPr>
                <w:rFonts w:hint="eastAsia" w:cs="微软雅黑" w:asciiTheme="minorEastAsia" w:hAnsiTheme="minorEastAsia" w:eastAsiaTheme="minorEastAsia"/>
                <w:color w:val="auto"/>
                <w:kern w:val="0"/>
                <w:szCs w:val="21"/>
              </w:rPr>
              <w:t>分。</w:t>
            </w:r>
            <w:r>
              <w:rPr>
                <w:rFonts w:hint="eastAsia" w:ascii="宋体" w:hAnsi="宋体" w:cs="微软雅黑"/>
                <w:b/>
                <w:color w:val="auto"/>
                <w:kern w:val="0"/>
                <w:szCs w:val="21"/>
              </w:rPr>
              <w:t>(</w:t>
            </w:r>
            <w:r>
              <w:rPr>
                <w:rFonts w:hint="eastAsia" w:ascii="宋体" w:hAnsi="宋体" w:cs="微软雅黑"/>
                <w:b/>
                <w:color w:val="auto"/>
                <w:kern w:val="0"/>
                <w:szCs w:val="21"/>
                <w:lang w:eastAsia="zh-CN"/>
              </w:rPr>
              <w:t>提供</w:t>
            </w:r>
            <w:r>
              <w:rPr>
                <w:rFonts w:hint="eastAsia" w:ascii="宋体" w:hAnsi="宋体" w:cs="微软雅黑"/>
                <w:b/>
                <w:color w:val="auto"/>
                <w:kern w:val="0"/>
                <w:szCs w:val="21"/>
              </w:rPr>
              <w:t>证书复印件</w:t>
            </w:r>
            <w:r>
              <w:rPr>
                <w:rFonts w:hint="eastAsia" w:cs="微软雅黑" w:asciiTheme="minorEastAsia" w:hAnsiTheme="minorEastAsia" w:eastAsiaTheme="minorEastAsia"/>
                <w:b/>
                <w:color w:val="auto"/>
                <w:kern w:val="0"/>
                <w:szCs w:val="21"/>
              </w:rPr>
              <w:t>并CA签章</w:t>
            </w:r>
            <w:r>
              <w:rPr>
                <w:rFonts w:hint="eastAsia" w:ascii="宋体" w:hAnsi="宋体" w:cs="微软雅黑"/>
                <w:b/>
                <w:color w:val="auto"/>
                <w:kern w:val="0"/>
                <w:szCs w:val="21"/>
              </w:rPr>
              <w:t>及投标人为拟配备人员缴纳的开标日前三个月的社保证明，同一人员同时具有2个证书的按1项得分）</w:t>
            </w:r>
          </w:p>
        </w:tc>
        <w:tc>
          <w:tcPr>
            <w:tcW w:w="802" w:type="dxa"/>
            <w:tcBorders>
              <w:top w:val="single" w:color="auto" w:sz="6" w:space="0"/>
              <w:left w:val="single" w:color="auto" w:sz="6" w:space="0"/>
              <w:right w:val="single" w:color="auto" w:sz="6" w:space="0"/>
            </w:tcBorders>
            <w:vAlign w:val="center"/>
          </w:tcPr>
          <w:p w14:paraId="744701D2">
            <w:pPr>
              <w:spacing w:line="360" w:lineRule="exact"/>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eastAsiaTheme="minorEastAsia"/>
                <w:b/>
                <w:color w:val="auto"/>
                <w:szCs w:val="21"/>
                <w:lang w:val="en-US" w:eastAsia="zh-CN"/>
              </w:rPr>
              <w:t>7</w:t>
            </w:r>
          </w:p>
        </w:tc>
      </w:tr>
      <w:tr w14:paraId="2B322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8" w:type="dxa"/>
            <w:tcBorders>
              <w:top w:val="single" w:color="auto" w:sz="6" w:space="0"/>
              <w:left w:val="single" w:color="auto" w:sz="6" w:space="0"/>
              <w:right w:val="single" w:color="auto" w:sz="6" w:space="0"/>
            </w:tcBorders>
            <w:vAlign w:val="center"/>
          </w:tcPr>
          <w:p w14:paraId="20C25669">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230" w:type="dxa"/>
            <w:vMerge w:val="continue"/>
            <w:tcBorders>
              <w:left w:val="single" w:color="auto" w:sz="6" w:space="0"/>
              <w:right w:val="single" w:color="auto" w:sz="6" w:space="0"/>
            </w:tcBorders>
            <w:vAlign w:val="center"/>
          </w:tcPr>
          <w:p w14:paraId="750CFE79">
            <w:pPr>
              <w:spacing w:line="360" w:lineRule="exact"/>
              <w:contextualSpacing/>
              <w:rPr>
                <w:rFonts w:asciiTheme="minorEastAsia" w:hAnsiTheme="minorEastAsia" w:eastAsiaTheme="minorEastAsia"/>
                <w:b/>
                <w:szCs w:val="21"/>
              </w:rPr>
            </w:pPr>
          </w:p>
        </w:tc>
        <w:tc>
          <w:tcPr>
            <w:tcW w:w="6142" w:type="dxa"/>
            <w:tcBorders>
              <w:top w:val="single" w:color="auto" w:sz="6" w:space="0"/>
              <w:left w:val="single" w:color="auto" w:sz="6" w:space="0"/>
              <w:right w:val="single" w:color="auto" w:sz="6" w:space="0"/>
            </w:tcBorders>
            <w:vAlign w:val="center"/>
          </w:tcPr>
          <w:p w14:paraId="742A5134">
            <w:pPr>
              <w:spacing w:line="360" w:lineRule="exact"/>
              <w:contextualSpacing/>
              <w:rPr>
                <w:rFonts w:hint="eastAsia" w:ascii="国标仿宋" w:hAnsi="国标仿宋" w:eastAsia="国标仿宋" w:cs="国标仿宋"/>
                <w:b/>
                <w:color w:val="auto"/>
                <w:szCs w:val="21"/>
              </w:rPr>
            </w:pPr>
            <w:r>
              <w:rPr>
                <w:rFonts w:asciiTheme="minorEastAsia" w:hAnsiTheme="minorEastAsia" w:eastAsiaTheme="minorEastAsia"/>
                <w:color w:val="auto"/>
                <w:szCs w:val="21"/>
              </w:rPr>
              <w:t>20</w:t>
            </w: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lang w:val="en-US" w:eastAsia="zh-CN"/>
              </w:rPr>
              <w:t>2</w:t>
            </w:r>
            <w:r>
              <w:rPr>
                <w:rFonts w:asciiTheme="minorEastAsia" w:hAnsiTheme="minorEastAsia" w:eastAsiaTheme="minorEastAsia"/>
                <w:color w:val="auto"/>
                <w:szCs w:val="21"/>
              </w:rPr>
              <w:t>年1月至今</w:t>
            </w:r>
            <w:r>
              <w:rPr>
                <w:rFonts w:hint="eastAsia" w:asciiTheme="minorEastAsia" w:hAnsiTheme="minorEastAsia" w:eastAsiaTheme="minorEastAsia"/>
                <w:color w:val="auto"/>
                <w:szCs w:val="21"/>
              </w:rPr>
              <w:t>承担过类似项目业绩1个得0.5分，最多得1分。</w:t>
            </w:r>
            <w:r>
              <w:rPr>
                <w:rFonts w:hint="eastAsia" w:ascii="国标仿宋" w:hAnsi="国标仿宋" w:eastAsia="国标仿宋" w:cs="国标仿宋"/>
                <w:b/>
                <w:color w:val="auto"/>
                <w:szCs w:val="21"/>
              </w:rPr>
              <w:t>〔</w:t>
            </w:r>
            <w:r>
              <w:rPr>
                <w:rFonts w:hint="eastAsia" w:asciiTheme="minorEastAsia" w:hAnsiTheme="minorEastAsia" w:eastAsiaTheme="minorEastAsia"/>
                <w:b/>
                <w:color w:val="auto"/>
                <w:szCs w:val="21"/>
              </w:rPr>
              <w:t>是否属于有效的类似项目业绩由评委根据供应商提供的业绩合同业务内容、技术特点等方面与本项目的类似程度进行认定，投标文件中提供</w:t>
            </w:r>
            <w:r>
              <w:rPr>
                <w:rFonts w:hint="eastAsia" w:ascii="宋体" w:hAnsi="宋体"/>
                <w:b/>
                <w:color w:val="auto"/>
                <w:szCs w:val="21"/>
              </w:rPr>
              <w:t>中标通知书</w:t>
            </w:r>
            <w:r>
              <w:rPr>
                <w:rFonts w:hint="eastAsia" w:ascii="宋体" w:hAnsi="宋体"/>
                <w:b/>
                <w:color w:val="auto"/>
                <w:szCs w:val="21"/>
                <w:lang w:val="en-US" w:eastAsia="zh-CN"/>
              </w:rPr>
              <w:t>和</w:t>
            </w:r>
            <w:r>
              <w:rPr>
                <w:rFonts w:hint="eastAsia" w:asciiTheme="minorEastAsia" w:hAnsiTheme="minorEastAsia" w:eastAsiaTheme="minorEastAsia"/>
                <w:b/>
                <w:color w:val="auto"/>
                <w:szCs w:val="21"/>
              </w:rPr>
              <w:t>合同复印件并CA签章，若合同中无法反应业务内容、技术特点的则提供业主证明资料（业主证明资料需加盖业主公章）</w:t>
            </w:r>
            <w:r>
              <w:rPr>
                <w:rFonts w:hint="eastAsia" w:ascii="国标仿宋" w:hAnsi="国标仿宋" w:eastAsia="国标仿宋" w:cs="国标仿宋"/>
                <w:b/>
                <w:color w:val="auto"/>
                <w:szCs w:val="21"/>
              </w:rPr>
              <w:t>〕</w:t>
            </w:r>
          </w:p>
        </w:tc>
        <w:tc>
          <w:tcPr>
            <w:tcW w:w="802" w:type="dxa"/>
            <w:tcBorders>
              <w:top w:val="single" w:color="auto" w:sz="6" w:space="0"/>
              <w:left w:val="single" w:color="auto" w:sz="6" w:space="0"/>
              <w:right w:val="single" w:color="auto" w:sz="6" w:space="0"/>
            </w:tcBorders>
            <w:vAlign w:val="center"/>
          </w:tcPr>
          <w:p w14:paraId="06DDE5AA">
            <w:pPr>
              <w:spacing w:line="360" w:lineRule="exact"/>
              <w:contextualSpacing/>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w:t>
            </w:r>
          </w:p>
        </w:tc>
      </w:tr>
      <w:tr w14:paraId="5936A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8" w:type="dxa"/>
            <w:tcBorders>
              <w:top w:val="single" w:color="auto" w:sz="6" w:space="0"/>
              <w:left w:val="single" w:color="auto" w:sz="6" w:space="0"/>
              <w:right w:val="single" w:color="auto" w:sz="6" w:space="0"/>
            </w:tcBorders>
            <w:vAlign w:val="center"/>
          </w:tcPr>
          <w:p w14:paraId="29B28EF9">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7</w:t>
            </w:r>
          </w:p>
        </w:tc>
        <w:tc>
          <w:tcPr>
            <w:tcW w:w="1230" w:type="dxa"/>
            <w:vMerge w:val="restart"/>
            <w:tcBorders>
              <w:top w:val="single" w:color="auto" w:sz="6" w:space="0"/>
              <w:left w:val="single" w:color="auto" w:sz="6" w:space="0"/>
              <w:right w:val="single" w:color="auto" w:sz="6" w:space="0"/>
            </w:tcBorders>
            <w:vAlign w:val="center"/>
          </w:tcPr>
          <w:p w14:paraId="05EC5311">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技术方案（28分）</w:t>
            </w:r>
          </w:p>
        </w:tc>
        <w:tc>
          <w:tcPr>
            <w:tcW w:w="6142" w:type="dxa"/>
            <w:tcBorders>
              <w:top w:val="single" w:color="auto" w:sz="6" w:space="0"/>
              <w:left w:val="single" w:color="auto" w:sz="6" w:space="0"/>
              <w:right w:val="single" w:color="auto" w:sz="6" w:space="0"/>
            </w:tcBorders>
            <w:vAlign w:val="center"/>
          </w:tcPr>
          <w:p w14:paraId="42E36725">
            <w:pPr>
              <w:spacing w:line="360" w:lineRule="exact"/>
              <w:contextualSpacing/>
              <w:rPr>
                <w:rFonts w:asciiTheme="minorEastAsia" w:hAnsiTheme="minorEastAsia" w:eastAsiaTheme="minorEastAsia"/>
                <w:b/>
                <w:color w:val="auto"/>
                <w:szCs w:val="21"/>
              </w:rPr>
            </w:pPr>
            <w:r>
              <w:rPr>
                <w:rFonts w:hint="eastAsia" w:ascii="宋体" w:hAnsi="宋体"/>
                <w:color w:val="auto"/>
                <w:szCs w:val="21"/>
              </w:rPr>
              <w:t>根据投标人对项目实施方案及设计是否科学，合理，并具有可操作性，是否充分考虑采购人实际使用需求，方案在确保阶段性任务实现的同时，是否统筹考虑了总体目标的实现等情况打分，具体、详细、可行的得</w:t>
            </w:r>
            <w:r>
              <w:rPr>
                <w:rFonts w:hint="eastAsia" w:asciiTheme="minorEastAsia" w:hAnsiTheme="minorEastAsia" w:eastAsiaTheme="minorEastAsia"/>
                <w:color w:val="auto"/>
                <w:szCs w:val="21"/>
              </w:rPr>
              <w:t>4-7</w:t>
            </w:r>
            <w:r>
              <w:rPr>
                <w:rFonts w:hint="eastAsia" w:ascii="宋体" w:hAnsi="宋体"/>
                <w:color w:val="auto"/>
                <w:szCs w:val="21"/>
              </w:rPr>
              <w:t>分，本项存在欠合理、科学、规范的得1-</w:t>
            </w:r>
            <w:r>
              <w:rPr>
                <w:rFonts w:hint="eastAsia" w:asciiTheme="minorEastAsia" w:hAnsiTheme="minorEastAsia" w:eastAsiaTheme="minorEastAsia"/>
                <w:color w:val="auto"/>
                <w:szCs w:val="21"/>
              </w:rPr>
              <w:t>4</w:t>
            </w:r>
            <w:r>
              <w:rPr>
                <w:rFonts w:hint="eastAsia" w:ascii="宋体" w:hAnsi="宋体"/>
                <w:color w:val="auto"/>
                <w:szCs w:val="21"/>
              </w:rPr>
              <w:t>分，未表述不得分。</w:t>
            </w:r>
          </w:p>
        </w:tc>
        <w:tc>
          <w:tcPr>
            <w:tcW w:w="802" w:type="dxa"/>
            <w:tcBorders>
              <w:top w:val="single" w:color="auto" w:sz="6" w:space="0"/>
              <w:left w:val="single" w:color="auto" w:sz="6" w:space="0"/>
              <w:right w:val="single" w:color="auto" w:sz="6" w:space="0"/>
            </w:tcBorders>
            <w:vAlign w:val="center"/>
          </w:tcPr>
          <w:p w14:paraId="51E4A767">
            <w:pPr>
              <w:spacing w:line="360" w:lineRule="exact"/>
              <w:contextualSpacing/>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7</w:t>
            </w:r>
          </w:p>
        </w:tc>
      </w:tr>
      <w:tr w14:paraId="57A09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8" w:type="dxa"/>
            <w:tcBorders>
              <w:top w:val="single" w:color="auto" w:sz="6" w:space="0"/>
              <w:left w:val="single" w:color="auto" w:sz="6" w:space="0"/>
              <w:right w:val="single" w:color="auto" w:sz="6" w:space="0"/>
            </w:tcBorders>
            <w:vAlign w:val="center"/>
          </w:tcPr>
          <w:p w14:paraId="2552E1FF">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8</w:t>
            </w:r>
          </w:p>
        </w:tc>
        <w:tc>
          <w:tcPr>
            <w:tcW w:w="1230" w:type="dxa"/>
            <w:vMerge w:val="continue"/>
            <w:tcBorders>
              <w:left w:val="single" w:color="auto" w:sz="6" w:space="0"/>
              <w:right w:val="single" w:color="auto" w:sz="6" w:space="0"/>
            </w:tcBorders>
            <w:vAlign w:val="center"/>
          </w:tcPr>
          <w:p w14:paraId="0846E023">
            <w:pPr>
              <w:spacing w:line="360" w:lineRule="exact"/>
              <w:contextualSpacing/>
              <w:rPr>
                <w:rFonts w:asciiTheme="minorEastAsia" w:hAnsiTheme="minorEastAsia" w:eastAsiaTheme="minorEastAsia"/>
                <w:b/>
                <w:szCs w:val="21"/>
              </w:rPr>
            </w:pPr>
          </w:p>
        </w:tc>
        <w:tc>
          <w:tcPr>
            <w:tcW w:w="6142" w:type="dxa"/>
            <w:tcBorders>
              <w:top w:val="single" w:color="auto" w:sz="6" w:space="0"/>
              <w:left w:val="single" w:color="auto" w:sz="6" w:space="0"/>
              <w:right w:val="single" w:color="auto" w:sz="6" w:space="0"/>
            </w:tcBorders>
            <w:vAlign w:val="center"/>
          </w:tcPr>
          <w:p w14:paraId="229CCA31">
            <w:pPr>
              <w:spacing w:line="360" w:lineRule="exact"/>
              <w:contextualSpacing/>
              <w:rPr>
                <w:rFonts w:asciiTheme="minorEastAsia" w:hAnsiTheme="minorEastAsia" w:eastAsiaTheme="minorEastAsia"/>
                <w:b/>
                <w:color w:val="auto"/>
                <w:szCs w:val="21"/>
              </w:rPr>
            </w:pPr>
            <w:r>
              <w:rPr>
                <w:rFonts w:hint="eastAsia" w:ascii="宋体" w:hAnsi="宋体"/>
                <w:color w:val="auto"/>
                <w:szCs w:val="21"/>
              </w:rPr>
              <w:t>根据</w:t>
            </w:r>
            <w:r>
              <w:rPr>
                <w:rFonts w:hint="eastAsia" w:asciiTheme="minorEastAsia" w:hAnsiTheme="minorEastAsia" w:eastAsiaTheme="minorEastAsia"/>
                <w:color w:val="auto"/>
                <w:szCs w:val="21"/>
              </w:rPr>
              <w:t>投标人</w:t>
            </w:r>
            <w:r>
              <w:rPr>
                <w:rFonts w:hint="eastAsia" w:ascii="宋体" w:hAnsi="宋体"/>
                <w:color w:val="auto"/>
                <w:szCs w:val="21"/>
              </w:rPr>
              <w:t>对本项目维护管理及建设思路、原则、特点、技术要求的理解，以及对项目运维、测量和建设方案的可行性、合理性情况等打分，具体、详细、可行的得</w:t>
            </w:r>
            <w:r>
              <w:rPr>
                <w:rFonts w:hint="eastAsia" w:asciiTheme="minorEastAsia" w:hAnsiTheme="minorEastAsia" w:eastAsiaTheme="minorEastAsia"/>
                <w:color w:val="auto"/>
                <w:szCs w:val="21"/>
              </w:rPr>
              <w:t>4-7</w:t>
            </w:r>
            <w:r>
              <w:rPr>
                <w:rFonts w:hint="eastAsia" w:ascii="宋体" w:hAnsi="宋体"/>
                <w:color w:val="auto"/>
                <w:szCs w:val="21"/>
              </w:rPr>
              <w:t>分，本项存在欠合理、科学、规范的得1-</w:t>
            </w:r>
            <w:r>
              <w:rPr>
                <w:rFonts w:hint="eastAsia" w:asciiTheme="minorEastAsia" w:hAnsiTheme="minorEastAsia" w:eastAsiaTheme="minorEastAsia"/>
                <w:color w:val="auto"/>
                <w:szCs w:val="21"/>
              </w:rPr>
              <w:t>4</w:t>
            </w:r>
            <w:r>
              <w:rPr>
                <w:rFonts w:hint="eastAsia" w:ascii="宋体" w:hAnsi="宋体"/>
                <w:color w:val="auto"/>
                <w:szCs w:val="21"/>
              </w:rPr>
              <w:t>分，未表述不得分。</w:t>
            </w:r>
          </w:p>
        </w:tc>
        <w:tc>
          <w:tcPr>
            <w:tcW w:w="802" w:type="dxa"/>
            <w:tcBorders>
              <w:top w:val="single" w:color="auto" w:sz="6" w:space="0"/>
              <w:left w:val="single" w:color="auto" w:sz="6" w:space="0"/>
              <w:right w:val="single" w:color="auto" w:sz="6" w:space="0"/>
            </w:tcBorders>
            <w:vAlign w:val="center"/>
          </w:tcPr>
          <w:p w14:paraId="220662CF">
            <w:pPr>
              <w:spacing w:line="360" w:lineRule="exact"/>
              <w:contextualSpacing/>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7</w:t>
            </w:r>
          </w:p>
        </w:tc>
      </w:tr>
      <w:tr w14:paraId="752C3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8" w:type="dxa"/>
            <w:tcBorders>
              <w:top w:val="single" w:color="auto" w:sz="6" w:space="0"/>
              <w:left w:val="single" w:color="auto" w:sz="6" w:space="0"/>
              <w:right w:val="single" w:color="auto" w:sz="6" w:space="0"/>
            </w:tcBorders>
            <w:vAlign w:val="center"/>
          </w:tcPr>
          <w:p w14:paraId="7440694B">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9</w:t>
            </w:r>
          </w:p>
        </w:tc>
        <w:tc>
          <w:tcPr>
            <w:tcW w:w="1230" w:type="dxa"/>
            <w:vMerge w:val="continue"/>
            <w:tcBorders>
              <w:left w:val="single" w:color="auto" w:sz="6" w:space="0"/>
              <w:right w:val="single" w:color="auto" w:sz="6" w:space="0"/>
            </w:tcBorders>
            <w:vAlign w:val="center"/>
          </w:tcPr>
          <w:p w14:paraId="348FE73F">
            <w:pPr>
              <w:spacing w:line="360" w:lineRule="exact"/>
              <w:contextualSpacing/>
              <w:rPr>
                <w:rFonts w:asciiTheme="minorEastAsia" w:hAnsiTheme="minorEastAsia" w:eastAsiaTheme="minorEastAsia"/>
                <w:b/>
                <w:szCs w:val="21"/>
              </w:rPr>
            </w:pPr>
          </w:p>
        </w:tc>
        <w:tc>
          <w:tcPr>
            <w:tcW w:w="6142" w:type="dxa"/>
            <w:tcBorders>
              <w:top w:val="single" w:color="auto" w:sz="6" w:space="0"/>
              <w:left w:val="single" w:color="auto" w:sz="6" w:space="0"/>
              <w:right w:val="single" w:color="auto" w:sz="6" w:space="0"/>
            </w:tcBorders>
            <w:vAlign w:val="center"/>
          </w:tcPr>
          <w:p w14:paraId="292CCDF7">
            <w:pPr>
              <w:spacing w:line="360" w:lineRule="exact"/>
              <w:contextualSpacing/>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投标人针对本项目的时间进度安排，工作时间节点划分合理、安排紧凑</w:t>
            </w:r>
            <w:r>
              <w:rPr>
                <w:rFonts w:hint="eastAsia" w:ascii="宋体" w:hAnsi="宋体"/>
                <w:color w:val="auto"/>
                <w:szCs w:val="21"/>
              </w:rPr>
              <w:t>的得</w:t>
            </w:r>
            <w:r>
              <w:rPr>
                <w:rFonts w:hint="eastAsia" w:asciiTheme="minorEastAsia" w:hAnsiTheme="minorEastAsia" w:eastAsiaTheme="minorEastAsia"/>
                <w:color w:val="auto"/>
                <w:szCs w:val="21"/>
              </w:rPr>
              <w:t>4-7</w:t>
            </w:r>
            <w:r>
              <w:rPr>
                <w:rFonts w:hint="eastAsia" w:ascii="宋体" w:hAnsi="宋体"/>
                <w:color w:val="auto"/>
                <w:szCs w:val="21"/>
              </w:rPr>
              <w:t>分，本项存在欠合理、科学、规范的得1-</w:t>
            </w:r>
            <w:r>
              <w:rPr>
                <w:rFonts w:hint="eastAsia" w:asciiTheme="minorEastAsia" w:hAnsiTheme="minorEastAsia" w:eastAsiaTheme="minorEastAsia"/>
                <w:color w:val="auto"/>
                <w:szCs w:val="21"/>
              </w:rPr>
              <w:t>4</w:t>
            </w:r>
            <w:r>
              <w:rPr>
                <w:rFonts w:hint="eastAsia" w:ascii="宋体" w:hAnsi="宋体"/>
                <w:color w:val="auto"/>
                <w:szCs w:val="21"/>
              </w:rPr>
              <w:t>分，未表述不得分。</w:t>
            </w:r>
          </w:p>
        </w:tc>
        <w:tc>
          <w:tcPr>
            <w:tcW w:w="802" w:type="dxa"/>
            <w:tcBorders>
              <w:top w:val="single" w:color="auto" w:sz="6" w:space="0"/>
              <w:left w:val="single" w:color="auto" w:sz="6" w:space="0"/>
              <w:right w:val="single" w:color="auto" w:sz="6" w:space="0"/>
            </w:tcBorders>
            <w:vAlign w:val="center"/>
          </w:tcPr>
          <w:p w14:paraId="37B7DB5F">
            <w:pPr>
              <w:spacing w:line="360" w:lineRule="exact"/>
              <w:contextualSpacing/>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7</w:t>
            </w:r>
          </w:p>
        </w:tc>
      </w:tr>
      <w:tr w14:paraId="40DF4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568" w:type="dxa"/>
            <w:tcBorders>
              <w:top w:val="single" w:color="auto" w:sz="6" w:space="0"/>
              <w:left w:val="single" w:color="auto" w:sz="6" w:space="0"/>
              <w:right w:val="single" w:color="auto" w:sz="6" w:space="0"/>
            </w:tcBorders>
            <w:vAlign w:val="center"/>
          </w:tcPr>
          <w:p w14:paraId="44E6DA20">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10</w:t>
            </w:r>
          </w:p>
        </w:tc>
        <w:tc>
          <w:tcPr>
            <w:tcW w:w="1230" w:type="dxa"/>
            <w:vMerge w:val="continue"/>
            <w:tcBorders>
              <w:left w:val="single" w:color="auto" w:sz="6" w:space="0"/>
              <w:right w:val="single" w:color="auto" w:sz="6" w:space="0"/>
            </w:tcBorders>
            <w:vAlign w:val="center"/>
          </w:tcPr>
          <w:p w14:paraId="038F0EEA">
            <w:pPr>
              <w:spacing w:line="360" w:lineRule="exact"/>
              <w:contextualSpacing/>
              <w:rPr>
                <w:rFonts w:asciiTheme="minorEastAsia" w:hAnsiTheme="minorEastAsia" w:eastAsiaTheme="minorEastAsia"/>
                <w:b/>
                <w:szCs w:val="21"/>
              </w:rPr>
            </w:pPr>
          </w:p>
        </w:tc>
        <w:tc>
          <w:tcPr>
            <w:tcW w:w="6142" w:type="dxa"/>
            <w:tcBorders>
              <w:top w:val="single" w:color="auto" w:sz="6" w:space="0"/>
              <w:left w:val="single" w:color="auto" w:sz="6" w:space="0"/>
              <w:right w:val="single" w:color="auto" w:sz="6" w:space="0"/>
            </w:tcBorders>
            <w:vAlign w:val="center"/>
          </w:tcPr>
          <w:p w14:paraId="7CFD9E8A">
            <w:pPr>
              <w:spacing w:line="360" w:lineRule="exact"/>
              <w:contextualSpacing/>
              <w:rPr>
                <w:rFonts w:asciiTheme="minorEastAsia" w:hAnsiTheme="minorEastAsia"/>
                <w:b/>
                <w:color w:val="auto"/>
                <w:szCs w:val="21"/>
              </w:rPr>
            </w:pPr>
            <w:r>
              <w:rPr>
                <w:rFonts w:hint="eastAsia" w:ascii="宋体" w:hAnsi="宋体"/>
                <w:color w:val="auto"/>
                <w:szCs w:val="21"/>
              </w:rPr>
              <w:t>应急响应期间的设备保障工作，是否有具体措施。方案合理、可行有具体保障措施的得</w:t>
            </w:r>
            <w:r>
              <w:rPr>
                <w:rFonts w:hint="eastAsia" w:asciiTheme="minorEastAsia" w:hAnsiTheme="minorEastAsia" w:eastAsiaTheme="minorEastAsia"/>
                <w:color w:val="auto"/>
                <w:szCs w:val="21"/>
              </w:rPr>
              <w:t>4-7</w:t>
            </w:r>
            <w:r>
              <w:rPr>
                <w:rFonts w:hint="eastAsia" w:ascii="宋体" w:hAnsi="宋体"/>
                <w:color w:val="auto"/>
                <w:szCs w:val="21"/>
              </w:rPr>
              <w:t>分，存在欠合理、科学、规范的得</w:t>
            </w:r>
            <w:r>
              <w:rPr>
                <w:rFonts w:hint="eastAsia" w:asciiTheme="minorEastAsia" w:hAnsiTheme="minorEastAsia" w:eastAsiaTheme="minorEastAsia"/>
                <w:color w:val="auto"/>
                <w:szCs w:val="21"/>
              </w:rPr>
              <w:t>1-4</w:t>
            </w:r>
            <w:r>
              <w:rPr>
                <w:rFonts w:hint="eastAsia" w:ascii="宋体" w:hAnsi="宋体"/>
                <w:color w:val="auto"/>
                <w:szCs w:val="21"/>
              </w:rPr>
              <w:t>分，未表述不得分。</w:t>
            </w:r>
          </w:p>
        </w:tc>
        <w:tc>
          <w:tcPr>
            <w:tcW w:w="802" w:type="dxa"/>
            <w:tcBorders>
              <w:top w:val="single" w:color="auto" w:sz="6" w:space="0"/>
              <w:left w:val="single" w:color="auto" w:sz="6" w:space="0"/>
              <w:right w:val="single" w:color="auto" w:sz="6" w:space="0"/>
            </w:tcBorders>
            <w:vAlign w:val="center"/>
          </w:tcPr>
          <w:p w14:paraId="794EA770">
            <w:pPr>
              <w:spacing w:line="360" w:lineRule="exact"/>
              <w:contextualSpacing/>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7</w:t>
            </w:r>
          </w:p>
        </w:tc>
      </w:tr>
      <w:tr w14:paraId="1E69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568" w:type="dxa"/>
            <w:tcBorders>
              <w:left w:val="single" w:color="auto" w:sz="6" w:space="0"/>
              <w:right w:val="single" w:color="auto" w:sz="6" w:space="0"/>
            </w:tcBorders>
            <w:vAlign w:val="center"/>
          </w:tcPr>
          <w:p w14:paraId="11A205B7">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11</w:t>
            </w:r>
          </w:p>
        </w:tc>
        <w:tc>
          <w:tcPr>
            <w:tcW w:w="1230" w:type="dxa"/>
            <w:vMerge w:val="restart"/>
            <w:tcBorders>
              <w:left w:val="single" w:color="auto" w:sz="6" w:space="0"/>
              <w:right w:val="single" w:color="auto" w:sz="6" w:space="0"/>
            </w:tcBorders>
            <w:vAlign w:val="center"/>
          </w:tcPr>
          <w:p w14:paraId="2CFB2B06">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服务方案（3</w:t>
            </w:r>
            <w:r>
              <w:rPr>
                <w:rFonts w:hint="eastAsia" w:asciiTheme="minorEastAsia" w:hAnsiTheme="minorEastAsia" w:eastAsiaTheme="minorEastAsia"/>
                <w:b/>
                <w:szCs w:val="21"/>
                <w:lang w:val="en-US" w:eastAsia="zh-CN"/>
              </w:rPr>
              <w:t>0</w:t>
            </w:r>
            <w:r>
              <w:rPr>
                <w:rFonts w:hint="eastAsia" w:asciiTheme="minorEastAsia" w:hAnsiTheme="minorEastAsia" w:eastAsiaTheme="minorEastAsia"/>
                <w:b/>
                <w:szCs w:val="21"/>
              </w:rPr>
              <w:t>分）</w:t>
            </w:r>
          </w:p>
        </w:tc>
        <w:tc>
          <w:tcPr>
            <w:tcW w:w="6142" w:type="dxa"/>
            <w:tcBorders>
              <w:left w:val="single" w:color="auto" w:sz="6" w:space="0"/>
              <w:right w:val="single" w:color="auto" w:sz="6" w:space="0"/>
            </w:tcBorders>
            <w:vAlign w:val="center"/>
          </w:tcPr>
          <w:p w14:paraId="08E8F178">
            <w:pPr>
              <w:spacing w:line="360" w:lineRule="exact"/>
              <w:contextualSpacing/>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拟投入本项目作业设备，配置</w:t>
            </w:r>
            <w:r>
              <w:rPr>
                <w:rFonts w:hint="eastAsia" w:asciiTheme="minorEastAsia" w:hAnsiTheme="minorEastAsia" w:eastAsiaTheme="minorEastAsia"/>
                <w:color w:val="auto"/>
                <w:szCs w:val="21"/>
                <w:highlight w:val="none"/>
                <w:lang w:eastAsia="zh-CN"/>
              </w:rPr>
              <w:t>符合本项目需求的作业设备（如：流量监测设备、水质监测设备等），每套</w:t>
            </w:r>
            <w:r>
              <w:rPr>
                <w:rFonts w:hint="eastAsia" w:asciiTheme="minorEastAsia" w:hAnsiTheme="minorEastAsia" w:eastAsiaTheme="minorEastAsia"/>
                <w:color w:val="auto"/>
                <w:szCs w:val="21"/>
                <w:highlight w:val="none"/>
              </w:rPr>
              <w:t>得</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lang w:eastAsia="zh-CN"/>
              </w:rPr>
              <w:t>最高得</w:t>
            </w:r>
            <w:r>
              <w:rPr>
                <w:rFonts w:hint="eastAsia" w:asciiTheme="minorEastAsia" w:hAnsiTheme="minorEastAsia" w:eastAsiaTheme="minorEastAsia"/>
                <w:color w:val="auto"/>
                <w:szCs w:val="21"/>
                <w:highlight w:val="none"/>
                <w:lang w:val="en-US" w:eastAsia="zh-CN"/>
              </w:rPr>
              <w:t>2分</w:t>
            </w:r>
            <w:r>
              <w:rPr>
                <w:rFonts w:hint="eastAsia" w:asciiTheme="minorEastAsia" w:hAnsiTheme="minorEastAsia" w:eastAsiaTheme="minorEastAsia"/>
                <w:color w:val="auto"/>
                <w:szCs w:val="21"/>
                <w:highlight w:val="none"/>
              </w:rPr>
              <w:t>，未提供的得0分。</w:t>
            </w:r>
          </w:p>
          <w:p w14:paraId="03817E17">
            <w:pPr>
              <w:spacing w:line="360" w:lineRule="exact"/>
              <w:contextualSpacing/>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拟投入本项目</w:t>
            </w:r>
            <w:r>
              <w:rPr>
                <w:rFonts w:hint="eastAsia" w:asciiTheme="minorEastAsia" w:hAnsiTheme="minorEastAsia" w:eastAsiaTheme="minorEastAsia"/>
                <w:color w:val="auto"/>
                <w:szCs w:val="21"/>
                <w:highlight w:val="none"/>
                <w:lang w:val="en-US" w:eastAsia="zh-CN"/>
              </w:rPr>
              <w:t>运维</w:t>
            </w:r>
            <w:r>
              <w:rPr>
                <w:rFonts w:hint="eastAsia" w:asciiTheme="minorEastAsia" w:hAnsiTheme="minorEastAsia" w:eastAsiaTheme="minorEastAsia"/>
                <w:color w:val="auto"/>
                <w:szCs w:val="21"/>
                <w:highlight w:val="none"/>
              </w:rPr>
              <w:t>车辆，</w:t>
            </w:r>
            <w:r>
              <w:rPr>
                <w:rFonts w:hint="eastAsia" w:asciiTheme="minorEastAsia" w:hAnsiTheme="minorEastAsia" w:eastAsiaTheme="minorEastAsia"/>
                <w:color w:val="auto"/>
                <w:szCs w:val="21"/>
                <w:highlight w:val="none"/>
                <w:lang w:val="en-US" w:eastAsia="zh-CN"/>
              </w:rPr>
              <w:t>4辆及以上得2分</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2辆及以上得1分，</w:t>
            </w:r>
            <w:r>
              <w:rPr>
                <w:rFonts w:hint="eastAsia" w:asciiTheme="minorEastAsia" w:hAnsiTheme="minorEastAsia" w:eastAsiaTheme="minorEastAsia"/>
                <w:color w:val="auto"/>
                <w:szCs w:val="21"/>
                <w:highlight w:val="none"/>
              </w:rPr>
              <w:t>未提供的得0分。</w:t>
            </w:r>
          </w:p>
          <w:p w14:paraId="44C8D3F6">
            <w:pPr>
              <w:spacing w:line="360" w:lineRule="exact"/>
              <w:contextualSpacing/>
              <w:rPr>
                <w:rFonts w:hint="eastAsia" w:asciiTheme="minorEastAsia" w:hAnsiTheme="minorEastAsia" w:eastAsiaTheme="minorEastAsia"/>
                <w:b/>
                <w:bCs/>
                <w:color w:val="auto"/>
                <w:szCs w:val="21"/>
                <w:highlight w:val="none"/>
                <w:lang w:val="en-US" w:eastAsia="zh-CN"/>
              </w:rPr>
            </w:pPr>
            <w:r>
              <w:rPr>
                <w:rFonts w:hint="eastAsia" w:asciiTheme="minorEastAsia" w:hAnsiTheme="minorEastAsia" w:eastAsiaTheme="minorEastAsia"/>
                <w:b/>
                <w:bCs/>
                <w:color w:val="auto"/>
                <w:szCs w:val="21"/>
                <w:highlight w:val="none"/>
                <w:lang w:val="en-US" w:eastAsia="zh-CN"/>
              </w:rPr>
              <w:t>注明：①自有的需同时提供有效的行驶证全本（含车辆照片页）、交强险保单、车辆登记证、车辆购置发票复印件）；</w:t>
            </w:r>
          </w:p>
          <w:p w14:paraId="2C2F7F6B">
            <w:pPr>
              <w:spacing w:line="360" w:lineRule="exact"/>
              <w:contextualSpacing/>
              <w:rPr>
                <w:rFonts w:hint="eastAsia" w:asciiTheme="minorEastAsia" w:hAnsiTheme="minorEastAsia" w:eastAsiaTheme="minorEastAsia"/>
                <w:b/>
                <w:bCs/>
                <w:color w:val="auto"/>
                <w:szCs w:val="21"/>
                <w:highlight w:val="none"/>
                <w:lang w:val="en-US" w:eastAsia="zh-CN"/>
              </w:rPr>
            </w:pPr>
            <w:r>
              <w:rPr>
                <w:rFonts w:hint="eastAsia" w:asciiTheme="minorEastAsia" w:hAnsiTheme="minorEastAsia" w:eastAsiaTheme="minorEastAsia"/>
                <w:b/>
                <w:bCs/>
                <w:color w:val="auto"/>
                <w:szCs w:val="21"/>
                <w:highlight w:val="none"/>
                <w:lang w:val="en-US" w:eastAsia="zh-CN"/>
              </w:rPr>
              <w:t>②租赁的需同时提供租赁合同、有效的行驶证全本（含车辆照片页）、交强险保单、车辆登记证复印件）。同一车辆及设备不能同时租赁给参与本项目投标的供应商；</w:t>
            </w:r>
          </w:p>
          <w:p w14:paraId="16507A38">
            <w:pPr>
              <w:spacing w:line="360" w:lineRule="exact"/>
              <w:contextualSpacing/>
              <w:rPr>
                <w:rFonts w:hint="eastAsia" w:asciiTheme="minorEastAsia" w:hAnsiTheme="minorEastAsia" w:eastAsiaTheme="minorEastAsia"/>
                <w:b/>
                <w:bCs/>
                <w:color w:val="auto"/>
                <w:szCs w:val="21"/>
                <w:highlight w:val="none"/>
                <w:lang w:val="en-US" w:eastAsia="zh-CN"/>
              </w:rPr>
            </w:pPr>
            <w:r>
              <w:rPr>
                <w:rFonts w:hint="eastAsia" w:asciiTheme="minorEastAsia" w:hAnsiTheme="minorEastAsia" w:eastAsiaTheme="minorEastAsia"/>
                <w:b/>
                <w:bCs/>
                <w:color w:val="auto"/>
                <w:szCs w:val="21"/>
                <w:highlight w:val="none"/>
                <w:lang w:val="en-US" w:eastAsia="zh-CN"/>
              </w:rPr>
              <w:t>③设备的提供清晰可辨的购置发票；</w:t>
            </w:r>
          </w:p>
          <w:p w14:paraId="326FA7B3">
            <w:pPr>
              <w:spacing w:line="360" w:lineRule="exact"/>
              <w:contextualSpacing/>
              <w:rPr>
                <w:rFonts w:asciiTheme="minorEastAsia" w:hAnsiTheme="minorEastAsia" w:eastAsiaTheme="minorEastAsia"/>
                <w:color w:val="auto"/>
                <w:szCs w:val="21"/>
              </w:rPr>
            </w:pPr>
            <w:r>
              <w:rPr>
                <w:rFonts w:hint="eastAsia" w:ascii="宋体" w:hAnsi="宋体" w:eastAsia="宋体" w:cs="宋体"/>
                <w:b/>
                <w:bCs/>
                <w:color w:val="auto"/>
                <w:szCs w:val="21"/>
                <w:highlight w:val="none"/>
              </w:rPr>
              <w:t>④</w:t>
            </w:r>
            <w:r>
              <w:rPr>
                <w:rFonts w:hint="eastAsia" w:ascii="宋体" w:hAnsi="宋体" w:cs="宋体"/>
                <w:b/>
                <w:bCs/>
                <w:color w:val="auto"/>
                <w:szCs w:val="21"/>
                <w:highlight w:val="none"/>
                <w:lang w:val="en-US" w:eastAsia="zh-CN"/>
              </w:rPr>
              <w:t>上述资料需</w:t>
            </w:r>
            <w:r>
              <w:rPr>
                <w:rFonts w:hint="eastAsia" w:asciiTheme="minorEastAsia" w:hAnsiTheme="minorEastAsia" w:eastAsiaTheme="minorEastAsia"/>
                <w:b/>
                <w:bCs/>
                <w:color w:val="auto"/>
                <w:szCs w:val="21"/>
                <w:highlight w:val="none"/>
              </w:rPr>
              <w:t>CA签章，提供拟投入设备规格型号等具体参数，格式自拟）</w:t>
            </w:r>
          </w:p>
        </w:tc>
        <w:tc>
          <w:tcPr>
            <w:tcW w:w="802" w:type="dxa"/>
            <w:tcBorders>
              <w:top w:val="single" w:color="auto" w:sz="6" w:space="0"/>
              <w:left w:val="single" w:color="auto" w:sz="6" w:space="0"/>
              <w:bottom w:val="single" w:color="auto" w:sz="6" w:space="0"/>
              <w:right w:val="single" w:color="auto" w:sz="6" w:space="0"/>
            </w:tcBorders>
            <w:vAlign w:val="center"/>
          </w:tcPr>
          <w:p w14:paraId="3216B55F">
            <w:pPr>
              <w:spacing w:line="360" w:lineRule="exact"/>
              <w:contextualSpacing/>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b/>
                <w:color w:val="auto"/>
                <w:szCs w:val="21"/>
                <w:lang w:val="en-US" w:eastAsia="zh-CN"/>
              </w:rPr>
              <w:t>4</w:t>
            </w:r>
          </w:p>
        </w:tc>
      </w:tr>
      <w:tr w14:paraId="1BBC4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568" w:type="dxa"/>
            <w:tcBorders>
              <w:left w:val="single" w:color="auto" w:sz="6" w:space="0"/>
              <w:right w:val="single" w:color="auto" w:sz="6" w:space="0"/>
            </w:tcBorders>
            <w:vAlign w:val="center"/>
          </w:tcPr>
          <w:p w14:paraId="195DC53B">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12</w:t>
            </w:r>
          </w:p>
        </w:tc>
        <w:tc>
          <w:tcPr>
            <w:tcW w:w="1230" w:type="dxa"/>
            <w:vMerge w:val="continue"/>
            <w:tcBorders>
              <w:left w:val="single" w:color="auto" w:sz="6" w:space="0"/>
              <w:right w:val="single" w:color="auto" w:sz="6" w:space="0"/>
            </w:tcBorders>
            <w:vAlign w:val="center"/>
          </w:tcPr>
          <w:p w14:paraId="1BC68A38">
            <w:pPr>
              <w:spacing w:line="360" w:lineRule="exact"/>
              <w:contextualSpacing/>
              <w:rPr>
                <w:rFonts w:asciiTheme="minorEastAsia" w:hAnsiTheme="minorEastAsia" w:eastAsiaTheme="minorEastAsia"/>
                <w:szCs w:val="21"/>
              </w:rPr>
            </w:pPr>
          </w:p>
        </w:tc>
        <w:tc>
          <w:tcPr>
            <w:tcW w:w="6142" w:type="dxa"/>
            <w:tcBorders>
              <w:left w:val="single" w:color="auto" w:sz="6" w:space="0"/>
              <w:right w:val="single" w:color="auto" w:sz="6" w:space="0"/>
            </w:tcBorders>
            <w:vAlign w:val="center"/>
          </w:tcPr>
          <w:p w14:paraId="5525E99C">
            <w:pPr>
              <w:spacing w:line="360" w:lineRule="exact"/>
              <w:contextualSpacing/>
              <w:rPr>
                <w:rFonts w:asciiTheme="minorEastAsia" w:hAnsiTheme="minorEastAsia" w:eastAsiaTheme="minorEastAsia"/>
                <w:szCs w:val="21"/>
              </w:rPr>
            </w:pPr>
            <w:r>
              <w:rPr>
                <w:rFonts w:hint="eastAsia" w:asciiTheme="minorEastAsia" w:hAnsiTheme="minorEastAsia" w:eastAsiaTheme="minorEastAsia"/>
                <w:szCs w:val="21"/>
              </w:rPr>
              <w:t>投标人具有健全的内控制度，组织机构完善，规章制度设置全面、落实到位的得4-7分，基本描述的得1-4分，未描述的得0分。</w:t>
            </w:r>
          </w:p>
        </w:tc>
        <w:tc>
          <w:tcPr>
            <w:tcW w:w="802" w:type="dxa"/>
            <w:tcBorders>
              <w:top w:val="single" w:color="auto" w:sz="6" w:space="0"/>
              <w:left w:val="single" w:color="auto" w:sz="6" w:space="0"/>
              <w:bottom w:val="single" w:color="auto" w:sz="6" w:space="0"/>
              <w:right w:val="single" w:color="auto" w:sz="6" w:space="0"/>
            </w:tcBorders>
            <w:vAlign w:val="center"/>
          </w:tcPr>
          <w:p w14:paraId="144DABAE">
            <w:pPr>
              <w:spacing w:line="360" w:lineRule="exact"/>
              <w:contextualSpacing/>
              <w:jc w:val="center"/>
              <w:rPr>
                <w:rFonts w:asciiTheme="minorEastAsia" w:hAnsiTheme="minorEastAsia" w:eastAsiaTheme="minorEastAsia"/>
                <w:szCs w:val="21"/>
              </w:rPr>
            </w:pPr>
            <w:r>
              <w:rPr>
                <w:rFonts w:hint="eastAsia" w:asciiTheme="minorEastAsia" w:hAnsiTheme="minorEastAsia" w:eastAsiaTheme="minorEastAsia"/>
                <w:b/>
                <w:szCs w:val="21"/>
              </w:rPr>
              <w:t>7</w:t>
            </w:r>
          </w:p>
        </w:tc>
      </w:tr>
      <w:tr w14:paraId="2948E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568" w:type="dxa"/>
            <w:tcBorders>
              <w:left w:val="single" w:color="auto" w:sz="6" w:space="0"/>
              <w:right w:val="single" w:color="auto" w:sz="6" w:space="0"/>
            </w:tcBorders>
            <w:vAlign w:val="center"/>
          </w:tcPr>
          <w:p w14:paraId="32F0BFBA">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13</w:t>
            </w:r>
          </w:p>
        </w:tc>
        <w:tc>
          <w:tcPr>
            <w:tcW w:w="1230" w:type="dxa"/>
            <w:vMerge w:val="continue"/>
            <w:tcBorders>
              <w:left w:val="single" w:color="auto" w:sz="6" w:space="0"/>
              <w:right w:val="single" w:color="auto" w:sz="6" w:space="0"/>
            </w:tcBorders>
            <w:vAlign w:val="center"/>
          </w:tcPr>
          <w:p w14:paraId="1CDF6B25">
            <w:pPr>
              <w:spacing w:line="360" w:lineRule="exact"/>
              <w:contextualSpacing/>
              <w:rPr>
                <w:rFonts w:asciiTheme="minorEastAsia" w:hAnsiTheme="minorEastAsia" w:eastAsiaTheme="minorEastAsia"/>
                <w:szCs w:val="21"/>
              </w:rPr>
            </w:pPr>
          </w:p>
        </w:tc>
        <w:tc>
          <w:tcPr>
            <w:tcW w:w="6142" w:type="dxa"/>
            <w:tcBorders>
              <w:left w:val="single" w:color="auto" w:sz="6" w:space="0"/>
              <w:right w:val="single" w:color="auto" w:sz="6" w:space="0"/>
            </w:tcBorders>
            <w:vAlign w:val="center"/>
          </w:tcPr>
          <w:p w14:paraId="6171C897">
            <w:pPr>
              <w:spacing w:line="360" w:lineRule="exact"/>
              <w:contextualSpacing/>
              <w:rPr>
                <w:rFonts w:asciiTheme="minorEastAsia" w:hAnsiTheme="minorEastAsia" w:eastAsiaTheme="minorEastAsia"/>
                <w:szCs w:val="21"/>
              </w:rPr>
            </w:pPr>
            <w:r>
              <w:rPr>
                <w:rFonts w:hint="eastAsia" w:asciiTheme="minorEastAsia" w:hAnsiTheme="minorEastAsia" w:eastAsiaTheme="minorEastAsia"/>
                <w:szCs w:val="21"/>
              </w:rPr>
              <w:t>拟投入本项目人员配置、专业配置、岗位配置，配置合理、切实可行、有效的得4-7分，基本配置的得1-4分，未描述的得0分。</w:t>
            </w:r>
          </w:p>
        </w:tc>
        <w:tc>
          <w:tcPr>
            <w:tcW w:w="802" w:type="dxa"/>
            <w:tcBorders>
              <w:top w:val="single" w:color="auto" w:sz="6" w:space="0"/>
              <w:left w:val="single" w:color="auto" w:sz="6" w:space="0"/>
              <w:bottom w:val="single" w:color="auto" w:sz="6" w:space="0"/>
              <w:right w:val="single" w:color="auto" w:sz="6" w:space="0"/>
            </w:tcBorders>
            <w:vAlign w:val="center"/>
          </w:tcPr>
          <w:p w14:paraId="12B997B2">
            <w:pPr>
              <w:spacing w:line="360" w:lineRule="exact"/>
              <w:contextualSpacing/>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r>
      <w:tr w14:paraId="1CD3B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568" w:type="dxa"/>
            <w:tcBorders>
              <w:left w:val="single" w:color="auto" w:sz="6" w:space="0"/>
              <w:right w:val="single" w:color="auto" w:sz="6" w:space="0"/>
            </w:tcBorders>
            <w:vAlign w:val="center"/>
          </w:tcPr>
          <w:p w14:paraId="33E44CB6">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14</w:t>
            </w:r>
          </w:p>
        </w:tc>
        <w:tc>
          <w:tcPr>
            <w:tcW w:w="1230" w:type="dxa"/>
            <w:vMerge w:val="continue"/>
            <w:tcBorders>
              <w:left w:val="single" w:color="auto" w:sz="6" w:space="0"/>
              <w:right w:val="single" w:color="auto" w:sz="6" w:space="0"/>
            </w:tcBorders>
            <w:vAlign w:val="center"/>
          </w:tcPr>
          <w:p w14:paraId="165D9834">
            <w:pPr>
              <w:spacing w:line="360" w:lineRule="exact"/>
              <w:contextualSpacing/>
              <w:rPr>
                <w:rFonts w:asciiTheme="minorEastAsia" w:hAnsiTheme="minorEastAsia" w:eastAsiaTheme="minorEastAsia"/>
                <w:szCs w:val="21"/>
              </w:rPr>
            </w:pPr>
          </w:p>
        </w:tc>
        <w:tc>
          <w:tcPr>
            <w:tcW w:w="6142" w:type="dxa"/>
            <w:tcBorders>
              <w:left w:val="single" w:color="auto" w:sz="6" w:space="0"/>
              <w:right w:val="single" w:color="auto" w:sz="6" w:space="0"/>
            </w:tcBorders>
            <w:vAlign w:val="center"/>
          </w:tcPr>
          <w:p w14:paraId="7154C116">
            <w:pPr>
              <w:spacing w:line="360" w:lineRule="exact"/>
              <w:contextualSpacing/>
              <w:rPr>
                <w:rFonts w:asciiTheme="minorEastAsia" w:hAnsiTheme="minorEastAsia" w:eastAsiaTheme="minorEastAsia"/>
                <w:szCs w:val="21"/>
              </w:rPr>
            </w:pPr>
            <w:r>
              <w:rPr>
                <w:rFonts w:hint="eastAsia" w:asciiTheme="minorEastAsia" w:hAnsiTheme="minorEastAsia" w:eastAsiaTheme="minorEastAsia"/>
                <w:szCs w:val="21"/>
              </w:rPr>
              <w:t>投标人针对本项目的质量控制方案，对采集数据、整理、编制的质量控制、对结论的复核程序，方案严谨、切实可行、有效的得4-7分，基本描述的得1-4分，未描述的得0分。</w:t>
            </w:r>
          </w:p>
        </w:tc>
        <w:tc>
          <w:tcPr>
            <w:tcW w:w="802" w:type="dxa"/>
            <w:tcBorders>
              <w:top w:val="single" w:color="auto" w:sz="6" w:space="0"/>
              <w:left w:val="single" w:color="auto" w:sz="6" w:space="0"/>
              <w:bottom w:val="single" w:color="auto" w:sz="6" w:space="0"/>
              <w:right w:val="single" w:color="auto" w:sz="6" w:space="0"/>
            </w:tcBorders>
            <w:vAlign w:val="center"/>
          </w:tcPr>
          <w:p w14:paraId="7255C685">
            <w:pPr>
              <w:spacing w:line="360" w:lineRule="exact"/>
              <w:contextualSpacing/>
              <w:jc w:val="center"/>
              <w:rPr>
                <w:rFonts w:asciiTheme="minorEastAsia" w:hAnsiTheme="minorEastAsia" w:eastAsiaTheme="minorEastAsia"/>
                <w:szCs w:val="21"/>
              </w:rPr>
            </w:pPr>
            <w:r>
              <w:rPr>
                <w:rFonts w:hint="eastAsia" w:asciiTheme="minorEastAsia" w:hAnsiTheme="minorEastAsia" w:eastAsiaTheme="minorEastAsia"/>
                <w:b/>
                <w:szCs w:val="21"/>
              </w:rPr>
              <w:t>7</w:t>
            </w:r>
          </w:p>
        </w:tc>
      </w:tr>
      <w:tr w14:paraId="7B7B5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568" w:type="dxa"/>
            <w:tcBorders>
              <w:left w:val="single" w:color="auto" w:sz="6" w:space="0"/>
              <w:right w:val="single" w:color="auto" w:sz="6" w:space="0"/>
            </w:tcBorders>
            <w:vAlign w:val="center"/>
          </w:tcPr>
          <w:p w14:paraId="0AC6E032">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15</w:t>
            </w:r>
          </w:p>
        </w:tc>
        <w:tc>
          <w:tcPr>
            <w:tcW w:w="1230" w:type="dxa"/>
            <w:vMerge w:val="continue"/>
            <w:tcBorders>
              <w:left w:val="single" w:color="auto" w:sz="6" w:space="0"/>
              <w:right w:val="single" w:color="auto" w:sz="6" w:space="0"/>
            </w:tcBorders>
            <w:vAlign w:val="center"/>
          </w:tcPr>
          <w:p w14:paraId="2FD7EC4F">
            <w:pPr>
              <w:spacing w:line="360" w:lineRule="exact"/>
              <w:contextualSpacing/>
              <w:rPr>
                <w:rFonts w:asciiTheme="minorEastAsia" w:hAnsiTheme="minorEastAsia" w:eastAsiaTheme="minorEastAsia"/>
                <w:szCs w:val="21"/>
              </w:rPr>
            </w:pPr>
          </w:p>
        </w:tc>
        <w:tc>
          <w:tcPr>
            <w:tcW w:w="6142" w:type="dxa"/>
            <w:tcBorders>
              <w:left w:val="single" w:color="auto" w:sz="6" w:space="0"/>
              <w:right w:val="single" w:color="auto" w:sz="6" w:space="0"/>
            </w:tcBorders>
            <w:vAlign w:val="center"/>
          </w:tcPr>
          <w:p w14:paraId="6CDC8D60">
            <w:pPr>
              <w:spacing w:line="360" w:lineRule="exact"/>
              <w:contextualSpacing/>
              <w:rPr>
                <w:rFonts w:asciiTheme="minorEastAsia" w:hAnsiTheme="minorEastAsia" w:eastAsiaTheme="minorEastAsia"/>
                <w:szCs w:val="21"/>
              </w:rPr>
            </w:pPr>
            <w:r>
              <w:rPr>
                <w:rFonts w:hint="eastAsia" w:asciiTheme="minorEastAsia" w:hAnsiTheme="minorEastAsia" w:eastAsiaTheme="minorEastAsia"/>
                <w:szCs w:val="21"/>
              </w:rPr>
              <w:t>根据投标人针对本项目各内容的前期准备、调查情况具体、详细、且内容有利于本项目的实施，提供运维、测量方案；提供设备安装和调试方案具体、详细、可行的得3-5分，存在欠合理、科学、规范的得1-3分，未表述不得分。</w:t>
            </w:r>
          </w:p>
        </w:tc>
        <w:tc>
          <w:tcPr>
            <w:tcW w:w="802" w:type="dxa"/>
            <w:tcBorders>
              <w:top w:val="single" w:color="auto" w:sz="6" w:space="0"/>
              <w:left w:val="single" w:color="auto" w:sz="6" w:space="0"/>
              <w:bottom w:val="single" w:color="auto" w:sz="6" w:space="0"/>
              <w:right w:val="single" w:color="auto" w:sz="6" w:space="0"/>
            </w:tcBorders>
            <w:vAlign w:val="center"/>
          </w:tcPr>
          <w:p w14:paraId="0E977386">
            <w:pPr>
              <w:spacing w:line="360" w:lineRule="exact"/>
              <w:contextualSpacing/>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r>
      <w:tr w14:paraId="6C94B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568" w:type="dxa"/>
            <w:tcBorders>
              <w:left w:val="single" w:color="auto" w:sz="6" w:space="0"/>
              <w:right w:val="single" w:color="auto" w:sz="6" w:space="0"/>
            </w:tcBorders>
            <w:vAlign w:val="center"/>
          </w:tcPr>
          <w:p w14:paraId="4F8699AA">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16</w:t>
            </w:r>
          </w:p>
        </w:tc>
        <w:tc>
          <w:tcPr>
            <w:tcW w:w="1230" w:type="dxa"/>
            <w:vMerge w:val="restart"/>
            <w:tcBorders>
              <w:left w:val="single" w:color="auto" w:sz="6" w:space="0"/>
              <w:right w:val="single" w:color="auto" w:sz="6" w:space="0"/>
            </w:tcBorders>
            <w:vAlign w:val="center"/>
          </w:tcPr>
          <w:p w14:paraId="704F4CE9">
            <w:pPr>
              <w:snapToGrid w:val="0"/>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售后服务（14分）</w:t>
            </w:r>
          </w:p>
        </w:tc>
        <w:tc>
          <w:tcPr>
            <w:tcW w:w="6142" w:type="dxa"/>
            <w:tcBorders>
              <w:left w:val="single" w:color="auto" w:sz="6" w:space="0"/>
              <w:right w:val="single" w:color="auto" w:sz="6" w:space="0"/>
            </w:tcBorders>
            <w:vAlign w:val="center"/>
          </w:tcPr>
          <w:p w14:paraId="3F732624">
            <w:pPr>
              <w:snapToGrid w:val="0"/>
              <w:spacing w:line="360" w:lineRule="exact"/>
              <w:contextualSpacing/>
              <w:rPr>
                <w:rFonts w:asciiTheme="minorEastAsia" w:hAnsiTheme="minorEastAsia" w:eastAsiaTheme="minorEastAsia"/>
                <w:szCs w:val="21"/>
              </w:rPr>
            </w:pPr>
            <w:r>
              <w:rPr>
                <w:rFonts w:hint="eastAsia" w:asciiTheme="minorEastAsia" w:hAnsiTheme="minorEastAsia" w:eastAsiaTheme="minorEastAsia"/>
                <w:szCs w:val="21"/>
              </w:rPr>
              <w:t>根据投标人提供针对后续服务承诺全面和服务措施进行评分。</w:t>
            </w:r>
          </w:p>
          <w:p w14:paraId="7BF86524">
            <w:pPr>
              <w:snapToGrid w:val="0"/>
              <w:spacing w:line="360" w:lineRule="exact"/>
              <w:contextualSpacing/>
              <w:rPr>
                <w:rFonts w:asciiTheme="minorEastAsia" w:hAnsiTheme="minorEastAsia" w:eastAsiaTheme="minorEastAsia"/>
                <w:szCs w:val="21"/>
              </w:rPr>
            </w:pPr>
            <w:r>
              <w:rPr>
                <w:rFonts w:hint="eastAsia" w:asciiTheme="minorEastAsia" w:hAnsiTheme="minorEastAsia" w:eastAsiaTheme="minorEastAsia"/>
                <w:szCs w:val="21"/>
              </w:rPr>
              <w:t>具有针对性和可操作性，后续服务承诺和措施明确的得4-7分；</w:t>
            </w:r>
          </w:p>
          <w:p w14:paraId="68DE4525">
            <w:pPr>
              <w:snapToGrid w:val="0"/>
              <w:spacing w:line="360" w:lineRule="exact"/>
              <w:contextualSpacing/>
              <w:rPr>
                <w:rFonts w:asciiTheme="minorEastAsia" w:hAnsiTheme="minorEastAsia" w:eastAsiaTheme="minorEastAsia"/>
                <w:szCs w:val="21"/>
              </w:rPr>
            </w:pPr>
            <w:r>
              <w:rPr>
                <w:rFonts w:hint="eastAsia" w:asciiTheme="minorEastAsia" w:hAnsiTheme="minorEastAsia" w:eastAsiaTheme="minorEastAsia"/>
                <w:szCs w:val="21"/>
              </w:rPr>
              <w:t>针对性和可操作性行基本可行，后续服务承诺全面和服务措施比较明确的得1-4分；未描述的不得分。</w:t>
            </w:r>
          </w:p>
        </w:tc>
        <w:tc>
          <w:tcPr>
            <w:tcW w:w="802" w:type="dxa"/>
            <w:tcBorders>
              <w:top w:val="single" w:color="auto" w:sz="6" w:space="0"/>
              <w:left w:val="single" w:color="auto" w:sz="6" w:space="0"/>
              <w:bottom w:val="single" w:color="auto" w:sz="6" w:space="0"/>
              <w:right w:val="single" w:color="auto" w:sz="6" w:space="0"/>
            </w:tcBorders>
            <w:vAlign w:val="center"/>
          </w:tcPr>
          <w:p w14:paraId="59586DBF">
            <w:pPr>
              <w:spacing w:line="360" w:lineRule="exact"/>
              <w:jc w:val="center"/>
            </w:pPr>
            <w:r>
              <w:rPr>
                <w:rFonts w:hint="eastAsia" w:asciiTheme="minorEastAsia" w:hAnsiTheme="minorEastAsia" w:eastAsiaTheme="minorEastAsia"/>
                <w:b/>
                <w:szCs w:val="21"/>
              </w:rPr>
              <w:t>7</w:t>
            </w:r>
          </w:p>
        </w:tc>
      </w:tr>
      <w:tr w14:paraId="219BC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568" w:type="dxa"/>
            <w:tcBorders>
              <w:left w:val="single" w:color="auto" w:sz="6" w:space="0"/>
              <w:right w:val="single" w:color="auto" w:sz="6" w:space="0"/>
            </w:tcBorders>
            <w:vAlign w:val="center"/>
          </w:tcPr>
          <w:p w14:paraId="51260F6A">
            <w:pPr>
              <w:spacing w:line="360" w:lineRule="exact"/>
              <w:contextualSpacing/>
              <w:rPr>
                <w:rFonts w:asciiTheme="minorEastAsia" w:hAnsiTheme="minorEastAsia" w:eastAsiaTheme="minorEastAsia"/>
                <w:b/>
                <w:szCs w:val="21"/>
              </w:rPr>
            </w:pPr>
            <w:r>
              <w:rPr>
                <w:rFonts w:hint="eastAsia" w:asciiTheme="minorEastAsia" w:hAnsiTheme="minorEastAsia" w:eastAsiaTheme="minorEastAsia"/>
                <w:b/>
                <w:szCs w:val="21"/>
              </w:rPr>
              <w:t>17</w:t>
            </w:r>
          </w:p>
        </w:tc>
        <w:tc>
          <w:tcPr>
            <w:tcW w:w="1230" w:type="dxa"/>
            <w:vMerge w:val="continue"/>
            <w:tcBorders>
              <w:left w:val="single" w:color="auto" w:sz="6" w:space="0"/>
              <w:right w:val="single" w:color="auto" w:sz="6" w:space="0"/>
            </w:tcBorders>
            <w:vAlign w:val="center"/>
          </w:tcPr>
          <w:p w14:paraId="2F5A1363">
            <w:pPr>
              <w:snapToGrid w:val="0"/>
              <w:spacing w:line="360" w:lineRule="exact"/>
              <w:contextualSpacing/>
              <w:rPr>
                <w:rFonts w:asciiTheme="minorEastAsia" w:hAnsiTheme="minorEastAsia" w:eastAsiaTheme="minorEastAsia"/>
                <w:b/>
                <w:szCs w:val="21"/>
              </w:rPr>
            </w:pPr>
          </w:p>
        </w:tc>
        <w:tc>
          <w:tcPr>
            <w:tcW w:w="6142" w:type="dxa"/>
            <w:tcBorders>
              <w:left w:val="single" w:color="auto" w:sz="6" w:space="0"/>
              <w:right w:val="single" w:color="auto" w:sz="6" w:space="0"/>
            </w:tcBorders>
            <w:vAlign w:val="center"/>
          </w:tcPr>
          <w:p w14:paraId="3A8EA1A3">
            <w:pPr>
              <w:snapToGrid w:val="0"/>
              <w:spacing w:line="360" w:lineRule="exact"/>
              <w:contextualSpacing/>
              <w:rPr>
                <w:rFonts w:asciiTheme="minorEastAsia" w:hAnsiTheme="minorEastAsia" w:eastAsiaTheme="minorEastAsia"/>
                <w:szCs w:val="21"/>
              </w:rPr>
            </w:pPr>
            <w:bookmarkStart w:id="512" w:name="_GoBack"/>
            <w:r>
              <w:rPr>
                <w:rFonts w:hint="eastAsia" w:ascii="宋体" w:hAnsi="宋体"/>
                <w:szCs w:val="21"/>
              </w:rPr>
              <w:t>技术培训方案，主要包括培训目的、培训计划、培训实施方案（培训对象、培训时间、培训地点、培训方式、培训内容）、培训反馈与审核、培训保障等，安排具体、周到的得</w:t>
            </w:r>
            <w:r>
              <w:rPr>
                <w:rFonts w:hint="eastAsia" w:asciiTheme="minorEastAsia" w:hAnsiTheme="minorEastAsia" w:eastAsiaTheme="minorEastAsia"/>
                <w:szCs w:val="21"/>
              </w:rPr>
              <w:t>4-7</w:t>
            </w:r>
            <w:r>
              <w:rPr>
                <w:rFonts w:hint="eastAsia" w:ascii="宋体" w:hAnsi="宋体"/>
                <w:szCs w:val="21"/>
              </w:rPr>
              <w:t>分，技术培训方案存在欠合理、科学、规范的得</w:t>
            </w:r>
            <w:r>
              <w:rPr>
                <w:rFonts w:hint="eastAsia" w:asciiTheme="minorEastAsia" w:hAnsiTheme="minorEastAsia" w:eastAsiaTheme="minorEastAsia"/>
                <w:szCs w:val="21"/>
              </w:rPr>
              <w:t>1-4</w:t>
            </w:r>
            <w:r>
              <w:rPr>
                <w:rFonts w:hint="eastAsia" w:ascii="宋体" w:hAnsi="宋体"/>
                <w:szCs w:val="21"/>
              </w:rPr>
              <w:t>分，未表述不得分。</w:t>
            </w:r>
            <w:bookmarkEnd w:id="512"/>
          </w:p>
        </w:tc>
        <w:tc>
          <w:tcPr>
            <w:tcW w:w="802" w:type="dxa"/>
            <w:tcBorders>
              <w:top w:val="single" w:color="auto" w:sz="6" w:space="0"/>
              <w:left w:val="single" w:color="auto" w:sz="6" w:space="0"/>
              <w:bottom w:val="single" w:color="auto" w:sz="6" w:space="0"/>
              <w:right w:val="single" w:color="auto" w:sz="6" w:space="0"/>
            </w:tcBorders>
            <w:vAlign w:val="center"/>
          </w:tcPr>
          <w:p w14:paraId="70AC8E11">
            <w:pPr>
              <w:spacing w:line="360" w:lineRule="exact"/>
              <w:jc w:val="center"/>
            </w:pPr>
            <w:r>
              <w:rPr>
                <w:rFonts w:hint="eastAsia" w:asciiTheme="minorEastAsia" w:hAnsiTheme="minorEastAsia" w:eastAsiaTheme="minorEastAsia"/>
                <w:b/>
                <w:szCs w:val="21"/>
              </w:rPr>
              <w:t>7</w:t>
            </w:r>
          </w:p>
        </w:tc>
      </w:tr>
    </w:tbl>
    <w:p w14:paraId="201A7126">
      <w:pPr>
        <w:pStyle w:val="60"/>
        <w:spacing w:line="440" w:lineRule="exact"/>
        <w:ind w:right="42" w:rightChars="2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注：评标委员会独立打分，保留小数点后2位小数，所有有效评分的平均分作为对应投标人的技术资信得分。</w:t>
      </w:r>
    </w:p>
    <w:p w14:paraId="37C34DC9">
      <w:pPr>
        <w:spacing w:line="440" w:lineRule="exact"/>
        <w:rPr>
          <w:sz w:val="36"/>
          <w:szCs w:val="36"/>
        </w:rPr>
      </w:pPr>
      <w:r>
        <w:rPr>
          <w:rFonts w:hint="eastAsia"/>
          <w:sz w:val="36"/>
          <w:szCs w:val="36"/>
        </w:rPr>
        <w:br w:type="page"/>
      </w:r>
    </w:p>
    <w:p w14:paraId="0E3D2BB1">
      <w:pPr>
        <w:pStyle w:val="2"/>
        <w:jc w:val="center"/>
        <w:rPr>
          <w:sz w:val="36"/>
          <w:szCs w:val="36"/>
        </w:rPr>
      </w:pPr>
      <w:bookmarkStart w:id="380" w:name="_Toc29987"/>
      <w:r>
        <w:rPr>
          <w:rFonts w:hint="eastAsia"/>
          <w:sz w:val="36"/>
          <w:szCs w:val="36"/>
        </w:rPr>
        <w:t>第五章  政府采购合同</w:t>
      </w:r>
      <w:bookmarkEnd w:id="377"/>
      <w:bookmarkEnd w:id="378"/>
      <w:bookmarkEnd w:id="379"/>
      <w:bookmarkEnd w:id="380"/>
    </w:p>
    <w:p w14:paraId="29A502D7">
      <w:pPr>
        <w:pStyle w:val="35"/>
        <w:spacing w:before="0" w:after="0" w:line="440" w:lineRule="exact"/>
        <w:ind w:right="42" w:rightChars="20" w:firstLine="422" w:firstLineChars="200"/>
        <w:outlineLvl w:val="0"/>
        <w:rPr>
          <w:rFonts w:asciiTheme="minorEastAsia" w:hAnsiTheme="minorEastAsia" w:eastAsiaTheme="minorEastAsia"/>
          <w:color w:val="000000" w:themeColor="text1"/>
          <w:sz w:val="21"/>
          <w:szCs w:val="21"/>
        </w:rPr>
      </w:pPr>
      <w:bookmarkStart w:id="381" w:name="_Toc493511827"/>
      <w:bookmarkStart w:id="382" w:name="_Toc417992897"/>
      <w:bookmarkStart w:id="383" w:name="_Toc416422801"/>
      <w:bookmarkStart w:id="384" w:name="_Toc24052"/>
      <w:bookmarkStart w:id="385" w:name="_Toc4422"/>
      <w:bookmarkStart w:id="386" w:name="_Toc50012906"/>
      <w:bookmarkStart w:id="387" w:name="_Toc416422466"/>
      <w:bookmarkStart w:id="388" w:name="_Toc427915780"/>
      <w:r>
        <w:rPr>
          <w:rFonts w:hint="eastAsia" w:asciiTheme="minorEastAsia" w:hAnsiTheme="minorEastAsia" w:eastAsiaTheme="minorEastAsia"/>
          <w:color w:val="000000" w:themeColor="text1"/>
          <w:sz w:val="21"/>
          <w:szCs w:val="21"/>
        </w:rPr>
        <w:t>政府采购合同</w:t>
      </w:r>
      <w:bookmarkEnd w:id="381"/>
      <w:bookmarkEnd w:id="382"/>
      <w:bookmarkEnd w:id="383"/>
      <w:bookmarkEnd w:id="384"/>
      <w:bookmarkEnd w:id="385"/>
      <w:bookmarkEnd w:id="386"/>
      <w:bookmarkEnd w:id="387"/>
      <w:bookmarkEnd w:id="388"/>
    </w:p>
    <w:p w14:paraId="00867AFA">
      <w:pPr>
        <w:spacing w:line="440" w:lineRule="exact"/>
        <w:ind w:right="42" w:rightChars="20" w:firstLine="422" w:firstLineChars="20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一、通用必备条款部分</w:t>
      </w:r>
    </w:p>
    <w:p w14:paraId="68A8B6CB">
      <w:pPr>
        <w:pStyle w:val="26"/>
        <w:snapToGrid w:val="0"/>
        <w:spacing w:line="440" w:lineRule="exact"/>
        <w:ind w:right="42" w:rightChars="20" w:firstLine="422" w:firstLineChars="200"/>
        <w:jc w:val="left"/>
        <w:rPr>
          <w:rFonts w:asciiTheme="minorEastAsia" w:hAnsiTheme="minorEastAsia" w:eastAsiaTheme="minorEastAsia"/>
          <w:bCs/>
          <w:color w:val="000000" w:themeColor="text1"/>
          <w:szCs w:val="21"/>
        </w:rPr>
      </w:pPr>
      <w:r>
        <w:rPr>
          <w:rFonts w:hint="eastAsia" w:asciiTheme="minorEastAsia" w:hAnsiTheme="minorEastAsia" w:eastAsiaTheme="minorEastAsia"/>
          <w:b/>
          <w:color w:val="000000" w:themeColor="text1"/>
          <w:szCs w:val="21"/>
        </w:rPr>
        <w:t>合同</w:t>
      </w:r>
      <w:r>
        <w:rPr>
          <w:rFonts w:asciiTheme="minorEastAsia" w:hAnsiTheme="minorEastAsia" w:eastAsiaTheme="minorEastAsia"/>
          <w:b/>
          <w:color w:val="000000" w:themeColor="text1"/>
          <w:szCs w:val="21"/>
        </w:rPr>
        <w:t>编号：</w:t>
      </w:r>
    </w:p>
    <w:p w14:paraId="6D7F5C19">
      <w:pPr>
        <w:pStyle w:val="26"/>
        <w:snapToGrid w:val="0"/>
        <w:spacing w:line="440" w:lineRule="exact"/>
        <w:ind w:right="42" w:rightChars="20" w:firstLine="422" w:firstLineChars="200"/>
        <w:jc w:val="left"/>
        <w:rPr>
          <w:rFonts w:asciiTheme="minorEastAsia" w:hAnsiTheme="minorEastAsia" w:eastAsiaTheme="minorEastAsia"/>
          <w:bCs/>
          <w:color w:val="000000" w:themeColor="text1"/>
          <w:szCs w:val="21"/>
        </w:rPr>
      </w:pPr>
      <w:r>
        <w:rPr>
          <w:rFonts w:hint="eastAsia" w:asciiTheme="minorEastAsia" w:hAnsiTheme="minorEastAsia" w:eastAsiaTheme="minorEastAsia"/>
          <w:b/>
          <w:color w:val="000000" w:themeColor="text1"/>
          <w:szCs w:val="21"/>
        </w:rPr>
        <w:t>政府采购计划（预算）确认号：临[2025]37号</w:t>
      </w:r>
    </w:p>
    <w:p w14:paraId="50A5F8B2">
      <w:pPr>
        <w:pStyle w:val="26"/>
        <w:snapToGrid w:val="0"/>
        <w:spacing w:line="440" w:lineRule="exact"/>
        <w:ind w:right="42" w:rightChars="20" w:firstLine="422" w:firstLineChars="200"/>
        <w:jc w:val="left"/>
        <w:rPr>
          <w:rFonts w:asciiTheme="minorEastAsia" w:hAnsiTheme="minorEastAsia" w:eastAsiaTheme="minorEastAsia"/>
          <w:b/>
          <w:bCs/>
          <w:color w:val="000000" w:themeColor="text1"/>
          <w:szCs w:val="21"/>
        </w:rPr>
      </w:pPr>
      <w:r>
        <w:rPr>
          <w:rFonts w:hint="eastAsia" w:asciiTheme="minorEastAsia" w:hAnsiTheme="minorEastAsia" w:eastAsiaTheme="minorEastAsia"/>
          <w:b/>
          <w:color w:val="000000" w:themeColor="text1"/>
          <w:szCs w:val="21"/>
        </w:rPr>
        <w:t>预算金额</w:t>
      </w:r>
      <w:r>
        <w:rPr>
          <w:rFonts w:hint="eastAsia" w:asciiTheme="minorEastAsia" w:hAnsiTheme="minorEastAsia" w:eastAsiaTheme="minorEastAsia"/>
          <w:color w:val="000000" w:themeColor="text1"/>
          <w:szCs w:val="21"/>
        </w:rPr>
        <w:t>：</w:t>
      </w:r>
      <w:r>
        <w:rPr>
          <w:rFonts w:hint="eastAsia" w:asciiTheme="minorEastAsia" w:hAnsiTheme="minorEastAsia" w:eastAsiaTheme="minorEastAsia"/>
          <w:b/>
          <w:bCs/>
          <w:color w:val="000000" w:themeColor="text1"/>
          <w:szCs w:val="21"/>
          <w:lang w:eastAsia="zh-CN"/>
        </w:rPr>
        <w:t>680000</w:t>
      </w:r>
      <w:r>
        <w:rPr>
          <w:rFonts w:hint="eastAsia" w:asciiTheme="minorEastAsia" w:hAnsiTheme="minorEastAsia" w:eastAsiaTheme="minorEastAsia"/>
          <w:b/>
          <w:bCs/>
          <w:color w:val="000000" w:themeColor="text1"/>
          <w:szCs w:val="21"/>
        </w:rPr>
        <w:t>元</w:t>
      </w:r>
    </w:p>
    <w:p w14:paraId="5BB27502">
      <w:pPr>
        <w:snapToGrid w:val="0"/>
        <w:spacing w:line="440" w:lineRule="exact"/>
        <w:ind w:right="42" w:rightChars="20" w:firstLine="422"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采购人（以下称甲方）：</w:t>
      </w:r>
    </w:p>
    <w:p w14:paraId="2FF35676">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投标人（以下称乙方）：</w:t>
      </w:r>
    </w:p>
    <w:p w14:paraId="3E2E262F">
      <w:pPr>
        <w:pStyle w:val="26"/>
        <w:snapToGrid w:val="0"/>
        <w:spacing w:line="440" w:lineRule="exact"/>
        <w:ind w:right="42" w:rightChars="20" w:firstLine="422"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采购代理机构：</w:t>
      </w:r>
    </w:p>
    <w:p w14:paraId="2A53B124">
      <w:pPr>
        <w:pStyle w:val="26"/>
        <w:snapToGrid w:val="0"/>
        <w:spacing w:line="440" w:lineRule="exact"/>
        <w:ind w:right="42" w:rightChars="20" w:firstLine="422"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采购方式：</w:t>
      </w:r>
      <w:r>
        <w:rPr>
          <w:rFonts w:hint="eastAsia" w:asciiTheme="minorEastAsia" w:hAnsiTheme="minorEastAsia" w:eastAsiaTheme="minorEastAsia"/>
          <w:color w:val="000000" w:themeColor="text1"/>
          <w:szCs w:val="21"/>
        </w:rPr>
        <w:t>公开招标</w:t>
      </w:r>
    </w:p>
    <w:p w14:paraId="15F89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根据《中华人民共和国政府采购法》、《中华人民共和国民法典》等法律法规的规定，甲、乙双方按照</w:t>
      </w:r>
      <w:r>
        <w:rPr>
          <w:rFonts w:hint="eastAsia" w:asciiTheme="minorEastAsia" w:hAnsiTheme="minorEastAsia" w:eastAsiaTheme="minorEastAsia"/>
          <w:color w:val="000000" w:themeColor="text1"/>
          <w:szCs w:val="21"/>
          <w:u w:val="single"/>
        </w:rPr>
        <w:t xml:space="preserve">                          </w:t>
      </w:r>
      <w:r>
        <w:rPr>
          <w:rFonts w:hint="eastAsia" w:cs="Tahoma" w:asciiTheme="minorEastAsia" w:hAnsiTheme="minorEastAsia" w:eastAsiaTheme="minorEastAsia"/>
          <w:bCs/>
          <w:color w:val="000000" w:themeColor="text1"/>
          <w:kern w:val="36"/>
          <w:szCs w:val="21"/>
        </w:rPr>
        <w:t>项目</w:t>
      </w:r>
      <w:r>
        <w:rPr>
          <w:rFonts w:hint="eastAsia" w:asciiTheme="minorEastAsia" w:hAnsiTheme="minorEastAsia" w:eastAsiaTheme="minorEastAsia"/>
          <w:color w:val="000000" w:themeColor="text1"/>
          <w:szCs w:val="21"/>
        </w:rPr>
        <w:t>采购结果签订本合同。</w:t>
      </w:r>
    </w:p>
    <w:p w14:paraId="0D6FAEF4">
      <w:pPr>
        <w:shd w:val="clear" w:color="auto" w:fill="FFFFFF"/>
        <w:tabs>
          <w:tab w:val="left" w:pos="916"/>
          <w:tab w:val="left" w:pos="1832"/>
          <w:tab w:val="left" w:pos="2748"/>
        </w:tabs>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第一条 合同组成</w:t>
      </w:r>
      <w:r>
        <w:rPr>
          <w:rFonts w:asciiTheme="minorEastAsia" w:hAnsiTheme="minorEastAsia" w:eastAsiaTheme="minorEastAsia"/>
          <w:b/>
          <w:color w:val="000000" w:themeColor="text1"/>
          <w:szCs w:val="21"/>
        </w:rPr>
        <w:tab/>
      </w:r>
    </w:p>
    <w:p w14:paraId="24FF90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本次政府采购活动的相关文件为本合同的组成部分，这些文件包括但不限于：</w:t>
      </w:r>
    </w:p>
    <w:p w14:paraId="02A6D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1、本合同文本；</w:t>
      </w:r>
    </w:p>
    <w:p w14:paraId="6A5C9B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2、采购文件与采购投标文件；</w:t>
      </w:r>
    </w:p>
    <w:p w14:paraId="3CB2F3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3、中标或成交通知书；</w:t>
      </w:r>
    </w:p>
    <w:p w14:paraId="41BA9F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组成本合同的所有文件必须为书面形式。政府采购合同备案时，须提供以上1、3两项，如由社会中介机构代理，须提供代理协议，合同如有变更的，须提供变更协议。</w:t>
      </w:r>
    </w:p>
    <w:p w14:paraId="5E64CF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第二条 合同标的与相关属性</w:t>
      </w:r>
    </w:p>
    <w:p w14:paraId="251B6201">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1、本次采购的是</w:t>
      </w:r>
      <w:r>
        <w:rPr>
          <w:rFonts w:hint="eastAsia" w:asciiTheme="minorEastAsia" w:hAnsiTheme="minorEastAsia" w:eastAsiaTheme="minorEastAsia"/>
          <w:color w:val="000000" w:themeColor="text1"/>
          <w:szCs w:val="21"/>
          <w:u w:val="single"/>
        </w:rPr>
        <w:t xml:space="preserve">                 </w:t>
      </w:r>
      <w:r>
        <w:rPr>
          <w:rFonts w:hint="eastAsia" w:cs="Tahoma" w:asciiTheme="minorEastAsia" w:hAnsiTheme="minorEastAsia" w:eastAsiaTheme="minorEastAsia"/>
          <w:bCs/>
          <w:color w:val="000000" w:themeColor="text1"/>
          <w:kern w:val="36"/>
          <w:szCs w:val="21"/>
        </w:rPr>
        <w:t>。</w:t>
      </w:r>
    </w:p>
    <w:p w14:paraId="3668DC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2、乙方是否属于中小微企业：□是□否</w:t>
      </w:r>
    </w:p>
    <w:p w14:paraId="4D8FD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3、本合同项下产品属于（可多选）：□环保产品；□节能产品；□进口产品。</w:t>
      </w:r>
    </w:p>
    <w:p w14:paraId="031FA6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第三条 合同价款</w:t>
      </w:r>
    </w:p>
    <w:p w14:paraId="6E987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1、本合同项下总价款为（大写）</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人民币，分项价款见“价格清单”（如有）”。</w:t>
      </w:r>
    </w:p>
    <w:p w14:paraId="71AFDEDE">
      <w:pPr>
        <w:widowControl/>
        <w:spacing w:line="440" w:lineRule="exact"/>
        <w:ind w:right="42" w:rightChars="20" w:firstLine="48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2、本合同总价款含所有 (投标报价应包括为本项目服务内容可能发生的所有费用，包括但不限于工作、生活、交通、通讯、设备（仪器）、劳力、利润、税收等一切费用。)</w:t>
      </w:r>
    </w:p>
    <w:p w14:paraId="6F15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3、本合同付款方式为以下第</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项：</w:t>
      </w:r>
    </w:p>
    <w:p w14:paraId="72D30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（1）本合同项下的采购资金系甲方自行支付，付款程序为</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14:paraId="3DE2F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（2）本合同项下的采购资金须财政直接支付，付款程序为</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14:paraId="1DA48F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（3）其他方式：</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14:paraId="78641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4、本合同项下的采购资金付款进度按招投标文件规定，未规定时按以下第</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项支付：</w:t>
      </w:r>
    </w:p>
    <w:p w14:paraId="3DE615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（1）一次性付款：乙方合同履行达到</w:t>
      </w:r>
      <w:r>
        <w:rPr>
          <w:rFonts w:hint="eastAsia" w:asciiTheme="minorEastAsia" w:hAnsiTheme="minorEastAsia" w:eastAsiaTheme="minorEastAsia"/>
          <w:color w:val="000000" w:themeColor="text1"/>
          <w:szCs w:val="21"/>
          <w:u w:val="single"/>
        </w:rPr>
        <w:t xml:space="preserve">    （条件）    </w:t>
      </w:r>
      <w:r>
        <w:rPr>
          <w:rFonts w:hint="eastAsia" w:asciiTheme="minorEastAsia" w:hAnsiTheme="minorEastAsia" w:eastAsiaTheme="minorEastAsia"/>
          <w:color w:val="000000" w:themeColor="text1"/>
          <w:szCs w:val="21"/>
        </w:rPr>
        <w:t>时，一次性付款；</w:t>
      </w:r>
    </w:p>
    <w:p w14:paraId="28B1B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r>
        <w:rPr>
          <w:rFonts w:hint="eastAsia" w:ascii="宋体" w:hAnsi="宋体" w:cs="Arial"/>
          <w:kern w:val="0"/>
          <w:szCs w:val="21"/>
        </w:rPr>
        <w:t>分期付款：分期付款：</w:t>
      </w:r>
      <w:r>
        <w:rPr>
          <w:rFonts w:hint="eastAsia" w:ascii="宋体" w:hAnsi="宋体" w:cs="Arial"/>
          <w:kern w:val="0"/>
          <w:szCs w:val="21"/>
          <w:u w:val="single"/>
        </w:rPr>
        <w:t xml:space="preserve">        </w:t>
      </w:r>
      <w:r>
        <w:rPr>
          <w:rFonts w:hint="eastAsia" w:ascii="宋体" w:hAnsi="宋体" w:cs="Arial"/>
          <w:kern w:val="0"/>
          <w:szCs w:val="21"/>
        </w:rPr>
        <w:t>时支付</w:t>
      </w:r>
      <w:r>
        <w:rPr>
          <w:rFonts w:hint="eastAsia" w:ascii="宋体" w:hAnsi="宋体" w:cs="Arial"/>
          <w:kern w:val="0"/>
          <w:szCs w:val="21"/>
          <w:u w:val="single"/>
        </w:rPr>
        <w:t xml:space="preserve">       </w:t>
      </w:r>
      <w:r>
        <w:rPr>
          <w:rFonts w:hint="eastAsia" w:ascii="宋体" w:hAnsi="宋体" w:cs="Arial"/>
          <w:kern w:val="0"/>
          <w:szCs w:val="21"/>
        </w:rPr>
        <w:t>；</w:t>
      </w:r>
      <w:r>
        <w:rPr>
          <w:rFonts w:hint="eastAsia" w:ascii="宋体" w:hAnsi="宋体" w:cs="Arial"/>
          <w:kern w:val="0"/>
          <w:szCs w:val="21"/>
          <w:u w:val="single"/>
        </w:rPr>
        <w:t xml:space="preserve">        </w:t>
      </w:r>
      <w:r>
        <w:rPr>
          <w:rFonts w:hint="eastAsia" w:ascii="宋体" w:hAnsi="宋体" w:cs="Arial"/>
          <w:kern w:val="0"/>
          <w:szCs w:val="21"/>
        </w:rPr>
        <w:t>时支付</w:t>
      </w:r>
      <w:r>
        <w:rPr>
          <w:rFonts w:hint="eastAsia" w:ascii="宋体" w:hAnsi="宋体" w:cs="Arial"/>
          <w:kern w:val="0"/>
          <w:szCs w:val="21"/>
          <w:u w:val="single"/>
        </w:rPr>
        <w:t xml:space="preserve">        </w:t>
      </w:r>
      <w:r>
        <w:rPr>
          <w:rFonts w:hint="eastAsia" w:ascii="宋体" w:hAnsi="宋体" w:cs="Arial"/>
          <w:kern w:val="0"/>
          <w:szCs w:val="21"/>
        </w:rPr>
        <w:t>；</w:t>
      </w:r>
      <w:r>
        <w:rPr>
          <w:rFonts w:hint="eastAsia" w:ascii="宋体" w:hAnsi="宋体" w:cs="Arial"/>
          <w:kern w:val="0"/>
          <w:szCs w:val="21"/>
          <w:u w:val="single"/>
        </w:rPr>
        <w:t xml:space="preserve">     </w:t>
      </w:r>
      <w:r>
        <w:rPr>
          <w:rFonts w:hint="eastAsia" w:ascii="宋体" w:hAnsi="宋体" w:cs="Arial"/>
          <w:kern w:val="0"/>
          <w:szCs w:val="21"/>
        </w:rPr>
        <w:t>时支付</w:t>
      </w:r>
      <w:r>
        <w:rPr>
          <w:rFonts w:hint="eastAsia" w:ascii="宋体" w:hAnsi="宋体" w:cs="Arial"/>
          <w:kern w:val="0"/>
          <w:szCs w:val="21"/>
          <w:u w:val="single"/>
        </w:rPr>
        <w:t xml:space="preserve">            </w:t>
      </w:r>
      <w:r>
        <w:rPr>
          <w:rFonts w:hint="eastAsia" w:ascii="宋体" w:hAnsi="宋体" w:cs="Arial"/>
          <w:kern w:val="0"/>
          <w:szCs w:val="21"/>
        </w:rPr>
        <w:t>；</w:t>
      </w:r>
    </w:p>
    <w:p w14:paraId="10D0A9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若收取了履约保证金，则不应重复设置尾款支付条件。</w:t>
      </w:r>
    </w:p>
    <w:p w14:paraId="7BAC35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第四条 履约保证金</w:t>
      </w:r>
    </w:p>
    <w:p w14:paraId="5F1531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按以下第</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项处理：</w:t>
      </w:r>
    </w:p>
    <w:p w14:paraId="0D848E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1、本项目设置履约保证金，乙方应于</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（时间）向甲方提交履约保证金</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元（不得高于本合同金额的2.5%）。履约保证金在</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（时间）退还乙方。</w:t>
      </w:r>
    </w:p>
    <w:p w14:paraId="62CD40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2、本项目不设置履约保证金</w:t>
      </w:r>
    </w:p>
    <w:p w14:paraId="0CE59B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第五条 合同的变更和终止</w:t>
      </w:r>
    </w:p>
    <w:p w14:paraId="3A19B1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除《政府采购法》第49条、第50条第二款规定的情形外，本合同一经签订，甲乙双方不得擅自终止合同或对合同实质性条款进行变更。确有特殊情况的，须经同级财政部门备案同意。</w:t>
      </w:r>
    </w:p>
    <w:p w14:paraId="7D7E4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第六条 合同的转让与分包</w:t>
      </w:r>
    </w:p>
    <w:p w14:paraId="0D0FA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乙方不得擅自部分或全部转让其应履行的合同义务。乙方分包的，应经过甲方书面同意。</w:t>
      </w:r>
    </w:p>
    <w:p w14:paraId="7D11B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第七条 争议的解决</w:t>
      </w:r>
    </w:p>
    <w:p w14:paraId="5114B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种方式解决争议：</w:t>
      </w:r>
    </w:p>
    <w:p w14:paraId="341806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（1）向甲方所在地有管辖权的人民法院提起诉讼；</w:t>
      </w:r>
    </w:p>
    <w:p w14:paraId="54DF7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（2）向</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仲裁委员申请仲裁。</w:t>
      </w:r>
    </w:p>
    <w:p w14:paraId="10A114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第八条 合同备案及其他</w:t>
      </w:r>
    </w:p>
    <w:p w14:paraId="50B931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本合同一式五份，甲乙双方各执二份，一份送招标代理机构存档。</w:t>
      </w:r>
    </w:p>
    <w:p w14:paraId="6EC43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2" w:firstLineChars="200"/>
        <w:jc w:val="center"/>
        <w:rPr>
          <w:rFonts w:asciiTheme="minorEastAsia" w:hAnsiTheme="minorEastAsia" w:eastAsiaTheme="minorEastAsia"/>
          <w:b/>
          <w:color w:val="000000" w:themeColor="text1"/>
          <w:szCs w:val="21"/>
        </w:rPr>
      </w:pPr>
    </w:p>
    <w:p w14:paraId="25A6FE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right="42" w:rightChars="20" w:firstLine="422" w:firstLineChars="20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二、特殊专用条款部分</w:t>
      </w:r>
    </w:p>
    <w:p w14:paraId="6A289511">
      <w:pPr>
        <w:numPr>
          <w:ilvl w:val="0"/>
          <w:numId w:val="4"/>
        </w:numPr>
        <w:autoSpaceDE w:val="0"/>
        <w:autoSpaceDN w:val="0"/>
        <w:adjustRightInd w:val="0"/>
        <w:spacing w:line="440" w:lineRule="exact"/>
        <w:ind w:left="0" w:right="42" w:rightChars="20" w:firstLine="422" w:firstLineChars="200"/>
        <w:jc w:val="left"/>
        <w:rPr>
          <w:rFonts w:asciiTheme="minorEastAsia" w:hAnsiTheme="minorEastAsia" w:eastAsiaTheme="minorEastAsia"/>
          <w:b/>
          <w:color w:val="000000" w:themeColor="text1"/>
          <w:kern w:val="36"/>
          <w:szCs w:val="21"/>
        </w:rPr>
      </w:pPr>
      <w:r>
        <w:rPr>
          <w:rFonts w:hint="eastAsia" w:asciiTheme="minorEastAsia" w:hAnsiTheme="minorEastAsia" w:eastAsiaTheme="minorEastAsia"/>
          <w:b/>
          <w:color w:val="000000" w:themeColor="text1"/>
          <w:kern w:val="36"/>
          <w:szCs w:val="21"/>
        </w:rPr>
        <w:t>服务内容</w:t>
      </w:r>
    </w:p>
    <w:p w14:paraId="1C183B4E">
      <w:pPr>
        <w:autoSpaceDE w:val="0"/>
        <w:autoSpaceDN w:val="0"/>
        <w:adjustRightInd w:val="0"/>
        <w:spacing w:line="440" w:lineRule="exact"/>
        <w:ind w:right="42" w:rightChars="20" w:firstLine="422" w:firstLineChars="200"/>
        <w:jc w:val="left"/>
        <w:rPr>
          <w:rFonts w:asciiTheme="minorEastAsia" w:hAnsiTheme="minorEastAsia" w:eastAsiaTheme="minorEastAsia"/>
          <w:b/>
          <w:color w:val="000000" w:themeColor="text1"/>
          <w:kern w:val="36"/>
          <w:szCs w:val="21"/>
        </w:rPr>
      </w:pPr>
      <w:r>
        <w:rPr>
          <w:rFonts w:asciiTheme="minorEastAsia" w:hAnsiTheme="minorEastAsia" w:eastAsiaTheme="minorEastAsia"/>
          <w:b/>
          <w:color w:val="000000" w:themeColor="text1"/>
          <w:kern w:val="36"/>
          <w:szCs w:val="21"/>
        </w:rPr>
        <w:t>……</w:t>
      </w:r>
    </w:p>
    <w:p w14:paraId="1665D0BB">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 xml:space="preserve">第二条 </w:t>
      </w:r>
      <w:r>
        <w:rPr>
          <w:rFonts w:asciiTheme="minorEastAsia" w:hAnsiTheme="minorEastAsia" w:eastAsiaTheme="minorEastAsia"/>
          <w:b/>
          <w:color w:val="000000" w:themeColor="text1"/>
          <w:szCs w:val="21"/>
        </w:rPr>
        <w:t>合同履行时间、履行方式及履行地点</w:t>
      </w:r>
    </w:p>
    <w:p w14:paraId="5F6AF594">
      <w:pPr>
        <w:pStyle w:val="26"/>
        <w:snapToGrid w:val="0"/>
        <w:spacing w:line="440" w:lineRule="exact"/>
        <w:ind w:right="42" w:rightChars="20" w:firstLine="420" w:firstLineChars="200"/>
        <w:jc w:val="left"/>
        <w:rPr>
          <w:rFonts w:asciiTheme="minorEastAsia" w:hAnsiTheme="minorEastAsia" w:eastAsiaTheme="minorEastAsia"/>
          <w:bCs/>
          <w:color w:val="000000" w:themeColor="text1"/>
          <w:szCs w:val="21"/>
        </w:rPr>
      </w:pPr>
      <w:r>
        <w:rPr>
          <w:rFonts w:asciiTheme="minorEastAsia" w:hAnsiTheme="minorEastAsia" w:eastAsiaTheme="minorEastAsia"/>
          <w:bCs/>
          <w:color w:val="000000" w:themeColor="text1"/>
          <w:szCs w:val="21"/>
        </w:rPr>
        <w:t>1</w:t>
      </w:r>
      <w:r>
        <w:rPr>
          <w:rFonts w:hint="eastAsia" w:asciiTheme="minorEastAsia" w:hAnsiTheme="minorEastAsia" w:eastAsiaTheme="minorEastAsia"/>
          <w:bCs/>
          <w:color w:val="000000" w:themeColor="text1"/>
          <w:szCs w:val="21"/>
        </w:rPr>
        <w:t>、</w:t>
      </w:r>
      <w:r>
        <w:rPr>
          <w:rFonts w:asciiTheme="minorEastAsia" w:hAnsiTheme="minorEastAsia" w:eastAsiaTheme="minorEastAsia"/>
          <w:color w:val="000000" w:themeColor="text1"/>
          <w:szCs w:val="21"/>
        </w:rPr>
        <w:t>履行时间</w:t>
      </w:r>
      <w:r>
        <w:rPr>
          <w:rFonts w:asciiTheme="minorEastAsia" w:hAnsiTheme="minorEastAsia" w:eastAsiaTheme="minorEastAsia"/>
          <w:bCs/>
          <w:color w:val="000000" w:themeColor="text1"/>
          <w:szCs w:val="21"/>
        </w:rPr>
        <w:t>：</w:t>
      </w:r>
    </w:p>
    <w:p w14:paraId="7741BAE4">
      <w:pPr>
        <w:pStyle w:val="26"/>
        <w:snapToGrid w:val="0"/>
        <w:spacing w:line="440" w:lineRule="exact"/>
        <w:ind w:right="42" w:rightChars="20" w:firstLine="420" w:firstLineChars="200"/>
        <w:jc w:val="left"/>
        <w:rPr>
          <w:rFonts w:asciiTheme="minorEastAsia" w:hAnsiTheme="minorEastAsia" w:eastAsiaTheme="minorEastAsia"/>
          <w:bCs/>
          <w:color w:val="000000" w:themeColor="text1"/>
          <w:szCs w:val="21"/>
        </w:rPr>
      </w:pPr>
      <w:r>
        <w:rPr>
          <w:rFonts w:asciiTheme="minorEastAsia" w:hAnsiTheme="minorEastAsia" w:eastAsiaTheme="minorEastAsia"/>
          <w:bCs/>
          <w:color w:val="000000" w:themeColor="text1"/>
          <w:szCs w:val="21"/>
        </w:rPr>
        <w:t>2</w:t>
      </w:r>
      <w:r>
        <w:rPr>
          <w:rFonts w:hint="eastAsia" w:asciiTheme="minorEastAsia" w:hAnsiTheme="minorEastAsia" w:eastAsiaTheme="minorEastAsia"/>
          <w:bCs/>
          <w:color w:val="000000" w:themeColor="text1"/>
          <w:szCs w:val="21"/>
        </w:rPr>
        <w:t>、</w:t>
      </w:r>
      <w:r>
        <w:rPr>
          <w:rFonts w:asciiTheme="minorEastAsia" w:hAnsiTheme="minorEastAsia" w:eastAsiaTheme="minorEastAsia"/>
          <w:color w:val="000000" w:themeColor="text1"/>
          <w:szCs w:val="21"/>
        </w:rPr>
        <w:t>履行方式</w:t>
      </w:r>
      <w:r>
        <w:rPr>
          <w:rFonts w:asciiTheme="minorEastAsia" w:hAnsiTheme="minorEastAsia" w:eastAsiaTheme="minorEastAsia"/>
          <w:bCs/>
          <w:color w:val="000000" w:themeColor="text1"/>
          <w:szCs w:val="21"/>
        </w:rPr>
        <w:t>：</w:t>
      </w:r>
    </w:p>
    <w:p w14:paraId="215E414B">
      <w:pPr>
        <w:pStyle w:val="26"/>
        <w:spacing w:line="440" w:lineRule="exact"/>
        <w:ind w:firstLine="420" w:firstLineChars="200"/>
        <w:rPr>
          <w:rFonts w:asciiTheme="minorEastAsia" w:hAnsiTheme="minorEastAsia" w:eastAsiaTheme="minorEastAsia"/>
          <w:bCs/>
          <w:szCs w:val="21"/>
        </w:rPr>
      </w:pPr>
      <w:r>
        <w:rPr>
          <w:rFonts w:asciiTheme="minorEastAsia" w:hAnsiTheme="minorEastAsia" w:eastAsiaTheme="minorEastAsia"/>
          <w:bCs/>
          <w:color w:val="000000" w:themeColor="text1"/>
          <w:szCs w:val="21"/>
        </w:rPr>
        <w:t>3</w:t>
      </w:r>
      <w:r>
        <w:rPr>
          <w:rFonts w:hint="eastAsia" w:asciiTheme="minorEastAsia" w:hAnsiTheme="minorEastAsia" w:eastAsiaTheme="minorEastAsia"/>
          <w:bCs/>
          <w:color w:val="000000" w:themeColor="text1"/>
          <w:szCs w:val="21"/>
        </w:rPr>
        <w:t>、</w:t>
      </w:r>
      <w:r>
        <w:rPr>
          <w:rFonts w:asciiTheme="minorEastAsia" w:hAnsiTheme="minorEastAsia" w:eastAsiaTheme="minorEastAsia"/>
          <w:szCs w:val="21"/>
        </w:rPr>
        <w:t>履行地点</w:t>
      </w:r>
      <w:r>
        <w:rPr>
          <w:rFonts w:asciiTheme="minorEastAsia" w:hAnsiTheme="minorEastAsia" w:eastAsiaTheme="minorEastAsia"/>
          <w:bCs/>
          <w:szCs w:val="21"/>
        </w:rPr>
        <w:t>：</w:t>
      </w:r>
    </w:p>
    <w:p w14:paraId="365514EA">
      <w:pPr>
        <w:spacing w:line="440" w:lineRule="exact"/>
        <w:ind w:firstLine="409" w:firstLineChars="194"/>
        <w:rPr>
          <w:rFonts w:ascii="宋体" w:hAnsi="宋体" w:cs="宋体"/>
          <w:b/>
          <w:bCs/>
          <w:kern w:val="0"/>
        </w:rPr>
      </w:pPr>
      <w:r>
        <w:rPr>
          <w:rFonts w:hint="eastAsia" w:ascii="宋体" w:hAnsi="宋体" w:cs="宋体"/>
          <w:b/>
          <w:bCs/>
          <w:kern w:val="0"/>
        </w:rPr>
        <w:t>第三条 考核制度和扣付款</w:t>
      </w:r>
    </w:p>
    <w:p w14:paraId="211993BC">
      <w:pPr>
        <w:spacing w:line="440" w:lineRule="exact"/>
        <w:ind w:firstLine="420" w:firstLineChars="200"/>
        <w:rPr>
          <w:rFonts w:ascii="宋体" w:hAnsi="宋体" w:cs="宋体"/>
        </w:rPr>
      </w:pPr>
      <w:r>
        <w:rPr>
          <w:rFonts w:hint="eastAsia"/>
        </w:rPr>
        <w:t>为进一步加强对委托、外包的水文运行维护公司的管理工作，确保水文运行维护和监测成果质量。根据《秀洲区水文测站运行管理</w:t>
      </w:r>
      <w:r>
        <w:rPr>
          <w:rFonts w:hint="eastAsia" w:ascii="宋体" w:hAnsi="宋体" w:cs="宋体"/>
        </w:rPr>
        <w:t>手册》，结合委托、外包的水文运行维护公司的实际工作，制定本考核</w:t>
      </w:r>
      <w:r>
        <w:rPr>
          <w:rFonts w:hint="eastAsia" w:ascii="宋体" w:hAnsi="宋体" w:cs="宋体"/>
          <w:b/>
          <w:bCs/>
          <w:kern w:val="0"/>
        </w:rPr>
        <w:t>和扣付款</w:t>
      </w:r>
      <w:r>
        <w:rPr>
          <w:rFonts w:hint="eastAsia" w:ascii="宋体" w:hAnsi="宋体" w:cs="宋体"/>
        </w:rPr>
        <w:t>制度。</w:t>
      </w:r>
    </w:p>
    <w:p w14:paraId="0B684016">
      <w:pPr>
        <w:spacing w:line="440" w:lineRule="exact"/>
        <w:ind w:firstLine="420" w:firstLineChars="200"/>
        <w:rPr>
          <w:rFonts w:ascii="宋体" w:hAnsi="宋体" w:cs="宋体"/>
        </w:rPr>
      </w:pPr>
      <w:r>
        <w:rPr>
          <w:rFonts w:hint="eastAsia" w:ascii="宋体" w:hAnsi="宋体" w:cs="宋体"/>
        </w:rPr>
        <w:t>根据《</w:t>
      </w:r>
      <w:r>
        <w:rPr>
          <w:rFonts w:hint="eastAsia" w:ascii="宋体" w:hAnsi="宋体" w:cs="宋体"/>
          <w:lang w:eastAsia="zh-CN"/>
        </w:rPr>
        <w:t>秀洲区2025年水文测站标准化运行管理及维护项目</w:t>
      </w:r>
      <w:r>
        <w:rPr>
          <w:rFonts w:hint="eastAsia" w:ascii="宋体" w:hAnsi="宋体" w:cs="宋体"/>
        </w:rPr>
        <w:t>》服务需求内容进行考核，考核内容参照《</w:t>
      </w:r>
      <w:r>
        <w:rPr>
          <w:rFonts w:hint="eastAsia" w:ascii="宋体" w:hAnsi="宋体" w:cs="宋体"/>
          <w:lang w:eastAsia="zh-CN"/>
        </w:rPr>
        <w:t>秀洲区2025年水文测站标准化运行管理及维护项目</w:t>
      </w:r>
      <w:r>
        <w:rPr>
          <w:rFonts w:hint="eastAsia" w:ascii="宋体" w:hAnsi="宋体" w:cs="宋体"/>
        </w:rPr>
        <w:t>考核测评表》，考核前经甲乙双方协商一致，可对考核内容和分值权重略作修改。</w:t>
      </w:r>
    </w:p>
    <w:p w14:paraId="449692EA">
      <w:pPr>
        <w:spacing w:line="440" w:lineRule="exact"/>
        <w:ind w:firstLine="420" w:firstLineChars="200"/>
        <w:rPr>
          <w:b/>
          <w:color w:val="FF0000"/>
          <w:sz w:val="24"/>
        </w:rPr>
      </w:pPr>
      <w:r>
        <w:rPr>
          <w:rFonts w:hint="eastAsia" w:ascii="宋体" w:hAnsi="宋体" w:cs="宋体"/>
        </w:rPr>
        <w:t>考评分为优秀、良好、不合格三档。考评总分为100分，其中优秀为90分（含90分）以上； 良好为90分以下～80分（含80分）；不合格为80分以下。（1）考评总分为优秀的，当期合同款在考核验收完成后付清余款。（2）考评总分为良好的，且小于85分（不含），每低1分，扣除贰仟元（2000元）：如考评分为84分则扣除贰仟元（2000元），以此类推。（3）考评总分为不合格的，首先将扣除当期应付合同款的10%，并将存在的问题进行整改，然后视整改情况付款。整改较好的，按合同款的90%付清；整改不到位或存在隐患的，暂缓付款，一直至整改到位为止，才能按合同款的90%付清。</w:t>
      </w:r>
    </w:p>
    <w:p w14:paraId="50A36097">
      <w:pPr>
        <w:rPr>
          <w:b/>
          <w:color w:val="FF0000"/>
          <w:sz w:val="24"/>
        </w:rPr>
      </w:pPr>
    </w:p>
    <w:p w14:paraId="75C75754">
      <w:pPr>
        <w:rPr>
          <w:b/>
          <w:sz w:val="24"/>
        </w:rPr>
      </w:pPr>
      <w:r>
        <w:rPr>
          <w:rFonts w:hint="eastAsia"/>
          <w:b/>
          <w:sz w:val="24"/>
        </w:rPr>
        <w:t>附</w:t>
      </w:r>
      <w:r>
        <w:rPr>
          <w:b/>
          <w:sz w:val="24"/>
        </w:rPr>
        <w:t xml:space="preserve">表   </w:t>
      </w:r>
    </w:p>
    <w:p w14:paraId="54B5B046">
      <w:pPr>
        <w:jc w:val="center"/>
        <w:rPr>
          <w:b/>
          <w:sz w:val="28"/>
          <w:szCs w:val="28"/>
        </w:rPr>
      </w:pPr>
      <w:r>
        <w:rPr>
          <w:rFonts w:hint="eastAsia"/>
          <w:b/>
          <w:sz w:val="28"/>
          <w:szCs w:val="28"/>
          <w:lang w:eastAsia="zh-CN"/>
        </w:rPr>
        <w:t>秀洲区2025年水文测站标准化运行管理及维护项目</w:t>
      </w:r>
      <w:r>
        <w:rPr>
          <w:rFonts w:hint="eastAsia"/>
          <w:b/>
          <w:sz w:val="28"/>
          <w:szCs w:val="28"/>
        </w:rPr>
        <w:t>考核测评表</w:t>
      </w:r>
    </w:p>
    <w:tbl>
      <w:tblPr>
        <w:tblStyle w:val="49"/>
        <w:tblW w:w="9090" w:type="dxa"/>
        <w:tblInd w:w="-306" w:type="dxa"/>
        <w:tblLayout w:type="fixed"/>
        <w:tblCellMar>
          <w:top w:w="0" w:type="dxa"/>
          <w:left w:w="108" w:type="dxa"/>
          <w:bottom w:w="0" w:type="dxa"/>
          <w:right w:w="108" w:type="dxa"/>
        </w:tblCellMar>
      </w:tblPr>
      <w:tblGrid>
        <w:gridCol w:w="698"/>
        <w:gridCol w:w="4050"/>
        <w:gridCol w:w="912"/>
        <w:gridCol w:w="1063"/>
        <w:gridCol w:w="1400"/>
        <w:gridCol w:w="967"/>
      </w:tblGrid>
      <w:tr w14:paraId="0A47DFAE">
        <w:tblPrEx>
          <w:tblCellMar>
            <w:top w:w="0" w:type="dxa"/>
            <w:left w:w="108" w:type="dxa"/>
            <w:bottom w:w="0" w:type="dxa"/>
            <w:right w:w="108" w:type="dxa"/>
          </w:tblCellMar>
        </w:tblPrEx>
        <w:trPr>
          <w:trHeight w:val="375" w:hRule="atLeast"/>
        </w:trPr>
        <w:tc>
          <w:tcPr>
            <w:tcW w:w="698" w:type="dxa"/>
            <w:tcBorders>
              <w:top w:val="single" w:color="auto" w:sz="4" w:space="0"/>
              <w:left w:val="single" w:color="auto" w:sz="4" w:space="0"/>
              <w:bottom w:val="single" w:color="auto" w:sz="4" w:space="0"/>
              <w:right w:val="single" w:color="auto" w:sz="4" w:space="0"/>
            </w:tcBorders>
            <w:shd w:val="clear" w:color="auto" w:fill="auto"/>
            <w:vAlign w:val="center"/>
          </w:tcPr>
          <w:p w14:paraId="2553A54B">
            <w:pPr>
              <w:widowControl/>
              <w:jc w:val="center"/>
              <w:rPr>
                <w:rFonts w:ascii="宋体" w:hAnsi="宋体" w:cs="宋体"/>
                <w:b/>
                <w:bCs/>
                <w:kern w:val="0"/>
                <w:szCs w:val="21"/>
              </w:rPr>
            </w:pPr>
            <w:r>
              <w:rPr>
                <w:rFonts w:hint="eastAsia" w:ascii="宋体" w:hAnsi="宋体" w:cs="宋体"/>
                <w:b/>
                <w:bCs/>
                <w:kern w:val="0"/>
                <w:szCs w:val="21"/>
              </w:rPr>
              <w:t>序号</w:t>
            </w:r>
          </w:p>
        </w:tc>
        <w:tc>
          <w:tcPr>
            <w:tcW w:w="4050" w:type="dxa"/>
            <w:tcBorders>
              <w:top w:val="single" w:color="auto" w:sz="4" w:space="0"/>
              <w:left w:val="nil"/>
              <w:bottom w:val="single" w:color="auto" w:sz="4" w:space="0"/>
              <w:right w:val="single" w:color="auto" w:sz="4" w:space="0"/>
            </w:tcBorders>
            <w:shd w:val="clear" w:color="auto" w:fill="auto"/>
            <w:vAlign w:val="center"/>
          </w:tcPr>
          <w:p w14:paraId="086BFD99">
            <w:pPr>
              <w:widowControl/>
              <w:jc w:val="center"/>
              <w:rPr>
                <w:rFonts w:ascii="宋体" w:hAnsi="宋体" w:cs="宋体"/>
                <w:b/>
                <w:bCs/>
                <w:kern w:val="0"/>
                <w:szCs w:val="21"/>
              </w:rPr>
            </w:pPr>
            <w:r>
              <w:rPr>
                <w:rFonts w:hint="eastAsia" w:ascii="宋体" w:hAnsi="宋体" w:cs="宋体"/>
                <w:b/>
                <w:bCs/>
                <w:kern w:val="0"/>
                <w:szCs w:val="21"/>
              </w:rPr>
              <w:t>考核内容</w:t>
            </w:r>
          </w:p>
        </w:tc>
        <w:tc>
          <w:tcPr>
            <w:tcW w:w="912" w:type="dxa"/>
            <w:tcBorders>
              <w:top w:val="single" w:color="auto" w:sz="4" w:space="0"/>
              <w:left w:val="nil"/>
              <w:bottom w:val="single" w:color="auto" w:sz="4" w:space="0"/>
              <w:right w:val="single" w:color="auto" w:sz="4" w:space="0"/>
            </w:tcBorders>
            <w:shd w:val="clear" w:color="auto" w:fill="auto"/>
            <w:vAlign w:val="center"/>
          </w:tcPr>
          <w:p w14:paraId="1A51C158">
            <w:pPr>
              <w:widowControl/>
              <w:jc w:val="center"/>
              <w:rPr>
                <w:rFonts w:ascii="宋体" w:hAnsi="宋体" w:cs="宋体"/>
                <w:b/>
                <w:bCs/>
                <w:kern w:val="0"/>
                <w:szCs w:val="21"/>
              </w:rPr>
            </w:pPr>
            <w:r>
              <w:rPr>
                <w:rFonts w:hint="eastAsia" w:ascii="宋体" w:hAnsi="宋体" w:cs="宋体"/>
                <w:b/>
                <w:bCs/>
                <w:kern w:val="0"/>
                <w:szCs w:val="21"/>
              </w:rPr>
              <w:t>分值</w:t>
            </w:r>
          </w:p>
        </w:tc>
        <w:tc>
          <w:tcPr>
            <w:tcW w:w="1063" w:type="dxa"/>
            <w:tcBorders>
              <w:top w:val="single" w:color="auto" w:sz="4" w:space="0"/>
              <w:left w:val="nil"/>
              <w:bottom w:val="single" w:color="auto" w:sz="4" w:space="0"/>
              <w:right w:val="single" w:color="auto" w:sz="4" w:space="0"/>
            </w:tcBorders>
            <w:shd w:val="clear" w:color="auto" w:fill="auto"/>
            <w:vAlign w:val="center"/>
          </w:tcPr>
          <w:p w14:paraId="786F63DE">
            <w:pPr>
              <w:widowControl/>
              <w:jc w:val="center"/>
              <w:rPr>
                <w:rFonts w:ascii="宋体" w:hAnsi="宋体" w:cs="宋体"/>
                <w:b/>
                <w:bCs/>
                <w:kern w:val="0"/>
                <w:szCs w:val="21"/>
              </w:rPr>
            </w:pPr>
            <w:r>
              <w:rPr>
                <w:rFonts w:hint="eastAsia" w:ascii="宋体" w:hAnsi="宋体" w:cs="宋体"/>
                <w:b/>
                <w:bCs/>
                <w:kern w:val="0"/>
                <w:szCs w:val="21"/>
              </w:rPr>
              <w:t>自评分</w:t>
            </w:r>
          </w:p>
        </w:tc>
        <w:tc>
          <w:tcPr>
            <w:tcW w:w="1400" w:type="dxa"/>
            <w:tcBorders>
              <w:top w:val="single" w:color="auto" w:sz="4" w:space="0"/>
              <w:left w:val="nil"/>
              <w:bottom w:val="single" w:color="auto" w:sz="4" w:space="0"/>
              <w:right w:val="single" w:color="auto" w:sz="4" w:space="0"/>
            </w:tcBorders>
            <w:shd w:val="clear" w:color="auto" w:fill="auto"/>
            <w:vAlign w:val="center"/>
          </w:tcPr>
          <w:p w14:paraId="7ECB8B05">
            <w:pPr>
              <w:widowControl/>
              <w:jc w:val="center"/>
              <w:rPr>
                <w:rFonts w:ascii="宋体" w:hAnsi="宋体" w:cs="宋体"/>
                <w:b/>
                <w:bCs/>
                <w:kern w:val="0"/>
                <w:szCs w:val="21"/>
              </w:rPr>
            </w:pPr>
            <w:r>
              <w:rPr>
                <w:rFonts w:hint="eastAsia" w:ascii="宋体" w:hAnsi="宋体" w:cs="宋体"/>
                <w:b/>
                <w:bCs/>
                <w:kern w:val="0"/>
                <w:szCs w:val="21"/>
              </w:rPr>
              <w:t>业主考核分</w:t>
            </w:r>
          </w:p>
        </w:tc>
        <w:tc>
          <w:tcPr>
            <w:tcW w:w="967" w:type="dxa"/>
            <w:tcBorders>
              <w:top w:val="single" w:color="auto" w:sz="4" w:space="0"/>
              <w:left w:val="nil"/>
              <w:bottom w:val="single" w:color="auto" w:sz="4" w:space="0"/>
              <w:right w:val="single" w:color="auto" w:sz="4" w:space="0"/>
            </w:tcBorders>
            <w:shd w:val="clear" w:color="auto" w:fill="auto"/>
            <w:vAlign w:val="center"/>
          </w:tcPr>
          <w:p w14:paraId="4420E00D">
            <w:pPr>
              <w:widowControl/>
              <w:jc w:val="center"/>
              <w:rPr>
                <w:rFonts w:ascii="宋体" w:hAnsi="宋体" w:cs="宋体"/>
                <w:b/>
                <w:bCs/>
                <w:kern w:val="0"/>
                <w:szCs w:val="21"/>
              </w:rPr>
            </w:pPr>
            <w:r>
              <w:rPr>
                <w:rFonts w:hint="eastAsia" w:ascii="宋体" w:hAnsi="宋体" w:cs="宋体"/>
                <w:b/>
                <w:bCs/>
                <w:kern w:val="0"/>
                <w:szCs w:val="21"/>
              </w:rPr>
              <w:t>说明</w:t>
            </w:r>
          </w:p>
        </w:tc>
      </w:tr>
      <w:tr w14:paraId="6A5DF261">
        <w:tblPrEx>
          <w:tblCellMar>
            <w:top w:w="0" w:type="dxa"/>
            <w:left w:w="108" w:type="dxa"/>
            <w:bottom w:w="0" w:type="dxa"/>
            <w:right w:w="108" w:type="dxa"/>
          </w:tblCellMar>
        </w:tblPrEx>
        <w:trPr>
          <w:trHeight w:val="368"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61998C01">
            <w:pPr>
              <w:widowControl/>
              <w:jc w:val="center"/>
              <w:rPr>
                <w:kern w:val="0"/>
                <w:szCs w:val="21"/>
              </w:rPr>
            </w:pPr>
            <w:r>
              <w:rPr>
                <w:rFonts w:hint="eastAsia"/>
                <w:kern w:val="0"/>
                <w:szCs w:val="21"/>
              </w:rPr>
              <w:t>1</w:t>
            </w:r>
          </w:p>
        </w:tc>
        <w:tc>
          <w:tcPr>
            <w:tcW w:w="4050" w:type="dxa"/>
            <w:tcBorders>
              <w:top w:val="nil"/>
              <w:left w:val="nil"/>
              <w:bottom w:val="single" w:color="auto" w:sz="4" w:space="0"/>
              <w:right w:val="single" w:color="auto" w:sz="4" w:space="0"/>
            </w:tcBorders>
            <w:shd w:val="clear" w:color="auto" w:fill="auto"/>
            <w:noWrap/>
            <w:vAlign w:val="center"/>
          </w:tcPr>
          <w:p w14:paraId="3DB2B696">
            <w:pPr>
              <w:widowControl/>
              <w:jc w:val="center"/>
              <w:rPr>
                <w:rFonts w:ascii="宋体" w:hAnsi="宋体" w:cs="宋体"/>
                <w:kern w:val="0"/>
                <w:szCs w:val="21"/>
              </w:rPr>
            </w:pPr>
            <w:r>
              <w:rPr>
                <w:rFonts w:hint="eastAsia" w:ascii="宋体" w:hAnsi="宋体" w:cs="宋体"/>
                <w:kern w:val="0"/>
                <w:szCs w:val="21"/>
              </w:rPr>
              <w:t>人员配置、维护方案等</w:t>
            </w:r>
          </w:p>
        </w:tc>
        <w:tc>
          <w:tcPr>
            <w:tcW w:w="912" w:type="dxa"/>
            <w:tcBorders>
              <w:top w:val="nil"/>
              <w:left w:val="nil"/>
              <w:bottom w:val="single" w:color="auto" w:sz="4" w:space="0"/>
              <w:right w:val="single" w:color="auto" w:sz="4" w:space="0"/>
            </w:tcBorders>
            <w:shd w:val="clear" w:color="auto" w:fill="auto"/>
            <w:vAlign w:val="center"/>
          </w:tcPr>
          <w:p w14:paraId="372BEC62">
            <w:pPr>
              <w:widowControl/>
              <w:jc w:val="center"/>
              <w:rPr>
                <w:kern w:val="0"/>
                <w:szCs w:val="21"/>
              </w:rPr>
            </w:pPr>
            <w:r>
              <w:rPr>
                <w:rFonts w:hint="eastAsia"/>
                <w:kern w:val="0"/>
                <w:szCs w:val="21"/>
              </w:rPr>
              <w:t>5</w:t>
            </w:r>
          </w:p>
        </w:tc>
        <w:tc>
          <w:tcPr>
            <w:tcW w:w="1063" w:type="dxa"/>
            <w:tcBorders>
              <w:top w:val="nil"/>
              <w:left w:val="nil"/>
              <w:bottom w:val="single" w:color="auto" w:sz="4" w:space="0"/>
              <w:right w:val="single" w:color="auto" w:sz="4" w:space="0"/>
            </w:tcBorders>
            <w:shd w:val="clear" w:color="auto" w:fill="auto"/>
            <w:noWrap/>
            <w:vAlign w:val="center"/>
          </w:tcPr>
          <w:p w14:paraId="6CB7BF56">
            <w:pPr>
              <w:widowControl/>
              <w:jc w:val="center"/>
              <w:rPr>
                <w:rFonts w:ascii="宋体" w:hAnsi="宋体" w:cs="宋体"/>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1A128139">
            <w:pPr>
              <w:widowControl/>
              <w:jc w:val="center"/>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10EE85B5">
            <w:pPr>
              <w:widowControl/>
              <w:jc w:val="left"/>
              <w:rPr>
                <w:rFonts w:ascii="宋体" w:hAnsi="宋体" w:cs="宋体"/>
                <w:kern w:val="0"/>
                <w:szCs w:val="21"/>
              </w:rPr>
            </w:pPr>
            <w:r>
              <w:rPr>
                <w:rFonts w:hint="eastAsia" w:ascii="宋体" w:hAnsi="宋体" w:cs="宋体"/>
                <w:kern w:val="0"/>
                <w:szCs w:val="21"/>
              </w:rPr>
              <w:t xml:space="preserve"> </w:t>
            </w:r>
          </w:p>
        </w:tc>
      </w:tr>
      <w:tr w14:paraId="2AB533B2">
        <w:tblPrEx>
          <w:tblCellMar>
            <w:top w:w="0" w:type="dxa"/>
            <w:left w:w="108" w:type="dxa"/>
            <w:bottom w:w="0" w:type="dxa"/>
            <w:right w:w="108" w:type="dxa"/>
          </w:tblCellMar>
        </w:tblPrEx>
        <w:trPr>
          <w:trHeight w:val="367"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0D7668B2">
            <w:pPr>
              <w:widowControl/>
              <w:jc w:val="center"/>
              <w:rPr>
                <w:kern w:val="0"/>
                <w:szCs w:val="21"/>
              </w:rPr>
            </w:pPr>
            <w:r>
              <w:rPr>
                <w:rFonts w:hint="eastAsia"/>
                <w:kern w:val="0"/>
                <w:szCs w:val="21"/>
              </w:rPr>
              <w:t>2</w:t>
            </w:r>
          </w:p>
        </w:tc>
        <w:tc>
          <w:tcPr>
            <w:tcW w:w="4050" w:type="dxa"/>
            <w:tcBorders>
              <w:top w:val="nil"/>
              <w:left w:val="nil"/>
              <w:bottom w:val="single" w:color="auto" w:sz="4" w:space="0"/>
              <w:right w:val="single" w:color="auto" w:sz="4" w:space="0"/>
            </w:tcBorders>
            <w:shd w:val="clear" w:color="auto" w:fill="auto"/>
            <w:noWrap/>
            <w:vAlign w:val="center"/>
          </w:tcPr>
          <w:p w14:paraId="30ED083F">
            <w:pPr>
              <w:widowControl/>
              <w:jc w:val="center"/>
              <w:rPr>
                <w:rFonts w:ascii="宋体" w:hAnsi="宋体" w:cs="宋体"/>
                <w:color w:val="auto"/>
                <w:kern w:val="0"/>
                <w:szCs w:val="21"/>
              </w:rPr>
            </w:pPr>
            <w:r>
              <w:rPr>
                <w:rFonts w:hint="eastAsia" w:ascii="宋体" w:hAnsi="宋体" w:cs="宋体"/>
                <w:color w:val="auto"/>
                <w:kern w:val="0"/>
                <w:szCs w:val="21"/>
              </w:rPr>
              <w:t>水文信息系统维护</w:t>
            </w:r>
          </w:p>
        </w:tc>
        <w:tc>
          <w:tcPr>
            <w:tcW w:w="912" w:type="dxa"/>
            <w:tcBorders>
              <w:top w:val="nil"/>
              <w:left w:val="nil"/>
              <w:bottom w:val="single" w:color="auto" w:sz="4" w:space="0"/>
              <w:right w:val="single" w:color="auto" w:sz="4" w:space="0"/>
            </w:tcBorders>
            <w:shd w:val="clear" w:color="auto" w:fill="auto"/>
            <w:vAlign w:val="center"/>
          </w:tcPr>
          <w:p w14:paraId="5E607E77">
            <w:pPr>
              <w:widowControl/>
              <w:jc w:val="center"/>
              <w:rPr>
                <w:color w:val="auto"/>
                <w:kern w:val="0"/>
                <w:szCs w:val="21"/>
              </w:rPr>
            </w:pPr>
            <w:r>
              <w:rPr>
                <w:color w:val="auto"/>
                <w:kern w:val="0"/>
                <w:szCs w:val="21"/>
              </w:rPr>
              <w:t>10</w:t>
            </w:r>
          </w:p>
        </w:tc>
        <w:tc>
          <w:tcPr>
            <w:tcW w:w="1063" w:type="dxa"/>
            <w:tcBorders>
              <w:top w:val="nil"/>
              <w:left w:val="nil"/>
              <w:bottom w:val="single" w:color="auto" w:sz="4" w:space="0"/>
              <w:right w:val="single" w:color="auto" w:sz="4" w:space="0"/>
            </w:tcBorders>
            <w:shd w:val="clear" w:color="auto" w:fill="auto"/>
            <w:noWrap/>
            <w:vAlign w:val="center"/>
          </w:tcPr>
          <w:p w14:paraId="6B47B325">
            <w:pPr>
              <w:widowControl/>
              <w:jc w:val="left"/>
              <w:rPr>
                <w:color w:val="auto"/>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41FCD7C2">
            <w:pPr>
              <w:widowControl/>
              <w:jc w:val="left"/>
              <w:rPr>
                <w:rFonts w:ascii="宋体" w:hAnsi="宋体" w:cs="宋体"/>
                <w:kern w:val="0"/>
                <w:szCs w:val="21"/>
              </w:rPr>
            </w:pPr>
          </w:p>
        </w:tc>
        <w:tc>
          <w:tcPr>
            <w:tcW w:w="967" w:type="dxa"/>
            <w:tcBorders>
              <w:top w:val="nil"/>
              <w:left w:val="single" w:color="auto" w:sz="4" w:space="0"/>
              <w:bottom w:val="single" w:color="auto" w:sz="4" w:space="0"/>
              <w:right w:val="single" w:color="auto" w:sz="4" w:space="0"/>
            </w:tcBorders>
            <w:shd w:val="clear" w:color="auto" w:fill="auto"/>
            <w:vAlign w:val="center"/>
          </w:tcPr>
          <w:p w14:paraId="7D996883">
            <w:pPr>
              <w:widowControl/>
              <w:jc w:val="left"/>
              <w:rPr>
                <w:rFonts w:ascii="宋体" w:hAnsi="宋体" w:cs="宋体"/>
                <w:kern w:val="0"/>
                <w:szCs w:val="21"/>
              </w:rPr>
            </w:pPr>
            <w:r>
              <w:rPr>
                <w:rFonts w:hint="eastAsia" w:ascii="宋体" w:hAnsi="宋体" w:cs="宋体"/>
                <w:kern w:val="0"/>
                <w:szCs w:val="21"/>
              </w:rPr>
              <w:t xml:space="preserve"> </w:t>
            </w:r>
          </w:p>
        </w:tc>
      </w:tr>
      <w:tr w14:paraId="572D0BE5">
        <w:tblPrEx>
          <w:tblCellMar>
            <w:top w:w="0" w:type="dxa"/>
            <w:left w:w="108" w:type="dxa"/>
            <w:bottom w:w="0" w:type="dxa"/>
            <w:right w:w="108" w:type="dxa"/>
          </w:tblCellMar>
        </w:tblPrEx>
        <w:trPr>
          <w:trHeight w:val="443"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33970500">
            <w:pPr>
              <w:widowControl/>
              <w:jc w:val="center"/>
              <w:rPr>
                <w:kern w:val="0"/>
                <w:szCs w:val="21"/>
              </w:rPr>
            </w:pPr>
            <w:r>
              <w:rPr>
                <w:rFonts w:hint="eastAsia"/>
                <w:kern w:val="0"/>
                <w:szCs w:val="21"/>
              </w:rPr>
              <w:t>3</w:t>
            </w:r>
          </w:p>
        </w:tc>
        <w:tc>
          <w:tcPr>
            <w:tcW w:w="4050" w:type="dxa"/>
            <w:tcBorders>
              <w:top w:val="nil"/>
              <w:left w:val="nil"/>
              <w:bottom w:val="single" w:color="auto" w:sz="4" w:space="0"/>
              <w:right w:val="single" w:color="auto" w:sz="4" w:space="0"/>
            </w:tcBorders>
            <w:shd w:val="clear" w:color="auto" w:fill="auto"/>
            <w:noWrap/>
            <w:vAlign w:val="center"/>
          </w:tcPr>
          <w:p w14:paraId="3CEC2A69">
            <w:pPr>
              <w:widowControl/>
              <w:jc w:val="center"/>
              <w:rPr>
                <w:rFonts w:ascii="宋体" w:hAnsi="宋体" w:cs="宋体"/>
                <w:color w:val="auto"/>
                <w:kern w:val="0"/>
                <w:szCs w:val="21"/>
              </w:rPr>
            </w:pPr>
            <w:r>
              <w:rPr>
                <w:rFonts w:hint="eastAsia" w:ascii="宋体" w:hAnsi="宋体" w:cs="宋体"/>
                <w:color w:val="auto"/>
                <w:kern w:val="0"/>
                <w:szCs w:val="21"/>
              </w:rPr>
              <w:t>18个站点遥测设备巡检、维护</w:t>
            </w:r>
          </w:p>
        </w:tc>
        <w:tc>
          <w:tcPr>
            <w:tcW w:w="912" w:type="dxa"/>
            <w:tcBorders>
              <w:top w:val="nil"/>
              <w:left w:val="nil"/>
              <w:bottom w:val="single" w:color="auto" w:sz="4" w:space="0"/>
              <w:right w:val="single" w:color="auto" w:sz="4" w:space="0"/>
            </w:tcBorders>
            <w:shd w:val="clear" w:color="auto" w:fill="auto"/>
            <w:vAlign w:val="center"/>
          </w:tcPr>
          <w:p w14:paraId="1CF59620">
            <w:pPr>
              <w:widowControl/>
              <w:jc w:val="center"/>
              <w:rPr>
                <w:color w:val="auto"/>
                <w:kern w:val="0"/>
                <w:szCs w:val="21"/>
              </w:rPr>
            </w:pPr>
            <w:r>
              <w:rPr>
                <w:color w:val="auto"/>
                <w:kern w:val="0"/>
                <w:szCs w:val="21"/>
              </w:rPr>
              <w:t>10</w:t>
            </w:r>
          </w:p>
        </w:tc>
        <w:tc>
          <w:tcPr>
            <w:tcW w:w="1063" w:type="dxa"/>
            <w:tcBorders>
              <w:top w:val="nil"/>
              <w:left w:val="nil"/>
              <w:bottom w:val="single" w:color="auto" w:sz="4" w:space="0"/>
              <w:right w:val="single" w:color="auto" w:sz="4" w:space="0"/>
            </w:tcBorders>
            <w:shd w:val="clear" w:color="auto" w:fill="auto"/>
            <w:noWrap/>
            <w:vAlign w:val="center"/>
          </w:tcPr>
          <w:p w14:paraId="7F06D728">
            <w:pPr>
              <w:widowControl/>
              <w:jc w:val="center"/>
              <w:rPr>
                <w:color w:val="auto"/>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3C684FAE">
            <w:pPr>
              <w:widowControl/>
              <w:jc w:val="center"/>
              <w:rPr>
                <w:rFonts w:ascii="宋体" w:hAnsi="宋体" w:cs="宋体"/>
                <w:kern w:val="0"/>
                <w:szCs w:val="21"/>
              </w:rPr>
            </w:pPr>
          </w:p>
        </w:tc>
        <w:tc>
          <w:tcPr>
            <w:tcW w:w="967" w:type="dxa"/>
            <w:tcBorders>
              <w:top w:val="single" w:color="auto" w:sz="4" w:space="0"/>
              <w:left w:val="single" w:color="auto" w:sz="4" w:space="0"/>
              <w:bottom w:val="single" w:color="000000" w:sz="4" w:space="0"/>
              <w:right w:val="single" w:color="auto" w:sz="4" w:space="0"/>
            </w:tcBorders>
            <w:vAlign w:val="center"/>
          </w:tcPr>
          <w:p w14:paraId="6EDDD019">
            <w:pPr>
              <w:jc w:val="left"/>
              <w:rPr>
                <w:rFonts w:ascii="宋体" w:hAnsi="宋体" w:cs="宋体"/>
                <w:kern w:val="0"/>
                <w:szCs w:val="21"/>
              </w:rPr>
            </w:pPr>
          </w:p>
        </w:tc>
      </w:tr>
      <w:tr w14:paraId="34F3E44F">
        <w:tblPrEx>
          <w:tblCellMar>
            <w:top w:w="0" w:type="dxa"/>
            <w:left w:w="108" w:type="dxa"/>
            <w:bottom w:w="0" w:type="dxa"/>
            <w:right w:w="108" w:type="dxa"/>
          </w:tblCellMar>
        </w:tblPrEx>
        <w:trPr>
          <w:trHeight w:val="442"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6AEBEAEF">
            <w:pPr>
              <w:widowControl/>
              <w:jc w:val="center"/>
              <w:rPr>
                <w:kern w:val="0"/>
                <w:szCs w:val="21"/>
              </w:rPr>
            </w:pPr>
            <w:r>
              <w:rPr>
                <w:rFonts w:hint="eastAsia"/>
                <w:kern w:val="0"/>
                <w:szCs w:val="21"/>
              </w:rPr>
              <w:t>4</w:t>
            </w:r>
          </w:p>
        </w:tc>
        <w:tc>
          <w:tcPr>
            <w:tcW w:w="4050" w:type="dxa"/>
            <w:tcBorders>
              <w:top w:val="nil"/>
              <w:left w:val="nil"/>
              <w:bottom w:val="single" w:color="auto" w:sz="4" w:space="0"/>
              <w:right w:val="single" w:color="auto" w:sz="4" w:space="0"/>
            </w:tcBorders>
            <w:shd w:val="clear" w:color="auto" w:fill="auto"/>
            <w:noWrap/>
            <w:vAlign w:val="center"/>
          </w:tcPr>
          <w:p w14:paraId="00E77EB0">
            <w:pPr>
              <w:widowControl/>
              <w:jc w:val="center"/>
              <w:rPr>
                <w:rFonts w:ascii="宋体" w:hAnsi="宋体" w:cs="宋体"/>
                <w:color w:val="auto"/>
                <w:kern w:val="0"/>
                <w:szCs w:val="21"/>
              </w:rPr>
            </w:pPr>
            <w:r>
              <w:rPr>
                <w:rFonts w:hint="eastAsia" w:ascii="宋体" w:hAnsi="宋体" w:cs="宋体"/>
                <w:color w:val="auto"/>
                <w:kern w:val="0"/>
                <w:szCs w:val="21"/>
              </w:rPr>
              <w:t>36个圩区站</w:t>
            </w:r>
            <w:r>
              <w:rPr>
                <w:rFonts w:hint="eastAsia" w:ascii="宋体" w:hAnsi="宋体" w:cs="宋体"/>
                <w:color w:val="auto"/>
                <w:kern w:val="0"/>
                <w:szCs w:val="21"/>
                <w:lang w:eastAsia="zh-CN"/>
              </w:rPr>
              <w:t>点</w:t>
            </w:r>
            <w:r>
              <w:rPr>
                <w:rFonts w:hint="eastAsia" w:ascii="宋体" w:hAnsi="宋体" w:cs="宋体"/>
                <w:color w:val="auto"/>
                <w:kern w:val="0"/>
                <w:szCs w:val="21"/>
              </w:rPr>
              <w:t>遥测设备巡检、维护</w:t>
            </w:r>
          </w:p>
        </w:tc>
        <w:tc>
          <w:tcPr>
            <w:tcW w:w="912" w:type="dxa"/>
            <w:tcBorders>
              <w:top w:val="nil"/>
              <w:left w:val="nil"/>
              <w:bottom w:val="single" w:color="auto" w:sz="4" w:space="0"/>
              <w:right w:val="single" w:color="auto" w:sz="4" w:space="0"/>
            </w:tcBorders>
            <w:shd w:val="clear" w:color="auto" w:fill="auto"/>
            <w:vAlign w:val="center"/>
          </w:tcPr>
          <w:p w14:paraId="75F5FCE8">
            <w:pPr>
              <w:widowControl/>
              <w:jc w:val="center"/>
              <w:rPr>
                <w:color w:val="auto"/>
                <w:kern w:val="0"/>
                <w:szCs w:val="21"/>
              </w:rPr>
            </w:pPr>
            <w:r>
              <w:rPr>
                <w:color w:val="auto"/>
                <w:kern w:val="0"/>
                <w:szCs w:val="21"/>
              </w:rPr>
              <w:t>10</w:t>
            </w:r>
          </w:p>
        </w:tc>
        <w:tc>
          <w:tcPr>
            <w:tcW w:w="1063" w:type="dxa"/>
            <w:tcBorders>
              <w:top w:val="nil"/>
              <w:left w:val="nil"/>
              <w:bottom w:val="single" w:color="auto" w:sz="4" w:space="0"/>
              <w:right w:val="single" w:color="auto" w:sz="4" w:space="0"/>
            </w:tcBorders>
            <w:shd w:val="clear" w:color="auto" w:fill="auto"/>
            <w:noWrap/>
            <w:vAlign w:val="center"/>
          </w:tcPr>
          <w:p w14:paraId="6A9919DE">
            <w:pPr>
              <w:widowControl/>
              <w:jc w:val="center"/>
              <w:rPr>
                <w:rFonts w:ascii="宋体" w:hAnsi="宋体" w:cs="宋体"/>
                <w:color w:val="auto"/>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6136E8CA">
            <w:pPr>
              <w:widowControl/>
              <w:jc w:val="center"/>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6FFB22D2">
            <w:pPr>
              <w:widowControl/>
              <w:jc w:val="left"/>
              <w:rPr>
                <w:rFonts w:ascii="宋体" w:hAnsi="宋体" w:cs="宋体"/>
                <w:kern w:val="0"/>
                <w:szCs w:val="21"/>
              </w:rPr>
            </w:pPr>
          </w:p>
        </w:tc>
      </w:tr>
      <w:tr w14:paraId="3503E0AE">
        <w:tblPrEx>
          <w:tblCellMar>
            <w:top w:w="0" w:type="dxa"/>
            <w:left w:w="108" w:type="dxa"/>
            <w:bottom w:w="0" w:type="dxa"/>
            <w:right w:w="108" w:type="dxa"/>
          </w:tblCellMar>
        </w:tblPrEx>
        <w:trPr>
          <w:trHeight w:val="431"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046CB48">
            <w:pPr>
              <w:widowControl/>
              <w:jc w:val="center"/>
              <w:rPr>
                <w:kern w:val="0"/>
                <w:szCs w:val="21"/>
              </w:rPr>
            </w:pPr>
            <w:r>
              <w:rPr>
                <w:rFonts w:hint="eastAsia"/>
                <w:kern w:val="0"/>
                <w:szCs w:val="21"/>
              </w:rPr>
              <w:t>5</w:t>
            </w:r>
          </w:p>
        </w:tc>
        <w:tc>
          <w:tcPr>
            <w:tcW w:w="4050" w:type="dxa"/>
            <w:tcBorders>
              <w:top w:val="nil"/>
              <w:left w:val="nil"/>
              <w:bottom w:val="single" w:color="auto" w:sz="4" w:space="0"/>
              <w:right w:val="single" w:color="auto" w:sz="4" w:space="0"/>
            </w:tcBorders>
            <w:shd w:val="clear" w:color="auto" w:fill="auto"/>
            <w:noWrap/>
            <w:vAlign w:val="center"/>
          </w:tcPr>
          <w:p w14:paraId="02222915">
            <w:pPr>
              <w:widowControl/>
              <w:jc w:val="center"/>
              <w:rPr>
                <w:rFonts w:ascii="宋体" w:hAnsi="宋体" w:cs="宋体"/>
                <w:color w:val="auto"/>
                <w:kern w:val="0"/>
                <w:szCs w:val="21"/>
              </w:rPr>
            </w:pPr>
            <w:r>
              <w:rPr>
                <w:rFonts w:hint="eastAsia" w:ascii="宋体" w:hAnsi="宋体" w:cs="宋体"/>
                <w:color w:val="auto"/>
                <w:kern w:val="0"/>
                <w:szCs w:val="21"/>
              </w:rPr>
              <w:t>手持式流速仪（1台）率定</w:t>
            </w:r>
          </w:p>
        </w:tc>
        <w:tc>
          <w:tcPr>
            <w:tcW w:w="912" w:type="dxa"/>
            <w:tcBorders>
              <w:top w:val="nil"/>
              <w:left w:val="nil"/>
              <w:bottom w:val="single" w:color="auto" w:sz="4" w:space="0"/>
              <w:right w:val="single" w:color="auto" w:sz="4" w:space="0"/>
            </w:tcBorders>
            <w:shd w:val="clear" w:color="auto" w:fill="auto"/>
            <w:vAlign w:val="center"/>
          </w:tcPr>
          <w:p w14:paraId="47E6BCA9">
            <w:pPr>
              <w:widowControl/>
              <w:jc w:val="center"/>
              <w:rPr>
                <w:rFonts w:hint="eastAsia" w:eastAsia="宋体"/>
                <w:color w:val="auto"/>
                <w:kern w:val="0"/>
                <w:szCs w:val="21"/>
                <w:lang w:eastAsia="zh-CN"/>
              </w:rPr>
            </w:pPr>
            <w:r>
              <w:rPr>
                <w:rFonts w:hint="eastAsia"/>
                <w:color w:val="auto"/>
                <w:kern w:val="0"/>
                <w:szCs w:val="21"/>
                <w:lang w:val="en-US" w:eastAsia="zh-CN"/>
              </w:rPr>
              <w:t>3</w:t>
            </w:r>
          </w:p>
        </w:tc>
        <w:tc>
          <w:tcPr>
            <w:tcW w:w="1063" w:type="dxa"/>
            <w:tcBorders>
              <w:top w:val="nil"/>
              <w:left w:val="nil"/>
              <w:bottom w:val="single" w:color="auto" w:sz="4" w:space="0"/>
              <w:right w:val="single" w:color="auto" w:sz="4" w:space="0"/>
            </w:tcBorders>
            <w:shd w:val="clear" w:color="auto" w:fill="auto"/>
            <w:noWrap/>
            <w:vAlign w:val="center"/>
          </w:tcPr>
          <w:p w14:paraId="04A02499">
            <w:pPr>
              <w:widowControl/>
              <w:jc w:val="center"/>
              <w:rPr>
                <w:rFonts w:ascii="宋体" w:hAnsi="宋体" w:cs="宋体"/>
                <w:color w:val="auto"/>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7360C258">
            <w:pPr>
              <w:widowControl/>
              <w:jc w:val="center"/>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3D65BA0C">
            <w:pPr>
              <w:widowControl/>
              <w:ind w:firstLine="105" w:firstLineChars="50"/>
              <w:jc w:val="left"/>
              <w:rPr>
                <w:rFonts w:ascii="宋体" w:hAnsi="宋体" w:cs="宋体"/>
                <w:kern w:val="0"/>
                <w:szCs w:val="21"/>
              </w:rPr>
            </w:pPr>
            <w:r>
              <w:rPr>
                <w:rFonts w:hint="eastAsia" w:ascii="宋体" w:hAnsi="宋体" w:cs="宋体"/>
                <w:kern w:val="0"/>
                <w:szCs w:val="21"/>
              </w:rPr>
              <w:t xml:space="preserve"> </w:t>
            </w:r>
          </w:p>
        </w:tc>
      </w:tr>
      <w:tr w14:paraId="2CB9A803">
        <w:tblPrEx>
          <w:tblCellMar>
            <w:top w:w="0" w:type="dxa"/>
            <w:left w:w="108" w:type="dxa"/>
            <w:bottom w:w="0" w:type="dxa"/>
            <w:right w:w="108" w:type="dxa"/>
          </w:tblCellMar>
        </w:tblPrEx>
        <w:trPr>
          <w:trHeight w:val="231"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53A0D944">
            <w:pPr>
              <w:widowControl/>
              <w:jc w:val="center"/>
              <w:rPr>
                <w:kern w:val="0"/>
                <w:szCs w:val="21"/>
              </w:rPr>
            </w:pPr>
            <w:r>
              <w:rPr>
                <w:rFonts w:hint="eastAsia"/>
                <w:kern w:val="0"/>
                <w:szCs w:val="21"/>
              </w:rPr>
              <w:t>6</w:t>
            </w:r>
          </w:p>
        </w:tc>
        <w:tc>
          <w:tcPr>
            <w:tcW w:w="4050" w:type="dxa"/>
            <w:tcBorders>
              <w:top w:val="nil"/>
              <w:left w:val="nil"/>
              <w:bottom w:val="single" w:color="auto" w:sz="4" w:space="0"/>
              <w:right w:val="single" w:color="auto" w:sz="4" w:space="0"/>
            </w:tcBorders>
            <w:shd w:val="clear" w:color="auto" w:fill="auto"/>
            <w:noWrap/>
            <w:vAlign w:val="center"/>
          </w:tcPr>
          <w:p w14:paraId="63711F14">
            <w:pPr>
              <w:widowControl/>
              <w:jc w:val="center"/>
              <w:rPr>
                <w:rFonts w:ascii="宋体" w:hAnsi="宋体" w:cs="宋体"/>
                <w:color w:val="auto"/>
                <w:kern w:val="0"/>
                <w:szCs w:val="21"/>
              </w:rPr>
            </w:pPr>
            <w:r>
              <w:rPr>
                <w:rFonts w:hint="eastAsia" w:ascii="宋体" w:hAnsi="宋体" w:cs="宋体"/>
                <w:color w:val="auto"/>
                <w:kern w:val="0"/>
                <w:szCs w:val="21"/>
              </w:rPr>
              <w:t>国家基本站点水尺零高及地下水固定点高程校测</w:t>
            </w:r>
          </w:p>
        </w:tc>
        <w:tc>
          <w:tcPr>
            <w:tcW w:w="912" w:type="dxa"/>
            <w:tcBorders>
              <w:top w:val="nil"/>
              <w:left w:val="nil"/>
              <w:bottom w:val="single" w:color="auto" w:sz="4" w:space="0"/>
              <w:right w:val="single" w:color="auto" w:sz="4" w:space="0"/>
            </w:tcBorders>
            <w:shd w:val="clear" w:color="auto" w:fill="auto"/>
            <w:vAlign w:val="center"/>
          </w:tcPr>
          <w:p w14:paraId="1765BBA1">
            <w:pPr>
              <w:widowControl/>
              <w:jc w:val="center"/>
              <w:rPr>
                <w:rFonts w:hint="eastAsia" w:ascii="宋体" w:hAnsi="宋体" w:eastAsia="宋体" w:cs="宋体"/>
                <w:color w:val="auto"/>
                <w:kern w:val="0"/>
                <w:szCs w:val="21"/>
                <w:lang w:eastAsia="zh-CN"/>
              </w:rPr>
            </w:pPr>
            <w:r>
              <w:rPr>
                <w:rFonts w:hint="eastAsia"/>
                <w:color w:val="auto"/>
                <w:kern w:val="0"/>
                <w:szCs w:val="21"/>
                <w:lang w:val="en-US" w:eastAsia="zh-CN"/>
              </w:rPr>
              <w:t>5</w:t>
            </w:r>
          </w:p>
        </w:tc>
        <w:tc>
          <w:tcPr>
            <w:tcW w:w="1063" w:type="dxa"/>
            <w:tcBorders>
              <w:top w:val="nil"/>
              <w:left w:val="nil"/>
              <w:bottom w:val="single" w:color="auto" w:sz="4" w:space="0"/>
              <w:right w:val="single" w:color="auto" w:sz="4" w:space="0"/>
            </w:tcBorders>
            <w:shd w:val="clear" w:color="auto" w:fill="auto"/>
            <w:noWrap/>
            <w:vAlign w:val="center"/>
          </w:tcPr>
          <w:p w14:paraId="3FB9E942">
            <w:pPr>
              <w:widowControl/>
              <w:jc w:val="center"/>
              <w:rPr>
                <w:rFonts w:ascii="宋体" w:hAnsi="宋体" w:cs="宋体"/>
                <w:color w:val="auto"/>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33B5ABD3">
            <w:pPr>
              <w:widowControl/>
              <w:jc w:val="center"/>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32835DA9">
            <w:pPr>
              <w:widowControl/>
              <w:jc w:val="left"/>
              <w:rPr>
                <w:rFonts w:ascii="宋体" w:hAnsi="宋体" w:cs="宋体"/>
                <w:kern w:val="0"/>
                <w:szCs w:val="21"/>
              </w:rPr>
            </w:pPr>
          </w:p>
        </w:tc>
      </w:tr>
      <w:tr w14:paraId="092DE3EE">
        <w:tblPrEx>
          <w:tblCellMar>
            <w:top w:w="0" w:type="dxa"/>
            <w:left w:w="108" w:type="dxa"/>
            <w:bottom w:w="0" w:type="dxa"/>
            <w:right w:w="108" w:type="dxa"/>
          </w:tblCellMar>
        </w:tblPrEx>
        <w:trPr>
          <w:trHeight w:val="35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3261E1B4">
            <w:pPr>
              <w:widowControl/>
              <w:jc w:val="center"/>
              <w:rPr>
                <w:kern w:val="0"/>
                <w:szCs w:val="21"/>
              </w:rPr>
            </w:pPr>
            <w:r>
              <w:rPr>
                <w:rFonts w:hint="eastAsia"/>
                <w:kern w:val="0"/>
                <w:szCs w:val="21"/>
              </w:rPr>
              <w:t>7</w:t>
            </w:r>
          </w:p>
        </w:tc>
        <w:tc>
          <w:tcPr>
            <w:tcW w:w="4050" w:type="dxa"/>
            <w:tcBorders>
              <w:top w:val="nil"/>
              <w:left w:val="nil"/>
              <w:bottom w:val="single" w:color="auto" w:sz="4" w:space="0"/>
              <w:right w:val="single" w:color="auto" w:sz="4" w:space="0"/>
            </w:tcBorders>
            <w:shd w:val="clear" w:color="auto" w:fill="auto"/>
            <w:noWrap/>
            <w:vAlign w:val="center"/>
          </w:tcPr>
          <w:p w14:paraId="1DA10E75">
            <w:pPr>
              <w:widowControl/>
              <w:jc w:val="center"/>
              <w:rPr>
                <w:rFonts w:ascii="宋体" w:hAnsi="宋体" w:cs="宋体"/>
                <w:kern w:val="0"/>
                <w:szCs w:val="21"/>
              </w:rPr>
            </w:pPr>
            <w:r>
              <w:rPr>
                <w:rFonts w:hint="eastAsia" w:ascii="宋体" w:hAnsi="宋体" w:cs="宋体"/>
                <w:kern w:val="0"/>
                <w:szCs w:val="21"/>
              </w:rPr>
              <w:t>水文台账资料整理、分析等</w:t>
            </w:r>
          </w:p>
        </w:tc>
        <w:tc>
          <w:tcPr>
            <w:tcW w:w="912" w:type="dxa"/>
            <w:tcBorders>
              <w:top w:val="nil"/>
              <w:left w:val="nil"/>
              <w:bottom w:val="single" w:color="auto" w:sz="4" w:space="0"/>
              <w:right w:val="single" w:color="auto" w:sz="4" w:space="0"/>
            </w:tcBorders>
            <w:shd w:val="clear" w:color="auto" w:fill="auto"/>
            <w:vAlign w:val="center"/>
          </w:tcPr>
          <w:p w14:paraId="1DBFF99B">
            <w:pPr>
              <w:widowControl/>
              <w:jc w:val="center"/>
              <w:rPr>
                <w:kern w:val="0"/>
                <w:szCs w:val="21"/>
              </w:rPr>
            </w:pPr>
            <w:r>
              <w:rPr>
                <w:rFonts w:hint="eastAsia"/>
                <w:kern w:val="0"/>
                <w:szCs w:val="21"/>
              </w:rPr>
              <w:t>10</w:t>
            </w:r>
          </w:p>
        </w:tc>
        <w:tc>
          <w:tcPr>
            <w:tcW w:w="1063" w:type="dxa"/>
            <w:tcBorders>
              <w:top w:val="nil"/>
              <w:left w:val="nil"/>
              <w:bottom w:val="single" w:color="auto" w:sz="4" w:space="0"/>
              <w:right w:val="single" w:color="auto" w:sz="4" w:space="0"/>
            </w:tcBorders>
            <w:shd w:val="clear" w:color="auto" w:fill="auto"/>
            <w:noWrap/>
            <w:vAlign w:val="center"/>
          </w:tcPr>
          <w:p w14:paraId="57F6F90D">
            <w:pPr>
              <w:widowControl/>
              <w:jc w:val="left"/>
              <w:rPr>
                <w:rFonts w:ascii="宋体" w:hAnsi="宋体" w:cs="宋体"/>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4179F2B4">
            <w:pPr>
              <w:widowControl/>
              <w:jc w:val="left"/>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3E5CAB06">
            <w:pPr>
              <w:widowControl/>
              <w:jc w:val="left"/>
              <w:rPr>
                <w:rFonts w:ascii="宋体" w:hAnsi="宋体" w:cs="宋体"/>
                <w:kern w:val="0"/>
                <w:szCs w:val="21"/>
              </w:rPr>
            </w:pPr>
            <w:r>
              <w:rPr>
                <w:rFonts w:hint="eastAsia" w:ascii="宋体" w:hAnsi="宋体" w:cs="宋体"/>
                <w:kern w:val="0"/>
                <w:szCs w:val="21"/>
              </w:rPr>
              <w:t xml:space="preserve"> </w:t>
            </w:r>
          </w:p>
        </w:tc>
      </w:tr>
      <w:tr w14:paraId="0CFDF240">
        <w:tblPrEx>
          <w:tblCellMar>
            <w:top w:w="0" w:type="dxa"/>
            <w:left w:w="108" w:type="dxa"/>
            <w:bottom w:w="0" w:type="dxa"/>
            <w:right w:w="108" w:type="dxa"/>
          </w:tblCellMar>
        </w:tblPrEx>
        <w:trPr>
          <w:trHeight w:val="10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51421B42">
            <w:pPr>
              <w:widowControl/>
              <w:jc w:val="center"/>
              <w:rPr>
                <w:kern w:val="0"/>
                <w:szCs w:val="21"/>
              </w:rPr>
            </w:pPr>
            <w:r>
              <w:rPr>
                <w:rFonts w:hint="eastAsia"/>
                <w:kern w:val="0"/>
                <w:szCs w:val="21"/>
              </w:rPr>
              <w:t>8</w:t>
            </w:r>
          </w:p>
        </w:tc>
        <w:tc>
          <w:tcPr>
            <w:tcW w:w="4050" w:type="dxa"/>
            <w:tcBorders>
              <w:top w:val="nil"/>
              <w:left w:val="nil"/>
              <w:bottom w:val="single" w:color="auto" w:sz="4" w:space="0"/>
              <w:right w:val="single" w:color="auto" w:sz="4" w:space="0"/>
            </w:tcBorders>
            <w:shd w:val="clear" w:color="auto" w:fill="auto"/>
            <w:noWrap/>
            <w:vAlign w:val="center"/>
          </w:tcPr>
          <w:p w14:paraId="4D89CB77">
            <w:pPr>
              <w:widowControl/>
              <w:jc w:val="center"/>
              <w:rPr>
                <w:rFonts w:ascii="Calibri" w:hAnsi="宋体" w:cs="宋体"/>
                <w:szCs w:val="21"/>
              </w:rPr>
            </w:pPr>
            <w:r>
              <w:rPr>
                <w:rFonts w:hint="eastAsia" w:ascii="Calibri" w:hAnsi="宋体" w:cs="宋体"/>
                <w:szCs w:val="21"/>
              </w:rPr>
              <w:t>水文巡测、流量比测率定等</w:t>
            </w:r>
          </w:p>
        </w:tc>
        <w:tc>
          <w:tcPr>
            <w:tcW w:w="912" w:type="dxa"/>
            <w:tcBorders>
              <w:top w:val="nil"/>
              <w:left w:val="nil"/>
              <w:bottom w:val="single" w:color="auto" w:sz="4" w:space="0"/>
              <w:right w:val="single" w:color="auto" w:sz="4" w:space="0"/>
            </w:tcBorders>
            <w:shd w:val="clear" w:color="auto" w:fill="auto"/>
            <w:vAlign w:val="center"/>
          </w:tcPr>
          <w:p w14:paraId="5F2CA396">
            <w:pPr>
              <w:widowControl/>
              <w:jc w:val="center"/>
              <w:rPr>
                <w:kern w:val="0"/>
                <w:szCs w:val="21"/>
              </w:rPr>
            </w:pPr>
            <w:r>
              <w:rPr>
                <w:rFonts w:hint="eastAsia"/>
                <w:kern w:val="0"/>
                <w:szCs w:val="21"/>
              </w:rPr>
              <w:t>10</w:t>
            </w:r>
          </w:p>
        </w:tc>
        <w:tc>
          <w:tcPr>
            <w:tcW w:w="1063" w:type="dxa"/>
            <w:tcBorders>
              <w:top w:val="nil"/>
              <w:left w:val="nil"/>
              <w:bottom w:val="single" w:color="auto" w:sz="4" w:space="0"/>
              <w:right w:val="single" w:color="auto" w:sz="4" w:space="0"/>
            </w:tcBorders>
            <w:shd w:val="clear" w:color="auto" w:fill="auto"/>
            <w:noWrap/>
            <w:vAlign w:val="center"/>
          </w:tcPr>
          <w:p w14:paraId="1CDA37E6">
            <w:pPr>
              <w:widowControl/>
              <w:jc w:val="left"/>
              <w:rPr>
                <w:rFonts w:ascii="宋体" w:hAnsi="宋体" w:cs="宋体"/>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4C3D2181">
            <w:pPr>
              <w:widowControl/>
              <w:jc w:val="left"/>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3D3F3DCF">
            <w:pPr>
              <w:widowControl/>
              <w:jc w:val="left"/>
              <w:rPr>
                <w:rFonts w:ascii="宋体" w:hAnsi="宋体" w:cs="宋体"/>
                <w:kern w:val="0"/>
                <w:szCs w:val="21"/>
              </w:rPr>
            </w:pPr>
            <w:r>
              <w:rPr>
                <w:rFonts w:hint="eastAsia" w:ascii="宋体" w:hAnsi="宋体" w:cs="宋体"/>
                <w:kern w:val="0"/>
                <w:szCs w:val="21"/>
              </w:rPr>
              <w:t xml:space="preserve"> </w:t>
            </w:r>
          </w:p>
        </w:tc>
      </w:tr>
      <w:tr w14:paraId="4CED4C04">
        <w:tblPrEx>
          <w:tblCellMar>
            <w:top w:w="0" w:type="dxa"/>
            <w:left w:w="108" w:type="dxa"/>
            <w:bottom w:w="0" w:type="dxa"/>
            <w:right w:w="108" w:type="dxa"/>
          </w:tblCellMar>
        </w:tblPrEx>
        <w:trPr>
          <w:trHeight w:val="168"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131AAB45">
            <w:pPr>
              <w:widowControl/>
              <w:jc w:val="center"/>
              <w:rPr>
                <w:kern w:val="0"/>
                <w:szCs w:val="21"/>
              </w:rPr>
            </w:pPr>
            <w:r>
              <w:rPr>
                <w:rFonts w:hint="eastAsia"/>
                <w:kern w:val="0"/>
                <w:szCs w:val="21"/>
              </w:rPr>
              <w:t>9</w:t>
            </w:r>
          </w:p>
        </w:tc>
        <w:tc>
          <w:tcPr>
            <w:tcW w:w="4050" w:type="dxa"/>
            <w:tcBorders>
              <w:top w:val="nil"/>
              <w:left w:val="nil"/>
              <w:bottom w:val="single" w:color="auto" w:sz="4" w:space="0"/>
              <w:right w:val="single" w:color="auto" w:sz="4" w:space="0"/>
            </w:tcBorders>
            <w:shd w:val="clear" w:color="auto" w:fill="auto"/>
            <w:noWrap/>
            <w:vAlign w:val="center"/>
          </w:tcPr>
          <w:p w14:paraId="714AC70A">
            <w:pPr>
              <w:widowControl/>
              <w:jc w:val="center"/>
              <w:rPr>
                <w:rFonts w:ascii="Calibri" w:hAnsi="宋体" w:cs="宋体"/>
                <w:szCs w:val="21"/>
              </w:rPr>
            </w:pPr>
            <w:r>
              <w:rPr>
                <w:rFonts w:hint="eastAsia" w:ascii="宋体" w:hAnsi="宋体" w:cs="宋体"/>
                <w:kern w:val="0"/>
                <w:szCs w:val="21"/>
              </w:rPr>
              <w:t>国家基本站（王江泾、新塍）日常管理</w:t>
            </w:r>
          </w:p>
        </w:tc>
        <w:tc>
          <w:tcPr>
            <w:tcW w:w="912" w:type="dxa"/>
            <w:tcBorders>
              <w:top w:val="nil"/>
              <w:left w:val="nil"/>
              <w:bottom w:val="single" w:color="auto" w:sz="4" w:space="0"/>
              <w:right w:val="single" w:color="auto" w:sz="4" w:space="0"/>
            </w:tcBorders>
            <w:shd w:val="clear" w:color="auto" w:fill="auto"/>
            <w:vAlign w:val="center"/>
          </w:tcPr>
          <w:p w14:paraId="65A0F393">
            <w:pPr>
              <w:widowControl/>
              <w:jc w:val="center"/>
              <w:rPr>
                <w:kern w:val="0"/>
                <w:szCs w:val="21"/>
              </w:rPr>
            </w:pPr>
            <w:r>
              <w:rPr>
                <w:rFonts w:hint="eastAsia"/>
                <w:kern w:val="0"/>
                <w:szCs w:val="21"/>
              </w:rPr>
              <w:t>10</w:t>
            </w:r>
          </w:p>
        </w:tc>
        <w:tc>
          <w:tcPr>
            <w:tcW w:w="1063" w:type="dxa"/>
            <w:tcBorders>
              <w:top w:val="nil"/>
              <w:left w:val="nil"/>
              <w:bottom w:val="single" w:color="auto" w:sz="4" w:space="0"/>
              <w:right w:val="single" w:color="auto" w:sz="4" w:space="0"/>
            </w:tcBorders>
            <w:shd w:val="clear" w:color="auto" w:fill="auto"/>
            <w:noWrap/>
            <w:vAlign w:val="center"/>
          </w:tcPr>
          <w:p w14:paraId="0BAB7CF3">
            <w:pPr>
              <w:widowControl/>
              <w:jc w:val="left"/>
              <w:rPr>
                <w:rFonts w:ascii="宋体" w:hAnsi="宋体" w:cs="宋体"/>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287FD2EF">
            <w:pPr>
              <w:widowControl/>
              <w:jc w:val="left"/>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7F2FF019">
            <w:pPr>
              <w:widowControl/>
              <w:jc w:val="left"/>
              <w:rPr>
                <w:rFonts w:ascii="宋体" w:hAnsi="宋体" w:cs="宋体"/>
                <w:kern w:val="0"/>
                <w:szCs w:val="21"/>
              </w:rPr>
            </w:pPr>
          </w:p>
        </w:tc>
      </w:tr>
      <w:tr w14:paraId="7CB9E8FE">
        <w:tblPrEx>
          <w:tblCellMar>
            <w:top w:w="0" w:type="dxa"/>
            <w:left w:w="108" w:type="dxa"/>
            <w:bottom w:w="0" w:type="dxa"/>
            <w:right w:w="108" w:type="dxa"/>
          </w:tblCellMar>
        </w:tblPrEx>
        <w:trPr>
          <w:trHeight w:val="142"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6A02A7E">
            <w:pPr>
              <w:widowControl/>
              <w:jc w:val="center"/>
              <w:rPr>
                <w:kern w:val="0"/>
                <w:szCs w:val="21"/>
              </w:rPr>
            </w:pPr>
            <w:r>
              <w:rPr>
                <w:kern w:val="0"/>
                <w:szCs w:val="21"/>
              </w:rPr>
              <w:t>1</w:t>
            </w:r>
            <w:r>
              <w:rPr>
                <w:rFonts w:hint="eastAsia"/>
                <w:kern w:val="0"/>
                <w:szCs w:val="21"/>
              </w:rPr>
              <w:t>0</w:t>
            </w:r>
          </w:p>
        </w:tc>
        <w:tc>
          <w:tcPr>
            <w:tcW w:w="4050" w:type="dxa"/>
            <w:tcBorders>
              <w:top w:val="nil"/>
              <w:left w:val="nil"/>
              <w:bottom w:val="single" w:color="auto" w:sz="4" w:space="0"/>
              <w:right w:val="single" w:color="auto" w:sz="4" w:space="0"/>
            </w:tcBorders>
            <w:shd w:val="clear" w:color="auto" w:fill="auto"/>
            <w:noWrap/>
            <w:vAlign w:val="center"/>
          </w:tcPr>
          <w:p w14:paraId="15599886">
            <w:pPr>
              <w:widowControl/>
              <w:jc w:val="center"/>
              <w:rPr>
                <w:rFonts w:ascii="宋体" w:hAnsi="宋体" w:cs="宋体"/>
                <w:kern w:val="0"/>
                <w:szCs w:val="21"/>
              </w:rPr>
            </w:pPr>
            <w:r>
              <w:rPr>
                <w:rFonts w:hint="eastAsia" w:ascii="宋体" w:hAnsi="宋体" w:cs="宋体"/>
                <w:kern w:val="0"/>
                <w:szCs w:val="21"/>
              </w:rPr>
              <w:t>水文通讯保障</w:t>
            </w:r>
          </w:p>
        </w:tc>
        <w:tc>
          <w:tcPr>
            <w:tcW w:w="912" w:type="dxa"/>
            <w:tcBorders>
              <w:top w:val="nil"/>
              <w:left w:val="nil"/>
              <w:bottom w:val="single" w:color="auto" w:sz="4" w:space="0"/>
              <w:right w:val="single" w:color="auto" w:sz="4" w:space="0"/>
            </w:tcBorders>
            <w:shd w:val="clear" w:color="auto" w:fill="auto"/>
            <w:vAlign w:val="center"/>
          </w:tcPr>
          <w:p w14:paraId="35C900F3">
            <w:pPr>
              <w:widowControl/>
              <w:jc w:val="center"/>
              <w:rPr>
                <w:kern w:val="0"/>
                <w:szCs w:val="21"/>
              </w:rPr>
            </w:pPr>
            <w:r>
              <w:rPr>
                <w:rFonts w:hint="eastAsia"/>
                <w:kern w:val="0"/>
                <w:szCs w:val="21"/>
              </w:rPr>
              <w:t>10</w:t>
            </w:r>
          </w:p>
        </w:tc>
        <w:tc>
          <w:tcPr>
            <w:tcW w:w="1063" w:type="dxa"/>
            <w:tcBorders>
              <w:top w:val="nil"/>
              <w:left w:val="nil"/>
              <w:bottom w:val="single" w:color="auto" w:sz="4" w:space="0"/>
              <w:right w:val="single" w:color="auto" w:sz="4" w:space="0"/>
            </w:tcBorders>
            <w:shd w:val="clear" w:color="auto" w:fill="auto"/>
            <w:noWrap/>
            <w:vAlign w:val="center"/>
          </w:tcPr>
          <w:p w14:paraId="07BF1908">
            <w:pPr>
              <w:widowControl/>
              <w:jc w:val="center"/>
              <w:rPr>
                <w:rFonts w:ascii="宋体" w:hAnsi="宋体" w:cs="宋体"/>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38F3FADE">
            <w:pPr>
              <w:widowControl/>
              <w:jc w:val="center"/>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65AB4B7D">
            <w:pPr>
              <w:widowControl/>
              <w:jc w:val="left"/>
              <w:rPr>
                <w:rFonts w:ascii="宋体" w:hAnsi="宋体" w:cs="宋体"/>
                <w:kern w:val="0"/>
                <w:szCs w:val="21"/>
              </w:rPr>
            </w:pPr>
          </w:p>
        </w:tc>
      </w:tr>
      <w:tr w14:paraId="7804B200">
        <w:tblPrEx>
          <w:tblCellMar>
            <w:top w:w="0" w:type="dxa"/>
            <w:left w:w="108" w:type="dxa"/>
            <w:bottom w:w="0" w:type="dxa"/>
            <w:right w:w="108" w:type="dxa"/>
          </w:tblCellMar>
        </w:tblPrEx>
        <w:trPr>
          <w:trHeight w:val="10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7E766B5D">
            <w:pPr>
              <w:widowControl/>
              <w:jc w:val="center"/>
              <w:rPr>
                <w:kern w:val="0"/>
                <w:szCs w:val="21"/>
              </w:rPr>
            </w:pPr>
            <w:r>
              <w:rPr>
                <w:rFonts w:hint="eastAsia"/>
                <w:kern w:val="0"/>
                <w:szCs w:val="21"/>
              </w:rPr>
              <w:t>11</w:t>
            </w:r>
          </w:p>
        </w:tc>
        <w:tc>
          <w:tcPr>
            <w:tcW w:w="4050" w:type="dxa"/>
            <w:tcBorders>
              <w:top w:val="nil"/>
              <w:left w:val="nil"/>
              <w:bottom w:val="single" w:color="auto" w:sz="4" w:space="0"/>
              <w:right w:val="single" w:color="auto" w:sz="4" w:space="0"/>
            </w:tcBorders>
            <w:shd w:val="clear" w:color="auto" w:fill="auto"/>
            <w:noWrap/>
            <w:vAlign w:val="center"/>
          </w:tcPr>
          <w:p w14:paraId="5ABF2F51">
            <w:pPr>
              <w:widowControl/>
              <w:jc w:val="center"/>
              <w:rPr>
                <w:rFonts w:ascii="宋体" w:hAnsi="宋体" w:cs="宋体"/>
                <w:kern w:val="0"/>
                <w:szCs w:val="21"/>
              </w:rPr>
            </w:pPr>
            <w:r>
              <w:rPr>
                <w:rFonts w:hint="eastAsia" w:ascii="宋体" w:hAnsi="宋体" w:cs="宋体"/>
                <w:kern w:val="0"/>
                <w:szCs w:val="21"/>
              </w:rPr>
              <w:t>地表水、地下水水质监测</w:t>
            </w:r>
          </w:p>
        </w:tc>
        <w:tc>
          <w:tcPr>
            <w:tcW w:w="912" w:type="dxa"/>
            <w:tcBorders>
              <w:top w:val="nil"/>
              <w:left w:val="nil"/>
              <w:bottom w:val="single" w:color="auto" w:sz="4" w:space="0"/>
              <w:right w:val="single" w:color="auto" w:sz="4" w:space="0"/>
            </w:tcBorders>
            <w:shd w:val="clear" w:color="auto" w:fill="auto"/>
            <w:vAlign w:val="center"/>
          </w:tcPr>
          <w:p w14:paraId="7C2AC8C9">
            <w:pPr>
              <w:widowControl/>
              <w:jc w:val="center"/>
              <w:rPr>
                <w:kern w:val="0"/>
                <w:szCs w:val="21"/>
              </w:rPr>
            </w:pPr>
            <w:r>
              <w:rPr>
                <w:rFonts w:hint="eastAsia"/>
                <w:kern w:val="0"/>
                <w:szCs w:val="21"/>
              </w:rPr>
              <w:t>10</w:t>
            </w:r>
          </w:p>
        </w:tc>
        <w:tc>
          <w:tcPr>
            <w:tcW w:w="1063" w:type="dxa"/>
            <w:tcBorders>
              <w:top w:val="nil"/>
              <w:left w:val="nil"/>
              <w:bottom w:val="single" w:color="auto" w:sz="4" w:space="0"/>
              <w:right w:val="single" w:color="auto" w:sz="4" w:space="0"/>
            </w:tcBorders>
            <w:shd w:val="clear" w:color="auto" w:fill="auto"/>
            <w:noWrap/>
            <w:vAlign w:val="center"/>
          </w:tcPr>
          <w:p w14:paraId="4D36E70A">
            <w:pPr>
              <w:widowControl/>
              <w:jc w:val="center"/>
              <w:rPr>
                <w:rFonts w:ascii="宋体" w:hAnsi="宋体" w:cs="宋体"/>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2B57B769">
            <w:pPr>
              <w:widowControl/>
              <w:jc w:val="center"/>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15649E7D">
            <w:pPr>
              <w:widowControl/>
              <w:jc w:val="left"/>
              <w:rPr>
                <w:rFonts w:ascii="宋体" w:hAnsi="宋体" w:cs="宋体"/>
                <w:kern w:val="0"/>
                <w:szCs w:val="21"/>
              </w:rPr>
            </w:pPr>
          </w:p>
        </w:tc>
      </w:tr>
      <w:tr w14:paraId="580581F2">
        <w:tblPrEx>
          <w:tblCellMar>
            <w:top w:w="0" w:type="dxa"/>
            <w:left w:w="108" w:type="dxa"/>
            <w:bottom w:w="0" w:type="dxa"/>
            <w:right w:w="108" w:type="dxa"/>
          </w:tblCellMar>
        </w:tblPrEx>
        <w:trPr>
          <w:trHeight w:val="9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032EDD5F">
            <w:pPr>
              <w:widowControl/>
              <w:jc w:val="center"/>
              <w:rPr>
                <w:kern w:val="0"/>
                <w:szCs w:val="21"/>
              </w:rPr>
            </w:pPr>
            <w:r>
              <w:rPr>
                <w:rFonts w:hint="eastAsia"/>
                <w:kern w:val="0"/>
                <w:szCs w:val="21"/>
              </w:rPr>
              <w:t>12</w:t>
            </w:r>
          </w:p>
        </w:tc>
        <w:tc>
          <w:tcPr>
            <w:tcW w:w="4050" w:type="dxa"/>
            <w:tcBorders>
              <w:top w:val="nil"/>
              <w:left w:val="nil"/>
              <w:bottom w:val="single" w:color="auto" w:sz="4" w:space="0"/>
              <w:right w:val="single" w:color="auto" w:sz="4" w:space="0"/>
            </w:tcBorders>
            <w:shd w:val="clear" w:color="auto" w:fill="auto"/>
            <w:noWrap/>
            <w:vAlign w:val="center"/>
          </w:tcPr>
          <w:p w14:paraId="0F109A52">
            <w:pPr>
              <w:widowControl/>
              <w:jc w:val="center"/>
              <w:rPr>
                <w:rFonts w:ascii="宋体" w:hAnsi="宋体" w:cs="宋体"/>
                <w:kern w:val="0"/>
                <w:szCs w:val="21"/>
              </w:rPr>
            </w:pPr>
            <w:r>
              <w:rPr>
                <w:rFonts w:hint="eastAsia" w:ascii="宋体" w:hAnsi="宋体" w:cs="宋体"/>
                <w:kern w:val="0"/>
                <w:szCs w:val="21"/>
              </w:rPr>
              <w:t>设备故障维修响应</w:t>
            </w:r>
          </w:p>
        </w:tc>
        <w:tc>
          <w:tcPr>
            <w:tcW w:w="912" w:type="dxa"/>
            <w:tcBorders>
              <w:top w:val="nil"/>
              <w:left w:val="nil"/>
              <w:bottom w:val="single" w:color="auto" w:sz="4" w:space="0"/>
              <w:right w:val="single" w:color="auto" w:sz="4" w:space="0"/>
            </w:tcBorders>
            <w:shd w:val="clear" w:color="auto" w:fill="auto"/>
            <w:vAlign w:val="center"/>
          </w:tcPr>
          <w:p w14:paraId="7D167697">
            <w:pPr>
              <w:widowControl/>
              <w:jc w:val="center"/>
              <w:rPr>
                <w:kern w:val="0"/>
                <w:szCs w:val="21"/>
              </w:rPr>
            </w:pPr>
            <w:r>
              <w:rPr>
                <w:rFonts w:hint="eastAsia"/>
                <w:kern w:val="0"/>
                <w:szCs w:val="21"/>
              </w:rPr>
              <w:t>5</w:t>
            </w:r>
          </w:p>
        </w:tc>
        <w:tc>
          <w:tcPr>
            <w:tcW w:w="1063" w:type="dxa"/>
            <w:tcBorders>
              <w:top w:val="nil"/>
              <w:left w:val="nil"/>
              <w:bottom w:val="single" w:color="auto" w:sz="4" w:space="0"/>
              <w:right w:val="single" w:color="auto" w:sz="4" w:space="0"/>
            </w:tcBorders>
            <w:shd w:val="clear" w:color="auto" w:fill="auto"/>
            <w:noWrap/>
            <w:vAlign w:val="center"/>
          </w:tcPr>
          <w:p w14:paraId="36D51CDC">
            <w:pPr>
              <w:widowControl/>
              <w:jc w:val="center"/>
              <w:rPr>
                <w:rFonts w:ascii="宋体" w:hAnsi="宋体" w:cs="宋体"/>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7D07BF4C">
            <w:pPr>
              <w:widowControl/>
              <w:jc w:val="center"/>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231815C0">
            <w:pPr>
              <w:widowControl/>
              <w:jc w:val="left"/>
              <w:rPr>
                <w:rFonts w:ascii="宋体" w:hAnsi="宋体" w:cs="宋体"/>
                <w:kern w:val="0"/>
                <w:szCs w:val="21"/>
              </w:rPr>
            </w:pPr>
          </w:p>
        </w:tc>
      </w:tr>
      <w:tr w14:paraId="7A118FB2">
        <w:tblPrEx>
          <w:tblCellMar>
            <w:top w:w="0" w:type="dxa"/>
            <w:left w:w="108" w:type="dxa"/>
            <w:bottom w:w="0" w:type="dxa"/>
            <w:right w:w="108" w:type="dxa"/>
          </w:tblCellMar>
        </w:tblPrEx>
        <w:trPr>
          <w:trHeight w:val="93"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11E63F52">
            <w:pPr>
              <w:widowControl/>
              <w:jc w:val="center"/>
              <w:rPr>
                <w:kern w:val="0"/>
                <w:szCs w:val="21"/>
              </w:rPr>
            </w:pPr>
            <w:r>
              <w:rPr>
                <w:rFonts w:hint="eastAsia"/>
                <w:kern w:val="0"/>
                <w:szCs w:val="21"/>
              </w:rPr>
              <w:t>13</w:t>
            </w:r>
          </w:p>
        </w:tc>
        <w:tc>
          <w:tcPr>
            <w:tcW w:w="4050" w:type="dxa"/>
            <w:tcBorders>
              <w:top w:val="nil"/>
              <w:left w:val="nil"/>
              <w:bottom w:val="single" w:color="auto" w:sz="4" w:space="0"/>
              <w:right w:val="single" w:color="auto" w:sz="4" w:space="0"/>
            </w:tcBorders>
            <w:shd w:val="clear" w:color="auto" w:fill="auto"/>
            <w:noWrap/>
            <w:vAlign w:val="center"/>
          </w:tcPr>
          <w:p w14:paraId="46E07CD6">
            <w:pPr>
              <w:widowControl/>
              <w:jc w:val="center"/>
              <w:rPr>
                <w:rFonts w:ascii="宋体" w:hAnsi="宋体" w:cs="宋体"/>
                <w:kern w:val="0"/>
                <w:szCs w:val="21"/>
              </w:rPr>
            </w:pPr>
            <w:r>
              <w:rPr>
                <w:rFonts w:hint="eastAsia" w:ascii="宋体" w:hAnsi="宋体" w:cs="宋体"/>
                <w:kern w:val="0"/>
                <w:szCs w:val="21"/>
              </w:rPr>
              <w:t>其他日常工作</w:t>
            </w:r>
          </w:p>
        </w:tc>
        <w:tc>
          <w:tcPr>
            <w:tcW w:w="912" w:type="dxa"/>
            <w:tcBorders>
              <w:top w:val="nil"/>
              <w:left w:val="nil"/>
              <w:bottom w:val="single" w:color="auto" w:sz="4" w:space="0"/>
              <w:right w:val="single" w:color="auto" w:sz="4" w:space="0"/>
            </w:tcBorders>
            <w:shd w:val="clear" w:color="auto" w:fill="auto"/>
            <w:vAlign w:val="center"/>
          </w:tcPr>
          <w:p w14:paraId="2D46B6BE">
            <w:pPr>
              <w:widowControl/>
              <w:jc w:val="center"/>
              <w:rPr>
                <w:kern w:val="0"/>
                <w:szCs w:val="21"/>
              </w:rPr>
            </w:pPr>
            <w:r>
              <w:rPr>
                <w:rFonts w:hint="eastAsia"/>
                <w:kern w:val="0"/>
                <w:szCs w:val="21"/>
              </w:rPr>
              <w:t>2</w:t>
            </w:r>
          </w:p>
        </w:tc>
        <w:tc>
          <w:tcPr>
            <w:tcW w:w="1063" w:type="dxa"/>
            <w:tcBorders>
              <w:top w:val="nil"/>
              <w:left w:val="nil"/>
              <w:bottom w:val="single" w:color="auto" w:sz="4" w:space="0"/>
              <w:right w:val="single" w:color="auto" w:sz="4" w:space="0"/>
            </w:tcBorders>
            <w:shd w:val="clear" w:color="auto" w:fill="auto"/>
            <w:noWrap/>
            <w:vAlign w:val="center"/>
          </w:tcPr>
          <w:p w14:paraId="4E63650B">
            <w:pPr>
              <w:widowControl/>
              <w:jc w:val="center"/>
              <w:rPr>
                <w:rFonts w:ascii="宋体" w:hAnsi="宋体" w:cs="宋体"/>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5B94A7E2">
            <w:pPr>
              <w:widowControl/>
              <w:jc w:val="center"/>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5E86129D">
            <w:pPr>
              <w:widowControl/>
              <w:jc w:val="left"/>
              <w:rPr>
                <w:rFonts w:ascii="宋体" w:hAnsi="宋体" w:cs="宋体"/>
                <w:kern w:val="0"/>
                <w:szCs w:val="21"/>
              </w:rPr>
            </w:pPr>
          </w:p>
        </w:tc>
      </w:tr>
      <w:tr w14:paraId="55B29A3B">
        <w:tblPrEx>
          <w:tblCellMar>
            <w:top w:w="0" w:type="dxa"/>
            <w:left w:w="108" w:type="dxa"/>
            <w:bottom w:w="0" w:type="dxa"/>
            <w:right w:w="108" w:type="dxa"/>
          </w:tblCellMar>
        </w:tblPrEx>
        <w:trPr>
          <w:trHeight w:val="90" w:hRule="atLeast"/>
        </w:trPr>
        <w:tc>
          <w:tcPr>
            <w:tcW w:w="47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079F32">
            <w:pPr>
              <w:widowControl/>
              <w:jc w:val="center"/>
              <w:rPr>
                <w:rFonts w:ascii="宋体" w:hAnsi="宋体" w:cs="宋体"/>
                <w:kern w:val="0"/>
                <w:szCs w:val="21"/>
              </w:rPr>
            </w:pPr>
            <w:r>
              <w:rPr>
                <w:rFonts w:hint="eastAsia" w:ascii="宋体" w:hAnsi="宋体" w:cs="宋体"/>
                <w:kern w:val="0"/>
                <w:szCs w:val="21"/>
              </w:rPr>
              <w:t>总   分</w:t>
            </w:r>
          </w:p>
        </w:tc>
        <w:tc>
          <w:tcPr>
            <w:tcW w:w="912" w:type="dxa"/>
            <w:tcBorders>
              <w:top w:val="nil"/>
              <w:left w:val="nil"/>
              <w:bottom w:val="single" w:color="auto" w:sz="4" w:space="0"/>
              <w:right w:val="single" w:color="auto" w:sz="4" w:space="0"/>
            </w:tcBorders>
            <w:shd w:val="clear" w:color="auto" w:fill="auto"/>
            <w:vAlign w:val="center"/>
          </w:tcPr>
          <w:p w14:paraId="5F2FC9D0">
            <w:pPr>
              <w:widowControl/>
              <w:jc w:val="center"/>
              <w:rPr>
                <w:kern w:val="0"/>
                <w:szCs w:val="21"/>
              </w:rPr>
            </w:pPr>
            <w:r>
              <w:rPr>
                <w:kern w:val="0"/>
                <w:szCs w:val="21"/>
              </w:rPr>
              <w:t>100</w:t>
            </w:r>
          </w:p>
        </w:tc>
        <w:tc>
          <w:tcPr>
            <w:tcW w:w="1063" w:type="dxa"/>
            <w:tcBorders>
              <w:top w:val="nil"/>
              <w:left w:val="nil"/>
              <w:bottom w:val="single" w:color="auto" w:sz="4" w:space="0"/>
              <w:right w:val="single" w:color="auto" w:sz="4" w:space="0"/>
            </w:tcBorders>
            <w:shd w:val="clear" w:color="auto" w:fill="auto"/>
            <w:noWrap/>
            <w:vAlign w:val="center"/>
          </w:tcPr>
          <w:p w14:paraId="5BE715A2">
            <w:pPr>
              <w:widowControl/>
              <w:jc w:val="center"/>
              <w:rPr>
                <w:rFonts w:ascii="宋体" w:hAnsi="宋体" w:cs="宋体"/>
                <w:kern w:val="0"/>
                <w:szCs w:val="21"/>
              </w:rPr>
            </w:pPr>
          </w:p>
        </w:tc>
        <w:tc>
          <w:tcPr>
            <w:tcW w:w="1400" w:type="dxa"/>
            <w:tcBorders>
              <w:top w:val="nil"/>
              <w:left w:val="nil"/>
              <w:bottom w:val="single" w:color="auto" w:sz="4" w:space="0"/>
              <w:right w:val="single" w:color="auto" w:sz="4" w:space="0"/>
            </w:tcBorders>
            <w:shd w:val="clear" w:color="auto" w:fill="auto"/>
            <w:noWrap/>
            <w:vAlign w:val="center"/>
          </w:tcPr>
          <w:p w14:paraId="24D84E59">
            <w:pPr>
              <w:widowControl/>
              <w:jc w:val="center"/>
              <w:rPr>
                <w:rFonts w:ascii="宋体" w:hAnsi="宋体" w:cs="宋体"/>
                <w:kern w:val="0"/>
                <w:szCs w:val="21"/>
              </w:rPr>
            </w:pPr>
          </w:p>
        </w:tc>
        <w:tc>
          <w:tcPr>
            <w:tcW w:w="967" w:type="dxa"/>
            <w:tcBorders>
              <w:top w:val="nil"/>
              <w:left w:val="nil"/>
              <w:bottom w:val="single" w:color="auto" w:sz="4" w:space="0"/>
              <w:right w:val="single" w:color="auto" w:sz="4" w:space="0"/>
            </w:tcBorders>
            <w:shd w:val="clear" w:color="auto" w:fill="auto"/>
            <w:vAlign w:val="center"/>
          </w:tcPr>
          <w:p w14:paraId="1AB0DD04">
            <w:pPr>
              <w:widowControl/>
              <w:jc w:val="left"/>
              <w:rPr>
                <w:rFonts w:ascii="宋体" w:hAnsi="宋体" w:cs="宋体"/>
                <w:kern w:val="0"/>
                <w:szCs w:val="21"/>
              </w:rPr>
            </w:pPr>
          </w:p>
        </w:tc>
      </w:tr>
    </w:tbl>
    <w:p w14:paraId="0CF33BEA">
      <w:pPr>
        <w:ind w:firstLine="630" w:firstLineChars="300"/>
        <w:rPr>
          <w:color w:val="FF0000"/>
        </w:rPr>
      </w:pPr>
      <w:r>
        <w:rPr>
          <w:rFonts w:hint="eastAsia"/>
        </w:rPr>
        <w:t>考评人员：                                考评时间：</w:t>
      </w:r>
    </w:p>
    <w:p w14:paraId="070D3CFB">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p>
    <w:p w14:paraId="26FDFB58">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 xml:space="preserve">第四条 </w:t>
      </w:r>
      <w:r>
        <w:rPr>
          <w:rFonts w:asciiTheme="minorEastAsia" w:hAnsiTheme="minorEastAsia" w:eastAsiaTheme="minorEastAsia"/>
          <w:b/>
          <w:color w:val="000000" w:themeColor="text1"/>
          <w:szCs w:val="21"/>
        </w:rPr>
        <w:t>技术资料</w:t>
      </w:r>
    </w:p>
    <w:p w14:paraId="440CFB99">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乙方应按招标文件规定的时间向甲方提供有关技术资料。</w:t>
      </w:r>
    </w:p>
    <w:p w14:paraId="6016B22C">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D60B699">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 xml:space="preserve">第五条 </w:t>
      </w:r>
      <w:r>
        <w:rPr>
          <w:rFonts w:asciiTheme="minorEastAsia" w:hAnsiTheme="minorEastAsia" w:eastAsiaTheme="minorEastAsia"/>
          <w:b/>
          <w:color w:val="000000" w:themeColor="text1"/>
          <w:szCs w:val="21"/>
        </w:rPr>
        <w:t>知识产权</w:t>
      </w:r>
    </w:p>
    <w:p w14:paraId="4E3653E6">
      <w:pPr>
        <w:pStyle w:val="26"/>
        <w:snapToGrid w:val="0"/>
        <w:spacing w:line="440" w:lineRule="exact"/>
        <w:ind w:right="42" w:rightChars="20" w:firstLine="420" w:firstLineChars="200"/>
        <w:jc w:val="left"/>
        <w:rPr>
          <w:rFonts w:asciiTheme="minorEastAsia" w:hAnsiTheme="minorEastAsia" w:eastAsiaTheme="minorEastAsia"/>
          <w:b/>
          <w:bCs/>
          <w:color w:val="000000" w:themeColor="text1"/>
          <w:szCs w:val="21"/>
        </w:rPr>
      </w:pPr>
      <w:r>
        <w:rPr>
          <w:rFonts w:asciiTheme="minorEastAsia" w:hAnsiTheme="minorEastAsia" w:eastAsiaTheme="minorEastAsia"/>
          <w:color w:val="000000" w:themeColor="text1"/>
          <w:szCs w:val="21"/>
        </w:rPr>
        <w:t>乙方应保证提供服务过程中不会侵犯任何第三方的知识产权</w:t>
      </w:r>
      <w:r>
        <w:rPr>
          <w:rFonts w:asciiTheme="minorEastAsia" w:hAnsiTheme="minorEastAsia" w:eastAsiaTheme="minorEastAsia"/>
          <w:bCs/>
          <w:color w:val="000000" w:themeColor="text1"/>
          <w:szCs w:val="21"/>
        </w:rPr>
        <w:t>。</w:t>
      </w:r>
    </w:p>
    <w:p w14:paraId="3E2A05C2">
      <w:pPr>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第六条 税费</w:t>
      </w:r>
    </w:p>
    <w:p w14:paraId="56E7624C">
      <w:pPr>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本合同执行中相关的一切税费均由</w:t>
      </w:r>
      <w:r>
        <w:rPr>
          <w:rFonts w:asciiTheme="minorEastAsia" w:hAnsiTheme="minorEastAsia" w:eastAsiaTheme="minorEastAsia"/>
          <w:color w:val="000000" w:themeColor="text1"/>
          <w:szCs w:val="21"/>
        </w:rPr>
        <w:t>乙</w:t>
      </w:r>
      <w:r>
        <w:rPr>
          <w:rFonts w:hint="eastAsia" w:asciiTheme="minorEastAsia" w:hAnsiTheme="minorEastAsia" w:eastAsiaTheme="minorEastAsia"/>
          <w:color w:val="000000" w:themeColor="text1"/>
          <w:szCs w:val="21"/>
        </w:rPr>
        <w:t>方负担。</w:t>
      </w:r>
    </w:p>
    <w:p w14:paraId="1B00E716">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 xml:space="preserve">第七条 </w:t>
      </w:r>
      <w:r>
        <w:rPr>
          <w:rFonts w:asciiTheme="minorEastAsia" w:hAnsiTheme="minorEastAsia" w:eastAsiaTheme="minorEastAsia"/>
          <w:b/>
          <w:color w:val="000000" w:themeColor="text1"/>
          <w:szCs w:val="21"/>
        </w:rPr>
        <w:t>违约责任</w:t>
      </w:r>
    </w:p>
    <w:p w14:paraId="13DBC0B6">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r>
        <w:rPr>
          <w:rFonts w:asciiTheme="minorEastAsia" w:hAnsiTheme="minorEastAsia" w:eastAsiaTheme="minorEastAsia"/>
          <w:color w:val="000000" w:themeColor="text1"/>
          <w:szCs w:val="21"/>
        </w:rPr>
        <w:t>甲方无正当理由拒收接受服务的，甲方向乙方偿付合同款项百分之五作为违约金。</w:t>
      </w:r>
    </w:p>
    <w:p w14:paraId="6AF8A2FF">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甲方无故逾期验收和办理款项支付手续的,甲方应按逾期付款总额每日万分之五向乙方支付违约金。</w:t>
      </w:r>
    </w:p>
    <w:p w14:paraId="514FE88B">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乙方</w:t>
      </w:r>
      <w:r>
        <w:rPr>
          <w:rFonts w:hint="eastAsia" w:asciiTheme="minorEastAsia" w:hAnsiTheme="minorEastAsia" w:eastAsiaTheme="minorEastAsia"/>
          <w:color w:val="000000" w:themeColor="text1"/>
          <w:szCs w:val="21"/>
        </w:rPr>
        <w:t>未能如</w:t>
      </w:r>
      <w:r>
        <w:rPr>
          <w:rFonts w:asciiTheme="minorEastAsia" w:hAnsiTheme="minorEastAsia" w:eastAsiaTheme="minorEastAsia"/>
          <w:color w:val="000000" w:themeColor="text1"/>
          <w:szCs w:val="21"/>
        </w:rPr>
        <w:t>期提供服务的，每日向甲方支付</w:t>
      </w:r>
      <w:r>
        <w:rPr>
          <w:rFonts w:hint="eastAsia" w:asciiTheme="minorEastAsia" w:hAnsiTheme="minorEastAsia" w:eastAsiaTheme="minorEastAsia"/>
          <w:color w:val="000000" w:themeColor="text1"/>
          <w:szCs w:val="21"/>
        </w:rPr>
        <w:t>合同款项的</w:t>
      </w:r>
      <w:r>
        <w:rPr>
          <w:rFonts w:asciiTheme="minorEastAsia" w:hAnsiTheme="minorEastAsia" w:eastAsiaTheme="minorEastAsia"/>
          <w:color w:val="000000" w:themeColor="text1"/>
          <w:szCs w:val="21"/>
        </w:rPr>
        <w:t>千分之六</w:t>
      </w:r>
      <w:r>
        <w:rPr>
          <w:rFonts w:hint="eastAsia" w:asciiTheme="minorEastAsia" w:hAnsiTheme="minorEastAsia" w:eastAsiaTheme="minorEastAsia"/>
          <w:color w:val="000000" w:themeColor="text1"/>
          <w:szCs w:val="21"/>
        </w:rPr>
        <w:t>作为</w:t>
      </w:r>
      <w:r>
        <w:rPr>
          <w:rFonts w:asciiTheme="minorEastAsia" w:hAnsiTheme="minorEastAsia" w:eastAsiaTheme="minorEastAsia"/>
          <w:color w:val="000000" w:themeColor="text1"/>
          <w:szCs w:val="21"/>
        </w:rPr>
        <w:t>违约金。乙方超过约定日期10个工作日</w:t>
      </w:r>
      <w:r>
        <w:rPr>
          <w:rFonts w:hint="eastAsia" w:asciiTheme="minorEastAsia" w:hAnsiTheme="minorEastAsia" w:eastAsiaTheme="minorEastAsia"/>
          <w:color w:val="000000" w:themeColor="text1"/>
          <w:szCs w:val="21"/>
        </w:rPr>
        <w:t>仍</w:t>
      </w:r>
      <w:r>
        <w:rPr>
          <w:rFonts w:asciiTheme="minorEastAsia" w:hAnsiTheme="minorEastAsia" w:eastAsiaTheme="minorEastAsia"/>
          <w:color w:val="000000" w:themeColor="text1"/>
          <w:szCs w:val="21"/>
        </w:rPr>
        <w:t>不能</w:t>
      </w:r>
      <w:r>
        <w:rPr>
          <w:rFonts w:hint="eastAsia" w:asciiTheme="minorEastAsia" w:hAnsiTheme="minorEastAsia" w:eastAsiaTheme="minorEastAsia"/>
          <w:color w:val="000000" w:themeColor="text1"/>
          <w:szCs w:val="21"/>
        </w:rPr>
        <w:t>提供服务</w:t>
      </w:r>
      <w:r>
        <w:rPr>
          <w:rFonts w:asciiTheme="minorEastAsia" w:hAnsiTheme="minorEastAsia" w:eastAsiaTheme="minorEastAsia"/>
          <w:color w:val="000000" w:themeColor="text1"/>
          <w:szCs w:val="21"/>
        </w:rPr>
        <w:t>的，甲方可解除本合同。乙方因</w:t>
      </w:r>
      <w:r>
        <w:rPr>
          <w:rFonts w:hint="eastAsia" w:asciiTheme="minorEastAsia" w:hAnsiTheme="minorEastAsia" w:eastAsiaTheme="minorEastAsia"/>
          <w:color w:val="000000" w:themeColor="text1"/>
          <w:szCs w:val="21"/>
        </w:rPr>
        <w:t>未能如</w:t>
      </w:r>
      <w:r>
        <w:rPr>
          <w:rFonts w:asciiTheme="minorEastAsia" w:hAnsiTheme="minorEastAsia" w:eastAsiaTheme="minorEastAsia"/>
          <w:color w:val="000000" w:themeColor="text1"/>
          <w:szCs w:val="21"/>
        </w:rPr>
        <w:t xml:space="preserve">期提供服务或因其他违约行为导致甲方解除合同的，乙方应向甲方支付合同总值5%的违约金，如造成甲方损失超过违约金的，超出部分由乙方继续承担赔偿责任。 </w:t>
      </w:r>
    </w:p>
    <w:p w14:paraId="0689181F">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 xml:space="preserve">第八条 </w:t>
      </w:r>
      <w:r>
        <w:rPr>
          <w:rFonts w:asciiTheme="minorEastAsia" w:hAnsiTheme="minorEastAsia" w:eastAsiaTheme="minorEastAsia"/>
          <w:b/>
          <w:color w:val="000000" w:themeColor="text1"/>
          <w:szCs w:val="21"/>
        </w:rPr>
        <w:t>不可抗力事件处理</w:t>
      </w:r>
    </w:p>
    <w:p w14:paraId="5510C4C7">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在合同有效期内，任何一方因不可抗力事件导致不能履行合同，则合同履行期可延长，其延长期与不可抗力影响期相同。</w:t>
      </w:r>
    </w:p>
    <w:p w14:paraId="071B43E4">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、不</w:t>
      </w:r>
      <w:r>
        <w:rPr>
          <w:rFonts w:asciiTheme="minorEastAsia" w:hAnsiTheme="minorEastAsia" w:eastAsiaTheme="minorEastAsia"/>
          <w:color w:val="000000" w:themeColor="text1"/>
          <w:szCs w:val="21"/>
        </w:rPr>
        <w:t>可抗力事件发生后，应立即通知对方，并寄送有关权威机构出具的证明。</w:t>
      </w:r>
    </w:p>
    <w:p w14:paraId="4B01A275">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不可抗力事件延续120天以上，双方应通过友好协商，确定是否继续履行合同。</w:t>
      </w:r>
    </w:p>
    <w:p w14:paraId="4CF886D9">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 xml:space="preserve">第九条 </w:t>
      </w:r>
      <w:r>
        <w:rPr>
          <w:rFonts w:asciiTheme="minorEastAsia" w:hAnsiTheme="minorEastAsia" w:eastAsiaTheme="minorEastAsia"/>
          <w:b/>
          <w:color w:val="000000" w:themeColor="text1"/>
          <w:szCs w:val="21"/>
        </w:rPr>
        <w:t>诉讼</w:t>
      </w:r>
    </w:p>
    <w:p w14:paraId="4E389A05">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双方在执行合同中所发生的一切争议，应通过协商解决。如协商不成，可向</w:t>
      </w:r>
      <w:r>
        <w:rPr>
          <w:rFonts w:hint="eastAsia" w:asciiTheme="minorEastAsia" w:hAnsiTheme="minorEastAsia" w:eastAsiaTheme="minorEastAsia"/>
          <w:color w:val="000000" w:themeColor="text1"/>
          <w:szCs w:val="21"/>
        </w:rPr>
        <w:t>甲方所在</w:t>
      </w:r>
      <w:r>
        <w:rPr>
          <w:rFonts w:asciiTheme="minorEastAsia" w:hAnsiTheme="minorEastAsia" w:eastAsiaTheme="minorEastAsia"/>
          <w:color w:val="000000" w:themeColor="text1"/>
          <w:szCs w:val="21"/>
        </w:rPr>
        <w:t>地法院起诉。</w:t>
      </w:r>
    </w:p>
    <w:p w14:paraId="232E4488">
      <w:pPr>
        <w:pStyle w:val="26"/>
        <w:snapToGrid w:val="0"/>
        <w:spacing w:line="440" w:lineRule="exact"/>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 xml:space="preserve">第十条 </w:t>
      </w:r>
      <w:r>
        <w:rPr>
          <w:rFonts w:asciiTheme="minorEastAsia" w:hAnsiTheme="minorEastAsia" w:eastAsiaTheme="minorEastAsia"/>
          <w:b/>
          <w:color w:val="000000" w:themeColor="text1"/>
          <w:szCs w:val="21"/>
        </w:rPr>
        <w:t>合同生效及其它</w:t>
      </w:r>
    </w:p>
    <w:p w14:paraId="78A7EF16">
      <w:pPr>
        <w:autoSpaceDE w:val="0"/>
        <w:autoSpaceDN w:val="0"/>
        <w:adjustRightIn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合同经双方法定代表人或授权委托代理人签字并加盖单位公章后生效。</w:t>
      </w:r>
    </w:p>
    <w:p w14:paraId="2BC6C456">
      <w:pPr>
        <w:autoSpaceDE w:val="0"/>
        <w:autoSpaceDN w:val="0"/>
        <w:adjustRightIn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本合同未尽事宜，遵照《</w:t>
      </w:r>
      <w:r>
        <w:rPr>
          <w:rFonts w:asciiTheme="minorEastAsia" w:hAnsiTheme="minorEastAsia" w:eastAsiaTheme="minorEastAsia"/>
          <w:color w:val="000000" w:themeColor="text1"/>
          <w:kern w:val="0"/>
          <w:szCs w:val="21"/>
        </w:rPr>
        <w:t>中华人民共和国政府</w:t>
      </w:r>
      <w:r>
        <w:rPr>
          <w:rFonts w:asciiTheme="minorEastAsia" w:hAnsiTheme="minorEastAsia" w:eastAsiaTheme="minorEastAsia"/>
          <w:color w:val="000000" w:themeColor="text1"/>
          <w:szCs w:val="21"/>
        </w:rPr>
        <w:t>合同法》有关条文执行。</w:t>
      </w:r>
    </w:p>
    <w:p w14:paraId="5E28DC14">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p>
    <w:p w14:paraId="3A6A4A23">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p>
    <w:p w14:paraId="7A918E32">
      <w:pPr>
        <w:pStyle w:val="26"/>
        <w:snapToGrid w:val="0"/>
        <w:spacing w:line="440" w:lineRule="exact"/>
        <w:ind w:right="42" w:rightChars="20" w:firstLine="630" w:firstLineChars="3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 xml:space="preserve">甲方：             </w:t>
      </w:r>
      <w:r>
        <w:rPr>
          <w:rFonts w:hint="eastAsia" w:asciiTheme="minorEastAsia" w:hAnsiTheme="minorEastAsia" w:eastAsiaTheme="minorEastAsia"/>
          <w:color w:val="000000" w:themeColor="text1"/>
          <w:szCs w:val="21"/>
        </w:rPr>
        <w:t xml:space="preserve">                </w:t>
      </w:r>
      <w:r>
        <w:rPr>
          <w:rFonts w:asciiTheme="minorEastAsia" w:hAnsiTheme="minorEastAsia" w:eastAsiaTheme="minorEastAsia"/>
          <w:color w:val="000000" w:themeColor="text1"/>
          <w:szCs w:val="21"/>
        </w:rPr>
        <w:t xml:space="preserve">乙方： </w:t>
      </w:r>
    </w:p>
    <w:p w14:paraId="133BA361">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 xml:space="preserve">  地址：           </w:t>
      </w:r>
      <w:r>
        <w:rPr>
          <w:rFonts w:hint="eastAsia" w:asciiTheme="minorEastAsia" w:hAnsiTheme="minorEastAsia" w:eastAsiaTheme="minorEastAsia"/>
          <w:color w:val="000000" w:themeColor="text1"/>
          <w:szCs w:val="21"/>
        </w:rPr>
        <w:t xml:space="preserve">                  </w:t>
      </w:r>
      <w:r>
        <w:rPr>
          <w:rFonts w:asciiTheme="minorEastAsia" w:hAnsiTheme="minorEastAsia" w:eastAsiaTheme="minorEastAsia"/>
          <w:color w:val="000000" w:themeColor="text1"/>
          <w:szCs w:val="21"/>
        </w:rPr>
        <w:t xml:space="preserve">地址： </w:t>
      </w:r>
    </w:p>
    <w:p w14:paraId="6A39FF5D">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 xml:space="preserve">  法定</w:t>
      </w:r>
      <w:r>
        <w:rPr>
          <w:rFonts w:hint="eastAsia" w:asciiTheme="minorEastAsia" w:hAnsiTheme="minorEastAsia" w:eastAsiaTheme="minorEastAsia"/>
          <w:color w:val="000000" w:themeColor="text1"/>
          <w:szCs w:val="21"/>
        </w:rPr>
        <w:t>（授权）</w:t>
      </w:r>
      <w:r>
        <w:rPr>
          <w:rFonts w:asciiTheme="minorEastAsia" w:hAnsiTheme="minorEastAsia" w:eastAsiaTheme="minorEastAsia"/>
          <w:color w:val="000000" w:themeColor="text1"/>
          <w:szCs w:val="21"/>
        </w:rPr>
        <w:t>代表人：               法定</w:t>
      </w:r>
      <w:r>
        <w:rPr>
          <w:rFonts w:hint="eastAsia" w:asciiTheme="minorEastAsia" w:hAnsiTheme="minorEastAsia" w:eastAsiaTheme="minorEastAsia"/>
          <w:color w:val="000000" w:themeColor="text1"/>
          <w:szCs w:val="21"/>
        </w:rPr>
        <w:t>（授权）</w:t>
      </w:r>
      <w:r>
        <w:rPr>
          <w:rFonts w:asciiTheme="minorEastAsia" w:hAnsiTheme="minorEastAsia" w:eastAsiaTheme="minorEastAsia"/>
          <w:color w:val="000000" w:themeColor="text1"/>
          <w:szCs w:val="21"/>
        </w:rPr>
        <w:t>代表人：</w:t>
      </w:r>
    </w:p>
    <w:p w14:paraId="7A261EE2">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联系电话：</w:t>
      </w:r>
    </w:p>
    <w:p w14:paraId="4F297940">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开户银行：</w:t>
      </w:r>
    </w:p>
    <w:p w14:paraId="26F99AD5">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银行账号：</w:t>
      </w:r>
    </w:p>
    <w:p w14:paraId="005602B9">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 xml:space="preserve">  签</w:t>
      </w:r>
      <w:r>
        <w:rPr>
          <w:rFonts w:hint="eastAsia" w:asciiTheme="minorEastAsia" w:hAnsiTheme="minorEastAsia" w:eastAsiaTheme="minorEastAsia"/>
          <w:color w:val="000000" w:themeColor="text1"/>
          <w:szCs w:val="21"/>
        </w:rPr>
        <w:t>字日期</w:t>
      </w:r>
      <w:r>
        <w:rPr>
          <w:rFonts w:asciiTheme="minorEastAsia" w:hAnsiTheme="minorEastAsia" w:eastAsiaTheme="minorEastAsia"/>
          <w:color w:val="000000" w:themeColor="text1"/>
          <w:szCs w:val="21"/>
        </w:rPr>
        <w:t xml:space="preserve">：    年  月  日 </w:t>
      </w:r>
      <w:r>
        <w:rPr>
          <w:rFonts w:hint="eastAsia" w:asciiTheme="minorEastAsia" w:hAnsiTheme="minorEastAsia" w:eastAsiaTheme="minorEastAsia"/>
          <w:color w:val="000000" w:themeColor="text1"/>
          <w:szCs w:val="21"/>
        </w:rPr>
        <w:t xml:space="preserve">           </w:t>
      </w:r>
      <w:r>
        <w:rPr>
          <w:rFonts w:asciiTheme="minorEastAsia" w:hAnsiTheme="minorEastAsia" w:eastAsiaTheme="minorEastAsia"/>
          <w:color w:val="000000" w:themeColor="text1"/>
          <w:szCs w:val="21"/>
        </w:rPr>
        <w:t>签</w:t>
      </w:r>
      <w:r>
        <w:rPr>
          <w:rFonts w:hint="eastAsia" w:asciiTheme="minorEastAsia" w:hAnsiTheme="minorEastAsia" w:eastAsiaTheme="minorEastAsia"/>
          <w:color w:val="000000" w:themeColor="text1"/>
          <w:szCs w:val="21"/>
        </w:rPr>
        <w:t>字</w:t>
      </w:r>
      <w:r>
        <w:rPr>
          <w:rFonts w:asciiTheme="minorEastAsia" w:hAnsiTheme="minorEastAsia" w:eastAsiaTheme="minorEastAsia"/>
          <w:color w:val="000000" w:themeColor="text1"/>
          <w:szCs w:val="21"/>
        </w:rPr>
        <w:t>日期：   年  月  日</w:t>
      </w:r>
    </w:p>
    <w:p w14:paraId="6F616F03">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p>
    <w:p w14:paraId="09D544C3">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鉴证单位：</w:t>
      </w:r>
    </w:p>
    <w:p w14:paraId="31189CAA">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法定</w:t>
      </w:r>
      <w:r>
        <w:rPr>
          <w:rFonts w:hint="eastAsia" w:asciiTheme="minorEastAsia" w:hAnsiTheme="minorEastAsia" w:eastAsiaTheme="minorEastAsia"/>
          <w:color w:val="000000" w:themeColor="text1"/>
          <w:szCs w:val="21"/>
        </w:rPr>
        <w:t>（授权）</w:t>
      </w:r>
      <w:r>
        <w:rPr>
          <w:rFonts w:asciiTheme="minorEastAsia" w:hAnsiTheme="minorEastAsia" w:eastAsiaTheme="minorEastAsia"/>
          <w:color w:val="000000" w:themeColor="text1"/>
          <w:szCs w:val="21"/>
        </w:rPr>
        <w:t>代表人：</w:t>
      </w:r>
    </w:p>
    <w:p w14:paraId="58A7F737">
      <w:pPr>
        <w:pStyle w:val="26"/>
        <w:snapToGrid w:val="0"/>
        <w:spacing w:line="440" w:lineRule="exact"/>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签</w:t>
      </w:r>
      <w:r>
        <w:rPr>
          <w:rFonts w:hint="eastAsia" w:asciiTheme="minorEastAsia" w:hAnsiTheme="minorEastAsia" w:eastAsiaTheme="minorEastAsia"/>
          <w:color w:val="000000" w:themeColor="text1"/>
          <w:szCs w:val="21"/>
        </w:rPr>
        <w:t>字日期</w:t>
      </w:r>
      <w:r>
        <w:rPr>
          <w:rFonts w:asciiTheme="minorEastAsia" w:hAnsiTheme="minorEastAsia" w:eastAsiaTheme="minorEastAsia"/>
          <w:color w:val="000000" w:themeColor="text1"/>
          <w:szCs w:val="21"/>
        </w:rPr>
        <w:t>：    年  月  日</w:t>
      </w:r>
    </w:p>
    <w:p w14:paraId="37F79D3A">
      <w:pPr>
        <w:pStyle w:val="154"/>
        <w:ind w:right="42" w:rightChars="20"/>
        <w:rPr>
          <w:rFonts w:asciiTheme="minorEastAsia" w:hAnsiTheme="minorEastAsia" w:eastAsiaTheme="minorEastAsia"/>
          <w:color w:val="000000" w:themeColor="text1"/>
        </w:rPr>
      </w:pPr>
      <w:r>
        <w:rPr>
          <w:rFonts w:asciiTheme="minorEastAsia" w:hAnsiTheme="minorEastAsia" w:eastAsiaTheme="minorEastAsia"/>
          <w:color w:val="000000" w:themeColor="text1"/>
        </w:rPr>
        <w:br w:type="page"/>
      </w:r>
      <w:bookmarkEnd w:id="376"/>
      <w:bookmarkStart w:id="389" w:name="_Toc493511828"/>
    </w:p>
    <w:p w14:paraId="2B6B4355">
      <w:pPr>
        <w:pStyle w:val="2"/>
        <w:jc w:val="center"/>
        <w:rPr>
          <w:sz w:val="36"/>
          <w:szCs w:val="36"/>
        </w:rPr>
      </w:pPr>
      <w:bookmarkStart w:id="390" w:name="_Toc17379"/>
      <w:r>
        <w:rPr>
          <w:rFonts w:hint="eastAsia"/>
          <w:sz w:val="36"/>
          <w:szCs w:val="36"/>
        </w:rPr>
        <w:t>第六章　投标文件相关格式</w:t>
      </w:r>
      <w:bookmarkEnd w:id="389"/>
      <w:bookmarkEnd w:id="390"/>
    </w:p>
    <w:p w14:paraId="495ED720">
      <w:pPr>
        <w:spacing w:line="360" w:lineRule="auto"/>
        <w:ind w:right="42" w:rightChars="20" w:firstLine="420" w:firstLineChars="200"/>
        <w:jc w:val="left"/>
        <w:rPr>
          <w:rFonts w:asciiTheme="minorEastAsia" w:hAnsiTheme="minorEastAsia" w:eastAsiaTheme="minorEastAsia"/>
          <w:color w:val="000000" w:themeColor="text1"/>
          <w:szCs w:val="21"/>
        </w:rPr>
      </w:pPr>
    </w:p>
    <w:p w14:paraId="15C2A01C">
      <w:pPr>
        <w:spacing w:line="360" w:lineRule="auto"/>
        <w:ind w:right="42" w:rightChars="20"/>
        <w:jc w:val="center"/>
        <w:rPr>
          <w:rFonts w:hint="eastAsia" w:asciiTheme="minorEastAsia" w:hAnsiTheme="minorEastAsia" w:eastAsiaTheme="minorEastAsia"/>
          <w:b/>
          <w:color w:val="000000" w:themeColor="text1"/>
          <w:sz w:val="24"/>
          <w:lang w:eastAsia="zh-CN"/>
        </w:rPr>
      </w:pPr>
      <w:bookmarkStart w:id="391" w:name="_Toc50012909"/>
      <w:bookmarkStart w:id="392" w:name="_Toc430786287"/>
      <w:r>
        <w:rPr>
          <w:rFonts w:hint="eastAsia" w:asciiTheme="minorEastAsia" w:hAnsiTheme="minorEastAsia" w:eastAsiaTheme="minorEastAsia"/>
          <w:b/>
          <w:color w:val="000000" w:themeColor="text1"/>
          <w:sz w:val="24"/>
          <w:lang w:eastAsia="zh-CN"/>
        </w:rPr>
        <w:t>秀洲区2025年水文测站标准化运行管理及维护项目</w:t>
      </w:r>
    </w:p>
    <w:p w14:paraId="069F261F">
      <w:pPr>
        <w:spacing w:line="360" w:lineRule="auto"/>
        <w:ind w:right="42" w:rightChars="20"/>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资格投标文件/商务技术文件/报价文件</w:t>
      </w:r>
      <w:bookmarkEnd w:id="391"/>
    </w:p>
    <w:p w14:paraId="2E1B5538">
      <w:pPr>
        <w:spacing w:line="360" w:lineRule="auto"/>
        <w:ind w:right="42" w:rightChars="20"/>
        <w:jc w:val="center"/>
        <w:rPr>
          <w:rFonts w:asciiTheme="minorEastAsia" w:hAnsiTheme="minorEastAsia" w:eastAsiaTheme="minorEastAsia"/>
          <w:b/>
          <w:color w:val="000000" w:themeColor="text1"/>
          <w:sz w:val="24"/>
        </w:rPr>
      </w:pPr>
      <w:bookmarkStart w:id="393" w:name="_Toc50012910"/>
      <w:r>
        <w:rPr>
          <w:rFonts w:hint="eastAsia" w:asciiTheme="minorEastAsia" w:hAnsiTheme="minorEastAsia" w:eastAsiaTheme="minorEastAsia"/>
          <w:b/>
          <w:color w:val="000000" w:themeColor="text1"/>
          <w:sz w:val="24"/>
        </w:rPr>
        <w:t>项目编号：</w:t>
      </w:r>
      <w:bookmarkEnd w:id="393"/>
    </w:p>
    <w:p w14:paraId="3A4F74F7">
      <w:pPr>
        <w:spacing w:line="360" w:lineRule="auto"/>
        <w:ind w:right="42" w:rightChars="20"/>
        <w:jc w:val="center"/>
        <w:rPr>
          <w:rFonts w:asciiTheme="minorEastAsia" w:hAnsiTheme="minorEastAsia" w:eastAsiaTheme="minorEastAsia"/>
          <w:b/>
          <w:color w:val="000000" w:themeColor="text1"/>
          <w:sz w:val="24"/>
        </w:rPr>
      </w:pPr>
    </w:p>
    <w:p w14:paraId="56EB5AF7">
      <w:pPr>
        <w:spacing w:line="360" w:lineRule="auto"/>
        <w:ind w:right="42" w:rightChars="20"/>
        <w:jc w:val="center"/>
        <w:rPr>
          <w:rFonts w:asciiTheme="minorEastAsia" w:hAnsiTheme="minorEastAsia" w:eastAsiaTheme="minorEastAsia"/>
          <w:b/>
          <w:color w:val="000000" w:themeColor="text1"/>
          <w:sz w:val="24"/>
        </w:rPr>
      </w:pPr>
    </w:p>
    <w:p w14:paraId="1A02F80D">
      <w:pPr>
        <w:spacing w:line="360" w:lineRule="auto"/>
        <w:ind w:right="42" w:rightChars="20"/>
        <w:jc w:val="center"/>
        <w:rPr>
          <w:rFonts w:asciiTheme="minorEastAsia" w:hAnsiTheme="minorEastAsia" w:eastAsiaTheme="minorEastAsia"/>
          <w:b/>
          <w:color w:val="000000" w:themeColor="text1"/>
          <w:sz w:val="24"/>
        </w:rPr>
      </w:pPr>
      <w:bookmarkStart w:id="394" w:name="_Toc50012911"/>
      <w:r>
        <w:rPr>
          <w:rFonts w:hint="eastAsia" w:asciiTheme="minorEastAsia" w:hAnsiTheme="minorEastAsia" w:eastAsiaTheme="minorEastAsia"/>
          <w:b/>
          <w:color w:val="000000" w:themeColor="text1"/>
          <w:sz w:val="24"/>
        </w:rPr>
        <w:t>投</w:t>
      </w:r>
      <w:bookmarkEnd w:id="394"/>
    </w:p>
    <w:p w14:paraId="58E6B280">
      <w:pPr>
        <w:spacing w:line="360" w:lineRule="auto"/>
        <w:ind w:right="42" w:rightChars="20"/>
        <w:jc w:val="center"/>
        <w:rPr>
          <w:rFonts w:asciiTheme="minorEastAsia" w:hAnsiTheme="minorEastAsia" w:eastAsiaTheme="minorEastAsia"/>
          <w:b/>
          <w:color w:val="000000" w:themeColor="text1"/>
          <w:sz w:val="24"/>
        </w:rPr>
      </w:pPr>
      <w:bookmarkStart w:id="395" w:name="_Toc50012912"/>
      <w:r>
        <w:rPr>
          <w:rFonts w:hint="eastAsia" w:asciiTheme="minorEastAsia" w:hAnsiTheme="minorEastAsia" w:eastAsiaTheme="minorEastAsia"/>
          <w:b/>
          <w:color w:val="000000" w:themeColor="text1"/>
          <w:sz w:val="24"/>
        </w:rPr>
        <w:t>标</w:t>
      </w:r>
      <w:bookmarkEnd w:id="395"/>
    </w:p>
    <w:p w14:paraId="43F53D58">
      <w:pPr>
        <w:spacing w:line="360" w:lineRule="auto"/>
        <w:ind w:right="42" w:rightChars="20"/>
        <w:jc w:val="center"/>
        <w:rPr>
          <w:rFonts w:asciiTheme="minorEastAsia" w:hAnsiTheme="minorEastAsia" w:eastAsiaTheme="minorEastAsia"/>
          <w:b/>
          <w:color w:val="000000" w:themeColor="text1"/>
          <w:sz w:val="24"/>
        </w:rPr>
      </w:pPr>
      <w:bookmarkStart w:id="396" w:name="_Toc50012913"/>
      <w:r>
        <w:rPr>
          <w:rFonts w:hint="eastAsia" w:asciiTheme="minorEastAsia" w:hAnsiTheme="minorEastAsia" w:eastAsiaTheme="minorEastAsia"/>
          <w:b/>
          <w:color w:val="000000" w:themeColor="text1"/>
          <w:sz w:val="24"/>
        </w:rPr>
        <w:t>文</w:t>
      </w:r>
      <w:bookmarkEnd w:id="396"/>
    </w:p>
    <w:p w14:paraId="4C088096">
      <w:pPr>
        <w:spacing w:line="360" w:lineRule="auto"/>
        <w:ind w:right="42" w:rightChars="20"/>
        <w:jc w:val="center"/>
        <w:rPr>
          <w:rFonts w:asciiTheme="minorEastAsia" w:hAnsiTheme="minorEastAsia" w:eastAsiaTheme="minorEastAsia"/>
          <w:b/>
          <w:color w:val="000000" w:themeColor="text1"/>
          <w:sz w:val="24"/>
        </w:rPr>
      </w:pPr>
      <w:bookmarkStart w:id="397" w:name="_Toc50012914"/>
      <w:r>
        <w:rPr>
          <w:rFonts w:hint="eastAsia" w:asciiTheme="minorEastAsia" w:hAnsiTheme="minorEastAsia" w:eastAsiaTheme="minorEastAsia"/>
          <w:b/>
          <w:color w:val="000000" w:themeColor="text1"/>
          <w:sz w:val="24"/>
        </w:rPr>
        <w:t>件</w:t>
      </w:r>
      <w:bookmarkEnd w:id="397"/>
    </w:p>
    <w:p w14:paraId="196FC452">
      <w:pPr>
        <w:spacing w:line="360" w:lineRule="auto"/>
        <w:ind w:right="42" w:rightChars="20"/>
        <w:rPr>
          <w:rFonts w:asciiTheme="minorEastAsia" w:hAnsiTheme="minorEastAsia" w:eastAsiaTheme="minorEastAsia"/>
          <w:b/>
          <w:color w:val="000000" w:themeColor="text1"/>
          <w:sz w:val="24"/>
        </w:rPr>
      </w:pPr>
    </w:p>
    <w:p w14:paraId="1B05FA2E">
      <w:pPr>
        <w:spacing w:line="360" w:lineRule="auto"/>
        <w:ind w:right="42" w:rightChars="20"/>
        <w:rPr>
          <w:rFonts w:asciiTheme="minorEastAsia" w:hAnsiTheme="minorEastAsia" w:eastAsiaTheme="minorEastAsia"/>
          <w:b/>
          <w:color w:val="000000" w:themeColor="text1"/>
          <w:sz w:val="24"/>
        </w:rPr>
      </w:pPr>
    </w:p>
    <w:p w14:paraId="0D8F1FAC">
      <w:pPr>
        <w:spacing w:line="360" w:lineRule="auto"/>
        <w:ind w:right="42" w:rightChars="20"/>
        <w:rPr>
          <w:rFonts w:asciiTheme="minorEastAsia" w:hAnsiTheme="minorEastAsia" w:eastAsiaTheme="minorEastAsia"/>
          <w:b/>
          <w:color w:val="000000" w:themeColor="text1"/>
          <w:sz w:val="24"/>
        </w:rPr>
      </w:pPr>
    </w:p>
    <w:p w14:paraId="1470AF2A">
      <w:pPr>
        <w:spacing w:line="360" w:lineRule="auto"/>
        <w:ind w:right="42" w:rightChars="20" w:firstLine="2650" w:firstLineChars="1100"/>
        <w:rPr>
          <w:rFonts w:asciiTheme="minorEastAsia" w:hAnsiTheme="minorEastAsia" w:eastAsiaTheme="minorEastAsia"/>
          <w:b/>
          <w:color w:val="000000" w:themeColor="text1"/>
          <w:sz w:val="24"/>
        </w:rPr>
      </w:pPr>
      <w:bookmarkStart w:id="398" w:name="_Toc50012915"/>
      <w:r>
        <w:rPr>
          <w:rFonts w:hint="eastAsia" w:asciiTheme="minorEastAsia" w:hAnsiTheme="minorEastAsia" w:eastAsiaTheme="minorEastAsia"/>
          <w:b/>
          <w:color w:val="000000" w:themeColor="text1"/>
          <w:sz w:val="24"/>
        </w:rPr>
        <w:t>投标人全称：（加盖单位公章）</w:t>
      </w:r>
      <w:bookmarkEnd w:id="398"/>
    </w:p>
    <w:p w14:paraId="67D6A4FF">
      <w:pPr>
        <w:spacing w:line="360" w:lineRule="auto"/>
        <w:ind w:right="42" w:rightChars="20"/>
        <w:rPr>
          <w:rFonts w:asciiTheme="minorEastAsia" w:hAnsiTheme="minorEastAsia" w:eastAsiaTheme="minorEastAsia"/>
          <w:b/>
          <w:color w:val="000000" w:themeColor="text1"/>
          <w:sz w:val="24"/>
        </w:rPr>
      </w:pPr>
    </w:p>
    <w:p w14:paraId="5346A1B3">
      <w:pPr>
        <w:spacing w:line="360" w:lineRule="auto"/>
        <w:ind w:right="42" w:rightChars="20"/>
        <w:jc w:val="center"/>
        <w:rPr>
          <w:rFonts w:asciiTheme="minorEastAsia" w:hAnsiTheme="minorEastAsia" w:eastAsiaTheme="minorEastAsia"/>
          <w:b/>
          <w:color w:val="000000" w:themeColor="text1"/>
          <w:szCs w:val="21"/>
        </w:rPr>
      </w:pPr>
      <w:bookmarkStart w:id="399" w:name="_Toc50012916"/>
      <w:r>
        <w:rPr>
          <w:rFonts w:hint="eastAsia" w:asciiTheme="minorEastAsia" w:hAnsiTheme="minorEastAsia" w:eastAsiaTheme="minorEastAsia"/>
          <w:b/>
          <w:color w:val="000000" w:themeColor="text1"/>
          <w:sz w:val="24"/>
        </w:rPr>
        <w:t>年   月   日</w:t>
      </w:r>
      <w:bookmarkEnd w:id="399"/>
    </w:p>
    <w:bookmarkEnd w:id="392"/>
    <w:p w14:paraId="1438E114">
      <w:pPr>
        <w:snapToGrid w:val="0"/>
        <w:spacing w:line="360" w:lineRule="auto"/>
        <w:ind w:right="42" w:rightChars="20" w:firstLine="422" w:firstLineChars="20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br w:type="page"/>
      </w:r>
    </w:p>
    <w:p w14:paraId="5439B70C">
      <w:pPr>
        <w:snapToGrid w:val="0"/>
        <w:spacing w:line="360" w:lineRule="auto"/>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投标声明书格式：</w:t>
      </w:r>
    </w:p>
    <w:p w14:paraId="2312B8F9">
      <w:pPr>
        <w:snapToGrid w:val="0"/>
        <w:spacing w:line="360" w:lineRule="auto"/>
        <w:ind w:right="42" w:rightChars="20" w:firstLine="422" w:firstLineChars="20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投标声明书</w:t>
      </w:r>
    </w:p>
    <w:p w14:paraId="5FCC5D2E">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致：</w:t>
      </w:r>
      <w:r>
        <w:rPr>
          <w:rFonts w:hint="eastAsia" w:cs="Arial" w:asciiTheme="minorEastAsia" w:hAnsiTheme="minorEastAsia" w:eastAsiaTheme="minorEastAsia"/>
          <w:color w:val="000000" w:themeColor="text1"/>
          <w:kern w:val="0"/>
          <w:szCs w:val="21"/>
          <w:u w:val="single"/>
        </w:rPr>
        <w:t>嘉兴市秀洲区河湖管理站</w:t>
      </w:r>
      <w:r>
        <w:rPr>
          <w:rFonts w:hint="eastAsia" w:asciiTheme="minorEastAsia" w:hAnsiTheme="minorEastAsia" w:eastAsiaTheme="minorEastAsia"/>
          <w:color w:val="000000" w:themeColor="text1"/>
          <w:szCs w:val="21"/>
        </w:rPr>
        <w:t>（招标采购单位名称）：</w:t>
      </w:r>
    </w:p>
    <w:p w14:paraId="00B2CEF6">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（投标人名称）系中华人民共和国合法企业，经营地址</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w:t>
      </w:r>
    </w:p>
    <w:p w14:paraId="758E39B9">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我</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（姓名）系</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（投标人名称）的法定代表人，我方愿意参加贵方组织的</w:t>
      </w:r>
      <w:r>
        <w:rPr>
          <w:rFonts w:hint="eastAsia" w:asciiTheme="minorEastAsia" w:hAnsiTheme="minorEastAsia" w:eastAsiaTheme="minorEastAsia"/>
          <w:color w:val="000000" w:themeColor="text1"/>
          <w:szCs w:val="21"/>
          <w:u w:val="single"/>
        </w:rPr>
        <w:t xml:space="preserve">                      </w:t>
      </w:r>
      <w:r>
        <w:rPr>
          <w:rFonts w:hint="eastAsia" w:asciiTheme="minorEastAsia" w:hAnsiTheme="minorEastAsia" w:eastAsiaTheme="minorEastAsia"/>
          <w:color w:val="000000" w:themeColor="text1"/>
          <w:szCs w:val="21"/>
        </w:rPr>
        <w:t>项目的投标，为便于贵方公正、择优地确定中标人及其投标产品和服务，我方就本次投标有关事项郑重声明如下：</w:t>
      </w:r>
    </w:p>
    <w:p w14:paraId="6EB90978">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我方向贵方提交的所有投标文件、资料都是准确的和真实的</w:t>
      </w:r>
      <w:r>
        <w:rPr>
          <w:rFonts w:hint="eastAsia" w:asciiTheme="minorEastAsia" w:hAnsiTheme="minorEastAsia" w:eastAsiaTheme="minorEastAsia"/>
          <w:color w:val="000000" w:themeColor="text1"/>
          <w:szCs w:val="21"/>
        </w:rPr>
        <w:t>。</w:t>
      </w:r>
    </w:p>
    <w:p w14:paraId="4AEFEAFC">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我方不是采购人的附属机构；在获知本项目采购信息后，与采购人聘请的为此项目提供咨询服务的公司及其附属机构没有任何联系。</w:t>
      </w:r>
    </w:p>
    <w:p w14:paraId="1F7000DB">
      <w:pPr>
        <w:snapToGrid w:val="0"/>
        <w:spacing w:line="360" w:lineRule="auto"/>
        <w:ind w:right="42" w:rightChars="20" w:firstLine="48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pacing w:val="15"/>
          <w:kern w:val="0"/>
          <w:szCs w:val="21"/>
        </w:rPr>
        <w:t>3</w:t>
      </w:r>
      <w:r>
        <w:rPr>
          <w:rFonts w:hint="eastAsia" w:asciiTheme="minorEastAsia" w:hAnsiTheme="minorEastAsia" w:eastAsiaTheme="minorEastAsia"/>
          <w:color w:val="000000" w:themeColor="text1"/>
          <w:spacing w:val="15"/>
          <w:kern w:val="0"/>
          <w:szCs w:val="21"/>
        </w:rPr>
        <w:t>、</w:t>
      </w:r>
      <w:r>
        <w:rPr>
          <w:rFonts w:asciiTheme="minorEastAsia" w:hAnsiTheme="minorEastAsia" w:eastAsiaTheme="minorEastAsia"/>
          <w:color w:val="000000" w:themeColor="text1"/>
          <w:spacing w:val="15"/>
          <w:kern w:val="0"/>
          <w:szCs w:val="21"/>
        </w:rPr>
        <w:t>我方此次向贵方提供的</w:t>
      </w:r>
      <w:r>
        <w:rPr>
          <w:rFonts w:hint="eastAsia" w:asciiTheme="minorEastAsia" w:hAnsiTheme="minorEastAsia" w:eastAsiaTheme="minorEastAsia"/>
          <w:color w:val="000000" w:themeColor="text1"/>
          <w:spacing w:val="15"/>
          <w:kern w:val="0"/>
          <w:szCs w:val="21"/>
        </w:rPr>
        <w:t>服务内容为</w:t>
      </w:r>
      <w:r>
        <w:rPr>
          <w:rFonts w:hint="eastAsia" w:asciiTheme="minorEastAsia" w:hAnsiTheme="minorEastAsia" w:eastAsiaTheme="minorEastAsia"/>
          <w:color w:val="000000" w:themeColor="text1"/>
          <w:szCs w:val="21"/>
        </w:rPr>
        <w:t>。</w:t>
      </w:r>
    </w:p>
    <w:p w14:paraId="749A1283">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4</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我方诚意提请贵方关注：</w:t>
      </w:r>
      <w:r>
        <w:rPr>
          <w:rFonts w:hint="eastAsia" w:asciiTheme="minorEastAsia" w:hAnsiTheme="minorEastAsia" w:eastAsiaTheme="minorEastAsia"/>
          <w:color w:val="000000" w:themeColor="text1"/>
          <w:szCs w:val="21"/>
        </w:rPr>
        <w:t>近期</w:t>
      </w:r>
      <w:r>
        <w:rPr>
          <w:rFonts w:asciiTheme="minorEastAsia" w:hAnsiTheme="minorEastAsia" w:eastAsiaTheme="minorEastAsia"/>
          <w:color w:val="000000" w:themeColor="text1"/>
          <w:szCs w:val="21"/>
        </w:rPr>
        <w:t>有关</w:t>
      </w:r>
      <w:r>
        <w:rPr>
          <w:rFonts w:hint="eastAsia" w:asciiTheme="minorEastAsia" w:hAnsiTheme="minorEastAsia" w:eastAsiaTheme="minorEastAsia"/>
          <w:color w:val="000000" w:themeColor="text1"/>
          <w:szCs w:val="21"/>
        </w:rPr>
        <w:t>项目的售后服务等方面的重大决策和事项有：</w:t>
      </w:r>
    </w:p>
    <w:p w14:paraId="76B9CA3C">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u w:val="single"/>
        </w:rPr>
        <w:t>　　　　　　　　　　　　　　　　　　　　　　　　　　</w:t>
      </w:r>
    </w:p>
    <w:p w14:paraId="00BF48FE">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5</w:t>
      </w:r>
      <w:r>
        <w:rPr>
          <w:rFonts w:hint="eastAsia" w:asciiTheme="minorEastAsia" w:hAnsiTheme="minorEastAsia" w:eastAsiaTheme="minorEastAsia"/>
          <w:color w:val="000000" w:themeColor="text1"/>
          <w:szCs w:val="21"/>
        </w:rPr>
        <w:t>、我方及由本人担任法定代表人的其他机构</w:t>
      </w:r>
      <w:r>
        <w:rPr>
          <w:rFonts w:asciiTheme="minorEastAsia" w:hAnsiTheme="minorEastAsia" w:eastAsiaTheme="minorEastAsia"/>
          <w:color w:val="000000" w:themeColor="text1"/>
          <w:szCs w:val="21"/>
        </w:rPr>
        <w:t>最近三年内被</w:t>
      </w:r>
      <w:r>
        <w:rPr>
          <w:rFonts w:hint="eastAsia" w:asciiTheme="minorEastAsia" w:hAnsiTheme="minorEastAsia" w:eastAsiaTheme="minorEastAsia"/>
          <w:color w:val="000000" w:themeColor="text1"/>
          <w:szCs w:val="21"/>
        </w:rPr>
        <w:t>通报或者被处罚的</w:t>
      </w:r>
      <w:r>
        <w:rPr>
          <w:rFonts w:asciiTheme="minorEastAsia" w:hAnsiTheme="minorEastAsia" w:eastAsiaTheme="minorEastAsia"/>
          <w:color w:val="000000" w:themeColor="text1"/>
          <w:szCs w:val="21"/>
        </w:rPr>
        <w:t>违法行为有：</w:t>
      </w:r>
    </w:p>
    <w:p w14:paraId="792B3090">
      <w:pPr>
        <w:snapToGrid w:val="0"/>
        <w:spacing w:line="360" w:lineRule="auto"/>
        <w:ind w:right="42" w:rightChars="20" w:firstLine="420" w:firstLineChars="200"/>
        <w:jc w:val="left"/>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u w:val="single"/>
        </w:rPr>
        <w:t>　　　　　　　　　　　　　　　　　　　　　　　　　　　</w:t>
      </w:r>
    </w:p>
    <w:p w14:paraId="0903C266">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6、以上事项如有虚假或隐瞒，我方愿意承担一切后果，并不再寻求任何旨在减轻或免除法律责任的辩解。</w:t>
      </w:r>
    </w:p>
    <w:p w14:paraId="33ABABFF">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24FAA013">
      <w:pPr>
        <w:pStyle w:val="158"/>
        <w:snapToGrid w:val="0"/>
        <w:spacing w:line="360" w:lineRule="auto"/>
        <w:ind w:right="42" w:rightChars="20" w:firstLine="420" w:firstLineChars="200"/>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法定代表人或其授权代表签字（或盖章）</w:t>
      </w:r>
      <w:r>
        <w:rPr>
          <w:rFonts w:asciiTheme="minorEastAsia" w:hAnsiTheme="minorEastAsia" w:eastAsiaTheme="minorEastAsia"/>
          <w:color w:val="000000" w:themeColor="text1"/>
          <w:sz w:val="21"/>
          <w:szCs w:val="21"/>
        </w:rPr>
        <w:t>：</w:t>
      </w:r>
    </w:p>
    <w:p w14:paraId="0303894D">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shd w:val="clear" w:color="auto" w:fill="FFFFFF"/>
        </w:rPr>
        <w:t>投标人名称：（CA签章）</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 xml:space="preserve">                      </w:t>
      </w:r>
    </w:p>
    <w:p w14:paraId="1722A99E">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日期：     </w:t>
      </w:r>
      <w:r>
        <w:rPr>
          <w:rFonts w:asciiTheme="minorEastAsia" w:hAnsiTheme="minorEastAsia" w:eastAsiaTheme="minorEastAsia"/>
          <w:color w:val="000000" w:themeColor="text1"/>
          <w:szCs w:val="21"/>
        </w:rPr>
        <w:t>年    月    日</w:t>
      </w:r>
    </w:p>
    <w:p w14:paraId="528B0568">
      <w:pPr>
        <w:snapToGrid w:val="0"/>
        <w:spacing w:line="360" w:lineRule="auto"/>
        <w:ind w:right="42" w:rightChars="20" w:firstLine="422" w:firstLineChars="200"/>
        <w:jc w:val="left"/>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br w:type="page"/>
      </w:r>
      <w:r>
        <w:rPr>
          <w:rFonts w:hint="eastAsia" w:asciiTheme="minorEastAsia" w:hAnsiTheme="minorEastAsia" w:eastAsiaTheme="minorEastAsia"/>
          <w:b/>
          <w:color w:val="000000" w:themeColor="text1"/>
          <w:szCs w:val="21"/>
        </w:rPr>
        <w:t>法定代表人授权委托书格式：</w:t>
      </w:r>
    </w:p>
    <w:p w14:paraId="409C257A">
      <w:pPr>
        <w:snapToGrid w:val="0"/>
        <w:spacing w:line="360" w:lineRule="auto"/>
        <w:ind w:right="42" w:rightChars="20" w:firstLine="422" w:firstLineChars="20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法定代表人授权委托书</w:t>
      </w:r>
    </w:p>
    <w:p w14:paraId="5E8C2EA8">
      <w:pPr>
        <w:snapToGrid w:val="0"/>
        <w:spacing w:line="360" w:lineRule="auto"/>
        <w:ind w:right="42" w:rightChars="20" w:firstLine="420" w:firstLineChars="200"/>
        <w:jc w:val="left"/>
        <w:rPr>
          <w:rFonts w:asciiTheme="minorEastAsia" w:hAnsiTheme="minorEastAsia" w:eastAsiaTheme="minorEastAsia"/>
          <w:bCs/>
          <w:color w:val="000000" w:themeColor="text1"/>
          <w:szCs w:val="21"/>
        </w:rPr>
      </w:pPr>
    </w:p>
    <w:p w14:paraId="61044333">
      <w:pPr>
        <w:snapToGrid w:val="0"/>
        <w:spacing w:line="360" w:lineRule="auto"/>
        <w:ind w:right="42" w:rightChars="20" w:firstLine="420" w:firstLineChars="200"/>
        <w:jc w:val="left"/>
        <w:rPr>
          <w:rFonts w:asciiTheme="minorEastAsia" w:hAnsiTheme="minorEastAsia" w:eastAsiaTheme="minorEastAsia"/>
          <w:b/>
          <w:bCs/>
          <w:color w:val="000000" w:themeColor="text1"/>
          <w:szCs w:val="21"/>
        </w:rPr>
      </w:pPr>
      <w:r>
        <w:rPr>
          <w:rFonts w:hint="eastAsia" w:asciiTheme="minorEastAsia" w:hAnsiTheme="minorEastAsia" w:eastAsiaTheme="minorEastAsia"/>
          <w:bCs/>
          <w:color w:val="000000" w:themeColor="text1"/>
          <w:szCs w:val="21"/>
        </w:rPr>
        <w:t>致：</w:t>
      </w:r>
      <w:r>
        <w:rPr>
          <w:rFonts w:hint="eastAsia" w:cs="Arial" w:asciiTheme="minorEastAsia" w:hAnsiTheme="minorEastAsia" w:eastAsiaTheme="minorEastAsia"/>
          <w:color w:val="000000" w:themeColor="text1"/>
          <w:kern w:val="0"/>
          <w:szCs w:val="21"/>
          <w:u w:val="single"/>
        </w:rPr>
        <w:t>嘉兴市秀洲区河湖管理站</w:t>
      </w:r>
      <w:r>
        <w:rPr>
          <w:rFonts w:hint="eastAsia" w:asciiTheme="minorEastAsia" w:hAnsiTheme="minorEastAsia" w:eastAsiaTheme="minorEastAsia"/>
          <w:color w:val="000000" w:themeColor="text1"/>
          <w:szCs w:val="21"/>
        </w:rPr>
        <w:t>（招标采购单位名称）：</w:t>
      </w:r>
    </w:p>
    <w:p w14:paraId="0CB04EA8">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lang w:val="zh-CN"/>
        </w:rPr>
        <w:t xml:space="preserve"> 兹委派我公司</w:t>
      </w:r>
      <w:r>
        <w:rPr>
          <w:rFonts w:hint="eastAsia" w:cs="宋体" w:asciiTheme="minorEastAsia" w:hAnsiTheme="minorEastAsia" w:eastAsiaTheme="minorEastAsia"/>
          <w:color w:val="000000" w:themeColor="text1"/>
          <w:kern w:val="0"/>
          <w:szCs w:val="21"/>
          <w:u w:val="single"/>
          <w:lang w:val="zh-CN"/>
        </w:rPr>
        <w:t xml:space="preserve">         </w:t>
      </w:r>
      <w:r>
        <w:rPr>
          <w:rFonts w:hint="eastAsia" w:cs="宋体" w:asciiTheme="minorEastAsia" w:hAnsiTheme="minorEastAsia" w:eastAsiaTheme="minorEastAsia"/>
          <w:color w:val="000000" w:themeColor="text1"/>
          <w:kern w:val="0"/>
          <w:szCs w:val="21"/>
          <w:lang w:val="zh-CN"/>
        </w:rPr>
        <w:t>先生/女士(其在本公司的职务是：</w:t>
      </w:r>
      <w:r>
        <w:rPr>
          <w:rFonts w:hint="eastAsia" w:cs="宋体" w:asciiTheme="minorEastAsia" w:hAnsiTheme="minorEastAsia" w:eastAsiaTheme="minorEastAsia"/>
          <w:color w:val="000000" w:themeColor="text1"/>
          <w:kern w:val="0"/>
          <w:szCs w:val="21"/>
          <w:u w:val="single"/>
          <w:lang w:val="zh-CN"/>
        </w:rPr>
        <w:t xml:space="preserve">        </w:t>
      </w:r>
      <w:r>
        <w:rPr>
          <w:rFonts w:hint="eastAsia" w:cs="宋体" w:asciiTheme="minorEastAsia" w:hAnsiTheme="minorEastAsia" w:eastAsiaTheme="minorEastAsia"/>
          <w:color w:val="000000" w:themeColor="text1"/>
          <w:kern w:val="0"/>
          <w:szCs w:val="21"/>
          <w:lang w:val="zh-CN"/>
        </w:rPr>
        <w:t>，联系电话</w:t>
      </w:r>
      <w:r>
        <w:rPr>
          <w:rFonts w:hint="eastAsia" w:cs="宋体" w:asciiTheme="minorEastAsia" w:hAnsiTheme="minorEastAsia" w:eastAsiaTheme="minorEastAsia"/>
          <w:color w:val="000000" w:themeColor="text1"/>
          <w:kern w:val="0"/>
          <w:szCs w:val="21"/>
          <w:u w:val="single"/>
          <w:lang w:val="zh-CN"/>
        </w:rPr>
        <w:t xml:space="preserve">     </w:t>
      </w:r>
      <w:r>
        <w:rPr>
          <w:rFonts w:hint="eastAsia" w:cs="宋体" w:asciiTheme="minorEastAsia" w:hAnsiTheme="minorEastAsia" w:eastAsiaTheme="minorEastAsia"/>
          <w:color w:val="000000" w:themeColor="text1"/>
          <w:kern w:val="0"/>
          <w:szCs w:val="21"/>
          <w:lang w:val="zh-CN"/>
        </w:rPr>
        <w:t>：手机：</w:t>
      </w:r>
      <w:r>
        <w:rPr>
          <w:rFonts w:hint="eastAsia" w:cs="宋体" w:asciiTheme="minorEastAsia" w:hAnsiTheme="minorEastAsia" w:eastAsiaTheme="minorEastAsia"/>
          <w:color w:val="000000" w:themeColor="text1"/>
          <w:kern w:val="0"/>
          <w:szCs w:val="21"/>
          <w:u w:val="single"/>
          <w:lang w:val="zh-CN"/>
        </w:rPr>
        <w:t xml:space="preserve">       </w:t>
      </w:r>
      <w:r>
        <w:rPr>
          <w:rFonts w:hint="eastAsia" w:cs="宋体" w:asciiTheme="minorEastAsia" w:hAnsiTheme="minorEastAsia" w:eastAsiaTheme="minorEastAsia"/>
          <w:color w:val="000000" w:themeColor="text1"/>
          <w:kern w:val="0"/>
          <w:szCs w:val="21"/>
          <w:lang w:val="zh-CN"/>
        </w:rPr>
        <w:t>传真：</w:t>
      </w:r>
      <w:r>
        <w:rPr>
          <w:rFonts w:hint="eastAsia" w:cs="宋体" w:asciiTheme="minorEastAsia" w:hAnsiTheme="minorEastAsia" w:eastAsiaTheme="minorEastAsia"/>
          <w:color w:val="000000" w:themeColor="text1"/>
          <w:kern w:val="0"/>
          <w:szCs w:val="21"/>
          <w:u w:val="single"/>
          <w:lang w:val="zh-CN"/>
        </w:rPr>
        <w:t xml:space="preserve">         </w:t>
      </w:r>
      <w:r>
        <w:rPr>
          <w:rFonts w:hint="eastAsia" w:cs="宋体" w:asciiTheme="minorEastAsia" w:hAnsiTheme="minorEastAsia" w:eastAsiaTheme="minorEastAsia"/>
          <w:color w:val="000000" w:themeColor="text1"/>
          <w:kern w:val="0"/>
          <w:szCs w:val="21"/>
          <w:lang w:val="zh-CN"/>
        </w:rPr>
        <w:t>)，代表我公司全权处理</w:t>
      </w:r>
      <w:r>
        <w:rPr>
          <w:rFonts w:hint="eastAsia" w:asciiTheme="minorEastAsia" w:hAnsiTheme="minorEastAsia" w:eastAsiaTheme="minorEastAsia"/>
          <w:b/>
          <w:bCs/>
          <w:color w:val="000000" w:themeColor="text1"/>
          <w:szCs w:val="21"/>
          <w:u w:val="single"/>
          <w:lang w:val="zh-CN"/>
        </w:rPr>
        <w:t>秀洲区2025年水文测站标准化运行管理及维护项目</w:t>
      </w:r>
      <w:r>
        <w:rPr>
          <w:rFonts w:hint="eastAsia" w:cs="宋体" w:asciiTheme="minorEastAsia" w:hAnsiTheme="minorEastAsia" w:eastAsiaTheme="minorEastAsia"/>
          <w:color w:val="000000" w:themeColor="text1"/>
          <w:szCs w:val="21"/>
        </w:rPr>
        <w:t>(编号：</w:t>
      </w:r>
      <w:r>
        <w:rPr>
          <w:rFonts w:hint="eastAsia" w:cs="宋体" w:asciiTheme="minorEastAsia" w:hAnsiTheme="minorEastAsia" w:eastAsiaTheme="minorEastAsia"/>
          <w:color w:val="000000" w:themeColor="text1"/>
          <w:szCs w:val="21"/>
          <w:lang w:eastAsia="zh-CN"/>
        </w:rPr>
        <w:t>浙勋代理嘉【2025】003号</w:t>
      </w:r>
      <w:r>
        <w:rPr>
          <w:rFonts w:hint="eastAsia" w:cs="宋体" w:asciiTheme="minorEastAsia" w:hAnsiTheme="minorEastAsia" w:eastAsiaTheme="minorEastAsia"/>
          <w:color w:val="000000" w:themeColor="text1"/>
          <w:szCs w:val="21"/>
        </w:rPr>
        <w:t>)政府采购投标的一切事项</w:t>
      </w:r>
      <w:r>
        <w:rPr>
          <w:rFonts w:hint="eastAsia" w:cs="宋体" w:asciiTheme="minorEastAsia" w:hAnsiTheme="minorEastAsia" w:eastAsiaTheme="minorEastAsia"/>
          <w:color w:val="000000" w:themeColor="text1"/>
          <w:kern w:val="0"/>
          <w:szCs w:val="21"/>
          <w:lang w:val="zh-CN"/>
        </w:rPr>
        <w:t>。</w:t>
      </w:r>
    </w:p>
    <w:p w14:paraId="221FD386">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lang w:val="zh-CN"/>
        </w:rPr>
        <w:t xml:space="preserve">    特此告知。</w:t>
      </w:r>
    </w:p>
    <w:p w14:paraId="2C255A2B">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000000" w:themeColor="text1"/>
          <w:kern w:val="0"/>
          <w:szCs w:val="21"/>
        </w:rPr>
      </w:pPr>
    </w:p>
    <w:p w14:paraId="085EB1F1">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000000" w:themeColor="text1"/>
          <w:kern w:val="0"/>
          <w:szCs w:val="21"/>
          <w:lang w:val="zh-CN"/>
        </w:rPr>
      </w:pPr>
    </w:p>
    <w:p w14:paraId="720045AB">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45365DB8">
      <w:pPr>
        <w:snapToGrid w:val="0"/>
        <w:spacing w:line="360" w:lineRule="auto"/>
        <w:ind w:right="42" w:rightChars="20" w:firstLine="420" w:firstLineChars="200"/>
        <w:jc w:val="left"/>
        <w:rPr>
          <w:rFonts w:asciiTheme="minorEastAsia" w:hAnsiTheme="minorEastAsia" w:eastAsiaTheme="minorEastAsia"/>
          <w:color w:val="000000" w:themeColor="text1"/>
          <w:szCs w:val="21"/>
          <w:u w:val="single"/>
        </w:rPr>
      </w:pPr>
      <w:r>
        <w:rPr>
          <w:rFonts w:hint="eastAsia" w:asciiTheme="minorEastAsia" w:hAnsiTheme="minorEastAsia" w:eastAsiaTheme="minorEastAsia"/>
          <w:color w:val="000000" w:themeColor="text1"/>
          <w:szCs w:val="21"/>
        </w:rPr>
        <w:t>被授权人签字（或盖章）：                   法定代表人签字（或盖章）：</w:t>
      </w:r>
    </w:p>
    <w:p w14:paraId="1F9FF344">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职务：                                     职务：</w:t>
      </w:r>
    </w:p>
    <w:p w14:paraId="55B46675">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被授权人身份证号码：</w:t>
      </w:r>
    </w:p>
    <w:p w14:paraId="64C12590">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2D0A43EB">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shd w:val="clear" w:color="auto" w:fill="FFFFFF"/>
        </w:rPr>
        <w:t>投标人名称：（CA签章）</w:t>
      </w:r>
    </w:p>
    <w:p w14:paraId="725F6884">
      <w:pPr>
        <w:snapToGrid w:val="0"/>
        <w:spacing w:line="360" w:lineRule="auto"/>
        <w:ind w:right="42" w:rightChars="20" w:firstLine="1050" w:firstLineChars="5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p w14:paraId="0285A098">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1EE5E84E">
      <w:pPr>
        <w:pStyle w:val="26"/>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3529B212">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0F6715BB">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65445613">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44B814E5">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7153A975">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044AD647">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4C817701">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07BF5453">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2E5D69FC">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3803FE6F">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5925BCF9">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2974BB5A">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5A0797BC">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7BE5314F">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797B4148">
      <w:pPr>
        <w:spacing w:line="500" w:lineRule="exact"/>
        <w:jc w:val="center"/>
        <w:rPr>
          <w:b/>
          <w:sz w:val="28"/>
          <w:szCs w:val="28"/>
        </w:rPr>
      </w:pPr>
      <w:r>
        <w:rPr>
          <w:rFonts w:hint="eastAsia"/>
          <w:b/>
          <w:sz w:val="28"/>
          <w:szCs w:val="28"/>
        </w:rPr>
        <w:t>诚信承诺书</w:t>
      </w:r>
    </w:p>
    <w:p w14:paraId="3951EBD2">
      <w:pPr>
        <w:wordWrap w:val="0"/>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14:paraId="62D24CB9">
      <w:pPr>
        <w:wordWrap w:val="0"/>
        <w:spacing w:line="440" w:lineRule="exact"/>
        <w:ind w:firstLine="482"/>
        <w:rPr>
          <w:rFonts w:ascii="宋体" w:hAnsi="宋体" w:cs="宋体"/>
          <w:szCs w:val="21"/>
        </w:rPr>
      </w:pPr>
      <w:r>
        <w:rPr>
          <w:rFonts w:hint="eastAsia" w:ascii="宋体" w:hAnsi="宋体" w:cs="宋体"/>
          <w:szCs w:val="21"/>
        </w:rPr>
        <w:t>我方在参加贵单位的</w:t>
      </w:r>
      <w:r>
        <w:rPr>
          <w:rFonts w:hint="eastAsia" w:ascii="宋体" w:hAnsi="宋体" w:cs="宋体"/>
          <w:szCs w:val="21"/>
          <w:u w:val="single"/>
        </w:rPr>
        <w:t xml:space="preserve">            （项目名称）      </w:t>
      </w:r>
      <w:r>
        <w:rPr>
          <w:rFonts w:hint="eastAsia" w:ascii="宋体" w:hAnsi="宋体" w:cs="宋体"/>
          <w:szCs w:val="21"/>
        </w:rPr>
        <w:t>政府采购项目的招投标活动中，郑重承诺如下：</w:t>
      </w:r>
    </w:p>
    <w:p w14:paraId="3A669C52">
      <w:pPr>
        <w:wordWrap w:val="0"/>
        <w:spacing w:line="440" w:lineRule="exact"/>
        <w:ind w:firstLine="482"/>
        <w:rPr>
          <w:rFonts w:ascii="宋体" w:hAnsi="宋体" w:cs="宋体"/>
          <w:szCs w:val="21"/>
        </w:rPr>
      </w:pPr>
      <w:r>
        <w:rPr>
          <w:rFonts w:hint="eastAsia" w:ascii="宋体" w:hAnsi="宋体" w:cs="宋体"/>
          <w:szCs w:val="21"/>
        </w:rPr>
        <w:t>1、我方申报的所有资料都是真实、准确、完整的；</w:t>
      </w:r>
    </w:p>
    <w:p w14:paraId="51B7C014">
      <w:pPr>
        <w:wordWrap w:val="0"/>
        <w:spacing w:line="440" w:lineRule="exact"/>
        <w:ind w:firstLine="482"/>
        <w:rPr>
          <w:rFonts w:ascii="宋体" w:hAnsi="宋体" w:cs="宋体"/>
          <w:szCs w:val="21"/>
        </w:rPr>
      </w:pPr>
      <w:r>
        <w:rPr>
          <w:rFonts w:hint="eastAsia" w:ascii="宋体" w:hAnsi="宋体" w:cs="宋体"/>
          <w:szCs w:val="21"/>
        </w:rPr>
        <w:t>2、我方无资质挂靠情形，保证不参与串标、围标及抬标；</w:t>
      </w:r>
    </w:p>
    <w:p w14:paraId="6AA9E947">
      <w:pPr>
        <w:wordWrap w:val="0"/>
        <w:spacing w:line="440" w:lineRule="exact"/>
        <w:ind w:firstLine="482"/>
        <w:rPr>
          <w:rFonts w:ascii="宋体" w:hAnsi="宋体" w:cs="宋体"/>
          <w:szCs w:val="21"/>
        </w:rPr>
      </w:pPr>
      <w:r>
        <w:rPr>
          <w:rFonts w:hint="eastAsia" w:ascii="宋体" w:hAnsi="宋体" w:cs="宋体"/>
          <w:szCs w:val="21"/>
        </w:rPr>
        <w:t>3、我方没有被各级行政主管部门做出停止市场行为的处罚；</w:t>
      </w:r>
    </w:p>
    <w:p w14:paraId="52902694">
      <w:pPr>
        <w:wordWrap w:val="0"/>
        <w:spacing w:line="440" w:lineRule="exact"/>
        <w:ind w:firstLine="482"/>
        <w:rPr>
          <w:rFonts w:ascii="宋体" w:hAnsi="宋体" w:cs="宋体"/>
          <w:szCs w:val="21"/>
        </w:rPr>
      </w:pPr>
      <w:r>
        <w:rPr>
          <w:rFonts w:hint="eastAsia" w:ascii="宋体" w:hAnsi="宋体" w:cs="宋体"/>
          <w:szCs w:val="21"/>
        </w:rPr>
        <w:t>4、若我方中标，将严格按照规定及时与采购人签订合同；</w:t>
      </w:r>
    </w:p>
    <w:p w14:paraId="4B3155A1">
      <w:pPr>
        <w:wordWrap w:val="0"/>
        <w:spacing w:line="440" w:lineRule="exact"/>
        <w:ind w:firstLine="482"/>
        <w:rPr>
          <w:rFonts w:ascii="宋体" w:hAnsi="宋体" w:cs="宋体"/>
          <w:szCs w:val="21"/>
        </w:rPr>
      </w:pPr>
      <w:r>
        <w:rPr>
          <w:rFonts w:hint="eastAsia" w:ascii="宋体" w:hAnsi="宋体" w:cs="宋体"/>
          <w:szCs w:val="21"/>
        </w:rPr>
        <w:t>5、若我方中标，将严格按照磋商文件及磋商响应文件所承诺的报价、质量、工期、投标方案、项目负责人等内容组织实施；</w:t>
      </w:r>
    </w:p>
    <w:p w14:paraId="2B29B4BF">
      <w:pPr>
        <w:wordWrap w:val="0"/>
        <w:spacing w:line="440" w:lineRule="exact"/>
        <w:ind w:firstLine="482"/>
        <w:rPr>
          <w:rFonts w:ascii="宋体" w:hAnsi="宋体" w:cs="宋体"/>
          <w:szCs w:val="21"/>
        </w:rPr>
      </w:pPr>
      <w:r>
        <w:rPr>
          <w:rFonts w:hint="eastAsia" w:ascii="宋体" w:hAnsi="宋体" w:cs="宋体"/>
          <w:szCs w:val="21"/>
        </w:rPr>
        <w:t>我方若违反上述承诺，隐瞒、提供虚假资料或不按磋商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14:paraId="61EFC694">
      <w:pPr>
        <w:wordWrap w:val="0"/>
        <w:spacing w:line="440" w:lineRule="exact"/>
        <w:ind w:firstLine="482"/>
        <w:rPr>
          <w:rFonts w:ascii="宋体" w:hAnsi="宋体" w:cs="宋体"/>
          <w:szCs w:val="21"/>
        </w:rPr>
      </w:pPr>
      <w:r>
        <w:rPr>
          <w:rFonts w:hint="eastAsia" w:ascii="宋体" w:hAnsi="宋体" w:cs="宋体"/>
          <w:szCs w:val="21"/>
        </w:rPr>
        <w:t>特此承诺。</w:t>
      </w:r>
    </w:p>
    <w:p w14:paraId="5BE75B69">
      <w:pPr>
        <w:wordWrap w:val="0"/>
        <w:spacing w:line="440" w:lineRule="exact"/>
        <w:ind w:firstLine="482"/>
        <w:rPr>
          <w:rFonts w:ascii="宋体" w:hAnsi="宋体" w:cs="宋体"/>
          <w:szCs w:val="21"/>
        </w:rPr>
      </w:pPr>
    </w:p>
    <w:p w14:paraId="412364DD">
      <w:pPr>
        <w:spacing w:line="360" w:lineRule="auto"/>
        <w:ind w:firstLine="424" w:firstLineChars="202"/>
        <w:rPr>
          <w:rFonts w:ascii="宋体" w:hAnsi="宋体" w:cs="宋体"/>
          <w:szCs w:val="21"/>
        </w:rPr>
      </w:pPr>
      <w:r>
        <w:rPr>
          <w:rFonts w:hint="eastAsia" w:ascii="宋体" w:hAnsi="宋体" w:cs="宋体"/>
          <w:szCs w:val="21"/>
        </w:rPr>
        <w:t>承诺单位：</w:t>
      </w:r>
      <w:r>
        <w:rPr>
          <w:rFonts w:hint="eastAsia" w:ascii="宋体" w:hAnsi="宋体" w:cs="宋体"/>
          <w:szCs w:val="21"/>
          <w:u w:val="single"/>
        </w:rPr>
        <w:t xml:space="preserve">                              </w:t>
      </w:r>
      <w:r>
        <w:rPr>
          <w:rFonts w:hint="eastAsia" w:ascii="宋体" w:hAnsi="宋体" w:cs="宋体"/>
          <w:szCs w:val="21"/>
        </w:rPr>
        <w:t>（CA签章）</w:t>
      </w:r>
    </w:p>
    <w:p w14:paraId="6128D131">
      <w:pPr>
        <w:tabs>
          <w:tab w:val="left" w:pos="5760"/>
        </w:tabs>
        <w:spacing w:line="360" w:lineRule="auto"/>
        <w:ind w:firstLine="424" w:firstLineChars="202"/>
        <w:rPr>
          <w:rFonts w:ascii="宋体" w:hAnsi="宋体" w:cs="宋体"/>
          <w:szCs w:val="21"/>
          <w:u w:val="single"/>
        </w:rPr>
      </w:pPr>
      <w:r>
        <w:rPr>
          <w:rFonts w:hint="eastAsia" w:ascii="宋体" w:hAnsi="宋体"/>
          <w:szCs w:val="21"/>
        </w:rPr>
        <w:t>法定代表人或授权委托代理人（签字或盖章）</w:t>
      </w:r>
      <w:r>
        <w:rPr>
          <w:rFonts w:hint="eastAsia" w:ascii="宋体" w:hAnsi="宋体" w:cs="宋体"/>
          <w:szCs w:val="21"/>
        </w:rPr>
        <w:t xml:space="preserve">： </w:t>
      </w:r>
      <w:r>
        <w:rPr>
          <w:rFonts w:hint="eastAsia" w:ascii="宋体" w:hAnsi="宋体" w:cs="宋体"/>
          <w:szCs w:val="21"/>
          <w:u w:val="single"/>
        </w:rPr>
        <w:t xml:space="preserve">           </w:t>
      </w:r>
    </w:p>
    <w:p w14:paraId="5CDA994E">
      <w:pPr>
        <w:spacing w:line="360" w:lineRule="auto"/>
        <w:ind w:firstLine="424" w:firstLineChars="202"/>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14:paraId="014A2C10">
      <w:pPr>
        <w:snapToGrid w:val="0"/>
        <w:spacing w:line="360" w:lineRule="auto"/>
        <w:ind w:right="42" w:rightChars="20" w:firstLine="420" w:firstLineChars="200"/>
        <w:jc w:val="lef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3C598EA">
      <w:pPr>
        <w:snapToGrid w:val="0"/>
        <w:spacing w:line="360" w:lineRule="auto"/>
        <w:ind w:right="42" w:rightChars="20" w:firstLine="420" w:firstLineChars="200"/>
        <w:jc w:val="left"/>
        <w:rPr>
          <w:rFonts w:ascii="宋体" w:hAnsi="宋体" w:cs="宋体"/>
          <w:szCs w:val="21"/>
        </w:rPr>
      </w:pPr>
    </w:p>
    <w:p w14:paraId="32A265F2">
      <w:pPr>
        <w:snapToGrid w:val="0"/>
        <w:spacing w:line="360" w:lineRule="auto"/>
        <w:ind w:right="42" w:rightChars="20" w:firstLine="420" w:firstLineChars="200"/>
        <w:jc w:val="left"/>
        <w:rPr>
          <w:rFonts w:ascii="宋体" w:hAnsi="宋体" w:cs="宋体"/>
          <w:szCs w:val="21"/>
        </w:rPr>
      </w:pPr>
    </w:p>
    <w:p w14:paraId="217C2DF0">
      <w:pPr>
        <w:snapToGrid w:val="0"/>
        <w:spacing w:line="360" w:lineRule="auto"/>
        <w:ind w:right="42" w:rightChars="20" w:firstLine="420" w:firstLineChars="200"/>
        <w:jc w:val="left"/>
        <w:rPr>
          <w:rFonts w:ascii="宋体" w:hAnsi="宋体" w:cs="宋体"/>
          <w:szCs w:val="21"/>
        </w:rPr>
      </w:pPr>
    </w:p>
    <w:p w14:paraId="2BFF42D5">
      <w:pPr>
        <w:snapToGrid w:val="0"/>
        <w:spacing w:line="360" w:lineRule="auto"/>
        <w:ind w:right="42" w:rightChars="20" w:firstLine="420" w:firstLineChars="200"/>
        <w:jc w:val="left"/>
        <w:rPr>
          <w:rFonts w:ascii="宋体" w:hAnsi="宋体" w:cs="宋体"/>
          <w:szCs w:val="21"/>
        </w:rPr>
      </w:pPr>
    </w:p>
    <w:p w14:paraId="0D0935C4">
      <w:pPr>
        <w:snapToGrid w:val="0"/>
        <w:spacing w:line="360" w:lineRule="auto"/>
        <w:ind w:right="42" w:rightChars="20" w:firstLine="420" w:firstLineChars="200"/>
        <w:jc w:val="left"/>
        <w:rPr>
          <w:rFonts w:ascii="宋体" w:hAnsi="宋体" w:cs="宋体"/>
          <w:szCs w:val="21"/>
        </w:rPr>
      </w:pPr>
    </w:p>
    <w:p w14:paraId="3646AB94">
      <w:pPr>
        <w:snapToGrid w:val="0"/>
        <w:spacing w:line="360" w:lineRule="auto"/>
        <w:ind w:right="42" w:rightChars="20" w:firstLine="420" w:firstLineChars="200"/>
        <w:jc w:val="left"/>
        <w:rPr>
          <w:rFonts w:ascii="宋体" w:hAnsi="宋体" w:cs="宋体"/>
          <w:szCs w:val="21"/>
        </w:rPr>
      </w:pPr>
    </w:p>
    <w:p w14:paraId="4A413D29">
      <w:pPr>
        <w:snapToGrid w:val="0"/>
        <w:spacing w:line="360" w:lineRule="auto"/>
        <w:ind w:right="42" w:rightChars="20" w:firstLine="420" w:firstLineChars="200"/>
        <w:jc w:val="left"/>
        <w:rPr>
          <w:rFonts w:ascii="宋体" w:hAnsi="宋体" w:cs="宋体"/>
          <w:szCs w:val="21"/>
        </w:rPr>
      </w:pPr>
    </w:p>
    <w:p w14:paraId="78EB58E7">
      <w:pPr>
        <w:snapToGrid w:val="0"/>
        <w:spacing w:line="360" w:lineRule="auto"/>
        <w:ind w:right="42" w:rightChars="20" w:firstLine="420" w:firstLineChars="200"/>
        <w:jc w:val="left"/>
        <w:rPr>
          <w:rFonts w:ascii="宋体" w:hAnsi="宋体" w:cs="宋体"/>
          <w:szCs w:val="21"/>
        </w:rPr>
      </w:pPr>
    </w:p>
    <w:p w14:paraId="4884DB55">
      <w:pPr>
        <w:snapToGrid w:val="0"/>
        <w:spacing w:line="360" w:lineRule="auto"/>
        <w:ind w:right="42" w:rightChars="20" w:firstLine="420" w:firstLineChars="200"/>
        <w:jc w:val="left"/>
        <w:rPr>
          <w:rFonts w:ascii="宋体" w:hAnsi="宋体" w:cs="宋体"/>
          <w:szCs w:val="21"/>
        </w:rPr>
      </w:pPr>
    </w:p>
    <w:p w14:paraId="1C38F05F">
      <w:pPr>
        <w:snapToGrid w:val="0"/>
        <w:spacing w:line="360" w:lineRule="auto"/>
        <w:ind w:right="42" w:rightChars="20" w:firstLine="420" w:firstLineChars="200"/>
        <w:jc w:val="left"/>
        <w:rPr>
          <w:rFonts w:ascii="宋体" w:hAnsi="宋体" w:cs="宋体"/>
          <w:szCs w:val="21"/>
        </w:rPr>
      </w:pPr>
    </w:p>
    <w:p w14:paraId="5B93C2BC">
      <w:pPr>
        <w:snapToGrid w:val="0"/>
        <w:spacing w:line="360" w:lineRule="auto"/>
        <w:ind w:right="42" w:rightChars="20" w:firstLine="420" w:firstLineChars="200"/>
        <w:jc w:val="left"/>
        <w:rPr>
          <w:rFonts w:ascii="宋体" w:hAnsi="宋体" w:cs="宋体"/>
          <w:szCs w:val="21"/>
        </w:rPr>
      </w:pPr>
    </w:p>
    <w:p w14:paraId="4FE65B46">
      <w:pPr>
        <w:pStyle w:val="45"/>
        <w:tabs>
          <w:tab w:val="left" w:pos="312"/>
        </w:tabs>
        <w:adjustRightInd w:val="0"/>
        <w:snapToGrid w:val="0"/>
        <w:spacing w:before="0" w:beforeAutospacing="0" w:after="0" w:afterAutospacing="0" w:line="360" w:lineRule="auto"/>
        <w:rPr>
          <w:rFonts w:cs="宋体"/>
          <w:sz w:val="21"/>
          <w:szCs w:val="21"/>
        </w:rPr>
      </w:pPr>
      <w:r>
        <w:rPr>
          <w:rFonts w:hint="eastAsia" w:cs="宋体"/>
          <w:b/>
          <w:bCs/>
          <w:sz w:val="21"/>
          <w:szCs w:val="21"/>
        </w:rPr>
        <w:t>符合参与政府采购活动资格条件的承诺函</w:t>
      </w:r>
      <w:r>
        <w:rPr>
          <w:rFonts w:hint="eastAsia" w:cs="宋体"/>
          <w:sz w:val="21"/>
          <w:szCs w:val="21"/>
        </w:rPr>
        <w:t>（具有良好的商业信誉和健全的财务会计制度、具备履行合同所必需的设备和专业技术能力、有依法缴纳税收和社会保障资金的良好记录、参加政府采购活动前三年，在经营活动中没有重大违法记录）</w:t>
      </w:r>
    </w:p>
    <w:p w14:paraId="225FDFC4">
      <w:pPr>
        <w:pStyle w:val="45"/>
        <w:adjustRightInd w:val="0"/>
        <w:snapToGrid w:val="0"/>
        <w:spacing w:before="0" w:beforeAutospacing="0" w:after="0" w:afterAutospacing="0" w:line="360" w:lineRule="auto"/>
        <w:ind w:left="420" w:leftChars="200"/>
        <w:rPr>
          <w:rFonts w:cs="宋体"/>
          <w:sz w:val="21"/>
          <w:szCs w:val="21"/>
        </w:rPr>
      </w:pPr>
    </w:p>
    <w:p w14:paraId="0BA3065B">
      <w:pPr>
        <w:spacing w:line="500" w:lineRule="exact"/>
        <w:jc w:val="center"/>
        <w:rPr>
          <w:b/>
          <w:sz w:val="28"/>
          <w:szCs w:val="28"/>
        </w:rPr>
      </w:pPr>
      <w:r>
        <w:rPr>
          <w:rFonts w:hint="eastAsia"/>
          <w:b/>
          <w:sz w:val="28"/>
          <w:szCs w:val="28"/>
        </w:rPr>
        <w:t>承诺函</w:t>
      </w:r>
    </w:p>
    <w:p w14:paraId="515F40FD">
      <w:pPr>
        <w:spacing w:line="440" w:lineRule="exact"/>
        <w:ind w:firstLine="420" w:firstLineChars="200"/>
        <w:rPr>
          <w:rFonts w:ascii="宋体" w:hAnsi="宋体" w:cs="宋体"/>
          <w:szCs w:val="21"/>
          <w:u w:val="single"/>
        </w:rPr>
      </w:pPr>
      <w:r>
        <w:rPr>
          <w:rFonts w:hint="eastAsia" w:ascii="宋体" w:hAnsi="宋体" w:cs="宋体"/>
          <w:szCs w:val="21"/>
          <w:u w:val="single"/>
        </w:rPr>
        <w:t>（采购人）：</w:t>
      </w:r>
    </w:p>
    <w:p w14:paraId="245C56C7">
      <w:pPr>
        <w:pStyle w:val="45"/>
        <w:spacing w:before="0" w:beforeAutospacing="0" w:after="0" w:afterAutospacing="0" w:line="440" w:lineRule="exact"/>
        <w:ind w:firstLine="420" w:firstLineChars="200"/>
        <w:rPr>
          <w:rFonts w:cs="宋体"/>
          <w:sz w:val="21"/>
          <w:szCs w:val="21"/>
        </w:rPr>
      </w:pPr>
    </w:p>
    <w:p w14:paraId="3DDAD56D">
      <w:pPr>
        <w:pStyle w:val="45"/>
        <w:shd w:val="clear" w:color="auto" w:fill="FFFFFF"/>
        <w:spacing w:before="0" w:beforeAutospacing="0" w:after="0" w:afterAutospacing="0" w:line="440" w:lineRule="exact"/>
        <w:ind w:firstLine="420" w:firstLineChars="200"/>
        <w:rPr>
          <w:rFonts w:cs="宋体"/>
          <w:sz w:val="21"/>
          <w:szCs w:val="21"/>
        </w:rPr>
      </w:pPr>
      <w:r>
        <w:rPr>
          <w:rFonts w:hint="eastAsia" w:cs="宋体"/>
          <w:sz w:val="21"/>
          <w:szCs w:val="21"/>
        </w:rPr>
        <w:t>我方</w:t>
      </w:r>
      <w:r>
        <w:rPr>
          <w:rFonts w:hint="eastAsia" w:cs="宋体"/>
          <w:sz w:val="21"/>
          <w:szCs w:val="21"/>
          <w:u w:val="single"/>
        </w:rPr>
        <w:t xml:space="preserve">    </w:t>
      </w:r>
      <w:r>
        <w:rPr>
          <w:rFonts w:hint="eastAsia" w:cs="宋体"/>
          <w:i/>
          <w:iCs/>
          <w:sz w:val="21"/>
          <w:szCs w:val="21"/>
          <w:u w:val="single"/>
        </w:rPr>
        <w:t>（投标人全称）</w:t>
      </w:r>
      <w:r>
        <w:rPr>
          <w:rFonts w:hint="eastAsia" w:cs="宋体"/>
          <w:sz w:val="21"/>
          <w:szCs w:val="21"/>
          <w:u w:val="single"/>
        </w:rPr>
        <w:t xml:space="preserve">  </w:t>
      </w:r>
      <w:r>
        <w:rPr>
          <w:rFonts w:hint="eastAsia" w:cs="宋体"/>
          <w:sz w:val="21"/>
          <w:szCs w:val="21"/>
        </w:rPr>
        <w:t>参与</w:t>
      </w:r>
      <w:r>
        <w:rPr>
          <w:rFonts w:hint="eastAsia" w:cs="宋体"/>
          <w:sz w:val="21"/>
          <w:szCs w:val="21"/>
          <w:u w:val="single"/>
        </w:rPr>
        <w:t xml:space="preserve">    </w:t>
      </w:r>
      <w:r>
        <w:rPr>
          <w:rFonts w:hint="eastAsia" w:cs="宋体"/>
          <w:i/>
          <w:iCs/>
          <w:sz w:val="21"/>
          <w:szCs w:val="21"/>
          <w:u w:val="single"/>
        </w:rPr>
        <w:t xml:space="preserve">  （项目名称）   </w:t>
      </w:r>
      <w:r>
        <w:rPr>
          <w:rFonts w:hint="eastAsia" w:cs="宋体"/>
          <w:sz w:val="21"/>
          <w:szCs w:val="21"/>
        </w:rPr>
        <w:t>政府采购活动，针对《中华人民共和国政府采购法》第二十二条所述条件做如下承诺：</w:t>
      </w:r>
    </w:p>
    <w:p w14:paraId="6D979C3F">
      <w:pPr>
        <w:pStyle w:val="45"/>
        <w:numPr>
          <w:ilvl w:val="0"/>
          <w:numId w:val="5"/>
        </w:numPr>
        <w:shd w:val="clear" w:color="auto" w:fill="FFFFFF"/>
        <w:spacing w:before="0" w:beforeAutospacing="0" w:after="0" w:afterAutospacing="0" w:line="440" w:lineRule="exact"/>
        <w:ind w:firstLine="420" w:firstLineChars="200"/>
        <w:rPr>
          <w:rFonts w:cs="宋体"/>
          <w:sz w:val="21"/>
          <w:szCs w:val="21"/>
        </w:rPr>
      </w:pPr>
      <w:r>
        <w:rPr>
          <w:rFonts w:hint="eastAsia" w:cs="宋体"/>
          <w:sz w:val="21"/>
          <w:szCs w:val="21"/>
        </w:rPr>
        <w:t>我方具有良好的商业信誉和健全的财务会计制度；</w:t>
      </w:r>
    </w:p>
    <w:p w14:paraId="365D16AA">
      <w:pPr>
        <w:pStyle w:val="45"/>
        <w:numPr>
          <w:ilvl w:val="0"/>
          <w:numId w:val="5"/>
        </w:numPr>
        <w:shd w:val="clear" w:color="auto" w:fill="FFFFFF"/>
        <w:spacing w:before="0" w:beforeAutospacing="0" w:after="0" w:afterAutospacing="0" w:line="440" w:lineRule="exact"/>
        <w:ind w:firstLine="420" w:firstLineChars="200"/>
        <w:rPr>
          <w:rFonts w:cs="宋体"/>
          <w:sz w:val="21"/>
          <w:szCs w:val="21"/>
        </w:rPr>
      </w:pPr>
      <w:r>
        <w:rPr>
          <w:rFonts w:hint="eastAsia" w:cs="宋体"/>
          <w:sz w:val="21"/>
          <w:szCs w:val="21"/>
        </w:rPr>
        <w:t>我方具有履行本项目合同所必需的设备和专业技术能力；</w:t>
      </w:r>
    </w:p>
    <w:p w14:paraId="58576EF4">
      <w:pPr>
        <w:pStyle w:val="45"/>
        <w:numPr>
          <w:ilvl w:val="0"/>
          <w:numId w:val="5"/>
        </w:numPr>
        <w:shd w:val="clear" w:color="auto" w:fill="FFFFFF"/>
        <w:spacing w:before="0" w:beforeAutospacing="0" w:after="0" w:afterAutospacing="0" w:line="440" w:lineRule="exact"/>
        <w:ind w:firstLine="420" w:firstLineChars="200"/>
        <w:rPr>
          <w:rFonts w:cs="宋体"/>
          <w:sz w:val="21"/>
          <w:szCs w:val="21"/>
        </w:rPr>
      </w:pPr>
      <w:r>
        <w:rPr>
          <w:rFonts w:hint="eastAsia" w:cs="宋体"/>
          <w:sz w:val="21"/>
          <w:szCs w:val="21"/>
        </w:rPr>
        <w:t>我方没有缴纳税收和社会保障等方面的失信记录；</w:t>
      </w:r>
    </w:p>
    <w:p w14:paraId="719F9417">
      <w:pPr>
        <w:pStyle w:val="45"/>
        <w:numPr>
          <w:ilvl w:val="0"/>
          <w:numId w:val="5"/>
        </w:numPr>
        <w:shd w:val="clear" w:color="auto" w:fill="FFFFFF"/>
        <w:spacing w:before="0" w:beforeAutospacing="0" w:after="0" w:afterAutospacing="0" w:line="440" w:lineRule="exact"/>
        <w:ind w:firstLine="420" w:firstLineChars="200"/>
        <w:rPr>
          <w:rFonts w:cs="宋体"/>
          <w:sz w:val="21"/>
          <w:szCs w:val="21"/>
        </w:rPr>
      </w:pPr>
      <w:r>
        <w:rPr>
          <w:rFonts w:hint="eastAsia" w:cs="宋体"/>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8663905">
      <w:pPr>
        <w:pStyle w:val="45"/>
        <w:spacing w:before="0" w:beforeAutospacing="0" w:after="0" w:afterAutospacing="0" w:line="440" w:lineRule="exact"/>
        <w:ind w:firstLine="420" w:firstLineChars="200"/>
        <w:rPr>
          <w:rFonts w:cs="宋体"/>
          <w:sz w:val="21"/>
          <w:szCs w:val="21"/>
        </w:rPr>
      </w:pPr>
      <w:r>
        <w:rPr>
          <w:rFonts w:hint="eastAsia" w:cs="宋体"/>
          <w:sz w:val="21"/>
          <w:szCs w:val="21"/>
        </w:rPr>
        <w:t>我方对上述承诺内容的真实性负责。如有虚假，将依法承担相应责任。</w:t>
      </w:r>
    </w:p>
    <w:p w14:paraId="69FD455B">
      <w:pPr>
        <w:pStyle w:val="45"/>
        <w:spacing w:before="0" w:beforeAutospacing="0" w:after="0" w:afterAutospacing="0" w:line="440" w:lineRule="exact"/>
        <w:ind w:firstLine="420" w:firstLineChars="200"/>
        <w:rPr>
          <w:rFonts w:cs="宋体"/>
          <w:sz w:val="21"/>
          <w:szCs w:val="21"/>
        </w:rPr>
      </w:pPr>
    </w:p>
    <w:p w14:paraId="5868DE91">
      <w:pPr>
        <w:pStyle w:val="45"/>
        <w:spacing w:before="0" w:beforeAutospacing="0" w:after="0" w:afterAutospacing="0" w:line="440" w:lineRule="exact"/>
        <w:ind w:firstLine="420" w:firstLineChars="200"/>
        <w:rPr>
          <w:rFonts w:cs="宋体"/>
          <w:sz w:val="21"/>
          <w:szCs w:val="21"/>
        </w:rPr>
      </w:pPr>
      <w:r>
        <w:rPr>
          <w:rFonts w:hint="eastAsia" w:cs="宋体"/>
          <w:sz w:val="21"/>
          <w:szCs w:val="21"/>
        </w:rPr>
        <w:t>供应商名称（CA签章）：</w:t>
      </w:r>
    </w:p>
    <w:p w14:paraId="64B2566B">
      <w:pPr>
        <w:pStyle w:val="26"/>
        <w:snapToGrid w:val="0"/>
        <w:spacing w:line="360" w:lineRule="auto"/>
        <w:ind w:firstLine="420" w:firstLineChars="200"/>
        <w:rPr>
          <w:rFonts w:hAnsi="宋体" w:cs="宋体"/>
          <w:szCs w:val="21"/>
        </w:rPr>
      </w:pPr>
      <w:r>
        <w:rPr>
          <w:rFonts w:hint="eastAsia" w:hAnsi="宋体" w:cs="宋体"/>
          <w:szCs w:val="21"/>
        </w:rPr>
        <w:t>日期：  年  月  日</w:t>
      </w:r>
    </w:p>
    <w:p w14:paraId="048F7F64">
      <w:pPr>
        <w:pStyle w:val="26"/>
        <w:snapToGrid w:val="0"/>
        <w:spacing w:line="360" w:lineRule="auto"/>
        <w:jc w:val="center"/>
        <w:rPr>
          <w:rFonts w:hAnsi="宋体" w:cs="宋体"/>
          <w:szCs w:val="21"/>
        </w:rPr>
      </w:pPr>
    </w:p>
    <w:p w14:paraId="3EA3CE7E">
      <w:pPr>
        <w:pStyle w:val="26"/>
        <w:snapToGrid w:val="0"/>
        <w:spacing w:line="360" w:lineRule="auto"/>
        <w:jc w:val="center"/>
        <w:rPr>
          <w:rFonts w:hAnsi="宋体" w:cs="宋体"/>
          <w:szCs w:val="21"/>
        </w:rPr>
      </w:pPr>
    </w:p>
    <w:p w14:paraId="6FE60D52">
      <w:pPr>
        <w:pStyle w:val="26"/>
        <w:snapToGrid w:val="0"/>
        <w:spacing w:line="360" w:lineRule="auto"/>
        <w:jc w:val="center"/>
        <w:rPr>
          <w:rFonts w:hAnsi="宋体" w:cs="宋体"/>
          <w:szCs w:val="21"/>
        </w:rPr>
      </w:pPr>
    </w:p>
    <w:p w14:paraId="5890745B">
      <w:pPr>
        <w:pStyle w:val="26"/>
        <w:snapToGrid w:val="0"/>
        <w:spacing w:line="360" w:lineRule="auto"/>
        <w:jc w:val="center"/>
        <w:rPr>
          <w:rFonts w:hAnsi="宋体" w:cs="宋体"/>
          <w:szCs w:val="21"/>
        </w:rPr>
      </w:pPr>
    </w:p>
    <w:p w14:paraId="724B7690">
      <w:pPr>
        <w:pStyle w:val="26"/>
        <w:snapToGrid w:val="0"/>
        <w:spacing w:line="360" w:lineRule="auto"/>
        <w:jc w:val="center"/>
        <w:rPr>
          <w:rFonts w:hAnsi="宋体" w:cs="宋体"/>
          <w:szCs w:val="21"/>
        </w:rPr>
      </w:pPr>
    </w:p>
    <w:p w14:paraId="05A0F69F">
      <w:pPr>
        <w:pStyle w:val="26"/>
        <w:snapToGrid w:val="0"/>
        <w:spacing w:line="360" w:lineRule="auto"/>
        <w:jc w:val="center"/>
        <w:rPr>
          <w:rFonts w:hAnsi="宋体" w:cs="宋体"/>
          <w:szCs w:val="21"/>
        </w:rPr>
      </w:pPr>
    </w:p>
    <w:p w14:paraId="27B798DB">
      <w:pPr>
        <w:pStyle w:val="26"/>
        <w:snapToGrid w:val="0"/>
        <w:spacing w:line="360" w:lineRule="auto"/>
        <w:jc w:val="center"/>
        <w:rPr>
          <w:rFonts w:hAnsi="宋体" w:cs="宋体"/>
          <w:szCs w:val="21"/>
        </w:rPr>
      </w:pPr>
    </w:p>
    <w:p w14:paraId="1BDDD20D">
      <w:pPr>
        <w:pStyle w:val="26"/>
        <w:snapToGrid w:val="0"/>
        <w:spacing w:line="360" w:lineRule="auto"/>
        <w:jc w:val="center"/>
        <w:rPr>
          <w:rFonts w:hAnsi="宋体" w:cs="宋体"/>
          <w:szCs w:val="21"/>
        </w:rPr>
      </w:pPr>
    </w:p>
    <w:p w14:paraId="77580739">
      <w:pPr>
        <w:pStyle w:val="26"/>
        <w:snapToGrid w:val="0"/>
        <w:spacing w:line="360" w:lineRule="auto"/>
        <w:jc w:val="center"/>
        <w:rPr>
          <w:rFonts w:hAnsi="宋体" w:cs="宋体"/>
          <w:szCs w:val="21"/>
        </w:rPr>
      </w:pPr>
    </w:p>
    <w:p w14:paraId="1C083BB8">
      <w:pPr>
        <w:pStyle w:val="26"/>
        <w:snapToGrid w:val="0"/>
        <w:spacing w:line="360" w:lineRule="auto"/>
        <w:jc w:val="center"/>
        <w:rPr>
          <w:rFonts w:hAnsi="宋体" w:cs="宋体"/>
          <w:szCs w:val="21"/>
        </w:rPr>
      </w:pPr>
    </w:p>
    <w:p w14:paraId="358F6EB2">
      <w:pPr>
        <w:pStyle w:val="26"/>
        <w:snapToGrid w:val="0"/>
        <w:spacing w:line="360" w:lineRule="auto"/>
        <w:jc w:val="center"/>
        <w:rPr>
          <w:rFonts w:hAnsi="宋体" w:cs="宋体"/>
          <w:szCs w:val="21"/>
        </w:rPr>
      </w:pPr>
    </w:p>
    <w:p w14:paraId="0E802965">
      <w:pPr>
        <w:pStyle w:val="26"/>
        <w:snapToGrid w:val="0"/>
        <w:spacing w:line="360" w:lineRule="auto"/>
        <w:jc w:val="center"/>
        <w:rPr>
          <w:rFonts w:hAnsi="宋体" w:cs="宋体"/>
          <w:szCs w:val="21"/>
        </w:rPr>
      </w:pPr>
    </w:p>
    <w:p w14:paraId="1C4A5398">
      <w:pPr>
        <w:pStyle w:val="26"/>
        <w:snapToGrid w:val="0"/>
        <w:spacing w:line="360" w:lineRule="auto"/>
        <w:jc w:val="center"/>
        <w:rPr>
          <w:rFonts w:hAnsi="宋体" w:cs="宋体"/>
          <w:szCs w:val="21"/>
        </w:rPr>
      </w:pPr>
    </w:p>
    <w:p w14:paraId="03C2829B">
      <w:pPr>
        <w:pStyle w:val="26"/>
        <w:snapToGrid w:val="0"/>
        <w:spacing w:line="360" w:lineRule="auto"/>
        <w:jc w:val="center"/>
        <w:rPr>
          <w:rFonts w:hAnsi="宋体"/>
          <w:b/>
          <w:color w:val="000000" w:themeColor="text1"/>
          <w:szCs w:val="21"/>
        </w:rPr>
      </w:pPr>
    </w:p>
    <w:p w14:paraId="2E5E1812">
      <w:pPr>
        <w:pStyle w:val="26"/>
        <w:snapToGrid w:val="0"/>
        <w:spacing w:line="360" w:lineRule="auto"/>
        <w:jc w:val="center"/>
        <w:rPr>
          <w:rFonts w:hAnsi="宋体"/>
          <w:b/>
          <w:color w:val="000000" w:themeColor="text1"/>
          <w:szCs w:val="21"/>
        </w:rPr>
      </w:pPr>
      <w:r>
        <w:rPr>
          <w:rFonts w:hAnsi="宋体"/>
          <w:b/>
          <w:color w:val="000000" w:themeColor="text1"/>
          <w:szCs w:val="21"/>
        </w:rPr>
        <w:t>中小企业声明函</w:t>
      </w:r>
    </w:p>
    <w:p w14:paraId="2CFBD9A7">
      <w:pPr>
        <w:pStyle w:val="19"/>
        <w:autoSpaceDE w:val="0"/>
        <w:autoSpaceDN w:val="0"/>
        <w:ind w:firstLine="420" w:firstLineChars="200"/>
        <w:rPr>
          <w:rFonts w:ascii="宋体" w:hAnsi="宋体"/>
          <w:color w:val="000000" w:themeColor="text1"/>
          <w:szCs w:val="21"/>
        </w:rPr>
      </w:pPr>
      <w:r>
        <w:rPr>
          <w:rFonts w:ascii="宋体" w:hAnsi="宋体"/>
          <w:color w:val="000000" w:themeColor="text1"/>
          <w:szCs w:val="21"/>
        </w:rPr>
        <w:t>本公司（联合体）郑重声明，根据《政府采购促进中小企业发展管理办法》（财库﹝2020﹞46号）的规定，本公司（联合体）参加</w:t>
      </w:r>
      <w:r>
        <w:rPr>
          <w:rFonts w:ascii="宋体" w:hAnsi="宋体"/>
          <w:color w:val="000000" w:themeColor="text1"/>
          <w:szCs w:val="21"/>
          <w:u w:val="single"/>
        </w:rPr>
        <w:t>（单位名称）</w:t>
      </w:r>
      <w:r>
        <w:rPr>
          <w:rFonts w:ascii="宋体" w:hAnsi="宋体"/>
          <w:color w:val="000000" w:themeColor="text1"/>
          <w:szCs w:val="21"/>
        </w:rPr>
        <w:t>的</w:t>
      </w:r>
      <w:r>
        <w:rPr>
          <w:rFonts w:ascii="宋体" w:hAnsi="宋体"/>
          <w:color w:val="000000" w:themeColor="text1"/>
          <w:szCs w:val="21"/>
          <w:u w:val="single"/>
        </w:rPr>
        <w:t>（项目名称）</w:t>
      </w:r>
      <w:r>
        <w:rPr>
          <w:rFonts w:ascii="宋体" w:hAnsi="宋体"/>
          <w:color w:val="000000" w:themeColor="text1"/>
          <w:szCs w:val="21"/>
        </w:rPr>
        <w:t>采购活动，服务全部由符合政策要求的中小企业承接。相关企业（含联合体中的中小企业、签订分包意向协议的中小企业）的具体情况如下：</w:t>
      </w:r>
    </w:p>
    <w:p w14:paraId="7A35BECA">
      <w:pPr>
        <w:pStyle w:val="19"/>
        <w:autoSpaceDE w:val="0"/>
        <w:autoSpaceDN w:val="0"/>
        <w:ind w:firstLine="420" w:firstLineChars="200"/>
        <w:rPr>
          <w:rFonts w:ascii="宋体" w:hAnsi="宋体"/>
          <w:color w:val="000000" w:themeColor="text1"/>
          <w:szCs w:val="21"/>
        </w:rPr>
      </w:pPr>
      <w:r>
        <w:rPr>
          <w:rFonts w:ascii="宋体" w:hAnsi="宋体"/>
          <w:color w:val="000000" w:themeColor="text1"/>
          <w:szCs w:val="21"/>
        </w:rPr>
        <w:t>1.</w:t>
      </w:r>
      <w:r>
        <w:rPr>
          <w:rFonts w:ascii="宋体" w:hAnsi="宋体"/>
          <w:color w:val="000000" w:themeColor="text1"/>
          <w:szCs w:val="21"/>
          <w:u w:val="single"/>
        </w:rPr>
        <w:t>（标的名称）</w:t>
      </w:r>
      <w:r>
        <w:rPr>
          <w:rFonts w:ascii="宋体" w:hAnsi="宋体"/>
          <w:color w:val="000000" w:themeColor="text1"/>
          <w:szCs w:val="21"/>
        </w:rPr>
        <w:t>，属于</w:t>
      </w:r>
      <w:r>
        <w:rPr>
          <w:rFonts w:ascii="宋体" w:hAnsi="宋体"/>
          <w:color w:val="000000" w:themeColor="text1"/>
          <w:szCs w:val="21"/>
          <w:u w:val="single"/>
        </w:rPr>
        <w:t>（采购文件中明确的所属行业）</w:t>
      </w:r>
      <w:r>
        <w:rPr>
          <w:rFonts w:ascii="宋体" w:hAnsi="宋体"/>
          <w:color w:val="000000" w:themeColor="text1"/>
          <w:szCs w:val="21"/>
        </w:rPr>
        <w:t>；承建（承接）企业为</w:t>
      </w:r>
      <w:r>
        <w:rPr>
          <w:rFonts w:ascii="宋体" w:hAnsi="宋体"/>
          <w:color w:val="000000" w:themeColor="text1"/>
          <w:szCs w:val="21"/>
          <w:u w:val="single"/>
        </w:rPr>
        <w:t>（企业名称）</w:t>
      </w:r>
      <w:r>
        <w:rPr>
          <w:rFonts w:ascii="宋体" w:hAnsi="宋体"/>
          <w:color w:val="000000" w:themeColor="text1"/>
          <w:szCs w:val="21"/>
        </w:rPr>
        <w:t xml:space="preserve">，从业人员 </w:t>
      </w:r>
      <w:r>
        <w:rPr>
          <w:rFonts w:ascii="宋体" w:hAnsi="宋体"/>
          <w:color w:val="000000" w:themeColor="text1"/>
          <w:szCs w:val="21"/>
          <w:u w:val="single"/>
        </w:rPr>
        <w:t xml:space="preserve">    </w:t>
      </w:r>
      <w:r>
        <w:rPr>
          <w:rFonts w:ascii="宋体" w:hAnsi="宋体"/>
          <w:color w:val="000000" w:themeColor="text1"/>
          <w:szCs w:val="21"/>
        </w:rPr>
        <w:t>人，营业收入为</w:t>
      </w:r>
      <w:r>
        <w:rPr>
          <w:rFonts w:ascii="宋体" w:hAnsi="宋体"/>
          <w:color w:val="000000" w:themeColor="text1"/>
          <w:szCs w:val="21"/>
          <w:u w:val="single"/>
        </w:rPr>
        <w:t xml:space="preserve">   </w:t>
      </w:r>
      <w:r>
        <w:rPr>
          <w:rFonts w:ascii="宋体" w:hAnsi="宋体"/>
          <w:color w:val="000000" w:themeColor="text1"/>
          <w:szCs w:val="21"/>
        </w:rPr>
        <w:t>万元，资产总额为</w:t>
      </w:r>
      <w:r>
        <w:rPr>
          <w:rFonts w:ascii="宋体" w:hAnsi="宋体"/>
          <w:color w:val="000000" w:themeColor="text1"/>
          <w:szCs w:val="21"/>
          <w:u w:val="single"/>
        </w:rPr>
        <w:t xml:space="preserve">  </w:t>
      </w:r>
      <w:r>
        <w:rPr>
          <w:rFonts w:ascii="宋体" w:hAnsi="宋体"/>
          <w:color w:val="000000" w:themeColor="text1"/>
          <w:szCs w:val="21"/>
          <w:u w:val="single"/>
        </w:rPr>
        <w:tab/>
      </w:r>
      <w:r>
        <w:rPr>
          <w:rFonts w:ascii="宋体" w:hAnsi="宋体"/>
          <w:color w:val="000000" w:themeColor="text1"/>
          <w:szCs w:val="21"/>
        </w:rPr>
        <w:t>万元，属于</w:t>
      </w:r>
      <w:r>
        <w:rPr>
          <w:rFonts w:ascii="宋体" w:hAnsi="宋体"/>
          <w:color w:val="000000" w:themeColor="text1"/>
          <w:szCs w:val="21"/>
          <w:u w:val="single"/>
        </w:rPr>
        <w:t>（中型企业、小型企业、微型企业）；</w:t>
      </w:r>
    </w:p>
    <w:p w14:paraId="10A99D5B">
      <w:pPr>
        <w:pStyle w:val="19"/>
        <w:autoSpaceDE w:val="0"/>
        <w:autoSpaceDN w:val="0"/>
        <w:ind w:firstLine="420" w:firstLineChars="200"/>
        <w:rPr>
          <w:rFonts w:ascii="宋体" w:hAnsi="宋体"/>
          <w:color w:val="000000" w:themeColor="text1"/>
          <w:szCs w:val="21"/>
          <w:u w:val="single"/>
        </w:rPr>
      </w:pPr>
      <w:r>
        <w:rPr>
          <w:rFonts w:ascii="宋体" w:hAnsi="宋体"/>
          <w:color w:val="000000" w:themeColor="text1"/>
          <w:szCs w:val="21"/>
        </w:rPr>
        <w:t>2.</w:t>
      </w:r>
      <w:r>
        <w:rPr>
          <w:rFonts w:ascii="宋体" w:hAnsi="宋体"/>
          <w:color w:val="000000" w:themeColor="text1"/>
          <w:szCs w:val="21"/>
          <w:u w:val="single"/>
        </w:rPr>
        <w:t>（标的名称）</w:t>
      </w:r>
      <w:r>
        <w:rPr>
          <w:rFonts w:ascii="宋体" w:hAnsi="宋体"/>
          <w:color w:val="000000" w:themeColor="text1"/>
          <w:szCs w:val="21"/>
        </w:rPr>
        <w:t>，属于</w:t>
      </w:r>
      <w:r>
        <w:rPr>
          <w:rFonts w:ascii="宋体" w:hAnsi="宋体"/>
          <w:color w:val="000000" w:themeColor="text1"/>
          <w:szCs w:val="21"/>
          <w:u w:val="single"/>
        </w:rPr>
        <w:t>（采购文件中明确的所属行业）</w:t>
      </w:r>
      <w:r>
        <w:rPr>
          <w:rFonts w:ascii="宋体" w:hAnsi="宋体"/>
          <w:color w:val="000000" w:themeColor="text1"/>
          <w:szCs w:val="21"/>
        </w:rPr>
        <w:t>；承建（承接）企业为</w:t>
      </w:r>
      <w:r>
        <w:rPr>
          <w:rFonts w:ascii="宋体" w:hAnsi="宋体"/>
          <w:color w:val="000000" w:themeColor="text1"/>
          <w:szCs w:val="21"/>
          <w:u w:val="single"/>
        </w:rPr>
        <w:t>（企业名称）</w:t>
      </w:r>
      <w:r>
        <w:rPr>
          <w:rFonts w:ascii="宋体" w:hAnsi="宋体"/>
          <w:color w:val="000000" w:themeColor="text1"/>
          <w:szCs w:val="21"/>
        </w:rPr>
        <w:t>，从业人员</w:t>
      </w:r>
      <w:r>
        <w:rPr>
          <w:rFonts w:ascii="宋体" w:hAnsi="宋体"/>
          <w:color w:val="000000" w:themeColor="text1"/>
          <w:szCs w:val="21"/>
          <w:u w:val="single"/>
        </w:rPr>
        <w:t xml:space="preserve">    </w:t>
      </w:r>
      <w:r>
        <w:rPr>
          <w:rFonts w:ascii="宋体" w:hAnsi="宋体"/>
          <w:color w:val="000000" w:themeColor="text1"/>
          <w:szCs w:val="21"/>
        </w:rPr>
        <w:t>人，营业收入为</w:t>
      </w:r>
      <w:r>
        <w:rPr>
          <w:rFonts w:ascii="宋体" w:hAnsi="宋体"/>
          <w:color w:val="000000" w:themeColor="text1"/>
          <w:szCs w:val="21"/>
          <w:u w:val="single"/>
        </w:rPr>
        <w:t xml:space="preserve">   </w:t>
      </w:r>
      <w:r>
        <w:rPr>
          <w:rFonts w:ascii="宋体" w:hAnsi="宋体"/>
          <w:color w:val="000000" w:themeColor="text1"/>
          <w:szCs w:val="21"/>
        </w:rPr>
        <w:t>万元，资产总额为</w:t>
      </w:r>
      <w:r>
        <w:rPr>
          <w:rFonts w:ascii="宋体" w:hAnsi="宋体"/>
          <w:color w:val="000000" w:themeColor="text1"/>
          <w:szCs w:val="21"/>
          <w:u w:val="single"/>
        </w:rPr>
        <w:t xml:space="preserve">    </w:t>
      </w:r>
      <w:r>
        <w:rPr>
          <w:rFonts w:ascii="宋体" w:hAnsi="宋体"/>
          <w:color w:val="000000" w:themeColor="text1"/>
          <w:szCs w:val="21"/>
        </w:rPr>
        <w:t>万元，属于</w:t>
      </w:r>
      <w:r>
        <w:rPr>
          <w:rFonts w:ascii="宋体" w:hAnsi="宋体"/>
          <w:color w:val="000000" w:themeColor="text1"/>
          <w:szCs w:val="21"/>
          <w:u w:val="single"/>
        </w:rPr>
        <w:t>（中型企业、小型企业、微型企业）；</w:t>
      </w:r>
    </w:p>
    <w:p w14:paraId="7DC9C4BF">
      <w:pPr>
        <w:pStyle w:val="19"/>
        <w:autoSpaceDE w:val="0"/>
        <w:autoSpaceDN w:val="0"/>
        <w:ind w:firstLine="420" w:firstLineChars="200"/>
        <w:rPr>
          <w:rFonts w:ascii="宋体" w:hAnsi="宋体"/>
          <w:color w:val="000000" w:themeColor="text1"/>
          <w:szCs w:val="21"/>
        </w:rPr>
      </w:pPr>
      <w:r>
        <w:rPr>
          <w:rFonts w:ascii="宋体" w:hAnsi="宋体"/>
          <w:color w:val="000000" w:themeColor="text1"/>
          <w:szCs w:val="21"/>
        </w:rPr>
        <w:t>……</w:t>
      </w:r>
    </w:p>
    <w:p w14:paraId="654F2D12">
      <w:pPr>
        <w:pStyle w:val="19"/>
        <w:autoSpaceDE w:val="0"/>
        <w:autoSpaceDN w:val="0"/>
        <w:ind w:firstLine="420" w:firstLineChars="200"/>
        <w:rPr>
          <w:rFonts w:ascii="宋体" w:hAnsi="宋体"/>
          <w:color w:val="000000" w:themeColor="text1"/>
          <w:szCs w:val="21"/>
        </w:rPr>
      </w:pPr>
      <w:r>
        <w:rPr>
          <w:rFonts w:ascii="宋体" w:hAnsi="宋体"/>
          <w:color w:val="000000" w:themeColor="text1"/>
          <w:szCs w:val="21"/>
        </w:rPr>
        <w:t>以上企业，不属于大企业的分支机构，不存在控股股东为大企业的情形，也不存在与大企业的负责人为同一人的情形。</w:t>
      </w:r>
    </w:p>
    <w:p w14:paraId="6C76F6A3">
      <w:pPr>
        <w:pStyle w:val="19"/>
        <w:autoSpaceDE w:val="0"/>
        <w:autoSpaceDN w:val="0"/>
        <w:ind w:firstLine="420" w:firstLineChars="200"/>
        <w:rPr>
          <w:rFonts w:ascii="宋体" w:hAnsi="宋体"/>
          <w:color w:val="000000" w:themeColor="text1"/>
          <w:szCs w:val="21"/>
        </w:rPr>
      </w:pPr>
      <w:r>
        <w:rPr>
          <w:rFonts w:ascii="宋体" w:hAnsi="宋体"/>
          <w:color w:val="000000" w:themeColor="text1"/>
          <w:szCs w:val="21"/>
        </w:rPr>
        <w:t>本企业对上述声明内容的真实性负责。如有虚假，将依法承担相应责任。</w:t>
      </w:r>
    </w:p>
    <w:p w14:paraId="29CFB0B4">
      <w:pPr>
        <w:pStyle w:val="19"/>
        <w:autoSpaceDE w:val="0"/>
        <w:autoSpaceDN w:val="0"/>
        <w:ind w:firstLine="3990" w:firstLineChars="1900"/>
        <w:rPr>
          <w:rFonts w:ascii="宋体" w:hAnsi="宋体"/>
          <w:color w:val="000000" w:themeColor="text1"/>
          <w:szCs w:val="21"/>
        </w:rPr>
      </w:pPr>
    </w:p>
    <w:p w14:paraId="736DD78B">
      <w:pPr>
        <w:pStyle w:val="19"/>
        <w:autoSpaceDE w:val="0"/>
        <w:autoSpaceDN w:val="0"/>
        <w:ind w:firstLine="3990" w:firstLineChars="1900"/>
        <w:rPr>
          <w:rFonts w:ascii="宋体" w:hAnsi="宋体"/>
          <w:color w:val="000000" w:themeColor="text1"/>
          <w:szCs w:val="21"/>
        </w:rPr>
      </w:pPr>
      <w:r>
        <w:rPr>
          <w:rFonts w:hint="eastAsia" w:ascii="宋体" w:hAnsi="宋体"/>
          <w:color w:val="000000" w:themeColor="text1"/>
          <w:szCs w:val="21"/>
        </w:rPr>
        <w:t>供应商（CA签章）</w:t>
      </w:r>
      <w:r>
        <w:rPr>
          <w:rFonts w:ascii="宋体" w:hAnsi="宋体"/>
          <w:color w:val="000000" w:themeColor="text1"/>
          <w:szCs w:val="21"/>
        </w:rPr>
        <w:t>：</w:t>
      </w:r>
    </w:p>
    <w:p w14:paraId="3CFB8DC9">
      <w:pPr>
        <w:pStyle w:val="19"/>
        <w:autoSpaceDE w:val="0"/>
        <w:autoSpaceDN w:val="0"/>
        <w:ind w:firstLine="3990" w:firstLineChars="1900"/>
        <w:rPr>
          <w:rFonts w:ascii="宋体" w:hAnsi="宋体"/>
          <w:color w:val="000000" w:themeColor="text1"/>
          <w:szCs w:val="21"/>
        </w:rPr>
      </w:pPr>
      <w:r>
        <w:rPr>
          <w:rFonts w:ascii="宋体" w:hAnsi="宋体"/>
          <w:color w:val="000000" w:themeColor="text1"/>
          <w:szCs w:val="21"/>
        </w:rPr>
        <w:t>日期：</w:t>
      </w:r>
    </w:p>
    <w:p w14:paraId="29ED520E">
      <w:pPr>
        <w:pStyle w:val="45"/>
        <w:widowControl w:val="0"/>
        <w:spacing w:before="0" w:beforeAutospacing="0" w:after="0" w:afterAutospacing="0" w:line="360" w:lineRule="auto"/>
        <w:ind w:firstLine="420" w:firstLineChars="200"/>
        <w:contextualSpacing/>
        <w:jc w:val="both"/>
        <w:rPr>
          <w:color w:val="000000" w:themeColor="text1"/>
          <w:kern w:val="2"/>
          <w:sz w:val="21"/>
          <w:szCs w:val="21"/>
        </w:rPr>
      </w:pPr>
      <w:r>
        <w:rPr>
          <w:color w:val="000000" w:themeColor="text1"/>
          <w:kern w:val="2"/>
          <w:sz w:val="21"/>
          <w:szCs w:val="21"/>
        </w:rPr>
        <w:t>1从业人员、营业收入、资产总额填报上一年度数据，无上一年度数据的新成立企业可不填报。</w:t>
      </w:r>
    </w:p>
    <w:p w14:paraId="27DD0510">
      <w:pPr>
        <w:pStyle w:val="45"/>
        <w:widowControl w:val="0"/>
        <w:spacing w:before="0" w:beforeAutospacing="0" w:after="0" w:afterAutospacing="0" w:line="360" w:lineRule="auto"/>
        <w:ind w:firstLine="420" w:firstLineChars="200"/>
        <w:contextualSpacing/>
        <w:jc w:val="both"/>
        <w:rPr>
          <w:color w:val="000000" w:themeColor="text1"/>
          <w:kern w:val="2"/>
          <w:sz w:val="21"/>
          <w:szCs w:val="21"/>
        </w:rPr>
      </w:pPr>
      <w:r>
        <w:rPr>
          <w:color w:val="000000" w:themeColor="text1"/>
          <w:kern w:val="2"/>
          <w:sz w:val="21"/>
          <w:szCs w:val="21"/>
        </w:rPr>
        <w:t>中小企业应当按照《政府采购促进中小企业发展管理办法》规定和《中小企业划型标准规定》（工信部联企业〔2011〕300号），如实填写并提交《中小企业声明函》。未按要求出具声明函的，投标报价不予扣减。</w:t>
      </w:r>
    </w:p>
    <w:p w14:paraId="44837188">
      <w:pPr>
        <w:pStyle w:val="45"/>
        <w:widowControl w:val="0"/>
        <w:spacing w:before="0" w:beforeAutospacing="0" w:after="0" w:afterAutospacing="0" w:line="360" w:lineRule="auto"/>
        <w:ind w:firstLine="420" w:firstLineChars="200"/>
        <w:contextualSpacing/>
        <w:jc w:val="both"/>
        <w:rPr>
          <w:color w:val="000000" w:themeColor="text1"/>
          <w:kern w:val="2"/>
          <w:sz w:val="21"/>
          <w:szCs w:val="21"/>
        </w:rPr>
      </w:pPr>
      <w:r>
        <w:rPr>
          <w:color w:val="000000" w:themeColor="text1"/>
          <w:kern w:val="2"/>
          <w:sz w:val="21"/>
          <w:szCs w:val="21"/>
        </w:rPr>
        <w:t>中小企业对其声明内容的真实性负责，声明函内容不实的，属于提供虚假材料谋取中标、成交，依照《中华人民共和国政府采购法》等国家有关规定追究相应责任。</w:t>
      </w:r>
    </w:p>
    <w:p w14:paraId="00C00C11">
      <w:pPr>
        <w:pStyle w:val="197"/>
        <w:snapToGrid w:val="0"/>
        <w:spacing w:line="360" w:lineRule="auto"/>
        <w:ind w:left="105" w:leftChars="50" w:right="42" w:rightChars="20" w:firstLine="411" w:firstLineChars="196"/>
        <w:contextualSpacing/>
        <w:rPr>
          <w:rFonts w:asciiTheme="minorEastAsia" w:hAnsiTheme="minorEastAsia" w:eastAsiaTheme="minorEastAsia"/>
          <w:b/>
          <w:bCs/>
          <w:color w:val="000000" w:themeColor="text1"/>
          <w:sz w:val="21"/>
          <w:szCs w:val="21"/>
        </w:rPr>
      </w:pPr>
      <w:r>
        <w:rPr>
          <w:rFonts w:ascii="宋体" w:eastAsia="宋体"/>
          <w:bCs/>
          <w:color w:val="000000" w:themeColor="text1"/>
          <w:sz w:val="21"/>
          <w:szCs w:val="21"/>
        </w:rPr>
        <w:t>供应商为监狱企业的证明文件：省级以上监狱管理局、戒毒管理局（含新疆生产建设兵团）出具（如有）</w:t>
      </w:r>
    </w:p>
    <w:p w14:paraId="376AB8A4">
      <w:pPr>
        <w:pStyle w:val="26"/>
        <w:snapToGrid w:val="0"/>
        <w:spacing w:line="360" w:lineRule="auto"/>
        <w:ind w:right="42" w:rightChars="20" w:firstLine="422" w:firstLineChars="200"/>
        <w:jc w:val="left"/>
        <w:rPr>
          <w:rFonts w:asciiTheme="minorEastAsia" w:hAnsiTheme="minorEastAsia" w:eastAsiaTheme="minorEastAsia"/>
          <w:b/>
          <w:color w:val="000000" w:themeColor="text1"/>
          <w:szCs w:val="21"/>
        </w:rPr>
      </w:pPr>
    </w:p>
    <w:p w14:paraId="28C9F5DC">
      <w:pPr>
        <w:pStyle w:val="26"/>
        <w:snapToGrid w:val="0"/>
        <w:spacing w:line="360" w:lineRule="auto"/>
        <w:ind w:right="42" w:rightChars="20" w:firstLine="422" w:firstLineChars="200"/>
        <w:jc w:val="left"/>
        <w:rPr>
          <w:rFonts w:asciiTheme="minorEastAsia" w:hAnsiTheme="minorEastAsia" w:eastAsiaTheme="minorEastAsia"/>
          <w:b/>
          <w:color w:val="000000" w:themeColor="text1"/>
          <w:szCs w:val="21"/>
        </w:rPr>
      </w:pPr>
    </w:p>
    <w:p w14:paraId="4EB743BA">
      <w:pPr>
        <w:pStyle w:val="26"/>
        <w:snapToGrid w:val="0"/>
        <w:spacing w:line="360" w:lineRule="auto"/>
        <w:ind w:right="42" w:rightChars="20" w:firstLine="422" w:firstLineChars="200"/>
        <w:jc w:val="left"/>
        <w:rPr>
          <w:rFonts w:asciiTheme="minorEastAsia" w:hAnsiTheme="minorEastAsia" w:eastAsiaTheme="minorEastAsia"/>
          <w:b/>
          <w:color w:val="000000" w:themeColor="text1"/>
          <w:szCs w:val="21"/>
        </w:rPr>
      </w:pPr>
    </w:p>
    <w:p w14:paraId="51CCADD0">
      <w:pPr>
        <w:pStyle w:val="26"/>
        <w:snapToGrid w:val="0"/>
        <w:spacing w:line="360" w:lineRule="auto"/>
        <w:ind w:right="42" w:rightChars="20" w:firstLine="422" w:firstLineChars="200"/>
        <w:jc w:val="left"/>
        <w:rPr>
          <w:rFonts w:asciiTheme="minorEastAsia" w:hAnsiTheme="minorEastAsia" w:eastAsiaTheme="minorEastAsia"/>
          <w:b/>
          <w:color w:val="000000" w:themeColor="text1"/>
          <w:szCs w:val="21"/>
        </w:rPr>
      </w:pPr>
    </w:p>
    <w:p w14:paraId="2482E243">
      <w:pPr>
        <w:pStyle w:val="26"/>
        <w:snapToGrid w:val="0"/>
        <w:spacing w:line="360" w:lineRule="auto"/>
        <w:ind w:right="42" w:rightChars="20" w:firstLine="422" w:firstLineChars="200"/>
        <w:jc w:val="left"/>
        <w:rPr>
          <w:rFonts w:asciiTheme="minorEastAsia" w:hAnsiTheme="minorEastAsia" w:eastAsiaTheme="minorEastAsia"/>
          <w:b/>
          <w:color w:val="000000" w:themeColor="text1"/>
          <w:szCs w:val="21"/>
        </w:rPr>
      </w:pPr>
    </w:p>
    <w:p w14:paraId="0A4D25B5">
      <w:pPr>
        <w:pStyle w:val="26"/>
        <w:snapToGrid w:val="0"/>
        <w:spacing w:line="360" w:lineRule="auto"/>
        <w:ind w:right="42" w:rightChars="20" w:firstLine="422" w:firstLineChars="200"/>
        <w:jc w:val="left"/>
        <w:rPr>
          <w:rFonts w:asciiTheme="minorEastAsia" w:hAnsiTheme="minorEastAsia" w:eastAsiaTheme="minorEastAsia"/>
          <w:b/>
          <w:color w:val="000000" w:themeColor="text1"/>
          <w:szCs w:val="21"/>
        </w:rPr>
      </w:pPr>
    </w:p>
    <w:p w14:paraId="36C6FCC5">
      <w:pPr>
        <w:pStyle w:val="26"/>
        <w:snapToGrid w:val="0"/>
        <w:spacing w:line="360" w:lineRule="auto"/>
        <w:ind w:right="42" w:rightChars="20" w:firstLine="422" w:firstLineChars="200"/>
        <w:jc w:val="left"/>
        <w:rPr>
          <w:rFonts w:asciiTheme="minorEastAsia" w:hAnsiTheme="minorEastAsia" w:eastAsiaTheme="minorEastAsia"/>
          <w:b/>
          <w:color w:val="000000" w:themeColor="text1"/>
          <w:szCs w:val="21"/>
        </w:rPr>
      </w:pPr>
    </w:p>
    <w:p w14:paraId="5B9D9C41">
      <w:pPr>
        <w:pStyle w:val="26"/>
        <w:snapToGrid w:val="0"/>
        <w:spacing w:line="360" w:lineRule="auto"/>
        <w:ind w:right="42" w:rightChars="20" w:firstLine="422" w:firstLineChars="200"/>
        <w:jc w:val="left"/>
        <w:rPr>
          <w:rFonts w:asciiTheme="minorEastAsia" w:hAnsiTheme="minorEastAsia" w:eastAsiaTheme="minorEastAsia"/>
          <w:b/>
          <w:color w:val="000000" w:themeColor="text1"/>
          <w:szCs w:val="21"/>
        </w:rPr>
      </w:pPr>
    </w:p>
    <w:p w14:paraId="63FB3CCB">
      <w:pPr>
        <w:snapToGrid w:val="0"/>
        <w:ind w:left="105" w:leftChars="50" w:right="42" w:rightChars="20"/>
        <w:jc w:val="center"/>
        <w:rPr>
          <w:rFonts w:ascii="宋体" w:hAnsi="宋体"/>
          <w:b/>
          <w:color w:val="000000" w:themeColor="text1"/>
          <w:szCs w:val="21"/>
        </w:rPr>
      </w:pPr>
    </w:p>
    <w:p w14:paraId="2706E0AA">
      <w:pPr>
        <w:snapToGrid w:val="0"/>
        <w:ind w:left="105" w:leftChars="50" w:right="42" w:rightChars="20"/>
        <w:jc w:val="center"/>
        <w:rPr>
          <w:rFonts w:ascii="宋体" w:hAnsi="宋体"/>
          <w:b/>
          <w:color w:val="000000" w:themeColor="text1"/>
          <w:szCs w:val="21"/>
        </w:rPr>
      </w:pPr>
    </w:p>
    <w:p w14:paraId="5855DB4D">
      <w:pPr>
        <w:snapToGrid w:val="0"/>
        <w:ind w:left="105" w:leftChars="50" w:right="42" w:rightChars="20"/>
        <w:jc w:val="center"/>
        <w:rPr>
          <w:rFonts w:ascii="宋体" w:hAnsi="宋体"/>
          <w:b/>
          <w:color w:val="000000" w:themeColor="text1"/>
          <w:szCs w:val="21"/>
        </w:rPr>
      </w:pPr>
    </w:p>
    <w:p w14:paraId="1A6CA70E">
      <w:pPr>
        <w:snapToGrid w:val="0"/>
        <w:ind w:left="105" w:leftChars="50" w:right="42" w:rightChars="20"/>
        <w:jc w:val="center"/>
        <w:rPr>
          <w:rFonts w:ascii="宋体" w:hAnsi="宋体"/>
          <w:color w:val="000000" w:themeColor="text1"/>
          <w:sz w:val="28"/>
          <w:szCs w:val="21"/>
        </w:rPr>
      </w:pPr>
      <w:r>
        <w:rPr>
          <w:rFonts w:hint="eastAsia" w:ascii="宋体" w:hAnsi="宋体"/>
          <w:b/>
          <w:color w:val="000000" w:themeColor="text1"/>
          <w:szCs w:val="21"/>
        </w:rPr>
        <w:t>监狱和戒毒企业证明材料</w:t>
      </w:r>
      <w:r>
        <w:rPr>
          <w:rFonts w:hint="eastAsia" w:hAnsi="宋体"/>
          <w:b/>
          <w:color w:val="000000" w:themeColor="text1"/>
          <w:szCs w:val="21"/>
        </w:rPr>
        <w:t>（非监狱和戒毒企业无需填写）</w:t>
      </w:r>
    </w:p>
    <w:p w14:paraId="1869D33D">
      <w:pPr>
        <w:pStyle w:val="195"/>
        <w:snapToGrid w:val="0"/>
        <w:ind w:left="105" w:leftChars="50" w:right="42" w:rightChars="20"/>
        <w:jc w:val="center"/>
        <w:rPr>
          <w:rFonts w:ascii="宋体" w:hAnsi="宋体"/>
          <w:b/>
          <w:color w:val="000000" w:themeColor="text1"/>
          <w:szCs w:val="21"/>
          <w:lang w:val="en-GB"/>
        </w:rPr>
      </w:pPr>
    </w:p>
    <w:p w14:paraId="02F81BD0">
      <w:pPr>
        <w:widowControl/>
        <w:spacing w:line="360" w:lineRule="auto"/>
        <w:ind w:right="42" w:rightChars="20" w:firstLine="420" w:firstLineChars="200"/>
        <w:jc w:val="left"/>
        <w:rPr>
          <w:rFonts w:ascii="宋体" w:hAnsi="宋体"/>
          <w:color w:val="000000" w:themeColor="text1"/>
          <w:szCs w:val="21"/>
        </w:rPr>
      </w:pPr>
      <w:r>
        <w:rPr>
          <w:rFonts w:hint="eastAsia" w:ascii="宋体" w:hAnsi="宋体"/>
          <w:color w:val="000000" w:themeColor="text1"/>
          <w:szCs w:val="21"/>
        </w:rPr>
        <w:t>监狱和戒毒企业参加投标时应提供由省级以上监狱管理局、戒毒管理局（含新疆生产建设兵团）出具的属于监狱企业的证明文件。</w:t>
      </w:r>
    </w:p>
    <w:p w14:paraId="6C23CCC2">
      <w:pPr>
        <w:widowControl/>
        <w:spacing w:line="360" w:lineRule="auto"/>
        <w:ind w:right="42" w:rightChars="20" w:firstLine="422" w:firstLineChars="200"/>
        <w:jc w:val="center"/>
        <w:rPr>
          <w:rFonts w:asciiTheme="minorEastAsia" w:hAnsiTheme="minorEastAsia" w:eastAsiaTheme="minorEastAsia"/>
          <w:b/>
          <w:color w:val="000000" w:themeColor="text1"/>
          <w:szCs w:val="21"/>
        </w:rPr>
      </w:pPr>
    </w:p>
    <w:p w14:paraId="345527FB">
      <w:pPr>
        <w:widowControl/>
        <w:spacing w:line="360" w:lineRule="auto"/>
        <w:ind w:right="42" w:rightChars="20" w:firstLine="422" w:firstLineChars="200"/>
        <w:jc w:val="center"/>
        <w:rPr>
          <w:rFonts w:asciiTheme="minorEastAsia" w:hAnsiTheme="minorEastAsia" w:eastAsiaTheme="minorEastAsia"/>
          <w:b/>
          <w:color w:val="000000" w:themeColor="text1"/>
          <w:szCs w:val="21"/>
        </w:rPr>
      </w:pPr>
    </w:p>
    <w:p w14:paraId="12437421">
      <w:pPr>
        <w:pStyle w:val="3"/>
        <w:ind w:right="42" w:rightChars="20"/>
        <w:rPr>
          <w:rFonts w:asciiTheme="minorEastAsia" w:hAnsiTheme="minorEastAsia" w:eastAsiaTheme="minorEastAsia"/>
          <w:color w:val="000000" w:themeColor="text1"/>
          <w:szCs w:val="21"/>
        </w:rPr>
      </w:pPr>
    </w:p>
    <w:p w14:paraId="5DD291C4">
      <w:pPr>
        <w:pStyle w:val="4"/>
        <w:ind w:right="42" w:rightChars="20" w:firstLine="482"/>
        <w:rPr>
          <w:rFonts w:asciiTheme="minorEastAsia" w:hAnsiTheme="minorEastAsia" w:eastAsiaTheme="minorEastAsia"/>
          <w:b/>
          <w:color w:val="000000" w:themeColor="text1"/>
          <w:szCs w:val="21"/>
        </w:rPr>
      </w:pPr>
    </w:p>
    <w:p w14:paraId="26B2E4EE">
      <w:pPr>
        <w:pStyle w:val="4"/>
        <w:ind w:right="42" w:rightChars="20" w:firstLine="482"/>
        <w:rPr>
          <w:rFonts w:asciiTheme="minorEastAsia" w:hAnsiTheme="minorEastAsia" w:eastAsiaTheme="minorEastAsia"/>
          <w:b/>
          <w:color w:val="000000" w:themeColor="text1"/>
          <w:szCs w:val="21"/>
        </w:rPr>
      </w:pPr>
    </w:p>
    <w:p w14:paraId="2295BDED">
      <w:pPr>
        <w:widowControl/>
        <w:spacing w:line="360" w:lineRule="auto"/>
        <w:ind w:right="42" w:rightChars="20" w:firstLine="422" w:firstLineChars="200"/>
        <w:jc w:val="center"/>
        <w:rPr>
          <w:rFonts w:asciiTheme="minorEastAsia" w:hAnsiTheme="minorEastAsia" w:eastAsiaTheme="minorEastAsia"/>
          <w:b/>
          <w:color w:val="000000" w:themeColor="text1"/>
          <w:szCs w:val="21"/>
        </w:rPr>
      </w:pPr>
    </w:p>
    <w:p w14:paraId="3D47CE1D">
      <w:pPr>
        <w:widowControl/>
        <w:spacing w:line="360" w:lineRule="auto"/>
        <w:ind w:right="42" w:rightChars="20" w:firstLine="422" w:firstLineChars="20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残疾人福利性单位声明函（非残疾人福利性单位无需提供）</w:t>
      </w:r>
    </w:p>
    <w:p w14:paraId="7466B3C9">
      <w:pPr>
        <w:widowControl/>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D52BEC">
      <w:pPr>
        <w:widowControl/>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本单位对上述声明的真实性负责。如有虚假，将依法承担相应责任。</w:t>
      </w:r>
    </w:p>
    <w:p w14:paraId="50BC5DF4">
      <w:pPr>
        <w:widowControl/>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投标人（</w:t>
      </w:r>
      <w:r>
        <w:rPr>
          <w:rFonts w:hint="eastAsia" w:asciiTheme="minorEastAsia" w:hAnsiTheme="minorEastAsia" w:eastAsiaTheme="minorEastAsia"/>
          <w:color w:val="000000" w:themeColor="text1"/>
          <w:szCs w:val="21"/>
          <w:shd w:val="clear" w:color="auto" w:fill="FFFFFF"/>
        </w:rPr>
        <w:t>CA签章</w:t>
      </w:r>
      <w:r>
        <w:rPr>
          <w:rFonts w:hint="eastAsia" w:asciiTheme="minorEastAsia" w:hAnsiTheme="minorEastAsia" w:eastAsiaTheme="minorEastAsia"/>
          <w:color w:val="000000" w:themeColor="text1"/>
          <w:szCs w:val="21"/>
        </w:rPr>
        <w:t>）：</w:t>
      </w:r>
    </w:p>
    <w:p w14:paraId="2626BE94">
      <w:pPr>
        <w:widowControl/>
        <w:spacing w:line="360" w:lineRule="auto"/>
        <w:ind w:right="42" w:rightChars="20" w:firstLine="420" w:firstLineChars="200"/>
        <w:jc w:val="left"/>
        <w:rPr>
          <w:rFonts w:cs="宋体"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 xml:space="preserve">          日 期：</w:t>
      </w:r>
    </w:p>
    <w:p w14:paraId="3C921EBB">
      <w:pPr>
        <w:pStyle w:val="60"/>
        <w:spacing w:line="360" w:lineRule="auto"/>
        <w:ind w:right="42" w:rightChars="20"/>
        <w:rPr>
          <w:rFonts w:asciiTheme="minorEastAsia" w:hAnsiTheme="minorEastAsia" w:eastAsiaTheme="minorEastAsia"/>
          <w:color w:val="000000" w:themeColor="text1"/>
        </w:rPr>
      </w:pPr>
    </w:p>
    <w:p w14:paraId="30534948">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br w:type="page"/>
      </w:r>
      <w:r>
        <w:rPr>
          <w:rFonts w:hint="eastAsia" w:asciiTheme="minorEastAsia" w:hAnsiTheme="minorEastAsia" w:eastAsiaTheme="minorEastAsia"/>
          <w:color w:val="000000" w:themeColor="text1"/>
          <w:szCs w:val="21"/>
        </w:rPr>
        <w:t>投标人的类似成功案例的业绩证明文件：</w:t>
      </w:r>
    </w:p>
    <w:p w14:paraId="007B31E8">
      <w:pPr>
        <w:pStyle w:val="36"/>
        <w:snapToGrid w:val="0"/>
        <w:spacing w:line="360" w:lineRule="auto"/>
        <w:ind w:left="0"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投标人同类项目实施情况一览表格式：（投标人同类项目合同复印件</w:t>
      </w:r>
      <w:r>
        <w:rPr>
          <w:rFonts w:hint="eastAsia" w:asciiTheme="minorEastAsia" w:hAnsiTheme="minorEastAsia" w:eastAsiaTheme="minorEastAsia"/>
          <w:color w:val="000000" w:themeColor="text1"/>
          <w:szCs w:val="21"/>
        </w:rPr>
        <w:t>并CA签章</w:t>
      </w:r>
      <w:r>
        <w:rPr>
          <w:rFonts w:asciiTheme="minorEastAsia" w:hAnsiTheme="minorEastAsia" w:eastAsiaTheme="minorEastAsia"/>
          <w:color w:val="000000" w:themeColor="text1"/>
          <w:szCs w:val="21"/>
        </w:rPr>
        <w:t>）</w:t>
      </w:r>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04"/>
        <w:gridCol w:w="1921"/>
        <w:gridCol w:w="827"/>
        <w:gridCol w:w="858"/>
        <w:gridCol w:w="1134"/>
        <w:gridCol w:w="710"/>
        <w:gridCol w:w="1666"/>
      </w:tblGrid>
      <w:tr w14:paraId="09A85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71" w:hRule="atLeast"/>
        </w:trPr>
        <w:tc>
          <w:tcPr>
            <w:tcW w:w="920" w:type="pct"/>
            <w:tcBorders>
              <w:top w:val="single" w:color="auto" w:sz="4" w:space="0"/>
              <w:left w:val="single" w:color="auto" w:sz="4" w:space="0"/>
              <w:bottom w:val="single" w:color="auto" w:sz="4" w:space="0"/>
              <w:right w:val="single" w:color="auto" w:sz="4" w:space="0"/>
            </w:tcBorders>
            <w:vAlign w:val="center"/>
          </w:tcPr>
          <w:p w14:paraId="7A1B6AEB">
            <w:pPr>
              <w:snapToGrid w:val="0"/>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采购单位名称</w:t>
            </w:r>
          </w:p>
        </w:tc>
        <w:tc>
          <w:tcPr>
            <w:tcW w:w="1101" w:type="pct"/>
            <w:tcBorders>
              <w:top w:val="single" w:color="auto" w:sz="4" w:space="0"/>
              <w:left w:val="single" w:color="auto" w:sz="4" w:space="0"/>
              <w:bottom w:val="single" w:color="auto" w:sz="4" w:space="0"/>
              <w:right w:val="single" w:color="auto" w:sz="4" w:space="0"/>
            </w:tcBorders>
            <w:vAlign w:val="center"/>
          </w:tcPr>
          <w:p w14:paraId="48D90E09">
            <w:pPr>
              <w:snapToGrid w:val="0"/>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设备或项目名称</w:t>
            </w:r>
          </w:p>
        </w:tc>
        <w:tc>
          <w:tcPr>
            <w:tcW w:w="474" w:type="pct"/>
            <w:tcBorders>
              <w:top w:val="single" w:color="auto" w:sz="4" w:space="0"/>
              <w:left w:val="single" w:color="auto" w:sz="4" w:space="0"/>
              <w:bottom w:val="single" w:color="auto" w:sz="4" w:space="0"/>
              <w:right w:val="single" w:color="auto" w:sz="4" w:space="0"/>
            </w:tcBorders>
            <w:vAlign w:val="center"/>
          </w:tcPr>
          <w:p w14:paraId="62A86DA9">
            <w:pPr>
              <w:snapToGrid w:val="0"/>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采购数量</w:t>
            </w:r>
          </w:p>
        </w:tc>
        <w:tc>
          <w:tcPr>
            <w:tcW w:w="492" w:type="pct"/>
            <w:tcBorders>
              <w:top w:val="single" w:color="auto" w:sz="4" w:space="0"/>
              <w:left w:val="single" w:color="auto" w:sz="4" w:space="0"/>
              <w:bottom w:val="single" w:color="auto" w:sz="4" w:space="0"/>
              <w:right w:val="single" w:color="auto" w:sz="4" w:space="0"/>
            </w:tcBorders>
            <w:vAlign w:val="center"/>
          </w:tcPr>
          <w:p w14:paraId="0C4EEC71">
            <w:pPr>
              <w:snapToGrid w:val="0"/>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单价</w:t>
            </w:r>
          </w:p>
        </w:tc>
        <w:tc>
          <w:tcPr>
            <w:tcW w:w="650" w:type="pct"/>
            <w:tcBorders>
              <w:top w:val="single" w:color="auto" w:sz="4" w:space="0"/>
              <w:left w:val="single" w:color="auto" w:sz="4" w:space="0"/>
              <w:bottom w:val="single" w:color="auto" w:sz="4" w:space="0"/>
              <w:right w:val="single" w:color="auto" w:sz="4" w:space="0"/>
            </w:tcBorders>
            <w:vAlign w:val="center"/>
          </w:tcPr>
          <w:p w14:paraId="19046BCC">
            <w:pPr>
              <w:snapToGrid w:val="0"/>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合同金额</w:t>
            </w:r>
          </w:p>
          <w:p w14:paraId="421272C9">
            <w:pPr>
              <w:snapToGrid w:val="0"/>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（万元）</w:t>
            </w:r>
          </w:p>
        </w:tc>
        <w:tc>
          <w:tcPr>
            <w:tcW w:w="407" w:type="pct"/>
            <w:tcBorders>
              <w:top w:val="single" w:color="auto" w:sz="4" w:space="0"/>
              <w:left w:val="single" w:color="auto" w:sz="4" w:space="0"/>
              <w:right w:val="single" w:color="auto" w:sz="4" w:space="0"/>
            </w:tcBorders>
            <w:vAlign w:val="center"/>
          </w:tcPr>
          <w:p w14:paraId="555F3A8F">
            <w:pPr>
              <w:snapToGrid w:val="0"/>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附件页码</w:t>
            </w:r>
          </w:p>
        </w:tc>
        <w:tc>
          <w:tcPr>
            <w:tcW w:w="955" w:type="pct"/>
            <w:tcBorders>
              <w:top w:val="single" w:color="auto" w:sz="4" w:space="0"/>
              <w:left w:val="single" w:color="auto" w:sz="4" w:space="0"/>
              <w:bottom w:val="single" w:color="auto" w:sz="4" w:space="0"/>
              <w:right w:val="single" w:color="auto" w:sz="4" w:space="0"/>
            </w:tcBorders>
            <w:vAlign w:val="center"/>
          </w:tcPr>
          <w:p w14:paraId="41F39E64">
            <w:pPr>
              <w:snapToGrid w:val="0"/>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采购单位联系人及联系电话</w:t>
            </w:r>
          </w:p>
        </w:tc>
      </w:tr>
      <w:tr w14:paraId="61F7B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0" w:type="pct"/>
            <w:tcBorders>
              <w:top w:val="single" w:color="auto" w:sz="4" w:space="0"/>
              <w:left w:val="single" w:color="auto" w:sz="4" w:space="0"/>
              <w:bottom w:val="single" w:color="auto" w:sz="4" w:space="0"/>
              <w:right w:val="single" w:color="auto" w:sz="4" w:space="0"/>
            </w:tcBorders>
            <w:vAlign w:val="center"/>
          </w:tcPr>
          <w:p w14:paraId="23E130B2">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101" w:type="pct"/>
            <w:tcBorders>
              <w:top w:val="single" w:color="auto" w:sz="4" w:space="0"/>
              <w:left w:val="single" w:color="auto" w:sz="4" w:space="0"/>
              <w:bottom w:val="single" w:color="auto" w:sz="4" w:space="0"/>
              <w:right w:val="single" w:color="auto" w:sz="4" w:space="0"/>
            </w:tcBorders>
            <w:vAlign w:val="center"/>
          </w:tcPr>
          <w:p w14:paraId="7ECFE2F3">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74" w:type="pct"/>
            <w:tcBorders>
              <w:top w:val="single" w:color="auto" w:sz="4" w:space="0"/>
              <w:left w:val="single" w:color="auto" w:sz="4" w:space="0"/>
              <w:bottom w:val="single" w:color="auto" w:sz="4" w:space="0"/>
              <w:right w:val="single" w:color="auto" w:sz="4" w:space="0"/>
            </w:tcBorders>
            <w:vAlign w:val="center"/>
          </w:tcPr>
          <w:p w14:paraId="30221D9B">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92" w:type="pct"/>
            <w:tcBorders>
              <w:top w:val="single" w:color="auto" w:sz="4" w:space="0"/>
              <w:left w:val="single" w:color="auto" w:sz="4" w:space="0"/>
              <w:bottom w:val="single" w:color="auto" w:sz="4" w:space="0"/>
              <w:right w:val="single" w:color="auto" w:sz="4" w:space="0"/>
            </w:tcBorders>
            <w:vAlign w:val="center"/>
          </w:tcPr>
          <w:p w14:paraId="541A484C">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650" w:type="pct"/>
            <w:tcBorders>
              <w:top w:val="single" w:color="auto" w:sz="4" w:space="0"/>
              <w:left w:val="single" w:color="auto" w:sz="4" w:space="0"/>
              <w:bottom w:val="single" w:color="auto" w:sz="4" w:space="0"/>
              <w:right w:val="single" w:color="auto" w:sz="4" w:space="0"/>
            </w:tcBorders>
            <w:vAlign w:val="center"/>
          </w:tcPr>
          <w:p w14:paraId="28B59FB8">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11FF6E47">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955" w:type="pct"/>
            <w:tcBorders>
              <w:top w:val="single" w:color="auto" w:sz="4" w:space="0"/>
              <w:left w:val="single" w:color="auto" w:sz="4" w:space="0"/>
              <w:bottom w:val="single" w:color="auto" w:sz="4" w:space="0"/>
              <w:right w:val="single" w:color="auto" w:sz="4" w:space="0"/>
            </w:tcBorders>
            <w:vAlign w:val="center"/>
          </w:tcPr>
          <w:p w14:paraId="30E2D516">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4A1D4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0" w:type="pct"/>
            <w:tcBorders>
              <w:top w:val="single" w:color="auto" w:sz="4" w:space="0"/>
              <w:left w:val="single" w:color="auto" w:sz="4" w:space="0"/>
              <w:bottom w:val="single" w:color="auto" w:sz="4" w:space="0"/>
              <w:right w:val="single" w:color="auto" w:sz="4" w:space="0"/>
            </w:tcBorders>
            <w:vAlign w:val="center"/>
          </w:tcPr>
          <w:p w14:paraId="5409D77F">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101" w:type="pct"/>
            <w:tcBorders>
              <w:top w:val="single" w:color="auto" w:sz="4" w:space="0"/>
              <w:left w:val="single" w:color="auto" w:sz="4" w:space="0"/>
              <w:bottom w:val="single" w:color="auto" w:sz="4" w:space="0"/>
              <w:right w:val="single" w:color="auto" w:sz="4" w:space="0"/>
            </w:tcBorders>
            <w:vAlign w:val="center"/>
          </w:tcPr>
          <w:p w14:paraId="7309C323">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74" w:type="pct"/>
            <w:tcBorders>
              <w:top w:val="single" w:color="auto" w:sz="4" w:space="0"/>
              <w:left w:val="single" w:color="auto" w:sz="4" w:space="0"/>
              <w:bottom w:val="single" w:color="auto" w:sz="4" w:space="0"/>
              <w:right w:val="single" w:color="auto" w:sz="4" w:space="0"/>
            </w:tcBorders>
            <w:vAlign w:val="center"/>
          </w:tcPr>
          <w:p w14:paraId="11F0B031">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92" w:type="pct"/>
            <w:tcBorders>
              <w:top w:val="single" w:color="auto" w:sz="4" w:space="0"/>
              <w:left w:val="single" w:color="auto" w:sz="4" w:space="0"/>
              <w:bottom w:val="single" w:color="auto" w:sz="4" w:space="0"/>
              <w:right w:val="single" w:color="auto" w:sz="4" w:space="0"/>
            </w:tcBorders>
            <w:vAlign w:val="center"/>
          </w:tcPr>
          <w:p w14:paraId="2C181789">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650" w:type="pct"/>
            <w:tcBorders>
              <w:top w:val="single" w:color="auto" w:sz="4" w:space="0"/>
              <w:left w:val="single" w:color="auto" w:sz="4" w:space="0"/>
              <w:bottom w:val="single" w:color="auto" w:sz="4" w:space="0"/>
              <w:right w:val="single" w:color="auto" w:sz="4" w:space="0"/>
            </w:tcBorders>
            <w:vAlign w:val="center"/>
          </w:tcPr>
          <w:p w14:paraId="053E7BAA">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47C8AFE7">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955" w:type="pct"/>
            <w:tcBorders>
              <w:top w:val="single" w:color="auto" w:sz="4" w:space="0"/>
              <w:left w:val="single" w:color="auto" w:sz="4" w:space="0"/>
              <w:bottom w:val="single" w:color="auto" w:sz="4" w:space="0"/>
              <w:right w:val="single" w:color="auto" w:sz="4" w:space="0"/>
            </w:tcBorders>
            <w:vAlign w:val="center"/>
          </w:tcPr>
          <w:p w14:paraId="3750707E">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76587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0" w:type="pct"/>
            <w:tcBorders>
              <w:top w:val="single" w:color="auto" w:sz="4" w:space="0"/>
              <w:left w:val="single" w:color="auto" w:sz="4" w:space="0"/>
              <w:bottom w:val="single" w:color="auto" w:sz="4" w:space="0"/>
              <w:right w:val="single" w:color="auto" w:sz="4" w:space="0"/>
            </w:tcBorders>
            <w:vAlign w:val="center"/>
          </w:tcPr>
          <w:p w14:paraId="5E3B0408">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101" w:type="pct"/>
            <w:tcBorders>
              <w:top w:val="single" w:color="auto" w:sz="4" w:space="0"/>
              <w:left w:val="single" w:color="auto" w:sz="4" w:space="0"/>
              <w:bottom w:val="single" w:color="auto" w:sz="4" w:space="0"/>
              <w:right w:val="single" w:color="auto" w:sz="4" w:space="0"/>
            </w:tcBorders>
            <w:vAlign w:val="center"/>
          </w:tcPr>
          <w:p w14:paraId="31E191C9">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74" w:type="pct"/>
            <w:tcBorders>
              <w:top w:val="single" w:color="auto" w:sz="4" w:space="0"/>
              <w:left w:val="single" w:color="auto" w:sz="4" w:space="0"/>
              <w:bottom w:val="single" w:color="auto" w:sz="4" w:space="0"/>
              <w:right w:val="single" w:color="auto" w:sz="4" w:space="0"/>
            </w:tcBorders>
            <w:vAlign w:val="center"/>
          </w:tcPr>
          <w:p w14:paraId="6FBDF4A5">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92" w:type="pct"/>
            <w:tcBorders>
              <w:top w:val="single" w:color="auto" w:sz="4" w:space="0"/>
              <w:left w:val="single" w:color="auto" w:sz="4" w:space="0"/>
              <w:bottom w:val="single" w:color="auto" w:sz="4" w:space="0"/>
              <w:right w:val="single" w:color="auto" w:sz="4" w:space="0"/>
            </w:tcBorders>
            <w:vAlign w:val="center"/>
          </w:tcPr>
          <w:p w14:paraId="57C83DE1">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650" w:type="pct"/>
            <w:tcBorders>
              <w:top w:val="single" w:color="auto" w:sz="4" w:space="0"/>
              <w:left w:val="single" w:color="auto" w:sz="4" w:space="0"/>
              <w:bottom w:val="single" w:color="auto" w:sz="4" w:space="0"/>
              <w:right w:val="single" w:color="auto" w:sz="4" w:space="0"/>
            </w:tcBorders>
            <w:vAlign w:val="center"/>
          </w:tcPr>
          <w:p w14:paraId="225E05E0">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64A5D19A">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955" w:type="pct"/>
            <w:tcBorders>
              <w:top w:val="single" w:color="auto" w:sz="4" w:space="0"/>
              <w:left w:val="single" w:color="auto" w:sz="4" w:space="0"/>
              <w:bottom w:val="single" w:color="auto" w:sz="4" w:space="0"/>
              <w:right w:val="single" w:color="auto" w:sz="4" w:space="0"/>
            </w:tcBorders>
            <w:vAlign w:val="center"/>
          </w:tcPr>
          <w:p w14:paraId="5479E454">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4CD0E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0" w:type="pct"/>
            <w:tcBorders>
              <w:top w:val="single" w:color="auto" w:sz="4" w:space="0"/>
              <w:left w:val="single" w:color="auto" w:sz="4" w:space="0"/>
              <w:bottom w:val="single" w:color="auto" w:sz="4" w:space="0"/>
              <w:right w:val="single" w:color="auto" w:sz="4" w:space="0"/>
            </w:tcBorders>
            <w:vAlign w:val="center"/>
          </w:tcPr>
          <w:p w14:paraId="7B13981E">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101" w:type="pct"/>
            <w:tcBorders>
              <w:top w:val="single" w:color="auto" w:sz="4" w:space="0"/>
              <w:left w:val="single" w:color="auto" w:sz="4" w:space="0"/>
              <w:bottom w:val="single" w:color="auto" w:sz="4" w:space="0"/>
              <w:right w:val="single" w:color="auto" w:sz="4" w:space="0"/>
            </w:tcBorders>
            <w:vAlign w:val="center"/>
          </w:tcPr>
          <w:p w14:paraId="11CCDFB3">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74" w:type="pct"/>
            <w:tcBorders>
              <w:top w:val="single" w:color="auto" w:sz="4" w:space="0"/>
              <w:left w:val="single" w:color="auto" w:sz="4" w:space="0"/>
              <w:bottom w:val="single" w:color="auto" w:sz="4" w:space="0"/>
              <w:right w:val="single" w:color="auto" w:sz="4" w:space="0"/>
            </w:tcBorders>
            <w:vAlign w:val="center"/>
          </w:tcPr>
          <w:p w14:paraId="33C21244">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92" w:type="pct"/>
            <w:tcBorders>
              <w:top w:val="single" w:color="auto" w:sz="4" w:space="0"/>
              <w:left w:val="single" w:color="auto" w:sz="4" w:space="0"/>
              <w:bottom w:val="single" w:color="auto" w:sz="4" w:space="0"/>
              <w:right w:val="single" w:color="auto" w:sz="4" w:space="0"/>
            </w:tcBorders>
            <w:vAlign w:val="center"/>
          </w:tcPr>
          <w:p w14:paraId="59F03206">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650" w:type="pct"/>
            <w:tcBorders>
              <w:top w:val="single" w:color="auto" w:sz="4" w:space="0"/>
              <w:left w:val="single" w:color="auto" w:sz="4" w:space="0"/>
              <w:bottom w:val="single" w:color="auto" w:sz="4" w:space="0"/>
              <w:right w:val="single" w:color="auto" w:sz="4" w:space="0"/>
            </w:tcBorders>
            <w:vAlign w:val="center"/>
          </w:tcPr>
          <w:p w14:paraId="462FBA2A">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5DF9422F">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955" w:type="pct"/>
            <w:tcBorders>
              <w:top w:val="single" w:color="auto" w:sz="4" w:space="0"/>
              <w:left w:val="single" w:color="auto" w:sz="4" w:space="0"/>
              <w:bottom w:val="single" w:color="auto" w:sz="4" w:space="0"/>
              <w:right w:val="single" w:color="auto" w:sz="4" w:space="0"/>
            </w:tcBorders>
            <w:vAlign w:val="center"/>
          </w:tcPr>
          <w:p w14:paraId="0FDF01D3">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44B61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0" w:type="pct"/>
            <w:tcBorders>
              <w:top w:val="single" w:color="auto" w:sz="4" w:space="0"/>
              <w:left w:val="single" w:color="auto" w:sz="4" w:space="0"/>
              <w:bottom w:val="single" w:color="auto" w:sz="4" w:space="0"/>
              <w:right w:val="single" w:color="auto" w:sz="4" w:space="0"/>
            </w:tcBorders>
            <w:vAlign w:val="center"/>
          </w:tcPr>
          <w:p w14:paraId="68B78C28">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101" w:type="pct"/>
            <w:tcBorders>
              <w:top w:val="single" w:color="auto" w:sz="4" w:space="0"/>
              <w:left w:val="single" w:color="auto" w:sz="4" w:space="0"/>
              <w:bottom w:val="single" w:color="auto" w:sz="4" w:space="0"/>
              <w:right w:val="single" w:color="auto" w:sz="4" w:space="0"/>
            </w:tcBorders>
            <w:vAlign w:val="center"/>
          </w:tcPr>
          <w:p w14:paraId="50DF4C20">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74" w:type="pct"/>
            <w:tcBorders>
              <w:top w:val="single" w:color="auto" w:sz="4" w:space="0"/>
              <w:left w:val="single" w:color="auto" w:sz="4" w:space="0"/>
              <w:bottom w:val="single" w:color="auto" w:sz="4" w:space="0"/>
              <w:right w:val="single" w:color="auto" w:sz="4" w:space="0"/>
            </w:tcBorders>
            <w:vAlign w:val="center"/>
          </w:tcPr>
          <w:p w14:paraId="169CA582">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92" w:type="pct"/>
            <w:tcBorders>
              <w:top w:val="single" w:color="auto" w:sz="4" w:space="0"/>
              <w:left w:val="single" w:color="auto" w:sz="4" w:space="0"/>
              <w:bottom w:val="single" w:color="auto" w:sz="4" w:space="0"/>
              <w:right w:val="single" w:color="auto" w:sz="4" w:space="0"/>
            </w:tcBorders>
            <w:vAlign w:val="center"/>
          </w:tcPr>
          <w:p w14:paraId="57251709">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650" w:type="pct"/>
            <w:tcBorders>
              <w:top w:val="single" w:color="auto" w:sz="4" w:space="0"/>
              <w:left w:val="single" w:color="auto" w:sz="4" w:space="0"/>
              <w:bottom w:val="single" w:color="auto" w:sz="4" w:space="0"/>
              <w:right w:val="single" w:color="auto" w:sz="4" w:space="0"/>
            </w:tcBorders>
            <w:vAlign w:val="center"/>
          </w:tcPr>
          <w:p w14:paraId="0F08A76E">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407" w:type="pct"/>
            <w:tcBorders>
              <w:top w:val="single" w:color="auto" w:sz="4" w:space="0"/>
              <w:left w:val="single" w:color="auto" w:sz="4" w:space="0"/>
              <w:bottom w:val="single" w:color="auto" w:sz="4" w:space="0"/>
              <w:right w:val="single" w:color="auto" w:sz="4" w:space="0"/>
            </w:tcBorders>
            <w:vAlign w:val="center"/>
          </w:tcPr>
          <w:p w14:paraId="281AB6C1">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955" w:type="pct"/>
            <w:tcBorders>
              <w:top w:val="single" w:color="auto" w:sz="4" w:space="0"/>
              <w:left w:val="single" w:color="auto" w:sz="4" w:space="0"/>
              <w:bottom w:val="single" w:color="auto" w:sz="4" w:space="0"/>
              <w:right w:val="single" w:color="auto" w:sz="4" w:space="0"/>
            </w:tcBorders>
            <w:vAlign w:val="center"/>
          </w:tcPr>
          <w:p w14:paraId="02C1C427">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bl>
    <w:p w14:paraId="6922A41E">
      <w:pPr>
        <w:pStyle w:val="15"/>
        <w:snapToGrid w:val="0"/>
        <w:spacing w:before="0" w:after="0" w:line="360" w:lineRule="auto"/>
        <w:ind w:right="42" w:rightChars="20" w:firstLine="420" w:firstLineChars="200"/>
        <w:jc w:val="left"/>
        <w:rPr>
          <w:rFonts w:asciiTheme="minorEastAsia" w:hAnsiTheme="minorEastAsia" w:eastAsiaTheme="minorEastAsia"/>
          <w:color w:val="000000" w:themeColor="text1"/>
          <w:sz w:val="21"/>
          <w:szCs w:val="21"/>
        </w:rPr>
      </w:pPr>
    </w:p>
    <w:p w14:paraId="6940C1ED">
      <w:pPr>
        <w:pStyle w:val="158"/>
        <w:snapToGrid w:val="0"/>
        <w:spacing w:line="360" w:lineRule="auto"/>
        <w:ind w:right="42" w:rightChars="20" w:firstLine="420" w:firstLineChars="200"/>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法定代表人或其授权代表签字（或盖章）</w:t>
      </w:r>
      <w:r>
        <w:rPr>
          <w:rFonts w:asciiTheme="minorEastAsia" w:hAnsiTheme="minorEastAsia" w:eastAsiaTheme="minorEastAsia"/>
          <w:color w:val="000000" w:themeColor="text1"/>
          <w:sz w:val="21"/>
          <w:szCs w:val="21"/>
        </w:rPr>
        <w:t>：</w:t>
      </w:r>
    </w:p>
    <w:p w14:paraId="51C3808E">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投标人（</w:t>
      </w:r>
      <w:r>
        <w:rPr>
          <w:rFonts w:hint="eastAsia" w:asciiTheme="minorEastAsia" w:hAnsiTheme="minorEastAsia" w:eastAsiaTheme="minorEastAsia"/>
          <w:color w:val="000000" w:themeColor="text1"/>
          <w:szCs w:val="21"/>
          <w:shd w:val="clear" w:color="auto" w:fill="FFFFFF"/>
        </w:rPr>
        <w:t>CA签章</w:t>
      </w:r>
      <w:r>
        <w:rPr>
          <w:rFonts w:hint="eastAsia" w:asciiTheme="minorEastAsia" w:hAnsiTheme="minorEastAsia" w:eastAsiaTheme="minorEastAsia"/>
          <w:color w:val="000000" w:themeColor="text1"/>
          <w:szCs w:val="21"/>
        </w:rPr>
        <w:t>）：</w:t>
      </w:r>
    </w:p>
    <w:p w14:paraId="0B4AD2B0">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日期：  年  月  日</w:t>
      </w:r>
    </w:p>
    <w:p w14:paraId="5BC4E138">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66DCBEA5">
      <w:pPr>
        <w:snapToGrid w:val="0"/>
        <w:spacing w:line="360" w:lineRule="auto"/>
        <w:ind w:right="42" w:rightChars="20" w:firstLine="420" w:firstLineChars="200"/>
        <w:jc w:val="left"/>
        <w:rPr>
          <w:rFonts w:asciiTheme="minorEastAsia" w:hAnsiTheme="minorEastAsia" w:eastAsiaTheme="minorEastAsia"/>
          <w:color w:val="000000" w:themeColor="text1"/>
          <w:szCs w:val="21"/>
        </w:rPr>
        <w:sectPr>
          <w:headerReference r:id="rId9" w:type="default"/>
          <w:pgSz w:w="11906" w:h="16838"/>
          <w:pgMar w:top="1474" w:right="1701" w:bottom="1474" w:left="1701" w:header="851" w:footer="851" w:gutter="0"/>
          <w:cols w:space="720" w:num="1"/>
          <w:docGrid w:linePitch="312" w:charSpace="0"/>
        </w:sectPr>
      </w:pPr>
    </w:p>
    <w:p w14:paraId="3BDB1F92">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商务响应表格式：</w:t>
      </w:r>
    </w:p>
    <w:tbl>
      <w:tblPr>
        <w:tblStyle w:val="49"/>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891"/>
        <w:gridCol w:w="1653"/>
        <w:gridCol w:w="2645"/>
      </w:tblGrid>
      <w:tr w14:paraId="64560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2376" w:type="dxa"/>
            <w:tcBorders>
              <w:top w:val="single" w:color="auto" w:sz="4" w:space="0"/>
              <w:left w:val="single" w:color="auto" w:sz="4" w:space="0"/>
              <w:bottom w:val="single" w:color="auto" w:sz="4" w:space="0"/>
              <w:right w:val="single" w:color="auto" w:sz="4" w:space="0"/>
            </w:tcBorders>
          </w:tcPr>
          <w:p w14:paraId="718C1AF1">
            <w:pPr>
              <w:snapToGrid w:val="0"/>
              <w:spacing w:line="360" w:lineRule="auto"/>
              <w:ind w:right="42" w:rightChars="2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w:t>
            </w:r>
          </w:p>
        </w:tc>
        <w:tc>
          <w:tcPr>
            <w:tcW w:w="1891" w:type="dxa"/>
            <w:tcBorders>
              <w:top w:val="single" w:color="auto" w:sz="4" w:space="0"/>
              <w:left w:val="single" w:color="auto" w:sz="4" w:space="0"/>
              <w:bottom w:val="single" w:color="auto" w:sz="4" w:space="0"/>
              <w:right w:val="single" w:color="auto" w:sz="4" w:space="0"/>
            </w:tcBorders>
          </w:tcPr>
          <w:p w14:paraId="61CAE7DE">
            <w:pPr>
              <w:snapToGrid w:val="0"/>
              <w:spacing w:line="360" w:lineRule="auto"/>
              <w:ind w:right="42" w:rightChars="2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招标文件要求</w:t>
            </w:r>
          </w:p>
        </w:tc>
        <w:tc>
          <w:tcPr>
            <w:tcW w:w="1653" w:type="dxa"/>
            <w:tcBorders>
              <w:top w:val="single" w:color="auto" w:sz="4" w:space="0"/>
              <w:left w:val="single" w:color="auto" w:sz="4" w:space="0"/>
              <w:bottom w:val="single" w:color="auto" w:sz="4" w:space="0"/>
              <w:right w:val="single" w:color="auto" w:sz="4" w:space="0"/>
            </w:tcBorders>
          </w:tcPr>
          <w:p w14:paraId="3C870E5D">
            <w:pPr>
              <w:snapToGrid w:val="0"/>
              <w:spacing w:line="360" w:lineRule="auto"/>
              <w:ind w:right="42" w:rightChars="2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是否响应</w:t>
            </w:r>
          </w:p>
        </w:tc>
        <w:tc>
          <w:tcPr>
            <w:tcW w:w="2645" w:type="dxa"/>
            <w:tcBorders>
              <w:top w:val="single" w:color="auto" w:sz="4" w:space="0"/>
              <w:left w:val="single" w:color="auto" w:sz="4" w:space="0"/>
              <w:bottom w:val="single" w:color="auto" w:sz="4" w:space="0"/>
              <w:right w:val="single" w:color="auto" w:sz="4" w:space="0"/>
            </w:tcBorders>
          </w:tcPr>
          <w:p w14:paraId="53D624B3">
            <w:pPr>
              <w:snapToGrid w:val="0"/>
              <w:spacing w:line="360" w:lineRule="auto"/>
              <w:ind w:right="42" w:rightChars="2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投标人的承诺或说明</w:t>
            </w:r>
          </w:p>
        </w:tc>
      </w:tr>
      <w:tr w14:paraId="261E5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76" w:type="dxa"/>
            <w:tcBorders>
              <w:top w:val="single" w:color="auto" w:sz="4" w:space="0"/>
              <w:left w:val="single" w:color="auto" w:sz="4" w:space="0"/>
              <w:bottom w:val="single" w:color="auto" w:sz="4" w:space="0"/>
              <w:right w:val="single" w:color="auto" w:sz="4" w:space="0"/>
            </w:tcBorders>
            <w:vAlign w:val="center"/>
          </w:tcPr>
          <w:p w14:paraId="361AAEB5">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交货时间</w:t>
            </w:r>
          </w:p>
        </w:tc>
        <w:tc>
          <w:tcPr>
            <w:tcW w:w="1891" w:type="dxa"/>
            <w:tcBorders>
              <w:top w:val="single" w:color="auto" w:sz="4" w:space="0"/>
              <w:left w:val="single" w:color="auto" w:sz="4" w:space="0"/>
              <w:bottom w:val="single" w:color="auto" w:sz="4" w:space="0"/>
              <w:right w:val="single" w:color="auto" w:sz="4" w:space="0"/>
            </w:tcBorders>
          </w:tcPr>
          <w:p w14:paraId="513E89E8">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c>
          <w:tcPr>
            <w:tcW w:w="1653" w:type="dxa"/>
            <w:tcBorders>
              <w:top w:val="single" w:color="auto" w:sz="4" w:space="0"/>
              <w:left w:val="single" w:color="auto" w:sz="4" w:space="0"/>
              <w:bottom w:val="single" w:color="auto" w:sz="4" w:space="0"/>
              <w:right w:val="single" w:color="auto" w:sz="4" w:space="0"/>
            </w:tcBorders>
          </w:tcPr>
          <w:p w14:paraId="7ACBAE67">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c>
          <w:tcPr>
            <w:tcW w:w="2645" w:type="dxa"/>
            <w:tcBorders>
              <w:top w:val="single" w:color="auto" w:sz="4" w:space="0"/>
              <w:left w:val="single" w:color="auto" w:sz="4" w:space="0"/>
              <w:bottom w:val="single" w:color="auto" w:sz="4" w:space="0"/>
              <w:right w:val="single" w:color="auto" w:sz="4" w:space="0"/>
            </w:tcBorders>
          </w:tcPr>
          <w:p w14:paraId="2A0CA57A">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r>
      <w:tr w14:paraId="7198C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14:paraId="715A156C">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付款条件</w:t>
            </w:r>
          </w:p>
        </w:tc>
        <w:tc>
          <w:tcPr>
            <w:tcW w:w="1891" w:type="dxa"/>
            <w:tcBorders>
              <w:top w:val="single" w:color="auto" w:sz="4" w:space="0"/>
              <w:left w:val="single" w:color="auto" w:sz="4" w:space="0"/>
              <w:bottom w:val="single" w:color="auto" w:sz="4" w:space="0"/>
              <w:right w:val="single" w:color="auto" w:sz="4" w:space="0"/>
            </w:tcBorders>
          </w:tcPr>
          <w:p w14:paraId="5809C55C">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c>
          <w:tcPr>
            <w:tcW w:w="1653" w:type="dxa"/>
            <w:tcBorders>
              <w:top w:val="single" w:color="auto" w:sz="4" w:space="0"/>
              <w:left w:val="single" w:color="auto" w:sz="4" w:space="0"/>
              <w:bottom w:val="single" w:color="auto" w:sz="4" w:space="0"/>
              <w:right w:val="single" w:color="auto" w:sz="4" w:space="0"/>
            </w:tcBorders>
          </w:tcPr>
          <w:p w14:paraId="0833A646">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c>
          <w:tcPr>
            <w:tcW w:w="2645" w:type="dxa"/>
            <w:tcBorders>
              <w:top w:val="single" w:color="auto" w:sz="4" w:space="0"/>
              <w:left w:val="single" w:color="auto" w:sz="4" w:space="0"/>
              <w:bottom w:val="single" w:color="auto" w:sz="4" w:space="0"/>
              <w:right w:val="single" w:color="auto" w:sz="4" w:space="0"/>
            </w:tcBorders>
          </w:tcPr>
          <w:p w14:paraId="7E62C9C6">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r>
      <w:tr w14:paraId="575CB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14:paraId="33F94776">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报价要求</w:t>
            </w:r>
          </w:p>
        </w:tc>
        <w:tc>
          <w:tcPr>
            <w:tcW w:w="1891" w:type="dxa"/>
            <w:tcBorders>
              <w:top w:val="single" w:color="auto" w:sz="4" w:space="0"/>
              <w:left w:val="single" w:color="auto" w:sz="4" w:space="0"/>
              <w:bottom w:val="single" w:color="auto" w:sz="4" w:space="0"/>
              <w:right w:val="single" w:color="auto" w:sz="4" w:space="0"/>
            </w:tcBorders>
          </w:tcPr>
          <w:p w14:paraId="528C8911">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c>
          <w:tcPr>
            <w:tcW w:w="1653" w:type="dxa"/>
            <w:tcBorders>
              <w:top w:val="single" w:color="auto" w:sz="4" w:space="0"/>
              <w:left w:val="single" w:color="auto" w:sz="4" w:space="0"/>
              <w:bottom w:val="single" w:color="auto" w:sz="4" w:space="0"/>
              <w:right w:val="single" w:color="auto" w:sz="4" w:space="0"/>
            </w:tcBorders>
          </w:tcPr>
          <w:p w14:paraId="6D79C5B4">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c>
          <w:tcPr>
            <w:tcW w:w="2645" w:type="dxa"/>
            <w:tcBorders>
              <w:top w:val="single" w:color="auto" w:sz="4" w:space="0"/>
              <w:left w:val="single" w:color="auto" w:sz="4" w:space="0"/>
              <w:bottom w:val="single" w:color="auto" w:sz="4" w:space="0"/>
              <w:right w:val="single" w:color="auto" w:sz="4" w:space="0"/>
            </w:tcBorders>
          </w:tcPr>
          <w:p w14:paraId="5D34D6D8">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r>
      <w:tr w14:paraId="16EA1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76" w:type="dxa"/>
            <w:tcBorders>
              <w:top w:val="single" w:color="auto" w:sz="4" w:space="0"/>
              <w:left w:val="single" w:color="auto" w:sz="4" w:space="0"/>
              <w:bottom w:val="single" w:color="auto" w:sz="4" w:space="0"/>
              <w:right w:val="single" w:color="auto" w:sz="4" w:space="0"/>
            </w:tcBorders>
            <w:vAlign w:val="center"/>
          </w:tcPr>
          <w:p w14:paraId="2747063F">
            <w:pPr>
              <w:snapToGrid w:val="0"/>
              <w:spacing w:line="360" w:lineRule="auto"/>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质保期</w:t>
            </w:r>
          </w:p>
        </w:tc>
        <w:tc>
          <w:tcPr>
            <w:tcW w:w="1891" w:type="dxa"/>
            <w:tcBorders>
              <w:top w:val="single" w:color="auto" w:sz="4" w:space="0"/>
              <w:left w:val="single" w:color="auto" w:sz="4" w:space="0"/>
              <w:bottom w:val="single" w:color="auto" w:sz="4" w:space="0"/>
              <w:right w:val="single" w:color="auto" w:sz="4" w:space="0"/>
            </w:tcBorders>
          </w:tcPr>
          <w:p w14:paraId="106FCDEE">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c>
          <w:tcPr>
            <w:tcW w:w="1653" w:type="dxa"/>
            <w:tcBorders>
              <w:top w:val="single" w:color="auto" w:sz="4" w:space="0"/>
              <w:left w:val="single" w:color="auto" w:sz="4" w:space="0"/>
              <w:bottom w:val="single" w:color="auto" w:sz="4" w:space="0"/>
              <w:right w:val="single" w:color="auto" w:sz="4" w:space="0"/>
            </w:tcBorders>
          </w:tcPr>
          <w:p w14:paraId="6101FF33">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c>
          <w:tcPr>
            <w:tcW w:w="2645" w:type="dxa"/>
            <w:tcBorders>
              <w:top w:val="single" w:color="auto" w:sz="4" w:space="0"/>
              <w:left w:val="single" w:color="auto" w:sz="4" w:space="0"/>
              <w:bottom w:val="single" w:color="auto" w:sz="4" w:space="0"/>
              <w:right w:val="single" w:color="auto" w:sz="4" w:space="0"/>
            </w:tcBorders>
          </w:tcPr>
          <w:p w14:paraId="3798FB57">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tc>
      </w:tr>
    </w:tbl>
    <w:p w14:paraId="7FD0FE2D">
      <w:pPr>
        <w:pStyle w:val="26"/>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注：本表不允许负偏离；</w:t>
      </w:r>
    </w:p>
    <w:p w14:paraId="317F7CE5">
      <w:pPr>
        <w:pStyle w:val="26"/>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▲不提供本表视为完全响应招标文件要求。</w:t>
      </w:r>
    </w:p>
    <w:p w14:paraId="130EC5D1">
      <w:pPr>
        <w:pStyle w:val="158"/>
        <w:snapToGrid w:val="0"/>
        <w:spacing w:line="360" w:lineRule="auto"/>
        <w:ind w:right="42" w:rightChars="20" w:firstLine="420" w:firstLineChars="200"/>
        <w:jc w:val="left"/>
        <w:rPr>
          <w:rFonts w:asciiTheme="minorEastAsia" w:hAnsiTheme="minorEastAsia" w:eastAsiaTheme="minorEastAsia"/>
          <w:color w:val="000000" w:themeColor="text1"/>
          <w:sz w:val="21"/>
          <w:szCs w:val="21"/>
        </w:rPr>
      </w:pPr>
    </w:p>
    <w:p w14:paraId="5E744F7B">
      <w:pPr>
        <w:pStyle w:val="158"/>
        <w:snapToGrid w:val="0"/>
        <w:spacing w:line="360" w:lineRule="auto"/>
        <w:ind w:right="42" w:rightChars="20" w:firstLine="420" w:firstLineChars="200"/>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法定代表人或其授权代表签字（或盖章）</w:t>
      </w:r>
      <w:r>
        <w:rPr>
          <w:rFonts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Cs w:val="21"/>
        </w:rPr>
        <w:t xml:space="preserve">                </w:t>
      </w:r>
    </w:p>
    <w:p w14:paraId="48C4B416">
      <w:pPr>
        <w:pStyle w:val="26"/>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投标人：（</w:t>
      </w:r>
      <w:r>
        <w:rPr>
          <w:rFonts w:hint="eastAsia" w:asciiTheme="minorEastAsia" w:hAnsiTheme="minorEastAsia" w:eastAsiaTheme="minorEastAsia"/>
          <w:color w:val="000000" w:themeColor="text1"/>
          <w:szCs w:val="21"/>
          <w:shd w:val="clear" w:color="auto" w:fill="FFFFFF"/>
        </w:rPr>
        <w:t>CA签章</w:t>
      </w:r>
      <w:r>
        <w:rPr>
          <w:rFonts w:hint="eastAsia" w:asciiTheme="minorEastAsia" w:hAnsiTheme="minorEastAsia" w:eastAsiaTheme="minorEastAsia"/>
          <w:color w:val="000000" w:themeColor="text1"/>
          <w:szCs w:val="21"/>
        </w:rPr>
        <w:t>）</w:t>
      </w:r>
    </w:p>
    <w:p w14:paraId="3C5D69F3">
      <w:pPr>
        <w:pStyle w:val="26"/>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日期：  年  月  日</w:t>
      </w:r>
    </w:p>
    <w:p w14:paraId="17F5CF92">
      <w:pPr>
        <w:snapToGrid w:val="0"/>
        <w:spacing w:line="360" w:lineRule="auto"/>
        <w:ind w:right="42" w:rightChars="20" w:firstLine="422" w:firstLineChars="200"/>
        <w:jc w:val="left"/>
        <w:rPr>
          <w:rFonts w:asciiTheme="minorEastAsia" w:hAnsiTheme="minorEastAsia" w:eastAsiaTheme="minorEastAsia"/>
          <w:b/>
          <w:bCs/>
          <w:color w:val="000000" w:themeColor="text1"/>
          <w:szCs w:val="21"/>
        </w:rPr>
      </w:pPr>
    </w:p>
    <w:p w14:paraId="0A17684C">
      <w:pPr>
        <w:pStyle w:val="60"/>
        <w:ind w:right="42" w:rightChars="20"/>
        <w:rPr>
          <w:rFonts w:asciiTheme="minorEastAsia" w:hAnsiTheme="minorEastAsia" w:eastAsiaTheme="minorEastAsia"/>
          <w:color w:val="000000" w:themeColor="text1"/>
        </w:rPr>
      </w:pPr>
    </w:p>
    <w:p w14:paraId="55D29A28">
      <w:pPr>
        <w:snapToGrid w:val="0"/>
        <w:spacing w:before="50" w:after="120" w:afterLines="50" w:line="360" w:lineRule="auto"/>
        <w:ind w:right="42" w:rightChars="2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技术响应表格式</w:t>
      </w:r>
    </w:p>
    <w:tbl>
      <w:tblPr>
        <w:tblStyle w:val="49"/>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7"/>
        <w:gridCol w:w="2475"/>
        <w:gridCol w:w="1583"/>
        <w:gridCol w:w="1849"/>
        <w:gridCol w:w="1456"/>
      </w:tblGrid>
      <w:tr w14:paraId="6342E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4052" w:type="dxa"/>
            <w:gridSpan w:val="2"/>
            <w:tcBorders>
              <w:top w:val="single" w:color="auto" w:sz="4" w:space="0"/>
              <w:left w:val="single" w:color="auto" w:sz="4" w:space="0"/>
              <w:bottom w:val="single" w:color="auto" w:sz="4" w:space="0"/>
              <w:right w:val="single" w:color="auto" w:sz="4" w:space="0"/>
            </w:tcBorders>
          </w:tcPr>
          <w:p w14:paraId="6E65A841">
            <w:pPr>
              <w:snapToGrid w:val="0"/>
              <w:spacing w:line="360" w:lineRule="auto"/>
              <w:ind w:right="42" w:rightChars="20"/>
              <w:jc w:val="center"/>
              <w:outlineLvl w:val="0"/>
              <w:rPr>
                <w:rFonts w:asciiTheme="minorEastAsia" w:hAnsiTheme="minorEastAsia" w:eastAsiaTheme="minorEastAsia"/>
                <w:color w:val="000000" w:themeColor="text1"/>
                <w:szCs w:val="21"/>
              </w:rPr>
            </w:pPr>
            <w:bookmarkStart w:id="400" w:name="_Toc382928236"/>
            <w:bookmarkStart w:id="401" w:name="_Toc385854156"/>
            <w:bookmarkStart w:id="402" w:name="_Toc402963128"/>
            <w:bookmarkStart w:id="403" w:name="_Toc377028119"/>
            <w:bookmarkStart w:id="404" w:name="_Toc377028057"/>
            <w:bookmarkStart w:id="405" w:name="_Toc382928118"/>
            <w:bookmarkStart w:id="406" w:name="_Toc62745298"/>
            <w:bookmarkStart w:id="407" w:name="_Toc381081903"/>
            <w:bookmarkStart w:id="408" w:name="_Toc377653976"/>
            <w:bookmarkStart w:id="409" w:name="_Toc406402957"/>
            <w:bookmarkStart w:id="410" w:name="_Toc385854110"/>
            <w:bookmarkStart w:id="411" w:name="_Toc406403001"/>
            <w:bookmarkStart w:id="412" w:name="_Toc9067"/>
            <w:bookmarkStart w:id="413" w:name="_Toc402963095"/>
            <w:bookmarkStart w:id="414" w:name="_Toc401570290"/>
            <w:bookmarkStart w:id="415" w:name="_Toc401570314"/>
            <w:r>
              <w:rPr>
                <w:rFonts w:hint="eastAsia" w:asciiTheme="minorEastAsia" w:hAnsiTheme="minorEastAsia" w:eastAsiaTheme="minorEastAsia"/>
                <w:color w:val="000000" w:themeColor="text1"/>
                <w:szCs w:val="21"/>
              </w:rPr>
              <w:t>招标文件要求</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tc>
        <w:tc>
          <w:tcPr>
            <w:tcW w:w="3432" w:type="dxa"/>
            <w:gridSpan w:val="2"/>
            <w:tcBorders>
              <w:top w:val="single" w:color="auto" w:sz="4" w:space="0"/>
              <w:left w:val="single" w:color="auto" w:sz="4" w:space="0"/>
              <w:bottom w:val="single" w:color="auto" w:sz="4" w:space="0"/>
              <w:right w:val="single" w:color="auto" w:sz="4" w:space="0"/>
            </w:tcBorders>
          </w:tcPr>
          <w:p w14:paraId="16DA7009">
            <w:pPr>
              <w:snapToGrid w:val="0"/>
              <w:spacing w:line="360" w:lineRule="auto"/>
              <w:ind w:right="42" w:rightChars="20"/>
              <w:jc w:val="center"/>
              <w:outlineLvl w:val="0"/>
              <w:rPr>
                <w:rFonts w:asciiTheme="minorEastAsia" w:hAnsiTheme="minorEastAsia" w:eastAsiaTheme="minorEastAsia"/>
                <w:color w:val="000000" w:themeColor="text1"/>
                <w:szCs w:val="21"/>
              </w:rPr>
            </w:pPr>
            <w:bookmarkStart w:id="416" w:name="_Toc401570291"/>
            <w:bookmarkStart w:id="417" w:name="_Toc402963096"/>
            <w:bookmarkStart w:id="418" w:name="_Toc402963129"/>
            <w:bookmarkStart w:id="419" w:name="_Toc62745299"/>
            <w:bookmarkStart w:id="420" w:name="_Toc377653977"/>
            <w:bookmarkStart w:id="421" w:name="_Toc406402958"/>
            <w:bookmarkStart w:id="422" w:name="_Toc381081904"/>
            <w:bookmarkStart w:id="423" w:name="_Toc401570315"/>
            <w:bookmarkStart w:id="424" w:name="_Toc377028058"/>
            <w:bookmarkStart w:id="425" w:name="_Toc382928119"/>
            <w:bookmarkStart w:id="426" w:name="_Toc382928237"/>
            <w:bookmarkStart w:id="427" w:name="_Toc26647"/>
            <w:bookmarkStart w:id="428" w:name="_Toc385854157"/>
            <w:bookmarkStart w:id="429" w:name="_Toc377028120"/>
            <w:bookmarkStart w:id="430" w:name="_Toc406403002"/>
            <w:bookmarkStart w:id="431" w:name="_Toc385854111"/>
            <w:r>
              <w:rPr>
                <w:rFonts w:hint="eastAsia" w:asciiTheme="minorEastAsia" w:hAnsiTheme="minorEastAsia" w:eastAsiaTheme="minorEastAsia"/>
                <w:color w:val="000000" w:themeColor="text1"/>
                <w:szCs w:val="21"/>
              </w:rPr>
              <w:t>投标文件响应</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tc>
        <w:tc>
          <w:tcPr>
            <w:tcW w:w="1456" w:type="dxa"/>
            <w:vMerge w:val="restart"/>
            <w:tcBorders>
              <w:top w:val="single" w:color="auto" w:sz="4" w:space="0"/>
              <w:left w:val="single" w:color="auto" w:sz="4" w:space="0"/>
              <w:bottom w:val="single" w:color="auto" w:sz="4" w:space="0"/>
              <w:right w:val="single" w:color="auto" w:sz="4" w:space="0"/>
            </w:tcBorders>
            <w:vAlign w:val="center"/>
          </w:tcPr>
          <w:p w14:paraId="6D82D256">
            <w:pPr>
              <w:snapToGrid w:val="0"/>
              <w:spacing w:line="360" w:lineRule="auto"/>
              <w:ind w:right="42" w:rightChars="20"/>
              <w:jc w:val="center"/>
              <w:outlineLvl w:val="0"/>
              <w:rPr>
                <w:rFonts w:asciiTheme="minorEastAsia" w:hAnsiTheme="minorEastAsia" w:eastAsiaTheme="minorEastAsia"/>
                <w:color w:val="000000" w:themeColor="text1"/>
                <w:szCs w:val="21"/>
              </w:rPr>
            </w:pPr>
            <w:bookmarkStart w:id="432" w:name="_Toc385854158"/>
            <w:bookmarkStart w:id="433" w:name="_Toc62745300"/>
            <w:bookmarkStart w:id="434" w:name="_Toc402963097"/>
            <w:bookmarkStart w:id="435" w:name="_Toc401570292"/>
            <w:bookmarkStart w:id="436" w:name="_Toc377028059"/>
            <w:bookmarkStart w:id="437" w:name="_Toc406402959"/>
            <w:bookmarkStart w:id="438" w:name="_Toc401570316"/>
            <w:bookmarkStart w:id="439" w:name="_Toc381081905"/>
            <w:bookmarkStart w:id="440" w:name="_Toc382928120"/>
            <w:bookmarkStart w:id="441" w:name="_Toc10941"/>
            <w:bookmarkStart w:id="442" w:name="_Toc385854112"/>
            <w:bookmarkStart w:id="443" w:name="_Toc382928238"/>
            <w:bookmarkStart w:id="444" w:name="_Toc377653978"/>
            <w:bookmarkStart w:id="445" w:name="_Toc402963130"/>
            <w:bookmarkStart w:id="446" w:name="_Toc377028121"/>
            <w:bookmarkStart w:id="447" w:name="_Toc406403003"/>
            <w:r>
              <w:rPr>
                <w:rFonts w:hint="eastAsia" w:asciiTheme="minorEastAsia" w:hAnsiTheme="minorEastAsia" w:eastAsiaTheme="minorEastAsia"/>
                <w:color w:val="000000" w:themeColor="text1"/>
                <w:szCs w:val="21"/>
              </w:rPr>
              <w:t>偏离情况</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tc>
      </w:tr>
      <w:tr w14:paraId="43700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1577" w:type="dxa"/>
            <w:tcBorders>
              <w:top w:val="single" w:color="auto" w:sz="4" w:space="0"/>
              <w:left w:val="single" w:color="auto" w:sz="4" w:space="0"/>
              <w:bottom w:val="single" w:color="auto" w:sz="4" w:space="0"/>
              <w:right w:val="single" w:color="auto" w:sz="4" w:space="0"/>
            </w:tcBorders>
          </w:tcPr>
          <w:p w14:paraId="4D78F7BD">
            <w:pPr>
              <w:snapToGrid w:val="0"/>
              <w:spacing w:line="360" w:lineRule="auto"/>
              <w:ind w:right="42" w:rightChars="20"/>
              <w:jc w:val="center"/>
              <w:outlineLvl w:val="0"/>
              <w:rPr>
                <w:rFonts w:asciiTheme="minorEastAsia" w:hAnsiTheme="minorEastAsia" w:eastAsiaTheme="minorEastAsia"/>
                <w:color w:val="000000" w:themeColor="text1"/>
                <w:szCs w:val="21"/>
              </w:rPr>
            </w:pPr>
            <w:bookmarkStart w:id="448" w:name="_Toc377653979"/>
            <w:bookmarkStart w:id="449" w:name="_Toc62745301"/>
            <w:bookmarkStart w:id="450" w:name="_Toc406402960"/>
            <w:bookmarkStart w:id="451" w:name="_Toc377028122"/>
            <w:bookmarkStart w:id="452" w:name="_Toc401570293"/>
            <w:bookmarkStart w:id="453" w:name="_Toc401570317"/>
            <w:bookmarkStart w:id="454" w:name="_Toc402963131"/>
            <w:bookmarkStart w:id="455" w:name="_Toc381081906"/>
            <w:bookmarkStart w:id="456" w:name="_Toc385854113"/>
            <w:bookmarkStart w:id="457" w:name="_Toc385854159"/>
            <w:bookmarkStart w:id="458" w:name="_Toc12028"/>
            <w:bookmarkStart w:id="459" w:name="_Toc382928239"/>
            <w:bookmarkStart w:id="460" w:name="_Toc406403004"/>
            <w:bookmarkStart w:id="461" w:name="_Toc382928121"/>
            <w:bookmarkStart w:id="462" w:name="_Toc402963098"/>
            <w:bookmarkStart w:id="463" w:name="_Toc377028060"/>
            <w:r>
              <w:rPr>
                <w:rFonts w:hint="eastAsia" w:asciiTheme="minorEastAsia" w:hAnsiTheme="minorEastAsia" w:eastAsiaTheme="minorEastAsia"/>
                <w:color w:val="000000" w:themeColor="text1"/>
                <w:szCs w:val="21"/>
              </w:rPr>
              <w:t>项目</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tc>
        <w:tc>
          <w:tcPr>
            <w:tcW w:w="2475" w:type="dxa"/>
            <w:tcBorders>
              <w:top w:val="single" w:color="auto" w:sz="4" w:space="0"/>
              <w:left w:val="single" w:color="auto" w:sz="4" w:space="0"/>
              <w:bottom w:val="single" w:color="auto" w:sz="4" w:space="0"/>
              <w:right w:val="single" w:color="auto" w:sz="4" w:space="0"/>
            </w:tcBorders>
          </w:tcPr>
          <w:p w14:paraId="0CA71830">
            <w:pPr>
              <w:snapToGrid w:val="0"/>
              <w:spacing w:line="360" w:lineRule="auto"/>
              <w:ind w:right="42" w:rightChars="20"/>
              <w:jc w:val="center"/>
              <w:outlineLvl w:val="0"/>
              <w:rPr>
                <w:rFonts w:asciiTheme="minorEastAsia" w:hAnsiTheme="minorEastAsia" w:eastAsiaTheme="minorEastAsia"/>
                <w:color w:val="000000" w:themeColor="text1"/>
                <w:szCs w:val="21"/>
              </w:rPr>
            </w:pPr>
            <w:bookmarkStart w:id="464" w:name="_Toc401570318"/>
            <w:bookmarkStart w:id="465" w:name="_Toc385854160"/>
            <w:bookmarkStart w:id="466" w:name="_Toc377653980"/>
            <w:bookmarkStart w:id="467" w:name="_Toc402963132"/>
            <w:bookmarkStart w:id="468" w:name="_Toc382928122"/>
            <w:bookmarkStart w:id="469" w:name="_Toc401570294"/>
            <w:bookmarkStart w:id="470" w:name="_Toc382928240"/>
            <w:bookmarkStart w:id="471" w:name="_Toc385854114"/>
            <w:bookmarkStart w:id="472" w:name="_Toc406402961"/>
            <w:bookmarkStart w:id="473" w:name="_Toc377028061"/>
            <w:bookmarkStart w:id="474" w:name="_Toc793"/>
            <w:bookmarkStart w:id="475" w:name="_Toc377028123"/>
            <w:bookmarkStart w:id="476" w:name="_Toc381081907"/>
            <w:bookmarkStart w:id="477" w:name="_Toc402963099"/>
            <w:bookmarkStart w:id="478" w:name="_Toc406403005"/>
            <w:bookmarkStart w:id="479" w:name="_Toc62745302"/>
            <w:r>
              <w:rPr>
                <w:rFonts w:hint="eastAsia" w:asciiTheme="minorEastAsia" w:hAnsiTheme="minorEastAsia" w:eastAsiaTheme="minorEastAsia"/>
                <w:color w:val="000000" w:themeColor="text1"/>
                <w:szCs w:val="21"/>
              </w:rPr>
              <w:t>要求</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tc>
        <w:tc>
          <w:tcPr>
            <w:tcW w:w="1583" w:type="dxa"/>
            <w:tcBorders>
              <w:top w:val="single" w:color="auto" w:sz="4" w:space="0"/>
              <w:left w:val="single" w:color="auto" w:sz="4" w:space="0"/>
              <w:bottom w:val="single" w:color="auto" w:sz="4" w:space="0"/>
              <w:right w:val="single" w:color="auto" w:sz="4" w:space="0"/>
            </w:tcBorders>
          </w:tcPr>
          <w:p w14:paraId="36FD9881">
            <w:pPr>
              <w:snapToGrid w:val="0"/>
              <w:spacing w:line="360" w:lineRule="auto"/>
              <w:ind w:right="42" w:rightChars="20"/>
              <w:jc w:val="center"/>
              <w:outlineLvl w:val="0"/>
              <w:rPr>
                <w:rFonts w:asciiTheme="minorEastAsia" w:hAnsiTheme="minorEastAsia" w:eastAsiaTheme="minorEastAsia"/>
                <w:color w:val="000000" w:themeColor="text1"/>
                <w:szCs w:val="21"/>
              </w:rPr>
            </w:pPr>
            <w:bookmarkStart w:id="480" w:name="_Toc402963133"/>
            <w:bookmarkStart w:id="481" w:name="_Toc377028062"/>
            <w:bookmarkStart w:id="482" w:name="_Toc381081908"/>
            <w:bookmarkStart w:id="483" w:name="_Toc402963100"/>
            <w:bookmarkStart w:id="484" w:name="_Toc377028124"/>
            <w:bookmarkStart w:id="485" w:name="_Toc385854161"/>
            <w:bookmarkStart w:id="486" w:name="_Toc406403006"/>
            <w:bookmarkStart w:id="487" w:name="_Toc377653981"/>
            <w:bookmarkStart w:id="488" w:name="_Toc382928123"/>
            <w:bookmarkStart w:id="489" w:name="_Toc401570295"/>
            <w:bookmarkStart w:id="490" w:name="_Toc406402962"/>
            <w:bookmarkStart w:id="491" w:name="_Toc21479"/>
            <w:bookmarkStart w:id="492" w:name="_Toc385854115"/>
            <w:bookmarkStart w:id="493" w:name="_Toc401570319"/>
            <w:bookmarkStart w:id="494" w:name="_Toc62745303"/>
            <w:bookmarkStart w:id="495" w:name="_Toc382928241"/>
            <w:r>
              <w:rPr>
                <w:rFonts w:hint="eastAsia" w:asciiTheme="minorEastAsia" w:hAnsiTheme="minorEastAsia" w:eastAsiaTheme="minorEastAsia"/>
                <w:color w:val="000000" w:themeColor="text1"/>
                <w:szCs w:val="21"/>
              </w:rPr>
              <w:t>设备名称</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tc>
        <w:tc>
          <w:tcPr>
            <w:tcW w:w="1849" w:type="dxa"/>
            <w:tcBorders>
              <w:top w:val="single" w:color="auto" w:sz="4" w:space="0"/>
              <w:left w:val="single" w:color="auto" w:sz="4" w:space="0"/>
              <w:bottom w:val="single" w:color="auto" w:sz="4" w:space="0"/>
              <w:right w:val="single" w:color="auto" w:sz="4" w:space="0"/>
            </w:tcBorders>
          </w:tcPr>
          <w:p w14:paraId="685BDF98">
            <w:pPr>
              <w:snapToGrid w:val="0"/>
              <w:spacing w:line="360" w:lineRule="auto"/>
              <w:ind w:right="42" w:rightChars="20"/>
              <w:jc w:val="center"/>
              <w:outlineLvl w:val="0"/>
              <w:rPr>
                <w:rFonts w:asciiTheme="minorEastAsia" w:hAnsiTheme="minorEastAsia" w:eastAsiaTheme="minorEastAsia"/>
                <w:color w:val="000000" w:themeColor="text1"/>
                <w:szCs w:val="21"/>
              </w:rPr>
            </w:pPr>
            <w:bookmarkStart w:id="496" w:name="_Toc385854162"/>
            <w:bookmarkStart w:id="497" w:name="_Toc401570296"/>
            <w:bookmarkStart w:id="498" w:name="_Toc402963134"/>
            <w:bookmarkStart w:id="499" w:name="_Toc62745304"/>
            <w:bookmarkStart w:id="500" w:name="_Toc406403007"/>
            <w:bookmarkStart w:id="501" w:name="_Toc381081909"/>
            <w:bookmarkStart w:id="502" w:name="_Toc385854116"/>
            <w:bookmarkStart w:id="503" w:name="_Toc406402963"/>
            <w:bookmarkStart w:id="504" w:name="_Toc377028063"/>
            <w:bookmarkStart w:id="505" w:name="_Toc377653982"/>
            <w:bookmarkStart w:id="506" w:name="_Toc382928242"/>
            <w:bookmarkStart w:id="507" w:name="_Toc382928124"/>
            <w:bookmarkStart w:id="508" w:name="_Toc401570320"/>
            <w:bookmarkStart w:id="509" w:name="_Toc402963101"/>
            <w:bookmarkStart w:id="510" w:name="_Toc377028125"/>
            <w:bookmarkStart w:id="511" w:name="_Toc27383"/>
            <w:r>
              <w:rPr>
                <w:rFonts w:hint="eastAsia" w:asciiTheme="minorEastAsia" w:hAnsiTheme="minorEastAsia" w:eastAsiaTheme="minorEastAsia"/>
                <w:color w:val="000000" w:themeColor="text1"/>
                <w:szCs w:val="21"/>
              </w:rPr>
              <w:t>性能及指标</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hint="eastAsia" w:asciiTheme="minorEastAsia" w:hAnsiTheme="minorEastAsia" w:eastAsiaTheme="minorEastAsia"/>
                <w:color w:val="000000" w:themeColor="text1"/>
                <w:szCs w:val="21"/>
              </w:rPr>
              <w:t>（具体指标附表后）</w:t>
            </w:r>
            <w:bookmarkEnd w:id="511"/>
          </w:p>
        </w:tc>
        <w:tc>
          <w:tcPr>
            <w:tcW w:w="1456" w:type="dxa"/>
            <w:vMerge w:val="continue"/>
            <w:tcBorders>
              <w:top w:val="single" w:color="auto" w:sz="4" w:space="0"/>
              <w:left w:val="single" w:color="auto" w:sz="4" w:space="0"/>
              <w:bottom w:val="single" w:color="auto" w:sz="4" w:space="0"/>
              <w:right w:val="single" w:color="auto" w:sz="4" w:space="0"/>
            </w:tcBorders>
            <w:vAlign w:val="center"/>
          </w:tcPr>
          <w:p w14:paraId="1B76F787">
            <w:pPr>
              <w:widowControl/>
              <w:spacing w:line="360" w:lineRule="auto"/>
              <w:ind w:right="42" w:rightChars="20"/>
              <w:jc w:val="left"/>
              <w:rPr>
                <w:rFonts w:asciiTheme="minorEastAsia" w:hAnsiTheme="minorEastAsia" w:eastAsiaTheme="minorEastAsia"/>
                <w:color w:val="000000" w:themeColor="text1"/>
                <w:szCs w:val="21"/>
              </w:rPr>
            </w:pPr>
          </w:p>
        </w:tc>
      </w:tr>
      <w:tr w14:paraId="0A4DB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1BB8A344">
            <w:pPr>
              <w:snapToGrid w:val="0"/>
              <w:spacing w:before="120" w:beforeLines="50" w:after="120" w:afterLines="50" w:line="360" w:lineRule="auto"/>
              <w:ind w:right="42" w:rightChars="20"/>
              <w:outlineLvl w:val="0"/>
              <w:rPr>
                <w:rFonts w:asciiTheme="minorEastAsia" w:hAnsiTheme="minorEastAsia" w:eastAsiaTheme="minorEastAsia"/>
                <w:color w:val="000000" w:themeColor="text1"/>
                <w:szCs w:val="21"/>
              </w:rPr>
            </w:pPr>
          </w:p>
        </w:tc>
        <w:tc>
          <w:tcPr>
            <w:tcW w:w="2475" w:type="dxa"/>
            <w:tcBorders>
              <w:top w:val="single" w:color="auto" w:sz="4" w:space="0"/>
              <w:left w:val="single" w:color="auto" w:sz="4" w:space="0"/>
              <w:bottom w:val="single" w:color="auto" w:sz="4" w:space="0"/>
              <w:right w:val="single" w:color="auto" w:sz="4" w:space="0"/>
            </w:tcBorders>
            <w:vAlign w:val="center"/>
          </w:tcPr>
          <w:p w14:paraId="788EEF00">
            <w:pPr>
              <w:snapToGrid w:val="0"/>
              <w:spacing w:line="360" w:lineRule="auto"/>
              <w:ind w:right="42" w:rightChars="20"/>
              <w:outlineLvl w:val="0"/>
              <w:rPr>
                <w:rFonts w:asciiTheme="minorEastAsia" w:hAnsiTheme="minorEastAsia" w:eastAsiaTheme="minorEastAsia"/>
                <w:color w:val="000000" w:themeColor="text1"/>
                <w:szCs w:val="21"/>
              </w:rPr>
            </w:pPr>
          </w:p>
        </w:tc>
        <w:tc>
          <w:tcPr>
            <w:tcW w:w="1583" w:type="dxa"/>
            <w:tcBorders>
              <w:top w:val="single" w:color="auto" w:sz="4" w:space="0"/>
              <w:left w:val="single" w:color="auto" w:sz="4" w:space="0"/>
              <w:bottom w:val="single" w:color="auto" w:sz="4" w:space="0"/>
              <w:right w:val="single" w:color="auto" w:sz="4" w:space="0"/>
            </w:tcBorders>
          </w:tcPr>
          <w:p w14:paraId="392C6D4D">
            <w:pPr>
              <w:snapToGrid w:val="0"/>
              <w:spacing w:line="360" w:lineRule="auto"/>
              <w:ind w:right="42" w:rightChars="20"/>
              <w:outlineLvl w:val="0"/>
              <w:rPr>
                <w:rFonts w:asciiTheme="minorEastAsia" w:hAnsiTheme="minorEastAsia" w:eastAsiaTheme="minorEastAsia"/>
                <w:color w:val="000000" w:themeColor="text1"/>
                <w:szCs w:val="21"/>
              </w:rPr>
            </w:pPr>
          </w:p>
        </w:tc>
        <w:tc>
          <w:tcPr>
            <w:tcW w:w="1849" w:type="dxa"/>
            <w:tcBorders>
              <w:top w:val="single" w:color="auto" w:sz="4" w:space="0"/>
              <w:left w:val="single" w:color="auto" w:sz="4" w:space="0"/>
              <w:bottom w:val="single" w:color="auto" w:sz="4" w:space="0"/>
              <w:right w:val="single" w:color="auto" w:sz="4" w:space="0"/>
            </w:tcBorders>
          </w:tcPr>
          <w:p w14:paraId="6DC06AF5">
            <w:pPr>
              <w:snapToGrid w:val="0"/>
              <w:spacing w:line="360" w:lineRule="auto"/>
              <w:ind w:right="42" w:rightChars="20"/>
              <w:outlineLvl w:val="0"/>
              <w:rPr>
                <w:rFonts w:asciiTheme="minorEastAsia" w:hAnsiTheme="minorEastAsia" w:eastAsiaTheme="minorEastAsia"/>
                <w:color w:val="000000" w:themeColor="text1"/>
                <w:szCs w:val="21"/>
              </w:rPr>
            </w:pPr>
          </w:p>
        </w:tc>
        <w:tc>
          <w:tcPr>
            <w:tcW w:w="1456" w:type="dxa"/>
            <w:tcBorders>
              <w:top w:val="single" w:color="auto" w:sz="4" w:space="0"/>
              <w:left w:val="single" w:color="auto" w:sz="4" w:space="0"/>
              <w:bottom w:val="single" w:color="auto" w:sz="4" w:space="0"/>
              <w:right w:val="single" w:color="auto" w:sz="4" w:space="0"/>
            </w:tcBorders>
          </w:tcPr>
          <w:p w14:paraId="34937C9A">
            <w:pPr>
              <w:snapToGrid w:val="0"/>
              <w:spacing w:line="360" w:lineRule="auto"/>
              <w:ind w:right="42" w:rightChars="20"/>
              <w:outlineLvl w:val="0"/>
              <w:rPr>
                <w:rFonts w:asciiTheme="minorEastAsia" w:hAnsiTheme="minorEastAsia" w:eastAsiaTheme="minorEastAsia"/>
                <w:color w:val="000000" w:themeColor="text1"/>
                <w:szCs w:val="21"/>
              </w:rPr>
            </w:pPr>
          </w:p>
        </w:tc>
      </w:tr>
      <w:tr w14:paraId="4F41C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4B2A78E7">
            <w:pPr>
              <w:widowControl/>
              <w:spacing w:line="360" w:lineRule="auto"/>
              <w:ind w:right="42" w:rightChars="20"/>
              <w:rPr>
                <w:rFonts w:asciiTheme="minorEastAsia" w:hAnsiTheme="minorEastAsia" w:eastAsiaTheme="minorEastAsia"/>
                <w:color w:val="000000" w:themeColor="text1"/>
                <w:szCs w:val="21"/>
              </w:rPr>
            </w:pPr>
          </w:p>
        </w:tc>
        <w:tc>
          <w:tcPr>
            <w:tcW w:w="2475" w:type="dxa"/>
            <w:tcBorders>
              <w:top w:val="single" w:color="auto" w:sz="4" w:space="0"/>
              <w:left w:val="single" w:color="auto" w:sz="4" w:space="0"/>
              <w:bottom w:val="single" w:color="auto" w:sz="4" w:space="0"/>
              <w:right w:val="single" w:color="auto" w:sz="4" w:space="0"/>
            </w:tcBorders>
            <w:vAlign w:val="center"/>
          </w:tcPr>
          <w:p w14:paraId="67054A78">
            <w:pPr>
              <w:snapToGrid w:val="0"/>
              <w:spacing w:line="360" w:lineRule="auto"/>
              <w:ind w:right="42" w:rightChars="20"/>
              <w:outlineLvl w:val="0"/>
              <w:rPr>
                <w:rFonts w:asciiTheme="minorEastAsia" w:hAnsiTheme="minorEastAsia" w:eastAsiaTheme="minorEastAsia"/>
                <w:color w:val="000000" w:themeColor="text1"/>
                <w:szCs w:val="21"/>
              </w:rPr>
            </w:pPr>
          </w:p>
        </w:tc>
        <w:tc>
          <w:tcPr>
            <w:tcW w:w="1583" w:type="dxa"/>
            <w:tcBorders>
              <w:top w:val="single" w:color="auto" w:sz="4" w:space="0"/>
              <w:left w:val="single" w:color="auto" w:sz="4" w:space="0"/>
              <w:bottom w:val="single" w:color="auto" w:sz="4" w:space="0"/>
              <w:right w:val="single" w:color="auto" w:sz="4" w:space="0"/>
            </w:tcBorders>
          </w:tcPr>
          <w:p w14:paraId="2127360A">
            <w:pPr>
              <w:snapToGrid w:val="0"/>
              <w:spacing w:line="360" w:lineRule="auto"/>
              <w:ind w:right="42" w:rightChars="20"/>
              <w:outlineLvl w:val="0"/>
              <w:rPr>
                <w:rFonts w:asciiTheme="minorEastAsia" w:hAnsiTheme="minorEastAsia" w:eastAsiaTheme="minorEastAsia"/>
                <w:color w:val="000000" w:themeColor="text1"/>
                <w:szCs w:val="21"/>
              </w:rPr>
            </w:pPr>
          </w:p>
        </w:tc>
        <w:tc>
          <w:tcPr>
            <w:tcW w:w="1849" w:type="dxa"/>
            <w:tcBorders>
              <w:top w:val="single" w:color="auto" w:sz="4" w:space="0"/>
              <w:left w:val="single" w:color="auto" w:sz="4" w:space="0"/>
              <w:bottom w:val="single" w:color="auto" w:sz="4" w:space="0"/>
              <w:right w:val="single" w:color="auto" w:sz="4" w:space="0"/>
            </w:tcBorders>
          </w:tcPr>
          <w:p w14:paraId="670A90B0">
            <w:pPr>
              <w:snapToGrid w:val="0"/>
              <w:spacing w:line="360" w:lineRule="auto"/>
              <w:ind w:right="42" w:rightChars="20"/>
              <w:outlineLvl w:val="0"/>
              <w:rPr>
                <w:rFonts w:asciiTheme="minorEastAsia" w:hAnsiTheme="minorEastAsia" w:eastAsiaTheme="minorEastAsia"/>
                <w:color w:val="000000" w:themeColor="text1"/>
                <w:szCs w:val="21"/>
              </w:rPr>
            </w:pPr>
          </w:p>
        </w:tc>
        <w:tc>
          <w:tcPr>
            <w:tcW w:w="1456" w:type="dxa"/>
            <w:tcBorders>
              <w:top w:val="single" w:color="auto" w:sz="4" w:space="0"/>
              <w:left w:val="single" w:color="auto" w:sz="4" w:space="0"/>
              <w:bottom w:val="single" w:color="auto" w:sz="4" w:space="0"/>
              <w:right w:val="single" w:color="auto" w:sz="4" w:space="0"/>
            </w:tcBorders>
          </w:tcPr>
          <w:p w14:paraId="40BF9A4D">
            <w:pPr>
              <w:snapToGrid w:val="0"/>
              <w:spacing w:line="360" w:lineRule="auto"/>
              <w:ind w:right="42" w:rightChars="20"/>
              <w:outlineLvl w:val="0"/>
              <w:rPr>
                <w:rFonts w:asciiTheme="minorEastAsia" w:hAnsiTheme="minorEastAsia" w:eastAsiaTheme="minorEastAsia"/>
                <w:color w:val="000000" w:themeColor="text1"/>
                <w:szCs w:val="21"/>
              </w:rPr>
            </w:pPr>
          </w:p>
        </w:tc>
      </w:tr>
      <w:tr w14:paraId="0D74C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49496A8C">
            <w:pPr>
              <w:snapToGrid w:val="0"/>
              <w:spacing w:before="120" w:beforeLines="50" w:after="120" w:afterLines="50" w:line="360" w:lineRule="auto"/>
              <w:ind w:right="42" w:rightChars="20"/>
              <w:outlineLvl w:val="0"/>
              <w:rPr>
                <w:rFonts w:asciiTheme="minorEastAsia" w:hAnsiTheme="minorEastAsia" w:eastAsiaTheme="minorEastAsia"/>
                <w:color w:val="000000" w:themeColor="text1"/>
                <w:szCs w:val="21"/>
              </w:rPr>
            </w:pPr>
          </w:p>
        </w:tc>
        <w:tc>
          <w:tcPr>
            <w:tcW w:w="2475" w:type="dxa"/>
            <w:tcBorders>
              <w:top w:val="single" w:color="auto" w:sz="4" w:space="0"/>
              <w:left w:val="single" w:color="auto" w:sz="4" w:space="0"/>
              <w:bottom w:val="single" w:color="auto" w:sz="4" w:space="0"/>
              <w:right w:val="single" w:color="auto" w:sz="4" w:space="0"/>
            </w:tcBorders>
            <w:vAlign w:val="center"/>
          </w:tcPr>
          <w:p w14:paraId="34AC54B8">
            <w:pPr>
              <w:snapToGrid w:val="0"/>
              <w:spacing w:line="360" w:lineRule="auto"/>
              <w:ind w:right="42" w:rightChars="20"/>
              <w:outlineLvl w:val="0"/>
              <w:rPr>
                <w:rFonts w:asciiTheme="minorEastAsia" w:hAnsiTheme="minorEastAsia" w:eastAsiaTheme="minorEastAsia"/>
                <w:color w:val="000000" w:themeColor="text1"/>
                <w:szCs w:val="21"/>
              </w:rPr>
            </w:pPr>
          </w:p>
        </w:tc>
        <w:tc>
          <w:tcPr>
            <w:tcW w:w="1583" w:type="dxa"/>
            <w:tcBorders>
              <w:top w:val="single" w:color="auto" w:sz="4" w:space="0"/>
              <w:left w:val="single" w:color="auto" w:sz="4" w:space="0"/>
              <w:bottom w:val="single" w:color="auto" w:sz="4" w:space="0"/>
              <w:right w:val="single" w:color="auto" w:sz="4" w:space="0"/>
            </w:tcBorders>
          </w:tcPr>
          <w:p w14:paraId="6EABC40F">
            <w:pPr>
              <w:snapToGrid w:val="0"/>
              <w:spacing w:line="360" w:lineRule="auto"/>
              <w:ind w:right="42" w:rightChars="20"/>
              <w:outlineLvl w:val="0"/>
              <w:rPr>
                <w:rFonts w:asciiTheme="minorEastAsia" w:hAnsiTheme="minorEastAsia" w:eastAsiaTheme="minorEastAsia"/>
                <w:color w:val="000000" w:themeColor="text1"/>
                <w:szCs w:val="21"/>
              </w:rPr>
            </w:pPr>
          </w:p>
        </w:tc>
        <w:tc>
          <w:tcPr>
            <w:tcW w:w="1849" w:type="dxa"/>
            <w:tcBorders>
              <w:top w:val="single" w:color="auto" w:sz="4" w:space="0"/>
              <w:left w:val="single" w:color="auto" w:sz="4" w:space="0"/>
              <w:bottom w:val="single" w:color="auto" w:sz="4" w:space="0"/>
              <w:right w:val="single" w:color="auto" w:sz="4" w:space="0"/>
            </w:tcBorders>
          </w:tcPr>
          <w:p w14:paraId="0A43EC1B">
            <w:pPr>
              <w:snapToGrid w:val="0"/>
              <w:spacing w:line="360" w:lineRule="auto"/>
              <w:ind w:right="42" w:rightChars="20"/>
              <w:outlineLvl w:val="0"/>
              <w:rPr>
                <w:rFonts w:asciiTheme="minorEastAsia" w:hAnsiTheme="minorEastAsia" w:eastAsiaTheme="minorEastAsia"/>
                <w:color w:val="000000" w:themeColor="text1"/>
                <w:szCs w:val="21"/>
              </w:rPr>
            </w:pPr>
          </w:p>
        </w:tc>
        <w:tc>
          <w:tcPr>
            <w:tcW w:w="1456" w:type="dxa"/>
            <w:tcBorders>
              <w:top w:val="single" w:color="auto" w:sz="4" w:space="0"/>
              <w:left w:val="single" w:color="auto" w:sz="4" w:space="0"/>
              <w:bottom w:val="single" w:color="auto" w:sz="4" w:space="0"/>
              <w:right w:val="single" w:color="auto" w:sz="4" w:space="0"/>
            </w:tcBorders>
          </w:tcPr>
          <w:p w14:paraId="31DC2AD6">
            <w:pPr>
              <w:snapToGrid w:val="0"/>
              <w:spacing w:line="360" w:lineRule="auto"/>
              <w:ind w:right="42" w:rightChars="20"/>
              <w:outlineLvl w:val="0"/>
              <w:rPr>
                <w:rFonts w:asciiTheme="minorEastAsia" w:hAnsiTheme="minorEastAsia" w:eastAsiaTheme="minorEastAsia"/>
                <w:color w:val="000000" w:themeColor="text1"/>
                <w:szCs w:val="21"/>
              </w:rPr>
            </w:pPr>
          </w:p>
        </w:tc>
      </w:tr>
      <w:tr w14:paraId="408B1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0304BEC5">
            <w:pPr>
              <w:snapToGrid w:val="0"/>
              <w:spacing w:before="120" w:beforeLines="50" w:after="120" w:afterLines="50" w:line="360" w:lineRule="auto"/>
              <w:ind w:right="42" w:rightChars="20"/>
              <w:outlineLvl w:val="0"/>
              <w:rPr>
                <w:rFonts w:asciiTheme="minorEastAsia" w:hAnsiTheme="minorEastAsia" w:eastAsiaTheme="minorEastAsia"/>
                <w:color w:val="000000" w:themeColor="text1"/>
                <w:szCs w:val="21"/>
              </w:rPr>
            </w:pPr>
          </w:p>
        </w:tc>
        <w:tc>
          <w:tcPr>
            <w:tcW w:w="2475" w:type="dxa"/>
            <w:tcBorders>
              <w:top w:val="single" w:color="auto" w:sz="4" w:space="0"/>
              <w:left w:val="single" w:color="auto" w:sz="4" w:space="0"/>
              <w:bottom w:val="single" w:color="auto" w:sz="4" w:space="0"/>
              <w:right w:val="single" w:color="auto" w:sz="4" w:space="0"/>
            </w:tcBorders>
            <w:vAlign w:val="center"/>
          </w:tcPr>
          <w:p w14:paraId="730900E3">
            <w:pPr>
              <w:snapToGrid w:val="0"/>
              <w:spacing w:line="360" w:lineRule="auto"/>
              <w:ind w:right="42" w:rightChars="20"/>
              <w:outlineLvl w:val="0"/>
              <w:rPr>
                <w:rFonts w:asciiTheme="minorEastAsia" w:hAnsiTheme="minorEastAsia" w:eastAsiaTheme="minorEastAsia"/>
                <w:color w:val="000000" w:themeColor="text1"/>
                <w:szCs w:val="21"/>
              </w:rPr>
            </w:pPr>
          </w:p>
        </w:tc>
        <w:tc>
          <w:tcPr>
            <w:tcW w:w="1583" w:type="dxa"/>
            <w:tcBorders>
              <w:top w:val="single" w:color="auto" w:sz="4" w:space="0"/>
              <w:left w:val="single" w:color="auto" w:sz="4" w:space="0"/>
              <w:bottom w:val="single" w:color="auto" w:sz="4" w:space="0"/>
              <w:right w:val="single" w:color="auto" w:sz="4" w:space="0"/>
            </w:tcBorders>
          </w:tcPr>
          <w:p w14:paraId="726DD7E1">
            <w:pPr>
              <w:snapToGrid w:val="0"/>
              <w:spacing w:line="360" w:lineRule="auto"/>
              <w:ind w:right="42" w:rightChars="20"/>
              <w:outlineLvl w:val="0"/>
              <w:rPr>
                <w:rFonts w:asciiTheme="minorEastAsia" w:hAnsiTheme="minorEastAsia" w:eastAsiaTheme="minorEastAsia"/>
                <w:color w:val="000000" w:themeColor="text1"/>
                <w:szCs w:val="21"/>
              </w:rPr>
            </w:pPr>
          </w:p>
        </w:tc>
        <w:tc>
          <w:tcPr>
            <w:tcW w:w="1849" w:type="dxa"/>
            <w:tcBorders>
              <w:top w:val="single" w:color="auto" w:sz="4" w:space="0"/>
              <w:left w:val="single" w:color="auto" w:sz="4" w:space="0"/>
              <w:bottom w:val="single" w:color="auto" w:sz="4" w:space="0"/>
              <w:right w:val="single" w:color="auto" w:sz="4" w:space="0"/>
            </w:tcBorders>
          </w:tcPr>
          <w:p w14:paraId="602D3CF7">
            <w:pPr>
              <w:snapToGrid w:val="0"/>
              <w:spacing w:line="360" w:lineRule="auto"/>
              <w:ind w:right="42" w:rightChars="20"/>
              <w:outlineLvl w:val="0"/>
              <w:rPr>
                <w:rFonts w:asciiTheme="minorEastAsia" w:hAnsiTheme="minorEastAsia" w:eastAsiaTheme="minorEastAsia"/>
                <w:color w:val="000000" w:themeColor="text1"/>
                <w:szCs w:val="21"/>
              </w:rPr>
            </w:pPr>
          </w:p>
        </w:tc>
        <w:tc>
          <w:tcPr>
            <w:tcW w:w="1456" w:type="dxa"/>
            <w:tcBorders>
              <w:top w:val="single" w:color="auto" w:sz="4" w:space="0"/>
              <w:left w:val="single" w:color="auto" w:sz="4" w:space="0"/>
              <w:bottom w:val="single" w:color="auto" w:sz="4" w:space="0"/>
              <w:right w:val="single" w:color="auto" w:sz="4" w:space="0"/>
            </w:tcBorders>
          </w:tcPr>
          <w:p w14:paraId="4DF3BAA7">
            <w:pPr>
              <w:snapToGrid w:val="0"/>
              <w:spacing w:line="360" w:lineRule="auto"/>
              <w:ind w:right="42" w:rightChars="20"/>
              <w:outlineLvl w:val="0"/>
              <w:rPr>
                <w:rFonts w:asciiTheme="minorEastAsia" w:hAnsiTheme="minorEastAsia" w:eastAsiaTheme="minorEastAsia"/>
                <w:color w:val="000000" w:themeColor="text1"/>
                <w:szCs w:val="21"/>
              </w:rPr>
            </w:pPr>
          </w:p>
        </w:tc>
      </w:tr>
    </w:tbl>
    <w:p w14:paraId="748CBD9C">
      <w:pPr>
        <w:pStyle w:val="18"/>
        <w:spacing w:line="360" w:lineRule="auto"/>
        <w:ind w:right="42" w:rightChars="2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注：</w:t>
      </w:r>
      <w:r>
        <w:rPr>
          <w:rFonts w:hint="eastAsia" w:asciiTheme="minorEastAsia" w:hAnsiTheme="minorEastAsia" w:eastAsiaTheme="minorEastAsia"/>
          <w:color w:val="000000" w:themeColor="text1"/>
          <w:sz w:val="21"/>
          <w:szCs w:val="21"/>
        </w:rPr>
        <w:t>1.</w:t>
      </w:r>
      <w:r>
        <w:rPr>
          <w:rFonts w:asciiTheme="minorEastAsia" w:hAnsiTheme="minorEastAsia" w:eastAsiaTheme="minorEastAsia"/>
          <w:color w:val="000000" w:themeColor="text1"/>
          <w:sz w:val="21"/>
          <w:szCs w:val="21"/>
        </w:rPr>
        <w:t>投标人应根据</w:t>
      </w:r>
      <w:r>
        <w:rPr>
          <w:rFonts w:hint="eastAsia" w:asciiTheme="minorEastAsia" w:hAnsiTheme="minorEastAsia" w:eastAsiaTheme="minorEastAsia"/>
          <w:color w:val="000000" w:themeColor="text1"/>
          <w:sz w:val="21"/>
          <w:szCs w:val="21"/>
        </w:rPr>
        <w:t>投标产品</w:t>
      </w:r>
      <w:r>
        <w:rPr>
          <w:rFonts w:asciiTheme="minorEastAsia" w:hAnsiTheme="minorEastAsia" w:eastAsiaTheme="minorEastAsia"/>
          <w:color w:val="000000" w:themeColor="text1"/>
          <w:sz w:val="21"/>
          <w:szCs w:val="21"/>
        </w:rPr>
        <w:t>的性能指标、对照招标文件要求在“偏离情况”栏注明“正偏离”、“负偏离”或“无偏离”。</w:t>
      </w:r>
    </w:p>
    <w:p w14:paraId="13974810">
      <w:pPr>
        <w:pStyle w:val="18"/>
        <w:spacing w:line="360" w:lineRule="auto"/>
        <w:ind w:right="42" w:rightChars="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2.投标人需对上述偏离情况负责，不得虚假应标。</w:t>
      </w:r>
    </w:p>
    <w:p w14:paraId="62E28209">
      <w:pPr>
        <w:pStyle w:val="158"/>
        <w:snapToGrid w:val="0"/>
        <w:spacing w:line="360" w:lineRule="auto"/>
        <w:ind w:right="42" w:rightChars="20"/>
        <w:jc w:val="left"/>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法定代表人或其授权代表签字（或盖章）</w:t>
      </w:r>
      <w:r>
        <w:rPr>
          <w:rFonts w:asciiTheme="minorEastAsia" w:hAnsiTheme="minorEastAsia" w:eastAsiaTheme="minorEastAsia"/>
          <w:color w:val="000000" w:themeColor="text1"/>
          <w:sz w:val="21"/>
          <w:szCs w:val="21"/>
        </w:rPr>
        <w:t>：</w:t>
      </w:r>
    </w:p>
    <w:p w14:paraId="35030FE7">
      <w:pPr>
        <w:adjustRightInd w:val="0"/>
        <w:spacing w:line="360" w:lineRule="auto"/>
        <w:ind w:right="42" w:rightChars="20"/>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投标人（</w:t>
      </w:r>
      <w:r>
        <w:rPr>
          <w:rFonts w:hint="eastAsia" w:asciiTheme="minorEastAsia" w:hAnsiTheme="minorEastAsia" w:eastAsiaTheme="minorEastAsia"/>
          <w:color w:val="000000" w:themeColor="text1"/>
          <w:szCs w:val="21"/>
          <w:shd w:val="clear" w:color="auto" w:fill="FFFFFF"/>
        </w:rPr>
        <w:t>CA签章</w:t>
      </w:r>
      <w:r>
        <w:rPr>
          <w:rFonts w:hint="eastAsia" w:asciiTheme="minorEastAsia" w:hAnsiTheme="minorEastAsia" w:eastAsiaTheme="minorEastAsia"/>
          <w:color w:val="000000" w:themeColor="text1"/>
          <w:szCs w:val="21"/>
        </w:rPr>
        <w:t>）：</w:t>
      </w:r>
    </w:p>
    <w:p w14:paraId="6AD176AB">
      <w:pPr>
        <w:adjustRightInd w:val="0"/>
        <w:spacing w:line="360" w:lineRule="auto"/>
        <w:ind w:right="42" w:rightChars="20"/>
        <w:textAlignment w:val="baseline"/>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日期：   年  月  日</w:t>
      </w:r>
    </w:p>
    <w:p w14:paraId="2A63460B">
      <w:pPr>
        <w:pStyle w:val="60"/>
        <w:ind w:right="42" w:rightChars="20"/>
        <w:rPr>
          <w:rFonts w:asciiTheme="minorEastAsia" w:hAnsiTheme="minorEastAsia" w:eastAsiaTheme="minorEastAsia"/>
          <w:color w:val="000000" w:themeColor="text1"/>
        </w:rPr>
        <w:sectPr>
          <w:pgSz w:w="11906" w:h="16838"/>
          <w:pgMar w:top="1474" w:right="1842" w:bottom="1247" w:left="1797" w:header="851" w:footer="851" w:gutter="0"/>
          <w:cols w:space="720" w:num="1"/>
          <w:docGrid w:linePitch="312" w:charSpace="0"/>
        </w:sectPr>
      </w:pPr>
    </w:p>
    <w:p w14:paraId="6F295A7C">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项目实施人员一览表</w:t>
      </w:r>
    </w:p>
    <w:p w14:paraId="73B4672B">
      <w:pPr>
        <w:snapToGrid w:val="0"/>
        <w:spacing w:line="360" w:lineRule="auto"/>
        <w:ind w:right="42" w:rightChars="20" w:firstLine="422" w:firstLineChars="20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项目实施人员（主要从业人员及其技术资格）一览表</w:t>
      </w:r>
    </w:p>
    <w:tbl>
      <w:tblPr>
        <w:tblStyle w:val="4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0E542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54A07EE">
            <w:pPr>
              <w:snapToGrid w:val="0"/>
              <w:spacing w:line="360" w:lineRule="auto"/>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11DB54C">
            <w:pPr>
              <w:snapToGrid w:val="0"/>
              <w:spacing w:line="360" w:lineRule="auto"/>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8113FB1">
            <w:pPr>
              <w:snapToGrid w:val="0"/>
              <w:spacing w:line="360" w:lineRule="auto"/>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313D42E3">
            <w:pPr>
              <w:snapToGrid w:val="0"/>
              <w:spacing w:line="360" w:lineRule="auto"/>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30D19DB7">
            <w:pPr>
              <w:snapToGrid w:val="0"/>
              <w:spacing w:line="360" w:lineRule="auto"/>
              <w:ind w:right="42" w:rightChars="20"/>
              <w:jc w:val="center"/>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09A7ED4E">
            <w:pPr>
              <w:snapToGrid w:val="0"/>
              <w:spacing w:line="360" w:lineRule="auto"/>
              <w:ind w:right="42" w:rightChars="20"/>
              <w:jc w:val="center"/>
              <w:rPr>
                <w:rFonts w:asciiTheme="minorEastAsia" w:hAnsiTheme="minorEastAsia" w:eastAsiaTheme="minorEastAsia"/>
                <w:bCs/>
                <w:color w:val="000000" w:themeColor="text1"/>
                <w:szCs w:val="21"/>
              </w:rPr>
            </w:pPr>
            <w:r>
              <w:rPr>
                <w:rFonts w:hint="eastAsia" w:asciiTheme="minorEastAsia" w:hAnsiTheme="minorEastAsia" w:eastAsiaTheme="minorEastAsia"/>
                <w:bCs/>
                <w:color w:val="000000" w:themeColor="text1"/>
                <w:szCs w:val="21"/>
              </w:rPr>
              <w:t>劳动合同编号</w:t>
            </w:r>
          </w:p>
        </w:tc>
      </w:tr>
      <w:tr w14:paraId="0987F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F703A94">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14:paraId="49314C35">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vAlign w:val="center"/>
          </w:tcPr>
          <w:p w14:paraId="08A2C5C1">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3F7DB09">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A05A4C7">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7D8725C">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3D0D5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D8C1CED">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14:paraId="31B3D2FC">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vAlign w:val="center"/>
          </w:tcPr>
          <w:p w14:paraId="4F3695A5">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EA6D921">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4382002B">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2544702">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2F3E2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C74B22B">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14:paraId="1B45D41C">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vAlign w:val="center"/>
          </w:tcPr>
          <w:p w14:paraId="21C3EF35">
            <w:pPr>
              <w:pStyle w:val="28"/>
              <w:snapToGrid w:val="0"/>
              <w:spacing w:line="360" w:lineRule="auto"/>
              <w:ind w:leftChars="0" w:right="42" w:rightChars="20" w:firstLine="420" w:firstLineChars="200"/>
              <w:jc w:val="center"/>
              <w:rPr>
                <w:rFonts w:asciiTheme="minorEastAsia" w:hAnsiTheme="minorEastAsia" w:eastAsiaTheme="minorEastAsia"/>
                <w:color w:val="000000" w:themeColor="text1"/>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B3B53BB">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20E209C2">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7B05A736">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2846F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D821506">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14:paraId="138C48C7">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vAlign w:val="center"/>
          </w:tcPr>
          <w:p w14:paraId="333AB2D5">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05D2FA2">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311F24B">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7A959A51">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62B31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53F9A5C">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14:paraId="1B9454B8">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vAlign w:val="center"/>
          </w:tcPr>
          <w:p w14:paraId="75E0648E">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2B214CA">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3C464739">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DDA9424">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10097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CC883E9">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14:paraId="1C9A54CF">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vAlign w:val="center"/>
          </w:tcPr>
          <w:p w14:paraId="5D97DED5">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D2A5BA9">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300EBD2B">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41D3F18">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76A8E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15B3058">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14:paraId="51E5B751">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vAlign w:val="center"/>
          </w:tcPr>
          <w:p w14:paraId="3B2153B9">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8EB8F8F">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22E48304">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53A1606">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4AF2C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BDA7536">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14:paraId="38CF6AD4">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vAlign w:val="center"/>
          </w:tcPr>
          <w:p w14:paraId="57306AA7">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E4464E6">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4F0E9889">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78D85125">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r w14:paraId="2C86C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B160343">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004" w:type="dxa"/>
            <w:tcBorders>
              <w:top w:val="single" w:color="auto" w:sz="4" w:space="0"/>
              <w:left w:val="single" w:color="auto" w:sz="4" w:space="0"/>
              <w:bottom w:val="single" w:color="auto" w:sz="4" w:space="0"/>
              <w:right w:val="single" w:color="auto" w:sz="4" w:space="0"/>
            </w:tcBorders>
            <w:vAlign w:val="center"/>
          </w:tcPr>
          <w:p w14:paraId="28858A64">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63" w:type="dxa"/>
            <w:tcBorders>
              <w:top w:val="single" w:color="auto" w:sz="4" w:space="0"/>
              <w:left w:val="single" w:color="auto" w:sz="4" w:space="0"/>
              <w:bottom w:val="single" w:color="auto" w:sz="4" w:space="0"/>
              <w:right w:val="single" w:color="auto" w:sz="4" w:space="0"/>
            </w:tcBorders>
            <w:vAlign w:val="center"/>
          </w:tcPr>
          <w:p w14:paraId="468F4FE7">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51D9358">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1D80E6C9">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7FC6BEAA">
            <w:pPr>
              <w:snapToGrid w:val="0"/>
              <w:spacing w:line="360" w:lineRule="auto"/>
              <w:ind w:right="42" w:rightChars="20" w:firstLine="420" w:firstLineChars="200"/>
              <w:jc w:val="center"/>
              <w:rPr>
                <w:rFonts w:asciiTheme="minorEastAsia" w:hAnsiTheme="minorEastAsia" w:eastAsiaTheme="minorEastAsia"/>
                <w:color w:val="000000" w:themeColor="text1"/>
                <w:szCs w:val="21"/>
              </w:rPr>
            </w:pPr>
          </w:p>
        </w:tc>
      </w:tr>
    </w:tbl>
    <w:p w14:paraId="3EBC81A4">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注：在填写时，如本表格不适合投标单位的实际情况，可根据本表格式自行划表填写。</w:t>
      </w:r>
    </w:p>
    <w:p w14:paraId="540CF2A9">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07FA91C9">
      <w:pPr>
        <w:snapToGrid w:val="0"/>
        <w:spacing w:line="360" w:lineRule="auto"/>
        <w:ind w:right="42" w:rightChars="20" w:firstLine="420" w:firstLineChars="200"/>
        <w:jc w:val="left"/>
        <w:rPr>
          <w:rFonts w:asciiTheme="minorEastAsia" w:hAnsiTheme="minorEastAsia" w:eastAsiaTheme="minorEastAsia"/>
          <w:color w:val="000000" w:themeColor="text1"/>
          <w:spacing w:val="20"/>
          <w:szCs w:val="21"/>
          <w:u w:val="single"/>
        </w:rPr>
      </w:pPr>
      <w:r>
        <w:rPr>
          <w:rFonts w:hint="eastAsia" w:asciiTheme="minorEastAsia" w:hAnsiTheme="minorEastAsia" w:eastAsiaTheme="minorEastAsia"/>
          <w:color w:val="000000" w:themeColor="text1"/>
          <w:szCs w:val="21"/>
        </w:rPr>
        <w:t>法定代表人或其委托代理人签名（或盖章）</w:t>
      </w:r>
      <w:r>
        <w:rPr>
          <w:rFonts w:hint="eastAsia" w:asciiTheme="minorEastAsia" w:hAnsiTheme="minorEastAsia" w:eastAsiaTheme="minorEastAsia"/>
          <w:color w:val="000000" w:themeColor="text1"/>
          <w:spacing w:val="20"/>
          <w:szCs w:val="21"/>
        </w:rPr>
        <w:t>：</w:t>
      </w:r>
    </w:p>
    <w:p w14:paraId="611F5000">
      <w:pPr>
        <w:snapToGrid w:val="0"/>
        <w:spacing w:line="360" w:lineRule="auto"/>
        <w:ind w:right="42" w:rightChars="20" w:firstLine="500" w:firstLineChars="200"/>
        <w:jc w:val="left"/>
        <w:rPr>
          <w:rFonts w:asciiTheme="minorEastAsia" w:hAnsiTheme="minorEastAsia" w:eastAsiaTheme="minorEastAsia"/>
          <w:color w:val="000000" w:themeColor="text1"/>
          <w:spacing w:val="20"/>
          <w:szCs w:val="21"/>
        </w:rPr>
      </w:pPr>
      <w:r>
        <w:rPr>
          <w:rFonts w:hint="eastAsia" w:asciiTheme="minorEastAsia" w:hAnsiTheme="minorEastAsia" w:eastAsiaTheme="minorEastAsia"/>
          <w:color w:val="000000" w:themeColor="text1"/>
          <w:spacing w:val="20"/>
          <w:szCs w:val="21"/>
        </w:rPr>
        <w:t>投标人（</w:t>
      </w:r>
      <w:r>
        <w:rPr>
          <w:rFonts w:hint="eastAsia" w:asciiTheme="minorEastAsia" w:hAnsiTheme="minorEastAsia" w:eastAsiaTheme="minorEastAsia"/>
          <w:color w:val="000000" w:themeColor="text1"/>
          <w:szCs w:val="21"/>
          <w:shd w:val="clear" w:color="auto" w:fill="FFFFFF"/>
        </w:rPr>
        <w:t>CA签章</w:t>
      </w:r>
      <w:r>
        <w:rPr>
          <w:rFonts w:hint="eastAsia" w:asciiTheme="minorEastAsia" w:hAnsiTheme="minorEastAsia" w:eastAsiaTheme="minorEastAsia"/>
          <w:color w:val="000000" w:themeColor="text1"/>
          <w:spacing w:val="20"/>
          <w:szCs w:val="21"/>
        </w:rPr>
        <w:t>）：</w:t>
      </w:r>
    </w:p>
    <w:p w14:paraId="0F1DBEF4">
      <w:pPr>
        <w:snapToGrid w:val="0"/>
        <w:spacing w:line="360" w:lineRule="auto"/>
        <w:ind w:right="42" w:rightChars="20" w:firstLine="500" w:firstLineChars="200"/>
        <w:jc w:val="left"/>
        <w:rPr>
          <w:rFonts w:asciiTheme="minorEastAsia" w:hAnsiTheme="minorEastAsia" w:eastAsiaTheme="minorEastAsia"/>
          <w:color w:val="000000" w:themeColor="text1"/>
          <w:spacing w:val="20"/>
          <w:szCs w:val="21"/>
          <w:u w:val="single"/>
        </w:rPr>
      </w:pPr>
      <w:r>
        <w:rPr>
          <w:rFonts w:hint="eastAsia" w:asciiTheme="minorEastAsia" w:hAnsiTheme="minorEastAsia" w:eastAsiaTheme="minorEastAsia"/>
          <w:color w:val="000000" w:themeColor="text1"/>
          <w:spacing w:val="20"/>
          <w:szCs w:val="21"/>
        </w:rPr>
        <w:t>日期：</w:t>
      </w:r>
    </w:p>
    <w:p w14:paraId="0553064E">
      <w:pPr>
        <w:snapToGrid w:val="0"/>
        <w:spacing w:line="360" w:lineRule="auto"/>
        <w:ind w:right="42" w:rightChars="20" w:firstLine="422" w:firstLineChars="200"/>
        <w:jc w:val="left"/>
        <w:rPr>
          <w:rFonts w:cs="微软雅黑" w:asciiTheme="minorEastAsia" w:hAnsiTheme="minorEastAsia" w:eastAsiaTheme="minorEastAsia"/>
          <w:b/>
          <w:color w:val="000000" w:themeColor="text1"/>
          <w:szCs w:val="21"/>
        </w:rPr>
      </w:pPr>
    </w:p>
    <w:p w14:paraId="6AB06F33">
      <w:pPr>
        <w:snapToGrid w:val="0"/>
        <w:spacing w:line="360" w:lineRule="auto"/>
        <w:ind w:right="42" w:rightChars="20" w:firstLine="422" w:firstLineChars="200"/>
        <w:jc w:val="left"/>
        <w:rPr>
          <w:rFonts w:cs="微软雅黑" w:asciiTheme="minorEastAsia" w:hAnsiTheme="minorEastAsia" w:eastAsiaTheme="minorEastAsia"/>
          <w:b/>
          <w:color w:val="000000" w:themeColor="text1"/>
          <w:szCs w:val="21"/>
        </w:rPr>
      </w:pPr>
    </w:p>
    <w:p w14:paraId="56B54B1F">
      <w:pPr>
        <w:snapToGrid w:val="0"/>
        <w:spacing w:line="360" w:lineRule="auto"/>
        <w:ind w:right="42" w:rightChars="20" w:firstLine="422" w:firstLineChars="200"/>
        <w:jc w:val="left"/>
        <w:rPr>
          <w:rFonts w:cs="微软雅黑" w:asciiTheme="minorEastAsia" w:hAnsiTheme="minorEastAsia" w:eastAsiaTheme="minorEastAsia"/>
          <w:b/>
          <w:color w:val="000000" w:themeColor="text1"/>
          <w:szCs w:val="21"/>
        </w:rPr>
      </w:pPr>
    </w:p>
    <w:p w14:paraId="0A535D26">
      <w:pPr>
        <w:snapToGrid w:val="0"/>
        <w:spacing w:line="360" w:lineRule="auto"/>
        <w:ind w:right="42" w:rightChars="20" w:firstLine="422" w:firstLineChars="200"/>
        <w:jc w:val="left"/>
        <w:rPr>
          <w:rFonts w:cs="微软雅黑" w:asciiTheme="minorEastAsia" w:hAnsiTheme="minorEastAsia" w:eastAsiaTheme="minorEastAsia"/>
          <w:b/>
          <w:color w:val="000000" w:themeColor="text1"/>
          <w:szCs w:val="21"/>
        </w:rPr>
      </w:pPr>
    </w:p>
    <w:p w14:paraId="6A1ECD7B">
      <w:pPr>
        <w:snapToGrid w:val="0"/>
        <w:spacing w:line="360" w:lineRule="auto"/>
        <w:ind w:right="42" w:rightChars="20" w:firstLine="422" w:firstLineChars="200"/>
        <w:jc w:val="left"/>
        <w:rPr>
          <w:rFonts w:cs="微软雅黑" w:asciiTheme="minorEastAsia" w:hAnsiTheme="minorEastAsia" w:eastAsiaTheme="minorEastAsia"/>
          <w:b/>
          <w:color w:val="000000" w:themeColor="text1"/>
          <w:szCs w:val="21"/>
        </w:rPr>
      </w:pPr>
    </w:p>
    <w:p w14:paraId="483A35FC">
      <w:pPr>
        <w:snapToGrid w:val="0"/>
        <w:spacing w:line="360" w:lineRule="auto"/>
        <w:ind w:right="42" w:rightChars="20" w:firstLine="422" w:firstLineChars="200"/>
        <w:jc w:val="left"/>
        <w:rPr>
          <w:rFonts w:cs="微软雅黑" w:asciiTheme="minorEastAsia" w:hAnsiTheme="minorEastAsia" w:eastAsiaTheme="minorEastAsia"/>
          <w:b/>
          <w:color w:val="000000" w:themeColor="text1"/>
          <w:szCs w:val="21"/>
        </w:rPr>
      </w:pPr>
    </w:p>
    <w:p w14:paraId="1D1BE447">
      <w:pPr>
        <w:snapToGrid w:val="0"/>
        <w:spacing w:line="360" w:lineRule="auto"/>
        <w:ind w:right="42" w:rightChars="20" w:firstLine="422" w:firstLineChars="200"/>
        <w:jc w:val="left"/>
        <w:rPr>
          <w:rFonts w:cs="微软雅黑" w:asciiTheme="minorEastAsia" w:hAnsiTheme="minorEastAsia" w:eastAsiaTheme="minorEastAsia"/>
          <w:b/>
          <w:color w:val="000000" w:themeColor="text1"/>
          <w:szCs w:val="21"/>
        </w:rPr>
      </w:pPr>
    </w:p>
    <w:p w14:paraId="2B83CC5E">
      <w:pPr>
        <w:snapToGrid w:val="0"/>
        <w:spacing w:line="360" w:lineRule="auto"/>
        <w:ind w:right="42" w:rightChars="20" w:firstLine="422" w:firstLineChars="200"/>
        <w:jc w:val="left"/>
        <w:rPr>
          <w:rFonts w:cs="微软雅黑" w:asciiTheme="minorEastAsia" w:hAnsiTheme="minorEastAsia" w:eastAsiaTheme="minorEastAsia"/>
          <w:b/>
          <w:color w:val="000000" w:themeColor="text1"/>
          <w:szCs w:val="21"/>
        </w:rPr>
        <w:sectPr>
          <w:headerReference r:id="rId10" w:type="first"/>
          <w:footerReference r:id="rId12" w:type="first"/>
          <w:footerReference r:id="rId11" w:type="even"/>
          <w:pgSz w:w="11907" w:h="16839"/>
          <w:pgMar w:top="1440" w:right="1842" w:bottom="1440" w:left="1800" w:header="851" w:footer="992" w:gutter="0"/>
          <w:cols w:space="720" w:num="1"/>
          <w:docGrid w:type="lines" w:linePitch="312" w:charSpace="0"/>
        </w:sectPr>
      </w:pPr>
    </w:p>
    <w:p w14:paraId="0A4B468E">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投标函格式：</w:t>
      </w:r>
    </w:p>
    <w:p w14:paraId="216D09F1">
      <w:pPr>
        <w:snapToGrid w:val="0"/>
        <w:spacing w:line="360" w:lineRule="auto"/>
        <w:ind w:right="42" w:rightChars="20" w:firstLine="422" w:firstLineChars="20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投标函</w:t>
      </w:r>
    </w:p>
    <w:p w14:paraId="4E4D7A99">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致：</w:t>
      </w:r>
      <w:r>
        <w:rPr>
          <w:rFonts w:hint="eastAsia" w:asciiTheme="minorEastAsia" w:hAnsiTheme="minorEastAsia" w:eastAsiaTheme="minorEastAsia"/>
          <w:color w:val="000000" w:themeColor="text1"/>
          <w:szCs w:val="21"/>
          <w:u w:val="single"/>
        </w:rPr>
        <w:t>（招标采购单位名称）</w:t>
      </w:r>
      <w:r>
        <w:rPr>
          <w:rFonts w:hint="eastAsia" w:asciiTheme="minorEastAsia" w:hAnsiTheme="minorEastAsia" w:eastAsiaTheme="minorEastAsia"/>
          <w:color w:val="000000" w:themeColor="text1"/>
          <w:szCs w:val="21"/>
        </w:rPr>
        <w:t>：</w:t>
      </w:r>
    </w:p>
    <w:p w14:paraId="20E2E653">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根据贵方为</w:t>
      </w:r>
      <w:r>
        <w:rPr>
          <w:rFonts w:asciiTheme="minorEastAsia" w:hAnsiTheme="minorEastAsia" w:eastAsiaTheme="minorEastAsia"/>
          <w:color w:val="000000" w:themeColor="text1"/>
          <w:szCs w:val="21"/>
        </w:rPr>
        <w:t>____________________</w:t>
      </w:r>
      <w:r>
        <w:rPr>
          <w:rFonts w:hint="eastAsia" w:asciiTheme="minorEastAsia" w:hAnsiTheme="minorEastAsia" w:eastAsiaTheme="minorEastAsia"/>
          <w:color w:val="000000" w:themeColor="text1"/>
          <w:szCs w:val="21"/>
        </w:rPr>
        <w:t>项目的招标公告</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投标邀请书（项目编号：</w:t>
      </w:r>
      <w:r>
        <w:rPr>
          <w:rFonts w:asciiTheme="minorEastAsia" w:hAnsiTheme="minorEastAsia" w:eastAsiaTheme="minorEastAsia"/>
          <w:color w:val="000000" w:themeColor="text1"/>
          <w:szCs w:val="21"/>
        </w:rPr>
        <w:t>_____</w:t>
      </w:r>
      <w:r>
        <w:rPr>
          <w:rFonts w:hint="eastAsia" w:asciiTheme="minorEastAsia" w:hAnsiTheme="minorEastAsia" w:eastAsiaTheme="minorEastAsia"/>
          <w:color w:val="000000" w:themeColor="text1"/>
          <w:szCs w:val="21"/>
        </w:rPr>
        <w:t>），签字代表</w:t>
      </w:r>
      <w:r>
        <w:rPr>
          <w:rFonts w:hint="eastAsia" w:asciiTheme="minorEastAsia" w:hAnsiTheme="minorEastAsia" w:eastAsiaTheme="minorEastAsia"/>
          <w:color w:val="000000" w:themeColor="text1"/>
          <w:szCs w:val="21"/>
          <w:u w:val="single"/>
        </w:rPr>
        <w:t>（全名）</w:t>
      </w:r>
      <w:r>
        <w:rPr>
          <w:rFonts w:hint="eastAsia" w:asciiTheme="minorEastAsia" w:hAnsiTheme="minorEastAsia" w:eastAsiaTheme="minorEastAsia"/>
          <w:color w:val="000000" w:themeColor="text1"/>
          <w:szCs w:val="21"/>
        </w:rPr>
        <w:t>经正式授权并代表投标人</w:t>
      </w:r>
      <w:r>
        <w:rPr>
          <w:rFonts w:hint="eastAsia" w:asciiTheme="minorEastAsia" w:hAnsiTheme="minorEastAsia" w:eastAsiaTheme="minorEastAsia"/>
          <w:color w:val="000000" w:themeColor="text1"/>
          <w:szCs w:val="21"/>
          <w:u w:val="single"/>
        </w:rPr>
        <w:t>（投标人名称）</w:t>
      </w:r>
      <w:r>
        <w:rPr>
          <w:rFonts w:hint="eastAsia" w:asciiTheme="minorEastAsia" w:hAnsiTheme="minorEastAsia" w:eastAsiaTheme="minorEastAsia"/>
          <w:color w:val="000000" w:themeColor="text1"/>
          <w:szCs w:val="21"/>
        </w:rPr>
        <w:t>提交资信商务文件、技术文件及投标报价文件电子投标各一份。</w:t>
      </w:r>
    </w:p>
    <w:p w14:paraId="7DEC0B03">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据此函，签字代表宣布同意如下：</w:t>
      </w:r>
    </w:p>
    <w:p w14:paraId="5933E57B">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1</w:t>
      </w:r>
      <w:r>
        <w:rPr>
          <w:rFonts w:hint="eastAsia" w:asciiTheme="minorEastAsia" w:hAnsiTheme="minorEastAsia" w:eastAsiaTheme="minorEastAsia"/>
          <w:color w:val="000000" w:themeColor="text1"/>
          <w:szCs w:val="21"/>
        </w:rPr>
        <w:t>、投标人已详细审查全部“招标文件”，包括修改文件（如有的话）以及全部参考资料和有关附件，已经了解我方对于招标文件、采购过程、采购结果有依法进行询问、质疑、投诉的权利及相关渠道和要求。</w:t>
      </w:r>
    </w:p>
    <w:p w14:paraId="2BB73585">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、投标人在投标之前已经与贵方进行了充分的沟通，完全理解并接受招标文件的各项规定和要求，对招标文件的合理性、合法性不再有异议。</w:t>
      </w:r>
    </w:p>
    <w:p w14:paraId="04E46CA0">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3</w:t>
      </w:r>
      <w:r>
        <w:rPr>
          <w:rFonts w:hint="eastAsia" w:asciiTheme="minorEastAsia" w:hAnsiTheme="minorEastAsia" w:eastAsiaTheme="minorEastAsia"/>
          <w:color w:val="000000" w:themeColor="text1"/>
          <w:szCs w:val="21"/>
        </w:rPr>
        <w:t>、本投标有效期自开标日起</w:t>
      </w:r>
      <w:r>
        <w:rPr>
          <w:rFonts w:asciiTheme="minorEastAsia" w:hAnsiTheme="minorEastAsia" w:eastAsiaTheme="minorEastAsia"/>
          <w:color w:val="000000" w:themeColor="text1"/>
          <w:szCs w:val="21"/>
        </w:rPr>
        <w:t xml:space="preserve"> ______</w:t>
      </w:r>
      <w:r>
        <w:rPr>
          <w:rFonts w:hint="eastAsia" w:asciiTheme="minorEastAsia" w:hAnsiTheme="minorEastAsia" w:eastAsiaTheme="minorEastAsia"/>
          <w:color w:val="000000" w:themeColor="text1"/>
          <w:szCs w:val="21"/>
        </w:rPr>
        <w:t>日。</w:t>
      </w:r>
    </w:p>
    <w:p w14:paraId="2AE04CF9">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4</w:t>
      </w:r>
      <w:r>
        <w:rPr>
          <w:rFonts w:hint="eastAsia" w:asciiTheme="minorEastAsia" w:hAnsiTheme="minorEastAsia" w:eastAsiaTheme="minorEastAsia"/>
          <w:color w:val="000000" w:themeColor="text1"/>
          <w:szCs w:val="21"/>
        </w:rPr>
        <w:t>、如中标，本投标文件至本项目合同履行完毕止均保持有效，本投标人将按“招标文件”及政府采购法律、法规的规定履行合同责任和义务。</w:t>
      </w:r>
    </w:p>
    <w:p w14:paraId="7393CC55">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5</w:t>
      </w:r>
      <w:r>
        <w:rPr>
          <w:rFonts w:hint="eastAsia" w:asciiTheme="minorEastAsia" w:hAnsiTheme="minorEastAsia" w:eastAsiaTheme="minorEastAsia"/>
          <w:color w:val="000000" w:themeColor="text1"/>
          <w:szCs w:val="21"/>
        </w:rPr>
        <w:t>、投标人同意按照贵方要求提供与投标有关的一切数据或资料。</w:t>
      </w:r>
    </w:p>
    <w:p w14:paraId="679CA4BD">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6</w:t>
      </w:r>
      <w:r>
        <w:rPr>
          <w:rFonts w:hint="eastAsia" w:asciiTheme="minorEastAsia" w:hAnsiTheme="minorEastAsia" w:eastAsiaTheme="minorEastAsia"/>
          <w:color w:val="000000" w:themeColor="text1"/>
          <w:szCs w:val="21"/>
        </w:rPr>
        <w:t>、与本投标有关的一切正式往来信函请寄：</w:t>
      </w:r>
    </w:p>
    <w:p w14:paraId="6F97855F">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0445B6BF">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地址：              邮编：</w:t>
      </w:r>
      <w:r>
        <w:rPr>
          <w:rFonts w:asciiTheme="minorEastAsia" w:hAnsiTheme="minorEastAsia" w:eastAsiaTheme="minorEastAsia"/>
          <w:color w:val="000000" w:themeColor="text1"/>
          <w:szCs w:val="21"/>
        </w:rPr>
        <w:t xml:space="preserve">__________   </w:t>
      </w:r>
      <w:r>
        <w:rPr>
          <w:rFonts w:hint="eastAsia" w:asciiTheme="minorEastAsia" w:hAnsiTheme="minorEastAsia" w:eastAsiaTheme="minorEastAsia"/>
          <w:color w:val="000000" w:themeColor="text1"/>
          <w:szCs w:val="21"/>
        </w:rPr>
        <w:t>电话：</w:t>
      </w:r>
      <w:r>
        <w:rPr>
          <w:rFonts w:asciiTheme="minorEastAsia" w:hAnsiTheme="minorEastAsia" w:eastAsiaTheme="minorEastAsia"/>
          <w:color w:val="000000" w:themeColor="text1"/>
          <w:szCs w:val="21"/>
        </w:rPr>
        <w:t>______________</w:t>
      </w:r>
    </w:p>
    <w:p w14:paraId="23CEB15B">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传真：</w:t>
      </w:r>
      <w:r>
        <w:rPr>
          <w:rFonts w:asciiTheme="minorEastAsia" w:hAnsiTheme="minorEastAsia" w:eastAsiaTheme="minorEastAsia"/>
          <w:color w:val="000000" w:themeColor="text1"/>
          <w:szCs w:val="21"/>
        </w:rPr>
        <w:t>______________</w:t>
      </w:r>
      <w:r>
        <w:rPr>
          <w:rFonts w:hint="eastAsia" w:asciiTheme="minorEastAsia" w:hAnsiTheme="minorEastAsia" w:eastAsiaTheme="minorEastAsia"/>
          <w:color w:val="000000" w:themeColor="text1"/>
          <w:szCs w:val="21"/>
        </w:rPr>
        <w:t>投标人代表姓名</w:t>
      </w:r>
      <w:r>
        <w:rPr>
          <w:rFonts w:asciiTheme="minorEastAsia" w:hAnsiTheme="minorEastAsia" w:eastAsiaTheme="minorEastAsia"/>
          <w:color w:val="000000" w:themeColor="text1"/>
          <w:szCs w:val="21"/>
        </w:rPr>
        <w:t xml:space="preserve"> ___________  </w:t>
      </w:r>
      <w:r>
        <w:rPr>
          <w:rFonts w:hint="eastAsia" w:asciiTheme="minorEastAsia" w:hAnsiTheme="minorEastAsia" w:eastAsiaTheme="minorEastAsia"/>
          <w:color w:val="000000" w:themeColor="text1"/>
          <w:szCs w:val="21"/>
        </w:rPr>
        <w:t>职务：</w:t>
      </w:r>
      <w:r>
        <w:rPr>
          <w:rFonts w:asciiTheme="minorEastAsia" w:hAnsiTheme="minorEastAsia" w:eastAsiaTheme="minorEastAsia"/>
          <w:color w:val="000000" w:themeColor="text1"/>
          <w:szCs w:val="21"/>
        </w:rPr>
        <w:t>_____________</w:t>
      </w:r>
    </w:p>
    <w:p w14:paraId="3CC179CE">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投标人名称</w:t>
      </w: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shd w:val="clear" w:color="auto" w:fill="FFFFFF"/>
        </w:rPr>
        <w:t>CA签章</w:t>
      </w:r>
      <w:r>
        <w:rPr>
          <w:rFonts w:asciiTheme="minorEastAsia" w:hAnsiTheme="minorEastAsia" w:eastAsiaTheme="minorEastAsia"/>
          <w:color w:val="000000" w:themeColor="text1"/>
          <w:szCs w:val="21"/>
        </w:rPr>
        <w:t>): _____________</w:t>
      </w:r>
    </w:p>
    <w:p w14:paraId="0090E290">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开户银行：                银行帐号：</w:t>
      </w:r>
    </w:p>
    <w:p w14:paraId="0C614441">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法定代表人或其委托代理人签名（或盖章）</w:t>
      </w:r>
      <w:r>
        <w:rPr>
          <w:rFonts w:asciiTheme="minorEastAsia" w:hAnsiTheme="minorEastAsia" w:eastAsiaTheme="minorEastAsia"/>
          <w:color w:val="000000" w:themeColor="text1"/>
          <w:szCs w:val="21"/>
        </w:rPr>
        <w:t xml:space="preserve">:___________                      </w:t>
      </w:r>
    </w:p>
    <w:p w14:paraId="3F3D30BE">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日期</w:t>
      </w:r>
      <w:r>
        <w:rPr>
          <w:rFonts w:asciiTheme="minorEastAsia" w:hAnsiTheme="minorEastAsia" w:eastAsiaTheme="minorEastAsia"/>
          <w:color w:val="000000" w:themeColor="text1"/>
          <w:szCs w:val="21"/>
        </w:rPr>
        <w:t>:_____</w:t>
      </w:r>
      <w:r>
        <w:rPr>
          <w:rFonts w:hint="eastAsia" w:asciiTheme="minorEastAsia" w:hAnsiTheme="minorEastAsia" w:eastAsiaTheme="minorEastAsia"/>
          <w:color w:val="000000" w:themeColor="text1"/>
          <w:szCs w:val="21"/>
        </w:rPr>
        <w:t>年</w:t>
      </w:r>
      <w:r>
        <w:rPr>
          <w:rFonts w:asciiTheme="minorEastAsia" w:hAnsiTheme="minorEastAsia" w:eastAsiaTheme="minorEastAsia"/>
          <w:color w:val="000000" w:themeColor="text1"/>
          <w:szCs w:val="21"/>
        </w:rPr>
        <w:t>___</w:t>
      </w:r>
      <w:r>
        <w:rPr>
          <w:rFonts w:hint="eastAsia" w:asciiTheme="minorEastAsia" w:hAnsiTheme="minorEastAsia" w:eastAsiaTheme="minorEastAsia"/>
          <w:color w:val="000000" w:themeColor="text1"/>
          <w:szCs w:val="21"/>
        </w:rPr>
        <w:t>月</w:t>
      </w:r>
      <w:r>
        <w:rPr>
          <w:rFonts w:asciiTheme="minorEastAsia" w:hAnsiTheme="minorEastAsia" w:eastAsiaTheme="minorEastAsia"/>
          <w:color w:val="000000" w:themeColor="text1"/>
          <w:szCs w:val="21"/>
        </w:rPr>
        <w:t>___</w:t>
      </w:r>
      <w:r>
        <w:rPr>
          <w:rFonts w:hint="eastAsia" w:asciiTheme="minorEastAsia" w:hAnsiTheme="minorEastAsia" w:eastAsiaTheme="minorEastAsia"/>
          <w:color w:val="000000" w:themeColor="text1"/>
          <w:szCs w:val="21"/>
        </w:rPr>
        <w:t>日</w:t>
      </w:r>
    </w:p>
    <w:p w14:paraId="67CDD47A">
      <w:pPr>
        <w:pStyle w:val="48"/>
        <w:ind w:right="42" w:rightChars="20" w:firstLine="464"/>
        <w:rPr>
          <w:rFonts w:asciiTheme="minorEastAsia" w:hAnsiTheme="minorEastAsia" w:eastAsiaTheme="minorEastAsia"/>
          <w:color w:val="000000" w:themeColor="text1"/>
          <w:szCs w:val="21"/>
        </w:rPr>
      </w:pPr>
    </w:p>
    <w:p w14:paraId="7872E1B2">
      <w:pPr>
        <w:pStyle w:val="48"/>
        <w:ind w:right="42" w:rightChars="20" w:firstLine="464"/>
        <w:rPr>
          <w:rFonts w:asciiTheme="minorEastAsia" w:hAnsiTheme="minorEastAsia" w:eastAsiaTheme="minorEastAsia"/>
          <w:color w:val="000000" w:themeColor="text1"/>
          <w:szCs w:val="21"/>
        </w:rPr>
      </w:pPr>
    </w:p>
    <w:p w14:paraId="13C2BFD3">
      <w:pPr>
        <w:pStyle w:val="48"/>
        <w:ind w:right="42" w:rightChars="20" w:firstLine="464"/>
        <w:rPr>
          <w:rFonts w:asciiTheme="minorEastAsia" w:hAnsiTheme="minorEastAsia" w:eastAsiaTheme="minorEastAsia"/>
          <w:color w:val="000000" w:themeColor="text1"/>
          <w:szCs w:val="21"/>
        </w:rPr>
      </w:pPr>
    </w:p>
    <w:p w14:paraId="448C66EB">
      <w:pPr>
        <w:pStyle w:val="48"/>
        <w:ind w:right="42" w:rightChars="20" w:firstLine="464"/>
        <w:rPr>
          <w:rFonts w:asciiTheme="minorEastAsia" w:hAnsiTheme="minorEastAsia" w:eastAsiaTheme="minorEastAsia"/>
          <w:color w:val="000000" w:themeColor="text1"/>
          <w:szCs w:val="21"/>
        </w:rPr>
      </w:pPr>
    </w:p>
    <w:p w14:paraId="1B249521">
      <w:pPr>
        <w:pStyle w:val="48"/>
        <w:ind w:right="42" w:rightChars="20" w:firstLine="464"/>
        <w:rPr>
          <w:rFonts w:asciiTheme="minorEastAsia" w:hAnsiTheme="minorEastAsia" w:eastAsiaTheme="minorEastAsia"/>
          <w:color w:val="000000" w:themeColor="text1"/>
          <w:szCs w:val="21"/>
        </w:rPr>
      </w:pPr>
    </w:p>
    <w:p w14:paraId="5513C8D8">
      <w:pPr>
        <w:pStyle w:val="48"/>
        <w:ind w:right="42" w:rightChars="20" w:firstLine="464"/>
        <w:rPr>
          <w:rFonts w:asciiTheme="minorEastAsia" w:hAnsiTheme="minorEastAsia" w:eastAsiaTheme="minorEastAsia"/>
          <w:color w:val="000000" w:themeColor="text1"/>
          <w:szCs w:val="21"/>
        </w:rPr>
      </w:pPr>
    </w:p>
    <w:p w14:paraId="7AC27DE8">
      <w:pPr>
        <w:snapToGrid w:val="0"/>
        <w:spacing w:line="360" w:lineRule="auto"/>
        <w:ind w:right="42" w:rightChars="20"/>
        <w:rPr>
          <w:rFonts w:asciiTheme="minorEastAsia" w:hAnsiTheme="minorEastAsia" w:eastAsiaTheme="minorEastAsia"/>
          <w:color w:val="000000" w:themeColor="text1"/>
          <w:szCs w:val="21"/>
        </w:rPr>
      </w:pPr>
    </w:p>
    <w:p w14:paraId="1093C5B0">
      <w:pPr>
        <w:snapToGrid w:val="0"/>
        <w:spacing w:line="360" w:lineRule="auto"/>
        <w:ind w:right="42" w:rightChars="20"/>
        <w:jc w:val="center"/>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开标一览表</w:t>
      </w:r>
    </w:p>
    <w:p w14:paraId="555A721E">
      <w:pPr>
        <w:snapToGrid w:val="0"/>
        <w:spacing w:line="360" w:lineRule="auto"/>
        <w:ind w:right="42" w:rightChars="20" w:firstLine="420" w:firstLineChars="200"/>
        <w:jc w:val="left"/>
        <w:rPr>
          <w:rFonts w:asciiTheme="minorEastAsia" w:hAnsiTheme="minorEastAsia" w:eastAsiaTheme="minorEastAsia"/>
          <w:color w:val="000000" w:themeColor="text1"/>
          <w:szCs w:val="21"/>
        </w:rPr>
      </w:pPr>
    </w:p>
    <w:p w14:paraId="15C525E3">
      <w:pPr>
        <w:snapToGrid w:val="0"/>
        <w:spacing w:line="360" w:lineRule="auto"/>
        <w:ind w:right="42" w:rightChars="2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招标编号：</w:t>
      </w:r>
      <w:r>
        <w:rPr>
          <w:rFonts w:hint="eastAsia" w:asciiTheme="minorEastAsia" w:hAnsiTheme="minorEastAsia" w:eastAsiaTheme="minorEastAsia"/>
          <w:color w:val="000000" w:themeColor="text1"/>
          <w:szCs w:val="21"/>
          <w:u w:val="single"/>
        </w:rPr>
        <w:t xml:space="preserve">                 </w:t>
      </w:r>
    </w:p>
    <w:p w14:paraId="596CCAF2">
      <w:pPr>
        <w:snapToGrid w:val="0"/>
        <w:spacing w:line="360" w:lineRule="auto"/>
        <w:ind w:right="42" w:rightChars="20"/>
        <w:rPr>
          <w:rFonts w:asciiTheme="minorEastAsia" w:hAnsiTheme="minorEastAsia" w:eastAsiaTheme="minorEastAsia"/>
          <w:color w:val="000000" w:themeColor="text1"/>
          <w:szCs w:val="21"/>
          <w:u w:val="single"/>
        </w:rPr>
      </w:pPr>
      <w:r>
        <w:rPr>
          <w:rFonts w:asciiTheme="minorEastAsia" w:hAnsiTheme="minorEastAsia" w:eastAsiaTheme="minorEastAsia"/>
          <w:color w:val="000000" w:themeColor="text1"/>
          <w:szCs w:val="21"/>
        </w:rPr>
        <w:t>投标人名称：</w:t>
      </w:r>
      <w:r>
        <w:rPr>
          <w:rFonts w:hint="eastAsia" w:asciiTheme="minorEastAsia" w:hAnsiTheme="minorEastAsia" w:eastAsiaTheme="minorEastAsia"/>
          <w:color w:val="000000" w:themeColor="text1"/>
          <w:szCs w:val="21"/>
          <w:u w:val="single"/>
        </w:rPr>
        <w:t xml:space="preserve">               </w:t>
      </w:r>
    </w:p>
    <w:tbl>
      <w:tblPr>
        <w:tblStyle w:val="49"/>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018"/>
        <w:gridCol w:w="708"/>
        <w:gridCol w:w="709"/>
        <w:gridCol w:w="1466"/>
        <w:gridCol w:w="1417"/>
        <w:gridCol w:w="1432"/>
      </w:tblGrid>
      <w:tr w14:paraId="2908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44" w:type="dxa"/>
            <w:vAlign w:val="center"/>
          </w:tcPr>
          <w:p w14:paraId="65BE3138">
            <w:pPr>
              <w:snapToGrid w:val="0"/>
              <w:spacing w:line="360" w:lineRule="auto"/>
              <w:jc w:val="center"/>
              <w:rPr>
                <w:rFonts w:ascii="宋体" w:hAnsi="宋体"/>
                <w:color w:val="000000" w:themeColor="text1"/>
                <w:szCs w:val="21"/>
              </w:rPr>
            </w:pPr>
            <w:r>
              <w:rPr>
                <w:rFonts w:hint="eastAsia" w:ascii="宋体" w:hAnsi="宋体"/>
                <w:color w:val="000000" w:themeColor="text1"/>
                <w:szCs w:val="21"/>
              </w:rPr>
              <w:t>序号</w:t>
            </w:r>
          </w:p>
        </w:tc>
        <w:tc>
          <w:tcPr>
            <w:tcW w:w="2018" w:type="dxa"/>
            <w:vAlign w:val="center"/>
          </w:tcPr>
          <w:p w14:paraId="1B6349A6">
            <w:pPr>
              <w:snapToGrid w:val="0"/>
              <w:spacing w:line="360" w:lineRule="auto"/>
              <w:jc w:val="center"/>
              <w:rPr>
                <w:rFonts w:ascii="宋体" w:hAnsi="宋体"/>
                <w:color w:val="000000" w:themeColor="text1"/>
                <w:szCs w:val="21"/>
              </w:rPr>
            </w:pPr>
            <w:r>
              <w:rPr>
                <w:rFonts w:hint="eastAsia" w:ascii="宋体" w:hAnsi="宋体"/>
                <w:color w:val="000000" w:themeColor="text1"/>
                <w:szCs w:val="21"/>
              </w:rPr>
              <w:t>货物名称</w:t>
            </w:r>
          </w:p>
        </w:tc>
        <w:tc>
          <w:tcPr>
            <w:tcW w:w="708" w:type="dxa"/>
            <w:vAlign w:val="center"/>
          </w:tcPr>
          <w:p w14:paraId="79EBC9FF">
            <w:pPr>
              <w:snapToGrid w:val="0"/>
              <w:spacing w:line="360" w:lineRule="auto"/>
              <w:jc w:val="center"/>
              <w:rPr>
                <w:rFonts w:ascii="宋体" w:hAnsi="宋体"/>
                <w:color w:val="000000" w:themeColor="text1"/>
                <w:szCs w:val="21"/>
              </w:rPr>
            </w:pPr>
            <w:r>
              <w:rPr>
                <w:rFonts w:hint="eastAsia" w:ascii="宋体" w:hAnsi="宋体"/>
                <w:color w:val="000000" w:themeColor="text1"/>
                <w:szCs w:val="21"/>
              </w:rPr>
              <w:t>数量</w:t>
            </w:r>
          </w:p>
        </w:tc>
        <w:tc>
          <w:tcPr>
            <w:tcW w:w="709" w:type="dxa"/>
            <w:vAlign w:val="center"/>
          </w:tcPr>
          <w:p w14:paraId="273B8AED">
            <w:pPr>
              <w:snapToGrid w:val="0"/>
              <w:spacing w:line="360" w:lineRule="auto"/>
              <w:jc w:val="center"/>
              <w:rPr>
                <w:rFonts w:ascii="宋体" w:hAnsi="宋体"/>
                <w:color w:val="000000" w:themeColor="text1"/>
                <w:szCs w:val="21"/>
              </w:rPr>
            </w:pPr>
            <w:r>
              <w:rPr>
                <w:rFonts w:hint="eastAsia" w:ascii="宋体" w:hAnsi="宋体"/>
                <w:color w:val="000000" w:themeColor="text1"/>
                <w:szCs w:val="21"/>
              </w:rPr>
              <w:t>单位</w:t>
            </w:r>
          </w:p>
        </w:tc>
        <w:tc>
          <w:tcPr>
            <w:tcW w:w="1466" w:type="dxa"/>
            <w:vAlign w:val="center"/>
          </w:tcPr>
          <w:p w14:paraId="578270D3">
            <w:pPr>
              <w:snapToGrid w:val="0"/>
              <w:spacing w:line="360" w:lineRule="auto"/>
              <w:jc w:val="center"/>
              <w:rPr>
                <w:rFonts w:ascii="宋体" w:hAnsi="宋体"/>
                <w:color w:val="000000" w:themeColor="text1"/>
                <w:szCs w:val="21"/>
              </w:rPr>
            </w:pPr>
            <w:r>
              <w:rPr>
                <w:rFonts w:hint="eastAsia" w:ascii="宋体" w:hAnsi="宋体"/>
                <w:color w:val="000000" w:themeColor="text1"/>
                <w:szCs w:val="21"/>
              </w:rPr>
              <w:t>投标报价(元)</w:t>
            </w:r>
          </w:p>
        </w:tc>
        <w:tc>
          <w:tcPr>
            <w:tcW w:w="1417" w:type="dxa"/>
          </w:tcPr>
          <w:p w14:paraId="4721D3F6">
            <w:pPr>
              <w:snapToGrid w:val="0"/>
              <w:spacing w:line="360" w:lineRule="auto"/>
              <w:jc w:val="center"/>
              <w:rPr>
                <w:rFonts w:ascii="宋体" w:hAnsi="宋体"/>
                <w:color w:val="000000" w:themeColor="text1"/>
                <w:szCs w:val="21"/>
              </w:rPr>
            </w:pPr>
            <w:r>
              <w:rPr>
                <w:rFonts w:hint="eastAsia" w:ascii="宋体" w:hAnsi="宋体"/>
                <w:color w:val="000000" w:themeColor="text1"/>
                <w:szCs w:val="21"/>
              </w:rPr>
              <w:t>服务期</w:t>
            </w:r>
          </w:p>
        </w:tc>
        <w:tc>
          <w:tcPr>
            <w:tcW w:w="1432" w:type="dxa"/>
          </w:tcPr>
          <w:p w14:paraId="2AFDD073">
            <w:pPr>
              <w:snapToGrid w:val="0"/>
              <w:spacing w:line="360" w:lineRule="auto"/>
              <w:jc w:val="center"/>
              <w:rPr>
                <w:rFonts w:ascii="宋体" w:hAnsi="宋体"/>
                <w:color w:val="000000" w:themeColor="text1"/>
                <w:szCs w:val="21"/>
              </w:rPr>
            </w:pPr>
            <w:r>
              <w:rPr>
                <w:rFonts w:hint="eastAsia" w:ascii="宋体" w:hAnsi="宋体"/>
                <w:color w:val="000000" w:themeColor="text1"/>
                <w:szCs w:val="21"/>
              </w:rPr>
              <w:t>项目负责人</w:t>
            </w:r>
          </w:p>
        </w:tc>
      </w:tr>
      <w:tr w14:paraId="6577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944" w:type="dxa"/>
            <w:vAlign w:val="center"/>
          </w:tcPr>
          <w:p w14:paraId="1F5F57AE">
            <w:pPr>
              <w:snapToGrid w:val="0"/>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2018" w:type="dxa"/>
            <w:vAlign w:val="center"/>
          </w:tcPr>
          <w:p w14:paraId="4CB616A7">
            <w:pPr>
              <w:snapToGrid w:val="0"/>
              <w:spacing w:line="360" w:lineRule="auto"/>
              <w:jc w:val="center"/>
              <w:rPr>
                <w:rFonts w:hint="eastAsia" w:ascii="宋体" w:hAnsi="宋体" w:eastAsia="宋体"/>
                <w:color w:val="000000" w:themeColor="text1"/>
                <w:szCs w:val="21"/>
                <w:lang w:eastAsia="zh-CN"/>
              </w:rPr>
            </w:pPr>
            <w:r>
              <w:rPr>
                <w:rFonts w:hint="eastAsia" w:ascii="宋体" w:hAnsi="宋体"/>
                <w:color w:val="000000" w:themeColor="text1"/>
                <w:szCs w:val="21"/>
                <w:lang w:eastAsia="zh-CN"/>
              </w:rPr>
              <w:t>秀洲区2025年水文测站标准化运行管理及维护项目</w:t>
            </w:r>
          </w:p>
        </w:tc>
        <w:tc>
          <w:tcPr>
            <w:tcW w:w="708" w:type="dxa"/>
            <w:vAlign w:val="center"/>
          </w:tcPr>
          <w:p w14:paraId="650B6CE9">
            <w:pPr>
              <w:snapToGrid w:val="0"/>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709" w:type="dxa"/>
            <w:vAlign w:val="center"/>
          </w:tcPr>
          <w:p w14:paraId="229374FA">
            <w:pPr>
              <w:snapToGrid w:val="0"/>
              <w:spacing w:line="360" w:lineRule="auto"/>
              <w:jc w:val="center"/>
              <w:rPr>
                <w:rFonts w:ascii="宋体" w:hAnsi="宋体"/>
                <w:color w:val="000000" w:themeColor="text1"/>
                <w:szCs w:val="21"/>
              </w:rPr>
            </w:pPr>
            <w:r>
              <w:rPr>
                <w:rFonts w:hint="eastAsia" w:ascii="宋体" w:hAnsi="宋体"/>
                <w:color w:val="000000" w:themeColor="text1"/>
                <w:szCs w:val="21"/>
              </w:rPr>
              <w:t>项</w:t>
            </w:r>
          </w:p>
        </w:tc>
        <w:tc>
          <w:tcPr>
            <w:tcW w:w="1466" w:type="dxa"/>
            <w:vAlign w:val="center"/>
          </w:tcPr>
          <w:p w14:paraId="0BF7F067">
            <w:pPr>
              <w:snapToGrid w:val="0"/>
              <w:spacing w:line="360" w:lineRule="auto"/>
              <w:jc w:val="center"/>
              <w:rPr>
                <w:rFonts w:ascii="宋体" w:hAnsi="宋体"/>
                <w:color w:val="000000" w:themeColor="text1"/>
                <w:szCs w:val="21"/>
              </w:rPr>
            </w:pPr>
          </w:p>
        </w:tc>
        <w:tc>
          <w:tcPr>
            <w:tcW w:w="1417" w:type="dxa"/>
          </w:tcPr>
          <w:p w14:paraId="0E4D9D03">
            <w:pPr>
              <w:snapToGrid w:val="0"/>
              <w:spacing w:line="360" w:lineRule="auto"/>
              <w:jc w:val="center"/>
              <w:rPr>
                <w:rFonts w:ascii="宋体" w:hAnsi="宋体"/>
                <w:color w:val="000000" w:themeColor="text1"/>
                <w:szCs w:val="21"/>
              </w:rPr>
            </w:pPr>
          </w:p>
        </w:tc>
        <w:tc>
          <w:tcPr>
            <w:tcW w:w="1432" w:type="dxa"/>
          </w:tcPr>
          <w:p w14:paraId="79BE8064">
            <w:pPr>
              <w:snapToGrid w:val="0"/>
              <w:spacing w:line="360" w:lineRule="auto"/>
              <w:jc w:val="center"/>
              <w:rPr>
                <w:rFonts w:ascii="宋体" w:hAnsi="宋体"/>
                <w:color w:val="000000" w:themeColor="text1"/>
                <w:szCs w:val="21"/>
              </w:rPr>
            </w:pPr>
          </w:p>
        </w:tc>
      </w:tr>
    </w:tbl>
    <w:p w14:paraId="2140A024">
      <w:pPr>
        <w:snapToGrid w:val="0"/>
        <w:spacing w:line="360" w:lineRule="auto"/>
        <w:ind w:right="42" w:rightChars="20"/>
        <w:rPr>
          <w:rFonts w:asciiTheme="minorEastAsia" w:hAnsiTheme="minorEastAsia" w:eastAsiaTheme="minorEastAsia"/>
          <w:color w:val="000000" w:themeColor="text1"/>
          <w:szCs w:val="21"/>
        </w:rPr>
      </w:pPr>
    </w:p>
    <w:p w14:paraId="5977811F">
      <w:pPr>
        <w:pStyle w:val="26"/>
        <w:snapToGrid w:val="0"/>
        <w:spacing w:line="360" w:lineRule="auto"/>
        <w:ind w:left="420" w:right="42" w:rightChars="20" w:hanging="42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注</w:t>
      </w:r>
      <w:r>
        <w:rPr>
          <w:rFonts w:hint="eastAsia" w:asciiTheme="minorEastAsia" w:hAnsiTheme="minorEastAsia" w:eastAsiaTheme="minorEastAsia"/>
          <w:color w:val="000000" w:themeColor="text1"/>
          <w:szCs w:val="21"/>
        </w:rPr>
        <w:t>：</w:t>
      </w:r>
      <w:r>
        <w:rPr>
          <w:rFonts w:asciiTheme="minorEastAsia" w:hAnsiTheme="minorEastAsia" w:eastAsiaTheme="minorEastAsia"/>
          <w:color w:val="000000" w:themeColor="text1"/>
          <w:szCs w:val="21"/>
        </w:rPr>
        <w:t>1、报价一经涂改，应在涂改处加盖单位公章或者由法定代表人或授权委托人签字或盖章，否则其投标作无效标处理。</w:t>
      </w:r>
    </w:p>
    <w:p w14:paraId="41B45419">
      <w:pPr>
        <w:pStyle w:val="26"/>
        <w:snapToGrid w:val="0"/>
        <w:spacing w:line="360" w:lineRule="auto"/>
        <w:ind w:right="42" w:rightChars="20" w:firstLine="420" w:firstLineChars="2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w:t>
      </w: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w:t>
      </w:r>
      <w:r>
        <w:rPr>
          <w:rFonts w:hint="eastAsia" w:asciiTheme="minorEastAsia" w:hAnsiTheme="minorEastAsia" w:eastAsiaTheme="minorEastAsia"/>
          <w:b/>
          <w:color w:val="000000" w:themeColor="text1"/>
          <w:szCs w:val="21"/>
        </w:rPr>
        <w:t>预算价为</w:t>
      </w:r>
      <w:r>
        <w:rPr>
          <w:rFonts w:hint="eastAsia" w:asciiTheme="minorEastAsia" w:hAnsiTheme="minorEastAsia" w:eastAsiaTheme="minorEastAsia"/>
          <w:b/>
          <w:color w:val="000000" w:themeColor="text1"/>
          <w:szCs w:val="21"/>
          <w:lang w:val="en-US" w:eastAsia="zh-CN"/>
        </w:rPr>
        <w:t>68</w:t>
      </w:r>
      <w:r>
        <w:rPr>
          <w:rFonts w:hint="eastAsia" w:asciiTheme="minorEastAsia" w:hAnsiTheme="minorEastAsia" w:eastAsiaTheme="minorEastAsia"/>
          <w:b/>
          <w:color w:val="000000" w:themeColor="text1"/>
          <w:szCs w:val="21"/>
        </w:rPr>
        <w:t>万元，</w:t>
      </w:r>
      <w:r>
        <w:rPr>
          <w:rFonts w:asciiTheme="minorEastAsia" w:hAnsiTheme="minorEastAsia" w:eastAsiaTheme="minorEastAsia"/>
          <w:b/>
          <w:color w:val="000000" w:themeColor="text1"/>
          <w:szCs w:val="21"/>
        </w:rPr>
        <w:t>以上报价不得超过上限价，任何超过上限价的报价均导致投标被否决。</w:t>
      </w:r>
    </w:p>
    <w:p w14:paraId="45F8BE71">
      <w:pPr>
        <w:widowControl/>
        <w:spacing w:line="460" w:lineRule="exact"/>
        <w:ind w:right="42" w:rightChars="20" w:firstLine="480"/>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3、必须包括提供项目服务所需的一切费用，包括但不限于人员工资、奖金、各种加班费、各种社会保险（基本养老保险、基本医疗保险、工伤保险、失业保险、公积金等）、专家评审费、考察费、调研费、食宿与交通、高温补偿费）、会务费用、管理费用（意外保险、车辆、培训、税费、利润）、招标代理费等完成合同所需的一切本身和不可或缺的所有工作开支、政策性文件规定及合同包含的所有风险、责任等各项全部费用并承担一切风险责任。</w:t>
      </w:r>
    </w:p>
    <w:p w14:paraId="48E7629F">
      <w:pPr>
        <w:pStyle w:val="26"/>
        <w:snapToGrid w:val="0"/>
        <w:spacing w:line="360" w:lineRule="auto"/>
        <w:ind w:right="42" w:rightChars="20"/>
        <w:rPr>
          <w:rFonts w:asciiTheme="minorEastAsia" w:hAnsiTheme="minorEastAsia" w:eastAsiaTheme="minorEastAsia"/>
          <w:color w:val="000000" w:themeColor="text1"/>
          <w:szCs w:val="21"/>
        </w:rPr>
      </w:pPr>
    </w:p>
    <w:p w14:paraId="1B626BE4">
      <w:pPr>
        <w:pStyle w:val="26"/>
        <w:snapToGrid w:val="0"/>
        <w:spacing w:line="360" w:lineRule="auto"/>
        <w:ind w:right="42" w:rightChars="20"/>
        <w:rPr>
          <w:rFonts w:asciiTheme="minorEastAsia" w:hAnsiTheme="minorEastAsia" w:eastAsiaTheme="minorEastAsia"/>
          <w:color w:val="000000" w:themeColor="text1"/>
          <w:szCs w:val="21"/>
        </w:rPr>
      </w:pPr>
    </w:p>
    <w:p w14:paraId="2AF1B12E">
      <w:pPr>
        <w:pStyle w:val="26"/>
        <w:snapToGrid w:val="0"/>
        <w:spacing w:line="360" w:lineRule="auto"/>
        <w:ind w:right="42" w:rightChars="20"/>
        <w:rPr>
          <w:rFonts w:asciiTheme="minorEastAsia" w:hAnsiTheme="minorEastAsia" w:eastAsiaTheme="minorEastAsia"/>
          <w:color w:val="000000" w:themeColor="text1"/>
          <w:szCs w:val="21"/>
          <w:shd w:val="clear" w:color="auto" w:fill="FFFFFF"/>
        </w:rPr>
      </w:pPr>
      <w:r>
        <w:rPr>
          <w:rFonts w:asciiTheme="minorEastAsia" w:hAnsiTheme="minorEastAsia" w:eastAsiaTheme="minorEastAsia"/>
          <w:color w:val="000000" w:themeColor="text1"/>
          <w:szCs w:val="21"/>
          <w:shd w:val="clear" w:color="auto" w:fill="FFFFFF"/>
        </w:rPr>
        <w:t xml:space="preserve">法定代表人或授权代表（签字或盖章）： </w:t>
      </w:r>
    </w:p>
    <w:p w14:paraId="2EEC3811">
      <w:pPr>
        <w:pStyle w:val="26"/>
        <w:snapToGrid w:val="0"/>
        <w:spacing w:line="360" w:lineRule="auto"/>
        <w:ind w:right="42" w:rightChars="20"/>
        <w:rPr>
          <w:rFonts w:asciiTheme="minorEastAsia" w:hAnsiTheme="minorEastAsia" w:eastAsiaTheme="minorEastAsia"/>
          <w:color w:val="000000" w:themeColor="text1"/>
          <w:szCs w:val="21"/>
          <w:shd w:val="clear" w:color="auto" w:fill="FFFFFF"/>
        </w:rPr>
      </w:pPr>
    </w:p>
    <w:p w14:paraId="6E2E13AB">
      <w:pPr>
        <w:pStyle w:val="26"/>
        <w:snapToGrid w:val="0"/>
        <w:spacing w:line="360" w:lineRule="auto"/>
        <w:ind w:right="42" w:rightChars="20"/>
        <w:rPr>
          <w:rFonts w:asciiTheme="minorEastAsia" w:hAnsiTheme="minorEastAsia" w:eastAsiaTheme="minorEastAsia"/>
          <w:color w:val="000000" w:themeColor="text1"/>
          <w:szCs w:val="21"/>
          <w:shd w:val="clear" w:color="auto" w:fill="FFFFFF"/>
        </w:rPr>
      </w:pPr>
      <w:r>
        <w:rPr>
          <w:rFonts w:hint="eastAsia" w:asciiTheme="minorEastAsia" w:hAnsiTheme="minorEastAsia" w:eastAsiaTheme="minorEastAsia"/>
          <w:color w:val="000000" w:themeColor="text1"/>
          <w:szCs w:val="21"/>
          <w:shd w:val="clear" w:color="auto" w:fill="FFFFFF"/>
        </w:rPr>
        <w:t>投标人名称（CA签章）</w:t>
      </w:r>
      <w:r>
        <w:rPr>
          <w:rFonts w:asciiTheme="minorEastAsia" w:hAnsiTheme="minorEastAsia" w:eastAsiaTheme="minorEastAsia"/>
          <w:color w:val="000000" w:themeColor="text1"/>
          <w:szCs w:val="21"/>
          <w:shd w:val="clear" w:color="auto" w:fill="FFFFFF"/>
        </w:rPr>
        <w:t>：</w:t>
      </w:r>
    </w:p>
    <w:p w14:paraId="654B234C">
      <w:pPr>
        <w:pStyle w:val="26"/>
        <w:snapToGrid w:val="0"/>
        <w:spacing w:line="360" w:lineRule="auto"/>
        <w:ind w:right="42" w:rightChars="20"/>
        <w:rPr>
          <w:rFonts w:asciiTheme="minorEastAsia" w:hAnsiTheme="minorEastAsia" w:eastAsiaTheme="minorEastAsia"/>
          <w:color w:val="000000" w:themeColor="text1"/>
          <w:szCs w:val="21"/>
        </w:rPr>
      </w:pPr>
    </w:p>
    <w:p w14:paraId="57C15CD2">
      <w:pPr>
        <w:pStyle w:val="26"/>
        <w:snapToGrid w:val="0"/>
        <w:spacing w:line="360" w:lineRule="auto"/>
        <w:ind w:right="42" w:rightChars="20"/>
        <w:rPr>
          <w:rFonts w:asciiTheme="minorEastAsia" w:hAnsiTheme="minorEastAsia" w:eastAsiaTheme="minorEastAsia"/>
          <w:color w:val="000000" w:themeColor="text1"/>
          <w:szCs w:val="21"/>
          <w:shd w:val="clear" w:color="auto" w:fill="FFFFFF"/>
        </w:rPr>
      </w:pPr>
      <w:r>
        <w:rPr>
          <w:rFonts w:hint="eastAsia" w:asciiTheme="minorEastAsia" w:hAnsiTheme="minorEastAsia" w:eastAsiaTheme="minorEastAsia"/>
          <w:color w:val="000000" w:themeColor="text1"/>
          <w:szCs w:val="21"/>
          <w:shd w:val="clear" w:color="auto" w:fill="FFFFFF"/>
        </w:rPr>
        <w:t>日期：</w:t>
      </w:r>
    </w:p>
    <w:p w14:paraId="5CD2D7DB">
      <w:pPr>
        <w:pStyle w:val="60"/>
        <w:spacing w:line="360" w:lineRule="auto"/>
        <w:ind w:right="42" w:rightChars="20"/>
        <w:rPr>
          <w:rFonts w:asciiTheme="minorEastAsia" w:hAnsiTheme="minorEastAsia" w:eastAsiaTheme="minorEastAsia"/>
          <w:color w:val="000000" w:themeColor="text1"/>
        </w:rPr>
      </w:pPr>
    </w:p>
    <w:p w14:paraId="0058F87C">
      <w:pPr>
        <w:pStyle w:val="60"/>
        <w:spacing w:line="360" w:lineRule="auto"/>
        <w:ind w:right="42" w:rightChars="20"/>
        <w:rPr>
          <w:rFonts w:asciiTheme="minorEastAsia" w:hAnsiTheme="minorEastAsia" w:eastAsiaTheme="minorEastAsia"/>
          <w:color w:val="000000" w:themeColor="text1"/>
        </w:rPr>
      </w:pPr>
    </w:p>
    <w:p w14:paraId="2CC20C58">
      <w:pPr>
        <w:pStyle w:val="60"/>
        <w:spacing w:line="360" w:lineRule="auto"/>
        <w:ind w:right="42" w:rightChars="20"/>
        <w:rPr>
          <w:rFonts w:asciiTheme="minorEastAsia" w:hAnsiTheme="minorEastAsia" w:eastAsiaTheme="minorEastAsia"/>
          <w:color w:val="000000" w:themeColor="text1"/>
        </w:rPr>
      </w:pPr>
    </w:p>
    <w:p w14:paraId="60C7C7F9">
      <w:pPr>
        <w:pStyle w:val="60"/>
        <w:spacing w:line="360" w:lineRule="auto"/>
        <w:ind w:right="42" w:rightChars="20"/>
        <w:rPr>
          <w:rFonts w:asciiTheme="minorEastAsia" w:hAnsiTheme="minorEastAsia" w:eastAsiaTheme="minorEastAsia"/>
          <w:color w:val="000000" w:themeColor="text1"/>
        </w:rPr>
      </w:pPr>
    </w:p>
    <w:p w14:paraId="362CA280">
      <w:pPr>
        <w:spacing w:line="360" w:lineRule="auto"/>
        <w:ind w:right="42" w:rightChars="20"/>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分项报价明细表</w:t>
      </w:r>
    </w:p>
    <w:tbl>
      <w:tblPr>
        <w:tblStyle w:val="49"/>
        <w:tblW w:w="89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74"/>
        <w:gridCol w:w="1010"/>
        <w:gridCol w:w="1008"/>
        <w:gridCol w:w="2640"/>
      </w:tblGrid>
      <w:tr w14:paraId="3F37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1008" w:type="dxa"/>
            <w:vAlign w:val="center"/>
          </w:tcPr>
          <w:p w14:paraId="521BB355">
            <w:pPr>
              <w:spacing w:line="360" w:lineRule="auto"/>
              <w:ind w:right="42" w:rightChars="2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bCs/>
                <w:color w:val="000000" w:themeColor="text1"/>
                <w:szCs w:val="21"/>
              </w:rPr>
              <w:t>序号</w:t>
            </w:r>
          </w:p>
        </w:tc>
        <w:tc>
          <w:tcPr>
            <w:tcW w:w="3274" w:type="dxa"/>
            <w:vAlign w:val="center"/>
          </w:tcPr>
          <w:p w14:paraId="13FEF1F0">
            <w:pPr>
              <w:spacing w:line="360" w:lineRule="auto"/>
              <w:ind w:left="102" w:right="42" w:rightChars="2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分项内容（包括人员、设备、场地等）</w:t>
            </w:r>
          </w:p>
        </w:tc>
        <w:tc>
          <w:tcPr>
            <w:tcW w:w="1010" w:type="dxa"/>
            <w:vAlign w:val="center"/>
          </w:tcPr>
          <w:p w14:paraId="2087337C">
            <w:pPr>
              <w:spacing w:line="360" w:lineRule="auto"/>
              <w:ind w:right="42" w:rightChars="2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单位</w:t>
            </w:r>
          </w:p>
        </w:tc>
        <w:tc>
          <w:tcPr>
            <w:tcW w:w="1008" w:type="dxa"/>
            <w:vAlign w:val="center"/>
          </w:tcPr>
          <w:p w14:paraId="413BD8B7">
            <w:pPr>
              <w:spacing w:line="360" w:lineRule="auto"/>
              <w:ind w:right="42" w:rightChars="2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数量</w:t>
            </w:r>
          </w:p>
        </w:tc>
        <w:tc>
          <w:tcPr>
            <w:tcW w:w="2640" w:type="dxa"/>
            <w:vAlign w:val="center"/>
          </w:tcPr>
          <w:p w14:paraId="58CCACEC">
            <w:pPr>
              <w:spacing w:line="360" w:lineRule="auto"/>
              <w:ind w:right="42" w:rightChars="2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投标报价</w:t>
            </w:r>
          </w:p>
        </w:tc>
      </w:tr>
      <w:tr w14:paraId="08F0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051D4EFA">
            <w:pPr>
              <w:spacing w:line="360" w:lineRule="auto"/>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c>
          <w:tcPr>
            <w:tcW w:w="3274" w:type="dxa"/>
            <w:vAlign w:val="center"/>
          </w:tcPr>
          <w:p w14:paraId="29743D11">
            <w:pPr>
              <w:spacing w:line="360" w:lineRule="auto"/>
              <w:ind w:right="42" w:rightChars="20"/>
              <w:jc w:val="center"/>
              <w:rPr>
                <w:rFonts w:asciiTheme="minorEastAsia" w:hAnsiTheme="minorEastAsia" w:eastAsiaTheme="minorEastAsia"/>
                <w:color w:val="000000" w:themeColor="text1"/>
                <w:szCs w:val="21"/>
              </w:rPr>
            </w:pPr>
          </w:p>
        </w:tc>
        <w:tc>
          <w:tcPr>
            <w:tcW w:w="1010" w:type="dxa"/>
            <w:vAlign w:val="center"/>
          </w:tcPr>
          <w:p w14:paraId="7FCDF1D3">
            <w:pPr>
              <w:spacing w:line="360" w:lineRule="auto"/>
              <w:ind w:right="42" w:rightChars="20"/>
              <w:jc w:val="center"/>
              <w:rPr>
                <w:rFonts w:asciiTheme="minorEastAsia" w:hAnsiTheme="minorEastAsia" w:eastAsiaTheme="minorEastAsia"/>
                <w:color w:val="000000" w:themeColor="text1"/>
                <w:szCs w:val="21"/>
              </w:rPr>
            </w:pPr>
          </w:p>
        </w:tc>
        <w:tc>
          <w:tcPr>
            <w:tcW w:w="1008" w:type="dxa"/>
            <w:vAlign w:val="center"/>
          </w:tcPr>
          <w:p w14:paraId="4564FE09">
            <w:pPr>
              <w:spacing w:line="360" w:lineRule="auto"/>
              <w:ind w:right="42" w:rightChars="20"/>
              <w:jc w:val="center"/>
              <w:rPr>
                <w:rFonts w:asciiTheme="minorEastAsia" w:hAnsiTheme="minorEastAsia" w:eastAsiaTheme="minorEastAsia"/>
                <w:color w:val="000000" w:themeColor="text1"/>
                <w:szCs w:val="21"/>
              </w:rPr>
            </w:pPr>
          </w:p>
        </w:tc>
        <w:tc>
          <w:tcPr>
            <w:tcW w:w="2640" w:type="dxa"/>
            <w:vAlign w:val="center"/>
          </w:tcPr>
          <w:p w14:paraId="448BA2D1">
            <w:pPr>
              <w:spacing w:line="360" w:lineRule="auto"/>
              <w:ind w:right="42" w:rightChars="20"/>
              <w:jc w:val="center"/>
              <w:rPr>
                <w:rFonts w:asciiTheme="minorEastAsia" w:hAnsiTheme="minorEastAsia" w:eastAsiaTheme="minorEastAsia"/>
                <w:color w:val="000000" w:themeColor="text1"/>
                <w:szCs w:val="21"/>
              </w:rPr>
            </w:pPr>
          </w:p>
        </w:tc>
      </w:tr>
      <w:tr w14:paraId="70F6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42D9A27C">
            <w:pPr>
              <w:spacing w:line="360" w:lineRule="auto"/>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p>
        </w:tc>
        <w:tc>
          <w:tcPr>
            <w:tcW w:w="3274" w:type="dxa"/>
            <w:vAlign w:val="center"/>
          </w:tcPr>
          <w:p w14:paraId="02EA3359">
            <w:pPr>
              <w:spacing w:line="360" w:lineRule="auto"/>
              <w:ind w:right="42" w:rightChars="20"/>
              <w:jc w:val="center"/>
              <w:rPr>
                <w:rFonts w:asciiTheme="minorEastAsia" w:hAnsiTheme="minorEastAsia" w:eastAsiaTheme="minorEastAsia"/>
                <w:color w:val="000000" w:themeColor="text1"/>
                <w:szCs w:val="21"/>
              </w:rPr>
            </w:pPr>
          </w:p>
        </w:tc>
        <w:tc>
          <w:tcPr>
            <w:tcW w:w="1010" w:type="dxa"/>
            <w:vAlign w:val="center"/>
          </w:tcPr>
          <w:p w14:paraId="4CF7AA1B">
            <w:pPr>
              <w:spacing w:line="360" w:lineRule="auto"/>
              <w:ind w:right="42" w:rightChars="20"/>
              <w:jc w:val="center"/>
              <w:rPr>
                <w:rFonts w:asciiTheme="minorEastAsia" w:hAnsiTheme="minorEastAsia" w:eastAsiaTheme="minorEastAsia"/>
                <w:color w:val="000000" w:themeColor="text1"/>
                <w:szCs w:val="21"/>
              </w:rPr>
            </w:pPr>
          </w:p>
        </w:tc>
        <w:tc>
          <w:tcPr>
            <w:tcW w:w="1008" w:type="dxa"/>
            <w:vAlign w:val="center"/>
          </w:tcPr>
          <w:p w14:paraId="1CC59064">
            <w:pPr>
              <w:spacing w:line="360" w:lineRule="auto"/>
              <w:ind w:right="42" w:rightChars="20"/>
              <w:jc w:val="center"/>
              <w:rPr>
                <w:rFonts w:asciiTheme="minorEastAsia" w:hAnsiTheme="minorEastAsia" w:eastAsiaTheme="minorEastAsia"/>
                <w:color w:val="000000" w:themeColor="text1"/>
                <w:szCs w:val="21"/>
              </w:rPr>
            </w:pPr>
          </w:p>
        </w:tc>
        <w:tc>
          <w:tcPr>
            <w:tcW w:w="2640" w:type="dxa"/>
            <w:vAlign w:val="center"/>
          </w:tcPr>
          <w:p w14:paraId="79A4812C">
            <w:pPr>
              <w:spacing w:line="360" w:lineRule="auto"/>
              <w:ind w:right="42" w:rightChars="20"/>
              <w:jc w:val="center"/>
              <w:rPr>
                <w:rFonts w:asciiTheme="minorEastAsia" w:hAnsiTheme="minorEastAsia" w:eastAsiaTheme="minorEastAsia"/>
                <w:color w:val="000000" w:themeColor="text1"/>
                <w:szCs w:val="21"/>
              </w:rPr>
            </w:pPr>
          </w:p>
        </w:tc>
      </w:tr>
      <w:tr w14:paraId="5137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616104AF">
            <w:pPr>
              <w:spacing w:line="360" w:lineRule="auto"/>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w:t>
            </w:r>
          </w:p>
        </w:tc>
        <w:tc>
          <w:tcPr>
            <w:tcW w:w="3274" w:type="dxa"/>
            <w:vAlign w:val="center"/>
          </w:tcPr>
          <w:p w14:paraId="0034BDAA">
            <w:pPr>
              <w:spacing w:line="360" w:lineRule="auto"/>
              <w:ind w:right="42" w:rightChars="20"/>
              <w:jc w:val="center"/>
              <w:rPr>
                <w:rFonts w:asciiTheme="minorEastAsia" w:hAnsiTheme="minorEastAsia" w:eastAsiaTheme="minorEastAsia"/>
                <w:color w:val="000000" w:themeColor="text1"/>
                <w:szCs w:val="21"/>
              </w:rPr>
            </w:pPr>
          </w:p>
        </w:tc>
        <w:tc>
          <w:tcPr>
            <w:tcW w:w="1010" w:type="dxa"/>
            <w:vAlign w:val="center"/>
          </w:tcPr>
          <w:p w14:paraId="1EA2C949">
            <w:pPr>
              <w:spacing w:line="360" w:lineRule="auto"/>
              <w:ind w:right="42" w:rightChars="20"/>
              <w:jc w:val="center"/>
              <w:rPr>
                <w:rFonts w:asciiTheme="minorEastAsia" w:hAnsiTheme="minorEastAsia" w:eastAsiaTheme="minorEastAsia"/>
                <w:color w:val="000000" w:themeColor="text1"/>
                <w:szCs w:val="21"/>
              </w:rPr>
            </w:pPr>
          </w:p>
        </w:tc>
        <w:tc>
          <w:tcPr>
            <w:tcW w:w="1008" w:type="dxa"/>
            <w:vAlign w:val="center"/>
          </w:tcPr>
          <w:p w14:paraId="1B10403E">
            <w:pPr>
              <w:spacing w:line="360" w:lineRule="auto"/>
              <w:ind w:right="42" w:rightChars="20"/>
              <w:jc w:val="center"/>
              <w:rPr>
                <w:rFonts w:asciiTheme="minorEastAsia" w:hAnsiTheme="minorEastAsia" w:eastAsiaTheme="minorEastAsia"/>
                <w:color w:val="000000" w:themeColor="text1"/>
                <w:szCs w:val="21"/>
              </w:rPr>
            </w:pPr>
          </w:p>
        </w:tc>
        <w:tc>
          <w:tcPr>
            <w:tcW w:w="2640" w:type="dxa"/>
            <w:vAlign w:val="center"/>
          </w:tcPr>
          <w:p w14:paraId="5430C7D0">
            <w:pPr>
              <w:spacing w:line="360" w:lineRule="auto"/>
              <w:ind w:right="42" w:rightChars="20"/>
              <w:jc w:val="center"/>
              <w:rPr>
                <w:rFonts w:asciiTheme="minorEastAsia" w:hAnsiTheme="minorEastAsia" w:eastAsiaTheme="minorEastAsia"/>
                <w:color w:val="000000" w:themeColor="text1"/>
                <w:szCs w:val="21"/>
              </w:rPr>
            </w:pPr>
          </w:p>
        </w:tc>
      </w:tr>
      <w:tr w14:paraId="7261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4713B6FA">
            <w:pPr>
              <w:spacing w:line="360" w:lineRule="auto"/>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w:t>
            </w:r>
          </w:p>
        </w:tc>
        <w:tc>
          <w:tcPr>
            <w:tcW w:w="3274" w:type="dxa"/>
            <w:vAlign w:val="center"/>
          </w:tcPr>
          <w:p w14:paraId="0552281B">
            <w:pPr>
              <w:spacing w:line="360" w:lineRule="auto"/>
              <w:ind w:right="42" w:rightChars="20"/>
              <w:jc w:val="center"/>
              <w:rPr>
                <w:rFonts w:asciiTheme="minorEastAsia" w:hAnsiTheme="minorEastAsia" w:eastAsiaTheme="minorEastAsia"/>
                <w:color w:val="000000" w:themeColor="text1"/>
                <w:szCs w:val="21"/>
              </w:rPr>
            </w:pPr>
          </w:p>
        </w:tc>
        <w:tc>
          <w:tcPr>
            <w:tcW w:w="1010" w:type="dxa"/>
            <w:vAlign w:val="center"/>
          </w:tcPr>
          <w:p w14:paraId="7AAF78AC">
            <w:pPr>
              <w:spacing w:line="360" w:lineRule="auto"/>
              <w:ind w:right="42" w:rightChars="20"/>
              <w:jc w:val="center"/>
              <w:rPr>
                <w:rFonts w:asciiTheme="minorEastAsia" w:hAnsiTheme="minorEastAsia" w:eastAsiaTheme="minorEastAsia"/>
                <w:color w:val="000000" w:themeColor="text1"/>
                <w:szCs w:val="21"/>
              </w:rPr>
            </w:pPr>
          </w:p>
        </w:tc>
        <w:tc>
          <w:tcPr>
            <w:tcW w:w="1008" w:type="dxa"/>
            <w:vAlign w:val="center"/>
          </w:tcPr>
          <w:p w14:paraId="4AC147F3">
            <w:pPr>
              <w:spacing w:line="360" w:lineRule="auto"/>
              <w:ind w:right="42" w:rightChars="20"/>
              <w:jc w:val="center"/>
              <w:rPr>
                <w:rFonts w:asciiTheme="minorEastAsia" w:hAnsiTheme="minorEastAsia" w:eastAsiaTheme="minorEastAsia"/>
                <w:color w:val="000000" w:themeColor="text1"/>
                <w:szCs w:val="21"/>
              </w:rPr>
            </w:pPr>
          </w:p>
        </w:tc>
        <w:tc>
          <w:tcPr>
            <w:tcW w:w="2640" w:type="dxa"/>
            <w:vAlign w:val="center"/>
          </w:tcPr>
          <w:p w14:paraId="498A38AB">
            <w:pPr>
              <w:spacing w:line="360" w:lineRule="auto"/>
              <w:ind w:right="42" w:rightChars="20"/>
              <w:jc w:val="center"/>
              <w:rPr>
                <w:rFonts w:asciiTheme="minorEastAsia" w:hAnsiTheme="minorEastAsia" w:eastAsiaTheme="minorEastAsia"/>
                <w:color w:val="000000" w:themeColor="text1"/>
                <w:szCs w:val="21"/>
              </w:rPr>
            </w:pPr>
          </w:p>
        </w:tc>
      </w:tr>
      <w:tr w14:paraId="7F05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14:paraId="2D3DA656">
            <w:pPr>
              <w:spacing w:line="360" w:lineRule="auto"/>
              <w:ind w:right="42" w:rightChars="20"/>
              <w:jc w:val="center"/>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w:t>
            </w:r>
          </w:p>
        </w:tc>
        <w:tc>
          <w:tcPr>
            <w:tcW w:w="3274" w:type="dxa"/>
            <w:vAlign w:val="center"/>
          </w:tcPr>
          <w:p w14:paraId="1344623C">
            <w:pPr>
              <w:spacing w:line="360" w:lineRule="auto"/>
              <w:ind w:right="42" w:rightChars="20"/>
              <w:jc w:val="center"/>
              <w:rPr>
                <w:rFonts w:asciiTheme="minorEastAsia" w:hAnsiTheme="minorEastAsia" w:eastAsiaTheme="minorEastAsia"/>
                <w:color w:val="000000" w:themeColor="text1"/>
                <w:szCs w:val="21"/>
              </w:rPr>
            </w:pPr>
          </w:p>
        </w:tc>
        <w:tc>
          <w:tcPr>
            <w:tcW w:w="1010" w:type="dxa"/>
            <w:vAlign w:val="center"/>
          </w:tcPr>
          <w:p w14:paraId="4905882B">
            <w:pPr>
              <w:spacing w:line="360" w:lineRule="auto"/>
              <w:ind w:right="42" w:rightChars="20"/>
              <w:jc w:val="center"/>
              <w:rPr>
                <w:rFonts w:asciiTheme="minorEastAsia" w:hAnsiTheme="minorEastAsia" w:eastAsiaTheme="minorEastAsia"/>
                <w:color w:val="000000" w:themeColor="text1"/>
                <w:szCs w:val="21"/>
              </w:rPr>
            </w:pPr>
          </w:p>
        </w:tc>
        <w:tc>
          <w:tcPr>
            <w:tcW w:w="1008" w:type="dxa"/>
            <w:vAlign w:val="center"/>
          </w:tcPr>
          <w:p w14:paraId="5CC55FF5">
            <w:pPr>
              <w:spacing w:line="360" w:lineRule="auto"/>
              <w:ind w:right="42" w:rightChars="20"/>
              <w:jc w:val="center"/>
              <w:rPr>
                <w:rFonts w:asciiTheme="minorEastAsia" w:hAnsiTheme="minorEastAsia" w:eastAsiaTheme="minorEastAsia"/>
                <w:color w:val="000000" w:themeColor="text1"/>
                <w:szCs w:val="21"/>
              </w:rPr>
            </w:pPr>
          </w:p>
        </w:tc>
        <w:tc>
          <w:tcPr>
            <w:tcW w:w="2640" w:type="dxa"/>
            <w:vAlign w:val="center"/>
          </w:tcPr>
          <w:p w14:paraId="3FE31B42">
            <w:pPr>
              <w:spacing w:line="360" w:lineRule="auto"/>
              <w:ind w:right="42" w:rightChars="20"/>
              <w:jc w:val="center"/>
              <w:rPr>
                <w:rFonts w:asciiTheme="minorEastAsia" w:hAnsiTheme="minorEastAsia" w:eastAsiaTheme="minorEastAsia"/>
                <w:color w:val="000000" w:themeColor="text1"/>
                <w:szCs w:val="21"/>
              </w:rPr>
            </w:pPr>
          </w:p>
        </w:tc>
      </w:tr>
      <w:tr w14:paraId="3CC3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14:paraId="7812A2D1">
            <w:pPr>
              <w:spacing w:line="360" w:lineRule="auto"/>
              <w:ind w:right="42" w:rightChars="20"/>
              <w:jc w:val="center"/>
              <w:rPr>
                <w:rFonts w:asciiTheme="minorEastAsia" w:hAnsiTheme="minorEastAsia" w:eastAsiaTheme="minorEastAsia"/>
                <w:color w:val="000000" w:themeColor="text1"/>
                <w:szCs w:val="21"/>
              </w:rPr>
            </w:pPr>
          </w:p>
        </w:tc>
        <w:tc>
          <w:tcPr>
            <w:tcW w:w="5292" w:type="dxa"/>
            <w:gridSpan w:val="3"/>
            <w:vAlign w:val="center"/>
          </w:tcPr>
          <w:p w14:paraId="01E5C10D">
            <w:pPr>
              <w:spacing w:line="360" w:lineRule="auto"/>
              <w:ind w:right="42" w:rightChars="2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合计总价</w:t>
            </w:r>
          </w:p>
        </w:tc>
        <w:tc>
          <w:tcPr>
            <w:tcW w:w="2640" w:type="dxa"/>
            <w:vAlign w:val="center"/>
          </w:tcPr>
          <w:p w14:paraId="63A39525">
            <w:pPr>
              <w:spacing w:line="360" w:lineRule="auto"/>
              <w:ind w:right="42" w:rightChars="20"/>
              <w:jc w:val="center"/>
              <w:rPr>
                <w:rFonts w:asciiTheme="minorEastAsia" w:hAnsiTheme="minorEastAsia" w:eastAsiaTheme="minorEastAsia"/>
                <w:color w:val="000000" w:themeColor="text1"/>
                <w:szCs w:val="21"/>
              </w:rPr>
            </w:pPr>
          </w:p>
        </w:tc>
      </w:tr>
    </w:tbl>
    <w:p w14:paraId="634A5578">
      <w:pPr>
        <w:pStyle w:val="60"/>
        <w:spacing w:line="360" w:lineRule="auto"/>
        <w:ind w:right="42" w:rightChars="20"/>
        <w:rPr>
          <w:rFonts w:asciiTheme="minorEastAsia" w:hAnsiTheme="minorEastAsia" w:eastAsiaTheme="minorEastAsia"/>
          <w:color w:val="000000" w:themeColor="text1"/>
        </w:rPr>
      </w:pPr>
    </w:p>
    <w:p w14:paraId="548FF750">
      <w:pPr>
        <w:tabs>
          <w:tab w:val="left" w:pos="540"/>
        </w:tabs>
        <w:autoSpaceDE w:val="0"/>
        <w:autoSpaceDN w:val="0"/>
        <w:adjustRightInd w:val="0"/>
        <w:spacing w:line="360" w:lineRule="auto"/>
        <w:ind w:right="42" w:rightChars="20" w:firstLine="411" w:firstLineChars="196"/>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注： 1、以上表格中各项可进一步细分，栏数不够可自加，要求服务内容细分项目及报价。本投标文件及其所附文件涵盖了我方要约的全部内容。</w:t>
      </w:r>
    </w:p>
    <w:p w14:paraId="51949B86">
      <w:pPr>
        <w:spacing w:line="360" w:lineRule="auto"/>
        <w:ind w:left="-2" w:leftChars="-1" w:right="42" w:rightChars="20" w:firstLine="945" w:firstLineChars="45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2、本明细清单合计总价应与投标（开标）一览表报价保持一致。</w:t>
      </w:r>
    </w:p>
    <w:p w14:paraId="4DC9404D">
      <w:pPr>
        <w:snapToGrid w:val="0"/>
        <w:spacing w:before="50" w:after="50" w:line="360" w:lineRule="auto"/>
        <w:ind w:right="42" w:rightChars="20"/>
        <w:rPr>
          <w:rFonts w:asciiTheme="minorEastAsia" w:hAnsiTheme="minorEastAsia" w:eastAsiaTheme="minorEastAsia"/>
          <w:color w:val="000000" w:themeColor="text1"/>
          <w:spacing w:val="20"/>
          <w:sz w:val="22"/>
          <w:szCs w:val="22"/>
        </w:rPr>
      </w:pPr>
    </w:p>
    <w:p w14:paraId="4F3936B2">
      <w:pPr>
        <w:snapToGrid w:val="0"/>
        <w:spacing w:before="50" w:after="50" w:line="360" w:lineRule="auto"/>
        <w:ind w:right="42" w:rightChars="20"/>
        <w:rPr>
          <w:rFonts w:asciiTheme="minorEastAsia" w:hAnsiTheme="minorEastAsia" w:eastAsiaTheme="minorEastAsia"/>
          <w:color w:val="000000" w:themeColor="text1"/>
          <w:spacing w:val="20"/>
          <w:sz w:val="22"/>
          <w:szCs w:val="22"/>
        </w:rPr>
      </w:pPr>
    </w:p>
    <w:p w14:paraId="02DA1335">
      <w:pPr>
        <w:snapToGrid w:val="0"/>
        <w:spacing w:before="50" w:after="50" w:line="360" w:lineRule="auto"/>
        <w:ind w:right="42" w:rightChars="20"/>
        <w:rPr>
          <w:rFonts w:asciiTheme="minorEastAsia" w:hAnsiTheme="minorEastAsia" w:eastAsiaTheme="minorEastAsia"/>
          <w:color w:val="000000" w:themeColor="text1"/>
          <w:spacing w:val="20"/>
          <w:sz w:val="22"/>
          <w:szCs w:val="22"/>
        </w:rPr>
      </w:pPr>
    </w:p>
    <w:p w14:paraId="1A131B0C">
      <w:pPr>
        <w:pStyle w:val="26"/>
        <w:snapToGrid w:val="0"/>
        <w:spacing w:line="360" w:lineRule="auto"/>
        <w:ind w:right="42" w:rightChars="20"/>
        <w:rPr>
          <w:rFonts w:asciiTheme="minorEastAsia" w:hAnsiTheme="minorEastAsia" w:eastAsiaTheme="minorEastAsia"/>
          <w:color w:val="000000" w:themeColor="text1"/>
          <w:szCs w:val="21"/>
          <w:shd w:val="clear" w:color="auto" w:fill="FFFFFF"/>
        </w:rPr>
      </w:pPr>
      <w:r>
        <w:rPr>
          <w:rFonts w:asciiTheme="minorEastAsia" w:hAnsiTheme="minorEastAsia" w:eastAsiaTheme="minorEastAsia"/>
          <w:color w:val="000000" w:themeColor="text1"/>
          <w:szCs w:val="21"/>
          <w:shd w:val="clear" w:color="auto" w:fill="FFFFFF"/>
        </w:rPr>
        <w:t xml:space="preserve">法定代表人或授权代表（签字或盖章）： </w:t>
      </w:r>
    </w:p>
    <w:p w14:paraId="5D46F1A7">
      <w:pPr>
        <w:pStyle w:val="26"/>
        <w:snapToGrid w:val="0"/>
        <w:spacing w:line="360" w:lineRule="auto"/>
        <w:ind w:right="42" w:rightChars="20"/>
        <w:rPr>
          <w:rFonts w:asciiTheme="minorEastAsia" w:hAnsiTheme="minorEastAsia" w:eastAsiaTheme="minorEastAsia"/>
          <w:color w:val="000000" w:themeColor="text1"/>
          <w:szCs w:val="21"/>
          <w:shd w:val="clear" w:color="auto" w:fill="FFFFFF"/>
        </w:rPr>
      </w:pPr>
    </w:p>
    <w:p w14:paraId="48271E59">
      <w:pPr>
        <w:pStyle w:val="26"/>
        <w:snapToGrid w:val="0"/>
        <w:spacing w:line="360" w:lineRule="auto"/>
        <w:ind w:right="42" w:rightChars="20"/>
        <w:rPr>
          <w:rFonts w:asciiTheme="minorEastAsia" w:hAnsiTheme="minorEastAsia" w:eastAsiaTheme="minorEastAsia"/>
          <w:color w:val="000000" w:themeColor="text1"/>
          <w:szCs w:val="21"/>
          <w:shd w:val="clear" w:color="auto" w:fill="FFFFFF"/>
        </w:rPr>
      </w:pPr>
      <w:r>
        <w:rPr>
          <w:rFonts w:hint="eastAsia" w:asciiTheme="minorEastAsia" w:hAnsiTheme="minorEastAsia" w:eastAsiaTheme="minorEastAsia"/>
          <w:color w:val="000000" w:themeColor="text1"/>
          <w:szCs w:val="21"/>
          <w:shd w:val="clear" w:color="auto" w:fill="FFFFFF"/>
        </w:rPr>
        <w:t>投标人名称（CA签章）</w:t>
      </w:r>
      <w:r>
        <w:rPr>
          <w:rFonts w:asciiTheme="minorEastAsia" w:hAnsiTheme="minorEastAsia" w:eastAsiaTheme="minorEastAsia"/>
          <w:color w:val="000000" w:themeColor="text1"/>
          <w:szCs w:val="21"/>
          <w:shd w:val="clear" w:color="auto" w:fill="FFFFFF"/>
        </w:rPr>
        <w:t>：</w:t>
      </w:r>
    </w:p>
    <w:p w14:paraId="590F5AA3">
      <w:pPr>
        <w:pStyle w:val="26"/>
        <w:snapToGrid w:val="0"/>
        <w:spacing w:line="360" w:lineRule="auto"/>
        <w:ind w:right="42" w:rightChars="20"/>
        <w:rPr>
          <w:rFonts w:asciiTheme="minorEastAsia" w:hAnsiTheme="minorEastAsia" w:eastAsiaTheme="minorEastAsia"/>
          <w:color w:val="000000" w:themeColor="text1"/>
          <w:szCs w:val="21"/>
          <w:shd w:val="clear" w:color="auto" w:fill="FFFFFF"/>
        </w:rPr>
      </w:pPr>
    </w:p>
    <w:p w14:paraId="1CB121D4">
      <w:pPr>
        <w:pStyle w:val="26"/>
        <w:snapToGrid w:val="0"/>
        <w:spacing w:line="360" w:lineRule="auto"/>
        <w:ind w:right="42" w:rightChars="20"/>
        <w:rPr>
          <w:rFonts w:asciiTheme="minorEastAsia" w:hAnsiTheme="minorEastAsia" w:eastAsiaTheme="minorEastAsia"/>
          <w:color w:val="000000" w:themeColor="text1"/>
          <w:szCs w:val="21"/>
          <w:shd w:val="clear" w:color="auto" w:fill="FFFFFF"/>
        </w:rPr>
      </w:pPr>
      <w:r>
        <w:rPr>
          <w:rFonts w:hint="eastAsia" w:asciiTheme="minorEastAsia" w:hAnsiTheme="minorEastAsia" w:eastAsiaTheme="minorEastAsia"/>
          <w:color w:val="000000" w:themeColor="text1"/>
          <w:szCs w:val="21"/>
          <w:shd w:val="clear" w:color="auto" w:fill="FFFFFF"/>
        </w:rPr>
        <w:t>日期：</w:t>
      </w:r>
    </w:p>
    <w:p w14:paraId="7DF5BFE0">
      <w:pPr>
        <w:pStyle w:val="60"/>
        <w:spacing w:line="360" w:lineRule="auto"/>
        <w:ind w:right="42" w:rightChars="20"/>
        <w:rPr>
          <w:rFonts w:asciiTheme="minorEastAsia" w:hAnsiTheme="minorEastAsia" w:eastAsiaTheme="minorEastAsia"/>
          <w:color w:val="000000" w:themeColor="text1"/>
        </w:rPr>
      </w:pPr>
    </w:p>
    <w:p w14:paraId="75E8E086">
      <w:pPr>
        <w:pStyle w:val="60"/>
        <w:spacing w:line="360" w:lineRule="auto"/>
        <w:ind w:right="42" w:rightChars="20"/>
        <w:rPr>
          <w:rFonts w:asciiTheme="minorEastAsia" w:hAnsiTheme="minorEastAsia" w:eastAsiaTheme="minorEastAsia"/>
          <w:color w:val="000000" w:themeColor="text1"/>
        </w:rPr>
      </w:pPr>
    </w:p>
    <w:p w14:paraId="638089A7">
      <w:pPr>
        <w:pStyle w:val="60"/>
        <w:spacing w:line="360" w:lineRule="auto"/>
        <w:ind w:right="42" w:rightChars="20"/>
        <w:rPr>
          <w:rFonts w:asciiTheme="minorEastAsia" w:hAnsiTheme="minorEastAsia" w:eastAsiaTheme="minorEastAsia"/>
          <w:color w:val="000000" w:themeColor="text1"/>
        </w:rPr>
      </w:pPr>
    </w:p>
    <w:p w14:paraId="061EF860">
      <w:pPr>
        <w:pStyle w:val="60"/>
        <w:spacing w:line="360" w:lineRule="auto"/>
        <w:ind w:right="42" w:rightChars="20"/>
        <w:rPr>
          <w:rFonts w:asciiTheme="minorEastAsia" w:hAnsiTheme="minorEastAsia" w:eastAsiaTheme="minorEastAsia"/>
          <w:color w:val="000000" w:themeColor="text1"/>
        </w:rPr>
      </w:pPr>
    </w:p>
    <w:sectPr>
      <w:pgSz w:w="11907" w:h="16839"/>
      <w:pgMar w:top="1440" w:right="1842"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Noto Sans Mono">
    <w:altName w:val="Segoe Print"/>
    <w:panose1 w:val="020B0509040504020204"/>
    <w:charset w:val="00"/>
    <w:family w:val="auto"/>
    <w:pitch w:val="default"/>
    <w:sig w:usb0="00000000" w:usb1="00000000" w:usb2="08000039" w:usb3="00100000" w:csb0="0000019F" w:csb1="DFD7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MingLiU">
    <w:altName w:val="PMingLiU-ExtB"/>
    <w:panose1 w:val="02010609000101010101"/>
    <w:charset w:val="88"/>
    <w:family w:val="modern"/>
    <w:pitch w:val="default"/>
    <w:sig w:usb0="00000000" w:usb1="00000000" w:usb2="00000010" w:usb3="00000000" w:csb0="00100000"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国标仿宋">
    <w:altName w:val="仿宋"/>
    <w:panose1 w:val="02000500000000000000"/>
    <w:charset w:val="86"/>
    <w:family w:val="auto"/>
    <w:pitch w:val="default"/>
    <w:sig w:usb0="00000000" w:usb1="00000000" w:usb2="00000016" w:usb3="00000000" w:csb0="00060007"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F4282">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-393700</wp:posOffset>
              </wp:positionV>
              <wp:extent cx="1828800" cy="16891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689100"/>
                      </a:xfrm>
                      <a:prstGeom prst="rect">
                        <a:avLst/>
                      </a:prstGeom>
                      <a:noFill/>
                      <a:ln>
                        <a:noFill/>
                      </a:ln>
                    </wps:spPr>
                    <wps:txbx>
                      <w:txbxContent>
                        <w:sdt>
                          <w:sdtPr>
                            <w:id w:val="21966517"/>
                          </w:sdtPr>
                          <w:sdtContent>
                            <w:p w14:paraId="412E42EA">
                              <w:pPr>
                                <w:pStyle w:val="31"/>
                                <w:jc w:val="center"/>
                              </w:pPr>
                              <w:r>
                                <w:fldChar w:fldCharType="begin"/>
                              </w:r>
                              <w:r>
                                <w:instrText xml:space="preserve"> PAGE   \* MERGEFORMAT </w:instrText>
                              </w:r>
                              <w:r>
                                <w:fldChar w:fldCharType="separate"/>
                              </w:r>
                              <w:r>
                                <w:rPr>
                                  <w:lang w:val="zh-CN"/>
                                </w:rPr>
                                <w:t>18</w:t>
                              </w:r>
                              <w:r>
                                <w:rPr>
                                  <w:lang w:val="zh-CN"/>
                                </w:rPr>
                                <w:fldChar w:fldCharType="end"/>
                              </w:r>
                            </w:p>
                          </w:sdtContent>
                        </w:sdt>
                        <w:p w14:paraId="10C0D850">
                          <w:pPr>
                            <w:pStyle w:val="59"/>
                          </w:pPr>
                        </w:p>
                      </w:txbxContent>
                    </wps:txbx>
                    <wps:bodyPr wrap="none" lIns="0" tIns="0" rIns="0" bIns="0" upright="1"/>
                  </wps:wsp>
                </a:graphicData>
              </a:graphic>
            </wp:anchor>
          </w:drawing>
        </mc:Choice>
        <mc:Fallback>
          <w:pict>
            <v:shape id="文本框 1026" o:spid="_x0000_s1026" o:spt="202" type="#_x0000_t202" style="position:absolute;left:0pt;margin-top:-31pt;height:133pt;width:144pt;mso-position-horizontal:center;mso-position-horizontal-relative:margin;mso-wrap-style:none;z-index:251659264;mso-width-relative:page;mso-height-relative:page;" filled="f" stroked="f" coordsize="21600,21600" o:gfxdata="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n4pijUAAAACAEAAA8AAAAAAAAAAQAgAAAAIgAAAGRycy9kb3ducmV2Lnht&#10;bFBLAQIUABQAAAAIAIdO4kCPTPqVxAEAAIIDAAAOAAAAAAAAAAEAIAAAACMBAABkcnMvZTJvRG9j&#10;LnhtbFBLBQYAAAAABgAGAFkBAABZBQAAAAA=&#10;">
              <v:fill on="f" focussize="0,0"/>
              <v:stroke on="f"/>
              <v:imagedata o:title=""/>
              <o:lock v:ext="edit" aspectratio="f"/>
              <v:textbox inset="0mm,0mm,0mm,0mm">
                <w:txbxContent>
                  <w:sdt>
                    <w:sdtPr>
                      <w:id w:val="21966517"/>
                    </w:sdtPr>
                    <w:sdtContent>
                      <w:p w14:paraId="412E42EA">
                        <w:pPr>
                          <w:pStyle w:val="31"/>
                          <w:jc w:val="center"/>
                        </w:pPr>
                        <w:r>
                          <w:fldChar w:fldCharType="begin"/>
                        </w:r>
                        <w:r>
                          <w:instrText xml:space="preserve"> PAGE   \* MERGEFORMAT </w:instrText>
                        </w:r>
                        <w:r>
                          <w:fldChar w:fldCharType="separate"/>
                        </w:r>
                        <w:r>
                          <w:rPr>
                            <w:lang w:val="zh-CN"/>
                          </w:rPr>
                          <w:t>18</w:t>
                        </w:r>
                        <w:r>
                          <w:rPr>
                            <w:lang w:val="zh-CN"/>
                          </w:rPr>
                          <w:fldChar w:fldCharType="end"/>
                        </w:r>
                      </w:p>
                    </w:sdtContent>
                  </w:sdt>
                  <w:p w14:paraId="10C0D850">
                    <w:pPr>
                      <w:pStyle w:val="59"/>
                    </w:pPr>
                  </w:p>
                </w:txbxContent>
              </v:textbox>
            </v:shape>
          </w:pict>
        </mc:Fallback>
      </mc:AlternateContent>
    </w:r>
  </w:p>
  <w:p w14:paraId="3D7174D9">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85377">
    <w:pPr>
      <w:pStyle w:val="31"/>
    </w:pPr>
    <w:r>
      <mc:AlternateContent>
        <mc:Choice Requires="wps">
          <w:drawing>
            <wp:anchor distT="0" distB="0" distL="114300" distR="114300" simplePos="0" relativeHeight="251660288" behindDoc="0" locked="0" layoutInCell="1" allowOverlap="1">
              <wp:simplePos x="0" y="0"/>
              <wp:positionH relativeFrom="margin">
                <wp:posOffset>2647950</wp:posOffset>
              </wp:positionH>
              <wp:positionV relativeFrom="paragraph">
                <wp:posOffset>567055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BB0226">
                          <w:pPr>
                            <w:pStyle w:val="3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left:208.5pt;margin-top:44.65pt;height:144pt;width:144pt;mso-position-horizontal-relative:margin;mso-wrap-style:none;z-index:251660288;mso-width-relative:page;mso-height-relative:page;" filled="f" stroked="f" coordsize="21600,21600" o:gfxdata="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Z8wJ9cAAAAKAQAADwAAAAAAAAABACAAAAAiAAAAZHJz&#10;L2Rvd25yZXYueG1sUEsBAhQAFAAAAAgAh07iQKicdNjMAQAAnAMAAA4AAAAAAAAAAQAgAAAAJgEA&#10;AGRycy9lMm9Eb2MueG1sUEsFBgAAAAAGAAYAWQEAAGQFAAAAAA==&#10;">
              <v:fill on="f" focussize="0,0"/>
              <v:stroke on="f"/>
              <v:imagedata o:title=""/>
              <o:lock v:ext="edit" aspectratio="f"/>
              <v:textbox inset="0mm,0mm,0mm,0mm" style="mso-fit-shape-to-text:t;">
                <w:txbxContent>
                  <w:p w14:paraId="0EBB0226">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21DB">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-393700</wp:posOffset>
              </wp:positionV>
              <wp:extent cx="1828800" cy="3981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398145"/>
                      </a:xfrm>
                      <a:prstGeom prst="rect">
                        <a:avLst/>
                      </a:prstGeom>
                      <a:noFill/>
                      <a:ln>
                        <a:noFill/>
                      </a:ln>
                    </wps:spPr>
                    <wps:txbx>
                      <w:txbxContent>
                        <w:p w14:paraId="31353BCE">
                          <w:pPr>
                            <w:pStyle w:val="31"/>
                          </w:pPr>
                          <w:r>
                            <w:fldChar w:fldCharType="begin"/>
                          </w:r>
                          <w:r>
                            <w:instrText xml:space="preserve"> PAGE  \* MERGEFORMAT </w:instrText>
                          </w:r>
                          <w:r>
                            <w:fldChar w:fldCharType="separate"/>
                          </w:r>
                          <w:r>
                            <w:t>2</w:t>
                          </w:r>
                          <w:r>
                            <w:fldChar w:fldCharType="end"/>
                          </w:r>
                        </w:p>
                      </w:txbxContent>
                    </wps:txbx>
                    <wps:bodyPr wrap="none" lIns="0" tIns="0" rIns="0" bIns="0" upright="1"/>
                  </wps:wsp>
                </a:graphicData>
              </a:graphic>
            </wp:anchor>
          </w:drawing>
        </mc:Choice>
        <mc:Fallback>
          <w:pict>
            <v:shape id="文本框 1027" o:spid="_x0000_s1026" o:spt="202" type="#_x0000_t202" style="position:absolute;left:0pt;margin-top:-31pt;height:31.35pt;width:144pt;mso-position-horizontal:center;mso-position-horizontal-relative:margin;mso-wrap-style:none;z-index:251662336;mso-width-relative:page;mso-height-relative:page;" filled="f" stroked="f" coordsize="21600,21600" o:gfxdata="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TOhs9IAAAAFAQAADwAAAAAAAAABACAAAAAiAAAAZHJzL2Rvd25yZXYueG1s&#10;UEsBAhQAFAAAAAgAh07iQGAC27HFAQAAgQMAAA4AAAAAAAAAAQAgAAAAIQEAAGRycy9lMm9Eb2Mu&#10;eG1sUEsFBgAAAAAGAAYAWQEAAFgFAAAAAA==&#10;">
              <v:fill on="f" focussize="0,0"/>
              <v:stroke on="f"/>
              <v:imagedata o:title=""/>
              <o:lock v:ext="edit" aspectratio="f"/>
              <v:textbox inset="0mm,0mm,0mm,0mm">
                <w:txbxContent>
                  <w:p w14:paraId="31353BCE">
                    <w:pPr>
                      <w:pStyle w:val="31"/>
                    </w:pPr>
                    <w:r>
                      <w:fldChar w:fldCharType="begin"/>
                    </w:r>
                    <w:r>
                      <w:instrText xml:space="preserve"> PAGE  \* MERGEFORMAT </w:instrText>
                    </w:r>
                    <w:r>
                      <w:fldChar w:fldCharType="separate"/>
                    </w:r>
                    <w:r>
                      <w:t>2</w:t>
                    </w:r>
                    <w:r>
                      <w:fldChar w:fldCharType="end"/>
                    </w:r>
                  </w:p>
                </w:txbxContent>
              </v:textbox>
            </v:shape>
          </w:pict>
        </mc:Fallback>
      </mc:AlternateContent>
    </w:r>
  </w:p>
  <w:p w14:paraId="11A80508">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5CA6">
    <w:pPr>
      <w:pStyle w:val="31"/>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-393700</wp:posOffset>
              </wp:positionV>
              <wp:extent cx="1828800" cy="22225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2222500"/>
                      </a:xfrm>
                      <a:prstGeom prst="rect">
                        <a:avLst/>
                      </a:prstGeom>
                      <a:noFill/>
                      <a:ln>
                        <a:noFill/>
                      </a:ln>
                    </wps:spPr>
                    <wps:txbx>
                      <w:txbxContent>
                        <w:sdt>
                          <w:sdtPr>
                            <w:id w:val="-1"/>
                          </w:sdtPr>
                          <w:sdtContent>
                            <w:p w14:paraId="5CB7E5F4">
                              <w:pPr>
                                <w:pStyle w:val="31"/>
                                <w:jc w:val="center"/>
                              </w:pPr>
                              <w:r>
                                <w:fldChar w:fldCharType="begin"/>
                              </w:r>
                              <w:r>
                                <w:instrText xml:space="preserve"> PAGE   \* MERGEFORMAT </w:instrText>
                              </w:r>
                              <w:r>
                                <w:fldChar w:fldCharType="separate"/>
                              </w:r>
                              <w:r>
                                <w:rPr>
                                  <w:lang w:val="zh-CN"/>
                                </w:rPr>
                                <w:t>23</w:t>
                              </w:r>
                              <w:r>
                                <w:rPr>
                                  <w:lang w:val="zh-CN"/>
                                </w:rPr>
                                <w:fldChar w:fldCharType="end"/>
                              </w:r>
                            </w:p>
                          </w:sdtContent>
                        </w:sdt>
                      </w:txbxContent>
                    </wps:txbx>
                    <wps:bodyPr wrap="none" lIns="0" tIns="0" rIns="0" bIns="0" upright="1"/>
                  </wps:wsp>
                </a:graphicData>
              </a:graphic>
            </wp:anchor>
          </w:drawing>
        </mc:Choice>
        <mc:Fallback>
          <w:pict>
            <v:shape id="文本框 1028" o:spid="_x0000_s1026" o:spt="202" type="#_x0000_t202" style="position:absolute;left:0pt;margin-top:-31pt;height:175pt;width:144pt;mso-position-horizontal:center;mso-position-horizontal-relative:margin;mso-wrap-style:none;z-index:251661312;mso-width-relative:page;mso-height-relative:page;" filled="f" stroked="f" coordsize="21600,21600" o:gfxdata="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TMYt7SAAAACAEAAA8AAAAAAAAAAQAgAAAAIgAAAGRycy9kb3ducmV2LnhtbFBL&#10;AQIUABQAAAAIAIdO4kCFeYl6wwEAAIIDAAAOAAAAAAAAAAEAIAAAACEBAABkcnMvZTJvRG9jLnht&#10;bFBLBQYAAAAABgAGAFkBAABWBQAAAAA=&#10;">
              <v:fill on="f" focussize="0,0"/>
              <v:stroke on="f"/>
              <v:imagedata o:title=""/>
              <o:lock v:ext="edit" aspectratio="f"/>
              <v:textbox inset="0mm,0mm,0mm,0mm">
                <w:txbxContent>
                  <w:sdt>
                    <w:sdtPr>
                      <w:id w:val="-1"/>
                    </w:sdtPr>
                    <w:sdtContent>
                      <w:p w14:paraId="5CB7E5F4">
                        <w:pPr>
                          <w:pStyle w:val="31"/>
                          <w:jc w:val="center"/>
                        </w:pPr>
                        <w:r>
                          <w:fldChar w:fldCharType="begin"/>
                        </w:r>
                        <w:r>
                          <w:instrText xml:space="preserve"> PAGE   \* MERGEFORMAT </w:instrText>
                        </w:r>
                        <w:r>
                          <w:fldChar w:fldCharType="separate"/>
                        </w:r>
                        <w:r>
                          <w:rPr>
                            <w:lang w:val="zh-CN"/>
                          </w:rPr>
                          <w:t>23</w:t>
                        </w:r>
                        <w:r>
                          <w:rPr>
                            <w:lang w:val="zh-CN"/>
                          </w:rPr>
                          <w:fldChar w:fldCharType="end"/>
                        </w:r>
                      </w:p>
                    </w:sdtContent>
                  </w:sdt>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D708">
    <w:pPr>
      <w:pStyle w:val="31"/>
      <w:framePr w:wrap="around" w:vAnchor="text" w:hAnchor="margin" w:xAlign="outside" w:y="1"/>
      <w:rPr>
        <w:rStyle w:val="54"/>
      </w:rPr>
    </w:pPr>
    <w:r>
      <w:fldChar w:fldCharType="begin"/>
    </w:r>
    <w:r>
      <w:rPr>
        <w:rStyle w:val="54"/>
      </w:rPr>
      <w:instrText xml:space="preserve">PAGE  </w:instrText>
    </w:r>
    <w:r>
      <w:fldChar w:fldCharType="end"/>
    </w:r>
  </w:p>
  <w:p w14:paraId="35AFDDEF">
    <w:pPr>
      <w:pStyle w:val="3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F9AA">
    <w:pPr>
      <w:pStyle w:val="3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566C4">
    <w:pPr>
      <w:pStyle w:val="3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893BB">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C3147">
    <w:pPr>
      <w:pStyle w:val="32"/>
      <w:pBdr>
        <w:bottom w:val="none" w:color="auto" w:sz="0" w:space="1"/>
      </w:pBdr>
      <w:jc w:val="right"/>
      <w:rPr>
        <w:rFonts w:ascii="微软雅黑" w:hAnsi="微软雅黑" w:eastAsia="微软雅黑"/>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74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ABF69"/>
    <w:multiLevelType w:val="singleLevel"/>
    <w:tmpl w:val="C97ABF69"/>
    <w:lvl w:ilvl="0" w:tentative="0">
      <w:start w:val="2"/>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4036637C"/>
    <w:multiLevelType w:val="singleLevel"/>
    <w:tmpl w:val="4036637C"/>
    <w:lvl w:ilvl="0" w:tentative="0">
      <w:start w:val="2"/>
      <w:numFmt w:val="chineseCounting"/>
      <w:suff w:val="nothing"/>
      <w:lvlText w:val="（%1）"/>
      <w:lvlJc w:val="left"/>
      <w:rPr>
        <w:rFonts w:hint="eastAsia"/>
      </w:rPr>
    </w:lvl>
  </w:abstractNum>
  <w:abstractNum w:abstractNumId="3">
    <w:nsid w:val="551E3405"/>
    <w:multiLevelType w:val="multilevel"/>
    <w:tmpl w:val="551E340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Y2I5N2QxOTlmMTA0ZjhjNzFkNjc1MTY1NDA5MjgifQ=="/>
  </w:docVars>
  <w:rsids>
    <w:rsidRoot w:val="00C67595"/>
    <w:rsid w:val="00000868"/>
    <w:rsid w:val="000012E1"/>
    <w:rsid w:val="00002FF3"/>
    <w:rsid w:val="00003C3C"/>
    <w:rsid w:val="000044F4"/>
    <w:rsid w:val="000050D6"/>
    <w:rsid w:val="0000517F"/>
    <w:rsid w:val="00005B6A"/>
    <w:rsid w:val="0000613F"/>
    <w:rsid w:val="00006676"/>
    <w:rsid w:val="00007A59"/>
    <w:rsid w:val="000101D3"/>
    <w:rsid w:val="00010B34"/>
    <w:rsid w:val="00010C43"/>
    <w:rsid w:val="000112E4"/>
    <w:rsid w:val="00011499"/>
    <w:rsid w:val="00011EDD"/>
    <w:rsid w:val="00012415"/>
    <w:rsid w:val="00014435"/>
    <w:rsid w:val="00015B12"/>
    <w:rsid w:val="00015C8C"/>
    <w:rsid w:val="00015EBA"/>
    <w:rsid w:val="00016F84"/>
    <w:rsid w:val="00017123"/>
    <w:rsid w:val="0001712E"/>
    <w:rsid w:val="0001791B"/>
    <w:rsid w:val="00020A3B"/>
    <w:rsid w:val="00022181"/>
    <w:rsid w:val="000234B2"/>
    <w:rsid w:val="00023EA6"/>
    <w:rsid w:val="00023F05"/>
    <w:rsid w:val="000249F2"/>
    <w:rsid w:val="00024B81"/>
    <w:rsid w:val="00026C81"/>
    <w:rsid w:val="0003103E"/>
    <w:rsid w:val="0003146C"/>
    <w:rsid w:val="00031953"/>
    <w:rsid w:val="0003293E"/>
    <w:rsid w:val="00034BAB"/>
    <w:rsid w:val="00034D4D"/>
    <w:rsid w:val="00035725"/>
    <w:rsid w:val="0003713E"/>
    <w:rsid w:val="00037CD8"/>
    <w:rsid w:val="0004008C"/>
    <w:rsid w:val="000401D5"/>
    <w:rsid w:val="00041805"/>
    <w:rsid w:val="00042977"/>
    <w:rsid w:val="00042AFD"/>
    <w:rsid w:val="00043120"/>
    <w:rsid w:val="00043142"/>
    <w:rsid w:val="000441CD"/>
    <w:rsid w:val="000462B4"/>
    <w:rsid w:val="0004692F"/>
    <w:rsid w:val="00046CEF"/>
    <w:rsid w:val="00047395"/>
    <w:rsid w:val="00047D1E"/>
    <w:rsid w:val="0005070C"/>
    <w:rsid w:val="000510C6"/>
    <w:rsid w:val="000514E9"/>
    <w:rsid w:val="000518B8"/>
    <w:rsid w:val="00051FC1"/>
    <w:rsid w:val="00052067"/>
    <w:rsid w:val="00052F01"/>
    <w:rsid w:val="00055784"/>
    <w:rsid w:val="00055D20"/>
    <w:rsid w:val="00056CBF"/>
    <w:rsid w:val="000573EF"/>
    <w:rsid w:val="00057835"/>
    <w:rsid w:val="00060047"/>
    <w:rsid w:val="000623FD"/>
    <w:rsid w:val="00062990"/>
    <w:rsid w:val="00063364"/>
    <w:rsid w:val="00064222"/>
    <w:rsid w:val="00064829"/>
    <w:rsid w:val="00065016"/>
    <w:rsid w:val="000651F4"/>
    <w:rsid w:val="00065E41"/>
    <w:rsid w:val="000662AD"/>
    <w:rsid w:val="00066842"/>
    <w:rsid w:val="00066EC4"/>
    <w:rsid w:val="00070876"/>
    <w:rsid w:val="00070891"/>
    <w:rsid w:val="000709B0"/>
    <w:rsid w:val="000718A7"/>
    <w:rsid w:val="00072638"/>
    <w:rsid w:val="000736C9"/>
    <w:rsid w:val="00073C4C"/>
    <w:rsid w:val="00074E55"/>
    <w:rsid w:val="00074FC4"/>
    <w:rsid w:val="00076500"/>
    <w:rsid w:val="00076C16"/>
    <w:rsid w:val="0007718F"/>
    <w:rsid w:val="0007759B"/>
    <w:rsid w:val="00080288"/>
    <w:rsid w:val="0008113B"/>
    <w:rsid w:val="00081912"/>
    <w:rsid w:val="00083567"/>
    <w:rsid w:val="000845F6"/>
    <w:rsid w:val="00085D08"/>
    <w:rsid w:val="0008643D"/>
    <w:rsid w:val="000871CB"/>
    <w:rsid w:val="00087869"/>
    <w:rsid w:val="00087F2C"/>
    <w:rsid w:val="000901E0"/>
    <w:rsid w:val="00091F55"/>
    <w:rsid w:val="00092DE6"/>
    <w:rsid w:val="000932B2"/>
    <w:rsid w:val="00093B7D"/>
    <w:rsid w:val="00093EB5"/>
    <w:rsid w:val="000941A5"/>
    <w:rsid w:val="00095712"/>
    <w:rsid w:val="00096C1B"/>
    <w:rsid w:val="0009734B"/>
    <w:rsid w:val="000A0027"/>
    <w:rsid w:val="000A137F"/>
    <w:rsid w:val="000A24D3"/>
    <w:rsid w:val="000A29D9"/>
    <w:rsid w:val="000A4FF5"/>
    <w:rsid w:val="000A62A6"/>
    <w:rsid w:val="000A6697"/>
    <w:rsid w:val="000A69C1"/>
    <w:rsid w:val="000B09AE"/>
    <w:rsid w:val="000B1A3D"/>
    <w:rsid w:val="000B2508"/>
    <w:rsid w:val="000B2E80"/>
    <w:rsid w:val="000B39C4"/>
    <w:rsid w:val="000B4EDA"/>
    <w:rsid w:val="000B5BDD"/>
    <w:rsid w:val="000B60F2"/>
    <w:rsid w:val="000C0619"/>
    <w:rsid w:val="000C1788"/>
    <w:rsid w:val="000C1952"/>
    <w:rsid w:val="000C2260"/>
    <w:rsid w:val="000C2450"/>
    <w:rsid w:val="000C34D1"/>
    <w:rsid w:val="000C3CB6"/>
    <w:rsid w:val="000C400E"/>
    <w:rsid w:val="000C4636"/>
    <w:rsid w:val="000C4E12"/>
    <w:rsid w:val="000C5121"/>
    <w:rsid w:val="000C51F1"/>
    <w:rsid w:val="000C52F4"/>
    <w:rsid w:val="000C63D2"/>
    <w:rsid w:val="000C743A"/>
    <w:rsid w:val="000D00D5"/>
    <w:rsid w:val="000D0A89"/>
    <w:rsid w:val="000D0CCE"/>
    <w:rsid w:val="000D1BEF"/>
    <w:rsid w:val="000D270C"/>
    <w:rsid w:val="000D3375"/>
    <w:rsid w:val="000D3BD8"/>
    <w:rsid w:val="000D3CA8"/>
    <w:rsid w:val="000D3DBC"/>
    <w:rsid w:val="000D3E83"/>
    <w:rsid w:val="000D4E06"/>
    <w:rsid w:val="000D51BB"/>
    <w:rsid w:val="000D5879"/>
    <w:rsid w:val="000D73FD"/>
    <w:rsid w:val="000E0758"/>
    <w:rsid w:val="000E0C03"/>
    <w:rsid w:val="000E1631"/>
    <w:rsid w:val="000E1EB6"/>
    <w:rsid w:val="000E2A99"/>
    <w:rsid w:val="000E4833"/>
    <w:rsid w:val="000E5794"/>
    <w:rsid w:val="000E5B07"/>
    <w:rsid w:val="000E5B86"/>
    <w:rsid w:val="000E5BED"/>
    <w:rsid w:val="000E63B3"/>
    <w:rsid w:val="000F00C6"/>
    <w:rsid w:val="000F03BE"/>
    <w:rsid w:val="000F1174"/>
    <w:rsid w:val="000F200A"/>
    <w:rsid w:val="000F2A44"/>
    <w:rsid w:val="000F2E02"/>
    <w:rsid w:val="000F37FB"/>
    <w:rsid w:val="000F41DC"/>
    <w:rsid w:val="000F68B4"/>
    <w:rsid w:val="000F79F2"/>
    <w:rsid w:val="000F7AE1"/>
    <w:rsid w:val="00100BEF"/>
    <w:rsid w:val="00102032"/>
    <w:rsid w:val="00102946"/>
    <w:rsid w:val="001029B5"/>
    <w:rsid w:val="00103D89"/>
    <w:rsid w:val="00104A23"/>
    <w:rsid w:val="00104E7B"/>
    <w:rsid w:val="001056B0"/>
    <w:rsid w:val="00106261"/>
    <w:rsid w:val="00106CA0"/>
    <w:rsid w:val="00111AC6"/>
    <w:rsid w:val="00111C03"/>
    <w:rsid w:val="00112C9C"/>
    <w:rsid w:val="001136F2"/>
    <w:rsid w:val="0011453D"/>
    <w:rsid w:val="001157FF"/>
    <w:rsid w:val="00115C70"/>
    <w:rsid w:val="00117042"/>
    <w:rsid w:val="0012000F"/>
    <w:rsid w:val="001204E0"/>
    <w:rsid w:val="00122DA4"/>
    <w:rsid w:val="0012571C"/>
    <w:rsid w:val="00131164"/>
    <w:rsid w:val="0013190C"/>
    <w:rsid w:val="00131EB3"/>
    <w:rsid w:val="0013300D"/>
    <w:rsid w:val="001331D8"/>
    <w:rsid w:val="00136E52"/>
    <w:rsid w:val="001411A8"/>
    <w:rsid w:val="0014296B"/>
    <w:rsid w:val="0014548E"/>
    <w:rsid w:val="00150C59"/>
    <w:rsid w:val="001512EB"/>
    <w:rsid w:val="00152126"/>
    <w:rsid w:val="00152CF7"/>
    <w:rsid w:val="001545E7"/>
    <w:rsid w:val="00155885"/>
    <w:rsid w:val="0015627F"/>
    <w:rsid w:val="0015639E"/>
    <w:rsid w:val="00157136"/>
    <w:rsid w:val="001608DD"/>
    <w:rsid w:val="00160CB6"/>
    <w:rsid w:val="00162430"/>
    <w:rsid w:val="00162AB9"/>
    <w:rsid w:val="0016515B"/>
    <w:rsid w:val="001663C1"/>
    <w:rsid w:val="00171130"/>
    <w:rsid w:val="001733E7"/>
    <w:rsid w:val="001737B3"/>
    <w:rsid w:val="001749E9"/>
    <w:rsid w:val="001749EA"/>
    <w:rsid w:val="00175ACF"/>
    <w:rsid w:val="00175FF0"/>
    <w:rsid w:val="00180135"/>
    <w:rsid w:val="001807AC"/>
    <w:rsid w:val="0018080D"/>
    <w:rsid w:val="00180B6C"/>
    <w:rsid w:val="00182AE5"/>
    <w:rsid w:val="00183E56"/>
    <w:rsid w:val="00184A25"/>
    <w:rsid w:val="00185BE6"/>
    <w:rsid w:val="00186B56"/>
    <w:rsid w:val="00186C73"/>
    <w:rsid w:val="00190584"/>
    <w:rsid w:val="00190A51"/>
    <w:rsid w:val="00191C4B"/>
    <w:rsid w:val="001930F4"/>
    <w:rsid w:val="001961BA"/>
    <w:rsid w:val="001963C7"/>
    <w:rsid w:val="00196943"/>
    <w:rsid w:val="00196E8A"/>
    <w:rsid w:val="001A1210"/>
    <w:rsid w:val="001A3799"/>
    <w:rsid w:val="001A385B"/>
    <w:rsid w:val="001A3D66"/>
    <w:rsid w:val="001A45C5"/>
    <w:rsid w:val="001A5907"/>
    <w:rsid w:val="001A6FF0"/>
    <w:rsid w:val="001A7535"/>
    <w:rsid w:val="001A78E7"/>
    <w:rsid w:val="001B024B"/>
    <w:rsid w:val="001B31E0"/>
    <w:rsid w:val="001B333B"/>
    <w:rsid w:val="001B444A"/>
    <w:rsid w:val="001B4756"/>
    <w:rsid w:val="001B4BD3"/>
    <w:rsid w:val="001B52C5"/>
    <w:rsid w:val="001B598A"/>
    <w:rsid w:val="001B6161"/>
    <w:rsid w:val="001B6DF8"/>
    <w:rsid w:val="001B7633"/>
    <w:rsid w:val="001B7C02"/>
    <w:rsid w:val="001C01C4"/>
    <w:rsid w:val="001C1990"/>
    <w:rsid w:val="001C2AE0"/>
    <w:rsid w:val="001C2C06"/>
    <w:rsid w:val="001C2E1A"/>
    <w:rsid w:val="001C2F33"/>
    <w:rsid w:val="001C531A"/>
    <w:rsid w:val="001C585A"/>
    <w:rsid w:val="001C5F4C"/>
    <w:rsid w:val="001C70F2"/>
    <w:rsid w:val="001D0E96"/>
    <w:rsid w:val="001D15FA"/>
    <w:rsid w:val="001D2391"/>
    <w:rsid w:val="001D3D2D"/>
    <w:rsid w:val="001D6C3A"/>
    <w:rsid w:val="001D7FC4"/>
    <w:rsid w:val="001E0DAD"/>
    <w:rsid w:val="001E0ED4"/>
    <w:rsid w:val="001E14EA"/>
    <w:rsid w:val="001E23F2"/>
    <w:rsid w:val="001E2F45"/>
    <w:rsid w:val="001E31F8"/>
    <w:rsid w:val="001E3427"/>
    <w:rsid w:val="001E3FCE"/>
    <w:rsid w:val="001E4776"/>
    <w:rsid w:val="001E5308"/>
    <w:rsid w:val="001E550F"/>
    <w:rsid w:val="001E7513"/>
    <w:rsid w:val="001F020B"/>
    <w:rsid w:val="001F02A5"/>
    <w:rsid w:val="001F2692"/>
    <w:rsid w:val="001F305F"/>
    <w:rsid w:val="001F32E4"/>
    <w:rsid w:val="001F3957"/>
    <w:rsid w:val="001F45BF"/>
    <w:rsid w:val="001F6A15"/>
    <w:rsid w:val="001F7336"/>
    <w:rsid w:val="002001BC"/>
    <w:rsid w:val="002004C0"/>
    <w:rsid w:val="00200E8E"/>
    <w:rsid w:val="002012BC"/>
    <w:rsid w:val="00201E99"/>
    <w:rsid w:val="002033CF"/>
    <w:rsid w:val="00203D55"/>
    <w:rsid w:val="00204712"/>
    <w:rsid w:val="00204AFB"/>
    <w:rsid w:val="00205048"/>
    <w:rsid w:val="0020630C"/>
    <w:rsid w:val="00206B06"/>
    <w:rsid w:val="00210A6D"/>
    <w:rsid w:val="002115EE"/>
    <w:rsid w:val="00211B35"/>
    <w:rsid w:val="00212194"/>
    <w:rsid w:val="002122A4"/>
    <w:rsid w:val="00214014"/>
    <w:rsid w:val="0021426B"/>
    <w:rsid w:val="00214F3B"/>
    <w:rsid w:val="00215167"/>
    <w:rsid w:val="00215261"/>
    <w:rsid w:val="0021582A"/>
    <w:rsid w:val="00216455"/>
    <w:rsid w:val="00216784"/>
    <w:rsid w:val="00216AF8"/>
    <w:rsid w:val="002172A3"/>
    <w:rsid w:val="002202C1"/>
    <w:rsid w:val="00221406"/>
    <w:rsid w:val="002214C3"/>
    <w:rsid w:val="00221609"/>
    <w:rsid w:val="00221DE0"/>
    <w:rsid w:val="00222725"/>
    <w:rsid w:val="0022501A"/>
    <w:rsid w:val="00225680"/>
    <w:rsid w:val="00225B70"/>
    <w:rsid w:val="0022638E"/>
    <w:rsid w:val="002266AF"/>
    <w:rsid w:val="00226F31"/>
    <w:rsid w:val="00227079"/>
    <w:rsid w:val="002272CC"/>
    <w:rsid w:val="0022764B"/>
    <w:rsid w:val="002310E4"/>
    <w:rsid w:val="00231165"/>
    <w:rsid w:val="002321B2"/>
    <w:rsid w:val="00232532"/>
    <w:rsid w:val="002331D8"/>
    <w:rsid w:val="0023367C"/>
    <w:rsid w:val="0023556C"/>
    <w:rsid w:val="0023594C"/>
    <w:rsid w:val="00236DA7"/>
    <w:rsid w:val="0023766E"/>
    <w:rsid w:val="002450E8"/>
    <w:rsid w:val="00245739"/>
    <w:rsid w:val="0024712C"/>
    <w:rsid w:val="0024757D"/>
    <w:rsid w:val="00250561"/>
    <w:rsid w:val="0025074F"/>
    <w:rsid w:val="00250FF3"/>
    <w:rsid w:val="00251D1B"/>
    <w:rsid w:val="00251DDD"/>
    <w:rsid w:val="00254D47"/>
    <w:rsid w:val="00255D0F"/>
    <w:rsid w:val="0025630A"/>
    <w:rsid w:val="0025717D"/>
    <w:rsid w:val="00257251"/>
    <w:rsid w:val="002576F9"/>
    <w:rsid w:val="00260090"/>
    <w:rsid w:val="00260141"/>
    <w:rsid w:val="00261255"/>
    <w:rsid w:val="0026292E"/>
    <w:rsid w:val="00263428"/>
    <w:rsid w:val="00264367"/>
    <w:rsid w:val="00266055"/>
    <w:rsid w:val="0026746C"/>
    <w:rsid w:val="00270335"/>
    <w:rsid w:val="002705BE"/>
    <w:rsid w:val="00270CF7"/>
    <w:rsid w:val="00270F20"/>
    <w:rsid w:val="00272EC3"/>
    <w:rsid w:val="00273015"/>
    <w:rsid w:val="0027308B"/>
    <w:rsid w:val="0027337F"/>
    <w:rsid w:val="00274258"/>
    <w:rsid w:val="0027449C"/>
    <w:rsid w:val="00274F22"/>
    <w:rsid w:val="002754FB"/>
    <w:rsid w:val="00275E3B"/>
    <w:rsid w:val="00276170"/>
    <w:rsid w:val="00276513"/>
    <w:rsid w:val="002800F9"/>
    <w:rsid w:val="00283B35"/>
    <w:rsid w:val="0028553D"/>
    <w:rsid w:val="0028590F"/>
    <w:rsid w:val="0028632D"/>
    <w:rsid w:val="002864B8"/>
    <w:rsid w:val="00286F4E"/>
    <w:rsid w:val="00287E01"/>
    <w:rsid w:val="0029034A"/>
    <w:rsid w:val="00290975"/>
    <w:rsid w:val="0029223C"/>
    <w:rsid w:val="00293D33"/>
    <w:rsid w:val="0029485F"/>
    <w:rsid w:val="00294FC5"/>
    <w:rsid w:val="0029609E"/>
    <w:rsid w:val="00297229"/>
    <w:rsid w:val="002A0E86"/>
    <w:rsid w:val="002A3638"/>
    <w:rsid w:val="002A4614"/>
    <w:rsid w:val="002A5215"/>
    <w:rsid w:val="002A62CD"/>
    <w:rsid w:val="002A6348"/>
    <w:rsid w:val="002A673A"/>
    <w:rsid w:val="002A67D8"/>
    <w:rsid w:val="002B09B7"/>
    <w:rsid w:val="002B0D8A"/>
    <w:rsid w:val="002B4339"/>
    <w:rsid w:val="002B48C1"/>
    <w:rsid w:val="002B52C7"/>
    <w:rsid w:val="002B5598"/>
    <w:rsid w:val="002B5C0A"/>
    <w:rsid w:val="002B73C5"/>
    <w:rsid w:val="002B7CC9"/>
    <w:rsid w:val="002C2BFF"/>
    <w:rsid w:val="002C2C79"/>
    <w:rsid w:val="002C2D68"/>
    <w:rsid w:val="002C30B4"/>
    <w:rsid w:val="002C3195"/>
    <w:rsid w:val="002C3490"/>
    <w:rsid w:val="002C4048"/>
    <w:rsid w:val="002C4195"/>
    <w:rsid w:val="002C49C2"/>
    <w:rsid w:val="002C4CA1"/>
    <w:rsid w:val="002C534B"/>
    <w:rsid w:val="002C5920"/>
    <w:rsid w:val="002C5F4F"/>
    <w:rsid w:val="002C60A9"/>
    <w:rsid w:val="002C695B"/>
    <w:rsid w:val="002C7739"/>
    <w:rsid w:val="002C7D6C"/>
    <w:rsid w:val="002D0334"/>
    <w:rsid w:val="002D1096"/>
    <w:rsid w:val="002D1656"/>
    <w:rsid w:val="002D30D0"/>
    <w:rsid w:val="002D3A29"/>
    <w:rsid w:val="002D3DE7"/>
    <w:rsid w:val="002D40B4"/>
    <w:rsid w:val="002D4599"/>
    <w:rsid w:val="002D501A"/>
    <w:rsid w:val="002D6047"/>
    <w:rsid w:val="002D6ED5"/>
    <w:rsid w:val="002D7D1D"/>
    <w:rsid w:val="002E0380"/>
    <w:rsid w:val="002E3DB0"/>
    <w:rsid w:val="002E4582"/>
    <w:rsid w:val="002E608E"/>
    <w:rsid w:val="002E6D16"/>
    <w:rsid w:val="002E6D2B"/>
    <w:rsid w:val="002E78E6"/>
    <w:rsid w:val="002E7AFC"/>
    <w:rsid w:val="002E7CFC"/>
    <w:rsid w:val="002E7E1D"/>
    <w:rsid w:val="002F0064"/>
    <w:rsid w:val="002F0B10"/>
    <w:rsid w:val="002F176C"/>
    <w:rsid w:val="002F22D6"/>
    <w:rsid w:val="002F46AD"/>
    <w:rsid w:val="002F4F9C"/>
    <w:rsid w:val="002F52A4"/>
    <w:rsid w:val="002F6AA7"/>
    <w:rsid w:val="002F6D21"/>
    <w:rsid w:val="002F6FCC"/>
    <w:rsid w:val="003034C4"/>
    <w:rsid w:val="00303B30"/>
    <w:rsid w:val="00306FA0"/>
    <w:rsid w:val="003070E6"/>
    <w:rsid w:val="00312FB3"/>
    <w:rsid w:val="003146C2"/>
    <w:rsid w:val="00314A13"/>
    <w:rsid w:val="00314F8A"/>
    <w:rsid w:val="00315A4D"/>
    <w:rsid w:val="003163D4"/>
    <w:rsid w:val="00316CBA"/>
    <w:rsid w:val="00317ECF"/>
    <w:rsid w:val="00320024"/>
    <w:rsid w:val="003235A5"/>
    <w:rsid w:val="00323E19"/>
    <w:rsid w:val="0032517A"/>
    <w:rsid w:val="00326214"/>
    <w:rsid w:val="003262E3"/>
    <w:rsid w:val="0032659B"/>
    <w:rsid w:val="00326C39"/>
    <w:rsid w:val="00326F34"/>
    <w:rsid w:val="00327B44"/>
    <w:rsid w:val="00330637"/>
    <w:rsid w:val="00331439"/>
    <w:rsid w:val="003314C8"/>
    <w:rsid w:val="0033382F"/>
    <w:rsid w:val="003339BF"/>
    <w:rsid w:val="0033557B"/>
    <w:rsid w:val="00340753"/>
    <w:rsid w:val="00340EF0"/>
    <w:rsid w:val="0034120C"/>
    <w:rsid w:val="00341BA6"/>
    <w:rsid w:val="0034299D"/>
    <w:rsid w:val="003446A7"/>
    <w:rsid w:val="0034565D"/>
    <w:rsid w:val="00345E93"/>
    <w:rsid w:val="003462B2"/>
    <w:rsid w:val="003471ED"/>
    <w:rsid w:val="00347CE9"/>
    <w:rsid w:val="00350320"/>
    <w:rsid w:val="00351958"/>
    <w:rsid w:val="0035270B"/>
    <w:rsid w:val="0035270E"/>
    <w:rsid w:val="00353D48"/>
    <w:rsid w:val="00353D4B"/>
    <w:rsid w:val="00357213"/>
    <w:rsid w:val="00360259"/>
    <w:rsid w:val="00360275"/>
    <w:rsid w:val="00360278"/>
    <w:rsid w:val="00361B16"/>
    <w:rsid w:val="00361F22"/>
    <w:rsid w:val="00364900"/>
    <w:rsid w:val="00367043"/>
    <w:rsid w:val="00367868"/>
    <w:rsid w:val="00367E68"/>
    <w:rsid w:val="003702DB"/>
    <w:rsid w:val="003726C9"/>
    <w:rsid w:val="00374661"/>
    <w:rsid w:val="00374AFA"/>
    <w:rsid w:val="00375F2E"/>
    <w:rsid w:val="0037623E"/>
    <w:rsid w:val="0037688E"/>
    <w:rsid w:val="00376CC4"/>
    <w:rsid w:val="00377A30"/>
    <w:rsid w:val="00377D87"/>
    <w:rsid w:val="00380F76"/>
    <w:rsid w:val="00381553"/>
    <w:rsid w:val="00381601"/>
    <w:rsid w:val="003827C0"/>
    <w:rsid w:val="00382D2E"/>
    <w:rsid w:val="003831B5"/>
    <w:rsid w:val="003833E2"/>
    <w:rsid w:val="003857B1"/>
    <w:rsid w:val="0038631D"/>
    <w:rsid w:val="00386F23"/>
    <w:rsid w:val="00387D85"/>
    <w:rsid w:val="00391146"/>
    <w:rsid w:val="003913CC"/>
    <w:rsid w:val="0039180D"/>
    <w:rsid w:val="00391E00"/>
    <w:rsid w:val="00393B51"/>
    <w:rsid w:val="003940A9"/>
    <w:rsid w:val="00394485"/>
    <w:rsid w:val="003945FE"/>
    <w:rsid w:val="00394AE3"/>
    <w:rsid w:val="00395629"/>
    <w:rsid w:val="00395CBA"/>
    <w:rsid w:val="00396529"/>
    <w:rsid w:val="00397632"/>
    <w:rsid w:val="00397A22"/>
    <w:rsid w:val="003A08B8"/>
    <w:rsid w:val="003A35DE"/>
    <w:rsid w:val="003A368B"/>
    <w:rsid w:val="003A3F1A"/>
    <w:rsid w:val="003A55E2"/>
    <w:rsid w:val="003A65FE"/>
    <w:rsid w:val="003A6EB4"/>
    <w:rsid w:val="003A7F12"/>
    <w:rsid w:val="003B296C"/>
    <w:rsid w:val="003B6222"/>
    <w:rsid w:val="003C1488"/>
    <w:rsid w:val="003C4C6A"/>
    <w:rsid w:val="003C542B"/>
    <w:rsid w:val="003C5CA6"/>
    <w:rsid w:val="003C6088"/>
    <w:rsid w:val="003C6925"/>
    <w:rsid w:val="003C6A7D"/>
    <w:rsid w:val="003C704B"/>
    <w:rsid w:val="003C7C88"/>
    <w:rsid w:val="003D1D29"/>
    <w:rsid w:val="003D1E74"/>
    <w:rsid w:val="003D38BD"/>
    <w:rsid w:val="003D3F8F"/>
    <w:rsid w:val="003D44ED"/>
    <w:rsid w:val="003D5BE8"/>
    <w:rsid w:val="003D6D0F"/>
    <w:rsid w:val="003D7B96"/>
    <w:rsid w:val="003E25C9"/>
    <w:rsid w:val="003E3291"/>
    <w:rsid w:val="003E4A05"/>
    <w:rsid w:val="003E4F44"/>
    <w:rsid w:val="003E62A6"/>
    <w:rsid w:val="003E6BD1"/>
    <w:rsid w:val="003E7580"/>
    <w:rsid w:val="003F00F1"/>
    <w:rsid w:val="003F08DD"/>
    <w:rsid w:val="003F095C"/>
    <w:rsid w:val="003F32EA"/>
    <w:rsid w:val="003F3578"/>
    <w:rsid w:val="003F361B"/>
    <w:rsid w:val="003F47CC"/>
    <w:rsid w:val="003F7A70"/>
    <w:rsid w:val="00401095"/>
    <w:rsid w:val="00401627"/>
    <w:rsid w:val="00401A1A"/>
    <w:rsid w:val="00404445"/>
    <w:rsid w:val="00404C20"/>
    <w:rsid w:val="00405C98"/>
    <w:rsid w:val="00407E08"/>
    <w:rsid w:val="00407ED7"/>
    <w:rsid w:val="00410A0F"/>
    <w:rsid w:val="00410FAF"/>
    <w:rsid w:val="004114AA"/>
    <w:rsid w:val="0041237D"/>
    <w:rsid w:val="0041238F"/>
    <w:rsid w:val="00412CBD"/>
    <w:rsid w:val="00412CD1"/>
    <w:rsid w:val="004139D5"/>
    <w:rsid w:val="00413F4C"/>
    <w:rsid w:val="00415698"/>
    <w:rsid w:val="004156B5"/>
    <w:rsid w:val="00415CD0"/>
    <w:rsid w:val="00417BE9"/>
    <w:rsid w:val="00420F8D"/>
    <w:rsid w:val="004214B5"/>
    <w:rsid w:val="004225B5"/>
    <w:rsid w:val="0042297C"/>
    <w:rsid w:val="00423F7F"/>
    <w:rsid w:val="004250BA"/>
    <w:rsid w:val="004256E8"/>
    <w:rsid w:val="00425B57"/>
    <w:rsid w:val="004267A0"/>
    <w:rsid w:val="00426EEF"/>
    <w:rsid w:val="00430924"/>
    <w:rsid w:val="00431C25"/>
    <w:rsid w:val="00431CF0"/>
    <w:rsid w:val="0043214E"/>
    <w:rsid w:val="00432879"/>
    <w:rsid w:val="00434060"/>
    <w:rsid w:val="004368EC"/>
    <w:rsid w:val="00437762"/>
    <w:rsid w:val="00440432"/>
    <w:rsid w:val="00440709"/>
    <w:rsid w:val="004409B0"/>
    <w:rsid w:val="004410F2"/>
    <w:rsid w:val="0044176C"/>
    <w:rsid w:val="004424FF"/>
    <w:rsid w:val="004426D3"/>
    <w:rsid w:val="004432C4"/>
    <w:rsid w:val="00444BDC"/>
    <w:rsid w:val="00444E81"/>
    <w:rsid w:val="004461E1"/>
    <w:rsid w:val="0044624A"/>
    <w:rsid w:val="004466ED"/>
    <w:rsid w:val="00446DC5"/>
    <w:rsid w:val="00451372"/>
    <w:rsid w:val="00451D14"/>
    <w:rsid w:val="00453177"/>
    <w:rsid w:val="0045398A"/>
    <w:rsid w:val="004548E3"/>
    <w:rsid w:val="00454CAC"/>
    <w:rsid w:val="00454FEF"/>
    <w:rsid w:val="00455983"/>
    <w:rsid w:val="00455FB6"/>
    <w:rsid w:val="00456AB9"/>
    <w:rsid w:val="00456B40"/>
    <w:rsid w:val="00457A35"/>
    <w:rsid w:val="004621BB"/>
    <w:rsid w:val="00463AE4"/>
    <w:rsid w:val="00465CE3"/>
    <w:rsid w:val="00466865"/>
    <w:rsid w:val="0047000B"/>
    <w:rsid w:val="00470411"/>
    <w:rsid w:val="00470989"/>
    <w:rsid w:val="00472A6B"/>
    <w:rsid w:val="004730CD"/>
    <w:rsid w:val="004753EA"/>
    <w:rsid w:val="004756E5"/>
    <w:rsid w:val="004761B8"/>
    <w:rsid w:val="00476958"/>
    <w:rsid w:val="00477067"/>
    <w:rsid w:val="0047747E"/>
    <w:rsid w:val="0047764D"/>
    <w:rsid w:val="00480837"/>
    <w:rsid w:val="00482362"/>
    <w:rsid w:val="00482D87"/>
    <w:rsid w:val="004837DF"/>
    <w:rsid w:val="00483A8C"/>
    <w:rsid w:val="00483AF6"/>
    <w:rsid w:val="004845BA"/>
    <w:rsid w:val="00485E36"/>
    <w:rsid w:val="00486130"/>
    <w:rsid w:val="00487EA8"/>
    <w:rsid w:val="00491467"/>
    <w:rsid w:val="00491686"/>
    <w:rsid w:val="00491C3D"/>
    <w:rsid w:val="00492C3D"/>
    <w:rsid w:val="004935E2"/>
    <w:rsid w:val="004935F5"/>
    <w:rsid w:val="00493D52"/>
    <w:rsid w:val="00494311"/>
    <w:rsid w:val="00494E09"/>
    <w:rsid w:val="00495508"/>
    <w:rsid w:val="00496347"/>
    <w:rsid w:val="0049757D"/>
    <w:rsid w:val="004A074A"/>
    <w:rsid w:val="004A081C"/>
    <w:rsid w:val="004A193D"/>
    <w:rsid w:val="004A29C6"/>
    <w:rsid w:val="004A339A"/>
    <w:rsid w:val="004A33C5"/>
    <w:rsid w:val="004A3408"/>
    <w:rsid w:val="004A3427"/>
    <w:rsid w:val="004A35EC"/>
    <w:rsid w:val="004A3D67"/>
    <w:rsid w:val="004A5FE4"/>
    <w:rsid w:val="004A63AD"/>
    <w:rsid w:val="004A664D"/>
    <w:rsid w:val="004A6CD4"/>
    <w:rsid w:val="004A763F"/>
    <w:rsid w:val="004A7686"/>
    <w:rsid w:val="004B1146"/>
    <w:rsid w:val="004B1B25"/>
    <w:rsid w:val="004B3872"/>
    <w:rsid w:val="004B5BDD"/>
    <w:rsid w:val="004B64CA"/>
    <w:rsid w:val="004B6D4D"/>
    <w:rsid w:val="004B7634"/>
    <w:rsid w:val="004B76FA"/>
    <w:rsid w:val="004C024F"/>
    <w:rsid w:val="004C08D1"/>
    <w:rsid w:val="004C09A2"/>
    <w:rsid w:val="004C2CFD"/>
    <w:rsid w:val="004C30F4"/>
    <w:rsid w:val="004C34B1"/>
    <w:rsid w:val="004C48CD"/>
    <w:rsid w:val="004C4F9B"/>
    <w:rsid w:val="004D0473"/>
    <w:rsid w:val="004D07AC"/>
    <w:rsid w:val="004D3047"/>
    <w:rsid w:val="004D3105"/>
    <w:rsid w:val="004D39A3"/>
    <w:rsid w:val="004D4F09"/>
    <w:rsid w:val="004D5556"/>
    <w:rsid w:val="004D5665"/>
    <w:rsid w:val="004D63AF"/>
    <w:rsid w:val="004D688A"/>
    <w:rsid w:val="004D7812"/>
    <w:rsid w:val="004D7E27"/>
    <w:rsid w:val="004E180E"/>
    <w:rsid w:val="004E3AAC"/>
    <w:rsid w:val="004E3F53"/>
    <w:rsid w:val="004E443A"/>
    <w:rsid w:val="004E49CF"/>
    <w:rsid w:val="004E7946"/>
    <w:rsid w:val="004F054E"/>
    <w:rsid w:val="004F14AA"/>
    <w:rsid w:val="004F28FF"/>
    <w:rsid w:val="004F49C9"/>
    <w:rsid w:val="004F5EEB"/>
    <w:rsid w:val="004F6AAA"/>
    <w:rsid w:val="004F773C"/>
    <w:rsid w:val="004F7EA8"/>
    <w:rsid w:val="00500A89"/>
    <w:rsid w:val="00501FF8"/>
    <w:rsid w:val="005032B5"/>
    <w:rsid w:val="00504332"/>
    <w:rsid w:val="00504E3A"/>
    <w:rsid w:val="00505174"/>
    <w:rsid w:val="00507566"/>
    <w:rsid w:val="005101D0"/>
    <w:rsid w:val="00510670"/>
    <w:rsid w:val="0051205B"/>
    <w:rsid w:val="0051264D"/>
    <w:rsid w:val="00512C76"/>
    <w:rsid w:val="00512DE6"/>
    <w:rsid w:val="00513119"/>
    <w:rsid w:val="00513791"/>
    <w:rsid w:val="00513EE1"/>
    <w:rsid w:val="0051455D"/>
    <w:rsid w:val="00515FA8"/>
    <w:rsid w:val="005163A0"/>
    <w:rsid w:val="005167B7"/>
    <w:rsid w:val="00520BD0"/>
    <w:rsid w:val="00520EB6"/>
    <w:rsid w:val="00521558"/>
    <w:rsid w:val="00521858"/>
    <w:rsid w:val="00521C5E"/>
    <w:rsid w:val="00521FA8"/>
    <w:rsid w:val="00521FF6"/>
    <w:rsid w:val="00523056"/>
    <w:rsid w:val="0052346E"/>
    <w:rsid w:val="005235A4"/>
    <w:rsid w:val="00525BDD"/>
    <w:rsid w:val="0052684A"/>
    <w:rsid w:val="00526FB9"/>
    <w:rsid w:val="00527687"/>
    <w:rsid w:val="00527A48"/>
    <w:rsid w:val="005309B4"/>
    <w:rsid w:val="005312BB"/>
    <w:rsid w:val="00532778"/>
    <w:rsid w:val="00532B2C"/>
    <w:rsid w:val="00532F3A"/>
    <w:rsid w:val="00533812"/>
    <w:rsid w:val="00534342"/>
    <w:rsid w:val="00535AFE"/>
    <w:rsid w:val="00535CA4"/>
    <w:rsid w:val="00535F25"/>
    <w:rsid w:val="00536684"/>
    <w:rsid w:val="00536B9E"/>
    <w:rsid w:val="00536EDE"/>
    <w:rsid w:val="00536FC0"/>
    <w:rsid w:val="00537646"/>
    <w:rsid w:val="00537B4B"/>
    <w:rsid w:val="00540F92"/>
    <w:rsid w:val="005432E2"/>
    <w:rsid w:val="0054336E"/>
    <w:rsid w:val="005445EF"/>
    <w:rsid w:val="00545D29"/>
    <w:rsid w:val="0054671E"/>
    <w:rsid w:val="00546ADF"/>
    <w:rsid w:val="00546C74"/>
    <w:rsid w:val="00547404"/>
    <w:rsid w:val="005474F2"/>
    <w:rsid w:val="00551A9F"/>
    <w:rsid w:val="00551FAE"/>
    <w:rsid w:val="005520FF"/>
    <w:rsid w:val="00553EF5"/>
    <w:rsid w:val="005574A3"/>
    <w:rsid w:val="005577EC"/>
    <w:rsid w:val="005579A1"/>
    <w:rsid w:val="00557B69"/>
    <w:rsid w:val="005608EF"/>
    <w:rsid w:val="00562FE2"/>
    <w:rsid w:val="00563D15"/>
    <w:rsid w:val="00563E13"/>
    <w:rsid w:val="00564533"/>
    <w:rsid w:val="00566FF8"/>
    <w:rsid w:val="0056771B"/>
    <w:rsid w:val="0056780F"/>
    <w:rsid w:val="00567FD0"/>
    <w:rsid w:val="0057024F"/>
    <w:rsid w:val="005719F3"/>
    <w:rsid w:val="00571C2F"/>
    <w:rsid w:val="00572072"/>
    <w:rsid w:val="00572649"/>
    <w:rsid w:val="00576E0E"/>
    <w:rsid w:val="00576F27"/>
    <w:rsid w:val="005774DA"/>
    <w:rsid w:val="00580329"/>
    <w:rsid w:val="00583887"/>
    <w:rsid w:val="00583E2C"/>
    <w:rsid w:val="005844A7"/>
    <w:rsid w:val="00584C25"/>
    <w:rsid w:val="00585467"/>
    <w:rsid w:val="0058575C"/>
    <w:rsid w:val="00585FD8"/>
    <w:rsid w:val="0059061B"/>
    <w:rsid w:val="005907E4"/>
    <w:rsid w:val="00591922"/>
    <w:rsid w:val="00591C01"/>
    <w:rsid w:val="005930F4"/>
    <w:rsid w:val="005955B8"/>
    <w:rsid w:val="00595BD6"/>
    <w:rsid w:val="005969CE"/>
    <w:rsid w:val="00596EB2"/>
    <w:rsid w:val="00597102"/>
    <w:rsid w:val="00597843"/>
    <w:rsid w:val="005979E9"/>
    <w:rsid w:val="00597A7A"/>
    <w:rsid w:val="005A102D"/>
    <w:rsid w:val="005A182D"/>
    <w:rsid w:val="005A1858"/>
    <w:rsid w:val="005A2A66"/>
    <w:rsid w:val="005A422B"/>
    <w:rsid w:val="005A452F"/>
    <w:rsid w:val="005A4EA4"/>
    <w:rsid w:val="005A74B8"/>
    <w:rsid w:val="005A76B0"/>
    <w:rsid w:val="005A78CB"/>
    <w:rsid w:val="005B067A"/>
    <w:rsid w:val="005B26C5"/>
    <w:rsid w:val="005B6616"/>
    <w:rsid w:val="005B67AE"/>
    <w:rsid w:val="005B7C00"/>
    <w:rsid w:val="005B7EC3"/>
    <w:rsid w:val="005B7F47"/>
    <w:rsid w:val="005C020F"/>
    <w:rsid w:val="005C0785"/>
    <w:rsid w:val="005C0E52"/>
    <w:rsid w:val="005C1C87"/>
    <w:rsid w:val="005C25DD"/>
    <w:rsid w:val="005C34B9"/>
    <w:rsid w:val="005C35FC"/>
    <w:rsid w:val="005C3A36"/>
    <w:rsid w:val="005C6DB7"/>
    <w:rsid w:val="005C75FA"/>
    <w:rsid w:val="005D2086"/>
    <w:rsid w:val="005D2694"/>
    <w:rsid w:val="005D2A4D"/>
    <w:rsid w:val="005D2A91"/>
    <w:rsid w:val="005D3740"/>
    <w:rsid w:val="005D46E1"/>
    <w:rsid w:val="005D4DE6"/>
    <w:rsid w:val="005D547F"/>
    <w:rsid w:val="005D5F44"/>
    <w:rsid w:val="005D6F33"/>
    <w:rsid w:val="005E250B"/>
    <w:rsid w:val="005E30E2"/>
    <w:rsid w:val="005E3AEC"/>
    <w:rsid w:val="005E60BB"/>
    <w:rsid w:val="005E7161"/>
    <w:rsid w:val="005E7ACC"/>
    <w:rsid w:val="005F05EE"/>
    <w:rsid w:val="005F0F42"/>
    <w:rsid w:val="005F1237"/>
    <w:rsid w:val="005F14C0"/>
    <w:rsid w:val="005F22D0"/>
    <w:rsid w:val="005F27D0"/>
    <w:rsid w:val="005F3F1A"/>
    <w:rsid w:val="005F51B4"/>
    <w:rsid w:val="005F5253"/>
    <w:rsid w:val="005F55D0"/>
    <w:rsid w:val="005F5636"/>
    <w:rsid w:val="005F6215"/>
    <w:rsid w:val="005F6F6C"/>
    <w:rsid w:val="005F6F8E"/>
    <w:rsid w:val="005F7B25"/>
    <w:rsid w:val="006003FA"/>
    <w:rsid w:val="00600451"/>
    <w:rsid w:val="006004DE"/>
    <w:rsid w:val="006010E8"/>
    <w:rsid w:val="006016E9"/>
    <w:rsid w:val="00601FAB"/>
    <w:rsid w:val="006034DD"/>
    <w:rsid w:val="00603938"/>
    <w:rsid w:val="006061EE"/>
    <w:rsid w:val="00610BBA"/>
    <w:rsid w:val="006122BB"/>
    <w:rsid w:val="006127E7"/>
    <w:rsid w:val="006134C2"/>
    <w:rsid w:val="0061389F"/>
    <w:rsid w:val="00613CE4"/>
    <w:rsid w:val="00614D76"/>
    <w:rsid w:val="00616792"/>
    <w:rsid w:val="00617CB5"/>
    <w:rsid w:val="00617E39"/>
    <w:rsid w:val="006212FF"/>
    <w:rsid w:val="006216C7"/>
    <w:rsid w:val="006239D2"/>
    <w:rsid w:val="0062434B"/>
    <w:rsid w:val="00625664"/>
    <w:rsid w:val="00626086"/>
    <w:rsid w:val="00627A20"/>
    <w:rsid w:val="00627BB3"/>
    <w:rsid w:val="00630160"/>
    <w:rsid w:val="00631638"/>
    <w:rsid w:val="0063192E"/>
    <w:rsid w:val="00632B93"/>
    <w:rsid w:val="00633F6D"/>
    <w:rsid w:val="006343E9"/>
    <w:rsid w:val="0063463C"/>
    <w:rsid w:val="006361F8"/>
    <w:rsid w:val="00636968"/>
    <w:rsid w:val="00636BB2"/>
    <w:rsid w:val="00637470"/>
    <w:rsid w:val="006374F5"/>
    <w:rsid w:val="00640596"/>
    <w:rsid w:val="0064089E"/>
    <w:rsid w:val="00640D1D"/>
    <w:rsid w:val="00643083"/>
    <w:rsid w:val="006450AA"/>
    <w:rsid w:val="0064553A"/>
    <w:rsid w:val="00647897"/>
    <w:rsid w:val="0065028A"/>
    <w:rsid w:val="00650D71"/>
    <w:rsid w:val="00650E2E"/>
    <w:rsid w:val="0065164A"/>
    <w:rsid w:val="00652459"/>
    <w:rsid w:val="006526B4"/>
    <w:rsid w:val="0065272A"/>
    <w:rsid w:val="00656DA8"/>
    <w:rsid w:val="00660207"/>
    <w:rsid w:val="0066034E"/>
    <w:rsid w:val="00660B7E"/>
    <w:rsid w:val="00660EF8"/>
    <w:rsid w:val="00661A0B"/>
    <w:rsid w:val="00661AE4"/>
    <w:rsid w:val="00662379"/>
    <w:rsid w:val="006625F1"/>
    <w:rsid w:val="006626E8"/>
    <w:rsid w:val="00662D47"/>
    <w:rsid w:val="00663202"/>
    <w:rsid w:val="0066420F"/>
    <w:rsid w:val="00665BF6"/>
    <w:rsid w:val="00665C33"/>
    <w:rsid w:val="00665D9C"/>
    <w:rsid w:val="00665EA4"/>
    <w:rsid w:val="0066619B"/>
    <w:rsid w:val="006674FA"/>
    <w:rsid w:val="006708E4"/>
    <w:rsid w:val="00670985"/>
    <w:rsid w:val="00670FB1"/>
    <w:rsid w:val="00672FAE"/>
    <w:rsid w:val="0067304C"/>
    <w:rsid w:val="006731F3"/>
    <w:rsid w:val="0067332C"/>
    <w:rsid w:val="006733E5"/>
    <w:rsid w:val="00673758"/>
    <w:rsid w:val="006756B6"/>
    <w:rsid w:val="00676B76"/>
    <w:rsid w:val="006779C7"/>
    <w:rsid w:val="00680D84"/>
    <w:rsid w:val="00683635"/>
    <w:rsid w:val="0068600C"/>
    <w:rsid w:val="006867FE"/>
    <w:rsid w:val="00686DEF"/>
    <w:rsid w:val="0069003B"/>
    <w:rsid w:val="00690265"/>
    <w:rsid w:val="006908CB"/>
    <w:rsid w:val="00693547"/>
    <w:rsid w:val="00693761"/>
    <w:rsid w:val="00694C0A"/>
    <w:rsid w:val="006951B6"/>
    <w:rsid w:val="00695242"/>
    <w:rsid w:val="006957B9"/>
    <w:rsid w:val="00696549"/>
    <w:rsid w:val="0069692F"/>
    <w:rsid w:val="00696C84"/>
    <w:rsid w:val="0069719C"/>
    <w:rsid w:val="006973C0"/>
    <w:rsid w:val="0069768D"/>
    <w:rsid w:val="006A0193"/>
    <w:rsid w:val="006A0516"/>
    <w:rsid w:val="006A09E2"/>
    <w:rsid w:val="006A20B4"/>
    <w:rsid w:val="006A2CF4"/>
    <w:rsid w:val="006A506E"/>
    <w:rsid w:val="006A56B8"/>
    <w:rsid w:val="006A731A"/>
    <w:rsid w:val="006A73C5"/>
    <w:rsid w:val="006B2869"/>
    <w:rsid w:val="006B3051"/>
    <w:rsid w:val="006B429A"/>
    <w:rsid w:val="006B453A"/>
    <w:rsid w:val="006B4904"/>
    <w:rsid w:val="006B526A"/>
    <w:rsid w:val="006B687A"/>
    <w:rsid w:val="006B7799"/>
    <w:rsid w:val="006C029A"/>
    <w:rsid w:val="006C0ED1"/>
    <w:rsid w:val="006C119A"/>
    <w:rsid w:val="006C2E01"/>
    <w:rsid w:val="006C3040"/>
    <w:rsid w:val="006C37A6"/>
    <w:rsid w:val="006C4979"/>
    <w:rsid w:val="006C4CD4"/>
    <w:rsid w:val="006C51AB"/>
    <w:rsid w:val="006C574A"/>
    <w:rsid w:val="006C6554"/>
    <w:rsid w:val="006C7114"/>
    <w:rsid w:val="006C7366"/>
    <w:rsid w:val="006C769A"/>
    <w:rsid w:val="006C7F22"/>
    <w:rsid w:val="006D0625"/>
    <w:rsid w:val="006D0E7E"/>
    <w:rsid w:val="006D1AB5"/>
    <w:rsid w:val="006D1C10"/>
    <w:rsid w:val="006D3EC2"/>
    <w:rsid w:val="006D41C9"/>
    <w:rsid w:val="006D48EB"/>
    <w:rsid w:val="006D4D8B"/>
    <w:rsid w:val="006D5C07"/>
    <w:rsid w:val="006D6571"/>
    <w:rsid w:val="006D7AA7"/>
    <w:rsid w:val="006E0134"/>
    <w:rsid w:val="006E0DFA"/>
    <w:rsid w:val="006E0FD3"/>
    <w:rsid w:val="006E1BA5"/>
    <w:rsid w:val="006E1C93"/>
    <w:rsid w:val="006E1D94"/>
    <w:rsid w:val="006E20B4"/>
    <w:rsid w:val="006E23C2"/>
    <w:rsid w:val="006E2473"/>
    <w:rsid w:val="006E3C08"/>
    <w:rsid w:val="006E46D1"/>
    <w:rsid w:val="006E4C23"/>
    <w:rsid w:val="006E5365"/>
    <w:rsid w:val="006E6D37"/>
    <w:rsid w:val="006F1882"/>
    <w:rsid w:val="006F2296"/>
    <w:rsid w:val="006F271C"/>
    <w:rsid w:val="006F4BE4"/>
    <w:rsid w:val="006F55BF"/>
    <w:rsid w:val="006F5954"/>
    <w:rsid w:val="00700127"/>
    <w:rsid w:val="007003DE"/>
    <w:rsid w:val="007006A7"/>
    <w:rsid w:val="00701B3B"/>
    <w:rsid w:val="007035AF"/>
    <w:rsid w:val="007046EF"/>
    <w:rsid w:val="007047D4"/>
    <w:rsid w:val="00704C7E"/>
    <w:rsid w:val="00704DB1"/>
    <w:rsid w:val="007107C9"/>
    <w:rsid w:val="00711632"/>
    <w:rsid w:val="007116D7"/>
    <w:rsid w:val="007122C6"/>
    <w:rsid w:val="00712E9E"/>
    <w:rsid w:val="00714040"/>
    <w:rsid w:val="00714D00"/>
    <w:rsid w:val="0071596C"/>
    <w:rsid w:val="00715C18"/>
    <w:rsid w:val="00715F64"/>
    <w:rsid w:val="00717FBC"/>
    <w:rsid w:val="00720042"/>
    <w:rsid w:val="00720D68"/>
    <w:rsid w:val="00721233"/>
    <w:rsid w:val="0072159D"/>
    <w:rsid w:val="007224ED"/>
    <w:rsid w:val="007227A5"/>
    <w:rsid w:val="00724F17"/>
    <w:rsid w:val="007267BA"/>
    <w:rsid w:val="00726FB9"/>
    <w:rsid w:val="00727D8A"/>
    <w:rsid w:val="00730833"/>
    <w:rsid w:val="00731A35"/>
    <w:rsid w:val="007325C3"/>
    <w:rsid w:val="0073287D"/>
    <w:rsid w:val="00732BBD"/>
    <w:rsid w:val="00733274"/>
    <w:rsid w:val="00734C56"/>
    <w:rsid w:val="00734F91"/>
    <w:rsid w:val="007354DB"/>
    <w:rsid w:val="007355FD"/>
    <w:rsid w:val="007365F1"/>
    <w:rsid w:val="0073703D"/>
    <w:rsid w:val="00737E26"/>
    <w:rsid w:val="00740E34"/>
    <w:rsid w:val="00741443"/>
    <w:rsid w:val="00741C1F"/>
    <w:rsid w:val="007428E1"/>
    <w:rsid w:val="0074472E"/>
    <w:rsid w:val="007477CD"/>
    <w:rsid w:val="0075085C"/>
    <w:rsid w:val="00750C53"/>
    <w:rsid w:val="00750F5D"/>
    <w:rsid w:val="00751F77"/>
    <w:rsid w:val="0075542C"/>
    <w:rsid w:val="007556A3"/>
    <w:rsid w:val="00755EDC"/>
    <w:rsid w:val="0075681F"/>
    <w:rsid w:val="007602DE"/>
    <w:rsid w:val="00760AE5"/>
    <w:rsid w:val="0076277F"/>
    <w:rsid w:val="0076501F"/>
    <w:rsid w:val="00765390"/>
    <w:rsid w:val="0076602C"/>
    <w:rsid w:val="007674A5"/>
    <w:rsid w:val="007674BE"/>
    <w:rsid w:val="007677DB"/>
    <w:rsid w:val="00771333"/>
    <w:rsid w:val="0077177C"/>
    <w:rsid w:val="00773806"/>
    <w:rsid w:val="007776CA"/>
    <w:rsid w:val="0078038B"/>
    <w:rsid w:val="00780D1C"/>
    <w:rsid w:val="007824BC"/>
    <w:rsid w:val="00782FEF"/>
    <w:rsid w:val="00783049"/>
    <w:rsid w:val="007831A0"/>
    <w:rsid w:val="00783A8A"/>
    <w:rsid w:val="0078417B"/>
    <w:rsid w:val="00786222"/>
    <w:rsid w:val="00786753"/>
    <w:rsid w:val="00787045"/>
    <w:rsid w:val="0079078D"/>
    <w:rsid w:val="00790F1A"/>
    <w:rsid w:val="00791058"/>
    <w:rsid w:val="007918EB"/>
    <w:rsid w:val="00792754"/>
    <w:rsid w:val="00792D5E"/>
    <w:rsid w:val="0079305E"/>
    <w:rsid w:val="00793CD6"/>
    <w:rsid w:val="007973CE"/>
    <w:rsid w:val="007A0048"/>
    <w:rsid w:val="007A1211"/>
    <w:rsid w:val="007A166C"/>
    <w:rsid w:val="007A1A85"/>
    <w:rsid w:val="007A2813"/>
    <w:rsid w:val="007A29E6"/>
    <w:rsid w:val="007A39FD"/>
    <w:rsid w:val="007A523F"/>
    <w:rsid w:val="007A6573"/>
    <w:rsid w:val="007A68F9"/>
    <w:rsid w:val="007A6FB4"/>
    <w:rsid w:val="007A7604"/>
    <w:rsid w:val="007B125D"/>
    <w:rsid w:val="007B158D"/>
    <w:rsid w:val="007B2033"/>
    <w:rsid w:val="007B2975"/>
    <w:rsid w:val="007B33D2"/>
    <w:rsid w:val="007B3A1C"/>
    <w:rsid w:val="007B4571"/>
    <w:rsid w:val="007B4DC3"/>
    <w:rsid w:val="007B5F6E"/>
    <w:rsid w:val="007B6DE8"/>
    <w:rsid w:val="007B6E79"/>
    <w:rsid w:val="007C0BC3"/>
    <w:rsid w:val="007C2BCC"/>
    <w:rsid w:val="007C3BD3"/>
    <w:rsid w:val="007C3D13"/>
    <w:rsid w:val="007C4DD4"/>
    <w:rsid w:val="007C7003"/>
    <w:rsid w:val="007C712C"/>
    <w:rsid w:val="007D04E8"/>
    <w:rsid w:val="007D0507"/>
    <w:rsid w:val="007D0D1C"/>
    <w:rsid w:val="007D17C7"/>
    <w:rsid w:val="007D1D68"/>
    <w:rsid w:val="007D1DD1"/>
    <w:rsid w:val="007D1E3D"/>
    <w:rsid w:val="007D4CC7"/>
    <w:rsid w:val="007D4E6E"/>
    <w:rsid w:val="007D51DD"/>
    <w:rsid w:val="007D6377"/>
    <w:rsid w:val="007D69E1"/>
    <w:rsid w:val="007D6A5D"/>
    <w:rsid w:val="007D725A"/>
    <w:rsid w:val="007D72DD"/>
    <w:rsid w:val="007D78AF"/>
    <w:rsid w:val="007D799A"/>
    <w:rsid w:val="007E0CDD"/>
    <w:rsid w:val="007E1BEB"/>
    <w:rsid w:val="007E59D4"/>
    <w:rsid w:val="007E6EAB"/>
    <w:rsid w:val="007E7296"/>
    <w:rsid w:val="007E72D9"/>
    <w:rsid w:val="007F0274"/>
    <w:rsid w:val="007F12CD"/>
    <w:rsid w:val="007F1C24"/>
    <w:rsid w:val="007F3380"/>
    <w:rsid w:val="007F3C74"/>
    <w:rsid w:val="007F49DD"/>
    <w:rsid w:val="007F5EE7"/>
    <w:rsid w:val="007F707D"/>
    <w:rsid w:val="007F757C"/>
    <w:rsid w:val="007F75BA"/>
    <w:rsid w:val="00801661"/>
    <w:rsid w:val="0080173B"/>
    <w:rsid w:val="00802B0C"/>
    <w:rsid w:val="00803D5B"/>
    <w:rsid w:val="00805DB5"/>
    <w:rsid w:val="008062BD"/>
    <w:rsid w:val="00807320"/>
    <w:rsid w:val="00807935"/>
    <w:rsid w:val="00807F93"/>
    <w:rsid w:val="008108E2"/>
    <w:rsid w:val="008109AF"/>
    <w:rsid w:val="00810B53"/>
    <w:rsid w:val="0081145A"/>
    <w:rsid w:val="00812DA6"/>
    <w:rsid w:val="00814678"/>
    <w:rsid w:val="0081505A"/>
    <w:rsid w:val="00815B82"/>
    <w:rsid w:val="00815E7F"/>
    <w:rsid w:val="00817109"/>
    <w:rsid w:val="008233B0"/>
    <w:rsid w:val="0082379B"/>
    <w:rsid w:val="00824615"/>
    <w:rsid w:val="00824E78"/>
    <w:rsid w:val="00826EDE"/>
    <w:rsid w:val="00826F90"/>
    <w:rsid w:val="00827283"/>
    <w:rsid w:val="0083230F"/>
    <w:rsid w:val="00832A0B"/>
    <w:rsid w:val="0083477D"/>
    <w:rsid w:val="00837D28"/>
    <w:rsid w:val="008400FE"/>
    <w:rsid w:val="00840E53"/>
    <w:rsid w:val="0084100B"/>
    <w:rsid w:val="0084161D"/>
    <w:rsid w:val="00841E45"/>
    <w:rsid w:val="0084223A"/>
    <w:rsid w:val="0084364A"/>
    <w:rsid w:val="00844133"/>
    <w:rsid w:val="0084589A"/>
    <w:rsid w:val="0085149F"/>
    <w:rsid w:val="00852332"/>
    <w:rsid w:val="00852726"/>
    <w:rsid w:val="008529C4"/>
    <w:rsid w:val="00852AD5"/>
    <w:rsid w:val="00852D3F"/>
    <w:rsid w:val="00853144"/>
    <w:rsid w:val="00856156"/>
    <w:rsid w:val="00857444"/>
    <w:rsid w:val="00857E65"/>
    <w:rsid w:val="00861FE8"/>
    <w:rsid w:val="00862183"/>
    <w:rsid w:val="00862639"/>
    <w:rsid w:val="00863C21"/>
    <w:rsid w:val="00863EA8"/>
    <w:rsid w:val="00864368"/>
    <w:rsid w:val="00865389"/>
    <w:rsid w:val="00865BD0"/>
    <w:rsid w:val="008660BF"/>
    <w:rsid w:val="0086763B"/>
    <w:rsid w:val="00867695"/>
    <w:rsid w:val="00867DB1"/>
    <w:rsid w:val="00870E9F"/>
    <w:rsid w:val="008715E2"/>
    <w:rsid w:val="0087228F"/>
    <w:rsid w:val="00873771"/>
    <w:rsid w:val="00874C34"/>
    <w:rsid w:val="00875CB0"/>
    <w:rsid w:val="0087768F"/>
    <w:rsid w:val="0088024B"/>
    <w:rsid w:val="008802C1"/>
    <w:rsid w:val="00880ED4"/>
    <w:rsid w:val="00883807"/>
    <w:rsid w:val="00885F21"/>
    <w:rsid w:val="00886208"/>
    <w:rsid w:val="00887326"/>
    <w:rsid w:val="0088742D"/>
    <w:rsid w:val="008874B0"/>
    <w:rsid w:val="008879CF"/>
    <w:rsid w:val="0089028E"/>
    <w:rsid w:val="00890A34"/>
    <w:rsid w:val="008911FC"/>
    <w:rsid w:val="00891708"/>
    <w:rsid w:val="00891A03"/>
    <w:rsid w:val="00892213"/>
    <w:rsid w:val="0089268E"/>
    <w:rsid w:val="00892F9F"/>
    <w:rsid w:val="008934C7"/>
    <w:rsid w:val="00895693"/>
    <w:rsid w:val="0089600B"/>
    <w:rsid w:val="008A13C0"/>
    <w:rsid w:val="008A1501"/>
    <w:rsid w:val="008A1A66"/>
    <w:rsid w:val="008A263A"/>
    <w:rsid w:val="008A2D62"/>
    <w:rsid w:val="008A3428"/>
    <w:rsid w:val="008A3834"/>
    <w:rsid w:val="008A3F5A"/>
    <w:rsid w:val="008A7414"/>
    <w:rsid w:val="008B039E"/>
    <w:rsid w:val="008B1F00"/>
    <w:rsid w:val="008B2239"/>
    <w:rsid w:val="008B2446"/>
    <w:rsid w:val="008B333D"/>
    <w:rsid w:val="008B351C"/>
    <w:rsid w:val="008B47ED"/>
    <w:rsid w:val="008B6EDB"/>
    <w:rsid w:val="008C1649"/>
    <w:rsid w:val="008C1B09"/>
    <w:rsid w:val="008C2E7B"/>
    <w:rsid w:val="008C3389"/>
    <w:rsid w:val="008C35F5"/>
    <w:rsid w:val="008C3B3E"/>
    <w:rsid w:val="008C462C"/>
    <w:rsid w:val="008C4831"/>
    <w:rsid w:val="008C486C"/>
    <w:rsid w:val="008C5778"/>
    <w:rsid w:val="008D094C"/>
    <w:rsid w:val="008D0AD6"/>
    <w:rsid w:val="008D288A"/>
    <w:rsid w:val="008D3C76"/>
    <w:rsid w:val="008D40FE"/>
    <w:rsid w:val="008D44A6"/>
    <w:rsid w:val="008D5502"/>
    <w:rsid w:val="008D6764"/>
    <w:rsid w:val="008D6AE9"/>
    <w:rsid w:val="008D792D"/>
    <w:rsid w:val="008E13D5"/>
    <w:rsid w:val="008E3C9E"/>
    <w:rsid w:val="008E4205"/>
    <w:rsid w:val="008E4365"/>
    <w:rsid w:val="008E440F"/>
    <w:rsid w:val="008E459D"/>
    <w:rsid w:val="008E605F"/>
    <w:rsid w:val="008E7754"/>
    <w:rsid w:val="008F019A"/>
    <w:rsid w:val="008F3F27"/>
    <w:rsid w:val="008F425C"/>
    <w:rsid w:val="008F5D87"/>
    <w:rsid w:val="008F6541"/>
    <w:rsid w:val="008F669A"/>
    <w:rsid w:val="008F6AFA"/>
    <w:rsid w:val="008F7C92"/>
    <w:rsid w:val="008F7D1A"/>
    <w:rsid w:val="009002CF"/>
    <w:rsid w:val="009019EB"/>
    <w:rsid w:val="00902097"/>
    <w:rsid w:val="00903445"/>
    <w:rsid w:val="009035A2"/>
    <w:rsid w:val="00903CAD"/>
    <w:rsid w:val="00904331"/>
    <w:rsid w:val="00904F2D"/>
    <w:rsid w:val="009063E7"/>
    <w:rsid w:val="00907B36"/>
    <w:rsid w:val="00911E6D"/>
    <w:rsid w:val="00911EC2"/>
    <w:rsid w:val="0091372B"/>
    <w:rsid w:val="00913AFB"/>
    <w:rsid w:val="009172A2"/>
    <w:rsid w:val="00917857"/>
    <w:rsid w:val="00917F98"/>
    <w:rsid w:val="009219BC"/>
    <w:rsid w:val="00922280"/>
    <w:rsid w:val="009232BB"/>
    <w:rsid w:val="00923DFD"/>
    <w:rsid w:val="00924527"/>
    <w:rsid w:val="00924F37"/>
    <w:rsid w:val="0092562D"/>
    <w:rsid w:val="00926352"/>
    <w:rsid w:val="00931AE8"/>
    <w:rsid w:val="00933D0C"/>
    <w:rsid w:val="00933EA0"/>
    <w:rsid w:val="00934086"/>
    <w:rsid w:val="0093431C"/>
    <w:rsid w:val="009356E6"/>
    <w:rsid w:val="0093634D"/>
    <w:rsid w:val="00937C7C"/>
    <w:rsid w:val="0094096B"/>
    <w:rsid w:val="0094184E"/>
    <w:rsid w:val="00942355"/>
    <w:rsid w:val="00942C97"/>
    <w:rsid w:val="00943512"/>
    <w:rsid w:val="00943B3E"/>
    <w:rsid w:val="00944743"/>
    <w:rsid w:val="00944AD4"/>
    <w:rsid w:val="00944E03"/>
    <w:rsid w:val="009455C7"/>
    <w:rsid w:val="00945A5A"/>
    <w:rsid w:val="00945D37"/>
    <w:rsid w:val="0095080A"/>
    <w:rsid w:val="0095401B"/>
    <w:rsid w:val="009546FA"/>
    <w:rsid w:val="00954CC7"/>
    <w:rsid w:val="009550FB"/>
    <w:rsid w:val="00960F09"/>
    <w:rsid w:val="00961025"/>
    <w:rsid w:val="00961C89"/>
    <w:rsid w:val="00963B98"/>
    <w:rsid w:val="00963E8A"/>
    <w:rsid w:val="0096408B"/>
    <w:rsid w:val="0096523F"/>
    <w:rsid w:val="0096541D"/>
    <w:rsid w:val="0096577B"/>
    <w:rsid w:val="0096586A"/>
    <w:rsid w:val="00967065"/>
    <w:rsid w:val="0096772B"/>
    <w:rsid w:val="009707D3"/>
    <w:rsid w:val="0097147D"/>
    <w:rsid w:val="009717DC"/>
    <w:rsid w:val="00971C84"/>
    <w:rsid w:val="0097408E"/>
    <w:rsid w:val="0097581E"/>
    <w:rsid w:val="00977B42"/>
    <w:rsid w:val="009805B6"/>
    <w:rsid w:val="00980884"/>
    <w:rsid w:val="009812FB"/>
    <w:rsid w:val="00982CA1"/>
    <w:rsid w:val="00983BD8"/>
    <w:rsid w:val="00983EB7"/>
    <w:rsid w:val="009851CF"/>
    <w:rsid w:val="00987241"/>
    <w:rsid w:val="00987B72"/>
    <w:rsid w:val="00990ACE"/>
    <w:rsid w:val="00991C50"/>
    <w:rsid w:val="009932FD"/>
    <w:rsid w:val="009953DA"/>
    <w:rsid w:val="00996A6A"/>
    <w:rsid w:val="0099730A"/>
    <w:rsid w:val="009A01A1"/>
    <w:rsid w:val="009A05B4"/>
    <w:rsid w:val="009A1026"/>
    <w:rsid w:val="009A1635"/>
    <w:rsid w:val="009A26DA"/>
    <w:rsid w:val="009A2F73"/>
    <w:rsid w:val="009A3D54"/>
    <w:rsid w:val="009A5858"/>
    <w:rsid w:val="009A5B9F"/>
    <w:rsid w:val="009A63DE"/>
    <w:rsid w:val="009B0745"/>
    <w:rsid w:val="009B1D19"/>
    <w:rsid w:val="009B2B19"/>
    <w:rsid w:val="009B44FE"/>
    <w:rsid w:val="009B65FF"/>
    <w:rsid w:val="009B6700"/>
    <w:rsid w:val="009C1A76"/>
    <w:rsid w:val="009C1CD0"/>
    <w:rsid w:val="009C2218"/>
    <w:rsid w:val="009C317F"/>
    <w:rsid w:val="009C76CB"/>
    <w:rsid w:val="009D0F9C"/>
    <w:rsid w:val="009D12F8"/>
    <w:rsid w:val="009D15FF"/>
    <w:rsid w:val="009D2660"/>
    <w:rsid w:val="009D2C63"/>
    <w:rsid w:val="009D3830"/>
    <w:rsid w:val="009D39F5"/>
    <w:rsid w:val="009D3AEF"/>
    <w:rsid w:val="009D454F"/>
    <w:rsid w:val="009D47FF"/>
    <w:rsid w:val="009E034E"/>
    <w:rsid w:val="009E0A7A"/>
    <w:rsid w:val="009E24CB"/>
    <w:rsid w:val="009E6421"/>
    <w:rsid w:val="009E6815"/>
    <w:rsid w:val="009E7148"/>
    <w:rsid w:val="009E7514"/>
    <w:rsid w:val="009F04B9"/>
    <w:rsid w:val="009F168F"/>
    <w:rsid w:val="009F19C3"/>
    <w:rsid w:val="009F2DC9"/>
    <w:rsid w:val="009F4180"/>
    <w:rsid w:val="009F4487"/>
    <w:rsid w:val="009F4AF1"/>
    <w:rsid w:val="009F5B28"/>
    <w:rsid w:val="009F5C2E"/>
    <w:rsid w:val="009F6DBF"/>
    <w:rsid w:val="009F757B"/>
    <w:rsid w:val="009F7948"/>
    <w:rsid w:val="00A009F7"/>
    <w:rsid w:val="00A01DFD"/>
    <w:rsid w:val="00A022AC"/>
    <w:rsid w:val="00A0423C"/>
    <w:rsid w:val="00A04CB9"/>
    <w:rsid w:val="00A0505C"/>
    <w:rsid w:val="00A067B2"/>
    <w:rsid w:val="00A06AC4"/>
    <w:rsid w:val="00A0776D"/>
    <w:rsid w:val="00A07E6E"/>
    <w:rsid w:val="00A110CB"/>
    <w:rsid w:val="00A1297B"/>
    <w:rsid w:val="00A1304B"/>
    <w:rsid w:val="00A135C1"/>
    <w:rsid w:val="00A139BE"/>
    <w:rsid w:val="00A13EE0"/>
    <w:rsid w:val="00A140FC"/>
    <w:rsid w:val="00A14D57"/>
    <w:rsid w:val="00A14EBE"/>
    <w:rsid w:val="00A17DAF"/>
    <w:rsid w:val="00A206E5"/>
    <w:rsid w:val="00A20D42"/>
    <w:rsid w:val="00A20E15"/>
    <w:rsid w:val="00A22B19"/>
    <w:rsid w:val="00A22EDD"/>
    <w:rsid w:val="00A23CD6"/>
    <w:rsid w:val="00A24EE6"/>
    <w:rsid w:val="00A27898"/>
    <w:rsid w:val="00A31827"/>
    <w:rsid w:val="00A34B44"/>
    <w:rsid w:val="00A35282"/>
    <w:rsid w:val="00A40F71"/>
    <w:rsid w:val="00A415F5"/>
    <w:rsid w:val="00A41BCB"/>
    <w:rsid w:val="00A41E16"/>
    <w:rsid w:val="00A43832"/>
    <w:rsid w:val="00A43DC1"/>
    <w:rsid w:val="00A4581F"/>
    <w:rsid w:val="00A4595F"/>
    <w:rsid w:val="00A46CF7"/>
    <w:rsid w:val="00A477EC"/>
    <w:rsid w:val="00A50701"/>
    <w:rsid w:val="00A50AE8"/>
    <w:rsid w:val="00A50FD4"/>
    <w:rsid w:val="00A5175B"/>
    <w:rsid w:val="00A522E7"/>
    <w:rsid w:val="00A53356"/>
    <w:rsid w:val="00A540FA"/>
    <w:rsid w:val="00A553B3"/>
    <w:rsid w:val="00A5586F"/>
    <w:rsid w:val="00A560B4"/>
    <w:rsid w:val="00A5672A"/>
    <w:rsid w:val="00A57653"/>
    <w:rsid w:val="00A57AA2"/>
    <w:rsid w:val="00A60679"/>
    <w:rsid w:val="00A62591"/>
    <w:rsid w:val="00A6391F"/>
    <w:rsid w:val="00A639F6"/>
    <w:rsid w:val="00A640C6"/>
    <w:rsid w:val="00A66BE6"/>
    <w:rsid w:val="00A67BF2"/>
    <w:rsid w:val="00A67DE3"/>
    <w:rsid w:val="00A70002"/>
    <w:rsid w:val="00A700DC"/>
    <w:rsid w:val="00A70891"/>
    <w:rsid w:val="00A72156"/>
    <w:rsid w:val="00A72211"/>
    <w:rsid w:val="00A73EE2"/>
    <w:rsid w:val="00A740FB"/>
    <w:rsid w:val="00A74173"/>
    <w:rsid w:val="00A746A3"/>
    <w:rsid w:val="00A74B20"/>
    <w:rsid w:val="00A74C43"/>
    <w:rsid w:val="00A74D3D"/>
    <w:rsid w:val="00A74F9C"/>
    <w:rsid w:val="00A771A3"/>
    <w:rsid w:val="00A80F72"/>
    <w:rsid w:val="00A81798"/>
    <w:rsid w:val="00A83A12"/>
    <w:rsid w:val="00A83F83"/>
    <w:rsid w:val="00A84669"/>
    <w:rsid w:val="00A850BE"/>
    <w:rsid w:val="00A856C5"/>
    <w:rsid w:val="00A863DD"/>
    <w:rsid w:val="00A9096F"/>
    <w:rsid w:val="00A90B18"/>
    <w:rsid w:val="00A921F2"/>
    <w:rsid w:val="00A92E4A"/>
    <w:rsid w:val="00A93ADD"/>
    <w:rsid w:val="00A944D2"/>
    <w:rsid w:val="00A947D5"/>
    <w:rsid w:val="00A96260"/>
    <w:rsid w:val="00A96EE8"/>
    <w:rsid w:val="00AA030E"/>
    <w:rsid w:val="00AA3143"/>
    <w:rsid w:val="00AA37B0"/>
    <w:rsid w:val="00AA3C98"/>
    <w:rsid w:val="00AA3F9B"/>
    <w:rsid w:val="00AA42C7"/>
    <w:rsid w:val="00AA49CC"/>
    <w:rsid w:val="00AA5C83"/>
    <w:rsid w:val="00AA66B6"/>
    <w:rsid w:val="00AA6A0B"/>
    <w:rsid w:val="00AA7670"/>
    <w:rsid w:val="00AB5926"/>
    <w:rsid w:val="00AB758B"/>
    <w:rsid w:val="00AC0D28"/>
    <w:rsid w:val="00AC1327"/>
    <w:rsid w:val="00AC153F"/>
    <w:rsid w:val="00AC1A60"/>
    <w:rsid w:val="00AC2340"/>
    <w:rsid w:val="00AC3FD1"/>
    <w:rsid w:val="00AC424A"/>
    <w:rsid w:val="00AC5810"/>
    <w:rsid w:val="00AC5FFB"/>
    <w:rsid w:val="00AC695E"/>
    <w:rsid w:val="00AD0933"/>
    <w:rsid w:val="00AD210E"/>
    <w:rsid w:val="00AD2370"/>
    <w:rsid w:val="00AD28B6"/>
    <w:rsid w:val="00AD303A"/>
    <w:rsid w:val="00AD441C"/>
    <w:rsid w:val="00AD4FDE"/>
    <w:rsid w:val="00AD6904"/>
    <w:rsid w:val="00AD694B"/>
    <w:rsid w:val="00AE2548"/>
    <w:rsid w:val="00AE3B00"/>
    <w:rsid w:val="00AE42D3"/>
    <w:rsid w:val="00AE46C1"/>
    <w:rsid w:val="00AE5870"/>
    <w:rsid w:val="00AE5CBA"/>
    <w:rsid w:val="00AE630A"/>
    <w:rsid w:val="00AE6B42"/>
    <w:rsid w:val="00AE782E"/>
    <w:rsid w:val="00AE7BC9"/>
    <w:rsid w:val="00AF0CED"/>
    <w:rsid w:val="00AF31BD"/>
    <w:rsid w:val="00AF3C70"/>
    <w:rsid w:val="00AF3D89"/>
    <w:rsid w:val="00AF5A26"/>
    <w:rsid w:val="00AF6438"/>
    <w:rsid w:val="00AF6972"/>
    <w:rsid w:val="00AF79AE"/>
    <w:rsid w:val="00B0131C"/>
    <w:rsid w:val="00B01F1C"/>
    <w:rsid w:val="00B02D24"/>
    <w:rsid w:val="00B02EA7"/>
    <w:rsid w:val="00B031CB"/>
    <w:rsid w:val="00B0495D"/>
    <w:rsid w:val="00B058B5"/>
    <w:rsid w:val="00B059B1"/>
    <w:rsid w:val="00B07171"/>
    <w:rsid w:val="00B073BC"/>
    <w:rsid w:val="00B07739"/>
    <w:rsid w:val="00B07C8A"/>
    <w:rsid w:val="00B10013"/>
    <w:rsid w:val="00B10322"/>
    <w:rsid w:val="00B10E1E"/>
    <w:rsid w:val="00B11E3E"/>
    <w:rsid w:val="00B11F0D"/>
    <w:rsid w:val="00B11FF9"/>
    <w:rsid w:val="00B1217E"/>
    <w:rsid w:val="00B12333"/>
    <w:rsid w:val="00B13A91"/>
    <w:rsid w:val="00B1419C"/>
    <w:rsid w:val="00B1687F"/>
    <w:rsid w:val="00B20276"/>
    <w:rsid w:val="00B20963"/>
    <w:rsid w:val="00B212CC"/>
    <w:rsid w:val="00B22C33"/>
    <w:rsid w:val="00B24110"/>
    <w:rsid w:val="00B2434A"/>
    <w:rsid w:val="00B24C1A"/>
    <w:rsid w:val="00B2508D"/>
    <w:rsid w:val="00B25528"/>
    <w:rsid w:val="00B258C4"/>
    <w:rsid w:val="00B30AD4"/>
    <w:rsid w:val="00B30FF4"/>
    <w:rsid w:val="00B31AF4"/>
    <w:rsid w:val="00B31EC3"/>
    <w:rsid w:val="00B3265D"/>
    <w:rsid w:val="00B33198"/>
    <w:rsid w:val="00B333F3"/>
    <w:rsid w:val="00B3381D"/>
    <w:rsid w:val="00B345E0"/>
    <w:rsid w:val="00B34FF6"/>
    <w:rsid w:val="00B354FD"/>
    <w:rsid w:val="00B400C5"/>
    <w:rsid w:val="00B4010B"/>
    <w:rsid w:val="00B41CCB"/>
    <w:rsid w:val="00B43B34"/>
    <w:rsid w:val="00B44E02"/>
    <w:rsid w:val="00B450DE"/>
    <w:rsid w:val="00B46ADF"/>
    <w:rsid w:val="00B46B89"/>
    <w:rsid w:val="00B50697"/>
    <w:rsid w:val="00B50A8B"/>
    <w:rsid w:val="00B51BFB"/>
    <w:rsid w:val="00B52619"/>
    <w:rsid w:val="00B531F8"/>
    <w:rsid w:val="00B53DC3"/>
    <w:rsid w:val="00B54B48"/>
    <w:rsid w:val="00B564FD"/>
    <w:rsid w:val="00B56C2B"/>
    <w:rsid w:val="00B56E20"/>
    <w:rsid w:val="00B57BD7"/>
    <w:rsid w:val="00B61D63"/>
    <w:rsid w:val="00B63CA4"/>
    <w:rsid w:val="00B644CE"/>
    <w:rsid w:val="00B6478F"/>
    <w:rsid w:val="00B64E75"/>
    <w:rsid w:val="00B66126"/>
    <w:rsid w:val="00B67C85"/>
    <w:rsid w:val="00B705B5"/>
    <w:rsid w:val="00B70714"/>
    <w:rsid w:val="00B70C75"/>
    <w:rsid w:val="00B717DC"/>
    <w:rsid w:val="00B720E3"/>
    <w:rsid w:val="00B727EA"/>
    <w:rsid w:val="00B73403"/>
    <w:rsid w:val="00B739A7"/>
    <w:rsid w:val="00B73E0B"/>
    <w:rsid w:val="00B77287"/>
    <w:rsid w:val="00B820ED"/>
    <w:rsid w:val="00B833F4"/>
    <w:rsid w:val="00B8363B"/>
    <w:rsid w:val="00B85EF8"/>
    <w:rsid w:val="00B8668D"/>
    <w:rsid w:val="00B8687E"/>
    <w:rsid w:val="00B86D63"/>
    <w:rsid w:val="00B877E8"/>
    <w:rsid w:val="00B902DB"/>
    <w:rsid w:val="00B90445"/>
    <w:rsid w:val="00B90CE7"/>
    <w:rsid w:val="00B951D3"/>
    <w:rsid w:val="00B95A0E"/>
    <w:rsid w:val="00B95D82"/>
    <w:rsid w:val="00B96341"/>
    <w:rsid w:val="00B96AD3"/>
    <w:rsid w:val="00B97977"/>
    <w:rsid w:val="00B97F02"/>
    <w:rsid w:val="00BA148F"/>
    <w:rsid w:val="00BA252C"/>
    <w:rsid w:val="00BA36F9"/>
    <w:rsid w:val="00BA45F4"/>
    <w:rsid w:val="00BA4DE2"/>
    <w:rsid w:val="00BA6A79"/>
    <w:rsid w:val="00BA6D65"/>
    <w:rsid w:val="00BA7C9F"/>
    <w:rsid w:val="00BB0ACD"/>
    <w:rsid w:val="00BB1514"/>
    <w:rsid w:val="00BB1A45"/>
    <w:rsid w:val="00BB241A"/>
    <w:rsid w:val="00BB27C8"/>
    <w:rsid w:val="00BB377E"/>
    <w:rsid w:val="00BB3868"/>
    <w:rsid w:val="00BB449E"/>
    <w:rsid w:val="00BB5155"/>
    <w:rsid w:val="00BB5419"/>
    <w:rsid w:val="00BB578C"/>
    <w:rsid w:val="00BB6398"/>
    <w:rsid w:val="00BB72E5"/>
    <w:rsid w:val="00BB77C6"/>
    <w:rsid w:val="00BB7AA9"/>
    <w:rsid w:val="00BB7CD1"/>
    <w:rsid w:val="00BC206C"/>
    <w:rsid w:val="00BC2B2E"/>
    <w:rsid w:val="00BC2C8E"/>
    <w:rsid w:val="00BC3AEC"/>
    <w:rsid w:val="00BC3B06"/>
    <w:rsid w:val="00BC4506"/>
    <w:rsid w:val="00BC4F53"/>
    <w:rsid w:val="00BC55AE"/>
    <w:rsid w:val="00BC6B41"/>
    <w:rsid w:val="00BC7726"/>
    <w:rsid w:val="00BC784D"/>
    <w:rsid w:val="00BD00F3"/>
    <w:rsid w:val="00BD049D"/>
    <w:rsid w:val="00BD04F0"/>
    <w:rsid w:val="00BD068D"/>
    <w:rsid w:val="00BD11D3"/>
    <w:rsid w:val="00BD2170"/>
    <w:rsid w:val="00BD25B3"/>
    <w:rsid w:val="00BD3BC3"/>
    <w:rsid w:val="00BD438B"/>
    <w:rsid w:val="00BD4C0D"/>
    <w:rsid w:val="00BD638A"/>
    <w:rsid w:val="00BD6483"/>
    <w:rsid w:val="00BE067C"/>
    <w:rsid w:val="00BE07A0"/>
    <w:rsid w:val="00BE19AE"/>
    <w:rsid w:val="00BE20E2"/>
    <w:rsid w:val="00BE405F"/>
    <w:rsid w:val="00BE4129"/>
    <w:rsid w:val="00BE44E8"/>
    <w:rsid w:val="00BE471E"/>
    <w:rsid w:val="00BE5314"/>
    <w:rsid w:val="00BE5F2B"/>
    <w:rsid w:val="00BE66CD"/>
    <w:rsid w:val="00BE76E2"/>
    <w:rsid w:val="00BF0819"/>
    <w:rsid w:val="00BF0C84"/>
    <w:rsid w:val="00BF1F84"/>
    <w:rsid w:val="00BF2121"/>
    <w:rsid w:val="00BF3222"/>
    <w:rsid w:val="00BF3325"/>
    <w:rsid w:val="00BF3445"/>
    <w:rsid w:val="00BF3821"/>
    <w:rsid w:val="00BF60AE"/>
    <w:rsid w:val="00BF6496"/>
    <w:rsid w:val="00BF6DA5"/>
    <w:rsid w:val="00BF6E09"/>
    <w:rsid w:val="00C00750"/>
    <w:rsid w:val="00C03817"/>
    <w:rsid w:val="00C03ED8"/>
    <w:rsid w:val="00C040B6"/>
    <w:rsid w:val="00C04C8F"/>
    <w:rsid w:val="00C07536"/>
    <w:rsid w:val="00C07842"/>
    <w:rsid w:val="00C07925"/>
    <w:rsid w:val="00C07934"/>
    <w:rsid w:val="00C101CD"/>
    <w:rsid w:val="00C1205B"/>
    <w:rsid w:val="00C1212A"/>
    <w:rsid w:val="00C12356"/>
    <w:rsid w:val="00C13EF5"/>
    <w:rsid w:val="00C1583D"/>
    <w:rsid w:val="00C17027"/>
    <w:rsid w:val="00C1740C"/>
    <w:rsid w:val="00C17609"/>
    <w:rsid w:val="00C17F41"/>
    <w:rsid w:val="00C20367"/>
    <w:rsid w:val="00C20D08"/>
    <w:rsid w:val="00C232BC"/>
    <w:rsid w:val="00C24074"/>
    <w:rsid w:val="00C2493B"/>
    <w:rsid w:val="00C2544A"/>
    <w:rsid w:val="00C25ADA"/>
    <w:rsid w:val="00C26995"/>
    <w:rsid w:val="00C27678"/>
    <w:rsid w:val="00C30504"/>
    <w:rsid w:val="00C308B6"/>
    <w:rsid w:val="00C31177"/>
    <w:rsid w:val="00C31346"/>
    <w:rsid w:val="00C31DC1"/>
    <w:rsid w:val="00C33162"/>
    <w:rsid w:val="00C34216"/>
    <w:rsid w:val="00C3460D"/>
    <w:rsid w:val="00C349E0"/>
    <w:rsid w:val="00C36950"/>
    <w:rsid w:val="00C41797"/>
    <w:rsid w:val="00C4452D"/>
    <w:rsid w:val="00C462AD"/>
    <w:rsid w:val="00C47DC3"/>
    <w:rsid w:val="00C5109A"/>
    <w:rsid w:val="00C51755"/>
    <w:rsid w:val="00C51E13"/>
    <w:rsid w:val="00C52765"/>
    <w:rsid w:val="00C52FBC"/>
    <w:rsid w:val="00C53DB6"/>
    <w:rsid w:val="00C54167"/>
    <w:rsid w:val="00C541FB"/>
    <w:rsid w:val="00C54B89"/>
    <w:rsid w:val="00C54EB8"/>
    <w:rsid w:val="00C57E71"/>
    <w:rsid w:val="00C60816"/>
    <w:rsid w:val="00C60F04"/>
    <w:rsid w:val="00C61B31"/>
    <w:rsid w:val="00C61F0D"/>
    <w:rsid w:val="00C62285"/>
    <w:rsid w:val="00C635D2"/>
    <w:rsid w:val="00C63C49"/>
    <w:rsid w:val="00C63D09"/>
    <w:rsid w:val="00C6407F"/>
    <w:rsid w:val="00C652DC"/>
    <w:rsid w:val="00C65F2F"/>
    <w:rsid w:val="00C662A5"/>
    <w:rsid w:val="00C67595"/>
    <w:rsid w:val="00C677E7"/>
    <w:rsid w:val="00C720E4"/>
    <w:rsid w:val="00C758F9"/>
    <w:rsid w:val="00C76EBA"/>
    <w:rsid w:val="00C77E32"/>
    <w:rsid w:val="00C803CE"/>
    <w:rsid w:val="00C8084B"/>
    <w:rsid w:val="00C819F9"/>
    <w:rsid w:val="00C81F22"/>
    <w:rsid w:val="00C82BC8"/>
    <w:rsid w:val="00C85AA3"/>
    <w:rsid w:val="00C85E77"/>
    <w:rsid w:val="00C86B5C"/>
    <w:rsid w:val="00C86E6D"/>
    <w:rsid w:val="00C9092A"/>
    <w:rsid w:val="00C911D4"/>
    <w:rsid w:val="00C91287"/>
    <w:rsid w:val="00C93521"/>
    <w:rsid w:val="00C93888"/>
    <w:rsid w:val="00C93BB4"/>
    <w:rsid w:val="00C94090"/>
    <w:rsid w:val="00C947AD"/>
    <w:rsid w:val="00C949CB"/>
    <w:rsid w:val="00C94D3F"/>
    <w:rsid w:val="00C96459"/>
    <w:rsid w:val="00C96E38"/>
    <w:rsid w:val="00C9731B"/>
    <w:rsid w:val="00C97C92"/>
    <w:rsid w:val="00CA0401"/>
    <w:rsid w:val="00CA0A89"/>
    <w:rsid w:val="00CA0B59"/>
    <w:rsid w:val="00CA1375"/>
    <w:rsid w:val="00CA179C"/>
    <w:rsid w:val="00CA48F1"/>
    <w:rsid w:val="00CA4C9C"/>
    <w:rsid w:val="00CA55D0"/>
    <w:rsid w:val="00CA5B1E"/>
    <w:rsid w:val="00CA6289"/>
    <w:rsid w:val="00CA7C4D"/>
    <w:rsid w:val="00CB2777"/>
    <w:rsid w:val="00CB333C"/>
    <w:rsid w:val="00CB478B"/>
    <w:rsid w:val="00CB54C8"/>
    <w:rsid w:val="00CB6525"/>
    <w:rsid w:val="00CB728B"/>
    <w:rsid w:val="00CC027E"/>
    <w:rsid w:val="00CC2027"/>
    <w:rsid w:val="00CC26F5"/>
    <w:rsid w:val="00CC2C1B"/>
    <w:rsid w:val="00CC3B42"/>
    <w:rsid w:val="00CC42AB"/>
    <w:rsid w:val="00CC44F4"/>
    <w:rsid w:val="00CC66B9"/>
    <w:rsid w:val="00CC6847"/>
    <w:rsid w:val="00CC6D78"/>
    <w:rsid w:val="00CC7F58"/>
    <w:rsid w:val="00CD088F"/>
    <w:rsid w:val="00CD186C"/>
    <w:rsid w:val="00CD1FC9"/>
    <w:rsid w:val="00CD1FE4"/>
    <w:rsid w:val="00CD2E19"/>
    <w:rsid w:val="00CD2FC2"/>
    <w:rsid w:val="00CD3717"/>
    <w:rsid w:val="00CD3A53"/>
    <w:rsid w:val="00CD3B17"/>
    <w:rsid w:val="00CD3BC9"/>
    <w:rsid w:val="00CD4DF8"/>
    <w:rsid w:val="00CE0432"/>
    <w:rsid w:val="00CE0C86"/>
    <w:rsid w:val="00CE14CE"/>
    <w:rsid w:val="00CE1C4C"/>
    <w:rsid w:val="00CE3A57"/>
    <w:rsid w:val="00CE6F12"/>
    <w:rsid w:val="00CE743A"/>
    <w:rsid w:val="00CE7812"/>
    <w:rsid w:val="00CF08D3"/>
    <w:rsid w:val="00CF0EA2"/>
    <w:rsid w:val="00CF1299"/>
    <w:rsid w:val="00CF29E3"/>
    <w:rsid w:val="00CF34B8"/>
    <w:rsid w:val="00CF4957"/>
    <w:rsid w:val="00CF6FCE"/>
    <w:rsid w:val="00CF7043"/>
    <w:rsid w:val="00CF727C"/>
    <w:rsid w:val="00CF754D"/>
    <w:rsid w:val="00CF77E7"/>
    <w:rsid w:val="00D02675"/>
    <w:rsid w:val="00D02DFC"/>
    <w:rsid w:val="00D02EE4"/>
    <w:rsid w:val="00D04651"/>
    <w:rsid w:val="00D04E21"/>
    <w:rsid w:val="00D073F3"/>
    <w:rsid w:val="00D077B7"/>
    <w:rsid w:val="00D10427"/>
    <w:rsid w:val="00D1066A"/>
    <w:rsid w:val="00D10A35"/>
    <w:rsid w:val="00D10ED1"/>
    <w:rsid w:val="00D11DA0"/>
    <w:rsid w:val="00D1209F"/>
    <w:rsid w:val="00D12713"/>
    <w:rsid w:val="00D12EC1"/>
    <w:rsid w:val="00D138E6"/>
    <w:rsid w:val="00D16327"/>
    <w:rsid w:val="00D166EA"/>
    <w:rsid w:val="00D16CFB"/>
    <w:rsid w:val="00D16DE6"/>
    <w:rsid w:val="00D17BA4"/>
    <w:rsid w:val="00D208A6"/>
    <w:rsid w:val="00D20EAC"/>
    <w:rsid w:val="00D213E6"/>
    <w:rsid w:val="00D213F4"/>
    <w:rsid w:val="00D22F77"/>
    <w:rsid w:val="00D243A2"/>
    <w:rsid w:val="00D25DF2"/>
    <w:rsid w:val="00D26BAA"/>
    <w:rsid w:val="00D2720E"/>
    <w:rsid w:val="00D2788C"/>
    <w:rsid w:val="00D30090"/>
    <w:rsid w:val="00D31123"/>
    <w:rsid w:val="00D31B8D"/>
    <w:rsid w:val="00D3309D"/>
    <w:rsid w:val="00D351A2"/>
    <w:rsid w:val="00D36209"/>
    <w:rsid w:val="00D36496"/>
    <w:rsid w:val="00D370DD"/>
    <w:rsid w:val="00D37D21"/>
    <w:rsid w:val="00D40186"/>
    <w:rsid w:val="00D40A92"/>
    <w:rsid w:val="00D460AC"/>
    <w:rsid w:val="00D460E5"/>
    <w:rsid w:val="00D46CD3"/>
    <w:rsid w:val="00D46D80"/>
    <w:rsid w:val="00D479A4"/>
    <w:rsid w:val="00D506E1"/>
    <w:rsid w:val="00D50CFD"/>
    <w:rsid w:val="00D510E0"/>
    <w:rsid w:val="00D52F53"/>
    <w:rsid w:val="00D534E2"/>
    <w:rsid w:val="00D5534B"/>
    <w:rsid w:val="00D56E13"/>
    <w:rsid w:val="00D570F4"/>
    <w:rsid w:val="00D607C2"/>
    <w:rsid w:val="00D60B78"/>
    <w:rsid w:val="00D61068"/>
    <w:rsid w:val="00D61199"/>
    <w:rsid w:val="00D61F40"/>
    <w:rsid w:val="00D622EC"/>
    <w:rsid w:val="00D623AF"/>
    <w:rsid w:val="00D64673"/>
    <w:rsid w:val="00D64982"/>
    <w:rsid w:val="00D65953"/>
    <w:rsid w:val="00D65A78"/>
    <w:rsid w:val="00D71C7E"/>
    <w:rsid w:val="00D71E3A"/>
    <w:rsid w:val="00D73444"/>
    <w:rsid w:val="00D73633"/>
    <w:rsid w:val="00D73FDF"/>
    <w:rsid w:val="00D75813"/>
    <w:rsid w:val="00D76018"/>
    <w:rsid w:val="00D76083"/>
    <w:rsid w:val="00D76A87"/>
    <w:rsid w:val="00D76F54"/>
    <w:rsid w:val="00D7779A"/>
    <w:rsid w:val="00D8040E"/>
    <w:rsid w:val="00D808AE"/>
    <w:rsid w:val="00D82051"/>
    <w:rsid w:val="00D83251"/>
    <w:rsid w:val="00D85744"/>
    <w:rsid w:val="00D863F8"/>
    <w:rsid w:val="00D90682"/>
    <w:rsid w:val="00D90FDA"/>
    <w:rsid w:val="00D92D20"/>
    <w:rsid w:val="00D92FAC"/>
    <w:rsid w:val="00D943A3"/>
    <w:rsid w:val="00D96D49"/>
    <w:rsid w:val="00D97408"/>
    <w:rsid w:val="00D9761B"/>
    <w:rsid w:val="00D9780E"/>
    <w:rsid w:val="00DA049C"/>
    <w:rsid w:val="00DA1430"/>
    <w:rsid w:val="00DA2F03"/>
    <w:rsid w:val="00DA3A74"/>
    <w:rsid w:val="00DA4AB1"/>
    <w:rsid w:val="00DA4E28"/>
    <w:rsid w:val="00DA657E"/>
    <w:rsid w:val="00DA68F6"/>
    <w:rsid w:val="00DA6D2D"/>
    <w:rsid w:val="00DA6F72"/>
    <w:rsid w:val="00DB03D9"/>
    <w:rsid w:val="00DB0ED2"/>
    <w:rsid w:val="00DB1159"/>
    <w:rsid w:val="00DB3587"/>
    <w:rsid w:val="00DB4DC9"/>
    <w:rsid w:val="00DB52EA"/>
    <w:rsid w:val="00DB5427"/>
    <w:rsid w:val="00DB5510"/>
    <w:rsid w:val="00DB5A66"/>
    <w:rsid w:val="00DB7330"/>
    <w:rsid w:val="00DB7BD6"/>
    <w:rsid w:val="00DC01CF"/>
    <w:rsid w:val="00DC0304"/>
    <w:rsid w:val="00DC05AA"/>
    <w:rsid w:val="00DC05C9"/>
    <w:rsid w:val="00DC07E6"/>
    <w:rsid w:val="00DC1625"/>
    <w:rsid w:val="00DC2245"/>
    <w:rsid w:val="00DC3292"/>
    <w:rsid w:val="00DC34CA"/>
    <w:rsid w:val="00DC3758"/>
    <w:rsid w:val="00DC5EF3"/>
    <w:rsid w:val="00DC7EE0"/>
    <w:rsid w:val="00DD1CB4"/>
    <w:rsid w:val="00DD1D88"/>
    <w:rsid w:val="00DD1DFE"/>
    <w:rsid w:val="00DD22A5"/>
    <w:rsid w:val="00DD25AF"/>
    <w:rsid w:val="00DD4618"/>
    <w:rsid w:val="00DD4911"/>
    <w:rsid w:val="00DD4FA5"/>
    <w:rsid w:val="00DD6099"/>
    <w:rsid w:val="00DD63EA"/>
    <w:rsid w:val="00DD708E"/>
    <w:rsid w:val="00DD7942"/>
    <w:rsid w:val="00DE0F91"/>
    <w:rsid w:val="00DE1EB2"/>
    <w:rsid w:val="00DE260A"/>
    <w:rsid w:val="00DE3126"/>
    <w:rsid w:val="00DE3142"/>
    <w:rsid w:val="00DE3271"/>
    <w:rsid w:val="00DE4336"/>
    <w:rsid w:val="00DE4F7E"/>
    <w:rsid w:val="00DE51AF"/>
    <w:rsid w:val="00DE54A2"/>
    <w:rsid w:val="00DE54E1"/>
    <w:rsid w:val="00DE60D8"/>
    <w:rsid w:val="00DE6415"/>
    <w:rsid w:val="00DE6BFE"/>
    <w:rsid w:val="00DE75CE"/>
    <w:rsid w:val="00DF02CF"/>
    <w:rsid w:val="00DF054C"/>
    <w:rsid w:val="00DF0696"/>
    <w:rsid w:val="00DF10DE"/>
    <w:rsid w:val="00DF2554"/>
    <w:rsid w:val="00DF42F2"/>
    <w:rsid w:val="00DF4BFB"/>
    <w:rsid w:val="00DF51F1"/>
    <w:rsid w:val="00DF5223"/>
    <w:rsid w:val="00DF5E5E"/>
    <w:rsid w:val="00DF665C"/>
    <w:rsid w:val="00DF7250"/>
    <w:rsid w:val="00DF72A5"/>
    <w:rsid w:val="00E00549"/>
    <w:rsid w:val="00E00BCE"/>
    <w:rsid w:val="00E031E4"/>
    <w:rsid w:val="00E04341"/>
    <w:rsid w:val="00E04D37"/>
    <w:rsid w:val="00E04F98"/>
    <w:rsid w:val="00E05BBE"/>
    <w:rsid w:val="00E05C5C"/>
    <w:rsid w:val="00E060D6"/>
    <w:rsid w:val="00E06342"/>
    <w:rsid w:val="00E06AB9"/>
    <w:rsid w:val="00E07ED7"/>
    <w:rsid w:val="00E100B6"/>
    <w:rsid w:val="00E10188"/>
    <w:rsid w:val="00E10C8D"/>
    <w:rsid w:val="00E1153C"/>
    <w:rsid w:val="00E11A31"/>
    <w:rsid w:val="00E11B4B"/>
    <w:rsid w:val="00E13035"/>
    <w:rsid w:val="00E134B3"/>
    <w:rsid w:val="00E1363E"/>
    <w:rsid w:val="00E143C7"/>
    <w:rsid w:val="00E1529C"/>
    <w:rsid w:val="00E1579C"/>
    <w:rsid w:val="00E15D47"/>
    <w:rsid w:val="00E16995"/>
    <w:rsid w:val="00E16DDA"/>
    <w:rsid w:val="00E16FE8"/>
    <w:rsid w:val="00E20949"/>
    <w:rsid w:val="00E21088"/>
    <w:rsid w:val="00E21B5B"/>
    <w:rsid w:val="00E22095"/>
    <w:rsid w:val="00E230CE"/>
    <w:rsid w:val="00E24F6E"/>
    <w:rsid w:val="00E25417"/>
    <w:rsid w:val="00E26FF4"/>
    <w:rsid w:val="00E271C1"/>
    <w:rsid w:val="00E2760F"/>
    <w:rsid w:val="00E27C67"/>
    <w:rsid w:val="00E3064D"/>
    <w:rsid w:val="00E329D2"/>
    <w:rsid w:val="00E33458"/>
    <w:rsid w:val="00E33AFA"/>
    <w:rsid w:val="00E34041"/>
    <w:rsid w:val="00E34D99"/>
    <w:rsid w:val="00E352DF"/>
    <w:rsid w:val="00E36CA0"/>
    <w:rsid w:val="00E37057"/>
    <w:rsid w:val="00E40836"/>
    <w:rsid w:val="00E41464"/>
    <w:rsid w:val="00E4185F"/>
    <w:rsid w:val="00E418A7"/>
    <w:rsid w:val="00E41E7D"/>
    <w:rsid w:val="00E430C1"/>
    <w:rsid w:val="00E4395B"/>
    <w:rsid w:val="00E44086"/>
    <w:rsid w:val="00E4417C"/>
    <w:rsid w:val="00E45518"/>
    <w:rsid w:val="00E45D67"/>
    <w:rsid w:val="00E50D22"/>
    <w:rsid w:val="00E514E1"/>
    <w:rsid w:val="00E51D03"/>
    <w:rsid w:val="00E52070"/>
    <w:rsid w:val="00E547F9"/>
    <w:rsid w:val="00E56118"/>
    <w:rsid w:val="00E56C65"/>
    <w:rsid w:val="00E60023"/>
    <w:rsid w:val="00E600D6"/>
    <w:rsid w:val="00E605AE"/>
    <w:rsid w:val="00E61031"/>
    <w:rsid w:val="00E613A0"/>
    <w:rsid w:val="00E6235E"/>
    <w:rsid w:val="00E636C0"/>
    <w:rsid w:val="00E64383"/>
    <w:rsid w:val="00E66C45"/>
    <w:rsid w:val="00E674E5"/>
    <w:rsid w:val="00E675D0"/>
    <w:rsid w:val="00E702C4"/>
    <w:rsid w:val="00E703A4"/>
    <w:rsid w:val="00E70B8C"/>
    <w:rsid w:val="00E71EFD"/>
    <w:rsid w:val="00E741D5"/>
    <w:rsid w:val="00E74412"/>
    <w:rsid w:val="00E74EEC"/>
    <w:rsid w:val="00E74FFA"/>
    <w:rsid w:val="00E76683"/>
    <w:rsid w:val="00E767D2"/>
    <w:rsid w:val="00E81AB3"/>
    <w:rsid w:val="00E83F56"/>
    <w:rsid w:val="00E8455F"/>
    <w:rsid w:val="00E85A3B"/>
    <w:rsid w:val="00E874B4"/>
    <w:rsid w:val="00E90F8A"/>
    <w:rsid w:val="00E91058"/>
    <w:rsid w:val="00E9259D"/>
    <w:rsid w:val="00E92B74"/>
    <w:rsid w:val="00E93101"/>
    <w:rsid w:val="00E9313E"/>
    <w:rsid w:val="00E93761"/>
    <w:rsid w:val="00E948A5"/>
    <w:rsid w:val="00E95067"/>
    <w:rsid w:val="00E95E3E"/>
    <w:rsid w:val="00E95E76"/>
    <w:rsid w:val="00E962F2"/>
    <w:rsid w:val="00E973D5"/>
    <w:rsid w:val="00EA010D"/>
    <w:rsid w:val="00EA0ED1"/>
    <w:rsid w:val="00EA1523"/>
    <w:rsid w:val="00EA279A"/>
    <w:rsid w:val="00EA2F8B"/>
    <w:rsid w:val="00EA3A1D"/>
    <w:rsid w:val="00EA57D0"/>
    <w:rsid w:val="00EA6445"/>
    <w:rsid w:val="00EA6973"/>
    <w:rsid w:val="00EA70CB"/>
    <w:rsid w:val="00EA7D98"/>
    <w:rsid w:val="00EB2483"/>
    <w:rsid w:val="00EB2F51"/>
    <w:rsid w:val="00EB41DA"/>
    <w:rsid w:val="00EB4759"/>
    <w:rsid w:val="00EB5B14"/>
    <w:rsid w:val="00EB683C"/>
    <w:rsid w:val="00EB734F"/>
    <w:rsid w:val="00EB75C2"/>
    <w:rsid w:val="00EC0019"/>
    <w:rsid w:val="00EC02A2"/>
    <w:rsid w:val="00EC0520"/>
    <w:rsid w:val="00EC070C"/>
    <w:rsid w:val="00EC0E05"/>
    <w:rsid w:val="00EC17B5"/>
    <w:rsid w:val="00EC23BF"/>
    <w:rsid w:val="00EC2428"/>
    <w:rsid w:val="00EC3BFD"/>
    <w:rsid w:val="00EC3E45"/>
    <w:rsid w:val="00EC439B"/>
    <w:rsid w:val="00EC7275"/>
    <w:rsid w:val="00EC7FDD"/>
    <w:rsid w:val="00ED0996"/>
    <w:rsid w:val="00ED1312"/>
    <w:rsid w:val="00ED1A64"/>
    <w:rsid w:val="00ED3E13"/>
    <w:rsid w:val="00ED5F31"/>
    <w:rsid w:val="00ED64EE"/>
    <w:rsid w:val="00EE0049"/>
    <w:rsid w:val="00EE01D0"/>
    <w:rsid w:val="00EE055B"/>
    <w:rsid w:val="00EE05B8"/>
    <w:rsid w:val="00EE0E63"/>
    <w:rsid w:val="00EE10A5"/>
    <w:rsid w:val="00EE1BA6"/>
    <w:rsid w:val="00EE2AC6"/>
    <w:rsid w:val="00EE2EBF"/>
    <w:rsid w:val="00EE5274"/>
    <w:rsid w:val="00EE55CB"/>
    <w:rsid w:val="00EE6081"/>
    <w:rsid w:val="00EE6375"/>
    <w:rsid w:val="00EE6A96"/>
    <w:rsid w:val="00EF05FD"/>
    <w:rsid w:val="00EF1219"/>
    <w:rsid w:val="00EF1B3B"/>
    <w:rsid w:val="00EF231F"/>
    <w:rsid w:val="00EF3C22"/>
    <w:rsid w:val="00EF4657"/>
    <w:rsid w:val="00EF4C37"/>
    <w:rsid w:val="00EF5378"/>
    <w:rsid w:val="00EF54AC"/>
    <w:rsid w:val="00EF59F0"/>
    <w:rsid w:val="00EF6F47"/>
    <w:rsid w:val="00F007BC"/>
    <w:rsid w:val="00F01733"/>
    <w:rsid w:val="00F033F2"/>
    <w:rsid w:val="00F045F2"/>
    <w:rsid w:val="00F051A2"/>
    <w:rsid w:val="00F05AF4"/>
    <w:rsid w:val="00F05C68"/>
    <w:rsid w:val="00F05FD8"/>
    <w:rsid w:val="00F10B41"/>
    <w:rsid w:val="00F10CB6"/>
    <w:rsid w:val="00F113B5"/>
    <w:rsid w:val="00F1154F"/>
    <w:rsid w:val="00F11DDD"/>
    <w:rsid w:val="00F12106"/>
    <w:rsid w:val="00F13231"/>
    <w:rsid w:val="00F15101"/>
    <w:rsid w:val="00F15307"/>
    <w:rsid w:val="00F15AB4"/>
    <w:rsid w:val="00F15D05"/>
    <w:rsid w:val="00F15ED8"/>
    <w:rsid w:val="00F164E6"/>
    <w:rsid w:val="00F16DC2"/>
    <w:rsid w:val="00F16E89"/>
    <w:rsid w:val="00F178C8"/>
    <w:rsid w:val="00F17B63"/>
    <w:rsid w:val="00F20B5D"/>
    <w:rsid w:val="00F21756"/>
    <w:rsid w:val="00F2296F"/>
    <w:rsid w:val="00F22DC4"/>
    <w:rsid w:val="00F24D45"/>
    <w:rsid w:val="00F252E5"/>
    <w:rsid w:val="00F30CF8"/>
    <w:rsid w:val="00F31F04"/>
    <w:rsid w:val="00F34292"/>
    <w:rsid w:val="00F35F54"/>
    <w:rsid w:val="00F362B5"/>
    <w:rsid w:val="00F40A99"/>
    <w:rsid w:val="00F42FEF"/>
    <w:rsid w:val="00F46E21"/>
    <w:rsid w:val="00F4723C"/>
    <w:rsid w:val="00F47F3F"/>
    <w:rsid w:val="00F50D7A"/>
    <w:rsid w:val="00F520A9"/>
    <w:rsid w:val="00F52F66"/>
    <w:rsid w:val="00F53AA0"/>
    <w:rsid w:val="00F54B7A"/>
    <w:rsid w:val="00F5519F"/>
    <w:rsid w:val="00F55B94"/>
    <w:rsid w:val="00F56B89"/>
    <w:rsid w:val="00F5716E"/>
    <w:rsid w:val="00F57471"/>
    <w:rsid w:val="00F57672"/>
    <w:rsid w:val="00F57978"/>
    <w:rsid w:val="00F608E2"/>
    <w:rsid w:val="00F612B1"/>
    <w:rsid w:val="00F61A41"/>
    <w:rsid w:val="00F61E95"/>
    <w:rsid w:val="00F63934"/>
    <w:rsid w:val="00F64DD5"/>
    <w:rsid w:val="00F64F8E"/>
    <w:rsid w:val="00F65ED9"/>
    <w:rsid w:val="00F66501"/>
    <w:rsid w:val="00F7014A"/>
    <w:rsid w:val="00F715BA"/>
    <w:rsid w:val="00F72CAC"/>
    <w:rsid w:val="00F74C4E"/>
    <w:rsid w:val="00F750A2"/>
    <w:rsid w:val="00F76109"/>
    <w:rsid w:val="00F76B24"/>
    <w:rsid w:val="00F76B4C"/>
    <w:rsid w:val="00F7719C"/>
    <w:rsid w:val="00F777F3"/>
    <w:rsid w:val="00F77E08"/>
    <w:rsid w:val="00F80155"/>
    <w:rsid w:val="00F804F9"/>
    <w:rsid w:val="00F8118E"/>
    <w:rsid w:val="00F848DD"/>
    <w:rsid w:val="00F84C34"/>
    <w:rsid w:val="00F8609A"/>
    <w:rsid w:val="00F86B1B"/>
    <w:rsid w:val="00F873D2"/>
    <w:rsid w:val="00F8764E"/>
    <w:rsid w:val="00F877ED"/>
    <w:rsid w:val="00F878A5"/>
    <w:rsid w:val="00F87F71"/>
    <w:rsid w:val="00F90589"/>
    <w:rsid w:val="00F90A8F"/>
    <w:rsid w:val="00F91D2F"/>
    <w:rsid w:val="00F923DE"/>
    <w:rsid w:val="00F9332C"/>
    <w:rsid w:val="00F95529"/>
    <w:rsid w:val="00F966D4"/>
    <w:rsid w:val="00F96CC1"/>
    <w:rsid w:val="00F977F7"/>
    <w:rsid w:val="00FA108E"/>
    <w:rsid w:val="00FA2C7A"/>
    <w:rsid w:val="00FA2F73"/>
    <w:rsid w:val="00FA3EB0"/>
    <w:rsid w:val="00FA49D9"/>
    <w:rsid w:val="00FA4A08"/>
    <w:rsid w:val="00FA4CAB"/>
    <w:rsid w:val="00FA4DB9"/>
    <w:rsid w:val="00FA59B4"/>
    <w:rsid w:val="00FA60BF"/>
    <w:rsid w:val="00FA67E6"/>
    <w:rsid w:val="00FA7D6D"/>
    <w:rsid w:val="00FB06AC"/>
    <w:rsid w:val="00FB13C0"/>
    <w:rsid w:val="00FB204D"/>
    <w:rsid w:val="00FB25FB"/>
    <w:rsid w:val="00FB2AE1"/>
    <w:rsid w:val="00FB36F3"/>
    <w:rsid w:val="00FB4486"/>
    <w:rsid w:val="00FB4BAB"/>
    <w:rsid w:val="00FB4C7F"/>
    <w:rsid w:val="00FB4DFC"/>
    <w:rsid w:val="00FB4E8D"/>
    <w:rsid w:val="00FB6606"/>
    <w:rsid w:val="00FB6C2C"/>
    <w:rsid w:val="00FB6F40"/>
    <w:rsid w:val="00FB6FB1"/>
    <w:rsid w:val="00FB7CD5"/>
    <w:rsid w:val="00FC057E"/>
    <w:rsid w:val="00FC09B6"/>
    <w:rsid w:val="00FC1ED9"/>
    <w:rsid w:val="00FC23EF"/>
    <w:rsid w:val="00FC55B3"/>
    <w:rsid w:val="00FC5B0E"/>
    <w:rsid w:val="00FC5F72"/>
    <w:rsid w:val="00FC692E"/>
    <w:rsid w:val="00FD00AF"/>
    <w:rsid w:val="00FD0635"/>
    <w:rsid w:val="00FD2604"/>
    <w:rsid w:val="00FD2728"/>
    <w:rsid w:val="00FD2A1B"/>
    <w:rsid w:val="00FD326B"/>
    <w:rsid w:val="00FD5416"/>
    <w:rsid w:val="00FD6FA6"/>
    <w:rsid w:val="00FD7CE2"/>
    <w:rsid w:val="00FE0090"/>
    <w:rsid w:val="00FE0490"/>
    <w:rsid w:val="00FE14CB"/>
    <w:rsid w:val="00FE21E3"/>
    <w:rsid w:val="00FE25D0"/>
    <w:rsid w:val="00FE3C8C"/>
    <w:rsid w:val="00FE585E"/>
    <w:rsid w:val="00FE5999"/>
    <w:rsid w:val="00FE5A74"/>
    <w:rsid w:val="00FE6508"/>
    <w:rsid w:val="00FE6905"/>
    <w:rsid w:val="00FE7EE4"/>
    <w:rsid w:val="00FF13A4"/>
    <w:rsid w:val="00FF1496"/>
    <w:rsid w:val="00FF32A1"/>
    <w:rsid w:val="00FF37E9"/>
    <w:rsid w:val="00FF3FA1"/>
    <w:rsid w:val="00FF5D23"/>
    <w:rsid w:val="00FF615D"/>
    <w:rsid w:val="00FF6511"/>
    <w:rsid w:val="00FF6D98"/>
    <w:rsid w:val="00FF7475"/>
    <w:rsid w:val="00FF7D2B"/>
    <w:rsid w:val="01932AE7"/>
    <w:rsid w:val="02AA5B7D"/>
    <w:rsid w:val="05671504"/>
    <w:rsid w:val="05B970E0"/>
    <w:rsid w:val="06311428"/>
    <w:rsid w:val="064C3F14"/>
    <w:rsid w:val="07344756"/>
    <w:rsid w:val="0CDA4765"/>
    <w:rsid w:val="0CE17F47"/>
    <w:rsid w:val="0E697D19"/>
    <w:rsid w:val="0EB86177"/>
    <w:rsid w:val="0F3747BA"/>
    <w:rsid w:val="132B2B4B"/>
    <w:rsid w:val="146411B3"/>
    <w:rsid w:val="146A0CDE"/>
    <w:rsid w:val="14770F16"/>
    <w:rsid w:val="14F52FE5"/>
    <w:rsid w:val="150A0CB5"/>
    <w:rsid w:val="156E4926"/>
    <w:rsid w:val="182E2909"/>
    <w:rsid w:val="1834619F"/>
    <w:rsid w:val="185C1FA2"/>
    <w:rsid w:val="1EEB72DF"/>
    <w:rsid w:val="1FE1254C"/>
    <w:rsid w:val="214B65DE"/>
    <w:rsid w:val="23346271"/>
    <w:rsid w:val="24085B1D"/>
    <w:rsid w:val="25801E28"/>
    <w:rsid w:val="28A112BE"/>
    <w:rsid w:val="29055E8C"/>
    <w:rsid w:val="298248F6"/>
    <w:rsid w:val="2AB772D9"/>
    <w:rsid w:val="2BCA663C"/>
    <w:rsid w:val="2C4172EA"/>
    <w:rsid w:val="3121636C"/>
    <w:rsid w:val="31CF708E"/>
    <w:rsid w:val="32A57649"/>
    <w:rsid w:val="33351062"/>
    <w:rsid w:val="335663E8"/>
    <w:rsid w:val="341E7787"/>
    <w:rsid w:val="36541C94"/>
    <w:rsid w:val="37340B1D"/>
    <w:rsid w:val="37631917"/>
    <w:rsid w:val="37F401F0"/>
    <w:rsid w:val="38A17ABD"/>
    <w:rsid w:val="38F1098C"/>
    <w:rsid w:val="38F50922"/>
    <w:rsid w:val="39C75948"/>
    <w:rsid w:val="3B494567"/>
    <w:rsid w:val="3B6002E9"/>
    <w:rsid w:val="3C7B7C45"/>
    <w:rsid w:val="3D215DC0"/>
    <w:rsid w:val="3E931DC5"/>
    <w:rsid w:val="3EF8725E"/>
    <w:rsid w:val="3F7C70EB"/>
    <w:rsid w:val="3FC93EB4"/>
    <w:rsid w:val="418D1537"/>
    <w:rsid w:val="42DD0C8B"/>
    <w:rsid w:val="435B690C"/>
    <w:rsid w:val="43772C44"/>
    <w:rsid w:val="45235D66"/>
    <w:rsid w:val="454A3D0E"/>
    <w:rsid w:val="459C373C"/>
    <w:rsid w:val="46897320"/>
    <w:rsid w:val="47075239"/>
    <w:rsid w:val="4A7360D3"/>
    <w:rsid w:val="4B3B30DB"/>
    <w:rsid w:val="4B421DA5"/>
    <w:rsid w:val="4CA14F0B"/>
    <w:rsid w:val="4CAB57D4"/>
    <w:rsid w:val="4D893F5F"/>
    <w:rsid w:val="4FA727D4"/>
    <w:rsid w:val="511F7529"/>
    <w:rsid w:val="532D5C78"/>
    <w:rsid w:val="53613E09"/>
    <w:rsid w:val="54E95CD8"/>
    <w:rsid w:val="5508216F"/>
    <w:rsid w:val="559A148B"/>
    <w:rsid w:val="5CFC4F97"/>
    <w:rsid w:val="5D27015D"/>
    <w:rsid w:val="5D5B5065"/>
    <w:rsid w:val="5E7104C8"/>
    <w:rsid w:val="5EB80508"/>
    <w:rsid w:val="5F4106E7"/>
    <w:rsid w:val="61092A40"/>
    <w:rsid w:val="61BE21CF"/>
    <w:rsid w:val="61C82338"/>
    <w:rsid w:val="62700640"/>
    <w:rsid w:val="627D1683"/>
    <w:rsid w:val="628559C8"/>
    <w:rsid w:val="62C90385"/>
    <w:rsid w:val="644C495D"/>
    <w:rsid w:val="65FA31A1"/>
    <w:rsid w:val="66363E64"/>
    <w:rsid w:val="679436C4"/>
    <w:rsid w:val="68C46AF0"/>
    <w:rsid w:val="6C520652"/>
    <w:rsid w:val="6D304694"/>
    <w:rsid w:val="6E9A189F"/>
    <w:rsid w:val="6F0C1E15"/>
    <w:rsid w:val="6FD46890"/>
    <w:rsid w:val="70650505"/>
    <w:rsid w:val="70651D96"/>
    <w:rsid w:val="708C31E6"/>
    <w:rsid w:val="722F3441"/>
    <w:rsid w:val="728237A6"/>
    <w:rsid w:val="734D3F2E"/>
    <w:rsid w:val="737464CA"/>
    <w:rsid w:val="74314DF2"/>
    <w:rsid w:val="748E78D8"/>
    <w:rsid w:val="77396964"/>
    <w:rsid w:val="77C600FB"/>
    <w:rsid w:val="7A560E98"/>
    <w:rsid w:val="7B7A34C4"/>
    <w:rsid w:val="7D6350C7"/>
    <w:rsid w:val="7D6F4CB3"/>
    <w:rsid w:val="7D8B4F86"/>
    <w:rsid w:val="7DC31F48"/>
    <w:rsid w:val="7DF70914"/>
    <w:rsid w:val="7E133FBA"/>
    <w:rsid w:val="7E696E35"/>
    <w:rsid w:val="DFBF4900"/>
    <w:rsid w:val="F7DED5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1"/>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108"/>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121"/>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link w:val="71"/>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115"/>
    <w:qFormat/>
    <w:uiPriority w:val="0"/>
    <w:pPr>
      <w:keepNext/>
      <w:keepLines/>
      <w:spacing w:beforeLines="100" w:afterLines="100" w:line="360" w:lineRule="auto"/>
      <w:outlineLvl w:val="4"/>
    </w:pPr>
    <w:rPr>
      <w:b/>
      <w:bCs/>
      <w:sz w:val="28"/>
      <w:szCs w:val="28"/>
    </w:rPr>
  </w:style>
  <w:style w:type="paragraph" w:styleId="9">
    <w:name w:val="heading 6"/>
    <w:basedOn w:val="1"/>
    <w:next w:val="1"/>
    <w:link w:val="98"/>
    <w:qFormat/>
    <w:uiPriority w:val="9"/>
    <w:pPr>
      <w:keepNext/>
      <w:keepLines/>
      <w:spacing w:beforeLines="100" w:afterLines="100" w:line="360" w:lineRule="auto"/>
      <w:outlineLvl w:val="5"/>
    </w:pPr>
    <w:rPr>
      <w:rFonts w:ascii="Cambria" w:hAnsi="Cambria"/>
      <w:b/>
      <w:bCs/>
      <w:sz w:val="24"/>
    </w:rPr>
  </w:style>
  <w:style w:type="paragraph" w:styleId="10">
    <w:name w:val="heading 7"/>
    <w:basedOn w:val="1"/>
    <w:next w:val="1"/>
    <w:link w:val="119"/>
    <w:qFormat/>
    <w:uiPriority w:val="0"/>
    <w:pPr>
      <w:keepNext/>
      <w:keepLines/>
      <w:spacing w:beforeLines="100" w:afterLines="100" w:line="360" w:lineRule="auto"/>
      <w:outlineLvl w:val="6"/>
    </w:pPr>
    <w:rPr>
      <w:b/>
      <w:bCs/>
      <w:sz w:val="24"/>
    </w:rPr>
  </w:style>
  <w:style w:type="paragraph" w:styleId="11">
    <w:name w:val="heading 8"/>
    <w:basedOn w:val="1"/>
    <w:next w:val="1"/>
    <w:link w:val="101"/>
    <w:qFormat/>
    <w:uiPriority w:val="0"/>
    <w:pPr>
      <w:keepNext/>
      <w:keepLines/>
      <w:spacing w:beforeLines="100" w:afterLines="100" w:line="360" w:lineRule="auto"/>
      <w:outlineLvl w:val="7"/>
    </w:pPr>
    <w:rPr>
      <w:rFonts w:ascii="Cambria" w:hAnsi="Cambria"/>
      <w:b/>
      <w:sz w:val="24"/>
    </w:rPr>
  </w:style>
  <w:style w:type="paragraph" w:styleId="12">
    <w:name w:val="heading 9"/>
    <w:basedOn w:val="1"/>
    <w:next w:val="1"/>
    <w:link w:val="94"/>
    <w:qFormat/>
    <w:uiPriority w:val="0"/>
    <w:pPr>
      <w:keepNext/>
      <w:keepLines/>
      <w:spacing w:beforeLines="100" w:afterLines="100" w:line="360" w:lineRule="auto"/>
      <w:outlineLvl w:val="8"/>
    </w:pPr>
    <w:rPr>
      <w:rFonts w:ascii="Cambria" w:hAnsi="Cambria"/>
      <w:b/>
      <w:sz w:val="24"/>
      <w:szCs w:val="21"/>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spacing w:line="360" w:lineRule="auto"/>
      <w:ind w:firstLine="200" w:firstLineChars="200"/>
    </w:pPr>
    <w:rPr>
      <w:sz w:val="24"/>
      <w:szCs w:val="20"/>
    </w:rPr>
  </w:style>
  <w:style w:type="paragraph" w:styleId="6">
    <w:name w:val="Normal Indent"/>
    <w:basedOn w:val="1"/>
    <w:link w:val="123"/>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s>
      <w:spacing w:afterLines="50"/>
      <w:ind w:left="720" w:hanging="720"/>
      <w:jc w:val="left"/>
    </w:pPr>
    <w:rPr>
      <w:kern w:val="0"/>
      <w:sz w:val="24"/>
      <w:szCs w:val="20"/>
    </w:rPr>
  </w:style>
  <w:style w:type="paragraph" w:styleId="15">
    <w:name w:val="caption"/>
    <w:basedOn w:val="1"/>
    <w:next w:val="1"/>
    <w:link w:val="106"/>
    <w:qFormat/>
    <w:uiPriority w:val="0"/>
    <w:pPr>
      <w:spacing w:before="152" w:after="160"/>
    </w:pPr>
    <w:rPr>
      <w:rFonts w:ascii="Arial" w:hAnsi="Arial" w:eastAsia="黑体"/>
      <w:sz w:val="20"/>
      <w:szCs w:val="20"/>
    </w:rPr>
  </w:style>
  <w:style w:type="paragraph" w:styleId="16">
    <w:name w:val="Document Map"/>
    <w:basedOn w:val="1"/>
    <w:link w:val="81"/>
    <w:semiHidden/>
    <w:qFormat/>
    <w:uiPriority w:val="0"/>
    <w:pPr>
      <w:shd w:val="clear" w:color="auto" w:fill="000080"/>
    </w:pPr>
  </w:style>
  <w:style w:type="paragraph" w:styleId="17">
    <w:name w:val="annotation text"/>
    <w:basedOn w:val="1"/>
    <w:link w:val="85"/>
    <w:qFormat/>
    <w:uiPriority w:val="0"/>
    <w:pPr>
      <w:jc w:val="left"/>
    </w:pPr>
  </w:style>
  <w:style w:type="paragraph" w:styleId="18">
    <w:name w:val="Body Text 3"/>
    <w:basedOn w:val="1"/>
    <w:link w:val="64"/>
    <w:qFormat/>
    <w:uiPriority w:val="0"/>
    <w:pPr>
      <w:spacing w:after="120"/>
    </w:pPr>
    <w:rPr>
      <w:sz w:val="16"/>
      <w:szCs w:val="16"/>
    </w:rPr>
  </w:style>
  <w:style w:type="paragraph" w:styleId="19">
    <w:name w:val="Body Text"/>
    <w:basedOn w:val="1"/>
    <w:next w:val="20"/>
    <w:link w:val="75"/>
    <w:qFormat/>
    <w:uiPriority w:val="0"/>
    <w:pPr>
      <w:spacing w:after="120"/>
    </w:pPr>
  </w:style>
  <w:style w:type="paragraph" w:styleId="20">
    <w:name w:val="Body Text First Indent"/>
    <w:basedOn w:val="19"/>
    <w:next w:val="1"/>
    <w:link w:val="74"/>
    <w:qFormat/>
    <w:uiPriority w:val="0"/>
    <w:pPr>
      <w:ind w:firstLine="420" w:firstLineChars="100"/>
    </w:pPr>
  </w:style>
  <w:style w:type="paragraph" w:styleId="21">
    <w:name w:val="Body Text Indent"/>
    <w:basedOn w:val="1"/>
    <w:link w:val="89"/>
    <w:qFormat/>
    <w:uiPriority w:val="0"/>
    <w:pPr>
      <w:spacing w:line="200" w:lineRule="exact"/>
      <w:ind w:firstLine="301"/>
    </w:pPr>
    <w:rPr>
      <w:rFonts w:ascii="宋体" w:hAnsi="Courier New"/>
      <w:spacing w:val="-4"/>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566" w:hanging="283"/>
      <w:contextualSpacing/>
    </w:p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qFormat/>
    <w:uiPriority w:val="39"/>
    <w:pPr>
      <w:ind w:left="840" w:leftChars="400"/>
    </w:pPr>
  </w:style>
  <w:style w:type="paragraph" w:styleId="26">
    <w:name w:val="Plain Text"/>
    <w:basedOn w:val="1"/>
    <w:link w:val="61"/>
    <w:qFormat/>
    <w:uiPriority w:val="0"/>
    <w:rPr>
      <w:rFonts w:ascii="宋体" w:hAnsi="Courier New"/>
      <w:szCs w:val="20"/>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118"/>
    <w:qFormat/>
    <w:uiPriority w:val="0"/>
    <w:pPr>
      <w:ind w:left="2500" w:leftChars="2500"/>
    </w:pPr>
    <w:rPr>
      <w:rFonts w:eastAsia="楷体_GB2312"/>
      <w:sz w:val="32"/>
      <w:szCs w:val="20"/>
    </w:rPr>
  </w:style>
  <w:style w:type="paragraph" w:styleId="29">
    <w:name w:val="Body Text Indent 2"/>
    <w:basedOn w:val="1"/>
    <w:link w:val="72"/>
    <w:qFormat/>
    <w:uiPriority w:val="0"/>
    <w:pPr>
      <w:snapToGrid w:val="0"/>
      <w:ind w:firstLine="542" w:firstLineChars="225"/>
    </w:pPr>
    <w:rPr>
      <w:rFonts w:ascii="仿宋_GB2312" w:hAnsi="宋体"/>
      <w:b/>
      <w:bCs/>
      <w:color w:val="000000"/>
      <w:sz w:val="24"/>
    </w:rPr>
  </w:style>
  <w:style w:type="paragraph" w:styleId="30">
    <w:name w:val="Balloon Text"/>
    <w:basedOn w:val="1"/>
    <w:link w:val="76"/>
    <w:qFormat/>
    <w:uiPriority w:val="0"/>
    <w:rPr>
      <w:sz w:val="18"/>
      <w:szCs w:val="18"/>
    </w:rPr>
  </w:style>
  <w:style w:type="paragraph" w:styleId="31">
    <w:name w:val="footer"/>
    <w:basedOn w:val="1"/>
    <w:link w:val="120"/>
    <w:qFormat/>
    <w:uiPriority w:val="99"/>
    <w:pPr>
      <w:tabs>
        <w:tab w:val="center" w:pos="4153"/>
        <w:tab w:val="right" w:pos="8306"/>
      </w:tabs>
      <w:snapToGrid w:val="0"/>
      <w:jc w:val="left"/>
    </w:pPr>
    <w:rPr>
      <w:sz w:val="18"/>
      <w:szCs w:val="18"/>
    </w:rPr>
  </w:style>
  <w:style w:type="paragraph" w:styleId="32">
    <w:name w:val="header"/>
    <w:basedOn w:val="1"/>
    <w:link w:val="109"/>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style>
  <w:style w:type="paragraph" w:styleId="34">
    <w:name w:val="toc 4"/>
    <w:basedOn w:val="1"/>
    <w:next w:val="1"/>
    <w:unhideWhenUsed/>
    <w:qFormat/>
    <w:uiPriority w:val="39"/>
    <w:pPr>
      <w:ind w:left="1260" w:leftChars="600"/>
    </w:pPr>
    <w:rPr>
      <w:rFonts w:ascii="Calibri" w:hAnsi="Calibri"/>
      <w:szCs w:val="22"/>
    </w:rPr>
  </w:style>
  <w:style w:type="paragraph" w:styleId="35">
    <w:name w:val="Subtitle"/>
    <w:basedOn w:val="1"/>
    <w:next w:val="1"/>
    <w:link w:val="117"/>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83" w:hanging="283"/>
      <w:contextualSpacing/>
    </w:pPr>
  </w:style>
  <w:style w:type="paragraph" w:styleId="37">
    <w:name w:val="footnote text"/>
    <w:basedOn w:val="1"/>
    <w:link w:val="66"/>
    <w:qFormat/>
    <w:uiPriority w:val="99"/>
    <w:pPr>
      <w:jc w:val="left"/>
    </w:pPr>
    <w:rPr>
      <w:kern w:val="1"/>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99"/>
    <w:qFormat/>
    <w:uiPriority w:val="0"/>
    <w:pPr>
      <w:snapToGrid w:val="0"/>
      <w:ind w:firstLine="480" w:firstLineChars="200"/>
      <w:jc w:val="left"/>
    </w:pPr>
    <w:rPr>
      <w:rFonts w:ascii="仿宋_GB2312" w:hAnsi="宋体" w:eastAsia="仿宋_GB2312"/>
      <w:color w:val="000000"/>
      <w:sz w:val="24"/>
    </w:rPr>
  </w:style>
  <w:style w:type="paragraph" w:styleId="40">
    <w:name w:val="table of figures"/>
    <w:basedOn w:val="1"/>
    <w:next w:val="1"/>
    <w:qFormat/>
    <w:uiPriority w:val="99"/>
    <w:pPr>
      <w:widowControl/>
      <w:tabs>
        <w:tab w:val="left" w:pos="1270"/>
      </w:tabs>
      <w:spacing w:line="360" w:lineRule="auto"/>
      <w:ind w:left="1270" w:hanging="420"/>
      <w:jc w:val="left"/>
    </w:pPr>
    <w:rPr>
      <w:rFonts w:ascii="宋体" w:hAnsi="宋体" w:cs="宋体"/>
      <w:smallCaps/>
      <w:kern w:val="0"/>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79"/>
    <w:qFormat/>
    <w:uiPriority w:val="0"/>
    <w:pPr>
      <w:widowControl/>
      <w:snapToGrid w:val="0"/>
      <w:spacing w:before="50" w:afterLines="50" w:line="400" w:lineRule="exact"/>
      <w:jc w:val="left"/>
    </w:pPr>
    <w:rPr>
      <w:rFonts w:ascii="宋体" w:hAnsi="宋体"/>
      <w:color w:val="000000"/>
      <w:sz w:val="24"/>
    </w:r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5">
    <w:name w:val="Normal (Web)"/>
    <w:basedOn w:val="1"/>
    <w:link w:val="77"/>
    <w:qFormat/>
    <w:uiPriority w:val="99"/>
    <w:pPr>
      <w:widowControl/>
      <w:spacing w:before="100" w:beforeAutospacing="1" w:after="100" w:afterAutospacing="1"/>
      <w:jc w:val="left"/>
    </w:pPr>
    <w:rPr>
      <w:rFonts w:ascii="宋体" w:hAnsi="宋体"/>
      <w:kern w:val="0"/>
      <w:sz w:val="24"/>
    </w:rPr>
  </w:style>
  <w:style w:type="paragraph" w:styleId="46">
    <w:name w:val="Title"/>
    <w:basedOn w:val="1"/>
    <w:next w:val="1"/>
    <w:link w:val="88"/>
    <w:qFormat/>
    <w:uiPriority w:val="0"/>
    <w:pPr>
      <w:spacing w:before="240" w:after="60"/>
      <w:jc w:val="center"/>
      <w:outlineLvl w:val="0"/>
    </w:pPr>
    <w:rPr>
      <w:rFonts w:ascii="Cambria" w:hAnsi="Cambria"/>
      <w:b/>
      <w:bCs/>
      <w:sz w:val="32"/>
      <w:szCs w:val="32"/>
    </w:rPr>
  </w:style>
  <w:style w:type="paragraph" w:styleId="47">
    <w:name w:val="annotation subject"/>
    <w:basedOn w:val="17"/>
    <w:next w:val="17"/>
    <w:link w:val="112"/>
    <w:qFormat/>
    <w:uiPriority w:val="99"/>
    <w:rPr>
      <w:b/>
      <w:bCs/>
    </w:rPr>
  </w:style>
  <w:style w:type="paragraph" w:styleId="48">
    <w:name w:val="Body Text First Indent 2"/>
    <w:basedOn w:val="21"/>
    <w:link w:val="103"/>
    <w:unhideWhenUsed/>
    <w:qFormat/>
    <w:uiPriority w:val="0"/>
    <w:pPr>
      <w:spacing w:after="120" w:line="360" w:lineRule="auto"/>
      <w:ind w:left="420" w:leftChars="200" w:firstLine="420" w:firstLineChars="200"/>
    </w:pPr>
    <w:rPr>
      <w:sz w:val="24"/>
    </w:rPr>
  </w:style>
  <w:style w:type="table" w:styleId="50">
    <w:name w:val="Table Grid"/>
    <w:basedOn w:val="4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Grid 8"/>
    <w:basedOn w:val="49"/>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99"/>
    <w:rPr>
      <w:sz w:val="21"/>
      <w:szCs w:val="21"/>
    </w:rPr>
  </w:style>
  <w:style w:type="character" w:styleId="58">
    <w:name w:val="footnote reference"/>
    <w:qFormat/>
    <w:uiPriority w:val="99"/>
    <w:rPr>
      <w:position w:val="-2"/>
      <w:vertAlign w:val="superscript"/>
    </w:rPr>
  </w:style>
  <w:style w:type="paragraph" w:customStyle="1" w:styleId="59">
    <w:name w:val="正文缩进1"/>
    <w:basedOn w:val="1"/>
    <w:qFormat/>
    <w:uiPriority w:val="0"/>
    <w:pPr>
      <w:ind w:firstLine="420" w:firstLineChars="200"/>
    </w:pPr>
  </w:style>
  <w:style w:type="paragraph" w:customStyle="1" w:styleId="6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1">
    <w:name w:val="纯文本 Char"/>
    <w:link w:val="26"/>
    <w:qFormat/>
    <w:uiPriority w:val="0"/>
    <w:rPr>
      <w:rFonts w:ascii="宋体" w:hAnsi="Courier New"/>
      <w:kern w:val="2"/>
      <w:sz w:val="21"/>
    </w:rPr>
  </w:style>
  <w:style w:type="character" w:customStyle="1" w:styleId="62">
    <w:name w:val="页眉 Char1"/>
    <w:qFormat/>
    <w:uiPriority w:val="0"/>
    <w:rPr>
      <w:kern w:val="2"/>
      <w:sz w:val="18"/>
      <w:szCs w:val="18"/>
    </w:rPr>
  </w:style>
  <w:style w:type="character" w:customStyle="1" w:styleId="63">
    <w:name w:val="hover"/>
    <w:qFormat/>
    <w:uiPriority w:val="0"/>
    <w:rPr>
      <w:color w:val="4178BE"/>
    </w:rPr>
  </w:style>
  <w:style w:type="character" w:customStyle="1" w:styleId="64">
    <w:name w:val="正文文本 3 Char"/>
    <w:link w:val="18"/>
    <w:qFormat/>
    <w:uiPriority w:val="0"/>
    <w:rPr>
      <w:kern w:val="2"/>
      <w:sz w:val="16"/>
      <w:szCs w:val="16"/>
    </w:rPr>
  </w:style>
  <w:style w:type="character" w:customStyle="1" w:styleId="65">
    <w:name w:val="页眉 字符1"/>
    <w:qFormat/>
    <w:uiPriority w:val="99"/>
    <w:rPr>
      <w:rFonts w:eastAsia="宋体"/>
      <w:sz w:val="18"/>
      <w:szCs w:val="18"/>
    </w:rPr>
  </w:style>
  <w:style w:type="character" w:customStyle="1" w:styleId="66">
    <w:name w:val="脚注文本 Char"/>
    <w:basedOn w:val="52"/>
    <w:link w:val="37"/>
    <w:qFormat/>
    <w:uiPriority w:val="99"/>
    <w:rPr>
      <w:kern w:val="1"/>
      <w:sz w:val="18"/>
      <w:szCs w:val="18"/>
    </w:rPr>
  </w:style>
  <w:style w:type="character" w:customStyle="1" w:styleId="67">
    <w:name w:val="font111"/>
    <w:qFormat/>
    <w:uiPriority w:val="0"/>
    <w:rPr>
      <w:rFonts w:ascii="宋体" w:hAnsi="宋体" w:eastAsia="宋体" w:cs="宋体"/>
      <w:color w:val="FF0000"/>
      <w:sz w:val="18"/>
      <w:szCs w:val="18"/>
      <w:u w:val="none"/>
    </w:rPr>
  </w:style>
  <w:style w:type="character" w:customStyle="1" w:styleId="68">
    <w:name w:val="页脚 字符1"/>
    <w:qFormat/>
    <w:locked/>
    <w:uiPriority w:val="99"/>
    <w:rPr>
      <w:sz w:val="18"/>
      <w:szCs w:val="18"/>
    </w:rPr>
  </w:style>
  <w:style w:type="character" w:customStyle="1" w:styleId="69">
    <w:name w:val="font21"/>
    <w:qFormat/>
    <w:uiPriority w:val="0"/>
    <w:rPr>
      <w:rFonts w:hint="eastAsia" w:ascii="微软雅黑" w:hAnsi="微软雅黑" w:eastAsia="微软雅黑" w:cs="微软雅黑"/>
      <w:color w:val="000000"/>
      <w:sz w:val="18"/>
      <w:szCs w:val="18"/>
      <w:u w:val="none"/>
    </w:rPr>
  </w:style>
  <w:style w:type="character" w:customStyle="1" w:styleId="70">
    <w:name w:val="样式一"/>
    <w:qFormat/>
    <w:uiPriority w:val="0"/>
    <w:rPr>
      <w:rFonts w:ascii="宋体" w:hAnsi="宋体"/>
      <w:b/>
      <w:bCs/>
      <w:color w:val="000000"/>
      <w:sz w:val="36"/>
    </w:rPr>
  </w:style>
  <w:style w:type="character" w:customStyle="1" w:styleId="71">
    <w:name w:val="标题 4 Char"/>
    <w:link w:val="7"/>
    <w:qFormat/>
    <w:uiPriority w:val="9"/>
    <w:rPr>
      <w:rFonts w:ascii="Cambria" w:hAnsi="Cambria" w:eastAsia="宋体" w:cs="Times New Roman"/>
      <w:b/>
      <w:bCs/>
      <w:kern w:val="2"/>
      <w:sz w:val="28"/>
      <w:szCs w:val="28"/>
    </w:rPr>
  </w:style>
  <w:style w:type="character" w:customStyle="1" w:styleId="72">
    <w:name w:val="正文文本缩进 2 Char"/>
    <w:link w:val="29"/>
    <w:qFormat/>
    <w:uiPriority w:val="0"/>
    <w:rPr>
      <w:rFonts w:ascii="仿宋_GB2312" w:hAnsi="宋体" w:cs="Arial"/>
      <w:b/>
      <w:bCs/>
      <w:color w:val="000000"/>
      <w:kern w:val="2"/>
      <w:sz w:val="24"/>
      <w:szCs w:val="24"/>
    </w:rPr>
  </w:style>
  <w:style w:type="character" w:customStyle="1" w:styleId="73">
    <w:name w:val="optnmoresets"/>
    <w:qFormat/>
    <w:uiPriority w:val="0"/>
    <w:rPr>
      <w:color w:val="5596E6"/>
    </w:rPr>
  </w:style>
  <w:style w:type="character" w:customStyle="1" w:styleId="74">
    <w:name w:val="正文首行缩进 Char"/>
    <w:basedOn w:val="75"/>
    <w:link w:val="20"/>
    <w:qFormat/>
    <w:uiPriority w:val="0"/>
    <w:rPr>
      <w:kern w:val="2"/>
      <w:sz w:val="21"/>
      <w:szCs w:val="24"/>
    </w:rPr>
  </w:style>
  <w:style w:type="character" w:customStyle="1" w:styleId="75">
    <w:name w:val="正文文本 Char"/>
    <w:link w:val="19"/>
    <w:qFormat/>
    <w:uiPriority w:val="0"/>
    <w:rPr>
      <w:kern w:val="2"/>
      <w:sz w:val="21"/>
      <w:szCs w:val="24"/>
    </w:rPr>
  </w:style>
  <w:style w:type="character" w:customStyle="1" w:styleId="76">
    <w:name w:val="批注框文本 Char"/>
    <w:link w:val="30"/>
    <w:qFormat/>
    <w:uiPriority w:val="0"/>
    <w:rPr>
      <w:kern w:val="2"/>
      <w:sz w:val="18"/>
      <w:szCs w:val="18"/>
    </w:rPr>
  </w:style>
  <w:style w:type="character" w:customStyle="1" w:styleId="77">
    <w:name w:val="普通(网站) Char"/>
    <w:link w:val="45"/>
    <w:qFormat/>
    <w:locked/>
    <w:uiPriority w:val="0"/>
    <w:rPr>
      <w:rFonts w:ascii="宋体" w:hAnsi="宋体" w:cs="宋体"/>
      <w:sz w:val="24"/>
      <w:szCs w:val="24"/>
    </w:rPr>
  </w:style>
  <w:style w:type="character" w:customStyle="1" w:styleId="78">
    <w:name w:val="ca-92"/>
    <w:basedOn w:val="52"/>
    <w:qFormat/>
    <w:uiPriority w:val="0"/>
  </w:style>
  <w:style w:type="character" w:customStyle="1" w:styleId="79">
    <w:name w:val="正文文本 2 Char"/>
    <w:link w:val="43"/>
    <w:qFormat/>
    <w:uiPriority w:val="0"/>
    <w:rPr>
      <w:rFonts w:ascii="宋体" w:hAnsi="宋体"/>
      <w:color w:val="000000"/>
      <w:kern w:val="2"/>
      <w:sz w:val="24"/>
      <w:szCs w:val="24"/>
    </w:rPr>
  </w:style>
  <w:style w:type="character" w:customStyle="1" w:styleId="80">
    <w:name w:val="font91"/>
    <w:qFormat/>
    <w:uiPriority w:val="0"/>
    <w:rPr>
      <w:rFonts w:ascii="宋体" w:hAnsi="宋体" w:eastAsia="宋体" w:cs="宋体"/>
      <w:color w:val="auto"/>
      <w:sz w:val="18"/>
      <w:szCs w:val="18"/>
      <w:u w:val="none"/>
    </w:rPr>
  </w:style>
  <w:style w:type="character" w:customStyle="1" w:styleId="81">
    <w:name w:val="文档结构图 Char"/>
    <w:link w:val="16"/>
    <w:semiHidden/>
    <w:qFormat/>
    <w:uiPriority w:val="0"/>
    <w:rPr>
      <w:kern w:val="2"/>
      <w:sz w:val="21"/>
      <w:szCs w:val="24"/>
      <w:shd w:val="clear" w:color="auto" w:fill="000080"/>
    </w:rPr>
  </w:style>
  <w:style w:type="character" w:customStyle="1" w:styleId="82">
    <w:name w:val="纯文本 Char3"/>
    <w:qFormat/>
    <w:uiPriority w:val="0"/>
    <w:rPr>
      <w:rFonts w:ascii="宋体" w:hAnsi="Courier New" w:eastAsia="宋体"/>
      <w:kern w:val="2"/>
      <w:sz w:val="24"/>
      <w:szCs w:val="24"/>
      <w:lang w:val="en-US" w:eastAsia="zh-CN" w:bidi="ar-SA"/>
    </w:rPr>
  </w:style>
  <w:style w:type="character" w:customStyle="1" w:styleId="83">
    <w:name w:val="列出段落 Char1"/>
    <w:qFormat/>
    <w:uiPriority w:val="34"/>
    <w:rPr>
      <w:sz w:val="24"/>
    </w:rPr>
  </w:style>
  <w:style w:type="character" w:customStyle="1" w:styleId="84">
    <w:name w:val="标题字符1"/>
    <w:qFormat/>
    <w:uiPriority w:val="0"/>
    <w:rPr>
      <w:rFonts w:ascii="Cambria" w:hAnsi="Cambria" w:cs="Times New Roman"/>
      <w:b/>
      <w:bCs/>
      <w:snapToGrid w:val="0"/>
      <w:sz w:val="32"/>
      <w:szCs w:val="32"/>
    </w:rPr>
  </w:style>
  <w:style w:type="character" w:customStyle="1" w:styleId="85">
    <w:name w:val="批注文字 Char1"/>
    <w:link w:val="17"/>
    <w:qFormat/>
    <w:uiPriority w:val="0"/>
    <w:rPr>
      <w:kern w:val="2"/>
      <w:sz w:val="21"/>
      <w:szCs w:val="24"/>
    </w:rPr>
  </w:style>
  <w:style w:type="character" w:customStyle="1" w:styleId="86">
    <w:name w:val="sub"/>
    <w:basedOn w:val="52"/>
    <w:qFormat/>
    <w:uiPriority w:val="0"/>
  </w:style>
  <w:style w:type="character" w:customStyle="1" w:styleId="87">
    <w:name w:val="lotusbtndisabled2"/>
    <w:basedOn w:val="52"/>
    <w:qFormat/>
    <w:uiPriority w:val="0"/>
  </w:style>
  <w:style w:type="character" w:customStyle="1" w:styleId="88">
    <w:name w:val="标题 Char"/>
    <w:link w:val="46"/>
    <w:qFormat/>
    <w:uiPriority w:val="0"/>
    <w:rPr>
      <w:rFonts w:ascii="Cambria" w:hAnsi="Cambria"/>
      <w:b/>
      <w:bCs/>
      <w:kern w:val="2"/>
      <w:sz w:val="32"/>
      <w:szCs w:val="32"/>
    </w:rPr>
  </w:style>
  <w:style w:type="character" w:customStyle="1" w:styleId="89">
    <w:name w:val="正文文本缩进 Char"/>
    <w:link w:val="21"/>
    <w:qFormat/>
    <w:uiPriority w:val="0"/>
    <w:rPr>
      <w:rFonts w:ascii="宋体" w:hAnsi="Courier New"/>
      <w:spacing w:val="-4"/>
      <w:kern w:val="2"/>
      <w:sz w:val="18"/>
    </w:rPr>
  </w:style>
  <w:style w:type="character" w:customStyle="1" w:styleId="90">
    <w:name w:val="列出段落 Char"/>
    <w:qFormat/>
    <w:uiPriority w:val="34"/>
    <w:rPr>
      <w:kern w:val="2"/>
      <w:sz w:val="21"/>
      <w:szCs w:val="22"/>
    </w:rPr>
  </w:style>
  <w:style w:type="character" w:customStyle="1" w:styleId="91">
    <w:name w:val="标题 1 Char"/>
    <w:link w:val="2"/>
    <w:qFormat/>
    <w:uiPriority w:val="9"/>
    <w:rPr>
      <w:b/>
      <w:bCs/>
      <w:kern w:val="44"/>
      <w:sz w:val="44"/>
      <w:szCs w:val="44"/>
    </w:rPr>
  </w:style>
  <w:style w:type="character" w:customStyle="1" w:styleId="92">
    <w:name w:val="dijitarrowbuttoninner"/>
    <w:qFormat/>
    <w:uiPriority w:val="0"/>
    <w:rPr>
      <w:vanish/>
    </w:rPr>
  </w:style>
  <w:style w:type="character" w:customStyle="1" w:styleId="93">
    <w:name w:val="hover21"/>
    <w:qFormat/>
    <w:uiPriority w:val="0"/>
    <w:rPr>
      <w:color w:val="4178BE"/>
    </w:rPr>
  </w:style>
  <w:style w:type="character" w:customStyle="1" w:styleId="94">
    <w:name w:val="标题 9 Char"/>
    <w:link w:val="12"/>
    <w:qFormat/>
    <w:uiPriority w:val="0"/>
    <w:rPr>
      <w:rFonts w:ascii="Cambria" w:hAnsi="Cambria" w:eastAsia="宋体" w:cs="Times New Roman"/>
      <w:b/>
      <w:kern w:val="2"/>
      <w:sz w:val="24"/>
      <w:szCs w:val="21"/>
    </w:rPr>
  </w:style>
  <w:style w:type="character" w:customStyle="1" w:styleId="95">
    <w:name w:val="普通文字 Char Char2"/>
    <w:qFormat/>
    <w:uiPriority w:val="0"/>
    <w:rPr>
      <w:rFonts w:ascii="宋体" w:hAnsi="Courier New" w:eastAsia="宋体"/>
      <w:kern w:val="2"/>
      <w:sz w:val="24"/>
      <w:szCs w:val="24"/>
      <w:lang w:val="en-US" w:eastAsia="zh-CN" w:bidi="ar-SA"/>
    </w:rPr>
  </w:style>
  <w:style w:type="character" w:customStyle="1" w:styleId="96">
    <w:name w:val="font11"/>
    <w:qFormat/>
    <w:uiPriority w:val="0"/>
    <w:rPr>
      <w:rFonts w:hint="eastAsia" w:ascii="微软雅黑" w:hAnsi="微软雅黑" w:eastAsia="微软雅黑" w:cs="微软雅黑"/>
      <w:color w:val="FF0000"/>
      <w:sz w:val="18"/>
      <w:szCs w:val="18"/>
      <w:u w:val="none"/>
    </w:rPr>
  </w:style>
  <w:style w:type="character" w:customStyle="1" w:styleId="97">
    <w:name w:val="纯文本 Char1"/>
    <w:qFormat/>
    <w:uiPriority w:val="99"/>
    <w:rPr>
      <w:rFonts w:ascii="宋体" w:hAnsi="Courier New" w:eastAsia="宋体" w:cs="Times New Roman"/>
      <w:sz w:val="24"/>
      <w:szCs w:val="24"/>
    </w:rPr>
  </w:style>
  <w:style w:type="character" w:customStyle="1" w:styleId="98">
    <w:name w:val="标题 6 Char"/>
    <w:link w:val="9"/>
    <w:qFormat/>
    <w:uiPriority w:val="9"/>
    <w:rPr>
      <w:rFonts w:ascii="Cambria" w:hAnsi="Cambria" w:eastAsia="宋体" w:cs="Times New Roman"/>
      <w:b/>
      <w:bCs/>
      <w:kern w:val="2"/>
      <w:sz w:val="24"/>
      <w:szCs w:val="24"/>
    </w:rPr>
  </w:style>
  <w:style w:type="character" w:customStyle="1" w:styleId="99">
    <w:name w:val="正文文本缩进 3 Char"/>
    <w:link w:val="39"/>
    <w:qFormat/>
    <w:uiPriority w:val="0"/>
    <w:rPr>
      <w:rFonts w:ascii="仿宋_GB2312" w:hAnsi="宋体" w:eastAsia="仿宋_GB2312"/>
      <w:color w:val="000000"/>
      <w:kern w:val="2"/>
      <w:sz w:val="24"/>
      <w:szCs w:val="24"/>
    </w:rPr>
  </w:style>
  <w:style w:type="character" w:customStyle="1" w:styleId="100">
    <w:name w:val="lotusalttext10"/>
    <w:basedOn w:val="52"/>
    <w:qFormat/>
    <w:uiPriority w:val="0"/>
  </w:style>
  <w:style w:type="character" w:customStyle="1" w:styleId="101">
    <w:name w:val="标题 8 Char"/>
    <w:link w:val="11"/>
    <w:qFormat/>
    <w:uiPriority w:val="0"/>
    <w:rPr>
      <w:rFonts w:ascii="Cambria" w:hAnsi="Cambria" w:eastAsia="宋体" w:cs="Times New Roman"/>
      <w:b/>
      <w:kern w:val="2"/>
      <w:sz w:val="24"/>
      <w:szCs w:val="24"/>
    </w:rPr>
  </w:style>
  <w:style w:type="character" w:customStyle="1" w:styleId="102">
    <w:name w:val="纯文本 字符"/>
    <w:qFormat/>
    <w:uiPriority w:val="0"/>
    <w:rPr>
      <w:rFonts w:ascii="宋体" w:hAnsi="Courier New" w:eastAsia="宋体" w:cs="Courier New"/>
      <w:kern w:val="2"/>
      <w:sz w:val="21"/>
      <w:szCs w:val="24"/>
    </w:rPr>
  </w:style>
  <w:style w:type="character" w:customStyle="1" w:styleId="103">
    <w:name w:val="正文首行缩进 2 Char"/>
    <w:link w:val="48"/>
    <w:qFormat/>
    <w:uiPriority w:val="0"/>
    <w:rPr>
      <w:rFonts w:ascii="宋体" w:hAnsi="Courier New"/>
      <w:spacing w:val="-4"/>
      <w:kern w:val="2"/>
      <w:sz w:val="24"/>
    </w:rPr>
  </w:style>
  <w:style w:type="character" w:customStyle="1" w:styleId="104">
    <w:name w:val="*正文 Char"/>
    <w:link w:val="105"/>
    <w:qFormat/>
    <w:uiPriority w:val="99"/>
    <w:rPr>
      <w:rFonts w:ascii="宋体" w:hAnsi="宋体"/>
      <w:sz w:val="24"/>
    </w:rPr>
  </w:style>
  <w:style w:type="paragraph" w:customStyle="1" w:styleId="105">
    <w:name w:val="*正文"/>
    <w:basedOn w:val="1"/>
    <w:link w:val="104"/>
    <w:qFormat/>
    <w:uiPriority w:val="99"/>
    <w:pPr>
      <w:spacing w:line="360" w:lineRule="auto"/>
      <w:ind w:firstLine="482"/>
    </w:pPr>
    <w:rPr>
      <w:rFonts w:ascii="宋体" w:hAnsi="宋体"/>
      <w:kern w:val="0"/>
      <w:sz w:val="24"/>
      <w:szCs w:val="20"/>
    </w:rPr>
  </w:style>
  <w:style w:type="character" w:customStyle="1" w:styleId="106">
    <w:name w:val="题注 Char"/>
    <w:link w:val="15"/>
    <w:qFormat/>
    <w:locked/>
    <w:uiPriority w:val="0"/>
    <w:rPr>
      <w:rFonts w:ascii="Arial" w:hAnsi="Arial" w:eastAsia="黑体" w:cs="Arial"/>
      <w:kern w:val="2"/>
    </w:rPr>
  </w:style>
  <w:style w:type="character" w:customStyle="1" w:styleId="107">
    <w:name w:val="before"/>
    <w:basedOn w:val="52"/>
    <w:qFormat/>
    <w:uiPriority w:val="0"/>
  </w:style>
  <w:style w:type="character" w:customStyle="1" w:styleId="108">
    <w:name w:val="标题 2 Char"/>
    <w:link w:val="3"/>
    <w:qFormat/>
    <w:uiPriority w:val="9"/>
    <w:rPr>
      <w:rFonts w:ascii="仿宋_GB2312" w:eastAsia="仿宋_GB2312"/>
      <w:b/>
      <w:sz w:val="36"/>
    </w:rPr>
  </w:style>
  <w:style w:type="character" w:customStyle="1" w:styleId="109">
    <w:name w:val="页眉 Char"/>
    <w:link w:val="32"/>
    <w:qFormat/>
    <w:uiPriority w:val="99"/>
    <w:rPr>
      <w:rFonts w:eastAsia="宋体"/>
      <w:kern w:val="2"/>
      <w:sz w:val="18"/>
      <w:szCs w:val="18"/>
      <w:lang w:val="en-US" w:eastAsia="zh-CN" w:bidi="ar-SA"/>
    </w:rPr>
  </w:style>
  <w:style w:type="character" w:customStyle="1" w:styleId="110">
    <w:name w:val="font101"/>
    <w:qFormat/>
    <w:uiPriority w:val="0"/>
    <w:rPr>
      <w:rFonts w:ascii="Times New Roman" w:hAnsi="Times New Roman" w:cs="Times New Roman"/>
      <w:color w:val="auto"/>
      <w:sz w:val="24"/>
      <w:szCs w:val="24"/>
      <w:u w:val="none"/>
    </w:rPr>
  </w:style>
  <w:style w:type="character" w:customStyle="1" w:styleId="111">
    <w:name w:val="font81"/>
    <w:qFormat/>
    <w:uiPriority w:val="0"/>
    <w:rPr>
      <w:rFonts w:ascii="Times New Roman" w:hAnsi="Times New Roman" w:cs="Times New Roman"/>
      <w:color w:val="FF0000"/>
      <w:sz w:val="18"/>
      <w:szCs w:val="18"/>
      <w:u w:val="none"/>
    </w:rPr>
  </w:style>
  <w:style w:type="character" w:customStyle="1" w:styleId="112">
    <w:name w:val="批注主题 Char"/>
    <w:link w:val="47"/>
    <w:qFormat/>
    <w:uiPriority w:val="99"/>
    <w:rPr>
      <w:b/>
      <w:bCs/>
      <w:kern w:val="2"/>
      <w:sz w:val="21"/>
      <w:szCs w:val="24"/>
    </w:rPr>
  </w:style>
  <w:style w:type="character" w:customStyle="1" w:styleId="113">
    <w:name w:val="正文文本缩进字符1"/>
    <w:semiHidden/>
    <w:qFormat/>
    <w:uiPriority w:val="0"/>
    <w:rPr>
      <w:snapToGrid w:val="0"/>
      <w:sz w:val="21"/>
      <w:szCs w:val="21"/>
    </w:rPr>
  </w:style>
  <w:style w:type="character" w:customStyle="1" w:styleId="114">
    <w:name w:val="before1"/>
    <w:qFormat/>
    <w:uiPriority w:val="0"/>
    <w:rPr>
      <w:shd w:val="clear" w:color="auto" w:fill="4178BE"/>
    </w:rPr>
  </w:style>
  <w:style w:type="character" w:customStyle="1" w:styleId="115">
    <w:name w:val="标题 5 Char"/>
    <w:link w:val="8"/>
    <w:qFormat/>
    <w:uiPriority w:val="9"/>
    <w:rPr>
      <w:rFonts w:eastAsia="宋体"/>
      <w:b/>
      <w:bCs/>
      <w:kern w:val="2"/>
      <w:sz w:val="28"/>
      <w:szCs w:val="28"/>
    </w:rPr>
  </w:style>
  <w:style w:type="character" w:customStyle="1" w:styleId="116">
    <w:name w:val="font51"/>
    <w:qFormat/>
    <w:uiPriority w:val="0"/>
    <w:rPr>
      <w:rFonts w:hint="eastAsia" w:ascii="微软雅黑" w:hAnsi="微软雅黑" w:eastAsia="微软雅黑" w:cs="微软雅黑"/>
      <w:i/>
      <w:color w:val="FF0000"/>
      <w:sz w:val="18"/>
      <w:szCs w:val="18"/>
      <w:u w:val="none"/>
    </w:rPr>
  </w:style>
  <w:style w:type="character" w:customStyle="1" w:styleId="117">
    <w:name w:val="副标题 Char"/>
    <w:link w:val="35"/>
    <w:qFormat/>
    <w:uiPriority w:val="0"/>
    <w:rPr>
      <w:rFonts w:ascii="Cambria" w:hAnsi="Cambria"/>
      <w:b/>
      <w:bCs/>
      <w:kern w:val="28"/>
      <w:sz w:val="32"/>
      <w:szCs w:val="32"/>
    </w:rPr>
  </w:style>
  <w:style w:type="character" w:customStyle="1" w:styleId="118">
    <w:name w:val="日期 Char"/>
    <w:link w:val="28"/>
    <w:qFormat/>
    <w:uiPriority w:val="0"/>
    <w:rPr>
      <w:rFonts w:eastAsia="楷体_GB2312"/>
      <w:kern w:val="2"/>
      <w:sz w:val="32"/>
    </w:rPr>
  </w:style>
  <w:style w:type="character" w:customStyle="1" w:styleId="119">
    <w:name w:val="标题 7 Char"/>
    <w:link w:val="10"/>
    <w:qFormat/>
    <w:uiPriority w:val="0"/>
    <w:rPr>
      <w:rFonts w:eastAsia="宋体"/>
      <w:b/>
      <w:bCs/>
      <w:kern w:val="2"/>
      <w:sz w:val="24"/>
      <w:szCs w:val="24"/>
    </w:rPr>
  </w:style>
  <w:style w:type="character" w:customStyle="1" w:styleId="120">
    <w:name w:val="页脚 Char"/>
    <w:link w:val="31"/>
    <w:qFormat/>
    <w:locked/>
    <w:uiPriority w:val="99"/>
    <w:rPr>
      <w:kern w:val="2"/>
      <w:sz w:val="18"/>
      <w:szCs w:val="18"/>
    </w:rPr>
  </w:style>
  <w:style w:type="character" w:customStyle="1" w:styleId="121">
    <w:name w:val="标题 3 Char"/>
    <w:link w:val="5"/>
    <w:qFormat/>
    <w:uiPriority w:val="9"/>
    <w:rPr>
      <w:rFonts w:ascii="仿宋_GB2312" w:eastAsia="仿宋_GB2312"/>
      <w:b/>
      <w:bCs/>
      <w:kern w:val="2"/>
      <w:sz w:val="30"/>
    </w:rPr>
  </w:style>
  <w:style w:type="character" w:customStyle="1" w:styleId="122">
    <w:name w:val="optnless"/>
    <w:qFormat/>
    <w:uiPriority w:val="0"/>
    <w:rPr>
      <w:color w:val="5596E6"/>
    </w:rPr>
  </w:style>
  <w:style w:type="character" w:customStyle="1" w:styleId="123">
    <w:name w:val="正文缩进 Char"/>
    <w:link w:val="6"/>
    <w:qFormat/>
    <w:uiPriority w:val="0"/>
    <w:rPr>
      <w:kern w:val="2"/>
      <w:sz w:val="21"/>
    </w:rPr>
  </w:style>
  <w:style w:type="character" w:customStyle="1" w:styleId="124">
    <w:name w:val="font01"/>
    <w:qFormat/>
    <w:uiPriority w:val="0"/>
    <w:rPr>
      <w:rFonts w:hint="eastAsia" w:ascii="微软雅黑" w:hAnsi="微软雅黑" w:eastAsia="微软雅黑" w:cs="微软雅黑"/>
      <w:color w:val="000000"/>
      <w:sz w:val="18"/>
      <w:szCs w:val="18"/>
      <w:u w:val="none"/>
    </w:rPr>
  </w:style>
  <w:style w:type="character" w:customStyle="1" w:styleId="125">
    <w:name w:val="列出段落 Char2"/>
    <w:link w:val="126"/>
    <w:qFormat/>
    <w:uiPriority w:val="34"/>
    <w:rPr>
      <w:kern w:val="2"/>
      <w:sz w:val="21"/>
      <w:szCs w:val="22"/>
    </w:rPr>
  </w:style>
  <w:style w:type="paragraph" w:styleId="126">
    <w:name w:val="List Paragraph"/>
    <w:basedOn w:val="1"/>
    <w:next w:val="1"/>
    <w:link w:val="125"/>
    <w:qFormat/>
    <w:uiPriority w:val="34"/>
    <w:pPr>
      <w:ind w:firstLine="420" w:firstLineChars="200"/>
    </w:pPr>
    <w:rPr>
      <w:szCs w:val="22"/>
    </w:rPr>
  </w:style>
  <w:style w:type="character" w:customStyle="1" w:styleId="127">
    <w:name w:val="bookmark-item"/>
    <w:basedOn w:val="52"/>
    <w:qFormat/>
    <w:uiPriority w:val="0"/>
  </w:style>
  <w:style w:type="character" w:customStyle="1" w:styleId="128">
    <w:name w:val="lotusalttext"/>
    <w:basedOn w:val="52"/>
    <w:qFormat/>
    <w:uiPriority w:val="0"/>
  </w:style>
  <w:style w:type="character" w:customStyle="1" w:styleId="129">
    <w:name w:val="optnmore"/>
    <w:qFormat/>
    <w:uiPriority w:val="0"/>
    <w:rPr>
      <w:color w:val="5596E6"/>
    </w:rPr>
  </w:style>
  <w:style w:type="character" w:customStyle="1" w:styleId="130">
    <w:name w:val="纯文本字符1"/>
    <w:semiHidden/>
    <w:qFormat/>
    <w:uiPriority w:val="0"/>
    <w:rPr>
      <w:rFonts w:ascii="宋体" w:hAnsi="Courier"/>
      <w:snapToGrid w:val="0"/>
      <w:sz w:val="24"/>
      <w:szCs w:val="24"/>
    </w:rPr>
  </w:style>
  <w:style w:type="character" w:customStyle="1" w:styleId="131">
    <w:name w:val="GW-正文 Char"/>
    <w:link w:val="132"/>
    <w:qFormat/>
    <w:uiPriority w:val="0"/>
    <w:rPr>
      <w:rFonts w:eastAsia="仿宋_GB2312"/>
      <w:sz w:val="24"/>
      <w:szCs w:val="24"/>
      <w:lang w:val="en-US" w:eastAsia="zh-CN" w:bidi="ar-SA"/>
    </w:rPr>
  </w:style>
  <w:style w:type="paragraph" w:customStyle="1" w:styleId="132">
    <w:name w:val="GW-正文"/>
    <w:link w:val="131"/>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character" w:customStyle="1" w:styleId="133">
    <w:name w:val="optnsets"/>
    <w:qFormat/>
    <w:uiPriority w:val="0"/>
    <w:rPr>
      <w:color w:val="5596E6"/>
    </w:rPr>
  </w:style>
  <w:style w:type="character" w:customStyle="1" w:styleId="134">
    <w:name w:val="批注文字 Char"/>
    <w:qFormat/>
    <w:uiPriority w:val="99"/>
    <w:rPr>
      <w:kern w:val="2"/>
      <w:sz w:val="21"/>
      <w:szCs w:val="24"/>
    </w:rPr>
  </w:style>
  <w:style w:type="character" w:customStyle="1" w:styleId="135">
    <w:name w:val="标题 Char3"/>
    <w:qFormat/>
    <w:uiPriority w:val="0"/>
    <w:rPr>
      <w:rFonts w:ascii="Calibri Light" w:hAnsi="Calibri Light"/>
      <w:b/>
      <w:bCs/>
      <w:kern w:val="2"/>
      <w:sz w:val="32"/>
      <w:szCs w:val="32"/>
    </w:rPr>
  </w:style>
  <w:style w:type="character" w:customStyle="1" w:styleId="136">
    <w:name w:val="样式二"/>
    <w:basedOn w:val="70"/>
    <w:qFormat/>
    <w:uiPriority w:val="0"/>
    <w:rPr>
      <w:rFonts w:ascii="宋体" w:hAnsi="宋体"/>
      <w:color w:val="000000"/>
      <w:sz w:val="36"/>
    </w:rPr>
  </w:style>
  <w:style w:type="character" w:customStyle="1" w:styleId="137">
    <w:name w:val="after1"/>
    <w:basedOn w:val="52"/>
    <w:qFormat/>
    <w:uiPriority w:val="0"/>
  </w:style>
  <w:style w:type="character" w:customStyle="1" w:styleId="138">
    <w:name w:val="after"/>
    <w:qFormat/>
    <w:uiPriority w:val="0"/>
    <w:rPr>
      <w:shd w:val="clear" w:color="auto" w:fill="008571"/>
    </w:rPr>
  </w:style>
  <w:style w:type="paragraph" w:customStyle="1" w:styleId="13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0">
    <w:name w:val="表头文本"/>
    <w:qFormat/>
    <w:uiPriority w:val="0"/>
    <w:pPr>
      <w:jc w:val="center"/>
    </w:pPr>
    <w:rPr>
      <w:rFonts w:ascii="Arial" w:hAnsi="Arial" w:eastAsia="宋体" w:cs="Times New Roman"/>
      <w:b/>
      <w:sz w:val="21"/>
      <w:szCs w:val="21"/>
      <w:lang w:val="en-US" w:eastAsia="zh-CN" w:bidi="ar-SA"/>
    </w:rPr>
  </w:style>
  <w:style w:type="paragraph" w:customStyle="1" w:styleId="141">
    <w:name w:val="节"/>
    <w:basedOn w:val="3"/>
    <w:qFormat/>
    <w:uiPriority w:val="99"/>
    <w:pPr>
      <w:keepLines/>
      <w:tabs>
        <w:tab w:val="left" w:pos="432"/>
        <w:tab w:val="left" w:pos="576"/>
      </w:tabs>
      <w:adjustRightInd/>
      <w:snapToGrid/>
      <w:spacing w:beforeLines="100" w:afterLines="100" w:line="240" w:lineRule="auto"/>
      <w:ind w:left="576" w:hanging="576"/>
      <w:jc w:val="both"/>
      <w:textAlignment w:val="auto"/>
    </w:pPr>
    <w:rPr>
      <w:rFonts w:ascii="黑体" w:hAnsi="Arial" w:eastAsia="黑体"/>
      <w:b w:val="0"/>
      <w:bCs/>
      <w:kern w:val="2"/>
      <w:sz w:val="28"/>
      <w:szCs w:val="28"/>
      <w:lang w:val="zh-CN"/>
    </w:rPr>
  </w:style>
  <w:style w:type="paragraph" w:customStyle="1" w:styleId="142">
    <w:name w:val="正文段"/>
    <w:basedOn w:val="1"/>
    <w:qFormat/>
    <w:uiPriority w:val="0"/>
    <w:pPr>
      <w:widowControl/>
      <w:snapToGrid w:val="0"/>
      <w:spacing w:afterLines="50"/>
      <w:ind w:firstLine="200" w:firstLineChars="200"/>
    </w:pPr>
    <w:rPr>
      <w:kern w:val="0"/>
      <w:sz w:val="24"/>
      <w:szCs w:val="20"/>
    </w:rPr>
  </w:style>
  <w:style w:type="paragraph" w:customStyle="1" w:styleId="143">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144">
    <w:name w:val="Char Char Char Char Char Char Char"/>
    <w:basedOn w:val="1"/>
    <w:qFormat/>
    <w:uiPriority w:val="0"/>
    <w:rPr>
      <w:szCs w:val="21"/>
    </w:rPr>
  </w:style>
  <w:style w:type="paragraph" w:customStyle="1" w:styleId="145">
    <w:name w:val="_Style 2"/>
    <w:basedOn w:val="1"/>
    <w:qFormat/>
    <w:uiPriority w:val="0"/>
    <w:pPr>
      <w:adjustRightInd w:val="0"/>
      <w:snapToGrid w:val="0"/>
      <w:spacing w:line="360" w:lineRule="auto"/>
      <w:ind w:firstLine="200" w:firstLineChars="200"/>
      <w:jc w:val="center"/>
    </w:pPr>
    <w:rPr>
      <w:rFonts w:ascii="Calibri" w:hAnsi="Calibri" w:eastAsia="微软雅黑"/>
      <w:sz w:val="30"/>
    </w:rPr>
  </w:style>
  <w:style w:type="paragraph" w:customStyle="1" w:styleId="146">
    <w:name w:val="【正文】"/>
    <w:basedOn w:val="1"/>
    <w:qFormat/>
    <w:uiPriority w:val="0"/>
    <w:pPr>
      <w:spacing w:beforeAutospacing="1" w:afterAutospacing="1" w:line="360" w:lineRule="auto"/>
      <w:ind w:firstLine="200" w:firstLineChars="200"/>
      <w:contextualSpacing/>
    </w:pPr>
    <w:rPr>
      <w:rFonts w:ascii="Calibri" w:hAnsi="Calibri" w:cs="黑体"/>
      <w:sz w:val="24"/>
      <w:szCs w:val="22"/>
    </w:rPr>
  </w:style>
  <w:style w:type="paragraph" w:customStyle="1" w:styleId="147">
    <w:name w:val="样式 正文1 + 段前: 0.1 行"/>
    <w:basedOn w:val="1"/>
    <w:qFormat/>
    <w:uiPriority w:val="0"/>
    <w:pPr>
      <w:snapToGrid w:val="0"/>
      <w:spacing w:beforeLines="10" w:line="440" w:lineRule="atLeast"/>
      <w:ind w:firstLine="510"/>
    </w:pPr>
    <w:rPr>
      <w:sz w:val="24"/>
    </w:rPr>
  </w:style>
  <w:style w:type="paragraph" w:customStyle="1" w:styleId="148">
    <w:name w:val="图样式"/>
    <w:basedOn w:val="1"/>
    <w:qFormat/>
    <w:uiPriority w:val="0"/>
    <w:pPr>
      <w:keepNext/>
      <w:widowControl/>
      <w:autoSpaceDE w:val="0"/>
      <w:autoSpaceDN w:val="0"/>
      <w:adjustRightInd w:val="0"/>
      <w:spacing w:before="80" w:after="80" w:line="360" w:lineRule="auto"/>
      <w:jc w:val="center"/>
    </w:pPr>
    <w:rPr>
      <w:snapToGrid w:val="0"/>
      <w:kern w:val="0"/>
      <w:sz w:val="24"/>
      <w:szCs w:val="21"/>
    </w:rPr>
  </w:style>
  <w:style w:type="paragraph" w:customStyle="1" w:styleId="149">
    <w:name w:val="正文2"/>
    <w:basedOn w:val="1"/>
    <w:qFormat/>
    <w:uiPriority w:val="0"/>
    <w:pPr>
      <w:spacing w:before="156" w:line="360" w:lineRule="auto"/>
      <w:ind w:firstLine="510" w:firstLineChars="200"/>
    </w:pPr>
    <w:rPr>
      <w:sz w:val="24"/>
      <w:szCs w:val="20"/>
    </w:rPr>
  </w:style>
  <w:style w:type="paragraph" w:customStyle="1" w:styleId="150">
    <w:name w:val="列出段落1"/>
    <w:basedOn w:val="1"/>
    <w:qFormat/>
    <w:uiPriority w:val="0"/>
    <w:pPr>
      <w:ind w:firstLine="420" w:firstLineChars="200"/>
    </w:pPr>
    <w:rPr>
      <w:szCs w:val="21"/>
    </w:rPr>
  </w:style>
  <w:style w:type="paragraph" w:customStyle="1" w:styleId="15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3">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54">
    <w:name w:val="6级标题"/>
    <w:basedOn w:val="1"/>
    <w:qFormat/>
    <w:uiPriority w:val="0"/>
    <w:pPr>
      <w:keepNext/>
      <w:spacing w:line="360" w:lineRule="auto"/>
      <w:ind w:left="1151" w:hanging="431"/>
      <w:jc w:val="center"/>
      <w:outlineLvl w:val="5"/>
    </w:pPr>
    <w:rPr>
      <w:rFonts w:ascii="黑体" w:hAnsi="宋体" w:eastAsia="微软雅黑"/>
      <w:b/>
      <w:bCs/>
      <w:sz w:val="24"/>
      <w:szCs w:val="52"/>
    </w:rPr>
  </w:style>
  <w:style w:type="paragraph" w:customStyle="1" w:styleId="15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6">
    <w:name w:val="_Style 58"/>
    <w:basedOn w:val="1"/>
    <w:next w:val="126"/>
    <w:qFormat/>
    <w:uiPriority w:val="0"/>
    <w:pPr>
      <w:ind w:firstLine="420" w:firstLineChars="200"/>
    </w:pPr>
    <w:rPr>
      <w:rFonts w:ascii="Calibri" w:hAnsi="Calibri"/>
      <w:szCs w:val="22"/>
    </w:rPr>
  </w:style>
  <w:style w:type="paragraph" w:customStyle="1" w:styleId="157">
    <w:name w:val="Body text|1"/>
    <w:basedOn w:val="1"/>
    <w:qFormat/>
    <w:uiPriority w:val="0"/>
    <w:pPr>
      <w:autoSpaceDE w:val="0"/>
      <w:autoSpaceDN w:val="0"/>
      <w:adjustRightInd w:val="0"/>
      <w:spacing w:after="200" w:line="314" w:lineRule="auto"/>
      <w:jc w:val="left"/>
    </w:pPr>
    <w:rPr>
      <w:rFonts w:ascii="MingLiU" w:hAnsi="MingLiU" w:eastAsia="MingLiU" w:cs="MingLiU"/>
      <w:snapToGrid w:val="0"/>
      <w:color w:val="000963"/>
      <w:kern w:val="0"/>
      <w:sz w:val="19"/>
      <w:szCs w:val="19"/>
      <w:lang w:val="zh-TW" w:eastAsia="zh-TW" w:bidi="zh-TW"/>
    </w:rPr>
  </w:style>
  <w:style w:type="paragraph" w:customStyle="1" w:styleId="158">
    <w:name w:val="纯文本1"/>
    <w:basedOn w:val="1"/>
    <w:qFormat/>
    <w:uiPriority w:val="0"/>
    <w:pPr>
      <w:adjustRightInd w:val="0"/>
      <w:textAlignment w:val="baseline"/>
    </w:pPr>
    <w:rPr>
      <w:rFonts w:ascii="宋体" w:hAnsi="Courier New" w:eastAsia="楷体_GB2312"/>
      <w:sz w:val="26"/>
      <w:szCs w:val="20"/>
    </w:rPr>
  </w:style>
  <w:style w:type="paragraph" w:customStyle="1" w:styleId="159">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 w:val="24"/>
      <w:szCs w:val="21"/>
    </w:rPr>
  </w:style>
  <w:style w:type="paragraph" w:customStyle="1" w:styleId="160">
    <w:name w:val="CM11"/>
    <w:basedOn w:val="161"/>
    <w:next w:val="161"/>
    <w:unhideWhenUsed/>
    <w:qFormat/>
    <w:uiPriority w:val="99"/>
    <w:pPr>
      <w:spacing w:line="520" w:lineRule="atLeast"/>
    </w:pPr>
  </w:style>
  <w:style w:type="paragraph" w:customStyle="1" w:styleId="161">
    <w:name w:val="Default"/>
    <w:unhideWhenUsed/>
    <w:qFormat/>
    <w:uiPriority w:val="99"/>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62">
    <w:name w:val="正文11"/>
    <w:basedOn w:val="1"/>
    <w:next w:val="1"/>
    <w:qFormat/>
    <w:uiPriority w:val="0"/>
    <w:pPr>
      <w:spacing w:before="120" w:line="360" w:lineRule="auto"/>
      <w:ind w:left="420" w:firstLine="527"/>
    </w:pPr>
    <w:rPr>
      <w:rFonts w:ascii="宋体" w:hAnsi="宋体"/>
    </w:rPr>
  </w:style>
  <w:style w:type="paragraph" w:customStyle="1" w:styleId="163">
    <w:name w:val="_Style 54"/>
    <w:basedOn w:val="1"/>
    <w:qFormat/>
    <w:uiPriority w:val="0"/>
    <w:pPr>
      <w:adjustRightInd w:val="0"/>
      <w:snapToGrid w:val="0"/>
      <w:spacing w:line="360" w:lineRule="auto"/>
      <w:ind w:firstLine="420" w:firstLineChars="200"/>
    </w:pPr>
    <w:rPr>
      <w:rFonts w:ascii="Calibri" w:hAnsi="Calibri"/>
      <w:sz w:val="24"/>
    </w:rPr>
  </w:style>
  <w:style w:type="paragraph" w:customStyle="1" w:styleId="164">
    <w:name w:val="注示头"/>
    <w:basedOn w:val="1"/>
    <w:qFormat/>
    <w:uiPriority w:val="0"/>
    <w:pPr>
      <w:pBdr>
        <w:top w:val="single" w:color="000000" w:sz="4" w:space="1"/>
      </w:pBdr>
      <w:autoSpaceDE w:val="0"/>
      <w:autoSpaceDN w:val="0"/>
      <w:adjustRightInd w:val="0"/>
      <w:spacing w:line="360" w:lineRule="auto"/>
    </w:pPr>
    <w:rPr>
      <w:rFonts w:ascii="Arial" w:hAnsi="Arial" w:eastAsia="黑体"/>
      <w:snapToGrid w:val="0"/>
      <w:kern w:val="0"/>
      <w:sz w:val="18"/>
      <w:szCs w:val="21"/>
    </w:rPr>
  </w:style>
  <w:style w:type="paragraph" w:customStyle="1" w:styleId="165">
    <w:name w:val="5级标题"/>
    <w:basedOn w:val="1"/>
    <w:qFormat/>
    <w:uiPriority w:val="0"/>
    <w:pPr>
      <w:keepNext/>
      <w:ind w:left="148" w:leftChars="-52" w:right="-7" w:rightChars="-7" w:hanging="200" w:hangingChars="200"/>
      <w:jc w:val="left"/>
      <w:outlineLvl w:val="4"/>
    </w:pPr>
    <w:rPr>
      <w:rFonts w:ascii="宋体" w:hAnsi="宋体"/>
      <w:bCs/>
      <w:sz w:val="24"/>
      <w:szCs w:val="30"/>
    </w:rPr>
  </w:style>
  <w:style w:type="paragraph" w:customStyle="1" w:styleId="166">
    <w:name w:val="表内文字"/>
    <w:basedOn w:val="1"/>
    <w:qFormat/>
    <w:uiPriority w:val="0"/>
    <w:pPr>
      <w:jc w:val="center"/>
    </w:pPr>
    <w:rPr>
      <w:rFonts w:ascii="仿宋_GB2312" w:eastAsia="仿宋_GB2312"/>
      <w:sz w:val="24"/>
    </w:rPr>
  </w:style>
  <w:style w:type="paragraph" w:customStyle="1" w:styleId="167">
    <w:name w:val="Char Char9 Char Char"/>
    <w:basedOn w:val="1"/>
    <w:qFormat/>
    <w:uiPriority w:val="0"/>
    <w:pPr>
      <w:tabs>
        <w:tab w:val="left" w:pos="360"/>
      </w:tabs>
    </w:pPr>
  </w:style>
  <w:style w:type="paragraph" w:customStyle="1" w:styleId="168">
    <w:name w:val="纯文本11"/>
    <w:basedOn w:val="1"/>
    <w:qFormat/>
    <w:uiPriority w:val="0"/>
    <w:pPr>
      <w:adjustRightInd w:val="0"/>
      <w:textAlignment w:val="baseline"/>
    </w:pPr>
    <w:rPr>
      <w:rFonts w:ascii="宋体" w:hAnsi="Courier New" w:eastAsia="楷体_GB2312"/>
      <w:sz w:val="26"/>
      <w:szCs w:val="20"/>
    </w:rPr>
  </w:style>
  <w:style w:type="paragraph" w:customStyle="1" w:styleId="169">
    <w:name w:val="正文（首行不缩进）"/>
    <w:basedOn w:val="1"/>
    <w:qFormat/>
    <w:uiPriority w:val="0"/>
    <w:pPr>
      <w:autoSpaceDE w:val="0"/>
      <w:autoSpaceDN w:val="0"/>
      <w:adjustRightInd w:val="0"/>
      <w:spacing w:line="360" w:lineRule="auto"/>
      <w:jc w:val="left"/>
    </w:pPr>
    <w:rPr>
      <w:snapToGrid w:val="0"/>
      <w:kern w:val="0"/>
      <w:sz w:val="24"/>
      <w:szCs w:val="21"/>
    </w:rPr>
  </w:style>
  <w:style w:type="paragraph" w:customStyle="1" w:styleId="170">
    <w:name w:val="封面标题"/>
    <w:qFormat/>
    <w:uiPriority w:val="0"/>
    <w:pPr>
      <w:spacing w:beforeLines="500" w:afterLines="300"/>
      <w:jc w:val="center"/>
    </w:pPr>
    <w:rPr>
      <w:rFonts w:ascii="Times New Roman" w:hAnsi="Times New Roman" w:eastAsia="黑体" w:cs="Times New Roman"/>
      <w:b/>
      <w:kern w:val="2"/>
      <w:sz w:val="52"/>
      <w:szCs w:val="22"/>
      <w:lang w:val="en-US" w:eastAsia="zh-CN" w:bidi="ar-SA"/>
    </w:rPr>
  </w:style>
  <w:style w:type="paragraph" w:customStyle="1" w:styleId="171">
    <w:name w:val="列出段落11"/>
    <w:basedOn w:val="1"/>
    <w:qFormat/>
    <w:uiPriority w:val="0"/>
    <w:pPr>
      <w:ind w:firstLine="420" w:firstLineChars="200"/>
    </w:pPr>
    <w:rPr>
      <w:rFonts w:ascii="Calibri" w:hAnsi="Calibri"/>
      <w:szCs w:val="20"/>
    </w:rPr>
  </w:style>
  <w:style w:type="paragraph" w:customStyle="1" w:styleId="172">
    <w:name w:val="FBY-表格文字"/>
    <w:basedOn w:val="1"/>
    <w:qFormat/>
    <w:uiPriority w:val="99"/>
    <w:pPr>
      <w:adjustRightInd w:val="0"/>
      <w:jc w:val="left"/>
      <w:textAlignment w:val="top"/>
    </w:pPr>
    <w:rPr>
      <w:szCs w:val="20"/>
    </w:rPr>
  </w:style>
  <w:style w:type="paragraph" w:customStyle="1" w:styleId="173">
    <w:name w:val="默认段落字体 Para Char Char Char Char Char Char Char Char Char1 Char Char Char Char"/>
    <w:basedOn w:val="1"/>
    <w:qFormat/>
    <w:uiPriority w:val="0"/>
    <w:rPr>
      <w:rFonts w:ascii="Tahoma" w:hAnsi="Tahoma"/>
      <w:sz w:val="24"/>
      <w:szCs w:val="20"/>
    </w:rPr>
  </w:style>
  <w:style w:type="paragraph" w:customStyle="1" w:styleId="174">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175">
    <w:name w:val="1 Char Char Char Char"/>
    <w:basedOn w:val="1"/>
    <w:qFormat/>
    <w:uiPriority w:val="0"/>
    <w:rPr>
      <w:rFonts w:ascii="Tahoma" w:hAnsi="Tahoma"/>
      <w:sz w:val="24"/>
      <w:szCs w:val="20"/>
    </w:rPr>
  </w:style>
  <w:style w:type="paragraph" w:customStyle="1" w:styleId="176">
    <w:name w:val="默认段落字体 Para Char Char Char Char"/>
    <w:basedOn w:val="1"/>
    <w:qFormat/>
    <w:uiPriority w:val="0"/>
    <w:rPr>
      <w:rFonts w:ascii="Arial" w:hAnsi="Arial" w:cs="Arial"/>
      <w:szCs w:val="21"/>
    </w:rPr>
  </w:style>
  <w:style w:type="paragraph" w:customStyle="1" w:styleId="177">
    <w:name w:val="注示文本"/>
    <w:basedOn w:val="1"/>
    <w:qFormat/>
    <w:uiPriority w:val="0"/>
    <w:pPr>
      <w:pBdr>
        <w:bottom w:val="single" w:color="000000" w:sz="4" w:space="1"/>
      </w:pBdr>
      <w:autoSpaceDE w:val="0"/>
      <w:autoSpaceDN w:val="0"/>
      <w:adjustRightInd w:val="0"/>
      <w:spacing w:line="360" w:lineRule="auto"/>
      <w:ind w:firstLine="360"/>
    </w:pPr>
    <w:rPr>
      <w:rFonts w:ascii="Arial" w:hAnsi="Arial" w:eastAsia="楷体_GB2312"/>
      <w:snapToGrid w:val="0"/>
      <w:kern w:val="0"/>
      <w:sz w:val="18"/>
      <w:szCs w:val="18"/>
    </w:rPr>
  </w:style>
  <w:style w:type="paragraph" w:customStyle="1" w:styleId="178">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79">
    <w:name w:val="TOC 标题11"/>
    <w:basedOn w:val="2"/>
    <w:next w:val="1"/>
    <w:unhideWhenUsed/>
    <w:qFormat/>
    <w:uiPriority w:val="39"/>
    <w:pPr>
      <w:widowControl/>
      <w:spacing w:beforeLines="100" w:afterLines="100" w:line="259" w:lineRule="auto"/>
      <w:jc w:val="left"/>
      <w:outlineLvl w:val="9"/>
    </w:pPr>
    <w:rPr>
      <w:rFonts w:ascii="Cambria" w:hAnsi="Cambria"/>
      <w:b w:val="0"/>
      <w:bCs w:val="0"/>
      <w:color w:val="365F91"/>
      <w:kern w:val="0"/>
      <w:sz w:val="32"/>
      <w:szCs w:val="32"/>
    </w:rPr>
  </w:style>
  <w:style w:type="paragraph" w:customStyle="1" w:styleId="180">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table" w:customStyle="1" w:styleId="181">
    <w:name w:val="表样式"/>
    <w:basedOn w:val="49"/>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182">
    <w:name w:val="浅色列表1"/>
    <w:basedOn w:val="49"/>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83">
    <w:name w:val="Table Normal"/>
    <w:qFormat/>
    <w:uiPriority w:val="0"/>
    <w:tblPr>
      <w:tblCellMar>
        <w:top w:w="0" w:type="dxa"/>
        <w:left w:w="0" w:type="dxa"/>
        <w:bottom w:w="0" w:type="dxa"/>
        <w:right w:w="0" w:type="dxa"/>
      </w:tblCellMar>
    </w:tblPr>
  </w:style>
  <w:style w:type="paragraph" w:customStyle="1" w:styleId="184">
    <w:name w:val="122222222"/>
    <w:basedOn w:val="6"/>
    <w:qFormat/>
    <w:uiPriority w:val="0"/>
    <w:pPr>
      <w:autoSpaceDE w:val="0"/>
      <w:autoSpaceDN w:val="0"/>
      <w:adjustRightInd w:val="0"/>
      <w:spacing w:line="360" w:lineRule="auto"/>
      <w:ind w:firstLine="552" w:firstLineChars="197"/>
      <w:textAlignment w:val="baseline"/>
    </w:pPr>
    <w:rPr>
      <w:rFonts w:ascii="Calibri" w:hAnsi="Calibri"/>
      <w:color w:val="000000"/>
    </w:rPr>
  </w:style>
  <w:style w:type="character" w:customStyle="1" w:styleId="185">
    <w:name w:val="无间隔 Char"/>
    <w:link w:val="186"/>
    <w:qFormat/>
    <w:uiPriority w:val="1"/>
    <w:rPr>
      <w:kern w:val="2"/>
      <w:sz w:val="21"/>
      <w:szCs w:val="22"/>
    </w:rPr>
  </w:style>
  <w:style w:type="paragraph" w:styleId="186">
    <w:name w:val="No Spacing"/>
    <w:link w:val="185"/>
    <w:qFormat/>
    <w:uiPriority w:val="1"/>
    <w:pPr>
      <w:widowControl w:val="0"/>
    </w:pPr>
    <w:rPr>
      <w:rFonts w:ascii="Times New Roman" w:hAnsi="Times New Roman" w:eastAsia="宋体" w:cs="Times New Roman"/>
      <w:kern w:val="2"/>
      <w:sz w:val="21"/>
      <w:szCs w:val="22"/>
      <w:lang w:val="en-US" w:eastAsia="zh-CN" w:bidi="ar-SA"/>
    </w:rPr>
  </w:style>
  <w:style w:type="character" w:customStyle="1" w:styleId="187">
    <w:name w:val="表格文字 Char"/>
    <w:link w:val="188"/>
    <w:qFormat/>
    <w:uiPriority w:val="0"/>
    <w:rPr>
      <w:kern w:val="2"/>
      <w:sz w:val="18"/>
      <w:szCs w:val="24"/>
    </w:rPr>
  </w:style>
  <w:style w:type="paragraph" w:customStyle="1" w:styleId="188">
    <w:name w:val="表格文字"/>
    <w:basedOn w:val="1"/>
    <w:link w:val="187"/>
    <w:qFormat/>
    <w:uiPriority w:val="0"/>
    <w:pPr>
      <w:jc w:val="left"/>
      <w:textAlignment w:val="top"/>
    </w:pPr>
    <w:rPr>
      <w:sz w:val="18"/>
    </w:rPr>
  </w:style>
  <w:style w:type="paragraph" w:customStyle="1" w:styleId="189">
    <w:name w:val="样式1"/>
    <w:basedOn w:val="2"/>
    <w:next w:val="1"/>
    <w:link w:val="190"/>
    <w:qFormat/>
    <w:uiPriority w:val="0"/>
    <w:pPr>
      <w:spacing w:line="240" w:lineRule="auto"/>
    </w:pPr>
    <w:rPr>
      <w:rFonts w:ascii="宋体" w:hAnsi="宋体" w:cstheme="minorBidi"/>
      <w:sz w:val="24"/>
    </w:rPr>
  </w:style>
  <w:style w:type="character" w:customStyle="1" w:styleId="190">
    <w:name w:val="样式1 字符"/>
    <w:basedOn w:val="91"/>
    <w:link w:val="189"/>
    <w:qFormat/>
    <w:uiPriority w:val="0"/>
    <w:rPr>
      <w:rFonts w:ascii="宋体" w:hAnsi="宋体" w:cstheme="minorBidi"/>
      <w:kern w:val="44"/>
      <w:sz w:val="24"/>
      <w:szCs w:val="44"/>
    </w:rPr>
  </w:style>
  <w:style w:type="paragraph" w:customStyle="1" w:styleId="191">
    <w:name w:val="样式2"/>
    <w:basedOn w:val="3"/>
    <w:next w:val="1"/>
    <w:link w:val="192"/>
    <w:qFormat/>
    <w:uiPriority w:val="0"/>
    <w:pPr>
      <w:keepLines/>
      <w:adjustRightInd/>
      <w:snapToGrid/>
      <w:spacing w:before="260" w:after="260" w:line="240" w:lineRule="auto"/>
      <w:jc w:val="both"/>
      <w:textAlignment w:val="auto"/>
    </w:pPr>
    <w:rPr>
      <w:rFonts w:eastAsia="宋体" w:asciiTheme="majorHAnsi" w:hAnsiTheme="majorHAnsi" w:cstheme="majorBidi"/>
      <w:bCs/>
      <w:kern w:val="2"/>
      <w:sz w:val="24"/>
      <w:szCs w:val="32"/>
    </w:rPr>
  </w:style>
  <w:style w:type="character" w:customStyle="1" w:styleId="192">
    <w:name w:val="样式2 字符"/>
    <w:basedOn w:val="108"/>
    <w:link w:val="191"/>
    <w:qFormat/>
    <w:uiPriority w:val="0"/>
    <w:rPr>
      <w:rFonts w:eastAsia="仿宋_GB2312" w:asciiTheme="majorHAnsi" w:hAnsiTheme="majorHAnsi" w:cstheme="majorBidi"/>
      <w:bCs/>
      <w:kern w:val="2"/>
      <w:sz w:val="24"/>
      <w:szCs w:val="32"/>
    </w:rPr>
  </w:style>
  <w:style w:type="paragraph" w:customStyle="1" w:styleId="193">
    <w:name w:val="样式3"/>
    <w:basedOn w:val="5"/>
    <w:next w:val="1"/>
    <w:link w:val="194"/>
    <w:qFormat/>
    <w:uiPriority w:val="0"/>
    <w:pPr>
      <w:spacing w:line="240" w:lineRule="auto"/>
      <w:ind w:firstLine="0" w:firstLineChars="0"/>
    </w:pPr>
    <w:rPr>
      <w:rFonts w:ascii="宋体" w:hAnsi="宋体" w:eastAsia="宋体" w:cstheme="minorBidi"/>
      <w:sz w:val="24"/>
      <w:szCs w:val="32"/>
    </w:rPr>
  </w:style>
  <w:style w:type="character" w:customStyle="1" w:styleId="194">
    <w:name w:val="样式3 字符"/>
    <w:basedOn w:val="121"/>
    <w:link w:val="193"/>
    <w:qFormat/>
    <w:uiPriority w:val="0"/>
    <w:rPr>
      <w:rFonts w:ascii="宋体" w:hAnsi="宋体" w:eastAsia="仿宋_GB2312" w:cstheme="minorBidi"/>
      <w:kern w:val="2"/>
      <w:sz w:val="24"/>
      <w:szCs w:val="32"/>
    </w:rPr>
  </w:style>
  <w:style w:type="paragraph" w:customStyle="1" w:styleId="19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7">
    <w:name w:val="正文缩进2格"/>
    <w:basedOn w:val="1"/>
    <w:qFormat/>
    <w:uiPriority w:val="0"/>
    <w:pPr>
      <w:widowControl/>
      <w:spacing w:line="600" w:lineRule="exact"/>
      <w:ind w:firstLine="639" w:firstLineChars="206"/>
      <w:jc w:val="left"/>
    </w:pPr>
    <w:rPr>
      <w:rFonts w:ascii="仿宋_GB2312" w:hAnsi="宋体" w:eastAsia="仿宋_GB2312"/>
      <w:kern w:val="0"/>
      <w:sz w:val="31"/>
      <w:szCs w:val="28"/>
    </w:rPr>
  </w:style>
  <w:style w:type="character" w:customStyle="1" w:styleId="198">
    <w:name w:val="日期 Char3"/>
    <w:qFormat/>
    <w:uiPriority w:val="0"/>
    <w:rPr>
      <w:rFonts w:eastAsia="仿宋_GB2312" w:cs="Times New Roman"/>
      <w:kern w:val="2"/>
      <w:sz w:val="28"/>
      <w:lang w:val="en-US" w:eastAsia="zh-CN" w:bidi="ar-SA"/>
    </w:rPr>
  </w:style>
  <w:style w:type="character" w:customStyle="1" w:styleId="199">
    <w:name w:val="纯文本 Char2"/>
    <w:qFormat/>
    <w:locked/>
    <w:uiPriority w:val="0"/>
    <w:rPr>
      <w:rFonts w:ascii="宋体" w:hAnsi="Courier New" w:cs="Courier New"/>
      <w:szCs w:val="21"/>
    </w:rPr>
  </w:style>
  <w:style w:type="paragraph" w:customStyle="1" w:styleId="200">
    <w:name w:val="Char Char Char Char"/>
    <w:basedOn w:val="1"/>
    <w:qFormat/>
    <w:uiPriority w:val="99"/>
    <w:pPr>
      <w:widowControl/>
      <w:jc w:val="left"/>
    </w:pPr>
    <w:rPr>
      <w:rFonts w:ascii="Calibri" w:hAnsi="Calibri" w:cs="宋体"/>
      <w:kern w:val="0"/>
      <w:sz w:val="24"/>
    </w:rPr>
  </w:style>
  <w:style w:type="character" w:customStyle="1" w:styleId="201">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6139</Words>
  <Characters>6963</Characters>
  <Lines>41</Lines>
  <Paragraphs>60</Paragraphs>
  <TotalTime>34</TotalTime>
  <ScaleCrop>false</ScaleCrop>
  <LinksUpToDate>false</LinksUpToDate>
  <CharactersWithSpaces>7103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2021-09-14T22:05:00Z</dcterms:created>
  <dc:creator>微软用户</dc:creator>
  <cp:lastModifiedBy>吴英</cp:lastModifiedBy>
  <cp:lastPrinted>2025-02-12T17:25:00Z</cp:lastPrinted>
  <dcterms:modified xsi:type="dcterms:W3CDTF">2025-02-12T07:55:19Z</dcterms:modified>
  <dc:title>1</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C2460DF6883544D79CB22167E38B85B5_13</vt:lpwstr>
  </property>
  <property fmtid="{D5CDD505-2E9C-101B-9397-08002B2CF9AE}" pid="4" name="KSOTemplateDocerSaveRecord">
    <vt:lpwstr>eyJoZGlkIjoiMDhmZWE3Y2JiYjE3MDFkMDEzYzRiYWU4ZGU3YzNkM2IiLCJ1c2VySWQiOiI3MTkyOTA1MDgifQ==</vt:lpwstr>
  </property>
</Properties>
</file>